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8.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CC12F" w14:textId="7676A762" w:rsidR="00C46175" w:rsidRPr="00D93FF9" w:rsidRDefault="00E811B8" w:rsidP="003807A1">
      <w:pPr>
        <w:pStyle w:val="BodyText"/>
        <w:spacing w:after="0" w:line="30" w:lineRule="exact"/>
        <w:rPr>
          <w:sz w:val="3"/>
          <w:lang w:val="en-GB"/>
        </w:rPr>
      </w:pPr>
      <w:bookmarkStart w:id="0" w:name="_Hlk68771903"/>
      <w:r w:rsidRPr="00D93FF9">
        <w:rPr>
          <w:noProof/>
        </w:rPr>
        <w:drawing>
          <wp:anchor distT="0" distB="0" distL="114300" distR="114300" simplePos="0" relativeHeight="251675648" behindDoc="1" locked="0" layoutInCell="1" allowOverlap="1" wp14:anchorId="59DCDC1B" wp14:editId="4C99D981">
            <wp:simplePos x="0" y="0"/>
            <wp:positionH relativeFrom="margin">
              <wp:posOffset>-904875</wp:posOffset>
            </wp:positionH>
            <wp:positionV relativeFrom="paragraph">
              <wp:posOffset>-895350</wp:posOffset>
            </wp:positionV>
            <wp:extent cx="7524750" cy="10647252"/>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9444" name="Picture 2"/>
                    <pic:cNvPicPr>
                      <a:picLocks noChangeAspect="1" noChangeArrowheads="1"/>
                    </pic:cNvPicPr>
                  </pic:nvPicPr>
                  <pic:blipFill>
                    <a:blip r:embed="rId8">
                      <a:alphaModFix amt="62000"/>
                      <a:extLst>
                        <a:ext uri="{28A0092B-C50C-407E-A947-70E740481C1C}">
                          <a14:useLocalDpi xmlns:a14="http://schemas.microsoft.com/office/drawing/2010/main" val="0"/>
                        </a:ext>
                      </a:extLst>
                    </a:blip>
                    <a:stretch>
                      <a:fillRect/>
                    </a:stretch>
                  </pic:blipFill>
                  <pic:spPr bwMode="auto">
                    <a:xfrm>
                      <a:off x="0" y="0"/>
                      <a:ext cx="7524750" cy="10647252"/>
                    </a:xfrm>
                    <a:prstGeom prst="rect">
                      <a:avLst/>
                    </a:prstGeom>
                    <a:noFill/>
                  </pic:spPr>
                </pic:pic>
              </a:graphicData>
            </a:graphic>
            <wp14:sizeRelH relativeFrom="margin">
              <wp14:pctWidth>0</wp14:pctWidth>
            </wp14:sizeRelH>
            <wp14:sizeRelV relativeFrom="margin">
              <wp14:pctHeight>0</wp14:pctHeight>
            </wp14:sizeRelV>
          </wp:anchor>
        </w:drawing>
      </w:r>
      <w:r w:rsidR="004520D6" w:rsidRPr="00D93FF9">
        <w:rPr>
          <w:sz w:val="3"/>
          <w:lang w:val="en-GB"/>
        </w:rPr>
        <w:t>dssd</w:t>
      </w:r>
    </w:p>
    <w:p w14:paraId="59DCC133" w14:textId="3CA7CB0F" w:rsidR="00E965A7" w:rsidRPr="00D93FF9" w:rsidRDefault="00B35BA5" w:rsidP="000C1CD6">
      <w:pPr>
        <w:pStyle w:val="Heading1"/>
        <w:tabs>
          <w:tab w:val="left" w:pos="2385"/>
        </w:tabs>
        <w:rPr>
          <w:rFonts w:ascii="Arial" w:hAnsi="Arial" w:cs="Arial"/>
          <w:color w:val="31849B"/>
          <w:sz w:val="56"/>
          <w:szCs w:val="56"/>
        </w:rPr>
      </w:pPr>
      <w:r w:rsidRPr="00D93FF9">
        <w:rPr>
          <w:rFonts w:ascii="Arial" w:hAnsi="Arial" w:cs="Arial"/>
          <w:color w:val="31849B"/>
          <w:sz w:val="56"/>
          <w:szCs w:val="56"/>
        </w:rPr>
        <w:t>Draft revised Chapter 9.2</w:t>
      </w:r>
      <w:r w:rsidR="00FA71D1" w:rsidRPr="00D93FF9">
        <w:rPr>
          <w:rFonts w:ascii="Arial" w:hAnsi="Arial" w:cs="Arial"/>
          <w:color w:val="31849B"/>
          <w:sz w:val="56"/>
          <w:szCs w:val="56"/>
        </w:rPr>
        <w:t xml:space="preserve"> </w:t>
      </w:r>
    </w:p>
    <w:p w14:paraId="237CD9D5" w14:textId="77777777" w:rsidR="00B35BA5" w:rsidRPr="00D93FF9" w:rsidRDefault="00B35BA5" w:rsidP="00371143">
      <w:pPr>
        <w:pStyle w:val="Subtitle"/>
      </w:pPr>
      <w:bookmarkStart w:id="1" w:name="_Hlk152953186"/>
    </w:p>
    <w:p w14:paraId="59DCC134" w14:textId="35C0E889" w:rsidR="00371143" w:rsidRPr="00D93FF9" w:rsidRDefault="00B35BA5" w:rsidP="00371143">
      <w:pPr>
        <w:pStyle w:val="Subtitle"/>
      </w:pPr>
      <w:r w:rsidRPr="00D93FF9">
        <w:t xml:space="preserve">Water Quality for Irrigation and General Water Uses: Background </w:t>
      </w:r>
      <w:r w:rsidR="00B00185">
        <w:t>I</w:t>
      </w:r>
      <w:r w:rsidRPr="00D93FF9">
        <w:t>nformation</w:t>
      </w:r>
    </w:p>
    <w:bookmarkEnd w:id="1"/>
    <w:p w14:paraId="56AA89CD" w14:textId="77777777" w:rsidR="00FA71D1" w:rsidRPr="00D93FF9" w:rsidRDefault="00FA71D1" w:rsidP="00371143">
      <w:pPr>
        <w:pStyle w:val="Publicationdate"/>
      </w:pPr>
    </w:p>
    <w:p w14:paraId="72A7DC3F" w14:textId="77777777" w:rsidR="00B35BA5" w:rsidRPr="00D93FF9" w:rsidRDefault="00B35BA5" w:rsidP="00B35BA5">
      <w:pPr>
        <w:pStyle w:val="Documenttype"/>
      </w:pPr>
      <w:r w:rsidRPr="00D93FF9">
        <w:t>Report [Draft]</w:t>
      </w:r>
    </w:p>
    <w:p w14:paraId="59DCC136" w14:textId="0A1273A7" w:rsidR="00371143" w:rsidRPr="00D93FF9" w:rsidRDefault="00F56092" w:rsidP="00371143">
      <w:pPr>
        <w:pStyle w:val="Publicationdate"/>
      </w:pPr>
      <w:r>
        <w:t>January 2024</w:t>
      </w:r>
    </w:p>
    <w:p w14:paraId="59DCC137" w14:textId="77777777" w:rsidR="00371143" w:rsidRPr="00D93FF9" w:rsidRDefault="00371143" w:rsidP="00371143"/>
    <w:p w14:paraId="59DCC138" w14:textId="77777777" w:rsidR="00E965A7" w:rsidRPr="00D93FF9" w:rsidRDefault="00E811B8" w:rsidP="00E965A7">
      <w:pPr>
        <w:spacing w:after="0" w:line="240" w:lineRule="auto"/>
        <w:rPr>
          <w:noProof/>
          <w:lang w:eastAsia="en-AU"/>
        </w:rPr>
      </w:pPr>
      <w:r w:rsidRPr="00D93FF9">
        <w:br w:type="page"/>
      </w:r>
    </w:p>
    <w:p w14:paraId="59DCC13A" w14:textId="77777777" w:rsidR="00E965A7" w:rsidRPr="00D93FF9" w:rsidRDefault="00E811B8" w:rsidP="00C61CF6">
      <w:pPr>
        <w:rPr>
          <w:rFonts w:ascii="Calibri" w:hAnsi="Calibri"/>
          <w:b/>
        </w:rPr>
      </w:pPr>
      <w:bookmarkStart w:id="2" w:name="_Hlk153028001"/>
      <w:r w:rsidRPr="00D93FF9">
        <w:rPr>
          <w:rFonts w:ascii="Calibri" w:hAnsi="Calibri"/>
          <w:b/>
        </w:rPr>
        <w:lastRenderedPageBreak/>
        <w:t>Ownership of intellectual property rights</w:t>
      </w:r>
    </w:p>
    <w:p w14:paraId="7E456BAF" w14:textId="690AB47A" w:rsidR="00C61CF6" w:rsidRPr="00D93FF9" w:rsidRDefault="00C61CF6" w:rsidP="00C61CF6">
      <w:r w:rsidRPr="00D93FF9">
        <w:t>© Commonwealth of Australia 202</w:t>
      </w:r>
      <w:r w:rsidR="00F56092">
        <w:t>4</w:t>
      </w:r>
    </w:p>
    <w:p w14:paraId="59DCC13B" w14:textId="77777777" w:rsidR="00E965A7" w:rsidRPr="00D93FF9" w:rsidRDefault="00E811B8" w:rsidP="00E965A7">
      <w:r w:rsidRPr="00D93FF9">
        <w:t>Unless otherwise noted, copyright (and any other intellectual property rights, if any) in this publication is owned by the Commonwealth of Australia (referred to as the Commonwealth).</w:t>
      </w:r>
    </w:p>
    <w:p w14:paraId="59DCC13C" w14:textId="77777777" w:rsidR="00E965A7" w:rsidRPr="00D93FF9" w:rsidRDefault="00E811B8" w:rsidP="00E965A7">
      <w:pPr>
        <w:spacing w:after="0"/>
        <w:rPr>
          <w:rFonts w:ascii="Calibri" w:hAnsi="Calibri"/>
          <w:b/>
        </w:rPr>
      </w:pPr>
      <w:r w:rsidRPr="00D93FF9">
        <w:rPr>
          <w:rFonts w:ascii="Calibri" w:hAnsi="Calibri"/>
          <w:b/>
        </w:rPr>
        <w:t>Creative Commons licence</w:t>
      </w:r>
    </w:p>
    <w:p w14:paraId="59DCC140" w14:textId="2BE63C05" w:rsidR="00E965A7" w:rsidRPr="00D93FF9" w:rsidRDefault="00C61CF6" w:rsidP="00E965A7">
      <w:r w:rsidRPr="00D93FF9">
        <w:rPr>
          <w:noProof/>
          <w:sz w:val="18"/>
          <w:szCs w:val="18"/>
          <w:lang w:eastAsia="en-AU"/>
        </w:rPr>
        <w:drawing>
          <wp:anchor distT="0" distB="0" distL="114300" distR="114300" simplePos="0" relativeHeight="251694080" behindDoc="0" locked="0" layoutInCell="1" allowOverlap="1" wp14:anchorId="59DCDC1F" wp14:editId="16BDCBE3">
            <wp:simplePos x="0" y="0"/>
            <wp:positionH relativeFrom="column">
              <wp:posOffset>38100</wp:posOffset>
            </wp:positionH>
            <wp:positionV relativeFrom="paragraph">
              <wp:posOffset>60960</wp:posOffset>
            </wp:positionV>
            <wp:extent cx="723900" cy="255905"/>
            <wp:effectExtent l="0" t="0" r="0" b="0"/>
            <wp:wrapSquare wrapText="bothSides"/>
            <wp:docPr id="5"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52885" name="Picture 1" descr="by"/>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23900" cy="2559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811B8" w:rsidRPr="00D93FF9">
        <w:t xml:space="preserve">All material in this publication is licensed under a Creative Commons Attribution </w:t>
      </w:r>
      <w:r w:rsidR="008D4A35" w:rsidRPr="00D93FF9">
        <w:t>4</w:t>
      </w:r>
      <w:r w:rsidR="00E811B8" w:rsidRPr="00D93FF9">
        <w:t xml:space="preserve">.0 Australia Licence, </w:t>
      </w:r>
      <w:r w:rsidR="008D4A35" w:rsidRPr="00D93FF9">
        <w:t>save for content supplied by third parties, photographic images, logos and the Commonwealth Coat of Arms.</w:t>
      </w:r>
      <w:r w:rsidRPr="00D93FF9">
        <w:t xml:space="preserve"> </w:t>
      </w:r>
      <w:r w:rsidR="00E811B8" w:rsidRPr="00D93FF9">
        <w:t xml:space="preserve">Creative Commons Attribution </w:t>
      </w:r>
      <w:r w:rsidR="008D4A35" w:rsidRPr="00D93FF9">
        <w:t>4</w:t>
      </w:r>
      <w:r w:rsidR="00E811B8" w:rsidRPr="00D93FF9">
        <w:t xml:space="preserve">.0 Australia Licence is a standard form licence agreement that allows you to copy, distribute, transmit and adapt this publication provided you attribute the work. </w:t>
      </w:r>
      <w:r w:rsidR="008D4A35" w:rsidRPr="00D93FF9">
        <w:t xml:space="preserve">See the </w:t>
      </w:r>
      <w:hyperlink r:id="rId10" w:history="1">
        <w:r w:rsidR="008D4A35" w:rsidRPr="00D93FF9">
          <w:rPr>
            <w:rStyle w:val="Hyperlink"/>
          </w:rPr>
          <w:t>summary of the licence terms</w:t>
        </w:r>
      </w:hyperlink>
      <w:r w:rsidR="008D4A35" w:rsidRPr="00D93FF9">
        <w:t xml:space="preserve"> or the </w:t>
      </w:r>
      <w:hyperlink r:id="rId11" w:history="1">
        <w:r w:rsidR="008D4A35" w:rsidRPr="00D93FF9">
          <w:rPr>
            <w:rStyle w:val="Hyperlink"/>
          </w:rPr>
          <w:t>full licence terms</w:t>
        </w:r>
      </w:hyperlink>
      <w:r w:rsidR="008D4A35" w:rsidRPr="00D93FF9">
        <w:t>.</w:t>
      </w:r>
    </w:p>
    <w:p w14:paraId="59DCC141" w14:textId="438A8F64" w:rsidR="00E965A7" w:rsidRPr="00D93FF9" w:rsidRDefault="00E811B8" w:rsidP="00E965A7">
      <w:r w:rsidRPr="00D93FF9">
        <w:t xml:space="preserve">Inquiries about the licence and any use of this document should be emailed to </w:t>
      </w:r>
      <w:hyperlink r:id="rId12" w:history="1">
        <w:r w:rsidR="008D4A35" w:rsidRPr="00D93FF9">
          <w:rPr>
            <w:rStyle w:val="Hyperlink"/>
          </w:rPr>
          <w:t>copyright@dcceew.gov.au</w:t>
        </w:r>
      </w:hyperlink>
      <w:r w:rsidR="008D4A35" w:rsidRPr="00D93FF9">
        <w:t xml:space="preserve">. </w:t>
      </w:r>
    </w:p>
    <w:p w14:paraId="59DCC142" w14:textId="77777777" w:rsidR="00E965A7" w:rsidRPr="00D93FF9" w:rsidRDefault="00E811B8" w:rsidP="00E965A7">
      <w:pPr>
        <w:spacing w:after="0"/>
        <w:rPr>
          <w:rFonts w:ascii="Calibri" w:hAnsi="Calibri"/>
          <w:b/>
        </w:rPr>
      </w:pPr>
      <w:r w:rsidRPr="00D93FF9">
        <w:rPr>
          <w:rFonts w:ascii="Calibri" w:hAnsi="Calibri"/>
          <w:b/>
        </w:rPr>
        <w:t>Cataloguing data</w:t>
      </w:r>
    </w:p>
    <w:p w14:paraId="4EDA8B8F" w14:textId="60F8741F" w:rsidR="008D4A35" w:rsidRPr="00D93FF9" w:rsidRDefault="00E811B8" w:rsidP="008D4A35">
      <w:r w:rsidRPr="00D93FF9">
        <w:t xml:space="preserve">This publication (and any material sourced from it) should be attributed as: </w:t>
      </w:r>
      <w:r w:rsidR="00C61CF6" w:rsidRPr="00D93FF9">
        <w:t>ANZG (</w:t>
      </w:r>
      <w:r w:rsidRPr="00D93FF9">
        <w:t>20</w:t>
      </w:r>
      <w:r w:rsidR="00323F5B" w:rsidRPr="00D93FF9">
        <w:t>23</w:t>
      </w:r>
      <w:r w:rsidR="00C61CF6" w:rsidRPr="00D93FF9">
        <w:t>).</w:t>
      </w:r>
      <w:r w:rsidRPr="00D93FF9">
        <w:t xml:space="preserve"> </w:t>
      </w:r>
      <w:r w:rsidR="00D93FF9" w:rsidRPr="00D93FF9">
        <w:rPr>
          <w:i/>
          <w:iCs/>
        </w:rPr>
        <w:t xml:space="preserve">Water Quality for Irrigation and General Water Uses: Background information. </w:t>
      </w:r>
      <w:r w:rsidR="00C61CF6" w:rsidRPr="00D93FF9">
        <w:t>Australian and New Zealand Guidelines for Fresh and Marine Water Quality.</w:t>
      </w:r>
      <w:r w:rsidR="008D4A35" w:rsidRPr="00D93FF9">
        <w:t xml:space="preserve"> Australian and New Zealand </w:t>
      </w:r>
      <w:r w:rsidR="00C61CF6" w:rsidRPr="00D93FF9">
        <w:t>g</w:t>
      </w:r>
      <w:r w:rsidR="008D4A35" w:rsidRPr="00D93FF9">
        <w:t>overnments and Australian state and territory governments, Canberra</w:t>
      </w:r>
      <w:r w:rsidR="00C61CF6" w:rsidRPr="00D93FF9">
        <w:t>.</w:t>
      </w:r>
    </w:p>
    <w:p w14:paraId="3128BD0C" w14:textId="313E5F2A" w:rsidR="008D4A35" w:rsidRPr="00D93FF9" w:rsidRDefault="008D4A35" w:rsidP="008D4A35">
      <w:r w:rsidRPr="00D93FF9">
        <w:t xml:space="preserve">This publication is available at </w:t>
      </w:r>
      <w:hyperlink r:id="rId13" w:history="1">
        <w:r w:rsidRPr="00D93FF9">
          <w:rPr>
            <w:rStyle w:val="Hyperlink"/>
          </w:rPr>
          <w:t>waterquality.gov.au/anz-guidelines</w:t>
        </w:r>
      </w:hyperlink>
      <w:r w:rsidRPr="00D93FF9">
        <w:t>.</w:t>
      </w:r>
    </w:p>
    <w:p w14:paraId="59DCC144" w14:textId="77777777" w:rsidR="00E965A7" w:rsidRPr="00D93FF9" w:rsidRDefault="00E811B8" w:rsidP="00E965A7">
      <w:pPr>
        <w:spacing w:after="0"/>
        <w:rPr>
          <w:b/>
        </w:rPr>
      </w:pPr>
      <w:r w:rsidRPr="00D93FF9">
        <w:rPr>
          <w:b/>
        </w:rPr>
        <w:t>Contact</w:t>
      </w:r>
    </w:p>
    <w:p w14:paraId="59DCC145" w14:textId="3E9F6CD5" w:rsidR="00E965A7" w:rsidRPr="00D93FF9" w:rsidRDefault="00E811B8" w:rsidP="00E965A7">
      <w:pPr>
        <w:spacing w:after="0"/>
        <w:rPr>
          <w:b/>
        </w:rPr>
      </w:pPr>
      <w:r w:rsidRPr="00D93FF9">
        <w:t xml:space="preserve">Australian Government Department of </w:t>
      </w:r>
      <w:r w:rsidR="009E62F6" w:rsidRPr="00D93FF9">
        <w:t>Climate Change, Energy, the Environment and Water</w:t>
      </w:r>
    </w:p>
    <w:p w14:paraId="59DCC146" w14:textId="2534FD2C" w:rsidR="00E965A7" w:rsidRPr="00D93FF9" w:rsidRDefault="00E811B8" w:rsidP="00E965A7">
      <w:pPr>
        <w:spacing w:after="0"/>
        <w:rPr>
          <w:b/>
        </w:rPr>
      </w:pPr>
      <w:r w:rsidRPr="00D93FF9">
        <w:t xml:space="preserve">GPO Box </w:t>
      </w:r>
      <w:r w:rsidR="008D4A35" w:rsidRPr="00D93FF9">
        <w:t xml:space="preserve">3090 </w:t>
      </w:r>
      <w:r w:rsidRPr="00D93FF9">
        <w:t>Canberra ACT 2601</w:t>
      </w:r>
    </w:p>
    <w:p w14:paraId="4946544D" w14:textId="77777777" w:rsidR="00323F5B" w:rsidRPr="00D93FF9" w:rsidRDefault="00323F5B" w:rsidP="00323F5B">
      <w:pPr>
        <w:spacing w:after="0"/>
      </w:pPr>
      <w:r w:rsidRPr="00D93FF9">
        <w:t>General enquiries: 1800 920 528</w:t>
      </w:r>
    </w:p>
    <w:p w14:paraId="59DCC148" w14:textId="569BADAA" w:rsidR="00E965A7" w:rsidRPr="00D93FF9" w:rsidRDefault="00E811B8" w:rsidP="00E965A7">
      <w:pPr>
        <w:spacing w:after="120"/>
      </w:pPr>
      <w:r w:rsidRPr="00D93FF9">
        <w:t xml:space="preserve">Email </w:t>
      </w:r>
      <w:hyperlink r:id="rId14" w:history="1">
        <w:r w:rsidR="008D4A35" w:rsidRPr="00D93FF9">
          <w:rPr>
            <w:rStyle w:val="Hyperlink"/>
          </w:rPr>
          <w:t>waterquality@dcceew.gov.au</w:t>
        </w:r>
      </w:hyperlink>
    </w:p>
    <w:p w14:paraId="59DCC14A" w14:textId="7FF761D8" w:rsidR="00E965A7" w:rsidRPr="00D93FF9" w:rsidRDefault="008D4A35" w:rsidP="00E965A7">
      <w:pPr>
        <w:spacing w:after="0"/>
        <w:rPr>
          <w:rFonts w:ascii="Calibri" w:hAnsi="Calibri"/>
          <w:b/>
        </w:rPr>
      </w:pPr>
      <w:r w:rsidRPr="00D93FF9">
        <w:rPr>
          <w:rFonts w:ascii="Calibri" w:hAnsi="Calibri"/>
          <w:b/>
        </w:rPr>
        <w:t>Disclaimer</w:t>
      </w:r>
    </w:p>
    <w:p w14:paraId="59DCC14B" w14:textId="2A8FE197" w:rsidR="00E965A7" w:rsidRPr="00D93FF9" w:rsidRDefault="00E811B8" w:rsidP="00E965A7">
      <w:r w:rsidRPr="00D93FF9">
        <w:t>The author</w:t>
      </w:r>
      <w:r w:rsidR="008D4A35" w:rsidRPr="00D93FF9">
        <w:t>(</w:t>
      </w:r>
      <w:r w:rsidRPr="00D93FF9">
        <w:t>s</w:t>
      </w:r>
      <w:r w:rsidR="008D4A35" w:rsidRPr="00D93FF9">
        <w:t>)</w:t>
      </w:r>
      <w:r w:rsidRPr="00D93FF9">
        <w:t xml:space="preserve"> of this publication, all other entities associated with funding this publication or preparing and compiling this publication, and the publisher of this publication, and their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bookmarkEnd w:id="2"/>
    <w:p w14:paraId="59DCC14C" w14:textId="77777777" w:rsidR="00E965A7" w:rsidRPr="00D93FF9" w:rsidRDefault="00E811B8" w:rsidP="00E965A7">
      <w:pPr>
        <w:rPr>
          <w:sz w:val="18"/>
          <w:szCs w:val="18"/>
        </w:rPr>
      </w:pPr>
      <w:r w:rsidRPr="00D93FF9">
        <w:rPr>
          <w:noProof/>
          <w:sz w:val="18"/>
          <w:szCs w:val="18"/>
          <w:lang w:eastAsia="en-AU"/>
        </w:rPr>
        <w:drawing>
          <wp:inline distT="0" distB="0" distL="0" distR="0" wp14:anchorId="59DCDC23" wp14:editId="4B57A40F">
            <wp:extent cx="5759450" cy="1883410"/>
            <wp:effectExtent l="0" t="0" r="0" b="2540"/>
            <wp:docPr id="7" name="Picture 7" descr="A joint project between the New Zealand Government, NSW Government, Victoria State Government, Government of Western Australia, Northern Territory Government, Government of South Australia, Queensland Government, Tasmanian Government and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9994" name="DA2834_1216_Water Quality state logos.jpg"/>
                    <pic:cNvPicPr/>
                  </pic:nvPicPr>
                  <pic:blipFill rotWithShape="1">
                    <a:blip r:embed="rId15">
                      <a:extLst>
                        <a:ext uri="{28A0092B-C50C-407E-A947-70E740481C1C}">
                          <a14:useLocalDpi xmlns:a14="http://schemas.microsoft.com/office/drawing/2010/main" val="0"/>
                        </a:ext>
                      </a:extLst>
                    </a:blip>
                    <a:srcRect t="17174"/>
                    <a:stretch/>
                  </pic:blipFill>
                  <pic:spPr bwMode="auto">
                    <a:xfrm>
                      <a:off x="0" y="0"/>
                      <a:ext cx="5759450" cy="1883410"/>
                    </a:xfrm>
                    <a:prstGeom prst="rect">
                      <a:avLst/>
                    </a:prstGeom>
                    <a:ln>
                      <a:noFill/>
                    </a:ln>
                    <a:extLst>
                      <a:ext uri="{53640926-AAD7-44D8-BBD7-CCE9431645EC}">
                        <a14:shadowObscured xmlns:a14="http://schemas.microsoft.com/office/drawing/2010/main"/>
                      </a:ext>
                    </a:extLst>
                  </pic:spPr>
                </pic:pic>
              </a:graphicData>
            </a:graphic>
          </wp:inline>
        </w:drawing>
      </w:r>
    </w:p>
    <w:p w14:paraId="59DCC14F" w14:textId="395C3989" w:rsidR="00E307CA" w:rsidRPr="00D93FF9" w:rsidRDefault="00E811B8" w:rsidP="00C61CF6">
      <w:pPr>
        <w:rPr>
          <w:sz w:val="56"/>
          <w:szCs w:val="56"/>
        </w:rPr>
      </w:pPr>
      <w:r w:rsidRPr="00D93FF9">
        <w:br w:type="page"/>
      </w:r>
      <w:r w:rsidRPr="00D93FF9">
        <w:rPr>
          <w:color w:val="31849B"/>
          <w:sz w:val="56"/>
          <w:szCs w:val="56"/>
        </w:rPr>
        <w:lastRenderedPageBreak/>
        <w:t>Contents</w:t>
      </w:r>
    </w:p>
    <w:p w14:paraId="10485472" w14:textId="4D5075DA" w:rsidR="00010573" w:rsidRPr="00D93FF9" w:rsidRDefault="00E811B8">
      <w:pPr>
        <w:pStyle w:val="TOC1"/>
        <w:rPr>
          <w:rFonts w:eastAsiaTheme="minorEastAsia"/>
          <w:b w:val="0"/>
          <w:lang w:eastAsia="en-AU"/>
        </w:rPr>
      </w:pPr>
      <w:r w:rsidRPr="00D93FF9">
        <w:rPr>
          <w:bCs/>
          <w:szCs w:val="24"/>
        </w:rPr>
        <w:fldChar w:fldCharType="begin"/>
      </w:r>
      <w:r w:rsidRPr="00D93FF9">
        <w:rPr>
          <w:bCs/>
          <w:szCs w:val="24"/>
        </w:rPr>
        <w:instrText xml:space="preserve"> TOC \t "Heading 2,1,Heading 3,2" </w:instrText>
      </w:r>
      <w:r w:rsidRPr="00D93FF9">
        <w:rPr>
          <w:bCs/>
          <w:szCs w:val="24"/>
        </w:rPr>
        <w:fldChar w:fldCharType="separate"/>
      </w:r>
      <w:r w:rsidR="00010573" w:rsidRPr="00D93FF9">
        <w:t>1</w:t>
      </w:r>
      <w:r w:rsidR="00010573" w:rsidRPr="00D93FF9">
        <w:rPr>
          <w:rFonts w:eastAsiaTheme="minorEastAsia"/>
          <w:b w:val="0"/>
          <w:lang w:eastAsia="en-AU"/>
        </w:rPr>
        <w:tab/>
      </w:r>
      <w:r w:rsidR="00010573" w:rsidRPr="00D93FF9">
        <w:t>Introduction</w:t>
      </w:r>
      <w:r w:rsidR="00010573" w:rsidRPr="00D93FF9">
        <w:tab/>
      </w:r>
      <w:r w:rsidR="00010573" w:rsidRPr="00D93FF9">
        <w:fldChar w:fldCharType="begin"/>
      </w:r>
      <w:r w:rsidR="00010573" w:rsidRPr="00D93FF9">
        <w:instrText xml:space="preserve"> PAGEREF _Toc96693562 \h </w:instrText>
      </w:r>
      <w:r w:rsidR="00010573" w:rsidRPr="00D93FF9">
        <w:fldChar w:fldCharType="separate"/>
      </w:r>
      <w:r w:rsidR="0069302C">
        <w:t>1</w:t>
      </w:r>
      <w:r w:rsidR="00010573" w:rsidRPr="00D93FF9">
        <w:fldChar w:fldCharType="end"/>
      </w:r>
    </w:p>
    <w:p w14:paraId="41DC4971" w14:textId="23BCA39B" w:rsidR="00010573" w:rsidRPr="00D93FF9" w:rsidRDefault="00010573">
      <w:pPr>
        <w:pStyle w:val="TOC2"/>
        <w:tabs>
          <w:tab w:val="left" w:pos="1100"/>
        </w:tabs>
        <w:rPr>
          <w:rFonts w:eastAsiaTheme="minorEastAsia"/>
          <w:lang w:eastAsia="en-AU"/>
        </w:rPr>
      </w:pPr>
      <w:r w:rsidRPr="00D93FF9">
        <w:rPr>
          <w:lang w:val="en-GB"/>
        </w:rPr>
        <w:t>1.1</w:t>
      </w:r>
      <w:r w:rsidRPr="00D93FF9">
        <w:rPr>
          <w:rFonts w:eastAsiaTheme="minorEastAsia"/>
          <w:lang w:eastAsia="en-AU"/>
        </w:rPr>
        <w:tab/>
      </w:r>
      <w:r w:rsidRPr="00D93FF9">
        <w:rPr>
          <w:lang w:val="en-GB"/>
        </w:rPr>
        <w:t>Background to the review</w:t>
      </w:r>
      <w:r w:rsidRPr="00D93FF9">
        <w:tab/>
      </w:r>
      <w:r w:rsidRPr="00D93FF9">
        <w:fldChar w:fldCharType="begin"/>
      </w:r>
      <w:r w:rsidRPr="00D93FF9">
        <w:instrText xml:space="preserve"> PAGEREF _Toc96693563 \h </w:instrText>
      </w:r>
      <w:r w:rsidRPr="00D93FF9">
        <w:fldChar w:fldCharType="separate"/>
      </w:r>
      <w:r w:rsidR="0069302C">
        <w:t>1</w:t>
      </w:r>
      <w:r w:rsidRPr="00D93FF9">
        <w:fldChar w:fldCharType="end"/>
      </w:r>
    </w:p>
    <w:p w14:paraId="3AFA5E73" w14:textId="3E5D133C" w:rsidR="00010573" w:rsidRPr="00D93FF9" w:rsidRDefault="00010573">
      <w:pPr>
        <w:pStyle w:val="TOC2"/>
        <w:tabs>
          <w:tab w:val="left" w:pos="1100"/>
        </w:tabs>
        <w:rPr>
          <w:rFonts w:eastAsiaTheme="minorEastAsia"/>
          <w:lang w:eastAsia="en-AU"/>
        </w:rPr>
      </w:pPr>
      <w:r w:rsidRPr="00D93FF9">
        <w:rPr>
          <w:lang w:val="en-GB"/>
        </w:rPr>
        <w:t>1.2</w:t>
      </w:r>
      <w:r w:rsidRPr="00D93FF9">
        <w:rPr>
          <w:rFonts w:eastAsiaTheme="minorEastAsia"/>
          <w:lang w:eastAsia="en-AU"/>
        </w:rPr>
        <w:tab/>
      </w:r>
      <w:r w:rsidRPr="00D93FF9">
        <w:rPr>
          <w:lang w:val="en-GB"/>
        </w:rPr>
        <w:t>General considerations for assessment of irrigation water quality</w:t>
      </w:r>
      <w:r w:rsidRPr="00D93FF9">
        <w:tab/>
      </w:r>
      <w:r w:rsidRPr="00D93FF9">
        <w:fldChar w:fldCharType="begin"/>
      </w:r>
      <w:r w:rsidRPr="00D93FF9">
        <w:instrText xml:space="preserve"> PAGEREF _Toc96693564 \h </w:instrText>
      </w:r>
      <w:r w:rsidRPr="00D93FF9">
        <w:fldChar w:fldCharType="separate"/>
      </w:r>
      <w:r w:rsidR="0069302C">
        <w:t>2</w:t>
      </w:r>
      <w:r w:rsidRPr="00D93FF9">
        <w:fldChar w:fldCharType="end"/>
      </w:r>
    </w:p>
    <w:p w14:paraId="320638EC" w14:textId="082546E7" w:rsidR="00010573" w:rsidRPr="00D93FF9" w:rsidRDefault="00010573">
      <w:pPr>
        <w:pStyle w:val="TOC1"/>
        <w:rPr>
          <w:rFonts w:eastAsiaTheme="minorEastAsia"/>
          <w:b w:val="0"/>
          <w:lang w:eastAsia="en-AU"/>
        </w:rPr>
      </w:pPr>
      <w:r w:rsidRPr="00D93FF9">
        <w:rPr>
          <w:lang w:val="en-GB"/>
        </w:rPr>
        <w:t>2</w:t>
      </w:r>
      <w:r w:rsidRPr="00D93FF9">
        <w:rPr>
          <w:rFonts w:eastAsiaTheme="minorEastAsia"/>
          <w:b w:val="0"/>
          <w:lang w:eastAsia="en-AU"/>
        </w:rPr>
        <w:tab/>
      </w:r>
      <w:r w:rsidRPr="00D93FF9">
        <w:rPr>
          <w:lang w:val="en-GB"/>
        </w:rPr>
        <w:t>Biological</w:t>
      </w:r>
      <w:r w:rsidRPr="00D93FF9">
        <w:rPr>
          <w:spacing w:val="1"/>
          <w:lang w:val="en-GB"/>
        </w:rPr>
        <w:t xml:space="preserve"> </w:t>
      </w:r>
      <w:r w:rsidRPr="00D93FF9">
        <w:t>parameters</w:t>
      </w:r>
      <w:r w:rsidRPr="00D93FF9">
        <w:tab/>
      </w:r>
      <w:r w:rsidRPr="00D93FF9">
        <w:fldChar w:fldCharType="begin"/>
      </w:r>
      <w:r w:rsidRPr="00D93FF9">
        <w:instrText xml:space="preserve"> PAGEREF _Toc96693565 \h </w:instrText>
      </w:r>
      <w:r w:rsidRPr="00D93FF9">
        <w:fldChar w:fldCharType="separate"/>
      </w:r>
      <w:r w:rsidR="0069302C">
        <w:t>4</w:t>
      </w:r>
      <w:r w:rsidRPr="00D93FF9">
        <w:fldChar w:fldCharType="end"/>
      </w:r>
    </w:p>
    <w:p w14:paraId="33C272BA" w14:textId="26A5E775" w:rsidR="00010573" w:rsidRPr="00D93FF9" w:rsidRDefault="00010573">
      <w:pPr>
        <w:pStyle w:val="TOC2"/>
        <w:tabs>
          <w:tab w:val="left" w:pos="1100"/>
        </w:tabs>
        <w:rPr>
          <w:rFonts w:eastAsiaTheme="minorEastAsia"/>
          <w:lang w:eastAsia="en-AU"/>
        </w:rPr>
      </w:pPr>
      <w:r w:rsidRPr="00D93FF9">
        <w:rPr>
          <w:lang w:val="en-GB"/>
        </w:rPr>
        <w:t>2.1</w:t>
      </w:r>
      <w:r w:rsidRPr="00D93FF9">
        <w:rPr>
          <w:rFonts w:eastAsiaTheme="minorEastAsia"/>
          <w:lang w:eastAsia="en-AU"/>
        </w:rPr>
        <w:tab/>
      </w:r>
      <w:r w:rsidRPr="00D93FF9">
        <w:t>Algae</w:t>
      </w:r>
      <w:r w:rsidRPr="00D93FF9">
        <w:tab/>
      </w:r>
      <w:r w:rsidRPr="00D93FF9">
        <w:fldChar w:fldCharType="begin"/>
      </w:r>
      <w:r w:rsidRPr="00D93FF9">
        <w:instrText xml:space="preserve"> PAGEREF _Toc96693566 \h </w:instrText>
      </w:r>
      <w:r w:rsidRPr="00D93FF9">
        <w:fldChar w:fldCharType="separate"/>
      </w:r>
      <w:r w:rsidR="0069302C">
        <w:t>4</w:t>
      </w:r>
      <w:r w:rsidRPr="00D93FF9">
        <w:fldChar w:fldCharType="end"/>
      </w:r>
    </w:p>
    <w:p w14:paraId="45B81DDD" w14:textId="23326984" w:rsidR="00010573" w:rsidRPr="00D93FF9" w:rsidRDefault="00010573">
      <w:pPr>
        <w:pStyle w:val="TOC2"/>
        <w:tabs>
          <w:tab w:val="left" w:pos="1100"/>
        </w:tabs>
        <w:rPr>
          <w:rFonts w:eastAsiaTheme="minorEastAsia"/>
          <w:lang w:eastAsia="en-AU"/>
        </w:rPr>
      </w:pPr>
      <w:r w:rsidRPr="00D93FF9">
        <w:rPr>
          <w:lang w:val="en-GB"/>
        </w:rPr>
        <w:t>2.2</w:t>
      </w:r>
      <w:r w:rsidRPr="00D93FF9">
        <w:rPr>
          <w:rFonts w:eastAsiaTheme="minorEastAsia"/>
          <w:lang w:eastAsia="en-AU"/>
        </w:rPr>
        <w:tab/>
      </w:r>
      <w:r w:rsidRPr="00D93FF9">
        <w:rPr>
          <w:lang w:val="en-GB"/>
        </w:rPr>
        <w:t>Cyanobacteria (blue-green algae)</w:t>
      </w:r>
      <w:r w:rsidRPr="00D93FF9">
        <w:tab/>
      </w:r>
      <w:r w:rsidRPr="00D93FF9">
        <w:fldChar w:fldCharType="begin"/>
      </w:r>
      <w:r w:rsidRPr="00D93FF9">
        <w:instrText xml:space="preserve"> PAGEREF _Toc96693567 \h </w:instrText>
      </w:r>
      <w:r w:rsidRPr="00D93FF9">
        <w:fldChar w:fldCharType="separate"/>
      </w:r>
      <w:r w:rsidR="0069302C">
        <w:t>5</w:t>
      </w:r>
      <w:r w:rsidRPr="00D93FF9">
        <w:fldChar w:fldCharType="end"/>
      </w:r>
    </w:p>
    <w:p w14:paraId="435E8E63" w14:textId="7B3C76FF" w:rsidR="00010573" w:rsidRPr="00D93FF9" w:rsidRDefault="00010573">
      <w:pPr>
        <w:pStyle w:val="TOC2"/>
        <w:tabs>
          <w:tab w:val="left" w:pos="1100"/>
        </w:tabs>
        <w:rPr>
          <w:rFonts w:eastAsiaTheme="minorEastAsia"/>
          <w:lang w:eastAsia="en-AU"/>
        </w:rPr>
      </w:pPr>
      <w:r w:rsidRPr="00D93FF9">
        <w:rPr>
          <w:lang w:val="en-GB"/>
        </w:rPr>
        <w:t>2.3</w:t>
      </w:r>
      <w:r w:rsidRPr="00D93FF9">
        <w:rPr>
          <w:rFonts w:eastAsiaTheme="minorEastAsia"/>
          <w:lang w:eastAsia="en-AU"/>
        </w:rPr>
        <w:tab/>
      </w:r>
      <w:r w:rsidRPr="00D93FF9">
        <w:rPr>
          <w:lang w:val="en-GB"/>
        </w:rPr>
        <w:t>Human and animal pathogens</w:t>
      </w:r>
      <w:r w:rsidRPr="00D93FF9">
        <w:tab/>
      </w:r>
      <w:r w:rsidRPr="00D93FF9">
        <w:fldChar w:fldCharType="begin"/>
      </w:r>
      <w:r w:rsidRPr="00D93FF9">
        <w:instrText xml:space="preserve"> PAGEREF _Toc96693568 \h </w:instrText>
      </w:r>
      <w:r w:rsidRPr="00D93FF9">
        <w:fldChar w:fldCharType="separate"/>
      </w:r>
      <w:r w:rsidR="0069302C">
        <w:t>10</w:t>
      </w:r>
      <w:r w:rsidRPr="00D93FF9">
        <w:fldChar w:fldCharType="end"/>
      </w:r>
    </w:p>
    <w:p w14:paraId="1D894369" w14:textId="0779213D" w:rsidR="00010573" w:rsidRPr="00D93FF9" w:rsidRDefault="00010573">
      <w:pPr>
        <w:pStyle w:val="TOC2"/>
        <w:tabs>
          <w:tab w:val="left" w:pos="1100"/>
        </w:tabs>
        <w:rPr>
          <w:rFonts w:eastAsiaTheme="minorEastAsia"/>
          <w:lang w:eastAsia="en-AU"/>
        </w:rPr>
      </w:pPr>
      <w:r w:rsidRPr="00D93FF9">
        <w:rPr>
          <w:lang w:val="en-GB"/>
        </w:rPr>
        <w:t>2.4</w:t>
      </w:r>
      <w:r w:rsidRPr="00D93FF9">
        <w:rPr>
          <w:rFonts w:eastAsiaTheme="minorEastAsia"/>
          <w:lang w:eastAsia="en-AU"/>
        </w:rPr>
        <w:tab/>
      </w:r>
      <w:r w:rsidRPr="00D93FF9">
        <w:rPr>
          <w:lang w:val="en-GB"/>
        </w:rPr>
        <w:t>Plant pathogens</w:t>
      </w:r>
      <w:r w:rsidRPr="00D93FF9">
        <w:tab/>
      </w:r>
      <w:r w:rsidRPr="00D93FF9">
        <w:fldChar w:fldCharType="begin"/>
      </w:r>
      <w:r w:rsidRPr="00D93FF9">
        <w:instrText xml:space="preserve"> PAGEREF _Toc96693569 \h </w:instrText>
      </w:r>
      <w:r w:rsidRPr="00D93FF9">
        <w:fldChar w:fldCharType="separate"/>
      </w:r>
      <w:r w:rsidR="0069302C">
        <w:t>14</w:t>
      </w:r>
      <w:r w:rsidRPr="00D93FF9">
        <w:fldChar w:fldCharType="end"/>
      </w:r>
    </w:p>
    <w:p w14:paraId="35EBC5A6" w14:textId="17FAFF78" w:rsidR="00010573" w:rsidRPr="00D93FF9" w:rsidRDefault="00010573">
      <w:pPr>
        <w:pStyle w:val="TOC1"/>
        <w:rPr>
          <w:rFonts w:eastAsiaTheme="minorEastAsia"/>
          <w:b w:val="0"/>
          <w:lang w:eastAsia="en-AU"/>
        </w:rPr>
      </w:pPr>
      <w:r w:rsidRPr="00D93FF9">
        <w:rPr>
          <w:lang w:val="en-GB"/>
        </w:rPr>
        <w:t>3</w:t>
      </w:r>
      <w:r w:rsidRPr="00D93FF9">
        <w:rPr>
          <w:rFonts w:eastAsiaTheme="minorEastAsia"/>
          <w:b w:val="0"/>
          <w:lang w:eastAsia="en-AU"/>
        </w:rPr>
        <w:tab/>
      </w:r>
      <w:r w:rsidRPr="00D93FF9">
        <w:rPr>
          <w:lang w:val="en-GB"/>
        </w:rPr>
        <w:t>Salinity and</w:t>
      </w:r>
      <w:r w:rsidRPr="00D93FF9">
        <w:rPr>
          <w:spacing w:val="-8"/>
          <w:lang w:val="en-GB"/>
        </w:rPr>
        <w:t xml:space="preserve"> </w:t>
      </w:r>
      <w:r w:rsidRPr="00D93FF9">
        <w:rPr>
          <w:lang w:val="en-GB"/>
        </w:rPr>
        <w:t>sodicity</w:t>
      </w:r>
      <w:r w:rsidRPr="00D93FF9">
        <w:tab/>
      </w:r>
      <w:r w:rsidRPr="00D93FF9">
        <w:fldChar w:fldCharType="begin"/>
      </w:r>
      <w:r w:rsidRPr="00D93FF9">
        <w:instrText xml:space="preserve"> PAGEREF _Toc96693570 \h </w:instrText>
      </w:r>
      <w:r w:rsidRPr="00D93FF9">
        <w:fldChar w:fldCharType="separate"/>
      </w:r>
      <w:r w:rsidR="0069302C">
        <w:t>16</w:t>
      </w:r>
      <w:r w:rsidRPr="00D93FF9">
        <w:fldChar w:fldCharType="end"/>
      </w:r>
    </w:p>
    <w:p w14:paraId="310A351E" w14:textId="6AB47DF8" w:rsidR="00010573" w:rsidRPr="00D93FF9" w:rsidRDefault="00010573">
      <w:pPr>
        <w:pStyle w:val="TOC2"/>
        <w:tabs>
          <w:tab w:val="left" w:pos="1100"/>
        </w:tabs>
        <w:rPr>
          <w:rFonts w:eastAsiaTheme="minorEastAsia"/>
          <w:lang w:eastAsia="en-AU"/>
        </w:rPr>
      </w:pPr>
      <w:r w:rsidRPr="00D93FF9">
        <w:rPr>
          <w:lang w:val="en-GB"/>
        </w:rPr>
        <w:t>3.1</w:t>
      </w:r>
      <w:r w:rsidRPr="00D93FF9">
        <w:rPr>
          <w:rFonts w:eastAsiaTheme="minorEastAsia"/>
          <w:lang w:eastAsia="en-AU"/>
        </w:rPr>
        <w:tab/>
      </w:r>
      <w:r w:rsidRPr="00D93FF9">
        <w:t>Description</w:t>
      </w:r>
      <w:r w:rsidRPr="00D93FF9">
        <w:tab/>
      </w:r>
      <w:r w:rsidRPr="00D93FF9">
        <w:fldChar w:fldCharType="begin"/>
      </w:r>
      <w:r w:rsidRPr="00D93FF9">
        <w:instrText xml:space="preserve"> PAGEREF _Toc96693571 \h </w:instrText>
      </w:r>
      <w:r w:rsidRPr="00D93FF9">
        <w:fldChar w:fldCharType="separate"/>
      </w:r>
      <w:r w:rsidR="0069302C">
        <w:t>16</w:t>
      </w:r>
      <w:r w:rsidRPr="00D93FF9">
        <w:fldChar w:fldCharType="end"/>
      </w:r>
    </w:p>
    <w:p w14:paraId="6FA48222" w14:textId="3916C196" w:rsidR="00010573" w:rsidRPr="00D93FF9" w:rsidRDefault="00010573">
      <w:pPr>
        <w:pStyle w:val="TOC2"/>
        <w:tabs>
          <w:tab w:val="left" w:pos="1100"/>
        </w:tabs>
        <w:rPr>
          <w:rFonts w:eastAsiaTheme="minorEastAsia"/>
          <w:lang w:eastAsia="en-AU"/>
        </w:rPr>
      </w:pPr>
      <w:r w:rsidRPr="00D93FF9">
        <w:rPr>
          <w:lang w:val="en-GB"/>
        </w:rPr>
        <w:t>3.2</w:t>
      </w:r>
      <w:r w:rsidRPr="00D93FF9">
        <w:rPr>
          <w:rFonts w:eastAsiaTheme="minorEastAsia"/>
          <w:lang w:eastAsia="en-AU"/>
        </w:rPr>
        <w:tab/>
      </w:r>
      <w:r w:rsidRPr="00D93FF9">
        <w:t>Factors</w:t>
      </w:r>
      <w:r w:rsidRPr="00D93FF9">
        <w:rPr>
          <w:lang w:val="en-GB"/>
        </w:rPr>
        <w:t xml:space="preserve"> affecting irrigation salinity</w:t>
      </w:r>
      <w:r w:rsidRPr="00D93FF9">
        <w:tab/>
      </w:r>
      <w:r w:rsidRPr="00D93FF9">
        <w:fldChar w:fldCharType="begin"/>
      </w:r>
      <w:r w:rsidRPr="00D93FF9">
        <w:instrText xml:space="preserve"> PAGEREF _Toc96693572 \h </w:instrText>
      </w:r>
      <w:r w:rsidRPr="00D93FF9">
        <w:fldChar w:fldCharType="separate"/>
      </w:r>
      <w:r w:rsidR="0069302C">
        <w:t>17</w:t>
      </w:r>
      <w:r w:rsidRPr="00D93FF9">
        <w:fldChar w:fldCharType="end"/>
      </w:r>
    </w:p>
    <w:p w14:paraId="15214213" w14:textId="5043A3C5" w:rsidR="00010573" w:rsidRPr="00D93FF9" w:rsidRDefault="00010573">
      <w:pPr>
        <w:pStyle w:val="TOC2"/>
        <w:tabs>
          <w:tab w:val="left" w:pos="1100"/>
        </w:tabs>
        <w:rPr>
          <w:rFonts w:eastAsiaTheme="minorEastAsia"/>
          <w:lang w:eastAsia="en-AU"/>
        </w:rPr>
      </w:pPr>
      <w:r w:rsidRPr="00D93FF9">
        <w:rPr>
          <w:lang w:val="en-GB"/>
        </w:rPr>
        <w:t>3.3</w:t>
      </w:r>
      <w:r w:rsidRPr="00D93FF9">
        <w:rPr>
          <w:rFonts w:eastAsiaTheme="minorEastAsia"/>
          <w:lang w:eastAsia="en-AU"/>
        </w:rPr>
        <w:tab/>
      </w:r>
      <w:r w:rsidRPr="00D93FF9">
        <w:t>Worked</w:t>
      </w:r>
      <w:r w:rsidRPr="00D93FF9">
        <w:rPr>
          <w:spacing w:val="1"/>
          <w:lang w:val="en-GB"/>
        </w:rPr>
        <w:t xml:space="preserve"> </w:t>
      </w:r>
      <w:r w:rsidRPr="00D93FF9">
        <w:rPr>
          <w:lang w:val="en-GB"/>
        </w:rPr>
        <w:t>examples</w:t>
      </w:r>
      <w:r w:rsidRPr="00D93FF9">
        <w:tab/>
      </w:r>
      <w:r w:rsidRPr="00D93FF9">
        <w:fldChar w:fldCharType="begin"/>
      </w:r>
      <w:r w:rsidRPr="00D93FF9">
        <w:instrText xml:space="preserve"> PAGEREF _Toc96693573 \h </w:instrText>
      </w:r>
      <w:r w:rsidRPr="00D93FF9">
        <w:fldChar w:fldCharType="separate"/>
      </w:r>
      <w:r w:rsidR="0069302C">
        <w:t>52</w:t>
      </w:r>
      <w:r w:rsidRPr="00D93FF9">
        <w:fldChar w:fldCharType="end"/>
      </w:r>
    </w:p>
    <w:p w14:paraId="37F07FC9" w14:textId="57546B33" w:rsidR="00010573" w:rsidRPr="00D93FF9" w:rsidRDefault="00010573">
      <w:pPr>
        <w:pStyle w:val="TOC1"/>
        <w:rPr>
          <w:rFonts w:eastAsiaTheme="minorEastAsia"/>
          <w:b w:val="0"/>
          <w:lang w:eastAsia="en-AU"/>
        </w:rPr>
      </w:pPr>
      <w:r w:rsidRPr="00D93FF9">
        <w:rPr>
          <w:lang w:val="en-GB"/>
        </w:rPr>
        <w:t>4</w:t>
      </w:r>
      <w:r w:rsidRPr="00D93FF9">
        <w:rPr>
          <w:rFonts w:eastAsiaTheme="minorEastAsia"/>
          <w:b w:val="0"/>
          <w:lang w:eastAsia="en-AU"/>
        </w:rPr>
        <w:tab/>
      </w:r>
      <w:r w:rsidRPr="00D93FF9">
        <w:rPr>
          <w:lang w:val="en-GB"/>
        </w:rPr>
        <w:t xml:space="preserve">Major ions of concern for </w:t>
      </w:r>
      <w:r w:rsidRPr="00D93FF9">
        <w:t>irrigation</w:t>
      </w:r>
      <w:r w:rsidRPr="00D93FF9">
        <w:rPr>
          <w:lang w:val="en-GB"/>
        </w:rPr>
        <w:t xml:space="preserve"> water</w:t>
      </w:r>
      <w:r w:rsidRPr="00D93FF9">
        <w:rPr>
          <w:spacing w:val="14"/>
          <w:lang w:val="en-GB"/>
        </w:rPr>
        <w:t xml:space="preserve"> </w:t>
      </w:r>
      <w:r w:rsidRPr="00D93FF9">
        <w:rPr>
          <w:lang w:val="en-GB"/>
        </w:rPr>
        <w:t>quality</w:t>
      </w:r>
      <w:r w:rsidRPr="00D93FF9">
        <w:tab/>
      </w:r>
      <w:r w:rsidRPr="00D93FF9">
        <w:fldChar w:fldCharType="begin"/>
      </w:r>
      <w:r w:rsidRPr="00D93FF9">
        <w:instrText xml:space="preserve"> PAGEREF _Toc96693574 \h </w:instrText>
      </w:r>
      <w:r w:rsidRPr="00D93FF9">
        <w:fldChar w:fldCharType="separate"/>
      </w:r>
      <w:r w:rsidR="0069302C">
        <w:t>56</w:t>
      </w:r>
      <w:r w:rsidRPr="00D93FF9">
        <w:fldChar w:fldCharType="end"/>
      </w:r>
    </w:p>
    <w:p w14:paraId="2063144B" w14:textId="369304CB" w:rsidR="00010573" w:rsidRPr="00D93FF9" w:rsidRDefault="00010573">
      <w:pPr>
        <w:pStyle w:val="TOC2"/>
        <w:tabs>
          <w:tab w:val="left" w:pos="1100"/>
        </w:tabs>
        <w:rPr>
          <w:rFonts w:eastAsiaTheme="minorEastAsia"/>
          <w:lang w:eastAsia="en-AU"/>
        </w:rPr>
      </w:pPr>
      <w:r w:rsidRPr="00D93FF9">
        <w:rPr>
          <w:lang w:val="en-GB"/>
        </w:rPr>
        <w:t>4.1</w:t>
      </w:r>
      <w:r w:rsidRPr="00D93FF9">
        <w:rPr>
          <w:rFonts w:eastAsiaTheme="minorEastAsia"/>
          <w:lang w:eastAsia="en-AU"/>
        </w:rPr>
        <w:tab/>
      </w:r>
      <w:r w:rsidRPr="00D93FF9">
        <w:t>Bicarbonate</w:t>
      </w:r>
      <w:r w:rsidRPr="00D93FF9">
        <w:tab/>
      </w:r>
      <w:r w:rsidRPr="00D93FF9">
        <w:fldChar w:fldCharType="begin"/>
      </w:r>
      <w:r w:rsidRPr="00D93FF9">
        <w:instrText xml:space="preserve"> PAGEREF _Toc96693575 \h </w:instrText>
      </w:r>
      <w:r w:rsidRPr="00D93FF9">
        <w:fldChar w:fldCharType="separate"/>
      </w:r>
      <w:r w:rsidR="0069302C">
        <w:t>56</w:t>
      </w:r>
      <w:r w:rsidRPr="00D93FF9">
        <w:fldChar w:fldCharType="end"/>
      </w:r>
    </w:p>
    <w:p w14:paraId="140E45A9" w14:textId="4578A14B" w:rsidR="00010573" w:rsidRPr="00D93FF9" w:rsidRDefault="00010573">
      <w:pPr>
        <w:pStyle w:val="TOC2"/>
        <w:tabs>
          <w:tab w:val="left" w:pos="1100"/>
        </w:tabs>
        <w:rPr>
          <w:rFonts w:eastAsiaTheme="minorEastAsia"/>
          <w:lang w:eastAsia="en-AU"/>
        </w:rPr>
      </w:pPr>
      <w:r w:rsidRPr="00D93FF9">
        <w:rPr>
          <w:lang w:val="en-GB"/>
        </w:rPr>
        <w:t>4.2</w:t>
      </w:r>
      <w:r w:rsidRPr="00D93FF9">
        <w:rPr>
          <w:rFonts w:eastAsiaTheme="minorEastAsia"/>
          <w:lang w:eastAsia="en-AU"/>
        </w:rPr>
        <w:tab/>
      </w:r>
      <w:r w:rsidRPr="00D93FF9">
        <w:t>Chloride</w:t>
      </w:r>
      <w:r w:rsidRPr="00D93FF9">
        <w:tab/>
      </w:r>
      <w:r w:rsidRPr="00D93FF9">
        <w:fldChar w:fldCharType="begin"/>
      </w:r>
      <w:r w:rsidRPr="00D93FF9">
        <w:instrText xml:space="preserve"> PAGEREF _Toc96693576 \h </w:instrText>
      </w:r>
      <w:r w:rsidRPr="00D93FF9">
        <w:fldChar w:fldCharType="separate"/>
      </w:r>
      <w:r w:rsidR="0069302C">
        <w:t>57</w:t>
      </w:r>
      <w:r w:rsidRPr="00D93FF9">
        <w:fldChar w:fldCharType="end"/>
      </w:r>
    </w:p>
    <w:p w14:paraId="029311A8" w14:textId="405ABB54" w:rsidR="00010573" w:rsidRPr="00D93FF9" w:rsidRDefault="00010573">
      <w:pPr>
        <w:pStyle w:val="TOC2"/>
        <w:tabs>
          <w:tab w:val="left" w:pos="1100"/>
        </w:tabs>
        <w:rPr>
          <w:rFonts w:eastAsiaTheme="minorEastAsia"/>
          <w:lang w:eastAsia="en-AU"/>
        </w:rPr>
      </w:pPr>
      <w:r w:rsidRPr="00D93FF9">
        <w:rPr>
          <w:lang w:val="en-GB"/>
        </w:rPr>
        <w:t>4.3</w:t>
      </w:r>
      <w:r w:rsidRPr="00D93FF9">
        <w:rPr>
          <w:rFonts w:eastAsiaTheme="minorEastAsia"/>
          <w:lang w:eastAsia="en-AU"/>
        </w:rPr>
        <w:tab/>
      </w:r>
      <w:r w:rsidRPr="00D93FF9">
        <w:rPr>
          <w:lang w:val="en-GB"/>
        </w:rPr>
        <w:t>Sodium</w:t>
      </w:r>
      <w:r w:rsidRPr="00D93FF9">
        <w:tab/>
      </w:r>
      <w:r w:rsidRPr="00D93FF9">
        <w:fldChar w:fldCharType="begin"/>
      </w:r>
      <w:r w:rsidRPr="00D93FF9">
        <w:instrText xml:space="preserve"> PAGEREF _Toc96693577 \h </w:instrText>
      </w:r>
      <w:r w:rsidRPr="00D93FF9">
        <w:fldChar w:fldCharType="separate"/>
      </w:r>
      <w:r w:rsidR="0069302C">
        <w:t>59</w:t>
      </w:r>
      <w:r w:rsidRPr="00D93FF9">
        <w:fldChar w:fldCharType="end"/>
      </w:r>
    </w:p>
    <w:p w14:paraId="5F19026B" w14:textId="40AEA9F7" w:rsidR="00010573" w:rsidRPr="00D93FF9" w:rsidRDefault="00010573">
      <w:pPr>
        <w:pStyle w:val="TOC1"/>
        <w:rPr>
          <w:rFonts w:eastAsiaTheme="minorEastAsia"/>
          <w:b w:val="0"/>
          <w:lang w:eastAsia="en-AU"/>
        </w:rPr>
      </w:pPr>
      <w:r w:rsidRPr="00D93FF9">
        <w:rPr>
          <w:lang w:val="en-GB"/>
        </w:rPr>
        <w:t>5</w:t>
      </w:r>
      <w:r w:rsidRPr="00D93FF9">
        <w:rPr>
          <w:rFonts w:eastAsiaTheme="minorEastAsia"/>
          <w:b w:val="0"/>
          <w:lang w:eastAsia="en-AU"/>
        </w:rPr>
        <w:tab/>
      </w:r>
      <w:r w:rsidRPr="00D93FF9">
        <w:rPr>
          <w:lang w:val="en-GB"/>
        </w:rPr>
        <w:t xml:space="preserve">Metals </w:t>
      </w:r>
      <w:r w:rsidRPr="00D93FF9">
        <w:t>and</w:t>
      </w:r>
      <w:r w:rsidRPr="00D93FF9">
        <w:rPr>
          <w:spacing w:val="-8"/>
          <w:lang w:val="en-GB"/>
        </w:rPr>
        <w:t xml:space="preserve"> </w:t>
      </w:r>
      <w:r w:rsidRPr="00D93FF9">
        <w:rPr>
          <w:lang w:val="en-GB"/>
        </w:rPr>
        <w:t>metalloids</w:t>
      </w:r>
      <w:r w:rsidRPr="00D93FF9">
        <w:tab/>
      </w:r>
      <w:r w:rsidRPr="00D93FF9">
        <w:fldChar w:fldCharType="begin"/>
      </w:r>
      <w:r w:rsidRPr="00D93FF9">
        <w:instrText xml:space="preserve"> PAGEREF _Toc96693578 \h </w:instrText>
      </w:r>
      <w:r w:rsidRPr="00D93FF9">
        <w:fldChar w:fldCharType="separate"/>
      </w:r>
      <w:r w:rsidR="0069302C">
        <w:t>60</w:t>
      </w:r>
      <w:r w:rsidRPr="00D93FF9">
        <w:fldChar w:fldCharType="end"/>
      </w:r>
    </w:p>
    <w:p w14:paraId="5D7E990A" w14:textId="36BEE3A9" w:rsidR="00010573" w:rsidRPr="00D93FF9" w:rsidRDefault="00010573">
      <w:pPr>
        <w:pStyle w:val="TOC2"/>
        <w:tabs>
          <w:tab w:val="left" w:pos="1100"/>
        </w:tabs>
        <w:rPr>
          <w:rFonts w:eastAsiaTheme="minorEastAsia"/>
          <w:lang w:eastAsia="en-AU"/>
        </w:rPr>
      </w:pPr>
      <w:r w:rsidRPr="00D93FF9">
        <w:rPr>
          <w:lang w:val="en-GB"/>
        </w:rPr>
        <w:t>5.1</w:t>
      </w:r>
      <w:r w:rsidRPr="00D93FF9">
        <w:rPr>
          <w:rFonts w:eastAsiaTheme="minorEastAsia"/>
          <w:lang w:eastAsia="en-AU"/>
        </w:rPr>
        <w:tab/>
      </w:r>
      <w:r w:rsidRPr="00D93FF9">
        <w:t>Scope</w:t>
      </w:r>
      <w:r w:rsidRPr="00D93FF9">
        <w:tab/>
      </w:r>
      <w:r w:rsidRPr="00D93FF9">
        <w:fldChar w:fldCharType="begin"/>
      </w:r>
      <w:r w:rsidRPr="00D93FF9">
        <w:instrText xml:space="preserve"> PAGEREF _Toc96693579 \h </w:instrText>
      </w:r>
      <w:r w:rsidRPr="00D93FF9">
        <w:fldChar w:fldCharType="separate"/>
      </w:r>
      <w:r w:rsidR="0069302C">
        <w:t>60</w:t>
      </w:r>
      <w:r w:rsidRPr="00D93FF9">
        <w:fldChar w:fldCharType="end"/>
      </w:r>
    </w:p>
    <w:p w14:paraId="5CC20121" w14:textId="660B86A5" w:rsidR="00010573" w:rsidRPr="00D93FF9" w:rsidRDefault="00010573">
      <w:pPr>
        <w:pStyle w:val="TOC2"/>
        <w:tabs>
          <w:tab w:val="left" w:pos="1100"/>
        </w:tabs>
        <w:rPr>
          <w:rFonts w:eastAsiaTheme="minorEastAsia"/>
          <w:lang w:eastAsia="en-AU"/>
        </w:rPr>
      </w:pPr>
      <w:r w:rsidRPr="00D93FF9">
        <w:rPr>
          <w:lang w:val="en-GB"/>
        </w:rPr>
        <w:t>5.2</w:t>
      </w:r>
      <w:r w:rsidRPr="00D93FF9">
        <w:rPr>
          <w:rFonts w:eastAsiaTheme="minorEastAsia"/>
          <w:lang w:eastAsia="en-AU"/>
        </w:rPr>
        <w:tab/>
      </w:r>
      <w:r w:rsidRPr="00D93FF9">
        <w:rPr>
          <w:lang w:val="en-GB"/>
        </w:rPr>
        <w:t xml:space="preserve">Methodology for development of </w:t>
      </w:r>
      <w:r w:rsidRPr="00D93FF9">
        <w:t>guideline</w:t>
      </w:r>
      <w:r w:rsidRPr="00D93FF9">
        <w:rPr>
          <w:spacing w:val="-8"/>
          <w:lang w:val="en-GB"/>
        </w:rPr>
        <w:t xml:space="preserve"> </w:t>
      </w:r>
      <w:r w:rsidRPr="00D93FF9">
        <w:rPr>
          <w:lang w:val="en-GB"/>
        </w:rPr>
        <w:t>values</w:t>
      </w:r>
      <w:r w:rsidRPr="00D93FF9">
        <w:tab/>
      </w:r>
      <w:r w:rsidRPr="00D93FF9">
        <w:fldChar w:fldCharType="begin"/>
      </w:r>
      <w:r w:rsidRPr="00D93FF9">
        <w:instrText xml:space="preserve"> PAGEREF _Toc96693580 \h </w:instrText>
      </w:r>
      <w:r w:rsidRPr="00D93FF9">
        <w:fldChar w:fldCharType="separate"/>
      </w:r>
      <w:r w:rsidR="0069302C">
        <w:t>61</w:t>
      </w:r>
      <w:r w:rsidRPr="00D93FF9">
        <w:fldChar w:fldCharType="end"/>
      </w:r>
    </w:p>
    <w:p w14:paraId="19B2296E" w14:textId="27CE199F" w:rsidR="00010573" w:rsidRPr="00D93FF9" w:rsidRDefault="00010573">
      <w:pPr>
        <w:pStyle w:val="TOC2"/>
        <w:tabs>
          <w:tab w:val="left" w:pos="1100"/>
        </w:tabs>
        <w:rPr>
          <w:rFonts w:eastAsiaTheme="minorEastAsia"/>
          <w:lang w:eastAsia="en-AU"/>
        </w:rPr>
      </w:pPr>
      <w:r w:rsidRPr="00D93FF9">
        <w:rPr>
          <w:lang w:val="en-GB"/>
        </w:rPr>
        <w:t>5.3</w:t>
      </w:r>
      <w:r w:rsidRPr="00D93FF9">
        <w:rPr>
          <w:rFonts w:eastAsiaTheme="minorEastAsia"/>
          <w:lang w:eastAsia="en-AU"/>
        </w:rPr>
        <w:tab/>
      </w:r>
      <w:r w:rsidRPr="00D93FF9">
        <w:t>Aluminium</w:t>
      </w:r>
      <w:r w:rsidRPr="00D93FF9">
        <w:tab/>
      </w:r>
      <w:r w:rsidRPr="00D93FF9">
        <w:fldChar w:fldCharType="begin"/>
      </w:r>
      <w:r w:rsidRPr="00D93FF9">
        <w:instrText xml:space="preserve"> PAGEREF _Toc96693581 \h </w:instrText>
      </w:r>
      <w:r w:rsidRPr="00D93FF9">
        <w:fldChar w:fldCharType="separate"/>
      </w:r>
      <w:r w:rsidR="0069302C">
        <w:t>67</w:t>
      </w:r>
      <w:r w:rsidRPr="00D93FF9">
        <w:fldChar w:fldCharType="end"/>
      </w:r>
    </w:p>
    <w:p w14:paraId="62EC1DA7" w14:textId="7720F9FF" w:rsidR="00010573" w:rsidRPr="00D93FF9" w:rsidRDefault="00010573">
      <w:pPr>
        <w:pStyle w:val="TOC2"/>
        <w:tabs>
          <w:tab w:val="left" w:pos="1100"/>
        </w:tabs>
        <w:rPr>
          <w:rFonts w:eastAsiaTheme="minorEastAsia"/>
          <w:lang w:eastAsia="en-AU"/>
        </w:rPr>
      </w:pPr>
      <w:r w:rsidRPr="00D93FF9">
        <w:rPr>
          <w:lang w:val="en-GB"/>
        </w:rPr>
        <w:t>5.4</w:t>
      </w:r>
      <w:r w:rsidRPr="00D93FF9">
        <w:rPr>
          <w:rFonts w:eastAsiaTheme="minorEastAsia"/>
          <w:lang w:eastAsia="en-AU"/>
        </w:rPr>
        <w:tab/>
      </w:r>
      <w:r w:rsidRPr="00D93FF9">
        <w:t>Arsenic</w:t>
      </w:r>
      <w:r w:rsidRPr="00D93FF9">
        <w:tab/>
      </w:r>
      <w:r w:rsidRPr="00D93FF9">
        <w:fldChar w:fldCharType="begin"/>
      </w:r>
      <w:r w:rsidRPr="00D93FF9">
        <w:instrText xml:space="preserve"> PAGEREF _Toc96693582 \h </w:instrText>
      </w:r>
      <w:r w:rsidRPr="00D93FF9">
        <w:fldChar w:fldCharType="separate"/>
      </w:r>
      <w:r w:rsidR="0069302C">
        <w:t>67</w:t>
      </w:r>
      <w:r w:rsidRPr="00D93FF9">
        <w:fldChar w:fldCharType="end"/>
      </w:r>
    </w:p>
    <w:p w14:paraId="173A6E74" w14:textId="3DF46F52" w:rsidR="00010573" w:rsidRPr="00D93FF9" w:rsidRDefault="00010573">
      <w:pPr>
        <w:pStyle w:val="TOC2"/>
        <w:tabs>
          <w:tab w:val="left" w:pos="1100"/>
        </w:tabs>
        <w:rPr>
          <w:rFonts w:eastAsiaTheme="minorEastAsia"/>
          <w:lang w:eastAsia="en-AU"/>
        </w:rPr>
      </w:pPr>
      <w:r w:rsidRPr="00D93FF9">
        <w:rPr>
          <w:lang w:val="en-GB"/>
        </w:rPr>
        <w:t>5.5</w:t>
      </w:r>
      <w:r w:rsidRPr="00D93FF9">
        <w:rPr>
          <w:rFonts w:eastAsiaTheme="minorEastAsia"/>
          <w:lang w:eastAsia="en-AU"/>
        </w:rPr>
        <w:tab/>
      </w:r>
      <w:r w:rsidRPr="00D93FF9">
        <w:rPr>
          <w:lang w:val="en-GB"/>
        </w:rPr>
        <w:t>Beryllium</w:t>
      </w:r>
      <w:r w:rsidRPr="00D93FF9">
        <w:tab/>
      </w:r>
      <w:r w:rsidRPr="00D93FF9">
        <w:fldChar w:fldCharType="begin"/>
      </w:r>
      <w:r w:rsidRPr="00D93FF9">
        <w:instrText xml:space="preserve"> PAGEREF _Toc96693583 \h </w:instrText>
      </w:r>
      <w:r w:rsidRPr="00D93FF9">
        <w:fldChar w:fldCharType="separate"/>
      </w:r>
      <w:r w:rsidR="0069302C">
        <w:t>68</w:t>
      </w:r>
      <w:r w:rsidRPr="00D93FF9">
        <w:fldChar w:fldCharType="end"/>
      </w:r>
    </w:p>
    <w:p w14:paraId="37AC295D" w14:textId="17B34E8E" w:rsidR="00010573" w:rsidRPr="00D93FF9" w:rsidRDefault="00010573">
      <w:pPr>
        <w:pStyle w:val="TOC2"/>
        <w:tabs>
          <w:tab w:val="left" w:pos="1100"/>
        </w:tabs>
        <w:rPr>
          <w:rFonts w:eastAsiaTheme="minorEastAsia"/>
          <w:lang w:eastAsia="en-AU"/>
        </w:rPr>
      </w:pPr>
      <w:r w:rsidRPr="00D93FF9">
        <w:rPr>
          <w:lang w:val="en-GB"/>
        </w:rPr>
        <w:t>5.6</w:t>
      </w:r>
      <w:r w:rsidRPr="00D93FF9">
        <w:rPr>
          <w:rFonts w:eastAsiaTheme="minorEastAsia"/>
          <w:lang w:eastAsia="en-AU"/>
        </w:rPr>
        <w:tab/>
      </w:r>
      <w:r w:rsidRPr="00D93FF9">
        <w:rPr>
          <w:lang w:val="en-GB"/>
        </w:rPr>
        <w:t>Boron</w:t>
      </w:r>
      <w:r w:rsidRPr="00D93FF9">
        <w:tab/>
      </w:r>
      <w:r w:rsidRPr="00D93FF9">
        <w:fldChar w:fldCharType="begin"/>
      </w:r>
      <w:r w:rsidRPr="00D93FF9">
        <w:instrText xml:space="preserve"> PAGEREF _Toc96693584 \h </w:instrText>
      </w:r>
      <w:r w:rsidRPr="00D93FF9">
        <w:fldChar w:fldCharType="separate"/>
      </w:r>
      <w:r w:rsidR="0069302C">
        <w:t>69</w:t>
      </w:r>
      <w:r w:rsidRPr="00D93FF9">
        <w:fldChar w:fldCharType="end"/>
      </w:r>
    </w:p>
    <w:p w14:paraId="62BBAABA" w14:textId="315DB519" w:rsidR="00010573" w:rsidRPr="00D93FF9" w:rsidRDefault="00010573">
      <w:pPr>
        <w:pStyle w:val="TOC2"/>
        <w:tabs>
          <w:tab w:val="left" w:pos="1100"/>
        </w:tabs>
        <w:rPr>
          <w:rFonts w:eastAsiaTheme="minorEastAsia"/>
          <w:lang w:eastAsia="en-AU"/>
        </w:rPr>
      </w:pPr>
      <w:r w:rsidRPr="00D93FF9">
        <w:rPr>
          <w:lang w:val="en-GB"/>
        </w:rPr>
        <w:t>5.7</w:t>
      </w:r>
      <w:r w:rsidRPr="00D93FF9">
        <w:rPr>
          <w:rFonts w:eastAsiaTheme="minorEastAsia"/>
          <w:lang w:eastAsia="en-AU"/>
        </w:rPr>
        <w:tab/>
      </w:r>
      <w:r w:rsidRPr="00D93FF9">
        <w:t>Cadmium</w:t>
      </w:r>
      <w:r w:rsidRPr="00D93FF9">
        <w:tab/>
      </w:r>
      <w:r w:rsidRPr="00D93FF9">
        <w:fldChar w:fldCharType="begin"/>
      </w:r>
      <w:r w:rsidRPr="00D93FF9">
        <w:instrText xml:space="preserve"> PAGEREF _Toc96693585 \h </w:instrText>
      </w:r>
      <w:r w:rsidRPr="00D93FF9">
        <w:fldChar w:fldCharType="separate"/>
      </w:r>
      <w:r w:rsidR="0069302C">
        <w:t>71</w:t>
      </w:r>
      <w:r w:rsidRPr="00D93FF9">
        <w:fldChar w:fldCharType="end"/>
      </w:r>
    </w:p>
    <w:p w14:paraId="54918885" w14:textId="5E69990A" w:rsidR="00010573" w:rsidRPr="00D93FF9" w:rsidRDefault="00010573">
      <w:pPr>
        <w:pStyle w:val="TOC2"/>
        <w:tabs>
          <w:tab w:val="left" w:pos="1100"/>
        </w:tabs>
        <w:rPr>
          <w:rFonts w:eastAsiaTheme="minorEastAsia"/>
          <w:lang w:eastAsia="en-AU"/>
        </w:rPr>
      </w:pPr>
      <w:r w:rsidRPr="00D93FF9">
        <w:rPr>
          <w:lang w:val="en-GB"/>
        </w:rPr>
        <w:t>5.8</w:t>
      </w:r>
      <w:r w:rsidRPr="00D93FF9">
        <w:rPr>
          <w:rFonts w:eastAsiaTheme="minorEastAsia"/>
          <w:lang w:eastAsia="en-AU"/>
        </w:rPr>
        <w:tab/>
      </w:r>
      <w:r w:rsidRPr="00D93FF9">
        <w:t>Chromium</w:t>
      </w:r>
      <w:r w:rsidRPr="00D93FF9">
        <w:rPr>
          <w:lang w:val="en-GB"/>
        </w:rPr>
        <w:t xml:space="preserve"> (VI)</w:t>
      </w:r>
      <w:r w:rsidRPr="00D93FF9">
        <w:tab/>
      </w:r>
      <w:r w:rsidRPr="00D93FF9">
        <w:fldChar w:fldCharType="begin"/>
      </w:r>
      <w:r w:rsidRPr="00D93FF9">
        <w:instrText xml:space="preserve"> PAGEREF _Toc96693586 \h </w:instrText>
      </w:r>
      <w:r w:rsidRPr="00D93FF9">
        <w:fldChar w:fldCharType="separate"/>
      </w:r>
      <w:r w:rsidR="0069302C">
        <w:t>72</w:t>
      </w:r>
      <w:r w:rsidRPr="00D93FF9">
        <w:fldChar w:fldCharType="end"/>
      </w:r>
    </w:p>
    <w:p w14:paraId="6E2F462F" w14:textId="527FBA8E" w:rsidR="00010573" w:rsidRPr="00D93FF9" w:rsidRDefault="00010573">
      <w:pPr>
        <w:pStyle w:val="TOC2"/>
        <w:tabs>
          <w:tab w:val="left" w:pos="1100"/>
        </w:tabs>
        <w:rPr>
          <w:rFonts w:eastAsiaTheme="minorEastAsia"/>
          <w:lang w:eastAsia="en-AU"/>
        </w:rPr>
      </w:pPr>
      <w:r w:rsidRPr="00D93FF9">
        <w:rPr>
          <w:lang w:val="en-GB"/>
        </w:rPr>
        <w:t>5.9</w:t>
      </w:r>
      <w:r w:rsidRPr="00D93FF9">
        <w:rPr>
          <w:rFonts w:eastAsiaTheme="minorEastAsia"/>
          <w:lang w:eastAsia="en-AU"/>
        </w:rPr>
        <w:tab/>
      </w:r>
      <w:r w:rsidRPr="00D93FF9">
        <w:t>Cobalt</w:t>
      </w:r>
      <w:r w:rsidRPr="00D93FF9">
        <w:tab/>
      </w:r>
      <w:r w:rsidRPr="00D93FF9">
        <w:fldChar w:fldCharType="begin"/>
      </w:r>
      <w:r w:rsidRPr="00D93FF9">
        <w:instrText xml:space="preserve"> PAGEREF _Toc96693587 \h </w:instrText>
      </w:r>
      <w:r w:rsidRPr="00D93FF9">
        <w:fldChar w:fldCharType="separate"/>
      </w:r>
      <w:r w:rsidR="0069302C">
        <w:t>73</w:t>
      </w:r>
      <w:r w:rsidRPr="00D93FF9">
        <w:fldChar w:fldCharType="end"/>
      </w:r>
    </w:p>
    <w:p w14:paraId="26A45A2F" w14:textId="5F5D75C5" w:rsidR="00010573" w:rsidRPr="00D93FF9" w:rsidRDefault="00010573">
      <w:pPr>
        <w:pStyle w:val="TOC2"/>
        <w:tabs>
          <w:tab w:val="left" w:pos="1100"/>
        </w:tabs>
        <w:rPr>
          <w:rFonts w:eastAsiaTheme="minorEastAsia"/>
          <w:lang w:eastAsia="en-AU"/>
        </w:rPr>
      </w:pPr>
      <w:r w:rsidRPr="00D93FF9">
        <w:rPr>
          <w:lang w:val="en-GB"/>
        </w:rPr>
        <w:t>5.10</w:t>
      </w:r>
      <w:r w:rsidRPr="00D93FF9">
        <w:rPr>
          <w:rFonts w:eastAsiaTheme="minorEastAsia"/>
          <w:lang w:eastAsia="en-AU"/>
        </w:rPr>
        <w:tab/>
      </w:r>
      <w:r w:rsidRPr="00D93FF9">
        <w:t>Copper</w:t>
      </w:r>
      <w:r w:rsidRPr="00D93FF9">
        <w:tab/>
      </w:r>
      <w:r w:rsidRPr="00D93FF9">
        <w:fldChar w:fldCharType="begin"/>
      </w:r>
      <w:r w:rsidRPr="00D93FF9">
        <w:instrText xml:space="preserve"> PAGEREF _Toc96693588 \h </w:instrText>
      </w:r>
      <w:r w:rsidRPr="00D93FF9">
        <w:fldChar w:fldCharType="separate"/>
      </w:r>
      <w:r w:rsidR="0069302C">
        <w:t>74</w:t>
      </w:r>
      <w:r w:rsidRPr="00D93FF9">
        <w:fldChar w:fldCharType="end"/>
      </w:r>
    </w:p>
    <w:p w14:paraId="0A248023" w14:textId="6F9EB8F7" w:rsidR="00010573" w:rsidRPr="00D93FF9" w:rsidRDefault="00010573">
      <w:pPr>
        <w:pStyle w:val="TOC2"/>
        <w:tabs>
          <w:tab w:val="left" w:pos="1100"/>
        </w:tabs>
        <w:rPr>
          <w:rFonts w:eastAsiaTheme="minorEastAsia"/>
          <w:lang w:eastAsia="en-AU"/>
        </w:rPr>
      </w:pPr>
      <w:r w:rsidRPr="00D93FF9">
        <w:rPr>
          <w:lang w:val="en-GB"/>
        </w:rPr>
        <w:t>5.11</w:t>
      </w:r>
      <w:r w:rsidRPr="00D93FF9">
        <w:rPr>
          <w:rFonts w:eastAsiaTheme="minorEastAsia"/>
          <w:lang w:eastAsia="en-AU"/>
        </w:rPr>
        <w:tab/>
      </w:r>
      <w:r w:rsidRPr="00D93FF9">
        <w:t>Fluoride</w:t>
      </w:r>
      <w:r w:rsidRPr="00D93FF9">
        <w:tab/>
      </w:r>
      <w:r w:rsidRPr="00D93FF9">
        <w:fldChar w:fldCharType="begin"/>
      </w:r>
      <w:r w:rsidRPr="00D93FF9">
        <w:instrText xml:space="preserve"> PAGEREF _Toc96693589 \h </w:instrText>
      </w:r>
      <w:r w:rsidRPr="00D93FF9">
        <w:fldChar w:fldCharType="separate"/>
      </w:r>
      <w:r w:rsidR="0069302C">
        <w:t>75</w:t>
      </w:r>
      <w:r w:rsidRPr="00D93FF9">
        <w:fldChar w:fldCharType="end"/>
      </w:r>
    </w:p>
    <w:p w14:paraId="355487FF" w14:textId="0204F46C" w:rsidR="00010573" w:rsidRPr="00D93FF9" w:rsidRDefault="00010573">
      <w:pPr>
        <w:pStyle w:val="TOC2"/>
        <w:tabs>
          <w:tab w:val="left" w:pos="1100"/>
        </w:tabs>
        <w:rPr>
          <w:rFonts w:eastAsiaTheme="minorEastAsia"/>
          <w:lang w:eastAsia="en-AU"/>
        </w:rPr>
      </w:pPr>
      <w:r w:rsidRPr="00D93FF9">
        <w:rPr>
          <w:lang w:val="en-GB"/>
        </w:rPr>
        <w:t>5.12</w:t>
      </w:r>
      <w:r w:rsidRPr="00D93FF9">
        <w:rPr>
          <w:rFonts w:eastAsiaTheme="minorEastAsia"/>
          <w:lang w:eastAsia="en-AU"/>
        </w:rPr>
        <w:tab/>
      </w:r>
      <w:r w:rsidRPr="00D93FF9">
        <w:t>Iron</w:t>
      </w:r>
      <w:r w:rsidRPr="00D93FF9">
        <w:tab/>
      </w:r>
      <w:r w:rsidRPr="00D93FF9">
        <w:fldChar w:fldCharType="begin"/>
      </w:r>
      <w:r w:rsidRPr="00D93FF9">
        <w:instrText xml:space="preserve"> PAGEREF _Toc96693590 \h </w:instrText>
      </w:r>
      <w:r w:rsidRPr="00D93FF9">
        <w:fldChar w:fldCharType="separate"/>
      </w:r>
      <w:r w:rsidR="0069302C">
        <w:t>76</w:t>
      </w:r>
      <w:r w:rsidRPr="00D93FF9">
        <w:fldChar w:fldCharType="end"/>
      </w:r>
    </w:p>
    <w:p w14:paraId="06F20DD8" w14:textId="058AC4B4" w:rsidR="00010573" w:rsidRPr="00D93FF9" w:rsidRDefault="00010573">
      <w:pPr>
        <w:pStyle w:val="TOC2"/>
        <w:tabs>
          <w:tab w:val="left" w:pos="1100"/>
        </w:tabs>
        <w:rPr>
          <w:rFonts w:eastAsiaTheme="minorEastAsia"/>
          <w:lang w:eastAsia="en-AU"/>
        </w:rPr>
      </w:pPr>
      <w:r w:rsidRPr="00D93FF9">
        <w:rPr>
          <w:lang w:val="en-GB"/>
        </w:rPr>
        <w:t>5.13</w:t>
      </w:r>
      <w:r w:rsidRPr="00D93FF9">
        <w:rPr>
          <w:rFonts w:eastAsiaTheme="minorEastAsia"/>
          <w:lang w:eastAsia="en-AU"/>
        </w:rPr>
        <w:tab/>
      </w:r>
      <w:r w:rsidRPr="00D93FF9">
        <w:t>Lead</w:t>
      </w:r>
      <w:r w:rsidRPr="00D93FF9">
        <w:tab/>
      </w:r>
      <w:r w:rsidRPr="00D93FF9">
        <w:fldChar w:fldCharType="begin"/>
      </w:r>
      <w:r w:rsidRPr="00D93FF9">
        <w:instrText xml:space="preserve"> PAGEREF _Toc96693591 \h </w:instrText>
      </w:r>
      <w:r w:rsidRPr="00D93FF9">
        <w:fldChar w:fldCharType="separate"/>
      </w:r>
      <w:r w:rsidR="0069302C">
        <w:t>77</w:t>
      </w:r>
      <w:r w:rsidRPr="00D93FF9">
        <w:fldChar w:fldCharType="end"/>
      </w:r>
    </w:p>
    <w:p w14:paraId="0F09C088" w14:textId="6648A4FD" w:rsidR="00010573" w:rsidRPr="00D93FF9" w:rsidRDefault="00010573">
      <w:pPr>
        <w:pStyle w:val="TOC2"/>
        <w:tabs>
          <w:tab w:val="left" w:pos="1100"/>
        </w:tabs>
        <w:rPr>
          <w:rFonts w:eastAsiaTheme="minorEastAsia"/>
          <w:lang w:eastAsia="en-AU"/>
        </w:rPr>
      </w:pPr>
      <w:r w:rsidRPr="00D93FF9">
        <w:rPr>
          <w:lang w:val="en-GB"/>
        </w:rPr>
        <w:t>5.14</w:t>
      </w:r>
      <w:r w:rsidRPr="00D93FF9">
        <w:rPr>
          <w:rFonts w:eastAsiaTheme="minorEastAsia"/>
          <w:lang w:eastAsia="en-AU"/>
        </w:rPr>
        <w:tab/>
      </w:r>
      <w:r w:rsidRPr="00D93FF9">
        <w:t>Lithium</w:t>
      </w:r>
      <w:r w:rsidRPr="00D93FF9">
        <w:tab/>
      </w:r>
      <w:r w:rsidRPr="00D93FF9">
        <w:fldChar w:fldCharType="begin"/>
      </w:r>
      <w:r w:rsidRPr="00D93FF9">
        <w:instrText xml:space="preserve"> PAGEREF _Toc96693592 \h </w:instrText>
      </w:r>
      <w:r w:rsidRPr="00D93FF9">
        <w:fldChar w:fldCharType="separate"/>
      </w:r>
      <w:r w:rsidR="0069302C">
        <w:t>78</w:t>
      </w:r>
      <w:r w:rsidRPr="00D93FF9">
        <w:fldChar w:fldCharType="end"/>
      </w:r>
    </w:p>
    <w:p w14:paraId="042BE991" w14:textId="55130B1B" w:rsidR="00010573" w:rsidRPr="00D93FF9" w:rsidRDefault="00010573">
      <w:pPr>
        <w:pStyle w:val="TOC2"/>
        <w:tabs>
          <w:tab w:val="left" w:pos="1100"/>
        </w:tabs>
        <w:rPr>
          <w:rFonts w:eastAsiaTheme="minorEastAsia"/>
          <w:lang w:eastAsia="en-AU"/>
        </w:rPr>
      </w:pPr>
      <w:r w:rsidRPr="00D93FF9">
        <w:rPr>
          <w:lang w:val="en-GB"/>
        </w:rPr>
        <w:t>5.15</w:t>
      </w:r>
      <w:r w:rsidRPr="00D93FF9">
        <w:rPr>
          <w:rFonts w:eastAsiaTheme="minorEastAsia"/>
          <w:lang w:eastAsia="en-AU"/>
        </w:rPr>
        <w:tab/>
      </w:r>
      <w:r w:rsidRPr="00D93FF9">
        <w:t>Manganese</w:t>
      </w:r>
      <w:r w:rsidRPr="00D93FF9">
        <w:tab/>
      </w:r>
      <w:r w:rsidRPr="00D93FF9">
        <w:fldChar w:fldCharType="begin"/>
      </w:r>
      <w:r w:rsidRPr="00D93FF9">
        <w:instrText xml:space="preserve"> PAGEREF _Toc96693593 \h </w:instrText>
      </w:r>
      <w:r w:rsidRPr="00D93FF9">
        <w:fldChar w:fldCharType="separate"/>
      </w:r>
      <w:r w:rsidR="0069302C">
        <w:t>78</w:t>
      </w:r>
      <w:r w:rsidRPr="00D93FF9">
        <w:fldChar w:fldCharType="end"/>
      </w:r>
    </w:p>
    <w:p w14:paraId="23AC1015" w14:textId="04422FFF" w:rsidR="00010573" w:rsidRPr="00D93FF9" w:rsidRDefault="00010573">
      <w:pPr>
        <w:pStyle w:val="TOC2"/>
        <w:tabs>
          <w:tab w:val="left" w:pos="1100"/>
        </w:tabs>
        <w:rPr>
          <w:rFonts w:eastAsiaTheme="minorEastAsia"/>
          <w:lang w:eastAsia="en-AU"/>
        </w:rPr>
      </w:pPr>
      <w:r w:rsidRPr="00D93FF9">
        <w:rPr>
          <w:lang w:val="en-GB"/>
        </w:rPr>
        <w:t>5.16</w:t>
      </w:r>
      <w:r w:rsidRPr="00D93FF9">
        <w:rPr>
          <w:rFonts w:eastAsiaTheme="minorEastAsia"/>
          <w:lang w:eastAsia="en-AU"/>
        </w:rPr>
        <w:tab/>
      </w:r>
      <w:r w:rsidRPr="00D93FF9">
        <w:t>Mercury</w:t>
      </w:r>
      <w:r w:rsidRPr="00D93FF9">
        <w:tab/>
      </w:r>
      <w:r w:rsidRPr="00D93FF9">
        <w:fldChar w:fldCharType="begin"/>
      </w:r>
      <w:r w:rsidRPr="00D93FF9">
        <w:instrText xml:space="preserve"> PAGEREF _Toc96693594 \h </w:instrText>
      </w:r>
      <w:r w:rsidRPr="00D93FF9">
        <w:fldChar w:fldCharType="separate"/>
      </w:r>
      <w:r w:rsidR="0069302C">
        <w:t>79</w:t>
      </w:r>
      <w:r w:rsidRPr="00D93FF9">
        <w:fldChar w:fldCharType="end"/>
      </w:r>
    </w:p>
    <w:p w14:paraId="1AF1B625" w14:textId="4F63A550" w:rsidR="00010573" w:rsidRPr="00D93FF9" w:rsidRDefault="00010573">
      <w:pPr>
        <w:pStyle w:val="TOC2"/>
        <w:tabs>
          <w:tab w:val="left" w:pos="1100"/>
        </w:tabs>
        <w:rPr>
          <w:rFonts w:eastAsiaTheme="minorEastAsia"/>
          <w:lang w:eastAsia="en-AU"/>
        </w:rPr>
      </w:pPr>
      <w:r w:rsidRPr="00D93FF9">
        <w:rPr>
          <w:lang w:val="en-GB"/>
        </w:rPr>
        <w:lastRenderedPageBreak/>
        <w:t>5.17</w:t>
      </w:r>
      <w:r w:rsidRPr="00D93FF9">
        <w:rPr>
          <w:rFonts w:eastAsiaTheme="minorEastAsia"/>
          <w:lang w:eastAsia="en-AU"/>
        </w:rPr>
        <w:tab/>
      </w:r>
      <w:r w:rsidRPr="00D93FF9">
        <w:t>Molybdenum</w:t>
      </w:r>
      <w:r w:rsidRPr="00D93FF9">
        <w:tab/>
      </w:r>
      <w:r w:rsidRPr="00D93FF9">
        <w:fldChar w:fldCharType="begin"/>
      </w:r>
      <w:r w:rsidRPr="00D93FF9">
        <w:instrText xml:space="preserve"> PAGEREF _Toc96693595 \h </w:instrText>
      </w:r>
      <w:r w:rsidRPr="00D93FF9">
        <w:fldChar w:fldCharType="separate"/>
      </w:r>
      <w:r w:rsidR="0069302C">
        <w:t>80</w:t>
      </w:r>
      <w:r w:rsidRPr="00D93FF9">
        <w:fldChar w:fldCharType="end"/>
      </w:r>
    </w:p>
    <w:p w14:paraId="45E56BFA" w14:textId="2434B886" w:rsidR="00010573" w:rsidRPr="00D93FF9" w:rsidRDefault="00010573">
      <w:pPr>
        <w:pStyle w:val="TOC2"/>
        <w:tabs>
          <w:tab w:val="left" w:pos="1100"/>
        </w:tabs>
        <w:rPr>
          <w:rFonts w:eastAsiaTheme="minorEastAsia"/>
          <w:lang w:eastAsia="en-AU"/>
        </w:rPr>
      </w:pPr>
      <w:r w:rsidRPr="00D93FF9">
        <w:rPr>
          <w:lang w:val="en-GB"/>
        </w:rPr>
        <w:t>5.18</w:t>
      </w:r>
      <w:r w:rsidRPr="00D93FF9">
        <w:rPr>
          <w:rFonts w:eastAsiaTheme="minorEastAsia"/>
          <w:lang w:eastAsia="en-AU"/>
        </w:rPr>
        <w:tab/>
      </w:r>
      <w:r w:rsidRPr="00D93FF9">
        <w:t>Nickel</w:t>
      </w:r>
      <w:r w:rsidRPr="00D93FF9">
        <w:tab/>
      </w:r>
      <w:r w:rsidRPr="00D93FF9">
        <w:fldChar w:fldCharType="begin"/>
      </w:r>
      <w:r w:rsidRPr="00D93FF9">
        <w:instrText xml:space="preserve"> PAGEREF _Toc96693596 \h </w:instrText>
      </w:r>
      <w:r w:rsidRPr="00D93FF9">
        <w:fldChar w:fldCharType="separate"/>
      </w:r>
      <w:r w:rsidR="0069302C">
        <w:t>81</w:t>
      </w:r>
      <w:r w:rsidRPr="00D93FF9">
        <w:fldChar w:fldCharType="end"/>
      </w:r>
    </w:p>
    <w:p w14:paraId="0D6C3B0D" w14:textId="76749E5A" w:rsidR="00010573" w:rsidRPr="00D93FF9" w:rsidRDefault="00010573">
      <w:pPr>
        <w:pStyle w:val="TOC2"/>
        <w:tabs>
          <w:tab w:val="left" w:pos="1100"/>
        </w:tabs>
        <w:rPr>
          <w:rFonts w:eastAsiaTheme="minorEastAsia"/>
          <w:lang w:eastAsia="en-AU"/>
        </w:rPr>
      </w:pPr>
      <w:r w:rsidRPr="00D93FF9">
        <w:rPr>
          <w:lang w:val="en-GB"/>
        </w:rPr>
        <w:t>5.19</w:t>
      </w:r>
      <w:r w:rsidRPr="00D93FF9">
        <w:rPr>
          <w:rFonts w:eastAsiaTheme="minorEastAsia"/>
          <w:lang w:eastAsia="en-AU"/>
        </w:rPr>
        <w:tab/>
      </w:r>
      <w:r w:rsidRPr="00D93FF9">
        <w:t>Selenium</w:t>
      </w:r>
      <w:r w:rsidRPr="00D93FF9">
        <w:tab/>
      </w:r>
      <w:r w:rsidRPr="00D93FF9">
        <w:fldChar w:fldCharType="begin"/>
      </w:r>
      <w:r w:rsidRPr="00D93FF9">
        <w:instrText xml:space="preserve"> PAGEREF _Toc96693597 \h </w:instrText>
      </w:r>
      <w:r w:rsidRPr="00D93FF9">
        <w:fldChar w:fldCharType="separate"/>
      </w:r>
      <w:r w:rsidR="0069302C">
        <w:t>81</w:t>
      </w:r>
      <w:r w:rsidRPr="00D93FF9">
        <w:fldChar w:fldCharType="end"/>
      </w:r>
    </w:p>
    <w:p w14:paraId="0C22246A" w14:textId="5F5DD870" w:rsidR="00010573" w:rsidRPr="00D93FF9" w:rsidRDefault="00010573">
      <w:pPr>
        <w:pStyle w:val="TOC2"/>
        <w:tabs>
          <w:tab w:val="left" w:pos="1100"/>
        </w:tabs>
        <w:rPr>
          <w:rFonts w:eastAsiaTheme="minorEastAsia"/>
          <w:lang w:eastAsia="en-AU"/>
        </w:rPr>
      </w:pPr>
      <w:r w:rsidRPr="00D93FF9">
        <w:rPr>
          <w:lang w:val="en-GB"/>
        </w:rPr>
        <w:t>5.20</w:t>
      </w:r>
      <w:r w:rsidRPr="00D93FF9">
        <w:rPr>
          <w:rFonts w:eastAsiaTheme="minorEastAsia"/>
          <w:lang w:eastAsia="en-AU"/>
        </w:rPr>
        <w:tab/>
      </w:r>
      <w:r w:rsidRPr="00D93FF9">
        <w:t>Uranium</w:t>
      </w:r>
      <w:r w:rsidRPr="00D93FF9">
        <w:tab/>
      </w:r>
      <w:r w:rsidRPr="00D93FF9">
        <w:fldChar w:fldCharType="begin"/>
      </w:r>
      <w:r w:rsidRPr="00D93FF9">
        <w:instrText xml:space="preserve"> PAGEREF _Toc96693598 \h </w:instrText>
      </w:r>
      <w:r w:rsidRPr="00D93FF9">
        <w:fldChar w:fldCharType="separate"/>
      </w:r>
      <w:r w:rsidR="0069302C">
        <w:t>82</w:t>
      </w:r>
      <w:r w:rsidRPr="00D93FF9">
        <w:fldChar w:fldCharType="end"/>
      </w:r>
    </w:p>
    <w:p w14:paraId="14DB9CF3" w14:textId="2CF1F4E3" w:rsidR="00010573" w:rsidRPr="00D93FF9" w:rsidRDefault="00010573">
      <w:pPr>
        <w:pStyle w:val="TOC2"/>
        <w:tabs>
          <w:tab w:val="left" w:pos="1100"/>
        </w:tabs>
        <w:rPr>
          <w:rFonts w:eastAsiaTheme="minorEastAsia"/>
          <w:lang w:eastAsia="en-AU"/>
        </w:rPr>
      </w:pPr>
      <w:r w:rsidRPr="00D93FF9">
        <w:rPr>
          <w:lang w:val="en-GB"/>
        </w:rPr>
        <w:t>5.21</w:t>
      </w:r>
      <w:r w:rsidRPr="00D93FF9">
        <w:rPr>
          <w:rFonts w:eastAsiaTheme="minorEastAsia"/>
          <w:lang w:eastAsia="en-AU"/>
        </w:rPr>
        <w:tab/>
      </w:r>
      <w:r w:rsidRPr="00D93FF9">
        <w:t>Vanadium</w:t>
      </w:r>
      <w:r w:rsidRPr="00D93FF9">
        <w:tab/>
      </w:r>
      <w:r w:rsidRPr="00D93FF9">
        <w:fldChar w:fldCharType="begin"/>
      </w:r>
      <w:r w:rsidRPr="00D93FF9">
        <w:instrText xml:space="preserve"> PAGEREF _Toc96693599 \h </w:instrText>
      </w:r>
      <w:r w:rsidRPr="00D93FF9">
        <w:fldChar w:fldCharType="separate"/>
      </w:r>
      <w:r w:rsidR="0069302C">
        <w:t>83</w:t>
      </w:r>
      <w:r w:rsidRPr="00D93FF9">
        <w:fldChar w:fldCharType="end"/>
      </w:r>
    </w:p>
    <w:p w14:paraId="4820D0B9" w14:textId="662D07A5" w:rsidR="00010573" w:rsidRPr="00D93FF9" w:rsidRDefault="00010573">
      <w:pPr>
        <w:pStyle w:val="TOC2"/>
        <w:tabs>
          <w:tab w:val="left" w:pos="1100"/>
        </w:tabs>
        <w:rPr>
          <w:rFonts w:eastAsiaTheme="minorEastAsia"/>
          <w:lang w:eastAsia="en-AU"/>
        </w:rPr>
      </w:pPr>
      <w:r w:rsidRPr="00D93FF9">
        <w:rPr>
          <w:lang w:val="en-GB"/>
        </w:rPr>
        <w:t>5.22</w:t>
      </w:r>
      <w:r w:rsidRPr="00D93FF9">
        <w:rPr>
          <w:rFonts w:eastAsiaTheme="minorEastAsia"/>
          <w:lang w:eastAsia="en-AU"/>
        </w:rPr>
        <w:tab/>
      </w:r>
      <w:r w:rsidRPr="00D93FF9">
        <w:t>Zinc</w:t>
      </w:r>
      <w:r w:rsidRPr="00D93FF9">
        <w:tab/>
      </w:r>
      <w:r w:rsidRPr="00D93FF9">
        <w:fldChar w:fldCharType="begin"/>
      </w:r>
      <w:r w:rsidRPr="00D93FF9">
        <w:instrText xml:space="preserve"> PAGEREF _Toc96693600 \h </w:instrText>
      </w:r>
      <w:r w:rsidRPr="00D93FF9">
        <w:fldChar w:fldCharType="separate"/>
      </w:r>
      <w:r w:rsidR="0069302C">
        <w:t>84</w:t>
      </w:r>
      <w:r w:rsidRPr="00D93FF9">
        <w:fldChar w:fldCharType="end"/>
      </w:r>
    </w:p>
    <w:p w14:paraId="2DF416C2" w14:textId="3FEE84E0" w:rsidR="00010573" w:rsidRPr="00D93FF9" w:rsidRDefault="00010573">
      <w:pPr>
        <w:pStyle w:val="TOC1"/>
        <w:rPr>
          <w:rFonts w:eastAsiaTheme="minorEastAsia"/>
          <w:b w:val="0"/>
          <w:lang w:eastAsia="en-AU"/>
        </w:rPr>
      </w:pPr>
      <w:r w:rsidRPr="00D93FF9">
        <w:rPr>
          <w:lang w:val="en-GB"/>
        </w:rPr>
        <w:t>6</w:t>
      </w:r>
      <w:r w:rsidRPr="00D93FF9">
        <w:rPr>
          <w:rFonts w:eastAsiaTheme="minorEastAsia"/>
          <w:b w:val="0"/>
          <w:lang w:eastAsia="en-AU"/>
        </w:rPr>
        <w:tab/>
      </w:r>
      <w:r w:rsidRPr="00D93FF9">
        <w:rPr>
          <w:lang w:val="en-GB"/>
        </w:rPr>
        <w:t>Nitrogen and</w:t>
      </w:r>
      <w:r w:rsidRPr="00D93FF9">
        <w:rPr>
          <w:spacing w:val="-1"/>
          <w:lang w:val="en-GB"/>
        </w:rPr>
        <w:t xml:space="preserve"> </w:t>
      </w:r>
      <w:r w:rsidRPr="00D93FF9">
        <w:rPr>
          <w:lang w:val="en-GB"/>
        </w:rPr>
        <w:t>phosphorus</w:t>
      </w:r>
      <w:r w:rsidRPr="00D93FF9">
        <w:tab/>
      </w:r>
      <w:r w:rsidRPr="00D93FF9">
        <w:fldChar w:fldCharType="begin"/>
      </w:r>
      <w:r w:rsidRPr="00D93FF9">
        <w:instrText xml:space="preserve"> PAGEREF _Toc96693601 \h </w:instrText>
      </w:r>
      <w:r w:rsidRPr="00D93FF9">
        <w:fldChar w:fldCharType="separate"/>
      </w:r>
      <w:r w:rsidR="0069302C">
        <w:t>85</w:t>
      </w:r>
      <w:r w:rsidRPr="00D93FF9">
        <w:fldChar w:fldCharType="end"/>
      </w:r>
    </w:p>
    <w:p w14:paraId="0819EA3F" w14:textId="23F259A3" w:rsidR="00010573" w:rsidRPr="00D93FF9" w:rsidRDefault="00010573">
      <w:pPr>
        <w:pStyle w:val="TOC2"/>
        <w:tabs>
          <w:tab w:val="left" w:pos="1100"/>
        </w:tabs>
        <w:rPr>
          <w:rFonts w:eastAsiaTheme="minorEastAsia"/>
          <w:lang w:eastAsia="en-AU"/>
        </w:rPr>
      </w:pPr>
      <w:r w:rsidRPr="00D93FF9">
        <w:rPr>
          <w:lang w:val="en-GB"/>
        </w:rPr>
        <w:t>6.1</w:t>
      </w:r>
      <w:r w:rsidRPr="00D93FF9">
        <w:rPr>
          <w:rFonts w:eastAsiaTheme="minorEastAsia"/>
          <w:lang w:eastAsia="en-AU"/>
        </w:rPr>
        <w:tab/>
      </w:r>
      <w:r w:rsidRPr="00D93FF9">
        <w:rPr>
          <w:lang w:val="en-GB"/>
        </w:rPr>
        <w:t>Methodology for development of</w:t>
      </w:r>
      <w:r w:rsidRPr="00D93FF9">
        <w:rPr>
          <w:spacing w:val="-7"/>
          <w:lang w:val="en-GB"/>
        </w:rPr>
        <w:t xml:space="preserve"> </w:t>
      </w:r>
      <w:r w:rsidRPr="00D93FF9">
        <w:rPr>
          <w:lang w:val="en-GB"/>
        </w:rPr>
        <w:t>guidelines</w:t>
      </w:r>
      <w:r w:rsidRPr="00D93FF9">
        <w:tab/>
      </w:r>
      <w:r w:rsidRPr="00D93FF9">
        <w:fldChar w:fldCharType="begin"/>
      </w:r>
      <w:r w:rsidRPr="00D93FF9">
        <w:instrText xml:space="preserve"> PAGEREF _Toc96693602 \h </w:instrText>
      </w:r>
      <w:r w:rsidRPr="00D93FF9">
        <w:fldChar w:fldCharType="separate"/>
      </w:r>
      <w:r w:rsidR="0069302C">
        <w:t>85</w:t>
      </w:r>
      <w:r w:rsidRPr="00D93FF9">
        <w:fldChar w:fldCharType="end"/>
      </w:r>
    </w:p>
    <w:p w14:paraId="653C173A" w14:textId="0AEA24BB" w:rsidR="00010573" w:rsidRPr="00D93FF9" w:rsidRDefault="00010573">
      <w:pPr>
        <w:pStyle w:val="TOC2"/>
        <w:tabs>
          <w:tab w:val="left" w:pos="1100"/>
        </w:tabs>
        <w:rPr>
          <w:rFonts w:eastAsiaTheme="minorEastAsia"/>
          <w:lang w:eastAsia="en-AU"/>
        </w:rPr>
      </w:pPr>
      <w:r w:rsidRPr="00D93FF9">
        <w:rPr>
          <w:lang w:val="en-GB"/>
        </w:rPr>
        <w:t>6.2</w:t>
      </w:r>
      <w:r w:rsidRPr="00D93FF9">
        <w:rPr>
          <w:rFonts w:eastAsiaTheme="minorEastAsia"/>
          <w:lang w:eastAsia="en-AU"/>
        </w:rPr>
        <w:tab/>
      </w:r>
      <w:r w:rsidRPr="00D93FF9">
        <w:rPr>
          <w:lang w:val="en-GB"/>
        </w:rPr>
        <w:t>Nitrogen</w:t>
      </w:r>
      <w:r w:rsidRPr="00D93FF9">
        <w:tab/>
      </w:r>
      <w:r w:rsidRPr="00D93FF9">
        <w:fldChar w:fldCharType="begin"/>
      </w:r>
      <w:r w:rsidRPr="00D93FF9">
        <w:instrText xml:space="preserve"> PAGEREF _Toc96693603 \h </w:instrText>
      </w:r>
      <w:r w:rsidRPr="00D93FF9">
        <w:fldChar w:fldCharType="separate"/>
      </w:r>
      <w:r w:rsidR="0069302C">
        <w:t>86</w:t>
      </w:r>
      <w:r w:rsidRPr="00D93FF9">
        <w:fldChar w:fldCharType="end"/>
      </w:r>
    </w:p>
    <w:p w14:paraId="4D53E995" w14:textId="4C6C61F9" w:rsidR="00010573" w:rsidRPr="00D93FF9" w:rsidRDefault="00010573">
      <w:pPr>
        <w:pStyle w:val="TOC2"/>
        <w:tabs>
          <w:tab w:val="left" w:pos="1100"/>
        </w:tabs>
        <w:rPr>
          <w:rFonts w:eastAsiaTheme="minorEastAsia"/>
          <w:lang w:eastAsia="en-AU"/>
        </w:rPr>
      </w:pPr>
      <w:r w:rsidRPr="00D93FF9">
        <w:rPr>
          <w:lang w:val="en-GB"/>
        </w:rPr>
        <w:t>6.3</w:t>
      </w:r>
      <w:r w:rsidRPr="00D93FF9">
        <w:rPr>
          <w:rFonts w:eastAsiaTheme="minorEastAsia"/>
          <w:lang w:eastAsia="en-AU"/>
        </w:rPr>
        <w:tab/>
      </w:r>
      <w:r w:rsidRPr="00D93FF9">
        <w:rPr>
          <w:lang w:val="en-GB"/>
        </w:rPr>
        <w:t>Phosphorus</w:t>
      </w:r>
      <w:r w:rsidRPr="00D93FF9">
        <w:tab/>
      </w:r>
      <w:r w:rsidRPr="00D93FF9">
        <w:fldChar w:fldCharType="begin"/>
      </w:r>
      <w:r w:rsidRPr="00D93FF9">
        <w:instrText xml:space="preserve"> PAGEREF _Toc96693604 \h </w:instrText>
      </w:r>
      <w:r w:rsidRPr="00D93FF9">
        <w:fldChar w:fldCharType="separate"/>
      </w:r>
      <w:r w:rsidR="0069302C">
        <w:t>93</w:t>
      </w:r>
      <w:r w:rsidRPr="00D93FF9">
        <w:fldChar w:fldCharType="end"/>
      </w:r>
    </w:p>
    <w:p w14:paraId="2734C6FB" w14:textId="55677C12" w:rsidR="00010573" w:rsidRPr="00D93FF9" w:rsidRDefault="00010573">
      <w:pPr>
        <w:pStyle w:val="TOC1"/>
        <w:rPr>
          <w:rFonts w:eastAsiaTheme="minorEastAsia"/>
          <w:b w:val="0"/>
          <w:lang w:eastAsia="en-AU"/>
        </w:rPr>
      </w:pPr>
      <w:r w:rsidRPr="00D93FF9">
        <w:rPr>
          <w:lang w:val="en-GB"/>
        </w:rPr>
        <w:t>7</w:t>
      </w:r>
      <w:r w:rsidRPr="00D93FF9">
        <w:rPr>
          <w:rFonts w:eastAsiaTheme="minorEastAsia"/>
          <w:b w:val="0"/>
          <w:lang w:eastAsia="en-AU"/>
        </w:rPr>
        <w:tab/>
      </w:r>
      <w:r w:rsidRPr="00D93FF9">
        <w:rPr>
          <w:lang w:val="en-GB"/>
        </w:rPr>
        <w:t>Organic matter</w:t>
      </w:r>
      <w:r w:rsidRPr="00D93FF9">
        <w:tab/>
      </w:r>
      <w:r w:rsidRPr="00D93FF9">
        <w:fldChar w:fldCharType="begin"/>
      </w:r>
      <w:r w:rsidRPr="00D93FF9">
        <w:instrText xml:space="preserve"> PAGEREF _Toc96693605 \h </w:instrText>
      </w:r>
      <w:r w:rsidRPr="00D93FF9">
        <w:fldChar w:fldCharType="separate"/>
      </w:r>
      <w:r w:rsidR="0069302C">
        <w:t>97</w:t>
      </w:r>
      <w:r w:rsidRPr="00D93FF9">
        <w:fldChar w:fldCharType="end"/>
      </w:r>
    </w:p>
    <w:p w14:paraId="2EC25A76" w14:textId="36D7189A" w:rsidR="00010573" w:rsidRPr="00D93FF9" w:rsidRDefault="00010573">
      <w:pPr>
        <w:pStyle w:val="TOC1"/>
        <w:rPr>
          <w:rFonts w:eastAsiaTheme="minorEastAsia"/>
          <w:b w:val="0"/>
          <w:lang w:eastAsia="en-AU"/>
        </w:rPr>
      </w:pPr>
      <w:r w:rsidRPr="00D93FF9">
        <w:rPr>
          <w:lang w:val="en-GB"/>
        </w:rPr>
        <w:t>8</w:t>
      </w:r>
      <w:r w:rsidRPr="00D93FF9">
        <w:rPr>
          <w:rFonts w:eastAsiaTheme="minorEastAsia"/>
          <w:b w:val="0"/>
          <w:lang w:eastAsia="en-AU"/>
        </w:rPr>
        <w:tab/>
      </w:r>
      <w:r w:rsidRPr="00D93FF9">
        <w:rPr>
          <w:lang w:val="en-GB"/>
        </w:rPr>
        <w:t>Pesticides</w:t>
      </w:r>
      <w:r w:rsidRPr="00D93FF9">
        <w:tab/>
      </w:r>
      <w:r w:rsidRPr="00D93FF9">
        <w:fldChar w:fldCharType="begin"/>
      </w:r>
      <w:r w:rsidRPr="00D93FF9">
        <w:instrText xml:space="preserve"> PAGEREF _Toc96693606 \h </w:instrText>
      </w:r>
      <w:r w:rsidRPr="00D93FF9">
        <w:fldChar w:fldCharType="separate"/>
      </w:r>
      <w:r w:rsidR="0069302C">
        <w:t>98</w:t>
      </w:r>
      <w:r w:rsidRPr="00D93FF9">
        <w:fldChar w:fldCharType="end"/>
      </w:r>
    </w:p>
    <w:p w14:paraId="71151B15" w14:textId="0E61F451" w:rsidR="00010573" w:rsidRPr="00D93FF9" w:rsidRDefault="00010573">
      <w:pPr>
        <w:pStyle w:val="TOC2"/>
        <w:tabs>
          <w:tab w:val="left" w:pos="1100"/>
        </w:tabs>
        <w:rPr>
          <w:rFonts w:eastAsiaTheme="minorEastAsia"/>
          <w:lang w:eastAsia="en-AU"/>
        </w:rPr>
      </w:pPr>
      <w:r w:rsidRPr="00D93FF9">
        <w:rPr>
          <w:lang w:val="en-GB"/>
        </w:rPr>
        <w:t>8.1</w:t>
      </w:r>
      <w:r w:rsidRPr="00D93FF9">
        <w:rPr>
          <w:rFonts w:eastAsiaTheme="minorEastAsia"/>
          <w:lang w:eastAsia="en-AU"/>
        </w:rPr>
        <w:tab/>
      </w:r>
      <w:r w:rsidRPr="00D93FF9">
        <w:rPr>
          <w:lang w:val="en-GB"/>
        </w:rPr>
        <w:t>Description</w:t>
      </w:r>
      <w:r w:rsidRPr="00D93FF9">
        <w:tab/>
      </w:r>
      <w:r w:rsidRPr="00D93FF9">
        <w:fldChar w:fldCharType="begin"/>
      </w:r>
      <w:r w:rsidRPr="00D93FF9">
        <w:instrText xml:space="preserve"> PAGEREF _Toc96693607 \h </w:instrText>
      </w:r>
      <w:r w:rsidRPr="00D93FF9">
        <w:fldChar w:fldCharType="separate"/>
      </w:r>
      <w:r w:rsidR="0069302C">
        <w:t>100</w:t>
      </w:r>
      <w:r w:rsidRPr="00D93FF9">
        <w:fldChar w:fldCharType="end"/>
      </w:r>
    </w:p>
    <w:p w14:paraId="51BCFA00" w14:textId="4DAC2312" w:rsidR="00010573" w:rsidRPr="00D93FF9" w:rsidRDefault="00010573">
      <w:pPr>
        <w:pStyle w:val="TOC2"/>
        <w:tabs>
          <w:tab w:val="left" w:pos="1100"/>
        </w:tabs>
        <w:rPr>
          <w:rFonts w:eastAsiaTheme="minorEastAsia"/>
          <w:lang w:eastAsia="en-AU"/>
        </w:rPr>
      </w:pPr>
      <w:r w:rsidRPr="00D93FF9">
        <w:rPr>
          <w:lang w:val="en-GB"/>
        </w:rPr>
        <w:t>8.2</w:t>
      </w:r>
      <w:r w:rsidRPr="00D93FF9">
        <w:rPr>
          <w:rFonts w:eastAsiaTheme="minorEastAsia"/>
          <w:lang w:eastAsia="en-AU"/>
        </w:rPr>
        <w:tab/>
      </w:r>
      <w:r w:rsidRPr="00D93FF9">
        <w:rPr>
          <w:lang w:val="en-GB"/>
        </w:rPr>
        <w:t>Derivation of</w:t>
      </w:r>
      <w:r w:rsidRPr="00D93FF9">
        <w:rPr>
          <w:spacing w:val="-1"/>
          <w:lang w:val="en-GB"/>
        </w:rPr>
        <w:t xml:space="preserve"> </w:t>
      </w:r>
      <w:r w:rsidRPr="00D93FF9">
        <w:rPr>
          <w:lang w:val="en-GB"/>
        </w:rPr>
        <w:t>guidelines</w:t>
      </w:r>
      <w:r w:rsidRPr="00D93FF9">
        <w:tab/>
      </w:r>
      <w:r w:rsidRPr="00D93FF9">
        <w:fldChar w:fldCharType="begin"/>
      </w:r>
      <w:r w:rsidRPr="00D93FF9">
        <w:instrText xml:space="preserve"> PAGEREF _Toc96693608 \h </w:instrText>
      </w:r>
      <w:r w:rsidRPr="00D93FF9">
        <w:fldChar w:fldCharType="separate"/>
      </w:r>
      <w:r w:rsidR="0069302C">
        <w:t>101</w:t>
      </w:r>
      <w:r w:rsidRPr="00D93FF9">
        <w:fldChar w:fldCharType="end"/>
      </w:r>
    </w:p>
    <w:p w14:paraId="59CFB820" w14:textId="6B7109F6" w:rsidR="00010573" w:rsidRPr="00D93FF9" w:rsidRDefault="00010573">
      <w:pPr>
        <w:pStyle w:val="TOC1"/>
        <w:rPr>
          <w:rFonts w:eastAsiaTheme="minorEastAsia"/>
          <w:b w:val="0"/>
          <w:lang w:eastAsia="en-AU"/>
        </w:rPr>
      </w:pPr>
      <w:r w:rsidRPr="00D93FF9">
        <w:rPr>
          <w:lang w:val="en-GB"/>
        </w:rPr>
        <w:t>9</w:t>
      </w:r>
      <w:r w:rsidRPr="00D93FF9">
        <w:rPr>
          <w:rFonts w:eastAsiaTheme="minorEastAsia"/>
          <w:b w:val="0"/>
          <w:lang w:eastAsia="en-AU"/>
        </w:rPr>
        <w:tab/>
      </w:r>
      <w:r w:rsidRPr="00D93FF9">
        <w:rPr>
          <w:lang w:val="en-GB"/>
        </w:rPr>
        <w:t>Radiological</w:t>
      </w:r>
      <w:r w:rsidRPr="00D93FF9">
        <w:rPr>
          <w:spacing w:val="2"/>
          <w:lang w:val="en-GB"/>
        </w:rPr>
        <w:t xml:space="preserve"> </w:t>
      </w:r>
      <w:r w:rsidRPr="00D93FF9">
        <w:rPr>
          <w:lang w:val="en-GB"/>
        </w:rPr>
        <w:t>quality</w:t>
      </w:r>
      <w:r w:rsidRPr="00D93FF9">
        <w:tab/>
      </w:r>
      <w:r w:rsidRPr="00D93FF9">
        <w:fldChar w:fldCharType="begin"/>
      </w:r>
      <w:r w:rsidRPr="00D93FF9">
        <w:instrText xml:space="preserve"> PAGEREF _Toc96693609 \h </w:instrText>
      </w:r>
      <w:r w:rsidRPr="00D93FF9">
        <w:fldChar w:fldCharType="separate"/>
      </w:r>
      <w:r w:rsidR="0069302C">
        <w:t>102</w:t>
      </w:r>
      <w:r w:rsidRPr="00D93FF9">
        <w:fldChar w:fldCharType="end"/>
      </w:r>
    </w:p>
    <w:p w14:paraId="10D79392" w14:textId="69450EDA" w:rsidR="00010573" w:rsidRPr="00D93FF9" w:rsidRDefault="00010573">
      <w:pPr>
        <w:pStyle w:val="TOC2"/>
        <w:tabs>
          <w:tab w:val="left" w:pos="1100"/>
        </w:tabs>
        <w:rPr>
          <w:rFonts w:eastAsiaTheme="minorEastAsia"/>
          <w:lang w:eastAsia="en-AU"/>
        </w:rPr>
      </w:pPr>
      <w:r w:rsidRPr="00D93FF9">
        <w:rPr>
          <w:lang w:val="en-GB"/>
        </w:rPr>
        <w:t>9.1</w:t>
      </w:r>
      <w:r w:rsidRPr="00D93FF9">
        <w:rPr>
          <w:rFonts w:eastAsiaTheme="minorEastAsia"/>
          <w:lang w:eastAsia="en-AU"/>
        </w:rPr>
        <w:tab/>
      </w:r>
      <w:r w:rsidRPr="00D93FF9">
        <w:rPr>
          <w:lang w:val="en-GB"/>
        </w:rPr>
        <w:t>Description</w:t>
      </w:r>
      <w:r w:rsidRPr="00D93FF9">
        <w:tab/>
      </w:r>
      <w:r w:rsidRPr="00D93FF9">
        <w:fldChar w:fldCharType="begin"/>
      </w:r>
      <w:r w:rsidRPr="00D93FF9">
        <w:instrText xml:space="preserve"> PAGEREF _Toc96693610 \h </w:instrText>
      </w:r>
      <w:r w:rsidRPr="00D93FF9">
        <w:fldChar w:fldCharType="separate"/>
      </w:r>
      <w:r w:rsidR="0069302C">
        <w:t>103</w:t>
      </w:r>
      <w:r w:rsidRPr="00D93FF9">
        <w:fldChar w:fldCharType="end"/>
      </w:r>
    </w:p>
    <w:p w14:paraId="394509C0" w14:textId="55FF5F19" w:rsidR="00010573" w:rsidRPr="00D93FF9" w:rsidRDefault="00010573">
      <w:pPr>
        <w:pStyle w:val="TOC2"/>
        <w:tabs>
          <w:tab w:val="left" w:pos="1100"/>
        </w:tabs>
        <w:rPr>
          <w:rFonts w:eastAsiaTheme="minorEastAsia"/>
          <w:lang w:eastAsia="en-AU"/>
        </w:rPr>
      </w:pPr>
      <w:r w:rsidRPr="00D93FF9">
        <w:rPr>
          <w:lang w:val="en-GB"/>
        </w:rPr>
        <w:t>9.2</w:t>
      </w:r>
      <w:r w:rsidRPr="00D93FF9">
        <w:rPr>
          <w:rFonts w:eastAsiaTheme="minorEastAsia"/>
          <w:lang w:eastAsia="en-AU"/>
        </w:rPr>
        <w:tab/>
      </w:r>
      <w:r w:rsidRPr="00D93FF9">
        <w:rPr>
          <w:lang w:val="en-GB"/>
        </w:rPr>
        <w:t>Effect on human and animal health</w:t>
      </w:r>
      <w:r w:rsidRPr="00D93FF9">
        <w:tab/>
      </w:r>
      <w:r w:rsidRPr="00D93FF9">
        <w:fldChar w:fldCharType="begin"/>
      </w:r>
      <w:r w:rsidRPr="00D93FF9">
        <w:instrText xml:space="preserve"> PAGEREF _Toc96693611 \h </w:instrText>
      </w:r>
      <w:r w:rsidRPr="00D93FF9">
        <w:fldChar w:fldCharType="separate"/>
      </w:r>
      <w:r w:rsidR="0069302C">
        <w:t>104</w:t>
      </w:r>
      <w:r w:rsidRPr="00D93FF9">
        <w:fldChar w:fldCharType="end"/>
      </w:r>
    </w:p>
    <w:p w14:paraId="2893F00E" w14:textId="570FD709" w:rsidR="00010573" w:rsidRPr="00D93FF9" w:rsidRDefault="00010573">
      <w:pPr>
        <w:pStyle w:val="TOC2"/>
        <w:tabs>
          <w:tab w:val="left" w:pos="1100"/>
        </w:tabs>
        <w:rPr>
          <w:rFonts w:eastAsiaTheme="minorEastAsia"/>
          <w:lang w:eastAsia="en-AU"/>
        </w:rPr>
      </w:pPr>
      <w:r w:rsidRPr="00D93FF9">
        <w:rPr>
          <w:lang w:val="en-GB"/>
        </w:rPr>
        <w:t>9.3</w:t>
      </w:r>
      <w:r w:rsidRPr="00D93FF9">
        <w:rPr>
          <w:rFonts w:eastAsiaTheme="minorEastAsia"/>
          <w:lang w:eastAsia="en-AU"/>
        </w:rPr>
        <w:tab/>
      </w:r>
      <w:r w:rsidRPr="00D93FF9">
        <w:rPr>
          <w:lang w:val="en-GB"/>
        </w:rPr>
        <w:t>Derivation of guideline values</w:t>
      </w:r>
      <w:r w:rsidRPr="00D93FF9">
        <w:tab/>
      </w:r>
      <w:r w:rsidRPr="00D93FF9">
        <w:fldChar w:fldCharType="begin"/>
      </w:r>
      <w:r w:rsidRPr="00D93FF9">
        <w:instrText xml:space="preserve"> PAGEREF _Toc96693612 \h </w:instrText>
      </w:r>
      <w:r w:rsidRPr="00D93FF9">
        <w:fldChar w:fldCharType="separate"/>
      </w:r>
      <w:r w:rsidR="0069302C">
        <w:t>104</w:t>
      </w:r>
      <w:r w:rsidRPr="00D93FF9">
        <w:fldChar w:fldCharType="end"/>
      </w:r>
    </w:p>
    <w:p w14:paraId="4E6D12BD" w14:textId="003002C5" w:rsidR="00010573" w:rsidRPr="00D93FF9" w:rsidRDefault="00010573">
      <w:pPr>
        <w:pStyle w:val="TOC1"/>
        <w:rPr>
          <w:rFonts w:eastAsiaTheme="minorEastAsia"/>
          <w:b w:val="0"/>
          <w:lang w:eastAsia="en-AU"/>
        </w:rPr>
      </w:pPr>
      <w:r w:rsidRPr="00D93FF9">
        <w:rPr>
          <w:lang w:val="en-GB"/>
        </w:rPr>
        <w:t>10</w:t>
      </w:r>
      <w:r w:rsidRPr="00D93FF9">
        <w:rPr>
          <w:rFonts w:eastAsiaTheme="minorEastAsia"/>
          <w:b w:val="0"/>
          <w:lang w:eastAsia="en-AU"/>
        </w:rPr>
        <w:tab/>
      </w:r>
      <w:r w:rsidRPr="00D93FF9">
        <w:rPr>
          <w:lang w:val="en-GB"/>
        </w:rPr>
        <w:t>General water</w:t>
      </w:r>
      <w:r w:rsidRPr="00D93FF9">
        <w:rPr>
          <w:spacing w:val="2"/>
          <w:lang w:val="en-GB"/>
        </w:rPr>
        <w:t xml:space="preserve"> </w:t>
      </w:r>
      <w:r w:rsidRPr="00D93FF9">
        <w:rPr>
          <w:lang w:val="en-GB"/>
        </w:rPr>
        <w:t>uses</w:t>
      </w:r>
      <w:r w:rsidRPr="00D93FF9">
        <w:tab/>
      </w:r>
      <w:r w:rsidRPr="00D93FF9">
        <w:fldChar w:fldCharType="begin"/>
      </w:r>
      <w:r w:rsidRPr="00D93FF9">
        <w:instrText xml:space="preserve"> PAGEREF _Toc96693613 \h </w:instrText>
      </w:r>
      <w:r w:rsidRPr="00D93FF9">
        <w:fldChar w:fldCharType="separate"/>
      </w:r>
      <w:r w:rsidR="0069302C">
        <w:t>105</w:t>
      </w:r>
      <w:r w:rsidRPr="00D93FF9">
        <w:fldChar w:fldCharType="end"/>
      </w:r>
    </w:p>
    <w:p w14:paraId="4974CBB4" w14:textId="55540428" w:rsidR="00010573" w:rsidRPr="00D93FF9" w:rsidRDefault="00010573">
      <w:pPr>
        <w:pStyle w:val="TOC2"/>
        <w:tabs>
          <w:tab w:val="left" w:pos="1100"/>
        </w:tabs>
        <w:rPr>
          <w:rFonts w:eastAsiaTheme="minorEastAsia"/>
          <w:lang w:eastAsia="en-AU"/>
        </w:rPr>
      </w:pPr>
      <w:r w:rsidRPr="00D93FF9">
        <w:rPr>
          <w:lang w:val="en-GB"/>
        </w:rPr>
        <w:t>10.1</w:t>
      </w:r>
      <w:r w:rsidRPr="00D93FF9">
        <w:rPr>
          <w:rFonts w:eastAsiaTheme="minorEastAsia"/>
          <w:lang w:eastAsia="en-AU"/>
        </w:rPr>
        <w:tab/>
      </w:r>
      <w:r w:rsidRPr="00D93FF9">
        <w:rPr>
          <w:lang w:val="en-GB"/>
        </w:rPr>
        <w:t>pH</w:t>
      </w:r>
      <w:r w:rsidRPr="00D93FF9">
        <w:tab/>
      </w:r>
      <w:r w:rsidRPr="00D93FF9">
        <w:fldChar w:fldCharType="begin"/>
      </w:r>
      <w:r w:rsidRPr="00D93FF9">
        <w:instrText xml:space="preserve"> PAGEREF _Toc96693614 \h </w:instrText>
      </w:r>
      <w:r w:rsidRPr="00D93FF9">
        <w:fldChar w:fldCharType="separate"/>
      </w:r>
      <w:r w:rsidR="0069302C">
        <w:t>105</w:t>
      </w:r>
      <w:r w:rsidRPr="00D93FF9">
        <w:fldChar w:fldCharType="end"/>
      </w:r>
    </w:p>
    <w:p w14:paraId="20B79993" w14:textId="40E5B38D" w:rsidR="00010573" w:rsidRPr="00D93FF9" w:rsidRDefault="00010573">
      <w:pPr>
        <w:pStyle w:val="TOC2"/>
        <w:tabs>
          <w:tab w:val="left" w:pos="1100"/>
        </w:tabs>
        <w:rPr>
          <w:rFonts w:eastAsiaTheme="minorEastAsia"/>
          <w:lang w:eastAsia="en-AU"/>
        </w:rPr>
      </w:pPr>
      <w:r w:rsidRPr="00D93FF9">
        <w:rPr>
          <w:lang w:val="en-GB"/>
        </w:rPr>
        <w:t>10.2</w:t>
      </w:r>
      <w:r w:rsidRPr="00D93FF9">
        <w:rPr>
          <w:rFonts w:eastAsiaTheme="minorEastAsia"/>
          <w:lang w:eastAsia="en-AU"/>
        </w:rPr>
        <w:tab/>
      </w:r>
      <w:r w:rsidRPr="00D93FF9">
        <w:rPr>
          <w:lang w:val="en-GB"/>
        </w:rPr>
        <w:t>Corrosion</w:t>
      </w:r>
      <w:r w:rsidRPr="00D93FF9">
        <w:tab/>
      </w:r>
      <w:r w:rsidRPr="00D93FF9">
        <w:fldChar w:fldCharType="begin"/>
      </w:r>
      <w:r w:rsidRPr="00D93FF9">
        <w:instrText xml:space="preserve"> PAGEREF _Toc96693615 \h </w:instrText>
      </w:r>
      <w:r w:rsidRPr="00D93FF9">
        <w:fldChar w:fldCharType="separate"/>
      </w:r>
      <w:r w:rsidR="0069302C">
        <w:t>106</w:t>
      </w:r>
      <w:r w:rsidRPr="00D93FF9">
        <w:fldChar w:fldCharType="end"/>
      </w:r>
    </w:p>
    <w:p w14:paraId="3E8B666F" w14:textId="1940C4F1" w:rsidR="00010573" w:rsidRPr="00D93FF9" w:rsidRDefault="00010573">
      <w:pPr>
        <w:pStyle w:val="TOC2"/>
        <w:tabs>
          <w:tab w:val="left" w:pos="1100"/>
        </w:tabs>
        <w:rPr>
          <w:rFonts w:eastAsiaTheme="minorEastAsia"/>
          <w:lang w:eastAsia="en-AU"/>
        </w:rPr>
      </w:pPr>
      <w:r w:rsidRPr="00D93FF9">
        <w:rPr>
          <w:lang w:val="en-GB"/>
        </w:rPr>
        <w:t>10.3</w:t>
      </w:r>
      <w:r w:rsidRPr="00D93FF9">
        <w:rPr>
          <w:rFonts w:eastAsiaTheme="minorEastAsia"/>
          <w:lang w:eastAsia="en-AU"/>
        </w:rPr>
        <w:tab/>
      </w:r>
      <w:r w:rsidRPr="00D93FF9">
        <w:t>Fouling</w:t>
      </w:r>
      <w:r w:rsidRPr="00D93FF9">
        <w:tab/>
      </w:r>
      <w:r w:rsidRPr="00D93FF9">
        <w:fldChar w:fldCharType="begin"/>
      </w:r>
      <w:r w:rsidRPr="00D93FF9">
        <w:instrText xml:space="preserve"> PAGEREF _Toc96693616 \h </w:instrText>
      </w:r>
      <w:r w:rsidRPr="00D93FF9">
        <w:fldChar w:fldCharType="separate"/>
      </w:r>
      <w:r w:rsidR="0069302C">
        <w:t>113</w:t>
      </w:r>
      <w:r w:rsidRPr="00D93FF9">
        <w:fldChar w:fldCharType="end"/>
      </w:r>
    </w:p>
    <w:p w14:paraId="04E5757D" w14:textId="1EA22995" w:rsidR="00010573" w:rsidRPr="00D93FF9" w:rsidRDefault="00010573">
      <w:pPr>
        <w:pStyle w:val="TOC2"/>
        <w:tabs>
          <w:tab w:val="left" w:pos="1100"/>
        </w:tabs>
        <w:rPr>
          <w:rFonts w:eastAsiaTheme="minorEastAsia"/>
          <w:lang w:eastAsia="en-AU"/>
        </w:rPr>
      </w:pPr>
      <w:r w:rsidRPr="00D93FF9">
        <w:rPr>
          <w:lang w:val="en-GB"/>
        </w:rPr>
        <w:t>10.4</w:t>
      </w:r>
      <w:r w:rsidRPr="00D93FF9">
        <w:rPr>
          <w:rFonts w:eastAsiaTheme="minorEastAsia"/>
          <w:lang w:eastAsia="en-AU"/>
        </w:rPr>
        <w:tab/>
      </w:r>
      <w:r w:rsidRPr="00D93FF9">
        <w:rPr>
          <w:lang w:val="en-GB"/>
        </w:rPr>
        <w:t xml:space="preserve">Agricultural </w:t>
      </w:r>
      <w:r w:rsidRPr="00D93FF9">
        <w:t>chemical</w:t>
      </w:r>
      <w:r w:rsidRPr="00D93FF9">
        <w:rPr>
          <w:lang w:val="en-GB"/>
        </w:rPr>
        <w:t xml:space="preserve"> preparation</w:t>
      </w:r>
      <w:r w:rsidRPr="00D93FF9">
        <w:tab/>
      </w:r>
      <w:r w:rsidRPr="00D93FF9">
        <w:fldChar w:fldCharType="begin"/>
      </w:r>
      <w:r w:rsidRPr="00D93FF9">
        <w:instrText xml:space="preserve"> PAGEREF _Toc96693617 \h </w:instrText>
      </w:r>
      <w:r w:rsidRPr="00D93FF9">
        <w:fldChar w:fldCharType="separate"/>
      </w:r>
      <w:r w:rsidR="0069302C">
        <w:t>119</w:t>
      </w:r>
      <w:r w:rsidRPr="00D93FF9">
        <w:fldChar w:fldCharType="end"/>
      </w:r>
    </w:p>
    <w:p w14:paraId="71D8E29F" w14:textId="0AAEF7BF" w:rsidR="00010573" w:rsidRPr="00D93FF9" w:rsidRDefault="00010573">
      <w:pPr>
        <w:pStyle w:val="TOC1"/>
        <w:rPr>
          <w:rFonts w:eastAsiaTheme="minorEastAsia"/>
          <w:b w:val="0"/>
          <w:lang w:eastAsia="en-AU"/>
        </w:rPr>
      </w:pPr>
      <w:r w:rsidRPr="00D93FF9">
        <w:t>11</w:t>
      </w:r>
      <w:r w:rsidRPr="00D93FF9">
        <w:rPr>
          <w:rFonts w:eastAsiaTheme="minorEastAsia"/>
          <w:b w:val="0"/>
          <w:lang w:eastAsia="en-AU"/>
        </w:rPr>
        <w:tab/>
      </w:r>
      <w:r w:rsidRPr="00D93FF9">
        <w:t>Conclusions and future information needs</w:t>
      </w:r>
      <w:r w:rsidRPr="00D93FF9">
        <w:tab/>
      </w:r>
      <w:r w:rsidRPr="00D93FF9">
        <w:fldChar w:fldCharType="begin"/>
      </w:r>
      <w:r w:rsidRPr="00D93FF9">
        <w:instrText xml:space="preserve"> PAGEREF _Toc96693618 \h </w:instrText>
      </w:r>
      <w:r w:rsidRPr="00D93FF9">
        <w:fldChar w:fldCharType="separate"/>
      </w:r>
      <w:r w:rsidR="0069302C">
        <w:t>121</w:t>
      </w:r>
      <w:r w:rsidRPr="00D93FF9">
        <w:fldChar w:fldCharType="end"/>
      </w:r>
    </w:p>
    <w:p w14:paraId="287AE007" w14:textId="73A1CE42" w:rsidR="00010573" w:rsidRPr="00D93FF9" w:rsidRDefault="00010573">
      <w:pPr>
        <w:pStyle w:val="TOC2"/>
        <w:tabs>
          <w:tab w:val="left" w:pos="1100"/>
        </w:tabs>
        <w:rPr>
          <w:rFonts w:eastAsiaTheme="minorEastAsia"/>
          <w:lang w:eastAsia="en-AU"/>
        </w:rPr>
      </w:pPr>
      <w:r w:rsidRPr="00D93FF9">
        <w:rPr>
          <w:lang w:val="en-GB"/>
        </w:rPr>
        <w:t>11.1</w:t>
      </w:r>
      <w:r w:rsidRPr="00D93FF9">
        <w:rPr>
          <w:rFonts w:eastAsiaTheme="minorEastAsia"/>
          <w:lang w:eastAsia="en-AU"/>
        </w:rPr>
        <w:tab/>
      </w:r>
      <w:r w:rsidRPr="00D93FF9">
        <w:rPr>
          <w:lang w:val="en-GB"/>
        </w:rPr>
        <w:t>Biological parameters</w:t>
      </w:r>
      <w:r w:rsidRPr="00D93FF9">
        <w:tab/>
      </w:r>
      <w:r w:rsidRPr="00D93FF9">
        <w:fldChar w:fldCharType="begin"/>
      </w:r>
      <w:r w:rsidRPr="00D93FF9">
        <w:instrText xml:space="preserve"> PAGEREF _Toc96693619 \h </w:instrText>
      </w:r>
      <w:r w:rsidRPr="00D93FF9">
        <w:fldChar w:fldCharType="separate"/>
      </w:r>
      <w:r w:rsidR="0069302C">
        <w:t>121</w:t>
      </w:r>
      <w:r w:rsidRPr="00D93FF9">
        <w:fldChar w:fldCharType="end"/>
      </w:r>
    </w:p>
    <w:p w14:paraId="0CF14689" w14:textId="45E2308C" w:rsidR="00010573" w:rsidRPr="00D93FF9" w:rsidRDefault="00010573">
      <w:pPr>
        <w:pStyle w:val="TOC2"/>
        <w:tabs>
          <w:tab w:val="left" w:pos="1100"/>
        </w:tabs>
        <w:rPr>
          <w:rFonts w:eastAsiaTheme="minorEastAsia"/>
          <w:lang w:eastAsia="en-AU"/>
        </w:rPr>
      </w:pPr>
      <w:r w:rsidRPr="00D93FF9">
        <w:rPr>
          <w:lang w:val="en-GB"/>
        </w:rPr>
        <w:t>11.2</w:t>
      </w:r>
      <w:r w:rsidRPr="00D93FF9">
        <w:rPr>
          <w:rFonts w:eastAsiaTheme="minorEastAsia"/>
          <w:lang w:eastAsia="en-AU"/>
        </w:rPr>
        <w:tab/>
      </w:r>
      <w:r w:rsidRPr="00D93FF9">
        <w:rPr>
          <w:lang w:val="en-GB"/>
        </w:rPr>
        <w:t>Salinity and</w:t>
      </w:r>
      <w:r w:rsidRPr="00D93FF9">
        <w:rPr>
          <w:spacing w:val="-6"/>
          <w:lang w:val="en-GB"/>
        </w:rPr>
        <w:t xml:space="preserve"> </w:t>
      </w:r>
      <w:r w:rsidRPr="00D93FF9">
        <w:rPr>
          <w:lang w:val="en-GB"/>
        </w:rPr>
        <w:t>sodicity</w:t>
      </w:r>
      <w:r w:rsidRPr="00D93FF9">
        <w:tab/>
      </w:r>
      <w:r w:rsidRPr="00D93FF9">
        <w:fldChar w:fldCharType="begin"/>
      </w:r>
      <w:r w:rsidRPr="00D93FF9">
        <w:instrText xml:space="preserve"> PAGEREF _Toc96693620 \h </w:instrText>
      </w:r>
      <w:r w:rsidRPr="00D93FF9">
        <w:fldChar w:fldCharType="separate"/>
      </w:r>
      <w:r w:rsidR="0069302C">
        <w:t>122</w:t>
      </w:r>
      <w:r w:rsidRPr="00D93FF9">
        <w:fldChar w:fldCharType="end"/>
      </w:r>
    </w:p>
    <w:p w14:paraId="1F2BAF04" w14:textId="2AA61989" w:rsidR="00010573" w:rsidRPr="00D93FF9" w:rsidRDefault="00010573">
      <w:pPr>
        <w:pStyle w:val="TOC2"/>
        <w:tabs>
          <w:tab w:val="left" w:pos="1100"/>
        </w:tabs>
        <w:rPr>
          <w:rFonts w:eastAsiaTheme="minorEastAsia"/>
          <w:lang w:eastAsia="en-AU"/>
        </w:rPr>
      </w:pPr>
      <w:r w:rsidRPr="00D93FF9">
        <w:rPr>
          <w:lang w:val="en-GB"/>
        </w:rPr>
        <w:t>11.3</w:t>
      </w:r>
      <w:r w:rsidRPr="00D93FF9">
        <w:rPr>
          <w:rFonts w:eastAsiaTheme="minorEastAsia"/>
          <w:lang w:eastAsia="en-AU"/>
        </w:rPr>
        <w:tab/>
      </w:r>
      <w:r w:rsidRPr="00D93FF9">
        <w:rPr>
          <w:lang w:val="en-GB"/>
        </w:rPr>
        <w:t>Heavy metals and metalloids in irrigation</w:t>
      </w:r>
      <w:r w:rsidRPr="00D93FF9">
        <w:rPr>
          <w:spacing w:val="-3"/>
          <w:lang w:val="en-GB"/>
        </w:rPr>
        <w:t xml:space="preserve"> </w:t>
      </w:r>
      <w:r w:rsidRPr="00D93FF9">
        <w:rPr>
          <w:lang w:val="en-GB"/>
        </w:rPr>
        <w:t>water</w:t>
      </w:r>
      <w:r w:rsidRPr="00D93FF9">
        <w:tab/>
      </w:r>
      <w:r w:rsidRPr="00D93FF9">
        <w:fldChar w:fldCharType="begin"/>
      </w:r>
      <w:r w:rsidRPr="00D93FF9">
        <w:instrText xml:space="preserve"> PAGEREF _Toc96693621 \h </w:instrText>
      </w:r>
      <w:r w:rsidRPr="00D93FF9">
        <w:fldChar w:fldCharType="separate"/>
      </w:r>
      <w:r w:rsidR="0069302C">
        <w:t>122</w:t>
      </w:r>
      <w:r w:rsidRPr="00D93FF9">
        <w:fldChar w:fldCharType="end"/>
      </w:r>
    </w:p>
    <w:p w14:paraId="69E5FD99" w14:textId="295BEBF7" w:rsidR="00010573" w:rsidRPr="00D93FF9" w:rsidRDefault="00010573">
      <w:pPr>
        <w:pStyle w:val="TOC2"/>
        <w:tabs>
          <w:tab w:val="left" w:pos="1100"/>
        </w:tabs>
        <w:rPr>
          <w:rFonts w:eastAsiaTheme="minorEastAsia"/>
          <w:lang w:eastAsia="en-AU"/>
        </w:rPr>
      </w:pPr>
      <w:r w:rsidRPr="00D93FF9">
        <w:rPr>
          <w:lang w:val="en-GB"/>
        </w:rPr>
        <w:t>11.4</w:t>
      </w:r>
      <w:r w:rsidRPr="00D93FF9">
        <w:rPr>
          <w:rFonts w:eastAsiaTheme="minorEastAsia"/>
          <w:lang w:eastAsia="en-AU"/>
        </w:rPr>
        <w:tab/>
      </w:r>
      <w:r w:rsidRPr="00D93FF9">
        <w:rPr>
          <w:lang w:val="en-GB"/>
        </w:rPr>
        <w:t>Phosphorus</w:t>
      </w:r>
      <w:r w:rsidRPr="00D93FF9">
        <w:tab/>
      </w:r>
      <w:r w:rsidRPr="00D93FF9">
        <w:fldChar w:fldCharType="begin"/>
      </w:r>
      <w:r w:rsidRPr="00D93FF9">
        <w:instrText xml:space="preserve"> PAGEREF _Toc96693622 \h </w:instrText>
      </w:r>
      <w:r w:rsidRPr="00D93FF9">
        <w:fldChar w:fldCharType="separate"/>
      </w:r>
      <w:r w:rsidR="0069302C">
        <w:t>123</w:t>
      </w:r>
      <w:r w:rsidRPr="00D93FF9">
        <w:fldChar w:fldCharType="end"/>
      </w:r>
    </w:p>
    <w:p w14:paraId="373ECBEC" w14:textId="0AE6FF2D" w:rsidR="00010573" w:rsidRPr="00D93FF9" w:rsidRDefault="00010573">
      <w:pPr>
        <w:pStyle w:val="TOC2"/>
        <w:tabs>
          <w:tab w:val="left" w:pos="1100"/>
        </w:tabs>
        <w:rPr>
          <w:rFonts w:eastAsiaTheme="minorEastAsia"/>
          <w:lang w:eastAsia="en-AU"/>
        </w:rPr>
      </w:pPr>
      <w:r w:rsidRPr="00D93FF9">
        <w:rPr>
          <w:lang w:val="en-GB"/>
        </w:rPr>
        <w:t>11.5</w:t>
      </w:r>
      <w:r w:rsidRPr="00D93FF9">
        <w:rPr>
          <w:rFonts w:eastAsiaTheme="minorEastAsia"/>
          <w:lang w:eastAsia="en-AU"/>
        </w:rPr>
        <w:tab/>
      </w:r>
      <w:r w:rsidRPr="00D93FF9">
        <w:rPr>
          <w:lang w:val="en-GB"/>
        </w:rPr>
        <w:t>Pesticides</w:t>
      </w:r>
      <w:r w:rsidRPr="00D93FF9">
        <w:tab/>
      </w:r>
      <w:r w:rsidRPr="00D93FF9">
        <w:fldChar w:fldCharType="begin"/>
      </w:r>
      <w:r w:rsidRPr="00D93FF9">
        <w:instrText xml:space="preserve"> PAGEREF _Toc96693623 \h </w:instrText>
      </w:r>
      <w:r w:rsidRPr="00D93FF9">
        <w:fldChar w:fldCharType="separate"/>
      </w:r>
      <w:r w:rsidR="0069302C">
        <w:t>123</w:t>
      </w:r>
      <w:r w:rsidRPr="00D93FF9">
        <w:fldChar w:fldCharType="end"/>
      </w:r>
    </w:p>
    <w:p w14:paraId="7F21E171" w14:textId="2E5BD78F" w:rsidR="00010573" w:rsidRPr="00D93FF9" w:rsidRDefault="00010573">
      <w:pPr>
        <w:pStyle w:val="TOC2"/>
        <w:tabs>
          <w:tab w:val="left" w:pos="1100"/>
        </w:tabs>
        <w:rPr>
          <w:rFonts w:eastAsiaTheme="minorEastAsia"/>
          <w:lang w:eastAsia="en-AU"/>
        </w:rPr>
      </w:pPr>
      <w:r w:rsidRPr="00D93FF9">
        <w:rPr>
          <w:lang w:val="en-GB"/>
        </w:rPr>
        <w:t>11.6</w:t>
      </w:r>
      <w:r w:rsidRPr="00D93FF9">
        <w:rPr>
          <w:rFonts w:eastAsiaTheme="minorEastAsia"/>
          <w:lang w:eastAsia="en-AU"/>
        </w:rPr>
        <w:tab/>
      </w:r>
      <w:r w:rsidRPr="00D93FF9">
        <w:rPr>
          <w:lang w:val="en-GB"/>
        </w:rPr>
        <w:t>Other irrigation water quality</w:t>
      </w:r>
      <w:r w:rsidRPr="00D93FF9">
        <w:rPr>
          <w:spacing w:val="-4"/>
          <w:lang w:val="en-GB"/>
        </w:rPr>
        <w:t xml:space="preserve"> </w:t>
      </w:r>
      <w:r w:rsidRPr="00D93FF9">
        <w:rPr>
          <w:lang w:val="en-GB"/>
        </w:rPr>
        <w:t>issues</w:t>
      </w:r>
      <w:r w:rsidRPr="00D93FF9">
        <w:tab/>
      </w:r>
      <w:r w:rsidRPr="00D93FF9">
        <w:fldChar w:fldCharType="begin"/>
      </w:r>
      <w:r w:rsidRPr="00D93FF9">
        <w:instrText xml:space="preserve"> PAGEREF _Toc96693624 \h </w:instrText>
      </w:r>
      <w:r w:rsidRPr="00D93FF9">
        <w:fldChar w:fldCharType="separate"/>
      </w:r>
      <w:r w:rsidR="0069302C">
        <w:t>123</w:t>
      </w:r>
      <w:r w:rsidRPr="00D93FF9">
        <w:fldChar w:fldCharType="end"/>
      </w:r>
    </w:p>
    <w:p w14:paraId="51D29B8B" w14:textId="281FA6A7" w:rsidR="00010573" w:rsidRPr="00D93FF9" w:rsidRDefault="00010573">
      <w:pPr>
        <w:pStyle w:val="TOC2"/>
        <w:tabs>
          <w:tab w:val="left" w:pos="1100"/>
        </w:tabs>
        <w:rPr>
          <w:rFonts w:eastAsiaTheme="minorEastAsia"/>
          <w:lang w:eastAsia="en-AU"/>
        </w:rPr>
      </w:pPr>
      <w:r w:rsidRPr="00D93FF9">
        <w:rPr>
          <w:lang w:val="en-GB"/>
        </w:rPr>
        <w:t>11.7</w:t>
      </w:r>
      <w:r w:rsidRPr="00D93FF9">
        <w:rPr>
          <w:rFonts w:eastAsiaTheme="minorEastAsia"/>
          <w:lang w:eastAsia="en-AU"/>
        </w:rPr>
        <w:tab/>
      </w:r>
      <w:r w:rsidRPr="00D93FF9">
        <w:rPr>
          <w:lang w:val="en-GB"/>
        </w:rPr>
        <w:t>Corrosion and fouling issues</w:t>
      </w:r>
      <w:r w:rsidRPr="00D93FF9">
        <w:tab/>
      </w:r>
      <w:r w:rsidRPr="00D93FF9">
        <w:fldChar w:fldCharType="begin"/>
      </w:r>
      <w:r w:rsidRPr="00D93FF9">
        <w:instrText xml:space="preserve"> PAGEREF _Toc96693625 \h </w:instrText>
      </w:r>
      <w:r w:rsidRPr="00D93FF9">
        <w:fldChar w:fldCharType="separate"/>
      </w:r>
      <w:r w:rsidR="0069302C">
        <w:t>124</w:t>
      </w:r>
      <w:r w:rsidRPr="00D93FF9">
        <w:fldChar w:fldCharType="end"/>
      </w:r>
    </w:p>
    <w:p w14:paraId="17A60821" w14:textId="4F1FA7AF" w:rsidR="00010573" w:rsidRPr="00D93FF9" w:rsidRDefault="00010573">
      <w:pPr>
        <w:pStyle w:val="TOC1"/>
        <w:rPr>
          <w:rFonts w:eastAsiaTheme="minorEastAsia"/>
          <w:b w:val="0"/>
          <w:lang w:eastAsia="en-AU"/>
        </w:rPr>
      </w:pPr>
      <w:r w:rsidRPr="00D93FF9">
        <w:rPr>
          <w:lang w:val="en-GB"/>
        </w:rPr>
        <w:t>12</w:t>
      </w:r>
      <w:r w:rsidRPr="00D93FF9">
        <w:rPr>
          <w:rFonts w:eastAsiaTheme="minorEastAsia"/>
          <w:b w:val="0"/>
          <w:lang w:eastAsia="en-AU"/>
        </w:rPr>
        <w:tab/>
      </w:r>
      <w:r w:rsidRPr="00D93FF9">
        <w:rPr>
          <w:lang w:val="en-GB"/>
        </w:rPr>
        <w:t>References</w:t>
      </w:r>
      <w:r w:rsidRPr="00D93FF9">
        <w:tab/>
      </w:r>
      <w:r w:rsidRPr="00D93FF9">
        <w:fldChar w:fldCharType="begin"/>
      </w:r>
      <w:r w:rsidRPr="00D93FF9">
        <w:instrText xml:space="preserve"> PAGEREF _Toc96693626 \h </w:instrText>
      </w:r>
      <w:r w:rsidRPr="00D93FF9">
        <w:fldChar w:fldCharType="separate"/>
      </w:r>
      <w:r w:rsidR="0069302C">
        <w:t>125</w:t>
      </w:r>
      <w:r w:rsidRPr="00D93FF9">
        <w:fldChar w:fldCharType="end"/>
      </w:r>
    </w:p>
    <w:p w14:paraId="57928B4A" w14:textId="5C0F1CA3" w:rsidR="00010573" w:rsidRPr="00D93FF9" w:rsidRDefault="00010573">
      <w:pPr>
        <w:pStyle w:val="TOC1"/>
        <w:rPr>
          <w:rFonts w:eastAsiaTheme="minorEastAsia"/>
          <w:b w:val="0"/>
          <w:lang w:eastAsia="en-AU"/>
        </w:rPr>
      </w:pPr>
      <w:r w:rsidRPr="00D93FF9">
        <w:rPr>
          <w:lang w:val="en-GB"/>
        </w:rPr>
        <w:t>13</w:t>
      </w:r>
      <w:r w:rsidRPr="00D93FF9">
        <w:rPr>
          <w:rFonts w:eastAsiaTheme="minorEastAsia"/>
          <w:b w:val="0"/>
          <w:lang w:eastAsia="en-AU"/>
        </w:rPr>
        <w:tab/>
      </w:r>
      <w:r w:rsidRPr="00D93FF9">
        <w:rPr>
          <w:lang w:val="en-GB"/>
        </w:rPr>
        <w:t>Glossary of terms</w:t>
      </w:r>
      <w:r w:rsidRPr="00D93FF9">
        <w:tab/>
      </w:r>
      <w:r w:rsidRPr="00D93FF9">
        <w:fldChar w:fldCharType="begin"/>
      </w:r>
      <w:r w:rsidRPr="00D93FF9">
        <w:instrText xml:space="preserve"> PAGEREF _Toc96693627 \h </w:instrText>
      </w:r>
      <w:r w:rsidRPr="00D93FF9">
        <w:fldChar w:fldCharType="separate"/>
      </w:r>
      <w:r w:rsidR="0069302C">
        <w:t>150</w:t>
      </w:r>
      <w:r w:rsidRPr="00D93FF9">
        <w:fldChar w:fldCharType="end"/>
      </w:r>
    </w:p>
    <w:p w14:paraId="1F3AF2DE" w14:textId="77777777" w:rsidR="00D43C9B" w:rsidRPr="00D93FF9" w:rsidRDefault="00E811B8" w:rsidP="003807A1">
      <w:pPr>
        <w:pStyle w:val="TOCHeading2"/>
        <w:rPr>
          <w:rFonts w:asciiTheme="minorHAnsi" w:eastAsiaTheme="minorHAnsi" w:hAnsiTheme="minorHAnsi" w:cstheme="minorBidi"/>
          <w:noProof/>
          <w:color w:val="auto"/>
          <w:sz w:val="22"/>
          <w:szCs w:val="24"/>
          <w:lang w:val="en-AU"/>
        </w:rPr>
      </w:pPr>
      <w:r w:rsidRPr="00D93FF9">
        <w:rPr>
          <w:rFonts w:asciiTheme="minorHAnsi" w:eastAsiaTheme="minorHAnsi" w:hAnsiTheme="minorHAnsi" w:cstheme="minorBidi"/>
          <w:noProof/>
          <w:color w:val="auto"/>
          <w:sz w:val="22"/>
          <w:szCs w:val="24"/>
          <w:lang w:val="en-AU"/>
        </w:rPr>
        <w:fldChar w:fldCharType="end"/>
      </w:r>
    </w:p>
    <w:p w14:paraId="67E81BE1" w14:textId="77777777" w:rsidR="00D43C9B" w:rsidRPr="00D93FF9" w:rsidRDefault="00D43C9B" w:rsidP="003807A1">
      <w:pPr>
        <w:pStyle w:val="TOCHeading2"/>
        <w:rPr>
          <w:rFonts w:asciiTheme="minorHAnsi" w:eastAsiaTheme="minorHAnsi" w:hAnsiTheme="minorHAnsi" w:cstheme="minorBidi"/>
          <w:noProof/>
          <w:color w:val="auto"/>
          <w:sz w:val="22"/>
          <w:szCs w:val="24"/>
          <w:lang w:val="en-AU"/>
        </w:rPr>
      </w:pPr>
    </w:p>
    <w:p w14:paraId="7BFC1135" w14:textId="77777777" w:rsidR="00D43C9B" w:rsidRPr="00D93FF9" w:rsidRDefault="00D43C9B" w:rsidP="003807A1">
      <w:pPr>
        <w:pStyle w:val="TOCHeading2"/>
        <w:rPr>
          <w:rFonts w:asciiTheme="minorHAnsi" w:eastAsiaTheme="minorHAnsi" w:hAnsiTheme="minorHAnsi" w:cstheme="minorBidi"/>
          <w:noProof/>
          <w:color w:val="auto"/>
          <w:sz w:val="22"/>
          <w:szCs w:val="24"/>
          <w:lang w:val="en-AU"/>
        </w:rPr>
      </w:pPr>
    </w:p>
    <w:p w14:paraId="59DCC15E" w14:textId="45DEC7D3" w:rsidR="00E307CA" w:rsidRPr="00D93FF9" w:rsidRDefault="00E811B8" w:rsidP="003807A1">
      <w:pPr>
        <w:pStyle w:val="TOCHeading2"/>
      </w:pPr>
      <w:r w:rsidRPr="00D93FF9">
        <w:lastRenderedPageBreak/>
        <w:t>Figures</w:t>
      </w:r>
    </w:p>
    <w:p w14:paraId="7268891E" w14:textId="40137DAA" w:rsidR="001B16FC" w:rsidRPr="00D93FF9" w:rsidRDefault="00E811B8">
      <w:pPr>
        <w:pStyle w:val="TableofFigures"/>
        <w:tabs>
          <w:tab w:val="right" w:leader="dot" w:pos="9010"/>
        </w:tabs>
        <w:rPr>
          <w:rFonts w:eastAsiaTheme="minorEastAsia" w:cstheme="minorHAnsi"/>
          <w:noProof/>
          <w:lang w:eastAsia="en-AU"/>
        </w:rPr>
      </w:pPr>
      <w:r w:rsidRPr="00D93FF9">
        <w:rPr>
          <w:rFonts w:cstheme="minorHAnsi"/>
        </w:rPr>
        <w:fldChar w:fldCharType="begin"/>
      </w:r>
      <w:r w:rsidRPr="00D93FF9">
        <w:rPr>
          <w:rFonts w:cstheme="minorHAnsi"/>
        </w:rPr>
        <w:instrText xml:space="preserve"> TOC \c "Figure" </w:instrText>
      </w:r>
      <w:r w:rsidRPr="00D93FF9">
        <w:rPr>
          <w:rFonts w:cstheme="minorHAnsi"/>
        </w:rPr>
        <w:fldChar w:fldCharType="separate"/>
      </w:r>
      <w:r w:rsidR="001B16FC" w:rsidRPr="00D93FF9">
        <w:rPr>
          <w:rFonts w:cstheme="minorHAnsi"/>
          <w:noProof/>
        </w:rPr>
        <w:t xml:space="preserve">Figure 1 </w:t>
      </w:r>
      <w:r w:rsidR="001B16FC" w:rsidRPr="00D93FF9">
        <w:rPr>
          <w:rFonts w:cstheme="minorHAnsi"/>
          <w:noProof/>
          <w:lang w:val="en-GB"/>
        </w:rPr>
        <w:t>Flow diagram for evaluating salinity and sodicity impacts of irrigation water quality</w:t>
      </w:r>
      <w:r w:rsidR="001B16FC" w:rsidRPr="00D93FF9">
        <w:rPr>
          <w:rFonts w:cstheme="minorHAnsi"/>
          <w:noProof/>
        </w:rPr>
        <w:tab/>
      </w:r>
      <w:r w:rsidR="001B16FC" w:rsidRPr="00D93FF9">
        <w:rPr>
          <w:rFonts w:cstheme="minorHAnsi"/>
          <w:noProof/>
        </w:rPr>
        <w:fldChar w:fldCharType="begin"/>
      </w:r>
      <w:r w:rsidR="001B16FC" w:rsidRPr="00D93FF9">
        <w:rPr>
          <w:rFonts w:cstheme="minorHAnsi"/>
          <w:noProof/>
        </w:rPr>
        <w:instrText xml:space="preserve"> PAGEREF _Toc96518201 \h </w:instrText>
      </w:r>
      <w:r w:rsidR="001B16FC" w:rsidRPr="00D93FF9">
        <w:rPr>
          <w:rFonts w:cstheme="minorHAnsi"/>
          <w:noProof/>
        </w:rPr>
      </w:r>
      <w:r w:rsidR="001B16FC" w:rsidRPr="00D93FF9">
        <w:rPr>
          <w:rFonts w:cstheme="minorHAnsi"/>
          <w:noProof/>
        </w:rPr>
        <w:fldChar w:fldCharType="separate"/>
      </w:r>
      <w:r w:rsidR="0069302C">
        <w:rPr>
          <w:rFonts w:cstheme="minorHAnsi"/>
          <w:noProof/>
        </w:rPr>
        <w:t>17</w:t>
      </w:r>
      <w:r w:rsidR="001B16FC" w:rsidRPr="00D93FF9">
        <w:rPr>
          <w:rFonts w:cstheme="minorHAnsi"/>
          <w:noProof/>
        </w:rPr>
        <w:fldChar w:fldCharType="end"/>
      </w:r>
    </w:p>
    <w:p w14:paraId="2F612A07" w14:textId="1B90E6EF"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Figure 2 Categories of salt affected soils based on SAR, EC</w:t>
      </w:r>
      <w:r w:rsidRPr="00D93FF9">
        <w:rPr>
          <w:rFonts w:cstheme="minorHAnsi"/>
          <w:noProof/>
          <w:vertAlign w:val="subscript"/>
          <w:lang w:bidi="en-US"/>
        </w:rPr>
        <w:t>se</w:t>
      </w:r>
      <w:r w:rsidRPr="00D93FF9">
        <w:rPr>
          <w:rFonts w:cstheme="minorHAnsi"/>
          <w:noProof/>
          <w:lang w:bidi="en-US"/>
        </w:rPr>
        <w:t xml:space="preserve"> and pH and their potential impacts on plant growth</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_Toc96518202 \h </w:instrText>
      </w:r>
      <w:r w:rsidRPr="00D93FF9">
        <w:rPr>
          <w:rFonts w:cstheme="minorHAnsi"/>
          <w:noProof/>
        </w:rPr>
      </w:r>
      <w:r w:rsidRPr="00D93FF9">
        <w:rPr>
          <w:rFonts w:cstheme="minorHAnsi"/>
          <w:noProof/>
        </w:rPr>
        <w:fldChar w:fldCharType="separate"/>
      </w:r>
      <w:r w:rsidR="0069302C">
        <w:rPr>
          <w:rFonts w:cstheme="minorHAnsi"/>
          <w:noProof/>
        </w:rPr>
        <w:t>22</w:t>
      </w:r>
      <w:r w:rsidRPr="00D93FF9">
        <w:rPr>
          <w:rFonts w:cstheme="minorHAnsi"/>
          <w:noProof/>
        </w:rPr>
        <w:fldChar w:fldCharType="end"/>
      </w:r>
    </w:p>
    <w:p w14:paraId="3D961833" w14:textId="67C06732"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Figure 3 The relative water uptake by plant roots in saline and non-saline soil</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_Toc96518203 \h </w:instrText>
      </w:r>
      <w:r w:rsidRPr="00D93FF9">
        <w:rPr>
          <w:rFonts w:cstheme="minorHAnsi"/>
          <w:noProof/>
        </w:rPr>
      </w:r>
      <w:r w:rsidRPr="00D93FF9">
        <w:rPr>
          <w:rFonts w:cstheme="minorHAnsi"/>
          <w:noProof/>
        </w:rPr>
        <w:fldChar w:fldCharType="separate"/>
      </w:r>
      <w:r w:rsidR="0069302C">
        <w:rPr>
          <w:rFonts w:cstheme="minorHAnsi"/>
          <w:noProof/>
        </w:rPr>
        <w:t>23</w:t>
      </w:r>
      <w:r w:rsidRPr="00D93FF9">
        <w:rPr>
          <w:rFonts w:cstheme="minorHAnsi"/>
          <w:noProof/>
        </w:rPr>
        <w:fldChar w:fldCharType="end"/>
      </w:r>
    </w:p>
    <w:p w14:paraId="422B2535" w14:textId="5334FCAC"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Figure 4 Conversion of soil electrical conductivity (EC) to soil osmotic potential (Ψ)</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_Toc96518204 \h </w:instrText>
      </w:r>
      <w:r w:rsidRPr="00D93FF9">
        <w:rPr>
          <w:rFonts w:cstheme="minorHAnsi"/>
          <w:noProof/>
        </w:rPr>
      </w:r>
      <w:r w:rsidRPr="00D93FF9">
        <w:rPr>
          <w:rFonts w:cstheme="minorHAnsi"/>
          <w:noProof/>
        </w:rPr>
        <w:fldChar w:fldCharType="separate"/>
      </w:r>
      <w:r w:rsidR="0069302C">
        <w:rPr>
          <w:rFonts w:cstheme="minorHAnsi"/>
          <w:noProof/>
        </w:rPr>
        <w:t>24</w:t>
      </w:r>
      <w:r w:rsidRPr="00D93FF9">
        <w:rPr>
          <w:rFonts w:cstheme="minorHAnsi"/>
          <w:noProof/>
        </w:rPr>
        <w:fldChar w:fldCharType="end"/>
      </w:r>
    </w:p>
    <w:p w14:paraId="0C3F4370" w14:textId="29004F6A"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Figure 5 </w:t>
      </w:r>
      <w:r w:rsidRPr="00D93FF9">
        <w:rPr>
          <w:rFonts w:cstheme="minorHAnsi"/>
          <w:noProof/>
          <w:lang w:val="en-GB" w:bidi="en-US"/>
        </w:rPr>
        <w:t>Schematic representation of the water balance (left) and the salt balance (right) within the soil profile</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_Toc96518205 \h </w:instrText>
      </w:r>
      <w:r w:rsidRPr="00D93FF9">
        <w:rPr>
          <w:rFonts w:cstheme="minorHAnsi"/>
          <w:noProof/>
        </w:rPr>
      </w:r>
      <w:r w:rsidRPr="00D93FF9">
        <w:rPr>
          <w:rFonts w:cstheme="minorHAnsi"/>
          <w:noProof/>
        </w:rPr>
        <w:fldChar w:fldCharType="separate"/>
      </w:r>
      <w:r w:rsidR="0069302C">
        <w:rPr>
          <w:rFonts w:cstheme="minorHAnsi"/>
          <w:noProof/>
        </w:rPr>
        <w:t>24</w:t>
      </w:r>
      <w:r w:rsidRPr="00D93FF9">
        <w:rPr>
          <w:rFonts w:cstheme="minorHAnsi"/>
          <w:noProof/>
        </w:rPr>
        <w:fldChar w:fldCharType="end"/>
      </w:r>
    </w:p>
    <w:p w14:paraId="720AE9B7" w14:textId="12B355A6"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Figure 6 Conversion of irrigation water SAR to soil equilibrium ESP</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_Toc96518206 \h </w:instrText>
      </w:r>
      <w:r w:rsidRPr="00D93FF9">
        <w:rPr>
          <w:rFonts w:cstheme="minorHAnsi"/>
          <w:noProof/>
        </w:rPr>
      </w:r>
      <w:r w:rsidRPr="00D93FF9">
        <w:rPr>
          <w:rFonts w:cstheme="minorHAnsi"/>
          <w:noProof/>
        </w:rPr>
        <w:fldChar w:fldCharType="separate"/>
      </w:r>
      <w:r w:rsidR="0069302C">
        <w:rPr>
          <w:rFonts w:cstheme="minorHAnsi"/>
          <w:noProof/>
        </w:rPr>
        <w:t>34</w:t>
      </w:r>
      <w:r w:rsidRPr="00D93FF9">
        <w:rPr>
          <w:rFonts w:cstheme="minorHAnsi"/>
          <w:noProof/>
        </w:rPr>
        <w:fldChar w:fldCharType="end"/>
      </w:r>
    </w:p>
    <w:p w14:paraId="27B4FD01" w14:textId="0BDE6692"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Figure 7 </w:t>
      </w:r>
      <w:r w:rsidRPr="00D93FF9">
        <w:rPr>
          <w:rFonts w:cstheme="minorHAnsi"/>
          <w:noProof/>
          <w:lang w:val="en-GB" w:bidi="en-US"/>
        </w:rPr>
        <w:t xml:space="preserve">Relationship between SAR and EC of irrigation water for prediction of soil structural stability Adapted from DNR </w:t>
      </w:r>
      <w:r w:rsidR="00CA5B4B" w:rsidRPr="00D93FF9">
        <w:rPr>
          <w:rFonts w:cstheme="minorHAnsi"/>
          <w:noProof/>
          <w:lang w:val="en-GB" w:bidi="en-US"/>
        </w:rPr>
        <w:t>(</w:t>
      </w:r>
      <w:r w:rsidRPr="00D93FF9">
        <w:rPr>
          <w:rFonts w:cstheme="minorHAnsi"/>
          <w:noProof/>
          <w:lang w:val="en-GB" w:bidi="en-US"/>
        </w:rPr>
        <w:t>1997</w:t>
      </w:r>
      <w:r w:rsidR="00CA5B4B" w:rsidRPr="00D93FF9">
        <w:rPr>
          <w:rFonts w:cstheme="minorHAnsi"/>
          <w:noProof/>
          <w:lang w:val="en-GB" w:bidi="en-US"/>
        </w:rPr>
        <w:t>)</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_Toc96518207 \h </w:instrText>
      </w:r>
      <w:r w:rsidRPr="00D93FF9">
        <w:rPr>
          <w:rFonts w:cstheme="minorHAnsi"/>
          <w:noProof/>
        </w:rPr>
      </w:r>
      <w:r w:rsidRPr="00D93FF9">
        <w:rPr>
          <w:rFonts w:cstheme="minorHAnsi"/>
          <w:noProof/>
        </w:rPr>
        <w:fldChar w:fldCharType="separate"/>
      </w:r>
      <w:r w:rsidR="0069302C">
        <w:rPr>
          <w:rFonts w:cstheme="minorHAnsi"/>
          <w:noProof/>
        </w:rPr>
        <w:t>36</w:t>
      </w:r>
      <w:r w:rsidRPr="00D93FF9">
        <w:rPr>
          <w:rFonts w:cstheme="minorHAnsi"/>
          <w:noProof/>
        </w:rPr>
        <w:fldChar w:fldCharType="end"/>
      </w:r>
    </w:p>
    <w:p w14:paraId="655ADC03" w14:textId="38B38FAC"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Figure 8 Comparison of the TEC curves (leading to a 20% reduction in K</w:t>
      </w:r>
      <w:r w:rsidRPr="00D93FF9">
        <w:rPr>
          <w:rFonts w:cstheme="minorHAnsi"/>
          <w:noProof/>
          <w:vertAlign w:val="subscript"/>
          <w:lang w:bidi="en-US"/>
        </w:rPr>
        <w:t>sat</w:t>
      </w:r>
      <w:r w:rsidRPr="00D93FF9">
        <w:rPr>
          <w:rFonts w:cstheme="minorHAnsi"/>
          <w:noProof/>
          <w:lang w:bidi="en-US"/>
        </w:rPr>
        <w:t>) for six soils (left) and the relationship between SAR and EC for soil structural stability as presented in ANZECC (2000).</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_Toc96518208 \h </w:instrText>
      </w:r>
      <w:r w:rsidRPr="00D93FF9">
        <w:rPr>
          <w:rFonts w:cstheme="minorHAnsi"/>
          <w:noProof/>
        </w:rPr>
      </w:r>
      <w:r w:rsidRPr="00D93FF9">
        <w:rPr>
          <w:rFonts w:cstheme="minorHAnsi"/>
          <w:noProof/>
        </w:rPr>
        <w:fldChar w:fldCharType="separate"/>
      </w:r>
      <w:r w:rsidR="0069302C">
        <w:rPr>
          <w:rFonts w:cstheme="minorHAnsi"/>
          <w:noProof/>
        </w:rPr>
        <w:t>37</w:t>
      </w:r>
      <w:r w:rsidRPr="00D93FF9">
        <w:rPr>
          <w:rFonts w:cstheme="minorHAnsi"/>
          <w:noProof/>
        </w:rPr>
        <w:fldChar w:fldCharType="end"/>
      </w:r>
    </w:p>
    <w:p w14:paraId="69B75852" w14:textId="7B27A08B"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Figure 9 Two measures of root zone salinity (RZS): average RZS (left) and water uptake weighted RZS (right)</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_Toc96518209 \h </w:instrText>
      </w:r>
      <w:r w:rsidRPr="00D93FF9">
        <w:rPr>
          <w:rFonts w:cstheme="minorHAnsi"/>
          <w:noProof/>
        </w:rPr>
      </w:r>
      <w:r w:rsidRPr="00D93FF9">
        <w:rPr>
          <w:rFonts w:cstheme="minorHAnsi"/>
          <w:noProof/>
        </w:rPr>
        <w:fldChar w:fldCharType="separate"/>
      </w:r>
      <w:r w:rsidR="0069302C">
        <w:rPr>
          <w:rFonts w:cstheme="minorHAnsi"/>
          <w:noProof/>
        </w:rPr>
        <w:t>38</w:t>
      </w:r>
      <w:r w:rsidRPr="00D93FF9">
        <w:rPr>
          <w:rFonts w:cstheme="minorHAnsi"/>
          <w:noProof/>
        </w:rPr>
        <w:fldChar w:fldCharType="end"/>
      </w:r>
    </w:p>
    <w:p w14:paraId="39C43DF2" w14:textId="4FCD0146"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Figure 10 </w:t>
      </w:r>
      <w:r w:rsidRPr="00D93FF9">
        <w:rPr>
          <w:rFonts w:cstheme="minorHAnsi"/>
          <w:noProof/>
          <w:lang w:val="en-GB" w:bidi="en-US"/>
        </w:rPr>
        <w:t>Relative crop yield in relation to soil salinity (EC</w:t>
      </w:r>
      <w:r w:rsidRPr="00D93FF9">
        <w:rPr>
          <w:rFonts w:cstheme="minorHAnsi"/>
          <w:noProof/>
          <w:position w:val="-3"/>
          <w:lang w:val="en-GB" w:bidi="en-US"/>
        </w:rPr>
        <w:t>se</w:t>
      </w:r>
      <w:r w:rsidRPr="00D93FF9">
        <w:rPr>
          <w:rFonts w:cstheme="minorHAnsi"/>
          <w:noProof/>
          <w:lang w:val="en-GB" w:bidi="en-US"/>
        </w:rPr>
        <w:t>) for plant salt tolerance groupings of Maas and Hoffman (1977)</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_Toc96518210 \h </w:instrText>
      </w:r>
      <w:r w:rsidRPr="00D93FF9">
        <w:rPr>
          <w:rFonts w:cstheme="minorHAnsi"/>
          <w:noProof/>
        </w:rPr>
      </w:r>
      <w:r w:rsidRPr="00D93FF9">
        <w:rPr>
          <w:rFonts w:cstheme="minorHAnsi"/>
          <w:noProof/>
        </w:rPr>
        <w:fldChar w:fldCharType="separate"/>
      </w:r>
      <w:r w:rsidR="0069302C">
        <w:rPr>
          <w:rFonts w:cstheme="minorHAnsi"/>
          <w:noProof/>
        </w:rPr>
        <w:t>39</w:t>
      </w:r>
      <w:r w:rsidRPr="00D93FF9">
        <w:rPr>
          <w:rFonts w:cstheme="minorHAnsi"/>
          <w:noProof/>
        </w:rPr>
        <w:fldChar w:fldCharType="end"/>
      </w:r>
    </w:p>
    <w:p w14:paraId="388945EE" w14:textId="29D570C0"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Figure 11 </w:t>
      </w:r>
      <w:r w:rsidRPr="00D93FF9">
        <w:rPr>
          <w:rFonts w:cstheme="minorHAnsi"/>
          <w:noProof/>
          <w:lang w:val="en-GB" w:bidi="en-US"/>
        </w:rPr>
        <w:t>Interrelationships between irrigation water salinity, root zone salinity, leaching fraction and plant salt tolerance</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_Toc96518211 \h </w:instrText>
      </w:r>
      <w:r w:rsidRPr="00D93FF9">
        <w:rPr>
          <w:rFonts w:cstheme="minorHAnsi"/>
          <w:noProof/>
        </w:rPr>
      </w:r>
      <w:r w:rsidRPr="00D93FF9">
        <w:rPr>
          <w:rFonts w:cstheme="minorHAnsi"/>
          <w:noProof/>
        </w:rPr>
        <w:fldChar w:fldCharType="separate"/>
      </w:r>
      <w:r w:rsidR="0069302C">
        <w:rPr>
          <w:rFonts w:cstheme="minorHAnsi"/>
          <w:noProof/>
        </w:rPr>
        <w:t>40</w:t>
      </w:r>
      <w:r w:rsidRPr="00D93FF9">
        <w:rPr>
          <w:rFonts w:cstheme="minorHAnsi"/>
          <w:noProof/>
        </w:rPr>
        <w:fldChar w:fldCharType="end"/>
      </w:r>
    </w:p>
    <w:p w14:paraId="054C8D36" w14:textId="1F35F2AA"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Figure 12 Measured long term average monthly rainfall and Class A Pan evaporation for a range of climatic zones in Australia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_Toc96518212 \h </w:instrText>
      </w:r>
      <w:r w:rsidRPr="00D93FF9">
        <w:rPr>
          <w:rFonts w:cstheme="minorHAnsi"/>
          <w:noProof/>
        </w:rPr>
      </w:r>
      <w:r w:rsidRPr="00D93FF9">
        <w:rPr>
          <w:rFonts w:cstheme="minorHAnsi"/>
          <w:noProof/>
        </w:rPr>
        <w:fldChar w:fldCharType="separate"/>
      </w:r>
      <w:r w:rsidR="0069302C">
        <w:rPr>
          <w:rFonts w:cstheme="minorHAnsi"/>
          <w:noProof/>
        </w:rPr>
        <w:t>50</w:t>
      </w:r>
      <w:r w:rsidRPr="00D93FF9">
        <w:rPr>
          <w:rFonts w:cstheme="minorHAnsi"/>
          <w:noProof/>
        </w:rPr>
        <w:fldChar w:fldCharType="end"/>
      </w:r>
    </w:p>
    <w:p w14:paraId="64D20A9C" w14:textId="086A4AA9"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Figure 13 Monthly distribution of the potential irrigation demand for a pasture (mm/month) at three locations in Australia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_Toc96518213 \h </w:instrText>
      </w:r>
      <w:r w:rsidRPr="00D93FF9">
        <w:rPr>
          <w:rFonts w:cstheme="minorHAnsi"/>
          <w:noProof/>
        </w:rPr>
      </w:r>
      <w:r w:rsidRPr="00D93FF9">
        <w:rPr>
          <w:rFonts w:cstheme="minorHAnsi"/>
          <w:noProof/>
        </w:rPr>
        <w:fldChar w:fldCharType="separate"/>
      </w:r>
      <w:r w:rsidR="0069302C">
        <w:rPr>
          <w:rFonts w:cstheme="minorHAnsi"/>
          <w:noProof/>
        </w:rPr>
        <w:t>50</w:t>
      </w:r>
      <w:r w:rsidRPr="00D93FF9">
        <w:rPr>
          <w:rFonts w:cstheme="minorHAnsi"/>
          <w:noProof/>
        </w:rPr>
        <w:fldChar w:fldCharType="end"/>
      </w:r>
    </w:p>
    <w:p w14:paraId="68EDF323" w14:textId="6474A1A7"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Figure 14 Estimates of phosphorous required to increase Colwell and Olsen P by 1 mg/kg in soil. These values should be confirmed with agronomist or suitably qualified advisors.</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_Toc96518214 \h </w:instrText>
      </w:r>
      <w:r w:rsidRPr="00D93FF9">
        <w:rPr>
          <w:rFonts w:cstheme="minorHAnsi"/>
          <w:noProof/>
        </w:rPr>
      </w:r>
      <w:r w:rsidRPr="00D93FF9">
        <w:rPr>
          <w:rFonts w:cstheme="minorHAnsi"/>
          <w:noProof/>
        </w:rPr>
        <w:fldChar w:fldCharType="separate"/>
      </w:r>
      <w:r w:rsidR="0069302C">
        <w:rPr>
          <w:rFonts w:cstheme="minorHAnsi"/>
          <w:noProof/>
        </w:rPr>
        <w:t>96</w:t>
      </w:r>
      <w:r w:rsidRPr="00D93FF9">
        <w:rPr>
          <w:rFonts w:cstheme="minorHAnsi"/>
          <w:noProof/>
        </w:rPr>
        <w:fldChar w:fldCharType="end"/>
      </w:r>
    </w:p>
    <w:p w14:paraId="59DCC16C" w14:textId="0B957835" w:rsidR="00E307CA" w:rsidRPr="001D51CA" w:rsidRDefault="00E811B8" w:rsidP="003807A1">
      <w:pPr>
        <w:pStyle w:val="TOCHeading2"/>
      </w:pPr>
      <w:r w:rsidRPr="00D93FF9">
        <w:rPr>
          <w:rFonts w:asciiTheme="minorHAnsi" w:hAnsiTheme="minorHAnsi" w:cstheme="minorHAnsi"/>
          <w:color w:val="auto"/>
          <w:sz w:val="22"/>
          <w:szCs w:val="22"/>
        </w:rPr>
        <w:fldChar w:fldCharType="end"/>
      </w:r>
      <w:r w:rsidRPr="001D51CA">
        <w:t>Tables</w:t>
      </w:r>
    </w:p>
    <w:p w14:paraId="1DBDF6FF" w14:textId="30E29247" w:rsidR="001B16FC" w:rsidRPr="00D93FF9" w:rsidRDefault="00E811B8">
      <w:pPr>
        <w:pStyle w:val="TableofFigures"/>
        <w:tabs>
          <w:tab w:val="right" w:leader="dot" w:pos="9010"/>
        </w:tabs>
        <w:rPr>
          <w:rFonts w:eastAsiaTheme="minorEastAsia" w:cstheme="minorHAnsi"/>
          <w:noProof/>
          <w:lang w:eastAsia="en-AU"/>
        </w:rPr>
      </w:pPr>
      <w:r w:rsidRPr="00D93FF9">
        <w:rPr>
          <w:rFonts w:cstheme="minorHAnsi"/>
          <w:bCs/>
        </w:rPr>
        <w:fldChar w:fldCharType="begin"/>
      </w:r>
      <w:r w:rsidRPr="00D93FF9">
        <w:rPr>
          <w:rFonts w:cstheme="minorHAnsi"/>
          <w:bCs/>
        </w:rPr>
        <w:instrText xml:space="preserve"> TOC \c "Table" </w:instrText>
      </w:r>
      <w:r w:rsidRPr="00D93FF9">
        <w:rPr>
          <w:rFonts w:cstheme="minorHAnsi"/>
          <w:bCs/>
        </w:rPr>
        <w:fldChar w:fldCharType="separate"/>
      </w:r>
      <w:r w:rsidR="001B16FC" w:rsidRPr="00D93FF9">
        <w:rPr>
          <w:rFonts w:cstheme="minorHAnsi"/>
          <w:noProof/>
        </w:rPr>
        <w:t xml:space="preserve">Table 1 </w:t>
      </w:r>
      <w:r w:rsidR="001B16FC" w:rsidRPr="00D93FF9">
        <w:rPr>
          <w:rFonts w:cstheme="minorHAnsi"/>
          <w:noProof/>
          <w:lang w:val="en-GB"/>
        </w:rPr>
        <w:t>Key issues concerning irrigation water quality effects on soil, plants and water resources</w:t>
      </w:r>
      <w:r w:rsidR="001B16FC" w:rsidRPr="00D93FF9">
        <w:rPr>
          <w:rFonts w:cstheme="minorHAnsi"/>
          <w:noProof/>
        </w:rPr>
        <w:tab/>
      </w:r>
      <w:r w:rsidR="001B16FC" w:rsidRPr="00D93FF9">
        <w:rPr>
          <w:rFonts w:cstheme="minorHAnsi"/>
          <w:noProof/>
        </w:rPr>
        <w:fldChar w:fldCharType="begin"/>
      </w:r>
      <w:r w:rsidR="001B16FC" w:rsidRPr="00D93FF9">
        <w:rPr>
          <w:rFonts w:cstheme="minorHAnsi"/>
          <w:noProof/>
        </w:rPr>
        <w:instrText xml:space="preserve"> PAGEREF _Toc96518215 \h </w:instrText>
      </w:r>
      <w:r w:rsidR="001B16FC" w:rsidRPr="00D93FF9">
        <w:rPr>
          <w:rFonts w:cstheme="minorHAnsi"/>
          <w:noProof/>
        </w:rPr>
      </w:r>
      <w:r w:rsidR="001B16FC" w:rsidRPr="00D93FF9">
        <w:rPr>
          <w:rFonts w:cstheme="minorHAnsi"/>
          <w:noProof/>
        </w:rPr>
        <w:fldChar w:fldCharType="separate"/>
      </w:r>
      <w:r w:rsidR="0069302C">
        <w:rPr>
          <w:rFonts w:cstheme="minorHAnsi"/>
          <w:noProof/>
        </w:rPr>
        <w:t>2</w:t>
      </w:r>
      <w:r w:rsidR="001B16FC" w:rsidRPr="00D93FF9">
        <w:rPr>
          <w:rFonts w:cstheme="minorHAnsi"/>
          <w:noProof/>
        </w:rPr>
        <w:fldChar w:fldCharType="end"/>
      </w:r>
    </w:p>
    <w:p w14:paraId="1BB96423" w14:textId="04CD64D2"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Table 2 Accumulation of microcystins in food crops via irrigation with cyanobacteria-contaminated water.</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_Toc96518216 \h </w:instrText>
      </w:r>
      <w:r w:rsidRPr="00D93FF9">
        <w:rPr>
          <w:rFonts w:cstheme="minorHAnsi"/>
          <w:noProof/>
        </w:rPr>
      </w:r>
      <w:r w:rsidRPr="00D93FF9">
        <w:rPr>
          <w:rFonts w:cstheme="minorHAnsi"/>
          <w:noProof/>
        </w:rPr>
        <w:fldChar w:fldCharType="separate"/>
      </w:r>
      <w:r w:rsidR="0069302C">
        <w:rPr>
          <w:rFonts w:cstheme="minorHAnsi"/>
          <w:noProof/>
        </w:rPr>
        <w:t>7</w:t>
      </w:r>
      <w:r w:rsidRPr="00D93FF9">
        <w:rPr>
          <w:rFonts w:cstheme="minorHAnsi"/>
          <w:noProof/>
        </w:rPr>
        <w:fldChar w:fldCharType="end"/>
      </w:r>
    </w:p>
    <w:p w14:paraId="324361D7" w14:textId="0D0B4FBD"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Table 3 Accumulation of cylindrospermopsins (CYN) in vegetables and herbs when experimentally grown in or irrigated with CYN contaminated water.</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_Toc96518217 \h </w:instrText>
      </w:r>
      <w:r w:rsidRPr="00D93FF9">
        <w:rPr>
          <w:rFonts w:cstheme="minorHAnsi"/>
          <w:noProof/>
        </w:rPr>
      </w:r>
      <w:r w:rsidRPr="00D93FF9">
        <w:rPr>
          <w:rFonts w:cstheme="minorHAnsi"/>
          <w:noProof/>
        </w:rPr>
        <w:fldChar w:fldCharType="separate"/>
      </w:r>
      <w:r w:rsidR="0069302C">
        <w:rPr>
          <w:rFonts w:cstheme="minorHAnsi"/>
          <w:noProof/>
        </w:rPr>
        <w:t>8</w:t>
      </w:r>
      <w:r w:rsidRPr="00D93FF9">
        <w:rPr>
          <w:rFonts w:cstheme="minorHAnsi"/>
          <w:noProof/>
        </w:rPr>
        <w:fldChar w:fldCharType="end"/>
      </w:r>
    </w:p>
    <w:p w14:paraId="5E0D47C0" w14:textId="1B3BE0EB"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rPr>
        <w:t>Table 4 Guideline values for selected cyanotoxins in recreational waters</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_Toc96518218 \h </w:instrText>
      </w:r>
      <w:r w:rsidRPr="00D93FF9">
        <w:rPr>
          <w:rFonts w:cstheme="minorHAnsi"/>
          <w:noProof/>
        </w:rPr>
      </w:r>
      <w:r w:rsidRPr="00D93FF9">
        <w:rPr>
          <w:rFonts w:cstheme="minorHAnsi"/>
          <w:noProof/>
        </w:rPr>
        <w:fldChar w:fldCharType="separate"/>
      </w:r>
      <w:r w:rsidR="0069302C">
        <w:rPr>
          <w:rFonts w:cstheme="minorHAnsi"/>
          <w:noProof/>
        </w:rPr>
        <w:t>9</w:t>
      </w:r>
      <w:r w:rsidRPr="00D93FF9">
        <w:rPr>
          <w:rFonts w:cstheme="minorHAnsi"/>
          <w:noProof/>
        </w:rPr>
        <w:fldChar w:fldCharType="end"/>
      </w:r>
    </w:p>
    <w:p w14:paraId="3E867800" w14:textId="52B38A77"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5 </w:t>
      </w:r>
      <w:r w:rsidRPr="00D93FF9">
        <w:rPr>
          <w:rFonts w:cstheme="minorHAnsi"/>
          <w:noProof/>
          <w:lang w:val="en-GB" w:bidi="en-US"/>
        </w:rPr>
        <w:t xml:space="preserve">Default guideline values for </w:t>
      </w:r>
      <w:r w:rsidRPr="00D93FF9">
        <w:rPr>
          <w:rFonts w:cstheme="minorHAnsi"/>
          <w:i/>
          <w:iCs/>
          <w:noProof/>
          <w:lang w:val="en-GB" w:bidi="en-US"/>
        </w:rPr>
        <w:t>Escherichia coli</w:t>
      </w:r>
      <w:r w:rsidRPr="00D93FF9">
        <w:rPr>
          <w:rFonts w:cstheme="minorHAnsi"/>
          <w:noProof/>
          <w:lang w:val="en-GB" w:bidi="en-US"/>
        </w:rPr>
        <w:t xml:space="preserve"> in irrigation waters sourced from rainfed natural sources used for food and non-food crops</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_Toc96518219 \h </w:instrText>
      </w:r>
      <w:r w:rsidRPr="00D93FF9">
        <w:rPr>
          <w:rFonts w:cstheme="minorHAnsi"/>
          <w:noProof/>
        </w:rPr>
      </w:r>
      <w:r w:rsidRPr="00D93FF9">
        <w:rPr>
          <w:rFonts w:cstheme="minorHAnsi"/>
          <w:noProof/>
        </w:rPr>
        <w:fldChar w:fldCharType="separate"/>
      </w:r>
      <w:r w:rsidR="0069302C">
        <w:rPr>
          <w:rFonts w:cstheme="minorHAnsi"/>
          <w:noProof/>
        </w:rPr>
        <w:t>10</w:t>
      </w:r>
      <w:r w:rsidRPr="00D93FF9">
        <w:rPr>
          <w:rFonts w:cstheme="minorHAnsi"/>
          <w:noProof/>
        </w:rPr>
        <w:fldChar w:fldCharType="end"/>
      </w:r>
    </w:p>
    <w:p w14:paraId="47B67D61" w14:textId="7392C205"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6 </w:t>
      </w:r>
      <w:r w:rsidRPr="00D93FF9">
        <w:rPr>
          <w:rFonts w:cstheme="minorHAnsi"/>
          <w:noProof/>
          <w:lang w:val="en-GB" w:bidi="en-US"/>
        </w:rPr>
        <w:t>Infectious agents potentially present in domestic wastewater</w:t>
      </w:r>
      <w:r w:rsidRPr="00D93FF9">
        <w:rPr>
          <w:rFonts w:cstheme="minorHAnsi"/>
          <w:noProof/>
          <w:vertAlign w:val="superscript"/>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_Toc96518220 \h </w:instrText>
      </w:r>
      <w:r w:rsidRPr="00D93FF9">
        <w:rPr>
          <w:rFonts w:cstheme="minorHAnsi"/>
          <w:noProof/>
        </w:rPr>
      </w:r>
      <w:r w:rsidRPr="00D93FF9">
        <w:rPr>
          <w:rFonts w:cstheme="minorHAnsi"/>
          <w:noProof/>
        </w:rPr>
        <w:fldChar w:fldCharType="separate"/>
      </w:r>
      <w:r w:rsidR="0069302C">
        <w:rPr>
          <w:rFonts w:cstheme="minorHAnsi"/>
          <w:noProof/>
        </w:rPr>
        <w:t>13</w:t>
      </w:r>
      <w:r w:rsidRPr="00D93FF9">
        <w:rPr>
          <w:rFonts w:cstheme="minorHAnsi"/>
          <w:noProof/>
        </w:rPr>
        <w:fldChar w:fldCharType="end"/>
      </w:r>
    </w:p>
    <w:p w14:paraId="3EF4C2DD" w14:textId="4EBBA6AB"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7 </w:t>
      </w:r>
      <w:r w:rsidRPr="00D93FF9">
        <w:rPr>
          <w:rFonts w:cstheme="minorHAnsi"/>
          <w:noProof/>
          <w:lang w:val="en-GB" w:bidi="en-US"/>
        </w:rPr>
        <w:t>Examples of plant pathogens found in irrigation water</w:t>
      </w:r>
      <w:r w:rsidRPr="00D93FF9">
        <w:rPr>
          <w:rFonts w:cstheme="minorHAnsi"/>
          <w:noProof/>
          <w:position w:val="4"/>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_Toc96518221 \h </w:instrText>
      </w:r>
      <w:r w:rsidRPr="00D93FF9">
        <w:rPr>
          <w:rFonts w:cstheme="minorHAnsi"/>
          <w:noProof/>
        </w:rPr>
      </w:r>
      <w:r w:rsidRPr="00D93FF9">
        <w:rPr>
          <w:rFonts w:cstheme="minorHAnsi"/>
          <w:noProof/>
        </w:rPr>
        <w:fldChar w:fldCharType="separate"/>
      </w:r>
      <w:r w:rsidR="0069302C">
        <w:rPr>
          <w:rFonts w:cstheme="minorHAnsi"/>
          <w:noProof/>
        </w:rPr>
        <w:t>15</w:t>
      </w:r>
      <w:r w:rsidRPr="00D93FF9">
        <w:rPr>
          <w:rFonts w:cstheme="minorHAnsi"/>
          <w:noProof/>
        </w:rPr>
        <w:fldChar w:fldCharType="end"/>
      </w:r>
    </w:p>
    <w:p w14:paraId="4EE45CD8" w14:textId="61922AB8"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8 </w:t>
      </w:r>
      <w:r w:rsidRPr="00D93FF9">
        <w:rPr>
          <w:rFonts w:cstheme="minorHAnsi"/>
          <w:noProof/>
          <w:lang w:val="en-GB" w:bidi="en-US"/>
        </w:rPr>
        <w:t>Irrigation water salinity ratings based on electrical conductivity</w:t>
      </w:r>
      <w:r w:rsidRPr="00D93FF9">
        <w:rPr>
          <w:rFonts w:cstheme="minorHAnsi"/>
          <w:noProof/>
          <w:vertAlign w:val="superscript"/>
          <w:lang w:val="en-GB" w:bidi="en-US"/>
        </w:rPr>
        <w:t>a,b</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_Toc96518222 \h </w:instrText>
      </w:r>
      <w:r w:rsidRPr="00D93FF9">
        <w:rPr>
          <w:rFonts w:cstheme="minorHAnsi"/>
          <w:noProof/>
        </w:rPr>
      </w:r>
      <w:r w:rsidRPr="00D93FF9">
        <w:rPr>
          <w:rFonts w:cstheme="minorHAnsi"/>
          <w:noProof/>
        </w:rPr>
        <w:fldChar w:fldCharType="separate"/>
      </w:r>
      <w:r w:rsidR="0069302C">
        <w:rPr>
          <w:rFonts w:cstheme="minorHAnsi"/>
          <w:noProof/>
        </w:rPr>
        <w:t>19</w:t>
      </w:r>
      <w:r w:rsidRPr="00D93FF9">
        <w:rPr>
          <w:rFonts w:cstheme="minorHAnsi"/>
          <w:noProof/>
        </w:rPr>
        <w:fldChar w:fldCharType="end"/>
      </w:r>
    </w:p>
    <w:p w14:paraId="29CAAC07" w14:textId="587FE93F"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9 </w:t>
      </w:r>
      <w:r w:rsidRPr="00D93FF9">
        <w:rPr>
          <w:rFonts w:cstheme="minorHAnsi"/>
          <w:noProof/>
          <w:lang w:val="en-GB" w:bidi="en-US"/>
        </w:rPr>
        <w:t>Permissible SAR of irrigation water for maintaining a stable soil surface under high rainfall</w:t>
      </w:r>
      <w:r w:rsidRPr="00D93FF9">
        <w:rPr>
          <w:rFonts w:cstheme="minorHAnsi"/>
          <w:noProof/>
          <w:position w:val="4"/>
          <w:lang w:val="en-GB" w:bidi="en-US"/>
        </w:rPr>
        <w:t>a,b</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_Toc96518223 \h </w:instrText>
      </w:r>
      <w:r w:rsidRPr="00D93FF9">
        <w:rPr>
          <w:rFonts w:cstheme="minorHAnsi"/>
          <w:noProof/>
        </w:rPr>
      </w:r>
      <w:r w:rsidRPr="00D93FF9">
        <w:rPr>
          <w:rFonts w:cstheme="minorHAnsi"/>
          <w:noProof/>
        </w:rPr>
        <w:fldChar w:fldCharType="separate"/>
      </w:r>
      <w:r w:rsidR="0069302C">
        <w:rPr>
          <w:rFonts w:cstheme="minorHAnsi"/>
          <w:noProof/>
        </w:rPr>
        <w:t>21</w:t>
      </w:r>
      <w:r w:rsidRPr="00D93FF9">
        <w:rPr>
          <w:rFonts w:cstheme="minorHAnsi"/>
          <w:noProof/>
        </w:rPr>
        <w:fldChar w:fldCharType="end"/>
      </w:r>
    </w:p>
    <w:p w14:paraId="5F364F0D" w14:textId="066B04D2"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lastRenderedPageBreak/>
        <w:t xml:space="preserve">Table 10 </w:t>
      </w:r>
      <w:r w:rsidRPr="00D93FF9">
        <w:rPr>
          <w:rFonts w:cstheme="minorHAnsi"/>
          <w:noProof/>
          <w:lang w:val="en-GB" w:bidi="en-US"/>
        </w:rPr>
        <w:t>Summary of methods and data required for estimating leaching fraction for different conditions</w:t>
      </w:r>
      <w:r w:rsidRPr="00D93FF9">
        <w:rPr>
          <w:rFonts w:cstheme="minorHAnsi"/>
          <w:noProof/>
          <w:position w:val="4"/>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_Toc96518224 \h </w:instrText>
      </w:r>
      <w:r w:rsidRPr="00D93FF9">
        <w:rPr>
          <w:rFonts w:cstheme="minorHAnsi"/>
          <w:noProof/>
        </w:rPr>
      </w:r>
      <w:r w:rsidRPr="00D93FF9">
        <w:rPr>
          <w:rFonts w:cstheme="minorHAnsi"/>
          <w:noProof/>
        </w:rPr>
        <w:fldChar w:fldCharType="separate"/>
      </w:r>
      <w:r w:rsidR="0069302C">
        <w:rPr>
          <w:rFonts w:cstheme="minorHAnsi"/>
          <w:noProof/>
        </w:rPr>
        <w:t>26</w:t>
      </w:r>
      <w:r w:rsidRPr="00D93FF9">
        <w:rPr>
          <w:rFonts w:cstheme="minorHAnsi"/>
          <w:noProof/>
        </w:rPr>
        <w:fldChar w:fldCharType="end"/>
      </w:r>
    </w:p>
    <w:p w14:paraId="41837CA4" w14:textId="0FE85B82"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11 </w:t>
      </w:r>
      <w:r w:rsidRPr="00D93FF9">
        <w:rPr>
          <w:rFonts w:cstheme="minorHAnsi"/>
          <w:noProof/>
          <w:lang w:val="en-GB" w:bidi="en-US"/>
        </w:rPr>
        <w:t xml:space="preserve">Parameters used in </w:t>
      </w:r>
      <w:r w:rsidRPr="00D93FF9">
        <w:rPr>
          <w:rFonts w:cstheme="minorHAnsi"/>
          <w:noProof/>
          <w:lang w:bidi="en-US"/>
        </w:rPr>
        <w:t>Equation 8</w:t>
      </w:r>
      <w:r w:rsidRPr="00D93FF9">
        <w:rPr>
          <w:rFonts w:cstheme="minorHAnsi"/>
          <w:noProof/>
          <w:lang w:val="en-GB" w:bidi="en-US"/>
        </w:rPr>
        <w:t xml:space="preserve"> to estimate LF under rainfall</w:t>
      </w:r>
      <w:r w:rsidRPr="00D93FF9">
        <w:rPr>
          <w:rFonts w:cstheme="minorHAnsi"/>
          <w:noProof/>
          <w:position w:val="4"/>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_Toc96518225 \h </w:instrText>
      </w:r>
      <w:r w:rsidRPr="00D93FF9">
        <w:rPr>
          <w:rFonts w:cstheme="minorHAnsi"/>
          <w:noProof/>
        </w:rPr>
      </w:r>
      <w:r w:rsidRPr="00D93FF9">
        <w:rPr>
          <w:rFonts w:cstheme="minorHAnsi"/>
          <w:noProof/>
        </w:rPr>
        <w:fldChar w:fldCharType="separate"/>
      </w:r>
      <w:r w:rsidR="0069302C">
        <w:rPr>
          <w:rFonts w:cstheme="minorHAnsi"/>
          <w:noProof/>
        </w:rPr>
        <w:t>27</w:t>
      </w:r>
      <w:r w:rsidRPr="00D93FF9">
        <w:rPr>
          <w:rFonts w:cstheme="minorHAnsi"/>
          <w:noProof/>
        </w:rPr>
        <w:fldChar w:fldCharType="end"/>
      </w:r>
    </w:p>
    <w:p w14:paraId="6C516E07" w14:textId="2C2AFE77"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Table 12 Multiplier factors for different soil textures to convert EC</w:t>
      </w:r>
      <w:r w:rsidRPr="00D93FF9">
        <w:rPr>
          <w:rFonts w:cstheme="minorHAnsi"/>
          <w:noProof/>
          <w:vertAlign w:val="subscript"/>
          <w:lang w:bidi="en-US"/>
        </w:rPr>
        <w:t>1:5</w:t>
      </w:r>
      <w:r w:rsidRPr="00D93FF9">
        <w:rPr>
          <w:rFonts w:cstheme="minorHAnsi"/>
          <w:noProof/>
          <w:lang w:bidi="en-US"/>
        </w:rPr>
        <w:t xml:space="preserve"> to EC</w:t>
      </w:r>
      <w:r w:rsidRPr="00D93FF9">
        <w:rPr>
          <w:rFonts w:cstheme="minorHAnsi"/>
          <w:noProof/>
          <w:vertAlign w:val="subscript"/>
          <w:lang w:bidi="en-US"/>
        </w:rPr>
        <w:t>se</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_Toc96518226 \h </w:instrText>
      </w:r>
      <w:r w:rsidRPr="00D93FF9">
        <w:rPr>
          <w:rFonts w:cstheme="minorHAnsi"/>
          <w:noProof/>
        </w:rPr>
      </w:r>
      <w:r w:rsidRPr="00D93FF9">
        <w:rPr>
          <w:rFonts w:cstheme="minorHAnsi"/>
          <w:noProof/>
        </w:rPr>
        <w:fldChar w:fldCharType="separate"/>
      </w:r>
      <w:r w:rsidR="0069302C">
        <w:rPr>
          <w:rFonts w:cstheme="minorHAnsi"/>
          <w:noProof/>
        </w:rPr>
        <w:t>30</w:t>
      </w:r>
      <w:r w:rsidRPr="00D93FF9">
        <w:rPr>
          <w:rFonts w:cstheme="minorHAnsi"/>
          <w:noProof/>
        </w:rPr>
        <w:fldChar w:fldCharType="end"/>
      </w:r>
    </w:p>
    <w:p w14:paraId="0AF6E334" w14:textId="70BE61FA"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13 </w:t>
      </w:r>
      <w:r w:rsidRPr="00D93FF9">
        <w:rPr>
          <w:rFonts w:cstheme="minorHAnsi"/>
          <w:noProof/>
          <w:lang w:val="en-GB" w:bidi="en-US"/>
        </w:rPr>
        <w:t>Relative dilution above maximum field water content for three measures of soil salinity, EC</w:t>
      </w:r>
      <w:r w:rsidRPr="00D93FF9">
        <w:rPr>
          <w:rFonts w:cstheme="minorHAnsi"/>
          <w:noProof/>
          <w:position w:val="-3"/>
          <w:lang w:val="en-GB" w:bidi="en-US"/>
        </w:rPr>
        <w:t>1:5</w:t>
      </w:r>
      <w:r w:rsidRPr="00D93FF9">
        <w:rPr>
          <w:rFonts w:cstheme="minorHAnsi"/>
          <w:noProof/>
          <w:lang w:val="en-GB" w:bidi="en-US"/>
        </w:rPr>
        <w:t>, EC</w:t>
      </w:r>
      <w:r w:rsidRPr="00D93FF9">
        <w:rPr>
          <w:rFonts w:cstheme="minorHAnsi"/>
          <w:noProof/>
          <w:position w:val="-3"/>
          <w:lang w:val="en-GB" w:bidi="en-US"/>
        </w:rPr>
        <w:t xml:space="preserve">se </w:t>
      </w:r>
      <w:r w:rsidRPr="00D93FF9">
        <w:rPr>
          <w:rFonts w:cstheme="minorHAnsi"/>
          <w:noProof/>
          <w:lang w:val="en-GB" w:bidi="en-US"/>
        </w:rPr>
        <w:t>and ECs</w:t>
      </w:r>
      <w:r w:rsidRPr="00D93FF9">
        <w:rPr>
          <w:rFonts w:cstheme="minorHAnsi"/>
          <w:noProof/>
          <w:vertAlign w:val="superscript"/>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_Toc96518227 \h </w:instrText>
      </w:r>
      <w:r w:rsidRPr="00D93FF9">
        <w:rPr>
          <w:rFonts w:cstheme="minorHAnsi"/>
          <w:noProof/>
        </w:rPr>
      </w:r>
      <w:r w:rsidRPr="00D93FF9">
        <w:rPr>
          <w:rFonts w:cstheme="minorHAnsi"/>
          <w:noProof/>
        </w:rPr>
        <w:fldChar w:fldCharType="separate"/>
      </w:r>
      <w:r w:rsidR="0069302C">
        <w:rPr>
          <w:rFonts w:cstheme="minorHAnsi"/>
          <w:noProof/>
        </w:rPr>
        <w:t>30</w:t>
      </w:r>
      <w:r w:rsidRPr="00D93FF9">
        <w:rPr>
          <w:rFonts w:cstheme="minorHAnsi"/>
          <w:noProof/>
        </w:rPr>
        <w:fldChar w:fldCharType="end"/>
      </w:r>
    </w:p>
    <w:p w14:paraId="3C7701A8" w14:textId="6821EA2B"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14 Salinity threshold for </w:t>
      </w:r>
      <w:r w:rsidRPr="00D93FF9">
        <w:rPr>
          <w:rFonts w:cstheme="minorHAnsi"/>
          <w:noProof/>
          <w:lang w:val="en-GB" w:bidi="en-US"/>
        </w:rPr>
        <w:t>plants, expressed in units of saturation extract (EC</w:t>
      </w:r>
      <w:r w:rsidRPr="00D93FF9">
        <w:rPr>
          <w:rFonts w:cstheme="minorHAnsi"/>
          <w:noProof/>
          <w:vertAlign w:val="subscript"/>
          <w:lang w:val="en-GB" w:bidi="en-US"/>
        </w:rPr>
        <w:t>se</w:t>
      </w:r>
      <w:r w:rsidRPr="00D93FF9">
        <w:rPr>
          <w:rFonts w:cstheme="minorHAnsi"/>
          <w:noProof/>
          <w:lang w:val="en-GB" w:bidi="en-US"/>
        </w:rPr>
        <w:t>), arranged in alphabetical order by common name, within broad plant groups</w:t>
      </w:r>
      <w:r w:rsidRPr="00D93FF9">
        <w:rPr>
          <w:rFonts w:cstheme="minorHAnsi"/>
          <w:noProof/>
          <w:position w:val="4"/>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_Toc96518228 \h </w:instrText>
      </w:r>
      <w:r w:rsidRPr="00D93FF9">
        <w:rPr>
          <w:rFonts w:cstheme="minorHAnsi"/>
          <w:noProof/>
        </w:rPr>
      </w:r>
      <w:r w:rsidRPr="00D93FF9">
        <w:rPr>
          <w:rFonts w:cstheme="minorHAnsi"/>
          <w:noProof/>
        </w:rPr>
        <w:fldChar w:fldCharType="separate"/>
      </w:r>
      <w:r w:rsidR="0069302C">
        <w:rPr>
          <w:rFonts w:cstheme="minorHAnsi"/>
          <w:noProof/>
        </w:rPr>
        <w:t>42</w:t>
      </w:r>
      <w:r w:rsidRPr="00D93FF9">
        <w:rPr>
          <w:rFonts w:cstheme="minorHAnsi"/>
          <w:noProof/>
        </w:rPr>
        <w:fldChar w:fldCharType="end"/>
      </w:r>
    </w:p>
    <w:p w14:paraId="3C87539D" w14:textId="34AD6B1D"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Table 15 Maximum irrigation water salinity (EC</w:t>
      </w:r>
      <w:r w:rsidRPr="00D93FF9">
        <w:rPr>
          <w:rFonts w:cstheme="minorHAnsi"/>
          <w:noProof/>
          <w:vertAlign w:val="subscript"/>
          <w:lang w:bidi="en-US"/>
        </w:rPr>
        <w:t>i</w:t>
      </w:r>
      <w:r w:rsidRPr="00D93FF9">
        <w:rPr>
          <w:rFonts w:cstheme="minorHAnsi"/>
          <w:noProof/>
          <w:lang w:bidi="en-US"/>
        </w:rPr>
        <w:t>) values that constrain the subsequent equilibrium soil salinity to the threshold value, for different Leaching Fractions</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_Toc96518229 \h </w:instrText>
      </w:r>
      <w:r w:rsidRPr="00D93FF9">
        <w:rPr>
          <w:rFonts w:cstheme="minorHAnsi"/>
          <w:noProof/>
        </w:rPr>
      </w:r>
      <w:r w:rsidRPr="00D93FF9">
        <w:rPr>
          <w:rFonts w:cstheme="minorHAnsi"/>
          <w:noProof/>
        </w:rPr>
        <w:fldChar w:fldCharType="separate"/>
      </w:r>
      <w:r w:rsidR="0069302C">
        <w:rPr>
          <w:rFonts w:cstheme="minorHAnsi"/>
          <w:noProof/>
        </w:rPr>
        <w:t>47</w:t>
      </w:r>
      <w:r w:rsidRPr="00D93FF9">
        <w:rPr>
          <w:rFonts w:cstheme="minorHAnsi"/>
          <w:noProof/>
        </w:rPr>
        <w:fldChar w:fldCharType="end"/>
      </w:r>
    </w:p>
    <w:p w14:paraId="2E9F6FC0" w14:textId="33A14792"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Table 16 Salinity (electric conductivity (EC) thresholds in agricultural water reuse regulations and guidelines</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_Toc96518230 \h </w:instrText>
      </w:r>
      <w:r w:rsidRPr="00D93FF9">
        <w:rPr>
          <w:rFonts w:cstheme="minorHAnsi"/>
          <w:noProof/>
        </w:rPr>
      </w:r>
      <w:r w:rsidRPr="00D93FF9">
        <w:rPr>
          <w:rFonts w:cstheme="minorHAnsi"/>
          <w:noProof/>
        </w:rPr>
        <w:fldChar w:fldCharType="separate"/>
      </w:r>
      <w:r w:rsidR="0069302C">
        <w:rPr>
          <w:rFonts w:cstheme="minorHAnsi"/>
          <w:noProof/>
        </w:rPr>
        <w:t>55</w:t>
      </w:r>
      <w:r w:rsidRPr="00D93FF9">
        <w:rPr>
          <w:rFonts w:cstheme="minorHAnsi"/>
          <w:noProof/>
        </w:rPr>
        <w:fldChar w:fldCharType="end"/>
      </w:r>
    </w:p>
    <w:p w14:paraId="358ED7B1" w14:textId="2FFB76DD"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17 </w:t>
      </w:r>
      <w:r w:rsidRPr="00D93FF9">
        <w:rPr>
          <w:rFonts w:cstheme="minorHAnsi"/>
          <w:noProof/>
          <w:lang w:val="en-GB" w:bidi="en-US"/>
        </w:rPr>
        <w:t>Chloride concentrations in irrigation water (mg/L) causing foliar injury in crops of varying sensitivity</w:t>
      </w:r>
      <w:r w:rsidRPr="00D93FF9">
        <w:rPr>
          <w:rFonts w:cstheme="minorHAnsi"/>
          <w:noProof/>
          <w:position w:val="4"/>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_Toc96518231 \h </w:instrText>
      </w:r>
      <w:r w:rsidRPr="00D93FF9">
        <w:rPr>
          <w:rFonts w:cstheme="minorHAnsi"/>
          <w:noProof/>
        </w:rPr>
      </w:r>
      <w:r w:rsidRPr="00D93FF9">
        <w:rPr>
          <w:rFonts w:cstheme="minorHAnsi"/>
          <w:noProof/>
        </w:rPr>
        <w:fldChar w:fldCharType="separate"/>
      </w:r>
      <w:r w:rsidR="0069302C">
        <w:rPr>
          <w:rFonts w:cstheme="minorHAnsi"/>
          <w:noProof/>
        </w:rPr>
        <w:t>57</w:t>
      </w:r>
      <w:r w:rsidRPr="00D93FF9">
        <w:rPr>
          <w:rFonts w:cstheme="minorHAnsi"/>
          <w:noProof/>
        </w:rPr>
        <w:fldChar w:fldCharType="end"/>
      </w:r>
    </w:p>
    <w:p w14:paraId="43F56AF5" w14:textId="27F4B463"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18 </w:t>
      </w:r>
      <w:r w:rsidRPr="00D93FF9">
        <w:rPr>
          <w:rFonts w:cstheme="minorHAnsi"/>
          <w:noProof/>
          <w:lang w:val="en-GB" w:bidi="en-US"/>
        </w:rPr>
        <w:t>Risks of increasing cadmium concentrations in crops due to chloride in irrigation waters</w:t>
      </w:r>
      <w:r w:rsidRPr="00D93FF9">
        <w:rPr>
          <w:rFonts w:cstheme="minorHAnsi"/>
          <w:noProof/>
          <w:position w:val="4"/>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_Toc96518232 \h </w:instrText>
      </w:r>
      <w:r w:rsidRPr="00D93FF9">
        <w:rPr>
          <w:rFonts w:cstheme="minorHAnsi"/>
          <w:noProof/>
        </w:rPr>
      </w:r>
      <w:r w:rsidRPr="00D93FF9">
        <w:rPr>
          <w:rFonts w:cstheme="minorHAnsi"/>
          <w:noProof/>
        </w:rPr>
        <w:fldChar w:fldCharType="separate"/>
      </w:r>
      <w:r w:rsidR="0069302C">
        <w:rPr>
          <w:rFonts w:cstheme="minorHAnsi"/>
          <w:noProof/>
        </w:rPr>
        <w:t>58</w:t>
      </w:r>
      <w:r w:rsidRPr="00D93FF9">
        <w:rPr>
          <w:rFonts w:cstheme="minorHAnsi"/>
          <w:noProof/>
        </w:rPr>
        <w:fldChar w:fldCharType="end"/>
      </w:r>
    </w:p>
    <w:p w14:paraId="391501AF" w14:textId="633CA2E3"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19 </w:t>
      </w:r>
      <w:r w:rsidRPr="00D93FF9">
        <w:rPr>
          <w:rFonts w:cstheme="minorHAnsi"/>
          <w:iCs/>
          <w:noProof/>
          <w:lang w:val="en-GB" w:bidi="en-US"/>
        </w:rPr>
        <w:t>Chloride concentration thresholds in agricultural water reuse as recommended by the FAO</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_Toc96518233 \h </w:instrText>
      </w:r>
      <w:r w:rsidRPr="00D93FF9">
        <w:rPr>
          <w:rFonts w:cstheme="minorHAnsi"/>
          <w:noProof/>
        </w:rPr>
      </w:r>
      <w:r w:rsidRPr="00D93FF9">
        <w:rPr>
          <w:rFonts w:cstheme="minorHAnsi"/>
          <w:noProof/>
        </w:rPr>
        <w:fldChar w:fldCharType="separate"/>
      </w:r>
      <w:r w:rsidR="0069302C">
        <w:rPr>
          <w:rFonts w:cstheme="minorHAnsi"/>
          <w:noProof/>
        </w:rPr>
        <w:t>59</w:t>
      </w:r>
      <w:r w:rsidRPr="00D93FF9">
        <w:rPr>
          <w:rFonts w:cstheme="minorHAnsi"/>
          <w:noProof/>
        </w:rPr>
        <w:fldChar w:fldCharType="end"/>
      </w:r>
    </w:p>
    <w:p w14:paraId="75EE77C1" w14:textId="7ED7BC85"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20 </w:t>
      </w:r>
      <w:r w:rsidRPr="00D93FF9">
        <w:rPr>
          <w:rFonts w:cstheme="minorHAnsi"/>
          <w:noProof/>
          <w:lang w:val="en-GB" w:bidi="en-US"/>
        </w:rPr>
        <w:t>Sodium concentration (mg/L) causing foliar injury in crops of varying sensitivity</w:t>
      </w:r>
      <w:r w:rsidRPr="00D93FF9">
        <w:rPr>
          <w:rFonts w:cstheme="minorHAnsi"/>
          <w:noProof/>
          <w:position w:val="4"/>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_Toc96518234 \h </w:instrText>
      </w:r>
      <w:r w:rsidRPr="00D93FF9">
        <w:rPr>
          <w:rFonts w:cstheme="minorHAnsi"/>
          <w:noProof/>
        </w:rPr>
      </w:r>
      <w:r w:rsidRPr="00D93FF9">
        <w:rPr>
          <w:rFonts w:cstheme="minorHAnsi"/>
          <w:noProof/>
        </w:rPr>
        <w:fldChar w:fldCharType="separate"/>
      </w:r>
      <w:r w:rsidR="0069302C">
        <w:rPr>
          <w:rFonts w:cstheme="minorHAnsi"/>
          <w:noProof/>
        </w:rPr>
        <w:t>59</w:t>
      </w:r>
      <w:r w:rsidRPr="00D93FF9">
        <w:rPr>
          <w:rFonts w:cstheme="minorHAnsi"/>
          <w:noProof/>
        </w:rPr>
        <w:fldChar w:fldCharType="end"/>
      </w:r>
    </w:p>
    <w:p w14:paraId="58751781" w14:textId="77B4336D"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21 </w:t>
      </w:r>
      <w:r w:rsidRPr="00D93FF9">
        <w:rPr>
          <w:rFonts w:cstheme="minorHAnsi"/>
          <w:noProof/>
          <w:lang w:val="en-GB" w:bidi="en-US"/>
        </w:rPr>
        <w:t>Effect of sodium expressed as sodium adsorption ratio (SAR) on crop yield and quality under non-saline conditions</w:t>
      </w:r>
      <w:r w:rsidRPr="00D93FF9">
        <w:rPr>
          <w:rFonts w:cstheme="minorHAnsi"/>
          <w:noProof/>
          <w:position w:val="4"/>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_Toc96518235 \h </w:instrText>
      </w:r>
      <w:r w:rsidRPr="00D93FF9">
        <w:rPr>
          <w:rFonts w:cstheme="minorHAnsi"/>
          <w:noProof/>
        </w:rPr>
      </w:r>
      <w:r w:rsidRPr="00D93FF9">
        <w:rPr>
          <w:rFonts w:cstheme="minorHAnsi"/>
          <w:noProof/>
        </w:rPr>
        <w:fldChar w:fldCharType="separate"/>
      </w:r>
      <w:r w:rsidR="0069302C">
        <w:rPr>
          <w:rFonts w:cstheme="minorHAnsi"/>
          <w:noProof/>
        </w:rPr>
        <w:t>60</w:t>
      </w:r>
      <w:r w:rsidRPr="00D93FF9">
        <w:rPr>
          <w:rFonts w:cstheme="minorHAnsi"/>
          <w:noProof/>
        </w:rPr>
        <w:fldChar w:fldCharType="end"/>
      </w:r>
    </w:p>
    <w:p w14:paraId="1F139B63" w14:textId="61EADDC6"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22 </w:t>
      </w:r>
      <w:r w:rsidRPr="00D93FF9">
        <w:rPr>
          <w:rFonts w:cstheme="minorHAnsi"/>
          <w:noProof/>
          <w:lang w:val="en-GB" w:bidi="en-US"/>
        </w:rPr>
        <w:t>Datasets used to derive suggested upper background values for uncontaminated Australian and New Zealand soils</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_Toc96518236 \h </w:instrText>
      </w:r>
      <w:r w:rsidRPr="00D93FF9">
        <w:rPr>
          <w:rFonts w:cstheme="minorHAnsi"/>
          <w:noProof/>
        </w:rPr>
      </w:r>
      <w:r w:rsidRPr="00D93FF9">
        <w:rPr>
          <w:rFonts w:cstheme="minorHAnsi"/>
          <w:noProof/>
        </w:rPr>
        <w:fldChar w:fldCharType="separate"/>
      </w:r>
      <w:r w:rsidR="0069302C">
        <w:rPr>
          <w:rFonts w:cstheme="minorHAnsi"/>
          <w:noProof/>
        </w:rPr>
        <w:t>65</w:t>
      </w:r>
      <w:r w:rsidRPr="00D93FF9">
        <w:rPr>
          <w:rFonts w:cstheme="minorHAnsi"/>
          <w:noProof/>
        </w:rPr>
        <w:fldChar w:fldCharType="end"/>
      </w:r>
    </w:p>
    <w:p w14:paraId="4E3CF18B" w14:textId="74CB37A3"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23 </w:t>
      </w:r>
      <w:r w:rsidRPr="00D93FF9">
        <w:rPr>
          <w:rFonts w:cstheme="minorHAnsi"/>
          <w:noProof/>
          <w:lang w:val="en-GB" w:bidi="en-US"/>
        </w:rPr>
        <w:t>Summary of agricultural irrigation water Default Guideline Value (DGV), Site Specific guideline value (SGV) and soil Added Contaminant loading limit (ACL) guidelines for heavy metals and metalloids</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_Toc96518237 \h </w:instrText>
      </w:r>
      <w:r w:rsidRPr="00D93FF9">
        <w:rPr>
          <w:rFonts w:cstheme="minorHAnsi"/>
          <w:noProof/>
        </w:rPr>
      </w:r>
      <w:r w:rsidRPr="00D93FF9">
        <w:rPr>
          <w:rFonts w:cstheme="minorHAnsi"/>
          <w:noProof/>
        </w:rPr>
        <w:fldChar w:fldCharType="separate"/>
      </w:r>
      <w:r w:rsidR="0069302C">
        <w:rPr>
          <w:rFonts w:cstheme="minorHAnsi"/>
          <w:noProof/>
        </w:rPr>
        <w:t>66</w:t>
      </w:r>
      <w:r w:rsidRPr="00D93FF9">
        <w:rPr>
          <w:rFonts w:cstheme="minorHAnsi"/>
          <w:noProof/>
        </w:rPr>
        <w:fldChar w:fldCharType="end"/>
      </w:r>
    </w:p>
    <w:p w14:paraId="130B2D67" w14:textId="4A547F4F"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24 </w:t>
      </w:r>
      <w:r w:rsidRPr="00D93FF9">
        <w:rPr>
          <w:rFonts w:cstheme="minorHAnsi"/>
          <w:noProof/>
          <w:lang w:val="en-GB" w:bidi="en-US"/>
        </w:rPr>
        <w:t>Relative tolerance of agricultural crops to boron</w:t>
      </w:r>
      <w:r w:rsidRPr="00D93FF9">
        <w:rPr>
          <w:rFonts w:cstheme="minorHAnsi"/>
          <w:noProof/>
          <w:position w:val="4"/>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_Toc96518238 \h </w:instrText>
      </w:r>
      <w:r w:rsidRPr="00D93FF9">
        <w:rPr>
          <w:rFonts w:cstheme="minorHAnsi"/>
          <w:noProof/>
        </w:rPr>
      </w:r>
      <w:r w:rsidRPr="00D93FF9">
        <w:rPr>
          <w:rFonts w:cstheme="minorHAnsi"/>
          <w:noProof/>
        </w:rPr>
        <w:fldChar w:fldCharType="separate"/>
      </w:r>
      <w:r w:rsidR="0069302C">
        <w:rPr>
          <w:rFonts w:cstheme="minorHAnsi"/>
          <w:noProof/>
        </w:rPr>
        <w:t>70</w:t>
      </w:r>
      <w:r w:rsidRPr="00D93FF9">
        <w:rPr>
          <w:rFonts w:cstheme="minorHAnsi"/>
          <w:noProof/>
        </w:rPr>
        <w:fldChar w:fldCharType="end"/>
      </w:r>
    </w:p>
    <w:p w14:paraId="2ED97BF8" w14:textId="1E11B2C3"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25 </w:t>
      </w:r>
      <w:r w:rsidRPr="00D93FF9">
        <w:rPr>
          <w:rFonts w:cstheme="minorHAnsi"/>
          <w:noProof/>
          <w:lang w:val="en-GB" w:bidi="en-US"/>
        </w:rPr>
        <w:t>Agricultural irrigation water long-term guideline value (DGV) and short-term guideline SGV in irrigation water (short-term — up to 20 yrs)</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_Toc96518239 \h </w:instrText>
      </w:r>
      <w:r w:rsidRPr="00D93FF9">
        <w:rPr>
          <w:rFonts w:cstheme="minorHAnsi"/>
          <w:noProof/>
        </w:rPr>
      </w:r>
      <w:r w:rsidRPr="00D93FF9">
        <w:rPr>
          <w:rFonts w:cstheme="minorHAnsi"/>
          <w:noProof/>
        </w:rPr>
        <w:fldChar w:fldCharType="separate"/>
      </w:r>
      <w:r w:rsidR="0069302C">
        <w:rPr>
          <w:rFonts w:cstheme="minorHAnsi"/>
          <w:noProof/>
        </w:rPr>
        <w:t>85</w:t>
      </w:r>
      <w:r w:rsidRPr="00D93FF9">
        <w:rPr>
          <w:rFonts w:cstheme="minorHAnsi"/>
          <w:noProof/>
        </w:rPr>
        <w:fldChar w:fldCharType="end"/>
      </w:r>
    </w:p>
    <w:p w14:paraId="6875B1BB" w14:textId="2E9BBCBA"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26 </w:t>
      </w:r>
      <w:r w:rsidRPr="00D93FF9">
        <w:rPr>
          <w:rFonts w:cstheme="minorHAnsi"/>
          <w:noProof/>
          <w:lang w:val="en-GB" w:bidi="en-US"/>
        </w:rPr>
        <w:t>Indicative nitrogen and phosphorus removal with harvestable portions of crops</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_Toc96518240 \h </w:instrText>
      </w:r>
      <w:r w:rsidRPr="00D93FF9">
        <w:rPr>
          <w:rFonts w:cstheme="minorHAnsi"/>
          <w:noProof/>
        </w:rPr>
      </w:r>
      <w:r w:rsidRPr="00D93FF9">
        <w:rPr>
          <w:rFonts w:cstheme="minorHAnsi"/>
          <w:noProof/>
        </w:rPr>
        <w:fldChar w:fldCharType="separate"/>
      </w:r>
      <w:r w:rsidR="0069302C">
        <w:rPr>
          <w:rFonts w:cstheme="minorHAnsi"/>
          <w:noProof/>
        </w:rPr>
        <w:t>90</w:t>
      </w:r>
      <w:r w:rsidRPr="00D93FF9">
        <w:rPr>
          <w:rFonts w:cstheme="minorHAnsi"/>
          <w:noProof/>
        </w:rPr>
        <w:fldChar w:fldCharType="end"/>
      </w:r>
    </w:p>
    <w:p w14:paraId="06304E92" w14:textId="5703A642"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Table 27 Interpolated critical Colwell-P values (mg/kg) for several crops at different P buffer capacity categories</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_Toc96518241 \h </w:instrText>
      </w:r>
      <w:r w:rsidRPr="00D93FF9">
        <w:rPr>
          <w:rFonts w:cstheme="minorHAnsi"/>
          <w:noProof/>
        </w:rPr>
      </w:r>
      <w:r w:rsidRPr="00D93FF9">
        <w:rPr>
          <w:rFonts w:cstheme="minorHAnsi"/>
          <w:noProof/>
        </w:rPr>
        <w:fldChar w:fldCharType="separate"/>
      </w:r>
      <w:r w:rsidR="0069302C">
        <w:rPr>
          <w:rFonts w:cstheme="minorHAnsi"/>
          <w:noProof/>
        </w:rPr>
        <w:t>96</w:t>
      </w:r>
      <w:r w:rsidRPr="00D93FF9">
        <w:rPr>
          <w:rFonts w:cstheme="minorHAnsi"/>
          <w:noProof/>
        </w:rPr>
        <w:fldChar w:fldCharType="end"/>
      </w:r>
    </w:p>
    <w:p w14:paraId="0642DF48" w14:textId="343AD0CF"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28 Interim </w:t>
      </w:r>
      <w:r w:rsidRPr="00D93FF9">
        <w:rPr>
          <w:rFonts w:cstheme="minorHAnsi"/>
          <w:noProof/>
          <w:lang w:val="en-GB" w:bidi="en-US"/>
        </w:rPr>
        <w:t>guideline value concentrations for a range of herbicides registered in Australia for use in or near waters</w:t>
      </w:r>
      <w:r w:rsidRPr="00D93FF9">
        <w:rPr>
          <w:rFonts w:cstheme="minorHAnsi"/>
          <w:noProof/>
          <w:vertAlign w:val="superscript"/>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_Toc96518242 \h </w:instrText>
      </w:r>
      <w:r w:rsidRPr="00D93FF9">
        <w:rPr>
          <w:rFonts w:cstheme="minorHAnsi"/>
          <w:noProof/>
        </w:rPr>
      </w:r>
      <w:r w:rsidRPr="00D93FF9">
        <w:rPr>
          <w:rFonts w:cstheme="minorHAnsi"/>
          <w:noProof/>
        </w:rPr>
        <w:fldChar w:fldCharType="separate"/>
      </w:r>
      <w:r w:rsidR="0069302C">
        <w:rPr>
          <w:rFonts w:cstheme="minorHAnsi"/>
          <w:noProof/>
        </w:rPr>
        <w:t>98</w:t>
      </w:r>
      <w:r w:rsidRPr="00D93FF9">
        <w:rPr>
          <w:rFonts w:cstheme="minorHAnsi"/>
          <w:noProof/>
        </w:rPr>
        <w:fldChar w:fldCharType="end"/>
      </w:r>
    </w:p>
    <w:p w14:paraId="4E7C6F06" w14:textId="18B65CC0"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29 </w:t>
      </w:r>
      <w:r w:rsidRPr="00D93FF9">
        <w:rPr>
          <w:rFonts w:cstheme="minorHAnsi"/>
          <w:noProof/>
          <w:lang w:val="en-GB" w:bidi="en-US"/>
        </w:rPr>
        <w:t>Residue limits for selected pesticides in Canada (CCME 2009)</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_Toc96518243 \h </w:instrText>
      </w:r>
      <w:r w:rsidRPr="00D93FF9">
        <w:rPr>
          <w:rFonts w:cstheme="minorHAnsi"/>
          <w:noProof/>
        </w:rPr>
      </w:r>
      <w:r w:rsidRPr="00D93FF9">
        <w:rPr>
          <w:rFonts w:cstheme="minorHAnsi"/>
          <w:noProof/>
        </w:rPr>
        <w:fldChar w:fldCharType="separate"/>
      </w:r>
      <w:r w:rsidR="0069302C">
        <w:rPr>
          <w:rFonts w:cstheme="minorHAnsi"/>
          <w:noProof/>
        </w:rPr>
        <w:t>99</w:t>
      </w:r>
      <w:r w:rsidRPr="00D93FF9">
        <w:rPr>
          <w:rFonts w:cstheme="minorHAnsi"/>
          <w:noProof/>
        </w:rPr>
        <w:fldChar w:fldCharType="end"/>
      </w:r>
    </w:p>
    <w:p w14:paraId="16BC16EB" w14:textId="4FE30079"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30 </w:t>
      </w:r>
      <w:r w:rsidRPr="00D93FF9">
        <w:rPr>
          <w:rFonts w:cstheme="minorHAnsi"/>
          <w:noProof/>
          <w:lang w:val="en-GB" w:bidi="en-US"/>
        </w:rPr>
        <w:t>Environmental Quality Standards (EQS) for priority pesticides and certain other pollutants in the European Union</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_Toc96518244 \h </w:instrText>
      </w:r>
      <w:r w:rsidRPr="00D93FF9">
        <w:rPr>
          <w:rFonts w:cstheme="minorHAnsi"/>
          <w:noProof/>
        </w:rPr>
      </w:r>
      <w:r w:rsidRPr="00D93FF9">
        <w:rPr>
          <w:rFonts w:cstheme="minorHAnsi"/>
          <w:noProof/>
        </w:rPr>
        <w:fldChar w:fldCharType="separate"/>
      </w:r>
      <w:r w:rsidR="0069302C">
        <w:rPr>
          <w:rFonts w:cstheme="minorHAnsi"/>
          <w:noProof/>
        </w:rPr>
        <w:t>100</w:t>
      </w:r>
      <w:r w:rsidRPr="00D93FF9">
        <w:rPr>
          <w:rFonts w:cstheme="minorHAnsi"/>
          <w:noProof/>
        </w:rPr>
        <w:fldChar w:fldCharType="end"/>
      </w:r>
    </w:p>
    <w:p w14:paraId="48C7F1C3" w14:textId="5ECFB3F2"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31 </w:t>
      </w:r>
      <w:r w:rsidRPr="00D93FF9">
        <w:rPr>
          <w:rFonts w:cstheme="minorHAnsi"/>
          <w:noProof/>
          <w:lang w:val="en-GB" w:bidi="en-US"/>
        </w:rPr>
        <w:t>Guideline values for radiological contaminants in irrigation water</w:t>
      </w:r>
      <w:r w:rsidRPr="00D93FF9">
        <w:rPr>
          <w:rFonts w:cstheme="minorHAnsi"/>
          <w:noProof/>
          <w:vertAlign w:val="superscript"/>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_Toc96518245 \h </w:instrText>
      </w:r>
      <w:r w:rsidRPr="00D93FF9">
        <w:rPr>
          <w:rFonts w:cstheme="minorHAnsi"/>
          <w:noProof/>
        </w:rPr>
      </w:r>
      <w:r w:rsidRPr="00D93FF9">
        <w:rPr>
          <w:rFonts w:cstheme="minorHAnsi"/>
          <w:noProof/>
        </w:rPr>
        <w:fldChar w:fldCharType="separate"/>
      </w:r>
      <w:r w:rsidR="0069302C">
        <w:rPr>
          <w:rFonts w:cstheme="minorHAnsi"/>
          <w:noProof/>
        </w:rPr>
        <w:t>102</w:t>
      </w:r>
      <w:r w:rsidRPr="00D93FF9">
        <w:rPr>
          <w:rFonts w:cstheme="minorHAnsi"/>
          <w:noProof/>
        </w:rPr>
        <w:fldChar w:fldCharType="end"/>
      </w:r>
    </w:p>
    <w:p w14:paraId="3992AF1D" w14:textId="1B47B4C3"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32 </w:t>
      </w:r>
      <w:r w:rsidRPr="00D93FF9">
        <w:rPr>
          <w:rFonts w:cstheme="minorHAnsi"/>
          <w:noProof/>
          <w:spacing w:val="-3"/>
          <w:lang w:val="en-GB" w:bidi="en-US"/>
        </w:rPr>
        <w:t>Summary of international guidelines for radiological quality in drinking water.</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_Toc96518246 \h </w:instrText>
      </w:r>
      <w:r w:rsidRPr="00D93FF9">
        <w:rPr>
          <w:rFonts w:cstheme="minorHAnsi"/>
          <w:noProof/>
        </w:rPr>
      </w:r>
      <w:r w:rsidRPr="00D93FF9">
        <w:rPr>
          <w:rFonts w:cstheme="minorHAnsi"/>
          <w:noProof/>
        </w:rPr>
        <w:fldChar w:fldCharType="separate"/>
      </w:r>
      <w:r w:rsidR="0069302C">
        <w:rPr>
          <w:rFonts w:cstheme="minorHAnsi"/>
          <w:noProof/>
        </w:rPr>
        <w:t>102</w:t>
      </w:r>
      <w:r w:rsidRPr="00D93FF9">
        <w:rPr>
          <w:rFonts w:cstheme="minorHAnsi"/>
          <w:noProof/>
        </w:rPr>
        <w:fldChar w:fldCharType="end"/>
      </w:r>
    </w:p>
    <w:p w14:paraId="4B54CD3E" w14:textId="5C2F86B4"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33 </w:t>
      </w:r>
      <w:r w:rsidRPr="00D93FF9">
        <w:rPr>
          <w:rFonts w:cstheme="minorHAnsi"/>
          <w:noProof/>
          <w:spacing w:val="-8"/>
          <w:lang w:val="en-GB" w:bidi="en-US"/>
        </w:rPr>
        <w:t>Dose coefficients for ingestion of radionuclides by adult members of the public (ICRP 1996).</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_Toc96518247 \h </w:instrText>
      </w:r>
      <w:r w:rsidRPr="00D93FF9">
        <w:rPr>
          <w:rFonts w:cstheme="minorHAnsi"/>
          <w:noProof/>
        </w:rPr>
      </w:r>
      <w:r w:rsidRPr="00D93FF9">
        <w:rPr>
          <w:rFonts w:cstheme="minorHAnsi"/>
          <w:noProof/>
        </w:rPr>
        <w:fldChar w:fldCharType="separate"/>
      </w:r>
      <w:r w:rsidR="0069302C">
        <w:rPr>
          <w:rFonts w:cstheme="minorHAnsi"/>
          <w:noProof/>
        </w:rPr>
        <w:t>105</w:t>
      </w:r>
      <w:r w:rsidRPr="00D93FF9">
        <w:rPr>
          <w:rFonts w:cstheme="minorHAnsi"/>
          <w:noProof/>
        </w:rPr>
        <w:fldChar w:fldCharType="end"/>
      </w:r>
    </w:p>
    <w:p w14:paraId="0F5297F9" w14:textId="5764B4D5"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lastRenderedPageBreak/>
        <w:t xml:space="preserve">Table 34 </w:t>
      </w:r>
      <w:r w:rsidRPr="00D93FF9">
        <w:rPr>
          <w:rFonts w:cstheme="minorHAnsi"/>
          <w:noProof/>
          <w:lang w:val="en-GB" w:bidi="en-US"/>
        </w:rPr>
        <w:t>Corrosion potential of waters on metal surfaces as indicated by pH, hardness, Langelier index, Ryznar index and the log of chloride to carbonate ratio</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_Toc96518248 \h </w:instrText>
      </w:r>
      <w:r w:rsidRPr="00D93FF9">
        <w:rPr>
          <w:rFonts w:cstheme="minorHAnsi"/>
          <w:noProof/>
        </w:rPr>
      </w:r>
      <w:r w:rsidRPr="00D93FF9">
        <w:rPr>
          <w:rFonts w:cstheme="minorHAnsi"/>
          <w:noProof/>
        </w:rPr>
        <w:fldChar w:fldCharType="separate"/>
      </w:r>
      <w:r w:rsidR="0069302C">
        <w:rPr>
          <w:rFonts w:cstheme="minorHAnsi"/>
          <w:noProof/>
        </w:rPr>
        <w:t>106</w:t>
      </w:r>
      <w:r w:rsidRPr="00D93FF9">
        <w:rPr>
          <w:rFonts w:cstheme="minorHAnsi"/>
          <w:noProof/>
        </w:rPr>
        <w:fldChar w:fldCharType="end"/>
      </w:r>
    </w:p>
    <w:p w14:paraId="6E9CD3C4" w14:textId="62E53701"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35 </w:t>
      </w:r>
      <w:r w:rsidRPr="00D93FF9">
        <w:rPr>
          <w:rFonts w:cstheme="minorHAnsi"/>
          <w:noProof/>
          <w:lang w:val="en-GB" w:bidi="en-US"/>
        </w:rPr>
        <w:t>Fouling potential of waters as indicated by pH, hardness, Langelier index, Ryznar index and the log of chloride to carbonate ratio</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_Toc96518249 \h </w:instrText>
      </w:r>
      <w:r w:rsidRPr="00D93FF9">
        <w:rPr>
          <w:rFonts w:cstheme="minorHAnsi"/>
          <w:noProof/>
        </w:rPr>
      </w:r>
      <w:r w:rsidRPr="00D93FF9">
        <w:rPr>
          <w:rFonts w:cstheme="minorHAnsi"/>
          <w:noProof/>
        </w:rPr>
        <w:fldChar w:fldCharType="separate"/>
      </w:r>
      <w:r w:rsidR="0069302C">
        <w:rPr>
          <w:rFonts w:cstheme="minorHAnsi"/>
          <w:noProof/>
        </w:rPr>
        <w:t>113</w:t>
      </w:r>
      <w:r w:rsidRPr="00D93FF9">
        <w:rPr>
          <w:rFonts w:cstheme="minorHAnsi"/>
          <w:noProof/>
        </w:rPr>
        <w:fldChar w:fldCharType="end"/>
      </w:r>
    </w:p>
    <w:p w14:paraId="1174FBC5" w14:textId="49297FFB"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36 </w:t>
      </w:r>
      <w:r w:rsidRPr="00D93FF9">
        <w:rPr>
          <w:rFonts w:cstheme="minorHAnsi"/>
          <w:noProof/>
          <w:lang w:val="en-GB" w:bidi="en-US"/>
        </w:rPr>
        <w:t>Principal causes of fouling in agricultural water distribution systems</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_Toc96518250 \h </w:instrText>
      </w:r>
      <w:r w:rsidRPr="00D93FF9">
        <w:rPr>
          <w:rFonts w:cstheme="minorHAnsi"/>
          <w:noProof/>
        </w:rPr>
      </w:r>
      <w:r w:rsidRPr="00D93FF9">
        <w:rPr>
          <w:rFonts w:cstheme="minorHAnsi"/>
          <w:noProof/>
        </w:rPr>
        <w:fldChar w:fldCharType="separate"/>
      </w:r>
      <w:r w:rsidR="0069302C">
        <w:rPr>
          <w:rFonts w:cstheme="minorHAnsi"/>
          <w:noProof/>
        </w:rPr>
        <w:t>114</w:t>
      </w:r>
      <w:r w:rsidRPr="00D93FF9">
        <w:rPr>
          <w:rFonts w:cstheme="minorHAnsi"/>
          <w:noProof/>
        </w:rPr>
        <w:fldChar w:fldCharType="end"/>
      </w:r>
    </w:p>
    <w:p w14:paraId="4FEB67E4" w14:textId="4E2B57F3"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37 </w:t>
      </w:r>
      <w:r w:rsidRPr="00D93FF9">
        <w:rPr>
          <w:rFonts w:cstheme="minorHAnsi"/>
          <w:noProof/>
          <w:lang w:val="en-GB" w:bidi="en-US"/>
        </w:rPr>
        <w:t>Water quality parameters relative to the potential for drip emitter clogging</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_Toc96518251 \h </w:instrText>
      </w:r>
      <w:r w:rsidRPr="00D93FF9">
        <w:rPr>
          <w:rFonts w:cstheme="minorHAnsi"/>
          <w:noProof/>
        </w:rPr>
      </w:r>
      <w:r w:rsidRPr="00D93FF9">
        <w:rPr>
          <w:rFonts w:cstheme="minorHAnsi"/>
          <w:noProof/>
        </w:rPr>
        <w:fldChar w:fldCharType="separate"/>
      </w:r>
      <w:r w:rsidR="0069302C">
        <w:rPr>
          <w:rFonts w:cstheme="minorHAnsi"/>
          <w:noProof/>
        </w:rPr>
        <w:t>114</w:t>
      </w:r>
      <w:r w:rsidRPr="00D93FF9">
        <w:rPr>
          <w:rFonts w:cstheme="minorHAnsi"/>
          <w:noProof/>
        </w:rPr>
        <w:fldChar w:fldCharType="end"/>
      </w:r>
    </w:p>
    <w:p w14:paraId="14FD7FEE" w14:textId="1293C79E" w:rsidR="001B16FC" w:rsidRPr="00D93FF9" w:rsidRDefault="001B16FC">
      <w:pPr>
        <w:pStyle w:val="TableofFigures"/>
        <w:tabs>
          <w:tab w:val="right" w:leader="dot" w:pos="9010"/>
        </w:tabs>
        <w:rPr>
          <w:rFonts w:eastAsiaTheme="minorEastAsia" w:cstheme="minorHAnsi"/>
          <w:noProof/>
          <w:lang w:eastAsia="en-AU"/>
        </w:rPr>
      </w:pPr>
      <w:r w:rsidRPr="00D93FF9">
        <w:rPr>
          <w:rFonts w:cstheme="minorHAnsi"/>
          <w:noProof/>
          <w:lang w:bidi="en-US"/>
        </w:rPr>
        <w:t xml:space="preserve">Table 38 </w:t>
      </w:r>
      <w:r w:rsidRPr="00D93FF9">
        <w:rPr>
          <w:rFonts w:cstheme="minorHAnsi"/>
          <w:noProof/>
          <w:lang w:val="en-GB" w:bidi="en-US"/>
        </w:rPr>
        <w:t>Factors influencing the rate of biofouling</w:t>
      </w:r>
      <w:r w:rsidRPr="00D93FF9">
        <w:rPr>
          <w:rFonts w:cstheme="minorHAnsi"/>
          <w:noProof/>
          <w:position w:val="4"/>
          <w:vertAlign w:val="superscript"/>
          <w:lang w:val="en-GB" w:bidi="en-US"/>
        </w:rPr>
        <w:t>a</w:t>
      </w:r>
      <w:r w:rsidRPr="00D93FF9">
        <w:rPr>
          <w:rFonts w:cstheme="minorHAnsi"/>
          <w:noProof/>
        </w:rPr>
        <w:tab/>
      </w:r>
      <w:r w:rsidRPr="00D93FF9">
        <w:rPr>
          <w:rFonts w:cstheme="minorHAnsi"/>
          <w:noProof/>
        </w:rPr>
        <w:fldChar w:fldCharType="begin"/>
      </w:r>
      <w:r w:rsidRPr="00D93FF9">
        <w:rPr>
          <w:rFonts w:cstheme="minorHAnsi"/>
          <w:noProof/>
        </w:rPr>
        <w:instrText xml:space="preserve"> PAGEREF _Toc96518252 \h </w:instrText>
      </w:r>
      <w:r w:rsidRPr="00D93FF9">
        <w:rPr>
          <w:rFonts w:cstheme="minorHAnsi"/>
          <w:noProof/>
        </w:rPr>
      </w:r>
      <w:r w:rsidRPr="00D93FF9">
        <w:rPr>
          <w:rFonts w:cstheme="minorHAnsi"/>
          <w:noProof/>
        </w:rPr>
        <w:fldChar w:fldCharType="separate"/>
      </w:r>
      <w:r w:rsidR="0069302C">
        <w:rPr>
          <w:rFonts w:cstheme="minorHAnsi"/>
          <w:noProof/>
        </w:rPr>
        <w:t>116</w:t>
      </w:r>
      <w:r w:rsidRPr="00D93FF9">
        <w:rPr>
          <w:rFonts w:cstheme="minorHAnsi"/>
          <w:noProof/>
        </w:rPr>
        <w:fldChar w:fldCharType="end"/>
      </w:r>
    </w:p>
    <w:p w14:paraId="0CC6EA0B" w14:textId="77777777" w:rsidR="00592B13" w:rsidRPr="00D93FF9" w:rsidRDefault="00E811B8" w:rsidP="008E414E">
      <w:pPr>
        <w:pStyle w:val="TOCHeading2"/>
        <w:rPr>
          <w:rFonts w:asciiTheme="minorHAnsi" w:hAnsiTheme="minorHAnsi" w:cstheme="minorHAnsi"/>
          <w:sz w:val="22"/>
          <w:szCs w:val="22"/>
        </w:rPr>
        <w:sectPr w:rsidR="00592B13" w:rsidRPr="00D93FF9" w:rsidSect="0013670A">
          <w:headerReference w:type="even" r:id="rId16"/>
          <w:headerReference w:type="default" r:id="rId17"/>
          <w:footerReference w:type="default" r:id="rId18"/>
          <w:headerReference w:type="first" r:id="rId19"/>
          <w:type w:val="continuous"/>
          <w:pgSz w:w="11900" w:h="16840"/>
          <w:pgMar w:top="1440" w:right="1440" w:bottom="1440" w:left="1440" w:header="720" w:footer="57" w:gutter="0"/>
          <w:pgNumType w:fmt="lowerRoman"/>
          <w:cols w:space="720"/>
          <w:titlePg/>
          <w:docGrid w:linePitch="299"/>
        </w:sectPr>
      </w:pPr>
      <w:r w:rsidRPr="00D93FF9">
        <w:rPr>
          <w:rFonts w:asciiTheme="minorHAnsi" w:hAnsiTheme="minorHAnsi" w:cstheme="minorHAnsi"/>
          <w:sz w:val="22"/>
          <w:szCs w:val="22"/>
        </w:rPr>
        <w:fldChar w:fldCharType="end"/>
      </w:r>
    </w:p>
    <w:p w14:paraId="2771A35A" w14:textId="77777777" w:rsidR="00604735" w:rsidRPr="00D93FF9" w:rsidRDefault="00604735" w:rsidP="004E390C">
      <w:pPr>
        <w:pStyle w:val="Heading2"/>
        <w:numPr>
          <w:ilvl w:val="0"/>
          <w:numId w:val="27"/>
        </w:numPr>
      </w:pPr>
      <w:bookmarkStart w:id="3" w:name="_Toc96693562"/>
      <w:r w:rsidRPr="00D93FF9">
        <w:lastRenderedPageBreak/>
        <w:t>Introduction</w:t>
      </w:r>
      <w:bookmarkEnd w:id="3"/>
    </w:p>
    <w:p w14:paraId="4D948C56" w14:textId="77777777" w:rsidR="00604735" w:rsidRPr="00D93FF9" w:rsidRDefault="00604735" w:rsidP="00C10DB4">
      <w:pPr>
        <w:pStyle w:val="Heading3"/>
        <w:rPr>
          <w:lang w:val="en-GB"/>
        </w:rPr>
      </w:pPr>
      <w:bookmarkStart w:id="4" w:name="_Toc96693563"/>
      <w:r w:rsidRPr="00D93FF9">
        <w:rPr>
          <w:lang w:val="en-GB"/>
        </w:rPr>
        <w:t>Background to the review</w:t>
      </w:r>
      <w:bookmarkEnd w:id="4"/>
    </w:p>
    <w:p w14:paraId="56D89482" w14:textId="14012EB7" w:rsidR="00604735" w:rsidRPr="00D93FF9" w:rsidRDefault="00604735" w:rsidP="00604735">
      <w:pPr>
        <w:rPr>
          <w:rFonts w:ascii="Calibri" w:eastAsia="Calibri" w:hAnsi="Calibri" w:cs="Times New Roman"/>
        </w:rPr>
      </w:pPr>
      <w:r w:rsidRPr="00D93FF9">
        <w:rPr>
          <w:lang w:val="en-GB"/>
        </w:rPr>
        <w:t xml:space="preserve">This Chapter forms an update to </w:t>
      </w:r>
      <w:bookmarkStart w:id="5" w:name="_Hlk153283224"/>
      <w:r w:rsidRPr="00D93FF9">
        <w:rPr>
          <w:lang w:val="en-GB"/>
        </w:rPr>
        <w:t xml:space="preserve">an existing Chapter of the Australian and New Zealand Guidelines for Fresh and Marine Water Quality (ARMCANZ </w:t>
      </w:r>
      <w:r w:rsidR="00FA6E9E" w:rsidRPr="00D93FF9">
        <w:rPr>
          <w:lang w:val="en-GB"/>
        </w:rPr>
        <w:t>and</w:t>
      </w:r>
      <w:r w:rsidRPr="00D93FF9">
        <w:rPr>
          <w:lang w:val="en-GB"/>
        </w:rPr>
        <w:t xml:space="preserve"> ANZECC 2000). In particular, this is the updated version of what is known as Chapter 9.2 of the abovementioned guidelines: Water Quality for Irrigation and General Uses.</w:t>
      </w:r>
      <w:bookmarkEnd w:id="5"/>
      <w:r w:rsidRPr="00D93FF9">
        <w:rPr>
          <w:lang w:val="en-GB"/>
        </w:rPr>
        <w:t xml:space="preserve"> </w:t>
      </w:r>
      <w:r w:rsidRPr="00D93FF9">
        <w:t xml:space="preserve">In order to undertake this review, the revised Water Quality Management Framework (WQMF) documentation was reviewed to inform the process. The first two steps of the WQMF involve gaining an understanding of the current knowledge and what it means in terms of the management aims.  In this instance, what we know is documented in the current review.  In terms of the management aims associated with irrigation water, the goal is to provide good quality water for successful crop production i.e. protect environmental, animal and consumer health by providing water that is safe for a crop/food produce to be irrigated with without adverse effects, and is free of levels of contaminants that will accumulate in plant edible tissues. </w:t>
      </w:r>
    </w:p>
    <w:p w14:paraId="59DCC196" w14:textId="15C455C7" w:rsidR="00C46175" w:rsidRPr="00D93FF9" w:rsidRDefault="00E811B8" w:rsidP="003807A1">
      <w:pPr>
        <w:pStyle w:val="BodyText"/>
        <w:spacing w:after="0" w:line="266" w:lineRule="auto"/>
        <w:jc w:val="both"/>
        <w:rPr>
          <w:lang w:val="en-GB"/>
        </w:rPr>
      </w:pPr>
      <w:r w:rsidRPr="00D93FF9">
        <w:rPr>
          <w:lang w:val="en-GB"/>
        </w:rPr>
        <w:t xml:space="preserve">The water quality guidelines recommended for agricultural use (irrigation, livestock drinking water and general on-farm use) have been derived using information from the previous guidelines (ANZECC </w:t>
      </w:r>
      <w:r w:rsidR="00FA6E9E" w:rsidRPr="00D93FF9">
        <w:rPr>
          <w:lang w:val="en-GB"/>
        </w:rPr>
        <w:t>and</w:t>
      </w:r>
      <w:r w:rsidR="00A045A2" w:rsidRPr="00D93FF9">
        <w:rPr>
          <w:lang w:val="en-GB"/>
        </w:rPr>
        <w:t xml:space="preserve"> ARMCANZ </w:t>
      </w:r>
      <w:r w:rsidR="0053708D" w:rsidRPr="00D93FF9">
        <w:rPr>
          <w:lang w:val="en-GB"/>
        </w:rPr>
        <w:t>2000</w:t>
      </w:r>
      <w:r w:rsidRPr="00D93FF9">
        <w:rPr>
          <w:lang w:val="en-GB"/>
        </w:rPr>
        <w:t>), extensive literature reviews, contemporary research data and inputs from public comment. Although the focus has been primarily on Australia and New Zealand, guidelines used in other countries have been considered and evaluated, particularly in regard to certain toxicant levels, where limited local data are available. Issues concerning particular methodologies used to develop specific guidelines are discussed further in the relevant Sections.</w:t>
      </w:r>
    </w:p>
    <w:p w14:paraId="59DCC197" w14:textId="230FA6BC" w:rsidR="00C46175" w:rsidRPr="00D93FF9" w:rsidRDefault="00E811B8" w:rsidP="009971E4">
      <w:pPr>
        <w:rPr>
          <w:lang w:val="en-GB"/>
        </w:rPr>
      </w:pPr>
      <w:r w:rsidRPr="00D93FF9">
        <w:rPr>
          <w:lang w:val="en-GB"/>
        </w:rPr>
        <w:t>Water quality guidelines developed overseas were also reviewed, including the South African Water Quality Guidelines (DWAF 1996a,</w:t>
      </w:r>
      <w:r w:rsidR="00180902" w:rsidRPr="00D93FF9">
        <w:rPr>
          <w:lang w:val="en-GB"/>
        </w:rPr>
        <w:t xml:space="preserve"> </w:t>
      </w:r>
      <w:r w:rsidR="00A5474F" w:rsidRPr="00D93FF9">
        <w:rPr>
          <w:lang w:val="en-GB"/>
        </w:rPr>
        <w:t>1996</w:t>
      </w:r>
      <w:r w:rsidRPr="00D93FF9">
        <w:rPr>
          <w:lang w:val="en-GB"/>
        </w:rPr>
        <w:t>b)</w:t>
      </w:r>
      <w:r w:rsidR="00D91101" w:rsidRPr="00D93FF9">
        <w:rPr>
          <w:lang w:val="en-GB"/>
        </w:rPr>
        <w:t xml:space="preserve">, </w:t>
      </w:r>
      <w:r w:rsidRPr="00D93FF9">
        <w:rPr>
          <w:lang w:val="en-GB"/>
        </w:rPr>
        <w:t>the Canadian Water Quality Guidelines (</w:t>
      </w:r>
      <w:r w:rsidR="00D91101" w:rsidRPr="00D93FF9">
        <w:rPr>
          <w:lang w:val="en-GB"/>
        </w:rPr>
        <w:t>CCME 2018</w:t>
      </w:r>
      <w:r w:rsidRPr="00D93FF9">
        <w:rPr>
          <w:lang w:val="en-GB"/>
        </w:rPr>
        <w:t>)</w:t>
      </w:r>
      <w:r w:rsidR="00D91101" w:rsidRPr="00D93FF9">
        <w:rPr>
          <w:lang w:val="en-GB"/>
        </w:rPr>
        <w:t>, the US Guidelines for Water Reuse (USEPA 2012)</w:t>
      </w:r>
      <w:r w:rsidR="001651E9" w:rsidRPr="00D93FF9">
        <w:rPr>
          <w:lang w:val="en-GB"/>
        </w:rPr>
        <w:t xml:space="preserve">, </w:t>
      </w:r>
      <w:r w:rsidR="00F62A93" w:rsidRPr="00D93FF9">
        <w:rPr>
          <w:lang w:val="en-GB"/>
        </w:rPr>
        <w:t xml:space="preserve">the EU recommendations on water quality for irrigation </w:t>
      </w:r>
      <w:bookmarkStart w:id="6" w:name="ZOTERO_BREF_r7sdcC0iDjqB"/>
      <w:r w:rsidR="00EA5964" w:rsidRPr="00D93FF9">
        <w:rPr>
          <w:rFonts w:ascii="Calibri" w:hAnsi="Calibri"/>
        </w:rPr>
        <w:t xml:space="preserve">(Alcalde-Sanz </w:t>
      </w:r>
      <w:r w:rsidR="00FA6E9E" w:rsidRPr="00D93FF9">
        <w:rPr>
          <w:rFonts w:ascii="Calibri" w:hAnsi="Calibri"/>
        </w:rPr>
        <w:t>and</w:t>
      </w:r>
      <w:r w:rsidR="00EA5964" w:rsidRPr="00D93FF9">
        <w:rPr>
          <w:rFonts w:ascii="Calibri" w:hAnsi="Calibri"/>
        </w:rPr>
        <w:t xml:space="preserve"> Gawlik 2017)</w:t>
      </w:r>
      <w:bookmarkEnd w:id="6"/>
      <w:r w:rsidR="00F62A93" w:rsidRPr="00D93FF9">
        <w:rPr>
          <w:lang w:val="en-GB"/>
        </w:rPr>
        <w:t xml:space="preserve"> and member states regulations, </w:t>
      </w:r>
      <w:r w:rsidR="001651E9" w:rsidRPr="00D93FF9">
        <w:rPr>
          <w:lang w:val="en-GB"/>
        </w:rPr>
        <w:t>the FAO</w:t>
      </w:r>
      <w:r w:rsidR="00743377" w:rsidRPr="00D93FF9">
        <w:rPr>
          <w:lang w:val="en-GB"/>
        </w:rPr>
        <w:t xml:space="preserve"> Water quality for </w:t>
      </w:r>
      <w:r w:rsidR="007267B7" w:rsidRPr="00D93FF9">
        <w:rPr>
          <w:lang w:val="en-GB"/>
        </w:rPr>
        <w:t xml:space="preserve">agriculture (FAO 1985, also cited as Ayers </w:t>
      </w:r>
      <w:r w:rsidR="00FA6E9E" w:rsidRPr="00D93FF9">
        <w:rPr>
          <w:lang w:val="en-GB"/>
        </w:rPr>
        <w:t>and</w:t>
      </w:r>
      <w:r w:rsidR="007267B7" w:rsidRPr="00D93FF9">
        <w:rPr>
          <w:lang w:val="en-GB"/>
        </w:rPr>
        <w:t xml:space="preserve"> Westcot 1985)</w:t>
      </w:r>
      <w:r w:rsidR="00743377" w:rsidRPr="00D93FF9">
        <w:rPr>
          <w:lang w:val="en-GB"/>
        </w:rPr>
        <w:t xml:space="preserve">, ISO Guidelines </w:t>
      </w:r>
      <w:r w:rsidR="007267B7" w:rsidRPr="00D93FF9">
        <w:rPr>
          <w:lang w:val="en-GB"/>
        </w:rPr>
        <w:t xml:space="preserve">for treated wastewater use for irrigation projects (ISO, 2020), </w:t>
      </w:r>
      <w:r w:rsidR="00743377" w:rsidRPr="00D93FF9">
        <w:rPr>
          <w:lang w:val="en-GB"/>
        </w:rPr>
        <w:t>WHO Guidelines</w:t>
      </w:r>
      <w:r w:rsidR="00F62A93" w:rsidRPr="00D93FF9">
        <w:rPr>
          <w:lang w:val="en-GB"/>
        </w:rPr>
        <w:t xml:space="preserve"> for the safe </w:t>
      </w:r>
      <w:r w:rsidR="00F03CFD" w:rsidRPr="00D93FF9">
        <w:rPr>
          <w:lang w:val="en-GB"/>
        </w:rPr>
        <w:t>u</w:t>
      </w:r>
      <w:r w:rsidR="00E31A49" w:rsidRPr="00D93FF9">
        <w:rPr>
          <w:lang w:val="en-GB"/>
        </w:rPr>
        <w:t>s</w:t>
      </w:r>
      <w:r w:rsidR="00F03CFD" w:rsidRPr="00D93FF9">
        <w:rPr>
          <w:lang w:val="en-GB"/>
        </w:rPr>
        <w:t xml:space="preserve">e </w:t>
      </w:r>
      <w:r w:rsidR="00F62A93" w:rsidRPr="00D93FF9">
        <w:rPr>
          <w:lang w:val="en-GB"/>
        </w:rPr>
        <w:t>of wastewater, excreta and grey water  - Wastewater in agriculture (WHO 2006)</w:t>
      </w:r>
      <w:r w:rsidRPr="00D93FF9">
        <w:rPr>
          <w:lang w:val="en-GB"/>
        </w:rPr>
        <w:t xml:space="preserve">. </w:t>
      </w:r>
      <w:r w:rsidR="00D91101" w:rsidRPr="00D93FF9">
        <w:rPr>
          <w:lang w:val="en-GB"/>
        </w:rPr>
        <w:t>M</w:t>
      </w:r>
      <w:r w:rsidRPr="00D93FF9">
        <w:rPr>
          <w:lang w:val="en-GB"/>
        </w:rPr>
        <w:t>ajor</w:t>
      </w:r>
      <w:r w:rsidR="00D91101" w:rsidRPr="00D93FF9">
        <w:rPr>
          <w:lang w:val="en-GB"/>
        </w:rPr>
        <w:t xml:space="preserve"> scientific</w:t>
      </w:r>
      <w:r w:rsidRPr="00D93FF9">
        <w:rPr>
          <w:lang w:val="en-GB"/>
        </w:rPr>
        <w:t xml:space="preserve"> databases</w:t>
      </w:r>
      <w:r w:rsidR="00F62A93" w:rsidRPr="00D93FF9">
        <w:rPr>
          <w:lang w:val="en-GB"/>
        </w:rPr>
        <w:t xml:space="preserve"> (Web of Science, CAB, Science</w:t>
      </w:r>
      <w:r w:rsidR="004C769F" w:rsidRPr="00D93FF9">
        <w:rPr>
          <w:lang w:val="en-GB"/>
        </w:rPr>
        <w:t xml:space="preserve"> </w:t>
      </w:r>
      <w:r w:rsidR="00F62A93" w:rsidRPr="00D93FF9">
        <w:rPr>
          <w:lang w:val="en-GB"/>
        </w:rPr>
        <w:t>direct, Google Scholar)</w:t>
      </w:r>
      <w:r w:rsidRPr="00D93FF9">
        <w:rPr>
          <w:lang w:val="en-GB"/>
        </w:rPr>
        <w:t>, were searched for current scientific information on most water quality issues for irrigation, covering the period from 2000</w:t>
      </w:r>
      <w:r w:rsidR="0053708D" w:rsidRPr="00D93FF9">
        <w:rPr>
          <w:lang w:val="en-GB"/>
        </w:rPr>
        <w:t xml:space="preserve"> to 2021</w:t>
      </w:r>
      <w:r w:rsidRPr="00D93FF9">
        <w:rPr>
          <w:lang w:val="en-GB"/>
        </w:rPr>
        <w:t>.</w:t>
      </w:r>
    </w:p>
    <w:p w14:paraId="59DCC198" w14:textId="62A11F52" w:rsidR="00C46175" w:rsidRPr="00D93FF9" w:rsidRDefault="00E811B8" w:rsidP="003807A1">
      <w:pPr>
        <w:pStyle w:val="BodyText"/>
        <w:spacing w:after="0" w:line="266" w:lineRule="auto"/>
        <w:jc w:val="both"/>
        <w:rPr>
          <w:lang w:val="en-GB"/>
        </w:rPr>
      </w:pPr>
      <w:r w:rsidRPr="00D93FF9">
        <w:rPr>
          <w:lang w:val="en-GB"/>
        </w:rPr>
        <w:t>Methodologies used to develop specific guidelines are discussed further in relevant Sections. The primary emphasis in revising guidelines was on sustainability in agricultural</w:t>
      </w:r>
      <w:r w:rsidR="00E31A49" w:rsidRPr="00D93FF9">
        <w:rPr>
          <w:lang w:val="en-GB"/>
        </w:rPr>
        <w:t xml:space="preserve"> practice</w:t>
      </w:r>
      <w:r w:rsidRPr="00D93FF9">
        <w:rPr>
          <w:lang w:val="en-GB"/>
        </w:rPr>
        <w:t>, which aims to ensure that:</w:t>
      </w:r>
    </w:p>
    <w:p w14:paraId="59DCC199" w14:textId="77777777" w:rsidR="00C46175" w:rsidRPr="00D93FF9" w:rsidRDefault="00E811B8" w:rsidP="00754E54">
      <w:pPr>
        <w:pStyle w:val="ListBullet"/>
        <w:jc w:val="both"/>
        <w:rPr>
          <w:rFonts w:ascii="Symbol" w:hAnsi="Symbol"/>
          <w:lang w:val="en-GB"/>
        </w:rPr>
      </w:pPr>
      <w:r w:rsidRPr="00D93FF9">
        <w:rPr>
          <w:lang w:val="en-GB"/>
        </w:rPr>
        <w:t>the supply of necessary inputs is</w:t>
      </w:r>
      <w:r w:rsidRPr="00D93FF9">
        <w:rPr>
          <w:spacing w:val="-6"/>
          <w:lang w:val="en-GB"/>
        </w:rPr>
        <w:t xml:space="preserve"> </w:t>
      </w:r>
      <w:r w:rsidRPr="00D93FF9">
        <w:rPr>
          <w:lang w:val="en-GB"/>
        </w:rPr>
        <w:t>sustainable;</w:t>
      </w:r>
    </w:p>
    <w:p w14:paraId="59DCC19A" w14:textId="77777777" w:rsidR="00C46175" w:rsidRPr="00D93FF9" w:rsidRDefault="00E811B8" w:rsidP="00754E54">
      <w:pPr>
        <w:pStyle w:val="ListBullet"/>
        <w:jc w:val="both"/>
        <w:rPr>
          <w:rFonts w:ascii="Symbol" w:hAnsi="Symbol"/>
          <w:lang w:val="en-GB"/>
        </w:rPr>
      </w:pPr>
      <w:r w:rsidRPr="00D93FF9">
        <w:rPr>
          <w:lang w:val="en-GB"/>
        </w:rPr>
        <w:t>the quality of natural resources is not</w:t>
      </w:r>
      <w:r w:rsidRPr="00D93FF9">
        <w:rPr>
          <w:spacing w:val="-3"/>
          <w:lang w:val="en-GB"/>
        </w:rPr>
        <w:t xml:space="preserve"> </w:t>
      </w:r>
      <w:r w:rsidRPr="00D93FF9">
        <w:rPr>
          <w:lang w:val="en-GB"/>
        </w:rPr>
        <w:t>degraded;</w:t>
      </w:r>
    </w:p>
    <w:p w14:paraId="59DCC19B" w14:textId="77777777" w:rsidR="00C46175" w:rsidRPr="00D93FF9" w:rsidRDefault="00E811B8" w:rsidP="00754E54">
      <w:pPr>
        <w:pStyle w:val="ListBullet"/>
        <w:jc w:val="both"/>
        <w:rPr>
          <w:rFonts w:ascii="Symbol" w:hAnsi="Symbol"/>
          <w:lang w:val="en-GB"/>
        </w:rPr>
      </w:pPr>
      <w:r w:rsidRPr="00D93FF9">
        <w:rPr>
          <w:lang w:val="en-GB"/>
        </w:rPr>
        <w:t>the environment is not irreversibly</w:t>
      </w:r>
      <w:r w:rsidRPr="00D93FF9">
        <w:rPr>
          <w:spacing w:val="-3"/>
          <w:lang w:val="en-GB"/>
        </w:rPr>
        <w:t xml:space="preserve"> </w:t>
      </w:r>
      <w:r w:rsidRPr="00D93FF9">
        <w:rPr>
          <w:lang w:val="en-GB"/>
        </w:rPr>
        <w:t>harmed;</w:t>
      </w:r>
    </w:p>
    <w:p w14:paraId="59DCC19C" w14:textId="77777777" w:rsidR="00C46175" w:rsidRPr="00D93FF9" w:rsidRDefault="00E811B8" w:rsidP="00754E54">
      <w:pPr>
        <w:pStyle w:val="ListBullet"/>
        <w:jc w:val="both"/>
        <w:rPr>
          <w:rFonts w:ascii="Symbol" w:hAnsi="Symbol"/>
          <w:lang w:val="en-GB"/>
        </w:rPr>
      </w:pPr>
      <w:r w:rsidRPr="00D93FF9">
        <w:rPr>
          <w:lang w:val="en-GB"/>
        </w:rPr>
        <w:t>the welfare and options of future generations are not jeopardised by the production and consumption activities of the present generation;</w:t>
      </w:r>
    </w:p>
    <w:p w14:paraId="59DCC19D" w14:textId="77777777" w:rsidR="00C46175" w:rsidRPr="00D93FF9" w:rsidRDefault="00E811B8" w:rsidP="00754E54">
      <w:pPr>
        <w:pStyle w:val="ListBullet"/>
        <w:jc w:val="both"/>
        <w:rPr>
          <w:rFonts w:ascii="Symbol" w:hAnsi="Symbol"/>
          <w:lang w:val="en-GB"/>
        </w:rPr>
      </w:pPr>
      <w:r w:rsidRPr="00D93FF9">
        <w:rPr>
          <w:lang w:val="en-GB"/>
        </w:rPr>
        <w:t>yields and product quality are maintained or</w:t>
      </w:r>
      <w:r w:rsidRPr="00D93FF9">
        <w:rPr>
          <w:spacing w:val="-3"/>
          <w:lang w:val="en-GB"/>
        </w:rPr>
        <w:t xml:space="preserve"> </w:t>
      </w:r>
      <w:r w:rsidRPr="00D93FF9">
        <w:rPr>
          <w:lang w:val="en-GB"/>
        </w:rPr>
        <w:t>improved.</w:t>
      </w:r>
    </w:p>
    <w:p w14:paraId="42145236" w14:textId="31AF0377" w:rsidR="00FF34F1" w:rsidRPr="00D93FF9" w:rsidRDefault="00FF34F1" w:rsidP="00E31A49">
      <w:pPr>
        <w:pStyle w:val="CommentText"/>
        <w:jc w:val="both"/>
        <w:rPr>
          <w:sz w:val="22"/>
          <w:szCs w:val="22"/>
        </w:rPr>
      </w:pPr>
      <w:r w:rsidRPr="00D93FF9">
        <w:rPr>
          <w:sz w:val="22"/>
          <w:szCs w:val="22"/>
        </w:rPr>
        <w:lastRenderedPageBreak/>
        <w:t xml:space="preserve">The guidelines should be used for irrigation water sourced primarily from rainfed natural sources for protection of the soil environment, crop growth and quality, and related natural resources that could be impacted by the use of the irrigation water.  </w:t>
      </w:r>
    </w:p>
    <w:p w14:paraId="2C2B7B60" w14:textId="4BF9B047" w:rsidR="00FF34F1" w:rsidRPr="00D93FF9" w:rsidRDefault="00FF34F1" w:rsidP="00E31A49">
      <w:pPr>
        <w:pStyle w:val="BodyText"/>
        <w:jc w:val="both"/>
        <w:rPr>
          <w:lang w:val="en-GB"/>
        </w:rPr>
      </w:pPr>
      <w:r w:rsidRPr="00D93FF9">
        <w:rPr>
          <w:lang w:val="en-GB"/>
        </w:rPr>
        <w:t xml:space="preserve">Specific irrigation water quality guidelines for intensive horticultural activities (e.g. hydroponics and glass-house growing), and waste water reuse (recycled water) are not included in this document. The Australian Guideline for Water Recycling </w:t>
      </w:r>
      <w:r w:rsidRPr="00D93FF9">
        <w:rPr>
          <w:lang w:val="en-GB"/>
        </w:rPr>
        <w:fldChar w:fldCharType="begin"/>
      </w:r>
      <w:r w:rsidRPr="00D93FF9">
        <w:rPr>
          <w:lang w:val="en-GB"/>
        </w:rPr>
        <w:instrText xml:space="preserve"> ADDIN ZOTERO_ITEM CSL_CITATION {"citationID":"jQqSkbIn","properties":{"formattedCitation":"(NRMMC et al., 2006)","plainCitation":"(NRMMC et al., 2006)","noteIndex":0},"citationItems":[{"id":3886,"uris":["http://zotero.org/users/1938757/items/MHXN2WMQ"],"uri":["http://zotero.org/users/1938757/items/MHXN2WMQ"],"itemData":{"id":3886,"type":"book","event-place":"Canberra,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schema":"https://github.com/citation-style-language/schema/raw/master/csl-citation.json"} </w:instrText>
      </w:r>
      <w:r w:rsidRPr="00D93FF9">
        <w:rPr>
          <w:lang w:val="en-GB"/>
        </w:rPr>
        <w:fldChar w:fldCharType="separate"/>
      </w:r>
      <w:r w:rsidRPr="00D93FF9">
        <w:rPr>
          <w:rFonts w:ascii="Calibri" w:hAnsi="Calibri" w:cs="Calibri"/>
        </w:rPr>
        <w:t>(NRMMC et al. 2006)</w:t>
      </w:r>
      <w:r w:rsidRPr="00D93FF9">
        <w:rPr>
          <w:lang w:val="en-GB"/>
        </w:rPr>
        <w:fldChar w:fldCharType="end"/>
      </w:r>
      <w:r w:rsidRPr="00D93FF9">
        <w:rPr>
          <w:lang w:val="en-GB"/>
        </w:rPr>
        <w:t xml:space="preserve"> should be considered for irrigation with recycled water.</w:t>
      </w:r>
    </w:p>
    <w:p w14:paraId="2D9B8EA0" w14:textId="77777777" w:rsidR="009D1674" w:rsidRPr="00D93FF9" w:rsidRDefault="009D1674" w:rsidP="00F03CFD">
      <w:pPr>
        <w:pStyle w:val="BodyText"/>
        <w:spacing w:before="122" w:line="264" w:lineRule="auto"/>
        <w:ind w:right="206"/>
        <w:jc w:val="both"/>
        <w:rPr>
          <w:lang w:val="en-GB"/>
        </w:rPr>
      </w:pPr>
      <w:r w:rsidRPr="00D93FF9">
        <w:rPr>
          <w:lang w:val="en-GB"/>
        </w:rPr>
        <w:t>The guidelines are values below which there should be minimal risk of adverse effects. Further investigation is recommended if a DGV, SGV or trigger value is exceeded, to determine the level of risk.</w:t>
      </w:r>
    </w:p>
    <w:p w14:paraId="59DCC19F" w14:textId="77777777" w:rsidR="00C46175" w:rsidRPr="00D93FF9" w:rsidRDefault="00E811B8" w:rsidP="00873544">
      <w:pPr>
        <w:pStyle w:val="Heading3"/>
        <w:rPr>
          <w:lang w:val="en-GB"/>
        </w:rPr>
      </w:pPr>
      <w:bookmarkStart w:id="7" w:name="_Ref80266391"/>
      <w:bookmarkStart w:id="8" w:name="_Toc96693564"/>
      <w:r w:rsidRPr="00D93FF9">
        <w:rPr>
          <w:lang w:val="en-GB"/>
        </w:rPr>
        <w:t>General considerations for assessment of irrigation water quality</w:t>
      </w:r>
      <w:bookmarkEnd w:id="7"/>
      <w:bookmarkEnd w:id="8"/>
    </w:p>
    <w:p w14:paraId="59DCC1A0" w14:textId="3E8C72AB" w:rsidR="00C46175" w:rsidRPr="00D93FF9" w:rsidRDefault="00E811B8" w:rsidP="003807A1">
      <w:pPr>
        <w:pStyle w:val="BodyText"/>
        <w:spacing w:after="0" w:line="266" w:lineRule="auto"/>
        <w:jc w:val="both"/>
        <w:rPr>
          <w:lang w:val="en-GB"/>
        </w:rPr>
      </w:pPr>
      <w:r w:rsidRPr="00D93FF9">
        <w:rPr>
          <w:lang w:val="en-GB"/>
        </w:rPr>
        <w:t xml:space="preserve">In assessing the suitability of waters for irrigation use, water quality characteristics that affect agricultural production, catchment condition, and downstream water quality need to be evaluated. With concerns about the decreasing quality of surface and groundwaters, and an increasing interest in wastewater and on-farm reuse, emphasis is placed on more comprehensive and flexible guidelines for irrigation water quality. </w:t>
      </w:r>
      <w:r w:rsidR="0006380A" w:rsidRPr="00D93FF9">
        <w:rPr>
          <w:lang w:val="en-GB"/>
        </w:rPr>
        <w:fldChar w:fldCharType="begin"/>
      </w:r>
      <w:r w:rsidR="0006380A" w:rsidRPr="00D93FF9">
        <w:rPr>
          <w:lang w:val="en-GB"/>
        </w:rPr>
        <w:instrText xml:space="preserve"> REF _Ref71723225 \h </w:instrText>
      </w:r>
      <w:r w:rsidR="00D93FF9">
        <w:rPr>
          <w:lang w:val="en-GB"/>
        </w:rPr>
        <w:instrText xml:space="preserve"> \* MERGEFORMAT </w:instrText>
      </w:r>
      <w:r w:rsidR="0006380A" w:rsidRPr="00D93FF9">
        <w:rPr>
          <w:lang w:val="en-GB"/>
        </w:rPr>
      </w:r>
      <w:r w:rsidR="0006380A" w:rsidRPr="00D93FF9">
        <w:rPr>
          <w:lang w:val="en-GB"/>
        </w:rPr>
        <w:fldChar w:fldCharType="separate"/>
      </w:r>
      <w:r w:rsidR="0069302C" w:rsidRPr="00D93FF9">
        <w:t xml:space="preserve">Table </w:t>
      </w:r>
      <w:r w:rsidR="0069302C">
        <w:rPr>
          <w:noProof/>
        </w:rPr>
        <w:t>1</w:t>
      </w:r>
      <w:r w:rsidR="0006380A" w:rsidRPr="00D93FF9">
        <w:rPr>
          <w:lang w:val="en-GB"/>
        </w:rPr>
        <w:fldChar w:fldCharType="end"/>
      </w:r>
      <w:r w:rsidR="0006380A" w:rsidRPr="00D93FF9">
        <w:rPr>
          <w:lang w:val="en-GB"/>
        </w:rPr>
        <w:t xml:space="preserve"> </w:t>
      </w:r>
      <w:r w:rsidRPr="00D93FF9">
        <w:rPr>
          <w:lang w:val="en-GB"/>
        </w:rPr>
        <w:t>summarises the key issues concerning irrigation effects on soil, plants and water resources, and highlights factors taken into consideration in this review.</w:t>
      </w:r>
    </w:p>
    <w:p w14:paraId="59DCC1A1" w14:textId="77777777" w:rsidR="00056514" w:rsidRPr="00D93FF9" w:rsidRDefault="00E811B8" w:rsidP="0006380A">
      <w:pPr>
        <w:pStyle w:val="BodyText"/>
        <w:spacing w:after="0" w:line="266" w:lineRule="auto"/>
        <w:jc w:val="both"/>
        <w:rPr>
          <w:lang w:val="en-GB"/>
        </w:rPr>
      </w:pPr>
      <w:r w:rsidRPr="00D93FF9">
        <w:rPr>
          <w:lang w:val="en-GB"/>
        </w:rPr>
        <w:t>The irrigation of agricultural land, while directly influenced by irrigation water quality, is also affected by a number of other parameters which must be considered when planning a sustainable irrigation management</w:t>
      </w:r>
      <w:r w:rsidRPr="00D93FF9">
        <w:rPr>
          <w:spacing w:val="-1"/>
          <w:lang w:val="en-GB"/>
        </w:rPr>
        <w:t xml:space="preserve"> </w:t>
      </w:r>
      <w:r w:rsidRPr="00D93FF9">
        <w:rPr>
          <w:lang w:val="en-GB"/>
        </w:rPr>
        <w:t>program.</w:t>
      </w:r>
    </w:p>
    <w:p w14:paraId="59DCC1A2" w14:textId="77777777" w:rsidR="0006380A" w:rsidRPr="00D93FF9" w:rsidRDefault="0006380A" w:rsidP="0006380A">
      <w:pPr>
        <w:pStyle w:val="BodyText"/>
        <w:spacing w:after="0" w:line="266" w:lineRule="auto"/>
        <w:jc w:val="both"/>
        <w:rPr>
          <w:rFonts w:ascii="Arial"/>
          <w:sz w:val="18"/>
          <w:lang w:val="en-GB"/>
        </w:rPr>
      </w:pPr>
    </w:p>
    <w:p w14:paraId="59DCC1A3" w14:textId="5BAF597B" w:rsidR="00C46175" w:rsidRPr="00D93FF9" w:rsidRDefault="00E811B8" w:rsidP="00056514">
      <w:pPr>
        <w:pStyle w:val="TableHeading"/>
        <w:rPr>
          <w:lang w:val="en-GB"/>
        </w:rPr>
      </w:pPr>
      <w:bookmarkStart w:id="9" w:name="_Ref71723225"/>
      <w:bookmarkStart w:id="10" w:name="_Toc96518215"/>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1</w:t>
      </w:r>
      <w:r w:rsidR="00477102" w:rsidRPr="00D93FF9">
        <w:fldChar w:fldCharType="end"/>
      </w:r>
      <w:bookmarkEnd w:id="9"/>
      <w:r w:rsidR="0085132A" w:rsidRPr="00D93FF9">
        <w:t xml:space="preserve"> </w:t>
      </w:r>
      <w:r w:rsidR="00E90CE0" w:rsidRPr="00D93FF9">
        <w:rPr>
          <w:lang w:val="en-GB"/>
        </w:rPr>
        <w:t>Key issues concerning irrigation water quality effects on soil, plants and water resources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issues concerning irrigation water quality effects on soil, plants, and water resources"/>
        <w:tblDescription w:val="This table summarises the key issues regarding the effects of irrigation water quality on soil, plants, and water resources, and highlights the factors taken into consideration in this review. Some of the key issues listed include different types of salinity and contaminants in soil, yield, salt tolerance, ion tolerance, foliar injury, contamination by pathogens, and drainage and leaching."/>
      </w:tblPr>
      <w:tblGrid>
        <w:gridCol w:w="2736"/>
        <w:gridCol w:w="6284"/>
      </w:tblGrid>
      <w:tr w:rsidR="00BE3AA8" w:rsidRPr="00D93FF9" w14:paraId="59DCC1A6" w14:textId="77777777" w:rsidTr="00F94F2B">
        <w:tc>
          <w:tcPr>
            <w:tcW w:w="2830" w:type="dxa"/>
            <w:tcBorders>
              <w:top w:val="single" w:sz="4" w:space="0" w:color="auto"/>
            </w:tcBorders>
          </w:tcPr>
          <w:p w14:paraId="59DCC1A4" w14:textId="77777777" w:rsidR="00C62B15" w:rsidRPr="00D93FF9" w:rsidRDefault="00C62B15" w:rsidP="00A04D16">
            <w:pPr>
              <w:spacing w:before="0" w:after="0" w:line="281" w:lineRule="auto"/>
              <w:ind w:right="493"/>
              <w:rPr>
                <w:rFonts w:asciiTheme="minorHAnsi" w:hAnsiTheme="minorHAnsi"/>
                <w:b/>
                <w:bCs/>
                <w:szCs w:val="18"/>
                <w:lang w:val="en-GB"/>
              </w:rPr>
            </w:pPr>
          </w:p>
        </w:tc>
        <w:tc>
          <w:tcPr>
            <w:tcW w:w="6620" w:type="dxa"/>
            <w:tcBorders>
              <w:top w:val="single" w:sz="4" w:space="0" w:color="auto"/>
            </w:tcBorders>
          </w:tcPr>
          <w:p w14:paraId="59DCC1A5" w14:textId="77777777" w:rsidR="00C62B15" w:rsidRPr="00D93FF9" w:rsidRDefault="00E811B8" w:rsidP="00A04D16">
            <w:pPr>
              <w:spacing w:before="0" w:after="0" w:line="281" w:lineRule="auto"/>
              <w:ind w:right="493"/>
              <w:rPr>
                <w:rFonts w:asciiTheme="minorHAnsi" w:hAnsiTheme="minorHAnsi"/>
                <w:b/>
                <w:bCs/>
                <w:szCs w:val="18"/>
                <w:lang w:val="en-GB"/>
              </w:rPr>
            </w:pPr>
            <w:r w:rsidRPr="00D93FF9">
              <w:rPr>
                <w:rFonts w:asciiTheme="minorHAnsi" w:hAnsiTheme="minorHAnsi"/>
                <w:b/>
                <w:bCs/>
                <w:szCs w:val="18"/>
                <w:lang w:val="en-GB"/>
              </w:rPr>
              <w:t>Key issues</w:t>
            </w:r>
          </w:p>
        </w:tc>
      </w:tr>
      <w:tr w:rsidR="00BE3AA8" w:rsidRPr="00D93FF9" w14:paraId="59DCC1A9" w14:textId="77777777" w:rsidTr="00F94F2B">
        <w:tc>
          <w:tcPr>
            <w:tcW w:w="2830" w:type="dxa"/>
          </w:tcPr>
          <w:p w14:paraId="59DCC1A7" w14:textId="77777777" w:rsidR="00C62B15" w:rsidRPr="00D93FF9" w:rsidRDefault="00E811B8" w:rsidP="00A04D16">
            <w:pPr>
              <w:spacing w:before="0" w:after="0" w:line="281" w:lineRule="auto"/>
              <w:ind w:right="493"/>
              <w:rPr>
                <w:rFonts w:asciiTheme="minorHAnsi" w:hAnsiTheme="minorHAnsi"/>
                <w:szCs w:val="18"/>
                <w:lang w:val="en-GB"/>
              </w:rPr>
            </w:pPr>
            <w:r w:rsidRPr="00D93FF9">
              <w:rPr>
                <w:rFonts w:asciiTheme="minorHAnsi" w:hAnsiTheme="minorHAnsi"/>
                <w:szCs w:val="18"/>
                <w:lang w:val="en-GB"/>
              </w:rPr>
              <w:t>Soil</w:t>
            </w:r>
          </w:p>
        </w:tc>
        <w:tc>
          <w:tcPr>
            <w:tcW w:w="6620" w:type="dxa"/>
          </w:tcPr>
          <w:p w14:paraId="59DCC1A8" w14:textId="77777777" w:rsidR="00C62B15" w:rsidRPr="00D93FF9" w:rsidRDefault="00E811B8" w:rsidP="00A04D16">
            <w:pPr>
              <w:spacing w:before="0" w:after="0" w:line="281" w:lineRule="auto"/>
              <w:ind w:right="493"/>
              <w:rPr>
                <w:rFonts w:asciiTheme="minorHAnsi" w:hAnsiTheme="minorHAnsi"/>
                <w:szCs w:val="18"/>
                <w:lang w:val="en-GB"/>
              </w:rPr>
            </w:pPr>
            <w:r w:rsidRPr="00D93FF9">
              <w:rPr>
                <w:rFonts w:asciiTheme="minorHAnsi" w:hAnsiTheme="minorHAnsi"/>
                <w:szCs w:val="18"/>
                <w:lang w:val="en-GB"/>
              </w:rPr>
              <w:t>Root zone salinity</w:t>
            </w:r>
          </w:p>
        </w:tc>
      </w:tr>
      <w:tr w:rsidR="00BE3AA8" w:rsidRPr="00D93FF9" w14:paraId="59DCC1AC" w14:textId="77777777" w:rsidTr="00F94F2B">
        <w:tc>
          <w:tcPr>
            <w:tcW w:w="2830" w:type="dxa"/>
          </w:tcPr>
          <w:p w14:paraId="59DCC1AA" w14:textId="77777777" w:rsidR="00C62B15" w:rsidRPr="00D93FF9" w:rsidRDefault="00C62B15" w:rsidP="00A04D16">
            <w:pPr>
              <w:spacing w:before="0" w:after="0" w:line="281" w:lineRule="auto"/>
              <w:ind w:right="493"/>
              <w:rPr>
                <w:rFonts w:asciiTheme="minorHAnsi" w:hAnsiTheme="minorHAnsi"/>
                <w:szCs w:val="18"/>
                <w:lang w:val="en-GB"/>
              </w:rPr>
            </w:pPr>
          </w:p>
        </w:tc>
        <w:tc>
          <w:tcPr>
            <w:tcW w:w="6620" w:type="dxa"/>
          </w:tcPr>
          <w:p w14:paraId="59DCC1AB" w14:textId="77777777" w:rsidR="00C62B15" w:rsidRPr="00D93FF9" w:rsidRDefault="00E811B8" w:rsidP="00A04D16">
            <w:pPr>
              <w:spacing w:before="0" w:after="0" w:line="281" w:lineRule="auto"/>
              <w:ind w:right="493"/>
              <w:rPr>
                <w:rFonts w:asciiTheme="minorHAnsi" w:hAnsiTheme="minorHAnsi"/>
                <w:szCs w:val="18"/>
                <w:lang w:val="en-GB"/>
              </w:rPr>
            </w:pPr>
            <w:r w:rsidRPr="00D93FF9">
              <w:rPr>
                <w:rFonts w:asciiTheme="minorHAnsi" w:hAnsiTheme="minorHAnsi"/>
                <w:szCs w:val="18"/>
                <w:lang w:val="en-GB"/>
              </w:rPr>
              <w:t>Soil structural stability</w:t>
            </w:r>
          </w:p>
        </w:tc>
      </w:tr>
      <w:tr w:rsidR="00BE3AA8" w:rsidRPr="00D93FF9" w14:paraId="59DCC1AF" w14:textId="77777777" w:rsidTr="00F94F2B">
        <w:tc>
          <w:tcPr>
            <w:tcW w:w="2830" w:type="dxa"/>
          </w:tcPr>
          <w:p w14:paraId="59DCC1AD" w14:textId="77777777" w:rsidR="00C62B15" w:rsidRPr="00D93FF9" w:rsidRDefault="00C62B15" w:rsidP="00A04D16">
            <w:pPr>
              <w:spacing w:before="0" w:after="0" w:line="281" w:lineRule="auto"/>
              <w:ind w:right="493"/>
              <w:rPr>
                <w:rFonts w:asciiTheme="minorHAnsi" w:hAnsiTheme="minorHAnsi"/>
                <w:szCs w:val="18"/>
                <w:lang w:val="en-GB"/>
              </w:rPr>
            </w:pPr>
          </w:p>
        </w:tc>
        <w:tc>
          <w:tcPr>
            <w:tcW w:w="6620" w:type="dxa"/>
          </w:tcPr>
          <w:p w14:paraId="59DCC1AE" w14:textId="77777777" w:rsidR="00C62B15" w:rsidRPr="00D93FF9" w:rsidRDefault="00E811B8" w:rsidP="00A04D16">
            <w:pPr>
              <w:spacing w:before="0" w:after="0" w:line="281" w:lineRule="auto"/>
              <w:ind w:right="493"/>
              <w:rPr>
                <w:rFonts w:asciiTheme="minorHAnsi" w:hAnsiTheme="minorHAnsi"/>
                <w:szCs w:val="18"/>
                <w:lang w:val="en-GB"/>
              </w:rPr>
            </w:pPr>
            <w:r w:rsidRPr="00D93FF9">
              <w:rPr>
                <w:rFonts w:asciiTheme="minorHAnsi" w:hAnsiTheme="minorHAnsi"/>
                <w:szCs w:val="18"/>
                <w:lang w:val="en-GB"/>
              </w:rPr>
              <w:t>Build-up of contaminants in soil</w:t>
            </w:r>
          </w:p>
        </w:tc>
      </w:tr>
      <w:tr w:rsidR="00BE3AA8" w:rsidRPr="00D93FF9" w14:paraId="59DCC1B2" w14:textId="77777777" w:rsidTr="00F94F2B">
        <w:tc>
          <w:tcPr>
            <w:tcW w:w="2830" w:type="dxa"/>
          </w:tcPr>
          <w:p w14:paraId="59DCC1B0" w14:textId="77777777" w:rsidR="00C62B15" w:rsidRPr="00D93FF9" w:rsidRDefault="00C62B15" w:rsidP="00A04D16">
            <w:pPr>
              <w:spacing w:before="0" w:after="0" w:line="281" w:lineRule="auto"/>
              <w:ind w:right="493"/>
              <w:rPr>
                <w:rFonts w:asciiTheme="minorHAnsi" w:hAnsiTheme="minorHAnsi"/>
                <w:szCs w:val="18"/>
                <w:lang w:val="en-GB"/>
              </w:rPr>
            </w:pPr>
          </w:p>
        </w:tc>
        <w:tc>
          <w:tcPr>
            <w:tcW w:w="6620" w:type="dxa"/>
          </w:tcPr>
          <w:p w14:paraId="59DCC1B1" w14:textId="77777777" w:rsidR="00C62B15" w:rsidRPr="00D93FF9" w:rsidRDefault="00E811B8" w:rsidP="00A04D16">
            <w:pPr>
              <w:spacing w:before="0" w:after="0" w:line="281" w:lineRule="auto"/>
              <w:ind w:right="493"/>
              <w:rPr>
                <w:rFonts w:asciiTheme="minorHAnsi" w:hAnsiTheme="minorHAnsi"/>
                <w:szCs w:val="18"/>
                <w:lang w:val="en-GB"/>
              </w:rPr>
            </w:pPr>
            <w:r w:rsidRPr="00D93FF9">
              <w:rPr>
                <w:rFonts w:asciiTheme="minorHAnsi" w:hAnsiTheme="minorHAnsi"/>
                <w:szCs w:val="18"/>
                <w:lang w:val="en-GB"/>
              </w:rPr>
              <w:t>Release of contaminants from soil to crops &amp; pastures</w:t>
            </w:r>
          </w:p>
        </w:tc>
      </w:tr>
      <w:tr w:rsidR="00BE3AA8" w:rsidRPr="00D93FF9" w14:paraId="59DCC1B5" w14:textId="77777777" w:rsidTr="00F94F2B">
        <w:tc>
          <w:tcPr>
            <w:tcW w:w="2830" w:type="dxa"/>
          </w:tcPr>
          <w:p w14:paraId="59DCC1B3" w14:textId="77777777" w:rsidR="00C62B15" w:rsidRPr="00D93FF9" w:rsidRDefault="00E811B8" w:rsidP="00A04D16">
            <w:pPr>
              <w:spacing w:before="0" w:after="0" w:line="281" w:lineRule="auto"/>
              <w:ind w:right="493"/>
              <w:rPr>
                <w:rFonts w:asciiTheme="minorHAnsi" w:hAnsiTheme="minorHAnsi"/>
                <w:szCs w:val="18"/>
                <w:lang w:val="en-GB"/>
              </w:rPr>
            </w:pPr>
            <w:r w:rsidRPr="00D93FF9">
              <w:rPr>
                <w:rFonts w:asciiTheme="minorHAnsi" w:hAnsiTheme="minorHAnsi"/>
                <w:szCs w:val="18"/>
                <w:lang w:val="en-GB"/>
              </w:rPr>
              <w:t>Plants</w:t>
            </w:r>
          </w:p>
        </w:tc>
        <w:tc>
          <w:tcPr>
            <w:tcW w:w="6620" w:type="dxa"/>
          </w:tcPr>
          <w:p w14:paraId="59DCC1B4" w14:textId="77777777" w:rsidR="00C62B15" w:rsidRPr="00D93FF9" w:rsidRDefault="00E811B8" w:rsidP="00A04D16">
            <w:pPr>
              <w:spacing w:before="0" w:after="0" w:line="281" w:lineRule="auto"/>
              <w:ind w:right="493"/>
              <w:rPr>
                <w:rFonts w:asciiTheme="minorHAnsi" w:hAnsiTheme="minorHAnsi"/>
                <w:szCs w:val="18"/>
                <w:lang w:val="en-GB"/>
              </w:rPr>
            </w:pPr>
            <w:r w:rsidRPr="00D93FF9">
              <w:rPr>
                <w:rFonts w:asciiTheme="minorHAnsi" w:hAnsiTheme="minorHAnsi"/>
                <w:szCs w:val="18"/>
                <w:lang w:val="en-GB"/>
              </w:rPr>
              <w:t>Yield</w:t>
            </w:r>
          </w:p>
        </w:tc>
      </w:tr>
      <w:tr w:rsidR="00BE3AA8" w:rsidRPr="00D93FF9" w14:paraId="59DCC1B8" w14:textId="77777777" w:rsidTr="00F94F2B">
        <w:tc>
          <w:tcPr>
            <w:tcW w:w="2830" w:type="dxa"/>
          </w:tcPr>
          <w:p w14:paraId="59DCC1B6" w14:textId="77777777" w:rsidR="00C62B15" w:rsidRPr="00D93FF9" w:rsidRDefault="00C62B15" w:rsidP="00A04D16">
            <w:pPr>
              <w:spacing w:before="0" w:after="0" w:line="281" w:lineRule="auto"/>
              <w:ind w:right="493"/>
              <w:rPr>
                <w:rFonts w:asciiTheme="minorHAnsi" w:hAnsiTheme="minorHAnsi"/>
                <w:szCs w:val="18"/>
                <w:lang w:val="en-GB"/>
              </w:rPr>
            </w:pPr>
          </w:p>
        </w:tc>
        <w:tc>
          <w:tcPr>
            <w:tcW w:w="6620" w:type="dxa"/>
          </w:tcPr>
          <w:p w14:paraId="59DCC1B7" w14:textId="77777777" w:rsidR="00C62B15" w:rsidRPr="00D93FF9" w:rsidRDefault="00E811B8" w:rsidP="00A04D16">
            <w:pPr>
              <w:spacing w:before="0" w:after="0" w:line="281" w:lineRule="auto"/>
              <w:ind w:right="493"/>
              <w:rPr>
                <w:rFonts w:asciiTheme="minorHAnsi" w:hAnsiTheme="minorHAnsi"/>
                <w:szCs w:val="18"/>
                <w:lang w:val="en-GB"/>
              </w:rPr>
            </w:pPr>
            <w:r w:rsidRPr="00D93FF9">
              <w:rPr>
                <w:rFonts w:asciiTheme="minorHAnsi" w:hAnsiTheme="minorHAnsi"/>
                <w:szCs w:val="18"/>
                <w:lang w:val="en-GB"/>
              </w:rPr>
              <w:t>Salt tolerance</w:t>
            </w:r>
          </w:p>
        </w:tc>
      </w:tr>
      <w:tr w:rsidR="00BE3AA8" w:rsidRPr="00D93FF9" w14:paraId="59DCC1BB" w14:textId="77777777" w:rsidTr="00F94F2B">
        <w:tc>
          <w:tcPr>
            <w:tcW w:w="2830" w:type="dxa"/>
          </w:tcPr>
          <w:p w14:paraId="59DCC1B9" w14:textId="77777777" w:rsidR="00C62B15" w:rsidRPr="00D93FF9" w:rsidRDefault="00C62B15" w:rsidP="00A04D16">
            <w:pPr>
              <w:spacing w:before="0" w:after="0" w:line="281" w:lineRule="auto"/>
              <w:ind w:right="493"/>
              <w:rPr>
                <w:rFonts w:asciiTheme="minorHAnsi" w:hAnsiTheme="minorHAnsi"/>
                <w:szCs w:val="18"/>
                <w:lang w:val="en-GB"/>
              </w:rPr>
            </w:pPr>
          </w:p>
        </w:tc>
        <w:tc>
          <w:tcPr>
            <w:tcW w:w="6620" w:type="dxa"/>
          </w:tcPr>
          <w:p w14:paraId="59DCC1BA" w14:textId="77777777" w:rsidR="00C62B15" w:rsidRPr="00D93FF9" w:rsidRDefault="00E811B8" w:rsidP="00A04D16">
            <w:pPr>
              <w:spacing w:before="0" w:after="0" w:line="281" w:lineRule="auto"/>
              <w:ind w:right="493"/>
              <w:rPr>
                <w:rFonts w:asciiTheme="minorHAnsi" w:hAnsiTheme="minorHAnsi"/>
                <w:szCs w:val="18"/>
                <w:lang w:val="en-GB"/>
              </w:rPr>
            </w:pPr>
            <w:r w:rsidRPr="00D93FF9">
              <w:rPr>
                <w:rFonts w:asciiTheme="minorHAnsi" w:hAnsiTheme="minorHAnsi"/>
                <w:szCs w:val="18"/>
                <w:lang w:val="en-GB"/>
              </w:rPr>
              <w:t>Specific ion tolerance</w:t>
            </w:r>
          </w:p>
        </w:tc>
      </w:tr>
      <w:tr w:rsidR="00BE3AA8" w:rsidRPr="00D93FF9" w14:paraId="59DCC1BE" w14:textId="77777777" w:rsidTr="00F94F2B">
        <w:tc>
          <w:tcPr>
            <w:tcW w:w="2830" w:type="dxa"/>
          </w:tcPr>
          <w:p w14:paraId="59DCC1BC" w14:textId="77777777" w:rsidR="00C62B15" w:rsidRPr="00D93FF9" w:rsidRDefault="00C62B15" w:rsidP="00A04D16">
            <w:pPr>
              <w:spacing w:after="0" w:line="281" w:lineRule="auto"/>
              <w:ind w:right="493"/>
              <w:rPr>
                <w:rFonts w:asciiTheme="minorHAnsi" w:hAnsiTheme="minorHAnsi"/>
                <w:szCs w:val="18"/>
                <w:lang w:val="en-GB"/>
              </w:rPr>
            </w:pPr>
          </w:p>
        </w:tc>
        <w:tc>
          <w:tcPr>
            <w:tcW w:w="6620" w:type="dxa"/>
          </w:tcPr>
          <w:p w14:paraId="59DCC1BD" w14:textId="77777777" w:rsidR="00C62B15" w:rsidRPr="00D93FF9" w:rsidRDefault="00E811B8" w:rsidP="00A04D16">
            <w:pPr>
              <w:spacing w:after="0" w:line="281" w:lineRule="auto"/>
              <w:ind w:right="493"/>
              <w:rPr>
                <w:rFonts w:asciiTheme="minorHAnsi" w:hAnsiTheme="minorHAnsi"/>
                <w:szCs w:val="18"/>
                <w:lang w:val="en-GB"/>
              </w:rPr>
            </w:pPr>
            <w:r w:rsidRPr="00D93FF9">
              <w:rPr>
                <w:rFonts w:asciiTheme="minorHAnsi" w:hAnsiTheme="minorHAnsi"/>
                <w:szCs w:val="18"/>
                <w:lang w:val="en-GB"/>
              </w:rPr>
              <w:t>Foliar injury</w:t>
            </w:r>
          </w:p>
        </w:tc>
      </w:tr>
      <w:tr w:rsidR="00BE3AA8" w:rsidRPr="00D93FF9" w14:paraId="59DCC1C1" w14:textId="77777777" w:rsidTr="00F94F2B">
        <w:tc>
          <w:tcPr>
            <w:tcW w:w="2830" w:type="dxa"/>
          </w:tcPr>
          <w:p w14:paraId="59DCC1BF" w14:textId="77777777" w:rsidR="00C62B15" w:rsidRPr="00D93FF9" w:rsidRDefault="00C62B15" w:rsidP="00A04D16">
            <w:pPr>
              <w:spacing w:after="0" w:line="281" w:lineRule="auto"/>
              <w:ind w:right="493"/>
              <w:rPr>
                <w:rFonts w:asciiTheme="minorHAnsi" w:hAnsiTheme="minorHAnsi"/>
                <w:szCs w:val="18"/>
                <w:lang w:val="en-GB"/>
              </w:rPr>
            </w:pPr>
          </w:p>
        </w:tc>
        <w:tc>
          <w:tcPr>
            <w:tcW w:w="6620" w:type="dxa"/>
          </w:tcPr>
          <w:p w14:paraId="59DCC1C0" w14:textId="77777777" w:rsidR="00C62B15" w:rsidRPr="00D93FF9" w:rsidRDefault="00E811B8" w:rsidP="00A04D16">
            <w:pPr>
              <w:spacing w:after="0" w:line="281" w:lineRule="auto"/>
              <w:ind w:right="493"/>
              <w:rPr>
                <w:rFonts w:asciiTheme="minorHAnsi" w:hAnsiTheme="minorHAnsi"/>
                <w:szCs w:val="18"/>
                <w:lang w:val="en-GB"/>
              </w:rPr>
            </w:pPr>
            <w:r w:rsidRPr="00D93FF9">
              <w:rPr>
                <w:rFonts w:asciiTheme="minorHAnsi" w:eastAsia="Cambria" w:hAnsiTheme="minorHAnsi" w:cs="Arial"/>
                <w:szCs w:val="18"/>
              </w:rPr>
              <w:t>Uptake of toxicants in produce for human consumption</w:t>
            </w:r>
          </w:p>
        </w:tc>
      </w:tr>
      <w:tr w:rsidR="00BE3AA8" w:rsidRPr="00D93FF9" w14:paraId="59DCC1C4" w14:textId="77777777" w:rsidTr="00F94F2B">
        <w:tc>
          <w:tcPr>
            <w:tcW w:w="2830" w:type="dxa"/>
          </w:tcPr>
          <w:p w14:paraId="59DCC1C2" w14:textId="77777777" w:rsidR="00C62B15" w:rsidRPr="00D93FF9" w:rsidRDefault="00C62B15" w:rsidP="00A04D16">
            <w:pPr>
              <w:spacing w:after="0" w:line="281" w:lineRule="auto"/>
              <w:ind w:right="493"/>
              <w:rPr>
                <w:rFonts w:asciiTheme="minorHAnsi" w:hAnsiTheme="minorHAnsi"/>
                <w:szCs w:val="18"/>
                <w:lang w:val="en-GB"/>
              </w:rPr>
            </w:pPr>
          </w:p>
        </w:tc>
        <w:tc>
          <w:tcPr>
            <w:tcW w:w="6620" w:type="dxa"/>
          </w:tcPr>
          <w:p w14:paraId="59DCC1C3" w14:textId="77777777" w:rsidR="00C62B15" w:rsidRPr="00D93FF9" w:rsidRDefault="00E811B8" w:rsidP="00A04D16">
            <w:pPr>
              <w:spacing w:after="0" w:line="281" w:lineRule="auto"/>
              <w:ind w:right="493"/>
              <w:rPr>
                <w:rFonts w:asciiTheme="minorHAnsi" w:hAnsiTheme="minorHAnsi"/>
                <w:szCs w:val="18"/>
                <w:lang w:val="en-GB"/>
              </w:rPr>
            </w:pPr>
            <w:r w:rsidRPr="00D93FF9">
              <w:rPr>
                <w:rFonts w:asciiTheme="minorHAnsi" w:eastAsia="Cambria" w:hAnsiTheme="minorHAnsi" w:cs="Arial"/>
                <w:szCs w:val="18"/>
              </w:rPr>
              <w:t>Contamination by pathogens</w:t>
            </w:r>
          </w:p>
        </w:tc>
      </w:tr>
      <w:tr w:rsidR="00BE3AA8" w:rsidRPr="00D93FF9" w14:paraId="59DCC1C7" w14:textId="77777777" w:rsidTr="00F94F2B">
        <w:tc>
          <w:tcPr>
            <w:tcW w:w="2830" w:type="dxa"/>
          </w:tcPr>
          <w:p w14:paraId="59DCC1C5" w14:textId="77777777" w:rsidR="00C62B15" w:rsidRPr="00D93FF9" w:rsidRDefault="00E811B8" w:rsidP="00A04D16">
            <w:pPr>
              <w:spacing w:after="0" w:line="281" w:lineRule="auto"/>
              <w:ind w:right="493"/>
              <w:rPr>
                <w:rFonts w:asciiTheme="minorHAnsi" w:hAnsiTheme="minorHAnsi"/>
                <w:szCs w:val="18"/>
                <w:lang w:val="en-GB"/>
              </w:rPr>
            </w:pPr>
            <w:r w:rsidRPr="00D93FF9">
              <w:rPr>
                <w:rFonts w:asciiTheme="minorHAnsi" w:hAnsiTheme="minorHAnsi"/>
                <w:szCs w:val="18"/>
                <w:lang w:val="en-GB"/>
              </w:rPr>
              <w:t>Water resources</w:t>
            </w:r>
          </w:p>
        </w:tc>
        <w:tc>
          <w:tcPr>
            <w:tcW w:w="6620" w:type="dxa"/>
          </w:tcPr>
          <w:p w14:paraId="59DCC1C6" w14:textId="77777777" w:rsidR="00C62B15" w:rsidRPr="00D93FF9" w:rsidRDefault="00E811B8" w:rsidP="00A04D16">
            <w:pPr>
              <w:spacing w:after="0" w:line="281" w:lineRule="auto"/>
              <w:ind w:right="493"/>
              <w:rPr>
                <w:rFonts w:asciiTheme="minorHAnsi" w:hAnsiTheme="minorHAnsi"/>
                <w:szCs w:val="18"/>
                <w:lang w:val="en-GB"/>
              </w:rPr>
            </w:pPr>
            <w:r w:rsidRPr="00D93FF9">
              <w:rPr>
                <w:rFonts w:asciiTheme="minorHAnsi" w:eastAsia="Cambria" w:hAnsiTheme="minorHAnsi" w:cs="Arial"/>
                <w:szCs w:val="18"/>
              </w:rPr>
              <w:t>Deep drainage &amp; leaching below root zone</w:t>
            </w:r>
          </w:p>
        </w:tc>
      </w:tr>
      <w:tr w:rsidR="00BE3AA8" w:rsidRPr="00D93FF9" w14:paraId="59DCC1CA" w14:textId="77777777" w:rsidTr="00F94F2B">
        <w:tc>
          <w:tcPr>
            <w:tcW w:w="2830" w:type="dxa"/>
          </w:tcPr>
          <w:p w14:paraId="59DCC1C8" w14:textId="77777777" w:rsidR="00C62B15" w:rsidRPr="00D93FF9" w:rsidRDefault="00C62B15" w:rsidP="00A04D16">
            <w:pPr>
              <w:spacing w:after="0" w:line="281" w:lineRule="auto"/>
              <w:ind w:right="493"/>
              <w:rPr>
                <w:rFonts w:asciiTheme="minorHAnsi" w:hAnsiTheme="minorHAnsi"/>
                <w:szCs w:val="18"/>
                <w:lang w:val="en-GB"/>
              </w:rPr>
            </w:pPr>
          </w:p>
        </w:tc>
        <w:tc>
          <w:tcPr>
            <w:tcW w:w="6620" w:type="dxa"/>
          </w:tcPr>
          <w:p w14:paraId="59DCC1C9" w14:textId="77777777" w:rsidR="00C62B15" w:rsidRPr="00D93FF9" w:rsidRDefault="00E811B8" w:rsidP="00A04D16">
            <w:pPr>
              <w:spacing w:after="0" w:line="281" w:lineRule="auto"/>
              <w:ind w:right="493"/>
              <w:rPr>
                <w:rFonts w:asciiTheme="minorHAnsi" w:eastAsia="Cambria" w:hAnsiTheme="minorHAnsi" w:cs="Arial"/>
                <w:szCs w:val="18"/>
              </w:rPr>
            </w:pPr>
            <w:r w:rsidRPr="00D93FF9">
              <w:rPr>
                <w:rFonts w:asciiTheme="minorHAnsi" w:eastAsia="Cambria" w:hAnsiTheme="minorHAnsi" w:cs="Arial"/>
                <w:szCs w:val="18"/>
              </w:rPr>
              <w:t>Movement of salts, nutrients &amp; contaminants to groundwaters &amp; surface waters</w:t>
            </w:r>
          </w:p>
        </w:tc>
      </w:tr>
      <w:tr w:rsidR="00BE3AA8" w:rsidRPr="00D93FF9" w14:paraId="59DCC1CD" w14:textId="77777777" w:rsidTr="00F94F2B">
        <w:tc>
          <w:tcPr>
            <w:tcW w:w="2830" w:type="dxa"/>
          </w:tcPr>
          <w:p w14:paraId="59DCC1CB" w14:textId="77777777" w:rsidR="00C62B15" w:rsidRPr="00D93FF9" w:rsidRDefault="00E811B8" w:rsidP="00A04D16">
            <w:pPr>
              <w:spacing w:after="0" w:line="281" w:lineRule="auto"/>
              <w:ind w:right="493"/>
              <w:rPr>
                <w:rFonts w:asciiTheme="minorHAnsi" w:hAnsiTheme="minorHAnsi"/>
                <w:szCs w:val="18"/>
                <w:lang w:val="en-GB"/>
              </w:rPr>
            </w:pPr>
            <w:r w:rsidRPr="00D93FF9">
              <w:rPr>
                <w:rFonts w:asciiTheme="minorHAnsi" w:hAnsiTheme="minorHAnsi"/>
                <w:szCs w:val="18"/>
                <w:lang w:val="en-GB"/>
              </w:rPr>
              <w:t>Important associated factors</w:t>
            </w:r>
          </w:p>
        </w:tc>
        <w:tc>
          <w:tcPr>
            <w:tcW w:w="6620" w:type="dxa"/>
          </w:tcPr>
          <w:p w14:paraId="59DCC1CC" w14:textId="77777777" w:rsidR="00C62B15" w:rsidRPr="00D93FF9" w:rsidRDefault="00E811B8" w:rsidP="00A04D16">
            <w:pPr>
              <w:autoSpaceDE w:val="0"/>
              <w:autoSpaceDN w:val="0"/>
              <w:adjustRightInd w:val="0"/>
              <w:spacing w:after="0" w:line="240" w:lineRule="auto"/>
              <w:rPr>
                <w:rFonts w:asciiTheme="minorHAnsi" w:eastAsia="Cambria" w:hAnsiTheme="minorHAnsi" w:cs="Arial"/>
                <w:szCs w:val="18"/>
              </w:rPr>
            </w:pPr>
            <w:r w:rsidRPr="00D93FF9">
              <w:rPr>
                <w:rFonts w:asciiTheme="minorHAnsi" w:eastAsia="Cambria" w:hAnsiTheme="minorHAnsi" w:cs="Arial"/>
                <w:szCs w:val="18"/>
              </w:rPr>
              <w:t>Quantity and seasonality of rainfall</w:t>
            </w:r>
          </w:p>
        </w:tc>
      </w:tr>
      <w:tr w:rsidR="00BE3AA8" w:rsidRPr="00D93FF9" w14:paraId="59DCC1D0" w14:textId="77777777" w:rsidTr="00F94F2B">
        <w:tc>
          <w:tcPr>
            <w:tcW w:w="2830" w:type="dxa"/>
          </w:tcPr>
          <w:p w14:paraId="59DCC1CE" w14:textId="77777777" w:rsidR="00C62B15" w:rsidRPr="00D93FF9" w:rsidRDefault="00C62B15" w:rsidP="00A04D16">
            <w:pPr>
              <w:spacing w:after="0" w:line="281" w:lineRule="auto"/>
              <w:ind w:right="493"/>
              <w:rPr>
                <w:rFonts w:asciiTheme="minorHAnsi" w:hAnsiTheme="minorHAnsi"/>
                <w:szCs w:val="18"/>
                <w:lang w:val="en-GB"/>
              </w:rPr>
            </w:pPr>
          </w:p>
        </w:tc>
        <w:tc>
          <w:tcPr>
            <w:tcW w:w="6620" w:type="dxa"/>
          </w:tcPr>
          <w:p w14:paraId="59DCC1CF" w14:textId="77777777" w:rsidR="00C62B15" w:rsidRPr="00D93FF9" w:rsidRDefault="00E811B8" w:rsidP="00A04D16">
            <w:pPr>
              <w:autoSpaceDE w:val="0"/>
              <w:autoSpaceDN w:val="0"/>
              <w:adjustRightInd w:val="0"/>
              <w:spacing w:after="0" w:line="240" w:lineRule="auto"/>
              <w:rPr>
                <w:rFonts w:asciiTheme="minorHAnsi" w:eastAsia="Cambria" w:hAnsiTheme="minorHAnsi" w:cs="Arial"/>
                <w:szCs w:val="18"/>
              </w:rPr>
            </w:pPr>
            <w:r w:rsidRPr="00D93FF9">
              <w:rPr>
                <w:rFonts w:asciiTheme="minorHAnsi" w:eastAsia="Cambria" w:hAnsiTheme="minorHAnsi" w:cs="Arial"/>
                <w:szCs w:val="18"/>
              </w:rPr>
              <w:t>Soil properties</w:t>
            </w:r>
          </w:p>
        </w:tc>
      </w:tr>
      <w:tr w:rsidR="00BE3AA8" w:rsidRPr="00D93FF9" w14:paraId="59DCC1D3" w14:textId="77777777" w:rsidTr="00F94F2B">
        <w:tc>
          <w:tcPr>
            <w:tcW w:w="2830" w:type="dxa"/>
          </w:tcPr>
          <w:p w14:paraId="59DCC1D1" w14:textId="77777777" w:rsidR="00C62B15" w:rsidRPr="00D93FF9" w:rsidRDefault="00C62B15" w:rsidP="00A04D16">
            <w:pPr>
              <w:spacing w:after="0" w:line="281" w:lineRule="auto"/>
              <w:ind w:right="493"/>
              <w:rPr>
                <w:rFonts w:asciiTheme="minorHAnsi" w:hAnsiTheme="minorHAnsi"/>
                <w:szCs w:val="18"/>
                <w:lang w:val="en-GB"/>
              </w:rPr>
            </w:pPr>
          </w:p>
        </w:tc>
        <w:tc>
          <w:tcPr>
            <w:tcW w:w="6620" w:type="dxa"/>
          </w:tcPr>
          <w:p w14:paraId="59DCC1D2" w14:textId="77777777" w:rsidR="00C62B15" w:rsidRPr="00D93FF9" w:rsidRDefault="00E811B8" w:rsidP="00A04D16">
            <w:pPr>
              <w:autoSpaceDE w:val="0"/>
              <w:autoSpaceDN w:val="0"/>
              <w:adjustRightInd w:val="0"/>
              <w:spacing w:after="0" w:line="240" w:lineRule="auto"/>
              <w:rPr>
                <w:rFonts w:asciiTheme="minorHAnsi" w:eastAsia="Cambria" w:hAnsiTheme="minorHAnsi" w:cs="Arial"/>
                <w:szCs w:val="18"/>
              </w:rPr>
            </w:pPr>
            <w:r w:rsidRPr="00D93FF9">
              <w:rPr>
                <w:rFonts w:asciiTheme="minorHAnsi" w:eastAsia="Cambria" w:hAnsiTheme="minorHAnsi" w:cs="Arial"/>
                <w:szCs w:val="18"/>
              </w:rPr>
              <w:t>Crop and pasture species and management options</w:t>
            </w:r>
          </w:p>
        </w:tc>
      </w:tr>
      <w:tr w:rsidR="00BE3AA8" w:rsidRPr="00D93FF9" w14:paraId="59DCC1D6" w14:textId="77777777" w:rsidTr="00F94F2B">
        <w:tc>
          <w:tcPr>
            <w:tcW w:w="2830" w:type="dxa"/>
          </w:tcPr>
          <w:p w14:paraId="59DCC1D4" w14:textId="77777777" w:rsidR="00C62B15" w:rsidRPr="00D93FF9" w:rsidRDefault="00C62B15" w:rsidP="00A04D16">
            <w:pPr>
              <w:spacing w:after="0" w:line="281" w:lineRule="auto"/>
              <w:ind w:right="493"/>
              <w:rPr>
                <w:rFonts w:asciiTheme="minorHAnsi" w:hAnsiTheme="minorHAnsi"/>
                <w:szCs w:val="18"/>
                <w:lang w:val="en-GB"/>
              </w:rPr>
            </w:pPr>
          </w:p>
        </w:tc>
        <w:tc>
          <w:tcPr>
            <w:tcW w:w="6620" w:type="dxa"/>
          </w:tcPr>
          <w:p w14:paraId="59DCC1D5" w14:textId="77777777" w:rsidR="00C62B15" w:rsidRPr="00D93FF9" w:rsidRDefault="00E811B8" w:rsidP="00A04D16">
            <w:pPr>
              <w:autoSpaceDE w:val="0"/>
              <w:autoSpaceDN w:val="0"/>
              <w:adjustRightInd w:val="0"/>
              <w:spacing w:after="0" w:line="240" w:lineRule="auto"/>
              <w:rPr>
                <w:rFonts w:asciiTheme="minorHAnsi" w:eastAsia="Cambria" w:hAnsiTheme="minorHAnsi" w:cs="Arial"/>
                <w:szCs w:val="18"/>
              </w:rPr>
            </w:pPr>
            <w:r w:rsidRPr="00D93FF9">
              <w:rPr>
                <w:rFonts w:asciiTheme="minorHAnsi" w:eastAsia="Cambria" w:hAnsiTheme="minorHAnsi" w:cs="Arial"/>
                <w:szCs w:val="18"/>
              </w:rPr>
              <w:t>Land type</w:t>
            </w:r>
          </w:p>
        </w:tc>
      </w:tr>
      <w:tr w:rsidR="00BE3AA8" w:rsidRPr="00D93FF9" w14:paraId="59DCC1D9" w14:textId="77777777" w:rsidTr="00F94F2B">
        <w:tc>
          <w:tcPr>
            <w:tcW w:w="2830" w:type="dxa"/>
            <w:tcBorders>
              <w:bottom w:val="single" w:sz="4" w:space="0" w:color="auto"/>
            </w:tcBorders>
          </w:tcPr>
          <w:p w14:paraId="59DCC1D7" w14:textId="77777777" w:rsidR="00C62B15" w:rsidRPr="00D93FF9" w:rsidRDefault="00C62B15" w:rsidP="00A04D16">
            <w:pPr>
              <w:spacing w:after="0" w:line="281" w:lineRule="auto"/>
              <w:ind w:right="493"/>
              <w:rPr>
                <w:rFonts w:asciiTheme="minorHAnsi" w:hAnsiTheme="minorHAnsi"/>
                <w:szCs w:val="18"/>
                <w:lang w:val="en-GB"/>
              </w:rPr>
            </w:pPr>
          </w:p>
        </w:tc>
        <w:tc>
          <w:tcPr>
            <w:tcW w:w="6620" w:type="dxa"/>
            <w:tcBorders>
              <w:bottom w:val="single" w:sz="4" w:space="0" w:color="auto"/>
            </w:tcBorders>
          </w:tcPr>
          <w:p w14:paraId="59DCC1D8" w14:textId="77777777" w:rsidR="00C62B15" w:rsidRPr="00D93FF9" w:rsidRDefault="00E811B8" w:rsidP="00A04D16">
            <w:pPr>
              <w:autoSpaceDE w:val="0"/>
              <w:autoSpaceDN w:val="0"/>
              <w:adjustRightInd w:val="0"/>
              <w:spacing w:after="0" w:line="240" w:lineRule="auto"/>
              <w:rPr>
                <w:rFonts w:asciiTheme="minorHAnsi" w:eastAsia="Cambria" w:hAnsiTheme="minorHAnsi" w:cs="Arial"/>
                <w:szCs w:val="18"/>
              </w:rPr>
            </w:pPr>
            <w:r w:rsidRPr="00D93FF9">
              <w:rPr>
                <w:rFonts w:asciiTheme="minorHAnsi" w:eastAsia="Cambria" w:hAnsiTheme="minorHAnsi" w:cs="Arial"/>
                <w:szCs w:val="18"/>
              </w:rPr>
              <w:t>Groundwater depth and quality</w:t>
            </w:r>
          </w:p>
        </w:tc>
      </w:tr>
    </w:tbl>
    <w:p w14:paraId="59DCC1DA" w14:textId="77777777" w:rsidR="00C46175" w:rsidRPr="00D93FF9" w:rsidRDefault="00C46175" w:rsidP="003807A1">
      <w:pPr>
        <w:pStyle w:val="BodyText"/>
        <w:spacing w:after="0"/>
        <w:rPr>
          <w:rFonts w:ascii="Arial"/>
          <w:lang w:val="en-GB"/>
        </w:rPr>
      </w:pPr>
    </w:p>
    <w:p w14:paraId="59DCC1DB" w14:textId="77777777" w:rsidR="00C46175" w:rsidRPr="00D93FF9" w:rsidRDefault="00E811B8" w:rsidP="00B6170D">
      <w:pPr>
        <w:pStyle w:val="Heading4"/>
        <w:spacing w:before="0"/>
        <w:rPr>
          <w:lang w:val="en-GB"/>
        </w:rPr>
      </w:pPr>
      <w:r w:rsidRPr="00D93FF9">
        <w:rPr>
          <w:lang w:val="en-GB"/>
        </w:rPr>
        <w:lastRenderedPageBreak/>
        <w:t>Catchment water balance</w:t>
      </w:r>
    </w:p>
    <w:p w14:paraId="59DCC1DC" w14:textId="69ADAD74" w:rsidR="00C46175" w:rsidRPr="00D93FF9" w:rsidRDefault="00E811B8" w:rsidP="003807A1">
      <w:pPr>
        <w:pStyle w:val="BodyText"/>
        <w:spacing w:after="0" w:line="266" w:lineRule="auto"/>
        <w:jc w:val="both"/>
        <w:rPr>
          <w:lang w:val="en-GB"/>
        </w:rPr>
      </w:pPr>
      <w:r w:rsidRPr="00D93FF9">
        <w:rPr>
          <w:lang w:val="en-GB"/>
        </w:rPr>
        <w:t xml:space="preserve">The water balance of a catchment is an important factor in considering irrigation water quality. Assessment of water movement through the catchment gives an indication of potential contaminant transport, sources, sinks and concentrations, and allows more effective management decisions to be made by the individual landholder. </w:t>
      </w:r>
      <w:r w:rsidR="00081B73" w:rsidRPr="00D93FF9">
        <w:rPr>
          <w:lang w:val="en-GB"/>
        </w:rPr>
        <w:t>O</w:t>
      </w:r>
      <w:r w:rsidR="00081B73" w:rsidRPr="00D93FF9">
        <w:t xml:space="preserve">ften irrigation (irrigation induced surface runoff and deep drainage, leaching practice) provides energy for offsite movements of applied fertilisers (typically phosphates and nitrates that are known as contaminants in aquatic systems) which can result in adverse environmental impacts such as eutrophication from these diffuse sources. </w:t>
      </w:r>
      <w:r w:rsidRPr="00D93FF9">
        <w:rPr>
          <w:lang w:val="en-GB"/>
        </w:rPr>
        <w:t>Consideration should be given to an overall water cycle management strategy</w:t>
      </w:r>
      <w:r w:rsidR="005F7A9C" w:rsidRPr="00D93FF9">
        <w:rPr>
          <w:lang w:val="en-GB"/>
        </w:rPr>
        <w:t xml:space="preserve"> (including environmental flows which are required to maintain ecosystems downstream)</w:t>
      </w:r>
      <w:r w:rsidRPr="00D93FF9">
        <w:rPr>
          <w:lang w:val="en-GB"/>
        </w:rPr>
        <w:t>, with an emphasis on maintaining both on-site and downstream water</w:t>
      </w:r>
      <w:r w:rsidRPr="00D93FF9">
        <w:rPr>
          <w:spacing w:val="-4"/>
          <w:lang w:val="en-GB"/>
        </w:rPr>
        <w:t xml:space="preserve"> </w:t>
      </w:r>
      <w:r w:rsidRPr="00D93FF9">
        <w:rPr>
          <w:lang w:val="en-GB"/>
        </w:rPr>
        <w:t>quality.</w:t>
      </w:r>
      <w:r w:rsidR="00970B52" w:rsidRPr="00D93FF9">
        <w:rPr>
          <w:lang w:val="en-GB"/>
        </w:rPr>
        <w:t xml:space="preserve"> </w:t>
      </w:r>
    </w:p>
    <w:p w14:paraId="59DCC1DD" w14:textId="77777777" w:rsidR="00C46175" w:rsidRPr="00D93FF9" w:rsidRDefault="00C46175" w:rsidP="003807A1">
      <w:pPr>
        <w:pStyle w:val="BodyText"/>
        <w:spacing w:after="0"/>
        <w:rPr>
          <w:sz w:val="25"/>
          <w:lang w:val="en-GB"/>
        </w:rPr>
      </w:pPr>
    </w:p>
    <w:p w14:paraId="59DCC1DE" w14:textId="77777777" w:rsidR="00C46175" w:rsidRPr="00D93FF9" w:rsidRDefault="00E811B8" w:rsidP="00B6170D">
      <w:pPr>
        <w:pStyle w:val="Heading4"/>
        <w:spacing w:before="0"/>
        <w:rPr>
          <w:lang w:val="en-GB"/>
        </w:rPr>
      </w:pPr>
      <w:r w:rsidRPr="00D93FF9">
        <w:rPr>
          <w:lang w:val="en-GB"/>
        </w:rPr>
        <w:t>Soil characteristics</w:t>
      </w:r>
    </w:p>
    <w:p w14:paraId="59DCC1DF" w14:textId="5FE8BB51" w:rsidR="00C46175" w:rsidRPr="00D93FF9" w:rsidRDefault="00E811B8" w:rsidP="003807A1">
      <w:pPr>
        <w:pStyle w:val="BodyText"/>
        <w:spacing w:after="0" w:line="266" w:lineRule="auto"/>
        <w:jc w:val="both"/>
        <w:rPr>
          <w:lang w:val="en-GB"/>
        </w:rPr>
      </w:pPr>
      <w:r w:rsidRPr="00D93FF9">
        <w:rPr>
          <w:lang w:val="en-GB"/>
        </w:rPr>
        <w:t>Crop yields under irrigation are influenced by the physical and chemical characteristics of soils, for example, fertility, texture, structure, clay percentage, water-holding capacity, cation exchange capacity (CEC), exchangeable sodium percentage (ESP),</w:t>
      </w:r>
      <w:r w:rsidR="005718C7" w:rsidRPr="00D93FF9">
        <w:rPr>
          <w:lang w:val="en-GB"/>
        </w:rPr>
        <w:t xml:space="preserve"> </w:t>
      </w:r>
      <w:r w:rsidR="00BC1C21" w:rsidRPr="00D93FF9">
        <w:rPr>
          <w:lang w:val="en-GB"/>
        </w:rPr>
        <w:t>salinity (EC),</w:t>
      </w:r>
      <w:r w:rsidRPr="00D93FF9">
        <w:rPr>
          <w:lang w:val="en-GB"/>
        </w:rPr>
        <w:t xml:space="preserve"> leaching fraction (LF), pH, organic matter and trace elements. The suitability of a water for irrigation use therefore depends to some extent on its interaction with the soil environment. These guidelines have attempted to take soil characteristics into consideration to give a more accurate estimate of irrigation requirements and sustainable levels of application.</w:t>
      </w:r>
    </w:p>
    <w:p w14:paraId="59DCC1E0" w14:textId="77777777" w:rsidR="00C46175" w:rsidRPr="00D93FF9" w:rsidRDefault="00C46175" w:rsidP="003807A1">
      <w:pPr>
        <w:pStyle w:val="BodyText"/>
        <w:spacing w:after="0"/>
        <w:rPr>
          <w:sz w:val="25"/>
          <w:lang w:val="en-GB"/>
        </w:rPr>
      </w:pPr>
    </w:p>
    <w:p w14:paraId="59DCC1E1" w14:textId="03B451AD" w:rsidR="00C46175" w:rsidRPr="00D93FF9" w:rsidRDefault="00E811B8" w:rsidP="00B6170D">
      <w:pPr>
        <w:pStyle w:val="Heading4"/>
        <w:spacing w:before="0"/>
        <w:rPr>
          <w:lang w:val="en-GB"/>
        </w:rPr>
      </w:pPr>
      <w:r w:rsidRPr="00D93FF9">
        <w:rPr>
          <w:lang w:val="en-GB"/>
        </w:rPr>
        <w:t>Crop tolerance</w:t>
      </w:r>
      <w:r w:rsidR="00ED4350" w:rsidRPr="00D93FF9">
        <w:rPr>
          <w:lang w:val="en-GB"/>
        </w:rPr>
        <w:t xml:space="preserve"> and type</w:t>
      </w:r>
    </w:p>
    <w:p w14:paraId="59DCC1E2" w14:textId="47CFD0F2" w:rsidR="00C46175" w:rsidRPr="00D93FF9" w:rsidRDefault="00E811B8" w:rsidP="003807A1">
      <w:pPr>
        <w:pStyle w:val="BodyText"/>
        <w:spacing w:after="0" w:line="266" w:lineRule="auto"/>
        <w:jc w:val="both"/>
        <w:rPr>
          <w:lang w:val="en-GB"/>
        </w:rPr>
      </w:pPr>
      <w:r w:rsidRPr="00D93FF9">
        <w:rPr>
          <w:lang w:val="en-GB"/>
        </w:rPr>
        <w:t>The level of tolerance to various toxic substances varies between different crop species. Toxicity problems occur if certain constituents in the soil or water are taken up or absorbed by</w:t>
      </w:r>
      <w:r w:rsidRPr="00D93FF9">
        <w:rPr>
          <w:spacing w:val="21"/>
          <w:lang w:val="en-GB"/>
        </w:rPr>
        <w:t xml:space="preserve"> </w:t>
      </w:r>
      <w:r w:rsidRPr="00D93FF9">
        <w:rPr>
          <w:lang w:val="en-GB"/>
        </w:rPr>
        <w:t>the</w:t>
      </w:r>
      <w:r w:rsidRPr="00D93FF9">
        <w:rPr>
          <w:spacing w:val="25"/>
          <w:lang w:val="en-GB"/>
        </w:rPr>
        <w:t xml:space="preserve"> </w:t>
      </w:r>
      <w:r w:rsidRPr="00D93FF9">
        <w:rPr>
          <w:lang w:val="en-GB"/>
        </w:rPr>
        <w:t>plant</w:t>
      </w:r>
      <w:r w:rsidRPr="00D93FF9">
        <w:rPr>
          <w:spacing w:val="25"/>
          <w:lang w:val="en-GB"/>
        </w:rPr>
        <w:t xml:space="preserve"> </w:t>
      </w:r>
      <w:r w:rsidRPr="00D93FF9">
        <w:rPr>
          <w:lang w:val="en-GB"/>
        </w:rPr>
        <w:t>and</w:t>
      </w:r>
      <w:r w:rsidRPr="00D93FF9">
        <w:rPr>
          <w:spacing w:val="27"/>
          <w:lang w:val="en-GB"/>
        </w:rPr>
        <w:t xml:space="preserve"> </w:t>
      </w:r>
      <w:r w:rsidRPr="00D93FF9">
        <w:rPr>
          <w:lang w:val="en-GB"/>
        </w:rPr>
        <w:t>accumulate</w:t>
      </w:r>
      <w:r w:rsidRPr="00D93FF9">
        <w:rPr>
          <w:spacing w:val="28"/>
          <w:lang w:val="en-GB"/>
        </w:rPr>
        <w:t xml:space="preserve"> </w:t>
      </w:r>
      <w:r w:rsidRPr="00D93FF9">
        <w:rPr>
          <w:lang w:val="en-GB"/>
        </w:rPr>
        <w:t>to</w:t>
      </w:r>
      <w:r w:rsidRPr="00D93FF9">
        <w:rPr>
          <w:spacing w:val="28"/>
          <w:lang w:val="en-GB"/>
        </w:rPr>
        <w:t xml:space="preserve"> </w:t>
      </w:r>
      <w:r w:rsidRPr="00D93FF9">
        <w:rPr>
          <w:lang w:val="en-GB"/>
        </w:rPr>
        <w:t>concentrations</w:t>
      </w:r>
      <w:r w:rsidRPr="00D93FF9">
        <w:rPr>
          <w:spacing w:val="27"/>
          <w:lang w:val="en-GB"/>
        </w:rPr>
        <w:t xml:space="preserve"> </w:t>
      </w:r>
      <w:r w:rsidRPr="00D93FF9">
        <w:rPr>
          <w:lang w:val="en-GB"/>
        </w:rPr>
        <w:t>high</w:t>
      </w:r>
      <w:r w:rsidRPr="00D93FF9">
        <w:rPr>
          <w:spacing w:val="27"/>
          <w:lang w:val="en-GB"/>
        </w:rPr>
        <w:t xml:space="preserve"> </w:t>
      </w:r>
      <w:r w:rsidRPr="00D93FF9">
        <w:rPr>
          <w:lang w:val="en-GB"/>
        </w:rPr>
        <w:t>enough</w:t>
      </w:r>
      <w:r w:rsidRPr="00D93FF9">
        <w:rPr>
          <w:spacing w:val="27"/>
          <w:lang w:val="en-GB"/>
        </w:rPr>
        <w:t xml:space="preserve"> </w:t>
      </w:r>
      <w:r w:rsidRPr="00D93FF9">
        <w:rPr>
          <w:lang w:val="en-GB"/>
        </w:rPr>
        <w:t>to</w:t>
      </w:r>
      <w:r w:rsidRPr="00D93FF9">
        <w:rPr>
          <w:spacing w:val="27"/>
          <w:lang w:val="en-GB"/>
        </w:rPr>
        <w:t xml:space="preserve"> </w:t>
      </w:r>
      <w:r w:rsidRPr="00D93FF9">
        <w:rPr>
          <w:lang w:val="en-GB"/>
        </w:rPr>
        <w:t>cause</w:t>
      </w:r>
      <w:r w:rsidRPr="00D93FF9">
        <w:rPr>
          <w:spacing w:val="28"/>
          <w:lang w:val="en-GB"/>
        </w:rPr>
        <w:t xml:space="preserve"> </w:t>
      </w:r>
      <w:r w:rsidRPr="00D93FF9">
        <w:rPr>
          <w:lang w:val="en-GB"/>
        </w:rPr>
        <w:t>crop</w:t>
      </w:r>
      <w:r w:rsidRPr="00D93FF9">
        <w:rPr>
          <w:spacing w:val="28"/>
          <w:lang w:val="en-GB"/>
        </w:rPr>
        <w:t xml:space="preserve"> </w:t>
      </w:r>
      <w:r w:rsidRPr="00D93FF9">
        <w:rPr>
          <w:lang w:val="en-GB"/>
        </w:rPr>
        <w:t>damage,</w:t>
      </w:r>
      <w:r w:rsidRPr="00D93FF9">
        <w:rPr>
          <w:spacing w:val="27"/>
          <w:lang w:val="en-GB"/>
        </w:rPr>
        <w:t xml:space="preserve"> </w:t>
      </w:r>
      <w:r w:rsidRPr="00D93FF9">
        <w:rPr>
          <w:lang w:val="en-GB"/>
        </w:rPr>
        <w:t>reduced</w:t>
      </w:r>
      <w:bookmarkStart w:id="11" w:name="9.2.1.4__Climatic_conditions"/>
      <w:bookmarkStart w:id="12" w:name="9.2.1.5__Subsurface_drainage"/>
      <w:bookmarkStart w:id="13" w:name="9.2.2__Biological_parameters"/>
      <w:bookmarkStart w:id="14" w:name="9.2.2.1__Algae"/>
      <w:bookmarkEnd w:id="11"/>
      <w:bookmarkEnd w:id="12"/>
      <w:bookmarkEnd w:id="13"/>
      <w:bookmarkEnd w:id="14"/>
      <w:r w:rsidR="006330FC" w:rsidRPr="00D93FF9">
        <w:rPr>
          <w:lang w:val="en-GB"/>
        </w:rPr>
        <w:t xml:space="preserve"> </w:t>
      </w:r>
      <w:r w:rsidRPr="00D93FF9">
        <w:rPr>
          <w:lang w:val="en-GB"/>
        </w:rPr>
        <w:t xml:space="preserve">yields or product quality (Ayers </w:t>
      </w:r>
      <w:r w:rsidR="00FA6E9E" w:rsidRPr="00D93FF9">
        <w:rPr>
          <w:lang w:val="en-GB"/>
        </w:rPr>
        <w:t>and</w:t>
      </w:r>
      <w:r w:rsidRPr="00D93FF9">
        <w:rPr>
          <w:lang w:val="en-GB"/>
        </w:rPr>
        <w:t xml:space="preserve"> Westcot 1985). Guidelines for crop tolerance to various toxicants are provided including salinity and certain inorganic and organic contaminants.</w:t>
      </w:r>
      <w:r w:rsidR="00ED4350" w:rsidRPr="00D93FF9">
        <w:rPr>
          <w:lang w:val="en-GB"/>
        </w:rPr>
        <w:t xml:space="preserve"> </w:t>
      </w:r>
    </w:p>
    <w:p w14:paraId="59DCC1E3" w14:textId="77777777" w:rsidR="00C46175" w:rsidRPr="00D93FF9" w:rsidRDefault="00C46175" w:rsidP="003807A1">
      <w:pPr>
        <w:pStyle w:val="BodyText"/>
        <w:spacing w:after="0"/>
        <w:rPr>
          <w:sz w:val="25"/>
          <w:lang w:val="en-GB"/>
        </w:rPr>
      </w:pPr>
    </w:p>
    <w:p w14:paraId="59DCC1E4" w14:textId="77777777" w:rsidR="00C46175" w:rsidRPr="00D93FF9" w:rsidRDefault="00E811B8" w:rsidP="003807A1">
      <w:pPr>
        <w:pStyle w:val="Heading5"/>
        <w:spacing w:before="0"/>
        <w:rPr>
          <w:lang w:val="en-GB"/>
        </w:rPr>
      </w:pPr>
      <w:r w:rsidRPr="00D93FF9">
        <w:rPr>
          <w:lang w:val="en-GB"/>
        </w:rPr>
        <w:t>Climatic conditions</w:t>
      </w:r>
    </w:p>
    <w:p w14:paraId="59DCC1E5" w14:textId="46E4374C" w:rsidR="00C46175" w:rsidRPr="00D93FF9" w:rsidRDefault="00E811B8" w:rsidP="003807A1">
      <w:pPr>
        <w:pStyle w:val="BodyText"/>
        <w:spacing w:after="0" w:line="266" w:lineRule="auto"/>
        <w:jc w:val="both"/>
        <w:rPr>
          <w:lang w:val="en-GB"/>
        </w:rPr>
      </w:pPr>
      <w:r w:rsidRPr="00D93FF9">
        <w:rPr>
          <w:lang w:val="en-GB"/>
        </w:rPr>
        <w:t>The effects on irrigation management of rainfall, temperature</w:t>
      </w:r>
      <w:r w:rsidR="00BE1CC4" w:rsidRPr="00D93FF9">
        <w:rPr>
          <w:lang w:val="en-GB"/>
        </w:rPr>
        <w:t xml:space="preserve">, </w:t>
      </w:r>
      <w:r w:rsidRPr="00D93FF9">
        <w:rPr>
          <w:lang w:val="en-GB"/>
        </w:rPr>
        <w:t>evapotranspiration</w:t>
      </w:r>
      <w:r w:rsidR="00FF34F1" w:rsidRPr="00D93FF9">
        <w:rPr>
          <w:lang w:val="en-GB"/>
        </w:rPr>
        <w:t xml:space="preserve"> and deep drainage past the rootzone</w:t>
      </w:r>
      <w:r w:rsidRPr="00D93FF9">
        <w:rPr>
          <w:lang w:val="en-GB"/>
        </w:rPr>
        <w:t xml:space="preserve"> must be considered in relation to the quality of water and its application rate, and the existing soil environment.</w:t>
      </w:r>
    </w:p>
    <w:p w14:paraId="59DCC1E6" w14:textId="45E1383B" w:rsidR="00C46175" w:rsidRPr="00D93FF9" w:rsidRDefault="00E811B8" w:rsidP="003807A1">
      <w:pPr>
        <w:pStyle w:val="BodyText"/>
        <w:spacing w:after="0" w:line="266" w:lineRule="auto"/>
        <w:jc w:val="both"/>
        <w:rPr>
          <w:lang w:val="en-GB"/>
        </w:rPr>
      </w:pPr>
      <w:r w:rsidRPr="00D93FF9">
        <w:rPr>
          <w:lang w:val="en-GB"/>
        </w:rPr>
        <w:t xml:space="preserve">The amount of rainfall in a particular region can influence soil </w:t>
      </w:r>
      <w:r w:rsidR="00FF34F1" w:rsidRPr="00D93FF9">
        <w:rPr>
          <w:lang w:val="en-GB"/>
        </w:rPr>
        <w:t>properties</w:t>
      </w:r>
      <w:r w:rsidRPr="00D93FF9">
        <w:rPr>
          <w:lang w:val="en-GB"/>
        </w:rPr>
        <w:t xml:space="preserve"> and solute transport mechanisms within the soil profile. The leaching flux, </w:t>
      </w:r>
      <w:r w:rsidR="00BC2B77" w:rsidRPr="00D93FF9">
        <w:rPr>
          <w:lang w:val="en-GB"/>
        </w:rPr>
        <w:t xml:space="preserve">plant available </w:t>
      </w:r>
      <w:r w:rsidRPr="00D93FF9">
        <w:rPr>
          <w:lang w:val="en-GB"/>
        </w:rPr>
        <w:t>soil water content, trace element and contaminant concentration are all affected by water application rates and may result in reduced crop yield if not managed in conjunction with seasonal</w:t>
      </w:r>
      <w:r w:rsidRPr="00D93FF9">
        <w:rPr>
          <w:spacing w:val="3"/>
          <w:lang w:val="en-GB"/>
        </w:rPr>
        <w:t xml:space="preserve"> </w:t>
      </w:r>
      <w:r w:rsidRPr="00D93FF9">
        <w:rPr>
          <w:lang w:val="en-GB"/>
        </w:rPr>
        <w:t>rainfall.</w:t>
      </w:r>
    </w:p>
    <w:p w14:paraId="59DCC1E7" w14:textId="653E29B1" w:rsidR="00C46175" w:rsidRPr="00D93FF9" w:rsidRDefault="00E811B8" w:rsidP="003807A1">
      <w:pPr>
        <w:pStyle w:val="BodyText"/>
        <w:spacing w:after="0" w:line="266" w:lineRule="auto"/>
        <w:jc w:val="both"/>
        <w:rPr>
          <w:lang w:val="en-GB"/>
        </w:rPr>
      </w:pPr>
      <w:r w:rsidRPr="00D93FF9">
        <w:rPr>
          <w:lang w:val="en-GB"/>
        </w:rPr>
        <w:t>High temperatures and dry conditions, common in the semi-arid irrigation areas of Australia, may lead to increased evapotranspiration rates and can result in the concentration of ions and potential contaminants from irrigation waters in the upper soil profile. This may adversely affect crop and pasture species through accumulation of salt and toxicants in the root zone, leading to decreased productivity and loss of vegetative cover.</w:t>
      </w:r>
      <w:r w:rsidR="00F338CD" w:rsidRPr="00D93FF9">
        <w:rPr>
          <w:lang w:val="en-GB"/>
        </w:rPr>
        <w:t xml:space="preserve"> Climate change associated variations in rainfall patterns and distributions will have a significant impact on irrigation in the future.</w:t>
      </w:r>
    </w:p>
    <w:p w14:paraId="59DCC1E8" w14:textId="77777777" w:rsidR="00C46175" w:rsidRPr="00D93FF9" w:rsidRDefault="00C46175" w:rsidP="003807A1">
      <w:pPr>
        <w:pStyle w:val="BodyText"/>
        <w:spacing w:after="0"/>
        <w:rPr>
          <w:sz w:val="25"/>
          <w:lang w:val="en-GB"/>
        </w:rPr>
      </w:pPr>
    </w:p>
    <w:p w14:paraId="59DCC1E9" w14:textId="77777777" w:rsidR="00C46175" w:rsidRPr="00D93FF9" w:rsidRDefault="00E811B8" w:rsidP="003807A1">
      <w:pPr>
        <w:pStyle w:val="Heading5"/>
        <w:spacing w:before="0"/>
        <w:rPr>
          <w:lang w:val="en-GB"/>
        </w:rPr>
      </w:pPr>
      <w:r w:rsidRPr="00D93FF9">
        <w:rPr>
          <w:lang w:val="en-GB"/>
        </w:rPr>
        <w:lastRenderedPageBreak/>
        <w:t>Subsurface drainage</w:t>
      </w:r>
    </w:p>
    <w:p w14:paraId="59DCC1EA" w14:textId="3D51EE59" w:rsidR="00C46175" w:rsidRPr="00D93FF9" w:rsidRDefault="00E811B8" w:rsidP="003807A1">
      <w:pPr>
        <w:pStyle w:val="BodyText"/>
        <w:spacing w:after="0" w:line="266" w:lineRule="auto"/>
        <w:jc w:val="both"/>
        <w:rPr>
          <w:lang w:val="en-GB"/>
        </w:rPr>
      </w:pPr>
      <w:r w:rsidRPr="00D93FF9">
        <w:rPr>
          <w:lang w:val="en-GB"/>
        </w:rPr>
        <w:t xml:space="preserve">The provision of adequate drainage is an important component of irrigation management. With the addition of salts and contaminants in irrigation water, and the selective use of the water by plants, </w:t>
      </w:r>
      <w:r w:rsidR="005051CF" w:rsidRPr="00D93FF9">
        <w:rPr>
          <w:lang w:val="en-GB"/>
        </w:rPr>
        <w:t xml:space="preserve">salt </w:t>
      </w:r>
      <w:r w:rsidRPr="00D93FF9">
        <w:rPr>
          <w:lang w:val="en-GB"/>
        </w:rPr>
        <w:t>concentrations in the root zone need to be managed by altering the degree of leaching in the soil</w:t>
      </w:r>
      <w:r w:rsidRPr="00D93FF9">
        <w:rPr>
          <w:spacing w:val="-3"/>
          <w:lang w:val="en-GB"/>
        </w:rPr>
        <w:t xml:space="preserve"> </w:t>
      </w:r>
      <w:r w:rsidRPr="00D93FF9">
        <w:rPr>
          <w:lang w:val="en-GB"/>
        </w:rPr>
        <w:t>profile.</w:t>
      </w:r>
      <w:r w:rsidR="00374744" w:rsidRPr="00D93FF9">
        <w:rPr>
          <w:lang w:val="en-GB"/>
        </w:rPr>
        <w:t xml:space="preserve"> </w:t>
      </w:r>
      <w:r w:rsidR="00374744" w:rsidRPr="00D93FF9">
        <w:t xml:space="preserve">Drainage is an integral part of sustainable irrigation and poor drainage in irrigated lands could lead to adverse environmental impacts such as rising groundwater, salinity. </w:t>
      </w:r>
    </w:p>
    <w:p w14:paraId="2C029229" w14:textId="79AE00B7" w:rsidR="00ED4350" w:rsidRPr="00D93FF9" w:rsidRDefault="00ED4350" w:rsidP="003807A1">
      <w:pPr>
        <w:pStyle w:val="BodyText"/>
        <w:spacing w:after="0" w:line="266" w:lineRule="auto"/>
        <w:jc w:val="both"/>
        <w:rPr>
          <w:lang w:val="en-GB"/>
        </w:rPr>
      </w:pPr>
    </w:p>
    <w:p w14:paraId="235E53CF" w14:textId="721CFDA8" w:rsidR="00ED4350" w:rsidRPr="00D93FF9" w:rsidRDefault="00ED4350" w:rsidP="00BC1C21">
      <w:pPr>
        <w:pStyle w:val="Heading5"/>
        <w:spacing w:before="0"/>
        <w:rPr>
          <w:lang w:val="en-GB"/>
        </w:rPr>
      </w:pPr>
      <w:r w:rsidRPr="00D93FF9">
        <w:rPr>
          <w:lang w:val="en-GB"/>
        </w:rPr>
        <w:t>Pathogens</w:t>
      </w:r>
    </w:p>
    <w:p w14:paraId="59DCC1EB" w14:textId="4F2A215F" w:rsidR="00C46175" w:rsidRPr="00D93FF9" w:rsidRDefault="00ED4350" w:rsidP="002201B6">
      <w:pPr>
        <w:spacing w:line="266" w:lineRule="auto"/>
        <w:rPr>
          <w:lang w:val="en-GB"/>
        </w:rPr>
      </w:pPr>
      <w:r w:rsidRPr="00D93FF9">
        <w:rPr>
          <w:lang w:val="en-GB"/>
        </w:rPr>
        <w:t xml:space="preserve">The type of crop will also directly impact the required water quality and the potential risks related to microbial contamination. </w:t>
      </w:r>
    </w:p>
    <w:p w14:paraId="1E4F21F7" w14:textId="77777777" w:rsidR="00604735" w:rsidRPr="00D93FF9" w:rsidRDefault="00604735" w:rsidP="002201B6">
      <w:pPr>
        <w:spacing w:line="266" w:lineRule="auto"/>
        <w:rPr>
          <w:lang w:val="en-GB"/>
        </w:rPr>
      </w:pPr>
    </w:p>
    <w:p w14:paraId="59DCC1EC" w14:textId="77777777" w:rsidR="00C46175" w:rsidRPr="00D93FF9" w:rsidRDefault="00E811B8" w:rsidP="00604735">
      <w:pPr>
        <w:pStyle w:val="Heading2"/>
        <w:rPr>
          <w:lang w:val="en-GB"/>
        </w:rPr>
      </w:pPr>
      <w:bookmarkStart w:id="15" w:name="_Toc96693565"/>
      <w:r w:rsidRPr="00D93FF9">
        <w:rPr>
          <w:lang w:val="en-GB"/>
        </w:rPr>
        <w:t>Biological</w:t>
      </w:r>
      <w:r w:rsidRPr="00D93FF9">
        <w:rPr>
          <w:spacing w:val="1"/>
          <w:lang w:val="en-GB"/>
        </w:rPr>
        <w:t xml:space="preserve"> </w:t>
      </w:r>
      <w:r w:rsidRPr="00D93FF9">
        <w:t>parameters</w:t>
      </w:r>
      <w:bookmarkEnd w:id="15"/>
    </w:p>
    <w:p w14:paraId="59DCC1EE" w14:textId="77777777" w:rsidR="00C46175" w:rsidRPr="00D93FF9" w:rsidRDefault="00E811B8" w:rsidP="00604735">
      <w:pPr>
        <w:pStyle w:val="Heading3"/>
        <w:rPr>
          <w:lang w:val="en-GB"/>
        </w:rPr>
      </w:pPr>
      <w:bookmarkStart w:id="16" w:name="_Toc96693566"/>
      <w:r w:rsidRPr="00D93FF9">
        <w:t>Algae</w:t>
      </w:r>
      <w:bookmarkEnd w:id="16"/>
    </w:p>
    <w:p w14:paraId="59DCC1EF" w14:textId="6C8703C5" w:rsidR="00C46175" w:rsidRPr="00D93FF9" w:rsidRDefault="00E811B8" w:rsidP="00F94F2B">
      <w:pPr>
        <w:spacing w:before="200" w:line="266" w:lineRule="auto"/>
        <w:ind w:left="284"/>
        <w:rPr>
          <w:b/>
          <w:bCs/>
          <w:i/>
          <w:iCs/>
          <w:lang w:val="en-GB"/>
        </w:rPr>
      </w:pPr>
      <w:r w:rsidRPr="00D93FF9">
        <w:rPr>
          <w:b/>
          <w:bCs/>
          <w:i/>
          <w:iCs/>
        </w:rPr>
        <w:t xml:space="preserve">No </w:t>
      </w:r>
      <w:r w:rsidR="00855C80" w:rsidRPr="00D93FF9">
        <w:rPr>
          <w:b/>
          <w:bCs/>
          <w:i/>
          <w:iCs/>
        </w:rPr>
        <w:t>guideline value</w:t>
      </w:r>
      <w:r w:rsidRPr="00D93FF9">
        <w:rPr>
          <w:b/>
          <w:bCs/>
          <w:i/>
          <w:iCs/>
        </w:rPr>
        <w:t xml:space="preserve"> for algae in irrigation waters is recommended; however, excessive algal growth may indicate nutrient pollution of the water supply</w:t>
      </w:r>
      <w:r w:rsidRPr="00D93FF9">
        <w:rPr>
          <w:b/>
          <w:bCs/>
          <w:i/>
          <w:iCs/>
          <w:lang w:val="en-GB"/>
        </w:rPr>
        <w:t>.</w:t>
      </w:r>
    </w:p>
    <w:p w14:paraId="59DCC1F0" w14:textId="77777777" w:rsidR="00C46175" w:rsidRPr="00D93FF9" w:rsidRDefault="00E811B8" w:rsidP="00604735">
      <w:pPr>
        <w:pStyle w:val="Heading4"/>
        <w:rPr>
          <w:lang w:val="en-GB"/>
        </w:rPr>
      </w:pPr>
      <w:r w:rsidRPr="00D93FF9">
        <w:rPr>
          <w:lang w:val="en-GB"/>
        </w:rPr>
        <w:t>Description</w:t>
      </w:r>
    </w:p>
    <w:p w14:paraId="59DCC1F1" w14:textId="77777777" w:rsidR="00C46175" w:rsidRPr="00D93FF9" w:rsidRDefault="00E811B8" w:rsidP="003807A1">
      <w:pPr>
        <w:pStyle w:val="BodyText"/>
        <w:spacing w:after="0" w:line="266" w:lineRule="auto"/>
        <w:jc w:val="both"/>
        <w:rPr>
          <w:lang w:val="en-GB"/>
        </w:rPr>
      </w:pPr>
      <w:r w:rsidRPr="00D93FF9">
        <w:rPr>
          <w:lang w:val="en-GB"/>
        </w:rPr>
        <w:t>Algae are chlorophyll-containing plants that exist as simple, uni-cellular or multi-cellular organisms in most surface water sources. Excessive algal growth may occur where there is a combination of ‘favourable’ environmental conditions, namely suitable flow regime, temperature, an abundance of nutrients and adequate sunlight.</w:t>
      </w:r>
    </w:p>
    <w:p w14:paraId="59DCC1F2" w14:textId="77777777" w:rsidR="00C46175" w:rsidRPr="00D93FF9" w:rsidRDefault="00E811B8" w:rsidP="00604735">
      <w:pPr>
        <w:pStyle w:val="Heading4"/>
        <w:rPr>
          <w:lang w:val="en-GB"/>
        </w:rPr>
      </w:pPr>
      <w:r w:rsidRPr="00D93FF9">
        <w:rPr>
          <w:lang w:val="en-GB"/>
        </w:rPr>
        <w:t>Effect on agriculture</w:t>
      </w:r>
    </w:p>
    <w:p w14:paraId="59DCC1F3" w14:textId="77777777" w:rsidR="00C46175" w:rsidRPr="00D93FF9" w:rsidRDefault="00E811B8" w:rsidP="003807A1">
      <w:pPr>
        <w:pStyle w:val="BodyText"/>
        <w:spacing w:after="0" w:line="266" w:lineRule="auto"/>
        <w:jc w:val="both"/>
        <w:rPr>
          <w:lang w:val="en-GB"/>
        </w:rPr>
      </w:pPr>
      <w:r w:rsidRPr="00D93FF9">
        <w:rPr>
          <w:lang w:val="en-GB"/>
        </w:rPr>
        <w:t>The main problem associated with excessive algal growth in irrigation waters is the blockage of distribution and irrigation equipment. This can result in reduced or uneven flow throughout the irrigation system, which may reduce crop yield and increase overall maintenance costs.</w:t>
      </w:r>
    </w:p>
    <w:p w14:paraId="59DCC1F4" w14:textId="77777777" w:rsidR="00C46175" w:rsidRPr="00D93FF9" w:rsidRDefault="00E811B8" w:rsidP="003807A1">
      <w:pPr>
        <w:pStyle w:val="BodyText"/>
        <w:spacing w:after="0" w:line="266" w:lineRule="auto"/>
        <w:jc w:val="both"/>
        <w:rPr>
          <w:lang w:val="en-GB"/>
        </w:rPr>
      </w:pPr>
      <w:r w:rsidRPr="00D93FF9">
        <w:rPr>
          <w:lang w:val="en-GB"/>
        </w:rPr>
        <w:t>Excessive algal growth in water storages and irrigation ditches commonly occurs as a result of nutrient pollution which may arise from both point and non-point agricultural sources. Eutrophication (the process whereby a waterbody is enriched with nutrients such as nitrogen, phosphorus and organic carbon) may be accelerated and result in excessive levels of algal growth. Of particular concern are blue-green algae (which are actually a form of bacteria known as cyanobacteria), discussed separately</w:t>
      </w:r>
      <w:r w:rsidRPr="00D93FF9">
        <w:rPr>
          <w:spacing w:val="-3"/>
          <w:lang w:val="en-GB"/>
        </w:rPr>
        <w:t xml:space="preserve"> </w:t>
      </w:r>
      <w:r w:rsidRPr="00D93FF9">
        <w:rPr>
          <w:lang w:val="en-GB"/>
        </w:rPr>
        <w:t>below.</w:t>
      </w:r>
    </w:p>
    <w:p w14:paraId="59DCC1F5" w14:textId="77777777" w:rsidR="00C46175" w:rsidRPr="00D93FF9" w:rsidRDefault="00E811B8" w:rsidP="003807A1">
      <w:pPr>
        <w:pStyle w:val="BodyText"/>
        <w:spacing w:after="0" w:line="266" w:lineRule="auto"/>
        <w:jc w:val="both"/>
        <w:rPr>
          <w:lang w:val="en-GB"/>
        </w:rPr>
      </w:pPr>
      <w:bookmarkStart w:id="17" w:name="9.2.2.2__Cyanobacteria_(blue-green_algae"/>
      <w:bookmarkStart w:id="18" w:name="Effect_on_suitability_of_waters_for_irri"/>
      <w:bookmarkEnd w:id="17"/>
      <w:bookmarkEnd w:id="18"/>
      <w:r w:rsidRPr="00D93FF9">
        <w:rPr>
          <w:lang w:val="en-GB"/>
        </w:rPr>
        <w:t>Unlike cyanobacteria, algae generally do not release toxins. However, they do have the potential to deoxygenate waterbodies under suitable conditions, resulting in fish kills and stagnation of water, decreasing water quality and making it unsuitable for irrigation purposes.</w:t>
      </w:r>
    </w:p>
    <w:p w14:paraId="59DCC1F6" w14:textId="63222027" w:rsidR="00C46175" w:rsidRPr="00D93FF9" w:rsidRDefault="00E811B8" w:rsidP="003807A1">
      <w:pPr>
        <w:pStyle w:val="BodyText"/>
        <w:spacing w:after="0" w:line="266" w:lineRule="auto"/>
        <w:jc w:val="both"/>
        <w:rPr>
          <w:lang w:val="en-GB"/>
        </w:rPr>
      </w:pPr>
      <w:r w:rsidRPr="00D93FF9">
        <w:rPr>
          <w:lang w:val="en-GB"/>
        </w:rPr>
        <w:t>Excessive algal growth in irrigation water does not appear to affect the health of most irrigated crops, however limited research has been conducted in this area. Waters containing high levels of algae may not be suitable for use on crops which are required to maintain a high level of aesthetic appearance (e.g. unprocessed fruit and vegetables) or those which will be directly used for human consumption (</w:t>
      </w:r>
      <w:r w:rsidR="005718C7" w:rsidRPr="00D93FF9">
        <w:rPr>
          <w:lang w:val="en-GB"/>
        </w:rPr>
        <w:t xml:space="preserve">Chorus </w:t>
      </w:r>
      <w:r w:rsidR="00C42092" w:rsidRPr="00D93FF9">
        <w:rPr>
          <w:lang w:val="en-GB"/>
        </w:rPr>
        <w:t>and</w:t>
      </w:r>
      <w:r w:rsidR="005718C7" w:rsidRPr="00D93FF9">
        <w:rPr>
          <w:lang w:val="en-GB"/>
        </w:rPr>
        <w:t xml:space="preserve"> W</w:t>
      </w:r>
      <w:r w:rsidR="006223EA" w:rsidRPr="00D93FF9">
        <w:rPr>
          <w:lang w:val="en-GB"/>
        </w:rPr>
        <w:t>e</w:t>
      </w:r>
      <w:r w:rsidR="005718C7" w:rsidRPr="00D93FF9">
        <w:rPr>
          <w:lang w:val="en-GB"/>
        </w:rPr>
        <w:t>lker 2021</w:t>
      </w:r>
      <w:r w:rsidR="00136DE7" w:rsidRPr="00D93FF9">
        <w:rPr>
          <w:lang w:val="en-GB"/>
        </w:rPr>
        <w:t xml:space="preserve">; </w:t>
      </w:r>
      <w:r w:rsidR="00B40A6D" w:rsidRPr="00D93FF9">
        <w:rPr>
          <w:lang w:val="en-GB"/>
        </w:rPr>
        <w:t xml:space="preserve">Miller </w:t>
      </w:r>
      <w:r w:rsidR="00C42092" w:rsidRPr="00D93FF9">
        <w:rPr>
          <w:lang w:val="en-GB"/>
        </w:rPr>
        <w:t>and</w:t>
      </w:r>
      <w:r w:rsidR="00B40A6D" w:rsidRPr="00D93FF9">
        <w:rPr>
          <w:lang w:val="en-GB"/>
        </w:rPr>
        <w:t xml:space="preserve"> Russell 2017</w:t>
      </w:r>
      <w:r w:rsidRPr="00D93FF9">
        <w:rPr>
          <w:lang w:val="en-GB"/>
        </w:rPr>
        <w:t>).</w:t>
      </w:r>
    </w:p>
    <w:p w14:paraId="59DCC1F7" w14:textId="77777777" w:rsidR="00C46175" w:rsidRPr="00D93FF9" w:rsidRDefault="00C46175" w:rsidP="003807A1">
      <w:pPr>
        <w:pStyle w:val="BodyText"/>
        <w:spacing w:after="0"/>
        <w:rPr>
          <w:sz w:val="25"/>
          <w:lang w:val="en-GB"/>
        </w:rPr>
      </w:pPr>
    </w:p>
    <w:p w14:paraId="59DCC1F8" w14:textId="2A0F484E" w:rsidR="00C46175" w:rsidRPr="00C10DB4" w:rsidRDefault="00E811B8" w:rsidP="00C10DB4">
      <w:pPr>
        <w:pStyle w:val="Heading3"/>
      </w:pPr>
      <w:bookmarkStart w:id="19" w:name="_Toc96693567"/>
      <w:r w:rsidRPr="00C10DB4">
        <w:lastRenderedPageBreak/>
        <w:t>Cyanobacteria (blue-green algae)</w:t>
      </w:r>
      <w:bookmarkEnd w:id="19"/>
    </w:p>
    <w:p w14:paraId="532C2786" w14:textId="77777777" w:rsidR="006975D0" w:rsidRPr="003C237E" w:rsidRDefault="006975D0" w:rsidP="006975D0">
      <w:pPr>
        <w:spacing w:before="200"/>
        <w:rPr>
          <w:bCs/>
          <w:i/>
          <w:iCs/>
          <w:lang w:val="en-GB"/>
        </w:rPr>
      </w:pPr>
      <w:r w:rsidRPr="003C237E">
        <w:rPr>
          <w:b/>
          <w:i/>
        </w:rPr>
        <w:t>Algal blooms should be treated as potentially toxic and the water should not be used for irrigation until the algae are identified and the level of toxin determined.</w:t>
      </w:r>
      <w:r w:rsidRPr="003C237E">
        <w:rPr>
          <w:bCs/>
          <w:i/>
          <w:iCs/>
          <w:lang w:val="en-GB"/>
        </w:rPr>
        <w:t xml:space="preserve"> </w:t>
      </w:r>
    </w:p>
    <w:p w14:paraId="5FF52EDF" w14:textId="77777777" w:rsidR="006975D0" w:rsidRPr="002B7A6D" w:rsidRDefault="006975D0" w:rsidP="006975D0">
      <w:pPr>
        <w:pStyle w:val="ListBullet"/>
        <w:spacing w:line="264" w:lineRule="auto"/>
        <w:jc w:val="both"/>
        <w:rPr>
          <w:b/>
          <w:bCs/>
          <w:lang w:eastAsia="en-AU"/>
        </w:rPr>
      </w:pPr>
      <w:r w:rsidRPr="003C237E">
        <w:rPr>
          <w:b/>
          <w:bCs/>
          <w:u w:val="single"/>
          <w:lang w:eastAsia="en-AU"/>
        </w:rPr>
        <w:t>High risk crops</w:t>
      </w:r>
      <w:r w:rsidRPr="003C237E">
        <w:rPr>
          <w:b/>
          <w:bCs/>
          <w:lang w:eastAsia="en-AU"/>
        </w:rPr>
        <w:t xml:space="preserve">: </w:t>
      </w:r>
      <w:r w:rsidRPr="002B7A6D">
        <w:rPr>
          <w:b/>
          <w:bCs/>
          <w:i/>
          <w:iCs/>
          <w:lang w:eastAsia="en-AU"/>
        </w:rPr>
        <w:t xml:space="preserve">Water contaminated with cyanobacteria should not be sprayed irrigated on vegetables and fruits, or come in contact with plants being grown for food, especially for food that are being eaten raw such as fruits (strawberries, grapes, apples, tomatoes) and leafy vegetables (salads, cabbages, lettuces) and should be avoided if the cell numbers are as follows: </w:t>
      </w:r>
    </w:p>
    <w:p w14:paraId="5C141021" w14:textId="77777777" w:rsidR="006975D0" w:rsidRPr="003C237E" w:rsidRDefault="006975D0" w:rsidP="006975D0">
      <w:pPr>
        <w:pStyle w:val="ListBullet2"/>
        <w:numPr>
          <w:ilvl w:val="0"/>
          <w:numId w:val="29"/>
        </w:numPr>
        <w:rPr>
          <w:b/>
          <w:bCs/>
          <w:lang w:val="en-GB"/>
        </w:rPr>
      </w:pPr>
      <w:r w:rsidRPr="003C237E">
        <w:rPr>
          <w:b/>
          <w:bCs/>
          <w:i/>
          <w:iCs/>
          <w:lang w:val="en-GB"/>
        </w:rPr>
        <w:t>Microcystis aeruginosa</w:t>
      </w:r>
      <w:r w:rsidRPr="003C237E">
        <w:rPr>
          <w:b/>
          <w:bCs/>
          <w:lang w:val="en-GB"/>
        </w:rPr>
        <w:t>: &gt;50,000 cells/mL, or</w:t>
      </w:r>
    </w:p>
    <w:p w14:paraId="08BBAA24" w14:textId="77777777" w:rsidR="006975D0" w:rsidRPr="003C237E" w:rsidRDefault="006975D0" w:rsidP="006975D0">
      <w:pPr>
        <w:pStyle w:val="ListBullet2"/>
        <w:numPr>
          <w:ilvl w:val="0"/>
          <w:numId w:val="29"/>
        </w:numPr>
        <w:rPr>
          <w:b/>
          <w:bCs/>
          <w:lang w:val="en-GB"/>
        </w:rPr>
      </w:pPr>
      <w:r w:rsidRPr="003C237E">
        <w:rPr>
          <w:b/>
          <w:bCs/>
          <w:i/>
          <w:iCs/>
          <w:lang w:val="en-GB"/>
        </w:rPr>
        <w:t>Dolichospermum circinale</w:t>
      </w:r>
      <w:r w:rsidRPr="003C237E">
        <w:rPr>
          <w:b/>
          <w:bCs/>
          <w:lang w:val="en-GB"/>
        </w:rPr>
        <w:t>: &gt;100,000 cells/mL</w:t>
      </w:r>
    </w:p>
    <w:p w14:paraId="227AECFD" w14:textId="77777777" w:rsidR="006975D0" w:rsidRPr="002B7A6D" w:rsidRDefault="006975D0" w:rsidP="006975D0">
      <w:pPr>
        <w:pStyle w:val="ListBullet"/>
        <w:numPr>
          <w:ilvl w:val="0"/>
          <w:numId w:val="0"/>
        </w:numPr>
        <w:tabs>
          <w:tab w:val="left" w:pos="720"/>
        </w:tabs>
        <w:spacing w:line="264" w:lineRule="auto"/>
        <w:ind w:left="397"/>
        <w:jc w:val="both"/>
        <w:rPr>
          <w:b/>
          <w:bCs/>
          <w:i/>
          <w:iCs/>
          <w:lang w:val="en-GB"/>
        </w:rPr>
      </w:pPr>
      <w:r>
        <w:rPr>
          <w:b/>
          <w:bCs/>
          <w:lang w:val="en-GB"/>
        </w:rPr>
        <w:tab/>
      </w:r>
      <w:r w:rsidRPr="002B7A6D">
        <w:rPr>
          <w:b/>
          <w:bCs/>
          <w:i/>
          <w:iCs/>
          <w:lang w:val="en-GB"/>
        </w:rPr>
        <w:t>and</w:t>
      </w:r>
    </w:p>
    <w:p w14:paraId="60E26B71" w14:textId="77777777" w:rsidR="006975D0" w:rsidRPr="003C237E" w:rsidRDefault="006975D0" w:rsidP="006975D0">
      <w:pPr>
        <w:pStyle w:val="ListBullet2"/>
        <w:numPr>
          <w:ilvl w:val="0"/>
          <w:numId w:val="32"/>
        </w:numPr>
        <w:rPr>
          <w:b/>
          <w:bCs/>
          <w:lang w:val="en-GB"/>
        </w:rPr>
      </w:pPr>
      <w:r w:rsidRPr="003C237E">
        <w:rPr>
          <w:b/>
          <w:bCs/>
          <w:lang w:val="en-GB"/>
        </w:rPr>
        <w:t>10µg/L total microcystins or</w:t>
      </w:r>
    </w:p>
    <w:p w14:paraId="6940BD78" w14:textId="77777777" w:rsidR="006975D0" w:rsidRPr="003C237E" w:rsidRDefault="006975D0" w:rsidP="006975D0">
      <w:pPr>
        <w:pStyle w:val="ListBullet2"/>
        <w:numPr>
          <w:ilvl w:val="0"/>
          <w:numId w:val="32"/>
        </w:numPr>
        <w:rPr>
          <w:b/>
          <w:bCs/>
          <w:lang w:val="en-GB"/>
        </w:rPr>
      </w:pPr>
      <w:r w:rsidRPr="003C237E">
        <w:rPr>
          <w:b/>
          <w:bCs/>
          <w:lang w:val="en-GB"/>
        </w:rPr>
        <w:t>20 µg/L total saxitoxins</w:t>
      </w:r>
    </w:p>
    <w:p w14:paraId="73B18240" w14:textId="77777777" w:rsidR="006975D0" w:rsidRPr="006975D0" w:rsidRDefault="006975D0" w:rsidP="006975D0">
      <w:pPr>
        <w:pStyle w:val="ListBullet"/>
        <w:numPr>
          <w:ilvl w:val="0"/>
          <w:numId w:val="0"/>
        </w:numPr>
        <w:spacing w:line="264" w:lineRule="auto"/>
        <w:ind w:left="397"/>
        <w:jc w:val="both"/>
        <w:rPr>
          <w:b/>
          <w:bCs/>
          <w:i/>
          <w:iCs/>
          <w:lang w:eastAsia="en-AU"/>
        </w:rPr>
      </w:pPr>
      <w:r w:rsidRPr="006975D0">
        <w:rPr>
          <w:b/>
          <w:bCs/>
          <w:i/>
          <w:iCs/>
          <w:lang w:eastAsia="en-AU"/>
        </w:rPr>
        <w:t>Where there is no direct water contact with the edible parts of the plant, irrigating with blue-green algae contaminated water is unlikely to be a problem.</w:t>
      </w:r>
    </w:p>
    <w:p w14:paraId="7BDED366" w14:textId="77777777" w:rsidR="006975D0" w:rsidRPr="003C237E" w:rsidRDefault="006975D0" w:rsidP="006975D0">
      <w:pPr>
        <w:pStyle w:val="ListBullet"/>
        <w:spacing w:line="264" w:lineRule="auto"/>
        <w:jc w:val="both"/>
        <w:rPr>
          <w:b/>
          <w:bCs/>
          <w:lang w:val="en-GB"/>
        </w:rPr>
      </w:pPr>
      <w:r w:rsidRPr="003C237E">
        <w:rPr>
          <w:b/>
          <w:bCs/>
          <w:u w:val="single"/>
          <w:lang w:val="en-GB"/>
        </w:rPr>
        <w:t>Pasture irrigation</w:t>
      </w:r>
      <w:r w:rsidRPr="003C237E">
        <w:rPr>
          <w:b/>
          <w:bCs/>
          <w:lang w:val="en-GB"/>
        </w:rPr>
        <w:t xml:space="preserve">: </w:t>
      </w:r>
      <w:r w:rsidRPr="002B7A6D">
        <w:rPr>
          <w:b/>
          <w:bCs/>
          <w:i/>
          <w:iCs/>
          <w:lang w:val="en-GB"/>
        </w:rPr>
        <w:t>Spray irrigation of pasture should be avoided or minimised when the following levels are reached:</w:t>
      </w:r>
    </w:p>
    <w:p w14:paraId="2E60DD87" w14:textId="77777777" w:rsidR="006975D0" w:rsidRPr="003C237E" w:rsidRDefault="006975D0" w:rsidP="006975D0">
      <w:pPr>
        <w:pStyle w:val="ListBullet2"/>
        <w:numPr>
          <w:ilvl w:val="0"/>
          <w:numId w:val="30"/>
        </w:numPr>
        <w:rPr>
          <w:b/>
          <w:bCs/>
          <w:lang w:val="en-GB"/>
        </w:rPr>
      </w:pPr>
      <w:r w:rsidRPr="003C237E">
        <w:rPr>
          <w:b/>
          <w:bCs/>
          <w:i/>
          <w:iCs/>
          <w:lang w:val="en-GB"/>
        </w:rPr>
        <w:t>Microcystis aeruginosa</w:t>
      </w:r>
      <w:r w:rsidRPr="003C237E">
        <w:rPr>
          <w:b/>
          <w:bCs/>
          <w:lang w:val="en-GB"/>
        </w:rPr>
        <w:t>: &gt;50,000 cells/mL, or</w:t>
      </w:r>
    </w:p>
    <w:p w14:paraId="551F460E" w14:textId="77777777" w:rsidR="006975D0" w:rsidRPr="003C237E" w:rsidRDefault="006975D0" w:rsidP="006975D0">
      <w:pPr>
        <w:pStyle w:val="ListBullet2"/>
        <w:numPr>
          <w:ilvl w:val="0"/>
          <w:numId w:val="30"/>
        </w:numPr>
        <w:rPr>
          <w:b/>
          <w:bCs/>
          <w:lang w:val="en-GB"/>
        </w:rPr>
      </w:pPr>
      <w:r w:rsidRPr="003C237E">
        <w:rPr>
          <w:b/>
          <w:bCs/>
          <w:i/>
          <w:iCs/>
          <w:lang w:val="en-GB"/>
        </w:rPr>
        <w:t>Dolichospermum circinale</w:t>
      </w:r>
      <w:r w:rsidRPr="003C237E">
        <w:rPr>
          <w:b/>
          <w:bCs/>
          <w:lang w:val="en-GB"/>
        </w:rPr>
        <w:t>: &gt;100,000 cells/mL</w:t>
      </w:r>
    </w:p>
    <w:p w14:paraId="2BCF61E7" w14:textId="77777777" w:rsidR="006975D0" w:rsidRPr="002B7A6D" w:rsidRDefault="006975D0" w:rsidP="006975D0">
      <w:pPr>
        <w:pStyle w:val="ListBullet"/>
        <w:numPr>
          <w:ilvl w:val="0"/>
          <w:numId w:val="0"/>
        </w:numPr>
        <w:spacing w:line="264" w:lineRule="auto"/>
        <w:ind w:left="397"/>
        <w:jc w:val="both"/>
        <w:rPr>
          <w:b/>
          <w:bCs/>
          <w:i/>
          <w:iCs/>
          <w:shd w:val="clear" w:color="auto" w:fill="FFFFFF"/>
        </w:rPr>
      </w:pPr>
      <w:r w:rsidRPr="002B7A6D">
        <w:rPr>
          <w:b/>
          <w:bCs/>
          <w:i/>
          <w:iCs/>
          <w:lang w:val="en-GB"/>
        </w:rPr>
        <w:t xml:space="preserve">Stock should be kept off </w:t>
      </w:r>
      <w:r w:rsidRPr="002B7A6D">
        <w:rPr>
          <w:b/>
          <w:bCs/>
          <w:i/>
          <w:iCs/>
          <w:shd w:val="clear" w:color="auto" w:fill="FFFFFF"/>
        </w:rPr>
        <w:t xml:space="preserve">pasture irrigated with blue-green algae-contaminated water for at least two weeks after irrigation. </w:t>
      </w:r>
    </w:p>
    <w:p w14:paraId="4DEB9416" w14:textId="77777777" w:rsidR="006975D0" w:rsidRPr="003C237E" w:rsidRDefault="006975D0" w:rsidP="006975D0">
      <w:pPr>
        <w:pStyle w:val="ListBullet"/>
        <w:spacing w:line="264" w:lineRule="auto"/>
        <w:jc w:val="both"/>
        <w:rPr>
          <w:b/>
          <w:bCs/>
          <w:lang w:eastAsia="en-AU"/>
        </w:rPr>
      </w:pPr>
      <w:r w:rsidRPr="003C237E">
        <w:rPr>
          <w:b/>
          <w:bCs/>
          <w:u w:val="single"/>
          <w:lang w:eastAsia="en-AU"/>
        </w:rPr>
        <w:t>Occupational exposure</w:t>
      </w:r>
      <w:r w:rsidRPr="003C237E">
        <w:rPr>
          <w:b/>
          <w:bCs/>
          <w:lang w:eastAsia="en-AU"/>
        </w:rPr>
        <w:t xml:space="preserve">: </w:t>
      </w:r>
      <w:r w:rsidRPr="002B7A6D">
        <w:rPr>
          <w:b/>
          <w:bCs/>
          <w:i/>
          <w:iCs/>
          <w:lang w:eastAsia="en-AU"/>
        </w:rPr>
        <w:t>The guideline values proposed for various cyanotoxins are as follows:</w:t>
      </w:r>
    </w:p>
    <w:p w14:paraId="619D0088" w14:textId="77777777" w:rsidR="006975D0" w:rsidRPr="003C237E" w:rsidRDefault="006975D0" w:rsidP="006975D0">
      <w:pPr>
        <w:pStyle w:val="ListBullet2"/>
        <w:numPr>
          <w:ilvl w:val="0"/>
          <w:numId w:val="31"/>
        </w:numPr>
        <w:rPr>
          <w:b/>
          <w:bCs/>
          <w:lang w:val="en-GB"/>
        </w:rPr>
      </w:pPr>
      <w:r w:rsidRPr="003C237E">
        <w:rPr>
          <w:b/>
          <w:bCs/>
          <w:lang w:val="en-GB"/>
        </w:rPr>
        <w:t>Microcystin LR: 24 µg/L</w:t>
      </w:r>
    </w:p>
    <w:p w14:paraId="5F2A5ADD" w14:textId="77777777" w:rsidR="006975D0" w:rsidRPr="003C237E" w:rsidRDefault="006975D0" w:rsidP="006975D0">
      <w:pPr>
        <w:pStyle w:val="ListBullet2"/>
        <w:numPr>
          <w:ilvl w:val="0"/>
          <w:numId w:val="31"/>
        </w:numPr>
        <w:rPr>
          <w:b/>
          <w:bCs/>
          <w:lang w:val="en-GB"/>
        </w:rPr>
      </w:pPr>
      <w:r w:rsidRPr="003C237E">
        <w:rPr>
          <w:b/>
          <w:bCs/>
          <w:lang w:val="en-GB"/>
        </w:rPr>
        <w:t>Cylindrospermopsin: 6 µg/L</w:t>
      </w:r>
    </w:p>
    <w:p w14:paraId="76ECBAFB" w14:textId="77777777" w:rsidR="006975D0" w:rsidRPr="003C237E" w:rsidRDefault="006975D0" w:rsidP="006975D0">
      <w:pPr>
        <w:pStyle w:val="ListBullet2"/>
        <w:numPr>
          <w:ilvl w:val="0"/>
          <w:numId w:val="31"/>
        </w:numPr>
        <w:rPr>
          <w:b/>
          <w:bCs/>
          <w:lang w:val="en-GB"/>
        </w:rPr>
      </w:pPr>
      <w:r w:rsidRPr="003C237E">
        <w:rPr>
          <w:b/>
          <w:bCs/>
          <w:lang w:val="en-GB"/>
        </w:rPr>
        <w:t>Saxitoxin: 30 µg/L</w:t>
      </w:r>
    </w:p>
    <w:p w14:paraId="52D2A32B" w14:textId="77777777" w:rsidR="00C57E34" w:rsidRPr="00D93FF9" w:rsidRDefault="00C57E34" w:rsidP="00C57E34">
      <w:pPr>
        <w:pStyle w:val="ListBullet"/>
        <w:numPr>
          <w:ilvl w:val="0"/>
          <w:numId w:val="0"/>
        </w:numPr>
        <w:spacing w:line="266" w:lineRule="auto"/>
        <w:ind w:left="397"/>
        <w:jc w:val="both"/>
        <w:rPr>
          <w:i/>
          <w:iCs/>
          <w:lang w:eastAsia="en-AU"/>
        </w:rPr>
      </w:pPr>
    </w:p>
    <w:p w14:paraId="59DCC1FD" w14:textId="648A09AE" w:rsidR="00C46175" w:rsidRPr="00D93FF9" w:rsidRDefault="00E90CE0" w:rsidP="00604735">
      <w:pPr>
        <w:pStyle w:val="Heading4"/>
        <w:rPr>
          <w:lang w:val="en-GB"/>
        </w:rPr>
      </w:pPr>
      <w:r w:rsidRPr="00D93FF9">
        <w:rPr>
          <w:lang w:val="en-GB"/>
        </w:rPr>
        <w:t>Description</w:t>
      </w:r>
    </w:p>
    <w:p w14:paraId="59DCC1FE" w14:textId="53C66CF9" w:rsidR="00C46175" w:rsidRPr="00D93FF9" w:rsidRDefault="00E811B8" w:rsidP="003807A1">
      <w:pPr>
        <w:pStyle w:val="BodyText"/>
        <w:spacing w:after="0" w:line="266" w:lineRule="auto"/>
        <w:jc w:val="both"/>
        <w:rPr>
          <w:lang w:val="en-GB"/>
        </w:rPr>
      </w:pPr>
      <w:r w:rsidRPr="00D93FF9">
        <w:rPr>
          <w:lang w:val="en-GB"/>
        </w:rPr>
        <w:t xml:space="preserve">Cyanobacteria (blue-green algae) are naturally occurring micro-organisms that closely resemble algae in morphology, habitat and photosynthetic ability. Some cyanobacteria can produce toxins. In Australia, the </w:t>
      </w:r>
      <w:r w:rsidR="00AB6A0C" w:rsidRPr="00D93FF9">
        <w:rPr>
          <w:lang w:val="en-GB"/>
        </w:rPr>
        <w:t xml:space="preserve">planktonic </w:t>
      </w:r>
      <w:r w:rsidRPr="00D93FF9">
        <w:rPr>
          <w:lang w:val="en-GB"/>
        </w:rPr>
        <w:t xml:space="preserve">genera of concern include </w:t>
      </w:r>
      <w:r w:rsidR="00962EA1" w:rsidRPr="00D93FF9">
        <w:rPr>
          <w:i/>
          <w:lang w:val="en-GB"/>
        </w:rPr>
        <w:t>M</w:t>
      </w:r>
      <w:r w:rsidR="00AB6A0C" w:rsidRPr="00D93FF9">
        <w:rPr>
          <w:i/>
          <w:lang w:val="en-GB"/>
        </w:rPr>
        <w:t>i</w:t>
      </w:r>
      <w:r w:rsidR="00962EA1" w:rsidRPr="00D93FF9">
        <w:rPr>
          <w:i/>
          <w:lang w:val="en-GB"/>
        </w:rPr>
        <w:t>crocystis</w:t>
      </w:r>
      <w:r w:rsidRPr="00D93FF9">
        <w:rPr>
          <w:lang w:val="en-GB"/>
        </w:rPr>
        <w:t xml:space="preserve">, </w:t>
      </w:r>
      <w:r w:rsidR="00AB6A0C" w:rsidRPr="00D93FF9">
        <w:rPr>
          <w:i/>
          <w:iCs/>
          <w:lang w:val="en-GB"/>
        </w:rPr>
        <w:t xml:space="preserve">Dolichospermum, Chrysosporum, </w:t>
      </w:r>
      <w:r w:rsidRPr="00D93FF9">
        <w:rPr>
          <w:i/>
          <w:lang w:val="en-GB"/>
        </w:rPr>
        <w:t xml:space="preserve">Nodularia </w:t>
      </w:r>
      <w:r w:rsidRPr="00D93FF9">
        <w:rPr>
          <w:lang w:val="en-GB"/>
        </w:rPr>
        <w:t xml:space="preserve">and </w:t>
      </w:r>
      <w:r w:rsidR="00AB6A0C" w:rsidRPr="00D93FF9">
        <w:rPr>
          <w:i/>
          <w:lang w:val="en-GB"/>
        </w:rPr>
        <w:t>Raphidiopsis</w:t>
      </w:r>
      <w:r w:rsidRPr="00D93FF9">
        <w:rPr>
          <w:lang w:val="en-GB"/>
        </w:rPr>
        <w:t xml:space="preserve"> </w:t>
      </w:r>
      <w:r w:rsidR="00A2684E" w:rsidRPr="00D93FF9">
        <w:rPr>
          <w:lang w:val="en-GB"/>
        </w:rPr>
        <w:t>(</w:t>
      </w:r>
      <w:r w:rsidR="00911CBD" w:rsidRPr="00D93FF9">
        <w:rPr>
          <w:lang w:val="en-GB"/>
        </w:rPr>
        <w:t xml:space="preserve">Jones </w:t>
      </w:r>
      <w:r w:rsidR="00FF24DB" w:rsidRPr="00D93FF9">
        <w:rPr>
          <w:lang w:val="en-GB"/>
        </w:rPr>
        <w:t>and</w:t>
      </w:r>
      <w:r w:rsidR="00911CBD" w:rsidRPr="00D93FF9">
        <w:rPr>
          <w:lang w:val="en-GB"/>
        </w:rPr>
        <w:t xml:space="preserve"> Orr 1994</w:t>
      </w:r>
      <w:r w:rsidR="00156191" w:rsidRPr="00D93FF9">
        <w:rPr>
          <w:lang w:val="en-GB"/>
        </w:rPr>
        <w:t>;</w:t>
      </w:r>
      <w:r w:rsidR="00911CBD" w:rsidRPr="00D93FF9">
        <w:rPr>
          <w:lang w:val="en-GB"/>
        </w:rPr>
        <w:t xml:space="preserve"> </w:t>
      </w:r>
      <w:r w:rsidR="00156191" w:rsidRPr="00D93FF9">
        <w:rPr>
          <w:lang w:val="en-GB"/>
        </w:rPr>
        <w:t xml:space="preserve">McGregor </w:t>
      </w:r>
      <w:r w:rsidR="00FF24DB" w:rsidRPr="00D93FF9">
        <w:rPr>
          <w:lang w:val="en-GB"/>
        </w:rPr>
        <w:t>and</w:t>
      </w:r>
      <w:r w:rsidR="00156191" w:rsidRPr="00D93FF9">
        <w:rPr>
          <w:lang w:val="en-GB"/>
        </w:rPr>
        <w:t xml:space="preserve"> Fabbro 2000; </w:t>
      </w:r>
      <w:r w:rsidR="00911CBD" w:rsidRPr="00D93FF9">
        <w:rPr>
          <w:lang w:val="en-GB"/>
        </w:rPr>
        <w:t>Negri et al. 2003; Shaw et al. 1999)</w:t>
      </w:r>
      <w:r w:rsidR="00A2684E" w:rsidRPr="00D93FF9">
        <w:rPr>
          <w:lang w:val="en-GB"/>
        </w:rPr>
        <w:t>.</w:t>
      </w:r>
      <w:r w:rsidR="00B03DD3" w:rsidRPr="00D93FF9">
        <w:rPr>
          <w:lang w:val="en-GB"/>
        </w:rPr>
        <w:t xml:space="preserve"> The benthic genera of concern include </w:t>
      </w:r>
      <w:r w:rsidR="00B03DD3" w:rsidRPr="00D93FF9">
        <w:rPr>
          <w:i/>
          <w:iCs/>
          <w:lang w:val="en-GB"/>
        </w:rPr>
        <w:t xml:space="preserve">Microseira, </w:t>
      </w:r>
      <w:r w:rsidR="00B03DD3" w:rsidRPr="00D93FF9">
        <w:rPr>
          <w:i/>
          <w:iCs/>
        </w:rPr>
        <w:t>Heteroscytonema, Iningainema, Phormidium, Nostoc, Fischeriella</w:t>
      </w:r>
      <w:r w:rsidR="00B03DD3" w:rsidRPr="00D93FF9">
        <w:t xml:space="preserve"> (</w:t>
      </w:r>
      <w:r w:rsidR="00911CBD" w:rsidRPr="00D93FF9">
        <w:t xml:space="preserve">McGregor </w:t>
      </w:r>
      <w:r w:rsidR="004D3A24" w:rsidRPr="00D93FF9">
        <w:t>and</w:t>
      </w:r>
      <w:r w:rsidR="00911CBD" w:rsidRPr="00D93FF9">
        <w:t xml:space="preserve"> Sendall 2015</w:t>
      </w:r>
      <w:r w:rsidR="006223EA" w:rsidRPr="00D93FF9">
        <w:t>;</w:t>
      </w:r>
      <w:r w:rsidR="00911CBD" w:rsidRPr="00D93FF9">
        <w:t xml:space="preserve"> </w:t>
      </w:r>
      <w:r w:rsidR="00096800" w:rsidRPr="00D93FF9">
        <w:t>McGregor and Sendall</w:t>
      </w:r>
      <w:r w:rsidR="00A4169A" w:rsidRPr="00D93FF9">
        <w:t xml:space="preserve"> </w:t>
      </w:r>
      <w:r w:rsidR="00911CBD" w:rsidRPr="00D93FF9">
        <w:t xml:space="preserve">2017; Sendall </w:t>
      </w:r>
      <w:r w:rsidR="00A4169A" w:rsidRPr="00D93FF9">
        <w:t>and</w:t>
      </w:r>
      <w:r w:rsidR="00911CBD" w:rsidRPr="00D93FF9">
        <w:t xml:space="preserve"> McGregor 2018; Gaget et al. 2017; Cirés et al. 2014)</w:t>
      </w:r>
      <w:r w:rsidR="00B03DD3" w:rsidRPr="00D93FF9">
        <w:t xml:space="preserve">. </w:t>
      </w:r>
      <w:r w:rsidR="0035396C" w:rsidRPr="00D93FF9">
        <w:t xml:space="preserve">In New Zealand, </w:t>
      </w:r>
      <w:r w:rsidR="00E70CAA" w:rsidRPr="00D93FF9">
        <w:t xml:space="preserve">a review of the literature published between 2009 and 2017 showed that the cyanotoxins of concern </w:t>
      </w:r>
      <w:r w:rsidR="0049251C" w:rsidRPr="00D93FF9">
        <w:t xml:space="preserve">in freshwater environments </w:t>
      </w:r>
      <w:r w:rsidR="00E70CAA" w:rsidRPr="00D93FF9">
        <w:t>included saxitoxins</w:t>
      </w:r>
      <w:r w:rsidR="00EF7115" w:rsidRPr="00D93FF9">
        <w:t xml:space="preserve"> (from </w:t>
      </w:r>
      <w:r w:rsidR="00EF7115" w:rsidRPr="00D93FF9">
        <w:rPr>
          <w:i/>
          <w:iCs/>
        </w:rPr>
        <w:t>Scytonema</w:t>
      </w:r>
      <w:r w:rsidR="00EF7115" w:rsidRPr="00D93FF9">
        <w:t xml:space="preserve"> cf. </w:t>
      </w:r>
      <w:r w:rsidR="00EF7115" w:rsidRPr="00D93FF9">
        <w:rPr>
          <w:i/>
          <w:iCs/>
        </w:rPr>
        <w:t>crispum</w:t>
      </w:r>
      <w:r w:rsidR="00EF7115" w:rsidRPr="00D93FF9">
        <w:t>)</w:t>
      </w:r>
      <w:r w:rsidR="00E70CAA" w:rsidRPr="00D93FF9">
        <w:t xml:space="preserve">, anatoxins (produced by </w:t>
      </w:r>
      <w:r w:rsidR="0020772D" w:rsidRPr="00D93FF9">
        <w:t>the</w:t>
      </w:r>
      <w:r w:rsidR="00E70CAA" w:rsidRPr="00D93FF9">
        <w:t xml:space="preserve"> planktonic species </w:t>
      </w:r>
      <w:r w:rsidR="00E70CAA" w:rsidRPr="00D93FF9">
        <w:rPr>
          <w:i/>
          <w:iCs/>
        </w:rPr>
        <w:t>Microcoleus autumnalis</w:t>
      </w:r>
      <w:r w:rsidR="00E70CAA" w:rsidRPr="00D93FF9">
        <w:t xml:space="preserve">, previously </w:t>
      </w:r>
      <w:r w:rsidR="00E70CAA" w:rsidRPr="00D93FF9">
        <w:rPr>
          <w:i/>
          <w:iCs/>
        </w:rPr>
        <w:t>Phormidium autumnale</w:t>
      </w:r>
      <w:r w:rsidR="00E70CAA" w:rsidRPr="00D93FF9">
        <w:t>)</w:t>
      </w:r>
      <w:r w:rsidR="00EF7115" w:rsidRPr="00D93FF9">
        <w:t xml:space="preserve">, nodularins and microcystins (from </w:t>
      </w:r>
      <w:r w:rsidR="00EF7115" w:rsidRPr="00D93FF9">
        <w:rPr>
          <w:i/>
          <w:iCs/>
        </w:rPr>
        <w:t>Microcystis</w:t>
      </w:r>
      <w:r w:rsidR="00EF7115" w:rsidRPr="00D93FF9">
        <w:t xml:space="preserve"> and </w:t>
      </w:r>
      <w:r w:rsidR="00EF7115" w:rsidRPr="00D93FF9">
        <w:rPr>
          <w:i/>
          <w:iCs/>
        </w:rPr>
        <w:t>Dolichospermum</w:t>
      </w:r>
      <w:r w:rsidR="00EF7115" w:rsidRPr="00D93FF9">
        <w:t xml:space="preserve"> genera). No new research had been published on cylindrospermopsins (</w:t>
      </w:r>
      <w:r w:rsidR="0015199A" w:rsidRPr="00D93FF9">
        <w:t xml:space="preserve">Wood et al. 2018). </w:t>
      </w:r>
    </w:p>
    <w:p w14:paraId="59DCC1FF" w14:textId="51AB281B" w:rsidR="00B374D2" w:rsidRPr="00D93FF9" w:rsidRDefault="00E811B8" w:rsidP="003807A1">
      <w:pPr>
        <w:pStyle w:val="BodyText"/>
        <w:spacing w:after="0" w:line="266" w:lineRule="auto"/>
        <w:jc w:val="both"/>
        <w:rPr>
          <w:lang w:val="en-GB"/>
        </w:rPr>
      </w:pPr>
      <w:r w:rsidRPr="00D93FF9">
        <w:t xml:space="preserve">Cyanobacteria are a component of the natural plankton population in healthy and balanced surface water supplies. Cyanobacteria are generally hazardous when present in large numbers (blooms or </w:t>
      </w:r>
      <w:r w:rsidRPr="00D93FF9">
        <w:lastRenderedPageBreak/>
        <w:t xml:space="preserve">mats). Planktonic blooms typically occur on warm days with light to calm winds (summer to autumn) in waters of neutral to alkaline pH containing elevated levels of inorganic phosphorus and nitrogen, although blooms at other times are possible (Carmichael 1994). There may be often more than one species of cyanobacteria associated with a bloom (Ressom et al. 1994). More information on cyanobacteria and cyanotoxins is provided in Section 9.3 of Chapter 3 of the NWQMS Water Quality Guidelines – Livestock drinking water. </w:t>
      </w:r>
    </w:p>
    <w:p w14:paraId="59DCC200" w14:textId="0511A0E2" w:rsidR="00C46175" w:rsidRPr="00D93FF9" w:rsidRDefault="00E811B8" w:rsidP="003807A1">
      <w:pPr>
        <w:pStyle w:val="BodyText"/>
        <w:spacing w:after="0" w:line="266" w:lineRule="auto"/>
        <w:jc w:val="both"/>
        <w:rPr>
          <w:lang w:val="en-GB"/>
        </w:rPr>
      </w:pPr>
      <w:r w:rsidRPr="00D93FF9">
        <w:rPr>
          <w:lang w:val="en-GB"/>
        </w:rPr>
        <w:t>Toxic blooms of cyanobacteria can consist of more than one species of cyanobacteria (Van Halderen et al. 1995)</w:t>
      </w:r>
      <w:r w:rsidR="007147D7" w:rsidRPr="00D93FF9">
        <w:rPr>
          <w:lang w:val="en-GB"/>
        </w:rPr>
        <w:t>.</w:t>
      </w:r>
      <w:r w:rsidRPr="00D93FF9">
        <w:rPr>
          <w:lang w:val="en-GB"/>
        </w:rPr>
        <w:t xml:space="preserve"> </w:t>
      </w:r>
      <w:r w:rsidR="00B374D2" w:rsidRPr="00D93FF9">
        <w:t>For benthic species, toxic conditions can arise even when the water body has temperatures &gt;12°C (Mez et al. 1997). In South Australian conditions, benthic cyanobacterial growth has been shown to reach a peak in autumn and spring seasons (Gaget et al. 2020). Toxic conditions.</w:t>
      </w:r>
      <w:r w:rsidRPr="00D93FF9">
        <w:rPr>
          <w:lang w:val="en-GB"/>
        </w:rPr>
        <w:t xml:space="preserve"> are most likely to occur when wind conditions are mild, water temperature is warm (15–30°C), pH is neutral to alkaline (6–9), hydraulic flows are low (or a reservoir is stratified) and there is an abundance of available nutrients (Carmichael 1994).</w:t>
      </w:r>
    </w:p>
    <w:p w14:paraId="59DCC201" w14:textId="5013BF02" w:rsidR="00FD6D0B" w:rsidRPr="00D93FF9" w:rsidRDefault="00E811B8" w:rsidP="003807A1">
      <w:pPr>
        <w:pStyle w:val="BodyText"/>
        <w:spacing w:after="0" w:line="266" w:lineRule="auto"/>
        <w:jc w:val="both"/>
        <w:rPr>
          <w:lang w:val="en-GB"/>
        </w:rPr>
      </w:pPr>
      <w:r w:rsidRPr="00D93FF9">
        <w:rPr>
          <w:lang w:val="en-GB"/>
        </w:rPr>
        <w:t xml:space="preserve">Problems associated with cyanobacteria arise when toxins are produced in excessive amounts during these blooms. While no human deaths have been attributed to cyanotoxin ingestion, it can cause a range of other serious health </w:t>
      </w:r>
      <w:r w:rsidR="009470E7" w:rsidRPr="00D93FF9">
        <w:rPr>
          <w:lang w:val="en-GB"/>
        </w:rPr>
        <w:t>e</w:t>
      </w:r>
      <w:r w:rsidRPr="00D93FF9">
        <w:rPr>
          <w:lang w:val="en-GB"/>
        </w:rPr>
        <w:t>ffects (NHMRC</w:t>
      </w:r>
      <w:r w:rsidR="00CB5655" w:rsidRPr="00D93FF9">
        <w:rPr>
          <w:lang w:val="en-GB"/>
        </w:rPr>
        <w:t xml:space="preserve"> </w:t>
      </w:r>
      <w:r w:rsidR="00284B19" w:rsidRPr="00D93FF9">
        <w:rPr>
          <w:lang w:val="en-GB"/>
        </w:rPr>
        <w:t>and</w:t>
      </w:r>
      <w:r w:rsidRPr="00D93FF9">
        <w:rPr>
          <w:lang w:val="en-GB"/>
        </w:rPr>
        <w:t xml:space="preserve"> NRMMC 2011). Concerns regarding the effects of elevated levels of cyanobacteria and associated toxins in irrigation waters used on agricultural produce, crops and pastures continue to be raised (Cooper et al. 1996; </w:t>
      </w:r>
      <w:r w:rsidR="00071795" w:rsidRPr="00D93FF9">
        <w:rPr>
          <w:lang w:val="en-GB"/>
        </w:rPr>
        <w:t xml:space="preserve">Miller </w:t>
      </w:r>
      <w:r w:rsidR="00FA6E9E" w:rsidRPr="00D93FF9">
        <w:rPr>
          <w:lang w:val="en-GB"/>
        </w:rPr>
        <w:t>and</w:t>
      </w:r>
      <w:r w:rsidR="00071795" w:rsidRPr="00D93FF9">
        <w:rPr>
          <w:lang w:val="en-GB"/>
        </w:rPr>
        <w:t xml:space="preserve"> Russell 2017; </w:t>
      </w:r>
      <w:r w:rsidRPr="00D93FF9">
        <w:rPr>
          <w:lang w:val="en-GB"/>
        </w:rPr>
        <w:t>Saqrane</w:t>
      </w:r>
      <w:r w:rsidR="00504F6C" w:rsidRPr="00D93FF9">
        <w:rPr>
          <w:lang w:val="en-GB"/>
        </w:rPr>
        <w:t xml:space="preserve"> </w:t>
      </w:r>
      <w:r w:rsidR="00FA6E9E" w:rsidRPr="00D93FF9">
        <w:rPr>
          <w:lang w:val="en-GB"/>
        </w:rPr>
        <w:t xml:space="preserve">and </w:t>
      </w:r>
      <w:r w:rsidRPr="00D93FF9">
        <w:rPr>
          <w:lang w:val="en-GB"/>
        </w:rPr>
        <w:t>Oudra 2009; Spoof et al</w:t>
      </w:r>
      <w:r w:rsidR="00CB5655" w:rsidRPr="00D93FF9">
        <w:rPr>
          <w:lang w:val="en-GB"/>
        </w:rPr>
        <w:t>.</w:t>
      </w:r>
      <w:r w:rsidRPr="00D93FF9">
        <w:rPr>
          <w:lang w:val="en-GB"/>
        </w:rPr>
        <w:t xml:space="preserve"> 2020).</w:t>
      </w:r>
    </w:p>
    <w:p w14:paraId="59DCC202" w14:textId="5D1B983D" w:rsidR="00FD6D0B" w:rsidRPr="00D93FF9" w:rsidRDefault="00E811B8" w:rsidP="003807A1">
      <w:pPr>
        <w:pStyle w:val="BodyText"/>
        <w:spacing w:after="0" w:line="266" w:lineRule="auto"/>
        <w:jc w:val="both"/>
        <w:rPr>
          <w:lang w:val="en-GB"/>
        </w:rPr>
      </w:pPr>
      <w:r w:rsidRPr="00D93FF9">
        <w:rPr>
          <w:lang w:val="en-GB"/>
        </w:rPr>
        <w:t>While c</w:t>
      </w:r>
      <w:r w:rsidR="00E90CE0" w:rsidRPr="00D93FF9">
        <w:rPr>
          <w:lang w:val="en-GB"/>
        </w:rPr>
        <w:t>yanobacterial cells (and algal cells) can also cause problems through clogging of filters, sprays and other equipment</w:t>
      </w:r>
      <w:r w:rsidRPr="00D93FF9">
        <w:rPr>
          <w:lang w:val="en-GB"/>
        </w:rPr>
        <w:t>, research has indicated that irrigation with cyanobacterial affected water can degrade plant health, growth and produce (Saqrane</w:t>
      </w:r>
      <w:r w:rsidR="00504F6C" w:rsidRPr="00D93FF9">
        <w:rPr>
          <w:lang w:val="en-GB"/>
        </w:rPr>
        <w:t xml:space="preserve"> </w:t>
      </w:r>
      <w:r w:rsidR="00FA6E9E" w:rsidRPr="00D93FF9">
        <w:rPr>
          <w:lang w:val="en-GB"/>
        </w:rPr>
        <w:t>and</w:t>
      </w:r>
      <w:r w:rsidRPr="00D93FF9">
        <w:rPr>
          <w:lang w:val="en-GB"/>
        </w:rPr>
        <w:t xml:space="preserve"> Oudra 2009; Miller</w:t>
      </w:r>
      <w:r w:rsidR="00071795" w:rsidRPr="00D93FF9">
        <w:rPr>
          <w:lang w:val="en-GB"/>
        </w:rPr>
        <w:t xml:space="preserve"> </w:t>
      </w:r>
      <w:r w:rsidR="00FA6E9E" w:rsidRPr="00D93FF9">
        <w:rPr>
          <w:lang w:val="en-GB"/>
        </w:rPr>
        <w:t>and</w:t>
      </w:r>
      <w:r w:rsidR="00071795" w:rsidRPr="00D93FF9">
        <w:rPr>
          <w:lang w:val="en-GB"/>
        </w:rPr>
        <w:t xml:space="preserve"> </w:t>
      </w:r>
      <w:r w:rsidRPr="00D93FF9">
        <w:rPr>
          <w:lang w:val="en-GB"/>
        </w:rPr>
        <w:t>Russell 2017; Spoof et al</w:t>
      </w:r>
      <w:r w:rsidR="00071795" w:rsidRPr="00D93FF9">
        <w:rPr>
          <w:lang w:val="en-GB"/>
        </w:rPr>
        <w:t>.</w:t>
      </w:r>
      <w:r w:rsidRPr="00D93FF9">
        <w:rPr>
          <w:lang w:val="en-GB"/>
        </w:rPr>
        <w:t xml:space="preserve"> 2020).</w:t>
      </w:r>
    </w:p>
    <w:p w14:paraId="59DCC203" w14:textId="77777777" w:rsidR="00C46175" w:rsidRPr="00D93FF9" w:rsidRDefault="00C46175" w:rsidP="003807A1">
      <w:pPr>
        <w:pStyle w:val="BodyText"/>
        <w:spacing w:after="0" w:line="266" w:lineRule="auto"/>
        <w:jc w:val="both"/>
        <w:rPr>
          <w:lang w:val="en-GB"/>
        </w:rPr>
      </w:pPr>
    </w:p>
    <w:p w14:paraId="59DCC204" w14:textId="77777777" w:rsidR="00C46175" w:rsidRPr="00D93FF9" w:rsidRDefault="00E811B8" w:rsidP="00604735">
      <w:pPr>
        <w:pStyle w:val="Heading4"/>
        <w:rPr>
          <w:lang w:val="en-GB"/>
        </w:rPr>
      </w:pPr>
      <w:r w:rsidRPr="00D93FF9">
        <w:rPr>
          <w:lang w:val="en-GB"/>
        </w:rPr>
        <w:t>Effect on suitability of waters for irrigation</w:t>
      </w:r>
    </w:p>
    <w:p w14:paraId="59DCC205" w14:textId="77777777" w:rsidR="006B49D7" w:rsidRPr="00D93FF9" w:rsidRDefault="00E811B8" w:rsidP="003807A1">
      <w:pPr>
        <w:pStyle w:val="BodyText"/>
        <w:spacing w:after="0" w:line="264" w:lineRule="auto"/>
        <w:jc w:val="both"/>
        <w:rPr>
          <w:lang w:val="en-GB"/>
        </w:rPr>
      </w:pPr>
      <w:r w:rsidRPr="00D93FF9">
        <w:rPr>
          <w:lang w:val="en-GB"/>
        </w:rPr>
        <w:t>Uncertainty about the risks associated with low level toxin consumption</w:t>
      </w:r>
      <w:r w:rsidR="00FD6D0B" w:rsidRPr="00D93FF9">
        <w:rPr>
          <w:lang w:val="en-GB"/>
        </w:rPr>
        <w:t xml:space="preserve"> through food</w:t>
      </w:r>
      <w:r w:rsidRPr="00D93FF9">
        <w:rPr>
          <w:lang w:val="en-GB"/>
        </w:rPr>
        <w:t xml:space="preserve"> have raised questions in relation to the use of irrigation waters potentially contaminated with toxic cyanobacteria.</w:t>
      </w:r>
      <w:r w:rsidR="00FD6D0B" w:rsidRPr="00D93FF9">
        <w:rPr>
          <w:lang w:val="en-GB"/>
        </w:rPr>
        <w:t xml:space="preserve"> </w:t>
      </w:r>
    </w:p>
    <w:p w14:paraId="59DCC206" w14:textId="0F64AE0B" w:rsidR="00AF4855" w:rsidRPr="00D93FF9" w:rsidRDefault="00E811B8" w:rsidP="003807A1">
      <w:pPr>
        <w:pStyle w:val="BodyText"/>
        <w:spacing w:after="0" w:line="264" w:lineRule="auto"/>
        <w:jc w:val="both"/>
        <w:rPr>
          <w:lang w:val="en-GB"/>
        </w:rPr>
      </w:pPr>
      <w:r w:rsidRPr="00D93FF9">
        <w:rPr>
          <w:lang w:val="en-GB"/>
        </w:rPr>
        <w:t xml:space="preserve">Existing research has typically focused on </w:t>
      </w:r>
      <w:r w:rsidR="00A844C0" w:rsidRPr="00D93FF9">
        <w:rPr>
          <w:lang w:val="en-GB"/>
        </w:rPr>
        <w:t>m</w:t>
      </w:r>
      <w:r w:rsidR="00D622C4" w:rsidRPr="00D93FF9">
        <w:rPr>
          <w:lang w:val="en-GB"/>
        </w:rPr>
        <w:t>i</w:t>
      </w:r>
      <w:r w:rsidRPr="00D93FF9">
        <w:rPr>
          <w:lang w:val="en-GB"/>
        </w:rPr>
        <w:t>crocystins (MC) as it has been demonstrated to be the most common form of cyanotoxin</w:t>
      </w:r>
      <w:r w:rsidR="00FF5B33" w:rsidRPr="00D93FF9">
        <w:rPr>
          <w:lang w:val="en-GB"/>
        </w:rPr>
        <w:t>, except in Queensland where</w:t>
      </w:r>
      <w:r w:rsidR="00C877D2" w:rsidRPr="00D93FF9">
        <w:rPr>
          <w:lang w:val="en-GB"/>
        </w:rPr>
        <w:t xml:space="preserve"> </w:t>
      </w:r>
      <w:r w:rsidR="007A2560" w:rsidRPr="00D93FF9">
        <w:rPr>
          <w:lang w:val="en-GB"/>
        </w:rPr>
        <w:t>c</w:t>
      </w:r>
      <w:r w:rsidR="00FF5B33" w:rsidRPr="00D93FF9">
        <w:rPr>
          <w:lang w:val="en-GB"/>
        </w:rPr>
        <w:t>ylindrospermopsi</w:t>
      </w:r>
      <w:r w:rsidR="007A2560" w:rsidRPr="00D93FF9">
        <w:rPr>
          <w:lang w:val="en-GB"/>
        </w:rPr>
        <w:t>ns</w:t>
      </w:r>
      <w:r w:rsidR="00FF5B33" w:rsidRPr="00D93FF9">
        <w:rPr>
          <w:lang w:val="en-GB"/>
        </w:rPr>
        <w:t xml:space="preserve"> </w:t>
      </w:r>
      <w:r w:rsidR="007A2560" w:rsidRPr="00D93FF9">
        <w:rPr>
          <w:lang w:val="en-GB"/>
        </w:rPr>
        <w:t>are</w:t>
      </w:r>
      <w:r w:rsidR="00FF5B33" w:rsidRPr="00D93FF9">
        <w:rPr>
          <w:lang w:val="en-GB"/>
        </w:rPr>
        <w:t xml:space="preserve"> much more common (McGregor, pers. </w:t>
      </w:r>
      <w:r w:rsidR="00962E88" w:rsidRPr="00D93FF9">
        <w:rPr>
          <w:lang w:val="en-GB"/>
        </w:rPr>
        <w:t>c</w:t>
      </w:r>
      <w:r w:rsidR="00FF5B33" w:rsidRPr="00D93FF9">
        <w:rPr>
          <w:lang w:val="en-GB"/>
        </w:rPr>
        <w:t>omm</w:t>
      </w:r>
      <w:r w:rsidR="00962E88" w:rsidRPr="00D93FF9">
        <w:rPr>
          <w:lang w:val="en-GB"/>
        </w:rPr>
        <w:t>.</w:t>
      </w:r>
      <w:r w:rsidR="00FF5B33" w:rsidRPr="00D93FF9">
        <w:rPr>
          <w:lang w:val="en-GB"/>
        </w:rPr>
        <w:t>)</w:t>
      </w:r>
      <w:r w:rsidR="00962E88" w:rsidRPr="00D93FF9">
        <w:rPr>
          <w:lang w:val="en-GB"/>
        </w:rPr>
        <w:t xml:space="preserve"> </w:t>
      </w:r>
      <w:r w:rsidRPr="00D93FF9">
        <w:rPr>
          <w:lang w:val="en-GB"/>
        </w:rPr>
        <w:t>and has led to livestock deaths (Crush et al</w:t>
      </w:r>
      <w:r w:rsidR="00FA6E9E" w:rsidRPr="00D93FF9">
        <w:rPr>
          <w:lang w:val="en-GB"/>
        </w:rPr>
        <w:t>.</w:t>
      </w:r>
      <w:r w:rsidRPr="00D93FF9">
        <w:rPr>
          <w:lang w:val="en-GB"/>
        </w:rPr>
        <w:t xml:space="preserve"> 2008; Chen et al</w:t>
      </w:r>
      <w:r w:rsidR="00FA6E9E" w:rsidRPr="00D93FF9">
        <w:rPr>
          <w:lang w:val="en-GB"/>
        </w:rPr>
        <w:t>.</w:t>
      </w:r>
      <w:r w:rsidRPr="00D93FF9">
        <w:rPr>
          <w:lang w:val="en-GB"/>
        </w:rPr>
        <w:t xml:space="preserve"> 2012; Corbel et al</w:t>
      </w:r>
      <w:r w:rsidR="00FA6E9E" w:rsidRPr="00D93FF9">
        <w:rPr>
          <w:lang w:val="en-GB"/>
        </w:rPr>
        <w:t>.</w:t>
      </w:r>
      <w:r w:rsidRPr="00D93FF9">
        <w:rPr>
          <w:lang w:val="en-GB"/>
        </w:rPr>
        <w:t xml:space="preserve"> 2014).</w:t>
      </w:r>
    </w:p>
    <w:p w14:paraId="590B25AD" w14:textId="2CE7BBF0" w:rsidR="00DC493F" w:rsidRPr="00D93FF9" w:rsidRDefault="00DC493F" w:rsidP="003807A1">
      <w:pPr>
        <w:pStyle w:val="BodyText"/>
        <w:spacing w:after="0" w:line="264" w:lineRule="auto"/>
        <w:jc w:val="both"/>
        <w:rPr>
          <w:lang w:val="en-GB"/>
        </w:rPr>
      </w:pPr>
      <w:r w:rsidRPr="00D93FF9">
        <w:rPr>
          <w:lang w:val="en-GB"/>
        </w:rPr>
        <w:t>Several factors should be considered when assessing the suitability of water for irrigation:</w:t>
      </w:r>
    </w:p>
    <w:p w14:paraId="59DCC207" w14:textId="393FB444" w:rsidR="00AA3239" w:rsidRPr="00D93FF9" w:rsidRDefault="00F77910" w:rsidP="00902EFC">
      <w:pPr>
        <w:pStyle w:val="ListBullet"/>
        <w:rPr>
          <w:lang w:val="en-GB"/>
        </w:rPr>
      </w:pPr>
      <w:r w:rsidRPr="00D93FF9">
        <w:rPr>
          <w:lang w:val="en-GB"/>
        </w:rPr>
        <w:t xml:space="preserve">Exposure through food with </w:t>
      </w:r>
      <w:r w:rsidR="00C04B6A" w:rsidRPr="00D93FF9">
        <w:rPr>
          <w:lang w:val="en-GB"/>
        </w:rPr>
        <w:t xml:space="preserve">the use of water contaminated with cyanobacteria for irrigation </w:t>
      </w:r>
    </w:p>
    <w:p w14:paraId="2EB1D27C" w14:textId="6D9EE231" w:rsidR="00814E6A" w:rsidRPr="00D93FF9" w:rsidRDefault="00E811B8" w:rsidP="00962E88">
      <w:pPr>
        <w:pStyle w:val="ListBullet2"/>
        <w:numPr>
          <w:ilvl w:val="0"/>
          <w:numId w:val="0"/>
        </w:numPr>
        <w:spacing w:line="266" w:lineRule="auto"/>
        <w:rPr>
          <w:lang w:val="en-GB"/>
        </w:rPr>
      </w:pPr>
      <w:r w:rsidRPr="00D93FF9">
        <w:rPr>
          <w:lang w:val="en-GB"/>
        </w:rPr>
        <w:t xml:space="preserve">Many </w:t>
      </w:r>
      <w:r w:rsidR="00FD6D0B" w:rsidRPr="00D93FF9">
        <w:rPr>
          <w:lang w:val="en-GB"/>
        </w:rPr>
        <w:t>cyano</w:t>
      </w:r>
      <w:r w:rsidRPr="00D93FF9">
        <w:rPr>
          <w:lang w:val="en-GB"/>
        </w:rPr>
        <w:t xml:space="preserve">toxins are extremely persistent in the environment, often being resistant to chemical or bacterial degradation (Cooper et al. 1996). </w:t>
      </w:r>
      <w:r w:rsidR="00A210EE" w:rsidRPr="00D93FF9">
        <w:rPr>
          <w:lang w:val="en-GB"/>
        </w:rPr>
        <w:t>Cyanotoxins can persist in soil and can be absorbed by plants long after irrigation with contaminated water ceases (Corbel et al</w:t>
      </w:r>
      <w:r w:rsidR="00071795" w:rsidRPr="00D93FF9">
        <w:rPr>
          <w:lang w:val="en-GB"/>
        </w:rPr>
        <w:t>.</w:t>
      </w:r>
      <w:r w:rsidR="00A210EE" w:rsidRPr="00D93FF9">
        <w:rPr>
          <w:lang w:val="en-GB"/>
        </w:rPr>
        <w:t xml:space="preserve"> 2014; Lee et al. 2017). </w:t>
      </w:r>
      <w:r w:rsidR="00FD6D0B" w:rsidRPr="00D93FF9">
        <w:rPr>
          <w:lang w:val="en-GB"/>
        </w:rPr>
        <w:t>Further</w:t>
      </w:r>
      <w:r w:rsidR="00E66FCA" w:rsidRPr="00D93FF9">
        <w:rPr>
          <w:lang w:val="en-GB"/>
        </w:rPr>
        <w:t>more</w:t>
      </w:r>
      <w:r w:rsidR="00FD6D0B" w:rsidRPr="00D93FF9">
        <w:rPr>
          <w:lang w:val="en-GB"/>
        </w:rPr>
        <w:t xml:space="preserve">, research has shown that many cyanobacteria toxins are persistent against washing </w:t>
      </w:r>
      <w:r w:rsidR="009C4454" w:rsidRPr="00D93FF9">
        <w:rPr>
          <w:lang w:val="en-GB"/>
        </w:rPr>
        <w:t xml:space="preserve">(Codd et al. 1999) </w:t>
      </w:r>
      <w:r w:rsidR="00FD6D0B" w:rsidRPr="00D93FF9">
        <w:rPr>
          <w:lang w:val="en-GB"/>
        </w:rPr>
        <w:t xml:space="preserve">and even cooking </w:t>
      </w:r>
      <w:r w:rsidR="00C66EAF" w:rsidRPr="00D93FF9">
        <w:rPr>
          <w:lang w:val="en-GB"/>
        </w:rPr>
        <w:t>at</w:t>
      </w:r>
      <w:r w:rsidR="00FD6D0B" w:rsidRPr="00D93FF9">
        <w:rPr>
          <w:lang w:val="en-GB"/>
        </w:rPr>
        <w:t xml:space="preserve"> temperatures up to 300°C (</w:t>
      </w:r>
      <w:r w:rsidR="00653F84" w:rsidRPr="00D93FF9">
        <w:rPr>
          <w:lang w:val="en-GB"/>
        </w:rPr>
        <w:t>Miller</w:t>
      </w:r>
      <w:r w:rsidR="00071795" w:rsidRPr="00D93FF9">
        <w:rPr>
          <w:lang w:val="en-GB"/>
        </w:rPr>
        <w:t xml:space="preserve"> </w:t>
      </w:r>
      <w:r w:rsidR="00FA6E9E" w:rsidRPr="00D93FF9">
        <w:rPr>
          <w:lang w:val="en-GB"/>
        </w:rPr>
        <w:t>and</w:t>
      </w:r>
      <w:r w:rsidR="00071795" w:rsidRPr="00D93FF9">
        <w:rPr>
          <w:lang w:val="en-GB"/>
        </w:rPr>
        <w:t xml:space="preserve"> </w:t>
      </w:r>
      <w:r w:rsidR="00653F84" w:rsidRPr="00D93FF9">
        <w:rPr>
          <w:lang w:val="en-GB"/>
        </w:rPr>
        <w:t>Russell 2017</w:t>
      </w:r>
      <w:r w:rsidR="00FD6D0B" w:rsidRPr="00D93FF9">
        <w:rPr>
          <w:lang w:val="en-GB"/>
        </w:rPr>
        <w:t>;</w:t>
      </w:r>
      <w:r w:rsidR="00A210EE" w:rsidRPr="00D93FF9">
        <w:rPr>
          <w:lang w:val="en-GB"/>
        </w:rPr>
        <w:t xml:space="preserve"> </w:t>
      </w:r>
      <w:r w:rsidR="00C66EAF" w:rsidRPr="00D93FF9">
        <w:rPr>
          <w:lang w:val="en-GB"/>
        </w:rPr>
        <w:t>WHO 2003</w:t>
      </w:r>
      <w:r w:rsidR="006C4A7F" w:rsidRPr="00D93FF9">
        <w:rPr>
          <w:lang w:val="en-GB"/>
        </w:rPr>
        <w:t>)</w:t>
      </w:r>
      <w:r w:rsidR="00FD6D0B" w:rsidRPr="00D93FF9">
        <w:rPr>
          <w:lang w:val="en-GB"/>
        </w:rPr>
        <w:t>.</w:t>
      </w:r>
      <w:r w:rsidR="00636B62" w:rsidRPr="00D93FF9">
        <w:rPr>
          <w:lang w:val="en-GB"/>
        </w:rPr>
        <w:t xml:space="preserve"> </w:t>
      </w:r>
      <w:r w:rsidRPr="00D93FF9">
        <w:rPr>
          <w:lang w:val="en-GB"/>
        </w:rPr>
        <w:t xml:space="preserve">This can cause concern where contaminated waters used for irrigation come in direct contact with crops and pastures, creating a potential health risk to human consumers of affected produce and to grazing livestock. </w:t>
      </w:r>
      <w:r w:rsidR="00EC5BD2" w:rsidRPr="00D93FF9">
        <w:rPr>
          <w:shd w:val="clear" w:color="auto" w:fill="FFFFFF"/>
        </w:rPr>
        <w:t xml:space="preserve"> </w:t>
      </w:r>
    </w:p>
    <w:p w14:paraId="59DCC20A" w14:textId="0CC00165" w:rsidR="00845D2D" w:rsidRPr="00D93FF9" w:rsidRDefault="00E811B8" w:rsidP="00845D2D">
      <w:pPr>
        <w:pStyle w:val="BodyText"/>
        <w:spacing w:after="0" w:line="266" w:lineRule="auto"/>
        <w:jc w:val="both"/>
        <w:rPr>
          <w:lang w:val="en-GB"/>
        </w:rPr>
      </w:pPr>
      <w:r w:rsidRPr="00D93FF9">
        <w:rPr>
          <w:lang w:val="en-GB"/>
        </w:rPr>
        <w:t>S</w:t>
      </w:r>
      <w:r w:rsidR="00E90CE0" w:rsidRPr="00D93FF9">
        <w:rPr>
          <w:lang w:val="en-GB"/>
        </w:rPr>
        <w:t>pray irrigation of leafy vegetables such as lettuce and cabbages may represent a risk for accumulation of toxic residues (</w:t>
      </w:r>
      <w:r w:rsidR="00071795" w:rsidRPr="00D93FF9">
        <w:rPr>
          <w:lang w:val="en-GB"/>
        </w:rPr>
        <w:t xml:space="preserve">Crush et al. 2008; </w:t>
      </w:r>
      <w:r w:rsidR="00E90CE0" w:rsidRPr="00D93FF9">
        <w:rPr>
          <w:lang w:val="en-GB"/>
        </w:rPr>
        <w:t>Jones et al. 1993</w:t>
      </w:r>
      <w:r w:rsidR="00AF4855" w:rsidRPr="00D93FF9">
        <w:rPr>
          <w:lang w:val="en-GB"/>
        </w:rPr>
        <w:t>)</w:t>
      </w:r>
      <w:r w:rsidR="00096135" w:rsidRPr="00D93FF9">
        <w:rPr>
          <w:lang w:val="en-GB"/>
        </w:rPr>
        <w:t xml:space="preserve"> and</w:t>
      </w:r>
      <w:r w:rsidR="00AF4855" w:rsidRPr="00D93FF9">
        <w:rPr>
          <w:lang w:val="en-GB"/>
        </w:rPr>
        <w:t xml:space="preserve"> </w:t>
      </w:r>
      <w:r w:rsidR="00096135" w:rsidRPr="00D93FF9">
        <w:rPr>
          <w:lang w:val="en-GB"/>
        </w:rPr>
        <w:t>a</w:t>
      </w:r>
      <w:r w:rsidRPr="00D93FF9">
        <w:rPr>
          <w:lang w:val="en-GB"/>
        </w:rPr>
        <w:t>ll plants bioaccumulate cyanotoxins from irrigation water differently and at different rates (</w:t>
      </w:r>
      <w:r w:rsidR="00071795" w:rsidRPr="00D93FF9">
        <w:rPr>
          <w:lang w:val="en-GB"/>
        </w:rPr>
        <w:t xml:space="preserve">Chen et al. 2012; </w:t>
      </w:r>
      <w:r w:rsidRPr="00D93FF9">
        <w:rPr>
          <w:lang w:val="en-GB"/>
        </w:rPr>
        <w:t>Crush et al</w:t>
      </w:r>
      <w:r w:rsidR="00071795" w:rsidRPr="00D93FF9">
        <w:rPr>
          <w:lang w:val="en-GB"/>
        </w:rPr>
        <w:t>.</w:t>
      </w:r>
      <w:r w:rsidRPr="00D93FF9">
        <w:rPr>
          <w:lang w:val="en-GB"/>
        </w:rPr>
        <w:t xml:space="preserve"> 2008).</w:t>
      </w:r>
    </w:p>
    <w:p w14:paraId="59DCC20B" w14:textId="257A748B" w:rsidR="00A210EE" w:rsidRPr="00D93FF9" w:rsidRDefault="00E811B8" w:rsidP="003807A1">
      <w:pPr>
        <w:pStyle w:val="BodyText"/>
        <w:spacing w:after="0" w:line="266" w:lineRule="auto"/>
        <w:jc w:val="both"/>
        <w:rPr>
          <w:lang w:val="en-GB"/>
        </w:rPr>
      </w:pPr>
      <w:r w:rsidRPr="00D93FF9">
        <w:rPr>
          <w:lang w:val="en-GB"/>
        </w:rPr>
        <w:lastRenderedPageBreak/>
        <w:t>Research has shown that even using irrigation water of low cyanobacteria toxin (MC) level concentrations, the toxins can bioaccumulate in food crop plants (Spoof et al</w:t>
      </w:r>
      <w:r w:rsidR="00071795" w:rsidRPr="00D93FF9">
        <w:rPr>
          <w:lang w:val="en-GB"/>
        </w:rPr>
        <w:t>.</w:t>
      </w:r>
      <w:r w:rsidRPr="00D93FF9">
        <w:rPr>
          <w:lang w:val="en-GB"/>
        </w:rPr>
        <w:t xml:space="preserve"> 2020).</w:t>
      </w:r>
    </w:p>
    <w:p w14:paraId="59DCC20C" w14:textId="085A0B94" w:rsidR="00FD6D0B" w:rsidRPr="00D93FF9" w:rsidRDefault="00E811B8" w:rsidP="003807A1">
      <w:pPr>
        <w:pStyle w:val="BodyText"/>
        <w:spacing w:after="0" w:line="266" w:lineRule="auto"/>
        <w:jc w:val="both"/>
        <w:rPr>
          <w:lang w:val="en-GB"/>
        </w:rPr>
      </w:pPr>
      <w:r w:rsidRPr="00D93FF9">
        <w:rPr>
          <w:lang w:val="en-GB"/>
        </w:rPr>
        <w:t>Some</w:t>
      </w:r>
      <w:r w:rsidR="00AF4855" w:rsidRPr="00D93FF9">
        <w:rPr>
          <w:lang w:val="en-GB"/>
        </w:rPr>
        <w:t xml:space="preserve"> plants bioaccumulate toxins at higher concentrations in their roots rather than leaves</w:t>
      </w:r>
      <w:r w:rsidR="0034628B" w:rsidRPr="00D93FF9">
        <w:rPr>
          <w:lang w:val="en-GB"/>
        </w:rPr>
        <w:t xml:space="preserve"> (Mohamed </w:t>
      </w:r>
      <w:r w:rsidR="00FA6E9E" w:rsidRPr="00D93FF9">
        <w:rPr>
          <w:lang w:val="en-GB"/>
        </w:rPr>
        <w:t>and</w:t>
      </w:r>
      <w:r w:rsidR="0034628B" w:rsidRPr="00D93FF9">
        <w:rPr>
          <w:lang w:val="en-GB"/>
        </w:rPr>
        <w:t xml:space="preserve"> Al Sheri 2009</w:t>
      </w:r>
      <w:r w:rsidR="00AA3239" w:rsidRPr="00D93FF9">
        <w:rPr>
          <w:lang w:val="en-GB"/>
        </w:rPr>
        <w:t>)</w:t>
      </w:r>
      <w:r w:rsidR="00AF4855" w:rsidRPr="00D93FF9">
        <w:rPr>
          <w:lang w:val="en-GB"/>
        </w:rPr>
        <w:t xml:space="preserve"> which can increase human health risks for some vegetables such as carrots, radish and yams (Miller</w:t>
      </w:r>
      <w:r w:rsidR="006E44BF" w:rsidRPr="00D93FF9">
        <w:rPr>
          <w:lang w:val="en-GB"/>
        </w:rPr>
        <w:t xml:space="preserve"> and</w:t>
      </w:r>
      <w:r w:rsidR="00AF4855" w:rsidRPr="00D93FF9">
        <w:rPr>
          <w:lang w:val="en-GB"/>
        </w:rPr>
        <w:t xml:space="preserve"> Russell 2017</w:t>
      </w:r>
      <w:r w:rsidRPr="00D93FF9">
        <w:rPr>
          <w:lang w:val="en-GB"/>
        </w:rPr>
        <w:t>)</w:t>
      </w:r>
      <w:r w:rsidR="006E44BF" w:rsidRPr="00D93FF9">
        <w:rPr>
          <w:lang w:val="en-GB"/>
        </w:rPr>
        <w:t xml:space="preserve">. A summary of findings </w:t>
      </w:r>
      <w:r w:rsidR="009C4454" w:rsidRPr="00D93FF9">
        <w:rPr>
          <w:lang w:val="en-GB"/>
        </w:rPr>
        <w:t xml:space="preserve">regarding bioaccumulation of microcystins by a range of plant species and </w:t>
      </w:r>
      <w:r w:rsidR="006E44BF" w:rsidRPr="00D93FF9">
        <w:rPr>
          <w:lang w:val="en-GB"/>
        </w:rPr>
        <w:t xml:space="preserve">compiled by Miller and Russell is presented in </w:t>
      </w:r>
      <w:r w:rsidR="0084087A" w:rsidRPr="00D93FF9">
        <w:rPr>
          <w:lang w:val="en-GB"/>
        </w:rPr>
        <w:fldChar w:fldCharType="begin"/>
      </w:r>
      <w:r w:rsidR="0084087A" w:rsidRPr="00D93FF9">
        <w:rPr>
          <w:lang w:val="en-GB"/>
        </w:rPr>
        <w:instrText xml:space="preserve"> REF _Ref87967120 \h </w:instrText>
      </w:r>
      <w:r w:rsidR="00D93FF9">
        <w:rPr>
          <w:lang w:val="en-GB"/>
        </w:rPr>
        <w:instrText xml:space="preserve"> \* MERGEFORMAT </w:instrText>
      </w:r>
      <w:r w:rsidR="0084087A" w:rsidRPr="00D93FF9">
        <w:rPr>
          <w:lang w:val="en-GB"/>
        </w:rPr>
      </w:r>
      <w:r w:rsidR="0084087A" w:rsidRPr="00D93FF9">
        <w:rPr>
          <w:lang w:val="en-GB"/>
        </w:rPr>
        <w:fldChar w:fldCharType="separate"/>
      </w:r>
      <w:r w:rsidR="0069302C" w:rsidRPr="00D93FF9">
        <w:t xml:space="preserve">Table </w:t>
      </w:r>
      <w:r w:rsidR="0069302C">
        <w:rPr>
          <w:noProof/>
        </w:rPr>
        <w:t>2</w:t>
      </w:r>
      <w:r w:rsidR="0084087A" w:rsidRPr="00D93FF9">
        <w:rPr>
          <w:lang w:val="en-GB"/>
        </w:rPr>
        <w:fldChar w:fldCharType="end"/>
      </w:r>
      <w:r w:rsidR="00056724" w:rsidRPr="00D93FF9">
        <w:rPr>
          <w:lang w:val="en-GB"/>
        </w:rPr>
        <w:t xml:space="preserve"> Available data for cylindrospermopsins’ accumulation in a range of vegetables or crops has been compiled in</w:t>
      </w:r>
      <w:r w:rsidR="002764CE" w:rsidRPr="00D93FF9">
        <w:rPr>
          <w:lang w:val="en-GB"/>
        </w:rPr>
        <w:t xml:space="preserve"> </w:t>
      </w:r>
      <w:r w:rsidR="002764CE" w:rsidRPr="00D93FF9">
        <w:rPr>
          <w:lang w:val="en-GB"/>
        </w:rPr>
        <w:fldChar w:fldCharType="begin"/>
      </w:r>
      <w:r w:rsidR="002764CE" w:rsidRPr="00D93FF9">
        <w:rPr>
          <w:lang w:val="en-GB"/>
        </w:rPr>
        <w:instrText xml:space="preserve"> REF _Ref86932819 \h </w:instrText>
      </w:r>
      <w:r w:rsidR="00D93FF9">
        <w:rPr>
          <w:lang w:val="en-GB"/>
        </w:rPr>
        <w:instrText xml:space="preserve"> \* MERGEFORMAT </w:instrText>
      </w:r>
      <w:r w:rsidR="002764CE" w:rsidRPr="00D93FF9">
        <w:rPr>
          <w:lang w:val="en-GB"/>
        </w:rPr>
      </w:r>
      <w:r w:rsidR="002764CE" w:rsidRPr="00D93FF9">
        <w:rPr>
          <w:lang w:val="en-GB"/>
        </w:rPr>
        <w:fldChar w:fldCharType="separate"/>
      </w:r>
      <w:r w:rsidR="0069302C" w:rsidRPr="00D93FF9">
        <w:t xml:space="preserve">Table </w:t>
      </w:r>
      <w:r w:rsidR="0069302C">
        <w:rPr>
          <w:noProof/>
        </w:rPr>
        <w:t>3</w:t>
      </w:r>
      <w:r w:rsidR="002764CE" w:rsidRPr="00D93FF9">
        <w:rPr>
          <w:lang w:val="en-GB"/>
        </w:rPr>
        <w:fldChar w:fldCharType="end"/>
      </w:r>
    </w:p>
    <w:p w14:paraId="5708A5C6" w14:textId="77D66AFE" w:rsidR="00FE72FD" w:rsidRPr="00D93FF9" w:rsidRDefault="00A511C8" w:rsidP="003807A1">
      <w:pPr>
        <w:pStyle w:val="BodyText"/>
        <w:spacing w:after="0" w:line="266" w:lineRule="auto"/>
        <w:jc w:val="both"/>
        <w:rPr>
          <w:lang w:val="en-GB"/>
        </w:rPr>
      </w:pPr>
      <w:r w:rsidRPr="00D93FF9">
        <w:rPr>
          <w:lang w:val="en-GB"/>
        </w:rPr>
        <w:t>No reliable studies on saxitoxins or nodularins in edible crops is available to date (Testai et al. 2016)</w:t>
      </w:r>
      <w:r w:rsidR="00D8498F" w:rsidRPr="00D93FF9">
        <w:rPr>
          <w:lang w:val="en-GB"/>
        </w:rPr>
        <w:t xml:space="preserve">. </w:t>
      </w:r>
    </w:p>
    <w:p w14:paraId="0731B7CB" w14:textId="15480DA2" w:rsidR="00FC3D40" w:rsidRPr="00D93FF9" w:rsidRDefault="00444E6E" w:rsidP="003807A1">
      <w:pPr>
        <w:pStyle w:val="BodyText"/>
        <w:spacing w:after="0" w:line="266" w:lineRule="auto"/>
        <w:jc w:val="both"/>
        <w:rPr>
          <w:lang w:val="en-GB"/>
        </w:rPr>
      </w:pPr>
      <w:r w:rsidRPr="00D93FF9">
        <w:rPr>
          <w:lang w:val="en-GB"/>
        </w:rPr>
        <w:t>Indeed</w:t>
      </w:r>
      <w:r w:rsidR="00683FCF" w:rsidRPr="00D93FF9">
        <w:rPr>
          <w:lang w:val="en-GB"/>
        </w:rPr>
        <w:t>,</w:t>
      </w:r>
      <w:r w:rsidRPr="00D93FF9">
        <w:rPr>
          <w:lang w:val="en-GB"/>
        </w:rPr>
        <w:t xml:space="preserve"> there is considerable uncertainty regarding extraction methods, sample cleanup and/or analytical methods, undermining the confidence in the data on toxin levels in food (Testai et al. 2016, cited by WHO 2020</w:t>
      </w:r>
      <w:r w:rsidR="007156F0" w:rsidRPr="00D93FF9">
        <w:rPr>
          <w:lang w:val="en-GB"/>
        </w:rPr>
        <w:t>a</w:t>
      </w:r>
      <w:r w:rsidRPr="00D93FF9">
        <w:rPr>
          <w:lang w:val="en-GB"/>
        </w:rPr>
        <w:t xml:space="preserve">). </w:t>
      </w:r>
    </w:p>
    <w:p w14:paraId="59DCC20D" w14:textId="77777777" w:rsidR="006E44BF" w:rsidRPr="00D93FF9" w:rsidRDefault="006E44BF" w:rsidP="003807A1">
      <w:pPr>
        <w:pStyle w:val="BodyText"/>
        <w:spacing w:after="0" w:line="266" w:lineRule="auto"/>
        <w:jc w:val="both"/>
        <w:rPr>
          <w:lang w:val="en-GB"/>
        </w:rPr>
      </w:pPr>
    </w:p>
    <w:p w14:paraId="59DCC20E" w14:textId="1F6BE644" w:rsidR="001E1BDF" w:rsidRPr="00D93FF9" w:rsidRDefault="00113CC9" w:rsidP="00113CC9">
      <w:pPr>
        <w:pStyle w:val="Caption"/>
        <w:rPr>
          <w:szCs w:val="22"/>
          <w:lang w:val="en-GB"/>
        </w:rPr>
      </w:pPr>
      <w:bookmarkStart w:id="20" w:name="_Ref87967120"/>
      <w:bookmarkStart w:id="21" w:name="_Toc96518216"/>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2</w:t>
      </w:r>
      <w:r w:rsidR="00477102" w:rsidRPr="00D93FF9">
        <w:fldChar w:fldCharType="end"/>
      </w:r>
      <w:bookmarkEnd w:id="20"/>
      <w:r w:rsidRPr="00D93FF9">
        <w:t xml:space="preserve"> </w:t>
      </w:r>
      <w:r w:rsidR="00E811B8" w:rsidRPr="00D93FF9">
        <w:rPr>
          <w:szCs w:val="22"/>
        </w:rPr>
        <w:t>Accumulation of microcystins in food crops via irrigation with cyanobacteria-contaminated water.</w:t>
      </w:r>
      <w:bookmarkEnd w:id="21"/>
    </w:p>
    <w:tbl>
      <w:tblPr>
        <w:tblStyle w:val="TableGrid"/>
        <w:tblW w:w="9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ccumulation of microcystins in food crops via irrigation with cyanobacteria-contaminated water"/>
        <w:tblDescription w:val="This table lists the data on bioaccumulation of microcystins by a range of food crops including lettuce, carrot, radish, broccoli, tomatoes, and rice. The range of irrigation dose is shown in one column for each plant and the bioaccumulation concentrations for each plant are shown in the second column, with the source of the data listed in the third column."/>
      </w:tblPr>
      <w:tblGrid>
        <w:gridCol w:w="3252"/>
        <w:gridCol w:w="3642"/>
        <w:gridCol w:w="2243"/>
      </w:tblGrid>
      <w:tr w:rsidR="00BE3AA8" w:rsidRPr="00D93FF9" w14:paraId="59DCC213" w14:textId="77777777" w:rsidTr="001E1968">
        <w:trPr>
          <w:trHeight w:val="582"/>
        </w:trPr>
        <w:tc>
          <w:tcPr>
            <w:tcW w:w="3252" w:type="dxa"/>
          </w:tcPr>
          <w:p w14:paraId="59DCC20F" w14:textId="77777777" w:rsidR="007B21FD" w:rsidRPr="00D93FF9" w:rsidRDefault="00E811B8" w:rsidP="00A10781">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Irrigation dose</w:t>
            </w:r>
            <w:r w:rsidR="00262170" w:rsidRPr="00D93FF9">
              <w:rPr>
                <w:rFonts w:asciiTheme="minorHAnsi" w:hAnsiTheme="minorHAnsi"/>
                <w:b/>
                <w:bCs/>
                <w:sz w:val="20"/>
                <w:lang w:val="en-GB"/>
              </w:rPr>
              <w:t xml:space="preserve"> (µg/L)</w:t>
            </w:r>
          </w:p>
        </w:tc>
        <w:tc>
          <w:tcPr>
            <w:tcW w:w="3642" w:type="dxa"/>
          </w:tcPr>
          <w:p w14:paraId="59DCC210" w14:textId="77777777" w:rsidR="00902EFC" w:rsidRPr="00D93FF9" w:rsidRDefault="00E811B8" w:rsidP="00A10781">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 xml:space="preserve">Bioaccumulation concentrations </w:t>
            </w:r>
          </w:p>
          <w:p w14:paraId="59DCC211" w14:textId="77777777" w:rsidR="007B21FD" w:rsidRPr="00D93FF9" w:rsidRDefault="00E811B8" w:rsidP="00A10781">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(range, µg/kg)</w:t>
            </w:r>
          </w:p>
        </w:tc>
        <w:tc>
          <w:tcPr>
            <w:tcW w:w="2243" w:type="dxa"/>
          </w:tcPr>
          <w:p w14:paraId="59DCC212" w14:textId="77777777" w:rsidR="007B21FD" w:rsidRPr="00D93FF9" w:rsidRDefault="00E811B8" w:rsidP="00A10781">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Source</w:t>
            </w:r>
          </w:p>
        </w:tc>
      </w:tr>
      <w:tr w:rsidR="00BE3AA8" w:rsidRPr="00D93FF9" w14:paraId="59DCC217" w14:textId="77777777" w:rsidTr="001E1968">
        <w:trPr>
          <w:trHeight w:val="305"/>
        </w:trPr>
        <w:tc>
          <w:tcPr>
            <w:tcW w:w="3252" w:type="dxa"/>
          </w:tcPr>
          <w:p w14:paraId="59DCC214" w14:textId="77777777" w:rsidR="007B21FD" w:rsidRPr="00D93FF9" w:rsidRDefault="00E811B8" w:rsidP="00A10781">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 xml:space="preserve">Lettuce </w:t>
            </w:r>
          </w:p>
        </w:tc>
        <w:tc>
          <w:tcPr>
            <w:tcW w:w="3642" w:type="dxa"/>
          </w:tcPr>
          <w:p w14:paraId="59DCC215" w14:textId="77777777" w:rsidR="007B21FD" w:rsidRPr="00D93FF9" w:rsidRDefault="007B21FD" w:rsidP="00A10781">
            <w:pPr>
              <w:pStyle w:val="BodyText"/>
              <w:spacing w:before="0" w:after="0" w:line="266" w:lineRule="auto"/>
              <w:jc w:val="both"/>
              <w:rPr>
                <w:rFonts w:asciiTheme="minorHAnsi" w:hAnsiTheme="minorHAnsi"/>
                <w:b/>
                <w:bCs/>
                <w:sz w:val="20"/>
                <w:lang w:val="en-GB"/>
              </w:rPr>
            </w:pPr>
          </w:p>
        </w:tc>
        <w:tc>
          <w:tcPr>
            <w:tcW w:w="2243" w:type="dxa"/>
          </w:tcPr>
          <w:p w14:paraId="59DCC216" w14:textId="77777777" w:rsidR="007B21FD" w:rsidRPr="00D93FF9" w:rsidRDefault="007B21FD" w:rsidP="00A10781">
            <w:pPr>
              <w:pStyle w:val="BodyText"/>
              <w:spacing w:before="0" w:after="0" w:line="266" w:lineRule="auto"/>
              <w:jc w:val="both"/>
              <w:rPr>
                <w:rFonts w:asciiTheme="minorHAnsi" w:hAnsiTheme="minorHAnsi"/>
                <w:b/>
                <w:bCs/>
                <w:sz w:val="20"/>
                <w:lang w:val="en-GB"/>
              </w:rPr>
            </w:pPr>
          </w:p>
        </w:tc>
      </w:tr>
      <w:tr w:rsidR="00BE3AA8" w:rsidRPr="00D93FF9" w14:paraId="59DCC221" w14:textId="77777777" w:rsidTr="00A10781">
        <w:trPr>
          <w:trHeight w:val="1077"/>
        </w:trPr>
        <w:tc>
          <w:tcPr>
            <w:tcW w:w="3252" w:type="dxa"/>
          </w:tcPr>
          <w:p w14:paraId="59DCC218" w14:textId="77777777" w:rsidR="00262170" w:rsidRPr="00D93FF9" w:rsidRDefault="00E811B8" w:rsidP="00A10781">
            <w:pPr>
              <w:pStyle w:val="Pa5"/>
              <w:spacing w:before="0" w:after="0"/>
              <w:rPr>
                <w:rFonts w:asciiTheme="minorHAnsi" w:hAnsiTheme="minorHAnsi" w:cs="Roboto Light"/>
                <w:color w:val="000000"/>
                <w:sz w:val="20"/>
                <w:szCs w:val="20"/>
              </w:rPr>
            </w:pPr>
            <w:r w:rsidRPr="00D93FF9">
              <w:rPr>
                <w:rStyle w:val="A4"/>
                <w:rFonts w:asciiTheme="minorHAnsi" w:hAnsiTheme="minorHAnsi"/>
                <w:sz w:val="20"/>
                <w:szCs w:val="20"/>
              </w:rPr>
              <w:t xml:space="preserve">Total MC 0.65, 2.5, 6.5, 13 </w:t>
            </w:r>
          </w:p>
          <w:p w14:paraId="59DCC219" w14:textId="77777777" w:rsidR="00262170" w:rsidRPr="00D93FF9" w:rsidRDefault="00E811B8" w:rsidP="00A10781">
            <w:pPr>
              <w:pStyle w:val="Pa5"/>
              <w:spacing w:before="0" w:after="0"/>
              <w:rPr>
                <w:rFonts w:asciiTheme="minorHAnsi" w:hAnsiTheme="minorHAnsi" w:cs="Roboto Light"/>
                <w:color w:val="000000"/>
                <w:sz w:val="20"/>
                <w:szCs w:val="20"/>
              </w:rPr>
            </w:pPr>
            <w:r w:rsidRPr="00D93FF9">
              <w:rPr>
                <w:rStyle w:val="A4"/>
                <w:rFonts w:asciiTheme="minorHAnsi" w:hAnsiTheme="minorHAnsi"/>
                <w:sz w:val="20"/>
                <w:szCs w:val="20"/>
              </w:rPr>
              <w:t xml:space="preserve">MC-LR 0.5, 2, 5, 10 </w:t>
            </w:r>
          </w:p>
          <w:p w14:paraId="59DCC21A" w14:textId="77777777" w:rsidR="007B21FD" w:rsidRPr="00D93FF9" w:rsidRDefault="00E811B8" w:rsidP="00A10781">
            <w:pPr>
              <w:pStyle w:val="BodyText"/>
              <w:spacing w:before="0" w:after="0" w:line="266" w:lineRule="auto"/>
              <w:rPr>
                <w:rFonts w:asciiTheme="minorHAnsi" w:hAnsiTheme="minorHAnsi"/>
                <w:sz w:val="20"/>
                <w:lang w:val="en-GB"/>
              </w:rPr>
            </w:pPr>
            <w:r w:rsidRPr="00D93FF9">
              <w:rPr>
                <w:rStyle w:val="A4"/>
                <w:rFonts w:asciiTheme="minorHAnsi" w:hAnsiTheme="minorHAnsi"/>
                <w:sz w:val="20"/>
                <w:szCs w:val="20"/>
              </w:rPr>
              <w:t xml:space="preserve">MC-RR 0.15, 0.5, 1.5, 3 </w:t>
            </w:r>
          </w:p>
        </w:tc>
        <w:tc>
          <w:tcPr>
            <w:tcW w:w="3642" w:type="dxa"/>
          </w:tcPr>
          <w:p w14:paraId="59DCC21B" w14:textId="77777777" w:rsidR="0026217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Not detected at lowest doses, i.e. &lt;0.65 </w:t>
            </w:r>
          </w:p>
          <w:p w14:paraId="59DCC21C" w14:textId="77777777" w:rsidR="0026217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39.31 – 158.35 FW </w:t>
            </w:r>
          </w:p>
          <w:p w14:paraId="59DCC21D" w14:textId="77777777" w:rsidR="0026217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32.00 – 143.35 FW </w:t>
            </w:r>
          </w:p>
          <w:p w14:paraId="59DCC21E" w14:textId="77777777" w:rsidR="007B21FD" w:rsidRPr="00D93FF9" w:rsidRDefault="00E811B8" w:rsidP="00A10781">
            <w:pPr>
              <w:pStyle w:val="BodyText"/>
              <w:spacing w:before="0" w:after="0" w:line="266" w:lineRule="auto"/>
              <w:jc w:val="both"/>
              <w:rPr>
                <w:rFonts w:asciiTheme="minorHAnsi" w:hAnsiTheme="minorHAnsi"/>
                <w:sz w:val="20"/>
                <w:lang w:val="en-GB"/>
              </w:rPr>
            </w:pPr>
            <w:r w:rsidRPr="00D93FF9">
              <w:rPr>
                <w:rStyle w:val="A4"/>
                <w:rFonts w:asciiTheme="minorHAnsi" w:hAnsiTheme="minorHAnsi"/>
                <w:sz w:val="20"/>
                <w:szCs w:val="20"/>
              </w:rPr>
              <w:t xml:space="preserve">6.32 – 15.00 FW </w:t>
            </w:r>
          </w:p>
        </w:tc>
        <w:tc>
          <w:tcPr>
            <w:tcW w:w="2243" w:type="dxa"/>
          </w:tcPr>
          <w:p w14:paraId="59DCC21F" w14:textId="0F73CDB6" w:rsidR="0026217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Bittencourt-Oliveira et al. </w:t>
            </w:r>
            <w:r w:rsidR="006A4A27" w:rsidRPr="00D93FF9">
              <w:rPr>
                <w:rStyle w:val="A4"/>
                <w:rFonts w:asciiTheme="minorHAnsi" w:hAnsiTheme="minorHAnsi"/>
                <w:sz w:val="20"/>
                <w:szCs w:val="20"/>
              </w:rPr>
              <w:t>(</w:t>
            </w:r>
            <w:r w:rsidRPr="00D93FF9">
              <w:rPr>
                <w:rStyle w:val="A4"/>
                <w:rFonts w:asciiTheme="minorHAnsi" w:hAnsiTheme="minorHAnsi"/>
                <w:sz w:val="20"/>
                <w:szCs w:val="20"/>
              </w:rPr>
              <w:t>2016</w:t>
            </w:r>
            <w:r w:rsidR="006A4A27" w:rsidRPr="00D93FF9">
              <w:rPr>
                <w:rStyle w:val="A4"/>
                <w:rFonts w:asciiTheme="minorHAnsi" w:hAnsiTheme="minorHAnsi"/>
                <w:sz w:val="20"/>
                <w:szCs w:val="20"/>
              </w:rPr>
              <w:t>)</w:t>
            </w:r>
            <w:r w:rsidRPr="00D93FF9">
              <w:rPr>
                <w:rStyle w:val="A4"/>
                <w:rFonts w:asciiTheme="minorHAnsi" w:hAnsiTheme="minorHAnsi"/>
                <w:sz w:val="20"/>
                <w:szCs w:val="20"/>
              </w:rPr>
              <w:t xml:space="preserve"> </w:t>
            </w:r>
          </w:p>
          <w:p w14:paraId="59DCC220" w14:textId="77777777" w:rsidR="007B21FD" w:rsidRPr="00D93FF9" w:rsidRDefault="007B21FD" w:rsidP="00A10781">
            <w:pPr>
              <w:pStyle w:val="BodyText"/>
              <w:spacing w:before="0" w:after="0" w:line="266" w:lineRule="auto"/>
              <w:jc w:val="both"/>
              <w:rPr>
                <w:rFonts w:asciiTheme="minorHAnsi" w:hAnsiTheme="minorHAnsi"/>
                <w:sz w:val="20"/>
                <w:lang w:val="en-GB"/>
              </w:rPr>
            </w:pPr>
          </w:p>
        </w:tc>
      </w:tr>
      <w:tr w:rsidR="00BE3AA8" w:rsidRPr="00D93FF9" w14:paraId="59DCC227" w14:textId="77777777" w:rsidTr="00A10781">
        <w:trPr>
          <w:trHeight w:val="567"/>
        </w:trPr>
        <w:tc>
          <w:tcPr>
            <w:tcW w:w="3252" w:type="dxa"/>
          </w:tcPr>
          <w:p w14:paraId="59DCC222" w14:textId="77777777" w:rsidR="0026217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MC-LR 5, 10 </w:t>
            </w:r>
          </w:p>
          <w:p w14:paraId="59DCC223" w14:textId="77777777" w:rsidR="007B21FD" w:rsidRPr="00D93FF9" w:rsidRDefault="007B21FD" w:rsidP="00A10781">
            <w:pPr>
              <w:pStyle w:val="BodyText"/>
              <w:spacing w:before="0" w:after="0" w:line="266" w:lineRule="auto"/>
              <w:jc w:val="both"/>
              <w:rPr>
                <w:rFonts w:asciiTheme="minorHAnsi" w:hAnsiTheme="minorHAnsi"/>
                <w:sz w:val="20"/>
                <w:lang w:val="en-GB"/>
              </w:rPr>
            </w:pPr>
          </w:p>
        </w:tc>
        <w:tc>
          <w:tcPr>
            <w:tcW w:w="3642" w:type="dxa"/>
          </w:tcPr>
          <w:p w14:paraId="59DCC224" w14:textId="77777777" w:rsidR="0026217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~50 – 100 FW </w:t>
            </w:r>
          </w:p>
          <w:p w14:paraId="59DCC225" w14:textId="77777777" w:rsidR="007B21FD" w:rsidRPr="00D93FF9" w:rsidRDefault="007B21FD" w:rsidP="00A10781">
            <w:pPr>
              <w:pStyle w:val="BodyText"/>
              <w:spacing w:before="0" w:after="0" w:line="266" w:lineRule="auto"/>
              <w:jc w:val="both"/>
              <w:rPr>
                <w:rFonts w:asciiTheme="minorHAnsi" w:hAnsiTheme="minorHAnsi"/>
                <w:sz w:val="20"/>
                <w:lang w:val="en-GB"/>
              </w:rPr>
            </w:pPr>
          </w:p>
        </w:tc>
        <w:tc>
          <w:tcPr>
            <w:tcW w:w="2243" w:type="dxa"/>
          </w:tcPr>
          <w:p w14:paraId="59DCC226" w14:textId="0A9233A8" w:rsidR="007B21FD"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Cordeiro-Araújo et al. </w:t>
            </w:r>
            <w:r w:rsidR="006A4A27" w:rsidRPr="00D93FF9">
              <w:rPr>
                <w:rStyle w:val="A4"/>
                <w:rFonts w:asciiTheme="minorHAnsi" w:hAnsiTheme="minorHAnsi"/>
                <w:sz w:val="20"/>
                <w:szCs w:val="20"/>
              </w:rPr>
              <w:t>(</w:t>
            </w:r>
            <w:r w:rsidRPr="00D93FF9">
              <w:rPr>
                <w:rStyle w:val="A4"/>
                <w:rFonts w:asciiTheme="minorHAnsi" w:hAnsiTheme="minorHAnsi"/>
                <w:sz w:val="20"/>
                <w:szCs w:val="20"/>
              </w:rPr>
              <w:t>2016</w:t>
            </w:r>
            <w:r w:rsidR="006A4A27" w:rsidRPr="00D93FF9">
              <w:rPr>
                <w:rStyle w:val="A4"/>
                <w:rFonts w:asciiTheme="minorHAnsi" w:hAnsiTheme="minorHAnsi"/>
                <w:sz w:val="20"/>
                <w:szCs w:val="20"/>
              </w:rPr>
              <w:t>)</w:t>
            </w:r>
            <w:r w:rsidRPr="00D93FF9">
              <w:rPr>
                <w:rStyle w:val="A4"/>
                <w:rFonts w:asciiTheme="minorHAnsi" w:hAnsiTheme="minorHAnsi"/>
                <w:sz w:val="20"/>
                <w:szCs w:val="20"/>
              </w:rPr>
              <w:t xml:space="preserve"> </w:t>
            </w:r>
          </w:p>
        </w:tc>
      </w:tr>
      <w:tr w:rsidR="00BE3AA8" w:rsidRPr="00D93FF9" w14:paraId="59DCC22E" w14:textId="77777777" w:rsidTr="00A10781">
        <w:trPr>
          <w:trHeight w:val="850"/>
        </w:trPr>
        <w:tc>
          <w:tcPr>
            <w:tcW w:w="3252" w:type="dxa"/>
          </w:tcPr>
          <w:p w14:paraId="59DCC228" w14:textId="77777777" w:rsidR="0026217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Total MC </w:t>
            </w:r>
          </w:p>
          <w:p w14:paraId="59DCC229" w14:textId="77777777" w:rsidR="007B21FD" w:rsidRPr="00D93FF9" w:rsidRDefault="00E811B8" w:rsidP="00A10781">
            <w:pPr>
              <w:pStyle w:val="BodyText"/>
              <w:spacing w:before="0" w:after="0" w:line="266" w:lineRule="auto"/>
              <w:jc w:val="both"/>
              <w:rPr>
                <w:rFonts w:asciiTheme="minorHAnsi" w:hAnsiTheme="minorHAnsi"/>
                <w:sz w:val="20"/>
                <w:lang w:val="en-GB"/>
              </w:rPr>
            </w:pPr>
            <w:r w:rsidRPr="00D93FF9">
              <w:rPr>
                <w:rStyle w:val="A4"/>
                <w:rFonts w:asciiTheme="minorHAnsi" w:hAnsiTheme="minorHAnsi"/>
                <w:sz w:val="20"/>
                <w:szCs w:val="20"/>
              </w:rPr>
              <w:t xml:space="preserve">0.62, 2.5, 6.23, 12.5 </w:t>
            </w:r>
          </w:p>
        </w:tc>
        <w:tc>
          <w:tcPr>
            <w:tcW w:w="3642" w:type="dxa"/>
          </w:tcPr>
          <w:p w14:paraId="59DCC22A" w14:textId="77777777" w:rsidR="0026217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8.31 – 177.8 FW </w:t>
            </w:r>
          </w:p>
          <w:p w14:paraId="59DCC22B" w14:textId="77777777" w:rsidR="007B21FD" w:rsidRPr="00D93FF9" w:rsidRDefault="00E811B8" w:rsidP="00A10781">
            <w:pPr>
              <w:pStyle w:val="BodyText"/>
              <w:spacing w:before="0" w:after="0" w:line="266" w:lineRule="auto"/>
              <w:jc w:val="both"/>
              <w:rPr>
                <w:rFonts w:asciiTheme="minorHAnsi" w:hAnsiTheme="minorHAnsi"/>
                <w:sz w:val="20"/>
                <w:lang w:val="en-GB"/>
              </w:rPr>
            </w:pPr>
            <w:r w:rsidRPr="00D93FF9">
              <w:rPr>
                <w:rStyle w:val="A4"/>
                <w:rFonts w:asciiTheme="minorHAnsi" w:hAnsiTheme="minorHAnsi"/>
                <w:sz w:val="20"/>
                <w:szCs w:val="20"/>
              </w:rPr>
              <w:t xml:space="preserve">Greater accumulation occurred at higher irrigation doses </w:t>
            </w:r>
          </w:p>
        </w:tc>
        <w:tc>
          <w:tcPr>
            <w:tcW w:w="2243" w:type="dxa"/>
          </w:tcPr>
          <w:p w14:paraId="59DCC22C" w14:textId="3E507062" w:rsidR="00262170" w:rsidRPr="00D93FF9" w:rsidRDefault="00E811B8" w:rsidP="004A1059">
            <w:pPr>
              <w:pStyle w:val="Pa5"/>
              <w:spacing w:before="0" w:after="0"/>
              <w:rPr>
                <w:rFonts w:asciiTheme="minorHAnsi" w:hAnsiTheme="minorHAnsi" w:cs="Roboto Light"/>
                <w:color w:val="000000"/>
                <w:sz w:val="20"/>
                <w:szCs w:val="20"/>
              </w:rPr>
            </w:pPr>
            <w:r w:rsidRPr="00D93FF9">
              <w:rPr>
                <w:rStyle w:val="A4"/>
                <w:rFonts w:asciiTheme="minorHAnsi" w:hAnsiTheme="minorHAnsi"/>
                <w:sz w:val="20"/>
                <w:szCs w:val="20"/>
              </w:rPr>
              <w:t>Hereman</w:t>
            </w:r>
            <w:r w:rsidR="004A1059" w:rsidRPr="00D93FF9">
              <w:rPr>
                <w:rStyle w:val="A4"/>
                <w:rFonts w:asciiTheme="minorHAnsi" w:hAnsiTheme="minorHAnsi"/>
                <w:sz w:val="20"/>
                <w:szCs w:val="20"/>
              </w:rPr>
              <w:t xml:space="preserve"> </w:t>
            </w:r>
            <w:r w:rsidR="00FA6E9E" w:rsidRPr="00D93FF9">
              <w:rPr>
                <w:rStyle w:val="A4"/>
                <w:rFonts w:asciiTheme="minorHAnsi" w:hAnsiTheme="minorHAnsi"/>
                <w:sz w:val="20"/>
                <w:szCs w:val="20"/>
              </w:rPr>
              <w:t>and</w:t>
            </w:r>
            <w:r w:rsidRPr="00D93FF9">
              <w:rPr>
                <w:rStyle w:val="A4"/>
                <w:rFonts w:asciiTheme="minorHAnsi" w:hAnsiTheme="minorHAnsi"/>
                <w:sz w:val="20"/>
                <w:szCs w:val="20"/>
              </w:rPr>
              <w:t xml:space="preserve"> Bittencourt-Oliveira </w:t>
            </w:r>
            <w:r w:rsidR="006A4A27" w:rsidRPr="00D93FF9">
              <w:rPr>
                <w:rStyle w:val="A4"/>
                <w:rFonts w:asciiTheme="minorHAnsi" w:hAnsiTheme="minorHAnsi"/>
                <w:sz w:val="20"/>
                <w:szCs w:val="20"/>
              </w:rPr>
              <w:t>(</w:t>
            </w:r>
            <w:r w:rsidRPr="00D93FF9">
              <w:rPr>
                <w:rStyle w:val="A4"/>
                <w:rFonts w:asciiTheme="minorHAnsi" w:hAnsiTheme="minorHAnsi"/>
                <w:sz w:val="20"/>
                <w:szCs w:val="20"/>
              </w:rPr>
              <w:t>2012</w:t>
            </w:r>
            <w:r w:rsidR="006A4A27" w:rsidRPr="00D93FF9">
              <w:rPr>
                <w:rStyle w:val="A4"/>
                <w:rFonts w:asciiTheme="minorHAnsi" w:hAnsiTheme="minorHAnsi"/>
                <w:sz w:val="20"/>
                <w:szCs w:val="20"/>
              </w:rPr>
              <w:t>)</w:t>
            </w:r>
            <w:r w:rsidRPr="00D93FF9">
              <w:rPr>
                <w:rStyle w:val="A4"/>
                <w:rFonts w:asciiTheme="minorHAnsi" w:hAnsiTheme="minorHAnsi"/>
                <w:sz w:val="20"/>
                <w:szCs w:val="20"/>
              </w:rPr>
              <w:t xml:space="preserve"> </w:t>
            </w:r>
          </w:p>
          <w:p w14:paraId="59DCC22D" w14:textId="77777777" w:rsidR="007B21FD" w:rsidRPr="00D93FF9" w:rsidRDefault="007B21FD" w:rsidP="00A10781">
            <w:pPr>
              <w:pStyle w:val="BodyText"/>
              <w:spacing w:before="0" w:after="0" w:line="266" w:lineRule="auto"/>
              <w:jc w:val="both"/>
              <w:rPr>
                <w:rFonts w:asciiTheme="minorHAnsi" w:hAnsiTheme="minorHAnsi"/>
                <w:sz w:val="20"/>
                <w:lang w:val="en-GB"/>
              </w:rPr>
            </w:pPr>
          </w:p>
        </w:tc>
      </w:tr>
      <w:tr w:rsidR="00BE3AA8" w:rsidRPr="00D93FF9" w14:paraId="59DCC235" w14:textId="77777777" w:rsidTr="001E1968">
        <w:trPr>
          <w:trHeight w:val="873"/>
        </w:trPr>
        <w:tc>
          <w:tcPr>
            <w:tcW w:w="3252" w:type="dxa"/>
          </w:tcPr>
          <w:p w14:paraId="59DCC22F" w14:textId="77777777" w:rsidR="0026217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MC-LR </w:t>
            </w:r>
          </w:p>
          <w:p w14:paraId="59DCC230" w14:textId="77777777" w:rsidR="007B21FD" w:rsidRPr="00D93FF9" w:rsidRDefault="00E811B8" w:rsidP="00A10781">
            <w:pPr>
              <w:pStyle w:val="BodyText"/>
              <w:spacing w:before="0" w:after="0" w:line="266" w:lineRule="auto"/>
              <w:rPr>
                <w:rFonts w:asciiTheme="minorHAnsi" w:hAnsiTheme="minorHAnsi"/>
                <w:sz w:val="20"/>
                <w:lang w:val="en-GB"/>
              </w:rPr>
            </w:pPr>
            <w:r w:rsidRPr="00D93FF9">
              <w:rPr>
                <w:rStyle w:val="A4"/>
                <w:rFonts w:asciiTheme="minorHAnsi" w:hAnsiTheme="minorHAnsi"/>
                <w:sz w:val="20"/>
                <w:szCs w:val="20"/>
              </w:rPr>
              <w:t xml:space="preserve">3.23±0.11 μg/mg* DW (bloom and scum) </w:t>
            </w:r>
          </w:p>
        </w:tc>
        <w:tc>
          <w:tcPr>
            <w:tcW w:w="3642" w:type="dxa"/>
          </w:tcPr>
          <w:p w14:paraId="59DCC231" w14:textId="77777777" w:rsidR="0026217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94 – 2487 DW </w:t>
            </w:r>
          </w:p>
          <w:p w14:paraId="59DCC232" w14:textId="77777777" w:rsidR="007B21FD" w:rsidRPr="00D93FF9" w:rsidRDefault="007B21FD" w:rsidP="00A10781">
            <w:pPr>
              <w:pStyle w:val="BodyText"/>
              <w:spacing w:before="0" w:after="0" w:line="266" w:lineRule="auto"/>
              <w:jc w:val="both"/>
              <w:rPr>
                <w:rFonts w:asciiTheme="minorHAnsi" w:hAnsiTheme="minorHAnsi"/>
                <w:sz w:val="20"/>
                <w:lang w:val="en-GB"/>
              </w:rPr>
            </w:pPr>
          </w:p>
        </w:tc>
        <w:tc>
          <w:tcPr>
            <w:tcW w:w="2243" w:type="dxa"/>
          </w:tcPr>
          <w:p w14:paraId="59DCC233" w14:textId="38318502" w:rsidR="0026217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Codd et al. </w:t>
            </w:r>
            <w:r w:rsidR="006A4A27" w:rsidRPr="00D93FF9">
              <w:rPr>
                <w:rStyle w:val="A4"/>
                <w:rFonts w:asciiTheme="minorHAnsi" w:hAnsiTheme="minorHAnsi"/>
                <w:sz w:val="20"/>
                <w:szCs w:val="20"/>
              </w:rPr>
              <w:t>(</w:t>
            </w:r>
            <w:r w:rsidRPr="00D93FF9">
              <w:rPr>
                <w:rStyle w:val="A4"/>
                <w:rFonts w:asciiTheme="minorHAnsi" w:hAnsiTheme="minorHAnsi"/>
                <w:sz w:val="20"/>
                <w:szCs w:val="20"/>
              </w:rPr>
              <w:t>1999</w:t>
            </w:r>
            <w:r w:rsidR="006A4A27" w:rsidRPr="00D93FF9">
              <w:rPr>
                <w:rStyle w:val="A4"/>
                <w:rFonts w:asciiTheme="minorHAnsi" w:hAnsiTheme="minorHAnsi"/>
                <w:sz w:val="20"/>
                <w:szCs w:val="20"/>
              </w:rPr>
              <w:t>)</w:t>
            </w:r>
            <w:r w:rsidRPr="00D93FF9">
              <w:rPr>
                <w:rStyle w:val="A4"/>
                <w:rFonts w:asciiTheme="minorHAnsi" w:hAnsiTheme="minorHAnsi"/>
                <w:sz w:val="20"/>
                <w:szCs w:val="20"/>
              </w:rPr>
              <w:t xml:space="preserve"> </w:t>
            </w:r>
          </w:p>
          <w:p w14:paraId="59DCC234" w14:textId="77777777" w:rsidR="007B21FD" w:rsidRPr="00D93FF9" w:rsidRDefault="007B21FD" w:rsidP="00A10781">
            <w:pPr>
              <w:pStyle w:val="BodyText"/>
              <w:spacing w:before="0" w:after="0" w:line="266" w:lineRule="auto"/>
              <w:jc w:val="both"/>
              <w:rPr>
                <w:rFonts w:asciiTheme="minorHAnsi" w:hAnsiTheme="minorHAnsi"/>
                <w:sz w:val="20"/>
                <w:lang w:val="en-GB"/>
              </w:rPr>
            </w:pPr>
          </w:p>
        </w:tc>
      </w:tr>
      <w:tr w:rsidR="00BE3AA8" w:rsidRPr="00D93FF9" w14:paraId="59DCC23A" w14:textId="77777777" w:rsidTr="00A10781">
        <w:trPr>
          <w:trHeight w:val="567"/>
        </w:trPr>
        <w:tc>
          <w:tcPr>
            <w:tcW w:w="3252" w:type="dxa"/>
          </w:tcPr>
          <w:p w14:paraId="59DCC236" w14:textId="77777777" w:rsidR="00754E54" w:rsidRPr="00D93FF9" w:rsidRDefault="00E811B8" w:rsidP="00A10781">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t>Total MC 2100</w:t>
            </w:r>
          </w:p>
        </w:tc>
        <w:tc>
          <w:tcPr>
            <w:tcW w:w="3642" w:type="dxa"/>
          </w:tcPr>
          <w:p w14:paraId="59DCC237" w14:textId="77777777" w:rsidR="00754E54" w:rsidRPr="00D93FF9" w:rsidRDefault="00E811B8" w:rsidP="00A10781">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t>300-870 DW (roots)</w:t>
            </w:r>
          </w:p>
          <w:p w14:paraId="59DCC238" w14:textId="77777777" w:rsidR="00754E54" w:rsidRPr="00D93FF9" w:rsidRDefault="00E811B8" w:rsidP="00A10781">
            <w:pPr>
              <w:pStyle w:val="Default"/>
              <w:spacing w:before="0" w:after="0"/>
            </w:pPr>
            <w:r w:rsidRPr="00D93FF9">
              <w:rPr>
                <w:rFonts w:asciiTheme="minorHAnsi" w:hAnsiTheme="minorHAnsi"/>
                <w:sz w:val="20"/>
                <w:szCs w:val="20"/>
              </w:rPr>
              <w:t>740-840 DW (shoots)</w:t>
            </w:r>
          </w:p>
        </w:tc>
        <w:tc>
          <w:tcPr>
            <w:tcW w:w="2243" w:type="dxa"/>
          </w:tcPr>
          <w:p w14:paraId="59DCC239" w14:textId="749A6223" w:rsidR="00754E54" w:rsidRPr="00D93FF9" w:rsidRDefault="00E811B8" w:rsidP="00A10781">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t xml:space="preserve">Crush et al. </w:t>
            </w:r>
            <w:r w:rsidR="006A4A27" w:rsidRPr="00D93FF9">
              <w:rPr>
                <w:rStyle w:val="A4"/>
                <w:rFonts w:asciiTheme="minorHAnsi" w:hAnsiTheme="minorHAnsi"/>
                <w:sz w:val="20"/>
                <w:szCs w:val="20"/>
              </w:rPr>
              <w:t>(</w:t>
            </w:r>
            <w:r w:rsidRPr="00D93FF9">
              <w:rPr>
                <w:rStyle w:val="A4"/>
                <w:rFonts w:asciiTheme="minorHAnsi" w:hAnsiTheme="minorHAnsi"/>
                <w:sz w:val="20"/>
                <w:szCs w:val="20"/>
              </w:rPr>
              <w:t>2008</w:t>
            </w:r>
            <w:r w:rsidR="006A4A27" w:rsidRPr="00D93FF9">
              <w:rPr>
                <w:rStyle w:val="A4"/>
                <w:rFonts w:asciiTheme="minorHAnsi" w:hAnsiTheme="minorHAnsi"/>
                <w:sz w:val="20"/>
                <w:szCs w:val="20"/>
              </w:rPr>
              <w:t>)</w:t>
            </w:r>
          </w:p>
        </w:tc>
      </w:tr>
      <w:tr w:rsidR="00BE3AA8" w:rsidRPr="00D93FF9" w14:paraId="59DCC23E" w14:textId="77777777" w:rsidTr="001E1968">
        <w:trPr>
          <w:trHeight w:val="320"/>
        </w:trPr>
        <w:tc>
          <w:tcPr>
            <w:tcW w:w="3252" w:type="dxa"/>
          </w:tcPr>
          <w:p w14:paraId="59DCC23B" w14:textId="77777777" w:rsidR="007B21FD" w:rsidRPr="00D93FF9" w:rsidRDefault="00E811B8" w:rsidP="00A10781">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Carrot</w:t>
            </w:r>
          </w:p>
        </w:tc>
        <w:tc>
          <w:tcPr>
            <w:tcW w:w="3642" w:type="dxa"/>
          </w:tcPr>
          <w:p w14:paraId="59DCC23C" w14:textId="77777777" w:rsidR="007B21FD" w:rsidRPr="00D93FF9" w:rsidRDefault="007B21FD" w:rsidP="00A10781">
            <w:pPr>
              <w:pStyle w:val="BodyText"/>
              <w:spacing w:before="0" w:after="0" w:line="266" w:lineRule="auto"/>
              <w:jc w:val="both"/>
              <w:rPr>
                <w:rFonts w:asciiTheme="minorHAnsi" w:hAnsiTheme="minorHAnsi"/>
                <w:b/>
                <w:bCs/>
                <w:sz w:val="20"/>
                <w:lang w:val="en-GB"/>
              </w:rPr>
            </w:pPr>
          </w:p>
        </w:tc>
        <w:tc>
          <w:tcPr>
            <w:tcW w:w="2243" w:type="dxa"/>
          </w:tcPr>
          <w:p w14:paraId="59DCC23D" w14:textId="77777777" w:rsidR="007B21FD" w:rsidRPr="00D93FF9" w:rsidRDefault="007B21FD" w:rsidP="00A10781">
            <w:pPr>
              <w:pStyle w:val="BodyText"/>
              <w:spacing w:before="0" w:after="0" w:line="266" w:lineRule="auto"/>
              <w:jc w:val="both"/>
              <w:rPr>
                <w:rFonts w:asciiTheme="minorHAnsi" w:hAnsiTheme="minorHAnsi"/>
                <w:b/>
                <w:bCs/>
                <w:sz w:val="20"/>
                <w:lang w:val="en-GB"/>
              </w:rPr>
            </w:pPr>
          </w:p>
        </w:tc>
      </w:tr>
      <w:tr w:rsidR="00BE3AA8" w:rsidRPr="00D93FF9" w14:paraId="59DCC242" w14:textId="77777777" w:rsidTr="00A10781">
        <w:trPr>
          <w:trHeight w:val="340"/>
        </w:trPr>
        <w:tc>
          <w:tcPr>
            <w:tcW w:w="3252" w:type="dxa"/>
          </w:tcPr>
          <w:p w14:paraId="59DCC23F" w14:textId="77777777" w:rsidR="007B21FD"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MC-LR 10, 50 </w:t>
            </w:r>
          </w:p>
        </w:tc>
        <w:tc>
          <w:tcPr>
            <w:tcW w:w="3642" w:type="dxa"/>
          </w:tcPr>
          <w:p w14:paraId="59DCC240" w14:textId="77777777" w:rsidR="007B21FD"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5 FW </w:t>
            </w:r>
          </w:p>
        </w:tc>
        <w:tc>
          <w:tcPr>
            <w:tcW w:w="2243" w:type="dxa"/>
          </w:tcPr>
          <w:p w14:paraId="59DCC241" w14:textId="6F14E3DA" w:rsidR="007B21FD"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Machado et al. </w:t>
            </w:r>
            <w:r w:rsidR="006A4A27" w:rsidRPr="00D93FF9">
              <w:rPr>
                <w:rStyle w:val="A4"/>
                <w:rFonts w:asciiTheme="minorHAnsi" w:hAnsiTheme="minorHAnsi"/>
                <w:sz w:val="20"/>
                <w:szCs w:val="20"/>
              </w:rPr>
              <w:t>(</w:t>
            </w:r>
            <w:r w:rsidRPr="00D93FF9">
              <w:rPr>
                <w:rStyle w:val="A4"/>
                <w:rFonts w:asciiTheme="minorHAnsi" w:hAnsiTheme="minorHAnsi"/>
                <w:sz w:val="20"/>
                <w:szCs w:val="20"/>
              </w:rPr>
              <w:t>2017</w:t>
            </w:r>
            <w:r w:rsidR="006A4A27" w:rsidRPr="00D93FF9">
              <w:rPr>
                <w:rStyle w:val="A4"/>
                <w:rFonts w:asciiTheme="minorHAnsi" w:hAnsiTheme="minorHAnsi"/>
                <w:sz w:val="20"/>
                <w:szCs w:val="20"/>
              </w:rPr>
              <w:t>)</w:t>
            </w:r>
            <w:r w:rsidRPr="00D93FF9">
              <w:rPr>
                <w:rStyle w:val="A4"/>
                <w:rFonts w:asciiTheme="minorHAnsi" w:hAnsiTheme="minorHAnsi"/>
                <w:sz w:val="20"/>
                <w:szCs w:val="20"/>
              </w:rPr>
              <w:t xml:space="preserve"> </w:t>
            </w:r>
          </w:p>
        </w:tc>
      </w:tr>
      <w:tr w:rsidR="00BE3AA8" w:rsidRPr="00D93FF9" w14:paraId="59DCC246" w14:textId="77777777" w:rsidTr="001E1968">
        <w:trPr>
          <w:trHeight w:val="320"/>
        </w:trPr>
        <w:tc>
          <w:tcPr>
            <w:tcW w:w="3252" w:type="dxa"/>
          </w:tcPr>
          <w:p w14:paraId="59DCC243" w14:textId="77777777" w:rsidR="00262170" w:rsidRPr="00D93FF9" w:rsidRDefault="00E811B8" w:rsidP="00A10781">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Radish</w:t>
            </w:r>
          </w:p>
        </w:tc>
        <w:tc>
          <w:tcPr>
            <w:tcW w:w="3642" w:type="dxa"/>
          </w:tcPr>
          <w:p w14:paraId="59DCC244" w14:textId="77777777" w:rsidR="00262170" w:rsidRPr="00D93FF9" w:rsidRDefault="00262170" w:rsidP="00A10781">
            <w:pPr>
              <w:pStyle w:val="BodyText"/>
              <w:spacing w:before="0" w:after="0" w:line="266" w:lineRule="auto"/>
              <w:jc w:val="both"/>
              <w:rPr>
                <w:rFonts w:asciiTheme="minorHAnsi" w:hAnsiTheme="minorHAnsi"/>
                <w:b/>
                <w:bCs/>
                <w:sz w:val="20"/>
                <w:lang w:val="en-GB"/>
              </w:rPr>
            </w:pPr>
          </w:p>
        </w:tc>
        <w:tc>
          <w:tcPr>
            <w:tcW w:w="2243" w:type="dxa"/>
          </w:tcPr>
          <w:p w14:paraId="59DCC245" w14:textId="77777777" w:rsidR="00262170" w:rsidRPr="00D93FF9" w:rsidRDefault="00262170" w:rsidP="00A10781">
            <w:pPr>
              <w:pStyle w:val="BodyText"/>
              <w:spacing w:before="0" w:after="0" w:line="266" w:lineRule="auto"/>
              <w:jc w:val="both"/>
              <w:rPr>
                <w:rFonts w:asciiTheme="minorHAnsi" w:hAnsiTheme="minorHAnsi"/>
                <w:b/>
                <w:bCs/>
                <w:sz w:val="20"/>
                <w:lang w:val="en-GB"/>
              </w:rPr>
            </w:pPr>
          </w:p>
        </w:tc>
      </w:tr>
      <w:tr w:rsidR="00BE3AA8" w:rsidRPr="00D93FF9" w14:paraId="59DCC24C" w14:textId="77777777" w:rsidTr="00A10781">
        <w:trPr>
          <w:trHeight w:val="397"/>
        </w:trPr>
        <w:tc>
          <w:tcPr>
            <w:tcW w:w="3252" w:type="dxa"/>
          </w:tcPr>
          <w:p w14:paraId="59DCC247" w14:textId="2A171EDF" w:rsidR="005C3EB7"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Probably MC-YR 0.3 – 1.8 </w:t>
            </w:r>
          </w:p>
          <w:p w14:paraId="59DCC248" w14:textId="77777777" w:rsidR="005C3EB7" w:rsidRPr="00D93FF9" w:rsidRDefault="005C3EB7" w:rsidP="00A10781">
            <w:pPr>
              <w:pStyle w:val="BodyText"/>
              <w:spacing w:before="0" w:after="0" w:line="266" w:lineRule="auto"/>
              <w:jc w:val="both"/>
              <w:rPr>
                <w:rFonts w:asciiTheme="minorHAnsi" w:hAnsiTheme="minorHAnsi"/>
                <w:sz w:val="20"/>
                <w:lang w:val="en-GB"/>
              </w:rPr>
            </w:pPr>
          </w:p>
        </w:tc>
        <w:tc>
          <w:tcPr>
            <w:tcW w:w="3642" w:type="dxa"/>
          </w:tcPr>
          <w:p w14:paraId="59DCC249" w14:textId="77777777" w:rsidR="005C3EB7"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&lt;300 – 1200 FW </w:t>
            </w:r>
          </w:p>
          <w:p w14:paraId="59DCC24A" w14:textId="77777777" w:rsidR="005C3EB7" w:rsidRPr="00D93FF9" w:rsidRDefault="005C3EB7" w:rsidP="00A10781">
            <w:pPr>
              <w:pStyle w:val="BodyText"/>
              <w:spacing w:before="0" w:after="0" w:line="266" w:lineRule="auto"/>
              <w:jc w:val="both"/>
              <w:rPr>
                <w:rFonts w:asciiTheme="minorHAnsi" w:hAnsiTheme="minorHAnsi"/>
                <w:sz w:val="20"/>
                <w:lang w:val="en-GB"/>
              </w:rPr>
            </w:pPr>
          </w:p>
        </w:tc>
        <w:tc>
          <w:tcPr>
            <w:tcW w:w="2243" w:type="dxa"/>
          </w:tcPr>
          <w:p w14:paraId="59DCC24B" w14:textId="5AAC5741" w:rsidR="005C3EB7"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Mohamed </w:t>
            </w:r>
            <w:r w:rsidR="00FA6E9E" w:rsidRPr="00D93FF9">
              <w:rPr>
                <w:rStyle w:val="A4"/>
                <w:rFonts w:asciiTheme="minorHAnsi" w:hAnsiTheme="minorHAnsi"/>
                <w:sz w:val="20"/>
                <w:szCs w:val="20"/>
              </w:rPr>
              <w:t>and</w:t>
            </w:r>
            <w:r w:rsidRPr="00D93FF9">
              <w:rPr>
                <w:rStyle w:val="A4"/>
                <w:rFonts w:asciiTheme="minorHAnsi" w:hAnsiTheme="minorHAnsi"/>
                <w:sz w:val="20"/>
                <w:szCs w:val="20"/>
              </w:rPr>
              <w:t xml:space="preserve"> Al Shehri </w:t>
            </w:r>
            <w:r w:rsidR="006A4A27" w:rsidRPr="00D93FF9">
              <w:rPr>
                <w:rStyle w:val="A4"/>
                <w:rFonts w:asciiTheme="minorHAnsi" w:hAnsiTheme="minorHAnsi"/>
                <w:sz w:val="20"/>
                <w:szCs w:val="20"/>
              </w:rPr>
              <w:t>(</w:t>
            </w:r>
            <w:r w:rsidRPr="00D93FF9">
              <w:rPr>
                <w:rStyle w:val="A4"/>
                <w:rFonts w:asciiTheme="minorHAnsi" w:hAnsiTheme="minorHAnsi"/>
                <w:sz w:val="20"/>
                <w:szCs w:val="20"/>
              </w:rPr>
              <w:t>2009</w:t>
            </w:r>
            <w:r w:rsidR="006A4A27" w:rsidRPr="00D93FF9">
              <w:rPr>
                <w:rStyle w:val="A4"/>
                <w:rFonts w:asciiTheme="minorHAnsi" w:hAnsiTheme="minorHAnsi"/>
                <w:sz w:val="20"/>
                <w:szCs w:val="20"/>
              </w:rPr>
              <w:t>)</w:t>
            </w:r>
            <w:r w:rsidRPr="00D93FF9">
              <w:rPr>
                <w:rStyle w:val="A4"/>
                <w:rFonts w:asciiTheme="minorHAnsi" w:hAnsiTheme="minorHAnsi"/>
                <w:sz w:val="20"/>
                <w:szCs w:val="20"/>
              </w:rPr>
              <w:t xml:space="preserve"> </w:t>
            </w:r>
          </w:p>
        </w:tc>
      </w:tr>
      <w:tr w:rsidR="00BE3AA8" w:rsidRPr="00D93FF9" w14:paraId="59DCC250" w14:textId="77777777" w:rsidTr="00B275A5">
        <w:trPr>
          <w:trHeight w:val="343"/>
        </w:trPr>
        <w:tc>
          <w:tcPr>
            <w:tcW w:w="3252" w:type="dxa"/>
          </w:tcPr>
          <w:p w14:paraId="59DCC24D" w14:textId="77777777" w:rsidR="00B275A5" w:rsidRPr="00D93FF9" w:rsidRDefault="00E811B8" w:rsidP="00A10781">
            <w:pPr>
              <w:pStyle w:val="Pa5"/>
              <w:spacing w:before="0" w:after="0"/>
              <w:jc w:val="both"/>
              <w:rPr>
                <w:rStyle w:val="A4"/>
                <w:rFonts w:asciiTheme="minorHAnsi" w:hAnsiTheme="minorHAnsi"/>
                <w:b/>
                <w:bCs/>
                <w:sz w:val="20"/>
                <w:szCs w:val="20"/>
              </w:rPr>
            </w:pPr>
            <w:r w:rsidRPr="00D93FF9">
              <w:rPr>
                <w:rStyle w:val="A4"/>
                <w:rFonts w:asciiTheme="minorHAnsi" w:hAnsiTheme="minorHAnsi"/>
                <w:b/>
                <w:bCs/>
                <w:sz w:val="20"/>
                <w:szCs w:val="20"/>
              </w:rPr>
              <w:t>Broccoli</w:t>
            </w:r>
          </w:p>
        </w:tc>
        <w:tc>
          <w:tcPr>
            <w:tcW w:w="3642" w:type="dxa"/>
          </w:tcPr>
          <w:p w14:paraId="59DCC24E" w14:textId="77777777" w:rsidR="00B275A5" w:rsidRPr="00D93FF9" w:rsidRDefault="00B275A5" w:rsidP="00A10781">
            <w:pPr>
              <w:pStyle w:val="Pa5"/>
              <w:spacing w:before="0" w:after="0"/>
              <w:jc w:val="both"/>
              <w:rPr>
                <w:rStyle w:val="A4"/>
                <w:rFonts w:asciiTheme="minorHAnsi" w:hAnsiTheme="minorHAnsi"/>
                <w:b/>
                <w:bCs/>
                <w:sz w:val="20"/>
                <w:szCs w:val="20"/>
              </w:rPr>
            </w:pPr>
          </w:p>
        </w:tc>
        <w:tc>
          <w:tcPr>
            <w:tcW w:w="2243" w:type="dxa"/>
          </w:tcPr>
          <w:p w14:paraId="59DCC24F" w14:textId="77777777" w:rsidR="00B275A5" w:rsidRPr="00D93FF9" w:rsidRDefault="00B275A5" w:rsidP="00A10781">
            <w:pPr>
              <w:pStyle w:val="Pa5"/>
              <w:spacing w:before="0" w:after="0"/>
              <w:jc w:val="both"/>
              <w:rPr>
                <w:rStyle w:val="A4"/>
                <w:rFonts w:asciiTheme="minorHAnsi" w:hAnsiTheme="minorHAnsi"/>
                <w:b/>
                <w:bCs/>
                <w:sz w:val="20"/>
                <w:szCs w:val="20"/>
              </w:rPr>
            </w:pPr>
          </w:p>
        </w:tc>
      </w:tr>
      <w:tr w:rsidR="00BE3AA8" w:rsidRPr="00D93FF9" w14:paraId="59DCC256" w14:textId="77777777" w:rsidTr="001E1968">
        <w:trPr>
          <w:trHeight w:val="843"/>
        </w:trPr>
        <w:tc>
          <w:tcPr>
            <w:tcW w:w="3252" w:type="dxa"/>
          </w:tcPr>
          <w:p w14:paraId="59DCC251" w14:textId="77777777" w:rsidR="00B275A5" w:rsidRPr="00D93FF9" w:rsidRDefault="00E811B8" w:rsidP="00A10781">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t>Total MC 1, 10</w:t>
            </w:r>
          </w:p>
        </w:tc>
        <w:tc>
          <w:tcPr>
            <w:tcW w:w="3642" w:type="dxa"/>
          </w:tcPr>
          <w:p w14:paraId="59DCC252" w14:textId="77777777" w:rsidR="00B275A5"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Only MC-LR detected, only detected in plant roots. </w:t>
            </w:r>
          </w:p>
          <w:p w14:paraId="59DCC253" w14:textId="77777777" w:rsidR="00B275A5" w:rsidRPr="00D93FF9" w:rsidRDefault="00E811B8" w:rsidP="00A10781">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t xml:space="preserve">0.9 — 2.4 FW. Did not distinguish bioaccumulation concentration based on irrigation dose </w:t>
            </w:r>
          </w:p>
        </w:tc>
        <w:tc>
          <w:tcPr>
            <w:tcW w:w="2243" w:type="dxa"/>
          </w:tcPr>
          <w:p w14:paraId="59DCC254" w14:textId="02680E37" w:rsidR="00B275A5"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Järvenpää et al. </w:t>
            </w:r>
            <w:r w:rsidR="006A4A27" w:rsidRPr="00D93FF9">
              <w:rPr>
                <w:rStyle w:val="A4"/>
                <w:rFonts w:asciiTheme="minorHAnsi" w:hAnsiTheme="minorHAnsi"/>
                <w:sz w:val="20"/>
                <w:szCs w:val="20"/>
              </w:rPr>
              <w:t>(</w:t>
            </w:r>
            <w:r w:rsidRPr="00D93FF9">
              <w:rPr>
                <w:rStyle w:val="A4"/>
                <w:rFonts w:asciiTheme="minorHAnsi" w:hAnsiTheme="minorHAnsi"/>
                <w:sz w:val="20"/>
                <w:szCs w:val="20"/>
              </w:rPr>
              <w:t>2007</w:t>
            </w:r>
            <w:r w:rsidR="006A4A27" w:rsidRPr="00D93FF9">
              <w:rPr>
                <w:rStyle w:val="A4"/>
                <w:rFonts w:asciiTheme="minorHAnsi" w:hAnsiTheme="minorHAnsi"/>
                <w:sz w:val="20"/>
                <w:szCs w:val="20"/>
              </w:rPr>
              <w:t>)</w:t>
            </w:r>
            <w:r w:rsidRPr="00D93FF9">
              <w:rPr>
                <w:rStyle w:val="A4"/>
                <w:rFonts w:asciiTheme="minorHAnsi" w:hAnsiTheme="minorHAnsi"/>
                <w:sz w:val="20"/>
                <w:szCs w:val="20"/>
              </w:rPr>
              <w:t xml:space="preserve"> </w:t>
            </w:r>
          </w:p>
          <w:p w14:paraId="59DCC255" w14:textId="77777777" w:rsidR="00B275A5" w:rsidRPr="00D93FF9" w:rsidRDefault="00B275A5" w:rsidP="00A10781">
            <w:pPr>
              <w:pStyle w:val="Pa5"/>
              <w:spacing w:before="0" w:after="0"/>
              <w:jc w:val="both"/>
              <w:rPr>
                <w:rStyle w:val="A4"/>
                <w:rFonts w:asciiTheme="minorHAnsi" w:hAnsiTheme="minorHAnsi"/>
                <w:sz w:val="20"/>
                <w:szCs w:val="20"/>
              </w:rPr>
            </w:pPr>
          </w:p>
        </w:tc>
      </w:tr>
      <w:tr w:rsidR="00BE3AA8" w:rsidRPr="00D93FF9" w14:paraId="59DCC25A" w14:textId="77777777" w:rsidTr="001E1968">
        <w:trPr>
          <w:trHeight w:val="349"/>
        </w:trPr>
        <w:tc>
          <w:tcPr>
            <w:tcW w:w="3252" w:type="dxa"/>
          </w:tcPr>
          <w:p w14:paraId="59DCC257" w14:textId="77777777" w:rsidR="005C3EB7" w:rsidRPr="00D93FF9" w:rsidRDefault="00E811B8" w:rsidP="00A10781">
            <w:pPr>
              <w:pStyle w:val="Pa5"/>
              <w:spacing w:before="0" w:after="0"/>
              <w:jc w:val="both"/>
              <w:rPr>
                <w:rStyle w:val="A4"/>
                <w:rFonts w:asciiTheme="minorHAnsi" w:hAnsiTheme="minorHAnsi"/>
                <w:b/>
                <w:bCs/>
                <w:sz w:val="20"/>
                <w:szCs w:val="20"/>
              </w:rPr>
            </w:pPr>
            <w:r w:rsidRPr="00D93FF9">
              <w:rPr>
                <w:rStyle w:val="A4"/>
                <w:rFonts w:asciiTheme="minorHAnsi" w:hAnsiTheme="minorHAnsi"/>
                <w:b/>
                <w:bCs/>
                <w:sz w:val="20"/>
                <w:szCs w:val="20"/>
              </w:rPr>
              <w:t>Tomatoes</w:t>
            </w:r>
          </w:p>
        </w:tc>
        <w:tc>
          <w:tcPr>
            <w:tcW w:w="3642" w:type="dxa"/>
          </w:tcPr>
          <w:p w14:paraId="59DCC258" w14:textId="77777777" w:rsidR="005C3EB7" w:rsidRPr="00D93FF9" w:rsidRDefault="005C3EB7" w:rsidP="00A10781">
            <w:pPr>
              <w:pStyle w:val="Pa5"/>
              <w:spacing w:before="0" w:after="0"/>
              <w:jc w:val="both"/>
              <w:rPr>
                <w:rStyle w:val="A4"/>
                <w:rFonts w:asciiTheme="minorHAnsi" w:hAnsiTheme="minorHAnsi"/>
                <w:b/>
                <w:bCs/>
                <w:sz w:val="20"/>
                <w:szCs w:val="20"/>
              </w:rPr>
            </w:pPr>
          </w:p>
        </w:tc>
        <w:tc>
          <w:tcPr>
            <w:tcW w:w="2243" w:type="dxa"/>
          </w:tcPr>
          <w:p w14:paraId="59DCC259" w14:textId="77777777" w:rsidR="005C3EB7" w:rsidRPr="00D93FF9" w:rsidRDefault="005C3EB7" w:rsidP="00A10781">
            <w:pPr>
              <w:pStyle w:val="Pa5"/>
              <w:spacing w:before="0" w:after="0"/>
              <w:jc w:val="both"/>
              <w:rPr>
                <w:rStyle w:val="A4"/>
                <w:rFonts w:asciiTheme="minorHAnsi" w:hAnsiTheme="minorHAnsi"/>
                <w:b/>
                <w:bCs/>
                <w:sz w:val="20"/>
                <w:szCs w:val="20"/>
              </w:rPr>
            </w:pPr>
          </w:p>
        </w:tc>
      </w:tr>
      <w:tr w:rsidR="00BE3AA8" w:rsidRPr="00D93FF9" w14:paraId="59DCC267" w14:textId="77777777" w:rsidTr="001E1968">
        <w:trPr>
          <w:trHeight w:val="349"/>
        </w:trPr>
        <w:tc>
          <w:tcPr>
            <w:tcW w:w="3252" w:type="dxa"/>
          </w:tcPr>
          <w:p w14:paraId="59DCC25B" w14:textId="77777777" w:rsidR="00DD2B4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MC-LR 100 </w:t>
            </w:r>
          </w:p>
          <w:p w14:paraId="59DCC25C" w14:textId="77777777" w:rsidR="00DD2B4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Roots </w:t>
            </w:r>
          </w:p>
          <w:p w14:paraId="59DCC25D" w14:textId="77777777" w:rsidR="00DD2B4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Leaves </w:t>
            </w:r>
          </w:p>
          <w:p w14:paraId="59DCC25E" w14:textId="77777777" w:rsidR="00DD2B4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Fruit – green tomato </w:t>
            </w:r>
          </w:p>
          <w:p w14:paraId="59DCC25F" w14:textId="77777777" w:rsidR="005C3EB7" w:rsidRPr="00D93FF9" w:rsidRDefault="00E811B8" w:rsidP="00A10781">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lastRenderedPageBreak/>
              <w:t xml:space="preserve">Fruit – ripe tomato </w:t>
            </w:r>
          </w:p>
        </w:tc>
        <w:tc>
          <w:tcPr>
            <w:tcW w:w="3642" w:type="dxa"/>
          </w:tcPr>
          <w:p w14:paraId="59DCC260" w14:textId="77777777" w:rsidR="00DD2B4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lastRenderedPageBreak/>
              <w:t xml:space="preserve">FW </w:t>
            </w:r>
          </w:p>
          <w:p w14:paraId="59DCC261" w14:textId="77777777" w:rsidR="00DD2B4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ND – 1635.2 </w:t>
            </w:r>
          </w:p>
          <w:p w14:paraId="59DCC262" w14:textId="77777777" w:rsidR="00DD2B4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ND – 12298.2 </w:t>
            </w:r>
          </w:p>
          <w:p w14:paraId="59DCC263" w14:textId="77777777" w:rsidR="00DD2B4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t xml:space="preserve">&lt;LD – 5.4 </w:t>
            </w:r>
          </w:p>
          <w:p w14:paraId="59DCC264" w14:textId="77777777" w:rsidR="005C3EB7" w:rsidRPr="00D93FF9" w:rsidRDefault="00E811B8" w:rsidP="00A10781">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lastRenderedPageBreak/>
              <w:t xml:space="preserve">&lt;LD – 10.8 </w:t>
            </w:r>
          </w:p>
        </w:tc>
        <w:tc>
          <w:tcPr>
            <w:tcW w:w="2243" w:type="dxa"/>
          </w:tcPr>
          <w:p w14:paraId="59DCC265" w14:textId="536509F3" w:rsidR="00DD2B40" w:rsidRPr="00D93FF9" w:rsidRDefault="00E811B8" w:rsidP="00A10781">
            <w:pPr>
              <w:pStyle w:val="Pa5"/>
              <w:spacing w:before="0" w:after="0"/>
              <w:jc w:val="both"/>
              <w:rPr>
                <w:rFonts w:asciiTheme="minorHAnsi" w:hAnsiTheme="minorHAnsi" w:cs="Roboto Light"/>
                <w:color w:val="000000"/>
                <w:sz w:val="20"/>
                <w:szCs w:val="20"/>
              </w:rPr>
            </w:pPr>
            <w:r w:rsidRPr="00D93FF9">
              <w:rPr>
                <w:rStyle w:val="A4"/>
                <w:rFonts w:asciiTheme="minorHAnsi" w:hAnsiTheme="minorHAnsi"/>
                <w:sz w:val="20"/>
                <w:szCs w:val="20"/>
              </w:rPr>
              <w:lastRenderedPageBreak/>
              <w:t xml:space="preserve">Gutierrez-Praena et al. </w:t>
            </w:r>
            <w:r w:rsidR="006A4A27" w:rsidRPr="00D93FF9">
              <w:rPr>
                <w:rStyle w:val="A4"/>
                <w:rFonts w:asciiTheme="minorHAnsi" w:hAnsiTheme="minorHAnsi"/>
                <w:sz w:val="20"/>
                <w:szCs w:val="20"/>
              </w:rPr>
              <w:t>(</w:t>
            </w:r>
            <w:r w:rsidRPr="00D93FF9">
              <w:rPr>
                <w:rStyle w:val="A4"/>
                <w:rFonts w:asciiTheme="minorHAnsi" w:hAnsiTheme="minorHAnsi"/>
                <w:sz w:val="20"/>
                <w:szCs w:val="20"/>
              </w:rPr>
              <w:t>2014</w:t>
            </w:r>
            <w:r w:rsidR="006A4A27" w:rsidRPr="00D93FF9">
              <w:rPr>
                <w:rStyle w:val="A4"/>
                <w:rFonts w:asciiTheme="minorHAnsi" w:hAnsiTheme="minorHAnsi"/>
                <w:sz w:val="20"/>
                <w:szCs w:val="20"/>
              </w:rPr>
              <w:t>)</w:t>
            </w:r>
            <w:r w:rsidRPr="00D93FF9">
              <w:rPr>
                <w:rStyle w:val="A4"/>
                <w:rFonts w:asciiTheme="minorHAnsi" w:hAnsiTheme="minorHAnsi"/>
                <w:sz w:val="20"/>
                <w:szCs w:val="20"/>
              </w:rPr>
              <w:t xml:space="preserve"> </w:t>
            </w:r>
          </w:p>
          <w:p w14:paraId="59DCC266" w14:textId="77777777" w:rsidR="005C3EB7" w:rsidRPr="00D93FF9" w:rsidRDefault="005C3EB7" w:rsidP="00A10781">
            <w:pPr>
              <w:pStyle w:val="Pa5"/>
              <w:spacing w:before="0" w:after="0"/>
              <w:jc w:val="both"/>
              <w:rPr>
                <w:rStyle w:val="A4"/>
                <w:rFonts w:asciiTheme="minorHAnsi" w:hAnsiTheme="minorHAnsi"/>
                <w:sz w:val="20"/>
                <w:szCs w:val="20"/>
              </w:rPr>
            </w:pPr>
          </w:p>
        </w:tc>
      </w:tr>
      <w:tr w:rsidR="00BE3AA8" w:rsidRPr="00D93FF9" w14:paraId="59DCC26E" w14:textId="77777777" w:rsidTr="001E1968">
        <w:trPr>
          <w:trHeight w:val="349"/>
        </w:trPr>
        <w:tc>
          <w:tcPr>
            <w:tcW w:w="3252" w:type="dxa"/>
          </w:tcPr>
          <w:p w14:paraId="59DCC268" w14:textId="77777777" w:rsidR="00DD2B40" w:rsidRPr="00D93FF9" w:rsidRDefault="00E811B8" w:rsidP="00A10781">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t>MC-LR 100</w:t>
            </w:r>
          </w:p>
        </w:tc>
        <w:tc>
          <w:tcPr>
            <w:tcW w:w="3642" w:type="dxa"/>
          </w:tcPr>
          <w:p w14:paraId="59DCC269" w14:textId="77777777" w:rsidR="00DD2B40" w:rsidRPr="00D93FF9" w:rsidRDefault="00E811B8" w:rsidP="00A10781">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t>1.6-3.9 µg MC-LR/kg DW in soil</w:t>
            </w:r>
          </w:p>
          <w:p w14:paraId="59DCC26A" w14:textId="77777777" w:rsidR="001E1968" w:rsidRPr="00D93FF9" w:rsidRDefault="00E811B8" w:rsidP="00A10781">
            <w:pPr>
              <w:pStyle w:val="Default"/>
              <w:spacing w:before="0" w:after="0"/>
              <w:rPr>
                <w:rFonts w:asciiTheme="minorHAnsi" w:hAnsiTheme="minorHAnsi"/>
                <w:sz w:val="20"/>
                <w:szCs w:val="20"/>
              </w:rPr>
            </w:pPr>
            <w:r w:rsidRPr="00D93FF9">
              <w:rPr>
                <w:rFonts w:asciiTheme="minorHAnsi" w:hAnsiTheme="minorHAnsi"/>
                <w:sz w:val="20"/>
                <w:szCs w:val="20"/>
              </w:rPr>
              <w:t>4.5-8.1 DW (roots)</w:t>
            </w:r>
          </w:p>
          <w:p w14:paraId="59DCC26B" w14:textId="77777777" w:rsidR="001E1968" w:rsidRPr="00D93FF9" w:rsidRDefault="00E811B8" w:rsidP="00A10781">
            <w:pPr>
              <w:pStyle w:val="Default"/>
              <w:spacing w:before="0" w:after="0"/>
              <w:rPr>
                <w:rFonts w:asciiTheme="minorHAnsi" w:hAnsiTheme="minorHAnsi"/>
                <w:sz w:val="20"/>
                <w:szCs w:val="20"/>
              </w:rPr>
            </w:pPr>
            <w:r w:rsidRPr="00D93FF9">
              <w:rPr>
                <w:rFonts w:asciiTheme="minorHAnsi" w:hAnsiTheme="minorHAnsi"/>
                <w:sz w:val="20"/>
                <w:szCs w:val="20"/>
              </w:rPr>
              <w:t>0.29-0.55 DW (shoots)</w:t>
            </w:r>
          </w:p>
          <w:p w14:paraId="59DCC26C" w14:textId="37AAF0E6" w:rsidR="001E1968" w:rsidRPr="00D93FF9" w:rsidRDefault="00E811B8" w:rsidP="00A10781">
            <w:pPr>
              <w:pStyle w:val="Default"/>
              <w:spacing w:before="0" w:after="0"/>
              <w:rPr>
                <w:rFonts w:asciiTheme="minorHAnsi" w:hAnsiTheme="minorHAnsi"/>
                <w:sz w:val="20"/>
                <w:szCs w:val="20"/>
              </w:rPr>
            </w:pPr>
            <w:r w:rsidRPr="00D93FF9">
              <w:rPr>
                <w:rFonts w:asciiTheme="minorHAnsi" w:hAnsiTheme="minorHAnsi"/>
                <w:sz w:val="20"/>
                <w:szCs w:val="20"/>
              </w:rPr>
              <w:t>Bioaccumulation: roots&gt;shoots&gt;stems</w:t>
            </w:r>
          </w:p>
        </w:tc>
        <w:tc>
          <w:tcPr>
            <w:tcW w:w="2243" w:type="dxa"/>
          </w:tcPr>
          <w:p w14:paraId="59DCC26D" w14:textId="3DF1397A" w:rsidR="00DD2B40" w:rsidRPr="00D93FF9" w:rsidRDefault="00E811B8" w:rsidP="00A10781">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t>Corbel et al</w:t>
            </w:r>
            <w:r w:rsidR="001E1968" w:rsidRPr="00D93FF9">
              <w:rPr>
                <w:rStyle w:val="A4"/>
                <w:rFonts w:asciiTheme="minorHAnsi" w:hAnsiTheme="minorHAnsi"/>
                <w:sz w:val="20"/>
                <w:szCs w:val="20"/>
              </w:rPr>
              <w:t xml:space="preserve">. </w:t>
            </w:r>
            <w:r w:rsidR="006A4A27" w:rsidRPr="00D93FF9">
              <w:rPr>
                <w:rStyle w:val="A4"/>
                <w:rFonts w:asciiTheme="minorHAnsi" w:hAnsiTheme="minorHAnsi"/>
                <w:sz w:val="20"/>
                <w:szCs w:val="20"/>
              </w:rPr>
              <w:t>(</w:t>
            </w:r>
            <w:r w:rsidR="001E1968" w:rsidRPr="00D93FF9">
              <w:rPr>
                <w:rStyle w:val="A4"/>
                <w:rFonts w:asciiTheme="minorHAnsi" w:hAnsiTheme="minorHAnsi"/>
                <w:sz w:val="20"/>
                <w:szCs w:val="20"/>
              </w:rPr>
              <w:t>2016</w:t>
            </w:r>
            <w:r w:rsidR="006A4A27" w:rsidRPr="00D93FF9">
              <w:rPr>
                <w:rStyle w:val="A4"/>
                <w:rFonts w:asciiTheme="minorHAnsi" w:hAnsiTheme="minorHAnsi"/>
                <w:sz w:val="20"/>
                <w:szCs w:val="20"/>
              </w:rPr>
              <w:t>)</w:t>
            </w:r>
          </w:p>
        </w:tc>
      </w:tr>
      <w:tr w:rsidR="00BE3AA8" w:rsidRPr="00D93FF9" w14:paraId="59DCC272" w14:textId="77777777" w:rsidTr="001E1968">
        <w:trPr>
          <w:trHeight w:val="349"/>
        </w:trPr>
        <w:tc>
          <w:tcPr>
            <w:tcW w:w="3252" w:type="dxa"/>
          </w:tcPr>
          <w:p w14:paraId="59DCC26F" w14:textId="77777777" w:rsidR="00DD2B40" w:rsidRPr="00D93FF9" w:rsidRDefault="00E811B8" w:rsidP="00A10781">
            <w:pPr>
              <w:pStyle w:val="Pa5"/>
              <w:spacing w:before="0" w:after="0"/>
              <w:jc w:val="both"/>
              <w:rPr>
                <w:rStyle w:val="A4"/>
                <w:rFonts w:asciiTheme="minorHAnsi" w:hAnsiTheme="minorHAnsi"/>
                <w:b/>
                <w:bCs/>
                <w:sz w:val="20"/>
                <w:szCs w:val="20"/>
              </w:rPr>
            </w:pPr>
            <w:r w:rsidRPr="00D93FF9">
              <w:rPr>
                <w:rStyle w:val="A4"/>
                <w:rFonts w:asciiTheme="minorHAnsi" w:hAnsiTheme="minorHAnsi"/>
                <w:b/>
                <w:bCs/>
                <w:sz w:val="20"/>
                <w:szCs w:val="20"/>
              </w:rPr>
              <w:t>Rice</w:t>
            </w:r>
          </w:p>
        </w:tc>
        <w:tc>
          <w:tcPr>
            <w:tcW w:w="3642" w:type="dxa"/>
          </w:tcPr>
          <w:p w14:paraId="59DCC270" w14:textId="77777777" w:rsidR="00DD2B40" w:rsidRPr="00D93FF9" w:rsidRDefault="00DD2B40" w:rsidP="00A10781">
            <w:pPr>
              <w:pStyle w:val="Pa5"/>
              <w:spacing w:before="0" w:after="0"/>
              <w:jc w:val="both"/>
              <w:rPr>
                <w:rStyle w:val="A4"/>
                <w:rFonts w:asciiTheme="minorHAnsi" w:hAnsiTheme="minorHAnsi"/>
                <w:b/>
                <w:bCs/>
                <w:sz w:val="20"/>
                <w:szCs w:val="20"/>
              </w:rPr>
            </w:pPr>
          </w:p>
        </w:tc>
        <w:tc>
          <w:tcPr>
            <w:tcW w:w="2243" w:type="dxa"/>
          </w:tcPr>
          <w:p w14:paraId="59DCC271" w14:textId="77777777" w:rsidR="00DD2B40" w:rsidRPr="00D93FF9" w:rsidRDefault="00DD2B40" w:rsidP="00A10781">
            <w:pPr>
              <w:pStyle w:val="Pa5"/>
              <w:spacing w:before="0" w:after="0"/>
              <w:jc w:val="both"/>
              <w:rPr>
                <w:rStyle w:val="A4"/>
                <w:rFonts w:asciiTheme="minorHAnsi" w:hAnsiTheme="minorHAnsi"/>
                <w:b/>
                <w:bCs/>
                <w:sz w:val="20"/>
                <w:szCs w:val="20"/>
              </w:rPr>
            </w:pPr>
          </w:p>
        </w:tc>
      </w:tr>
      <w:tr w:rsidR="00BE3AA8" w:rsidRPr="00D93FF9" w14:paraId="59DCC279" w14:textId="77777777" w:rsidTr="001E1968">
        <w:trPr>
          <w:trHeight w:val="349"/>
        </w:trPr>
        <w:tc>
          <w:tcPr>
            <w:tcW w:w="3252" w:type="dxa"/>
          </w:tcPr>
          <w:p w14:paraId="59DCC273" w14:textId="77777777" w:rsidR="00A10781" w:rsidRPr="00D93FF9" w:rsidRDefault="00E811B8" w:rsidP="00A10781">
            <w:pPr>
              <w:pStyle w:val="Pa9"/>
              <w:spacing w:before="0" w:after="0"/>
              <w:jc w:val="both"/>
              <w:rPr>
                <w:rFonts w:asciiTheme="minorHAnsi" w:hAnsiTheme="minorHAnsi"/>
                <w:color w:val="000000"/>
                <w:sz w:val="20"/>
                <w:szCs w:val="20"/>
              </w:rPr>
            </w:pPr>
            <w:r w:rsidRPr="00D93FF9">
              <w:rPr>
                <w:rFonts w:asciiTheme="minorHAnsi" w:hAnsiTheme="minorHAnsi"/>
                <w:color w:val="000000"/>
                <w:sz w:val="20"/>
                <w:szCs w:val="20"/>
              </w:rPr>
              <w:t xml:space="preserve">MC-LR 24, 120, 600, 3000 μg/L </w:t>
            </w:r>
          </w:p>
          <w:p w14:paraId="59DCC274" w14:textId="77777777" w:rsidR="00DD2B40" w:rsidRPr="00D93FF9" w:rsidRDefault="00DD2B40" w:rsidP="00A10781">
            <w:pPr>
              <w:pStyle w:val="Pa5"/>
              <w:spacing w:before="0" w:after="0"/>
              <w:jc w:val="both"/>
              <w:rPr>
                <w:rStyle w:val="A4"/>
                <w:rFonts w:asciiTheme="minorHAnsi" w:hAnsiTheme="minorHAnsi"/>
                <w:sz w:val="20"/>
                <w:szCs w:val="20"/>
              </w:rPr>
            </w:pPr>
          </w:p>
        </w:tc>
        <w:tc>
          <w:tcPr>
            <w:tcW w:w="3642" w:type="dxa"/>
          </w:tcPr>
          <w:p w14:paraId="59DCC275" w14:textId="77777777" w:rsidR="00A10781" w:rsidRPr="00D93FF9" w:rsidRDefault="00E811B8" w:rsidP="00A10781">
            <w:pPr>
              <w:pStyle w:val="Pa9"/>
              <w:spacing w:before="0" w:after="0"/>
              <w:jc w:val="both"/>
              <w:rPr>
                <w:rFonts w:asciiTheme="minorHAnsi" w:hAnsiTheme="minorHAnsi"/>
                <w:color w:val="000000"/>
                <w:sz w:val="20"/>
                <w:szCs w:val="20"/>
              </w:rPr>
            </w:pPr>
            <w:r w:rsidRPr="00D93FF9">
              <w:rPr>
                <w:rFonts w:asciiTheme="minorHAnsi" w:hAnsiTheme="minorHAnsi"/>
                <w:color w:val="000000"/>
                <w:sz w:val="20"/>
                <w:szCs w:val="20"/>
              </w:rPr>
              <w:t xml:space="preserve">MC-LR (lowest dose) not detected </w:t>
            </w:r>
          </w:p>
          <w:p w14:paraId="59DCC276" w14:textId="77777777" w:rsidR="00DD2B40" w:rsidRPr="00D93FF9" w:rsidRDefault="00E811B8" w:rsidP="00A10781">
            <w:pPr>
              <w:pStyle w:val="Pa5"/>
              <w:spacing w:before="0" w:after="0"/>
              <w:jc w:val="both"/>
              <w:rPr>
                <w:rStyle w:val="A4"/>
                <w:rFonts w:asciiTheme="minorHAnsi" w:hAnsiTheme="minorHAnsi"/>
                <w:sz w:val="20"/>
                <w:szCs w:val="20"/>
              </w:rPr>
            </w:pPr>
            <w:r w:rsidRPr="00D93FF9">
              <w:rPr>
                <w:rFonts w:asciiTheme="minorHAnsi" w:hAnsiTheme="minorHAnsi"/>
                <w:color w:val="000000"/>
                <w:sz w:val="20"/>
                <w:szCs w:val="20"/>
              </w:rPr>
              <w:t xml:space="preserve">(highest dose) 29.4 – 54 μg/kg FW </w:t>
            </w:r>
          </w:p>
        </w:tc>
        <w:tc>
          <w:tcPr>
            <w:tcW w:w="2243" w:type="dxa"/>
          </w:tcPr>
          <w:p w14:paraId="59DCC277" w14:textId="3A522790" w:rsidR="00A10781" w:rsidRPr="00D93FF9" w:rsidRDefault="00E811B8" w:rsidP="00A10781">
            <w:pPr>
              <w:pStyle w:val="Pa9"/>
              <w:spacing w:before="0" w:after="0"/>
              <w:jc w:val="both"/>
              <w:rPr>
                <w:rFonts w:asciiTheme="minorHAnsi" w:hAnsiTheme="minorHAnsi"/>
                <w:color w:val="000000"/>
                <w:sz w:val="20"/>
                <w:szCs w:val="20"/>
              </w:rPr>
            </w:pPr>
            <w:r w:rsidRPr="00D93FF9">
              <w:rPr>
                <w:rFonts w:asciiTheme="minorHAnsi" w:hAnsiTheme="minorHAnsi"/>
                <w:color w:val="000000"/>
                <w:sz w:val="20"/>
                <w:szCs w:val="20"/>
              </w:rPr>
              <w:t xml:space="preserve">Chen et al. </w:t>
            </w:r>
            <w:r w:rsidR="006A4A27" w:rsidRPr="00D93FF9">
              <w:rPr>
                <w:rFonts w:asciiTheme="minorHAnsi" w:hAnsiTheme="minorHAnsi"/>
                <w:color w:val="000000"/>
                <w:sz w:val="20"/>
                <w:szCs w:val="20"/>
              </w:rPr>
              <w:t>(</w:t>
            </w:r>
            <w:r w:rsidRPr="00D93FF9">
              <w:rPr>
                <w:rFonts w:asciiTheme="minorHAnsi" w:hAnsiTheme="minorHAnsi"/>
                <w:color w:val="000000"/>
                <w:sz w:val="20"/>
                <w:szCs w:val="20"/>
              </w:rPr>
              <w:t>2004</w:t>
            </w:r>
            <w:r w:rsidR="006A4A27" w:rsidRPr="00D93FF9">
              <w:rPr>
                <w:rFonts w:asciiTheme="minorHAnsi" w:hAnsiTheme="minorHAnsi"/>
                <w:color w:val="000000"/>
                <w:sz w:val="20"/>
                <w:szCs w:val="20"/>
              </w:rPr>
              <w:t>)</w:t>
            </w:r>
            <w:r w:rsidRPr="00D93FF9">
              <w:rPr>
                <w:rFonts w:asciiTheme="minorHAnsi" w:hAnsiTheme="minorHAnsi"/>
                <w:color w:val="000000"/>
                <w:sz w:val="20"/>
                <w:szCs w:val="20"/>
              </w:rPr>
              <w:t xml:space="preserve"> </w:t>
            </w:r>
          </w:p>
          <w:p w14:paraId="59DCC278" w14:textId="77777777" w:rsidR="00DD2B40" w:rsidRPr="00D93FF9" w:rsidRDefault="00DD2B40" w:rsidP="00A10781">
            <w:pPr>
              <w:pStyle w:val="Pa5"/>
              <w:spacing w:before="0" w:after="0"/>
              <w:jc w:val="both"/>
              <w:rPr>
                <w:rStyle w:val="A4"/>
                <w:rFonts w:asciiTheme="minorHAnsi" w:hAnsiTheme="minorHAnsi"/>
                <w:sz w:val="20"/>
                <w:szCs w:val="20"/>
              </w:rPr>
            </w:pPr>
          </w:p>
        </w:tc>
      </w:tr>
    </w:tbl>
    <w:p w14:paraId="59DCC27A" w14:textId="22E4685F" w:rsidR="006E44BF" w:rsidRPr="00D93FF9" w:rsidRDefault="00E811B8" w:rsidP="003807A1">
      <w:pPr>
        <w:pStyle w:val="BodyText"/>
        <w:spacing w:after="0" w:line="266" w:lineRule="auto"/>
        <w:jc w:val="both"/>
        <w:rPr>
          <w:sz w:val="18"/>
          <w:szCs w:val="18"/>
          <w:lang w:val="en-GB"/>
        </w:rPr>
      </w:pPr>
      <w:r w:rsidRPr="00D93FF9">
        <w:rPr>
          <w:sz w:val="18"/>
          <w:szCs w:val="18"/>
          <w:lang w:val="en-GB"/>
        </w:rPr>
        <w:t xml:space="preserve">Adapted from Miller </w:t>
      </w:r>
      <w:r w:rsidR="00FA6E9E" w:rsidRPr="00D93FF9">
        <w:rPr>
          <w:sz w:val="18"/>
          <w:szCs w:val="18"/>
          <w:lang w:val="en-GB"/>
        </w:rPr>
        <w:t>and</w:t>
      </w:r>
      <w:r w:rsidRPr="00D93FF9">
        <w:rPr>
          <w:sz w:val="18"/>
          <w:szCs w:val="18"/>
          <w:lang w:val="en-GB"/>
        </w:rPr>
        <w:t xml:space="preserve"> Russell, 2017</w:t>
      </w:r>
    </w:p>
    <w:p w14:paraId="59DCC27B" w14:textId="4ADC7EDB" w:rsidR="00C46175" w:rsidRPr="00D93FF9" w:rsidRDefault="00C46175" w:rsidP="003807A1">
      <w:pPr>
        <w:pStyle w:val="BodyText"/>
        <w:spacing w:after="0" w:line="266" w:lineRule="auto"/>
        <w:jc w:val="both"/>
        <w:rPr>
          <w:lang w:val="en-GB"/>
        </w:rPr>
      </w:pPr>
    </w:p>
    <w:p w14:paraId="07FB7A05" w14:textId="6C532A0A" w:rsidR="0035620D" w:rsidRPr="00D93FF9" w:rsidRDefault="008B501F" w:rsidP="008B501F">
      <w:pPr>
        <w:pStyle w:val="Caption"/>
        <w:rPr>
          <w:lang w:val="en-GB"/>
        </w:rPr>
      </w:pPr>
      <w:bookmarkStart w:id="22" w:name="_Ref86932819"/>
      <w:bookmarkStart w:id="23" w:name="_Toc96518217"/>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3</w:t>
      </w:r>
      <w:r w:rsidR="00477102" w:rsidRPr="00D93FF9">
        <w:fldChar w:fldCharType="end"/>
      </w:r>
      <w:bookmarkEnd w:id="22"/>
      <w:r w:rsidRPr="00D93FF9">
        <w:t xml:space="preserve"> Accumulation of cylindrospermopsins (CYN) in vegetables and herbs when </w:t>
      </w:r>
      <w:r w:rsidR="000C22E4" w:rsidRPr="00D93FF9">
        <w:t xml:space="preserve">experimentally </w:t>
      </w:r>
      <w:r w:rsidRPr="00D93FF9">
        <w:t>grown in or irrigated with CYN contaminated water.</w:t>
      </w:r>
      <w:bookmarkEnd w:id="23"/>
    </w:p>
    <w:tbl>
      <w:tblPr>
        <w:tblStyle w:val="TableGrid"/>
        <w:tblW w:w="9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ccumulation of cylindrospermopsins in vegetables and herbs when experimentally grown in or irrigated with cylindrospermopsin contaminated water."/>
        <w:tblDescription w:val="Shows available data for cylindrospermopsins accumulation in a range of food crops including spinach, lettuce, rocket, brassica species, coriander, parsley, tomato, and cucumber. The concentration range is shown in one column and the accumulation concentrations in tissues for each plant are shown in the second column, with the source of the data listed in the third column."/>
      </w:tblPr>
      <w:tblGrid>
        <w:gridCol w:w="2268"/>
        <w:gridCol w:w="4626"/>
        <w:gridCol w:w="2243"/>
      </w:tblGrid>
      <w:tr w:rsidR="0035620D" w:rsidRPr="00D93FF9" w14:paraId="5A99A2EE" w14:textId="77777777" w:rsidTr="0035620D">
        <w:trPr>
          <w:trHeight w:val="582"/>
        </w:trPr>
        <w:tc>
          <w:tcPr>
            <w:tcW w:w="2268" w:type="dxa"/>
          </w:tcPr>
          <w:p w14:paraId="290829EA" w14:textId="3A963005" w:rsidR="0035620D" w:rsidRPr="00D93FF9" w:rsidRDefault="0035620D" w:rsidP="005572C7">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Concentration range for toxins (µg/L)</w:t>
            </w:r>
          </w:p>
        </w:tc>
        <w:tc>
          <w:tcPr>
            <w:tcW w:w="4626" w:type="dxa"/>
          </w:tcPr>
          <w:p w14:paraId="393CAC68" w14:textId="63F34D08" w:rsidR="0035620D" w:rsidRPr="00D93FF9" w:rsidRDefault="0035620D" w:rsidP="005572C7">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Accumulation in tissues</w:t>
            </w:r>
          </w:p>
          <w:p w14:paraId="67AEE6AC" w14:textId="7428C74B" w:rsidR="0035620D" w:rsidRPr="00D93FF9" w:rsidRDefault="0035620D" w:rsidP="005572C7">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(range, µg/kg)</w:t>
            </w:r>
            <w:r w:rsidR="00422D8F" w:rsidRPr="00D93FF9">
              <w:rPr>
                <w:rFonts w:asciiTheme="minorHAnsi" w:hAnsiTheme="minorHAnsi"/>
                <w:b/>
                <w:bCs/>
                <w:sz w:val="20"/>
                <w:lang w:val="en-GB"/>
              </w:rPr>
              <w:t xml:space="preserve"> and comments</w:t>
            </w:r>
          </w:p>
        </w:tc>
        <w:tc>
          <w:tcPr>
            <w:tcW w:w="2243" w:type="dxa"/>
          </w:tcPr>
          <w:p w14:paraId="3BD44CF8" w14:textId="77777777" w:rsidR="0035620D" w:rsidRPr="00D93FF9" w:rsidRDefault="0035620D" w:rsidP="005572C7">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Source</w:t>
            </w:r>
          </w:p>
        </w:tc>
      </w:tr>
      <w:tr w:rsidR="0035620D" w:rsidRPr="00D93FF9" w14:paraId="4D9AB094" w14:textId="77777777" w:rsidTr="0035620D">
        <w:trPr>
          <w:trHeight w:val="305"/>
        </w:trPr>
        <w:tc>
          <w:tcPr>
            <w:tcW w:w="2268" w:type="dxa"/>
          </w:tcPr>
          <w:p w14:paraId="530C6052" w14:textId="1CF1F7CB" w:rsidR="0035620D" w:rsidRPr="00D93FF9" w:rsidRDefault="0035620D" w:rsidP="005572C7">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Spinach</w:t>
            </w:r>
            <w:r w:rsidR="00554D86" w:rsidRPr="00D93FF9">
              <w:rPr>
                <w:rFonts w:asciiTheme="minorHAnsi" w:hAnsiTheme="minorHAnsi"/>
                <w:b/>
                <w:bCs/>
                <w:sz w:val="20"/>
                <w:lang w:val="en-GB"/>
              </w:rPr>
              <w:t>, Lettuce</w:t>
            </w:r>
          </w:p>
        </w:tc>
        <w:tc>
          <w:tcPr>
            <w:tcW w:w="4626" w:type="dxa"/>
          </w:tcPr>
          <w:p w14:paraId="1CD81E28" w14:textId="77777777" w:rsidR="0035620D" w:rsidRPr="00D93FF9" w:rsidRDefault="0035620D" w:rsidP="005572C7">
            <w:pPr>
              <w:pStyle w:val="BodyText"/>
              <w:spacing w:before="0" w:after="0" w:line="266" w:lineRule="auto"/>
              <w:jc w:val="both"/>
              <w:rPr>
                <w:rFonts w:asciiTheme="minorHAnsi" w:hAnsiTheme="minorHAnsi"/>
                <w:b/>
                <w:bCs/>
                <w:sz w:val="20"/>
                <w:lang w:val="en-GB"/>
              </w:rPr>
            </w:pPr>
          </w:p>
        </w:tc>
        <w:tc>
          <w:tcPr>
            <w:tcW w:w="2243" w:type="dxa"/>
          </w:tcPr>
          <w:p w14:paraId="2A099B61" w14:textId="77777777" w:rsidR="0035620D" w:rsidRPr="00D93FF9" w:rsidRDefault="0035620D" w:rsidP="005572C7">
            <w:pPr>
              <w:pStyle w:val="BodyText"/>
              <w:spacing w:before="0" w:after="0" w:line="266" w:lineRule="auto"/>
              <w:jc w:val="both"/>
              <w:rPr>
                <w:rFonts w:asciiTheme="minorHAnsi" w:hAnsiTheme="minorHAnsi"/>
                <w:b/>
                <w:bCs/>
                <w:sz w:val="20"/>
                <w:lang w:val="en-GB"/>
              </w:rPr>
            </w:pPr>
          </w:p>
        </w:tc>
      </w:tr>
      <w:tr w:rsidR="0035620D" w:rsidRPr="00D93FF9" w14:paraId="7FFC5CEA" w14:textId="77777777" w:rsidTr="0035620D">
        <w:trPr>
          <w:trHeight w:val="1077"/>
        </w:trPr>
        <w:tc>
          <w:tcPr>
            <w:tcW w:w="2268" w:type="dxa"/>
          </w:tcPr>
          <w:p w14:paraId="29D811F0" w14:textId="6F3FBD2B" w:rsidR="0035620D" w:rsidRPr="00D93FF9" w:rsidRDefault="0035620D" w:rsidP="005572C7">
            <w:pPr>
              <w:pStyle w:val="BodyText"/>
              <w:spacing w:before="0" w:after="0" w:line="266" w:lineRule="auto"/>
              <w:rPr>
                <w:rFonts w:asciiTheme="minorHAnsi" w:hAnsiTheme="minorHAnsi"/>
                <w:sz w:val="20"/>
                <w:lang w:val="en-GB"/>
              </w:rPr>
            </w:pPr>
            <w:r w:rsidRPr="00D93FF9">
              <w:rPr>
                <w:rFonts w:asciiTheme="minorHAnsi" w:hAnsiTheme="minorHAnsi"/>
                <w:sz w:val="20"/>
                <w:lang w:val="en-GB"/>
              </w:rPr>
              <w:t>10 and 50</w:t>
            </w:r>
          </w:p>
        </w:tc>
        <w:tc>
          <w:tcPr>
            <w:tcW w:w="4626" w:type="dxa"/>
          </w:tcPr>
          <w:p w14:paraId="2C8A9D47" w14:textId="77777777" w:rsidR="0035620D" w:rsidRPr="00D93FF9" w:rsidRDefault="00554D86" w:rsidP="005572C7">
            <w:pPr>
              <w:pStyle w:val="BodyText"/>
              <w:spacing w:before="0" w:after="0" w:line="266" w:lineRule="auto"/>
              <w:jc w:val="both"/>
              <w:rPr>
                <w:rFonts w:asciiTheme="minorHAnsi" w:hAnsiTheme="minorHAnsi"/>
                <w:sz w:val="20"/>
                <w:lang w:val="en-GB"/>
              </w:rPr>
            </w:pPr>
            <w:r w:rsidRPr="00D93FF9">
              <w:rPr>
                <w:rFonts w:asciiTheme="minorHAnsi" w:hAnsiTheme="minorHAnsi"/>
                <w:sz w:val="20"/>
                <w:lang w:val="en-GB"/>
              </w:rPr>
              <w:t>up to 41.9µg/kg FW (CYN) in lettuce leaves</w:t>
            </w:r>
          </w:p>
          <w:p w14:paraId="0EFADCDD" w14:textId="58CBD961" w:rsidR="00554D86" w:rsidRPr="00D93FF9" w:rsidRDefault="00554D86" w:rsidP="005572C7">
            <w:pPr>
              <w:pStyle w:val="BodyText"/>
              <w:spacing w:before="0" w:after="0" w:line="266" w:lineRule="auto"/>
              <w:jc w:val="both"/>
              <w:rPr>
                <w:rFonts w:asciiTheme="minorHAnsi" w:hAnsiTheme="minorHAnsi"/>
                <w:sz w:val="20"/>
                <w:lang w:val="en-GB"/>
              </w:rPr>
            </w:pPr>
            <w:r w:rsidRPr="00D93FF9">
              <w:rPr>
                <w:rFonts w:asciiTheme="minorHAnsi" w:hAnsiTheme="minorHAnsi"/>
                <w:sz w:val="20"/>
                <w:lang w:val="en-GB"/>
              </w:rPr>
              <w:t>up to 24µg/kg FW (CYN) in spinach roots</w:t>
            </w:r>
          </w:p>
          <w:p w14:paraId="1F5F43D8" w14:textId="20AC1B03" w:rsidR="00554D86" w:rsidRPr="00D93FF9" w:rsidRDefault="00554D86" w:rsidP="005572C7">
            <w:pPr>
              <w:pStyle w:val="BodyText"/>
              <w:spacing w:before="0" w:after="0" w:line="266" w:lineRule="auto"/>
              <w:jc w:val="both"/>
              <w:rPr>
                <w:rFonts w:asciiTheme="minorHAnsi" w:hAnsiTheme="minorHAnsi"/>
                <w:sz w:val="20"/>
                <w:lang w:val="en-GB"/>
              </w:rPr>
            </w:pPr>
            <w:r w:rsidRPr="00D93FF9">
              <w:rPr>
                <w:rFonts w:asciiTheme="minorHAnsi" w:hAnsiTheme="minorHAnsi"/>
                <w:sz w:val="20"/>
                <w:lang w:val="en-GB"/>
              </w:rPr>
              <w:t>up to 120µg/kg FW (CYN) in spinach leaves</w:t>
            </w:r>
          </w:p>
          <w:p w14:paraId="5A430962" w14:textId="3FC5A007" w:rsidR="00554D86" w:rsidRPr="00D93FF9" w:rsidRDefault="00554D86" w:rsidP="005572C7">
            <w:pPr>
              <w:pStyle w:val="BodyText"/>
              <w:spacing w:before="0" w:after="0" w:line="266" w:lineRule="auto"/>
              <w:jc w:val="both"/>
              <w:rPr>
                <w:rFonts w:asciiTheme="minorHAnsi" w:hAnsiTheme="minorHAnsi"/>
                <w:sz w:val="20"/>
                <w:lang w:val="en-GB"/>
              </w:rPr>
            </w:pPr>
            <w:r w:rsidRPr="00D93FF9">
              <w:rPr>
                <w:rFonts w:asciiTheme="minorHAnsi" w:hAnsiTheme="minorHAnsi"/>
                <w:sz w:val="20"/>
                <w:lang w:val="en-GB"/>
              </w:rPr>
              <w:t>growth inhibition of leaves at 50µg/L of either treatment</w:t>
            </w:r>
          </w:p>
          <w:p w14:paraId="1B990376" w14:textId="64932350" w:rsidR="00554D86" w:rsidRPr="00D93FF9" w:rsidRDefault="00554D86" w:rsidP="005572C7">
            <w:pPr>
              <w:pStyle w:val="BodyText"/>
              <w:spacing w:before="0" w:after="0" w:line="266" w:lineRule="auto"/>
              <w:jc w:val="both"/>
              <w:rPr>
                <w:rFonts w:asciiTheme="minorHAnsi" w:hAnsiTheme="minorHAnsi"/>
                <w:sz w:val="20"/>
                <w:lang w:val="en-GB"/>
              </w:rPr>
            </w:pPr>
            <w:r w:rsidRPr="00D93FF9">
              <w:rPr>
                <w:rFonts w:asciiTheme="minorHAnsi" w:hAnsiTheme="minorHAnsi"/>
                <w:sz w:val="20"/>
                <w:lang w:val="en-GB"/>
              </w:rPr>
              <w:t>up to 24µg/kg FW (CYN) in spinach roots</w:t>
            </w:r>
          </w:p>
          <w:p w14:paraId="7BBEA460" w14:textId="185DEA4E" w:rsidR="00554D86" w:rsidRPr="00D93FF9" w:rsidRDefault="00554D86" w:rsidP="005572C7">
            <w:pPr>
              <w:pStyle w:val="BodyText"/>
              <w:spacing w:before="0" w:after="0" w:line="266" w:lineRule="auto"/>
              <w:jc w:val="both"/>
              <w:rPr>
                <w:rFonts w:asciiTheme="minorHAnsi" w:hAnsiTheme="minorHAnsi"/>
                <w:sz w:val="20"/>
                <w:lang w:val="en-GB"/>
              </w:rPr>
            </w:pPr>
            <w:r w:rsidRPr="00D93FF9">
              <w:rPr>
                <w:rFonts w:asciiTheme="minorHAnsi" w:hAnsiTheme="minorHAnsi"/>
                <w:sz w:val="20"/>
                <w:lang w:val="en-GB"/>
              </w:rPr>
              <w:t>CYN translocated from roots to leaves</w:t>
            </w:r>
          </w:p>
          <w:p w14:paraId="555B7295" w14:textId="26D87D13" w:rsidR="00554D86" w:rsidRPr="00D93FF9" w:rsidRDefault="00554D86" w:rsidP="005572C7">
            <w:pPr>
              <w:pStyle w:val="BodyText"/>
              <w:spacing w:before="0" w:after="0" w:line="266" w:lineRule="auto"/>
              <w:jc w:val="both"/>
              <w:rPr>
                <w:rFonts w:asciiTheme="minorHAnsi" w:hAnsiTheme="minorHAnsi"/>
                <w:sz w:val="20"/>
                <w:lang w:val="en-GB"/>
              </w:rPr>
            </w:pPr>
          </w:p>
        </w:tc>
        <w:tc>
          <w:tcPr>
            <w:tcW w:w="2243" w:type="dxa"/>
          </w:tcPr>
          <w:p w14:paraId="49132EEF" w14:textId="2BBB6632" w:rsidR="0035620D" w:rsidRPr="00D93FF9" w:rsidRDefault="00590266" w:rsidP="005572C7">
            <w:pPr>
              <w:pStyle w:val="BodyText"/>
              <w:spacing w:before="0" w:after="0" w:line="266" w:lineRule="auto"/>
              <w:jc w:val="both"/>
              <w:rPr>
                <w:rFonts w:asciiTheme="minorHAnsi" w:hAnsiTheme="minorHAnsi"/>
                <w:sz w:val="20"/>
                <w:lang w:val="en-GB"/>
              </w:rPr>
            </w:pPr>
            <w:r w:rsidRPr="00D93FF9">
              <w:rPr>
                <w:rFonts w:asciiTheme="minorHAnsi" w:hAnsiTheme="minorHAnsi"/>
                <w:sz w:val="20"/>
                <w:lang w:val="en-GB"/>
              </w:rPr>
              <w:t>Llana-Ruiz-</w:t>
            </w:r>
            <w:r w:rsidR="00554D86" w:rsidRPr="00D93FF9">
              <w:rPr>
                <w:rFonts w:asciiTheme="minorHAnsi" w:hAnsiTheme="minorHAnsi"/>
                <w:sz w:val="20"/>
                <w:lang w:val="en-GB"/>
              </w:rPr>
              <w:t xml:space="preserve">Cabello et al. </w:t>
            </w:r>
            <w:r w:rsidR="006A4A27" w:rsidRPr="00D93FF9">
              <w:rPr>
                <w:rFonts w:asciiTheme="minorHAnsi" w:hAnsiTheme="minorHAnsi"/>
                <w:sz w:val="20"/>
                <w:lang w:val="en-GB"/>
              </w:rPr>
              <w:t>(</w:t>
            </w:r>
            <w:r w:rsidR="00554D86" w:rsidRPr="00D93FF9">
              <w:rPr>
                <w:rFonts w:asciiTheme="minorHAnsi" w:hAnsiTheme="minorHAnsi"/>
                <w:sz w:val="20"/>
                <w:lang w:val="en-GB"/>
              </w:rPr>
              <w:t>2019</w:t>
            </w:r>
            <w:r w:rsidR="006A4A27" w:rsidRPr="00D93FF9">
              <w:rPr>
                <w:rFonts w:asciiTheme="minorHAnsi" w:hAnsiTheme="minorHAnsi"/>
                <w:sz w:val="20"/>
                <w:lang w:val="en-GB"/>
              </w:rPr>
              <w:t>)</w:t>
            </w:r>
          </w:p>
        </w:tc>
      </w:tr>
      <w:tr w:rsidR="0035620D" w:rsidRPr="00D93FF9" w14:paraId="60471C96" w14:textId="77777777" w:rsidTr="0035620D">
        <w:trPr>
          <w:trHeight w:val="567"/>
        </w:trPr>
        <w:tc>
          <w:tcPr>
            <w:tcW w:w="2268" w:type="dxa"/>
          </w:tcPr>
          <w:p w14:paraId="0D6F45D2" w14:textId="19F4B658" w:rsidR="0035620D" w:rsidRPr="00D93FF9" w:rsidRDefault="00554D86" w:rsidP="005572C7">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Lettuce, rocket</w:t>
            </w:r>
          </w:p>
        </w:tc>
        <w:tc>
          <w:tcPr>
            <w:tcW w:w="4626" w:type="dxa"/>
          </w:tcPr>
          <w:p w14:paraId="37198F0A" w14:textId="77777777" w:rsidR="0035620D" w:rsidRPr="00D93FF9" w:rsidRDefault="0035620D" w:rsidP="005572C7">
            <w:pPr>
              <w:pStyle w:val="BodyText"/>
              <w:spacing w:before="0" w:after="0" w:line="266" w:lineRule="auto"/>
              <w:jc w:val="both"/>
              <w:rPr>
                <w:rFonts w:asciiTheme="minorHAnsi" w:hAnsiTheme="minorHAnsi"/>
                <w:sz w:val="20"/>
                <w:lang w:val="en-GB"/>
              </w:rPr>
            </w:pPr>
          </w:p>
        </w:tc>
        <w:tc>
          <w:tcPr>
            <w:tcW w:w="2243" w:type="dxa"/>
          </w:tcPr>
          <w:p w14:paraId="6A913910" w14:textId="4A7A2A7F" w:rsidR="0035620D" w:rsidRPr="00D93FF9" w:rsidRDefault="0035620D" w:rsidP="005572C7">
            <w:pPr>
              <w:pStyle w:val="Pa5"/>
              <w:spacing w:before="0" w:after="0"/>
              <w:jc w:val="both"/>
              <w:rPr>
                <w:rFonts w:asciiTheme="minorHAnsi" w:hAnsiTheme="minorHAnsi" w:cs="Roboto Light"/>
                <w:color w:val="000000"/>
                <w:sz w:val="20"/>
                <w:szCs w:val="20"/>
              </w:rPr>
            </w:pPr>
          </w:p>
        </w:tc>
      </w:tr>
      <w:tr w:rsidR="0035620D" w:rsidRPr="00D93FF9" w14:paraId="7F64D01E" w14:textId="77777777" w:rsidTr="0035620D">
        <w:trPr>
          <w:trHeight w:val="850"/>
        </w:trPr>
        <w:tc>
          <w:tcPr>
            <w:tcW w:w="2268" w:type="dxa"/>
          </w:tcPr>
          <w:p w14:paraId="345D66B8" w14:textId="382704E2" w:rsidR="0035620D" w:rsidRPr="00D93FF9" w:rsidRDefault="00554D86" w:rsidP="005572C7">
            <w:pPr>
              <w:pStyle w:val="BodyText"/>
              <w:spacing w:before="0" w:after="0" w:line="266" w:lineRule="auto"/>
              <w:jc w:val="both"/>
              <w:rPr>
                <w:rFonts w:asciiTheme="minorHAnsi" w:hAnsiTheme="minorHAnsi"/>
                <w:sz w:val="20"/>
                <w:lang w:val="en-GB"/>
              </w:rPr>
            </w:pPr>
            <w:r w:rsidRPr="00D93FF9">
              <w:rPr>
                <w:rFonts w:asciiTheme="minorHAnsi" w:hAnsiTheme="minorHAnsi"/>
                <w:sz w:val="20"/>
                <w:lang w:val="en-GB"/>
              </w:rPr>
              <w:t>3, 5, 10</w:t>
            </w:r>
          </w:p>
        </w:tc>
        <w:tc>
          <w:tcPr>
            <w:tcW w:w="4626" w:type="dxa"/>
          </w:tcPr>
          <w:p w14:paraId="46917ABD" w14:textId="115DE0EA" w:rsidR="00422D8F" w:rsidRPr="00D93FF9" w:rsidRDefault="00422D8F" w:rsidP="00422D8F">
            <w:pPr>
              <w:spacing w:after="0" w:line="240" w:lineRule="auto"/>
              <w:jc w:val="both"/>
              <w:rPr>
                <w:rFonts w:ascii="Calibri" w:hAnsi="Calibri" w:cs="Calibri"/>
                <w:color w:val="000000"/>
              </w:rPr>
            </w:pPr>
            <w:r w:rsidRPr="00D93FF9">
              <w:rPr>
                <w:rFonts w:ascii="Calibri" w:hAnsi="Calibri" w:cs="Calibri"/>
                <w:color w:val="000000"/>
                <w:sz w:val="22"/>
                <w:szCs w:val="22"/>
              </w:rPr>
              <w:t>Accumulation in both vegetables decreased with increasing concentration in water</w:t>
            </w:r>
          </w:p>
          <w:p w14:paraId="23F1A3B7" w14:textId="2313E151" w:rsidR="0035620D" w:rsidRPr="00D93FF9" w:rsidRDefault="00422D8F" w:rsidP="005572C7">
            <w:pPr>
              <w:pStyle w:val="BodyText"/>
              <w:spacing w:before="0" w:after="0" w:line="266" w:lineRule="auto"/>
              <w:jc w:val="both"/>
              <w:rPr>
                <w:rFonts w:asciiTheme="minorHAnsi" w:hAnsiTheme="minorHAnsi"/>
                <w:sz w:val="20"/>
                <w:lang w:val="en-GB"/>
              </w:rPr>
            </w:pPr>
            <w:r w:rsidRPr="00D93FF9">
              <w:rPr>
                <w:rFonts w:asciiTheme="minorHAnsi" w:hAnsiTheme="minorHAnsi"/>
                <w:sz w:val="20"/>
                <w:lang w:val="en-GB"/>
              </w:rPr>
              <w:t>Bioaccumulation factor increased with CYN concentration in water in rocket (not in lettuce)</w:t>
            </w:r>
          </w:p>
        </w:tc>
        <w:tc>
          <w:tcPr>
            <w:tcW w:w="2243" w:type="dxa"/>
          </w:tcPr>
          <w:p w14:paraId="2A7FAEE2" w14:textId="07B0F82C" w:rsidR="0035620D" w:rsidRPr="00D93FF9" w:rsidRDefault="00422D8F" w:rsidP="005572C7">
            <w:pPr>
              <w:pStyle w:val="BodyText"/>
              <w:spacing w:before="0" w:after="0" w:line="266" w:lineRule="auto"/>
              <w:jc w:val="both"/>
              <w:rPr>
                <w:rFonts w:asciiTheme="minorHAnsi" w:hAnsiTheme="minorHAnsi"/>
                <w:sz w:val="20"/>
                <w:lang w:val="en-GB"/>
              </w:rPr>
            </w:pPr>
            <w:r w:rsidRPr="00D93FF9">
              <w:rPr>
                <w:sz w:val="20"/>
                <w:lang w:val="en-GB"/>
              </w:rPr>
              <w:t>Cordeir</w:t>
            </w:r>
            <w:r w:rsidR="00512027" w:rsidRPr="00D93FF9">
              <w:rPr>
                <w:sz w:val="20"/>
                <w:lang w:val="en-GB"/>
              </w:rPr>
              <w:t>o</w:t>
            </w:r>
            <w:r w:rsidRPr="00D93FF9">
              <w:rPr>
                <w:sz w:val="20"/>
                <w:lang w:val="en-GB"/>
              </w:rPr>
              <w:t xml:space="preserve">-Araujo et al. </w:t>
            </w:r>
            <w:r w:rsidR="00214999" w:rsidRPr="00D93FF9">
              <w:rPr>
                <w:sz w:val="20"/>
                <w:lang w:val="en-GB"/>
              </w:rPr>
              <w:t>(</w:t>
            </w:r>
            <w:r w:rsidRPr="00D93FF9">
              <w:rPr>
                <w:sz w:val="20"/>
                <w:lang w:val="en-GB"/>
              </w:rPr>
              <w:t>2017</w:t>
            </w:r>
            <w:r w:rsidR="00214999" w:rsidRPr="00D93FF9">
              <w:rPr>
                <w:sz w:val="20"/>
                <w:lang w:val="en-GB"/>
              </w:rPr>
              <w:t>)</w:t>
            </w:r>
          </w:p>
        </w:tc>
      </w:tr>
      <w:tr w:rsidR="0035620D" w:rsidRPr="00D93FF9" w14:paraId="045D9469" w14:textId="77777777" w:rsidTr="0035620D">
        <w:trPr>
          <w:trHeight w:val="320"/>
        </w:trPr>
        <w:tc>
          <w:tcPr>
            <w:tcW w:w="2268" w:type="dxa"/>
          </w:tcPr>
          <w:p w14:paraId="591636B6" w14:textId="2118C252" w:rsidR="0035620D" w:rsidRPr="00D93FF9" w:rsidRDefault="00422D8F" w:rsidP="005572C7">
            <w:pPr>
              <w:pStyle w:val="BodyText"/>
              <w:spacing w:before="0" w:after="0" w:line="266" w:lineRule="auto"/>
              <w:jc w:val="both"/>
              <w:rPr>
                <w:rFonts w:asciiTheme="minorHAnsi" w:hAnsiTheme="minorHAnsi"/>
                <w:b/>
                <w:bCs/>
                <w:sz w:val="20"/>
                <w:lang w:val="en-GB"/>
              </w:rPr>
            </w:pPr>
            <w:r w:rsidRPr="00D93FF9">
              <w:rPr>
                <w:rFonts w:asciiTheme="minorHAnsi" w:hAnsiTheme="minorHAnsi"/>
                <w:b/>
                <w:bCs/>
                <w:sz w:val="20"/>
                <w:lang w:val="en-GB"/>
              </w:rPr>
              <w:t>Brassica species (kale, mustard species)</w:t>
            </w:r>
          </w:p>
        </w:tc>
        <w:tc>
          <w:tcPr>
            <w:tcW w:w="4626" w:type="dxa"/>
          </w:tcPr>
          <w:p w14:paraId="443DBBC9" w14:textId="77777777" w:rsidR="0035620D" w:rsidRPr="00D93FF9" w:rsidRDefault="0035620D" w:rsidP="005572C7">
            <w:pPr>
              <w:pStyle w:val="BodyText"/>
              <w:spacing w:before="0" w:after="0" w:line="266" w:lineRule="auto"/>
              <w:jc w:val="both"/>
              <w:rPr>
                <w:rFonts w:asciiTheme="minorHAnsi" w:hAnsiTheme="minorHAnsi"/>
                <w:b/>
                <w:bCs/>
                <w:sz w:val="20"/>
                <w:lang w:val="en-GB"/>
              </w:rPr>
            </w:pPr>
          </w:p>
        </w:tc>
        <w:tc>
          <w:tcPr>
            <w:tcW w:w="2243" w:type="dxa"/>
          </w:tcPr>
          <w:p w14:paraId="0F59D56E" w14:textId="77777777" w:rsidR="0035620D" w:rsidRPr="00D93FF9" w:rsidRDefault="0035620D" w:rsidP="005572C7">
            <w:pPr>
              <w:pStyle w:val="BodyText"/>
              <w:spacing w:before="0" w:after="0" w:line="266" w:lineRule="auto"/>
              <w:jc w:val="both"/>
              <w:rPr>
                <w:rFonts w:asciiTheme="minorHAnsi" w:hAnsiTheme="minorHAnsi"/>
                <w:b/>
                <w:bCs/>
                <w:sz w:val="20"/>
                <w:lang w:val="en-GB"/>
              </w:rPr>
            </w:pPr>
          </w:p>
        </w:tc>
      </w:tr>
      <w:tr w:rsidR="0035620D" w:rsidRPr="00D93FF9" w14:paraId="7B20E0B0" w14:textId="77777777" w:rsidTr="0035620D">
        <w:trPr>
          <w:trHeight w:val="340"/>
        </w:trPr>
        <w:tc>
          <w:tcPr>
            <w:tcW w:w="2268" w:type="dxa"/>
          </w:tcPr>
          <w:p w14:paraId="15134382" w14:textId="2A0461A5" w:rsidR="0035620D" w:rsidRPr="00D93FF9" w:rsidRDefault="00422D8F" w:rsidP="005572C7">
            <w:pPr>
              <w:pStyle w:val="Pa5"/>
              <w:spacing w:before="0" w:after="0"/>
              <w:jc w:val="both"/>
              <w:rPr>
                <w:rFonts w:asciiTheme="minorHAnsi" w:hAnsiTheme="minorHAnsi" w:cs="Roboto Light"/>
                <w:color w:val="000000"/>
                <w:sz w:val="20"/>
                <w:szCs w:val="20"/>
              </w:rPr>
            </w:pPr>
            <w:r w:rsidRPr="00D93FF9">
              <w:rPr>
                <w:rFonts w:asciiTheme="minorHAnsi" w:hAnsiTheme="minorHAnsi" w:cs="Roboto Light"/>
                <w:color w:val="000000"/>
                <w:sz w:val="20"/>
                <w:szCs w:val="20"/>
              </w:rPr>
              <w:t>30</w:t>
            </w:r>
          </w:p>
        </w:tc>
        <w:tc>
          <w:tcPr>
            <w:tcW w:w="4626" w:type="dxa"/>
          </w:tcPr>
          <w:p w14:paraId="46A32530" w14:textId="77777777" w:rsidR="0035620D" w:rsidRPr="00D93FF9" w:rsidRDefault="00422D8F" w:rsidP="005572C7">
            <w:pPr>
              <w:pStyle w:val="Pa5"/>
              <w:spacing w:before="0" w:after="0"/>
              <w:jc w:val="both"/>
              <w:rPr>
                <w:rFonts w:asciiTheme="minorHAnsi" w:hAnsiTheme="minorHAnsi" w:cs="Roboto Light"/>
                <w:color w:val="000000"/>
                <w:sz w:val="20"/>
                <w:szCs w:val="20"/>
              </w:rPr>
            </w:pPr>
            <w:r w:rsidRPr="00D93FF9">
              <w:rPr>
                <w:rFonts w:asciiTheme="minorHAnsi" w:hAnsiTheme="minorHAnsi" w:cs="Roboto Light"/>
                <w:color w:val="000000"/>
                <w:sz w:val="20"/>
                <w:szCs w:val="20"/>
              </w:rPr>
              <w:t>2.71µg/kg FW (kale)</w:t>
            </w:r>
          </w:p>
          <w:p w14:paraId="1F119105" w14:textId="04450320" w:rsidR="00422D8F" w:rsidRPr="00D93FF9" w:rsidRDefault="00422D8F" w:rsidP="00422D8F">
            <w:pPr>
              <w:pStyle w:val="Default"/>
              <w:rPr>
                <w:rFonts w:asciiTheme="minorHAnsi" w:hAnsiTheme="minorHAnsi"/>
                <w:sz w:val="20"/>
                <w:szCs w:val="20"/>
              </w:rPr>
            </w:pPr>
            <w:r w:rsidRPr="00D93FF9">
              <w:rPr>
                <w:rFonts w:asciiTheme="minorHAnsi" w:hAnsiTheme="minorHAnsi"/>
                <w:sz w:val="20"/>
                <w:szCs w:val="20"/>
              </w:rPr>
              <w:t>3.78µg/kg FW (mustard species)</w:t>
            </w:r>
          </w:p>
        </w:tc>
        <w:tc>
          <w:tcPr>
            <w:tcW w:w="2243" w:type="dxa"/>
          </w:tcPr>
          <w:p w14:paraId="7FF52888" w14:textId="5E517BB9" w:rsidR="0035620D" w:rsidRPr="00D93FF9" w:rsidRDefault="00422D8F" w:rsidP="005572C7">
            <w:pPr>
              <w:pStyle w:val="Pa5"/>
              <w:spacing w:before="0" w:after="0"/>
              <w:jc w:val="both"/>
              <w:rPr>
                <w:rFonts w:asciiTheme="minorHAnsi" w:hAnsiTheme="minorHAnsi" w:cs="Roboto Light"/>
                <w:color w:val="000000"/>
                <w:sz w:val="20"/>
                <w:szCs w:val="20"/>
              </w:rPr>
            </w:pPr>
            <w:r w:rsidRPr="00D93FF9">
              <w:rPr>
                <w:rFonts w:asciiTheme="minorHAnsi" w:hAnsiTheme="minorHAnsi" w:cs="Roboto Light"/>
                <w:color w:val="000000"/>
                <w:sz w:val="20"/>
                <w:szCs w:val="20"/>
              </w:rPr>
              <w:t xml:space="preserve">Kittler et al. </w:t>
            </w:r>
            <w:r w:rsidR="00214999" w:rsidRPr="00D93FF9">
              <w:rPr>
                <w:rFonts w:asciiTheme="minorHAnsi" w:hAnsiTheme="minorHAnsi" w:cs="Roboto Light"/>
                <w:color w:val="000000"/>
                <w:sz w:val="20"/>
                <w:szCs w:val="20"/>
              </w:rPr>
              <w:t>(</w:t>
            </w:r>
            <w:r w:rsidRPr="00D93FF9">
              <w:rPr>
                <w:rFonts w:asciiTheme="minorHAnsi" w:hAnsiTheme="minorHAnsi" w:cs="Roboto Light"/>
                <w:color w:val="000000"/>
                <w:sz w:val="20"/>
                <w:szCs w:val="20"/>
              </w:rPr>
              <w:t>2012</w:t>
            </w:r>
            <w:r w:rsidR="00214999" w:rsidRPr="00D93FF9">
              <w:rPr>
                <w:rFonts w:asciiTheme="minorHAnsi" w:hAnsiTheme="minorHAnsi" w:cs="Roboto Light"/>
                <w:color w:val="000000"/>
                <w:sz w:val="20"/>
                <w:szCs w:val="20"/>
              </w:rPr>
              <w:t>)</w:t>
            </w:r>
          </w:p>
        </w:tc>
      </w:tr>
      <w:tr w:rsidR="0035620D" w:rsidRPr="00D93FF9" w14:paraId="0F8D89AC" w14:textId="77777777" w:rsidTr="0035620D">
        <w:trPr>
          <w:trHeight w:val="397"/>
        </w:trPr>
        <w:tc>
          <w:tcPr>
            <w:tcW w:w="2268" w:type="dxa"/>
          </w:tcPr>
          <w:p w14:paraId="6DE01D77" w14:textId="0FF451F6" w:rsidR="0035620D" w:rsidRPr="00D93FF9" w:rsidRDefault="00422D8F" w:rsidP="005572C7">
            <w:pPr>
              <w:pStyle w:val="BodyText"/>
              <w:spacing w:before="0" w:after="0" w:line="266" w:lineRule="auto"/>
              <w:jc w:val="both"/>
              <w:rPr>
                <w:rFonts w:asciiTheme="minorHAnsi" w:hAnsiTheme="minorHAnsi" w:cstheme="minorHAnsi"/>
                <w:b/>
                <w:bCs/>
                <w:sz w:val="20"/>
                <w:lang w:val="en-GB"/>
              </w:rPr>
            </w:pPr>
            <w:r w:rsidRPr="00D93FF9">
              <w:rPr>
                <w:rFonts w:asciiTheme="minorHAnsi" w:hAnsiTheme="minorHAnsi" w:cstheme="minorHAnsi"/>
                <w:b/>
                <w:bCs/>
                <w:sz w:val="20"/>
                <w:lang w:val="en-GB"/>
              </w:rPr>
              <w:t>Coriander, parsley</w:t>
            </w:r>
          </w:p>
        </w:tc>
        <w:tc>
          <w:tcPr>
            <w:tcW w:w="4626" w:type="dxa"/>
          </w:tcPr>
          <w:p w14:paraId="65FB3DE5" w14:textId="77777777" w:rsidR="0035620D" w:rsidRPr="00D93FF9" w:rsidRDefault="0035620D" w:rsidP="005572C7">
            <w:pPr>
              <w:pStyle w:val="BodyText"/>
              <w:spacing w:before="0" w:after="0" w:line="266" w:lineRule="auto"/>
              <w:jc w:val="both"/>
              <w:rPr>
                <w:rFonts w:asciiTheme="minorHAnsi" w:hAnsiTheme="minorHAnsi"/>
                <w:sz w:val="20"/>
                <w:lang w:val="en-GB"/>
              </w:rPr>
            </w:pPr>
          </w:p>
        </w:tc>
        <w:tc>
          <w:tcPr>
            <w:tcW w:w="2243" w:type="dxa"/>
          </w:tcPr>
          <w:p w14:paraId="728265EF" w14:textId="232BDDEE" w:rsidR="0035620D" w:rsidRPr="00D93FF9" w:rsidRDefault="0035620D" w:rsidP="005572C7">
            <w:pPr>
              <w:pStyle w:val="Pa5"/>
              <w:spacing w:before="0" w:after="0"/>
              <w:jc w:val="both"/>
              <w:rPr>
                <w:rFonts w:asciiTheme="minorHAnsi" w:hAnsiTheme="minorHAnsi" w:cs="Roboto Light"/>
                <w:color w:val="000000"/>
                <w:sz w:val="20"/>
                <w:szCs w:val="20"/>
              </w:rPr>
            </w:pPr>
          </w:p>
        </w:tc>
      </w:tr>
      <w:tr w:rsidR="0035620D" w:rsidRPr="00D93FF9" w14:paraId="18600DA0" w14:textId="77777777" w:rsidTr="0035620D">
        <w:trPr>
          <w:trHeight w:val="843"/>
        </w:trPr>
        <w:tc>
          <w:tcPr>
            <w:tcW w:w="2268" w:type="dxa"/>
          </w:tcPr>
          <w:p w14:paraId="35FBF976" w14:textId="4A9F0BEB" w:rsidR="0035620D" w:rsidRPr="00D93FF9" w:rsidRDefault="00422D8F" w:rsidP="005572C7">
            <w:pPr>
              <w:pStyle w:val="Pa5"/>
              <w:spacing w:before="0" w:after="0"/>
              <w:jc w:val="both"/>
              <w:rPr>
                <w:rStyle w:val="A4"/>
                <w:rFonts w:asciiTheme="minorHAnsi" w:hAnsiTheme="minorHAnsi" w:cstheme="minorHAnsi"/>
                <w:sz w:val="20"/>
                <w:szCs w:val="20"/>
              </w:rPr>
            </w:pPr>
            <w:r w:rsidRPr="00D93FF9">
              <w:rPr>
                <w:rStyle w:val="A4"/>
                <w:rFonts w:asciiTheme="minorHAnsi" w:hAnsiTheme="minorHAnsi" w:cstheme="minorHAnsi"/>
                <w:sz w:val="20"/>
                <w:szCs w:val="20"/>
              </w:rPr>
              <w:t>0.1-1</w:t>
            </w:r>
            <w:r w:rsidR="00CB3B79" w:rsidRPr="00D93FF9">
              <w:rPr>
                <w:rStyle w:val="A4"/>
                <w:rFonts w:asciiTheme="minorHAnsi" w:hAnsiTheme="minorHAnsi" w:cstheme="minorHAnsi"/>
                <w:sz w:val="20"/>
                <w:szCs w:val="20"/>
              </w:rPr>
              <w:t>µg/ml</w:t>
            </w:r>
          </w:p>
        </w:tc>
        <w:tc>
          <w:tcPr>
            <w:tcW w:w="4626" w:type="dxa"/>
          </w:tcPr>
          <w:p w14:paraId="2E0C7B13" w14:textId="0CB00991" w:rsidR="0035620D" w:rsidRPr="00D93FF9" w:rsidRDefault="00422D8F" w:rsidP="005572C7">
            <w:pPr>
              <w:pStyle w:val="Pa5"/>
              <w:spacing w:before="0" w:after="0"/>
              <w:jc w:val="both"/>
              <w:rPr>
                <w:rStyle w:val="A4"/>
                <w:rFonts w:asciiTheme="minorHAnsi" w:hAnsiTheme="minorHAnsi" w:cstheme="minorHAnsi"/>
                <w:sz w:val="20"/>
                <w:szCs w:val="20"/>
              </w:rPr>
            </w:pPr>
            <w:r w:rsidRPr="00D93FF9">
              <w:rPr>
                <w:rStyle w:val="A4"/>
                <w:rFonts w:asciiTheme="minorHAnsi" w:hAnsiTheme="minorHAnsi" w:cstheme="minorHAnsi"/>
                <w:sz w:val="20"/>
                <w:szCs w:val="20"/>
              </w:rPr>
              <w:t>No accumulation at any of the concentrations used</w:t>
            </w:r>
          </w:p>
        </w:tc>
        <w:tc>
          <w:tcPr>
            <w:tcW w:w="2243" w:type="dxa"/>
          </w:tcPr>
          <w:p w14:paraId="652A071F" w14:textId="3567274E" w:rsidR="0035620D" w:rsidRPr="00D93FF9" w:rsidRDefault="00422D8F" w:rsidP="005572C7">
            <w:pPr>
              <w:pStyle w:val="Pa5"/>
              <w:spacing w:before="0" w:after="0"/>
              <w:jc w:val="both"/>
              <w:rPr>
                <w:rStyle w:val="A4"/>
                <w:rFonts w:asciiTheme="minorHAnsi" w:hAnsiTheme="minorHAnsi"/>
                <w:sz w:val="20"/>
                <w:szCs w:val="20"/>
              </w:rPr>
            </w:pPr>
            <w:r w:rsidRPr="00D93FF9">
              <w:rPr>
                <w:rStyle w:val="A4"/>
                <w:rFonts w:asciiTheme="minorHAnsi" w:hAnsiTheme="minorHAnsi" w:cstheme="minorHAnsi"/>
                <w:sz w:val="20"/>
                <w:szCs w:val="20"/>
              </w:rPr>
              <w:t>Pereira</w:t>
            </w:r>
            <w:r w:rsidR="00C15ACE" w:rsidRPr="00D93FF9">
              <w:rPr>
                <w:rStyle w:val="A4"/>
                <w:rFonts w:asciiTheme="minorHAnsi" w:hAnsiTheme="minorHAnsi" w:cstheme="minorHAnsi"/>
                <w:sz w:val="20"/>
                <w:szCs w:val="20"/>
              </w:rPr>
              <w:t xml:space="preserve"> et al.</w:t>
            </w:r>
            <w:r w:rsidRPr="00D93FF9">
              <w:rPr>
                <w:rStyle w:val="A4"/>
                <w:rFonts w:asciiTheme="minorHAnsi" w:hAnsiTheme="minorHAnsi"/>
                <w:sz w:val="20"/>
                <w:szCs w:val="20"/>
              </w:rPr>
              <w:t xml:space="preserve"> </w:t>
            </w:r>
            <w:r w:rsidR="00214999" w:rsidRPr="00D93FF9">
              <w:rPr>
                <w:rStyle w:val="A4"/>
                <w:rFonts w:asciiTheme="minorHAnsi" w:hAnsiTheme="minorHAnsi"/>
                <w:sz w:val="20"/>
                <w:szCs w:val="20"/>
              </w:rPr>
              <w:t>(</w:t>
            </w:r>
            <w:r w:rsidRPr="00D93FF9">
              <w:rPr>
                <w:rStyle w:val="A4"/>
                <w:rFonts w:asciiTheme="minorHAnsi" w:hAnsiTheme="minorHAnsi"/>
                <w:sz w:val="20"/>
                <w:szCs w:val="20"/>
              </w:rPr>
              <w:t>2017</w:t>
            </w:r>
            <w:r w:rsidR="00214999" w:rsidRPr="00D93FF9">
              <w:rPr>
                <w:rStyle w:val="A4"/>
                <w:rFonts w:asciiTheme="minorHAnsi" w:hAnsiTheme="minorHAnsi"/>
                <w:sz w:val="20"/>
                <w:szCs w:val="20"/>
              </w:rPr>
              <w:t>)</w:t>
            </w:r>
          </w:p>
        </w:tc>
      </w:tr>
      <w:tr w:rsidR="0035620D" w:rsidRPr="00D93FF9" w14:paraId="22948E45" w14:textId="77777777" w:rsidTr="0035620D">
        <w:trPr>
          <w:trHeight w:val="349"/>
        </w:trPr>
        <w:tc>
          <w:tcPr>
            <w:tcW w:w="2268" w:type="dxa"/>
          </w:tcPr>
          <w:p w14:paraId="37F7730A" w14:textId="39DCC27B" w:rsidR="0035620D" w:rsidRPr="00D93FF9" w:rsidRDefault="00422D8F" w:rsidP="005572C7">
            <w:pPr>
              <w:pStyle w:val="Pa5"/>
              <w:spacing w:before="0" w:after="0"/>
              <w:jc w:val="both"/>
              <w:rPr>
                <w:rStyle w:val="A4"/>
                <w:rFonts w:asciiTheme="minorHAnsi" w:hAnsiTheme="minorHAnsi"/>
                <w:b/>
                <w:bCs/>
                <w:sz w:val="20"/>
                <w:szCs w:val="20"/>
              </w:rPr>
            </w:pPr>
            <w:r w:rsidRPr="00D93FF9">
              <w:rPr>
                <w:rStyle w:val="A4"/>
                <w:rFonts w:asciiTheme="minorHAnsi" w:hAnsiTheme="minorHAnsi"/>
                <w:b/>
                <w:bCs/>
                <w:sz w:val="20"/>
                <w:szCs w:val="20"/>
              </w:rPr>
              <w:t>Tomato, cucumber</w:t>
            </w:r>
          </w:p>
        </w:tc>
        <w:tc>
          <w:tcPr>
            <w:tcW w:w="4626" w:type="dxa"/>
          </w:tcPr>
          <w:p w14:paraId="2B051E27" w14:textId="77777777" w:rsidR="0035620D" w:rsidRPr="00D93FF9" w:rsidRDefault="0035620D" w:rsidP="005572C7">
            <w:pPr>
              <w:pStyle w:val="Pa5"/>
              <w:spacing w:before="0" w:after="0"/>
              <w:jc w:val="both"/>
              <w:rPr>
                <w:rStyle w:val="A4"/>
                <w:rFonts w:asciiTheme="minorHAnsi" w:hAnsiTheme="minorHAnsi"/>
                <w:b/>
                <w:bCs/>
                <w:sz w:val="20"/>
                <w:szCs w:val="20"/>
              </w:rPr>
            </w:pPr>
          </w:p>
        </w:tc>
        <w:tc>
          <w:tcPr>
            <w:tcW w:w="2243" w:type="dxa"/>
          </w:tcPr>
          <w:p w14:paraId="7E6277A2" w14:textId="77777777" w:rsidR="0035620D" w:rsidRPr="00D93FF9" w:rsidRDefault="0035620D" w:rsidP="005572C7">
            <w:pPr>
              <w:pStyle w:val="Pa5"/>
              <w:spacing w:before="0" w:after="0"/>
              <w:jc w:val="both"/>
              <w:rPr>
                <w:rStyle w:val="A4"/>
                <w:rFonts w:asciiTheme="minorHAnsi" w:hAnsiTheme="minorHAnsi"/>
                <w:b/>
                <w:bCs/>
                <w:sz w:val="20"/>
                <w:szCs w:val="20"/>
              </w:rPr>
            </w:pPr>
          </w:p>
        </w:tc>
      </w:tr>
      <w:tr w:rsidR="0035620D" w:rsidRPr="00D93FF9" w14:paraId="0A1256D8" w14:textId="77777777" w:rsidTr="0035620D">
        <w:trPr>
          <w:trHeight w:val="349"/>
        </w:trPr>
        <w:tc>
          <w:tcPr>
            <w:tcW w:w="2268" w:type="dxa"/>
          </w:tcPr>
          <w:p w14:paraId="0A3CEC75" w14:textId="211F7F7B" w:rsidR="0035620D" w:rsidRPr="00D93FF9" w:rsidRDefault="00422D8F" w:rsidP="005572C7">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t>2, 5, 10</w:t>
            </w:r>
          </w:p>
        </w:tc>
        <w:tc>
          <w:tcPr>
            <w:tcW w:w="4626" w:type="dxa"/>
          </w:tcPr>
          <w:p w14:paraId="015A08E7" w14:textId="25AE3343" w:rsidR="0035620D" w:rsidRPr="00D93FF9" w:rsidRDefault="00422D8F" w:rsidP="005572C7">
            <w:pPr>
              <w:pStyle w:val="Pa5"/>
              <w:spacing w:before="0" w:after="0"/>
              <w:jc w:val="both"/>
              <w:rPr>
                <w:rStyle w:val="A4"/>
                <w:rFonts w:asciiTheme="minorHAnsi" w:hAnsiTheme="minorHAnsi"/>
                <w:sz w:val="20"/>
                <w:szCs w:val="20"/>
              </w:rPr>
            </w:pPr>
            <w:r w:rsidRPr="00D93FF9">
              <w:rPr>
                <w:rStyle w:val="A4"/>
                <w:rFonts w:asciiTheme="minorHAnsi" w:hAnsiTheme="minorHAnsi"/>
                <w:sz w:val="20"/>
                <w:szCs w:val="20"/>
              </w:rPr>
              <w:t>Root length and germination percentage altered by CYN in water</w:t>
            </w:r>
          </w:p>
        </w:tc>
        <w:tc>
          <w:tcPr>
            <w:tcW w:w="2243" w:type="dxa"/>
          </w:tcPr>
          <w:p w14:paraId="02A83553" w14:textId="6B6D2646" w:rsidR="0035620D" w:rsidRPr="00D93FF9" w:rsidRDefault="00422D8F" w:rsidP="005572C7">
            <w:pPr>
              <w:pStyle w:val="Pa5"/>
              <w:spacing w:before="0" w:after="0"/>
              <w:jc w:val="both"/>
              <w:rPr>
                <w:rStyle w:val="A4"/>
                <w:rFonts w:asciiTheme="minorHAnsi" w:hAnsiTheme="minorHAnsi" w:cstheme="minorHAnsi"/>
                <w:sz w:val="20"/>
                <w:szCs w:val="20"/>
              </w:rPr>
            </w:pPr>
            <w:r w:rsidRPr="00D93FF9">
              <w:rPr>
                <w:rStyle w:val="A4"/>
                <w:rFonts w:asciiTheme="minorHAnsi" w:hAnsiTheme="minorHAnsi" w:cstheme="minorHAnsi"/>
                <w:sz w:val="20"/>
                <w:szCs w:val="20"/>
              </w:rPr>
              <w:t>Temsah</w:t>
            </w:r>
            <w:r w:rsidR="00C15ACE" w:rsidRPr="00D93FF9">
              <w:rPr>
                <w:rStyle w:val="A4"/>
                <w:rFonts w:asciiTheme="minorHAnsi" w:hAnsiTheme="minorHAnsi" w:cstheme="minorHAnsi"/>
                <w:sz w:val="20"/>
                <w:szCs w:val="20"/>
              </w:rPr>
              <w:t xml:space="preserve"> et al.</w:t>
            </w:r>
            <w:r w:rsidRPr="00D93FF9">
              <w:rPr>
                <w:rStyle w:val="A4"/>
                <w:rFonts w:asciiTheme="minorHAnsi" w:hAnsiTheme="minorHAnsi" w:cstheme="minorHAnsi"/>
                <w:sz w:val="20"/>
                <w:szCs w:val="20"/>
              </w:rPr>
              <w:t xml:space="preserve"> </w:t>
            </w:r>
            <w:r w:rsidR="00214999" w:rsidRPr="00D93FF9">
              <w:rPr>
                <w:rStyle w:val="A4"/>
                <w:rFonts w:asciiTheme="minorHAnsi" w:hAnsiTheme="minorHAnsi" w:cstheme="minorHAnsi"/>
                <w:sz w:val="20"/>
                <w:szCs w:val="20"/>
              </w:rPr>
              <w:t>(</w:t>
            </w:r>
            <w:r w:rsidRPr="00D93FF9">
              <w:rPr>
                <w:rStyle w:val="A4"/>
                <w:rFonts w:asciiTheme="minorHAnsi" w:hAnsiTheme="minorHAnsi" w:cstheme="minorHAnsi"/>
                <w:sz w:val="20"/>
                <w:szCs w:val="20"/>
              </w:rPr>
              <w:t>2016</w:t>
            </w:r>
            <w:r w:rsidR="00214999" w:rsidRPr="00D93FF9">
              <w:rPr>
                <w:rStyle w:val="A4"/>
                <w:rFonts w:asciiTheme="minorHAnsi" w:hAnsiTheme="minorHAnsi" w:cstheme="minorHAnsi"/>
                <w:sz w:val="20"/>
                <w:szCs w:val="20"/>
              </w:rPr>
              <w:t>)</w:t>
            </w:r>
          </w:p>
        </w:tc>
      </w:tr>
      <w:tr w:rsidR="0035620D" w:rsidRPr="00D93FF9" w14:paraId="1516A5A7" w14:textId="77777777" w:rsidTr="0035620D">
        <w:trPr>
          <w:trHeight w:val="349"/>
        </w:trPr>
        <w:tc>
          <w:tcPr>
            <w:tcW w:w="2268" w:type="dxa"/>
          </w:tcPr>
          <w:p w14:paraId="7C9A5DF4" w14:textId="5369BD66" w:rsidR="0035620D" w:rsidRPr="00D93FF9" w:rsidRDefault="0035620D" w:rsidP="005572C7">
            <w:pPr>
              <w:pStyle w:val="Pa5"/>
              <w:spacing w:before="0" w:after="0"/>
              <w:jc w:val="both"/>
              <w:rPr>
                <w:rStyle w:val="A4"/>
                <w:rFonts w:asciiTheme="minorHAnsi" w:hAnsiTheme="minorHAnsi"/>
                <w:sz w:val="20"/>
                <w:szCs w:val="20"/>
              </w:rPr>
            </w:pPr>
          </w:p>
        </w:tc>
        <w:tc>
          <w:tcPr>
            <w:tcW w:w="4626" w:type="dxa"/>
          </w:tcPr>
          <w:p w14:paraId="46845391" w14:textId="4B3623CF" w:rsidR="0035620D" w:rsidRPr="00D93FF9" w:rsidRDefault="00422D8F" w:rsidP="005572C7">
            <w:pPr>
              <w:pStyle w:val="Default"/>
              <w:spacing w:before="0" w:after="0"/>
              <w:rPr>
                <w:rFonts w:asciiTheme="minorHAnsi" w:hAnsiTheme="minorHAnsi"/>
                <w:sz w:val="20"/>
                <w:szCs w:val="20"/>
              </w:rPr>
            </w:pPr>
            <w:r w:rsidRPr="00D93FF9">
              <w:rPr>
                <w:rFonts w:asciiTheme="minorHAnsi" w:hAnsiTheme="minorHAnsi"/>
                <w:sz w:val="20"/>
                <w:szCs w:val="20"/>
              </w:rPr>
              <w:t>Plant biomass significantly affected by CYN presence in water</w:t>
            </w:r>
          </w:p>
        </w:tc>
        <w:tc>
          <w:tcPr>
            <w:tcW w:w="2243" w:type="dxa"/>
          </w:tcPr>
          <w:p w14:paraId="5D86BD3D" w14:textId="289395F5" w:rsidR="0035620D" w:rsidRPr="00D93FF9" w:rsidRDefault="0035620D" w:rsidP="005572C7">
            <w:pPr>
              <w:pStyle w:val="Pa5"/>
              <w:spacing w:before="0" w:after="0"/>
              <w:jc w:val="both"/>
              <w:rPr>
                <w:rStyle w:val="A4"/>
                <w:rFonts w:asciiTheme="minorHAnsi" w:hAnsiTheme="minorHAnsi"/>
                <w:sz w:val="20"/>
                <w:szCs w:val="20"/>
              </w:rPr>
            </w:pPr>
          </w:p>
        </w:tc>
      </w:tr>
    </w:tbl>
    <w:p w14:paraId="1B5F6D9F" w14:textId="0940D01E" w:rsidR="007B58E8" w:rsidRPr="00D93FF9" w:rsidRDefault="007B58E8" w:rsidP="00F77910">
      <w:pPr>
        <w:pStyle w:val="ListBullet2"/>
        <w:numPr>
          <w:ilvl w:val="0"/>
          <w:numId w:val="0"/>
        </w:numPr>
        <w:rPr>
          <w:lang w:val="en-GB"/>
        </w:rPr>
      </w:pPr>
    </w:p>
    <w:p w14:paraId="29BBDF76" w14:textId="77777777" w:rsidR="007B58E8" w:rsidRPr="00D93FF9" w:rsidRDefault="007B58E8" w:rsidP="00F77910">
      <w:pPr>
        <w:pStyle w:val="ListBullet2"/>
        <w:numPr>
          <w:ilvl w:val="0"/>
          <w:numId w:val="0"/>
        </w:numPr>
        <w:rPr>
          <w:lang w:val="en-GB"/>
        </w:rPr>
      </w:pPr>
    </w:p>
    <w:p w14:paraId="28514A7F" w14:textId="657EBAD4" w:rsidR="00F77910" w:rsidRPr="00D93FF9" w:rsidRDefault="00F77910" w:rsidP="002201B6">
      <w:pPr>
        <w:pStyle w:val="ListBullet2"/>
        <w:numPr>
          <w:ilvl w:val="0"/>
          <w:numId w:val="0"/>
        </w:numPr>
        <w:rPr>
          <w:lang w:val="en-GB"/>
        </w:rPr>
      </w:pPr>
      <w:r w:rsidRPr="00D93FF9">
        <w:rPr>
          <w:lang w:eastAsia="en-AU"/>
        </w:rPr>
        <w:t xml:space="preserve">Jones </w:t>
      </w:r>
      <w:r w:rsidR="00C15ACE" w:rsidRPr="00D93FF9">
        <w:rPr>
          <w:lang w:eastAsia="en-AU"/>
        </w:rPr>
        <w:t>and</w:t>
      </w:r>
      <w:r w:rsidRPr="00D93FF9">
        <w:rPr>
          <w:lang w:eastAsia="en-AU"/>
        </w:rPr>
        <w:t xml:space="preserve"> Orr, </w:t>
      </w:r>
      <w:r w:rsidR="00594A93" w:rsidRPr="00D93FF9">
        <w:rPr>
          <w:lang w:eastAsia="en-AU"/>
        </w:rPr>
        <w:t>(</w:t>
      </w:r>
      <w:r w:rsidRPr="00D93FF9">
        <w:rPr>
          <w:lang w:eastAsia="en-AU"/>
        </w:rPr>
        <w:t>2000</w:t>
      </w:r>
      <w:r w:rsidR="00594A93" w:rsidRPr="00D93FF9">
        <w:rPr>
          <w:lang w:eastAsia="en-AU"/>
        </w:rPr>
        <w:t xml:space="preserve">, </w:t>
      </w:r>
      <w:r w:rsidRPr="00D93FF9">
        <w:rPr>
          <w:lang w:eastAsia="en-AU"/>
        </w:rPr>
        <w:t xml:space="preserve">cited by EPA Tasmania 2011) therefore recommend that water used for irrigation of crops or plants that are eaten raw or where water directly comes in contact with the fruit/vegetable do not contain more than: </w:t>
      </w:r>
    </w:p>
    <w:p w14:paraId="51A3C0AE" w14:textId="77777777" w:rsidR="00F77910" w:rsidRPr="00D93FF9" w:rsidRDefault="00F77910" w:rsidP="00F77910">
      <w:pPr>
        <w:pStyle w:val="ListBullet2"/>
        <w:rPr>
          <w:lang w:val="en-GB"/>
        </w:rPr>
      </w:pPr>
      <w:r w:rsidRPr="00D93FF9">
        <w:rPr>
          <w:i/>
          <w:iCs/>
          <w:lang w:val="en-GB"/>
        </w:rPr>
        <w:t>M. aeruginosa</w:t>
      </w:r>
      <w:r w:rsidRPr="00D93FF9">
        <w:rPr>
          <w:lang w:val="en-GB"/>
        </w:rPr>
        <w:t>: &gt;50,000 cells/mL, or</w:t>
      </w:r>
    </w:p>
    <w:p w14:paraId="1223A530" w14:textId="77777777" w:rsidR="00F77910" w:rsidRPr="00D93FF9" w:rsidRDefault="00F77910" w:rsidP="00F77910">
      <w:pPr>
        <w:pStyle w:val="ListBullet2"/>
        <w:spacing w:before="0" w:after="0"/>
        <w:rPr>
          <w:lang w:val="en-GB"/>
        </w:rPr>
      </w:pPr>
      <w:r w:rsidRPr="00D93FF9">
        <w:rPr>
          <w:i/>
          <w:iCs/>
          <w:lang w:val="en-GB"/>
        </w:rPr>
        <w:t>Dolichospermum circinale</w:t>
      </w:r>
      <w:r w:rsidRPr="00D93FF9">
        <w:rPr>
          <w:lang w:val="en-GB"/>
        </w:rPr>
        <w:t>: &gt;100,000 cells/mL,</w:t>
      </w:r>
    </w:p>
    <w:p w14:paraId="7C84CAF8" w14:textId="77777777" w:rsidR="00F77910" w:rsidRPr="00D93FF9" w:rsidRDefault="00F77910" w:rsidP="002201B6">
      <w:pPr>
        <w:pStyle w:val="ListBullet"/>
        <w:numPr>
          <w:ilvl w:val="0"/>
          <w:numId w:val="0"/>
        </w:numPr>
        <w:spacing w:before="0" w:after="0" w:line="266" w:lineRule="auto"/>
        <w:ind w:left="397"/>
        <w:jc w:val="both"/>
        <w:rPr>
          <w:lang w:val="en-GB"/>
        </w:rPr>
      </w:pPr>
      <w:r w:rsidRPr="00D93FF9">
        <w:rPr>
          <w:lang w:val="en-GB"/>
        </w:rPr>
        <w:lastRenderedPageBreak/>
        <w:t>and</w:t>
      </w:r>
    </w:p>
    <w:p w14:paraId="0D6B9691" w14:textId="77777777" w:rsidR="00F77910" w:rsidRPr="00D93FF9" w:rsidRDefault="00F77910" w:rsidP="00F77910">
      <w:pPr>
        <w:pStyle w:val="ListBullet2"/>
        <w:spacing w:before="0" w:after="0"/>
        <w:rPr>
          <w:lang w:val="en-GB"/>
        </w:rPr>
      </w:pPr>
      <w:r w:rsidRPr="00D93FF9">
        <w:rPr>
          <w:lang w:val="en-GB"/>
        </w:rPr>
        <w:t>10 µg/L total microcystins or</w:t>
      </w:r>
    </w:p>
    <w:p w14:paraId="737BDF90" w14:textId="77777777" w:rsidR="00F77910" w:rsidRPr="00D93FF9" w:rsidRDefault="00F77910" w:rsidP="00F77910">
      <w:pPr>
        <w:pStyle w:val="ListBullet2"/>
        <w:rPr>
          <w:lang w:val="en-GB"/>
        </w:rPr>
      </w:pPr>
      <w:r w:rsidRPr="00D93FF9">
        <w:rPr>
          <w:lang w:val="en-GB"/>
        </w:rPr>
        <w:t>20 µg/L total saxitoxins</w:t>
      </w:r>
    </w:p>
    <w:p w14:paraId="7E3BC8E6" w14:textId="77777777" w:rsidR="00444E6E" w:rsidRPr="00D93FF9" w:rsidRDefault="00444E6E" w:rsidP="00444E6E">
      <w:pPr>
        <w:pStyle w:val="ListBullet"/>
        <w:numPr>
          <w:ilvl w:val="0"/>
          <w:numId w:val="0"/>
        </w:numPr>
        <w:rPr>
          <w:lang w:val="en-GB"/>
        </w:rPr>
      </w:pPr>
    </w:p>
    <w:p w14:paraId="7FFFC720" w14:textId="0259EC5D" w:rsidR="00444E6E" w:rsidRPr="00D93FF9" w:rsidRDefault="00444E6E" w:rsidP="002201B6">
      <w:pPr>
        <w:pStyle w:val="ListBullet"/>
        <w:numPr>
          <w:ilvl w:val="0"/>
          <w:numId w:val="0"/>
        </w:numPr>
        <w:rPr>
          <w:lang w:val="en-GB"/>
        </w:rPr>
      </w:pPr>
      <w:r w:rsidRPr="00D93FF9">
        <w:rPr>
          <w:lang w:val="en-GB"/>
        </w:rPr>
        <w:t>WHO (2020</w:t>
      </w:r>
      <w:r w:rsidR="00EE5593" w:rsidRPr="00D93FF9">
        <w:rPr>
          <w:lang w:val="en-GB"/>
        </w:rPr>
        <w:t>a</w:t>
      </w:r>
      <w:r w:rsidRPr="00D93FF9">
        <w:rPr>
          <w:lang w:val="en-GB"/>
        </w:rPr>
        <w:t xml:space="preserve">) concludes, as a preliminary assessment considering all types of cyanobacterial toxins, that data so far does not point to a high level of short-term exposure to cyanotoxins </w:t>
      </w:r>
      <w:r w:rsidRPr="00D93FF9">
        <w:rPr>
          <w:b/>
          <w:bCs/>
          <w:lang w:val="en-GB"/>
        </w:rPr>
        <w:t>in</w:t>
      </w:r>
      <w:r w:rsidRPr="00D93FF9">
        <w:rPr>
          <w:lang w:val="en-GB"/>
        </w:rPr>
        <w:t xml:space="preserve"> crop tissues. If, however, crops are sprayed or irrigated with water contaminated with cyanobacteria and not sufficiently washed, risks may be higher.</w:t>
      </w:r>
    </w:p>
    <w:p w14:paraId="310F0576" w14:textId="77777777" w:rsidR="00F77910" w:rsidRPr="00D93FF9" w:rsidRDefault="00F77910" w:rsidP="003807A1">
      <w:pPr>
        <w:pStyle w:val="BodyText"/>
        <w:spacing w:after="0" w:line="264" w:lineRule="auto"/>
        <w:jc w:val="both"/>
        <w:rPr>
          <w:lang w:val="en-GB"/>
        </w:rPr>
      </w:pPr>
    </w:p>
    <w:p w14:paraId="3B274AFD" w14:textId="0B104E6E" w:rsidR="002815C6" w:rsidRPr="00D93FF9" w:rsidRDefault="009B06C9" w:rsidP="002201B6">
      <w:pPr>
        <w:pStyle w:val="ListBullet"/>
        <w:rPr>
          <w:lang w:val="en-GB"/>
        </w:rPr>
      </w:pPr>
      <w:r w:rsidRPr="00D93FF9">
        <w:rPr>
          <w:lang w:val="en-GB"/>
        </w:rPr>
        <w:t>Exposure through p</w:t>
      </w:r>
      <w:r w:rsidR="002815C6" w:rsidRPr="00D93FF9">
        <w:rPr>
          <w:lang w:val="en-GB"/>
        </w:rPr>
        <w:t>asture and silage feed</w:t>
      </w:r>
    </w:p>
    <w:p w14:paraId="65D11ECA" w14:textId="28828D2F" w:rsidR="002815C6" w:rsidRPr="00D93FF9" w:rsidRDefault="00924E57" w:rsidP="003807A1">
      <w:pPr>
        <w:pStyle w:val="BodyText"/>
        <w:spacing w:after="0" w:line="264" w:lineRule="auto"/>
        <w:jc w:val="both"/>
      </w:pPr>
      <w:r w:rsidRPr="00D93FF9">
        <w:t>Best practices are that s</w:t>
      </w:r>
      <w:r w:rsidR="002815C6" w:rsidRPr="00D93FF9">
        <w:t xml:space="preserve">pray irrigation of pasture should be avoided or minimised when </w:t>
      </w:r>
      <w:r w:rsidRPr="00D93FF9">
        <w:t>cyanotoxin</w:t>
      </w:r>
      <w:r w:rsidR="002815C6" w:rsidRPr="00D93FF9">
        <w:t xml:space="preserve"> cell concentration reaches 50,000 cells/ mL for </w:t>
      </w:r>
      <w:r w:rsidR="002815C6" w:rsidRPr="00D93FF9">
        <w:rPr>
          <w:i/>
          <w:iCs/>
        </w:rPr>
        <w:t>M. aeruginosa</w:t>
      </w:r>
      <w:r w:rsidR="002815C6" w:rsidRPr="00D93FF9">
        <w:t xml:space="preserve"> or 100,000 for </w:t>
      </w:r>
      <w:r w:rsidR="00CF3194" w:rsidRPr="00D93FF9">
        <w:rPr>
          <w:i/>
          <w:iCs/>
        </w:rPr>
        <w:t>D. circinale</w:t>
      </w:r>
      <w:r w:rsidR="002815C6" w:rsidRPr="00D93FF9">
        <w:t xml:space="preserve"> (Jones </w:t>
      </w:r>
      <w:r w:rsidR="00FA6E9E" w:rsidRPr="00D93FF9">
        <w:t>and</w:t>
      </w:r>
      <w:r w:rsidR="002815C6" w:rsidRPr="00D93FF9">
        <w:t xml:space="preserve"> Orr 2000</w:t>
      </w:r>
      <w:r w:rsidRPr="00D93FF9">
        <w:t>, adopted in the SEQ Water Guidelines</w:t>
      </w:r>
      <w:r w:rsidR="006544CF" w:rsidRPr="00D93FF9">
        <w:t xml:space="preserve"> 2006</w:t>
      </w:r>
      <w:r w:rsidR="002815C6" w:rsidRPr="00D93FF9">
        <w:t>)</w:t>
      </w:r>
    </w:p>
    <w:p w14:paraId="67247A03" w14:textId="69231C09" w:rsidR="009452FD" w:rsidRPr="00D93FF9" w:rsidRDefault="009452FD" w:rsidP="009452FD">
      <w:pPr>
        <w:pStyle w:val="BodyText"/>
        <w:spacing w:after="0" w:line="266" w:lineRule="auto"/>
        <w:jc w:val="both"/>
        <w:rPr>
          <w:lang w:val="en-GB"/>
        </w:rPr>
      </w:pPr>
      <w:r w:rsidRPr="00D93FF9">
        <w:rPr>
          <w:lang w:val="en-GB"/>
        </w:rPr>
        <w:t xml:space="preserve">Stock should be kept off </w:t>
      </w:r>
      <w:r w:rsidRPr="00D93FF9">
        <w:rPr>
          <w:shd w:val="clear" w:color="auto" w:fill="FFFFFF"/>
        </w:rPr>
        <w:t>pasture irrigated with blue-green algae-contaminated water for at least two weeks after irrigation (DPI NSW 2017</w:t>
      </w:r>
      <w:r w:rsidR="00594A93" w:rsidRPr="00D93FF9">
        <w:rPr>
          <w:shd w:val="clear" w:color="auto" w:fill="FFFFFF"/>
        </w:rPr>
        <w:t>;</w:t>
      </w:r>
      <w:r w:rsidRPr="00D93FF9">
        <w:rPr>
          <w:shd w:val="clear" w:color="auto" w:fill="FFFFFF"/>
        </w:rPr>
        <w:t xml:space="preserve"> Agriculture Victoria 2020</w:t>
      </w:r>
      <w:r w:rsidR="00594A93" w:rsidRPr="00D93FF9">
        <w:rPr>
          <w:shd w:val="clear" w:color="auto" w:fill="FFFFFF"/>
        </w:rPr>
        <w:t>;</w:t>
      </w:r>
      <w:r w:rsidR="00962E88" w:rsidRPr="00D93FF9">
        <w:rPr>
          <w:shd w:val="clear" w:color="auto" w:fill="FFFFFF"/>
        </w:rPr>
        <w:t xml:space="preserve"> </w:t>
      </w:r>
      <w:r w:rsidRPr="00D93FF9">
        <w:rPr>
          <w:shd w:val="clear" w:color="auto" w:fill="FFFFFF"/>
        </w:rPr>
        <w:t>SEQ Water</w:t>
      </w:r>
      <w:r w:rsidR="00962E88" w:rsidRPr="00D93FF9">
        <w:rPr>
          <w:shd w:val="clear" w:color="auto" w:fill="FFFFFF"/>
        </w:rPr>
        <w:t xml:space="preserve"> </w:t>
      </w:r>
      <w:r w:rsidR="009A5290" w:rsidRPr="00D93FF9">
        <w:rPr>
          <w:shd w:val="clear" w:color="auto" w:fill="FFFFFF"/>
        </w:rPr>
        <w:t xml:space="preserve">2006) </w:t>
      </w:r>
      <w:r w:rsidRPr="00D93FF9">
        <w:rPr>
          <w:shd w:val="clear" w:color="auto" w:fill="FFFFFF"/>
        </w:rPr>
        <w:t>recommend at least a two</w:t>
      </w:r>
      <w:r w:rsidR="00812644" w:rsidRPr="00D93FF9">
        <w:rPr>
          <w:shd w:val="clear" w:color="auto" w:fill="FFFFFF"/>
        </w:rPr>
        <w:t>-</w:t>
      </w:r>
      <w:r w:rsidRPr="00D93FF9">
        <w:rPr>
          <w:shd w:val="clear" w:color="auto" w:fill="FFFFFF"/>
        </w:rPr>
        <w:t xml:space="preserve">week withholding period if sunny conditions prevail during this time and up to four weeks if moderately sunny. </w:t>
      </w:r>
      <w:r w:rsidR="009B06C9" w:rsidRPr="00D93FF9">
        <w:rPr>
          <w:shd w:val="clear" w:color="auto" w:fill="FFFFFF"/>
        </w:rPr>
        <w:t>More guidance on guideline values for livestock is available in Chapter</w:t>
      </w:r>
      <w:r w:rsidR="00962E88" w:rsidRPr="00D93FF9">
        <w:rPr>
          <w:shd w:val="clear" w:color="auto" w:fill="FFFFFF"/>
        </w:rPr>
        <w:t>s related to Livestock drinking water quality</w:t>
      </w:r>
      <w:r w:rsidR="009B06C9" w:rsidRPr="00D93FF9">
        <w:rPr>
          <w:shd w:val="clear" w:color="auto" w:fill="FFFFFF"/>
        </w:rPr>
        <w:t xml:space="preserve"> of the Water Quality Guidelines (ANZECC </w:t>
      </w:r>
      <w:r w:rsidR="00FA6E9E" w:rsidRPr="00D93FF9">
        <w:rPr>
          <w:shd w:val="clear" w:color="auto" w:fill="FFFFFF"/>
        </w:rPr>
        <w:t>and</w:t>
      </w:r>
      <w:r w:rsidR="009B06C9" w:rsidRPr="00D93FF9">
        <w:rPr>
          <w:shd w:val="clear" w:color="auto" w:fill="FFFFFF"/>
        </w:rPr>
        <w:t xml:space="preserve"> ARMCANZ 2000). </w:t>
      </w:r>
    </w:p>
    <w:p w14:paraId="0EECA94C" w14:textId="4A982923" w:rsidR="00424C83" w:rsidRPr="00D93FF9" w:rsidRDefault="00424C83" w:rsidP="002201B6">
      <w:pPr>
        <w:pStyle w:val="ListBullet"/>
        <w:rPr>
          <w:lang w:val="en-GB"/>
        </w:rPr>
      </w:pPr>
      <w:r w:rsidRPr="00D93FF9">
        <w:rPr>
          <w:lang w:val="en-GB"/>
        </w:rPr>
        <w:t>Occupational exposure</w:t>
      </w:r>
    </w:p>
    <w:p w14:paraId="4A6EFADB" w14:textId="33D83934" w:rsidR="00424C83" w:rsidRPr="00D93FF9" w:rsidRDefault="00903E4D" w:rsidP="003807A1">
      <w:pPr>
        <w:pStyle w:val="BodyText"/>
        <w:spacing w:after="0" w:line="264" w:lineRule="auto"/>
        <w:jc w:val="both"/>
        <w:rPr>
          <w:lang w:val="en-GB"/>
        </w:rPr>
      </w:pPr>
      <w:r w:rsidRPr="00D93FF9">
        <w:rPr>
          <w:lang w:val="en-GB"/>
        </w:rPr>
        <w:t>Cyanotoxins themselves are not volatile but e</w:t>
      </w:r>
      <w:r w:rsidR="00CE0B0F" w:rsidRPr="00D93FF9">
        <w:rPr>
          <w:lang w:val="en-GB"/>
        </w:rPr>
        <w:t xml:space="preserve">xposure </w:t>
      </w:r>
      <w:r w:rsidRPr="00D93FF9">
        <w:rPr>
          <w:lang w:val="en-GB"/>
        </w:rPr>
        <w:t xml:space="preserve">via inhalation </w:t>
      </w:r>
      <w:r w:rsidR="002E0570" w:rsidRPr="00D93FF9">
        <w:rPr>
          <w:lang w:val="en-GB"/>
        </w:rPr>
        <w:t xml:space="preserve">of water droplets and aerosols </w:t>
      </w:r>
      <w:r w:rsidRPr="00D93FF9">
        <w:rPr>
          <w:lang w:val="en-GB"/>
        </w:rPr>
        <w:t>or d</w:t>
      </w:r>
      <w:r w:rsidR="002E0570" w:rsidRPr="00D93FF9">
        <w:rPr>
          <w:lang w:val="en-GB"/>
        </w:rPr>
        <w:t>irect</w:t>
      </w:r>
      <w:r w:rsidRPr="00D93FF9">
        <w:rPr>
          <w:lang w:val="en-GB"/>
        </w:rPr>
        <w:t xml:space="preserve"> contact </w:t>
      </w:r>
      <w:r w:rsidR="002E0570" w:rsidRPr="00D93FF9">
        <w:rPr>
          <w:lang w:val="en-GB"/>
        </w:rPr>
        <w:t xml:space="preserve">between ears, eyes, mouth or throat with affected waster </w:t>
      </w:r>
      <w:r w:rsidR="00CE0B0F" w:rsidRPr="00D93FF9">
        <w:rPr>
          <w:lang w:val="en-GB"/>
        </w:rPr>
        <w:t xml:space="preserve">can happen </w:t>
      </w:r>
      <w:r w:rsidR="002E0570" w:rsidRPr="00D93FF9">
        <w:rPr>
          <w:lang w:val="en-GB"/>
        </w:rPr>
        <w:t>when using</w:t>
      </w:r>
      <w:r w:rsidRPr="00D93FF9">
        <w:rPr>
          <w:lang w:val="en-GB"/>
        </w:rPr>
        <w:t xml:space="preserve"> overhead irrigation for instance. </w:t>
      </w:r>
    </w:p>
    <w:p w14:paraId="091761FA" w14:textId="61165E61" w:rsidR="000C1C89" w:rsidRPr="00D93FF9" w:rsidRDefault="000C1C89" w:rsidP="003807A1">
      <w:pPr>
        <w:pStyle w:val="BodyText"/>
        <w:spacing w:after="0" w:line="264" w:lineRule="auto"/>
        <w:jc w:val="both"/>
        <w:rPr>
          <w:lang w:val="en-GB"/>
        </w:rPr>
      </w:pPr>
    </w:p>
    <w:p w14:paraId="73C6C29D" w14:textId="79F35294" w:rsidR="00EE5F7A" w:rsidRPr="00D93FF9" w:rsidRDefault="000C1C89" w:rsidP="00EE5F7A">
      <w:pPr>
        <w:pStyle w:val="ListBullet"/>
        <w:numPr>
          <w:ilvl w:val="0"/>
          <w:numId w:val="0"/>
        </w:numPr>
        <w:rPr>
          <w:lang w:eastAsia="en-AU"/>
        </w:rPr>
      </w:pPr>
      <w:r w:rsidRPr="00D93FF9">
        <w:rPr>
          <w:lang w:eastAsia="en-AU"/>
        </w:rPr>
        <w:t xml:space="preserve">Even though they are not specifically derived for </w:t>
      </w:r>
      <w:r w:rsidR="00EE5F7A" w:rsidRPr="00D93FF9">
        <w:rPr>
          <w:lang w:eastAsia="en-AU"/>
        </w:rPr>
        <w:t xml:space="preserve">occupational health and safety purposes, the </w:t>
      </w:r>
      <w:r w:rsidR="00113CC9" w:rsidRPr="00D93FF9">
        <w:rPr>
          <w:lang w:eastAsia="en-AU"/>
        </w:rPr>
        <w:t>Guidelines for managing risks in recreational waters (</w:t>
      </w:r>
      <w:r w:rsidR="00EE5F7A" w:rsidRPr="00D93FF9">
        <w:rPr>
          <w:lang w:eastAsia="en-AU"/>
        </w:rPr>
        <w:t>NHMRC 2008</w:t>
      </w:r>
      <w:r w:rsidR="00113CC9" w:rsidRPr="00D93FF9">
        <w:rPr>
          <w:lang w:eastAsia="en-AU"/>
        </w:rPr>
        <w:t xml:space="preserve">) specify </w:t>
      </w:r>
      <w:r w:rsidR="00EE5F7A" w:rsidRPr="00D93FF9">
        <w:rPr>
          <w:lang w:eastAsia="en-AU"/>
        </w:rPr>
        <w:t>that f</w:t>
      </w:r>
      <w:r w:rsidR="00EE5F7A" w:rsidRPr="00D93FF9">
        <w:t xml:space="preserve">resh recreational water bodies should not contain: </w:t>
      </w:r>
    </w:p>
    <w:p w14:paraId="2B24F0E8" w14:textId="77777777" w:rsidR="00EE5F7A" w:rsidRPr="00D93FF9" w:rsidRDefault="00EE5F7A" w:rsidP="00EE5F7A">
      <w:pPr>
        <w:pStyle w:val="ListBullet"/>
      </w:pPr>
      <w:r w:rsidRPr="00D93FF9">
        <w:t>• ≥10 µg/L total microcystins; or &gt; 50 000 cells/mL toxic Microcystis aeruginosa; or biovolume equivalent of &gt; 4 mm</w:t>
      </w:r>
      <w:r w:rsidRPr="00D93FF9">
        <w:rPr>
          <w:vertAlign w:val="superscript"/>
        </w:rPr>
        <w:t>3</w:t>
      </w:r>
      <w:r w:rsidRPr="00D93FF9">
        <w:t xml:space="preserve"> /L for the combined total of all cyanobacteria where a known toxin producer is dominant in the total biovolume; or </w:t>
      </w:r>
    </w:p>
    <w:p w14:paraId="433AAF1A" w14:textId="77777777" w:rsidR="00EE5F7A" w:rsidRPr="00D93FF9" w:rsidRDefault="00EE5F7A" w:rsidP="00EE5F7A">
      <w:pPr>
        <w:pStyle w:val="ListBullet"/>
      </w:pPr>
      <w:r w:rsidRPr="00D93FF9">
        <w:t>• ≥ 10 mm</w:t>
      </w:r>
      <w:r w:rsidRPr="00D93FF9">
        <w:rPr>
          <w:vertAlign w:val="superscript"/>
        </w:rPr>
        <w:t>3</w:t>
      </w:r>
      <w:r w:rsidRPr="00D93FF9">
        <w:t xml:space="preserve"> /L for total biovolume of all cyanobacterial material where known toxins are not present; or </w:t>
      </w:r>
    </w:p>
    <w:p w14:paraId="3D5C427A" w14:textId="77777777" w:rsidR="00EE5F7A" w:rsidRPr="00D93FF9" w:rsidRDefault="00EE5F7A" w:rsidP="00EE5F7A">
      <w:pPr>
        <w:pStyle w:val="ListBullet"/>
      </w:pPr>
      <w:r w:rsidRPr="00D93FF9">
        <w:t>• cyanobacterial scums consistently present.</w:t>
      </w:r>
    </w:p>
    <w:p w14:paraId="07A550BC" w14:textId="0DA2ACD6" w:rsidR="00EE5F7A" w:rsidRPr="00D93FF9" w:rsidRDefault="00EE5F7A" w:rsidP="00794F26">
      <w:pPr>
        <w:pStyle w:val="ListBullet"/>
        <w:numPr>
          <w:ilvl w:val="0"/>
          <w:numId w:val="0"/>
        </w:numPr>
        <w:rPr>
          <w:lang w:val="en-GB"/>
        </w:rPr>
      </w:pPr>
      <w:r w:rsidRPr="00D93FF9">
        <w:rPr>
          <w:lang w:val="en-GB"/>
        </w:rPr>
        <w:t>Additionally, some provisional guideline values have been established for cyanotoxins other than microcystins, such as cylindrospermopsins and saxitoxins (WHO</w:t>
      </w:r>
      <w:r w:rsidR="00594A93" w:rsidRPr="00D93FF9">
        <w:rPr>
          <w:lang w:val="en-GB"/>
        </w:rPr>
        <w:t xml:space="preserve"> </w:t>
      </w:r>
      <w:r w:rsidRPr="00D93FF9">
        <w:rPr>
          <w:lang w:val="en-GB"/>
        </w:rPr>
        <w:t>2020</w:t>
      </w:r>
      <w:r w:rsidR="00D97530" w:rsidRPr="00D93FF9">
        <w:rPr>
          <w:lang w:val="en-GB"/>
        </w:rPr>
        <w:t>a</w:t>
      </w:r>
      <w:r w:rsidR="00594A93" w:rsidRPr="00D93FF9">
        <w:rPr>
          <w:lang w:val="en-GB"/>
        </w:rPr>
        <w:t>,</w:t>
      </w:r>
      <w:r w:rsidR="00D97530" w:rsidRPr="00D93FF9">
        <w:rPr>
          <w:lang w:val="en-GB"/>
        </w:rPr>
        <w:t>b</w:t>
      </w:r>
      <w:r w:rsidRPr="00D93FF9">
        <w:rPr>
          <w:lang w:val="en-GB"/>
        </w:rPr>
        <w:t>) (</w:t>
      </w:r>
      <w:r w:rsidRPr="00D93FF9">
        <w:rPr>
          <w:lang w:val="en-GB"/>
        </w:rPr>
        <w:fldChar w:fldCharType="begin"/>
      </w:r>
      <w:r w:rsidRPr="00D93FF9">
        <w:rPr>
          <w:lang w:val="en-GB"/>
        </w:rPr>
        <w:instrText xml:space="preserve"> REF _Ref80798830 </w:instrText>
      </w:r>
      <w:r w:rsidR="00962E88" w:rsidRPr="00D93FF9">
        <w:rPr>
          <w:lang w:val="en-GB"/>
        </w:rPr>
        <w:instrText xml:space="preserve"> \* MERGEFORMAT </w:instrText>
      </w:r>
      <w:r w:rsidRPr="00D93FF9">
        <w:rPr>
          <w:lang w:val="en-GB"/>
        </w:rPr>
        <w:fldChar w:fldCharType="separate"/>
      </w:r>
      <w:r w:rsidR="0069302C" w:rsidRPr="0069302C">
        <w:t xml:space="preserve">Table </w:t>
      </w:r>
      <w:r w:rsidR="0069302C" w:rsidRPr="0069302C">
        <w:rPr>
          <w:noProof/>
        </w:rPr>
        <w:t>4</w:t>
      </w:r>
      <w:r w:rsidRPr="00D93FF9">
        <w:rPr>
          <w:lang w:val="en-GB"/>
        </w:rPr>
        <w:fldChar w:fldCharType="end"/>
      </w:r>
      <w:r w:rsidRPr="00D93FF9">
        <w:rPr>
          <w:lang w:val="en-GB"/>
        </w:rPr>
        <w:t>)</w:t>
      </w:r>
      <w:r w:rsidR="00A9039B" w:rsidRPr="00D93FF9">
        <w:rPr>
          <w:lang w:val="en-GB"/>
        </w:rPr>
        <w:t xml:space="preserve">. </w:t>
      </w:r>
    </w:p>
    <w:p w14:paraId="2C337017" w14:textId="77777777" w:rsidR="00320699" w:rsidRPr="00D93FF9" w:rsidRDefault="00320699" w:rsidP="00794F26">
      <w:pPr>
        <w:pStyle w:val="ListBullet"/>
        <w:numPr>
          <w:ilvl w:val="0"/>
          <w:numId w:val="0"/>
        </w:numPr>
        <w:rPr>
          <w:lang w:eastAsia="en-AU"/>
        </w:rPr>
      </w:pPr>
    </w:p>
    <w:p w14:paraId="480F45E0" w14:textId="31A0B0C3" w:rsidR="00794F26" w:rsidRPr="00D93FF9" w:rsidRDefault="00794F26" w:rsidP="00794F26">
      <w:pPr>
        <w:pStyle w:val="ListBullet"/>
        <w:numPr>
          <w:ilvl w:val="0"/>
          <w:numId w:val="0"/>
        </w:numPr>
        <w:rPr>
          <w:b/>
          <w:bCs/>
          <w:lang w:val="en-GB"/>
        </w:rPr>
      </w:pPr>
      <w:bookmarkStart w:id="24" w:name="_Ref80798830"/>
      <w:bookmarkStart w:id="25" w:name="_Toc96518218"/>
      <w:r w:rsidRPr="00D93FF9">
        <w:rPr>
          <w:b/>
          <w:bCs/>
        </w:rPr>
        <w:t xml:space="preserve">Table </w:t>
      </w:r>
      <w:r w:rsidR="00477102" w:rsidRPr="00D93FF9">
        <w:rPr>
          <w:b/>
          <w:bCs/>
        </w:rPr>
        <w:fldChar w:fldCharType="begin"/>
      </w:r>
      <w:r w:rsidR="00477102" w:rsidRPr="00D93FF9">
        <w:rPr>
          <w:b/>
          <w:bCs/>
        </w:rPr>
        <w:instrText xml:space="preserve"> SEQ Table \* ARABIC </w:instrText>
      </w:r>
      <w:r w:rsidR="00477102" w:rsidRPr="00D93FF9">
        <w:rPr>
          <w:b/>
          <w:bCs/>
        </w:rPr>
        <w:fldChar w:fldCharType="separate"/>
      </w:r>
      <w:r w:rsidR="0069302C">
        <w:rPr>
          <w:b/>
          <w:bCs/>
          <w:noProof/>
        </w:rPr>
        <w:t>4</w:t>
      </w:r>
      <w:r w:rsidR="00477102" w:rsidRPr="00D93FF9">
        <w:rPr>
          <w:b/>
          <w:bCs/>
        </w:rPr>
        <w:fldChar w:fldCharType="end"/>
      </w:r>
      <w:bookmarkEnd w:id="24"/>
      <w:r w:rsidRPr="00D93FF9">
        <w:rPr>
          <w:b/>
          <w:bCs/>
        </w:rPr>
        <w:t xml:space="preserve"> Guideline values for selected cyanotoxins in recreational waters</w:t>
      </w:r>
      <w:bookmarkEnd w:id="25"/>
    </w:p>
    <w:tbl>
      <w:tblPr>
        <w:tblStyle w:val="TableGrid"/>
        <w:tblW w:w="0" w:type="auto"/>
        <w:tblLook w:val="04A0" w:firstRow="1" w:lastRow="0" w:firstColumn="1" w:lastColumn="0" w:noHBand="0" w:noVBand="1"/>
        <w:tblCaption w:val="Guideline values for selected cyanotoxins in recreational waters"/>
        <w:tblDescription w:val="The table shows provisional guideline values that have been established for three different cyanotoxins. The guideline value for microcystin LR is 24 micro grams per litre, the guideline value for cylindrospermopsin is 6 micro grams per litre, and the guideline value for saxitoxins is 30 micro grams per litre."/>
      </w:tblPr>
      <w:tblGrid>
        <w:gridCol w:w="2252"/>
        <w:gridCol w:w="2253"/>
        <w:gridCol w:w="2720"/>
      </w:tblGrid>
      <w:tr w:rsidR="00794F26" w:rsidRPr="00D93FF9" w14:paraId="3334D083" w14:textId="77777777" w:rsidTr="00962E88">
        <w:tc>
          <w:tcPr>
            <w:tcW w:w="2252" w:type="dxa"/>
            <w:tcBorders>
              <w:top w:val="single" w:sz="4" w:space="0" w:color="auto"/>
              <w:left w:val="nil"/>
              <w:bottom w:val="single" w:sz="4" w:space="0" w:color="auto"/>
              <w:right w:val="nil"/>
            </w:tcBorders>
          </w:tcPr>
          <w:p w14:paraId="0CF887FB" w14:textId="77777777" w:rsidR="00794F26" w:rsidRPr="00D93FF9" w:rsidRDefault="00794F26" w:rsidP="00F601A4">
            <w:pPr>
              <w:pStyle w:val="BodyText"/>
              <w:spacing w:after="0" w:line="264" w:lineRule="auto"/>
              <w:jc w:val="both"/>
              <w:rPr>
                <w:rFonts w:asciiTheme="minorHAnsi" w:hAnsiTheme="minorHAnsi" w:cstheme="minorHAnsi"/>
                <w:b/>
                <w:bCs/>
                <w:sz w:val="20"/>
                <w:lang w:val="en-GB"/>
              </w:rPr>
            </w:pPr>
            <w:r w:rsidRPr="00D93FF9">
              <w:rPr>
                <w:rFonts w:asciiTheme="minorHAnsi" w:hAnsiTheme="minorHAnsi" w:cstheme="minorHAnsi"/>
                <w:b/>
                <w:bCs/>
                <w:sz w:val="20"/>
                <w:lang w:val="en-GB"/>
              </w:rPr>
              <w:t>Toxin</w:t>
            </w:r>
          </w:p>
        </w:tc>
        <w:tc>
          <w:tcPr>
            <w:tcW w:w="2253" w:type="dxa"/>
            <w:tcBorders>
              <w:top w:val="single" w:sz="4" w:space="0" w:color="auto"/>
              <w:left w:val="nil"/>
              <w:bottom w:val="single" w:sz="4" w:space="0" w:color="auto"/>
              <w:right w:val="nil"/>
            </w:tcBorders>
          </w:tcPr>
          <w:p w14:paraId="35856759" w14:textId="77777777" w:rsidR="00794F26" w:rsidRPr="00D93FF9" w:rsidRDefault="00794F26" w:rsidP="00F601A4">
            <w:pPr>
              <w:pStyle w:val="BodyText"/>
              <w:spacing w:after="0" w:line="264" w:lineRule="auto"/>
              <w:jc w:val="both"/>
              <w:rPr>
                <w:rFonts w:asciiTheme="minorHAnsi" w:hAnsiTheme="minorHAnsi" w:cstheme="minorHAnsi"/>
                <w:b/>
                <w:bCs/>
                <w:sz w:val="20"/>
                <w:lang w:val="en-GB"/>
              </w:rPr>
            </w:pPr>
            <w:r w:rsidRPr="00D93FF9">
              <w:rPr>
                <w:rFonts w:asciiTheme="minorHAnsi" w:hAnsiTheme="minorHAnsi" w:cstheme="minorHAnsi"/>
                <w:b/>
                <w:bCs/>
                <w:sz w:val="20"/>
                <w:lang w:val="en-GB"/>
              </w:rPr>
              <w:t>Value (µg/L)</w:t>
            </w:r>
          </w:p>
        </w:tc>
        <w:tc>
          <w:tcPr>
            <w:tcW w:w="2720" w:type="dxa"/>
            <w:tcBorders>
              <w:top w:val="single" w:sz="4" w:space="0" w:color="auto"/>
              <w:left w:val="nil"/>
              <w:bottom w:val="single" w:sz="4" w:space="0" w:color="auto"/>
              <w:right w:val="nil"/>
            </w:tcBorders>
          </w:tcPr>
          <w:p w14:paraId="59DA9FE4" w14:textId="77777777" w:rsidR="00794F26" w:rsidRPr="00D93FF9" w:rsidRDefault="00794F26" w:rsidP="00F601A4">
            <w:pPr>
              <w:pStyle w:val="BodyText"/>
              <w:spacing w:after="0" w:line="264" w:lineRule="auto"/>
              <w:jc w:val="both"/>
              <w:rPr>
                <w:rFonts w:asciiTheme="minorHAnsi" w:hAnsiTheme="minorHAnsi" w:cstheme="minorHAnsi"/>
                <w:b/>
                <w:bCs/>
                <w:sz w:val="20"/>
                <w:lang w:val="en-GB"/>
              </w:rPr>
            </w:pPr>
            <w:r w:rsidRPr="00D93FF9">
              <w:rPr>
                <w:rFonts w:asciiTheme="minorHAnsi" w:hAnsiTheme="minorHAnsi" w:cstheme="minorHAnsi"/>
                <w:b/>
                <w:bCs/>
                <w:sz w:val="20"/>
                <w:lang w:val="en-GB"/>
              </w:rPr>
              <w:t>Value type</w:t>
            </w:r>
          </w:p>
        </w:tc>
      </w:tr>
      <w:tr w:rsidR="00794F26" w:rsidRPr="00D93FF9" w14:paraId="0BC463D9" w14:textId="77777777" w:rsidTr="00962E88">
        <w:tc>
          <w:tcPr>
            <w:tcW w:w="2252" w:type="dxa"/>
            <w:tcBorders>
              <w:top w:val="single" w:sz="4" w:space="0" w:color="auto"/>
              <w:left w:val="nil"/>
              <w:bottom w:val="nil"/>
              <w:right w:val="nil"/>
            </w:tcBorders>
          </w:tcPr>
          <w:p w14:paraId="0C2FED89" w14:textId="77777777" w:rsidR="00794F26" w:rsidRPr="00D93FF9" w:rsidRDefault="00794F26" w:rsidP="00F601A4">
            <w:pPr>
              <w:pStyle w:val="BodyText"/>
              <w:spacing w:after="0" w:line="264" w:lineRule="auto"/>
              <w:jc w:val="both"/>
              <w:rPr>
                <w:rFonts w:asciiTheme="minorHAnsi" w:hAnsiTheme="minorHAnsi" w:cstheme="minorHAnsi"/>
                <w:sz w:val="20"/>
                <w:lang w:val="en-GB"/>
              </w:rPr>
            </w:pPr>
            <w:r w:rsidRPr="00D93FF9">
              <w:rPr>
                <w:rFonts w:asciiTheme="minorHAnsi" w:hAnsiTheme="minorHAnsi" w:cstheme="minorHAnsi"/>
                <w:sz w:val="20"/>
                <w:lang w:val="en-GB"/>
              </w:rPr>
              <w:t>Microcystin LR</w:t>
            </w:r>
          </w:p>
        </w:tc>
        <w:tc>
          <w:tcPr>
            <w:tcW w:w="2253" w:type="dxa"/>
            <w:tcBorders>
              <w:top w:val="single" w:sz="4" w:space="0" w:color="auto"/>
              <w:left w:val="nil"/>
              <w:bottom w:val="nil"/>
              <w:right w:val="nil"/>
            </w:tcBorders>
          </w:tcPr>
          <w:p w14:paraId="25B8603C" w14:textId="77777777" w:rsidR="00794F26" w:rsidRPr="00D93FF9" w:rsidRDefault="00794F26" w:rsidP="00F601A4">
            <w:pPr>
              <w:pStyle w:val="BodyText"/>
              <w:spacing w:after="0" w:line="264" w:lineRule="auto"/>
              <w:jc w:val="both"/>
              <w:rPr>
                <w:rFonts w:asciiTheme="minorHAnsi" w:hAnsiTheme="minorHAnsi" w:cstheme="minorHAnsi"/>
                <w:sz w:val="20"/>
                <w:lang w:val="en-GB"/>
              </w:rPr>
            </w:pPr>
            <w:r w:rsidRPr="00D93FF9">
              <w:rPr>
                <w:rFonts w:asciiTheme="minorHAnsi" w:hAnsiTheme="minorHAnsi" w:cstheme="minorHAnsi"/>
                <w:sz w:val="20"/>
                <w:lang w:val="en-GB"/>
              </w:rPr>
              <w:t>24</w:t>
            </w:r>
          </w:p>
        </w:tc>
        <w:tc>
          <w:tcPr>
            <w:tcW w:w="2720" w:type="dxa"/>
            <w:tcBorders>
              <w:top w:val="single" w:sz="4" w:space="0" w:color="auto"/>
              <w:left w:val="nil"/>
              <w:bottom w:val="nil"/>
              <w:right w:val="nil"/>
            </w:tcBorders>
          </w:tcPr>
          <w:p w14:paraId="2D50B1DE" w14:textId="77777777" w:rsidR="00794F26" w:rsidRPr="00D93FF9" w:rsidRDefault="00794F26" w:rsidP="00F601A4">
            <w:pPr>
              <w:pStyle w:val="BodyText"/>
              <w:spacing w:after="0" w:line="264" w:lineRule="auto"/>
              <w:jc w:val="both"/>
              <w:rPr>
                <w:rFonts w:asciiTheme="minorHAnsi" w:hAnsiTheme="minorHAnsi" w:cstheme="minorHAnsi"/>
                <w:sz w:val="20"/>
                <w:lang w:val="en-GB"/>
              </w:rPr>
            </w:pPr>
            <w:r w:rsidRPr="00D93FF9">
              <w:rPr>
                <w:rFonts w:asciiTheme="minorHAnsi" w:hAnsiTheme="minorHAnsi" w:cstheme="minorHAnsi"/>
                <w:sz w:val="20"/>
                <w:lang w:val="en-GB"/>
              </w:rPr>
              <w:t>Provisional guideline value</w:t>
            </w:r>
          </w:p>
        </w:tc>
      </w:tr>
      <w:tr w:rsidR="00794F26" w:rsidRPr="00D93FF9" w14:paraId="04F98B1D" w14:textId="77777777" w:rsidTr="00962E88">
        <w:tc>
          <w:tcPr>
            <w:tcW w:w="2252" w:type="dxa"/>
            <w:tcBorders>
              <w:top w:val="nil"/>
              <w:left w:val="nil"/>
              <w:bottom w:val="nil"/>
              <w:right w:val="nil"/>
            </w:tcBorders>
          </w:tcPr>
          <w:p w14:paraId="08373947" w14:textId="77777777" w:rsidR="00794F26" w:rsidRPr="00D93FF9" w:rsidRDefault="00794F26" w:rsidP="00F601A4">
            <w:pPr>
              <w:pStyle w:val="BodyText"/>
              <w:spacing w:after="0" w:line="264" w:lineRule="auto"/>
              <w:jc w:val="both"/>
              <w:rPr>
                <w:rFonts w:asciiTheme="minorHAnsi" w:hAnsiTheme="minorHAnsi" w:cstheme="minorHAnsi"/>
                <w:sz w:val="20"/>
                <w:lang w:val="en-GB"/>
              </w:rPr>
            </w:pPr>
            <w:r w:rsidRPr="00D93FF9">
              <w:rPr>
                <w:rFonts w:asciiTheme="minorHAnsi" w:hAnsiTheme="minorHAnsi" w:cstheme="minorHAnsi"/>
                <w:sz w:val="20"/>
                <w:lang w:val="en-GB"/>
              </w:rPr>
              <w:t>Cylindrospermopsin</w:t>
            </w:r>
          </w:p>
        </w:tc>
        <w:tc>
          <w:tcPr>
            <w:tcW w:w="2253" w:type="dxa"/>
            <w:tcBorders>
              <w:top w:val="nil"/>
              <w:left w:val="nil"/>
              <w:bottom w:val="nil"/>
              <w:right w:val="nil"/>
            </w:tcBorders>
          </w:tcPr>
          <w:p w14:paraId="499D0A2C" w14:textId="77777777" w:rsidR="00794F26" w:rsidRPr="00D93FF9" w:rsidRDefault="00794F26" w:rsidP="00F601A4">
            <w:pPr>
              <w:pStyle w:val="BodyText"/>
              <w:spacing w:after="0" w:line="264" w:lineRule="auto"/>
              <w:jc w:val="both"/>
              <w:rPr>
                <w:rFonts w:asciiTheme="minorHAnsi" w:hAnsiTheme="minorHAnsi" w:cstheme="minorHAnsi"/>
                <w:sz w:val="20"/>
                <w:lang w:val="en-GB"/>
              </w:rPr>
            </w:pPr>
            <w:r w:rsidRPr="00D93FF9">
              <w:rPr>
                <w:rFonts w:asciiTheme="minorHAnsi" w:hAnsiTheme="minorHAnsi" w:cstheme="minorHAnsi"/>
                <w:sz w:val="20"/>
                <w:lang w:val="en-GB"/>
              </w:rPr>
              <w:t>6</w:t>
            </w:r>
          </w:p>
        </w:tc>
        <w:tc>
          <w:tcPr>
            <w:tcW w:w="2720" w:type="dxa"/>
            <w:tcBorders>
              <w:top w:val="nil"/>
              <w:left w:val="nil"/>
              <w:bottom w:val="nil"/>
              <w:right w:val="nil"/>
            </w:tcBorders>
          </w:tcPr>
          <w:p w14:paraId="289C085C" w14:textId="77777777" w:rsidR="00794F26" w:rsidRPr="00D93FF9" w:rsidRDefault="00794F26" w:rsidP="00F601A4">
            <w:pPr>
              <w:pStyle w:val="BodyText"/>
              <w:spacing w:after="0" w:line="264" w:lineRule="auto"/>
              <w:jc w:val="both"/>
              <w:rPr>
                <w:rFonts w:asciiTheme="minorHAnsi" w:hAnsiTheme="minorHAnsi" w:cstheme="minorHAnsi"/>
                <w:sz w:val="20"/>
                <w:lang w:val="en-GB"/>
              </w:rPr>
            </w:pPr>
            <w:r w:rsidRPr="00D93FF9">
              <w:rPr>
                <w:rFonts w:asciiTheme="minorHAnsi" w:hAnsiTheme="minorHAnsi" w:cstheme="minorHAnsi"/>
                <w:sz w:val="20"/>
                <w:lang w:val="en-GB"/>
              </w:rPr>
              <w:t>Provisional guideline value</w:t>
            </w:r>
          </w:p>
        </w:tc>
      </w:tr>
      <w:tr w:rsidR="00794F26" w:rsidRPr="00D93FF9" w14:paraId="5BB82687" w14:textId="77777777" w:rsidTr="00962E88">
        <w:tc>
          <w:tcPr>
            <w:tcW w:w="2252" w:type="dxa"/>
            <w:tcBorders>
              <w:top w:val="nil"/>
              <w:left w:val="nil"/>
              <w:bottom w:val="single" w:sz="4" w:space="0" w:color="auto"/>
              <w:right w:val="nil"/>
            </w:tcBorders>
          </w:tcPr>
          <w:p w14:paraId="745A9B44" w14:textId="77777777" w:rsidR="00794F26" w:rsidRPr="00D93FF9" w:rsidRDefault="00794F26" w:rsidP="00F601A4">
            <w:pPr>
              <w:pStyle w:val="BodyText"/>
              <w:spacing w:after="0" w:line="264" w:lineRule="auto"/>
              <w:jc w:val="both"/>
              <w:rPr>
                <w:rFonts w:asciiTheme="minorHAnsi" w:hAnsiTheme="minorHAnsi" w:cstheme="minorHAnsi"/>
                <w:sz w:val="20"/>
                <w:lang w:val="en-GB"/>
              </w:rPr>
            </w:pPr>
            <w:r w:rsidRPr="00D93FF9">
              <w:rPr>
                <w:rFonts w:asciiTheme="minorHAnsi" w:hAnsiTheme="minorHAnsi" w:cstheme="minorHAnsi"/>
                <w:sz w:val="20"/>
                <w:lang w:val="en-GB"/>
              </w:rPr>
              <w:t>Saxitoxin</w:t>
            </w:r>
          </w:p>
        </w:tc>
        <w:tc>
          <w:tcPr>
            <w:tcW w:w="2253" w:type="dxa"/>
            <w:tcBorders>
              <w:top w:val="nil"/>
              <w:left w:val="nil"/>
              <w:bottom w:val="single" w:sz="4" w:space="0" w:color="auto"/>
              <w:right w:val="nil"/>
            </w:tcBorders>
          </w:tcPr>
          <w:p w14:paraId="530387B2" w14:textId="77777777" w:rsidR="00794F26" w:rsidRPr="00D93FF9" w:rsidRDefault="00794F26" w:rsidP="00F601A4">
            <w:pPr>
              <w:pStyle w:val="BodyText"/>
              <w:spacing w:after="0" w:line="264" w:lineRule="auto"/>
              <w:jc w:val="both"/>
              <w:rPr>
                <w:rFonts w:asciiTheme="minorHAnsi" w:hAnsiTheme="minorHAnsi" w:cstheme="minorHAnsi"/>
                <w:sz w:val="20"/>
                <w:lang w:val="en-GB"/>
              </w:rPr>
            </w:pPr>
            <w:r w:rsidRPr="00D93FF9">
              <w:rPr>
                <w:rFonts w:asciiTheme="minorHAnsi" w:hAnsiTheme="minorHAnsi" w:cstheme="minorHAnsi"/>
                <w:sz w:val="20"/>
                <w:lang w:val="en-GB"/>
              </w:rPr>
              <w:t>30</w:t>
            </w:r>
          </w:p>
        </w:tc>
        <w:tc>
          <w:tcPr>
            <w:tcW w:w="2720" w:type="dxa"/>
            <w:tcBorders>
              <w:top w:val="nil"/>
              <w:left w:val="nil"/>
              <w:bottom w:val="single" w:sz="4" w:space="0" w:color="auto"/>
              <w:right w:val="nil"/>
            </w:tcBorders>
          </w:tcPr>
          <w:p w14:paraId="4979AB94" w14:textId="77777777" w:rsidR="00794F26" w:rsidRPr="00D93FF9" w:rsidRDefault="00794F26" w:rsidP="00F601A4">
            <w:pPr>
              <w:pStyle w:val="BodyText"/>
              <w:spacing w:after="0" w:line="264" w:lineRule="auto"/>
              <w:jc w:val="both"/>
              <w:rPr>
                <w:rFonts w:asciiTheme="minorHAnsi" w:hAnsiTheme="minorHAnsi" w:cstheme="minorHAnsi"/>
                <w:sz w:val="20"/>
                <w:lang w:val="en-GB"/>
              </w:rPr>
            </w:pPr>
            <w:r w:rsidRPr="00D93FF9">
              <w:rPr>
                <w:rFonts w:asciiTheme="minorHAnsi" w:hAnsiTheme="minorHAnsi" w:cstheme="minorHAnsi"/>
                <w:sz w:val="20"/>
                <w:lang w:val="en-GB"/>
              </w:rPr>
              <w:t>Guideline value</w:t>
            </w:r>
          </w:p>
        </w:tc>
      </w:tr>
    </w:tbl>
    <w:p w14:paraId="42AAFA1C" w14:textId="019BA678" w:rsidR="00794F26" w:rsidRPr="00D93FF9" w:rsidRDefault="00794F26" w:rsidP="00794F26">
      <w:pPr>
        <w:pStyle w:val="ListBullet"/>
        <w:numPr>
          <w:ilvl w:val="0"/>
          <w:numId w:val="0"/>
        </w:numPr>
        <w:spacing w:before="0"/>
        <w:ind w:left="397" w:hanging="397"/>
        <w:rPr>
          <w:sz w:val="18"/>
          <w:szCs w:val="18"/>
          <w:lang w:val="en-GB"/>
        </w:rPr>
      </w:pPr>
      <w:r w:rsidRPr="00D93FF9">
        <w:rPr>
          <w:sz w:val="18"/>
          <w:szCs w:val="18"/>
          <w:lang w:val="en-GB"/>
        </w:rPr>
        <w:t>Source: WHO (2020</w:t>
      </w:r>
      <w:r w:rsidR="00D97530" w:rsidRPr="00D93FF9">
        <w:rPr>
          <w:sz w:val="18"/>
          <w:szCs w:val="18"/>
          <w:lang w:val="en-GB"/>
        </w:rPr>
        <w:t>a and b</w:t>
      </w:r>
      <w:r w:rsidRPr="00D93FF9">
        <w:rPr>
          <w:sz w:val="18"/>
          <w:szCs w:val="18"/>
          <w:lang w:val="en-GB"/>
        </w:rPr>
        <w:t>)</w:t>
      </w:r>
    </w:p>
    <w:p w14:paraId="11CF55C1" w14:textId="2F06C328" w:rsidR="00113CC9" w:rsidRPr="00D93FF9" w:rsidRDefault="00A878D5" w:rsidP="00EE5F7A">
      <w:pPr>
        <w:pStyle w:val="ListBullet"/>
        <w:numPr>
          <w:ilvl w:val="0"/>
          <w:numId w:val="0"/>
        </w:numPr>
        <w:rPr>
          <w:lang w:val="en-GB"/>
        </w:rPr>
      </w:pPr>
      <w:r w:rsidRPr="00D93FF9">
        <w:rPr>
          <w:lang w:val="en-GB"/>
        </w:rPr>
        <w:t xml:space="preserve">Furthermore, the following practices should be adopted as much as possible (Jones </w:t>
      </w:r>
      <w:r w:rsidR="00FA6E9E" w:rsidRPr="00D93FF9">
        <w:rPr>
          <w:lang w:val="en-GB"/>
        </w:rPr>
        <w:t>and</w:t>
      </w:r>
      <w:r w:rsidRPr="00D93FF9">
        <w:rPr>
          <w:lang w:val="en-GB"/>
        </w:rPr>
        <w:t xml:space="preserve"> Orr 2000):</w:t>
      </w:r>
    </w:p>
    <w:p w14:paraId="0E9427A9" w14:textId="09C1A366" w:rsidR="00A878D5" w:rsidRPr="00D93FF9" w:rsidRDefault="00A878D5" w:rsidP="006544CF">
      <w:pPr>
        <w:pStyle w:val="BodyText"/>
        <w:numPr>
          <w:ilvl w:val="0"/>
          <w:numId w:val="25"/>
        </w:numPr>
        <w:spacing w:after="0" w:line="266" w:lineRule="auto"/>
        <w:jc w:val="both"/>
        <w:rPr>
          <w:lang w:val="en-GB"/>
        </w:rPr>
      </w:pPr>
      <w:r w:rsidRPr="00D93FF9">
        <w:rPr>
          <w:lang w:val="en-GB"/>
        </w:rPr>
        <w:lastRenderedPageBreak/>
        <w:t>Restrict spray irrigation when spray drift can be minimal</w:t>
      </w:r>
    </w:p>
    <w:p w14:paraId="75BADDB3" w14:textId="7B9BAC96" w:rsidR="00A878D5" w:rsidRPr="00D93FF9" w:rsidRDefault="00A878D5" w:rsidP="006544CF">
      <w:pPr>
        <w:pStyle w:val="BodyText"/>
        <w:numPr>
          <w:ilvl w:val="0"/>
          <w:numId w:val="25"/>
        </w:numPr>
        <w:spacing w:after="0" w:line="266" w:lineRule="auto"/>
        <w:jc w:val="both"/>
        <w:rPr>
          <w:lang w:val="en-GB"/>
        </w:rPr>
      </w:pPr>
      <w:r w:rsidRPr="00D93FF9">
        <w:rPr>
          <w:lang w:val="en-GB"/>
        </w:rPr>
        <w:t>Where spray drift is likely, workers should be made aware of the risks and avoid working in the vicinity and wear appropriate face masks</w:t>
      </w:r>
    </w:p>
    <w:p w14:paraId="7CB668BB" w14:textId="77777777" w:rsidR="00A878D5" w:rsidRPr="00D93FF9" w:rsidRDefault="00A878D5" w:rsidP="003807A1">
      <w:pPr>
        <w:pStyle w:val="BodyText"/>
        <w:spacing w:after="0" w:line="266" w:lineRule="auto"/>
        <w:jc w:val="both"/>
        <w:rPr>
          <w:lang w:val="en-GB"/>
        </w:rPr>
      </w:pPr>
    </w:p>
    <w:p w14:paraId="59DCC27D" w14:textId="554CC2DB" w:rsidR="00C46175" w:rsidRPr="00D93FF9" w:rsidRDefault="00E811B8" w:rsidP="003807A1">
      <w:pPr>
        <w:pStyle w:val="BodyText"/>
        <w:spacing w:after="0" w:line="266" w:lineRule="auto"/>
        <w:jc w:val="both"/>
        <w:rPr>
          <w:rFonts w:ascii="Arial"/>
          <w:sz w:val="16"/>
          <w:lang w:val="en-GB"/>
        </w:rPr>
      </w:pPr>
      <w:r w:rsidRPr="00D93FF9">
        <w:rPr>
          <w:lang w:val="en-GB"/>
        </w:rPr>
        <w:t>If a bloom of toxic cyanobacteria is suspected, a sample should be sent for analysis to identify the species present and if necessary, the level of toxicity. An alternative source of irrigation water should be used in the interim to minimise risk. Professional advice should be sought before any treatment method is implemented to ensure that the most effective measures are</w:t>
      </w:r>
      <w:r w:rsidRPr="00D93FF9">
        <w:rPr>
          <w:spacing w:val="-1"/>
          <w:lang w:val="en-GB"/>
        </w:rPr>
        <w:t xml:space="preserve"> </w:t>
      </w:r>
      <w:r w:rsidRPr="00D93FF9">
        <w:rPr>
          <w:lang w:val="en-GB"/>
        </w:rPr>
        <w:t>taken.</w:t>
      </w:r>
      <w:r w:rsidR="00AF4855" w:rsidRPr="00D93FF9">
        <w:rPr>
          <w:lang w:val="en-GB"/>
        </w:rPr>
        <w:t xml:space="preserve"> Should concerns be raised for potential contamination of crops from cyanotoxins, leaf and root tissue and soil tests should also be carried out (Corbel et al</w:t>
      </w:r>
      <w:r w:rsidR="00594A93" w:rsidRPr="00D93FF9">
        <w:rPr>
          <w:lang w:val="en-GB"/>
        </w:rPr>
        <w:t>.</w:t>
      </w:r>
      <w:r w:rsidR="00AF4855" w:rsidRPr="00D93FF9">
        <w:rPr>
          <w:lang w:val="en-GB"/>
        </w:rPr>
        <w:t xml:space="preserve"> 2014; Malakar et al</w:t>
      </w:r>
      <w:r w:rsidR="00594A93" w:rsidRPr="00D93FF9">
        <w:rPr>
          <w:lang w:val="en-GB"/>
        </w:rPr>
        <w:t>.</w:t>
      </w:r>
      <w:r w:rsidR="00AF4855" w:rsidRPr="00D93FF9">
        <w:rPr>
          <w:lang w:val="en-GB"/>
        </w:rPr>
        <w:t xml:space="preserve"> 2019).</w:t>
      </w:r>
      <w:bookmarkStart w:id="26" w:name="9.2.2.3__Human_and_animal_pathogens"/>
      <w:bookmarkEnd w:id="26"/>
      <w:r w:rsidR="006330FC" w:rsidRPr="00D93FF9">
        <w:rPr>
          <w:rFonts w:ascii="Arial"/>
          <w:sz w:val="16"/>
          <w:lang w:val="en-GB"/>
        </w:rPr>
        <w:t xml:space="preserve"> </w:t>
      </w:r>
    </w:p>
    <w:p w14:paraId="59DCC27E" w14:textId="53C4CF95" w:rsidR="00C46175" w:rsidRPr="00D93FF9" w:rsidRDefault="00E811B8" w:rsidP="003807A1">
      <w:pPr>
        <w:pStyle w:val="BodyText"/>
        <w:spacing w:after="0" w:line="266" w:lineRule="auto"/>
        <w:jc w:val="both"/>
        <w:rPr>
          <w:lang w:val="en-GB"/>
        </w:rPr>
      </w:pPr>
      <w:r w:rsidRPr="00D93FF9">
        <w:rPr>
          <w:lang w:val="en-GB"/>
        </w:rPr>
        <w:t xml:space="preserve">A major constraint to the management and control of cyanobacterial blooms is the risk of releasing toxins into surrounding waters. </w:t>
      </w:r>
      <w:r w:rsidR="000D2836" w:rsidRPr="00D93FF9">
        <w:rPr>
          <w:lang w:val="en-GB"/>
        </w:rPr>
        <w:t>Additionally, i</w:t>
      </w:r>
      <w:r w:rsidRPr="00D93FF9">
        <w:rPr>
          <w:lang w:val="en-GB"/>
        </w:rPr>
        <w:t xml:space="preserve">t is recommended that treated water sources </w:t>
      </w:r>
      <w:r w:rsidR="000E4675" w:rsidRPr="00D93FF9">
        <w:rPr>
          <w:lang w:val="en-GB"/>
        </w:rPr>
        <w:t xml:space="preserve">(with simazine for instance) </w:t>
      </w:r>
      <w:r w:rsidRPr="00D93FF9">
        <w:rPr>
          <w:lang w:val="en-GB"/>
        </w:rPr>
        <w:t>not be used for irrigation for at least ten days</w:t>
      </w:r>
      <w:r w:rsidR="00965F5F" w:rsidRPr="00D93FF9">
        <w:rPr>
          <w:lang w:val="en-GB"/>
        </w:rPr>
        <w:t xml:space="preserve"> to two weeks</w:t>
      </w:r>
      <w:r w:rsidR="000E4675" w:rsidRPr="00D93FF9">
        <w:rPr>
          <w:lang w:val="en-GB"/>
        </w:rPr>
        <w:t xml:space="preserve"> to ensure that the effects of both the pesticide and the toxins have dissipated </w:t>
      </w:r>
      <w:r w:rsidR="00965F5F" w:rsidRPr="00D93FF9">
        <w:rPr>
          <w:lang w:val="en-GB"/>
        </w:rPr>
        <w:t>(</w:t>
      </w:r>
      <w:r w:rsidR="000E4675" w:rsidRPr="00D93FF9">
        <w:rPr>
          <w:lang w:val="en-GB"/>
        </w:rPr>
        <w:t>DPIRD</w:t>
      </w:r>
      <w:r w:rsidR="000E218A" w:rsidRPr="00D93FF9">
        <w:rPr>
          <w:lang w:val="en-GB"/>
        </w:rPr>
        <w:t xml:space="preserve"> </w:t>
      </w:r>
      <w:r w:rsidR="000E4675" w:rsidRPr="00D93FF9">
        <w:rPr>
          <w:lang w:val="en-GB"/>
        </w:rPr>
        <w:t>2020</w:t>
      </w:r>
      <w:r w:rsidR="00167D3E" w:rsidRPr="00D93FF9">
        <w:rPr>
          <w:lang w:val="en-GB"/>
        </w:rPr>
        <w:t>; EPA Tasmania 2011</w:t>
      </w:r>
      <w:r w:rsidR="000E4675" w:rsidRPr="00D93FF9">
        <w:rPr>
          <w:lang w:val="en-GB"/>
        </w:rPr>
        <w:t>)</w:t>
      </w:r>
      <w:r w:rsidRPr="00D93FF9">
        <w:rPr>
          <w:lang w:val="en-GB"/>
        </w:rPr>
        <w:t>. However, in some cases a longer withholding period may be needed; for example, m</w:t>
      </w:r>
      <w:r w:rsidR="00B63A2D" w:rsidRPr="00D93FF9">
        <w:rPr>
          <w:lang w:val="en-GB"/>
        </w:rPr>
        <w:t>i</w:t>
      </w:r>
      <w:r w:rsidRPr="00D93FF9">
        <w:rPr>
          <w:lang w:val="en-GB"/>
        </w:rPr>
        <w:t xml:space="preserve">crocystins have been known to survive for longer than three weeks (Jones </w:t>
      </w:r>
      <w:r w:rsidR="00FA6E9E" w:rsidRPr="00D93FF9">
        <w:rPr>
          <w:lang w:val="en-GB"/>
        </w:rPr>
        <w:t>and</w:t>
      </w:r>
      <w:r w:rsidRPr="00D93FF9">
        <w:rPr>
          <w:lang w:val="en-GB"/>
        </w:rPr>
        <w:t xml:space="preserve"> Orr 1994).</w:t>
      </w:r>
    </w:p>
    <w:p w14:paraId="5C93F3C9" w14:textId="75CB228C" w:rsidR="00020D56" w:rsidRPr="00D93FF9" w:rsidRDefault="00020D56" w:rsidP="00020D56">
      <w:pPr>
        <w:pStyle w:val="ListBullet2"/>
        <w:numPr>
          <w:ilvl w:val="0"/>
          <w:numId w:val="0"/>
        </w:numPr>
        <w:rPr>
          <w:lang w:val="en-GB"/>
        </w:rPr>
      </w:pPr>
      <w:r w:rsidRPr="00D93FF9">
        <w:rPr>
          <w:lang w:val="en-GB"/>
        </w:rPr>
        <w:t>However, drinking water guidelines and a total daily intake (TDI) value are, at this stage, unable to determine a safe cyanotoxin concentration for irrigation waters given the diverse range of cyanotoxins and the differing bioaccumulation within different plant species (Corbel et al</w:t>
      </w:r>
      <w:r w:rsidR="00FD6C92" w:rsidRPr="00D93FF9">
        <w:rPr>
          <w:lang w:val="en-GB"/>
        </w:rPr>
        <w:t>.</w:t>
      </w:r>
      <w:r w:rsidRPr="00D93FF9">
        <w:rPr>
          <w:lang w:val="en-GB"/>
        </w:rPr>
        <w:t xml:space="preserve"> 2014).</w:t>
      </w:r>
    </w:p>
    <w:p w14:paraId="20718055" w14:textId="77777777" w:rsidR="00020D56" w:rsidRPr="00D93FF9" w:rsidRDefault="00020D56" w:rsidP="003807A1">
      <w:pPr>
        <w:pStyle w:val="BodyText"/>
        <w:spacing w:after="0" w:line="266" w:lineRule="auto"/>
        <w:jc w:val="both"/>
        <w:rPr>
          <w:lang w:val="en-GB"/>
        </w:rPr>
      </w:pPr>
    </w:p>
    <w:p w14:paraId="59DCC27F" w14:textId="77777777" w:rsidR="00BA0AAA" w:rsidRPr="00D93FF9" w:rsidRDefault="00BA0AAA" w:rsidP="003807A1">
      <w:pPr>
        <w:pStyle w:val="BodyText"/>
        <w:spacing w:after="0"/>
        <w:rPr>
          <w:sz w:val="25"/>
          <w:lang w:val="en-GB"/>
        </w:rPr>
      </w:pPr>
    </w:p>
    <w:p w14:paraId="59DCC280" w14:textId="77777777" w:rsidR="00C46175" w:rsidRPr="00D93FF9" w:rsidRDefault="00E811B8" w:rsidP="00604735">
      <w:pPr>
        <w:pStyle w:val="Heading3"/>
        <w:rPr>
          <w:lang w:val="en-GB"/>
        </w:rPr>
      </w:pPr>
      <w:bookmarkStart w:id="27" w:name="_Toc96693568"/>
      <w:r w:rsidRPr="00D93FF9">
        <w:rPr>
          <w:lang w:val="en-GB"/>
        </w:rPr>
        <w:t>Human and animal pathogens</w:t>
      </w:r>
      <w:bookmarkEnd w:id="27"/>
    </w:p>
    <w:p w14:paraId="59DCC281" w14:textId="0EA5664E" w:rsidR="00C46175" w:rsidRPr="00D93FF9" w:rsidRDefault="007C083F" w:rsidP="00F94F2B">
      <w:pPr>
        <w:spacing w:before="200" w:line="240" w:lineRule="auto"/>
        <w:ind w:left="284"/>
        <w:rPr>
          <w:b/>
          <w:bCs/>
          <w:i/>
          <w:iCs/>
          <w:lang w:val="en-GB"/>
        </w:rPr>
      </w:pPr>
      <w:r w:rsidRPr="00D93FF9">
        <w:rPr>
          <w:b/>
          <w:bCs/>
          <w:i/>
          <w:iCs/>
        </w:rPr>
        <w:t xml:space="preserve">Default guideline </w:t>
      </w:r>
      <w:r w:rsidR="00E90CE0" w:rsidRPr="00D93FF9">
        <w:rPr>
          <w:b/>
          <w:bCs/>
          <w:i/>
          <w:iCs/>
        </w:rPr>
        <w:t xml:space="preserve">values for </w:t>
      </w:r>
      <w:r w:rsidRPr="00D93FF9">
        <w:rPr>
          <w:b/>
          <w:bCs/>
          <w:i/>
          <w:iCs/>
        </w:rPr>
        <w:t>Escherichia coli</w:t>
      </w:r>
      <w:r w:rsidR="00FF34F1" w:rsidRPr="00D93FF9">
        <w:rPr>
          <w:b/>
          <w:bCs/>
          <w:i/>
          <w:iCs/>
        </w:rPr>
        <w:t xml:space="preserve"> (E.coli)</w:t>
      </w:r>
      <w:r w:rsidR="00E90CE0" w:rsidRPr="00D93FF9">
        <w:rPr>
          <w:b/>
          <w:bCs/>
          <w:i/>
          <w:iCs/>
        </w:rPr>
        <w:t xml:space="preserve"> in irrigation waters are provided in</w:t>
      </w:r>
      <w:r w:rsidR="001B5DAB" w:rsidRPr="00D93FF9">
        <w:rPr>
          <w:b/>
          <w:bCs/>
          <w:i/>
          <w:iCs/>
        </w:rPr>
        <w:t xml:space="preserve"> </w:t>
      </w:r>
      <w:r w:rsidR="001B5DAB" w:rsidRPr="00D93FF9">
        <w:rPr>
          <w:b/>
          <w:bCs/>
          <w:i/>
          <w:iCs/>
        </w:rPr>
        <w:fldChar w:fldCharType="begin"/>
      </w:r>
      <w:r w:rsidR="001B5DAB" w:rsidRPr="00D93FF9">
        <w:rPr>
          <w:b/>
          <w:bCs/>
          <w:i/>
          <w:iCs/>
        </w:rPr>
        <w:instrText xml:space="preserve"> REF _Ref81388916 \h  \* MERGEFORMAT </w:instrText>
      </w:r>
      <w:r w:rsidR="001B5DAB" w:rsidRPr="00D93FF9">
        <w:rPr>
          <w:b/>
          <w:bCs/>
          <w:i/>
          <w:iCs/>
        </w:rPr>
      </w:r>
      <w:r w:rsidR="001B5DAB" w:rsidRPr="00D93FF9">
        <w:rPr>
          <w:b/>
          <w:bCs/>
          <w:i/>
          <w:iCs/>
        </w:rPr>
        <w:fldChar w:fldCharType="separate"/>
      </w:r>
      <w:r w:rsidR="0069302C" w:rsidRPr="0069302C">
        <w:rPr>
          <w:b/>
          <w:bCs/>
        </w:rPr>
        <w:t xml:space="preserve">Table </w:t>
      </w:r>
      <w:r w:rsidR="0069302C" w:rsidRPr="0069302C">
        <w:rPr>
          <w:b/>
          <w:bCs/>
          <w:noProof/>
        </w:rPr>
        <w:t>5</w:t>
      </w:r>
      <w:r w:rsidR="001B5DAB" w:rsidRPr="00D93FF9">
        <w:rPr>
          <w:b/>
          <w:bCs/>
          <w:i/>
          <w:iCs/>
        </w:rPr>
        <w:fldChar w:fldCharType="end"/>
      </w:r>
      <w:r w:rsidR="00E90CE0" w:rsidRPr="00D93FF9">
        <w:rPr>
          <w:b/>
          <w:bCs/>
          <w:i/>
          <w:iCs/>
        </w:rPr>
        <w:t>.</w:t>
      </w:r>
    </w:p>
    <w:p w14:paraId="59DCC282" w14:textId="20110408" w:rsidR="00C46175" w:rsidRPr="00D93FF9" w:rsidRDefault="001B5DAB" w:rsidP="001B5DAB">
      <w:pPr>
        <w:pStyle w:val="Caption"/>
        <w:rPr>
          <w:rFonts w:ascii="Arial"/>
          <w:sz w:val="18"/>
          <w:lang w:val="en-GB"/>
        </w:rPr>
      </w:pPr>
      <w:bookmarkStart w:id="28" w:name="_Ref81388916"/>
      <w:bookmarkStart w:id="29" w:name="_Toc96518219"/>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5</w:t>
      </w:r>
      <w:r w:rsidR="00477102" w:rsidRPr="00D93FF9">
        <w:fldChar w:fldCharType="end"/>
      </w:r>
      <w:bookmarkEnd w:id="28"/>
      <w:r w:rsidRPr="00D93FF9">
        <w:t xml:space="preserve"> </w:t>
      </w:r>
      <w:bookmarkStart w:id="30" w:name="_Hlk153787480"/>
      <w:r w:rsidR="007C083F" w:rsidRPr="00D93FF9">
        <w:rPr>
          <w:rFonts w:ascii="Arial"/>
          <w:sz w:val="18"/>
          <w:lang w:val="en-GB"/>
        </w:rPr>
        <w:t>Default guideline</w:t>
      </w:r>
      <w:r w:rsidR="00E90CE0" w:rsidRPr="00D93FF9">
        <w:rPr>
          <w:rFonts w:ascii="Arial"/>
          <w:sz w:val="18"/>
          <w:lang w:val="en-GB"/>
        </w:rPr>
        <w:t xml:space="preserve"> values for </w:t>
      </w:r>
      <w:r w:rsidR="007C083F" w:rsidRPr="00D93FF9">
        <w:rPr>
          <w:rFonts w:ascii="Arial"/>
          <w:i/>
          <w:iCs/>
          <w:sz w:val="18"/>
          <w:lang w:val="en-GB"/>
        </w:rPr>
        <w:t>Escherichia coli</w:t>
      </w:r>
      <w:r w:rsidR="00E90CE0" w:rsidRPr="00D93FF9">
        <w:rPr>
          <w:rFonts w:ascii="Arial"/>
          <w:sz w:val="18"/>
          <w:lang w:val="en-GB"/>
        </w:rPr>
        <w:t xml:space="preserve"> in irrigation waters </w:t>
      </w:r>
      <w:r w:rsidR="00FF34F1" w:rsidRPr="00D93FF9">
        <w:rPr>
          <w:rFonts w:ascii="Arial"/>
          <w:sz w:val="18"/>
          <w:lang w:val="en-GB"/>
        </w:rPr>
        <w:t xml:space="preserve">sourced from rainfed natural sources </w:t>
      </w:r>
      <w:r w:rsidR="00E90CE0" w:rsidRPr="00D93FF9">
        <w:rPr>
          <w:rFonts w:ascii="Arial"/>
          <w:sz w:val="18"/>
          <w:lang w:val="en-GB"/>
        </w:rPr>
        <w:t>used for food and non-food crops</w:t>
      </w:r>
      <w:bookmarkEnd w:id="29"/>
      <w:bookmarkEnd w:id="30"/>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ault guideline values for Escherichia coli in irrigation waters sourced from rainfed natural sources used for food and non-food crops."/>
        <w:tblDescription w:val="A list of default guideline values for Escherichia coli in irrigation waters used for food and non-food crops. Provides values for different intended use, describing site preventative measures for each. The default guideline values range from 1 Escherichia coli per 100mL for commercial food crops consumed raw or unprocessed, to 10,000 Escherichia coli per 100mL for non-food crops."/>
      </w:tblPr>
      <w:tblGrid>
        <w:gridCol w:w="1809"/>
        <w:gridCol w:w="5812"/>
        <w:gridCol w:w="1418"/>
      </w:tblGrid>
      <w:tr w:rsidR="00BE3AA8" w:rsidRPr="00D93FF9" w14:paraId="59DCC287" w14:textId="77777777" w:rsidTr="00096135">
        <w:trPr>
          <w:trHeight w:val="398"/>
        </w:trPr>
        <w:tc>
          <w:tcPr>
            <w:tcW w:w="1809" w:type="dxa"/>
            <w:tcBorders>
              <w:top w:val="single" w:sz="4" w:space="0" w:color="auto"/>
              <w:bottom w:val="single" w:sz="4" w:space="0" w:color="auto"/>
            </w:tcBorders>
            <w:vAlign w:val="center"/>
            <w:hideMark/>
          </w:tcPr>
          <w:p w14:paraId="59DCC283" w14:textId="77777777" w:rsidR="007C083F" w:rsidRPr="00D93FF9" w:rsidRDefault="00E811B8" w:rsidP="003807A1">
            <w:pPr>
              <w:spacing w:before="0" w:after="0"/>
              <w:jc w:val="center"/>
              <w:rPr>
                <w:rFonts w:asciiTheme="minorHAnsi" w:hAnsiTheme="minorHAnsi"/>
                <w:b/>
                <w:bCs/>
                <w:szCs w:val="18"/>
                <w:lang w:val="en-GB"/>
              </w:rPr>
            </w:pPr>
            <w:r w:rsidRPr="00D93FF9">
              <w:rPr>
                <w:rFonts w:asciiTheme="minorHAnsi" w:hAnsiTheme="minorHAnsi"/>
                <w:b/>
                <w:bCs/>
                <w:szCs w:val="18"/>
                <w:lang w:val="en-GB"/>
              </w:rPr>
              <w:t>Intended Use</w:t>
            </w:r>
          </w:p>
        </w:tc>
        <w:tc>
          <w:tcPr>
            <w:tcW w:w="5812" w:type="dxa"/>
            <w:tcBorders>
              <w:top w:val="single" w:sz="4" w:space="0" w:color="auto"/>
              <w:bottom w:val="single" w:sz="4" w:space="0" w:color="auto"/>
            </w:tcBorders>
            <w:vAlign w:val="center"/>
            <w:hideMark/>
          </w:tcPr>
          <w:p w14:paraId="59DCC284" w14:textId="77777777" w:rsidR="007C083F" w:rsidRPr="00D93FF9" w:rsidRDefault="00E811B8" w:rsidP="003807A1">
            <w:pPr>
              <w:spacing w:before="0" w:after="0"/>
              <w:jc w:val="center"/>
              <w:rPr>
                <w:rFonts w:asciiTheme="minorHAnsi" w:hAnsiTheme="minorHAnsi"/>
                <w:b/>
                <w:bCs/>
                <w:szCs w:val="18"/>
                <w:lang w:val="en-GB"/>
              </w:rPr>
            </w:pPr>
            <w:r w:rsidRPr="00D93FF9">
              <w:rPr>
                <w:rFonts w:asciiTheme="minorHAnsi" w:hAnsiTheme="minorHAnsi"/>
                <w:b/>
                <w:bCs/>
                <w:szCs w:val="18"/>
                <w:lang w:val="en-GB"/>
              </w:rPr>
              <w:t>Site preventative measures</w:t>
            </w:r>
          </w:p>
        </w:tc>
        <w:tc>
          <w:tcPr>
            <w:tcW w:w="1418" w:type="dxa"/>
            <w:tcBorders>
              <w:top w:val="single" w:sz="4" w:space="0" w:color="auto"/>
              <w:bottom w:val="single" w:sz="4" w:space="0" w:color="auto"/>
            </w:tcBorders>
            <w:vAlign w:val="center"/>
            <w:hideMark/>
          </w:tcPr>
          <w:p w14:paraId="59DCC285" w14:textId="77777777" w:rsidR="007C083F" w:rsidRPr="00D93FF9" w:rsidRDefault="00E811B8" w:rsidP="003807A1">
            <w:pPr>
              <w:spacing w:before="0" w:after="0"/>
              <w:jc w:val="center"/>
              <w:rPr>
                <w:rFonts w:asciiTheme="minorHAnsi" w:hAnsiTheme="minorHAnsi"/>
                <w:b/>
                <w:bCs/>
                <w:szCs w:val="18"/>
                <w:lang w:val="en-GB"/>
              </w:rPr>
            </w:pPr>
            <w:r w:rsidRPr="00D93FF9">
              <w:rPr>
                <w:rFonts w:asciiTheme="minorHAnsi" w:hAnsiTheme="minorHAnsi"/>
                <w:b/>
                <w:bCs/>
                <w:szCs w:val="18"/>
                <w:lang w:val="en-GB"/>
              </w:rPr>
              <w:t>DGV *</w:t>
            </w:r>
          </w:p>
          <w:p w14:paraId="59DCC286" w14:textId="77777777" w:rsidR="007C083F" w:rsidRPr="00D93FF9" w:rsidRDefault="00E811B8" w:rsidP="003807A1">
            <w:pPr>
              <w:spacing w:before="0" w:after="0"/>
              <w:jc w:val="center"/>
              <w:rPr>
                <w:rFonts w:asciiTheme="minorHAnsi" w:hAnsiTheme="minorHAnsi"/>
                <w:b/>
                <w:bCs/>
                <w:szCs w:val="18"/>
                <w:lang w:val="en-GB"/>
              </w:rPr>
            </w:pPr>
            <w:r w:rsidRPr="00D93FF9">
              <w:rPr>
                <w:rFonts w:asciiTheme="minorHAnsi" w:hAnsiTheme="minorHAnsi"/>
                <w:b/>
                <w:bCs/>
                <w:szCs w:val="18"/>
                <w:lang w:val="en-GB"/>
              </w:rPr>
              <w:t>(</w:t>
            </w:r>
            <w:r w:rsidRPr="00D93FF9">
              <w:rPr>
                <w:rFonts w:asciiTheme="minorHAnsi" w:hAnsiTheme="minorHAnsi"/>
                <w:b/>
                <w:bCs/>
                <w:i/>
                <w:iCs/>
                <w:szCs w:val="18"/>
                <w:lang w:val="en-GB"/>
              </w:rPr>
              <w:t>E. coli</w:t>
            </w:r>
            <w:r w:rsidRPr="00D93FF9">
              <w:rPr>
                <w:rFonts w:asciiTheme="minorHAnsi" w:hAnsiTheme="minorHAnsi"/>
                <w:b/>
                <w:bCs/>
                <w:szCs w:val="18"/>
                <w:lang w:val="en-GB"/>
              </w:rPr>
              <w:t xml:space="preserve"> / 100mL)</w:t>
            </w:r>
          </w:p>
        </w:tc>
      </w:tr>
      <w:tr w:rsidR="00BE3AA8" w:rsidRPr="00D93FF9" w14:paraId="59DCC28B" w14:textId="77777777" w:rsidTr="00096135">
        <w:trPr>
          <w:trHeight w:val="562"/>
        </w:trPr>
        <w:tc>
          <w:tcPr>
            <w:tcW w:w="1809" w:type="dxa"/>
            <w:tcBorders>
              <w:top w:val="single" w:sz="4" w:space="0" w:color="auto"/>
            </w:tcBorders>
            <w:vAlign w:val="center"/>
            <w:hideMark/>
          </w:tcPr>
          <w:p w14:paraId="59DCC288"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Commercial food crops consumed raw or unprocessed</w:t>
            </w:r>
          </w:p>
        </w:tc>
        <w:tc>
          <w:tcPr>
            <w:tcW w:w="5812" w:type="dxa"/>
            <w:tcBorders>
              <w:top w:val="single" w:sz="4" w:space="0" w:color="auto"/>
            </w:tcBorders>
            <w:hideMark/>
          </w:tcPr>
          <w:p w14:paraId="59DCC289"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None required, water can be used for all crop applications, including spray irrigation of salad crops</w:t>
            </w:r>
          </w:p>
        </w:tc>
        <w:tc>
          <w:tcPr>
            <w:tcW w:w="1418" w:type="dxa"/>
            <w:tcBorders>
              <w:top w:val="single" w:sz="4" w:space="0" w:color="auto"/>
            </w:tcBorders>
            <w:vAlign w:val="center"/>
            <w:hideMark/>
          </w:tcPr>
          <w:p w14:paraId="59DCC28A" w14:textId="77777777" w:rsidR="007C083F" w:rsidRPr="00D93FF9" w:rsidRDefault="00E811B8" w:rsidP="003807A1">
            <w:pPr>
              <w:spacing w:before="0" w:after="0"/>
              <w:jc w:val="right"/>
              <w:rPr>
                <w:rFonts w:asciiTheme="minorHAnsi" w:hAnsiTheme="minorHAnsi" w:cs="Arial"/>
                <w:color w:val="000000"/>
                <w:szCs w:val="18"/>
                <w:lang w:val="en-GB"/>
              </w:rPr>
            </w:pPr>
            <w:r w:rsidRPr="00D93FF9">
              <w:rPr>
                <w:rFonts w:asciiTheme="minorHAnsi" w:hAnsiTheme="minorHAnsi" w:cs="Arial"/>
                <w:color w:val="000000"/>
                <w:szCs w:val="18"/>
                <w:lang w:val="en-GB"/>
              </w:rPr>
              <w:t>1</w:t>
            </w:r>
          </w:p>
        </w:tc>
      </w:tr>
      <w:tr w:rsidR="00BE3AA8" w:rsidRPr="00D93FF9" w14:paraId="59DCC28F" w14:textId="77777777" w:rsidTr="00F94F2B">
        <w:trPr>
          <w:trHeight w:val="840"/>
        </w:trPr>
        <w:tc>
          <w:tcPr>
            <w:tcW w:w="1809" w:type="dxa"/>
            <w:vMerge w:val="restart"/>
            <w:vAlign w:val="center"/>
            <w:hideMark/>
          </w:tcPr>
          <w:p w14:paraId="59DCC28C"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Commercial food crops **</w:t>
            </w:r>
          </w:p>
        </w:tc>
        <w:tc>
          <w:tcPr>
            <w:tcW w:w="5812" w:type="dxa"/>
            <w:hideMark/>
          </w:tcPr>
          <w:p w14:paraId="59DCC28D"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If spray irrigation a minimum of 2 days between final irrigation and harvest (no harvesting of wet produce).</w:t>
            </w:r>
            <w:r w:rsidRPr="00D93FF9">
              <w:rPr>
                <w:rFonts w:asciiTheme="minorHAnsi" w:hAnsiTheme="minorHAnsi" w:cs="Arial"/>
                <w:color w:val="000000"/>
                <w:szCs w:val="18"/>
                <w:lang w:val="en-GB"/>
              </w:rPr>
              <w:br/>
              <w:t>Above-ground crops with subsurface irrigation.</w:t>
            </w:r>
            <w:r w:rsidRPr="00D93FF9">
              <w:rPr>
                <w:rFonts w:asciiTheme="minorHAnsi" w:hAnsiTheme="minorHAnsi" w:cs="Arial"/>
                <w:color w:val="000000"/>
                <w:szCs w:val="18"/>
                <w:lang w:val="en-GB"/>
              </w:rPr>
              <w:br/>
              <w:t>Crops with no ground contact with skins removed before consumption (e.g. Citrus).</w:t>
            </w:r>
          </w:p>
        </w:tc>
        <w:tc>
          <w:tcPr>
            <w:tcW w:w="1418" w:type="dxa"/>
            <w:vAlign w:val="center"/>
            <w:hideMark/>
          </w:tcPr>
          <w:p w14:paraId="59DCC28E" w14:textId="77777777" w:rsidR="007C083F" w:rsidRPr="00D93FF9" w:rsidRDefault="00E811B8" w:rsidP="003807A1">
            <w:pPr>
              <w:spacing w:before="0" w:after="0"/>
              <w:jc w:val="right"/>
              <w:rPr>
                <w:rFonts w:asciiTheme="minorHAnsi" w:hAnsiTheme="minorHAnsi" w:cs="Arial"/>
                <w:color w:val="000000"/>
                <w:szCs w:val="18"/>
                <w:lang w:val="en-GB"/>
              </w:rPr>
            </w:pPr>
            <w:r w:rsidRPr="00D93FF9">
              <w:rPr>
                <w:rFonts w:asciiTheme="minorHAnsi" w:hAnsiTheme="minorHAnsi" w:cs="Arial"/>
                <w:color w:val="000000"/>
                <w:szCs w:val="18"/>
                <w:lang w:val="en-GB"/>
              </w:rPr>
              <w:t>100</w:t>
            </w:r>
          </w:p>
        </w:tc>
      </w:tr>
      <w:tr w:rsidR="00BE3AA8" w:rsidRPr="00D93FF9" w14:paraId="59DCC293" w14:textId="77777777" w:rsidTr="00F94F2B">
        <w:trPr>
          <w:trHeight w:val="710"/>
        </w:trPr>
        <w:tc>
          <w:tcPr>
            <w:tcW w:w="1809" w:type="dxa"/>
            <w:vMerge/>
            <w:vAlign w:val="center"/>
            <w:hideMark/>
          </w:tcPr>
          <w:p w14:paraId="59DCC290" w14:textId="77777777" w:rsidR="007C083F" w:rsidRPr="00D93FF9" w:rsidRDefault="007C083F" w:rsidP="003807A1">
            <w:pPr>
              <w:spacing w:before="0" w:after="0"/>
              <w:rPr>
                <w:rFonts w:asciiTheme="minorHAnsi" w:hAnsiTheme="minorHAnsi" w:cs="Arial"/>
                <w:color w:val="000000"/>
                <w:szCs w:val="18"/>
                <w:lang w:val="en-GB"/>
              </w:rPr>
            </w:pPr>
          </w:p>
        </w:tc>
        <w:tc>
          <w:tcPr>
            <w:tcW w:w="5812" w:type="dxa"/>
            <w:hideMark/>
          </w:tcPr>
          <w:p w14:paraId="59DCC291"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 xml:space="preserve">No contact of irrigation water or irrigated soil with harvestable part of crop (e.g. apples, apricots, grapes, citrus, nuts), or </w:t>
            </w:r>
            <w:r w:rsidRPr="00D93FF9">
              <w:rPr>
                <w:rFonts w:asciiTheme="minorHAnsi" w:hAnsiTheme="minorHAnsi" w:cs="Arial"/>
                <w:color w:val="000000"/>
                <w:szCs w:val="18"/>
                <w:lang w:val="en-GB"/>
              </w:rPr>
              <w:br/>
              <w:t xml:space="preserve">Crops processed and cooked before consumption (e.g. wine production, potatoes, beetroot). </w:t>
            </w:r>
          </w:p>
        </w:tc>
        <w:tc>
          <w:tcPr>
            <w:tcW w:w="1418" w:type="dxa"/>
            <w:vAlign w:val="center"/>
            <w:hideMark/>
          </w:tcPr>
          <w:p w14:paraId="59DCC292" w14:textId="77777777" w:rsidR="007C083F" w:rsidRPr="00D93FF9" w:rsidRDefault="00E811B8" w:rsidP="003807A1">
            <w:pPr>
              <w:spacing w:before="0" w:after="0"/>
              <w:jc w:val="right"/>
              <w:rPr>
                <w:rFonts w:asciiTheme="minorHAnsi" w:hAnsiTheme="minorHAnsi" w:cs="Arial"/>
                <w:color w:val="000000"/>
                <w:szCs w:val="18"/>
                <w:lang w:val="en-GB"/>
              </w:rPr>
            </w:pPr>
            <w:r w:rsidRPr="00D93FF9">
              <w:rPr>
                <w:rFonts w:asciiTheme="minorHAnsi" w:hAnsiTheme="minorHAnsi" w:cs="Arial"/>
                <w:color w:val="000000"/>
                <w:szCs w:val="18"/>
                <w:lang w:val="en-GB"/>
              </w:rPr>
              <w:t>1000</w:t>
            </w:r>
          </w:p>
        </w:tc>
      </w:tr>
      <w:tr w:rsidR="00BE3AA8" w:rsidRPr="00D93FF9" w14:paraId="59DCC297" w14:textId="77777777" w:rsidTr="00F94F2B">
        <w:trPr>
          <w:trHeight w:val="564"/>
        </w:trPr>
        <w:tc>
          <w:tcPr>
            <w:tcW w:w="1809" w:type="dxa"/>
            <w:vAlign w:val="center"/>
            <w:hideMark/>
          </w:tcPr>
          <w:p w14:paraId="59DCC294"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Livestock drinking water</w:t>
            </w:r>
          </w:p>
        </w:tc>
        <w:tc>
          <w:tcPr>
            <w:tcW w:w="5812" w:type="dxa"/>
            <w:hideMark/>
          </w:tcPr>
          <w:p w14:paraId="59DCC295"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 xml:space="preserve">Water not to be used for consumption by cattle under 12 months of age if the source of water contains animal (e.g. abattoir or saleyard) waste. Monitor and manage algae blooms. </w:t>
            </w:r>
          </w:p>
        </w:tc>
        <w:tc>
          <w:tcPr>
            <w:tcW w:w="1418" w:type="dxa"/>
            <w:vAlign w:val="center"/>
            <w:hideMark/>
          </w:tcPr>
          <w:p w14:paraId="59DCC296" w14:textId="77777777" w:rsidR="007C083F" w:rsidRPr="00D93FF9" w:rsidRDefault="00E811B8" w:rsidP="003807A1">
            <w:pPr>
              <w:spacing w:before="0" w:after="0"/>
              <w:jc w:val="right"/>
              <w:rPr>
                <w:rFonts w:asciiTheme="minorHAnsi" w:hAnsiTheme="minorHAnsi" w:cs="Arial"/>
                <w:color w:val="000000"/>
                <w:szCs w:val="18"/>
                <w:lang w:val="en-GB"/>
              </w:rPr>
            </w:pPr>
            <w:r w:rsidRPr="00D93FF9">
              <w:rPr>
                <w:rFonts w:asciiTheme="minorHAnsi" w:hAnsiTheme="minorHAnsi" w:cs="Arial"/>
                <w:color w:val="000000"/>
                <w:szCs w:val="18"/>
                <w:lang w:val="en-GB"/>
              </w:rPr>
              <w:t>100</w:t>
            </w:r>
          </w:p>
        </w:tc>
      </w:tr>
      <w:tr w:rsidR="00BE3AA8" w:rsidRPr="00D93FF9" w14:paraId="59DCC29C" w14:textId="77777777" w:rsidTr="00F94F2B">
        <w:trPr>
          <w:trHeight w:val="602"/>
        </w:trPr>
        <w:tc>
          <w:tcPr>
            <w:tcW w:w="1809" w:type="dxa"/>
            <w:vMerge w:val="restart"/>
            <w:vAlign w:val="center"/>
            <w:hideMark/>
          </w:tcPr>
          <w:p w14:paraId="59DCC298"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 xml:space="preserve">Pasture or fodder crop irrigation </w:t>
            </w:r>
          </w:p>
          <w:p w14:paraId="59DCC299"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lastRenderedPageBreak/>
              <w:t xml:space="preserve">(including hay, silage, and commercial fodder production). </w:t>
            </w:r>
          </w:p>
        </w:tc>
        <w:tc>
          <w:tcPr>
            <w:tcW w:w="5812" w:type="dxa"/>
            <w:hideMark/>
          </w:tcPr>
          <w:p w14:paraId="59DCC29A"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lastRenderedPageBreak/>
              <w:t xml:space="preserve">Limited withholding periods: </w:t>
            </w:r>
            <w:r w:rsidRPr="00D93FF9">
              <w:rPr>
                <w:rFonts w:asciiTheme="minorHAnsi" w:hAnsiTheme="minorHAnsi" w:cs="Arial"/>
                <w:color w:val="000000"/>
                <w:szCs w:val="18"/>
                <w:lang w:val="en-GB"/>
              </w:rPr>
              <w:br/>
              <w:t>Exclude lactating dairy cattle from pasture for four hours or until pasture is dry.</w:t>
            </w:r>
            <w:r w:rsidRPr="00D93FF9">
              <w:rPr>
                <w:rFonts w:asciiTheme="minorHAnsi" w:hAnsiTheme="minorHAnsi" w:cs="Arial"/>
                <w:color w:val="000000"/>
                <w:szCs w:val="18"/>
                <w:lang w:val="en-GB"/>
              </w:rPr>
              <w:br/>
              <w:t xml:space="preserve">Suitable for direct grazing by animals with consideration of notes below * </w:t>
            </w:r>
          </w:p>
        </w:tc>
        <w:tc>
          <w:tcPr>
            <w:tcW w:w="1418" w:type="dxa"/>
            <w:vAlign w:val="center"/>
            <w:hideMark/>
          </w:tcPr>
          <w:p w14:paraId="59DCC29B" w14:textId="77777777" w:rsidR="007C083F" w:rsidRPr="00D93FF9" w:rsidRDefault="00E811B8" w:rsidP="003807A1">
            <w:pPr>
              <w:spacing w:before="0" w:after="0"/>
              <w:jc w:val="right"/>
              <w:rPr>
                <w:rFonts w:asciiTheme="minorHAnsi" w:hAnsiTheme="minorHAnsi" w:cs="Arial"/>
                <w:color w:val="000000"/>
                <w:szCs w:val="18"/>
                <w:lang w:val="en-GB"/>
              </w:rPr>
            </w:pPr>
            <w:r w:rsidRPr="00D93FF9">
              <w:rPr>
                <w:rFonts w:asciiTheme="minorHAnsi" w:hAnsiTheme="minorHAnsi" w:cs="Arial"/>
                <w:color w:val="000000"/>
                <w:szCs w:val="18"/>
                <w:lang w:val="en-GB"/>
              </w:rPr>
              <w:t>100</w:t>
            </w:r>
          </w:p>
        </w:tc>
      </w:tr>
      <w:tr w:rsidR="00BE3AA8" w:rsidRPr="00D93FF9" w14:paraId="59DCC2A0" w14:textId="77777777" w:rsidTr="00F94F2B">
        <w:trPr>
          <w:trHeight w:val="554"/>
        </w:trPr>
        <w:tc>
          <w:tcPr>
            <w:tcW w:w="1809" w:type="dxa"/>
            <w:vMerge/>
            <w:vAlign w:val="center"/>
            <w:hideMark/>
          </w:tcPr>
          <w:p w14:paraId="59DCC29D" w14:textId="77777777" w:rsidR="007C083F" w:rsidRPr="00D93FF9" w:rsidRDefault="007C083F" w:rsidP="003807A1">
            <w:pPr>
              <w:spacing w:before="0" w:after="0"/>
              <w:rPr>
                <w:rFonts w:asciiTheme="minorHAnsi" w:hAnsiTheme="minorHAnsi" w:cs="Arial"/>
                <w:color w:val="000000"/>
                <w:szCs w:val="18"/>
                <w:lang w:val="en-GB"/>
              </w:rPr>
            </w:pPr>
          </w:p>
        </w:tc>
        <w:tc>
          <w:tcPr>
            <w:tcW w:w="5812" w:type="dxa"/>
            <w:hideMark/>
          </w:tcPr>
          <w:p w14:paraId="59DCC29E"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5 day withholding period:</w:t>
            </w:r>
            <w:r w:rsidRPr="00D93FF9">
              <w:rPr>
                <w:rFonts w:asciiTheme="minorHAnsi" w:hAnsiTheme="minorHAnsi" w:cs="Arial"/>
                <w:color w:val="000000"/>
                <w:szCs w:val="18"/>
                <w:lang w:val="en-GB"/>
              </w:rPr>
              <w:br/>
              <w:t>Exclude grazing animals for 5 days after irrigation.</w:t>
            </w:r>
            <w:r w:rsidRPr="00D93FF9">
              <w:rPr>
                <w:rFonts w:asciiTheme="minorHAnsi" w:hAnsiTheme="minorHAnsi" w:cs="Arial"/>
                <w:color w:val="000000"/>
                <w:szCs w:val="18"/>
                <w:lang w:val="en-GB"/>
              </w:rPr>
              <w:br/>
              <w:t>Fodder dried and ensiled (not for human consumption)</w:t>
            </w:r>
          </w:p>
        </w:tc>
        <w:tc>
          <w:tcPr>
            <w:tcW w:w="1418" w:type="dxa"/>
            <w:vAlign w:val="center"/>
            <w:hideMark/>
          </w:tcPr>
          <w:p w14:paraId="59DCC29F" w14:textId="77777777" w:rsidR="007C083F" w:rsidRPr="00D93FF9" w:rsidRDefault="00E811B8" w:rsidP="003807A1">
            <w:pPr>
              <w:spacing w:before="0" w:after="0"/>
              <w:jc w:val="right"/>
              <w:rPr>
                <w:rFonts w:asciiTheme="minorHAnsi" w:hAnsiTheme="minorHAnsi" w:cs="Arial"/>
                <w:color w:val="000000"/>
                <w:szCs w:val="18"/>
                <w:lang w:val="en-GB"/>
              </w:rPr>
            </w:pPr>
            <w:r w:rsidRPr="00D93FF9">
              <w:rPr>
                <w:rFonts w:asciiTheme="minorHAnsi" w:hAnsiTheme="minorHAnsi" w:cs="Arial"/>
                <w:color w:val="000000"/>
                <w:szCs w:val="18"/>
                <w:lang w:val="en-GB"/>
              </w:rPr>
              <w:t>1000</w:t>
            </w:r>
          </w:p>
        </w:tc>
      </w:tr>
      <w:tr w:rsidR="00BE3AA8" w:rsidRPr="00D93FF9" w14:paraId="59DCC2A5" w14:textId="77777777" w:rsidTr="00F94F2B">
        <w:trPr>
          <w:trHeight w:val="574"/>
        </w:trPr>
        <w:tc>
          <w:tcPr>
            <w:tcW w:w="1809" w:type="dxa"/>
            <w:tcBorders>
              <w:bottom w:val="single" w:sz="4" w:space="0" w:color="auto"/>
            </w:tcBorders>
            <w:vAlign w:val="center"/>
            <w:hideMark/>
          </w:tcPr>
          <w:p w14:paraId="59DCC2A1"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Non-food crops</w:t>
            </w:r>
          </w:p>
          <w:p w14:paraId="59DCC2A2"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(e.g. trees, woodlots, flowers, cotton)</w:t>
            </w:r>
          </w:p>
        </w:tc>
        <w:tc>
          <w:tcPr>
            <w:tcW w:w="5812" w:type="dxa"/>
            <w:tcBorders>
              <w:bottom w:val="single" w:sz="4" w:space="0" w:color="auto"/>
            </w:tcBorders>
            <w:hideMark/>
          </w:tcPr>
          <w:p w14:paraId="59DCC2A3" w14:textId="77777777" w:rsidR="007C083F" w:rsidRPr="00D93FF9" w:rsidRDefault="00E811B8" w:rsidP="003807A1">
            <w:pPr>
              <w:spacing w:before="0" w:after="0"/>
              <w:rPr>
                <w:rFonts w:asciiTheme="minorHAnsi" w:hAnsiTheme="minorHAnsi" w:cs="Arial"/>
                <w:color w:val="000000"/>
                <w:szCs w:val="18"/>
                <w:lang w:val="en-GB"/>
              </w:rPr>
            </w:pPr>
            <w:r w:rsidRPr="00D93FF9">
              <w:rPr>
                <w:rFonts w:asciiTheme="minorHAnsi" w:hAnsiTheme="minorHAnsi" w:cs="Arial"/>
                <w:color w:val="000000"/>
                <w:szCs w:val="18"/>
                <w:lang w:val="en-GB"/>
              </w:rPr>
              <w:t>no access during irrigation.  If public potentially in vicinity and spray irrigation a minimum of 25 m buffer to nearest public access is required.</w:t>
            </w:r>
          </w:p>
        </w:tc>
        <w:tc>
          <w:tcPr>
            <w:tcW w:w="1418" w:type="dxa"/>
            <w:tcBorders>
              <w:bottom w:val="single" w:sz="4" w:space="0" w:color="auto"/>
            </w:tcBorders>
            <w:vAlign w:val="center"/>
            <w:hideMark/>
          </w:tcPr>
          <w:p w14:paraId="59DCC2A4" w14:textId="77777777" w:rsidR="007C083F" w:rsidRPr="00D93FF9" w:rsidRDefault="00E811B8" w:rsidP="003807A1">
            <w:pPr>
              <w:spacing w:before="0" w:after="0"/>
              <w:jc w:val="right"/>
              <w:rPr>
                <w:rFonts w:asciiTheme="minorHAnsi" w:hAnsiTheme="minorHAnsi" w:cs="Arial"/>
                <w:color w:val="000000"/>
                <w:szCs w:val="18"/>
                <w:lang w:val="en-GB"/>
              </w:rPr>
            </w:pPr>
            <w:r w:rsidRPr="00D93FF9">
              <w:rPr>
                <w:rFonts w:asciiTheme="minorHAnsi" w:hAnsiTheme="minorHAnsi" w:cs="Arial"/>
                <w:color w:val="000000"/>
                <w:szCs w:val="18"/>
                <w:lang w:val="en-GB"/>
              </w:rPr>
              <w:t>10000</w:t>
            </w:r>
          </w:p>
        </w:tc>
      </w:tr>
    </w:tbl>
    <w:p w14:paraId="59DCC2A6" w14:textId="0F4F240F" w:rsidR="007C083F" w:rsidRPr="00D93FF9" w:rsidRDefault="00E811B8" w:rsidP="003807A1">
      <w:pPr>
        <w:tabs>
          <w:tab w:val="left" w:pos="516"/>
        </w:tabs>
        <w:spacing w:after="0"/>
        <w:rPr>
          <w:sz w:val="16"/>
          <w:szCs w:val="16"/>
          <w:lang w:val="en-GB"/>
        </w:rPr>
      </w:pPr>
      <w:r w:rsidRPr="00D93FF9">
        <w:rPr>
          <w:sz w:val="16"/>
          <w:szCs w:val="16"/>
          <w:lang w:val="en-GB"/>
        </w:rPr>
        <w:t>Adapted from A</w:t>
      </w:r>
      <w:r w:rsidR="00DF2783" w:rsidRPr="00D93FF9">
        <w:rPr>
          <w:sz w:val="16"/>
          <w:szCs w:val="16"/>
          <w:lang w:val="en-GB"/>
        </w:rPr>
        <w:t xml:space="preserve">ustralian </w:t>
      </w:r>
      <w:r w:rsidRPr="00D93FF9">
        <w:rPr>
          <w:sz w:val="16"/>
          <w:szCs w:val="16"/>
          <w:lang w:val="en-GB"/>
        </w:rPr>
        <w:t>G</w:t>
      </w:r>
      <w:r w:rsidR="00DF2783" w:rsidRPr="00D93FF9">
        <w:rPr>
          <w:sz w:val="16"/>
          <w:szCs w:val="16"/>
          <w:lang w:val="en-GB"/>
        </w:rPr>
        <w:t xml:space="preserve">uidelines for </w:t>
      </w:r>
      <w:r w:rsidRPr="00D93FF9">
        <w:rPr>
          <w:sz w:val="16"/>
          <w:szCs w:val="16"/>
          <w:lang w:val="en-GB"/>
        </w:rPr>
        <w:t>W</w:t>
      </w:r>
      <w:r w:rsidR="00DF2783" w:rsidRPr="00D93FF9">
        <w:rPr>
          <w:sz w:val="16"/>
          <w:szCs w:val="16"/>
          <w:lang w:val="en-GB"/>
        </w:rPr>
        <w:t xml:space="preserve">ater </w:t>
      </w:r>
      <w:r w:rsidRPr="00D93FF9">
        <w:rPr>
          <w:sz w:val="16"/>
          <w:szCs w:val="16"/>
          <w:lang w:val="en-GB"/>
        </w:rPr>
        <w:t>R</w:t>
      </w:r>
      <w:r w:rsidR="00DF2783" w:rsidRPr="00D93FF9">
        <w:rPr>
          <w:sz w:val="16"/>
          <w:szCs w:val="16"/>
          <w:lang w:val="en-GB"/>
        </w:rPr>
        <w:t>ecycling (AGWR)</w:t>
      </w:r>
      <w:r w:rsidRPr="00D93FF9">
        <w:rPr>
          <w:sz w:val="16"/>
          <w:szCs w:val="16"/>
          <w:lang w:val="en-GB"/>
        </w:rPr>
        <w:t xml:space="preserve"> </w:t>
      </w:r>
      <w:r w:rsidRPr="00D93FF9">
        <w:rPr>
          <w:sz w:val="16"/>
          <w:szCs w:val="16"/>
          <w:lang w:val="en-GB"/>
        </w:rPr>
        <w:fldChar w:fldCharType="begin"/>
      </w:r>
      <w:r w:rsidR="007C2051" w:rsidRPr="00D93FF9">
        <w:rPr>
          <w:sz w:val="16"/>
          <w:szCs w:val="16"/>
          <w:lang w:val="en-GB"/>
        </w:rPr>
        <w:instrText xml:space="preserve"> ADDIN ZOTERO_ITEM CSL_CITATION {"citationID":"A5TETVLD","properties":{"formattedCitation":"(NRMMC et al., 2006)","plainCitation":"(NRMMC et al., 2006)","noteIndex":0},"citationItems":[{"id":3886,"uris":["http://zotero.org/users/1938757/items/MHXN2WMQ"],"uri":["http://zotero.org/users/1938757/items/MHXN2WMQ"],"itemData":{"id":3886,"type":"book","event-place":"Canberra,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schema":"https://github.com/citation-style-language/schema/raw/master/csl-citation.json"} </w:instrText>
      </w:r>
      <w:r w:rsidRPr="00D93FF9">
        <w:rPr>
          <w:sz w:val="16"/>
          <w:szCs w:val="16"/>
          <w:lang w:val="en-GB"/>
        </w:rPr>
        <w:fldChar w:fldCharType="separate"/>
      </w:r>
      <w:r w:rsidR="007C2051" w:rsidRPr="00D93FF9">
        <w:rPr>
          <w:rFonts w:ascii="Calibri" w:hAnsi="Calibri" w:cs="Calibri"/>
          <w:sz w:val="16"/>
        </w:rPr>
        <w:t>(NRMMC</w:t>
      </w:r>
      <w:r w:rsidR="00DB0B5D" w:rsidRPr="00D93FF9">
        <w:rPr>
          <w:rFonts w:ascii="Calibri" w:hAnsi="Calibri" w:cs="Calibri"/>
          <w:sz w:val="16"/>
        </w:rPr>
        <w:t xml:space="preserve">, EPHC </w:t>
      </w:r>
      <w:r w:rsidR="00FA6E9E" w:rsidRPr="00D93FF9">
        <w:rPr>
          <w:rFonts w:ascii="Calibri" w:hAnsi="Calibri" w:cs="Calibri"/>
          <w:sz w:val="16"/>
        </w:rPr>
        <w:t>and</w:t>
      </w:r>
      <w:r w:rsidR="00DB0B5D" w:rsidRPr="00D93FF9">
        <w:rPr>
          <w:rFonts w:ascii="Calibri" w:hAnsi="Calibri" w:cs="Calibri"/>
          <w:sz w:val="16"/>
        </w:rPr>
        <w:t xml:space="preserve"> AHMC</w:t>
      </w:r>
      <w:r w:rsidR="007C2051" w:rsidRPr="00D93FF9">
        <w:rPr>
          <w:rFonts w:ascii="Calibri" w:hAnsi="Calibri" w:cs="Calibri"/>
          <w:sz w:val="16"/>
        </w:rPr>
        <w:t xml:space="preserve"> 2006)</w:t>
      </w:r>
      <w:r w:rsidRPr="00D93FF9">
        <w:rPr>
          <w:sz w:val="16"/>
          <w:szCs w:val="16"/>
          <w:lang w:val="en-GB"/>
        </w:rPr>
        <w:fldChar w:fldCharType="end"/>
      </w:r>
    </w:p>
    <w:p w14:paraId="59DCC2A7" w14:textId="77777777" w:rsidR="007C083F" w:rsidRPr="00D93FF9" w:rsidRDefault="00E811B8" w:rsidP="003807A1">
      <w:pPr>
        <w:tabs>
          <w:tab w:val="left" w:pos="516"/>
        </w:tabs>
        <w:spacing w:after="0"/>
        <w:rPr>
          <w:sz w:val="16"/>
          <w:szCs w:val="16"/>
          <w:lang w:val="en-GB"/>
        </w:rPr>
      </w:pPr>
      <w:r w:rsidRPr="00D93FF9">
        <w:rPr>
          <w:sz w:val="16"/>
          <w:szCs w:val="16"/>
          <w:lang w:val="en-GB"/>
        </w:rPr>
        <w:t>Median</w:t>
      </w:r>
      <w:r w:rsidRPr="00D93FF9">
        <w:rPr>
          <w:spacing w:val="-9"/>
          <w:sz w:val="16"/>
          <w:szCs w:val="16"/>
          <w:lang w:val="en-GB"/>
        </w:rPr>
        <w:t xml:space="preserve"> </w:t>
      </w:r>
      <w:r w:rsidRPr="00D93FF9">
        <w:rPr>
          <w:sz w:val="16"/>
          <w:szCs w:val="16"/>
          <w:lang w:val="en-GB"/>
        </w:rPr>
        <w:t>values</w:t>
      </w:r>
      <w:r w:rsidRPr="00D93FF9">
        <w:rPr>
          <w:spacing w:val="-9"/>
          <w:sz w:val="16"/>
          <w:szCs w:val="16"/>
          <w:lang w:val="en-GB"/>
        </w:rPr>
        <w:t xml:space="preserve"> </w:t>
      </w:r>
      <w:r w:rsidRPr="00D93FF9">
        <w:rPr>
          <w:sz w:val="16"/>
          <w:szCs w:val="16"/>
          <w:lang w:val="en-GB"/>
        </w:rPr>
        <w:t>(refer</w:t>
      </w:r>
      <w:r w:rsidRPr="00D93FF9">
        <w:rPr>
          <w:spacing w:val="-8"/>
          <w:sz w:val="16"/>
          <w:szCs w:val="16"/>
          <w:lang w:val="en-GB"/>
        </w:rPr>
        <w:t xml:space="preserve"> </w:t>
      </w:r>
      <w:r w:rsidRPr="00D93FF9">
        <w:rPr>
          <w:sz w:val="16"/>
          <w:szCs w:val="16"/>
          <w:lang w:val="en-GB"/>
        </w:rPr>
        <w:t>to</w:t>
      </w:r>
      <w:r w:rsidRPr="00D93FF9">
        <w:rPr>
          <w:spacing w:val="-8"/>
          <w:sz w:val="16"/>
          <w:szCs w:val="16"/>
          <w:lang w:val="en-GB"/>
        </w:rPr>
        <w:t xml:space="preserve"> </w:t>
      </w:r>
      <w:r w:rsidRPr="00D93FF9">
        <w:rPr>
          <w:sz w:val="16"/>
          <w:szCs w:val="16"/>
          <w:lang w:val="en-GB"/>
        </w:rPr>
        <w:t>discussion</w:t>
      </w:r>
      <w:r w:rsidRPr="00D93FF9">
        <w:rPr>
          <w:spacing w:val="-8"/>
          <w:sz w:val="16"/>
          <w:szCs w:val="16"/>
          <w:lang w:val="en-GB"/>
        </w:rPr>
        <w:t xml:space="preserve"> </w:t>
      </w:r>
      <w:r w:rsidRPr="00D93FF9">
        <w:rPr>
          <w:sz w:val="16"/>
          <w:szCs w:val="16"/>
          <w:lang w:val="en-GB"/>
        </w:rPr>
        <w:t>on</w:t>
      </w:r>
      <w:r w:rsidRPr="00D93FF9">
        <w:rPr>
          <w:spacing w:val="-9"/>
          <w:sz w:val="16"/>
          <w:szCs w:val="16"/>
          <w:lang w:val="en-GB"/>
        </w:rPr>
        <w:t xml:space="preserve"> </w:t>
      </w:r>
      <w:r w:rsidRPr="00D93FF9">
        <w:rPr>
          <w:sz w:val="16"/>
          <w:szCs w:val="16"/>
          <w:lang w:val="en-GB"/>
        </w:rPr>
        <w:t>derivation</w:t>
      </w:r>
      <w:r w:rsidRPr="00D93FF9">
        <w:rPr>
          <w:spacing w:val="-9"/>
          <w:sz w:val="16"/>
          <w:szCs w:val="16"/>
          <w:lang w:val="en-GB"/>
        </w:rPr>
        <w:t xml:space="preserve"> </w:t>
      </w:r>
      <w:r w:rsidRPr="00D93FF9">
        <w:rPr>
          <w:sz w:val="16"/>
          <w:szCs w:val="16"/>
          <w:lang w:val="en-GB"/>
        </w:rPr>
        <w:t>of</w:t>
      </w:r>
      <w:r w:rsidRPr="00D93FF9">
        <w:rPr>
          <w:spacing w:val="-8"/>
          <w:sz w:val="16"/>
          <w:szCs w:val="16"/>
          <w:lang w:val="en-GB"/>
        </w:rPr>
        <w:t xml:space="preserve"> </w:t>
      </w:r>
      <w:r w:rsidRPr="00D93FF9">
        <w:rPr>
          <w:sz w:val="16"/>
          <w:szCs w:val="16"/>
          <w:lang w:val="en-GB"/>
        </w:rPr>
        <w:t>guidelines</w:t>
      </w:r>
      <w:r w:rsidRPr="00D93FF9">
        <w:rPr>
          <w:spacing w:val="-9"/>
          <w:sz w:val="16"/>
          <w:szCs w:val="16"/>
          <w:lang w:val="en-GB"/>
        </w:rPr>
        <w:t xml:space="preserve"> </w:t>
      </w:r>
      <w:r w:rsidRPr="00D93FF9">
        <w:rPr>
          <w:sz w:val="16"/>
          <w:szCs w:val="16"/>
          <w:lang w:val="en-GB"/>
        </w:rPr>
        <w:t>below)</w:t>
      </w:r>
    </w:p>
    <w:p w14:paraId="59DCC2A8" w14:textId="48B7D31E" w:rsidR="007C083F" w:rsidRPr="00D93FF9" w:rsidRDefault="00E811B8" w:rsidP="003807A1">
      <w:pPr>
        <w:tabs>
          <w:tab w:val="left" w:pos="516"/>
        </w:tabs>
        <w:spacing w:after="0"/>
        <w:rPr>
          <w:sz w:val="16"/>
          <w:szCs w:val="16"/>
          <w:lang w:val="en-GB"/>
        </w:rPr>
      </w:pPr>
      <w:r w:rsidRPr="00D93FF9">
        <w:rPr>
          <w:sz w:val="16"/>
          <w:szCs w:val="16"/>
          <w:lang w:val="en-GB"/>
        </w:rPr>
        <w:t>* water sourced from human sewage requires the log reduction values as define</w:t>
      </w:r>
      <w:r w:rsidR="00ED344A" w:rsidRPr="00D93FF9">
        <w:rPr>
          <w:sz w:val="16"/>
          <w:szCs w:val="16"/>
          <w:lang w:val="en-GB"/>
        </w:rPr>
        <w:t>d</w:t>
      </w:r>
      <w:r w:rsidRPr="00D93FF9">
        <w:rPr>
          <w:sz w:val="16"/>
          <w:szCs w:val="16"/>
          <w:lang w:val="en-GB"/>
        </w:rPr>
        <w:t xml:space="preserve"> in the </w:t>
      </w:r>
      <w:r w:rsidR="00ED344A" w:rsidRPr="00D93FF9">
        <w:rPr>
          <w:sz w:val="16"/>
          <w:szCs w:val="16"/>
          <w:lang w:val="en-GB"/>
        </w:rPr>
        <w:t>AGWR</w:t>
      </w:r>
      <w:r w:rsidRPr="00D93FF9">
        <w:rPr>
          <w:sz w:val="16"/>
          <w:szCs w:val="16"/>
          <w:lang w:val="en-GB"/>
        </w:rPr>
        <w:t xml:space="preserve"> </w:t>
      </w:r>
      <w:r w:rsidRPr="00D93FF9">
        <w:rPr>
          <w:sz w:val="16"/>
          <w:szCs w:val="16"/>
          <w:lang w:val="en-GB"/>
        </w:rPr>
        <w:fldChar w:fldCharType="begin"/>
      </w:r>
      <w:r w:rsidR="007C2051" w:rsidRPr="00D93FF9">
        <w:rPr>
          <w:sz w:val="16"/>
          <w:szCs w:val="16"/>
          <w:lang w:val="en-GB"/>
        </w:rPr>
        <w:instrText xml:space="preserve"> ADDIN ZOTERO_ITEM CSL_CITATION {"citationID":"jqYZ4PFP","properties":{"formattedCitation":"(NRMMC et al., 2006)","plainCitation":"(NRMMC et al., 2006)","noteIndex":0},"citationItems":[{"id":3886,"uris":["http://zotero.org/users/1938757/items/MHXN2WMQ"],"uri":["http://zotero.org/users/1938757/items/MHXN2WMQ"],"itemData":{"id":3886,"type":"book","event-place":"Canberra,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schema":"https://github.com/citation-style-language/schema/raw/master/csl-citation.json"} </w:instrText>
      </w:r>
      <w:r w:rsidRPr="00D93FF9">
        <w:rPr>
          <w:sz w:val="16"/>
          <w:szCs w:val="16"/>
          <w:lang w:val="en-GB"/>
        </w:rPr>
        <w:fldChar w:fldCharType="separate"/>
      </w:r>
      <w:r w:rsidR="007C2051" w:rsidRPr="00D93FF9">
        <w:rPr>
          <w:rFonts w:ascii="Calibri" w:hAnsi="Calibri" w:cs="Calibri"/>
          <w:sz w:val="16"/>
        </w:rPr>
        <w:t>(</w:t>
      </w:r>
      <w:r w:rsidR="00DB0B5D" w:rsidRPr="00D93FF9">
        <w:rPr>
          <w:rFonts w:ascii="Calibri" w:hAnsi="Calibri" w:cs="Calibri"/>
          <w:sz w:val="16"/>
        </w:rPr>
        <w:t xml:space="preserve"> NRMMC, EPHC </w:t>
      </w:r>
      <w:r w:rsidR="00FA6E9E" w:rsidRPr="00D93FF9">
        <w:rPr>
          <w:rFonts w:ascii="Calibri" w:hAnsi="Calibri" w:cs="Calibri"/>
          <w:sz w:val="16"/>
        </w:rPr>
        <w:t>and</w:t>
      </w:r>
      <w:r w:rsidR="00DB0B5D" w:rsidRPr="00D93FF9">
        <w:rPr>
          <w:rFonts w:ascii="Calibri" w:hAnsi="Calibri" w:cs="Calibri"/>
          <w:sz w:val="16"/>
        </w:rPr>
        <w:t xml:space="preserve"> AHMC 2006</w:t>
      </w:r>
      <w:r w:rsidR="007C2051" w:rsidRPr="00D93FF9">
        <w:rPr>
          <w:rFonts w:ascii="Calibri" w:hAnsi="Calibri" w:cs="Calibri"/>
          <w:sz w:val="16"/>
        </w:rPr>
        <w:t>)</w:t>
      </w:r>
      <w:r w:rsidRPr="00D93FF9">
        <w:rPr>
          <w:sz w:val="16"/>
          <w:szCs w:val="16"/>
          <w:lang w:val="en-GB"/>
        </w:rPr>
        <w:fldChar w:fldCharType="end"/>
      </w:r>
      <w:r w:rsidRPr="00D93FF9">
        <w:rPr>
          <w:sz w:val="16"/>
          <w:szCs w:val="16"/>
          <w:lang w:val="en-GB"/>
        </w:rPr>
        <w:t>, helminth controls may also be required as specified for livestock exposure, and supply to pigs is prohibited.</w:t>
      </w:r>
    </w:p>
    <w:p w14:paraId="59DCC2A9" w14:textId="77777777" w:rsidR="007C083F" w:rsidRPr="00D93FF9" w:rsidRDefault="00E811B8" w:rsidP="003807A1">
      <w:pPr>
        <w:pStyle w:val="BodyText"/>
        <w:spacing w:after="0"/>
        <w:rPr>
          <w:sz w:val="16"/>
          <w:szCs w:val="16"/>
          <w:lang w:val="en-GB"/>
        </w:rPr>
      </w:pPr>
      <w:r w:rsidRPr="00D93FF9">
        <w:rPr>
          <w:sz w:val="16"/>
          <w:szCs w:val="16"/>
          <w:lang w:val="en-GB"/>
        </w:rPr>
        <w:t>**Production of all food crops should meet the relevant industry food production water quality requirements</w:t>
      </w:r>
    </w:p>
    <w:p w14:paraId="59DCC2AA" w14:textId="77777777" w:rsidR="007C083F" w:rsidRPr="00D93FF9" w:rsidRDefault="007C083F" w:rsidP="003807A1">
      <w:pPr>
        <w:pStyle w:val="BodyText"/>
        <w:spacing w:after="0"/>
        <w:rPr>
          <w:rFonts w:ascii="Arial"/>
          <w:sz w:val="17"/>
          <w:lang w:val="en-GB"/>
        </w:rPr>
      </w:pPr>
    </w:p>
    <w:p w14:paraId="59DCC2AB" w14:textId="77777777" w:rsidR="00C46175" w:rsidRPr="00D93FF9" w:rsidRDefault="00E811B8" w:rsidP="00604735">
      <w:pPr>
        <w:pStyle w:val="Heading4"/>
        <w:rPr>
          <w:lang w:val="en-GB"/>
        </w:rPr>
      </w:pPr>
      <w:r w:rsidRPr="00D93FF9">
        <w:rPr>
          <w:lang w:val="en-GB"/>
        </w:rPr>
        <w:t>Description</w:t>
      </w:r>
    </w:p>
    <w:p w14:paraId="59DCC2AC" w14:textId="6D9934D6" w:rsidR="00C46175" w:rsidRPr="00D93FF9" w:rsidRDefault="00E811B8" w:rsidP="003807A1">
      <w:pPr>
        <w:pStyle w:val="BodyText"/>
        <w:spacing w:after="0" w:line="266" w:lineRule="auto"/>
        <w:jc w:val="both"/>
        <w:rPr>
          <w:lang w:val="en-GB"/>
        </w:rPr>
      </w:pPr>
      <w:r w:rsidRPr="00D93FF9">
        <w:rPr>
          <w:lang w:val="en-GB"/>
        </w:rPr>
        <w:t xml:space="preserve">The presence of human and animal pathogens in irrigation waters is an important issue in agricultural water quality management, particularly with the overall trend towards decreasing water quality and the increasing </w:t>
      </w:r>
      <w:r w:rsidR="007C083F" w:rsidRPr="00D93FF9">
        <w:rPr>
          <w:lang w:val="en-GB"/>
        </w:rPr>
        <w:t xml:space="preserve">recycling of water from </w:t>
      </w:r>
      <w:r w:rsidRPr="00D93FF9">
        <w:rPr>
          <w:lang w:val="en-GB"/>
        </w:rPr>
        <w:t>municipal and agricultural wastewaters for irrigation of crops and pastures. Potential pathogen contamination of natural waters is also of increasing concern, emphasising the need to take a holistic approach to water quality management in catchments so that the quality of water is maintained for downstream</w:t>
      </w:r>
      <w:r w:rsidRPr="00D93FF9">
        <w:rPr>
          <w:spacing w:val="-5"/>
          <w:lang w:val="en-GB"/>
        </w:rPr>
        <w:t xml:space="preserve"> </w:t>
      </w:r>
      <w:r w:rsidRPr="00D93FF9">
        <w:rPr>
          <w:lang w:val="en-GB"/>
        </w:rPr>
        <w:t>users</w:t>
      </w:r>
      <w:r w:rsidR="004A38CC" w:rsidRPr="00D93FF9">
        <w:rPr>
          <w:lang w:val="en-GB"/>
        </w:rPr>
        <w:t xml:space="preserve"> and groundwater</w:t>
      </w:r>
      <w:r w:rsidRPr="00D93FF9">
        <w:rPr>
          <w:lang w:val="en-GB"/>
        </w:rPr>
        <w:t>.</w:t>
      </w:r>
    </w:p>
    <w:p w14:paraId="59DCC2AD" w14:textId="568D2870" w:rsidR="00C46175" w:rsidRPr="00D93FF9" w:rsidRDefault="007C083F" w:rsidP="003807A1">
      <w:pPr>
        <w:pStyle w:val="BodyText"/>
        <w:spacing w:after="0" w:line="266" w:lineRule="auto"/>
        <w:jc w:val="both"/>
        <w:rPr>
          <w:lang w:val="en-GB"/>
        </w:rPr>
      </w:pPr>
      <w:r w:rsidRPr="00D93FF9">
        <w:t xml:space="preserve">Pathogens are capable of survival (and at times multiplication) in the environment for long enough periods to allow for transmission to humans, with several factors influencing their die off; temperature, moisture, exposure to ultraviolet radiation, time, absence of appropriate intermediate hosts, type of plant, </w:t>
      </w:r>
      <w:r w:rsidR="00AB0CB9" w:rsidRPr="00D93FF9">
        <w:t xml:space="preserve">soil characteristics, indigenous microflora, </w:t>
      </w:r>
      <w:r w:rsidRPr="00D93FF9">
        <w:t xml:space="preserve">etc </w:t>
      </w:r>
      <w:r w:rsidRPr="00D93FF9">
        <w:fldChar w:fldCharType="begin"/>
      </w:r>
      <w:r w:rsidR="00BE6DF0" w:rsidRPr="00D93FF9">
        <w:instrText xml:space="preserve"> ADDIN ZOTERO_ITEM CSL_CITATION {"citationID":"kdOPScsv","properties":{"formattedCitation":"(WHO, 2006; Murphy, 2015; HI, 2020; Tran et al., 2020)","plainCitation":"(WHO, 2006; Murphy, 2015; HI, 2020; Tran et al., 2020)","noteIndex":0},"citationItems":[{"id":745,"uris":["http://zotero.org/users/1938757/items/5VGB53CD"],"uri":["http://zotero.org/users/1938757/items/5VGB53CD"],"itemData":{"id":745,"type":"report","event-place":"Geneva,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id":32551,"uris":["http://zotero.org/users/1938757/items/GBHV46GI"],"uri":["http://zotero.org/users/1938757/items/GBHV46GI"],"itemData":{"id":32551,"type":"chapter","abstract":"The goal of this chapter is to provide an overview of the literature available on the persistence/ survival of pathogens and indicator organisms in sewage, surface water, groundwater and marine waters. The chapter is based on a scoping review of the literature and includes a summary of the survival of bacteria, viruses, protozoa and indicator organisms under various temperature and light conditions in each of the four water matrices. The data presented herein can be used to understand the survival dynamics of these organisms in aquatic environments and can subsequently be used to inform risk assessment models. Organism survival/ die-off data are presented and reported as T90, T99, T99.9 or T99.99 values. The T90, T99, T99.9, T99.99 data represent the time in days that it takes for a 1 log10 (T90), 2 log10 (T99), 3 log10 (T99.9) or 4 log10 (T99.00) reduction of the microorganism to be observed. For example, in sewage, bacterial pathogens such as Salmonella typhimurium, Enterobacter spp. and Streptococcus faecalis can survive for over 100 days before seeing a 1 log10 reduction. Adenoviruses in secondary and primary effluent have been found to have T99’s of up to 58 and 48 days under dark conditions at cold temperatures (4ºC). These die-off rates decrease as temperature increases as well as when the organisms are exposed to a light source. Temperature, sunlight, DO, DOC, availability of nutrients, and salinity were found to be important environmental conditions to consider when evaluating the persistence of microorganisms in environmental waters. In general, very few data are available on the persistence of pathogens in aquatic environments, Significant gaps remain, particularly on the persistence of protozoa and pathogens found in developing regions of the world.","container-title":"Global Water Pathogen Project. http://www.waterpathogens.org (Part 4 Management of Risk from Excreta and Wastewater)","event-place":"Michigan State University, E. Lansing, MI","language":"en","note":"publisher: Michigan State University, UNESCO","publisher":"UNESCO. https://doi.org/10.14321/waterpathogens.51","publisher-place":"Michigan State University, E. Lansing, MI","title":"Persistence of Pathogens in Sewage and Other Water Types","URL":"https://www.waterpathogens.org/book/persistence-in-sewage","author":[{"family":"Murphy","given":""}],"editor":[{"family":"Yates","given":"M."}],"accessed":{"date-parts":[["2020",10,7]]},"issued":{"date-parts":[["2015",3,26]]}}},{"id":32612,"uris":["http://zotero.org/users/1938757/items/NCXN5MZX"],"uri":["http://zotero.org/users/1938757/items/NCXN5MZX"],"itemData":{"id":32612,"type":"report","note":"Jenny Ekrman - Pathogens in Manure presentation\nWebinar: Pathogen persistence on leafy vegetables ***Confidential***\nInbox\n\nGordon Rogers &lt;gordon@ahr.com.au&gt;\nAttachments\n22 Oct 2020, 17:41 (5 days ago)\nto Gordon\nDear Registrant\n\n This communication in this email is confidential. Please do not forward it on to any third party. If you would like to the information sent more widely, please advise Jenny Ekman or myself and we will send it on your behalf and maintain a record.\n\n \n\nThank you for registering for the Pathogen persistence on leafy vegetables webinar.\n\n \n\nThe presentation and answers to questions are attached to this email.  \n\n \n\nThe webinar recording, factsheet and can be accessed below:\nFactsheet:  Reducing food safety risks from manures\nGuidelines:   Guidelines - Using manures to grow vegetables - a guide to reducing risk\n\n Webinar recording:  https://youtu.be/LzQi1yu-ysc\n\nKind Regards\n\nGordon\n\n \n\nDr Gordon Rogers\nApplied Horticultural Research\nAdjunct Professor of Horticulture\nSuite 340,  Biomedical Building,  \n1 Central Avenue, Australian Technology Park, Eveleigh NSW 2015\nE: gordon@ahr.com.au    M:  +61 418 51 7777      P: +612 8627 1040\nW: http://www.ahr.com.au","publisher":"Hort Innovation (HI), Applied Horticultural Research Pty Ltd (AHR), Fresh Produce Safety Centre (FPSC), Freshcare (FC) and the University of Sydney (USyd)","title":"Using Manures to Grow Vegetables - A guide to reducing risk","author":[{"family":"HI","given":""}],"issued":{"date-parts":[["2020"]]}}},{"id":32614,"uris":["http://zotero.org/users/1938757/items/QSNBV259"],"uri":["http://zotero.org/users/1938757/items/QSNBV259"],"itemData":{"id":32614,"type":"article-journal","abstract":"Application of organic amendments to agricultural land improves soil quality and provides nutrients essential for plant growth; however, they are also a reservoir for zoonotic pathogens whose presence poses a significant risk to public health. The persistence of bacteria in manure-amended soil, and differences in manure handling practices, are important issues from a food safety perspective. The primary objective of this study was to quantitatively summarize the variations in the rate of decline of Escherichia coli and Salmonella spp. in manure-amended soil under laboratory and field conditions, and to assess the impact of environmental factors. Available literature data on persistence of E. coli and Salmonella spp. in manure-amended soil from 42 primary research studies were extracted and statistically analyzed using a mixed-effect regression model. The results indicated that temperature (soil and air combined) was the most prominent factor affecting persistence of both E. coli and Salmonella spp. under laboratory conditions (P &lt; 0.001), and of E. coli under field conditions (P &lt; 0.05). The time required for a log reduction of E. coli under field conditions was significantly higher at low temperature (0 to 10°C) than at high temperature (greater than 20°C) (P &lt; 0.05). In addition, application method was identified as a significant factor, with manure incorporation to soil inducing longer survival compared with surface application by approximately 1.2 times. The significant variation observed among primary research studies of bacterial persistence has highlighted that mitigation strategies associated with the use of manures in fresh produce production need to be improved by addressing factors such as climate, soil management, application method, and initial microbial levels. These findings may be used to support guidelines establishing exclusion periods between manure fertilization and the grazing or harvesting of crops, and may be useful for the generation of quantitative microbial risk models for fresh produce.\n\nHIGHLIGHTS","container-title":"Journal of Food Protection","DOI":"10.4315/0362-028X.JFP-19-460","journalAbbreviation":"Journal of Food Protection","page":"1268-1277","source":"ResearchGate","title":"Environmental Drivers for Persistence of Escherichia coli and Salmonella in Manure-Amended Soils: A Meta-Analysis","title-short":"Environmental Drivers for Persistence of Escherichia coli and Salmonella in Manure-Amended Soils","volume":"83","author":[{"family":"Tran","given":"Dao"},{"family":"BRADBURY","given":"MARK"},{"family":"Van Ogtrop","given":"Floris"},{"family":"BOZKURT","given":"HAYRIYE"},{"family":"JONES","given":"BRIAN"},{"family":"Mcconchie","given":"Robyn"}],"issued":{"date-parts":[["2020",7,1]]}}}],"schema":"https://github.com/citation-style-language/schema/raw/master/csl-citation.json"} </w:instrText>
      </w:r>
      <w:r w:rsidRPr="00D93FF9">
        <w:fldChar w:fldCharType="separate"/>
      </w:r>
      <w:r w:rsidR="00050EA9" w:rsidRPr="00D93FF9">
        <w:fldChar w:fldCharType="begin"/>
      </w:r>
      <w:r w:rsidR="00050EA9" w:rsidRPr="00D93FF9">
        <w:instrText xml:space="preserve"> ADDIN ZOTERO_ITEM CSL_CITATION {"citationID":"kdOPScsv","properties":{"formattedCitation":"(WHO, 2006; Murphy, 2015; HI, 2020; Tran et al., 2020)","plainCitation":"(WHO, 2006; Murphy, 2015; HI, 2020; Tran et al., 2020)","noteIndex":0},"citationItems":[{"id":745,"uris":["http://zotero.org/users/1938757/items/5VGB53CD"],"uri":["http://zotero.org/users/1938757/items/5VGB53CD"],"itemData":{"id":745,"type":"report","event-place":"Geneva,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id":32551,"uris":["http://zotero.org/users/1938757/items/GBHV46GI"],"uri":["http://zotero.org/users/1938757/items/GBHV46GI"],"itemData":{"id":32551,"type":"chapter","abstract":"The goal of this chapter is to provide an overview of the literature available on the persistence/ survival of pathogens and indicator organisms in sewage, surface water, groundwater and marine waters. The chapter is based on a scoping review of the literature and includes a summary of the survival of bacteria, viruses, protozoa and indicator organisms under various temperature and light conditions in each of the four water matrices. The data presented herein can be used to understand the survival dynamics of these organisms in aquatic environments and can subsequently be used to inform risk assessment models. Organism survival/ die-off data are presented and reported as T90, T99, T99.9 or T99.99 values. The T90, T99, T99.9, T99.99 data represent the time in days that it takes for a 1 log10 (T90), 2 log10 (T99), 3 log10 (T99.9) or 4 log10 (T99.00) reduction of the microorganism to be observed. For example, in sewage, bacterial pathogens such as Salmonella typhimurium, Enterobacter spp. and Streptococcus faecalis can survive for over 100 days before seeing a 1 log10 reduction. Adenoviruses in secondary and primary effluent have been found to have T99’s of up to 58 and 48 days under dark conditions at cold temperatures (4ºC). These die-off rates decrease as temperature increases as well as when the organisms are exposed to a light source. Temperature, sunlight, DO, DOC, availability of nutrients, and salinity were found to be important environmental conditions to consider when evaluating the persistence of microorganisms in environmental waters. In general, very few data are available on the persistence of pathogens in aquatic environments, Significant gaps remain, particularly on the persistence of protozoa and pathogens found in developing regions of the world.","container-title":"Global Water Pathogen Project. http://www.waterpathogens.org (Part 4 Management of Risk from Excreta and Wastewater)","event-place":"Michigan State University, E. Lansing, MI","language":"en","note":"publisher: Michigan State University, UNESCO","publisher":"UNESCO. https://doi.org/10.14321/waterpathogens.51","publisher-place":"Michigan State University, E. Lansing, MI","title":"Persistence of Pathogens in Sewage and Other Water Types","URL":"https://www.waterpathogens.org/book/persistence-in-sewage","author":[{"family":"Murphy","given":""}],"editor":[{"family":"Yates","given":"M."}],"accessed":{"date-parts":[["2020",10,7]]},"issued":{"date-parts":[["2015",3,26]]}}},{"id":32612,"uris":["http://zotero.org/users/1938757/items/NCXN5MZX"],"uri":["http://zotero.org/users/1938757/items/NCXN5MZX"],"itemData":{"id":32612,"type":"report","note":"Jenny Ekrman - Pathogens in Manure presentation\nWebinar: Pathogen persistence on leafy vegetables ***Confidential***\nInbox\n\nGordon Rogers &lt;gordon@ahr.com.au&gt;\nAttachments\n22 Oct 2020, 17:41 (5 days ago)\nto Gordon\nDear Registrant\n\n This communication in this email is confidential. Please do not forward it on to any third party. If you would like to the information sent more widely, please advise Jenny Ekman or myself and we will send it on your behalf and maintain a record.\n\n \n\nThank you for registering for the Pathogen persistence on leafy vegetables webinar.\n\n \n\nThe presentation and answers to questions are attached to this email.  \n\n \n\nThe webinar recording, factsheet and can be accessed below:\nFactsheet:  Reducing food safety risks from manures\nGuidelines:   Guidelines - Using manures to grow vegetables - a guide to reducing risk\n\n Webinar recording:  https://youtu.be/LzQi1yu-ysc\n\nKind Regards\n\nGordon\n\n \n\nDr Gordon Rogers\nApplied Horticultural Research\nAdjunct Professor of Horticulture\nSuite 340,  Biomedical Building,  \n1 Central Avenue, Australian Technology Park, Eveleigh NSW 2015\nE: gordon@ahr.com.au    M:  +61 418 51 7777      P: +612 8627 1040\nW: http://www.ahr.com.au","publisher":"Hort Innovation (HI), Applied Horticultural Research Pty Ltd (AHR), Fresh Produce Safety Centre (FPSC), Freshcare (FC) and the University of Sydney (USyd)","title":"Using Manures to Grow Vegetables - A guide to reducing risk","author":[{"family":"HI","given":""}],"issued":{"date-parts":[["2020"]]}}},{"id":32614,"uris":["http://zotero.org/users/1938757/items/QSNBV259"],"uri":["http://zotero.org/users/1938757/items/QSNBV259"],"itemData":{"id":32614,"type":"article-journal","abstract":"Application of organic amendments to agricultural land improves soil quality and provides nutrients essential for plant growth; however, they are also a reservoir for zoonotic pathogens whose presence poses a significant risk to public health. The persistence of bacteria in manure-amended soil, and differences in manure handling practices, are important issues from a food safety perspective. The primary objective of this study was to quantitatively summarize the variations in the rate of decline of Escherichia coli and Salmonella spp. in manure-amended soil under laboratory and field conditions, and to assess the impact of environmental factors. Available literature data on persistence of E. coli and Salmonella spp. in manure-amended soil from 42 primary research studies were extracted and statistically analyzed using a mixed-effect regression model. The results indicated that temperature (soil and air combined) was the most prominent factor affecting persistence of both E. coli and Salmonella spp. under laboratory conditions (P &lt; 0.001), and of E. coli under field conditions (P &lt; 0.05). The time required for a log reduction of E. coli under field conditions was significantly higher at low temperature (0 to 10°C) than at high temperature (greater than 20°C) (P &lt; 0.05). In addition, application method was identified as a significant factor, with manure incorporation to soil inducing longer survival compared with surface application by approximately 1.2 times. The significant variation observed among primary research studies of bacterial persistence has highlighted that mitigation strategies associated with the use of manures in fresh produce production need to be improved by addressing factors such as climate, soil management, application method, and initial microbial levels. These findings may be used to support guidelines establishing exclusion periods between manure fertilization and the grazing or harvesting of crops, and may be useful for the generation of quantitative microbial risk models for fresh produce.\n\nHIGHLIGHTS","container-title":"Journal of Food Protection","DOI":"10.4315/0362-028X.JFP-19-460","journalAbbreviation":"Journal of Food Protection","page":"1268-1277","source":"ResearchGate","title":"Environmental Drivers for Persistence of Escherichia coli and Salmonella in Manure-Amended Soils: A Meta-Analysis","title-short":"Environmental Drivers for Persistence of Escherichia coli and Salmonella in Manure-Amended Soils","volume":"83","author":[{"family":"Tran","given":"Dao"},{"family":"BRADBURY","given":"MARK"},{"family":"Van Ogtrop","given":"Floris"},{"family":"BOZKURT","given":"HAYRIYE"},{"family":"JONES","given":"BRIAN"},{"family":"Mcconchie","given":"Robyn"}],"issued":{"date-parts":[["2020",7,1]]}}}],"schema":"https://github.com/citation-style-language/schema/raw/master/csl-citation.json"} </w:instrText>
      </w:r>
      <w:r w:rsidR="00050EA9" w:rsidRPr="00D93FF9">
        <w:fldChar w:fldCharType="separate"/>
      </w:r>
      <w:r w:rsidR="00050EA9" w:rsidRPr="00D93FF9">
        <w:rPr>
          <w:rFonts w:ascii="Calibri" w:hAnsi="Calibri" w:cs="Calibri"/>
        </w:rPr>
        <w:t>(WHO 2006; Murphy 2015; HI 2020; Tran et al. 2020</w:t>
      </w:r>
      <w:r w:rsidR="00050EA9" w:rsidRPr="00D93FF9">
        <w:fldChar w:fldCharType="end"/>
      </w:r>
      <w:r w:rsidR="00AB0CB9" w:rsidRPr="00D93FF9">
        <w:rPr>
          <w:rFonts w:ascii="Calibri" w:hAnsi="Calibri" w:cs="Calibri"/>
        </w:rPr>
        <w:t>)</w:t>
      </w:r>
      <w:r w:rsidRPr="00D93FF9">
        <w:fldChar w:fldCharType="end"/>
      </w:r>
      <w:r w:rsidRPr="00D93FF9">
        <w:t>. More specifically, factors that affect pathogen survival in the environment include:</w:t>
      </w:r>
    </w:p>
    <w:p w14:paraId="59DCC2AE" w14:textId="4DCCC7D1" w:rsidR="00C46175" w:rsidRPr="00D93FF9" w:rsidRDefault="00AB0CB9" w:rsidP="00873544">
      <w:pPr>
        <w:pStyle w:val="ListBullet"/>
        <w:rPr>
          <w:rFonts w:ascii="Symbol" w:hAnsi="Symbol"/>
          <w:lang w:val="en-GB"/>
        </w:rPr>
      </w:pPr>
      <w:r w:rsidRPr="00D93FF9">
        <w:rPr>
          <w:lang w:val="en-GB"/>
        </w:rPr>
        <w:t>type of pathogen</w:t>
      </w:r>
      <w:r w:rsidR="00E811B8" w:rsidRPr="00D93FF9">
        <w:rPr>
          <w:lang w:val="en-GB"/>
        </w:rPr>
        <w:t>;</w:t>
      </w:r>
    </w:p>
    <w:p w14:paraId="59DCC2AF" w14:textId="77777777" w:rsidR="00C46175" w:rsidRPr="00D93FF9" w:rsidRDefault="00E811B8" w:rsidP="00873544">
      <w:pPr>
        <w:pStyle w:val="ListBullet"/>
        <w:rPr>
          <w:rFonts w:ascii="Symbol" w:hAnsi="Symbol"/>
          <w:lang w:val="en-GB"/>
        </w:rPr>
      </w:pPr>
      <w:r w:rsidRPr="00D93FF9">
        <w:rPr>
          <w:lang w:val="en-GB"/>
        </w:rPr>
        <w:t>water quality;</w:t>
      </w:r>
    </w:p>
    <w:p w14:paraId="59DCC2B0" w14:textId="77777777" w:rsidR="00C46175" w:rsidRPr="00D93FF9" w:rsidRDefault="00E811B8" w:rsidP="00873544">
      <w:pPr>
        <w:pStyle w:val="ListBullet"/>
        <w:rPr>
          <w:rFonts w:ascii="Symbol" w:hAnsi="Symbol"/>
          <w:lang w:val="en-GB"/>
        </w:rPr>
      </w:pPr>
      <w:r w:rsidRPr="00D93FF9">
        <w:rPr>
          <w:lang w:val="en-GB"/>
        </w:rPr>
        <w:t>soil characteristics;</w:t>
      </w:r>
    </w:p>
    <w:p w14:paraId="59DCC2B1" w14:textId="77777777" w:rsidR="00C46175" w:rsidRPr="00D93FF9" w:rsidRDefault="00E811B8" w:rsidP="007147D7">
      <w:pPr>
        <w:pStyle w:val="ListBullet"/>
        <w:rPr>
          <w:rFonts w:ascii="Times New Roman" w:hAnsi="Times New Roman"/>
          <w:lang w:val="en-GB"/>
        </w:rPr>
      </w:pPr>
      <w:r w:rsidRPr="00D93FF9">
        <w:rPr>
          <w:lang w:val="en-GB"/>
        </w:rPr>
        <w:t>temperature, humidity, precipitation, solar radiation;</w:t>
      </w:r>
    </w:p>
    <w:p w14:paraId="59DCC2B2" w14:textId="77777777" w:rsidR="007C083F" w:rsidRPr="00D93FF9" w:rsidRDefault="00E811B8" w:rsidP="007147D7">
      <w:pPr>
        <w:pStyle w:val="ListBullet"/>
        <w:rPr>
          <w:lang w:val="en-GB"/>
        </w:rPr>
      </w:pPr>
      <w:r w:rsidRPr="00D93FF9">
        <w:rPr>
          <w:lang w:val="en-GB"/>
        </w:rPr>
        <w:t>foliage/plat type</w:t>
      </w:r>
    </w:p>
    <w:p w14:paraId="59DCC2B3" w14:textId="77777777" w:rsidR="00C46175" w:rsidRPr="00D93FF9" w:rsidRDefault="00E811B8" w:rsidP="00873544">
      <w:pPr>
        <w:pStyle w:val="ListBullet"/>
        <w:rPr>
          <w:rFonts w:ascii="Symbol" w:hAnsi="Symbol"/>
          <w:lang w:val="en-GB"/>
        </w:rPr>
      </w:pPr>
      <w:r w:rsidRPr="00D93FF9">
        <w:rPr>
          <w:lang w:val="en-GB"/>
        </w:rPr>
        <w:t>the nature of agriculture and animal husbandry;</w:t>
      </w:r>
    </w:p>
    <w:p w14:paraId="59DCC2B4" w14:textId="77777777" w:rsidR="00C46175" w:rsidRPr="00D93FF9" w:rsidRDefault="00E811B8" w:rsidP="00873544">
      <w:pPr>
        <w:pStyle w:val="ListBullet"/>
        <w:rPr>
          <w:rFonts w:ascii="Symbol" w:hAnsi="Symbol"/>
          <w:lang w:val="en-GB"/>
        </w:rPr>
      </w:pPr>
      <w:r w:rsidRPr="00D93FF9">
        <w:rPr>
          <w:lang w:val="en-GB"/>
        </w:rPr>
        <w:t>method of transportation of irrigation water;</w:t>
      </w:r>
    </w:p>
    <w:p w14:paraId="59DCC2B5" w14:textId="77777777" w:rsidR="00C46175" w:rsidRPr="00D93FF9" w:rsidRDefault="00E811B8" w:rsidP="00873544">
      <w:pPr>
        <w:pStyle w:val="ListBullet"/>
        <w:rPr>
          <w:rFonts w:ascii="Symbol" w:hAnsi="Symbol"/>
          <w:lang w:val="en-GB"/>
        </w:rPr>
      </w:pPr>
      <w:r w:rsidRPr="00D93FF9">
        <w:rPr>
          <w:lang w:val="en-GB"/>
        </w:rPr>
        <w:t xml:space="preserve">irrigation method; </w:t>
      </w:r>
    </w:p>
    <w:p w14:paraId="59DCC2B6" w14:textId="77777777" w:rsidR="00C21101" w:rsidRPr="00D93FF9" w:rsidRDefault="00E811B8" w:rsidP="00873544">
      <w:pPr>
        <w:pStyle w:val="ListBullet"/>
        <w:rPr>
          <w:rFonts w:ascii="Symbol" w:hAnsi="Symbol"/>
          <w:lang w:val="en-GB"/>
        </w:rPr>
      </w:pPr>
      <w:r w:rsidRPr="00D93FF9">
        <w:rPr>
          <w:lang w:val="en-GB"/>
        </w:rPr>
        <w:t>treatment and storage for pathogen</w:t>
      </w:r>
      <w:r w:rsidRPr="00D93FF9">
        <w:rPr>
          <w:spacing w:val="-1"/>
          <w:lang w:val="en-GB"/>
        </w:rPr>
        <w:t xml:space="preserve"> </w:t>
      </w:r>
      <w:r w:rsidRPr="00D93FF9">
        <w:rPr>
          <w:lang w:val="en-GB"/>
        </w:rPr>
        <w:t xml:space="preserve">die-off and </w:t>
      </w:r>
    </w:p>
    <w:p w14:paraId="59DCC2B7" w14:textId="77777777" w:rsidR="00C46175" w:rsidRPr="00D93FF9" w:rsidRDefault="00E811B8" w:rsidP="00873544">
      <w:pPr>
        <w:pStyle w:val="ListBullet"/>
        <w:rPr>
          <w:rFonts w:ascii="Symbol" w:hAnsi="Symbol"/>
          <w:lang w:val="en-GB"/>
        </w:rPr>
      </w:pPr>
      <w:r w:rsidRPr="00D93FF9">
        <w:rPr>
          <w:lang w:val="en-GB"/>
        </w:rPr>
        <w:t>competition with native flora and fauna</w:t>
      </w:r>
    </w:p>
    <w:p w14:paraId="59DCC2B8" w14:textId="779BAB4D" w:rsidR="00C46175" w:rsidRPr="00D93FF9" w:rsidRDefault="00E811B8" w:rsidP="003807A1">
      <w:pPr>
        <w:pStyle w:val="BodyText"/>
        <w:spacing w:after="0" w:line="266" w:lineRule="auto"/>
        <w:jc w:val="both"/>
        <w:rPr>
          <w:lang w:val="en-GB"/>
        </w:rPr>
      </w:pPr>
      <w:r w:rsidRPr="00D93FF9">
        <w:rPr>
          <w:lang w:val="en-GB"/>
        </w:rPr>
        <w:t>Water-borne pathogens of concern to human and animal health in Australia comprise a range of micro-organisms including bacteria, viruses, protozoa and helminths (</w:t>
      </w:r>
      <w:r w:rsidR="00C21101" w:rsidRPr="00D93FF9">
        <w:t>NRMMC et al. 2006</w:t>
      </w:r>
      <w:r w:rsidRPr="00D93FF9">
        <w:rPr>
          <w:lang w:val="en-GB"/>
        </w:rPr>
        <w:t xml:space="preserve">). Many of these are known to exist in agricultural wastewaters and some can withstand conventional methods of treatment. Pathogens can be transmitted to human and animal consumers via irrigation water through direct contact </w:t>
      </w:r>
      <w:r w:rsidR="002A59FF" w:rsidRPr="00D93FF9">
        <w:rPr>
          <w:lang w:val="en-GB"/>
        </w:rPr>
        <w:t xml:space="preserve">with </w:t>
      </w:r>
      <w:r w:rsidRPr="00D93FF9">
        <w:rPr>
          <w:lang w:val="en-GB"/>
        </w:rPr>
        <w:t xml:space="preserve">the water </w:t>
      </w:r>
      <w:r w:rsidR="002A59FF" w:rsidRPr="00D93FF9">
        <w:rPr>
          <w:lang w:val="en-GB"/>
        </w:rPr>
        <w:t xml:space="preserve">remaining on </w:t>
      </w:r>
      <w:r w:rsidRPr="00D93FF9">
        <w:rPr>
          <w:lang w:val="en-GB"/>
        </w:rPr>
        <w:t xml:space="preserve">the surface of </w:t>
      </w:r>
      <w:r w:rsidR="00D76746" w:rsidRPr="00D93FF9">
        <w:rPr>
          <w:lang w:val="en-GB"/>
        </w:rPr>
        <w:t>irrigated land (</w:t>
      </w:r>
      <w:r w:rsidR="00661DA8" w:rsidRPr="00D93FF9">
        <w:rPr>
          <w:lang w:val="en-GB"/>
        </w:rPr>
        <w:t>e.g.</w:t>
      </w:r>
      <w:r w:rsidR="00D76746" w:rsidRPr="00D93FF9">
        <w:rPr>
          <w:lang w:val="en-GB"/>
        </w:rPr>
        <w:t xml:space="preserve"> playground) or </w:t>
      </w:r>
      <w:r w:rsidRPr="00D93FF9">
        <w:rPr>
          <w:lang w:val="en-GB"/>
        </w:rPr>
        <w:t>edible produce</w:t>
      </w:r>
      <w:r w:rsidR="00396426" w:rsidRPr="00D93FF9">
        <w:rPr>
          <w:lang w:val="en-GB"/>
        </w:rPr>
        <w:t>.</w:t>
      </w:r>
      <w:r w:rsidRPr="00D93FF9">
        <w:rPr>
          <w:lang w:val="en-GB"/>
        </w:rPr>
        <w:t xml:space="preserve"> </w:t>
      </w:r>
      <w:r w:rsidR="00396426" w:rsidRPr="00D93FF9">
        <w:t>P</w:t>
      </w:r>
      <w:r w:rsidR="00C21101" w:rsidRPr="00D93FF9">
        <w:t>revention of exposure of the pathogen to the plant is a well</w:t>
      </w:r>
      <w:r w:rsidR="000E7802" w:rsidRPr="00D93FF9">
        <w:t xml:space="preserve"> </w:t>
      </w:r>
      <w:r w:rsidR="00C21101" w:rsidRPr="00D93FF9">
        <w:t xml:space="preserve">accepted approach to minimise infection risk to crops </w:t>
      </w:r>
      <w:r w:rsidR="00C21101" w:rsidRPr="00D93FF9">
        <w:fldChar w:fldCharType="begin"/>
      </w:r>
      <w:r w:rsidR="00BE6DF0" w:rsidRPr="00D93FF9">
        <w:instrText xml:space="preserve"> ADDIN ZOTERO_ITEM CSL_CITATION {"citationID":"CgE4dHkh","properties":{"formattedCitation":"(FAO/WHO, 2008; Alegbeleye et al., 2018)","plainCitation":"(FAO/WHO, 2008; Alegbeleye et al., 2018)","noteIndex":0},"citationItems":[{"id":33253,"uris":["http://zotero.org/users/1938757/items/ZURRCNIV"],"uri":["http://zotero.org/users/1938757/items/ZURRCNIV"],"itemData":{"id":33253,"type":"report","event-place":"Rome, Italy","publisher":"Food and Agriculture Organization of the United Nations/World Health Organization","publisher-place":"Rome, Italy","title":"Microbiological hazards in fresh leafy vegetables and herbs. Microbial Risk Assessment Series 14.  Meeting report.","URL":"https://www.who.int/foodsafety/publications/micro/MRA_14_JEMRA.pdf","author":[{"literal":"FAO/WHO"}],"issued":{"date-parts":[["2008"]]}}},{"id":33254,"uris":["http://zotero.org/users/1938757/items/WKK2SMMB"],"uri":["http://zotero.org/users/1938757/items/WKK2SMMB"],"itemData":{"id":33254,"type":"article-journal","abstract":"Foodborne illness resulting from the consumption of contaminated fresh produce is a common phenomenon and has severe effects on human health together with severe economic and social impacts. The implications of foodborne diseases associated with fresh produce have urged research into the numerous ways and mechanisms through which pathogens may gain access to produce, thereby compromising microbiological safety. This review provides a background on the various sources and pathways through which pathogenic bacteria contaminate fresh produce; the survival and proliferation of pathogens on fresh produce while growing and potential methods to reduce microbial contamination before harvest. Some of the established bacterial contamination sources include contaminated manure, irrigation water, soil, livestock/ wildlife, and numerous factors influence the incidence, fate, transport, survival and proliferation of pathogens in the wide variety of sources where they are found. Once pathogenic bacteria have been introduced into the growing environment, they can colonize and persist on fresh produce using a variety of mechanisms. Overall, microbiological hazards are significant; therefore, ways to reduce sources of contamination and a deeper understanding of pathogen survival and growth on fresh produce in the field are required to reduce risk to human health and the associated economic consequences., \n          \n            Image 1","container-title":"Food Microbiology","DOI":"10.1016/j.fm.2018.01.003","ISSN":"0740-0020","journalAbbreviation":"Food Microbiol","note":"PMID: 29526204\nPMCID: PMC7127387","page":"177-208","source":"PubMed Central","title":"Sources and contamination routes of microbial pathogens to fresh produce during field cultivation: A review","title-short":"Sources and contamination routes of microbial pathogens to fresh produce during field cultivation","volume":"73","author":[{"family":"Alegbeleye","given":"Oluwadara Oluwaseun"},{"family":"Singleton","given":"Ian"},{"family":"Sant’Ana","given":"Anderson S."}],"issued":{"date-parts":[["2018",8]]}}}],"schema":"https://github.com/citation-style-language/schema/raw/master/csl-citation.json"} </w:instrText>
      </w:r>
      <w:r w:rsidR="00C21101" w:rsidRPr="00D93FF9">
        <w:fldChar w:fldCharType="separate"/>
      </w:r>
      <w:r w:rsidR="007C2051" w:rsidRPr="00D93FF9">
        <w:rPr>
          <w:rFonts w:ascii="Calibri" w:hAnsi="Calibri" w:cs="Calibri"/>
        </w:rPr>
        <w:t>(FAO/WHO 2008; Alegbeleye et al. 2018)</w:t>
      </w:r>
      <w:r w:rsidR="00C21101" w:rsidRPr="00D93FF9">
        <w:fldChar w:fldCharType="end"/>
      </w:r>
      <w:r w:rsidR="00C21101" w:rsidRPr="00D93FF9">
        <w:t xml:space="preserve">. </w:t>
      </w:r>
      <w:r w:rsidRPr="00D93FF9">
        <w:rPr>
          <w:lang w:val="en-GB"/>
        </w:rPr>
        <w:t xml:space="preserve">Pathogens transported via </w:t>
      </w:r>
      <w:r w:rsidR="002A59FF" w:rsidRPr="00D93FF9">
        <w:rPr>
          <w:lang w:val="en-GB"/>
        </w:rPr>
        <w:t xml:space="preserve">droplets and </w:t>
      </w:r>
      <w:r w:rsidRPr="00D93FF9">
        <w:rPr>
          <w:lang w:val="en-GB"/>
        </w:rPr>
        <w:t>aerosols in spray irrigation may also present an infection risk to individuals</w:t>
      </w:r>
      <w:r w:rsidRPr="00D93FF9">
        <w:rPr>
          <w:spacing w:val="-1"/>
          <w:lang w:val="en-GB"/>
        </w:rPr>
        <w:t xml:space="preserve"> </w:t>
      </w:r>
      <w:r w:rsidRPr="00D93FF9">
        <w:rPr>
          <w:lang w:val="en-GB"/>
        </w:rPr>
        <w:t>downwind.</w:t>
      </w:r>
    </w:p>
    <w:p w14:paraId="57A1521C" w14:textId="1F8ADA0B" w:rsidR="00AB0CB9" w:rsidRPr="00D93FF9" w:rsidRDefault="00E811B8" w:rsidP="00AB0CB9">
      <w:pPr>
        <w:pStyle w:val="BodyText"/>
        <w:spacing w:after="0" w:line="266" w:lineRule="auto"/>
        <w:jc w:val="both"/>
        <w:rPr>
          <w:lang w:val="en-GB"/>
        </w:rPr>
      </w:pPr>
      <w:r w:rsidRPr="00D93FF9">
        <w:rPr>
          <w:lang w:val="en-GB"/>
        </w:rPr>
        <w:t xml:space="preserve">Bacteria are the group of pathogens most sensitive to environmental conditions. Pretreatment of irrigation water using standard disinfection techniques will normally reduce bacterial populations </w:t>
      </w:r>
      <w:r w:rsidRPr="00D93FF9">
        <w:rPr>
          <w:lang w:val="en-GB"/>
        </w:rPr>
        <w:lastRenderedPageBreak/>
        <w:t xml:space="preserve">substantially. Exposure to drying, extremes in pH, solar irradiation and competition from soil bacteria after irrigation also greatly reduce populations (Crane </w:t>
      </w:r>
      <w:r w:rsidR="00FA6E9E" w:rsidRPr="00D93FF9">
        <w:rPr>
          <w:lang w:val="en-GB"/>
        </w:rPr>
        <w:t>and</w:t>
      </w:r>
      <w:r w:rsidRPr="00D93FF9">
        <w:rPr>
          <w:lang w:val="en-GB"/>
        </w:rPr>
        <w:t xml:space="preserve"> Moore 1986). Some bacteria are known to survive for prolonged periods on plant surfaces if protected from these factors, e.g. in split or cracked vegetative surfaces (Bell </w:t>
      </w:r>
      <w:r w:rsidR="00FA6E9E" w:rsidRPr="00D93FF9">
        <w:rPr>
          <w:lang w:val="en-GB"/>
        </w:rPr>
        <w:t>and</w:t>
      </w:r>
      <w:r w:rsidRPr="00D93FF9">
        <w:rPr>
          <w:lang w:val="en-GB"/>
        </w:rPr>
        <w:t xml:space="preserve"> Bole</w:t>
      </w:r>
      <w:r w:rsidRPr="00D93FF9">
        <w:rPr>
          <w:spacing w:val="1"/>
          <w:lang w:val="en-GB"/>
        </w:rPr>
        <w:t xml:space="preserve"> </w:t>
      </w:r>
      <w:r w:rsidRPr="00D93FF9">
        <w:rPr>
          <w:lang w:val="en-GB"/>
        </w:rPr>
        <w:t>1976</w:t>
      </w:r>
      <w:r w:rsidR="00C21101" w:rsidRPr="00D93FF9">
        <w:rPr>
          <w:lang w:val="en-GB"/>
        </w:rPr>
        <w:t xml:space="preserve">; </w:t>
      </w:r>
      <w:r w:rsidR="00C21101" w:rsidRPr="00D93FF9">
        <w:fldChar w:fldCharType="begin"/>
      </w:r>
      <w:r w:rsidR="00BE6DF0" w:rsidRPr="00D93FF9">
        <w:instrText xml:space="preserve"> ADDIN ZOTERO_ITEM CSL_CITATION {"citationID":"4N7A5FAf","properties":{"formattedCitation":"(Alegbeleye et al. 2018)","plainCitation":"(Alegbeleye et al. 2018)","dontUpdate":true,"noteIndex":0},"citationItems":[{"id":33254,"uris":["http://zotero.org/users/1938757/items/WKK2SMMB"],"uri":["http://zotero.org/users/1938757/items/WKK2SMMB"],"itemData":{"id":33254,"type":"article-journal","abstract":"Foodborne illness resulting from the consumption of contaminated fresh produce is a common phenomenon and has severe effects on human health together with severe economic and social impacts. The implications of foodborne diseases associated with fresh produce have urged research into the numerous ways and mechanisms through which pathogens may gain access to produce, thereby compromising microbiological safety. This review provides a background on the various sources and pathways through which pathogenic bacteria contaminate fresh produce; the survival and proliferation of pathogens on fresh produce while growing and potential methods to reduce microbial contamination before harvest. Some of the established bacterial contamination sources include contaminated manure, irrigation water, soil, livestock/ wildlife, and numerous factors influence the incidence, fate, transport, survival and proliferation of pathogens in the wide variety of sources where they are found. Once pathogenic bacteria have been introduced into the growing environment, they can colonize and persist on fresh produce using a variety of mechanisms. Overall, microbiological hazards are significant; therefore, ways to reduce sources of contamination and a deeper understanding of pathogen survival and growth on fresh produce in the field are required to reduce risk to human health and the associated economic consequences., \n          \n            Image 1","container-title":"Food Microbiology","DOI":"10.1016/j.fm.2018.01.003","ISSN":"0740-0020","journalAbbreviation":"Food Microbiol","note":"PMID: 29526204\nPMCID: PMC7127387","page":"177-208","source":"PubMed Central","title":"Sources and contamination routes of microbial pathogens to fresh produce during field cultivation: A review","title-short":"Sources and contamination routes of microbial pathogens to fresh produce during field cultivation","volume":"73","author":[{"family":"Alegbeleye","given":"Oluwadara Oluwaseun"},{"family":"Singleton","given":"Ian"},{"family":"Sant’Ana","given":"Anderson S."}],"issued":{"date-parts":[["2018",8]]}}}],"schema":"https://github.com/citation-style-language/schema/raw/master/csl-citation.json"} </w:instrText>
      </w:r>
      <w:r w:rsidR="00C21101" w:rsidRPr="00D93FF9">
        <w:fldChar w:fldCharType="separate"/>
      </w:r>
      <w:r w:rsidR="00C21101" w:rsidRPr="00D93FF9">
        <w:t>Alegbeleye et al. 2018)</w:t>
      </w:r>
      <w:r w:rsidR="00C21101" w:rsidRPr="00D93FF9">
        <w:fldChar w:fldCharType="end"/>
      </w:r>
      <w:r w:rsidRPr="00D93FF9">
        <w:rPr>
          <w:lang w:val="en-GB"/>
        </w:rPr>
        <w:t>.</w:t>
      </w:r>
      <w:r w:rsidR="00AB0CB9" w:rsidRPr="00D93FF9">
        <w:rPr>
          <w:lang w:val="en-GB"/>
        </w:rPr>
        <w:t xml:space="preserve"> Bacteria are responsible for most reported outbreaks.</w:t>
      </w:r>
    </w:p>
    <w:p w14:paraId="59DCC2BA" w14:textId="0B2C1872" w:rsidR="00C46175" w:rsidRPr="00D93FF9" w:rsidRDefault="00E811B8" w:rsidP="003807A1">
      <w:pPr>
        <w:pStyle w:val="BodyText"/>
        <w:spacing w:after="0" w:line="266" w:lineRule="auto"/>
        <w:jc w:val="both"/>
        <w:rPr>
          <w:lang w:val="en-GB"/>
        </w:rPr>
      </w:pPr>
      <w:r w:rsidRPr="00D93FF9">
        <w:rPr>
          <w:lang w:val="en-GB"/>
        </w:rPr>
        <w:t xml:space="preserve">Viruses consist of a strand of genetic material with </w:t>
      </w:r>
      <w:r w:rsidR="00AB0CB9" w:rsidRPr="00D93FF9">
        <w:rPr>
          <w:lang w:val="en-GB"/>
        </w:rPr>
        <w:t>a lipoprotein capsid and an envelope in the case of enveloped viruses</w:t>
      </w:r>
      <w:r w:rsidRPr="00D93FF9">
        <w:rPr>
          <w:lang w:val="en-GB"/>
        </w:rPr>
        <w:t xml:space="preserve">. They act by invading the host cell, subsequently modifying its behaviour to produce more viral particles (Metcalf </w:t>
      </w:r>
      <w:r w:rsidR="00FA6E9E" w:rsidRPr="00D93FF9">
        <w:rPr>
          <w:lang w:val="en-GB"/>
        </w:rPr>
        <w:t>and</w:t>
      </w:r>
      <w:r w:rsidRPr="00D93FF9">
        <w:rPr>
          <w:lang w:val="en-GB"/>
        </w:rPr>
        <w:t xml:space="preserve"> Eddy 1991). Pathogenic viruses occur in natural waters largely as a result of contamination with sewage and animal excreta and should not normally be present in irrigation waters in large numbers</w:t>
      </w:r>
      <w:r w:rsidR="00C21101" w:rsidRPr="00D93FF9">
        <w:rPr>
          <w:lang w:val="en-GB"/>
        </w:rPr>
        <w:t xml:space="preserve"> </w:t>
      </w:r>
      <w:r w:rsidR="00C21101" w:rsidRPr="00D93FF9">
        <w:t xml:space="preserve">unless </w:t>
      </w:r>
      <w:r w:rsidR="00B03893" w:rsidRPr="00D93FF9">
        <w:t xml:space="preserve">the </w:t>
      </w:r>
      <w:r w:rsidR="00C21101" w:rsidRPr="00D93FF9">
        <w:t>irrigation source</w:t>
      </w:r>
      <w:r w:rsidR="00AB0CB9" w:rsidRPr="00D93FF9">
        <w:t xml:space="preserve"> </w:t>
      </w:r>
      <w:r w:rsidR="00B03893" w:rsidRPr="00D93FF9">
        <w:t>is</w:t>
      </w:r>
      <w:r w:rsidR="00AB0CB9" w:rsidRPr="00D93FF9">
        <w:t xml:space="preserve"> contaminated</w:t>
      </w:r>
      <w:r w:rsidRPr="00D93FF9">
        <w:rPr>
          <w:lang w:val="en-GB"/>
        </w:rPr>
        <w:t>.</w:t>
      </w:r>
      <w:r w:rsidR="00AB0CB9" w:rsidRPr="00D93FF9">
        <w:rPr>
          <w:lang w:val="en-GB"/>
        </w:rPr>
        <w:t xml:space="preserve"> </w:t>
      </w:r>
    </w:p>
    <w:p w14:paraId="59DCC2BB" w14:textId="24FF8809" w:rsidR="00C46175" w:rsidRPr="00D93FF9" w:rsidRDefault="00E811B8" w:rsidP="003807A1">
      <w:pPr>
        <w:pStyle w:val="BodyText"/>
        <w:spacing w:after="0" w:line="266" w:lineRule="auto"/>
        <w:jc w:val="both"/>
        <w:rPr>
          <w:lang w:val="en-GB"/>
        </w:rPr>
      </w:pPr>
      <w:r w:rsidRPr="00D93FF9">
        <w:rPr>
          <w:lang w:val="en-GB"/>
        </w:rPr>
        <w:t xml:space="preserve">Problems can occur if viruses are present in irrigation waters </w:t>
      </w:r>
      <w:r w:rsidR="006B679F" w:rsidRPr="00D93FF9">
        <w:rPr>
          <w:lang w:val="en-GB"/>
        </w:rPr>
        <w:t xml:space="preserve">applied to </w:t>
      </w:r>
      <w:r w:rsidRPr="00D93FF9">
        <w:rPr>
          <w:lang w:val="en-GB"/>
        </w:rPr>
        <w:t xml:space="preserve">crops </w:t>
      </w:r>
      <w:r w:rsidR="006B679F" w:rsidRPr="00D93FF9">
        <w:rPr>
          <w:lang w:val="en-GB"/>
        </w:rPr>
        <w:t xml:space="preserve">which are </w:t>
      </w:r>
      <w:r w:rsidRPr="00D93FF9">
        <w:rPr>
          <w:lang w:val="en-GB"/>
        </w:rPr>
        <w:t>directly for consumption</w:t>
      </w:r>
      <w:r w:rsidR="006B679F" w:rsidRPr="00D93FF9">
        <w:rPr>
          <w:lang w:val="en-GB"/>
        </w:rPr>
        <w:t xml:space="preserve"> without further treatment</w:t>
      </w:r>
      <w:r w:rsidRPr="00D93FF9">
        <w:rPr>
          <w:lang w:val="en-GB"/>
        </w:rPr>
        <w:t xml:space="preserve">, as they have been known to persist on vegetation for several weeks or months </w:t>
      </w:r>
      <w:r w:rsidR="00C21101" w:rsidRPr="00D93FF9">
        <w:fldChar w:fldCharType="begin"/>
      </w:r>
      <w:r w:rsidR="007C2051" w:rsidRPr="00D93FF9">
        <w:instrText xml:space="preserve"> ADDIN ZOTERO_ITEM CSL_CITATION {"citationID":"qwG2kN0a","properties":{"formattedCitation":"(WHO, 2006)","plainCitation":"(WHO, 2006)","noteIndex":0},"citationItems":[{"id":745,"uris":["http://zotero.org/users/1938757/items/5VGB53CD"],"uri":["http://zotero.org/users/1938757/items/5VGB53CD"],"itemData":{"id":745,"type":"report","event-place":"Geneva,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Agriculture","URL":"https://www.who.int/water_sanitation_health/publications/gsuweg2/en/","author":[{"family":"WHO","given":""}],"issued":{"date-parts":[["2006"]]}}}],"schema":"https://github.com/citation-style-language/schema/raw/master/csl-citation.json"} </w:instrText>
      </w:r>
      <w:r w:rsidR="00C21101" w:rsidRPr="00D93FF9">
        <w:fldChar w:fldCharType="separate"/>
      </w:r>
      <w:r w:rsidR="007C2051" w:rsidRPr="00D93FF9">
        <w:rPr>
          <w:rFonts w:ascii="Calibri" w:hAnsi="Calibri" w:cs="Calibri"/>
        </w:rPr>
        <w:t>(WHO 2006</w:t>
      </w:r>
      <w:r w:rsidR="00284B19" w:rsidRPr="00D93FF9">
        <w:rPr>
          <w:rFonts w:ascii="Calibri" w:hAnsi="Calibri" w:cs="Calibri"/>
        </w:rPr>
        <w:t xml:space="preserve">; </w:t>
      </w:r>
      <w:r w:rsidR="00C21101" w:rsidRPr="00D93FF9">
        <w:fldChar w:fldCharType="end"/>
      </w:r>
      <w:r w:rsidR="00C21101" w:rsidRPr="00D93FF9">
        <w:fldChar w:fldCharType="begin"/>
      </w:r>
      <w:r w:rsidR="00BE6DF0" w:rsidRPr="00D93FF9">
        <w:instrText xml:space="preserve"> ADDIN ZOTERO_ITEM CSL_CITATION {"citationID":"MEgJG91Q","properties":{"formattedCitation":"(Alegbeleye et al., 2018)","plainCitation":"(Alegbeleye et al., 2018)","noteIndex":0},"citationItems":[{"id":33254,"uris":["http://zotero.org/users/1938757/items/WKK2SMMB"],"uri":["http://zotero.org/users/1938757/items/WKK2SMMB"],"itemData":{"id":33254,"type":"article-journal","abstract":"Foodborne illness resulting from the consumption of contaminated fresh produce is a common phenomenon and has severe effects on human health together with severe economic and social impacts. The implications of foodborne diseases associated with fresh produce have urged research into the numerous ways and mechanisms through which pathogens may gain access to produce, thereby compromising microbiological safety. This review provides a background on the various sources and pathways through which pathogenic bacteria contaminate fresh produce; the survival and proliferation of pathogens on fresh produce while growing and potential methods to reduce microbial contamination before harvest. Some of the established bacterial contamination sources include contaminated manure, irrigation water, soil, livestock/ wildlife, and numerous factors influence the incidence, fate, transport, survival and proliferation of pathogens in the wide variety of sources where they are found. Once pathogenic bacteria have been introduced into the growing environment, they can colonize and persist on fresh produce using a variety of mechanisms. Overall, microbiological hazards are significant; therefore, ways to reduce sources of contamination and a deeper understanding of pathogen survival and growth on fresh produce in the field are required to reduce risk to human health and the associated economic consequences., \n          \n            Image 1","container-title":"Food Microbiology","DOI":"10.1016/j.fm.2018.01.003","ISSN":"0740-0020","journalAbbreviation":"Food Microbiol","note":"PMID: 29526204\nPMCID: PMC7127387","page":"177-208","source":"PubMed Central","title":"Sources and contamination routes of microbial pathogens to fresh produce during field cultivation: A review","title-short":"Sources and contamination routes of microbial pathogens to fresh produce during field cultivation","volume":"73","author":[{"family":"Alegbeleye","given":"Oluwadara Oluwaseun"},{"family":"Singleton","given":"Ian"},{"family":"Sant’Ana","given":"Anderson S."}],"issued":{"date-parts":[["2018",8]]}}}],"schema":"https://github.com/citation-style-language/schema/raw/master/csl-citation.json"} </w:instrText>
      </w:r>
      <w:r w:rsidR="00C21101" w:rsidRPr="00D93FF9">
        <w:fldChar w:fldCharType="separate"/>
      </w:r>
      <w:r w:rsidR="007C2051" w:rsidRPr="00D93FF9">
        <w:rPr>
          <w:rFonts w:ascii="Calibri" w:hAnsi="Calibri" w:cs="Calibri"/>
        </w:rPr>
        <w:t>Alegbeleye et al. 2018)</w:t>
      </w:r>
      <w:r w:rsidR="00C21101" w:rsidRPr="00D93FF9">
        <w:fldChar w:fldCharType="end"/>
      </w:r>
      <w:r w:rsidR="00C21101" w:rsidRPr="00D93FF9">
        <w:t>.</w:t>
      </w:r>
      <w:r w:rsidRPr="00D93FF9">
        <w:rPr>
          <w:lang w:val="en-GB"/>
        </w:rPr>
        <w:t xml:space="preserve"> Virus retention and survival on vegetables has been shown to depend on the type of vegetable material (fruit or leaves) and on the type of virus (</w:t>
      </w:r>
      <w:r w:rsidR="00C21101" w:rsidRPr="00D93FF9">
        <w:t>Alegbeleye et al. 2018</w:t>
      </w:r>
      <w:r w:rsidRPr="00D93FF9">
        <w:rPr>
          <w:lang w:val="en-GB"/>
        </w:rPr>
        <w:t xml:space="preserve">). Survival is also influenced by temperature, solar radiation, wind, rainfall, humidity, concentration in water and irrigation method. There is evidence that viruses may persist for longer in soil than on aerial vegetable surfaces </w:t>
      </w:r>
      <w:r w:rsidR="00C9749C" w:rsidRPr="00D93FF9">
        <w:fldChar w:fldCharType="begin"/>
      </w:r>
      <w:r w:rsidR="00BE6DF0" w:rsidRPr="00D93FF9">
        <w:instrText xml:space="preserve"> ADDIN ZOTERO_ITEM CSL_CITATION {"citationID":"hH07m7zW","properties":{"unsorted":true,"formattedCitation":"(WHO, 2006; Murphy, 2015)","plainCitation":"(WHO, 2006; Murphy, 2015)","noteIndex":0},"citationItems":[{"id":745,"uris":["http://zotero.org/users/1938757/items/5VGB53CD"],"uri":["http://zotero.org/users/1938757/items/5VGB53CD"],"itemData":{"id":745,"type":"report","event-place":"Geneva,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id":32551,"uris":["http://zotero.org/users/1938757/items/GBHV46GI"],"uri":["http://zotero.org/users/1938757/items/GBHV46GI"],"itemData":{"id":32551,"type":"chapter","abstract":"The goal of this chapter is to provide an overview of the literature available on the persistence/ survival of pathogens and indicator organisms in sewage, surface water, groundwater and marine waters. The chapter is based on a scoping review of the literature and includes a summary of the survival of bacteria, viruses, protozoa and indicator organisms under various temperature and light conditions in each of the four water matrices. The data presented herein can be used to understand the survival dynamics of these organisms in aquatic environments and can subsequently be used to inform risk assessment models. Organism survival/ die-off data are presented and reported as T90, T99, T99.9 or T99.99 values. The T90, T99, T99.9, T99.99 data represent the time in days that it takes for a 1 log10 (T90), 2 log10 (T99), 3 log10 (T99.9) or 4 log10 (T99.00) reduction of the microorganism to be observed. For example, in sewage, bacterial pathogens such as Salmonella typhimurium, Enterobacter spp. and Streptococcus faecalis can survive for over 100 days before seeing a 1 log10 reduction. Adenoviruses in secondary and primary effluent have been found to have T99’s of up to 58 and 48 days under dark conditions at cold temperatures (4ºC). These die-off rates decrease as temperature increases as well as when the organisms are exposed to a light source. Temperature, sunlight, DO, DOC, availability of nutrients, and salinity were found to be important environmental conditions to consider when evaluating the persistence of microorganisms in environmental waters. In general, very few data are available on the persistence of pathogens in aquatic environments, Significant gaps remain, particularly on the persistence of protozoa and pathogens found in developing regions of the world.","container-title":"Global Water Pathogen Project. http://www.waterpathogens.org (Part 4 Management of Risk from Excreta and Wastewater)","event-place":"Michigan State University, E. Lansing, MI","language":"en","note":"publisher: Michigan State University, UNESCO","publisher":"UNESCO. https://doi.org/10.14321/waterpathogens.51","publisher-place":"Michigan State University, E. Lansing, MI","title":"Persistence of Pathogens in Sewage and Other Water Types","URL":"https://www.waterpathogens.org/book/persistence-in-sewage","author":[{"family":"Murphy","given":""}],"editor":[{"family":"Yates","given":"M."}],"accessed":{"date-parts":[["2020",10,7]]},"issued":{"date-parts":[["2015",3,26]]}}}],"schema":"https://github.com/citation-style-language/schema/raw/master/csl-citation.json"} </w:instrText>
      </w:r>
      <w:r w:rsidR="00C9749C" w:rsidRPr="00D93FF9">
        <w:fldChar w:fldCharType="separate"/>
      </w:r>
      <w:r w:rsidR="00C9749C" w:rsidRPr="00D93FF9">
        <w:rPr>
          <w:rFonts w:ascii="Calibri" w:hAnsi="Calibri"/>
        </w:rPr>
        <w:t>(WHO 2006; Murphy 2015)</w:t>
      </w:r>
      <w:r w:rsidR="00C9749C" w:rsidRPr="00D93FF9">
        <w:fldChar w:fldCharType="end"/>
      </w:r>
      <w:r w:rsidR="00C9749C" w:rsidRPr="00D93FF9">
        <w:t>.</w:t>
      </w:r>
    </w:p>
    <w:p w14:paraId="59DCC2BC" w14:textId="2ADB4E89" w:rsidR="00C46175" w:rsidRPr="00D93FF9" w:rsidRDefault="00E811B8" w:rsidP="00DC44EB">
      <w:pPr>
        <w:pStyle w:val="BodyText"/>
        <w:spacing w:after="0" w:line="266" w:lineRule="auto"/>
        <w:jc w:val="both"/>
        <w:rPr>
          <w:lang w:val="en-GB"/>
        </w:rPr>
      </w:pPr>
      <w:r w:rsidRPr="00D93FF9">
        <w:rPr>
          <w:lang w:val="en-GB"/>
        </w:rPr>
        <w:t xml:space="preserve">Protozoa are single-celled micro-organisms without cell walls and include amoebas, flagellates and ciliates. This group is responsible for the majority of diarrhoea related illnesses in humans and includes two pathogenic organisms of particular concern, </w:t>
      </w:r>
      <w:r w:rsidRPr="00D93FF9">
        <w:rPr>
          <w:i/>
          <w:lang w:val="en-GB"/>
        </w:rPr>
        <w:t xml:space="preserve">Giardia </w:t>
      </w:r>
      <w:r w:rsidRPr="00D93FF9">
        <w:rPr>
          <w:lang w:val="en-GB"/>
        </w:rPr>
        <w:t xml:space="preserve">and </w:t>
      </w:r>
      <w:r w:rsidRPr="00D93FF9">
        <w:rPr>
          <w:i/>
          <w:lang w:val="en-GB"/>
        </w:rPr>
        <w:t>Cryptosporidium</w:t>
      </w:r>
      <w:r w:rsidRPr="00D93FF9">
        <w:rPr>
          <w:lang w:val="en-GB"/>
        </w:rPr>
        <w:t xml:space="preserve">. </w:t>
      </w:r>
      <w:r w:rsidR="00DC44EB" w:rsidRPr="00D93FF9">
        <w:rPr>
          <w:lang w:val="en-GB"/>
        </w:rPr>
        <w:t>Cattle and sheep (and to a lesser extent marsupials and rabbits) are likely to constitute the main public health threat</w:t>
      </w:r>
      <w:r w:rsidR="00324E48" w:rsidRPr="00D93FF9">
        <w:rPr>
          <w:lang w:val="en-GB"/>
        </w:rPr>
        <w:t xml:space="preserve"> from Cryptosporidium</w:t>
      </w:r>
      <w:r w:rsidR="00DC44EB" w:rsidRPr="00D93FF9">
        <w:rPr>
          <w:lang w:val="en-GB"/>
        </w:rPr>
        <w:t xml:space="preserve"> due to their prevalence in catchments </w:t>
      </w:r>
      <w:r w:rsidR="00DC44EB" w:rsidRPr="00D93FF9">
        <w:rPr>
          <w:lang w:val="en-GB"/>
        </w:rPr>
        <w:fldChar w:fldCharType="begin"/>
      </w:r>
      <w:r w:rsidR="00BE6DF0" w:rsidRPr="00D93FF9">
        <w:rPr>
          <w:lang w:val="en-GB"/>
        </w:rPr>
        <w:instrText xml:space="preserve"> ADDIN ZOTERO_ITEM CSL_CITATION {"citationID":"Bv3LyD6M","properties":{"formattedCitation":"(Ryan et al., 2014)","plainCitation":"(Ryan et al., 2014)","noteIndex":0},"citationItems":[{"id":35284,"uris":["http://zotero.org/users/1938757/items/6IKP3R2P"],"uri":["http://zotero.org/users/1938757/items/6IKP3R2P"],"itemData":{"id":35284,"type":"report","event-place":"Adelaide, SA, Australia","publisher":"Water Research Australia","publisher-place":"Adelaide, SA, Australia","title":"Treatment requirements for Australian source waters to meet health based targets. Appendix 5 Review on Cryptosporidium species and shedding rates in animals in Australian catchments","URL":"https://www.waterra.com.au/publications/document-search/?download=1032","author":[{"family":"Ryan","given":"Una"},{"family":"Monis","given":"Paul"},{"family":"Deere","given":"Daniel"},{"literal":"Arran Canning"}],"issued":{"date-parts":[["2014"]]}}}],"schema":"https://github.com/citation-style-language/schema/raw/master/csl-citation.json"} </w:instrText>
      </w:r>
      <w:r w:rsidR="00DC44EB" w:rsidRPr="00D93FF9">
        <w:rPr>
          <w:lang w:val="en-GB"/>
        </w:rPr>
        <w:fldChar w:fldCharType="separate"/>
      </w:r>
      <w:r w:rsidR="00DC44EB" w:rsidRPr="00D93FF9">
        <w:rPr>
          <w:rFonts w:ascii="Calibri" w:hAnsi="Calibri"/>
        </w:rPr>
        <w:t>(Ryan et al. 2014)</w:t>
      </w:r>
      <w:r w:rsidR="00DC44EB" w:rsidRPr="00D93FF9">
        <w:rPr>
          <w:lang w:val="en-GB"/>
        </w:rPr>
        <w:fldChar w:fldCharType="end"/>
      </w:r>
      <w:r w:rsidR="00DC44EB" w:rsidRPr="00D93FF9">
        <w:rPr>
          <w:lang w:val="en-GB"/>
        </w:rPr>
        <w:t xml:space="preserve">. </w:t>
      </w:r>
      <w:r w:rsidR="00324E48" w:rsidRPr="00D93FF9">
        <w:rPr>
          <w:lang w:val="en-GB"/>
        </w:rPr>
        <w:t>W</w:t>
      </w:r>
      <w:r w:rsidR="00592B13" w:rsidRPr="00D93FF9">
        <w:rPr>
          <w:lang w:val="en-GB"/>
        </w:rPr>
        <w:t>hereas</w:t>
      </w:r>
      <w:r w:rsidR="00324E48" w:rsidRPr="00D93FF9">
        <w:rPr>
          <w:lang w:val="en-GB"/>
        </w:rPr>
        <w:t xml:space="preserve"> </w:t>
      </w:r>
      <w:r w:rsidR="00DC44EB" w:rsidRPr="00D93FF9">
        <w:rPr>
          <w:lang w:val="en-GB"/>
        </w:rPr>
        <w:t>Giardia</w:t>
      </w:r>
      <w:r w:rsidR="00324E48" w:rsidRPr="00D93FF9">
        <w:rPr>
          <w:lang w:val="en-GB"/>
        </w:rPr>
        <w:t xml:space="preserve"> can be sourced from a range of domestic and wild animals </w:t>
      </w:r>
      <w:r w:rsidR="00324E48" w:rsidRPr="00D93FF9">
        <w:rPr>
          <w:lang w:val="en-GB"/>
        </w:rPr>
        <w:fldChar w:fldCharType="begin"/>
      </w:r>
      <w:r w:rsidR="00BE6DF0" w:rsidRPr="00D93FF9">
        <w:rPr>
          <w:lang w:val="en-GB"/>
        </w:rPr>
        <w:instrText xml:space="preserve"> ADDIN ZOTERO_ITEM CSL_CITATION {"citationID":"YE3uKsfu","properties":{"formattedCitation":"(Henderson, 2009; Balderrama-Carmona et al., 2017)","plainCitation":"(Henderson, 2009; Balderrama-Carmona et al., 2017)","noteIndex":0},"citationItems":[{"id":30563,"uris":["http://zotero.org/users/1938757/items/2XLIJ68H"],"uri":["http://zotero.org/users/1938757/items/2XLIJ68H"],"itemData":{"id":30563,"type":"book","abstract":"\"This review provides an overview of diseases or pathogens that have been identified in vertebrate pests in Australia; particularly feral pigs, foxes and wild dogs, feral cats, feral goats, rabbits, cane toads, rodents (feral mice and ship rats) and European carp. Australian research published between 1990 and 2009 is reviewed. A range of bacterial, viral, fungal, helminth and protozoan pathogens have been identified: many of these have broad host specificity, so could affect a wide range of species. Pathogens that could significantly impact on native fauna include Toxoplasma gondii (causing toxoplasmosis), Echinococcus granulosus (causing cystic hydatidosis) and Asian fish tapeworm Bothriocephalus acheilognathi. Pathogens with serious zoonotic potential include Coxiella burnetti (causing Q fever), Brucella (causing brucellosis), Leptospira (causing leptospirosis), Murray Valley encephalitis virus and Angiostrongylus cantonensis (causing neurological disease) and various gastrointestinal pathogens such as Salmonella. Pathogens particularly significant to livestock include Neospora caninum, Porcine parvovirus, T. gondii and Brucella (all causing reproductive failure) and E. granulosus. While the greatest potential threat of disease from vertebrate pests may be from future exotic outbreaks such as foot-and-mouth disease, it is clear many other pathogens of concern currently occur in these animals in Australia. The occurrence of such a wide range of pathogens emphasises the need to effectively manage populations of vertebrate pests to avoid the spread of disease into livestock, native species or humans.\"--Website.","event-place":"Canberra","ISBN":"978-0-9806716-4-3","language":"English","note":"OCLC: 679183771","publisher":"Invasive Animals Cooperative Research Centre","publisher-place":"Canberra","source":"Open WorldCat","title":"Pathogens in vertebrate pests in Australia","URL":"https://gatton.uq.edu.au/files/5526/Pathogens_in_vertebrate_pests_in_Australia.pdf","author":[{"family":"Henderson","given":"Wendy"}],"issued":{"date-parts":[["2009"]]}}},{"id":35283,"uris":["http://zotero.org/users/1938757/items/7XRKK3BS"],"uri":["http://zotero.org/users/1938757/items/7XRKK3BS"],"itemData":{"id":35283,"type":"book","abstract":"Giardia is a gastrointestinal parasite that causes infections in humans worldwide. In developing countries, giardiasis is an emerging infection because it plays an important role in diarrhea outbreaks linked to water and food consumption affecting the population in general. Giardiasis is referred to as zoonosis because its biological etiological agent is transmitted to humans through animal reservoirs by oral-fecal route. Detection and occurrences of Giardia cysts have been documented in water, food, soil, and air. The principal risk factors for developing giardiasis include environmental contamination associated with malnutrition and immunosuppression. The small size of cysts and their environmental resistance together with the small infection dose to produce the disease allow giardia dissemination especially in marginalized populations; however, parasitism is present in all countries and at different economic levels. This zoonotic illness contains several species of Giardia duodenalis, infecting mammals and humans with eight serotypes, of which A and B are of public health importance. Quantitative microbiological risk assessment (QMRA) is a methodology used for predicting health risk to establish regulations for permissible Giardia risk in water and food. This chapter focuses on worldwide reviews of Giardia incidence in environmental samples including giardiasis prevalence, serotypes, risk factors, and finally options for cyst reduction in the environment, emphasizing on QMRA.","ISBN":"978-953-51-3654-5","language":"en","note":"container-title: Current Topics in Giardiasis\nDOI: 10.5772/intechopen.70805","publisher":"IntechOpen","source":"www.intechopen.com","title":"Risk Assessment for Giardia in Environmental Samples","URL":"https://www.intechopen.com/chapters/57043","author":[{"family":"Balderrama-Carmona","given":"Ana Paola"},{"family":"Pablo","given":"Gortáres-Moroyoqui"},{"family":"Felipe","given":"Morán-Palacio Edgar"},{"family":"Gabriela","given":"Ulloa-Mercado Ruth"},{"family":"Mariana","given":"Díaz-Tenorio Lourdes"},{"family":"Alonso","given":"Leyva-Soto Luis"}],"accessed":{"date-parts":[["2021",8,20]]},"issued":{"date-parts":[["2017",12,13]]}}}],"schema":"https://github.com/citation-style-language/schema/raw/master/csl-citation.json"} </w:instrText>
      </w:r>
      <w:r w:rsidR="00324E48" w:rsidRPr="00D93FF9">
        <w:rPr>
          <w:lang w:val="en-GB"/>
        </w:rPr>
        <w:fldChar w:fldCharType="separate"/>
      </w:r>
      <w:r w:rsidR="00C77AA4" w:rsidRPr="00D93FF9">
        <w:rPr>
          <w:rFonts w:ascii="Calibri" w:hAnsi="Calibri"/>
        </w:rPr>
        <w:t>(Henderson 2009; Balderrama-Carmona et al. 2017)</w:t>
      </w:r>
      <w:r w:rsidR="00324E48" w:rsidRPr="00D93FF9">
        <w:rPr>
          <w:lang w:val="en-GB"/>
        </w:rPr>
        <w:fldChar w:fldCharType="end"/>
      </w:r>
      <w:r w:rsidR="00592B13" w:rsidRPr="00D93FF9">
        <w:rPr>
          <w:lang w:val="en-GB"/>
        </w:rPr>
        <w:t xml:space="preserve">. </w:t>
      </w:r>
    </w:p>
    <w:p w14:paraId="59DCC2BD" w14:textId="6972F1F5" w:rsidR="00C46175" w:rsidRPr="00D93FF9" w:rsidRDefault="00C77AA4" w:rsidP="003807A1">
      <w:pPr>
        <w:pStyle w:val="BodyText"/>
        <w:spacing w:after="0" w:line="266" w:lineRule="auto"/>
        <w:jc w:val="both"/>
        <w:rPr>
          <w:rFonts w:ascii="Arial"/>
          <w:sz w:val="20"/>
          <w:lang w:val="en-GB"/>
        </w:rPr>
      </w:pPr>
      <w:r w:rsidRPr="00D93FF9">
        <w:rPr>
          <w:lang w:val="en-GB"/>
        </w:rPr>
        <w:t>As part of their lifecycle, most protozoa</w:t>
      </w:r>
      <w:r w:rsidR="006B679F" w:rsidRPr="00D93FF9">
        <w:rPr>
          <w:lang w:val="en-GB"/>
        </w:rPr>
        <w:t xml:space="preserve"> </w:t>
      </w:r>
      <w:r w:rsidRPr="00D93FF9">
        <w:rPr>
          <w:lang w:val="en-GB"/>
        </w:rPr>
        <w:t xml:space="preserve">form cysts or oocysts that can be transmitted through irrigation of contaminated water. Cysts and oocysts are resistant to some environment conditions and this resistance enables the survival of some species for extended periods of time on crops, pastures and other surfaces </w:t>
      </w:r>
      <w:r w:rsidR="00C21101" w:rsidRPr="00D93FF9">
        <w:rPr>
          <w:lang w:val="en-GB"/>
        </w:rPr>
        <w:fldChar w:fldCharType="begin"/>
      </w:r>
      <w:r w:rsidR="00BE6DF0" w:rsidRPr="00D93FF9">
        <w:rPr>
          <w:lang w:val="en-GB"/>
        </w:rPr>
        <w:instrText xml:space="preserve"> ADDIN ZOTERO_ITEM CSL_CITATION {"citationID":"8RPTnKxw","properties":{"formattedCitation":"(WHO, 2006; Alum et al., 2014)","plainCitation":"(WHO, 2006; Alum et al., 2014)","noteIndex":0},"citationItems":[{"id":745,"uris":["http://zotero.org/users/1938757/items/5VGB53CD"],"uri":["http://zotero.org/users/1938757/items/5VGB53CD"],"itemData":{"id":745,"type":"report","event-place":"Geneva,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id":32545,"uris":["http://zotero.org/users/1938757/items/E969CKU2"],"uri":["http://zotero.org/users/1938757/items/E969CKU2"],"itemData":{"id":32545,"type":"webpage","abstract":"The objective of this study was to find out the impact of environmental conditions on the survival of intestinal parasites on environmental surfaces commonly implicated in the transmission of these parasites. The study was performed by incubating Cryptosporidium and Giardia (oo)cysts on environmentally relevant surfaces such as brushed stainless steel, formica, ceramic, fabric, and skin. Parallel experiments were conducted using clean and soiled coupons incubated under three temperatures. The die-off coefficient rates () were calculated using first-order exponential formula. For both parasites, the fastest die-off was recorded on fabric, followed by ceramic, formica, skin, and steel. Die-off rates were directly correlated to the incubation temperatures and surface porosity. The presence of organic matter enhanced the survivability of the resting stages of test parasites. The decay rates calculated in this study can be used in models for public health decision-making process and highlights the mitigation role of hand hygiene agents in their prevention and control.","container-title":"Interdisciplinary Perspectives on Infectious Diseases","genre":"Research Article","language":"en","note":"DOI: https://doi.org/10.1155/2014/210385\nISSN: 1687-708X\npage: e210385\npublisher: Hindawi\nvolume: 2014\nDOI: https://doi.org/10.1155/2014/210385","title":"Impact of Environmental Conditions on the Survival of Cryptosporidium and Giardia on Environmental Surfaces","URL":"https://www.hindawi.com/journals/ipid/2014/210385/","author":[{"family":"Alum","given":"Absar"},{"family":"Absar","given":"Isra M."},{"family":"Asaad","given":"Hamas"},{"family":"Rubino","given":"Joseph R."},{"family":"Ijaz","given":"M. Khalid"}],"accessed":{"date-parts":[["2020",10,9]]},"issued":{"date-parts":[["2014",6,17]]}}}],"schema":"https://github.com/citation-style-language/schema/raw/master/csl-citation.json"} </w:instrText>
      </w:r>
      <w:r w:rsidR="00C21101" w:rsidRPr="00D93FF9">
        <w:rPr>
          <w:lang w:val="en-GB"/>
        </w:rPr>
        <w:fldChar w:fldCharType="separate"/>
      </w:r>
      <w:r w:rsidR="007C2051" w:rsidRPr="00D93FF9">
        <w:rPr>
          <w:rFonts w:ascii="Calibri" w:hAnsi="Calibri" w:cs="Calibri"/>
        </w:rPr>
        <w:t>(WHO 2006; Alum et al. 2014)</w:t>
      </w:r>
      <w:r w:rsidR="00C21101" w:rsidRPr="00D93FF9">
        <w:rPr>
          <w:lang w:val="en-GB"/>
        </w:rPr>
        <w:fldChar w:fldCharType="end"/>
      </w:r>
      <w:r w:rsidR="00E811B8" w:rsidRPr="00D93FF9">
        <w:rPr>
          <w:lang w:val="en-GB"/>
        </w:rPr>
        <w:t xml:space="preserve">. Irrigated vegetables and fruit have been implicated in the transmission of several protozoan infections to humans (Froese </w:t>
      </w:r>
      <w:r w:rsidR="00FA6E9E" w:rsidRPr="00D93FF9">
        <w:rPr>
          <w:lang w:val="en-GB"/>
        </w:rPr>
        <w:t>and</w:t>
      </w:r>
      <w:r w:rsidR="00E811B8" w:rsidRPr="00D93FF9">
        <w:rPr>
          <w:lang w:val="en-GB"/>
        </w:rPr>
        <w:t xml:space="preserve"> Kindzierski</w:t>
      </w:r>
      <w:r w:rsidR="00E811B8" w:rsidRPr="00D93FF9">
        <w:rPr>
          <w:spacing w:val="-1"/>
          <w:lang w:val="en-GB"/>
        </w:rPr>
        <w:t xml:space="preserve"> </w:t>
      </w:r>
      <w:r w:rsidR="00E811B8" w:rsidRPr="00D93FF9">
        <w:rPr>
          <w:lang w:val="en-GB"/>
        </w:rPr>
        <w:t>1998).</w:t>
      </w:r>
    </w:p>
    <w:p w14:paraId="59DCC2BE" w14:textId="07123962" w:rsidR="00C46175" w:rsidRPr="00D93FF9" w:rsidRDefault="00E811B8" w:rsidP="003807A1">
      <w:pPr>
        <w:pStyle w:val="BodyText"/>
        <w:spacing w:after="0" w:line="266" w:lineRule="auto"/>
        <w:jc w:val="both"/>
        <w:rPr>
          <w:lang w:val="en-GB"/>
        </w:rPr>
      </w:pPr>
      <w:r w:rsidRPr="00D93FF9">
        <w:rPr>
          <w:lang w:val="en-GB"/>
        </w:rPr>
        <w:t xml:space="preserve">A number of species of parasitic helminths are endemic in some parts of </w:t>
      </w:r>
      <w:r w:rsidR="00C10374" w:rsidRPr="00D93FF9">
        <w:rPr>
          <w:lang w:val="en-GB"/>
        </w:rPr>
        <w:t xml:space="preserve">northern </w:t>
      </w:r>
      <w:r w:rsidRPr="00D93FF9">
        <w:rPr>
          <w:lang w:val="en-GB"/>
        </w:rPr>
        <w:t>Australia and eggs of a variety of helminths can be transmitted via irrigation water to crops or pastures</w:t>
      </w:r>
      <w:r w:rsidR="00C10374" w:rsidRPr="00D93FF9">
        <w:rPr>
          <w:lang w:val="en-GB"/>
        </w:rPr>
        <w:t xml:space="preserve"> </w:t>
      </w:r>
      <w:r w:rsidR="00C10374" w:rsidRPr="00D93FF9">
        <w:fldChar w:fldCharType="begin"/>
      </w:r>
      <w:r w:rsidR="007C2051" w:rsidRPr="00D93FF9">
        <w:instrText xml:space="preserve"> ADDIN ZOTERO_ITEM CSL_CITATION {"citationID":"uZC4giWh","properties":{"formattedCitation":"(NRMMC et al., 2006)","plainCitation":"(NRMMC et al., 2006)","noteIndex":0},"citationItems":[{"id":3886,"uris":["http://zotero.org/users/1938757/items/MHXN2WMQ"],"uri":["http://zotero.org/users/1938757/items/MHXN2WMQ"],"itemData":{"id":3886,"type":"book","event-place":"Canberra,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schema":"https://github.com/citation-style-language/schema/raw/master/csl-citation.json"} </w:instrText>
      </w:r>
      <w:r w:rsidR="00C10374" w:rsidRPr="00D93FF9">
        <w:fldChar w:fldCharType="separate"/>
      </w:r>
      <w:r w:rsidR="007C2051" w:rsidRPr="00D93FF9">
        <w:rPr>
          <w:rFonts w:ascii="Calibri" w:hAnsi="Calibri" w:cs="Calibri"/>
        </w:rPr>
        <w:t>(NRMMC et al. 2006)</w:t>
      </w:r>
      <w:r w:rsidR="00C10374" w:rsidRPr="00D93FF9">
        <w:fldChar w:fldCharType="end"/>
      </w:r>
      <w:r w:rsidR="00C10374" w:rsidRPr="00D93FF9">
        <w:t xml:space="preserve">. However, southern parts of Australia have been shown to be not endemic </w:t>
      </w:r>
      <w:r w:rsidR="00C77AA4" w:rsidRPr="00D93FF9">
        <w:t>for</w:t>
      </w:r>
      <w:r w:rsidR="00C10374" w:rsidRPr="00D93FF9">
        <w:t xml:space="preserve"> helminths of concern in sewage </w:t>
      </w:r>
      <w:r w:rsidR="00C10374" w:rsidRPr="00D93FF9">
        <w:fldChar w:fldCharType="begin"/>
      </w:r>
      <w:r w:rsidR="00BE6DF0" w:rsidRPr="00D93FF9">
        <w:instrText xml:space="preserve"> ADDIN ZOTERO_ITEM CSL_CITATION {"citationID":"d9nPjUBl","properties":{"formattedCitation":"(Stevens et al., 2017)","plainCitation":"(Stevens et al., 2017)","noteIndex":0},"citationItems":[{"id":29114,"uris":["http://zotero.org/users/1938757/items/SFZ2Q39U"],"uri":["http://zotero.org/users/1938757/items/SFZ2Q39U"],"itemData":{"id":29114,"type":"article-journal","container-title":"Water Research","DOI":"10.1016/j.watres.2017.08.069","ISSN":"00431354","language":"en","note":"Article title: Helminth log reduction values for recycling water from sewage for the protection of human and stock health\nArticle reference: WR13192\nJournal title: Water Research\nCorresponding author: Dr. Daryl P Stevens\nFirst author: Dr. Daryl P. Stevens\nFinal version published online: 21-Sep-2017\nFull bibliographic details: Water Research 125C (2017) pp. 501-511\nDOI information: 10.1016/j.watres.2017.08.069","page":"501-511","source":"CrossRef","title":"Helminth log reduction values for recycling water from sewage for the protection of human and stock health","volume":"125","author":[{"family":"Stevens","given":"Daryl P."},{"family":"Surapaneni","given":"Aravind"},{"family":"Thodupunuri","given":"Rachna"},{"family":"O’Connor","given":"Nicholas A."},{"family":"Smith","given":"David"}],"issued":{"date-parts":[["2017",8]]}}}],"schema":"https://github.com/citation-style-language/schema/raw/master/csl-citation.json"} </w:instrText>
      </w:r>
      <w:r w:rsidR="00C10374" w:rsidRPr="00D93FF9">
        <w:fldChar w:fldCharType="separate"/>
      </w:r>
      <w:r w:rsidR="007C2051" w:rsidRPr="00D93FF9">
        <w:rPr>
          <w:rFonts w:ascii="Calibri" w:hAnsi="Calibri" w:cs="Calibri"/>
        </w:rPr>
        <w:t>(Stevens et al. 2017)</w:t>
      </w:r>
      <w:r w:rsidR="00C10374" w:rsidRPr="00D93FF9">
        <w:fldChar w:fldCharType="end"/>
      </w:r>
      <w:r w:rsidRPr="00D93FF9">
        <w:rPr>
          <w:lang w:val="en-GB"/>
        </w:rPr>
        <w:t>.</w:t>
      </w:r>
    </w:p>
    <w:p w14:paraId="07AF1753" w14:textId="77777777" w:rsidR="00592B13" w:rsidRPr="00D93FF9" w:rsidRDefault="00592B13" w:rsidP="003807A1">
      <w:pPr>
        <w:pStyle w:val="BodyText"/>
        <w:spacing w:after="0" w:line="266" w:lineRule="auto"/>
        <w:jc w:val="both"/>
        <w:rPr>
          <w:lang w:val="en-GB"/>
        </w:rPr>
      </w:pPr>
    </w:p>
    <w:p w14:paraId="59DCC2BF" w14:textId="77777777" w:rsidR="00C46175" w:rsidRPr="00D93FF9" w:rsidRDefault="00E811B8" w:rsidP="00873544">
      <w:pPr>
        <w:pStyle w:val="Heading4"/>
        <w:rPr>
          <w:lang w:val="en-GB"/>
        </w:rPr>
      </w:pPr>
      <w:r w:rsidRPr="00D93FF9">
        <w:rPr>
          <w:lang w:val="en-GB"/>
        </w:rPr>
        <w:t>Effects on human health</w:t>
      </w:r>
    </w:p>
    <w:p w14:paraId="59DCC2C0" w14:textId="4D7121DE" w:rsidR="00C46175" w:rsidRPr="00D93FF9" w:rsidRDefault="00E811B8" w:rsidP="003807A1">
      <w:pPr>
        <w:pStyle w:val="BodyText"/>
        <w:spacing w:after="0" w:line="266" w:lineRule="auto"/>
        <w:jc w:val="both"/>
        <w:rPr>
          <w:lang w:val="en-GB"/>
        </w:rPr>
      </w:pPr>
      <w:r w:rsidRPr="00D93FF9">
        <w:rPr>
          <w:lang w:val="en-GB"/>
        </w:rPr>
        <w:t>Human pathogens that could potentially be found in irrigation waters and their associated health risks are listed in</w:t>
      </w:r>
      <w:r w:rsidR="00477102" w:rsidRPr="00D93FF9">
        <w:rPr>
          <w:lang w:val="en-GB"/>
        </w:rPr>
        <w:t xml:space="preserve"> </w:t>
      </w:r>
      <w:r w:rsidR="00477102" w:rsidRPr="00D93FF9">
        <w:rPr>
          <w:lang w:val="en-GB"/>
        </w:rPr>
        <w:fldChar w:fldCharType="begin"/>
      </w:r>
      <w:r w:rsidR="00477102" w:rsidRPr="00D93FF9">
        <w:rPr>
          <w:lang w:val="en-GB"/>
        </w:rPr>
        <w:instrText xml:space="preserve"> REF _Ref87974184 \h </w:instrText>
      </w:r>
      <w:r w:rsidR="00D93FF9">
        <w:rPr>
          <w:lang w:val="en-GB"/>
        </w:rPr>
        <w:instrText xml:space="preserve"> \* MERGEFORMAT </w:instrText>
      </w:r>
      <w:r w:rsidR="00477102" w:rsidRPr="00D93FF9">
        <w:rPr>
          <w:lang w:val="en-GB"/>
        </w:rPr>
      </w:r>
      <w:r w:rsidR="00477102" w:rsidRPr="00D93FF9">
        <w:rPr>
          <w:lang w:val="en-GB"/>
        </w:rPr>
        <w:fldChar w:fldCharType="separate"/>
      </w:r>
      <w:r w:rsidR="0069302C" w:rsidRPr="00D93FF9">
        <w:t xml:space="preserve">Table </w:t>
      </w:r>
      <w:r w:rsidR="0069302C">
        <w:rPr>
          <w:noProof/>
        </w:rPr>
        <w:t>6</w:t>
      </w:r>
      <w:r w:rsidR="00477102" w:rsidRPr="00D93FF9">
        <w:rPr>
          <w:lang w:val="en-GB"/>
        </w:rPr>
        <w:fldChar w:fldCharType="end"/>
      </w:r>
      <w:r w:rsidR="00477102" w:rsidRPr="00D93FF9">
        <w:rPr>
          <w:lang w:val="en-GB"/>
        </w:rPr>
        <w:t xml:space="preserve">. </w:t>
      </w:r>
      <w:r w:rsidRPr="00D93FF9">
        <w:rPr>
          <w:lang w:val="en-GB"/>
        </w:rPr>
        <w:t xml:space="preserve">Issues concerning livestock health are discussed separately (see Section </w:t>
      </w:r>
      <w:r w:rsidR="0085132A" w:rsidRPr="00D93FF9">
        <w:rPr>
          <w:lang w:val="en-GB"/>
        </w:rPr>
        <w:t>on Livestock drinking water</w:t>
      </w:r>
      <w:r w:rsidRPr="00D93FF9">
        <w:rPr>
          <w:lang w:val="en-GB"/>
        </w:rPr>
        <w:t>). Protection of human and animal health from disease associated with pathogens in irrigation water is based on providing barriers to disease transmission to minimise exposure</w:t>
      </w:r>
      <w:r w:rsidR="00986346" w:rsidRPr="00D93FF9">
        <w:rPr>
          <w:lang w:val="en-GB"/>
        </w:rPr>
        <w:t xml:space="preserve"> </w:t>
      </w:r>
      <w:r w:rsidR="00986346" w:rsidRPr="00D93FF9">
        <w:rPr>
          <w:lang w:val="en-GB"/>
        </w:rPr>
        <w:fldChar w:fldCharType="begin"/>
      </w:r>
      <w:r w:rsidR="00BE6DF0" w:rsidRPr="00D93FF9">
        <w:rPr>
          <w:lang w:val="en-GB"/>
        </w:rPr>
        <w:instrText xml:space="preserve"> ADDIN ZOTERO_ITEM CSL_CITATION {"citationID":"7Pj84DRT","properties":{"formattedCitation":"(NRMMC et al., 2006; NHMRC and NRMMC, 2011; Alegbeleye et al., 2018)","plainCitation":"(NRMMC et al., 2006; NHMRC and NRMMC, 2011; Alegbeleye et al., 2018)","noteIndex":0},"citationItems":[{"id":3886,"uris":["http://zotero.org/users/1938757/items/MHXN2WMQ"],"uri":["http://zotero.org/users/1938757/items/MHXN2WMQ"],"itemData":{"id":3886,"type":"book","event-place":"Canberra,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update"}}},{"id":33254,"uris":["http://zotero.org/users/1938757/items/WKK2SMMB"],"uri":["http://zotero.org/users/1938757/items/WKK2SMMB"],"itemData":{"id":33254,"type":"article-journal","abstract":"Foodborne illness resulting from the consumption of contaminated fresh produce is a common phenomenon and has severe effects on human health together with severe economic and social impacts. The implications of foodborne diseases associated with fresh produce have urged research into the numerous ways and mechanisms through which pathogens may gain access to produce, thereby compromising microbiological safety. This review provides a background on the various sources and pathways through which pathogenic bacteria contaminate fresh produce; the survival and proliferation of pathogens on fresh produce while growing and potential methods to reduce microbial contamination before harvest. Some of the established bacterial contamination sources include contaminated manure, irrigation water, soil, livestock/ wildlife, and numerous factors influence the incidence, fate, transport, survival and proliferation of pathogens in the wide variety of sources where they are found. Once pathogenic bacteria have been introduced into the growing environment, they can colonize and persist on fresh produce using a variety of mechanisms. Overall, microbiological hazards are significant; therefore, ways to reduce sources of contamination and a deeper understanding of pathogen survival and growth on fresh produce in the field are required to reduce risk to human health and the associated economic consequences., \n          \n            Image 1","container-title":"Food Microbiology","DOI":"10.1016/j.fm.2018.01.003","ISSN":"0740-0020","journalAbbreviation":"Food Microbiol","note":"PMID: 29526204\nPMCID: PMC7127387","page":"177-208","source":"PubMed Central","title":"Sources and contamination routes of microbial pathogens to fresh produce during field cultivation: A review","title-short":"Sources and contamination routes of microbial pathogens to fresh produce during field cultivation","volume":"73","author":[{"family":"Alegbeleye","given":"Oluwadara Oluwaseun"},{"family":"Singleton","given":"Ian"},{"family":"Sant’Ana","given":"Anderson S."}],"issued":{"date-parts":[["2018",8]]}}}],"schema":"https://github.com/citation-style-language/schema/raw/master/csl-citation.json"} </w:instrText>
      </w:r>
      <w:r w:rsidR="00986346" w:rsidRPr="00D93FF9">
        <w:rPr>
          <w:lang w:val="en-GB"/>
        </w:rPr>
        <w:fldChar w:fldCharType="separate"/>
      </w:r>
      <w:r w:rsidR="007C2051" w:rsidRPr="00D93FF9">
        <w:rPr>
          <w:rFonts w:ascii="Calibri" w:hAnsi="Calibri" w:cs="Calibri"/>
        </w:rPr>
        <w:t>(NRMMC et al. 2006; NHMRC and NRMMC 2011; Alegbeleye et al. 2018)</w:t>
      </w:r>
      <w:r w:rsidR="00986346" w:rsidRPr="00D93FF9">
        <w:rPr>
          <w:lang w:val="en-GB"/>
        </w:rPr>
        <w:fldChar w:fldCharType="end"/>
      </w:r>
      <w:r w:rsidR="00986346" w:rsidRPr="00D93FF9">
        <w:rPr>
          <w:lang w:val="en-GB"/>
        </w:rPr>
        <w:t>.</w:t>
      </w:r>
      <w:r w:rsidR="00AF3F7D">
        <w:rPr>
          <w:lang w:val="en-GB"/>
        </w:rPr>
        <w:t xml:space="preserve"> </w:t>
      </w:r>
      <w:r w:rsidR="00BF276D" w:rsidRPr="00D93FF9">
        <w:rPr>
          <w:lang w:val="en-GB"/>
        </w:rPr>
        <w:t>For example, contamination of irrigation water by human sewage could increase exposure to a range of pathogens (</w:t>
      </w:r>
      <w:r w:rsidR="00477102" w:rsidRPr="00D93FF9">
        <w:rPr>
          <w:lang w:val="en-GB"/>
        </w:rPr>
        <w:fldChar w:fldCharType="begin"/>
      </w:r>
      <w:r w:rsidR="00477102" w:rsidRPr="00D93FF9">
        <w:rPr>
          <w:lang w:val="en-GB"/>
        </w:rPr>
        <w:instrText xml:space="preserve"> REF _Ref87974184 \h </w:instrText>
      </w:r>
      <w:r w:rsidR="00D93FF9">
        <w:rPr>
          <w:lang w:val="en-GB"/>
        </w:rPr>
        <w:instrText xml:space="preserve"> \* MERGEFORMAT </w:instrText>
      </w:r>
      <w:r w:rsidR="00477102" w:rsidRPr="00D93FF9">
        <w:rPr>
          <w:lang w:val="en-GB"/>
        </w:rPr>
      </w:r>
      <w:r w:rsidR="00477102" w:rsidRPr="00D93FF9">
        <w:rPr>
          <w:lang w:val="en-GB"/>
        </w:rPr>
        <w:fldChar w:fldCharType="separate"/>
      </w:r>
      <w:r w:rsidR="0069302C" w:rsidRPr="00D93FF9">
        <w:t xml:space="preserve">Table </w:t>
      </w:r>
      <w:r w:rsidR="0069302C">
        <w:rPr>
          <w:noProof/>
        </w:rPr>
        <w:t>6</w:t>
      </w:r>
      <w:r w:rsidR="00477102" w:rsidRPr="00D93FF9">
        <w:rPr>
          <w:lang w:val="en-GB"/>
        </w:rPr>
        <w:fldChar w:fldCharType="end"/>
      </w:r>
      <w:r w:rsidR="00BF276D" w:rsidRPr="00D93FF9">
        <w:rPr>
          <w:lang w:val="en-GB"/>
        </w:rPr>
        <w:t xml:space="preserve">). </w:t>
      </w:r>
    </w:p>
    <w:p w14:paraId="59DCC2C1" w14:textId="77777777" w:rsidR="00C46175" w:rsidRPr="00D93FF9" w:rsidRDefault="00C46175" w:rsidP="003807A1">
      <w:pPr>
        <w:pStyle w:val="BodyText"/>
        <w:spacing w:after="0"/>
        <w:rPr>
          <w:sz w:val="21"/>
          <w:lang w:val="en-GB"/>
        </w:rPr>
      </w:pPr>
    </w:p>
    <w:p w14:paraId="59DCC2C2" w14:textId="43B6B027" w:rsidR="00986346" w:rsidRPr="00D93FF9" w:rsidRDefault="00477102" w:rsidP="00477102">
      <w:pPr>
        <w:pStyle w:val="Caption"/>
        <w:rPr>
          <w:vertAlign w:val="superscript"/>
          <w:lang w:val="en-GB"/>
        </w:rPr>
      </w:pPr>
      <w:bookmarkStart w:id="31" w:name="_Ref87974184"/>
      <w:bookmarkStart w:id="32" w:name="_Toc96518220"/>
      <w:r w:rsidRPr="00D93FF9">
        <w:lastRenderedPageBreak/>
        <w:t xml:space="preserve">Table </w:t>
      </w:r>
      <w:r w:rsidRPr="00D93FF9">
        <w:fldChar w:fldCharType="begin"/>
      </w:r>
      <w:r w:rsidRPr="00D93FF9">
        <w:instrText xml:space="preserve"> SEQ Table \* ARABIC </w:instrText>
      </w:r>
      <w:r w:rsidRPr="00D93FF9">
        <w:fldChar w:fldCharType="separate"/>
      </w:r>
      <w:r w:rsidR="0069302C">
        <w:rPr>
          <w:noProof/>
        </w:rPr>
        <w:t>6</w:t>
      </w:r>
      <w:r w:rsidRPr="00D93FF9">
        <w:fldChar w:fldCharType="end"/>
      </w:r>
      <w:bookmarkEnd w:id="31"/>
      <w:r w:rsidRPr="00D93FF9">
        <w:t xml:space="preserve"> </w:t>
      </w:r>
      <w:bookmarkStart w:id="33" w:name="_Hlk153787492"/>
      <w:r w:rsidR="00E811B8" w:rsidRPr="00D93FF9">
        <w:rPr>
          <w:lang w:val="en-GB"/>
        </w:rPr>
        <w:t>Infectious agents potentially present in domestic wastewater</w:t>
      </w:r>
      <w:r w:rsidR="00E811B8" w:rsidRPr="00D93FF9">
        <w:rPr>
          <w:vertAlign w:val="superscript"/>
          <w:lang w:val="en-GB"/>
        </w:rPr>
        <w:t>a</w:t>
      </w:r>
      <w:bookmarkEnd w:id="32"/>
      <w:bookmarkEnd w:id="33"/>
    </w:p>
    <w:tbl>
      <w:tblPr>
        <w:tblW w:w="8640" w:type="dxa"/>
        <w:tblInd w:w="108" w:type="dxa"/>
        <w:tblLook w:val="04A0" w:firstRow="1" w:lastRow="0" w:firstColumn="1" w:lastColumn="0" w:noHBand="0" w:noVBand="1"/>
        <w:tblCaption w:val="Infectious agents potentially present in domestic wastewater"/>
        <w:tblDescription w:val="Lists a range of species within four categories of infectious organisms in the first column, including bacteria, protozoa, viruses, and helminths. The diseases caused by each species is listed in the second column, and remarks about the symptoms caused are listed in the third column.   "/>
      </w:tblPr>
      <w:tblGrid>
        <w:gridCol w:w="2302"/>
        <w:gridCol w:w="2338"/>
        <w:gridCol w:w="4000"/>
      </w:tblGrid>
      <w:tr w:rsidR="00BE3AA8" w:rsidRPr="00D93FF9" w14:paraId="59DCC2C6" w14:textId="77777777" w:rsidTr="00AF3F7D">
        <w:trPr>
          <w:trHeight w:val="227"/>
          <w:tblHeader/>
        </w:trPr>
        <w:tc>
          <w:tcPr>
            <w:tcW w:w="2302" w:type="dxa"/>
            <w:tcBorders>
              <w:top w:val="single" w:sz="4" w:space="0" w:color="auto"/>
              <w:left w:val="nil"/>
              <w:bottom w:val="single" w:sz="4" w:space="0" w:color="auto"/>
              <w:right w:val="nil"/>
            </w:tcBorders>
            <w:shd w:val="clear" w:color="000000" w:fill="FFFFFF"/>
            <w:noWrap/>
            <w:vAlign w:val="bottom"/>
            <w:hideMark/>
          </w:tcPr>
          <w:p w14:paraId="59DCC2C3" w14:textId="77777777" w:rsidR="00986346" w:rsidRPr="00D93FF9" w:rsidRDefault="00E811B8" w:rsidP="00310B84">
            <w:pPr>
              <w:rPr>
                <w:rFonts w:cs="Arial"/>
                <w:b/>
                <w:bCs/>
                <w:sz w:val="18"/>
                <w:szCs w:val="18"/>
                <w:lang w:val="en-GB" w:eastAsia="en-AU"/>
              </w:rPr>
            </w:pPr>
            <w:r w:rsidRPr="00D93FF9">
              <w:rPr>
                <w:rFonts w:cs="Arial"/>
                <w:b/>
                <w:bCs/>
                <w:sz w:val="18"/>
                <w:szCs w:val="18"/>
                <w:lang w:val="en-GB" w:eastAsia="en-AU"/>
              </w:rPr>
              <w:t>Organism</w:t>
            </w:r>
          </w:p>
        </w:tc>
        <w:tc>
          <w:tcPr>
            <w:tcW w:w="2338" w:type="dxa"/>
            <w:tcBorders>
              <w:top w:val="single" w:sz="4" w:space="0" w:color="auto"/>
              <w:left w:val="nil"/>
              <w:bottom w:val="single" w:sz="4" w:space="0" w:color="auto"/>
              <w:right w:val="nil"/>
            </w:tcBorders>
            <w:shd w:val="clear" w:color="000000" w:fill="FFFFFF"/>
            <w:vAlign w:val="bottom"/>
            <w:hideMark/>
          </w:tcPr>
          <w:p w14:paraId="59DCC2C4" w14:textId="77777777" w:rsidR="00986346" w:rsidRPr="00D93FF9" w:rsidRDefault="00E811B8" w:rsidP="00310B84">
            <w:pPr>
              <w:rPr>
                <w:rFonts w:cs="Arial"/>
                <w:b/>
                <w:bCs/>
                <w:sz w:val="18"/>
                <w:szCs w:val="18"/>
                <w:lang w:val="en-GB" w:eastAsia="en-AU"/>
              </w:rPr>
            </w:pPr>
            <w:r w:rsidRPr="00D93FF9">
              <w:rPr>
                <w:rFonts w:cs="Arial"/>
                <w:b/>
                <w:bCs/>
                <w:sz w:val="18"/>
                <w:szCs w:val="18"/>
                <w:lang w:val="en-GB" w:eastAsia="en-AU"/>
              </w:rPr>
              <w:t>Disease</w:t>
            </w:r>
          </w:p>
        </w:tc>
        <w:tc>
          <w:tcPr>
            <w:tcW w:w="4000" w:type="dxa"/>
            <w:tcBorders>
              <w:top w:val="single" w:sz="4" w:space="0" w:color="auto"/>
              <w:left w:val="nil"/>
              <w:bottom w:val="single" w:sz="4" w:space="0" w:color="auto"/>
              <w:right w:val="nil"/>
            </w:tcBorders>
            <w:shd w:val="clear" w:color="000000" w:fill="FFFFFF"/>
            <w:vAlign w:val="bottom"/>
            <w:hideMark/>
          </w:tcPr>
          <w:p w14:paraId="59DCC2C5" w14:textId="77777777" w:rsidR="00986346" w:rsidRPr="00D93FF9" w:rsidRDefault="00E811B8" w:rsidP="00310B84">
            <w:pPr>
              <w:rPr>
                <w:rFonts w:cs="Arial"/>
                <w:b/>
                <w:bCs/>
                <w:sz w:val="18"/>
                <w:szCs w:val="18"/>
                <w:lang w:val="en-GB" w:eastAsia="en-AU"/>
              </w:rPr>
            </w:pPr>
            <w:r w:rsidRPr="00D93FF9">
              <w:rPr>
                <w:rFonts w:cs="Arial"/>
                <w:b/>
                <w:bCs/>
                <w:sz w:val="18"/>
                <w:szCs w:val="18"/>
                <w:lang w:val="en-GB" w:eastAsia="en-AU"/>
              </w:rPr>
              <w:t>Remarks</w:t>
            </w:r>
          </w:p>
        </w:tc>
      </w:tr>
      <w:tr w:rsidR="00BE3AA8" w:rsidRPr="00D93FF9" w14:paraId="59DCC2CA"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2C7" w14:textId="77777777" w:rsidR="00986346" w:rsidRPr="00D93FF9" w:rsidRDefault="00E811B8" w:rsidP="003807A1">
            <w:pPr>
              <w:keepNext/>
              <w:spacing w:after="0"/>
              <w:rPr>
                <w:rFonts w:cs="Arial"/>
                <w:b/>
                <w:color w:val="000000"/>
                <w:sz w:val="18"/>
                <w:szCs w:val="18"/>
                <w:lang w:val="en-GB" w:eastAsia="en-AU"/>
              </w:rPr>
            </w:pPr>
            <w:r w:rsidRPr="00D93FF9">
              <w:rPr>
                <w:rFonts w:cs="Arial"/>
                <w:b/>
                <w:color w:val="000000"/>
                <w:sz w:val="18"/>
                <w:szCs w:val="18"/>
                <w:lang w:val="en-GB" w:eastAsia="en-AU"/>
              </w:rPr>
              <w:t>Bacteria</w:t>
            </w:r>
          </w:p>
        </w:tc>
        <w:tc>
          <w:tcPr>
            <w:tcW w:w="2338" w:type="dxa"/>
            <w:tcBorders>
              <w:top w:val="nil"/>
              <w:left w:val="nil"/>
              <w:bottom w:val="nil"/>
              <w:right w:val="nil"/>
            </w:tcBorders>
            <w:shd w:val="clear" w:color="000000" w:fill="FFFFFF"/>
            <w:vAlign w:val="bottom"/>
            <w:hideMark/>
          </w:tcPr>
          <w:p w14:paraId="59DCC2C8" w14:textId="77777777" w:rsidR="00986346" w:rsidRPr="00D93FF9" w:rsidRDefault="00E811B8" w:rsidP="003807A1">
            <w:pPr>
              <w:keepNext/>
              <w:spacing w:after="0"/>
              <w:rPr>
                <w:rFonts w:cs="Arial"/>
                <w:color w:val="000000"/>
                <w:sz w:val="18"/>
                <w:szCs w:val="18"/>
                <w:lang w:val="en-GB" w:eastAsia="en-AU"/>
              </w:rPr>
            </w:pPr>
            <w:r w:rsidRPr="00D93FF9">
              <w:rPr>
                <w:rFonts w:cs="Arial"/>
                <w:color w:val="000000"/>
                <w:sz w:val="18"/>
                <w:szCs w:val="18"/>
                <w:lang w:val="en-GB" w:eastAsia="en-AU"/>
              </w:rPr>
              <w:t> </w:t>
            </w:r>
          </w:p>
        </w:tc>
        <w:tc>
          <w:tcPr>
            <w:tcW w:w="4000" w:type="dxa"/>
            <w:tcBorders>
              <w:top w:val="nil"/>
              <w:left w:val="nil"/>
              <w:bottom w:val="nil"/>
              <w:right w:val="nil"/>
            </w:tcBorders>
            <w:shd w:val="clear" w:color="000000" w:fill="FFFFFF"/>
            <w:vAlign w:val="bottom"/>
            <w:hideMark/>
          </w:tcPr>
          <w:p w14:paraId="59DCC2C9" w14:textId="77777777" w:rsidR="00986346" w:rsidRPr="00D93FF9" w:rsidRDefault="00E811B8" w:rsidP="003807A1">
            <w:pPr>
              <w:keepNext/>
              <w:spacing w:after="0"/>
              <w:rPr>
                <w:rFonts w:cs="Arial"/>
                <w:color w:val="000000"/>
                <w:sz w:val="18"/>
                <w:szCs w:val="18"/>
                <w:lang w:val="en-GB" w:eastAsia="en-AU"/>
              </w:rPr>
            </w:pPr>
            <w:r w:rsidRPr="00D93FF9">
              <w:rPr>
                <w:rFonts w:cs="Arial"/>
                <w:color w:val="000000"/>
                <w:sz w:val="18"/>
                <w:szCs w:val="18"/>
                <w:lang w:val="en-GB" w:eastAsia="en-AU"/>
              </w:rPr>
              <w:t> </w:t>
            </w:r>
          </w:p>
        </w:tc>
      </w:tr>
      <w:tr w:rsidR="00BE3AA8" w:rsidRPr="00D93FF9" w14:paraId="59DCC2CE" w14:textId="77777777" w:rsidTr="00AF3F7D">
        <w:trPr>
          <w:trHeight w:val="227"/>
          <w:tblHeader/>
        </w:trPr>
        <w:tc>
          <w:tcPr>
            <w:tcW w:w="2302" w:type="dxa"/>
            <w:tcBorders>
              <w:top w:val="nil"/>
              <w:left w:val="nil"/>
              <w:bottom w:val="nil"/>
              <w:right w:val="nil"/>
            </w:tcBorders>
            <w:shd w:val="clear" w:color="000000" w:fill="FFFFFF"/>
            <w:noWrap/>
            <w:vAlign w:val="center"/>
            <w:hideMark/>
          </w:tcPr>
          <w:p w14:paraId="59DCC2CB" w14:textId="77777777" w:rsidR="00986346" w:rsidRPr="00D93FF9" w:rsidRDefault="00E811B8" w:rsidP="003807A1">
            <w:pPr>
              <w:keepNext/>
              <w:spacing w:after="0"/>
              <w:ind w:firstLineChars="100" w:firstLine="180"/>
              <w:rPr>
                <w:rFonts w:cs="Arial"/>
                <w:i/>
                <w:color w:val="000000"/>
                <w:sz w:val="18"/>
                <w:szCs w:val="18"/>
                <w:lang w:val="en-GB" w:eastAsia="en-AU"/>
              </w:rPr>
            </w:pPr>
            <w:r w:rsidRPr="00D93FF9">
              <w:rPr>
                <w:rFonts w:cs="Arial"/>
                <w:i/>
                <w:iCs/>
                <w:color w:val="000000"/>
                <w:sz w:val="18"/>
                <w:szCs w:val="18"/>
                <w:lang w:val="en-GB" w:eastAsia="en-AU"/>
              </w:rPr>
              <w:t>Campylobacter jejuni</w:t>
            </w:r>
          </w:p>
        </w:tc>
        <w:tc>
          <w:tcPr>
            <w:tcW w:w="2338" w:type="dxa"/>
            <w:tcBorders>
              <w:top w:val="nil"/>
              <w:left w:val="nil"/>
              <w:bottom w:val="nil"/>
              <w:right w:val="nil"/>
            </w:tcBorders>
            <w:shd w:val="clear" w:color="000000" w:fill="FFFFFF"/>
            <w:vAlign w:val="center"/>
            <w:hideMark/>
          </w:tcPr>
          <w:p w14:paraId="59DCC2CC" w14:textId="77777777" w:rsidR="00986346" w:rsidRPr="00D93FF9" w:rsidRDefault="00E811B8" w:rsidP="003807A1">
            <w:pPr>
              <w:keepNext/>
              <w:spacing w:after="0"/>
              <w:rPr>
                <w:rFonts w:cs="Arial"/>
                <w:color w:val="000000"/>
                <w:sz w:val="18"/>
                <w:szCs w:val="18"/>
                <w:lang w:val="en-GB" w:eastAsia="en-AU"/>
              </w:rPr>
            </w:pPr>
            <w:r w:rsidRPr="00D93FF9">
              <w:rPr>
                <w:rFonts w:cs="Arial"/>
                <w:color w:val="000000"/>
                <w:sz w:val="18"/>
                <w:szCs w:val="18"/>
                <w:lang w:val="en-GB" w:eastAsia="en-AU"/>
              </w:rPr>
              <w:t>Gastroenteritis</w:t>
            </w:r>
          </w:p>
        </w:tc>
        <w:tc>
          <w:tcPr>
            <w:tcW w:w="4000" w:type="dxa"/>
            <w:tcBorders>
              <w:top w:val="nil"/>
              <w:left w:val="nil"/>
              <w:bottom w:val="nil"/>
              <w:right w:val="nil"/>
            </w:tcBorders>
            <w:shd w:val="clear" w:color="000000" w:fill="FFFFFF"/>
            <w:vAlign w:val="center"/>
            <w:hideMark/>
          </w:tcPr>
          <w:p w14:paraId="59DCC2CD" w14:textId="77777777" w:rsidR="00986346" w:rsidRPr="00D93FF9" w:rsidRDefault="00E811B8" w:rsidP="003807A1">
            <w:pPr>
              <w:keepNext/>
              <w:spacing w:after="0"/>
              <w:rPr>
                <w:rFonts w:cs="Arial"/>
                <w:color w:val="000000"/>
                <w:sz w:val="18"/>
                <w:szCs w:val="18"/>
                <w:lang w:val="en-GB" w:eastAsia="en-AU"/>
              </w:rPr>
            </w:pPr>
            <w:r w:rsidRPr="00D93FF9">
              <w:rPr>
                <w:rFonts w:cs="Arial"/>
                <w:color w:val="000000"/>
                <w:sz w:val="18"/>
                <w:szCs w:val="18"/>
                <w:lang w:val="en-GB" w:eastAsia="en-AU"/>
              </w:rPr>
              <w:t xml:space="preserve">Diarrhoea </w:t>
            </w:r>
          </w:p>
        </w:tc>
      </w:tr>
      <w:tr w:rsidR="00BE3AA8" w:rsidRPr="00D93FF9" w14:paraId="59DCC2D2" w14:textId="77777777" w:rsidTr="00AF3F7D">
        <w:trPr>
          <w:trHeight w:val="227"/>
          <w:tblHeader/>
        </w:trPr>
        <w:tc>
          <w:tcPr>
            <w:tcW w:w="2302" w:type="dxa"/>
            <w:tcBorders>
              <w:top w:val="nil"/>
              <w:left w:val="nil"/>
              <w:bottom w:val="nil"/>
              <w:right w:val="nil"/>
            </w:tcBorders>
            <w:shd w:val="clear" w:color="000000" w:fill="FFFFFF"/>
            <w:noWrap/>
            <w:vAlign w:val="center"/>
            <w:hideMark/>
          </w:tcPr>
          <w:p w14:paraId="59DCC2CF" w14:textId="77777777" w:rsidR="00986346" w:rsidRPr="00D93FF9" w:rsidRDefault="00E811B8" w:rsidP="003807A1">
            <w:pPr>
              <w:keepNext/>
              <w:spacing w:after="0"/>
              <w:ind w:firstLineChars="100" w:firstLine="180"/>
              <w:rPr>
                <w:rFonts w:cs="Arial"/>
                <w:i/>
                <w:color w:val="000000"/>
                <w:sz w:val="18"/>
                <w:szCs w:val="18"/>
                <w:lang w:val="en-GB" w:eastAsia="en-AU"/>
              </w:rPr>
            </w:pPr>
            <w:r w:rsidRPr="00D93FF9">
              <w:rPr>
                <w:rFonts w:cs="Arial"/>
                <w:i/>
                <w:iCs/>
                <w:color w:val="000000"/>
                <w:sz w:val="18"/>
                <w:szCs w:val="18"/>
                <w:lang w:val="en-GB" w:eastAsia="en-AU"/>
              </w:rPr>
              <w:t>Escherichia coli</w:t>
            </w:r>
          </w:p>
        </w:tc>
        <w:tc>
          <w:tcPr>
            <w:tcW w:w="2338" w:type="dxa"/>
            <w:tcBorders>
              <w:top w:val="nil"/>
              <w:left w:val="nil"/>
              <w:bottom w:val="nil"/>
              <w:right w:val="nil"/>
            </w:tcBorders>
            <w:shd w:val="clear" w:color="000000" w:fill="FFFFFF"/>
            <w:vAlign w:val="center"/>
            <w:hideMark/>
          </w:tcPr>
          <w:p w14:paraId="59DCC2D0" w14:textId="77777777" w:rsidR="00986346" w:rsidRPr="00D93FF9" w:rsidRDefault="00E811B8" w:rsidP="003807A1">
            <w:pPr>
              <w:keepNext/>
              <w:spacing w:after="0"/>
              <w:rPr>
                <w:rFonts w:cs="Arial"/>
                <w:color w:val="000000"/>
                <w:sz w:val="18"/>
                <w:szCs w:val="18"/>
                <w:lang w:val="en-GB" w:eastAsia="en-AU"/>
              </w:rPr>
            </w:pPr>
            <w:r w:rsidRPr="00D93FF9">
              <w:rPr>
                <w:rFonts w:cs="Arial"/>
                <w:color w:val="000000"/>
                <w:sz w:val="18"/>
                <w:szCs w:val="18"/>
                <w:lang w:val="en-GB" w:eastAsia="en-AU"/>
              </w:rPr>
              <w:t>Gastroenteritis</w:t>
            </w:r>
          </w:p>
        </w:tc>
        <w:tc>
          <w:tcPr>
            <w:tcW w:w="4000" w:type="dxa"/>
            <w:tcBorders>
              <w:top w:val="nil"/>
              <w:left w:val="nil"/>
              <w:bottom w:val="nil"/>
              <w:right w:val="nil"/>
            </w:tcBorders>
            <w:shd w:val="clear" w:color="000000" w:fill="FFFFFF"/>
            <w:vAlign w:val="center"/>
            <w:hideMark/>
          </w:tcPr>
          <w:p w14:paraId="59DCC2D1" w14:textId="77777777" w:rsidR="00986346" w:rsidRPr="00D93FF9" w:rsidRDefault="00E811B8" w:rsidP="003807A1">
            <w:pPr>
              <w:keepNext/>
              <w:spacing w:after="0"/>
              <w:rPr>
                <w:rFonts w:cs="Arial"/>
                <w:color w:val="000000"/>
                <w:sz w:val="18"/>
                <w:szCs w:val="18"/>
                <w:lang w:val="en-GB" w:eastAsia="en-AU"/>
              </w:rPr>
            </w:pPr>
            <w:r w:rsidRPr="00D93FF9">
              <w:rPr>
                <w:rFonts w:cs="Arial"/>
                <w:color w:val="000000"/>
                <w:sz w:val="18"/>
                <w:szCs w:val="18"/>
                <w:lang w:val="en-GB" w:eastAsia="en-AU"/>
              </w:rPr>
              <w:t>Diarrhoea</w:t>
            </w:r>
          </w:p>
        </w:tc>
      </w:tr>
      <w:tr w:rsidR="00BE3AA8" w:rsidRPr="00D93FF9" w14:paraId="59DCC2D6" w14:textId="77777777" w:rsidTr="00AF3F7D">
        <w:trPr>
          <w:trHeight w:val="227"/>
          <w:tblHeader/>
        </w:trPr>
        <w:tc>
          <w:tcPr>
            <w:tcW w:w="2302" w:type="dxa"/>
            <w:tcBorders>
              <w:top w:val="nil"/>
              <w:left w:val="nil"/>
              <w:bottom w:val="nil"/>
              <w:right w:val="nil"/>
            </w:tcBorders>
            <w:shd w:val="clear" w:color="000000" w:fill="FFFFFF"/>
            <w:noWrap/>
            <w:vAlign w:val="center"/>
            <w:hideMark/>
          </w:tcPr>
          <w:p w14:paraId="59DCC2D3" w14:textId="77777777" w:rsidR="00986346" w:rsidRPr="00D93FF9" w:rsidRDefault="00E811B8" w:rsidP="003807A1">
            <w:pPr>
              <w:keepNext/>
              <w:spacing w:after="0"/>
              <w:ind w:firstLineChars="100" w:firstLine="180"/>
              <w:rPr>
                <w:rFonts w:cs="Arial"/>
                <w:i/>
                <w:color w:val="000000"/>
                <w:sz w:val="18"/>
                <w:szCs w:val="18"/>
                <w:lang w:val="en-GB" w:eastAsia="en-AU"/>
              </w:rPr>
            </w:pPr>
            <w:r w:rsidRPr="00D93FF9">
              <w:rPr>
                <w:rFonts w:cs="Arial"/>
                <w:i/>
                <w:iCs/>
                <w:color w:val="000000"/>
                <w:sz w:val="18"/>
                <w:szCs w:val="18"/>
                <w:lang w:val="en-GB" w:eastAsia="en-AU"/>
              </w:rPr>
              <w:t xml:space="preserve">Legionella pneumophila </w:t>
            </w:r>
          </w:p>
        </w:tc>
        <w:tc>
          <w:tcPr>
            <w:tcW w:w="2338" w:type="dxa"/>
            <w:tcBorders>
              <w:top w:val="nil"/>
              <w:left w:val="nil"/>
              <w:bottom w:val="nil"/>
              <w:right w:val="nil"/>
            </w:tcBorders>
            <w:shd w:val="clear" w:color="000000" w:fill="FFFFFF"/>
            <w:vAlign w:val="center"/>
            <w:hideMark/>
          </w:tcPr>
          <w:p w14:paraId="59DCC2D4" w14:textId="77777777" w:rsidR="00986346" w:rsidRPr="00D93FF9" w:rsidRDefault="00E811B8" w:rsidP="003807A1">
            <w:pPr>
              <w:keepNext/>
              <w:spacing w:after="0"/>
              <w:rPr>
                <w:rFonts w:cs="Arial"/>
                <w:color w:val="000000"/>
                <w:sz w:val="18"/>
                <w:szCs w:val="18"/>
                <w:lang w:val="en-GB" w:eastAsia="en-AU"/>
              </w:rPr>
            </w:pPr>
            <w:r w:rsidRPr="00D93FF9">
              <w:rPr>
                <w:rFonts w:cs="Arial"/>
                <w:color w:val="000000"/>
                <w:sz w:val="18"/>
                <w:szCs w:val="18"/>
                <w:lang w:val="en-GB" w:eastAsia="en-AU"/>
              </w:rPr>
              <w:t>Legionnaire's disease</w:t>
            </w:r>
          </w:p>
        </w:tc>
        <w:tc>
          <w:tcPr>
            <w:tcW w:w="4000" w:type="dxa"/>
            <w:tcBorders>
              <w:top w:val="nil"/>
              <w:left w:val="nil"/>
              <w:bottom w:val="nil"/>
              <w:right w:val="nil"/>
            </w:tcBorders>
            <w:shd w:val="clear" w:color="000000" w:fill="FFFFFF"/>
            <w:vAlign w:val="center"/>
            <w:hideMark/>
          </w:tcPr>
          <w:p w14:paraId="59DCC2D5" w14:textId="77777777" w:rsidR="00986346" w:rsidRPr="00D93FF9" w:rsidRDefault="00E811B8" w:rsidP="003807A1">
            <w:pPr>
              <w:keepNext/>
              <w:spacing w:after="0"/>
              <w:rPr>
                <w:rFonts w:cs="Arial"/>
                <w:color w:val="000000"/>
                <w:sz w:val="18"/>
                <w:szCs w:val="18"/>
                <w:lang w:val="en-GB" w:eastAsia="en-AU"/>
              </w:rPr>
            </w:pPr>
            <w:r w:rsidRPr="00D93FF9">
              <w:rPr>
                <w:rFonts w:cs="Arial"/>
                <w:color w:val="000000"/>
                <w:sz w:val="18"/>
                <w:szCs w:val="18"/>
                <w:lang w:val="en-GB" w:eastAsia="en-AU"/>
              </w:rPr>
              <w:t xml:space="preserve">Malaise, myalgia, fever, headache, respiratory illness </w:t>
            </w:r>
          </w:p>
        </w:tc>
      </w:tr>
      <w:tr w:rsidR="00BE3AA8" w:rsidRPr="00D93FF9" w14:paraId="59DCC2DA" w14:textId="77777777" w:rsidTr="00AF3F7D">
        <w:trPr>
          <w:trHeight w:val="227"/>
          <w:tblHeader/>
        </w:trPr>
        <w:tc>
          <w:tcPr>
            <w:tcW w:w="2302" w:type="dxa"/>
            <w:tcBorders>
              <w:top w:val="nil"/>
              <w:left w:val="nil"/>
              <w:bottom w:val="nil"/>
              <w:right w:val="nil"/>
            </w:tcBorders>
            <w:shd w:val="clear" w:color="000000" w:fill="FFFFFF"/>
            <w:noWrap/>
            <w:vAlign w:val="center"/>
            <w:hideMark/>
          </w:tcPr>
          <w:p w14:paraId="59DCC2D7" w14:textId="77777777" w:rsidR="00986346" w:rsidRPr="00D93FF9" w:rsidRDefault="00E811B8" w:rsidP="003807A1">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Leptospira</w:t>
            </w:r>
          </w:p>
        </w:tc>
        <w:tc>
          <w:tcPr>
            <w:tcW w:w="2338" w:type="dxa"/>
            <w:tcBorders>
              <w:top w:val="nil"/>
              <w:left w:val="nil"/>
              <w:bottom w:val="nil"/>
              <w:right w:val="nil"/>
            </w:tcBorders>
            <w:shd w:val="clear" w:color="000000" w:fill="FFFFFF"/>
            <w:vAlign w:val="center"/>
            <w:hideMark/>
          </w:tcPr>
          <w:p w14:paraId="59DCC2D8" w14:textId="77777777" w:rsidR="00986346" w:rsidRPr="00D93FF9" w:rsidRDefault="00E811B8" w:rsidP="003807A1">
            <w:pPr>
              <w:keepNext/>
              <w:spacing w:after="0"/>
              <w:rPr>
                <w:rFonts w:cs="Arial"/>
                <w:color w:val="000000"/>
                <w:sz w:val="18"/>
                <w:szCs w:val="18"/>
                <w:lang w:val="en-GB" w:eastAsia="en-AU"/>
              </w:rPr>
            </w:pPr>
            <w:r w:rsidRPr="00D93FF9">
              <w:rPr>
                <w:rFonts w:cs="Arial"/>
                <w:color w:val="000000"/>
                <w:sz w:val="18"/>
                <w:szCs w:val="18"/>
                <w:lang w:val="en-GB" w:eastAsia="en-AU"/>
              </w:rPr>
              <w:t xml:space="preserve">Leptospirosis </w:t>
            </w:r>
          </w:p>
        </w:tc>
        <w:tc>
          <w:tcPr>
            <w:tcW w:w="4000" w:type="dxa"/>
            <w:tcBorders>
              <w:top w:val="nil"/>
              <w:left w:val="nil"/>
              <w:bottom w:val="nil"/>
              <w:right w:val="nil"/>
            </w:tcBorders>
            <w:shd w:val="clear" w:color="000000" w:fill="FFFFFF"/>
            <w:vAlign w:val="center"/>
            <w:hideMark/>
          </w:tcPr>
          <w:p w14:paraId="59DCC2D9" w14:textId="77777777" w:rsidR="00986346" w:rsidRPr="00D93FF9" w:rsidRDefault="00E811B8" w:rsidP="003807A1">
            <w:pPr>
              <w:keepNext/>
              <w:spacing w:after="0"/>
              <w:rPr>
                <w:rFonts w:cs="Arial"/>
                <w:color w:val="000000"/>
                <w:sz w:val="18"/>
                <w:szCs w:val="18"/>
                <w:lang w:val="en-GB" w:eastAsia="en-AU"/>
              </w:rPr>
            </w:pPr>
            <w:r w:rsidRPr="00D93FF9">
              <w:rPr>
                <w:rFonts w:cs="Arial"/>
                <w:color w:val="000000"/>
                <w:sz w:val="18"/>
                <w:szCs w:val="18"/>
                <w:lang w:val="en-GB" w:eastAsia="en-AU"/>
              </w:rPr>
              <w:t>Jaundice, fever (Weil's disease)</w:t>
            </w:r>
          </w:p>
        </w:tc>
      </w:tr>
      <w:tr w:rsidR="00C77AA4" w:rsidRPr="00D93FF9" w14:paraId="59DCC2DE" w14:textId="77777777" w:rsidTr="00AF3F7D">
        <w:trPr>
          <w:trHeight w:val="227"/>
          <w:tblHeader/>
        </w:trPr>
        <w:tc>
          <w:tcPr>
            <w:tcW w:w="2302" w:type="dxa"/>
            <w:tcBorders>
              <w:top w:val="nil"/>
              <w:left w:val="nil"/>
              <w:bottom w:val="nil"/>
              <w:right w:val="nil"/>
            </w:tcBorders>
            <w:shd w:val="clear" w:color="000000" w:fill="FFFFFF"/>
            <w:noWrap/>
            <w:vAlign w:val="center"/>
            <w:hideMark/>
          </w:tcPr>
          <w:p w14:paraId="59DCC2DB"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 xml:space="preserve">Salmonella sp. </w:t>
            </w:r>
          </w:p>
        </w:tc>
        <w:tc>
          <w:tcPr>
            <w:tcW w:w="2338" w:type="dxa"/>
            <w:tcBorders>
              <w:top w:val="nil"/>
              <w:left w:val="nil"/>
              <w:bottom w:val="nil"/>
              <w:right w:val="nil"/>
            </w:tcBorders>
            <w:shd w:val="clear" w:color="000000" w:fill="FFFFFF"/>
            <w:vAlign w:val="center"/>
            <w:hideMark/>
          </w:tcPr>
          <w:p w14:paraId="59DCC2DC" w14:textId="253A35AA"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Salmonellosis </w:t>
            </w:r>
          </w:p>
        </w:tc>
        <w:tc>
          <w:tcPr>
            <w:tcW w:w="4000" w:type="dxa"/>
            <w:tcBorders>
              <w:top w:val="nil"/>
              <w:left w:val="nil"/>
              <w:bottom w:val="nil"/>
              <w:right w:val="nil"/>
            </w:tcBorders>
            <w:shd w:val="clear" w:color="000000" w:fill="FFFFFF"/>
            <w:vAlign w:val="center"/>
            <w:hideMark/>
          </w:tcPr>
          <w:p w14:paraId="59DCC2DD"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Food poisoning </w:t>
            </w:r>
          </w:p>
        </w:tc>
      </w:tr>
      <w:tr w:rsidR="00C77AA4" w:rsidRPr="00D93FF9" w14:paraId="59DCC2E2" w14:textId="77777777" w:rsidTr="00AF3F7D">
        <w:trPr>
          <w:trHeight w:val="227"/>
          <w:tblHeader/>
        </w:trPr>
        <w:tc>
          <w:tcPr>
            <w:tcW w:w="2302" w:type="dxa"/>
            <w:tcBorders>
              <w:top w:val="nil"/>
              <w:left w:val="nil"/>
              <w:bottom w:val="nil"/>
              <w:right w:val="nil"/>
            </w:tcBorders>
            <w:shd w:val="clear" w:color="000000" w:fill="FFFFFF"/>
            <w:noWrap/>
            <w:vAlign w:val="center"/>
            <w:hideMark/>
          </w:tcPr>
          <w:p w14:paraId="59DCC2DF"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iCs/>
                <w:color w:val="000000"/>
                <w:sz w:val="18"/>
                <w:szCs w:val="18"/>
                <w:lang w:val="en-GB" w:eastAsia="en-AU"/>
              </w:rPr>
              <w:t xml:space="preserve">Salmonella typhi </w:t>
            </w:r>
          </w:p>
        </w:tc>
        <w:tc>
          <w:tcPr>
            <w:tcW w:w="2338" w:type="dxa"/>
            <w:tcBorders>
              <w:top w:val="nil"/>
              <w:left w:val="nil"/>
              <w:bottom w:val="nil"/>
              <w:right w:val="nil"/>
            </w:tcBorders>
            <w:shd w:val="clear" w:color="000000" w:fill="FFFFFF"/>
            <w:vAlign w:val="center"/>
            <w:hideMark/>
          </w:tcPr>
          <w:p w14:paraId="59DCC2E0"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Typhoid fever </w:t>
            </w:r>
          </w:p>
        </w:tc>
        <w:tc>
          <w:tcPr>
            <w:tcW w:w="4000" w:type="dxa"/>
            <w:tcBorders>
              <w:top w:val="nil"/>
              <w:left w:val="nil"/>
              <w:bottom w:val="nil"/>
              <w:right w:val="nil"/>
            </w:tcBorders>
            <w:shd w:val="clear" w:color="000000" w:fill="FFFFFF"/>
            <w:vAlign w:val="center"/>
            <w:hideMark/>
          </w:tcPr>
          <w:p w14:paraId="59DCC2E1"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High fever, diarrhoea, ulceration of small intestine</w:t>
            </w:r>
          </w:p>
        </w:tc>
      </w:tr>
      <w:tr w:rsidR="00C77AA4" w:rsidRPr="00D93FF9" w14:paraId="59DCC2E6" w14:textId="77777777" w:rsidTr="00AF3F7D">
        <w:trPr>
          <w:trHeight w:val="227"/>
          <w:tblHeader/>
        </w:trPr>
        <w:tc>
          <w:tcPr>
            <w:tcW w:w="2302" w:type="dxa"/>
            <w:tcBorders>
              <w:top w:val="nil"/>
              <w:left w:val="nil"/>
              <w:bottom w:val="nil"/>
              <w:right w:val="nil"/>
            </w:tcBorders>
            <w:shd w:val="clear" w:color="000000" w:fill="FFFFFF"/>
            <w:noWrap/>
            <w:vAlign w:val="center"/>
            <w:hideMark/>
          </w:tcPr>
          <w:p w14:paraId="59DCC2E3"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Shigella</w:t>
            </w:r>
          </w:p>
        </w:tc>
        <w:tc>
          <w:tcPr>
            <w:tcW w:w="2338" w:type="dxa"/>
            <w:tcBorders>
              <w:top w:val="nil"/>
              <w:left w:val="nil"/>
              <w:bottom w:val="nil"/>
              <w:right w:val="nil"/>
            </w:tcBorders>
            <w:shd w:val="clear" w:color="000000" w:fill="FFFFFF"/>
            <w:vAlign w:val="center"/>
            <w:hideMark/>
          </w:tcPr>
          <w:p w14:paraId="59DCC2E4"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Shigellosis </w:t>
            </w:r>
          </w:p>
        </w:tc>
        <w:tc>
          <w:tcPr>
            <w:tcW w:w="4000" w:type="dxa"/>
            <w:tcBorders>
              <w:top w:val="nil"/>
              <w:left w:val="nil"/>
              <w:bottom w:val="nil"/>
              <w:right w:val="nil"/>
            </w:tcBorders>
            <w:shd w:val="clear" w:color="000000" w:fill="FFFFFF"/>
            <w:vAlign w:val="center"/>
            <w:hideMark/>
          </w:tcPr>
          <w:p w14:paraId="59DCC2E5"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Bacillary dysentery</w:t>
            </w:r>
          </w:p>
        </w:tc>
      </w:tr>
      <w:tr w:rsidR="00C77AA4" w:rsidRPr="00D93FF9" w14:paraId="59DCC2EA" w14:textId="77777777" w:rsidTr="00AF3F7D">
        <w:trPr>
          <w:trHeight w:val="227"/>
          <w:tblHeader/>
        </w:trPr>
        <w:tc>
          <w:tcPr>
            <w:tcW w:w="2302" w:type="dxa"/>
            <w:tcBorders>
              <w:top w:val="nil"/>
              <w:left w:val="nil"/>
              <w:bottom w:val="nil"/>
              <w:right w:val="nil"/>
            </w:tcBorders>
            <w:shd w:val="clear" w:color="000000" w:fill="FFFFFF"/>
            <w:noWrap/>
            <w:vAlign w:val="center"/>
            <w:hideMark/>
          </w:tcPr>
          <w:p w14:paraId="59DCC2E7"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iCs/>
                <w:color w:val="000000"/>
                <w:sz w:val="18"/>
                <w:szCs w:val="18"/>
                <w:lang w:val="en-GB" w:eastAsia="en-AU"/>
              </w:rPr>
              <w:t xml:space="preserve">Vibrio cholerae </w:t>
            </w:r>
          </w:p>
        </w:tc>
        <w:tc>
          <w:tcPr>
            <w:tcW w:w="2338" w:type="dxa"/>
            <w:tcBorders>
              <w:top w:val="nil"/>
              <w:left w:val="nil"/>
              <w:bottom w:val="nil"/>
              <w:right w:val="nil"/>
            </w:tcBorders>
            <w:shd w:val="clear" w:color="000000" w:fill="FFFFFF"/>
            <w:vAlign w:val="center"/>
            <w:hideMark/>
          </w:tcPr>
          <w:p w14:paraId="59DCC2E8"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Cholera </w:t>
            </w:r>
          </w:p>
        </w:tc>
        <w:tc>
          <w:tcPr>
            <w:tcW w:w="4000" w:type="dxa"/>
            <w:tcBorders>
              <w:top w:val="nil"/>
              <w:left w:val="nil"/>
              <w:bottom w:val="nil"/>
              <w:right w:val="nil"/>
            </w:tcBorders>
            <w:shd w:val="clear" w:color="000000" w:fill="FFFFFF"/>
            <w:vAlign w:val="center"/>
            <w:hideMark/>
          </w:tcPr>
          <w:p w14:paraId="59DCC2E9"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extremely heavy diarrhoea, dehydration</w:t>
            </w:r>
          </w:p>
        </w:tc>
      </w:tr>
      <w:tr w:rsidR="00C77AA4" w:rsidRPr="00D93FF9" w14:paraId="59DCC2EE"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2EB" w14:textId="77777777" w:rsidR="00C77AA4" w:rsidRPr="00D93FF9" w:rsidRDefault="00C77AA4" w:rsidP="00C77AA4">
            <w:pPr>
              <w:keepNext/>
              <w:spacing w:after="0"/>
              <w:ind w:firstLineChars="100" w:firstLine="180"/>
              <w:rPr>
                <w:rFonts w:cs="Arial"/>
                <w:color w:val="000000"/>
                <w:sz w:val="18"/>
                <w:szCs w:val="18"/>
                <w:lang w:val="en-GB" w:eastAsia="en-AU"/>
              </w:rPr>
            </w:pPr>
            <w:r w:rsidRPr="00D93FF9">
              <w:rPr>
                <w:rFonts w:cs="Arial"/>
                <w:color w:val="000000"/>
                <w:sz w:val="18"/>
                <w:szCs w:val="18"/>
                <w:lang w:val="en-GB" w:eastAsia="en-AU"/>
              </w:rPr>
              <w:t>Yersinia enterolitica</w:t>
            </w:r>
          </w:p>
        </w:tc>
        <w:tc>
          <w:tcPr>
            <w:tcW w:w="2338" w:type="dxa"/>
            <w:tcBorders>
              <w:top w:val="nil"/>
              <w:left w:val="nil"/>
              <w:bottom w:val="nil"/>
              <w:right w:val="nil"/>
            </w:tcBorders>
            <w:shd w:val="clear" w:color="000000" w:fill="FFFFFF"/>
            <w:vAlign w:val="center"/>
            <w:hideMark/>
          </w:tcPr>
          <w:p w14:paraId="59DCC2EC"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Yersinosis</w:t>
            </w:r>
          </w:p>
        </w:tc>
        <w:tc>
          <w:tcPr>
            <w:tcW w:w="4000" w:type="dxa"/>
            <w:tcBorders>
              <w:top w:val="nil"/>
              <w:left w:val="nil"/>
              <w:bottom w:val="nil"/>
              <w:right w:val="nil"/>
            </w:tcBorders>
            <w:shd w:val="clear" w:color="000000" w:fill="FFFFFF"/>
            <w:vAlign w:val="center"/>
            <w:hideMark/>
          </w:tcPr>
          <w:p w14:paraId="59DCC2ED"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Diarrhoea</w:t>
            </w:r>
          </w:p>
        </w:tc>
      </w:tr>
      <w:tr w:rsidR="00C77AA4" w:rsidRPr="00D93FF9" w14:paraId="59DCC2F2"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2EF" w14:textId="77777777" w:rsidR="00C77AA4" w:rsidRPr="00D93FF9" w:rsidRDefault="00C77AA4" w:rsidP="00C77AA4">
            <w:pPr>
              <w:keepNext/>
              <w:spacing w:after="0"/>
              <w:rPr>
                <w:rFonts w:cs="Arial"/>
                <w:b/>
                <w:color w:val="000000"/>
                <w:sz w:val="18"/>
                <w:szCs w:val="18"/>
                <w:lang w:val="en-GB" w:eastAsia="en-AU"/>
              </w:rPr>
            </w:pPr>
            <w:r w:rsidRPr="00D93FF9">
              <w:rPr>
                <w:rFonts w:cs="Arial"/>
                <w:b/>
                <w:color w:val="000000"/>
                <w:sz w:val="18"/>
                <w:szCs w:val="18"/>
                <w:lang w:val="en-GB" w:eastAsia="en-AU"/>
              </w:rPr>
              <w:t>Protozoa</w:t>
            </w:r>
          </w:p>
        </w:tc>
        <w:tc>
          <w:tcPr>
            <w:tcW w:w="2338" w:type="dxa"/>
            <w:tcBorders>
              <w:top w:val="nil"/>
              <w:left w:val="nil"/>
              <w:bottom w:val="nil"/>
              <w:right w:val="nil"/>
            </w:tcBorders>
            <w:shd w:val="clear" w:color="000000" w:fill="FFFFFF"/>
            <w:vAlign w:val="bottom"/>
            <w:hideMark/>
          </w:tcPr>
          <w:p w14:paraId="59DCC2F0"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w:t>
            </w:r>
          </w:p>
        </w:tc>
        <w:tc>
          <w:tcPr>
            <w:tcW w:w="4000" w:type="dxa"/>
            <w:tcBorders>
              <w:top w:val="nil"/>
              <w:left w:val="nil"/>
              <w:bottom w:val="nil"/>
              <w:right w:val="nil"/>
            </w:tcBorders>
            <w:shd w:val="clear" w:color="000000" w:fill="FFFFFF"/>
            <w:vAlign w:val="bottom"/>
            <w:hideMark/>
          </w:tcPr>
          <w:p w14:paraId="59DCC2F1"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w:t>
            </w:r>
          </w:p>
        </w:tc>
      </w:tr>
      <w:tr w:rsidR="00C77AA4" w:rsidRPr="00D93FF9" w14:paraId="59DCC2F6" w14:textId="77777777" w:rsidTr="00AF3F7D">
        <w:trPr>
          <w:trHeight w:val="227"/>
          <w:tblHeader/>
        </w:trPr>
        <w:tc>
          <w:tcPr>
            <w:tcW w:w="2302" w:type="dxa"/>
            <w:tcBorders>
              <w:top w:val="nil"/>
              <w:left w:val="nil"/>
              <w:bottom w:val="nil"/>
              <w:right w:val="nil"/>
            </w:tcBorders>
            <w:shd w:val="clear" w:color="000000" w:fill="FFFFFF"/>
            <w:noWrap/>
            <w:vAlign w:val="center"/>
            <w:hideMark/>
          </w:tcPr>
          <w:p w14:paraId="59DCC2F3"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iCs/>
                <w:color w:val="000000"/>
                <w:sz w:val="18"/>
                <w:szCs w:val="18"/>
                <w:lang w:val="en-GB" w:eastAsia="en-AU"/>
              </w:rPr>
              <w:t xml:space="preserve">Balantidium coli   </w:t>
            </w:r>
          </w:p>
        </w:tc>
        <w:tc>
          <w:tcPr>
            <w:tcW w:w="2338" w:type="dxa"/>
            <w:tcBorders>
              <w:top w:val="nil"/>
              <w:left w:val="nil"/>
              <w:bottom w:val="nil"/>
              <w:right w:val="nil"/>
            </w:tcBorders>
            <w:shd w:val="clear" w:color="000000" w:fill="FFFFFF"/>
            <w:vAlign w:val="center"/>
            <w:hideMark/>
          </w:tcPr>
          <w:p w14:paraId="59DCC2F4"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Balantidiasis   </w:t>
            </w:r>
          </w:p>
        </w:tc>
        <w:tc>
          <w:tcPr>
            <w:tcW w:w="4000" w:type="dxa"/>
            <w:tcBorders>
              <w:top w:val="nil"/>
              <w:left w:val="nil"/>
              <w:bottom w:val="nil"/>
              <w:right w:val="nil"/>
            </w:tcBorders>
            <w:shd w:val="clear" w:color="000000" w:fill="FFFFFF"/>
            <w:vAlign w:val="center"/>
            <w:hideMark/>
          </w:tcPr>
          <w:p w14:paraId="59DCC2F5"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Diarrhoea, dysentery </w:t>
            </w:r>
          </w:p>
        </w:tc>
      </w:tr>
      <w:tr w:rsidR="00C77AA4" w:rsidRPr="00D93FF9" w14:paraId="59DCC2FA"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2F7"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Cryptosporidium</w:t>
            </w:r>
          </w:p>
        </w:tc>
        <w:tc>
          <w:tcPr>
            <w:tcW w:w="2338" w:type="dxa"/>
            <w:tcBorders>
              <w:top w:val="nil"/>
              <w:left w:val="nil"/>
              <w:bottom w:val="nil"/>
              <w:right w:val="nil"/>
            </w:tcBorders>
            <w:shd w:val="clear" w:color="000000" w:fill="FFFFFF"/>
            <w:vAlign w:val="bottom"/>
            <w:hideMark/>
          </w:tcPr>
          <w:p w14:paraId="59DCC2F8"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Cryptosporidiosis</w:t>
            </w:r>
          </w:p>
        </w:tc>
        <w:tc>
          <w:tcPr>
            <w:tcW w:w="4000" w:type="dxa"/>
            <w:tcBorders>
              <w:top w:val="nil"/>
              <w:left w:val="nil"/>
              <w:bottom w:val="nil"/>
              <w:right w:val="nil"/>
            </w:tcBorders>
            <w:shd w:val="clear" w:color="000000" w:fill="FFFFFF"/>
            <w:vAlign w:val="bottom"/>
            <w:hideMark/>
          </w:tcPr>
          <w:p w14:paraId="59DCC2F9"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Diarrhoea</w:t>
            </w:r>
          </w:p>
        </w:tc>
      </w:tr>
      <w:tr w:rsidR="00C77AA4" w:rsidRPr="00D93FF9" w14:paraId="59DCC2FE"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2FB"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Cyclospora cayetanensis</w:t>
            </w:r>
          </w:p>
        </w:tc>
        <w:tc>
          <w:tcPr>
            <w:tcW w:w="2338" w:type="dxa"/>
            <w:tcBorders>
              <w:top w:val="nil"/>
              <w:left w:val="nil"/>
              <w:bottom w:val="nil"/>
              <w:right w:val="nil"/>
            </w:tcBorders>
            <w:shd w:val="clear" w:color="000000" w:fill="FFFFFF"/>
            <w:vAlign w:val="bottom"/>
            <w:hideMark/>
          </w:tcPr>
          <w:p w14:paraId="59DCC2FC"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Cyclosporidiosis</w:t>
            </w:r>
          </w:p>
        </w:tc>
        <w:tc>
          <w:tcPr>
            <w:tcW w:w="4000" w:type="dxa"/>
            <w:tcBorders>
              <w:top w:val="nil"/>
              <w:left w:val="nil"/>
              <w:bottom w:val="nil"/>
              <w:right w:val="nil"/>
            </w:tcBorders>
            <w:shd w:val="clear" w:color="000000" w:fill="FFFFFF"/>
            <w:vAlign w:val="bottom"/>
            <w:hideMark/>
          </w:tcPr>
          <w:p w14:paraId="59DCC2FD" w14:textId="4529853D"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Severe diarrhoea, stomach cramps, nausea and vomiting lasting for extended periods</w:t>
            </w:r>
          </w:p>
        </w:tc>
      </w:tr>
      <w:tr w:rsidR="00C77AA4" w:rsidRPr="00D93FF9" w14:paraId="59DCC302"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2FF"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Entamoeba hystolica</w:t>
            </w:r>
          </w:p>
        </w:tc>
        <w:tc>
          <w:tcPr>
            <w:tcW w:w="2338" w:type="dxa"/>
            <w:tcBorders>
              <w:top w:val="nil"/>
              <w:left w:val="nil"/>
              <w:bottom w:val="nil"/>
              <w:right w:val="nil"/>
            </w:tcBorders>
            <w:shd w:val="clear" w:color="000000" w:fill="FFFFFF"/>
            <w:vAlign w:val="bottom"/>
            <w:hideMark/>
          </w:tcPr>
          <w:p w14:paraId="59DCC300"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Amebiasis (Amoebic dysentery)</w:t>
            </w:r>
          </w:p>
        </w:tc>
        <w:tc>
          <w:tcPr>
            <w:tcW w:w="4000" w:type="dxa"/>
            <w:tcBorders>
              <w:top w:val="nil"/>
              <w:left w:val="nil"/>
              <w:bottom w:val="nil"/>
              <w:right w:val="nil"/>
            </w:tcBorders>
            <w:shd w:val="clear" w:color="000000" w:fill="FFFFFF"/>
            <w:vAlign w:val="center"/>
            <w:hideMark/>
          </w:tcPr>
          <w:p w14:paraId="59DCC301" w14:textId="6007E92C"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Prolonged </w:t>
            </w:r>
            <w:r w:rsidR="00661DA8" w:rsidRPr="00D93FF9">
              <w:rPr>
                <w:rFonts w:cs="Arial"/>
                <w:color w:val="000000"/>
                <w:sz w:val="18"/>
                <w:szCs w:val="18"/>
                <w:lang w:val="en-GB" w:eastAsia="en-AU"/>
              </w:rPr>
              <w:t>diarrhoea with</w:t>
            </w:r>
            <w:r w:rsidRPr="00D93FF9">
              <w:rPr>
                <w:rFonts w:cs="Arial"/>
                <w:color w:val="000000"/>
                <w:sz w:val="18"/>
                <w:szCs w:val="18"/>
                <w:lang w:val="en-GB" w:eastAsia="en-AU"/>
              </w:rPr>
              <w:t xml:space="preserve"> bleeding, abscesses of the liver and small intestine</w:t>
            </w:r>
          </w:p>
        </w:tc>
      </w:tr>
      <w:tr w:rsidR="00C77AA4" w:rsidRPr="00D93FF9" w14:paraId="59DCC306"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303"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Giardia lamblia</w:t>
            </w:r>
          </w:p>
        </w:tc>
        <w:tc>
          <w:tcPr>
            <w:tcW w:w="2338" w:type="dxa"/>
            <w:tcBorders>
              <w:top w:val="nil"/>
              <w:left w:val="nil"/>
              <w:bottom w:val="nil"/>
              <w:right w:val="nil"/>
            </w:tcBorders>
            <w:shd w:val="clear" w:color="000000" w:fill="FFFFFF"/>
            <w:vAlign w:val="bottom"/>
            <w:hideMark/>
          </w:tcPr>
          <w:p w14:paraId="59DCC304"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Giardiasis</w:t>
            </w:r>
          </w:p>
        </w:tc>
        <w:tc>
          <w:tcPr>
            <w:tcW w:w="4000" w:type="dxa"/>
            <w:tcBorders>
              <w:top w:val="nil"/>
              <w:left w:val="nil"/>
              <w:bottom w:val="nil"/>
              <w:right w:val="nil"/>
            </w:tcBorders>
            <w:shd w:val="clear" w:color="000000" w:fill="FFFFFF"/>
            <w:vAlign w:val="bottom"/>
            <w:hideMark/>
          </w:tcPr>
          <w:p w14:paraId="59DCC305"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Diarrhoea, nausea</w:t>
            </w:r>
          </w:p>
        </w:tc>
      </w:tr>
      <w:tr w:rsidR="00C77AA4" w:rsidRPr="00D93FF9" w14:paraId="59DCC30A"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307" w14:textId="77777777" w:rsidR="00C77AA4" w:rsidRPr="00D93FF9" w:rsidRDefault="00C77AA4" w:rsidP="00C77AA4">
            <w:pPr>
              <w:keepNext/>
              <w:spacing w:after="0"/>
              <w:rPr>
                <w:rFonts w:cs="Arial"/>
                <w:b/>
                <w:color w:val="000000"/>
                <w:sz w:val="18"/>
                <w:szCs w:val="18"/>
                <w:lang w:val="en-GB" w:eastAsia="en-AU"/>
              </w:rPr>
            </w:pPr>
            <w:r w:rsidRPr="00D93FF9">
              <w:rPr>
                <w:rFonts w:cs="Arial"/>
                <w:b/>
                <w:color w:val="000000"/>
                <w:sz w:val="18"/>
                <w:szCs w:val="18"/>
                <w:lang w:val="en-GB" w:eastAsia="en-AU"/>
              </w:rPr>
              <w:t>Viruses</w:t>
            </w:r>
          </w:p>
        </w:tc>
        <w:tc>
          <w:tcPr>
            <w:tcW w:w="2338" w:type="dxa"/>
            <w:tcBorders>
              <w:top w:val="nil"/>
              <w:left w:val="nil"/>
              <w:bottom w:val="nil"/>
              <w:right w:val="nil"/>
            </w:tcBorders>
            <w:shd w:val="clear" w:color="000000" w:fill="FFFFFF"/>
            <w:vAlign w:val="bottom"/>
            <w:hideMark/>
          </w:tcPr>
          <w:p w14:paraId="59DCC308"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w:t>
            </w:r>
          </w:p>
        </w:tc>
        <w:tc>
          <w:tcPr>
            <w:tcW w:w="4000" w:type="dxa"/>
            <w:tcBorders>
              <w:top w:val="nil"/>
              <w:left w:val="nil"/>
              <w:bottom w:val="nil"/>
              <w:right w:val="nil"/>
            </w:tcBorders>
            <w:shd w:val="clear" w:color="000000" w:fill="FFFFFF"/>
            <w:vAlign w:val="bottom"/>
            <w:hideMark/>
          </w:tcPr>
          <w:p w14:paraId="59DCC309"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w:t>
            </w:r>
          </w:p>
        </w:tc>
      </w:tr>
      <w:tr w:rsidR="00C77AA4" w:rsidRPr="00D93FF9" w14:paraId="59DCC30E"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30B"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iCs/>
                <w:color w:val="000000"/>
                <w:sz w:val="18"/>
                <w:szCs w:val="18"/>
                <w:lang w:val="en-GB" w:eastAsia="en-AU"/>
              </w:rPr>
              <w:t xml:space="preserve">Adenovirus  </w:t>
            </w:r>
          </w:p>
        </w:tc>
        <w:tc>
          <w:tcPr>
            <w:tcW w:w="2338" w:type="dxa"/>
            <w:tcBorders>
              <w:top w:val="nil"/>
              <w:left w:val="nil"/>
              <w:bottom w:val="nil"/>
              <w:right w:val="nil"/>
            </w:tcBorders>
            <w:shd w:val="clear" w:color="000000" w:fill="FFFFFF"/>
            <w:vAlign w:val="bottom"/>
            <w:hideMark/>
          </w:tcPr>
          <w:p w14:paraId="59DCC30C"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Respiratory disease</w:t>
            </w:r>
          </w:p>
        </w:tc>
        <w:tc>
          <w:tcPr>
            <w:tcW w:w="4000" w:type="dxa"/>
            <w:tcBorders>
              <w:top w:val="nil"/>
              <w:left w:val="nil"/>
              <w:bottom w:val="nil"/>
              <w:right w:val="nil"/>
            </w:tcBorders>
            <w:shd w:val="clear" w:color="000000" w:fill="FFFFFF"/>
            <w:vAlign w:val="bottom"/>
            <w:hideMark/>
          </w:tcPr>
          <w:p w14:paraId="59DCC30D"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w:t>
            </w:r>
          </w:p>
        </w:tc>
      </w:tr>
      <w:tr w:rsidR="00C77AA4" w:rsidRPr="00D93FF9" w14:paraId="59DCC312"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30F"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Enteroviruses</w:t>
            </w:r>
          </w:p>
        </w:tc>
        <w:tc>
          <w:tcPr>
            <w:tcW w:w="2338" w:type="dxa"/>
            <w:tcBorders>
              <w:top w:val="nil"/>
              <w:left w:val="nil"/>
              <w:bottom w:val="nil"/>
              <w:right w:val="nil"/>
            </w:tcBorders>
            <w:shd w:val="clear" w:color="000000" w:fill="FFFFFF"/>
            <w:vAlign w:val="bottom"/>
            <w:hideMark/>
          </w:tcPr>
          <w:p w14:paraId="59DCC310"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Gastroenteritis, heart anomalies, meningitis</w:t>
            </w:r>
          </w:p>
        </w:tc>
        <w:tc>
          <w:tcPr>
            <w:tcW w:w="4000" w:type="dxa"/>
            <w:tcBorders>
              <w:top w:val="nil"/>
              <w:left w:val="nil"/>
              <w:bottom w:val="nil"/>
              <w:right w:val="nil"/>
            </w:tcBorders>
            <w:shd w:val="clear" w:color="000000" w:fill="FFFFFF"/>
            <w:vAlign w:val="bottom"/>
            <w:hideMark/>
          </w:tcPr>
          <w:p w14:paraId="59DCC311"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w:t>
            </w:r>
          </w:p>
        </w:tc>
      </w:tr>
      <w:tr w:rsidR="00C77AA4" w:rsidRPr="00D93FF9" w14:paraId="59DCC316"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313"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Hepatitis A virus</w:t>
            </w:r>
          </w:p>
        </w:tc>
        <w:tc>
          <w:tcPr>
            <w:tcW w:w="2338" w:type="dxa"/>
            <w:tcBorders>
              <w:top w:val="nil"/>
              <w:left w:val="nil"/>
              <w:bottom w:val="nil"/>
              <w:right w:val="nil"/>
            </w:tcBorders>
            <w:shd w:val="clear" w:color="000000" w:fill="FFFFFF"/>
            <w:vAlign w:val="bottom"/>
            <w:hideMark/>
          </w:tcPr>
          <w:p w14:paraId="59DCC314"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Infectious hepatitis</w:t>
            </w:r>
          </w:p>
        </w:tc>
        <w:tc>
          <w:tcPr>
            <w:tcW w:w="4000" w:type="dxa"/>
            <w:tcBorders>
              <w:top w:val="nil"/>
              <w:left w:val="nil"/>
              <w:bottom w:val="nil"/>
              <w:right w:val="nil"/>
            </w:tcBorders>
            <w:shd w:val="clear" w:color="000000" w:fill="FFFFFF"/>
            <w:vAlign w:val="bottom"/>
            <w:hideMark/>
          </w:tcPr>
          <w:p w14:paraId="59DCC315"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Jaundice, fever</w:t>
            </w:r>
          </w:p>
        </w:tc>
      </w:tr>
      <w:tr w:rsidR="00C77AA4" w:rsidRPr="00D93FF9" w14:paraId="59DCC31A"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317"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Norwalk agent</w:t>
            </w:r>
          </w:p>
        </w:tc>
        <w:tc>
          <w:tcPr>
            <w:tcW w:w="2338" w:type="dxa"/>
            <w:tcBorders>
              <w:top w:val="nil"/>
              <w:left w:val="nil"/>
              <w:bottom w:val="nil"/>
              <w:right w:val="nil"/>
            </w:tcBorders>
            <w:shd w:val="clear" w:color="000000" w:fill="FFFFFF"/>
            <w:vAlign w:val="bottom"/>
            <w:hideMark/>
          </w:tcPr>
          <w:p w14:paraId="59DCC318"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Gastroenteritis</w:t>
            </w:r>
          </w:p>
        </w:tc>
        <w:tc>
          <w:tcPr>
            <w:tcW w:w="4000" w:type="dxa"/>
            <w:tcBorders>
              <w:top w:val="nil"/>
              <w:left w:val="nil"/>
              <w:bottom w:val="nil"/>
              <w:right w:val="nil"/>
            </w:tcBorders>
            <w:shd w:val="clear" w:color="000000" w:fill="FFFFFF"/>
            <w:vAlign w:val="bottom"/>
            <w:hideMark/>
          </w:tcPr>
          <w:p w14:paraId="59DCC319"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Vomiting</w:t>
            </w:r>
          </w:p>
        </w:tc>
      </w:tr>
      <w:tr w:rsidR="00C77AA4" w:rsidRPr="00D93FF9" w14:paraId="4BECFE3C" w14:textId="77777777" w:rsidTr="00AF3F7D">
        <w:trPr>
          <w:trHeight w:val="227"/>
          <w:tblHeader/>
        </w:trPr>
        <w:tc>
          <w:tcPr>
            <w:tcW w:w="2302" w:type="dxa"/>
            <w:tcBorders>
              <w:top w:val="nil"/>
              <w:left w:val="nil"/>
              <w:bottom w:val="nil"/>
              <w:right w:val="nil"/>
            </w:tcBorders>
            <w:shd w:val="clear" w:color="000000" w:fill="FFFFFF"/>
            <w:noWrap/>
            <w:vAlign w:val="bottom"/>
          </w:tcPr>
          <w:p w14:paraId="198CDBC0" w14:textId="569B7FE1"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Norovirus</w:t>
            </w:r>
          </w:p>
        </w:tc>
        <w:tc>
          <w:tcPr>
            <w:tcW w:w="2338" w:type="dxa"/>
            <w:tcBorders>
              <w:top w:val="nil"/>
              <w:left w:val="nil"/>
              <w:bottom w:val="nil"/>
              <w:right w:val="nil"/>
            </w:tcBorders>
            <w:shd w:val="clear" w:color="000000" w:fill="FFFFFF"/>
            <w:vAlign w:val="bottom"/>
          </w:tcPr>
          <w:p w14:paraId="4BD71CE8" w14:textId="2685CB6F"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Gastroenteritis</w:t>
            </w:r>
          </w:p>
        </w:tc>
        <w:tc>
          <w:tcPr>
            <w:tcW w:w="4000" w:type="dxa"/>
            <w:tcBorders>
              <w:top w:val="nil"/>
              <w:left w:val="nil"/>
              <w:bottom w:val="nil"/>
              <w:right w:val="nil"/>
            </w:tcBorders>
            <w:shd w:val="clear" w:color="000000" w:fill="FFFFFF"/>
            <w:vAlign w:val="bottom"/>
          </w:tcPr>
          <w:p w14:paraId="167CC70D" w14:textId="77777777" w:rsidR="00C77AA4" w:rsidRPr="00D93FF9" w:rsidRDefault="00C77AA4" w:rsidP="00C77AA4">
            <w:pPr>
              <w:keepNext/>
              <w:spacing w:after="0"/>
              <w:rPr>
                <w:rFonts w:cs="Arial"/>
                <w:color w:val="000000"/>
                <w:sz w:val="18"/>
                <w:szCs w:val="18"/>
                <w:lang w:val="en-GB" w:eastAsia="en-AU"/>
              </w:rPr>
            </w:pPr>
          </w:p>
        </w:tc>
      </w:tr>
      <w:tr w:rsidR="00C77AA4" w:rsidRPr="00D93FF9" w14:paraId="59DCC31E" w14:textId="77777777" w:rsidTr="00AF3F7D">
        <w:trPr>
          <w:trHeight w:val="227"/>
          <w:tblHeader/>
        </w:trPr>
        <w:tc>
          <w:tcPr>
            <w:tcW w:w="2302" w:type="dxa"/>
            <w:tcBorders>
              <w:top w:val="nil"/>
              <w:left w:val="nil"/>
              <w:bottom w:val="nil"/>
              <w:right w:val="nil"/>
            </w:tcBorders>
            <w:shd w:val="clear" w:color="000000" w:fill="FFFFFF"/>
            <w:noWrap/>
            <w:vAlign w:val="bottom"/>
            <w:hideMark/>
          </w:tcPr>
          <w:p w14:paraId="59DCC31B"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Parvovirus</w:t>
            </w:r>
          </w:p>
        </w:tc>
        <w:tc>
          <w:tcPr>
            <w:tcW w:w="2338" w:type="dxa"/>
            <w:tcBorders>
              <w:top w:val="nil"/>
              <w:left w:val="nil"/>
              <w:bottom w:val="nil"/>
              <w:right w:val="nil"/>
            </w:tcBorders>
            <w:shd w:val="clear" w:color="000000" w:fill="FFFFFF"/>
            <w:vAlign w:val="bottom"/>
            <w:hideMark/>
          </w:tcPr>
          <w:p w14:paraId="59DCC31C"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Gastroenteritis</w:t>
            </w:r>
          </w:p>
        </w:tc>
        <w:tc>
          <w:tcPr>
            <w:tcW w:w="4000" w:type="dxa"/>
            <w:tcBorders>
              <w:top w:val="nil"/>
              <w:left w:val="nil"/>
              <w:bottom w:val="nil"/>
              <w:right w:val="nil"/>
            </w:tcBorders>
            <w:shd w:val="clear" w:color="000000" w:fill="FFFFFF"/>
            <w:vAlign w:val="bottom"/>
            <w:hideMark/>
          </w:tcPr>
          <w:p w14:paraId="59DCC31D"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w:t>
            </w:r>
          </w:p>
        </w:tc>
      </w:tr>
      <w:tr w:rsidR="00C77AA4" w:rsidRPr="00D93FF9" w14:paraId="59DCC322" w14:textId="77777777" w:rsidTr="00AF3F7D">
        <w:trPr>
          <w:trHeight w:val="227"/>
          <w:tblHeader/>
        </w:trPr>
        <w:tc>
          <w:tcPr>
            <w:tcW w:w="2302" w:type="dxa"/>
            <w:tcBorders>
              <w:top w:val="nil"/>
              <w:left w:val="nil"/>
              <w:right w:val="nil"/>
            </w:tcBorders>
            <w:shd w:val="clear" w:color="000000" w:fill="FFFFFF"/>
            <w:noWrap/>
            <w:vAlign w:val="bottom"/>
            <w:hideMark/>
          </w:tcPr>
          <w:p w14:paraId="59DCC31F"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Rotavirus</w:t>
            </w:r>
          </w:p>
        </w:tc>
        <w:tc>
          <w:tcPr>
            <w:tcW w:w="2338" w:type="dxa"/>
            <w:tcBorders>
              <w:top w:val="nil"/>
              <w:left w:val="nil"/>
              <w:right w:val="nil"/>
            </w:tcBorders>
            <w:shd w:val="clear" w:color="000000" w:fill="FFFFFF"/>
            <w:vAlign w:val="bottom"/>
            <w:hideMark/>
          </w:tcPr>
          <w:p w14:paraId="59DCC320"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Gastroenteritis</w:t>
            </w:r>
          </w:p>
        </w:tc>
        <w:tc>
          <w:tcPr>
            <w:tcW w:w="4000" w:type="dxa"/>
            <w:tcBorders>
              <w:top w:val="nil"/>
              <w:left w:val="nil"/>
              <w:right w:val="nil"/>
            </w:tcBorders>
            <w:shd w:val="clear" w:color="000000" w:fill="FFFFFF"/>
            <w:vAlign w:val="bottom"/>
            <w:hideMark/>
          </w:tcPr>
          <w:p w14:paraId="59DCC321"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w:t>
            </w:r>
          </w:p>
        </w:tc>
      </w:tr>
      <w:tr w:rsidR="00C77AA4" w:rsidRPr="00D93FF9" w14:paraId="59DCC326" w14:textId="77777777" w:rsidTr="00AF3F7D">
        <w:trPr>
          <w:trHeight w:val="227"/>
          <w:tblHeader/>
        </w:trPr>
        <w:tc>
          <w:tcPr>
            <w:tcW w:w="2302" w:type="dxa"/>
            <w:tcBorders>
              <w:top w:val="nil"/>
              <w:left w:val="nil"/>
              <w:right w:val="nil"/>
            </w:tcBorders>
            <w:shd w:val="clear" w:color="000000" w:fill="FFFFFF"/>
            <w:noWrap/>
            <w:vAlign w:val="center"/>
          </w:tcPr>
          <w:p w14:paraId="59DCC323" w14:textId="77777777" w:rsidR="00C77AA4" w:rsidRPr="00D93FF9" w:rsidRDefault="00C77AA4" w:rsidP="00C77AA4">
            <w:pPr>
              <w:keepNext/>
              <w:spacing w:after="0"/>
              <w:rPr>
                <w:rFonts w:cs="Arial"/>
                <w:i/>
                <w:color w:val="000000"/>
                <w:sz w:val="18"/>
                <w:szCs w:val="18"/>
                <w:lang w:val="en-GB" w:eastAsia="en-AU"/>
              </w:rPr>
            </w:pPr>
            <w:r w:rsidRPr="00D93FF9">
              <w:rPr>
                <w:rFonts w:cs="Arial"/>
                <w:b/>
                <w:i/>
                <w:color w:val="000000"/>
                <w:sz w:val="18"/>
                <w:szCs w:val="18"/>
                <w:lang w:val="en-GB" w:eastAsia="en-AU"/>
              </w:rPr>
              <w:t>Helminths</w:t>
            </w:r>
          </w:p>
        </w:tc>
        <w:tc>
          <w:tcPr>
            <w:tcW w:w="2338" w:type="dxa"/>
            <w:tcBorders>
              <w:top w:val="nil"/>
              <w:left w:val="nil"/>
              <w:right w:val="nil"/>
            </w:tcBorders>
            <w:shd w:val="clear" w:color="000000" w:fill="FFFFFF"/>
            <w:vAlign w:val="bottom"/>
          </w:tcPr>
          <w:p w14:paraId="59DCC324"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w:t>
            </w:r>
          </w:p>
        </w:tc>
        <w:tc>
          <w:tcPr>
            <w:tcW w:w="4000" w:type="dxa"/>
            <w:tcBorders>
              <w:top w:val="nil"/>
              <w:left w:val="nil"/>
              <w:right w:val="nil"/>
            </w:tcBorders>
            <w:shd w:val="clear" w:color="000000" w:fill="FFFFFF"/>
            <w:vAlign w:val="center"/>
          </w:tcPr>
          <w:p w14:paraId="59DCC325"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w:t>
            </w:r>
          </w:p>
        </w:tc>
      </w:tr>
      <w:tr w:rsidR="00C77AA4" w:rsidRPr="00D93FF9" w14:paraId="59DCC32A" w14:textId="77777777" w:rsidTr="00AF3F7D">
        <w:trPr>
          <w:trHeight w:val="227"/>
          <w:tblHeader/>
        </w:trPr>
        <w:tc>
          <w:tcPr>
            <w:tcW w:w="2302" w:type="dxa"/>
            <w:tcBorders>
              <w:top w:val="nil"/>
              <w:left w:val="nil"/>
              <w:right w:val="nil"/>
            </w:tcBorders>
            <w:shd w:val="clear" w:color="000000" w:fill="FFFFFF"/>
            <w:noWrap/>
            <w:vAlign w:val="center"/>
          </w:tcPr>
          <w:p w14:paraId="59DCC327"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iCs/>
                <w:color w:val="000000"/>
                <w:sz w:val="18"/>
                <w:szCs w:val="18"/>
                <w:lang w:val="en-GB" w:eastAsia="en-AU"/>
              </w:rPr>
              <w:t xml:space="preserve">Ascaris lumbricoides     </w:t>
            </w:r>
          </w:p>
        </w:tc>
        <w:tc>
          <w:tcPr>
            <w:tcW w:w="2338" w:type="dxa"/>
            <w:tcBorders>
              <w:top w:val="nil"/>
              <w:left w:val="nil"/>
              <w:right w:val="nil"/>
            </w:tcBorders>
            <w:shd w:val="clear" w:color="000000" w:fill="FFFFFF"/>
            <w:vAlign w:val="center"/>
          </w:tcPr>
          <w:p w14:paraId="59DCC328"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Ascariasis </w:t>
            </w:r>
          </w:p>
        </w:tc>
        <w:tc>
          <w:tcPr>
            <w:tcW w:w="4000" w:type="dxa"/>
            <w:tcBorders>
              <w:top w:val="nil"/>
              <w:left w:val="nil"/>
              <w:right w:val="nil"/>
            </w:tcBorders>
            <w:shd w:val="clear" w:color="000000" w:fill="FFFFFF"/>
            <w:vAlign w:val="center"/>
          </w:tcPr>
          <w:p w14:paraId="59DCC329"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Roundworm infestation </w:t>
            </w:r>
          </w:p>
        </w:tc>
      </w:tr>
      <w:tr w:rsidR="00C77AA4" w:rsidRPr="00D93FF9" w14:paraId="59DCC32E" w14:textId="77777777" w:rsidTr="00AF3F7D">
        <w:trPr>
          <w:trHeight w:val="227"/>
          <w:tblHeader/>
        </w:trPr>
        <w:tc>
          <w:tcPr>
            <w:tcW w:w="2302" w:type="dxa"/>
            <w:tcBorders>
              <w:top w:val="nil"/>
              <w:left w:val="nil"/>
              <w:right w:val="nil"/>
            </w:tcBorders>
            <w:shd w:val="clear" w:color="000000" w:fill="FFFFFF"/>
            <w:noWrap/>
            <w:vAlign w:val="bottom"/>
          </w:tcPr>
          <w:p w14:paraId="59DCC32B"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Enterobius vericularis</w:t>
            </w:r>
          </w:p>
        </w:tc>
        <w:tc>
          <w:tcPr>
            <w:tcW w:w="2338" w:type="dxa"/>
            <w:tcBorders>
              <w:top w:val="nil"/>
              <w:left w:val="nil"/>
              <w:right w:val="nil"/>
            </w:tcBorders>
            <w:shd w:val="clear" w:color="000000" w:fill="FFFFFF"/>
            <w:vAlign w:val="bottom"/>
          </w:tcPr>
          <w:p w14:paraId="59DCC32C"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Enterobiasis     </w:t>
            </w:r>
          </w:p>
        </w:tc>
        <w:tc>
          <w:tcPr>
            <w:tcW w:w="4000" w:type="dxa"/>
            <w:tcBorders>
              <w:top w:val="nil"/>
              <w:left w:val="nil"/>
              <w:right w:val="nil"/>
            </w:tcBorders>
            <w:shd w:val="clear" w:color="000000" w:fill="FFFFFF"/>
            <w:vAlign w:val="bottom"/>
          </w:tcPr>
          <w:p w14:paraId="59DCC32D"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Pinworm</w:t>
            </w:r>
          </w:p>
        </w:tc>
      </w:tr>
      <w:tr w:rsidR="00C77AA4" w:rsidRPr="00D93FF9" w14:paraId="59DCC332" w14:textId="77777777" w:rsidTr="00AF3F7D">
        <w:trPr>
          <w:trHeight w:val="227"/>
          <w:tblHeader/>
        </w:trPr>
        <w:tc>
          <w:tcPr>
            <w:tcW w:w="2302" w:type="dxa"/>
            <w:tcBorders>
              <w:top w:val="nil"/>
              <w:left w:val="nil"/>
              <w:right w:val="nil"/>
            </w:tcBorders>
            <w:shd w:val="clear" w:color="000000" w:fill="FFFFFF"/>
            <w:noWrap/>
            <w:vAlign w:val="bottom"/>
          </w:tcPr>
          <w:p w14:paraId="59DCC32F"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Fasciola hepatica</w:t>
            </w:r>
          </w:p>
        </w:tc>
        <w:tc>
          <w:tcPr>
            <w:tcW w:w="2338" w:type="dxa"/>
            <w:tcBorders>
              <w:top w:val="nil"/>
              <w:left w:val="nil"/>
              <w:right w:val="nil"/>
            </w:tcBorders>
            <w:shd w:val="clear" w:color="000000" w:fill="FFFFFF"/>
            <w:vAlign w:val="bottom"/>
          </w:tcPr>
          <w:p w14:paraId="59DCC330"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Fascioliasis</w:t>
            </w:r>
          </w:p>
        </w:tc>
        <w:tc>
          <w:tcPr>
            <w:tcW w:w="4000" w:type="dxa"/>
            <w:tcBorders>
              <w:top w:val="nil"/>
              <w:left w:val="nil"/>
              <w:right w:val="nil"/>
            </w:tcBorders>
            <w:shd w:val="clear" w:color="000000" w:fill="FFFFFF"/>
            <w:vAlign w:val="center"/>
          </w:tcPr>
          <w:p w14:paraId="59DCC331"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 xml:space="preserve">Sheep liver fluke    </w:t>
            </w:r>
          </w:p>
        </w:tc>
      </w:tr>
      <w:tr w:rsidR="00C77AA4" w:rsidRPr="00D93FF9" w14:paraId="59DCC336" w14:textId="77777777" w:rsidTr="00AF3F7D">
        <w:trPr>
          <w:trHeight w:val="227"/>
          <w:tblHeader/>
        </w:trPr>
        <w:tc>
          <w:tcPr>
            <w:tcW w:w="2302" w:type="dxa"/>
            <w:tcBorders>
              <w:top w:val="nil"/>
              <w:left w:val="nil"/>
              <w:right w:val="nil"/>
            </w:tcBorders>
            <w:shd w:val="clear" w:color="000000" w:fill="FFFFFF"/>
            <w:noWrap/>
            <w:vAlign w:val="bottom"/>
          </w:tcPr>
          <w:p w14:paraId="59DCC333"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Hymnolepis nana</w:t>
            </w:r>
          </w:p>
        </w:tc>
        <w:tc>
          <w:tcPr>
            <w:tcW w:w="2338" w:type="dxa"/>
            <w:tcBorders>
              <w:top w:val="nil"/>
              <w:left w:val="nil"/>
              <w:right w:val="nil"/>
            </w:tcBorders>
            <w:shd w:val="clear" w:color="000000" w:fill="FFFFFF"/>
            <w:vAlign w:val="bottom"/>
          </w:tcPr>
          <w:p w14:paraId="59DCC334"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Hymenolepiasis</w:t>
            </w:r>
          </w:p>
        </w:tc>
        <w:tc>
          <w:tcPr>
            <w:tcW w:w="4000" w:type="dxa"/>
            <w:tcBorders>
              <w:top w:val="nil"/>
              <w:left w:val="nil"/>
              <w:right w:val="nil"/>
            </w:tcBorders>
            <w:shd w:val="clear" w:color="000000" w:fill="FFFFFF"/>
            <w:vAlign w:val="bottom"/>
          </w:tcPr>
          <w:p w14:paraId="59DCC335"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Dwarf tapeworm</w:t>
            </w:r>
          </w:p>
        </w:tc>
      </w:tr>
      <w:tr w:rsidR="00C77AA4" w:rsidRPr="00D93FF9" w14:paraId="59DCC33A" w14:textId="77777777" w:rsidTr="00AF3F7D">
        <w:trPr>
          <w:trHeight w:val="227"/>
          <w:tblHeader/>
        </w:trPr>
        <w:tc>
          <w:tcPr>
            <w:tcW w:w="2302" w:type="dxa"/>
            <w:tcBorders>
              <w:top w:val="nil"/>
              <w:left w:val="nil"/>
              <w:right w:val="nil"/>
            </w:tcBorders>
            <w:shd w:val="clear" w:color="000000" w:fill="FFFFFF"/>
            <w:noWrap/>
            <w:vAlign w:val="bottom"/>
          </w:tcPr>
          <w:p w14:paraId="59DCC337"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Taenia saginata</w:t>
            </w:r>
          </w:p>
        </w:tc>
        <w:tc>
          <w:tcPr>
            <w:tcW w:w="2338" w:type="dxa"/>
            <w:tcBorders>
              <w:top w:val="nil"/>
              <w:left w:val="nil"/>
              <w:right w:val="nil"/>
            </w:tcBorders>
            <w:shd w:val="clear" w:color="000000" w:fill="FFFFFF"/>
            <w:vAlign w:val="bottom"/>
          </w:tcPr>
          <w:p w14:paraId="59DCC338"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Taeniasis</w:t>
            </w:r>
          </w:p>
        </w:tc>
        <w:tc>
          <w:tcPr>
            <w:tcW w:w="4000" w:type="dxa"/>
            <w:tcBorders>
              <w:top w:val="nil"/>
              <w:left w:val="nil"/>
              <w:right w:val="nil"/>
            </w:tcBorders>
            <w:shd w:val="clear" w:color="000000" w:fill="FFFFFF"/>
            <w:vAlign w:val="bottom"/>
          </w:tcPr>
          <w:p w14:paraId="59DCC339"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Beef tapeworm</w:t>
            </w:r>
          </w:p>
        </w:tc>
      </w:tr>
      <w:tr w:rsidR="00C77AA4" w:rsidRPr="00D93FF9" w14:paraId="59DCC33E" w14:textId="77777777" w:rsidTr="00AF3F7D">
        <w:trPr>
          <w:trHeight w:val="227"/>
          <w:tblHeader/>
        </w:trPr>
        <w:tc>
          <w:tcPr>
            <w:tcW w:w="2302" w:type="dxa"/>
            <w:tcBorders>
              <w:top w:val="nil"/>
              <w:left w:val="nil"/>
              <w:right w:val="nil"/>
            </w:tcBorders>
            <w:shd w:val="clear" w:color="000000" w:fill="FFFFFF"/>
            <w:noWrap/>
            <w:vAlign w:val="bottom"/>
          </w:tcPr>
          <w:p w14:paraId="59DCC33B"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Taenia solium</w:t>
            </w:r>
          </w:p>
        </w:tc>
        <w:tc>
          <w:tcPr>
            <w:tcW w:w="2338" w:type="dxa"/>
            <w:tcBorders>
              <w:top w:val="nil"/>
              <w:left w:val="nil"/>
              <w:right w:val="nil"/>
            </w:tcBorders>
            <w:shd w:val="clear" w:color="000000" w:fill="FFFFFF"/>
            <w:vAlign w:val="bottom"/>
          </w:tcPr>
          <w:p w14:paraId="59DCC33C"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Taeniasis</w:t>
            </w:r>
          </w:p>
        </w:tc>
        <w:tc>
          <w:tcPr>
            <w:tcW w:w="4000" w:type="dxa"/>
            <w:tcBorders>
              <w:top w:val="nil"/>
              <w:left w:val="nil"/>
              <w:right w:val="nil"/>
            </w:tcBorders>
            <w:shd w:val="clear" w:color="000000" w:fill="FFFFFF"/>
            <w:vAlign w:val="bottom"/>
          </w:tcPr>
          <w:p w14:paraId="59DCC33D"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Pork tapeworm</w:t>
            </w:r>
          </w:p>
        </w:tc>
      </w:tr>
      <w:tr w:rsidR="00C77AA4" w:rsidRPr="00D93FF9" w14:paraId="59DCC342" w14:textId="77777777" w:rsidTr="00AF3F7D">
        <w:trPr>
          <w:trHeight w:val="227"/>
          <w:tblHeader/>
        </w:trPr>
        <w:tc>
          <w:tcPr>
            <w:tcW w:w="2302" w:type="dxa"/>
            <w:tcBorders>
              <w:left w:val="nil"/>
              <w:bottom w:val="single" w:sz="4" w:space="0" w:color="auto"/>
              <w:right w:val="nil"/>
            </w:tcBorders>
            <w:shd w:val="clear" w:color="000000" w:fill="FFFFFF"/>
            <w:noWrap/>
            <w:vAlign w:val="bottom"/>
          </w:tcPr>
          <w:p w14:paraId="59DCC33F" w14:textId="77777777" w:rsidR="00C77AA4" w:rsidRPr="00D93FF9" w:rsidRDefault="00C77AA4" w:rsidP="00C77AA4">
            <w:pPr>
              <w:keepNext/>
              <w:spacing w:after="0"/>
              <w:ind w:firstLineChars="100" w:firstLine="180"/>
              <w:rPr>
                <w:rFonts w:cs="Arial"/>
                <w:i/>
                <w:color w:val="000000"/>
                <w:sz w:val="18"/>
                <w:szCs w:val="18"/>
                <w:lang w:val="en-GB" w:eastAsia="en-AU"/>
              </w:rPr>
            </w:pPr>
            <w:r w:rsidRPr="00D93FF9">
              <w:rPr>
                <w:rFonts w:cs="Arial"/>
                <w:i/>
                <w:color w:val="000000"/>
                <w:sz w:val="18"/>
                <w:szCs w:val="18"/>
                <w:lang w:val="en-GB" w:eastAsia="en-AU"/>
              </w:rPr>
              <w:t>Trichuris trichiura</w:t>
            </w:r>
          </w:p>
        </w:tc>
        <w:tc>
          <w:tcPr>
            <w:tcW w:w="2338" w:type="dxa"/>
            <w:tcBorders>
              <w:left w:val="nil"/>
              <w:bottom w:val="single" w:sz="4" w:space="0" w:color="auto"/>
              <w:right w:val="nil"/>
            </w:tcBorders>
            <w:shd w:val="clear" w:color="000000" w:fill="FFFFFF"/>
            <w:vAlign w:val="bottom"/>
          </w:tcPr>
          <w:p w14:paraId="59DCC340"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Trichuriasis</w:t>
            </w:r>
          </w:p>
        </w:tc>
        <w:tc>
          <w:tcPr>
            <w:tcW w:w="4000" w:type="dxa"/>
            <w:tcBorders>
              <w:left w:val="nil"/>
              <w:bottom w:val="single" w:sz="4" w:space="0" w:color="auto"/>
              <w:right w:val="nil"/>
            </w:tcBorders>
            <w:shd w:val="clear" w:color="000000" w:fill="FFFFFF"/>
            <w:vAlign w:val="bottom"/>
          </w:tcPr>
          <w:p w14:paraId="59DCC341" w14:textId="77777777" w:rsidR="00C77AA4" w:rsidRPr="00D93FF9" w:rsidRDefault="00C77AA4" w:rsidP="00C77AA4">
            <w:pPr>
              <w:keepNext/>
              <w:spacing w:after="0"/>
              <w:rPr>
                <w:rFonts w:cs="Arial"/>
                <w:color w:val="000000"/>
                <w:sz w:val="18"/>
                <w:szCs w:val="18"/>
                <w:lang w:val="en-GB" w:eastAsia="en-AU"/>
              </w:rPr>
            </w:pPr>
            <w:r w:rsidRPr="00D93FF9">
              <w:rPr>
                <w:rFonts w:cs="Arial"/>
                <w:color w:val="000000"/>
                <w:sz w:val="18"/>
                <w:szCs w:val="18"/>
                <w:lang w:val="en-GB" w:eastAsia="en-AU"/>
              </w:rPr>
              <w:t>Whipworm</w:t>
            </w:r>
          </w:p>
        </w:tc>
      </w:tr>
    </w:tbl>
    <w:p w14:paraId="59DCC343" w14:textId="6354E3A2" w:rsidR="00986346" w:rsidRPr="00D93FF9" w:rsidRDefault="00E811B8" w:rsidP="003807A1">
      <w:pPr>
        <w:keepNext/>
        <w:spacing w:after="0" w:line="283" w:lineRule="auto"/>
        <w:rPr>
          <w:rFonts w:ascii="Arial"/>
          <w:position w:val="4"/>
          <w:sz w:val="16"/>
          <w:szCs w:val="16"/>
          <w:lang w:val="en-GB"/>
        </w:rPr>
      </w:pPr>
      <w:r w:rsidRPr="00D93FF9">
        <w:rPr>
          <w:sz w:val="16"/>
          <w:szCs w:val="16"/>
          <w:lang w:val="en-GB"/>
        </w:rPr>
        <w:t xml:space="preserve"> </w:t>
      </w:r>
      <w:r w:rsidRPr="00D93FF9">
        <w:rPr>
          <w:rFonts w:ascii="Arial"/>
          <w:position w:val="4"/>
          <w:sz w:val="16"/>
          <w:szCs w:val="16"/>
          <w:vertAlign w:val="superscript"/>
          <w:lang w:val="en-GB"/>
        </w:rPr>
        <w:t>a</w:t>
      </w:r>
      <w:r w:rsidRPr="00D93FF9">
        <w:rPr>
          <w:rFonts w:ascii="Arial"/>
          <w:position w:val="4"/>
          <w:sz w:val="16"/>
          <w:szCs w:val="16"/>
          <w:lang w:val="en-GB"/>
        </w:rPr>
        <w:fldChar w:fldCharType="begin"/>
      </w:r>
      <w:r w:rsidR="007C2051" w:rsidRPr="00D93FF9">
        <w:rPr>
          <w:rFonts w:ascii="Arial"/>
          <w:position w:val="4"/>
          <w:sz w:val="16"/>
          <w:szCs w:val="16"/>
          <w:lang w:val="en-GB"/>
        </w:rPr>
        <w:instrText xml:space="preserve"> ADDIN ZOTERO_ITEM CSL_CITATION {"citationID":"dEkSNrQG","properties":{"formattedCitation":"(Metcalf and Eddy, 2003)","plainCitation":"(Metcalf and Eddy, 2003)","noteIndex":0},"citationItems":[{"id":1723,"uris":["http://zotero.org/users/1938757/items/AV9A4668"],"uri":["http://zotero.org/users/1938757/items/AV9A4668"],"itemData":{"id":1723,"type":"article-journal","title":"Wastewater Engineering Treatment and Reuse, 4th Edition","author":[{"family":"Metcalf and Eddy","given":""}],"issued":{"date-parts":[["2003"]]}}}],"schema":"https://github.com/citation-style-language/schema/raw/master/csl-citation.json"} </w:instrText>
      </w:r>
      <w:r w:rsidRPr="00D93FF9">
        <w:rPr>
          <w:rFonts w:ascii="Arial"/>
          <w:position w:val="4"/>
          <w:sz w:val="16"/>
          <w:szCs w:val="16"/>
          <w:lang w:val="en-GB"/>
        </w:rPr>
        <w:fldChar w:fldCharType="separate"/>
      </w:r>
      <w:r w:rsidR="007C2051" w:rsidRPr="00D93FF9">
        <w:rPr>
          <w:rFonts w:ascii="Arial" w:hAnsi="Arial" w:cs="Arial"/>
          <w:sz w:val="16"/>
          <w:szCs w:val="16"/>
        </w:rPr>
        <w:t>(Metcalf and Eddy 2003)</w:t>
      </w:r>
      <w:r w:rsidRPr="00D93FF9">
        <w:rPr>
          <w:rFonts w:ascii="Arial"/>
          <w:position w:val="4"/>
          <w:sz w:val="16"/>
          <w:szCs w:val="16"/>
          <w:lang w:val="en-GB"/>
        </w:rPr>
        <w:fldChar w:fldCharType="end"/>
      </w:r>
    </w:p>
    <w:p w14:paraId="59DCC344" w14:textId="77777777" w:rsidR="00986346" w:rsidRPr="00D93FF9" w:rsidRDefault="00986346" w:rsidP="003807A1">
      <w:pPr>
        <w:spacing w:after="0"/>
        <w:rPr>
          <w:lang w:val="en-GB"/>
        </w:rPr>
      </w:pPr>
    </w:p>
    <w:p w14:paraId="59DCC345" w14:textId="77777777" w:rsidR="00C46175" w:rsidRPr="00D93FF9" w:rsidRDefault="00E811B8" w:rsidP="00873544">
      <w:pPr>
        <w:pStyle w:val="Heading4"/>
        <w:rPr>
          <w:lang w:val="en-GB"/>
        </w:rPr>
      </w:pPr>
      <w:r w:rsidRPr="00D93FF9">
        <w:rPr>
          <w:lang w:val="en-GB"/>
        </w:rPr>
        <w:t>Derivation of guidelines</w:t>
      </w:r>
    </w:p>
    <w:p w14:paraId="59DCC346" w14:textId="7A0BDFDD" w:rsidR="00C46175" w:rsidRPr="00D93FF9" w:rsidRDefault="00E811B8" w:rsidP="003807A1">
      <w:pPr>
        <w:pStyle w:val="BodyText"/>
        <w:spacing w:after="0" w:line="266" w:lineRule="auto"/>
        <w:jc w:val="both"/>
        <w:rPr>
          <w:lang w:val="en-GB"/>
        </w:rPr>
      </w:pPr>
      <w:r w:rsidRPr="00D93FF9">
        <w:rPr>
          <w:lang w:val="en-GB"/>
        </w:rPr>
        <w:t>Expanding interest worldwide in the use of re</w:t>
      </w:r>
      <w:r w:rsidR="00AC4822" w:rsidRPr="00D93FF9">
        <w:rPr>
          <w:lang w:val="en-GB"/>
        </w:rPr>
        <w:t>cycled water from</w:t>
      </w:r>
      <w:r w:rsidRPr="00D93FF9">
        <w:rPr>
          <w:lang w:val="en-GB"/>
        </w:rPr>
        <w:t xml:space="preserve"> wastewaters </w:t>
      </w:r>
      <w:r w:rsidR="00AC4822" w:rsidRPr="00D93FF9">
        <w:rPr>
          <w:lang w:val="en-GB"/>
        </w:rPr>
        <w:t xml:space="preserve">(e.g. sewage) </w:t>
      </w:r>
      <w:r w:rsidRPr="00D93FF9">
        <w:rPr>
          <w:lang w:val="en-GB"/>
        </w:rPr>
        <w:t>for irrigation of crops and pastures has generated much of the recent activity in developing guidelines for their safe use for this and other purposes</w:t>
      </w:r>
      <w:r w:rsidR="00AC4822" w:rsidRPr="00D93FF9">
        <w:rPr>
          <w:lang w:val="en-GB"/>
        </w:rPr>
        <w:t xml:space="preserve"> </w:t>
      </w:r>
      <w:r w:rsidR="00AC4822" w:rsidRPr="00D93FF9">
        <w:fldChar w:fldCharType="begin"/>
      </w:r>
      <w:r w:rsidR="007C2051" w:rsidRPr="00D93FF9">
        <w:instrText xml:space="preserve"> ADDIN ZOTERO_ITEM CSL_CITATION {"citationID":"N4xwO0me","properties":{"formattedCitation":"(NRMMC et al., 2006)","plainCitation":"(NRMMC et al., 2006)","noteIndex":0},"citationItems":[{"id":3886,"uris":["http://zotero.org/users/1938757/items/MHXN2WMQ"],"uri":["http://zotero.org/users/1938757/items/MHXN2WMQ"],"itemData":{"id":3886,"type":"book","event-place":"Canberra,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schema":"https://github.com/citation-style-language/schema/raw/master/csl-citation.json"} </w:instrText>
      </w:r>
      <w:r w:rsidR="00AC4822" w:rsidRPr="00D93FF9">
        <w:fldChar w:fldCharType="separate"/>
      </w:r>
      <w:r w:rsidR="007C2051" w:rsidRPr="00D93FF9">
        <w:rPr>
          <w:rFonts w:ascii="Calibri" w:hAnsi="Calibri" w:cs="Calibri"/>
        </w:rPr>
        <w:t>(NRMMC et al. 2006)</w:t>
      </w:r>
      <w:r w:rsidR="00AC4822" w:rsidRPr="00D93FF9">
        <w:fldChar w:fldCharType="end"/>
      </w:r>
      <w:r w:rsidRPr="00D93FF9">
        <w:rPr>
          <w:lang w:val="en-GB"/>
        </w:rPr>
        <w:t xml:space="preserve">. Although the present guidelines concern naturally occurring waters rather than </w:t>
      </w:r>
      <w:r w:rsidR="00AC4822" w:rsidRPr="00D93FF9">
        <w:rPr>
          <w:lang w:val="en-GB"/>
        </w:rPr>
        <w:t xml:space="preserve">recycled </w:t>
      </w:r>
      <w:r w:rsidRPr="00D93FF9">
        <w:rPr>
          <w:lang w:val="en-GB"/>
        </w:rPr>
        <w:t xml:space="preserve">waters, the underlying issues regarding risks to human and animal health are </w:t>
      </w:r>
      <w:r w:rsidR="009D1674" w:rsidRPr="00D93FF9">
        <w:rPr>
          <w:lang w:val="en-GB"/>
        </w:rPr>
        <w:t>similar</w:t>
      </w:r>
      <w:r w:rsidRPr="00D93FF9">
        <w:rPr>
          <w:lang w:val="en-GB"/>
        </w:rPr>
        <w:t>.</w:t>
      </w:r>
    </w:p>
    <w:p w14:paraId="2887EA19" w14:textId="2A2DC10C" w:rsidR="009D1674" w:rsidRPr="00D93FF9" w:rsidRDefault="009D1674" w:rsidP="00AF6218">
      <w:pPr>
        <w:pStyle w:val="BodyText"/>
        <w:spacing w:before="118" w:line="264" w:lineRule="auto"/>
        <w:ind w:right="209"/>
        <w:rPr>
          <w:lang w:val="en-GB"/>
        </w:rPr>
      </w:pPr>
      <w:r w:rsidRPr="00D93FF9">
        <w:rPr>
          <w:lang w:val="en-GB"/>
        </w:rPr>
        <w:t xml:space="preserve">The relevant state guideline or the Australian Guideline for Water Recycling </w:t>
      </w:r>
      <w:r w:rsidRPr="00D93FF9">
        <w:rPr>
          <w:lang w:val="en-GB"/>
        </w:rPr>
        <w:fldChar w:fldCharType="begin"/>
      </w:r>
      <w:r w:rsidR="00AB0CB9" w:rsidRPr="00D93FF9">
        <w:rPr>
          <w:lang w:val="en-GB"/>
        </w:rPr>
        <w:instrText xml:space="preserve"> ADDIN ZOTERO_ITEM CSL_CITATION {"citationID":"GoAEDuzB","properties":{"formattedCitation":"(NRMMC et al., 2006)","plainCitation":"(NRMMC et al., 2006)","noteIndex":0},"citationItems":[{"id":3886,"uris":["http://zotero.org/users/1938757/items/MHXN2WMQ"],"uri":["http://zotero.org/users/1938757/items/MHXN2WMQ"],"itemData":{"id":3886,"type":"book","event-place":"Canberra,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schema":"https://github.com/citation-style-language/schema/raw/master/csl-citation.json"} </w:instrText>
      </w:r>
      <w:r w:rsidRPr="00D93FF9">
        <w:rPr>
          <w:lang w:val="en-GB"/>
        </w:rPr>
        <w:fldChar w:fldCharType="separate"/>
      </w:r>
      <w:r w:rsidRPr="00D93FF9">
        <w:rPr>
          <w:rFonts w:ascii="Calibri" w:hAnsi="Calibri" w:cs="Calibri"/>
        </w:rPr>
        <w:t>(NRMMC et al. 2006)</w:t>
      </w:r>
      <w:r w:rsidRPr="00D93FF9">
        <w:rPr>
          <w:lang w:val="en-GB"/>
        </w:rPr>
        <w:fldChar w:fldCharType="end"/>
      </w:r>
      <w:r w:rsidRPr="00D93FF9">
        <w:rPr>
          <w:lang w:val="en-GB"/>
        </w:rPr>
        <w:t xml:space="preserve"> should be considered for irrigation with recycled water (e.g.</w:t>
      </w:r>
      <w:r w:rsidR="001E7791" w:rsidRPr="00D93FF9">
        <w:rPr>
          <w:lang w:val="en-GB"/>
        </w:rPr>
        <w:t xml:space="preserve"> </w:t>
      </w:r>
      <w:hyperlink r:id="rId20" w:history="1">
        <w:r w:rsidR="001E7791" w:rsidRPr="00D93FF9">
          <w:rPr>
            <w:rStyle w:val="Hyperlink"/>
            <w:lang w:val="en-GB"/>
          </w:rPr>
          <w:t>https://www.publications.qld.gov.au/dataset/disposal-of-effluent-using-irrigation-technical-guideline</w:t>
        </w:r>
      </w:hyperlink>
      <w:r w:rsidR="001E7791" w:rsidRPr="00D93FF9">
        <w:rPr>
          <w:lang w:val="en-GB"/>
        </w:rPr>
        <w:t>, https://www.epa.vic.gov.au/about-epa/publications/1910-2)</w:t>
      </w:r>
      <w:r w:rsidRPr="00D93FF9">
        <w:rPr>
          <w:lang w:val="en-GB"/>
        </w:rPr>
        <w:t>.</w:t>
      </w:r>
    </w:p>
    <w:p w14:paraId="4CDBD504" w14:textId="77777777" w:rsidR="009D1674" w:rsidRPr="00D93FF9" w:rsidRDefault="009D1674" w:rsidP="003807A1">
      <w:pPr>
        <w:pStyle w:val="BodyText"/>
        <w:spacing w:after="0" w:line="266" w:lineRule="auto"/>
        <w:jc w:val="both"/>
        <w:rPr>
          <w:lang w:val="en-GB"/>
        </w:rPr>
      </w:pPr>
    </w:p>
    <w:p w14:paraId="59DCC347" w14:textId="140A9DBE" w:rsidR="00C46175" w:rsidRPr="00D93FF9" w:rsidRDefault="00E811B8" w:rsidP="003807A1">
      <w:pPr>
        <w:pStyle w:val="BodyText"/>
        <w:spacing w:after="0" w:line="266" w:lineRule="auto"/>
        <w:jc w:val="both"/>
        <w:rPr>
          <w:lang w:val="en-GB"/>
        </w:rPr>
      </w:pPr>
      <w:r w:rsidRPr="00D93FF9">
        <w:rPr>
          <w:lang w:val="en-GB"/>
        </w:rPr>
        <w:t>It is generally not feasible nor warranted to test irrigation water for the presence of the wide range of water-borne microbial pathogens that may affect human and animal health. In</w:t>
      </w:r>
      <w:r w:rsidR="006330FC" w:rsidRPr="00D93FF9">
        <w:rPr>
          <w:lang w:val="en-GB"/>
        </w:rPr>
        <w:t xml:space="preserve"> </w:t>
      </w:r>
      <w:r w:rsidRPr="00D93FF9">
        <w:rPr>
          <w:lang w:val="en-GB"/>
        </w:rPr>
        <w:t xml:space="preserve">practice, </w:t>
      </w:r>
      <w:r w:rsidR="00525284" w:rsidRPr="00D93FF9">
        <w:rPr>
          <w:lang w:val="en-GB"/>
        </w:rPr>
        <w:t xml:space="preserve">domestic </w:t>
      </w:r>
      <w:r w:rsidRPr="00D93FF9">
        <w:rPr>
          <w:lang w:val="en-GB"/>
        </w:rPr>
        <w:t xml:space="preserve">water supplies are more commonly tested for the presence of </w:t>
      </w:r>
      <w:r w:rsidR="00C77AA4" w:rsidRPr="00D93FF9">
        <w:rPr>
          <w:i/>
          <w:iCs/>
          <w:lang w:val="en-GB"/>
        </w:rPr>
        <w:t>Escherichia coli (E. coli)</w:t>
      </w:r>
      <w:r w:rsidR="00C77AA4" w:rsidRPr="00D93FF9">
        <w:rPr>
          <w:i/>
          <w:lang w:val="en-GB"/>
        </w:rPr>
        <w:t xml:space="preserve"> </w:t>
      </w:r>
      <w:r w:rsidRPr="00D93FF9">
        <w:rPr>
          <w:lang w:val="en-GB"/>
        </w:rPr>
        <w:t xml:space="preserve">to give a general indication of faecal contamination and thus the possible presence of microbial pathogens. </w:t>
      </w:r>
      <w:r w:rsidR="00AC4822" w:rsidRPr="00D93FF9">
        <w:rPr>
          <w:i/>
          <w:iCs/>
          <w:lang w:val="en-GB"/>
        </w:rPr>
        <w:t>E</w:t>
      </w:r>
      <w:r w:rsidR="00C77AA4" w:rsidRPr="00D93FF9">
        <w:rPr>
          <w:i/>
          <w:iCs/>
          <w:lang w:val="en-GB"/>
        </w:rPr>
        <w:t>s</w:t>
      </w:r>
      <w:r w:rsidR="00AC4822" w:rsidRPr="00D93FF9">
        <w:rPr>
          <w:i/>
          <w:iCs/>
          <w:lang w:val="en-GB"/>
        </w:rPr>
        <w:t>cherichia coli</w:t>
      </w:r>
      <w:r w:rsidR="00AC4822" w:rsidRPr="00D93FF9">
        <w:rPr>
          <w:lang w:val="en-GB"/>
        </w:rPr>
        <w:t xml:space="preserve"> </w:t>
      </w:r>
      <w:r w:rsidR="00C77AA4" w:rsidRPr="00D93FF9">
        <w:rPr>
          <w:lang w:val="en-GB"/>
        </w:rPr>
        <w:t xml:space="preserve"> is a type of </w:t>
      </w:r>
      <w:r w:rsidR="00AC4822" w:rsidRPr="00D93FF9">
        <w:rPr>
          <w:lang w:val="en-GB"/>
        </w:rPr>
        <w:t>bacter</w:t>
      </w:r>
      <w:r w:rsidR="00C77AA4" w:rsidRPr="00D93FF9">
        <w:rPr>
          <w:lang w:val="en-GB"/>
        </w:rPr>
        <w:t xml:space="preserve">ia </w:t>
      </w:r>
      <w:r w:rsidR="00AC4822" w:rsidRPr="00D93FF9">
        <w:rPr>
          <w:lang w:val="en-GB"/>
        </w:rPr>
        <w:t>found in the gut</w:t>
      </w:r>
      <w:r w:rsidR="00C77AA4" w:rsidRPr="00D93FF9">
        <w:rPr>
          <w:lang w:val="en-GB"/>
        </w:rPr>
        <w:t xml:space="preserve"> and</w:t>
      </w:r>
      <w:r w:rsidR="00AC4822" w:rsidRPr="00D93FF9">
        <w:rPr>
          <w:lang w:val="en-GB"/>
        </w:rPr>
        <w:t xml:space="preserve"> used as an indicator of faecal contamination of water </w:t>
      </w:r>
      <w:r w:rsidR="00AC4822" w:rsidRPr="00D93FF9">
        <w:rPr>
          <w:lang w:val="en-GB"/>
        </w:rPr>
        <w:fldChar w:fldCharType="begin"/>
      </w:r>
      <w:r w:rsidR="007C2051" w:rsidRPr="00D93FF9">
        <w:rPr>
          <w:lang w:val="en-GB"/>
        </w:rPr>
        <w:instrText xml:space="preserve"> ADDIN ZOTERO_ITEM CSL_CITATION {"citationID":"GmbM4wNS","properties":{"formattedCitation":"(NRMMC et al., 2006; NHMRC and NRMMC, 2011)","plainCitation":"(NRMMC et al., 2006; NHMRC and NRMMC, 2011)","noteIndex":0},"citationItems":[{"id":3886,"uris":["http://zotero.org/users/1938757/items/MHXN2WMQ"],"uri":["http://zotero.org/users/1938757/items/MHXN2WMQ"],"itemData":{"id":3886,"type":"book","event-place":"Canberra,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00AC4822" w:rsidRPr="00D93FF9">
        <w:rPr>
          <w:lang w:val="en-GB"/>
        </w:rPr>
        <w:fldChar w:fldCharType="separate"/>
      </w:r>
      <w:r w:rsidR="007C2051" w:rsidRPr="00D93FF9">
        <w:rPr>
          <w:rFonts w:ascii="Calibri" w:hAnsi="Calibri" w:cs="Calibri"/>
        </w:rPr>
        <w:t>(NRMMC et al. 2006; NHMRC and NRMMC 2011)</w:t>
      </w:r>
      <w:r w:rsidR="00AC4822" w:rsidRPr="00D93FF9">
        <w:rPr>
          <w:lang w:val="en-GB"/>
        </w:rPr>
        <w:fldChar w:fldCharType="end"/>
      </w:r>
      <w:r w:rsidR="00AC4822" w:rsidRPr="00D93FF9">
        <w:rPr>
          <w:lang w:val="en-GB"/>
        </w:rPr>
        <w:t xml:space="preserve">. The </w:t>
      </w:r>
      <w:r w:rsidR="00AC4822" w:rsidRPr="00D93FF9">
        <w:rPr>
          <w:i/>
          <w:iCs/>
          <w:lang w:val="en-GB"/>
        </w:rPr>
        <w:t>Escherichia coli</w:t>
      </w:r>
      <w:r w:rsidR="00AC4822" w:rsidRPr="00D93FF9">
        <w:rPr>
          <w:lang w:val="en-GB"/>
        </w:rPr>
        <w:t xml:space="preserve"> </w:t>
      </w:r>
      <w:r w:rsidR="00C77AA4" w:rsidRPr="00D93FF9">
        <w:rPr>
          <w:lang w:val="en-GB"/>
        </w:rPr>
        <w:t>has</w:t>
      </w:r>
      <w:r w:rsidR="00AC4822" w:rsidRPr="00D93FF9">
        <w:rPr>
          <w:lang w:val="en-GB"/>
        </w:rPr>
        <w:t xml:space="preserve"> also been used in this guideline to indicate the level of contamination from humans and warm blooded animals. </w:t>
      </w:r>
    </w:p>
    <w:p w14:paraId="59DCC348" w14:textId="6B6B4465" w:rsidR="00C46175" w:rsidRPr="00D93FF9" w:rsidRDefault="00E811B8" w:rsidP="003807A1">
      <w:pPr>
        <w:pStyle w:val="BodyText"/>
        <w:spacing w:after="0" w:line="266" w:lineRule="auto"/>
        <w:jc w:val="both"/>
        <w:rPr>
          <w:lang w:val="en-GB"/>
        </w:rPr>
      </w:pPr>
      <w:r w:rsidRPr="00D93FF9">
        <w:rPr>
          <w:lang w:val="en-GB"/>
        </w:rPr>
        <w:t xml:space="preserve">In Australia and New Zealand, the management and use of </w:t>
      </w:r>
      <w:r w:rsidR="00AC4822" w:rsidRPr="00D93FF9">
        <w:rPr>
          <w:lang w:val="en-GB"/>
        </w:rPr>
        <w:t xml:space="preserve">recycled </w:t>
      </w:r>
      <w:r w:rsidRPr="00D93FF9">
        <w:rPr>
          <w:lang w:val="en-GB"/>
        </w:rPr>
        <w:t xml:space="preserve">water from sewerage systems forms an important component of the National Water Quality Management Strategy. Guidelines for pathogen levels in irrigation water have been proposed in the </w:t>
      </w:r>
      <w:r w:rsidR="00AC4822" w:rsidRPr="00D93FF9">
        <w:rPr>
          <w:lang w:val="en-GB"/>
        </w:rPr>
        <w:t>Australian Guidelines for Water Recycling (</w:t>
      </w:r>
      <w:r w:rsidR="00AC4822" w:rsidRPr="00D93FF9">
        <w:fldChar w:fldCharType="begin"/>
      </w:r>
      <w:r w:rsidR="007C2051" w:rsidRPr="00D93FF9">
        <w:instrText xml:space="preserve"> ADDIN ZOTERO_ITEM CSL_CITATION {"citationID":"CFIDSCRe","properties":{"formattedCitation":"(NRMMC et al. 2006)","plainCitation":"(NRMMC et al. 2006)","dontUpdate":true,"noteIndex":0},"citationItems":[{"id":3886,"uris":["http://zotero.org/users/1938757/items/MHXN2WMQ"],"uri":["http://zotero.org/users/1938757/items/MHXN2WMQ"],"itemData":{"id":3886,"type":"book","event-place":"Canberra,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schema":"https://github.com/citation-style-language/schema/raw/master/csl-citation.json"} </w:instrText>
      </w:r>
      <w:r w:rsidR="00AC4822" w:rsidRPr="00D93FF9">
        <w:fldChar w:fldCharType="separate"/>
      </w:r>
      <w:r w:rsidR="00AC4822" w:rsidRPr="00D93FF9">
        <w:t>NRMMC et al. 2006)</w:t>
      </w:r>
      <w:r w:rsidR="00AC4822" w:rsidRPr="00D93FF9">
        <w:fldChar w:fldCharType="end"/>
      </w:r>
      <w:r w:rsidR="00AC4822" w:rsidRPr="00D93FF9">
        <w:t xml:space="preserve">. </w:t>
      </w:r>
    </w:p>
    <w:p w14:paraId="7AB4783E" w14:textId="7D536DF7" w:rsidR="00C77AA4" w:rsidRPr="00D93FF9" w:rsidRDefault="00C77AA4" w:rsidP="003807A1">
      <w:pPr>
        <w:pStyle w:val="BodyText"/>
        <w:spacing w:after="0" w:line="266" w:lineRule="auto"/>
        <w:jc w:val="both"/>
        <w:rPr>
          <w:lang w:val="en-GB"/>
        </w:rPr>
      </w:pPr>
      <w:r w:rsidRPr="00D93FF9">
        <w:rPr>
          <w:lang w:val="en-GB"/>
        </w:rPr>
        <w:t>It is recommended that a 95</w:t>
      </w:r>
      <w:r w:rsidRPr="00D93FF9">
        <w:rPr>
          <w:vertAlign w:val="superscript"/>
          <w:lang w:val="en-GB"/>
        </w:rPr>
        <w:t>th</w:t>
      </w:r>
      <w:r w:rsidRPr="00D93FF9">
        <w:rPr>
          <w:lang w:val="en-GB"/>
        </w:rPr>
        <w:t xml:space="preserve"> percentile value of </w:t>
      </w:r>
      <w:r w:rsidRPr="00D93FF9">
        <w:rPr>
          <w:i/>
          <w:iCs/>
          <w:lang w:val="en-GB"/>
        </w:rPr>
        <w:t>E.coli</w:t>
      </w:r>
      <w:r w:rsidRPr="00D93FF9">
        <w:rPr>
          <w:lang w:val="en-GB"/>
        </w:rPr>
        <w:t xml:space="preserve"> be used, based on a number of readings generated over time from a regular monitoring program. If any individual value exceeds the DGV, a repeat sample should be collected to confirm the exceedance and action taken to determine the source of the contamination, and improve the water quality to acceptable levels.</w:t>
      </w:r>
    </w:p>
    <w:p w14:paraId="59DCC34A" w14:textId="3F9E9952" w:rsidR="00C46175" w:rsidRPr="00D93FF9" w:rsidRDefault="00E811B8" w:rsidP="003807A1">
      <w:pPr>
        <w:pStyle w:val="BodyText"/>
        <w:spacing w:after="0" w:line="266" w:lineRule="auto"/>
        <w:jc w:val="both"/>
        <w:rPr>
          <w:lang w:val="en-GB"/>
        </w:rPr>
      </w:pPr>
      <w:r w:rsidRPr="00D93FF9">
        <w:rPr>
          <w:lang w:val="en-GB"/>
        </w:rPr>
        <w:t xml:space="preserve">For helminths, a </w:t>
      </w:r>
      <w:r w:rsidR="00AC4822" w:rsidRPr="00D93FF9">
        <w:rPr>
          <w:lang w:val="en-GB"/>
        </w:rPr>
        <w:t xml:space="preserve">default guideline </w:t>
      </w:r>
      <w:r w:rsidRPr="00D93FF9">
        <w:rPr>
          <w:lang w:val="en-GB"/>
        </w:rPr>
        <w:t>value of</w:t>
      </w:r>
      <w:r w:rsidR="0079309D" w:rsidRPr="00D93FF9">
        <w:rPr>
          <w:lang w:val="en-GB"/>
        </w:rPr>
        <w:t xml:space="preserve"> </w:t>
      </w:r>
      <w:r w:rsidR="0079309D" w:rsidRPr="00D93FF9">
        <w:rPr>
          <w:rFonts w:cstheme="minorHAnsi"/>
          <w:lang w:val="en-GB"/>
        </w:rPr>
        <w:t xml:space="preserve">&lt; </w:t>
      </w:r>
      <w:r w:rsidRPr="00D93FF9">
        <w:rPr>
          <w:lang w:val="en-GB"/>
        </w:rPr>
        <w:t>1 helminth egg per litre is proposed for the protection of crop consumer</w:t>
      </w:r>
      <w:r w:rsidR="0079309D" w:rsidRPr="00D93FF9">
        <w:rPr>
          <w:lang w:val="en-GB"/>
        </w:rPr>
        <w:t xml:space="preserve">s, slightly more protective than the </w:t>
      </w:r>
      <w:r w:rsidR="0079309D" w:rsidRPr="00D93FF9">
        <w:rPr>
          <w:rFonts w:cstheme="minorHAnsi"/>
          <w:lang w:val="en-GB"/>
        </w:rPr>
        <w:t>≤</w:t>
      </w:r>
      <w:r w:rsidR="0079309D" w:rsidRPr="00D93FF9">
        <w:rPr>
          <w:lang w:val="en-GB"/>
        </w:rPr>
        <w:t xml:space="preserve"> 1 set by the World Health Organisation</w:t>
      </w:r>
      <w:r w:rsidRPr="00D93FF9">
        <w:rPr>
          <w:lang w:val="en-GB"/>
        </w:rPr>
        <w:t xml:space="preserve"> </w:t>
      </w:r>
      <w:r w:rsidR="00AC4822" w:rsidRPr="00D93FF9">
        <w:fldChar w:fldCharType="begin"/>
      </w:r>
      <w:r w:rsidR="007C2051" w:rsidRPr="00D93FF9">
        <w:instrText xml:space="preserve"> ADDIN ZOTERO_ITEM CSL_CITATION {"citationID":"FxlSP4JA","properties":{"formattedCitation":"(WHO, 2006)","plainCitation":"(WHO, 2006)","noteIndex":0},"citationItems":[{"id":745,"uris":["http://zotero.org/users/1938757/items/5VGB53CD"],"uri":["http://zotero.org/users/1938757/items/5VGB53CD"],"itemData":{"id":745,"type":"report","event-place":"Geneva,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Agriculture","URL":"https://www.who.int/water_sanitation_health/publications/gsuweg2/en/","author":[{"family":"WHO","given":""}],"issued":{"date-parts":[["2006"]]}}}],"schema":"https://github.com/citation-style-language/schema/raw/master/csl-citation.json"} </w:instrText>
      </w:r>
      <w:r w:rsidR="00AC4822" w:rsidRPr="00D93FF9">
        <w:fldChar w:fldCharType="separate"/>
      </w:r>
      <w:r w:rsidR="007C2051" w:rsidRPr="00D93FF9">
        <w:rPr>
          <w:rFonts w:ascii="Calibri" w:hAnsi="Calibri" w:cs="Calibri"/>
        </w:rPr>
        <w:t>(WHO 2006)</w:t>
      </w:r>
      <w:r w:rsidR="00AC4822" w:rsidRPr="00D93FF9">
        <w:fldChar w:fldCharType="end"/>
      </w:r>
      <w:r w:rsidR="00AC4822" w:rsidRPr="00D93FF9">
        <w:t xml:space="preserve">, and where </w:t>
      </w:r>
      <w:r w:rsidR="00AC4822" w:rsidRPr="00D93FF9">
        <w:rPr>
          <w:i/>
          <w:iCs/>
        </w:rPr>
        <w:t>T. saginata</w:t>
      </w:r>
      <w:r w:rsidR="00AC4822" w:rsidRPr="00D93FF9">
        <w:t xml:space="preserve"> management is required (i.e. </w:t>
      </w:r>
      <w:r w:rsidR="0079309D" w:rsidRPr="00D93FF9">
        <w:t>there is the risk of</w:t>
      </w:r>
      <w:r w:rsidR="00AC4822" w:rsidRPr="00D93FF9">
        <w:t xml:space="preserve"> domestic sewage </w:t>
      </w:r>
      <w:r w:rsidR="0079309D" w:rsidRPr="00D93FF9">
        <w:t>contamination of the irrigation water and cattle are exposed to the irrigation site</w:t>
      </w:r>
      <w:r w:rsidR="00AC4822" w:rsidRPr="00D93FF9">
        <w:t xml:space="preserve">) state or national guideline may require a mean hydraulic retention time of 25 days in an appropriately designed and managed lagoon system, which equates to approximately 4-log removal of helminth ova </w:t>
      </w:r>
      <w:r w:rsidR="00AC4822" w:rsidRPr="00D93FF9">
        <w:fldChar w:fldCharType="begin"/>
      </w:r>
      <w:r w:rsidR="007C2051" w:rsidRPr="00D93FF9">
        <w:instrText xml:space="preserve"> ADDIN ZOTERO_ITEM CSL_CITATION {"citationID":"1IUchQc4","properties":{"formattedCitation":"(NRMMC et al., 2006)","plainCitation":"(NRMMC et al., 2006)","noteIndex":0},"citationItems":[{"id":3886,"uris":["http://zotero.org/users/1938757/items/MHXN2WMQ"],"uri":["http://zotero.org/users/1938757/items/MHXN2WMQ"],"itemData":{"id":3886,"type":"book","event-place":"Canberra,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schema":"https://github.com/citation-style-language/schema/raw/master/csl-citation.json"} </w:instrText>
      </w:r>
      <w:r w:rsidR="00AC4822" w:rsidRPr="00D93FF9">
        <w:fldChar w:fldCharType="separate"/>
      </w:r>
      <w:r w:rsidR="007C2051" w:rsidRPr="00D93FF9">
        <w:rPr>
          <w:rFonts w:ascii="Calibri" w:hAnsi="Calibri" w:cs="Calibri"/>
        </w:rPr>
        <w:t>(NRMMC et al. 2006)</w:t>
      </w:r>
      <w:r w:rsidR="00AC4822" w:rsidRPr="00D93FF9">
        <w:fldChar w:fldCharType="end"/>
      </w:r>
      <w:r w:rsidR="00BE6DF0" w:rsidRPr="00D93FF9">
        <w:t xml:space="preserve">, or an approved risk-based management strategy for the irrigation scheme </w:t>
      </w:r>
      <w:r w:rsidR="00BE6DF0" w:rsidRPr="00D93FF9">
        <w:fldChar w:fldCharType="begin"/>
      </w:r>
      <w:r w:rsidR="00BE6DF0" w:rsidRPr="00D93FF9">
        <w:instrText xml:space="preserve"> ADDIN ZOTERO_ITEM CSL_CITATION {"citationID":"ciyDgrkI","properties":{"formattedCitation":"(Stevens et al., 2021)","plainCitation":"(Stevens et al., 2021)","noteIndex":0},"citationItems":[{"id":35427,"uris":["http://zotero.org/users/1938757/items/CQT2KMRT"],"uri":["http://zotero.org/users/1938757/items/CQT2KMRT"],"itemData":{"id":35427,"type":"article-journal","abstract":"The probability of cysticercus bovis (CB) infection of cattle (cysticerci from Taenia saginata) in a country where T. saginata is not endemic (i.e. Australia) was assessed using a Quantitative Microbial Risk Assessment (QMRA) approach. Two important features of the QMRA were (i) a dose-response curve to describe ingestion of eggs of the helminth T. saginata (HE) by cattle and the development of cysticerci due to the infection, and (ii) characterisation of HE concentrations. Data limitations relating to HE quantification are described, and several other key variables provided the basis for a probabilistic QMRA model. Data from over 554 sewage samples from 11 wastewater treatment plants (WWTPs) in Southern Australia indicated the background concentration of T. saginata eggs was low (&lt;0.1 HE L-1 measured, 0.003 HE L-1 as an estimated baseline modelled on a ratio of Taenia:Ascaris determined from the literature). Such a low sewage concentration was estimated to require only a 2.2 log10 reduction value (LRV) via sewage treatment to maintain the baseline risk of CB equivalent to background levels in Australia. However, to protect against potential future detectable outbreaks of Taeniasis in the human population and all potential exposure scenarios considered, a 3.5 LRV for WWTP was considered appropriate with confirmation by appropriate sewage monitoring. In addition, analysis of several specific exposure scenarios using the QMRA indicated that LRV credits (0.5 to 2.0 LRV) could decrease the required LRV for wastewater treatment based on the size of the WWTP and on-site management strategies (e.g. restriction of recycled water use for livestock drinking water, the years of exposure for cattle to sites irrigated with recycled water, and the use of fodder off-site). Without such measures, a HE LRV of 4.0 is recommend for WWTPs to ensure adequate protection of systems with no on-site controls.","container-title":"Microbial Risk Analysis","DOI":"10.1016/j.mran.2021.100164","ISSN":"2352-3522","journalAbbreviation":"Microbial Risk Analysis","language":"en","page":"100164","source":"ScienceDirect","title":"The probability of cysticercus bovis detection in livestock from exposure to recycled water in non-endemic countries","volume":"18","author":[{"family":"Stevens","given":"Daryl"},{"family":"Surapaneni","given":"Aravind"},{"family":"Deere","given":"Dan"},{"family":"O'Connor","given":"Nick"},{"family":"Crosbie","given":"Nick"},{"family":"Keegan","given":"Alex"},{"family":"Stackpole","given":"Leon"},{"family":"Robards","given":"Martin"}],"issued":{"date-parts":[["2021",8,1]]}}}],"schema":"https://github.com/citation-style-language/schema/raw/master/csl-citation.json"} </w:instrText>
      </w:r>
      <w:r w:rsidR="00BE6DF0" w:rsidRPr="00D93FF9">
        <w:fldChar w:fldCharType="separate"/>
      </w:r>
      <w:r w:rsidR="00BE6DF0" w:rsidRPr="00D93FF9">
        <w:rPr>
          <w:rFonts w:ascii="Calibri" w:hAnsi="Calibri" w:cs="Calibri"/>
        </w:rPr>
        <w:t>(Stevens et al. 2021)</w:t>
      </w:r>
      <w:r w:rsidR="00BE6DF0" w:rsidRPr="00D93FF9">
        <w:fldChar w:fldCharType="end"/>
      </w:r>
      <w:r w:rsidR="00AC4822" w:rsidRPr="00D93FF9">
        <w:t>.</w:t>
      </w:r>
      <w:r w:rsidRPr="00D93FF9">
        <w:rPr>
          <w:lang w:val="en-GB"/>
        </w:rPr>
        <w:t xml:space="preserve"> Insufficient information is available to set guidelines for protozoa and viruses in irrigation water</w:t>
      </w:r>
      <w:r w:rsidR="00BE6DF0" w:rsidRPr="00D93FF9">
        <w:rPr>
          <w:lang w:val="en-GB"/>
        </w:rPr>
        <w:t>, However, irrigators should consider relevant food quality assurance programs that m</w:t>
      </w:r>
      <w:r w:rsidR="005F7A9C" w:rsidRPr="00D93FF9">
        <w:rPr>
          <w:lang w:val="en-GB"/>
        </w:rPr>
        <w:t>ight</w:t>
      </w:r>
      <w:r w:rsidR="00BE6DF0" w:rsidRPr="00D93FF9">
        <w:rPr>
          <w:lang w:val="en-GB"/>
        </w:rPr>
        <w:t xml:space="preserve"> be required for specific crops grown</w:t>
      </w:r>
      <w:r w:rsidRPr="00D93FF9">
        <w:rPr>
          <w:lang w:val="en-GB"/>
        </w:rPr>
        <w:t>.</w:t>
      </w:r>
    </w:p>
    <w:p w14:paraId="59DCC34B" w14:textId="77777777" w:rsidR="00C46175" w:rsidRPr="00D93FF9" w:rsidRDefault="00C46175" w:rsidP="003807A1">
      <w:pPr>
        <w:pStyle w:val="BodyText"/>
        <w:spacing w:after="0"/>
        <w:rPr>
          <w:rFonts w:ascii="Arial"/>
          <w:sz w:val="15"/>
          <w:lang w:val="en-GB"/>
        </w:rPr>
      </w:pPr>
    </w:p>
    <w:p w14:paraId="59DCC34C" w14:textId="77777777" w:rsidR="00C46175" w:rsidRPr="00D93FF9" w:rsidRDefault="00E811B8" w:rsidP="00604735">
      <w:pPr>
        <w:pStyle w:val="Heading3"/>
        <w:rPr>
          <w:lang w:val="en-GB"/>
        </w:rPr>
      </w:pPr>
      <w:bookmarkStart w:id="34" w:name="_Toc96693569"/>
      <w:r w:rsidRPr="00D93FF9">
        <w:rPr>
          <w:lang w:val="en-GB"/>
        </w:rPr>
        <w:t>Plant pathogens</w:t>
      </w:r>
      <w:bookmarkEnd w:id="34"/>
    </w:p>
    <w:p w14:paraId="59DCC34D" w14:textId="17FB0737" w:rsidR="00C46175" w:rsidRPr="00D93FF9" w:rsidRDefault="00E811B8" w:rsidP="0006380A">
      <w:pPr>
        <w:spacing w:before="200" w:line="266" w:lineRule="auto"/>
        <w:ind w:left="284"/>
        <w:jc w:val="both"/>
        <w:rPr>
          <w:b/>
          <w:bCs/>
          <w:i/>
          <w:iCs/>
          <w:lang w:val="en-GB"/>
        </w:rPr>
      </w:pPr>
      <w:r w:rsidRPr="00D93FF9">
        <w:rPr>
          <w:b/>
          <w:bCs/>
          <w:i/>
          <w:iCs/>
          <w:lang w:val="en-GB"/>
        </w:rPr>
        <w:t xml:space="preserve">No </w:t>
      </w:r>
      <w:r w:rsidR="00855C80" w:rsidRPr="00D93FF9">
        <w:rPr>
          <w:b/>
          <w:bCs/>
          <w:i/>
          <w:iCs/>
          <w:lang w:val="en-GB"/>
        </w:rPr>
        <w:t>guideline value</w:t>
      </w:r>
      <w:r w:rsidRPr="00D93FF9">
        <w:rPr>
          <w:b/>
          <w:bCs/>
          <w:i/>
          <w:iCs/>
          <w:lang w:val="en-GB"/>
        </w:rPr>
        <w:t xml:space="preserve">s for plant pathogens in irrigation waters are recommended at this time. As a general precaution, </w:t>
      </w:r>
      <w:r w:rsidR="00A17472" w:rsidRPr="00D93FF9">
        <w:rPr>
          <w:b/>
          <w:bCs/>
          <w:i/>
          <w:iCs/>
          <w:lang w:val="en-GB"/>
        </w:rPr>
        <w:t xml:space="preserve">disinfection </w:t>
      </w:r>
      <w:r w:rsidRPr="00D93FF9">
        <w:rPr>
          <w:b/>
          <w:bCs/>
          <w:i/>
          <w:iCs/>
          <w:lang w:val="en-GB"/>
        </w:rPr>
        <w:t>treatment is advisable for water that contains plant pathogens and is to be used for irrigating potentially susceptible</w:t>
      </w:r>
      <w:r w:rsidRPr="00D93FF9">
        <w:rPr>
          <w:b/>
          <w:bCs/>
          <w:i/>
          <w:iCs/>
          <w:spacing w:val="21"/>
          <w:lang w:val="en-GB"/>
        </w:rPr>
        <w:t xml:space="preserve"> </w:t>
      </w:r>
      <w:r w:rsidRPr="00D93FF9">
        <w:rPr>
          <w:b/>
          <w:bCs/>
          <w:i/>
          <w:iCs/>
          <w:lang w:val="en-GB"/>
        </w:rPr>
        <w:t>plants.</w:t>
      </w:r>
    </w:p>
    <w:p w14:paraId="59DCC34E" w14:textId="77777777" w:rsidR="00C46175" w:rsidRPr="00D93FF9" w:rsidRDefault="00E811B8" w:rsidP="00604735">
      <w:pPr>
        <w:pStyle w:val="Heading4"/>
        <w:rPr>
          <w:lang w:val="en-GB"/>
        </w:rPr>
      </w:pPr>
      <w:r w:rsidRPr="00D93FF9">
        <w:rPr>
          <w:lang w:val="en-GB"/>
        </w:rPr>
        <w:t>Description</w:t>
      </w:r>
    </w:p>
    <w:p w14:paraId="59DCC34F" w14:textId="2BAD17D1" w:rsidR="00C46175" w:rsidRPr="00D93FF9" w:rsidRDefault="00E811B8" w:rsidP="00383B00">
      <w:pPr>
        <w:pStyle w:val="BodyText"/>
        <w:spacing w:after="0" w:line="266" w:lineRule="auto"/>
        <w:jc w:val="both"/>
        <w:rPr>
          <w:lang w:val="en-GB"/>
        </w:rPr>
      </w:pPr>
      <w:r w:rsidRPr="00D93FF9">
        <w:rPr>
          <w:lang w:val="en-GB"/>
        </w:rPr>
        <w:t>Agricultural crops and pastures can be affected by various plant pathogens transmitted through a number of different pathways including irrigation water</w:t>
      </w:r>
      <w:r w:rsidR="004178A4" w:rsidRPr="00D93FF9">
        <w:rPr>
          <w:lang w:val="en-GB"/>
        </w:rPr>
        <w:t xml:space="preserve"> </w:t>
      </w:r>
      <w:r w:rsidR="004178A4" w:rsidRPr="00D93FF9">
        <w:fldChar w:fldCharType="begin"/>
      </w:r>
      <w:r w:rsidR="00BE6DF0" w:rsidRPr="00D93FF9">
        <w:instrText xml:space="preserve"> ADDIN ZOTERO_ITEM CSL_CITATION {"citationID":"d3KDmJm5","properties":{"formattedCitation":"(Alegbeleye et al., 2018)","plainCitation":"(Alegbeleye et al., 2018)","noteIndex":0},"citationItems":[{"id":33254,"uris":["http://zotero.org/users/1938757/items/WKK2SMMB"],"uri":["http://zotero.org/users/1938757/items/WKK2SMMB"],"itemData":{"id":33254,"type":"article-journal","abstract":"Foodborne illness resulting from the consumption of contaminated fresh produce is a common phenomenon and has severe effects on human health together with severe economic and social impacts. The implications of foodborne diseases associated with fresh produce have urged research into the numerous ways and mechanisms through which pathogens may gain access to produce, thereby compromising microbiological safety. This review provides a background on the various sources and pathways through which pathogenic bacteria contaminate fresh produce; the survival and proliferation of pathogens on fresh produce while growing and potential methods to reduce microbial contamination before harvest. Some of the established bacterial contamination sources include contaminated manure, irrigation water, soil, livestock/ wildlife, and numerous factors influence the incidence, fate, transport, survival and proliferation of pathogens in the wide variety of sources where they are found. Once pathogenic bacteria have been introduced into the growing environment, they can colonize and persist on fresh produce using a variety of mechanisms. Overall, microbiological hazards are significant; therefore, ways to reduce sources of contamination and a deeper understanding of pathogen survival and growth on fresh produce in the field are required to reduce risk to human health and the associated economic consequences., \n          \n            Image 1","container-title":"Food Microbiology","DOI":"10.1016/j.fm.2018.01.003","ISSN":"0740-0020","journalAbbreviation":"Food Microbiol","note":"PMID: 29526204\nPMCID: PMC7127387","page":"177-208","source":"PubMed Central","title":"Sources and contamination routes of microbial pathogens to fresh produce during field cultivation: A review","title-short":"Sources and contamination routes of microbial pathogens to fresh produce during field cultivation","volume":"73","author":[{"family":"Alegbeleye","given":"Oluwadara Oluwaseun"},{"family":"Singleton","given":"Ian"},{"family":"Sant’Ana","given":"Anderson S."}],"issued":{"date-parts":[["2018",8]]}}}],"schema":"https://github.com/citation-style-language/schema/raw/master/csl-citation.json"} </w:instrText>
      </w:r>
      <w:r w:rsidR="004178A4" w:rsidRPr="00D93FF9">
        <w:fldChar w:fldCharType="separate"/>
      </w:r>
      <w:r w:rsidR="007C2051" w:rsidRPr="00D93FF9">
        <w:rPr>
          <w:rFonts w:ascii="Calibri" w:hAnsi="Calibri" w:cs="Calibri"/>
        </w:rPr>
        <w:t>(Alegbeleye et al. 2018)</w:t>
      </w:r>
      <w:r w:rsidR="004178A4" w:rsidRPr="00D93FF9">
        <w:fldChar w:fldCharType="end"/>
      </w:r>
      <w:r w:rsidRPr="00D93FF9">
        <w:rPr>
          <w:lang w:val="en-GB"/>
        </w:rPr>
        <w:t xml:space="preserve">. Although limited research has been conducted into acceptable levels of plant pathogens in irrigation water used for agricultural purposes, it is believed that the risk of transmission through this method is low under most circumstances. However, plant pathogens in irrigation water used for intensive agricultural and horticultural industries (particularly where </w:t>
      </w:r>
      <w:r w:rsidR="004178A4" w:rsidRPr="00D93FF9">
        <w:rPr>
          <w:lang w:val="en-GB"/>
        </w:rPr>
        <w:t>irrigation water runoff is</w:t>
      </w:r>
      <w:r w:rsidRPr="00D93FF9">
        <w:rPr>
          <w:lang w:val="en-GB"/>
        </w:rPr>
        <w:t xml:space="preserve"> reused), can potentially lead to crop damage and economic</w:t>
      </w:r>
      <w:r w:rsidRPr="00D93FF9">
        <w:rPr>
          <w:spacing w:val="1"/>
          <w:lang w:val="en-GB"/>
        </w:rPr>
        <w:t xml:space="preserve"> </w:t>
      </w:r>
      <w:r w:rsidRPr="00D93FF9">
        <w:rPr>
          <w:lang w:val="en-GB"/>
        </w:rPr>
        <w:t>loss</w:t>
      </w:r>
      <w:r w:rsidR="004178A4" w:rsidRPr="00D93FF9">
        <w:rPr>
          <w:lang w:val="en-GB"/>
        </w:rPr>
        <w:t xml:space="preserve"> </w:t>
      </w:r>
      <w:r w:rsidR="004178A4" w:rsidRPr="00D93FF9">
        <w:fldChar w:fldCharType="begin"/>
      </w:r>
      <w:r w:rsidR="00BE6DF0" w:rsidRPr="00D93FF9">
        <w:instrText xml:space="preserve"> ADDIN ZOTERO_ITEM CSL_CITATION {"citationID":"i9hx6YGd","properties":{"formattedCitation":"(Hong and Moorman, 2005)","plainCitation":"(Hong and Moorman, 2005)","noteIndex":0},"citationItems":[{"id":3448,"uris":["http://zotero.org/users/1938757/items/JBC6V6GE"],"uri":["http://zotero.org/users/1938757/items/JBC6V6GE"],"itemData":{"id":3448,"type":"article-journal","abstract":"Plant pathogens in irrigation water were recognized early in the last century as a significant crop health issue. This issue has increased greatly in scope and degree of impact since that time and it will continue to be a problem as agriculture increasingly depends on the use of recycled water. Plant pathogens detected from water resources include 17 species of Phytophthora, 26 of Pythium, 27 genera of fungi, 8 species of bacteria, 10 viruses, and 13 species of plant parasitic nematodes. There is substantial evidence demonstrating that contaminated irrigation water is a primary, if not the sole, source of inoculum for Phytophthora diseases of numerous nursery, fruit, and vegetable crops. These findings pose great challenges and opportunities to the plant pathology community. A variety of water treatment methods are available but few have been assessed for agricultural purposes under commercial conditions. Investigations into their technical feasibility and economics are urgently needed. Aquatic ecology of plant pathogens is an emerging field of research that holds great promise for developing ecologically based water decontamination and other strategies of pathogen mitigation. Pathogen detection and monitoring as well as biological and economic thresholds are much-needed IPM tools and should be priorities of future research. Teaming with hydrologists, agricultural engineers, ecologists, geneticists, economists, statisticians, and farmers is essential to effectively attack such a complex issue of growing global importance. Research should proceed in conjunction with nutrient and pesticide management studies in a coordinated and comprehensive approach as they are interrelated components of water resource conservation and protection.","container-title":"Critical Reviews in Plant Sciences","DOI":"10.1080/07352680591005838","ISSN":"0735-2689","issue":"3","page":"189-208","title":"Plant pathogens in irrigation water: Challenges and opportunities","volume":"24","author":[{"family":"Hong","given":"C. X."},{"family":"Moorman","given":"G. W."}],"issued":{"date-parts":[["2005"]]}}}],"schema":"https://github.com/citation-style-language/schema/raw/master/csl-citation.json"} </w:instrText>
      </w:r>
      <w:r w:rsidR="004178A4" w:rsidRPr="00D93FF9">
        <w:fldChar w:fldCharType="separate"/>
      </w:r>
      <w:r w:rsidR="007C2051" w:rsidRPr="00D93FF9">
        <w:rPr>
          <w:rFonts w:ascii="Calibri" w:hAnsi="Calibri" w:cs="Calibri"/>
        </w:rPr>
        <w:t>(Hong and Moorman 2005)</w:t>
      </w:r>
      <w:r w:rsidR="004178A4" w:rsidRPr="00D93FF9">
        <w:fldChar w:fldCharType="end"/>
      </w:r>
      <w:r w:rsidRPr="00D93FF9">
        <w:rPr>
          <w:lang w:val="en-GB"/>
        </w:rPr>
        <w:t>.</w:t>
      </w:r>
    </w:p>
    <w:p w14:paraId="59DCC350" w14:textId="40F4A7EE" w:rsidR="00C46175" w:rsidRPr="00D93FF9" w:rsidRDefault="00E811B8" w:rsidP="003807A1">
      <w:pPr>
        <w:pStyle w:val="BodyText"/>
        <w:spacing w:after="0" w:line="266" w:lineRule="auto"/>
        <w:jc w:val="both"/>
        <w:rPr>
          <w:lang w:val="en-GB"/>
        </w:rPr>
      </w:pPr>
      <w:r w:rsidRPr="00D93FF9">
        <w:rPr>
          <w:shd w:val="clear" w:color="auto" w:fill="FFFFFF"/>
          <w:lang w:val="en-GB"/>
        </w:rPr>
        <w:t xml:space="preserve">Most plant diseases are favoured by conditions of rain, high air humidity and high soil moisture. In particular, the virulence of pathogens that infect aerial tissues is greatly promoted by rain and high humidity </w:t>
      </w:r>
      <w:r w:rsidRPr="00D93FF9">
        <w:rPr>
          <w:shd w:val="clear" w:color="auto" w:fill="FFFFFF"/>
          <w:lang w:val="en-GB"/>
        </w:rPr>
        <w:fldChar w:fldCharType="begin"/>
      </w:r>
      <w:r w:rsidR="00BE6DF0" w:rsidRPr="00D93FF9">
        <w:rPr>
          <w:shd w:val="clear" w:color="auto" w:fill="FFFFFF"/>
          <w:lang w:val="en-GB"/>
        </w:rPr>
        <w:instrText xml:space="preserve"> ADDIN ZOTERO_ITEM CSL_CITATION {"citationID":"RKbiNvVA","properties":{"formattedCitation":"(Vel\\uc0\\u225{}squez et al., 2018)","plainCitation":"(Velásquez et al., 2018)","noteIndex":0},"citationItems":[{"id":32936,"uris":["http://zotero.org/users/1938757/items/NCQ7LSBG"],"uri":["http://zotero.org/users/1938757/items/NCQ7LSBG"],"itemData":{"id":32936,"type":"article-journal","abstract":"Global environmental changes caused by natural and human activities have accelerated in the past 200 years. The increase in greenhouse gases is predicted to continue to raise global temperature and change water availability in the 21st century. Plant diseases are deeply influenced by the environment; a susceptible host will not be infected by a virulent pathogen if the environmental conditions are not conducive for disease. The change in CO2 concentrations, temperature, and water availability can have positive, neutral, or negative effects on disease development, as each disease may respond differently to these variations. However, the concept of disease optima could potentially apply to all pathosystems. Plant resistance pathways, including pattern-triggered immunity and effector-triggered immunity, RNA interference, and defense hormone networks, are all affected by environmental factors. On the pathogen side, virulence mechanisms, such as the production of toxins and virulence proteins, as well as pathogen reproduction and survival are influenced by temperature and humidity. For practical reasons, most laboratory investigations into plant-pathogen interactions at the molecular level focus on well-established pathosystems and use a few static environmental conditions that capture only a fraction of the dynamic plant-pathogen-environment interactions that occur in nature. There is great need for future research to increasingly use dynamic environmental conditions in order to fully understand the multidimensional nature of plant-pathogen interactions and produce disease-resistant crop plants that are resilient to climate change.","container-title":"Current biology : CB","DOI":"10.1016/j.cub.2018.03.054","ISSN":"0960-9822","issue":"10","journalAbbreviation":"Curr Biol","note":"PMID: 29787730\nPMCID: PMC5967643","page":"R619-R634","source":"PubMed Central","title":"Plant and pathogen warfare under changing climate conditions","volume":"28","author":[{"family":"Velásquez","given":"André C."},{"family":"Castroverde","given":"Christian Danve M."},{"family":"He","given":"Sheng Yang"}],"issued":{"date-parts":[["2018",5,21]]}}}],"schema":"https://github.com/citation-style-language/schema/raw/master/csl-citation.json"} </w:instrText>
      </w:r>
      <w:r w:rsidRPr="00D93FF9">
        <w:rPr>
          <w:shd w:val="clear" w:color="auto" w:fill="FFFFFF"/>
          <w:lang w:val="en-GB"/>
        </w:rPr>
        <w:fldChar w:fldCharType="separate"/>
      </w:r>
      <w:r w:rsidR="007C2051" w:rsidRPr="00D93FF9">
        <w:rPr>
          <w:rFonts w:ascii="Calibri" w:hAnsi="Calibri" w:cs="Calibri"/>
          <w:szCs w:val="24"/>
        </w:rPr>
        <w:t>(Velásquez et al. 2018)</w:t>
      </w:r>
      <w:r w:rsidRPr="00D93FF9">
        <w:rPr>
          <w:shd w:val="clear" w:color="auto" w:fill="FFFFFF"/>
          <w:lang w:val="en-GB"/>
        </w:rPr>
        <w:fldChar w:fldCharType="end"/>
      </w:r>
      <w:r w:rsidRPr="00D93FF9">
        <w:rPr>
          <w:shd w:val="clear" w:color="auto" w:fill="FFFFFF"/>
          <w:lang w:val="en-GB"/>
        </w:rPr>
        <w:t xml:space="preserve">. </w:t>
      </w:r>
    </w:p>
    <w:p w14:paraId="59DCC351" w14:textId="72108027" w:rsidR="00C46175" w:rsidRPr="00D93FF9" w:rsidRDefault="00E811B8" w:rsidP="003807A1">
      <w:pPr>
        <w:pStyle w:val="BodyText"/>
        <w:spacing w:after="0" w:line="266" w:lineRule="auto"/>
        <w:jc w:val="both"/>
        <w:rPr>
          <w:lang w:val="en-GB"/>
        </w:rPr>
      </w:pPr>
      <w:r w:rsidRPr="00D93FF9">
        <w:rPr>
          <w:lang w:val="en-GB"/>
        </w:rPr>
        <w:t>A great deal of work needs to be done before guidelines can be developed, particularly concerning the efficacy of water-borne plant pathogens on a wide range of crops.</w:t>
      </w:r>
    </w:p>
    <w:p w14:paraId="59DCC352" w14:textId="77777777" w:rsidR="00C46175" w:rsidRPr="00D93FF9" w:rsidRDefault="00E811B8" w:rsidP="00604735">
      <w:pPr>
        <w:pStyle w:val="Heading4"/>
        <w:rPr>
          <w:lang w:val="en-GB"/>
        </w:rPr>
      </w:pPr>
      <w:r w:rsidRPr="00D93FF9">
        <w:rPr>
          <w:lang w:val="en-GB"/>
        </w:rPr>
        <w:lastRenderedPageBreak/>
        <w:t>Effect on irrigation water quality</w:t>
      </w:r>
    </w:p>
    <w:p w14:paraId="59DCC353" w14:textId="65D33FF6" w:rsidR="00C46175" w:rsidRPr="00D93FF9" w:rsidRDefault="00E811B8" w:rsidP="003807A1">
      <w:pPr>
        <w:pStyle w:val="BodyText"/>
        <w:spacing w:after="0" w:line="22" w:lineRule="atLeast"/>
        <w:jc w:val="both"/>
        <w:rPr>
          <w:shd w:val="clear" w:color="auto" w:fill="FFFFFF"/>
        </w:rPr>
      </w:pPr>
      <w:r w:rsidRPr="00D93FF9">
        <w:rPr>
          <w:lang w:val="en-GB"/>
        </w:rPr>
        <w:t>Plant pathogens of potential concern to irrigation water quality commonly include viruses, fungi</w:t>
      </w:r>
      <w:r w:rsidR="00632A88" w:rsidRPr="00D93FF9">
        <w:rPr>
          <w:lang w:val="en-GB"/>
        </w:rPr>
        <w:t xml:space="preserve">, </w:t>
      </w:r>
      <w:r w:rsidRPr="00D93FF9">
        <w:rPr>
          <w:lang w:val="en-GB"/>
        </w:rPr>
        <w:t>bacteria</w:t>
      </w:r>
      <w:r w:rsidR="00632A88" w:rsidRPr="00D93FF9">
        <w:rPr>
          <w:lang w:val="en-GB"/>
        </w:rPr>
        <w:t xml:space="preserve">, nematode and some fungi like species </w:t>
      </w:r>
      <w:r w:rsidR="00632A88" w:rsidRPr="00D93FF9">
        <w:fldChar w:fldCharType="begin"/>
      </w:r>
      <w:r w:rsidR="00BE6DF0" w:rsidRPr="00D93FF9">
        <w:instrText xml:space="preserve"> ADDIN ZOTERO_ITEM CSL_CITATION {"citationID":"cIe3cF3p","properties":{"formattedCitation":"(Hong and Moorman, 2005)","plainCitation":"(Hong and Moorman, 2005)","noteIndex":0},"citationItems":[{"id":3448,"uris":["http://zotero.org/users/1938757/items/JBC6V6GE"],"uri":["http://zotero.org/users/1938757/items/JBC6V6GE"],"itemData":{"id":3448,"type":"article-journal","abstract":"Plant pathogens in irrigation water were recognized early in the last century as a significant crop health issue. This issue has increased greatly in scope and degree of impact since that time and it will continue to be a problem as agriculture increasingly depends on the use of recycled water. Plant pathogens detected from water resources include 17 species of Phytophthora, 26 of Pythium, 27 genera of fungi, 8 species of bacteria, 10 viruses, and 13 species of plant parasitic nematodes. There is substantial evidence demonstrating that contaminated irrigation water is a primary, if not the sole, source of inoculum for Phytophthora diseases of numerous nursery, fruit, and vegetable crops. These findings pose great challenges and opportunities to the plant pathology community. A variety of water treatment methods are available but few have been assessed for agricultural purposes under commercial conditions. Investigations into their technical feasibility and economics are urgently needed. Aquatic ecology of plant pathogens is an emerging field of research that holds great promise for developing ecologically based water decontamination and other strategies of pathogen mitigation. Pathogen detection and monitoring as well as biological and economic thresholds are much-needed IPM tools and should be priorities of future research. Teaming with hydrologists, agricultural engineers, ecologists, geneticists, economists, statisticians, and farmers is essential to effectively attack such a complex issue of growing global importance. Research should proceed in conjunction with nutrient and pesticide management studies in a coordinated and comprehensive approach as they are interrelated components of water resource conservation and protection.","container-title":"Critical Reviews in Plant Sciences","DOI":"10.1080/07352680591005838","ISSN":"0735-2689","issue":"3","page":"189-208","title":"Plant pathogens in irrigation water: Challenges and opportunities","volume":"24","author":[{"family":"Hong","given":"C. X."},{"family":"Moorman","given":"G. W."}],"issued":{"date-parts":[["2005"]]}}}],"schema":"https://github.com/citation-style-language/schema/raw/master/csl-citation.json"} </w:instrText>
      </w:r>
      <w:r w:rsidR="00632A88" w:rsidRPr="00D93FF9">
        <w:fldChar w:fldCharType="separate"/>
      </w:r>
      <w:r w:rsidR="007C2051" w:rsidRPr="00D93FF9">
        <w:rPr>
          <w:rFonts w:ascii="Calibri" w:hAnsi="Calibri" w:cs="Calibri"/>
        </w:rPr>
        <w:t>(Hong and Moorman 2005)</w:t>
      </w:r>
      <w:r w:rsidR="00632A88" w:rsidRPr="00D93FF9">
        <w:fldChar w:fldCharType="end"/>
      </w:r>
      <w:r w:rsidR="000F32F6" w:rsidRPr="00D93FF9">
        <w:t xml:space="preserve"> </w:t>
      </w:r>
      <w:r w:rsidR="00500234" w:rsidRPr="00D93FF9">
        <w:t>(</w:t>
      </w:r>
      <w:r w:rsidR="00500234" w:rsidRPr="00D93FF9">
        <w:rPr>
          <w:lang w:val="en-GB"/>
        </w:rPr>
        <w:fldChar w:fldCharType="begin"/>
      </w:r>
      <w:r w:rsidR="00500234" w:rsidRPr="00D93FF9">
        <w:instrText xml:space="preserve"> REF _Ref81390412 \h </w:instrText>
      </w:r>
      <w:r w:rsidR="00D93FF9">
        <w:rPr>
          <w:lang w:val="en-GB"/>
        </w:rPr>
        <w:instrText xml:space="preserve"> \* MERGEFORMAT </w:instrText>
      </w:r>
      <w:r w:rsidR="00500234" w:rsidRPr="00D93FF9">
        <w:rPr>
          <w:lang w:val="en-GB"/>
        </w:rPr>
      </w:r>
      <w:r w:rsidR="00500234" w:rsidRPr="00D93FF9">
        <w:rPr>
          <w:lang w:val="en-GB"/>
        </w:rPr>
        <w:fldChar w:fldCharType="separate"/>
      </w:r>
      <w:r w:rsidR="0069302C" w:rsidRPr="00D93FF9">
        <w:t xml:space="preserve">Table </w:t>
      </w:r>
      <w:r w:rsidR="0069302C">
        <w:rPr>
          <w:noProof/>
        </w:rPr>
        <w:t>7</w:t>
      </w:r>
      <w:r w:rsidR="00500234" w:rsidRPr="00D93FF9">
        <w:rPr>
          <w:lang w:val="en-GB"/>
        </w:rPr>
        <w:fldChar w:fldCharType="end"/>
      </w:r>
      <w:r w:rsidR="00500234" w:rsidRPr="00D93FF9">
        <w:rPr>
          <w:lang w:val="en-GB"/>
        </w:rPr>
        <w:t>)</w:t>
      </w:r>
      <w:r w:rsidRPr="00D93FF9">
        <w:rPr>
          <w:lang w:val="en-GB"/>
        </w:rPr>
        <w:t>.</w:t>
      </w:r>
      <w:r w:rsidR="00632A88" w:rsidRPr="00D93FF9">
        <w:rPr>
          <w:lang w:val="en-GB"/>
        </w:rPr>
        <w:t xml:space="preserve"> </w:t>
      </w:r>
      <w:r w:rsidR="00632A88" w:rsidRPr="00D93FF9">
        <w:rPr>
          <w:shd w:val="clear" w:color="auto" w:fill="FFFFFF"/>
        </w:rPr>
        <w:t xml:space="preserve">Plants can exhibit a number of symptoms in response to pathogenic infection, including; growth suppression, discoloration, deformations, necrosis, impaired reproduction, overgrowth, rot and scab </w:t>
      </w:r>
      <w:r w:rsidR="00632A88" w:rsidRPr="00D93FF9">
        <w:rPr>
          <w:shd w:val="clear" w:color="auto" w:fill="FFFFFF"/>
        </w:rPr>
        <w:fldChar w:fldCharType="begin"/>
      </w:r>
      <w:r w:rsidR="00BE6DF0" w:rsidRPr="00D93FF9">
        <w:rPr>
          <w:shd w:val="clear" w:color="auto" w:fill="FFFFFF"/>
        </w:rPr>
        <w:instrText xml:space="preserve"> ADDIN ZOTERO_ITEM CSL_CITATION {"citationID":"jAdRYfnI","properties":{"formattedCitation":"(Nazarov et al., 2020)","plainCitation":"(Nazarov et al., 2020)","noteIndex":0},"citationItems":[{"id":32935,"uris":["http://zotero.org/users/1938757/items/Q9KLNKA4"],"uri":["http://zotero.org/users/1938757/items/Q9KLNKA4"],"itemData":{"id":32935,"type":"article-journal","abstract":"In recent years, there has been an increase in the number of diseases caused by\nbacterial, fungal, and viral infections. Infections affect plants at different\nstages of agricultural production. Depending on weather conditions and the\nphytosanitary condition of crops, the prevalence of diseases can reach\n70–80% of the total plant population, and the yield can decrease in some\ncases down to 80–98%. Plants have innate cellular immunity, but specific\nphytopathogens have an ability to evade that immunity. This article examined\nphytopathogens of viral, fungal, and bacterial nature and explored the concepts\nof modern plant protection, methods of chemical, biological, and agrotechnical\ncontrol, as well as modern methods used for identifying phytopathogens.","container-title":"Acta Naturae","DOI":"10.32607/actanaturae.11026","ISSN":"2075-8251","issue":"3","journalAbbreviation":"Acta Naturae","note":"PMID: 33173596\nPMCID: PMC7604890","page":"46-59","source":"PubMed Central","title":"Infectious Plant Diseases: Etiology, Current Status, Problems and Prospects in Plant Protection","title-short":"Infectious Plant Diseases","volume":"12","author":[{"family":"Nazarov","given":"P. A."},{"family":"Baleev","given":"D. N."},{"family":"Ivanova","given":"M. I."},{"family":"Sokolova","given":"L. M."},{"family":"Karakozova","given":"M. V."}],"issued":{"date-parts":[["2020"]]}}}],"schema":"https://github.com/citation-style-language/schema/raw/master/csl-citation.json"} </w:instrText>
      </w:r>
      <w:r w:rsidR="00632A88" w:rsidRPr="00D93FF9">
        <w:rPr>
          <w:shd w:val="clear" w:color="auto" w:fill="FFFFFF"/>
        </w:rPr>
        <w:fldChar w:fldCharType="separate"/>
      </w:r>
      <w:r w:rsidR="007C2051" w:rsidRPr="00D93FF9">
        <w:rPr>
          <w:rFonts w:ascii="Calibri" w:hAnsi="Calibri" w:cs="Calibri"/>
        </w:rPr>
        <w:t>(Nazarov et al. 2020)</w:t>
      </w:r>
      <w:r w:rsidR="00632A88" w:rsidRPr="00D93FF9">
        <w:rPr>
          <w:shd w:val="clear" w:color="auto" w:fill="FFFFFF"/>
        </w:rPr>
        <w:fldChar w:fldCharType="end"/>
      </w:r>
      <w:r w:rsidR="00632A88" w:rsidRPr="00D93FF9">
        <w:rPr>
          <w:shd w:val="clear" w:color="auto" w:fill="FFFFFF"/>
        </w:rPr>
        <w:t xml:space="preserve">. </w:t>
      </w:r>
    </w:p>
    <w:p w14:paraId="59DCC354" w14:textId="199C9B30" w:rsidR="00632A88" w:rsidRPr="00D93FF9" w:rsidRDefault="00E811B8" w:rsidP="00855599">
      <w:pPr>
        <w:pStyle w:val="BodyText"/>
        <w:spacing w:after="0" w:line="266" w:lineRule="auto"/>
        <w:jc w:val="both"/>
        <w:rPr>
          <w:lang w:val="en-GB"/>
        </w:rPr>
      </w:pPr>
      <w:r w:rsidRPr="00D93FF9">
        <w:rPr>
          <w:lang w:val="en-GB"/>
        </w:rPr>
        <w:t xml:space="preserve">Some species of nematodes causing plant damage are also believed to be potentially transmitted in irrigation waters, although limited research has been conducted in this area. Root rot is a major pathogenic problem, which can be caused by a variety of pathogens (usually oomycetes) that live freely in water and terrestrial systems, such as Phytophthora, Pythium and Aphanomyces </w:t>
      </w:r>
      <w:r w:rsidRPr="00D93FF9">
        <w:rPr>
          <w:lang w:val="en-GB"/>
        </w:rPr>
        <w:fldChar w:fldCharType="begin"/>
      </w:r>
      <w:r w:rsidR="00BE6DF0" w:rsidRPr="00D93FF9">
        <w:rPr>
          <w:lang w:val="en-GB"/>
        </w:rPr>
        <w:instrText xml:space="preserve"> ADDIN ZOTERO_ITEM CSL_CITATION {"citationID":"rolFQoc3","properties":{"formattedCitation":"(Bodah, 2017)","plainCitation":"(Bodah, 2017)","noteIndex":0},"citationItems":[{"id":32939,"uris":["http://zotero.org/users/1938757/items/TNV4YYDU"],"uri":["http://zotero.org/users/1938757/items/TNV4YYDU"],"itemData":{"id":32939,"type":"article-journal","container-title":"Agricultural Research &amp; Technology: Open Access Journal","DOI":"10.19080/ARTOAJ.2017.05.555661","journalAbbreviation":"Agricultural Research &amp; Technology: Open Access Journal","source":"ResearchGate","title":"Root Rot Diseases in Plants: A Review of Common Causal Agents and Management Strategies","title-short":"Root Rot Diseases in Plants","volume":"5","author":[{"family":"Bodah","given":"Eliane"}],"issued":{"date-parts":[["2017",3,27]]}}}],"schema":"https://github.com/citation-style-language/schema/raw/master/csl-citation.json"} </w:instrText>
      </w:r>
      <w:r w:rsidRPr="00D93FF9">
        <w:rPr>
          <w:lang w:val="en-GB"/>
        </w:rPr>
        <w:fldChar w:fldCharType="separate"/>
      </w:r>
      <w:r w:rsidR="007C2051" w:rsidRPr="00D93FF9">
        <w:rPr>
          <w:rFonts w:ascii="Calibri" w:hAnsi="Calibri" w:cs="Calibri"/>
        </w:rPr>
        <w:t>(Bodah 2017)</w:t>
      </w:r>
      <w:r w:rsidRPr="00D93FF9">
        <w:rPr>
          <w:lang w:val="en-GB"/>
        </w:rPr>
        <w:fldChar w:fldCharType="end"/>
      </w:r>
      <w:r w:rsidRPr="00D93FF9">
        <w:rPr>
          <w:lang w:val="en-GB"/>
        </w:rPr>
        <w:t xml:space="preserve">. Depending on weather conditions and the phytosanitary condition of crops, the prevalence of diseases can be significant and lead to large decreases in crop yields </w:t>
      </w:r>
      <w:r w:rsidRPr="00D93FF9">
        <w:rPr>
          <w:lang w:val="en-GB"/>
        </w:rPr>
        <w:fldChar w:fldCharType="begin"/>
      </w:r>
      <w:r w:rsidR="00BE6DF0" w:rsidRPr="00D93FF9">
        <w:rPr>
          <w:lang w:val="en-GB"/>
        </w:rPr>
        <w:instrText xml:space="preserve"> ADDIN ZOTERO_ITEM CSL_CITATION {"citationID":"aW8gprBU","properties":{"formattedCitation":"(Nazarov et al., 2020)","plainCitation":"(Nazarov et al., 2020)","noteIndex":0},"citationItems":[{"id":32935,"uris":["http://zotero.org/users/1938757/items/Q9KLNKA4"],"uri":["http://zotero.org/users/1938757/items/Q9KLNKA4"],"itemData":{"id":32935,"type":"article-journal","abstract":"In recent years, there has been an increase in the number of diseases caused by\nbacterial, fungal, and viral infections. Infections affect plants at different\nstages of agricultural production. Depending on weather conditions and the\nphytosanitary condition of crops, the prevalence of diseases can reach\n70–80% of the total plant population, and the yield can decrease in some\ncases down to 80–98%. Plants have innate cellular immunity, but specific\nphytopathogens have an ability to evade that immunity. This article examined\nphytopathogens of viral, fungal, and bacterial nature and explored the concepts\nof modern plant protection, methods of chemical, biological, and agrotechnical\ncontrol, as well as modern methods used for identifying phytopathogens.","container-title":"Acta Naturae","DOI":"10.32607/actanaturae.11026","ISSN":"2075-8251","issue":"3","journalAbbreviation":"Acta Naturae","note":"PMID: 33173596\nPMCID: PMC7604890","page":"46-59","source":"PubMed Central","title":"Infectious Plant Diseases: Etiology, Current Status, Problems and Prospects in Plant Protection","title-short":"Infectious Plant Diseases","volume":"12","author":[{"family":"Nazarov","given":"P. A."},{"family":"Baleev","given":"D. N."},{"family":"Ivanova","given":"M. I."},{"family":"Sokolova","given":"L. M."},{"family":"Karakozova","given":"M. V."}],"issued":{"date-parts":[["2020"]]}}}],"schema":"https://github.com/citation-style-language/schema/raw/master/csl-citation.json"} </w:instrText>
      </w:r>
      <w:r w:rsidRPr="00D93FF9">
        <w:rPr>
          <w:lang w:val="en-GB"/>
        </w:rPr>
        <w:fldChar w:fldCharType="separate"/>
      </w:r>
      <w:r w:rsidR="007C2051" w:rsidRPr="00D93FF9">
        <w:rPr>
          <w:rFonts w:ascii="Calibri" w:hAnsi="Calibri" w:cs="Calibri"/>
        </w:rPr>
        <w:t>(Nazarov et al. 2020)</w:t>
      </w:r>
      <w:r w:rsidRPr="00D93FF9">
        <w:rPr>
          <w:lang w:val="en-GB"/>
        </w:rPr>
        <w:fldChar w:fldCharType="end"/>
      </w:r>
      <w:r w:rsidRPr="00D93FF9">
        <w:rPr>
          <w:lang w:val="en-GB"/>
        </w:rPr>
        <w:t xml:space="preserve">. Plant diseases cost Australia millions of dollars each year as they reduce productivity, increase the cost of production, impact on our ability to trade both locally and internationally and adversely affect our environment and biodiversity </w:t>
      </w:r>
      <w:r w:rsidRPr="00D93FF9">
        <w:rPr>
          <w:lang w:val="en-GB"/>
        </w:rPr>
        <w:fldChar w:fldCharType="begin"/>
      </w:r>
      <w:r w:rsidR="00BE6DF0" w:rsidRPr="00D93FF9">
        <w:rPr>
          <w:lang w:val="en-GB"/>
        </w:rPr>
        <w:instrText xml:space="preserve"> ADDIN ZOTERO_ITEM CSL_CITATION {"citationID":"bDGy4esh","properties":{"formattedCitation":"(Department of Agriculture and Water Resources, 2016)","plainCitation":"(Department of Agriculture and Water Resources, 2016)","noteIndex":0},"citationItems":[{"id":32934,"uris":["http://zotero.org/users/1938757/items/4TRULVKJ"],"uri":["http://zotero.org/users/1938757/items/4TRULVKJ"],"itemData":{"id":32934,"type":"article","publisher":"Australian Government","title":"Plant diseases - Biosecurity","URL":"https://www.agriculture.gov.au/import/arrival/pests/plant_diseases","author":[{"family":"Department of Agriculture and Water Resources","given":""}],"accessed":{"date-parts":[["2021",2,24]]},"issued":{"date-parts":[["2016",2]]}}}],"schema":"https://github.com/citation-style-language/schema/raw/master/csl-citation.json"} </w:instrText>
      </w:r>
      <w:r w:rsidRPr="00D93FF9">
        <w:rPr>
          <w:lang w:val="en-GB"/>
        </w:rPr>
        <w:fldChar w:fldCharType="separate"/>
      </w:r>
      <w:r w:rsidR="007C2051" w:rsidRPr="00D93FF9">
        <w:rPr>
          <w:rFonts w:ascii="Calibri" w:hAnsi="Calibri" w:cs="Calibri"/>
        </w:rPr>
        <w:t>(Department of Agriculture and Water Resources 2016)</w:t>
      </w:r>
      <w:r w:rsidRPr="00D93FF9">
        <w:rPr>
          <w:lang w:val="en-GB"/>
        </w:rPr>
        <w:fldChar w:fldCharType="end"/>
      </w:r>
      <w:r w:rsidRPr="00D93FF9">
        <w:rPr>
          <w:lang w:val="en-GB"/>
        </w:rPr>
        <w:t>.</w:t>
      </w:r>
    </w:p>
    <w:p w14:paraId="59DCC355" w14:textId="77777777" w:rsidR="00C46175" w:rsidRPr="00D93FF9" w:rsidRDefault="00C46175" w:rsidP="003807A1">
      <w:pPr>
        <w:pStyle w:val="BodyText"/>
        <w:spacing w:after="0"/>
        <w:rPr>
          <w:sz w:val="21"/>
          <w:lang w:val="en-GB"/>
        </w:rPr>
      </w:pPr>
    </w:p>
    <w:p w14:paraId="59DCC356" w14:textId="3618BF09" w:rsidR="00C46175" w:rsidRPr="00D93FF9" w:rsidRDefault="00500234" w:rsidP="00500234">
      <w:pPr>
        <w:pStyle w:val="Caption"/>
        <w:rPr>
          <w:rFonts w:ascii="Arial"/>
          <w:sz w:val="12"/>
          <w:lang w:val="en-GB"/>
        </w:rPr>
      </w:pPr>
      <w:bookmarkStart w:id="35" w:name="_Ref81390412"/>
      <w:bookmarkStart w:id="36" w:name="_Toc96518221"/>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7</w:t>
      </w:r>
      <w:r w:rsidR="00477102" w:rsidRPr="00D93FF9">
        <w:fldChar w:fldCharType="end"/>
      </w:r>
      <w:bookmarkEnd w:id="35"/>
      <w:r w:rsidRPr="00D93FF9">
        <w:t xml:space="preserve"> </w:t>
      </w:r>
      <w:bookmarkStart w:id="37" w:name="_Hlk153787501"/>
      <w:r w:rsidR="00E90CE0" w:rsidRPr="00D93FF9">
        <w:rPr>
          <w:rFonts w:ascii="Arial"/>
          <w:sz w:val="18"/>
          <w:lang w:val="en-GB"/>
        </w:rPr>
        <w:t>Examples of plant pathogens found in irrigation water</w:t>
      </w:r>
      <w:r w:rsidR="00E90CE0" w:rsidRPr="00D93FF9">
        <w:rPr>
          <w:rFonts w:ascii="Arial"/>
          <w:position w:val="4"/>
          <w:sz w:val="12"/>
          <w:lang w:val="en-GB"/>
        </w:rPr>
        <w:t>a</w:t>
      </w:r>
      <w:bookmarkEnd w:id="36"/>
      <w:bookmarkEnd w:id="37"/>
    </w:p>
    <w:tbl>
      <w:tblPr>
        <w:tblW w:w="9288" w:type="dxa"/>
        <w:tblInd w:w="108" w:type="dxa"/>
        <w:tblLook w:val="04A0" w:firstRow="1" w:lastRow="0" w:firstColumn="1" w:lastColumn="0" w:noHBand="0" w:noVBand="1"/>
        <w:tblCaption w:val="Examples of plant pathogens found in irrigation water"/>
        <w:tblDescription w:val="Lists a range of plant pathogen species of potential concern to irrigation water quality, under five different categories: Fungi-like oomocytes, fungi, bacteria, viruses, and nematodes. "/>
      </w:tblPr>
      <w:tblGrid>
        <w:gridCol w:w="1220"/>
        <w:gridCol w:w="2680"/>
        <w:gridCol w:w="2680"/>
        <w:gridCol w:w="2708"/>
      </w:tblGrid>
      <w:tr w:rsidR="00BE3AA8" w:rsidRPr="00D93FF9" w14:paraId="59DCC35B" w14:textId="77777777" w:rsidTr="005A6108">
        <w:trPr>
          <w:trHeight w:val="270"/>
        </w:trPr>
        <w:tc>
          <w:tcPr>
            <w:tcW w:w="1220" w:type="dxa"/>
            <w:tcBorders>
              <w:top w:val="single" w:sz="4" w:space="0" w:color="auto"/>
              <w:left w:val="nil"/>
              <w:bottom w:val="nil"/>
              <w:right w:val="nil"/>
            </w:tcBorders>
            <w:shd w:val="clear" w:color="000000" w:fill="FFFFFF"/>
            <w:vAlign w:val="bottom"/>
            <w:hideMark/>
          </w:tcPr>
          <w:p w14:paraId="59DCC357" w14:textId="77777777" w:rsidR="00632A88"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Fungi-like</w:t>
            </w:r>
          </w:p>
        </w:tc>
        <w:tc>
          <w:tcPr>
            <w:tcW w:w="2680" w:type="dxa"/>
            <w:tcBorders>
              <w:top w:val="single" w:sz="4" w:space="0" w:color="auto"/>
              <w:left w:val="nil"/>
              <w:bottom w:val="nil"/>
              <w:right w:val="nil"/>
            </w:tcBorders>
            <w:shd w:val="clear" w:color="000000" w:fill="FFFFFF"/>
            <w:noWrap/>
            <w:vAlign w:val="bottom"/>
            <w:hideMark/>
          </w:tcPr>
          <w:p w14:paraId="59DCC358"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Phytophthora cactorum</w:t>
            </w:r>
          </w:p>
        </w:tc>
        <w:tc>
          <w:tcPr>
            <w:tcW w:w="2680" w:type="dxa"/>
            <w:tcBorders>
              <w:top w:val="single" w:sz="4" w:space="0" w:color="auto"/>
              <w:left w:val="nil"/>
              <w:bottom w:val="nil"/>
              <w:right w:val="nil"/>
            </w:tcBorders>
            <w:shd w:val="clear" w:color="000000" w:fill="FFFFFF"/>
            <w:noWrap/>
            <w:vAlign w:val="bottom"/>
            <w:hideMark/>
          </w:tcPr>
          <w:p w14:paraId="59DCC359"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Phytophthora tropicalis </w:t>
            </w:r>
          </w:p>
        </w:tc>
        <w:tc>
          <w:tcPr>
            <w:tcW w:w="2708" w:type="dxa"/>
            <w:tcBorders>
              <w:top w:val="single" w:sz="4" w:space="0" w:color="auto"/>
              <w:left w:val="nil"/>
              <w:bottom w:val="nil"/>
              <w:right w:val="nil"/>
            </w:tcBorders>
            <w:shd w:val="clear" w:color="000000" w:fill="FFFFFF"/>
            <w:noWrap/>
            <w:vAlign w:val="bottom"/>
            <w:hideMark/>
          </w:tcPr>
          <w:p w14:paraId="59DCC35A"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mamillatum </w:t>
            </w:r>
          </w:p>
        </w:tc>
      </w:tr>
      <w:tr w:rsidR="00BE3AA8" w:rsidRPr="00D93FF9" w14:paraId="59DCC360" w14:textId="77777777" w:rsidTr="005A6108">
        <w:trPr>
          <w:trHeight w:val="270"/>
        </w:trPr>
        <w:tc>
          <w:tcPr>
            <w:tcW w:w="1220" w:type="dxa"/>
            <w:tcBorders>
              <w:top w:val="nil"/>
              <w:left w:val="nil"/>
              <w:bottom w:val="nil"/>
              <w:right w:val="nil"/>
            </w:tcBorders>
            <w:shd w:val="clear" w:color="000000" w:fill="FFFFFF"/>
            <w:vAlign w:val="bottom"/>
            <w:hideMark/>
          </w:tcPr>
          <w:p w14:paraId="59DCC35C" w14:textId="77777777" w:rsidR="00632A88"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(oomocytes)</w:t>
            </w:r>
          </w:p>
        </w:tc>
        <w:tc>
          <w:tcPr>
            <w:tcW w:w="2680" w:type="dxa"/>
            <w:tcBorders>
              <w:top w:val="nil"/>
              <w:left w:val="nil"/>
              <w:bottom w:val="nil"/>
              <w:right w:val="nil"/>
            </w:tcBorders>
            <w:shd w:val="clear" w:color="000000" w:fill="FFFFFF"/>
            <w:noWrap/>
            <w:vAlign w:val="bottom"/>
            <w:hideMark/>
          </w:tcPr>
          <w:p w14:paraId="59DCC35D"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Phytophthora cambivora</w:t>
            </w:r>
          </w:p>
        </w:tc>
        <w:tc>
          <w:tcPr>
            <w:tcW w:w="2680" w:type="dxa"/>
            <w:tcBorders>
              <w:top w:val="nil"/>
              <w:left w:val="nil"/>
              <w:bottom w:val="nil"/>
              <w:right w:val="nil"/>
            </w:tcBorders>
            <w:shd w:val="clear" w:color="000000" w:fill="FFFFFF"/>
            <w:noWrap/>
            <w:vAlign w:val="bottom"/>
            <w:hideMark/>
          </w:tcPr>
          <w:p w14:paraId="59DCC35E"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Phytophthora undulata </w:t>
            </w:r>
          </w:p>
        </w:tc>
        <w:tc>
          <w:tcPr>
            <w:tcW w:w="2708" w:type="dxa"/>
            <w:tcBorders>
              <w:top w:val="nil"/>
              <w:left w:val="nil"/>
              <w:bottom w:val="nil"/>
              <w:right w:val="nil"/>
            </w:tcBorders>
            <w:shd w:val="clear" w:color="000000" w:fill="FFFFFF"/>
            <w:noWrap/>
            <w:vAlign w:val="bottom"/>
            <w:hideMark/>
          </w:tcPr>
          <w:p w14:paraId="59DCC35F"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middletonii </w:t>
            </w:r>
          </w:p>
        </w:tc>
      </w:tr>
      <w:tr w:rsidR="00BE3AA8" w:rsidRPr="00D93FF9" w14:paraId="59DCC365" w14:textId="77777777" w:rsidTr="005A6108">
        <w:trPr>
          <w:trHeight w:val="270"/>
        </w:trPr>
        <w:tc>
          <w:tcPr>
            <w:tcW w:w="1220" w:type="dxa"/>
            <w:tcBorders>
              <w:top w:val="nil"/>
              <w:left w:val="nil"/>
              <w:bottom w:val="nil"/>
              <w:right w:val="nil"/>
            </w:tcBorders>
            <w:shd w:val="clear" w:color="000000" w:fill="FFFFFF"/>
            <w:noWrap/>
            <w:vAlign w:val="bottom"/>
            <w:hideMark/>
          </w:tcPr>
          <w:p w14:paraId="59DCC361"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62"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Phytophthora capsici</w:t>
            </w:r>
          </w:p>
        </w:tc>
        <w:tc>
          <w:tcPr>
            <w:tcW w:w="2680" w:type="dxa"/>
            <w:tcBorders>
              <w:top w:val="nil"/>
              <w:left w:val="nil"/>
              <w:bottom w:val="nil"/>
              <w:right w:val="nil"/>
            </w:tcBorders>
            <w:shd w:val="clear" w:color="000000" w:fill="FFFFFF"/>
            <w:noWrap/>
            <w:vAlign w:val="bottom"/>
            <w:hideMark/>
          </w:tcPr>
          <w:p w14:paraId="59DCC363"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acanthicum </w:t>
            </w:r>
          </w:p>
        </w:tc>
        <w:tc>
          <w:tcPr>
            <w:tcW w:w="2708" w:type="dxa"/>
            <w:tcBorders>
              <w:top w:val="nil"/>
              <w:left w:val="nil"/>
              <w:bottom w:val="nil"/>
              <w:right w:val="nil"/>
            </w:tcBorders>
            <w:shd w:val="clear" w:color="000000" w:fill="FFFFFF"/>
            <w:noWrap/>
            <w:vAlign w:val="bottom"/>
            <w:hideMark/>
          </w:tcPr>
          <w:p w14:paraId="59DCC364"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monospermum </w:t>
            </w:r>
          </w:p>
        </w:tc>
      </w:tr>
      <w:tr w:rsidR="00BE3AA8" w:rsidRPr="00D93FF9" w14:paraId="59DCC36A" w14:textId="77777777" w:rsidTr="005A6108">
        <w:trPr>
          <w:trHeight w:val="270"/>
        </w:trPr>
        <w:tc>
          <w:tcPr>
            <w:tcW w:w="1220" w:type="dxa"/>
            <w:tcBorders>
              <w:top w:val="nil"/>
              <w:left w:val="nil"/>
              <w:bottom w:val="nil"/>
              <w:right w:val="nil"/>
            </w:tcBorders>
            <w:shd w:val="clear" w:color="000000" w:fill="FFFFFF"/>
            <w:noWrap/>
            <w:vAlign w:val="bottom"/>
            <w:hideMark/>
          </w:tcPr>
          <w:p w14:paraId="59DCC366"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67"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Phytophthora cinnamomi</w:t>
            </w:r>
          </w:p>
        </w:tc>
        <w:tc>
          <w:tcPr>
            <w:tcW w:w="2680" w:type="dxa"/>
            <w:tcBorders>
              <w:top w:val="nil"/>
              <w:left w:val="nil"/>
              <w:bottom w:val="nil"/>
              <w:right w:val="nil"/>
            </w:tcBorders>
            <w:shd w:val="clear" w:color="000000" w:fill="FFFFFF"/>
            <w:noWrap/>
            <w:vAlign w:val="bottom"/>
            <w:hideMark/>
          </w:tcPr>
          <w:p w14:paraId="59DCC368"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aphanidermatum </w:t>
            </w:r>
          </w:p>
        </w:tc>
        <w:tc>
          <w:tcPr>
            <w:tcW w:w="2708" w:type="dxa"/>
            <w:tcBorders>
              <w:top w:val="nil"/>
              <w:left w:val="nil"/>
              <w:bottom w:val="nil"/>
              <w:right w:val="nil"/>
            </w:tcBorders>
            <w:shd w:val="clear" w:color="000000" w:fill="FFFFFF"/>
            <w:noWrap/>
            <w:vAlign w:val="bottom"/>
            <w:hideMark/>
          </w:tcPr>
          <w:p w14:paraId="59DCC369"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myriotylum </w:t>
            </w:r>
          </w:p>
        </w:tc>
      </w:tr>
      <w:tr w:rsidR="00BE3AA8" w:rsidRPr="00D93FF9" w14:paraId="59DCC36F" w14:textId="77777777" w:rsidTr="005A6108">
        <w:trPr>
          <w:trHeight w:val="270"/>
        </w:trPr>
        <w:tc>
          <w:tcPr>
            <w:tcW w:w="1220" w:type="dxa"/>
            <w:tcBorders>
              <w:top w:val="nil"/>
              <w:left w:val="nil"/>
              <w:bottom w:val="nil"/>
              <w:right w:val="nil"/>
            </w:tcBorders>
            <w:shd w:val="clear" w:color="000000" w:fill="FFFFFF"/>
            <w:noWrap/>
            <w:vAlign w:val="bottom"/>
            <w:hideMark/>
          </w:tcPr>
          <w:p w14:paraId="59DCC36B"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6C"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Phytophthora citricola</w:t>
            </w:r>
          </w:p>
        </w:tc>
        <w:tc>
          <w:tcPr>
            <w:tcW w:w="2680" w:type="dxa"/>
            <w:tcBorders>
              <w:top w:val="nil"/>
              <w:left w:val="nil"/>
              <w:bottom w:val="nil"/>
              <w:right w:val="nil"/>
            </w:tcBorders>
            <w:shd w:val="clear" w:color="000000" w:fill="FFFFFF"/>
            <w:noWrap/>
            <w:vAlign w:val="bottom"/>
            <w:hideMark/>
          </w:tcPr>
          <w:p w14:paraId="59DCC36D"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catenulatum </w:t>
            </w:r>
          </w:p>
        </w:tc>
        <w:tc>
          <w:tcPr>
            <w:tcW w:w="2708" w:type="dxa"/>
            <w:tcBorders>
              <w:top w:val="nil"/>
              <w:left w:val="nil"/>
              <w:bottom w:val="nil"/>
              <w:right w:val="nil"/>
            </w:tcBorders>
            <w:shd w:val="clear" w:color="000000" w:fill="FFFFFF"/>
            <w:noWrap/>
            <w:vAlign w:val="bottom"/>
            <w:hideMark/>
          </w:tcPr>
          <w:p w14:paraId="59DCC36E"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paroecandrum </w:t>
            </w:r>
          </w:p>
        </w:tc>
      </w:tr>
      <w:tr w:rsidR="00BE3AA8" w:rsidRPr="00D93FF9" w14:paraId="59DCC374" w14:textId="77777777" w:rsidTr="005A6108">
        <w:trPr>
          <w:trHeight w:val="270"/>
        </w:trPr>
        <w:tc>
          <w:tcPr>
            <w:tcW w:w="1220" w:type="dxa"/>
            <w:tcBorders>
              <w:top w:val="nil"/>
              <w:left w:val="nil"/>
              <w:bottom w:val="nil"/>
              <w:right w:val="nil"/>
            </w:tcBorders>
            <w:shd w:val="clear" w:color="000000" w:fill="FFFFFF"/>
            <w:noWrap/>
            <w:vAlign w:val="bottom"/>
            <w:hideMark/>
          </w:tcPr>
          <w:p w14:paraId="59DCC370"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71"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Phytophthora citrophthora </w:t>
            </w:r>
          </w:p>
        </w:tc>
        <w:tc>
          <w:tcPr>
            <w:tcW w:w="2680" w:type="dxa"/>
            <w:tcBorders>
              <w:top w:val="nil"/>
              <w:left w:val="nil"/>
              <w:bottom w:val="nil"/>
              <w:right w:val="nil"/>
            </w:tcBorders>
            <w:shd w:val="clear" w:color="000000" w:fill="FFFFFF"/>
            <w:noWrap/>
            <w:vAlign w:val="bottom"/>
            <w:hideMark/>
          </w:tcPr>
          <w:p w14:paraId="59DCC372"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coloratum </w:t>
            </w:r>
          </w:p>
        </w:tc>
        <w:tc>
          <w:tcPr>
            <w:tcW w:w="2708" w:type="dxa"/>
            <w:tcBorders>
              <w:top w:val="nil"/>
              <w:left w:val="nil"/>
              <w:bottom w:val="nil"/>
              <w:right w:val="nil"/>
            </w:tcBorders>
            <w:shd w:val="clear" w:color="000000" w:fill="FFFFFF"/>
            <w:noWrap/>
            <w:vAlign w:val="bottom"/>
            <w:hideMark/>
          </w:tcPr>
          <w:p w14:paraId="59DCC373"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rostratum </w:t>
            </w:r>
          </w:p>
        </w:tc>
      </w:tr>
      <w:tr w:rsidR="00BE3AA8" w:rsidRPr="00D93FF9" w14:paraId="59DCC379" w14:textId="77777777" w:rsidTr="005A6108">
        <w:trPr>
          <w:trHeight w:val="270"/>
        </w:trPr>
        <w:tc>
          <w:tcPr>
            <w:tcW w:w="1220" w:type="dxa"/>
            <w:tcBorders>
              <w:top w:val="nil"/>
              <w:left w:val="nil"/>
              <w:bottom w:val="nil"/>
              <w:right w:val="nil"/>
            </w:tcBorders>
            <w:shd w:val="clear" w:color="000000" w:fill="FFFFFF"/>
            <w:noWrap/>
            <w:vAlign w:val="bottom"/>
            <w:hideMark/>
          </w:tcPr>
          <w:p w14:paraId="59DCC375"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76"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Phytophthora cryptogea </w:t>
            </w:r>
          </w:p>
        </w:tc>
        <w:tc>
          <w:tcPr>
            <w:tcW w:w="2680" w:type="dxa"/>
            <w:tcBorders>
              <w:top w:val="nil"/>
              <w:left w:val="nil"/>
              <w:bottom w:val="nil"/>
              <w:right w:val="nil"/>
            </w:tcBorders>
            <w:shd w:val="clear" w:color="000000" w:fill="FFFFFF"/>
            <w:noWrap/>
            <w:vAlign w:val="bottom"/>
            <w:hideMark/>
          </w:tcPr>
          <w:p w14:paraId="59DCC377"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debaryanum </w:t>
            </w:r>
          </w:p>
        </w:tc>
        <w:tc>
          <w:tcPr>
            <w:tcW w:w="2708" w:type="dxa"/>
            <w:tcBorders>
              <w:top w:val="nil"/>
              <w:left w:val="nil"/>
              <w:bottom w:val="nil"/>
              <w:right w:val="nil"/>
            </w:tcBorders>
            <w:shd w:val="clear" w:color="000000" w:fill="FFFFFF"/>
            <w:noWrap/>
            <w:vAlign w:val="bottom"/>
            <w:hideMark/>
          </w:tcPr>
          <w:p w14:paraId="59DCC378"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salpingophorum </w:t>
            </w:r>
          </w:p>
        </w:tc>
      </w:tr>
      <w:tr w:rsidR="00BE3AA8" w:rsidRPr="00D93FF9" w14:paraId="59DCC37E" w14:textId="77777777" w:rsidTr="005A6108">
        <w:trPr>
          <w:trHeight w:val="270"/>
        </w:trPr>
        <w:tc>
          <w:tcPr>
            <w:tcW w:w="1220" w:type="dxa"/>
            <w:tcBorders>
              <w:top w:val="nil"/>
              <w:left w:val="nil"/>
              <w:bottom w:val="nil"/>
              <w:right w:val="nil"/>
            </w:tcBorders>
            <w:shd w:val="clear" w:color="000000" w:fill="FFFFFF"/>
            <w:noWrap/>
            <w:vAlign w:val="bottom"/>
            <w:hideMark/>
          </w:tcPr>
          <w:p w14:paraId="59DCC37A"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7B"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Phytophthora drechsleri </w:t>
            </w:r>
          </w:p>
        </w:tc>
        <w:tc>
          <w:tcPr>
            <w:tcW w:w="2680" w:type="dxa"/>
            <w:tcBorders>
              <w:top w:val="nil"/>
              <w:left w:val="nil"/>
              <w:bottom w:val="nil"/>
              <w:right w:val="nil"/>
            </w:tcBorders>
            <w:shd w:val="clear" w:color="000000" w:fill="FFFFFF"/>
            <w:noWrap/>
            <w:vAlign w:val="bottom"/>
            <w:hideMark/>
          </w:tcPr>
          <w:p w14:paraId="59DCC37C"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deliense </w:t>
            </w:r>
          </w:p>
        </w:tc>
        <w:tc>
          <w:tcPr>
            <w:tcW w:w="2708" w:type="dxa"/>
            <w:tcBorders>
              <w:top w:val="nil"/>
              <w:left w:val="nil"/>
              <w:bottom w:val="nil"/>
              <w:right w:val="nil"/>
            </w:tcBorders>
            <w:shd w:val="clear" w:color="000000" w:fill="FFFFFF"/>
            <w:noWrap/>
            <w:vAlign w:val="bottom"/>
            <w:hideMark/>
          </w:tcPr>
          <w:p w14:paraId="59DCC37D"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spinosum </w:t>
            </w:r>
          </w:p>
        </w:tc>
      </w:tr>
      <w:tr w:rsidR="00BE3AA8" w:rsidRPr="00D93FF9" w14:paraId="59DCC383" w14:textId="77777777" w:rsidTr="005A6108">
        <w:trPr>
          <w:trHeight w:val="270"/>
        </w:trPr>
        <w:tc>
          <w:tcPr>
            <w:tcW w:w="1220" w:type="dxa"/>
            <w:tcBorders>
              <w:top w:val="nil"/>
              <w:left w:val="nil"/>
              <w:bottom w:val="nil"/>
              <w:right w:val="nil"/>
            </w:tcBorders>
            <w:shd w:val="clear" w:color="000000" w:fill="FFFFFF"/>
            <w:noWrap/>
            <w:vAlign w:val="bottom"/>
            <w:hideMark/>
          </w:tcPr>
          <w:p w14:paraId="59DCC37F"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80"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Phytophthora gonapodyides </w:t>
            </w:r>
          </w:p>
        </w:tc>
        <w:tc>
          <w:tcPr>
            <w:tcW w:w="2680" w:type="dxa"/>
            <w:tcBorders>
              <w:top w:val="nil"/>
              <w:left w:val="nil"/>
              <w:bottom w:val="nil"/>
              <w:right w:val="nil"/>
            </w:tcBorders>
            <w:shd w:val="clear" w:color="000000" w:fill="FFFFFF"/>
            <w:noWrap/>
            <w:vAlign w:val="bottom"/>
            <w:hideMark/>
          </w:tcPr>
          <w:p w14:paraId="59DCC381"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diclinum </w:t>
            </w:r>
          </w:p>
        </w:tc>
        <w:tc>
          <w:tcPr>
            <w:tcW w:w="2708" w:type="dxa"/>
            <w:tcBorders>
              <w:top w:val="nil"/>
              <w:left w:val="nil"/>
              <w:bottom w:val="nil"/>
              <w:right w:val="nil"/>
            </w:tcBorders>
            <w:shd w:val="clear" w:color="000000" w:fill="FFFFFF"/>
            <w:noWrap/>
            <w:vAlign w:val="bottom"/>
            <w:hideMark/>
          </w:tcPr>
          <w:p w14:paraId="59DCC382"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splendens </w:t>
            </w:r>
          </w:p>
        </w:tc>
      </w:tr>
      <w:tr w:rsidR="00BE3AA8" w:rsidRPr="00D93FF9" w14:paraId="59DCC388" w14:textId="77777777" w:rsidTr="005A6108">
        <w:trPr>
          <w:trHeight w:val="270"/>
        </w:trPr>
        <w:tc>
          <w:tcPr>
            <w:tcW w:w="1220" w:type="dxa"/>
            <w:tcBorders>
              <w:top w:val="nil"/>
              <w:left w:val="nil"/>
              <w:bottom w:val="nil"/>
              <w:right w:val="nil"/>
            </w:tcBorders>
            <w:shd w:val="clear" w:color="000000" w:fill="FFFFFF"/>
            <w:noWrap/>
            <w:vAlign w:val="bottom"/>
            <w:hideMark/>
          </w:tcPr>
          <w:p w14:paraId="59DCC384"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85"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Phytophthora megasperma </w:t>
            </w:r>
          </w:p>
        </w:tc>
        <w:tc>
          <w:tcPr>
            <w:tcW w:w="2680" w:type="dxa"/>
            <w:tcBorders>
              <w:top w:val="nil"/>
              <w:left w:val="nil"/>
              <w:bottom w:val="nil"/>
              <w:right w:val="nil"/>
            </w:tcBorders>
            <w:shd w:val="clear" w:color="000000" w:fill="FFFFFF"/>
            <w:noWrap/>
            <w:vAlign w:val="bottom"/>
            <w:hideMark/>
          </w:tcPr>
          <w:p w14:paraId="59DCC386"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dissotocum </w:t>
            </w:r>
          </w:p>
        </w:tc>
        <w:tc>
          <w:tcPr>
            <w:tcW w:w="2708" w:type="dxa"/>
            <w:tcBorders>
              <w:top w:val="nil"/>
              <w:left w:val="nil"/>
              <w:bottom w:val="nil"/>
              <w:right w:val="nil"/>
            </w:tcBorders>
            <w:shd w:val="clear" w:color="000000" w:fill="FFFFFF"/>
            <w:noWrap/>
            <w:vAlign w:val="bottom"/>
            <w:hideMark/>
          </w:tcPr>
          <w:p w14:paraId="59DCC387"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sylvaticum </w:t>
            </w:r>
          </w:p>
        </w:tc>
      </w:tr>
      <w:tr w:rsidR="00BE3AA8" w:rsidRPr="00D93FF9" w14:paraId="59DCC38D" w14:textId="77777777" w:rsidTr="005A6108">
        <w:trPr>
          <w:trHeight w:val="270"/>
        </w:trPr>
        <w:tc>
          <w:tcPr>
            <w:tcW w:w="1220" w:type="dxa"/>
            <w:tcBorders>
              <w:top w:val="nil"/>
              <w:left w:val="nil"/>
              <w:bottom w:val="nil"/>
              <w:right w:val="nil"/>
            </w:tcBorders>
            <w:shd w:val="clear" w:color="000000" w:fill="FFFFFF"/>
            <w:noWrap/>
            <w:vAlign w:val="bottom"/>
            <w:hideMark/>
          </w:tcPr>
          <w:p w14:paraId="59DCC389"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8A"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Phytophthora nicotianae </w:t>
            </w:r>
          </w:p>
        </w:tc>
        <w:tc>
          <w:tcPr>
            <w:tcW w:w="2680" w:type="dxa"/>
            <w:tcBorders>
              <w:top w:val="nil"/>
              <w:left w:val="nil"/>
              <w:bottom w:val="nil"/>
              <w:right w:val="nil"/>
            </w:tcBorders>
            <w:shd w:val="clear" w:color="000000" w:fill="FFFFFF"/>
            <w:noWrap/>
            <w:vAlign w:val="bottom"/>
            <w:hideMark/>
          </w:tcPr>
          <w:p w14:paraId="59DCC38B"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flevoense </w:t>
            </w:r>
          </w:p>
        </w:tc>
        <w:tc>
          <w:tcPr>
            <w:tcW w:w="2708" w:type="dxa"/>
            <w:tcBorders>
              <w:top w:val="nil"/>
              <w:left w:val="nil"/>
              <w:bottom w:val="nil"/>
              <w:right w:val="nil"/>
            </w:tcBorders>
            <w:shd w:val="clear" w:color="000000" w:fill="FFFFFF"/>
            <w:noWrap/>
            <w:vAlign w:val="bottom"/>
            <w:hideMark/>
          </w:tcPr>
          <w:p w14:paraId="59DCC38C"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toruloides </w:t>
            </w:r>
          </w:p>
        </w:tc>
      </w:tr>
      <w:tr w:rsidR="00BE3AA8" w:rsidRPr="00D93FF9" w14:paraId="59DCC392" w14:textId="77777777" w:rsidTr="005A6108">
        <w:trPr>
          <w:trHeight w:val="270"/>
        </w:trPr>
        <w:tc>
          <w:tcPr>
            <w:tcW w:w="1220" w:type="dxa"/>
            <w:tcBorders>
              <w:top w:val="nil"/>
              <w:left w:val="nil"/>
              <w:bottom w:val="nil"/>
              <w:right w:val="nil"/>
            </w:tcBorders>
            <w:shd w:val="clear" w:color="000000" w:fill="FFFFFF"/>
            <w:noWrap/>
            <w:vAlign w:val="bottom"/>
            <w:hideMark/>
          </w:tcPr>
          <w:p w14:paraId="59DCC38E"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8F"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Phytophthora palmivora </w:t>
            </w:r>
          </w:p>
        </w:tc>
        <w:tc>
          <w:tcPr>
            <w:tcW w:w="2680" w:type="dxa"/>
            <w:tcBorders>
              <w:top w:val="nil"/>
              <w:left w:val="nil"/>
              <w:bottom w:val="nil"/>
              <w:right w:val="nil"/>
            </w:tcBorders>
            <w:shd w:val="clear" w:color="000000" w:fill="FFFFFF"/>
            <w:noWrap/>
            <w:vAlign w:val="bottom"/>
            <w:hideMark/>
          </w:tcPr>
          <w:p w14:paraId="59DCC390"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graminicola </w:t>
            </w:r>
          </w:p>
        </w:tc>
        <w:tc>
          <w:tcPr>
            <w:tcW w:w="2708" w:type="dxa"/>
            <w:tcBorders>
              <w:top w:val="nil"/>
              <w:left w:val="nil"/>
              <w:bottom w:val="nil"/>
              <w:right w:val="nil"/>
            </w:tcBorders>
            <w:shd w:val="clear" w:color="000000" w:fill="FFFFFF"/>
            <w:noWrap/>
            <w:vAlign w:val="bottom"/>
            <w:hideMark/>
          </w:tcPr>
          <w:p w14:paraId="59DCC391"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tracheiphilum </w:t>
            </w:r>
          </w:p>
        </w:tc>
      </w:tr>
      <w:tr w:rsidR="00BE3AA8" w:rsidRPr="00D93FF9" w14:paraId="59DCC397" w14:textId="77777777" w:rsidTr="005A6108">
        <w:trPr>
          <w:trHeight w:val="270"/>
        </w:trPr>
        <w:tc>
          <w:tcPr>
            <w:tcW w:w="1220" w:type="dxa"/>
            <w:tcBorders>
              <w:top w:val="nil"/>
              <w:left w:val="nil"/>
              <w:bottom w:val="nil"/>
              <w:right w:val="nil"/>
            </w:tcBorders>
            <w:shd w:val="clear" w:color="000000" w:fill="FFFFFF"/>
            <w:noWrap/>
            <w:vAlign w:val="bottom"/>
            <w:hideMark/>
          </w:tcPr>
          <w:p w14:paraId="59DCC393"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94"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Phytophthora ramorum </w:t>
            </w:r>
          </w:p>
        </w:tc>
        <w:tc>
          <w:tcPr>
            <w:tcW w:w="2680" w:type="dxa"/>
            <w:tcBorders>
              <w:top w:val="nil"/>
              <w:left w:val="nil"/>
              <w:bottom w:val="nil"/>
              <w:right w:val="nil"/>
            </w:tcBorders>
            <w:shd w:val="clear" w:color="000000" w:fill="FFFFFF"/>
            <w:noWrap/>
            <w:vAlign w:val="bottom"/>
            <w:hideMark/>
          </w:tcPr>
          <w:p w14:paraId="59DCC395"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inflatum </w:t>
            </w:r>
          </w:p>
        </w:tc>
        <w:tc>
          <w:tcPr>
            <w:tcW w:w="2708" w:type="dxa"/>
            <w:tcBorders>
              <w:top w:val="nil"/>
              <w:left w:val="nil"/>
              <w:bottom w:val="nil"/>
              <w:right w:val="nil"/>
            </w:tcBorders>
            <w:shd w:val="clear" w:color="000000" w:fill="FFFFFF"/>
            <w:noWrap/>
            <w:vAlign w:val="bottom"/>
            <w:hideMark/>
          </w:tcPr>
          <w:p w14:paraId="59DCC396"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vexans </w:t>
            </w:r>
          </w:p>
        </w:tc>
      </w:tr>
      <w:tr w:rsidR="00BE3AA8" w:rsidRPr="00D93FF9" w14:paraId="59DCC39C" w14:textId="77777777" w:rsidTr="005A6108">
        <w:trPr>
          <w:trHeight w:val="270"/>
        </w:trPr>
        <w:tc>
          <w:tcPr>
            <w:tcW w:w="1220" w:type="dxa"/>
            <w:tcBorders>
              <w:top w:val="nil"/>
              <w:left w:val="nil"/>
              <w:bottom w:val="nil"/>
              <w:right w:val="nil"/>
            </w:tcBorders>
            <w:shd w:val="clear" w:color="000000" w:fill="FFFFFF"/>
            <w:noWrap/>
            <w:vAlign w:val="bottom"/>
            <w:hideMark/>
          </w:tcPr>
          <w:p w14:paraId="59DCC398"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99"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Phytophthora syringae </w:t>
            </w:r>
          </w:p>
        </w:tc>
        <w:tc>
          <w:tcPr>
            <w:tcW w:w="2680" w:type="dxa"/>
            <w:tcBorders>
              <w:top w:val="nil"/>
              <w:left w:val="nil"/>
              <w:bottom w:val="nil"/>
              <w:right w:val="nil"/>
            </w:tcBorders>
            <w:shd w:val="clear" w:color="000000" w:fill="FFFFFF"/>
            <w:noWrap/>
            <w:vAlign w:val="bottom"/>
            <w:hideMark/>
          </w:tcPr>
          <w:p w14:paraId="59DCC39A"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Pythium irregulare </w:t>
            </w:r>
          </w:p>
        </w:tc>
        <w:tc>
          <w:tcPr>
            <w:tcW w:w="2708" w:type="dxa"/>
            <w:tcBorders>
              <w:top w:val="nil"/>
              <w:left w:val="nil"/>
              <w:bottom w:val="nil"/>
              <w:right w:val="nil"/>
            </w:tcBorders>
            <w:shd w:val="clear" w:color="000000" w:fill="FFFFFF"/>
            <w:noWrap/>
            <w:vAlign w:val="bottom"/>
            <w:hideMark/>
          </w:tcPr>
          <w:p w14:paraId="59DCC39B" w14:textId="77777777" w:rsidR="00632A88" w:rsidRPr="00D93FF9" w:rsidRDefault="00E811B8" w:rsidP="003807A1">
            <w:pPr>
              <w:spacing w:after="0"/>
              <w:rPr>
                <w:color w:val="000000"/>
                <w:sz w:val="18"/>
                <w:szCs w:val="18"/>
                <w:lang w:val="en-GB" w:eastAsia="en-AU"/>
              </w:rPr>
            </w:pPr>
            <w:r w:rsidRPr="00D93FF9">
              <w:rPr>
                <w:color w:val="000000"/>
                <w:sz w:val="18"/>
                <w:szCs w:val="18"/>
                <w:lang w:val="en-GB" w:eastAsia="en-AU"/>
              </w:rPr>
              <w:t> </w:t>
            </w:r>
          </w:p>
        </w:tc>
      </w:tr>
      <w:tr w:rsidR="00BE3AA8" w:rsidRPr="00D93FF9" w14:paraId="59DCC3A1" w14:textId="77777777" w:rsidTr="005A6108">
        <w:trPr>
          <w:trHeight w:val="270"/>
        </w:trPr>
        <w:tc>
          <w:tcPr>
            <w:tcW w:w="1220" w:type="dxa"/>
            <w:tcBorders>
              <w:top w:val="single" w:sz="4" w:space="0" w:color="auto"/>
              <w:left w:val="nil"/>
              <w:bottom w:val="nil"/>
              <w:right w:val="nil"/>
            </w:tcBorders>
            <w:shd w:val="clear" w:color="000000" w:fill="FFFFFF"/>
            <w:noWrap/>
            <w:vAlign w:val="bottom"/>
            <w:hideMark/>
          </w:tcPr>
          <w:p w14:paraId="59DCC39D" w14:textId="77777777" w:rsidR="00632A88"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Fungi</w:t>
            </w:r>
          </w:p>
        </w:tc>
        <w:tc>
          <w:tcPr>
            <w:tcW w:w="2680" w:type="dxa"/>
            <w:tcBorders>
              <w:top w:val="single" w:sz="4" w:space="0" w:color="auto"/>
              <w:left w:val="nil"/>
              <w:bottom w:val="nil"/>
              <w:right w:val="nil"/>
            </w:tcBorders>
            <w:shd w:val="clear" w:color="000000" w:fill="FFFFFF"/>
            <w:noWrap/>
            <w:vAlign w:val="bottom"/>
            <w:hideMark/>
          </w:tcPr>
          <w:p w14:paraId="59DCC39E"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Alternaria </w:t>
            </w:r>
          </w:p>
        </w:tc>
        <w:tc>
          <w:tcPr>
            <w:tcW w:w="2680" w:type="dxa"/>
            <w:tcBorders>
              <w:top w:val="single" w:sz="4" w:space="0" w:color="auto"/>
              <w:left w:val="nil"/>
              <w:bottom w:val="nil"/>
              <w:right w:val="nil"/>
            </w:tcBorders>
            <w:shd w:val="clear" w:color="000000" w:fill="FFFFFF"/>
            <w:noWrap/>
            <w:vAlign w:val="bottom"/>
            <w:hideMark/>
          </w:tcPr>
          <w:p w14:paraId="59DCC39F"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Curvularia </w:t>
            </w:r>
          </w:p>
        </w:tc>
        <w:tc>
          <w:tcPr>
            <w:tcW w:w="2708" w:type="dxa"/>
            <w:tcBorders>
              <w:top w:val="single" w:sz="4" w:space="0" w:color="auto"/>
              <w:left w:val="nil"/>
              <w:bottom w:val="nil"/>
              <w:right w:val="nil"/>
            </w:tcBorders>
            <w:shd w:val="clear" w:color="000000" w:fill="FFFFFF"/>
            <w:noWrap/>
            <w:vAlign w:val="bottom"/>
            <w:hideMark/>
          </w:tcPr>
          <w:p w14:paraId="59DCC3A0"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Plasmodiophora </w:t>
            </w:r>
          </w:p>
        </w:tc>
      </w:tr>
      <w:tr w:rsidR="00BE3AA8" w:rsidRPr="00D93FF9" w14:paraId="59DCC3A6" w14:textId="77777777" w:rsidTr="005A6108">
        <w:trPr>
          <w:trHeight w:val="270"/>
        </w:trPr>
        <w:tc>
          <w:tcPr>
            <w:tcW w:w="1220" w:type="dxa"/>
            <w:tcBorders>
              <w:top w:val="nil"/>
              <w:left w:val="nil"/>
              <w:bottom w:val="nil"/>
              <w:right w:val="nil"/>
            </w:tcBorders>
            <w:shd w:val="clear" w:color="000000" w:fill="FFFFFF"/>
            <w:noWrap/>
            <w:vAlign w:val="bottom"/>
            <w:hideMark/>
          </w:tcPr>
          <w:p w14:paraId="59DCC3A2"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A3"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Ascochyta </w:t>
            </w:r>
          </w:p>
        </w:tc>
        <w:tc>
          <w:tcPr>
            <w:tcW w:w="2680" w:type="dxa"/>
            <w:tcBorders>
              <w:top w:val="nil"/>
              <w:left w:val="nil"/>
              <w:bottom w:val="nil"/>
              <w:right w:val="nil"/>
            </w:tcBorders>
            <w:shd w:val="clear" w:color="000000" w:fill="FFFFFF"/>
            <w:noWrap/>
            <w:vAlign w:val="bottom"/>
            <w:hideMark/>
          </w:tcPr>
          <w:p w14:paraId="59DCC3A4"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Diplodia </w:t>
            </w:r>
          </w:p>
        </w:tc>
        <w:tc>
          <w:tcPr>
            <w:tcW w:w="2708" w:type="dxa"/>
            <w:tcBorders>
              <w:top w:val="nil"/>
              <w:left w:val="nil"/>
              <w:bottom w:val="nil"/>
              <w:right w:val="nil"/>
            </w:tcBorders>
            <w:shd w:val="clear" w:color="000000" w:fill="FFFFFF"/>
            <w:noWrap/>
            <w:vAlign w:val="bottom"/>
            <w:hideMark/>
          </w:tcPr>
          <w:p w14:paraId="59DCC3A5"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Rhizoctonia </w:t>
            </w:r>
          </w:p>
        </w:tc>
      </w:tr>
      <w:tr w:rsidR="00BE3AA8" w:rsidRPr="00D93FF9" w14:paraId="59DCC3AB" w14:textId="77777777" w:rsidTr="005A6108">
        <w:trPr>
          <w:trHeight w:val="270"/>
        </w:trPr>
        <w:tc>
          <w:tcPr>
            <w:tcW w:w="1220" w:type="dxa"/>
            <w:tcBorders>
              <w:top w:val="nil"/>
              <w:left w:val="nil"/>
              <w:bottom w:val="nil"/>
              <w:right w:val="nil"/>
            </w:tcBorders>
            <w:shd w:val="clear" w:color="000000" w:fill="FFFFFF"/>
            <w:noWrap/>
            <w:vAlign w:val="bottom"/>
            <w:hideMark/>
          </w:tcPr>
          <w:p w14:paraId="59DCC3A7"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A8"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Aspergillus </w:t>
            </w:r>
          </w:p>
        </w:tc>
        <w:tc>
          <w:tcPr>
            <w:tcW w:w="2680" w:type="dxa"/>
            <w:tcBorders>
              <w:top w:val="nil"/>
              <w:left w:val="nil"/>
              <w:bottom w:val="nil"/>
              <w:right w:val="nil"/>
            </w:tcBorders>
            <w:shd w:val="clear" w:color="000000" w:fill="FFFFFF"/>
            <w:noWrap/>
            <w:vAlign w:val="bottom"/>
            <w:hideMark/>
          </w:tcPr>
          <w:p w14:paraId="59DCC3A9"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Fusarium </w:t>
            </w:r>
          </w:p>
        </w:tc>
        <w:tc>
          <w:tcPr>
            <w:tcW w:w="2708" w:type="dxa"/>
            <w:tcBorders>
              <w:top w:val="nil"/>
              <w:left w:val="nil"/>
              <w:bottom w:val="nil"/>
              <w:right w:val="nil"/>
            </w:tcBorders>
            <w:shd w:val="clear" w:color="000000" w:fill="FFFFFF"/>
            <w:noWrap/>
            <w:vAlign w:val="bottom"/>
            <w:hideMark/>
          </w:tcPr>
          <w:p w14:paraId="59DCC3AA"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Rhizopus </w:t>
            </w:r>
          </w:p>
        </w:tc>
      </w:tr>
      <w:tr w:rsidR="00BE3AA8" w:rsidRPr="00D93FF9" w14:paraId="59DCC3B0" w14:textId="77777777" w:rsidTr="005A6108">
        <w:trPr>
          <w:trHeight w:val="270"/>
        </w:trPr>
        <w:tc>
          <w:tcPr>
            <w:tcW w:w="1220" w:type="dxa"/>
            <w:tcBorders>
              <w:top w:val="nil"/>
              <w:left w:val="nil"/>
              <w:bottom w:val="nil"/>
              <w:right w:val="nil"/>
            </w:tcBorders>
            <w:shd w:val="clear" w:color="000000" w:fill="FFFFFF"/>
            <w:noWrap/>
            <w:vAlign w:val="bottom"/>
            <w:hideMark/>
          </w:tcPr>
          <w:p w14:paraId="59DCC3AC"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AD"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Botrytis </w:t>
            </w:r>
          </w:p>
        </w:tc>
        <w:tc>
          <w:tcPr>
            <w:tcW w:w="2680" w:type="dxa"/>
            <w:tcBorders>
              <w:top w:val="nil"/>
              <w:left w:val="nil"/>
              <w:bottom w:val="nil"/>
              <w:right w:val="nil"/>
            </w:tcBorders>
            <w:shd w:val="clear" w:color="000000" w:fill="FFFFFF"/>
            <w:noWrap/>
            <w:vAlign w:val="bottom"/>
            <w:hideMark/>
          </w:tcPr>
          <w:p w14:paraId="59DCC3AE"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Geotrichum </w:t>
            </w:r>
          </w:p>
        </w:tc>
        <w:tc>
          <w:tcPr>
            <w:tcW w:w="2708" w:type="dxa"/>
            <w:tcBorders>
              <w:top w:val="nil"/>
              <w:left w:val="nil"/>
              <w:bottom w:val="nil"/>
              <w:right w:val="nil"/>
            </w:tcBorders>
            <w:shd w:val="clear" w:color="000000" w:fill="FFFFFF"/>
            <w:noWrap/>
            <w:vAlign w:val="bottom"/>
            <w:hideMark/>
          </w:tcPr>
          <w:p w14:paraId="59DCC3AF"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Sclerotium </w:t>
            </w:r>
          </w:p>
        </w:tc>
      </w:tr>
      <w:tr w:rsidR="00BE3AA8" w:rsidRPr="00D93FF9" w14:paraId="59DCC3B5" w14:textId="77777777" w:rsidTr="005A6108">
        <w:trPr>
          <w:trHeight w:val="270"/>
        </w:trPr>
        <w:tc>
          <w:tcPr>
            <w:tcW w:w="1220" w:type="dxa"/>
            <w:tcBorders>
              <w:top w:val="nil"/>
              <w:left w:val="nil"/>
              <w:bottom w:val="nil"/>
              <w:right w:val="nil"/>
            </w:tcBorders>
            <w:shd w:val="clear" w:color="000000" w:fill="FFFFFF"/>
            <w:noWrap/>
            <w:vAlign w:val="bottom"/>
            <w:hideMark/>
          </w:tcPr>
          <w:p w14:paraId="59DCC3B1"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B2"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Cephalosporium </w:t>
            </w:r>
          </w:p>
        </w:tc>
        <w:tc>
          <w:tcPr>
            <w:tcW w:w="2680" w:type="dxa"/>
            <w:tcBorders>
              <w:top w:val="nil"/>
              <w:left w:val="nil"/>
              <w:bottom w:val="nil"/>
              <w:right w:val="nil"/>
            </w:tcBorders>
            <w:shd w:val="clear" w:color="000000" w:fill="FFFFFF"/>
            <w:noWrap/>
            <w:vAlign w:val="bottom"/>
            <w:hideMark/>
          </w:tcPr>
          <w:p w14:paraId="59DCC3B3"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Gliocladium </w:t>
            </w:r>
          </w:p>
        </w:tc>
        <w:tc>
          <w:tcPr>
            <w:tcW w:w="2708" w:type="dxa"/>
            <w:tcBorders>
              <w:top w:val="nil"/>
              <w:left w:val="nil"/>
              <w:bottom w:val="nil"/>
              <w:right w:val="nil"/>
            </w:tcBorders>
            <w:shd w:val="clear" w:color="000000" w:fill="FFFFFF"/>
            <w:noWrap/>
            <w:vAlign w:val="bottom"/>
            <w:hideMark/>
          </w:tcPr>
          <w:p w14:paraId="59DCC3B4"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Scopulariopsis </w:t>
            </w:r>
          </w:p>
        </w:tc>
      </w:tr>
      <w:tr w:rsidR="00BE3AA8" w:rsidRPr="00D93FF9" w14:paraId="59DCC3BA" w14:textId="77777777" w:rsidTr="005A6108">
        <w:trPr>
          <w:trHeight w:val="270"/>
        </w:trPr>
        <w:tc>
          <w:tcPr>
            <w:tcW w:w="1220" w:type="dxa"/>
            <w:tcBorders>
              <w:top w:val="nil"/>
              <w:left w:val="nil"/>
              <w:bottom w:val="nil"/>
              <w:right w:val="nil"/>
            </w:tcBorders>
            <w:shd w:val="clear" w:color="000000" w:fill="FFFFFF"/>
            <w:noWrap/>
            <w:vAlign w:val="bottom"/>
            <w:hideMark/>
          </w:tcPr>
          <w:p w14:paraId="59DCC3B6"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B7"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Chaetomium </w:t>
            </w:r>
          </w:p>
        </w:tc>
        <w:tc>
          <w:tcPr>
            <w:tcW w:w="2680" w:type="dxa"/>
            <w:tcBorders>
              <w:top w:val="nil"/>
              <w:left w:val="nil"/>
              <w:bottom w:val="nil"/>
              <w:right w:val="nil"/>
            </w:tcBorders>
            <w:shd w:val="clear" w:color="000000" w:fill="FFFFFF"/>
            <w:noWrap/>
            <w:vAlign w:val="bottom"/>
            <w:hideMark/>
          </w:tcPr>
          <w:p w14:paraId="59DCC3B8"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Microsporium </w:t>
            </w:r>
          </w:p>
        </w:tc>
        <w:tc>
          <w:tcPr>
            <w:tcW w:w="2708" w:type="dxa"/>
            <w:tcBorders>
              <w:top w:val="nil"/>
              <w:left w:val="nil"/>
              <w:bottom w:val="nil"/>
              <w:right w:val="nil"/>
            </w:tcBorders>
            <w:shd w:val="clear" w:color="000000" w:fill="FFFFFF"/>
            <w:noWrap/>
            <w:vAlign w:val="bottom"/>
            <w:hideMark/>
          </w:tcPr>
          <w:p w14:paraId="59DCC3B9"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Stemphyllium </w:t>
            </w:r>
          </w:p>
        </w:tc>
      </w:tr>
      <w:tr w:rsidR="00BE3AA8" w:rsidRPr="00D93FF9" w14:paraId="59DCC3BF" w14:textId="77777777" w:rsidTr="005A6108">
        <w:trPr>
          <w:trHeight w:val="270"/>
        </w:trPr>
        <w:tc>
          <w:tcPr>
            <w:tcW w:w="1220" w:type="dxa"/>
            <w:tcBorders>
              <w:top w:val="nil"/>
              <w:left w:val="nil"/>
              <w:bottom w:val="nil"/>
              <w:right w:val="nil"/>
            </w:tcBorders>
            <w:shd w:val="clear" w:color="000000" w:fill="FFFFFF"/>
            <w:noWrap/>
            <w:vAlign w:val="bottom"/>
            <w:hideMark/>
          </w:tcPr>
          <w:p w14:paraId="59DCC3BB"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BC"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Cladosporium </w:t>
            </w:r>
          </w:p>
        </w:tc>
        <w:tc>
          <w:tcPr>
            <w:tcW w:w="2680" w:type="dxa"/>
            <w:tcBorders>
              <w:top w:val="nil"/>
              <w:left w:val="nil"/>
              <w:bottom w:val="nil"/>
              <w:right w:val="nil"/>
            </w:tcBorders>
            <w:shd w:val="clear" w:color="000000" w:fill="FFFFFF"/>
            <w:noWrap/>
            <w:vAlign w:val="bottom"/>
            <w:hideMark/>
          </w:tcPr>
          <w:p w14:paraId="59DCC3BD"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Mucor </w:t>
            </w:r>
          </w:p>
        </w:tc>
        <w:tc>
          <w:tcPr>
            <w:tcW w:w="2708" w:type="dxa"/>
            <w:tcBorders>
              <w:top w:val="nil"/>
              <w:left w:val="nil"/>
              <w:bottom w:val="nil"/>
              <w:right w:val="nil"/>
            </w:tcBorders>
            <w:shd w:val="clear" w:color="000000" w:fill="FFFFFF"/>
            <w:noWrap/>
            <w:vAlign w:val="bottom"/>
            <w:hideMark/>
          </w:tcPr>
          <w:p w14:paraId="59DCC3BE"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Trichoderma </w:t>
            </w:r>
          </w:p>
        </w:tc>
      </w:tr>
      <w:tr w:rsidR="00BE3AA8" w:rsidRPr="00D93FF9" w14:paraId="59DCC3C4" w14:textId="77777777" w:rsidTr="005A6108">
        <w:trPr>
          <w:trHeight w:val="270"/>
        </w:trPr>
        <w:tc>
          <w:tcPr>
            <w:tcW w:w="1220" w:type="dxa"/>
            <w:tcBorders>
              <w:top w:val="nil"/>
              <w:left w:val="nil"/>
              <w:bottom w:val="nil"/>
              <w:right w:val="nil"/>
            </w:tcBorders>
            <w:shd w:val="clear" w:color="000000" w:fill="FFFFFF"/>
            <w:noWrap/>
            <w:vAlign w:val="bottom"/>
            <w:hideMark/>
          </w:tcPr>
          <w:p w14:paraId="59DCC3C0"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C1"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Colletotrichum </w:t>
            </w:r>
          </w:p>
        </w:tc>
        <w:tc>
          <w:tcPr>
            <w:tcW w:w="2680" w:type="dxa"/>
            <w:tcBorders>
              <w:top w:val="nil"/>
              <w:left w:val="nil"/>
              <w:bottom w:val="nil"/>
              <w:right w:val="nil"/>
            </w:tcBorders>
            <w:shd w:val="clear" w:color="000000" w:fill="FFFFFF"/>
            <w:noWrap/>
            <w:vAlign w:val="bottom"/>
            <w:hideMark/>
          </w:tcPr>
          <w:p w14:paraId="59DCC3C2"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Penicillium </w:t>
            </w:r>
          </w:p>
        </w:tc>
        <w:tc>
          <w:tcPr>
            <w:tcW w:w="2708" w:type="dxa"/>
            <w:tcBorders>
              <w:top w:val="nil"/>
              <w:left w:val="nil"/>
              <w:bottom w:val="nil"/>
              <w:right w:val="nil"/>
            </w:tcBorders>
            <w:shd w:val="clear" w:color="000000" w:fill="FFFFFF"/>
            <w:noWrap/>
            <w:vAlign w:val="bottom"/>
            <w:hideMark/>
          </w:tcPr>
          <w:p w14:paraId="59DCC3C3"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Verticillium </w:t>
            </w:r>
          </w:p>
        </w:tc>
      </w:tr>
      <w:tr w:rsidR="00BE3AA8" w:rsidRPr="00D93FF9" w14:paraId="59DCC3C9" w14:textId="77777777" w:rsidTr="005A6108">
        <w:trPr>
          <w:trHeight w:val="270"/>
        </w:trPr>
        <w:tc>
          <w:tcPr>
            <w:tcW w:w="1220" w:type="dxa"/>
            <w:tcBorders>
              <w:top w:val="nil"/>
              <w:left w:val="nil"/>
              <w:bottom w:val="single" w:sz="4" w:space="0" w:color="auto"/>
              <w:right w:val="nil"/>
            </w:tcBorders>
            <w:shd w:val="clear" w:color="000000" w:fill="FFFFFF"/>
            <w:noWrap/>
            <w:vAlign w:val="bottom"/>
            <w:hideMark/>
          </w:tcPr>
          <w:p w14:paraId="59DCC3C5"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single" w:sz="4" w:space="0" w:color="auto"/>
              <w:right w:val="nil"/>
            </w:tcBorders>
            <w:shd w:val="clear" w:color="000000" w:fill="FFFFFF"/>
            <w:noWrap/>
            <w:vAlign w:val="bottom"/>
            <w:hideMark/>
          </w:tcPr>
          <w:p w14:paraId="59DCC3C6"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Coniothyrium </w:t>
            </w:r>
          </w:p>
        </w:tc>
        <w:tc>
          <w:tcPr>
            <w:tcW w:w="2680" w:type="dxa"/>
            <w:tcBorders>
              <w:top w:val="nil"/>
              <w:left w:val="nil"/>
              <w:bottom w:val="single" w:sz="4" w:space="0" w:color="auto"/>
              <w:right w:val="nil"/>
            </w:tcBorders>
            <w:shd w:val="clear" w:color="000000" w:fill="FFFFFF"/>
            <w:noWrap/>
            <w:vAlign w:val="bottom"/>
            <w:hideMark/>
          </w:tcPr>
          <w:p w14:paraId="59DCC3C7"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Phoma </w:t>
            </w:r>
          </w:p>
        </w:tc>
        <w:tc>
          <w:tcPr>
            <w:tcW w:w="2708" w:type="dxa"/>
            <w:tcBorders>
              <w:top w:val="nil"/>
              <w:left w:val="nil"/>
              <w:bottom w:val="single" w:sz="4" w:space="0" w:color="auto"/>
              <w:right w:val="nil"/>
            </w:tcBorders>
            <w:shd w:val="clear" w:color="000000" w:fill="FFFFFF"/>
            <w:noWrap/>
            <w:vAlign w:val="bottom"/>
            <w:hideMark/>
          </w:tcPr>
          <w:p w14:paraId="59DCC3C8"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Whetzelinia </w:t>
            </w:r>
          </w:p>
        </w:tc>
      </w:tr>
      <w:tr w:rsidR="00BE3AA8" w:rsidRPr="00D93FF9" w14:paraId="59DCC3CE" w14:textId="77777777" w:rsidTr="005A6108">
        <w:trPr>
          <w:trHeight w:val="270"/>
        </w:trPr>
        <w:tc>
          <w:tcPr>
            <w:tcW w:w="1220" w:type="dxa"/>
            <w:tcBorders>
              <w:top w:val="nil"/>
              <w:left w:val="nil"/>
              <w:bottom w:val="nil"/>
              <w:right w:val="nil"/>
            </w:tcBorders>
            <w:shd w:val="clear" w:color="000000" w:fill="FFFFFF"/>
            <w:noWrap/>
            <w:vAlign w:val="bottom"/>
            <w:hideMark/>
          </w:tcPr>
          <w:p w14:paraId="59DCC3CA" w14:textId="77777777" w:rsidR="00632A88"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Bacteria</w:t>
            </w:r>
          </w:p>
        </w:tc>
        <w:tc>
          <w:tcPr>
            <w:tcW w:w="2680" w:type="dxa"/>
            <w:tcBorders>
              <w:top w:val="nil"/>
              <w:left w:val="nil"/>
              <w:bottom w:val="nil"/>
              <w:right w:val="nil"/>
            </w:tcBorders>
            <w:shd w:val="clear" w:color="000000" w:fill="FFFFFF"/>
            <w:noWrap/>
            <w:vAlign w:val="bottom"/>
            <w:hideMark/>
          </w:tcPr>
          <w:p w14:paraId="59DCC3CB"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Corynebacterium flaccumfaciens</w:t>
            </w:r>
          </w:p>
        </w:tc>
        <w:tc>
          <w:tcPr>
            <w:tcW w:w="2680" w:type="dxa"/>
            <w:tcBorders>
              <w:top w:val="nil"/>
              <w:left w:val="nil"/>
              <w:bottom w:val="nil"/>
              <w:right w:val="nil"/>
            </w:tcBorders>
            <w:shd w:val="clear" w:color="000000" w:fill="FFFFFF"/>
            <w:noWrap/>
            <w:vAlign w:val="bottom"/>
            <w:hideMark/>
          </w:tcPr>
          <w:p w14:paraId="59DCC3CC"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E. chrysanthemi </w:t>
            </w:r>
            <w:r w:rsidRPr="00D93FF9">
              <w:rPr>
                <w:rFonts w:cs="Arial"/>
                <w:color w:val="000000"/>
                <w:sz w:val="18"/>
                <w:szCs w:val="18"/>
                <w:lang w:val="en-GB" w:eastAsia="en-AU"/>
              </w:rPr>
              <w:t xml:space="preserve"> </w:t>
            </w:r>
          </w:p>
        </w:tc>
        <w:tc>
          <w:tcPr>
            <w:tcW w:w="2708" w:type="dxa"/>
            <w:tcBorders>
              <w:top w:val="nil"/>
              <w:left w:val="nil"/>
              <w:bottom w:val="nil"/>
              <w:right w:val="nil"/>
            </w:tcBorders>
            <w:shd w:val="clear" w:color="000000" w:fill="FFFFFF"/>
            <w:noWrap/>
            <w:vAlign w:val="bottom"/>
            <w:hideMark/>
          </w:tcPr>
          <w:p w14:paraId="59DCC3CD"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Ralstonia solanacearum</w:t>
            </w:r>
          </w:p>
        </w:tc>
      </w:tr>
      <w:tr w:rsidR="00BE3AA8" w:rsidRPr="00D93FF9" w14:paraId="59DCC3D3" w14:textId="77777777" w:rsidTr="005A6108">
        <w:trPr>
          <w:trHeight w:val="270"/>
        </w:trPr>
        <w:tc>
          <w:tcPr>
            <w:tcW w:w="1220" w:type="dxa"/>
            <w:tcBorders>
              <w:top w:val="nil"/>
              <w:left w:val="nil"/>
              <w:bottom w:val="nil"/>
              <w:right w:val="nil"/>
            </w:tcBorders>
            <w:shd w:val="clear" w:color="000000" w:fill="FFFFFF"/>
            <w:noWrap/>
            <w:vAlign w:val="bottom"/>
            <w:hideMark/>
          </w:tcPr>
          <w:p w14:paraId="59DCC3CF"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D0"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Erwinia carotovora</w:t>
            </w:r>
          </w:p>
        </w:tc>
        <w:tc>
          <w:tcPr>
            <w:tcW w:w="2680" w:type="dxa"/>
            <w:tcBorders>
              <w:top w:val="nil"/>
              <w:left w:val="nil"/>
              <w:bottom w:val="nil"/>
              <w:right w:val="nil"/>
            </w:tcBorders>
            <w:shd w:val="clear" w:color="000000" w:fill="FFFFFF"/>
            <w:noWrap/>
            <w:vAlign w:val="bottom"/>
            <w:hideMark/>
          </w:tcPr>
          <w:p w14:paraId="59DCC3D1"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Erwinia spp. </w:t>
            </w:r>
            <w:r w:rsidRPr="00D93FF9">
              <w:rPr>
                <w:rFonts w:cs="Arial"/>
                <w:color w:val="000000"/>
                <w:sz w:val="18"/>
                <w:szCs w:val="18"/>
                <w:lang w:val="en-GB" w:eastAsia="en-AU"/>
              </w:rPr>
              <w:t xml:space="preserve"> </w:t>
            </w:r>
          </w:p>
        </w:tc>
        <w:tc>
          <w:tcPr>
            <w:tcW w:w="2708" w:type="dxa"/>
            <w:tcBorders>
              <w:top w:val="nil"/>
              <w:left w:val="nil"/>
              <w:bottom w:val="nil"/>
              <w:right w:val="nil"/>
            </w:tcBorders>
            <w:shd w:val="clear" w:color="000000" w:fill="FFFFFF"/>
            <w:noWrap/>
            <w:vAlign w:val="bottom"/>
            <w:hideMark/>
          </w:tcPr>
          <w:p w14:paraId="59DCC3D2"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Xanthomonas campestris pv. begonia</w:t>
            </w:r>
          </w:p>
        </w:tc>
      </w:tr>
      <w:tr w:rsidR="00BE3AA8" w:rsidRPr="00D93FF9" w14:paraId="59DCC3D8" w14:textId="77777777" w:rsidTr="005A6108">
        <w:trPr>
          <w:trHeight w:val="270"/>
        </w:trPr>
        <w:tc>
          <w:tcPr>
            <w:tcW w:w="1220" w:type="dxa"/>
            <w:tcBorders>
              <w:top w:val="nil"/>
              <w:left w:val="nil"/>
              <w:bottom w:val="nil"/>
              <w:right w:val="nil"/>
            </w:tcBorders>
            <w:shd w:val="clear" w:color="000000" w:fill="FFFFFF"/>
            <w:noWrap/>
            <w:vAlign w:val="bottom"/>
            <w:hideMark/>
          </w:tcPr>
          <w:p w14:paraId="59DCC3D4"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D5"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E. carotovora pv. Carotovora</w:t>
            </w:r>
          </w:p>
        </w:tc>
        <w:tc>
          <w:tcPr>
            <w:tcW w:w="2680" w:type="dxa"/>
            <w:tcBorders>
              <w:top w:val="nil"/>
              <w:left w:val="nil"/>
              <w:bottom w:val="nil"/>
              <w:right w:val="nil"/>
            </w:tcBorders>
            <w:shd w:val="clear" w:color="000000" w:fill="FFFFFF"/>
            <w:noWrap/>
            <w:vAlign w:val="bottom"/>
            <w:hideMark/>
          </w:tcPr>
          <w:p w14:paraId="59DCC3D6"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Pseudomonas syringae pv. Aptata</w:t>
            </w:r>
          </w:p>
        </w:tc>
        <w:tc>
          <w:tcPr>
            <w:tcW w:w="2708" w:type="dxa"/>
            <w:tcBorders>
              <w:top w:val="nil"/>
              <w:left w:val="nil"/>
              <w:bottom w:val="nil"/>
              <w:right w:val="nil"/>
            </w:tcBorders>
            <w:shd w:val="clear" w:color="000000" w:fill="FFFFFF"/>
            <w:noWrap/>
            <w:vAlign w:val="bottom"/>
            <w:hideMark/>
          </w:tcPr>
          <w:p w14:paraId="59DCC3D7"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X. phaseoli</w:t>
            </w:r>
          </w:p>
        </w:tc>
      </w:tr>
      <w:tr w:rsidR="00BE3AA8" w:rsidRPr="00D93FF9" w14:paraId="59DCC3DD" w14:textId="77777777" w:rsidTr="005A6108">
        <w:trPr>
          <w:trHeight w:val="270"/>
        </w:trPr>
        <w:tc>
          <w:tcPr>
            <w:tcW w:w="1220" w:type="dxa"/>
            <w:tcBorders>
              <w:top w:val="nil"/>
              <w:left w:val="nil"/>
              <w:bottom w:val="single" w:sz="4" w:space="0" w:color="auto"/>
              <w:right w:val="nil"/>
            </w:tcBorders>
            <w:shd w:val="clear" w:color="000000" w:fill="FFFFFF"/>
            <w:noWrap/>
            <w:vAlign w:val="bottom"/>
            <w:hideMark/>
          </w:tcPr>
          <w:p w14:paraId="59DCC3D9"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single" w:sz="4" w:space="0" w:color="auto"/>
              <w:right w:val="nil"/>
            </w:tcBorders>
            <w:shd w:val="clear" w:color="000000" w:fill="FFFFFF"/>
            <w:noWrap/>
            <w:vAlign w:val="bottom"/>
            <w:hideMark/>
          </w:tcPr>
          <w:p w14:paraId="59DCC3DA"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E. carotovora pv. zea  </w:t>
            </w:r>
          </w:p>
        </w:tc>
        <w:tc>
          <w:tcPr>
            <w:tcW w:w="2680" w:type="dxa"/>
            <w:tcBorders>
              <w:top w:val="nil"/>
              <w:left w:val="nil"/>
              <w:bottom w:val="single" w:sz="4" w:space="0" w:color="auto"/>
              <w:right w:val="nil"/>
            </w:tcBorders>
            <w:shd w:val="clear" w:color="000000" w:fill="FFFFFF"/>
            <w:noWrap/>
            <w:vAlign w:val="bottom"/>
            <w:hideMark/>
          </w:tcPr>
          <w:p w14:paraId="59DCC3DB"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w:t>
            </w:r>
          </w:p>
        </w:tc>
        <w:tc>
          <w:tcPr>
            <w:tcW w:w="2708" w:type="dxa"/>
            <w:tcBorders>
              <w:top w:val="nil"/>
              <w:left w:val="nil"/>
              <w:bottom w:val="single" w:sz="4" w:space="0" w:color="auto"/>
              <w:right w:val="nil"/>
            </w:tcBorders>
            <w:shd w:val="clear" w:color="000000" w:fill="FFFFFF"/>
            <w:noWrap/>
            <w:vAlign w:val="bottom"/>
            <w:hideMark/>
          </w:tcPr>
          <w:p w14:paraId="59DCC3DC"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w:t>
            </w:r>
          </w:p>
        </w:tc>
      </w:tr>
      <w:tr w:rsidR="00BE3AA8" w:rsidRPr="00D93FF9" w14:paraId="59DCC3E2" w14:textId="77777777" w:rsidTr="005A6108">
        <w:trPr>
          <w:trHeight w:val="270"/>
        </w:trPr>
        <w:tc>
          <w:tcPr>
            <w:tcW w:w="1220" w:type="dxa"/>
            <w:tcBorders>
              <w:top w:val="nil"/>
              <w:left w:val="nil"/>
              <w:bottom w:val="nil"/>
              <w:right w:val="nil"/>
            </w:tcBorders>
            <w:shd w:val="clear" w:color="000000" w:fill="FFFFFF"/>
            <w:noWrap/>
            <w:vAlign w:val="bottom"/>
            <w:hideMark/>
          </w:tcPr>
          <w:p w14:paraId="59DCC3DE" w14:textId="77777777" w:rsidR="00632A88"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Virus</w:t>
            </w:r>
          </w:p>
        </w:tc>
        <w:tc>
          <w:tcPr>
            <w:tcW w:w="2680" w:type="dxa"/>
            <w:tcBorders>
              <w:top w:val="nil"/>
              <w:left w:val="nil"/>
              <w:bottom w:val="nil"/>
              <w:right w:val="nil"/>
            </w:tcBorders>
            <w:shd w:val="clear" w:color="000000" w:fill="FFFFFF"/>
            <w:noWrap/>
            <w:vAlign w:val="bottom"/>
            <w:hideMark/>
          </w:tcPr>
          <w:p w14:paraId="59DCC3DF"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Pelargonium flower break</w:t>
            </w:r>
          </w:p>
        </w:tc>
        <w:tc>
          <w:tcPr>
            <w:tcW w:w="2680" w:type="dxa"/>
            <w:tcBorders>
              <w:top w:val="nil"/>
              <w:left w:val="nil"/>
              <w:bottom w:val="nil"/>
              <w:right w:val="nil"/>
            </w:tcBorders>
            <w:shd w:val="clear" w:color="000000" w:fill="FFFFFF"/>
            <w:noWrap/>
            <w:vAlign w:val="bottom"/>
            <w:hideMark/>
          </w:tcPr>
          <w:p w14:paraId="59DCC3E0"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Tomato mosaic</w:t>
            </w:r>
          </w:p>
        </w:tc>
        <w:tc>
          <w:tcPr>
            <w:tcW w:w="2708" w:type="dxa"/>
            <w:tcBorders>
              <w:top w:val="nil"/>
              <w:left w:val="nil"/>
              <w:bottom w:val="nil"/>
              <w:right w:val="nil"/>
            </w:tcBorders>
            <w:shd w:val="clear" w:color="000000" w:fill="FFFFFF"/>
            <w:noWrap/>
            <w:vAlign w:val="bottom"/>
            <w:hideMark/>
          </w:tcPr>
          <w:p w14:paraId="59DCC3E1"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Lettuce big vein</w:t>
            </w:r>
          </w:p>
        </w:tc>
      </w:tr>
      <w:tr w:rsidR="00BE3AA8" w:rsidRPr="00D93FF9" w14:paraId="59DCC3E7" w14:textId="77777777" w:rsidTr="005A6108">
        <w:trPr>
          <w:trHeight w:val="270"/>
        </w:trPr>
        <w:tc>
          <w:tcPr>
            <w:tcW w:w="1220" w:type="dxa"/>
            <w:tcBorders>
              <w:top w:val="nil"/>
              <w:left w:val="nil"/>
              <w:bottom w:val="nil"/>
              <w:right w:val="nil"/>
            </w:tcBorders>
            <w:shd w:val="clear" w:color="000000" w:fill="FFFFFF"/>
            <w:noWrap/>
            <w:vAlign w:val="bottom"/>
            <w:hideMark/>
          </w:tcPr>
          <w:p w14:paraId="59DCC3E3"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E4"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Tomato bushy stunt</w:t>
            </w:r>
          </w:p>
        </w:tc>
        <w:tc>
          <w:tcPr>
            <w:tcW w:w="2680" w:type="dxa"/>
            <w:tcBorders>
              <w:top w:val="nil"/>
              <w:left w:val="nil"/>
              <w:bottom w:val="nil"/>
              <w:right w:val="nil"/>
            </w:tcBorders>
            <w:shd w:val="clear" w:color="000000" w:fill="FFFFFF"/>
            <w:noWrap/>
            <w:vAlign w:val="bottom"/>
            <w:hideMark/>
          </w:tcPr>
          <w:p w14:paraId="59DCC3E5"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Cucumber green mosaic</w:t>
            </w:r>
          </w:p>
        </w:tc>
        <w:tc>
          <w:tcPr>
            <w:tcW w:w="2708" w:type="dxa"/>
            <w:tcBorders>
              <w:top w:val="nil"/>
              <w:left w:val="nil"/>
              <w:bottom w:val="nil"/>
              <w:right w:val="nil"/>
            </w:tcBorders>
            <w:shd w:val="clear" w:color="000000" w:fill="FFFFFF"/>
            <w:noWrap/>
            <w:vAlign w:val="bottom"/>
            <w:hideMark/>
          </w:tcPr>
          <w:p w14:paraId="59DCC3E6"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Tobamovirus Lake</w:t>
            </w:r>
          </w:p>
        </w:tc>
      </w:tr>
      <w:tr w:rsidR="00BE3AA8" w:rsidRPr="00D93FF9" w14:paraId="59DCC3EC" w14:textId="77777777" w:rsidTr="005A6108">
        <w:trPr>
          <w:trHeight w:val="270"/>
        </w:trPr>
        <w:tc>
          <w:tcPr>
            <w:tcW w:w="1220" w:type="dxa"/>
            <w:tcBorders>
              <w:top w:val="nil"/>
              <w:left w:val="nil"/>
              <w:bottom w:val="single" w:sz="4" w:space="0" w:color="auto"/>
              <w:right w:val="nil"/>
            </w:tcBorders>
            <w:shd w:val="clear" w:color="000000" w:fill="FFFFFF"/>
            <w:noWrap/>
            <w:vAlign w:val="bottom"/>
            <w:hideMark/>
          </w:tcPr>
          <w:p w14:paraId="59DCC3E8"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single" w:sz="4" w:space="0" w:color="auto"/>
              <w:right w:val="nil"/>
            </w:tcBorders>
            <w:shd w:val="clear" w:color="000000" w:fill="FFFFFF"/>
            <w:noWrap/>
            <w:vAlign w:val="bottom"/>
            <w:hideMark/>
          </w:tcPr>
          <w:p w14:paraId="59DCC3E9"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Carnation mottle</w:t>
            </w:r>
          </w:p>
        </w:tc>
        <w:tc>
          <w:tcPr>
            <w:tcW w:w="2680" w:type="dxa"/>
            <w:tcBorders>
              <w:top w:val="nil"/>
              <w:left w:val="nil"/>
              <w:bottom w:val="single" w:sz="4" w:space="0" w:color="auto"/>
              <w:right w:val="nil"/>
            </w:tcBorders>
            <w:shd w:val="clear" w:color="000000" w:fill="FFFFFF"/>
            <w:noWrap/>
            <w:vAlign w:val="bottom"/>
            <w:hideMark/>
          </w:tcPr>
          <w:p w14:paraId="59DCC3EA"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Tobacco necrosis</w:t>
            </w:r>
          </w:p>
        </w:tc>
        <w:tc>
          <w:tcPr>
            <w:tcW w:w="2708" w:type="dxa"/>
            <w:tcBorders>
              <w:top w:val="nil"/>
              <w:left w:val="nil"/>
              <w:bottom w:val="single" w:sz="4" w:space="0" w:color="auto"/>
              <w:right w:val="nil"/>
            </w:tcBorders>
            <w:shd w:val="clear" w:color="000000" w:fill="FFFFFF"/>
            <w:noWrap/>
            <w:vAlign w:val="bottom"/>
            <w:hideMark/>
          </w:tcPr>
          <w:p w14:paraId="59DCC3EB"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Potexvirus</w:t>
            </w:r>
          </w:p>
        </w:tc>
      </w:tr>
      <w:tr w:rsidR="00BE3AA8" w:rsidRPr="00D93FF9" w14:paraId="59DCC3F1" w14:textId="77777777" w:rsidTr="005A6108">
        <w:trPr>
          <w:trHeight w:val="270"/>
        </w:trPr>
        <w:tc>
          <w:tcPr>
            <w:tcW w:w="1220" w:type="dxa"/>
            <w:tcBorders>
              <w:top w:val="nil"/>
              <w:left w:val="nil"/>
              <w:bottom w:val="nil"/>
              <w:right w:val="nil"/>
            </w:tcBorders>
            <w:shd w:val="clear" w:color="000000" w:fill="FFFFFF"/>
            <w:noWrap/>
            <w:vAlign w:val="bottom"/>
            <w:hideMark/>
          </w:tcPr>
          <w:p w14:paraId="59DCC3ED" w14:textId="77777777" w:rsidR="00632A88"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lastRenderedPageBreak/>
              <w:t>Nematodes</w:t>
            </w:r>
          </w:p>
        </w:tc>
        <w:tc>
          <w:tcPr>
            <w:tcW w:w="2680" w:type="dxa"/>
            <w:tcBorders>
              <w:top w:val="nil"/>
              <w:left w:val="nil"/>
              <w:bottom w:val="nil"/>
              <w:right w:val="nil"/>
            </w:tcBorders>
            <w:shd w:val="clear" w:color="000000" w:fill="FFFFFF"/>
            <w:noWrap/>
            <w:vAlign w:val="bottom"/>
            <w:hideMark/>
          </w:tcPr>
          <w:p w14:paraId="59DCC3EE"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Aphelenchoides </w:t>
            </w:r>
          </w:p>
        </w:tc>
        <w:tc>
          <w:tcPr>
            <w:tcW w:w="2680" w:type="dxa"/>
            <w:tcBorders>
              <w:top w:val="nil"/>
              <w:left w:val="nil"/>
              <w:bottom w:val="nil"/>
              <w:right w:val="nil"/>
            </w:tcBorders>
            <w:shd w:val="clear" w:color="000000" w:fill="FFFFFF"/>
            <w:noWrap/>
            <w:vAlign w:val="bottom"/>
            <w:hideMark/>
          </w:tcPr>
          <w:p w14:paraId="59DCC3EF"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Heterodera </w:t>
            </w:r>
          </w:p>
        </w:tc>
        <w:tc>
          <w:tcPr>
            <w:tcW w:w="2708" w:type="dxa"/>
            <w:tcBorders>
              <w:top w:val="nil"/>
              <w:left w:val="nil"/>
              <w:bottom w:val="nil"/>
              <w:right w:val="nil"/>
            </w:tcBorders>
            <w:shd w:val="clear" w:color="000000" w:fill="FFFFFF"/>
            <w:noWrap/>
            <w:vAlign w:val="bottom"/>
            <w:hideMark/>
          </w:tcPr>
          <w:p w14:paraId="59DCC3F0"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Pratylenchus </w:t>
            </w:r>
          </w:p>
        </w:tc>
      </w:tr>
      <w:tr w:rsidR="00BE3AA8" w:rsidRPr="00D93FF9" w14:paraId="59DCC3F6" w14:textId="77777777" w:rsidTr="005A6108">
        <w:trPr>
          <w:trHeight w:val="270"/>
        </w:trPr>
        <w:tc>
          <w:tcPr>
            <w:tcW w:w="1220" w:type="dxa"/>
            <w:tcBorders>
              <w:top w:val="nil"/>
              <w:left w:val="nil"/>
              <w:bottom w:val="nil"/>
              <w:right w:val="nil"/>
            </w:tcBorders>
            <w:shd w:val="clear" w:color="000000" w:fill="FFFFFF"/>
            <w:noWrap/>
            <w:vAlign w:val="bottom"/>
            <w:hideMark/>
          </w:tcPr>
          <w:p w14:paraId="59DCC3F2"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F3"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Criconemoides </w:t>
            </w:r>
          </w:p>
        </w:tc>
        <w:tc>
          <w:tcPr>
            <w:tcW w:w="2680" w:type="dxa"/>
            <w:tcBorders>
              <w:top w:val="nil"/>
              <w:left w:val="nil"/>
              <w:bottom w:val="nil"/>
              <w:right w:val="nil"/>
            </w:tcBorders>
            <w:shd w:val="clear" w:color="000000" w:fill="FFFFFF"/>
            <w:noWrap/>
            <w:vAlign w:val="bottom"/>
            <w:hideMark/>
          </w:tcPr>
          <w:p w14:paraId="59DCC3F4"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Hoploliamus </w:t>
            </w:r>
          </w:p>
        </w:tc>
        <w:tc>
          <w:tcPr>
            <w:tcW w:w="2708" w:type="dxa"/>
            <w:tcBorders>
              <w:top w:val="nil"/>
              <w:left w:val="nil"/>
              <w:bottom w:val="nil"/>
              <w:right w:val="nil"/>
            </w:tcBorders>
            <w:shd w:val="clear" w:color="000000" w:fill="FFFFFF"/>
            <w:noWrap/>
            <w:vAlign w:val="bottom"/>
            <w:hideMark/>
          </w:tcPr>
          <w:p w14:paraId="59DCC3F5"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Trichodorus </w:t>
            </w:r>
          </w:p>
        </w:tc>
      </w:tr>
      <w:tr w:rsidR="00BE3AA8" w:rsidRPr="00D93FF9" w14:paraId="59DCC3FB" w14:textId="77777777" w:rsidTr="005A6108">
        <w:trPr>
          <w:trHeight w:val="270"/>
        </w:trPr>
        <w:tc>
          <w:tcPr>
            <w:tcW w:w="1220" w:type="dxa"/>
            <w:tcBorders>
              <w:top w:val="nil"/>
              <w:left w:val="nil"/>
              <w:bottom w:val="nil"/>
              <w:right w:val="nil"/>
            </w:tcBorders>
            <w:shd w:val="clear" w:color="000000" w:fill="FFFFFF"/>
            <w:noWrap/>
            <w:vAlign w:val="bottom"/>
            <w:hideMark/>
          </w:tcPr>
          <w:p w14:paraId="59DCC3F7"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F8"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Ditylenchus </w:t>
            </w:r>
          </w:p>
        </w:tc>
        <w:tc>
          <w:tcPr>
            <w:tcW w:w="2680" w:type="dxa"/>
            <w:tcBorders>
              <w:top w:val="nil"/>
              <w:left w:val="nil"/>
              <w:bottom w:val="nil"/>
              <w:right w:val="nil"/>
            </w:tcBorders>
            <w:shd w:val="clear" w:color="000000" w:fill="FFFFFF"/>
            <w:noWrap/>
            <w:vAlign w:val="bottom"/>
            <w:hideMark/>
          </w:tcPr>
          <w:p w14:paraId="59DCC3F9"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Meloidogyne </w:t>
            </w:r>
          </w:p>
        </w:tc>
        <w:tc>
          <w:tcPr>
            <w:tcW w:w="2708" w:type="dxa"/>
            <w:tcBorders>
              <w:top w:val="nil"/>
              <w:left w:val="nil"/>
              <w:bottom w:val="nil"/>
              <w:right w:val="nil"/>
            </w:tcBorders>
            <w:shd w:val="clear" w:color="000000" w:fill="FFFFFF"/>
            <w:noWrap/>
            <w:vAlign w:val="bottom"/>
            <w:hideMark/>
          </w:tcPr>
          <w:p w14:paraId="59DCC3FA"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Tylenchorhynchus </w:t>
            </w:r>
          </w:p>
        </w:tc>
      </w:tr>
      <w:tr w:rsidR="00BE3AA8" w:rsidRPr="00D93FF9" w14:paraId="59DCC400" w14:textId="77777777" w:rsidTr="005A6108">
        <w:trPr>
          <w:trHeight w:val="270"/>
        </w:trPr>
        <w:tc>
          <w:tcPr>
            <w:tcW w:w="1220" w:type="dxa"/>
            <w:tcBorders>
              <w:top w:val="nil"/>
              <w:left w:val="nil"/>
              <w:bottom w:val="nil"/>
              <w:right w:val="nil"/>
            </w:tcBorders>
            <w:shd w:val="clear" w:color="000000" w:fill="FFFFFF"/>
            <w:noWrap/>
            <w:vAlign w:val="bottom"/>
            <w:hideMark/>
          </w:tcPr>
          <w:p w14:paraId="59DCC3FC"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nil"/>
              <w:right w:val="nil"/>
            </w:tcBorders>
            <w:shd w:val="clear" w:color="000000" w:fill="FFFFFF"/>
            <w:noWrap/>
            <w:vAlign w:val="bottom"/>
            <w:hideMark/>
          </w:tcPr>
          <w:p w14:paraId="59DCC3FD"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Helicotylenchus </w:t>
            </w:r>
          </w:p>
        </w:tc>
        <w:tc>
          <w:tcPr>
            <w:tcW w:w="2680" w:type="dxa"/>
            <w:tcBorders>
              <w:top w:val="nil"/>
              <w:left w:val="nil"/>
              <w:bottom w:val="nil"/>
              <w:right w:val="nil"/>
            </w:tcBorders>
            <w:shd w:val="clear" w:color="000000" w:fill="FFFFFF"/>
            <w:noWrap/>
            <w:vAlign w:val="bottom"/>
            <w:hideMark/>
          </w:tcPr>
          <w:p w14:paraId="59DCC3FE"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Paratylenchus </w:t>
            </w:r>
          </w:p>
        </w:tc>
        <w:tc>
          <w:tcPr>
            <w:tcW w:w="2708" w:type="dxa"/>
            <w:tcBorders>
              <w:top w:val="nil"/>
              <w:left w:val="nil"/>
              <w:bottom w:val="nil"/>
              <w:right w:val="nil"/>
            </w:tcBorders>
            <w:shd w:val="clear" w:color="000000" w:fill="FFFFFF"/>
            <w:noWrap/>
            <w:vAlign w:val="bottom"/>
            <w:hideMark/>
          </w:tcPr>
          <w:p w14:paraId="59DCC3FF"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Tylenchulus</w:t>
            </w:r>
          </w:p>
        </w:tc>
      </w:tr>
      <w:tr w:rsidR="00BE3AA8" w:rsidRPr="00D93FF9" w14:paraId="59DCC405" w14:textId="77777777" w:rsidTr="005A6108">
        <w:trPr>
          <w:trHeight w:val="270"/>
        </w:trPr>
        <w:tc>
          <w:tcPr>
            <w:tcW w:w="1220" w:type="dxa"/>
            <w:tcBorders>
              <w:top w:val="nil"/>
              <w:left w:val="nil"/>
              <w:bottom w:val="single" w:sz="4" w:space="0" w:color="auto"/>
              <w:right w:val="nil"/>
            </w:tcBorders>
            <w:shd w:val="clear" w:color="000000" w:fill="FFFFFF"/>
            <w:noWrap/>
            <w:vAlign w:val="bottom"/>
            <w:hideMark/>
          </w:tcPr>
          <w:p w14:paraId="59DCC401"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680" w:type="dxa"/>
            <w:tcBorders>
              <w:top w:val="nil"/>
              <w:left w:val="nil"/>
              <w:bottom w:val="single" w:sz="4" w:space="0" w:color="auto"/>
              <w:right w:val="nil"/>
            </w:tcBorders>
            <w:shd w:val="clear" w:color="000000" w:fill="FFFFFF"/>
            <w:noWrap/>
            <w:vAlign w:val="bottom"/>
            <w:hideMark/>
          </w:tcPr>
          <w:p w14:paraId="59DCC402" w14:textId="77777777" w:rsidR="00632A88"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 xml:space="preserve">Hemicycliophora </w:t>
            </w:r>
          </w:p>
        </w:tc>
        <w:tc>
          <w:tcPr>
            <w:tcW w:w="2680" w:type="dxa"/>
            <w:tcBorders>
              <w:top w:val="nil"/>
              <w:left w:val="nil"/>
              <w:bottom w:val="single" w:sz="4" w:space="0" w:color="auto"/>
              <w:right w:val="nil"/>
            </w:tcBorders>
            <w:shd w:val="clear" w:color="000000" w:fill="FFFFFF"/>
            <w:noWrap/>
            <w:vAlign w:val="bottom"/>
            <w:hideMark/>
          </w:tcPr>
          <w:p w14:paraId="59DCC403"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2708" w:type="dxa"/>
            <w:tcBorders>
              <w:top w:val="nil"/>
              <w:left w:val="nil"/>
              <w:bottom w:val="single" w:sz="4" w:space="0" w:color="auto"/>
              <w:right w:val="nil"/>
            </w:tcBorders>
            <w:shd w:val="clear" w:color="000000" w:fill="FFFFFF"/>
            <w:noWrap/>
            <w:vAlign w:val="bottom"/>
            <w:hideMark/>
          </w:tcPr>
          <w:p w14:paraId="59DCC404" w14:textId="77777777" w:rsidR="00632A88"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r>
    </w:tbl>
    <w:p w14:paraId="59DCC406" w14:textId="77777777" w:rsidR="00632A88" w:rsidRPr="00D93FF9" w:rsidRDefault="00E811B8" w:rsidP="00AC6997">
      <w:pPr>
        <w:spacing w:after="0"/>
        <w:ind w:left="142"/>
        <w:rPr>
          <w:rFonts w:ascii="Arial"/>
          <w:sz w:val="14"/>
          <w:lang w:val="en-GB"/>
        </w:rPr>
      </w:pPr>
      <w:r w:rsidRPr="00D93FF9">
        <w:rPr>
          <w:rFonts w:ascii="Arial"/>
          <w:sz w:val="14"/>
          <w:lang w:val="en-GB"/>
        </w:rPr>
        <w:t>a Adapted from Hong and Moorman (2005)</w:t>
      </w:r>
    </w:p>
    <w:p w14:paraId="59DCC407" w14:textId="77777777" w:rsidR="00C46175" w:rsidRPr="00D93FF9" w:rsidRDefault="00C46175" w:rsidP="003807A1">
      <w:pPr>
        <w:pStyle w:val="BodyText"/>
        <w:spacing w:after="0"/>
        <w:rPr>
          <w:sz w:val="30"/>
          <w:lang w:val="en-GB"/>
        </w:rPr>
      </w:pPr>
      <w:bookmarkStart w:id="38" w:name="9.2.3__Salinity_and_sodicity"/>
      <w:bookmarkStart w:id="39" w:name="9.2.3.1__Description"/>
      <w:bookmarkEnd w:id="38"/>
      <w:bookmarkEnd w:id="39"/>
    </w:p>
    <w:p w14:paraId="59DCC408" w14:textId="77777777" w:rsidR="00C46175" w:rsidRPr="00D93FF9" w:rsidRDefault="00E811B8" w:rsidP="00CC3C40">
      <w:pPr>
        <w:pStyle w:val="Heading2"/>
        <w:rPr>
          <w:lang w:val="en-GB"/>
        </w:rPr>
      </w:pPr>
      <w:bookmarkStart w:id="40" w:name="_Ref71626844"/>
      <w:bookmarkStart w:id="41" w:name="_Ref71626859"/>
      <w:bookmarkStart w:id="42" w:name="_Ref71706927"/>
      <w:bookmarkStart w:id="43" w:name="_Ref71707055"/>
      <w:bookmarkStart w:id="44" w:name="_Toc96693570"/>
      <w:r w:rsidRPr="00D93FF9">
        <w:rPr>
          <w:lang w:val="en-GB"/>
        </w:rPr>
        <w:t>Salinity and</w:t>
      </w:r>
      <w:r w:rsidRPr="00D93FF9">
        <w:rPr>
          <w:spacing w:val="-8"/>
          <w:lang w:val="en-GB"/>
        </w:rPr>
        <w:t xml:space="preserve"> </w:t>
      </w:r>
      <w:r w:rsidRPr="00D93FF9">
        <w:rPr>
          <w:lang w:val="en-GB"/>
        </w:rPr>
        <w:t>sodicity</w:t>
      </w:r>
      <w:bookmarkEnd w:id="40"/>
      <w:bookmarkEnd w:id="41"/>
      <w:bookmarkEnd w:id="42"/>
      <w:bookmarkEnd w:id="43"/>
      <w:bookmarkEnd w:id="44"/>
    </w:p>
    <w:p w14:paraId="59DCC409" w14:textId="77777777" w:rsidR="00C46175" w:rsidRPr="00D93FF9" w:rsidRDefault="00E811B8" w:rsidP="00F94F2B">
      <w:pPr>
        <w:spacing w:before="200" w:line="266" w:lineRule="auto"/>
        <w:ind w:left="284"/>
        <w:rPr>
          <w:b/>
          <w:bCs/>
          <w:i/>
          <w:iCs/>
          <w:lang w:val="en-GB"/>
        </w:rPr>
      </w:pPr>
      <w:r w:rsidRPr="00D93FF9">
        <w:rPr>
          <w:b/>
          <w:bCs/>
          <w:i/>
          <w:iCs/>
          <w:lang w:val="en-GB"/>
        </w:rPr>
        <w:t>To assess the salinity and sodicity of water for irrigation use, a number of interactive factors must be considered. As outlined in this Section, these include: irrigation water quality; soil properties; plant salt tolerance; climate; landscape (including geological and hydrological features); and water and soil management.</w:t>
      </w:r>
    </w:p>
    <w:p w14:paraId="59DCC40A" w14:textId="77777777" w:rsidR="00C46175" w:rsidRPr="00D93FF9" w:rsidRDefault="00E811B8" w:rsidP="00CC3C40">
      <w:pPr>
        <w:pStyle w:val="Heading3"/>
        <w:rPr>
          <w:lang w:val="en-GB"/>
        </w:rPr>
      </w:pPr>
      <w:bookmarkStart w:id="45" w:name="_Toc96693571"/>
      <w:r w:rsidRPr="00D93FF9">
        <w:t>Description</w:t>
      </w:r>
      <w:bookmarkEnd w:id="45"/>
    </w:p>
    <w:p w14:paraId="59DCC40B" w14:textId="19AE8395" w:rsidR="00C46175" w:rsidRPr="00D93FF9" w:rsidRDefault="00E811B8" w:rsidP="003807A1">
      <w:pPr>
        <w:pStyle w:val="BodyText"/>
        <w:spacing w:after="0" w:line="266" w:lineRule="auto"/>
        <w:jc w:val="both"/>
        <w:rPr>
          <w:spacing w:val="-3"/>
          <w:lang w:val="en-GB"/>
        </w:rPr>
      </w:pPr>
      <w:r w:rsidRPr="00D93FF9">
        <w:rPr>
          <w:lang w:val="en-GB"/>
        </w:rPr>
        <w:t>Salinity</w:t>
      </w:r>
      <w:r w:rsidRPr="00D93FF9">
        <w:rPr>
          <w:spacing w:val="-12"/>
          <w:lang w:val="en-GB"/>
        </w:rPr>
        <w:t xml:space="preserve"> </w:t>
      </w:r>
      <w:r w:rsidRPr="00D93FF9">
        <w:rPr>
          <w:lang w:val="en-GB"/>
        </w:rPr>
        <w:t>is</w:t>
      </w:r>
      <w:r w:rsidRPr="00D93FF9">
        <w:rPr>
          <w:spacing w:val="-9"/>
          <w:lang w:val="en-GB"/>
        </w:rPr>
        <w:t xml:space="preserve"> </w:t>
      </w:r>
      <w:r w:rsidRPr="00D93FF9">
        <w:rPr>
          <w:lang w:val="en-GB"/>
        </w:rPr>
        <w:t>the</w:t>
      </w:r>
      <w:r w:rsidRPr="00D93FF9">
        <w:rPr>
          <w:spacing w:val="-9"/>
          <w:lang w:val="en-GB"/>
        </w:rPr>
        <w:t xml:space="preserve"> </w:t>
      </w:r>
      <w:r w:rsidRPr="00D93FF9">
        <w:rPr>
          <w:lang w:val="en-GB"/>
        </w:rPr>
        <w:t>presence</w:t>
      </w:r>
      <w:r w:rsidRPr="00D93FF9">
        <w:rPr>
          <w:spacing w:val="-9"/>
          <w:lang w:val="en-GB"/>
        </w:rPr>
        <w:t xml:space="preserve"> </w:t>
      </w:r>
      <w:r w:rsidRPr="00D93FF9">
        <w:rPr>
          <w:lang w:val="en-GB"/>
        </w:rPr>
        <w:t>of</w:t>
      </w:r>
      <w:r w:rsidRPr="00D93FF9">
        <w:rPr>
          <w:spacing w:val="-9"/>
          <w:lang w:val="en-GB"/>
        </w:rPr>
        <w:t xml:space="preserve"> </w:t>
      </w:r>
      <w:r w:rsidRPr="00D93FF9">
        <w:rPr>
          <w:lang w:val="en-GB"/>
        </w:rPr>
        <w:t>soluble</w:t>
      </w:r>
      <w:r w:rsidRPr="00D93FF9">
        <w:rPr>
          <w:spacing w:val="-9"/>
          <w:lang w:val="en-GB"/>
        </w:rPr>
        <w:t xml:space="preserve"> </w:t>
      </w:r>
      <w:r w:rsidRPr="00D93FF9">
        <w:rPr>
          <w:lang w:val="en-GB"/>
        </w:rPr>
        <w:t>salts</w:t>
      </w:r>
      <w:r w:rsidRPr="00D93FF9">
        <w:rPr>
          <w:spacing w:val="-10"/>
          <w:lang w:val="en-GB"/>
        </w:rPr>
        <w:t xml:space="preserve"> </w:t>
      </w:r>
      <w:r w:rsidRPr="00D93FF9">
        <w:rPr>
          <w:lang w:val="en-GB"/>
        </w:rPr>
        <w:t>in</w:t>
      </w:r>
      <w:r w:rsidRPr="00D93FF9">
        <w:rPr>
          <w:spacing w:val="-7"/>
          <w:lang w:val="en-GB"/>
        </w:rPr>
        <w:t xml:space="preserve"> </w:t>
      </w:r>
      <w:r w:rsidRPr="00D93FF9">
        <w:rPr>
          <w:lang w:val="en-GB"/>
        </w:rPr>
        <w:t>waters.</w:t>
      </w:r>
      <w:r w:rsidRPr="00D93FF9">
        <w:rPr>
          <w:spacing w:val="-6"/>
          <w:lang w:val="en-GB"/>
        </w:rPr>
        <w:t xml:space="preserve"> </w:t>
      </w:r>
      <w:r w:rsidRPr="00D93FF9">
        <w:rPr>
          <w:spacing w:val="-3"/>
          <w:lang w:val="en-GB"/>
        </w:rPr>
        <w:t>High</w:t>
      </w:r>
      <w:r w:rsidRPr="00D93FF9">
        <w:rPr>
          <w:spacing w:val="-7"/>
          <w:lang w:val="en-GB"/>
        </w:rPr>
        <w:t xml:space="preserve"> </w:t>
      </w:r>
      <w:r w:rsidRPr="00D93FF9">
        <w:rPr>
          <w:spacing w:val="-3"/>
          <w:lang w:val="en-GB"/>
        </w:rPr>
        <w:t>levels</w:t>
      </w:r>
      <w:r w:rsidRPr="00D93FF9">
        <w:rPr>
          <w:spacing w:val="-7"/>
          <w:lang w:val="en-GB"/>
        </w:rPr>
        <w:t xml:space="preserve"> </w:t>
      </w:r>
      <w:r w:rsidRPr="00D93FF9">
        <w:rPr>
          <w:lang w:val="en-GB"/>
        </w:rPr>
        <w:t>of</w:t>
      </w:r>
      <w:r w:rsidRPr="00D93FF9">
        <w:rPr>
          <w:spacing w:val="-6"/>
          <w:lang w:val="en-GB"/>
        </w:rPr>
        <w:t xml:space="preserve"> </w:t>
      </w:r>
      <w:r w:rsidRPr="00D93FF9">
        <w:rPr>
          <w:lang w:val="en-GB"/>
        </w:rPr>
        <w:t>soluble</w:t>
      </w:r>
      <w:r w:rsidRPr="00D93FF9">
        <w:rPr>
          <w:spacing w:val="-7"/>
          <w:lang w:val="en-GB"/>
        </w:rPr>
        <w:t xml:space="preserve"> </w:t>
      </w:r>
      <w:r w:rsidRPr="00D93FF9">
        <w:rPr>
          <w:lang w:val="en-GB"/>
        </w:rPr>
        <w:t>salts</w:t>
      </w:r>
      <w:r w:rsidRPr="00D93FF9">
        <w:rPr>
          <w:spacing w:val="-6"/>
          <w:lang w:val="en-GB"/>
        </w:rPr>
        <w:t xml:space="preserve"> </w:t>
      </w:r>
      <w:r w:rsidRPr="00D93FF9">
        <w:rPr>
          <w:lang w:val="en-GB"/>
        </w:rPr>
        <w:t xml:space="preserve">in </w:t>
      </w:r>
      <w:r w:rsidR="00FB4D5E" w:rsidRPr="00D93FF9">
        <w:rPr>
          <w:lang w:val="en-GB"/>
        </w:rPr>
        <w:t xml:space="preserve">the </w:t>
      </w:r>
      <w:r w:rsidRPr="00D93FF9">
        <w:rPr>
          <w:lang w:val="en-GB"/>
        </w:rPr>
        <w:t>soil</w:t>
      </w:r>
      <w:r w:rsidR="00FB4D5E" w:rsidRPr="00D93FF9">
        <w:rPr>
          <w:lang w:val="en-GB"/>
        </w:rPr>
        <w:t xml:space="preserve"> solution</w:t>
      </w:r>
      <w:r w:rsidRPr="00D93FF9">
        <w:rPr>
          <w:lang w:val="en-GB"/>
        </w:rPr>
        <w:t xml:space="preserve"> </w:t>
      </w:r>
      <w:r w:rsidRPr="00D93FF9">
        <w:rPr>
          <w:spacing w:val="-3"/>
          <w:lang w:val="en-GB"/>
        </w:rPr>
        <w:t xml:space="preserve">may </w:t>
      </w:r>
      <w:r w:rsidRPr="00D93FF9">
        <w:rPr>
          <w:lang w:val="en-GB"/>
        </w:rPr>
        <w:t xml:space="preserve">result in reduced plant </w:t>
      </w:r>
      <w:r w:rsidRPr="00D93FF9">
        <w:rPr>
          <w:spacing w:val="-3"/>
          <w:lang w:val="en-GB"/>
        </w:rPr>
        <w:t xml:space="preserve">productivity </w:t>
      </w:r>
      <w:r w:rsidRPr="00D93FF9">
        <w:rPr>
          <w:lang w:val="en-GB"/>
        </w:rPr>
        <w:t xml:space="preserve">or </w:t>
      </w:r>
      <w:r w:rsidR="00E26BEC" w:rsidRPr="00D93FF9">
        <w:rPr>
          <w:lang w:val="en-GB"/>
        </w:rPr>
        <w:t xml:space="preserve">at worst </w:t>
      </w:r>
      <w:r w:rsidRPr="00D93FF9">
        <w:rPr>
          <w:lang w:val="en-GB"/>
        </w:rPr>
        <w:t xml:space="preserve">the </w:t>
      </w:r>
      <w:r w:rsidR="00E26BEC" w:rsidRPr="00D93FF9">
        <w:rPr>
          <w:spacing w:val="-3"/>
          <w:lang w:val="en-GB"/>
        </w:rPr>
        <w:t xml:space="preserve">death </w:t>
      </w:r>
      <w:r w:rsidRPr="00D93FF9">
        <w:rPr>
          <w:lang w:val="en-GB"/>
        </w:rPr>
        <w:t xml:space="preserve">of crops and </w:t>
      </w:r>
      <w:r w:rsidRPr="00D93FF9">
        <w:rPr>
          <w:spacing w:val="-3"/>
          <w:lang w:val="en-GB"/>
        </w:rPr>
        <w:t xml:space="preserve">native vegetation. </w:t>
      </w:r>
      <w:r w:rsidR="00E26BEC" w:rsidRPr="00D93FF9">
        <w:rPr>
          <w:lang w:val="en-GB"/>
        </w:rPr>
        <w:t>S</w:t>
      </w:r>
      <w:r w:rsidRPr="00D93FF9">
        <w:rPr>
          <w:lang w:val="en-GB"/>
        </w:rPr>
        <w:t>alts</w:t>
      </w:r>
      <w:r w:rsidR="00E26BEC" w:rsidRPr="00D93FF9">
        <w:rPr>
          <w:lang w:val="en-GB"/>
        </w:rPr>
        <w:t xml:space="preserve"> are</w:t>
      </w:r>
      <w:r w:rsidRPr="00D93FF9">
        <w:rPr>
          <w:lang w:val="en-GB"/>
        </w:rPr>
        <w:t xml:space="preserve"> </w:t>
      </w:r>
      <w:r w:rsidRPr="00D93FF9">
        <w:rPr>
          <w:spacing w:val="-3"/>
          <w:lang w:val="en-GB"/>
        </w:rPr>
        <w:t>derive</w:t>
      </w:r>
      <w:r w:rsidR="00E26BEC" w:rsidRPr="00D93FF9">
        <w:rPr>
          <w:spacing w:val="-3"/>
          <w:lang w:val="en-GB"/>
        </w:rPr>
        <w:t>d</w:t>
      </w:r>
      <w:r w:rsidRPr="00D93FF9">
        <w:rPr>
          <w:spacing w:val="-3"/>
          <w:lang w:val="en-GB"/>
        </w:rPr>
        <w:t xml:space="preserve"> </w:t>
      </w:r>
      <w:r w:rsidRPr="00D93FF9">
        <w:rPr>
          <w:lang w:val="en-GB"/>
        </w:rPr>
        <w:t xml:space="preserve">from the weathering of the earth’s crust and are transported </w:t>
      </w:r>
      <w:r w:rsidRPr="00D93FF9">
        <w:rPr>
          <w:spacing w:val="-2"/>
          <w:lang w:val="en-GB"/>
        </w:rPr>
        <w:t xml:space="preserve">and </w:t>
      </w:r>
      <w:r w:rsidRPr="00D93FF9">
        <w:rPr>
          <w:spacing w:val="-3"/>
          <w:lang w:val="en-GB"/>
        </w:rPr>
        <w:t>cycled</w:t>
      </w:r>
      <w:r w:rsidR="006F34CF" w:rsidRPr="00D93FF9">
        <w:rPr>
          <w:spacing w:val="-3"/>
          <w:lang w:val="en-GB"/>
        </w:rPr>
        <w:t xml:space="preserve"> in the broader environment</w:t>
      </w:r>
      <w:r w:rsidRPr="00D93FF9">
        <w:rPr>
          <w:spacing w:val="-3"/>
          <w:lang w:val="en-GB"/>
        </w:rPr>
        <w:t xml:space="preserve"> through rainfall </w:t>
      </w:r>
      <w:r w:rsidRPr="00D93FF9">
        <w:rPr>
          <w:lang w:val="en-GB"/>
        </w:rPr>
        <w:t xml:space="preserve">and the </w:t>
      </w:r>
      <w:r w:rsidRPr="00D93FF9">
        <w:rPr>
          <w:spacing w:val="-4"/>
          <w:lang w:val="en-GB"/>
        </w:rPr>
        <w:t xml:space="preserve">movement </w:t>
      </w:r>
      <w:r w:rsidRPr="00D93FF9">
        <w:rPr>
          <w:lang w:val="en-GB"/>
        </w:rPr>
        <w:t xml:space="preserve">of </w:t>
      </w:r>
      <w:r w:rsidRPr="00D93FF9">
        <w:rPr>
          <w:spacing w:val="-3"/>
          <w:lang w:val="en-GB"/>
        </w:rPr>
        <w:t xml:space="preserve">water. </w:t>
      </w:r>
      <w:r w:rsidR="00514937" w:rsidRPr="00D93FF9">
        <w:rPr>
          <w:spacing w:val="-3"/>
          <w:lang w:val="en-GB"/>
        </w:rPr>
        <w:t xml:space="preserve">Other sources of salt inputs into the rootzone are irrigation water, fertilisers, soil conditioners, rising groundwater for instance. </w:t>
      </w:r>
      <w:r w:rsidR="00DD75C7" w:rsidRPr="00D93FF9">
        <w:rPr>
          <w:spacing w:val="-3"/>
          <w:lang w:val="en-GB"/>
        </w:rPr>
        <w:t>Dryland salinity is</w:t>
      </w:r>
      <w:r w:rsidR="00BE6DF0" w:rsidRPr="00D93FF9">
        <w:rPr>
          <w:spacing w:val="-3"/>
          <w:lang w:val="en-GB"/>
        </w:rPr>
        <w:t xml:space="preserve"> a result of</w:t>
      </w:r>
      <w:r w:rsidR="00DD75C7" w:rsidRPr="00D93FF9">
        <w:rPr>
          <w:spacing w:val="-3"/>
          <w:lang w:val="en-GB"/>
        </w:rPr>
        <w:t xml:space="preserve"> salts stored into the ground brought closer to the su</w:t>
      </w:r>
      <w:r w:rsidR="00BE6DF0" w:rsidRPr="00D93FF9">
        <w:rPr>
          <w:spacing w:val="-3"/>
          <w:lang w:val="en-GB"/>
        </w:rPr>
        <w:t>r</w:t>
      </w:r>
      <w:r w:rsidR="00DD75C7" w:rsidRPr="00D93FF9">
        <w:rPr>
          <w:spacing w:val="-3"/>
          <w:lang w:val="en-GB"/>
        </w:rPr>
        <w:t xml:space="preserve">face due to a rising watertable. </w:t>
      </w:r>
      <w:r w:rsidRPr="00D93FF9">
        <w:rPr>
          <w:lang w:val="en-GB"/>
        </w:rPr>
        <w:t xml:space="preserve">When the </w:t>
      </w:r>
      <w:r w:rsidRPr="00D93FF9">
        <w:rPr>
          <w:spacing w:val="-3"/>
          <w:lang w:val="en-GB"/>
        </w:rPr>
        <w:t xml:space="preserve">hydrologic balance </w:t>
      </w:r>
      <w:r w:rsidRPr="00D93FF9">
        <w:rPr>
          <w:lang w:val="en-GB"/>
        </w:rPr>
        <w:t xml:space="preserve">of a landscape is altered </w:t>
      </w:r>
      <w:r w:rsidRPr="00D93FF9">
        <w:rPr>
          <w:spacing w:val="-3"/>
          <w:lang w:val="en-GB"/>
        </w:rPr>
        <w:t xml:space="preserve">through human </w:t>
      </w:r>
      <w:r w:rsidRPr="00D93FF9">
        <w:rPr>
          <w:lang w:val="en-GB"/>
        </w:rPr>
        <w:t xml:space="preserve">induced </w:t>
      </w:r>
      <w:r w:rsidRPr="00D93FF9">
        <w:rPr>
          <w:spacing w:val="-3"/>
          <w:lang w:val="en-GB"/>
        </w:rPr>
        <w:t>disturbances</w:t>
      </w:r>
      <w:r w:rsidR="006F34CF" w:rsidRPr="00D93FF9">
        <w:rPr>
          <w:spacing w:val="-3"/>
          <w:lang w:val="en-GB"/>
        </w:rPr>
        <w:t xml:space="preserve"> such as </w:t>
      </w:r>
      <w:r w:rsidR="00FB4D5E" w:rsidRPr="00D93FF9">
        <w:rPr>
          <w:spacing w:val="-3"/>
          <w:lang w:val="en-GB"/>
        </w:rPr>
        <w:t xml:space="preserve">tree clearing or </w:t>
      </w:r>
      <w:r w:rsidR="006F34CF" w:rsidRPr="00D93FF9">
        <w:rPr>
          <w:spacing w:val="-3"/>
          <w:lang w:val="en-GB"/>
        </w:rPr>
        <w:t>irrigation</w:t>
      </w:r>
      <w:r w:rsidRPr="00D93FF9">
        <w:rPr>
          <w:spacing w:val="-3"/>
          <w:lang w:val="en-GB"/>
        </w:rPr>
        <w:t xml:space="preserve">, </w:t>
      </w:r>
      <w:r w:rsidRPr="00D93FF9">
        <w:rPr>
          <w:lang w:val="en-GB"/>
        </w:rPr>
        <w:t xml:space="preserve">new </w:t>
      </w:r>
      <w:r w:rsidRPr="00D93FF9">
        <w:rPr>
          <w:spacing w:val="-4"/>
          <w:lang w:val="en-GB"/>
        </w:rPr>
        <w:t xml:space="preserve">hydrologic </w:t>
      </w:r>
      <w:r w:rsidR="006F34CF" w:rsidRPr="00D93FF9">
        <w:rPr>
          <w:spacing w:val="-4"/>
          <w:lang w:val="en-GB"/>
        </w:rPr>
        <w:t xml:space="preserve">and solute </w:t>
      </w:r>
      <w:r w:rsidRPr="00D93FF9">
        <w:rPr>
          <w:lang w:val="en-GB"/>
        </w:rPr>
        <w:t>equilibrium</w:t>
      </w:r>
      <w:r w:rsidR="006F34CF" w:rsidRPr="00D93FF9">
        <w:rPr>
          <w:lang w:val="en-GB"/>
        </w:rPr>
        <w:t>s</w:t>
      </w:r>
      <w:r w:rsidRPr="00D93FF9">
        <w:rPr>
          <w:lang w:val="en-GB"/>
        </w:rPr>
        <w:t xml:space="preserve"> </w:t>
      </w:r>
      <w:r w:rsidR="006F34CF" w:rsidRPr="00D93FF9">
        <w:rPr>
          <w:lang w:val="en-GB"/>
        </w:rPr>
        <w:t xml:space="preserve">are </w:t>
      </w:r>
      <w:r w:rsidRPr="00D93FF9">
        <w:rPr>
          <w:lang w:val="en-GB"/>
        </w:rPr>
        <w:t>established with a subsequent translocation of salt to</w:t>
      </w:r>
      <w:r w:rsidR="00E26BEC" w:rsidRPr="00D93FF9">
        <w:rPr>
          <w:lang w:val="en-GB"/>
        </w:rPr>
        <w:t>/from</w:t>
      </w:r>
      <w:r w:rsidRPr="00D93FF9">
        <w:rPr>
          <w:lang w:val="en-GB"/>
        </w:rPr>
        <w:t xml:space="preserve"> the soil </w:t>
      </w:r>
      <w:r w:rsidR="006F34CF" w:rsidRPr="00D93FF9">
        <w:rPr>
          <w:lang w:val="en-GB"/>
        </w:rPr>
        <w:t>and</w:t>
      </w:r>
      <w:r w:rsidR="00E26BEC" w:rsidRPr="00D93FF9">
        <w:rPr>
          <w:lang w:val="en-GB"/>
        </w:rPr>
        <w:t xml:space="preserve"> the receiving</w:t>
      </w:r>
      <w:r w:rsidRPr="00D93FF9">
        <w:rPr>
          <w:lang w:val="en-GB"/>
        </w:rPr>
        <w:t xml:space="preserve"> </w:t>
      </w:r>
      <w:r w:rsidRPr="00D93FF9">
        <w:rPr>
          <w:spacing w:val="-3"/>
          <w:lang w:val="en-GB"/>
        </w:rPr>
        <w:t>water environment.</w:t>
      </w:r>
    </w:p>
    <w:p w14:paraId="59DCC40C" w14:textId="77777777" w:rsidR="005343CC" w:rsidRPr="00D93FF9" w:rsidRDefault="00E811B8" w:rsidP="003807A1">
      <w:pPr>
        <w:pStyle w:val="BodyText"/>
        <w:spacing w:after="0" w:line="266" w:lineRule="auto"/>
        <w:jc w:val="both"/>
        <w:rPr>
          <w:spacing w:val="-3"/>
          <w:lang w:val="en-GB"/>
        </w:rPr>
      </w:pPr>
      <w:r w:rsidRPr="00D93FF9">
        <w:rPr>
          <w:spacing w:val="-3"/>
          <w:lang w:val="en-GB"/>
        </w:rPr>
        <w:t>There are two different situations leading to soil salinization</w:t>
      </w:r>
      <w:r w:rsidR="006E64F6" w:rsidRPr="00D93FF9">
        <w:rPr>
          <w:spacing w:val="-3"/>
          <w:lang w:val="en-GB"/>
        </w:rPr>
        <w:t xml:space="preserve"> due to irrigation</w:t>
      </w:r>
      <w:r w:rsidRPr="00D93FF9">
        <w:rPr>
          <w:spacing w:val="-3"/>
          <w:lang w:val="en-GB"/>
        </w:rPr>
        <w:t>:</w:t>
      </w:r>
    </w:p>
    <w:p w14:paraId="59DCC40D" w14:textId="4C561824" w:rsidR="0043772E" w:rsidRPr="00D93FF9" w:rsidRDefault="00E811B8" w:rsidP="00AC6997">
      <w:pPr>
        <w:pStyle w:val="BodyText"/>
        <w:spacing w:after="0" w:line="266" w:lineRule="auto"/>
        <w:jc w:val="both"/>
        <w:rPr>
          <w:lang w:val="en-GB"/>
        </w:rPr>
      </w:pPr>
      <w:r w:rsidRPr="00D93FF9">
        <w:rPr>
          <w:lang w:val="en-GB"/>
        </w:rPr>
        <w:t xml:space="preserve">Under general irrigation practice, the addition of water can result in the </w:t>
      </w:r>
      <w:r w:rsidR="00E26BEC" w:rsidRPr="00D93FF9">
        <w:rPr>
          <w:lang w:val="en-GB"/>
        </w:rPr>
        <w:t xml:space="preserve">elevation of the local watertable, </w:t>
      </w:r>
      <w:r w:rsidRPr="00D93FF9">
        <w:rPr>
          <w:lang w:val="en-GB"/>
        </w:rPr>
        <w:t xml:space="preserve">creating potential </w:t>
      </w:r>
      <w:r w:rsidR="00E26BEC" w:rsidRPr="00D93FF9">
        <w:rPr>
          <w:lang w:val="en-GB"/>
        </w:rPr>
        <w:t>capillary rise of water and salt into the crop root zone and/or soil surface. E</w:t>
      </w:r>
      <w:r w:rsidRPr="00D93FF9">
        <w:rPr>
          <w:spacing w:val="-3"/>
          <w:lang w:val="en-GB"/>
        </w:rPr>
        <w:t xml:space="preserve">ven a low salinity </w:t>
      </w:r>
      <w:r w:rsidR="00E26BEC" w:rsidRPr="00D93FF9">
        <w:rPr>
          <w:spacing w:val="-3"/>
          <w:lang w:val="en-GB"/>
        </w:rPr>
        <w:t xml:space="preserve">ground </w:t>
      </w:r>
      <w:r w:rsidRPr="00D93FF9">
        <w:rPr>
          <w:spacing w:val="-3"/>
          <w:lang w:val="en-GB"/>
        </w:rPr>
        <w:t xml:space="preserve">water can cause root zone and surface salting. </w:t>
      </w:r>
    </w:p>
    <w:p w14:paraId="59DCC40E" w14:textId="77777777" w:rsidR="0043772E" w:rsidRPr="00D93FF9" w:rsidRDefault="00E811B8" w:rsidP="0043772E">
      <w:pPr>
        <w:pStyle w:val="BodyText"/>
        <w:spacing w:after="0" w:line="266" w:lineRule="auto"/>
        <w:jc w:val="both"/>
        <w:rPr>
          <w:spacing w:val="-3"/>
          <w:lang w:val="en-GB"/>
        </w:rPr>
      </w:pPr>
      <w:r w:rsidRPr="00D93FF9">
        <w:rPr>
          <w:spacing w:val="-3"/>
          <w:lang w:val="en-GB"/>
        </w:rPr>
        <w:t xml:space="preserve">Soil salinity increase can also </w:t>
      </w:r>
      <w:r w:rsidR="00E26BEC" w:rsidRPr="00D93FF9">
        <w:rPr>
          <w:spacing w:val="-3"/>
          <w:lang w:val="en-GB"/>
        </w:rPr>
        <w:t xml:space="preserve">occur from insufficient leaching </w:t>
      </w:r>
      <w:r w:rsidR="008E0216" w:rsidRPr="00D93FF9">
        <w:rPr>
          <w:spacing w:val="-3"/>
          <w:lang w:val="en-GB"/>
        </w:rPr>
        <w:t xml:space="preserve">of the salt </w:t>
      </w:r>
      <w:r w:rsidR="00E26BEC" w:rsidRPr="00D93FF9">
        <w:rPr>
          <w:spacing w:val="-3"/>
          <w:lang w:val="en-GB"/>
        </w:rPr>
        <w:t xml:space="preserve">added in the irrigation water. </w:t>
      </w:r>
    </w:p>
    <w:p w14:paraId="59DCC40F" w14:textId="77777777" w:rsidR="00C46175" w:rsidRPr="00D93FF9" w:rsidRDefault="00E811B8" w:rsidP="003807A1">
      <w:pPr>
        <w:pStyle w:val="BodyText"/>
        <w:spacing w:after="0" w:line="266" w:lineRule="auto"/>
        <w:jc w:val="both"/>
        <w:rPr>
          <w:lang w:val="en-GB"/>
        </w:rPr>
      </w:pPr>
      <w:r w:rsidRPr="00D93FF9">
        <w:rPr>
          <w:spacing w:val="-3"/>
          <w:lang w:val="en-GB"/>
        </w:rPr>
        <w:t xml:space="preserve">In both cases, </w:t>
      </w:r>
      <w:r w:rsidRPr="00D93FF9">
        <w:rPr>
          <w:lang w:val="en-GB"/>
        </w:rPr>
        <w:t>o</w:t>
      </w:r>
      <w:r w:rsidR="00E90CE0" w:rsidRPr="00D93FF9">
        <w:rPr>
          <w:lang w:val="en-GB"/>
        </w:rPr>
        <w:t>ff-site degradation of surface or groundwaters may occur</w:t>
      </w:r>
      <w:r w:rsidRPr="00D93FF9">
        <w:rPr>
          <w:lang w:val="en-GB"/>
        </w:rPr>
        <w:t xml:space="preserve">, as well as </w:t>
      </w:r>
      <w:r w:rsidR="00E90CE0" w:rsidRPr="00D93FF9">
        <w:rPr>
          <w:spacing w:val="-3"/>
          <w:lang w:val="en-GB"/>
        </w:rPr>
        <w:t>reduced</w:t>
      </w:r>
      <w:r w:rsidR="00E90CE0" w:rsidRPr="00D93FF9">
        <w:rPr>
          <w:spacing w:val="-4"/>
          <w:lang w:val="en-GB"/>
        </w:rPr>
        <w:t xml:space="preserve"> </w:t>
      </w:r>
      <w:r w:rsidR="00E90CE0" w:rsidRPr="00D93FF9">
        <w:rPr>
          <w:lang w:val="en-GB"/>
        </w:rPr>
        <w:t>crop</w:t>
      </w:r>
      <w:r w:rsidR="00E90CE0" w:rsidRPr="00D93FF9">
        <w:rPr>
          <w:spacing w:val="-4"/>
          <w:lang w:val="en-GB"/>
        </w:rPr>
        <w:t xml:space="preserve"> </w:t>
      </w:r>
      <w:r w:rsidR="00E90CE0" w:rsidRPr="00D93FF9">
        <w:rPr>
          <w:spacing w:val="-3"/>
          <w:lang w:val="en-GB"/>
        </w:rPr>
        <w:t>yield</w:t>
      </w:r>
      <w:r w:rsidR="00E90CE0" w:rsidRPr="00D93FF9">
        <w:rPr>
          <w:spacing w:val="-4"/>
          <w:lang w:val="en-GB"/>
        </w:rPr>
        <w:t xml:space="preserve"> </w:t>
      </w:r>
      <w:r w:rsidR="00E90CE0" w:rsidRPr="00D93FF9">
        <w:rPr>
          <w:lang w:val="en-GB"/>
        </w:rPr>
        <w:t>and</w:t>
      </w:r>
      <w:r w:rsidR="00E90CE0" w:rsidRPr="00D93FF9">
        <w:rPr>
          <w:spacing w:val="-5"/>
          <w:lang w:val="en-GB"/>
        </w:rPr>
        <w:t xml:space="preserve"> </w:t>
      </w:r>
      <w:r w:rsidR="00E90CE0" w:rsidRPr="00D93FF9">
        <w:rPr>
          <w:lang w:val="en-GB"/>
        </w:rPr>
        <w:t>land</w:t>
      </w:r>
      <w:r w:rsidR="00E90CE0" w:rsidRPr="00D93FF9">
        <w:rPr>
          <w:spacing w:val="-4"/>
          <w:lang w:val="en-GB"/>
        </w:rPr>
        <w:t xml:space="preserve"> </w:t>
      </w:r>
      <w:r w:rsidR="00E90CE0" w:rsidRPr="00D93FF9">
        <w:rPr>
          <w:spacing w:val="-3"/>
          <w:lang w:val="en-GB"/>
        </w:rPr>
        <w:t>degradation.</w:t>
      </w:r>
    </w:p>
    <w:p w14:paraId="59DCC410" w14:textId="78F440AF" w:rsidR="00C46175" w:rsidRPr="00D93FF9" w:rsidRDefault="00E811B8" w:rsidP="00AC6997">
      <w:pPr>
        <w:pStyle w:val="BodyText"/>
        <w:spacing w:before="60" w:after="0" w:line="266" w:lineRule="auto"/>
        <w:jc w:val="both"/>
        <w:rPr>
          <w:lang w:val="en-GB"/>
        </w:rPr>
      </w:pPr>
      <w:r w:rsidRPr="00D93FF9">
        <w:rPr>
          <w:lang w:val="en-GB"/>
        </w:rPr>
        <w:t>This process of salt accumulation is referred to as salinisation and is a major concern in the degradation of agricultural lands in Australia. In the Murray–Darling Basin in 1987, it was estimated that 96</w:t>
      </w:r>
      <w:r w:rsidR="00FD6C92" w:rsidRPr="00D93FF9">
        <w:rPr>
          <w:lang w:val="en-GB"/>
        </w:rPr>
        <w:t>,</w:t>
      </w:r>
      <w:r w:rsidRPr="00D93FF9">
        <w:rPr>
          <w:lang w:val="en-GB"/>
        </w:rPr>
        <w:t>000 hectares of the irrigated land was salt-affected and 560</w:t>
      </w:r>
      <w:r w:rsidR="00FD6C92" w:rsidRPr="00D93FF9">
        <w:rPr>
          <w:lang w:val="en-GB"/>
        </w:rPr>
        <w:t>,</w:t>
      </w:r>
      <w:r w:rsidRPr="00D93FF9">
        <w:rPr>
          <w:lang w:val="en-GB"/>
        </w:rPr>
        <w:t xml:space="preserve">000 hectares had watertables within two metres of the </w:t>
      </w:r>
      <w:r w:rsidR="00E26BEC" w:rsidRPr="00D93FF9">
        <w:rPr>
          <w:lang w:val="en-GB"/>
        </w:rPr>
        <w:t>soil</w:t>
      </w:r>
      <w:r w:rsidRPr="00D93FF9">
        <w:rPr>
          <w:lang w:val="en-GB"/>
        </w:rPr>
        <w:t xml:space="preserve"> surface</w:t>
      </w:r>
      <w:r w:rsidR="00204E27" w:rsidRPr="00D93FF9">
        <w:rPr>
          <w:lang w:val="en-GB"/>
        </w:rPr>
        <w:t xml:space="preserve"> and this could increase to 869,000 hectares by 2015 (MDBA 2015)</w:t>
      </w:r>
      <w:r w:rsidRPr="00D93FF9">
        <w:rPr>
          <w:lang w:val="en-GB"/>
        </w:rPr>
        <w:t xml:space="preserve">. Salinisation problems related to both dryland and irrigation practices have now been observed in all Australian States and Territories. In New Zealand, irrigation is associated with changes in land use from dryland stock systems to much more intensive horticultural crop and animal systems. </w:t>
      </w:r>
    </w:p>
    <w:p w14:paraId="59DCC411" w14:textId="5611637C" w:rsidR="00C46175" w:rsidRPr="00D93FF9" w:rsidRDefault="00E811B8" w:rsidP="00AC6997">
      <w:pPr>
        <w:pStyle w:val="BodyText"/>
        <w:spacing w:before="60" w:after="0" w:line="266" w:lineRule="auto"/>
        <w:jc w:val="both"/>
        <w:rPr>
          <w:lang w:val="en-GB"/>
        </w:rPr>
      </w:pPr>
      <w:r w:rsidRPr="00D93FF9">
        <w:rPr>
          <w:lang w:val="en-GB"/>
        </w:rPr>
        <w:t xml:space="preserve">Sodicity is a condition </w:t>
      </w:r>
      <w:r w:rsidR="003A0347" w:rsidRPr="00D93FF9">
        <w:rPr>
          <w:lang w:val="en-GB"/>
        </w:rPr>
        <w:t xml:space="preserve">that </w:t>
      </w:r>
      <w:r w:rsidRPr="00D93FF9">
        <w:rPr>
          <w:lang w:val="en-GB"/>
        </w:rPr>
        <w:t xml:space="preserve">degrades soil properties by </w:t>
      </w:r>
      <w:r w:rsidR="003A0347" w:rsidRPr="00D93FF9">
        <w:rPr>
          <w:lang w:val="en-GB"/>
        </w:rPr>
        <w:t xml:space="preserve">promoting enhanced </w:t>
      </w:r>
      <w:r w:rsidR="00FB5C36" w:rsidRPr="00D93FF9">
        <w:rPr>
          <w:lang w:val="en-GB"/>
        </w:rPr>
        <w:t xml:space="preserve">swelling of clay particles </w:t>
      </w:r>
      <w:r w:rsidR="003A0347" w:rsidRPr="00D93FF9">
        <w:rPr>
          <w:lang w:val="en-GB"/>
        </w:rPr>
        <w:t xml:space="preserve">leading to </w:t>
      </w:r>
      <w:r w:rsidR="00FB5C36" w:rsidRPr="00D93FF9">
        <w:rPr>
          <w:lang w:val="en-GB"/>
        </w:rPr>
        <w:t>clay dispersion</w:t>
      </w:r>
      <w:r w:rsidR="003A0347" w:rsidRPr="00D93FF9">
        <w:rPr>
          <w:lang w:val="en-GB"/>
        </w:rPr>
        <w:t xml:space="preserve"> from soil aggregates. This dispersion </w:t>
      </w:r>
      <w:r w:rsidR="00FB5C36" w:rsidRPr="00D93FF9">
        <w:rPr>
          <w:lang w:val="en-GB"/>
        </w:rPr>
        <w:t>reduc</w:t>
      </w:r>
      <w:r w:rsidR="003A0347" w:rsidRPr="00D93FF9">
        <w:rPr>
          <w:lang w:val="en-GB"/>
        </w:rPr>
        <w:t>es</w:t>
      </w:r>
      <w:r w:rsidR="00FB5C36" w:rsidRPr="00D93FF9">
        <w:rPr>
          <w:lang w:val="en-GB"/>
        </w:rPr>
        <w:t xml:space="preserve"> soil structure</w:t>
      </w:r>
      <w:r w:rsidR="003A0347" w:rsidRPr="00D93FF9">
        <w:rPr>
          <w:lang w:val="en-GB"/>
        </w:rPr>
        <w:t xml:space="preserve"> (i</w:t>
      </w:r>
      <w:r w:rsidR="0006688D" w:rsidRPr="00D93FF9">
        <w:rPr>
          <w:lang w:val="en-GB"/>
        </w:rPr>
        <w:t>.</w:t>
      </w:r>
      <w:r w:rsidR="003A0347" w:rsidRPr="00D93FF9">
        <w:rPr>
          <w:lang w:val="en-GB"/>
        </w:rPr>
        <w:t>e</w:t>
      </w:r>
      <w:r w:rsidR="0006688D" w:rsidRPr="00D93FF9">
        <w:rPr>
          <w:lang w:val="en-GB"/>
        </w:rPr>
        <w:t>.</w:t>
      </w:r>
      <w:r w:rsidR="003A0347" w:rsidRPr="00D93FF9">
        <w:rPr>
          <w:lang w:val="en-GB"/>
        </w:rPr>
        <w:t xml:space="preserve"> tilth)</w:t>
      </w:r>
      <w:r w:rsidR="00FB5C36" w:rsidRPr="00D93FF9">
        <w:rPr>
          <w:lang w:val="en-GB"/>
        </w:rPr>
        <w:t>,</w:t>
      </w:r>
      <w:r w:rsidRPr="00D93FF9">
        <w:rPr>
          <w:lang w:val="en-GB"/>
        </w:rPr>
        <w:t xml:space="preserve"> hydraulic conductivity (the ability of the soil to</w:t>
      </w:r>
      <w:bookmarkStart w:id="46" w:name="9.2.3.2__Factors_affecting_irrigation_sa"/>
      <w:bookmarkEnd w:id="46"/>
      <w:r w:rsidR="006F34CF" w:rsidRPr="00D93FF9">
        <w:rPr>
          <w:lang w:val="en-GB"/>
        </w:rPr>
        <w:t xml:space="preserve"> </w:t>
      </w:r>
      <w:r w:rsidRPr="00D93FF9">
        <w:rPr>
          <w:lang w:val="en-GB"/>
        </w:rPr>
        <w:t>conduct water)</w:t>
      </w:r>
      <w:r w:rsidR="00B41D5D" w:rsidRPr="00D93FF9">
        <w:rPr>
          <w:lang w:val="en-GB"/>
        </w:rPr>
        <w:t>, impedes internal drainage</w:t>
      </w:r>
      <w:r w:rsidR="00FB5C36" w:rsidRPr="00D93FF9">
        <w:rPr>
          <w:lang w:val="en-GB"/>
        </w:rPr>
        <w:t xml:space="preserve"> and restrict</w:t>
      </w:r>
      <w:r w:rsidR="00B41D5D" w:rsidRPr="00D93FF9">
        <w:rPr>
          <w:lang w:val="en-GB"/>
        </w:rPr>
        <w:t>s</w:t>
      </w:r>
      <w:r w:rsidR="00FB5C36" w:rsidRPr="00D93FF9">
        <w:rPr>
          <w:lang w:val="en-GB"/>
        </w:rPr>
        <w:t xml:space="preserve"> water entry </w:t>
      </w:r>
      <w:r w:rsidR="00B41D5D" w:rsidRPr="00D93FF9">
        <w:rPr>
          <w:lang w:val="en-GB"/>
        </w:rPr>
        <w:t xml:space="preserve">and seedling emergence due to </w:t>
      </w:r>
      <w:r w:rsidR="00FB5C36" w:rsidRPr="00D93FF9">
        <w:rPr>
          <w:lang w:val="en-GB"/>
        </w:rPr>
        <w:t>hydraulically retarding soil crusts</w:t>
      </w:r>
      <w:r w:rsidRPr="00D93FF9">
        <w:rPr>
          <w:lang w:val="en-GB"/>
        </w:rPr>
        <w:t xml:space="preserve">. </w:t>
      </w:r>
    </w:p>
    <w:p w14:paraId="59DCC412" w14:textId="2BC02A67" w:rsidR="00C46175" w:rsidRPr="00D93FF9" w:rsidRDefault="00E811B8" w:rsidP="003807A1">
      <w:pPr>
        <w:pStyle w:val="BodyText"/>
        <w:spacing w:after="0" w:line="266" w:lineRule="auto"/>
        <w:jc w:val="both"/>
        <w:rPr>
          <w:lang w:val="en-GB"/>
        </w:rPr>
      </w:pPr>
      <w:r w:rsidRPr="00D93FF9">
        <w:rPr>
          <w:lang w:val="en-GB"/>
        </w:rPr>
        <w:t>A high</w:t>
      </w:r>
      <w:r w:rsidR="006F34CF" w:rsidRPr="00D93FF9">
        <w:rPr>
          <w:lang w:val="en-GB"/>
        </w:rPr>
        <w:t>er</w:t>
      </w:r>
      <w:r w:rsidRPr="00D93FF9">
        <w:rPr>
          <w:lang w:val="en-GB"/>
        </w:rPr>
        <w:t xml:space="preserve"> proportion of sodium </w:t>
      </w:r>
      <w:r w:rsidR="00441473" w:rsidRPr="00D93FF9">
        <w:rPr>
          <w:lang w:val="en-GB"/>
        </w:rPr>
        <w:t xml:space="preserve">on the </w:t>
      </w:r>
      <w:r w:rsidRPr="00D93FF9">
        <w:rPr>
          <w:lang w:val="en-GB"/>
        </w:rPr>
        <w:t xml:space="preserve">soil </w:t>
      </w:r>
      <w:r w:rsidR="00441473" w:rsidRPr="00D93FF9">
        <w:rPr>
          <w:lang w:val="en-GB"/>
        </w:rPr>
        <w:t>exchange complex (ie CEC) promotes clay</w:t>
      </w:r>
      <w:r w:rsidRPr="00D93FF9">
        <w:rPr>
          <w:lang w:val="en-GB"/>
        </w:rPr>
        <w:t xml:space="preserve"> dispersion and, once dry, soils </w:t>
      </w:r>
      <w:r w:rsidR="006F34CF" w:rsidRPr="00D93FF9">
        <w:rPr>
          <w:lang w:val="en-GB"/>
        </w:rPr>
        <w:t xml:space="preserve">usually </w:t>
      </w:r>
      <w:r w:rsidRPr="00D93FF9">
        <w:rPr>
          <w:lang w:val="en-GB"/>
        </w:rPr>
        <w:t xml:space="preserve">become dense, cloddy </w:t>
      </w:r>
      <w:r w:rsidR="006F34CF" w:rsidRPr="00D93FF9">
        <w:rPr>
          <w:lang w:val="en-GB"/>
        </w:rPr>
        <w:t>with a much reduced tilth because of destruction of the</w:t>
      </w:r>
      <w:r w:rsidRPr="00D93FF9">
        <w:rPr>
          <w:lang w:val="en-GB"/>
        </w:rPr>
        <w:t xml:space="preserve"> natural </w:t>
      </w:r>
      <w:r w:rsidR="00441473" w:rsidRPr="00D93FF9">
        <w:rPr>
          <w:lang w:val="en-GB"/>
        </w:rPr>
        <w:t xml:space="preserve">soil </w:t>
      </w:r>
      <w:r w:rsidRPr="00D93FF9">
        <w:rPr>
          <w:lang w:val="en-GB"/>
        </w:rPr>
        <w:t>aggregation</w:t>
      </w:r>
      <w:r w:rsidR="006F34CF" w:rsidRPr="00D93FF9">
        <w:rPr>
          <w:lang w:val="en-GB"/>
        </w:rPr>
        <w:t xml:space="preserve"> processes</w:t>
      </w:r>
      <w:r w:rsidRPr="00D93FF9">
        <w:rPr>
          <w:lang w:val="en-GB"/>
        </w:rPr>
        <w:t xml:space="preserve">. Because the relative proportions of exchangeable cations in a </w:t>
      </w:r>
      <w:r w:rsidR="00441473" w:rsidRPr="00D93FF9">
        <w:rPr>
          <w:lang w:val="en-GB"/>
        </w:rPr>
        <w:t xml:space="preserve">soil </w:t>
      </w:r>
      <w:r w:rsidRPr="00D93FF9">
        <w:rPr>
          <w:lang w:val="en-GB"/>
        </w:rPr>
        <w:t>are determined by the relative concentration of</w:t>
      </w:r>
      <w:r w:rsidR="00A17472" w:rsidRPr="00D93FF9">
        <w:rPr>
          <w:lang w:val="en-GB"/>
        </w:rPr>
        <w:t xml:space="preserve"> </w:t>
      </w:r>
      <w:r w:rsidRPr="00D93FF9">
        <w:rPr>
          <w:lang w:val="en-GB"/>
        </w:rPr>
        <w:t xml:space="preserve">cations </w:t>
      </w:r>
      <w:r w:rsidR="00476073" w:rsidRPr="00D93FF9">
        <w:rPr>
          <w:lang w:val="en-GB"/>
        </w:rPr>
        <w:t xml:space="preserve">Ca, Mg and Na </w:t>
      </w:r>
      <w:r w:rsidRPr="00D93FF9">
        <w:rPr>
          <w:lang w:val="en-GB"/>
        </w:rPr>
        <w:t>in the soil solution</w:t>
      </w:r>
      <w:r w:rsidR="00441473" w:rsidRPr="00D93FF9">
        <w:rPr>
          <w:lang w:val="en-GB"/>
        </w:rPr>
        <w:t xml:space="preserve"> (as </w:t>
      </w:r>
      <w:r w:rsidR="00441473" w:rsidRPr="00D93FF9">
        <w:rPr>
          <w:lang w:val="en-GB"/>
        </w:rPr>
        <w:lastRenderedPageBreak/>
        <w:t xml:space="preserve">measured by its </w:t>
      </w:r>
      <w:r w:rsidR="00EB2887" w:rsidRPr="00D93FF9">
        <w:rPr>
          <w:lang w:val="en-GB"/>
        </w:rPr>
        <w:t>Sodium Adsorption Ratio (</w:t>
      </w:r>
      <w:r w:rsidR="00441473" w:rsidRPr="00D93FF9">
        <w:rPr>
          <w:lang w:val="en-GB"/>
        </w:rPr>
        <w:t>SAR</w:t>
      </w:r>
      <w:r w:rsidR="00EB2887" w:rsidRPr="00D93FF9">
        <w:rPr>
          <w:lang w:val="en-GB"/>
        </w:rPr>
        <w:t>)</w:t>
      </w:r>
      <w:r w:rsidR="00441473" w:rsidRPr="00D93FF9">
        <w:rPr>
          <w:lang w:val="en-GB"/>
        </w:rPr>
        <w:t>)</w:t>
      </w:r>
      <w:r w:rsidRPr="00D93FF9">
        <w:rPr>
          <w:lang w:val="en-GB"/>
        </w:rPr>
        <w:t>, the composition of irrigation water influence</w:t>
      </w:r>
      <w:r w:rsidR="006F34CF" w:rsidRPr="00D93FF9">
        <w:rPr>
          <w:lang w:val="en-GB"/>
        </w:rPr>
        <w:t>s</w:t>
      </w:r>
      <w:r w:rsidRPr="00D93FF9">
        <w:rPr>
          <w:lang w:val="en-GB"/>
        </w:rPr>
        <w:t xml:space="preserve"> soil sodicity (Rengasamy </w:t>
      </w:r>
      <w:r w:rsidR="00FA6E9E" w:rsidRPr="00D93FF9">
        <w:rPr>
          <w:lang w:val="en-GB"/>
        </w:rPr>
        <w:t>and</w:t>
      </w:r>
      <w:r w:rsidRPr="00D93FF9">
        <w:rPr>
          <w:lang w:val="en-GB"/>
        </w:rPr>
        <w:t xml:space="preserve"> Olsson 1995).</w:t>
      </w:r>
      <w:r w:rsidR="00EB2887" w:rsidRPr="00D93FF9">
        <w:rPr>
          <w:lang w:val="en-GB"/>
        </w:rPr>
        <w:t xml:space="preserve"> </w:t>
      </w:r>
    </w:p>
    <w:p w14:paraId="1B08192B" w14:textId="77777777" w:rsidR="00E24896" w:rsidRPr="00D93FF9" w:rsidRDefault="00E811B8" w:rsidP="001A58CB">
      <w:pPr>
        <w:rPr>
          <w:lang w:val="en-GB"/>
        </w:rPr>
      </w:pPr>
      <w:r w:rsidRPr="00D93FF9">
        <w:rPr>
          <w:lang w:val="en-GB"/>
        </w:rPr>
        <w:t xml:space="preserve">Sodicity </w:t>
      </w:r>
      <w:r w:rsidR="00476073" w:rsidRPr="00D93FF9">
        <w:rPr>
          <w:lang w:val="en-GB"/>
        </w:rPr>
        <w:t>of a soil is measured by the Exchangeable Sodium Percentage (ESP) whils</w:t>
      </w:r>
      <w:r w:rsidR="0003615B" w:rsidRPr="00D93FF9">
        <w:rPr>
          <w:lang w:val="en-GB"/>
        </w:rPr>
        <w:t>t</w:t>
      </w:r>
      <w:r w:rsidR="00476073" w:rsidRPr="00D93FF9">
        <w:rPr>
          <w:lang w:val="en-GB"/>
        </w:rPr>
        <w:t xml:space="preserve"> that of the irrigation water is measured by its SAR.</w:t>
      </w:r>
      <w:r w:rsidRPr="00D93FF9">
        <w:rPr>
          <w:lang w:val="en-GB"/>
        </w:rPr>
        <w:t xml:space="preserve"> </w:t>
      </w:r>
    </w:p>
    <w:p w14:paraId="59DCC414" w14:textId="1934D625" w:rsidR="00C46175" w:rsidRPr="00D93FF9" w:rsidRDefault="00E811B8" w:rsidP="00CC3C40">
      <w:pPr>
        <w:pStyle w:val="Heading3"/>
        <w:rPr>
          <w:lang w:val="en-GB"/>
        </w:rPr>
      </w:pPr>
      <w:bookmarkStart w:id="47" w:name="_Toc96693572"/>
      <w:r w:rsidRPr="00D93FF9">
        <w:t>Factors</w:t>
      </w:r>
      <w:r w:rsidRPr="00D93FF9">
        <w:rPr>
          <w:lang w:val="en-GB"/>
        </w:rPr>
        <w:t xml:space="preserve"> affecting irrigation salinity</w:t>
      </w:r>
      <w:bookmarkEnd w:id="47"/>
    </w:p>
    <w:p w14:paraId="59DCC415" w14:textId="77777777" w:rsidR="00C46175" w:rsidRPr="00D93FF9" w:rsidRDefault="00E811B8" w:rsidP="003807A1">
      <w:pPr>
        <w:pStyle w:val="BodyText"/>
        <w:spacing w:after="0" w:line="266" w:lineRule="auto"/>
        <w:rPr>
          <w:lang w:val="en-GB"/>
        </w:rPr>
      </w:pPr>
      <w:r w:rsidRPr="00D93FF9">
        <w:rPr>
          <w:lang w:val="en-GB"/>
        </w:rPr>
        <w:t xml:space="preserve">The extent and effect of irrigation water salinity on land </w:t>
      </w:r>
      <w:r w:rsidR="00441473" w:rsidRPr="00D93FF9">
        <w:rPr>
          <w:lang w:val="en-GB"/>
        </w:rPr>
        <w:t xml:space="preserve">salinity </w:t>
      </w:r>
      <w:r w:rsidRPr="00D93FF9">
        <w:rPr>
          <w:lang w:val="en-GB"/>
        </w:rPr>
        <w:t>is dependent on a variety of interactive factors:</w:t>
      </w:r>
    </w:p>
    <w:p w14:paraId="59DCC416" w14:textId="59A44FF3" w:rsidR="00C46175" w:rsidRPr="00D93FF9" w:rsidRDefault="00E811B8" w:rsidP="00873544">
      <w:pPr>
        <w:pStyle w:val="ListBullet"/>
        <w:rPr>
          <w:rFonts w:ascii="Symbol" w:hAnsi="Symbol"/>
          <w:lang w:val="en-GB"/>
        </w:rPr>
      </w:pPr>
      <w:r w:rsidRPr="00D93FF9">
        <w:rPr>
          <w:lang w:val="en-GB"/>
        </w:rPr>
        <w:t>irrigation water quality</w:t>
      </w:r>
      <w:r w:rsidR="007A1AE7" w:rsidRPr="00D93FF9">
        <w:rPr>
          <w:lang w:val="en-GB"/>
        </w:rPr>
        <w:t xml:space="preserve"> and quantity</w:t>
      </w:r>
    </w:p>
    <w:p w14:paraId="59DCC418" w14:textId="77777777" w:rsidR="00C46175" w:rsidRPr="00D93FF9" w:rsidRDefault="00E811B8" w:rsidP="00873544">
      <w:pPr>
        <w:pStyle w:val="ListBullet"/>
        <w:rPr>
          <w:rFonts w:ascii="Symbol" w:hAnsi="Symbol"/>
          <w:lang w:val="en-GB"/>
        </w:rPr>
      </w:pPr>
      <w:r w:rsidRPr="00D93FF9">
        <w:rPr>
          <w:lang w:val="en-GB"/>
        </w:rPr>
        <w:t>soil properties</w:t>
      </w:r>
    </w:p>
    <w:p w14:paraId="59DCC419" w14:textId="77777777" w:rsidR="00C46175" w:rsidRPr="00D93FF9" w:rsidRDefault="00E811B8" w:rsidP="00873544">
      <w:pPr>
        <w:pStyle w:val="ListBullet"/>
        <w:rPr>
          <w:rFonts w:ascii="Symbol" w:hAnsi="Symbol"/>
          <w:lang w:val="en-GB"/>
        </w:rPr>
      </w:pPr>
      <w:r w:rsidRPr="00D93FF9">
        <w:rPr>
          <w:lang w:val="en-GB"/>
        </w:rPr>
        <w:t>plant salt tolerance</w:t>
      </w:r>
    </w:p>
    <w:p w14:paraId="59DCC41A" w14:textId="77777777" w:rsidR="00C46175" w:rsidRPr="00D93FF9" w:rsidRDefault="00E811B8" w:rsidP="00873544">
      <w:pPr>
        <w:pStyle w:val="ListBullet"/>
        <w:rPr>
          <w:rFonts w:ascii="Symbol" w:hAnsi="Symbol"/>
          <w:lang w:val="en-GB"/>
        </w:rPr>
      </w:pPr>
      <w:r w:rsidRPr="00D93FF9">
        <w:rPr>
          <w:lang w:val="en-GB"/>
        </w:rPr>
        <w:t>climate</w:t>
      </w:r>
    </w:p>
    <w:p w14:paraId="59DCC41B" w14:textId="77777777" w:rsidR="00C46175" w:rsidRPr="00D93FF9" w:rsidRDefault="00E811B8" w:rsidP="00873544">
      <w:pPr>
        <w:pStyle w:val="ListBullet"/>
        <w:rPr>
          <w:rFonts w:ascii="Symbol" w:hAnsi="Symbol"/>
          <w:lang w:val="en-GB"/>
        </w:rPr>
      </w:pPr>
      <w:r w:rsidRPr="00D93FF9">
        <w:rPr>
          <w:lang w:val="en-GB"/>
        </w:rPr>
        <w:t>landscape</w:t>
      </w:r>
    </w:p>
    <w:p w14:paraId="59DCC41C" w14:textId="77777777" w:rsidR="00C46175" w:rsidRPr="00D93FF9" w:rsidRDefault="00E811B8" w:rsidP="00873544">
      <w:pPr>
        <w:pStyle w:val="ListBullet"/>
        <w:rPr>
          <w:rFonts w:ascii="Symbol" w:hAnsi="Symbol"/>
          <w:lang w:val="en-GB"/>
        </w:rPr>
      </w:pPr>
      <w:r w:rsidRPr="00D93FF9">
        <w:rPr>
          <w:lang w:val="en-GB"/>
        </w:rPr>
        <w:t xml:space="preserve">irrigation </w:t>
      </w:r>
      <w:r w:rsidR="00481DD9" w:rsidRPr="00D93FF9">
        <w:rPr>
          <w:lang w:val="en-GB"/>
        </w:rPr>
        <w:t xml:space="preserve">and soil </w:t>
      </w:r>
      <w:r w:rsidRPr="00D93FF9">
        <w:rPr>
          <w:lang w:val="en-GB"/>
        </w:rPr>
        <w:t>management</w:t>
      </w:r>
      <w:r w:rsidRPr="00D93FF9">
        <w:rPr>
          <w:spacing w:val="-1"/>
          <w:lang w:val="en-GB"/>
        </w:rPr>
        <w:t xml:space="preserve"> </w:t>
      </w:r>
      <w:r w:rsidRPr="00D93FF9">
        <w:rPr>
          <w:lang w:val="en-GB"/>
        </w:rPr>
        <w:t>practices.</w:t>
      </w:r>
    </w:p>
    <w:p w14:paraId="59DCC41D" w14:textId="16DEB276" w:rsidR="00C46175" w:rsidRPr="00D93FF9" w:rsidRDefault="00E811B8" w:rsidP="003807A1">
      <w:pPr>
        <w:pStyle w:val="BodyText"/>
        <w:spacing w:after="0" w:line="266" w:lineRule="auto"/>
        <w:jc w:val="both"/>
        <w:rPr>
          <w:lang w:val="en-GB"/>
        </w:rPr>
      </w:pPr>
      <w:r w:rsidRPr="00D93FF9">
        <w:rPr>
          <w:lang w:val="en-GB"/>
        </w:rPr>
        <w:t xml:space="preserve">These are discussed separately within this Section to allow a better understanding of the processes involved. The methodology </w:t>
      </w:r>
      <w:r w:rsidR="00441473" w:rsidRPr="00D93FF9">
        <w:rPr>
          <w:lang w:val="en-GB"/>
        </w:rPr>
        <w:t xml:space="preserve">described </w:t>
      </w:r>
      <w:r w:rsidRPr="00D93FF9">
        <w:rPr>
          <w:lang w:val="en-GB"/>
        </w:rPr>
        <w:t xml:space="preserve">here </w:t>
      </w:r>
      <w:r w:rsidR="00B41D5D" w:rsidRPr="00D93FF9">
        <w:rPr>
          <w:lang w:val="en-GB"/>
        </w:rPr>
        <w:t xml:space="preserve">aims </w:t>
      </w:r>
      <w:r w:rsidRPr="00D93FF9">
        <w:rPr>
          <w:lang w:val="en-GB"/>
        </w:rPr>
        <w:t>to assess a realistic irrigation environment, through increased emphasis on the role of soil properties in sustainable irrigation</w:t>
      </w:r>
      <w:r w:rsidR="00210C21" w:rsidRPr="00D93FF9">
        <w:rPr>
          <w:lang w:val="en-GB"/>
        </w:rPr>
        <w:t>.</w:t>
      </w:r>
      <w:r w:rsidR="001758C8" w:rsidRPr="00D93FF9">
        <w:rPr>
          <w:lang w:val="en-GB"/>
        </w:rPr>
        <w:t xml:space="preserve"> </w:t>
      </w:r>
      <w:r w:rsidR="002C72B2" w:rsidRPr="00D93FF9">
        <w:rPr>
          <w:lang w:val="en-GB"/>
        </w:rPr>
        <w:fldChar w:fldCharType="begin"/>
      </w:r>
      <w:r w:rsidR="002C72B2" w:rsidRPr="00D93FF9">
        <w:rPr>
          <w:lang w:val="en-GB"/>
        </w:rPr>
        <w:instrText xml:space="preserve"> REF _Ref87981552 \h  \* MERGEFORMAT </w:instrText>
      </w:r>
      <w:r w:rsidR="002C72B2" w:rsidRPr="00D93FF9">
        <w:rPr>
          <w:lang w:val="en-GB"/>
        </w:rPr>
      </w:r>
      <w:r w:rsidR="002C72B2" w:rsidRPr="00D93FF9">
        <w:rPr>
          <w:lang w:val="en-GB"/>
        </w:rPr>
        <w:fldChar w:fldCharType="separate"/>
      </w:r>
      <w:r w:rsidR="0069302C" w:rsidRPr="0069302C">
        <w:t xml:space="preserve">Figure </w:t>
      </w:r>
      <w:r w:rsidR="0069302C" w:rsidRPr="0069302C">
        <w:rPr>
          <w:noProof/>
        </w:rPr>
        <w:t>1</w:t>
      </w:r>
      <w:r w:rsidR="002C72B2" w:rsidRPr="00D93FF9">
        <w:rPr>
          <w:lang w:val="en-GB"/>
        </w:rPr>
        <w:fldChar w:fldCharType="end"/>
      </w:r>
      <w:r w:rsidR="002C72B2" w:rsidRPr="00D93FF9">
        <w:rPr>
          <w:lang w:val="en-GB"/>
        </w:rPr>
        <w:t xml:space="preserve"> </w:t>
      </w:r>
      <w:r w:rsidRPr="00D93FF9">
        <w:rPr>
          <w:lang w:val="en-GB"/>
        </w:rPr>
        <w:t>illustrates the interactions of various processes in relation to salinity and</w:t>
      </w:r>
      <w:r w:rsidRPr="00D93FF9">
        <w:rPr>
          <w:spacing w:val="-3"/>
          <w:lang w:val="en-GB"/>
        </w:rPr>
        <w:t xml:space="preserve"> </w:t>
      </w:r>
      <w:r w:rsidRPr="00D93FF9">
        <w:rPr>
          <w:lang w:val="en-GB"/>
        </w:rPr>
        <w:t>sodicity.</w:t>
      </w:r>
    </w:p>
    <w:p w14:paraId="59DCC41E" w14:textId="77777777" w:rsidR="00C46175" w:rsidRPr="00D93FF9" w:rsidRDefault="00C46175" w:rsidP="003807A1">
      <w:pPr>
        <w:pStyle w:val="BodyText"/>
        <w:spacing w:after="0"/>
        <w:rPr>
          <w:sz w:val="20"/>
          <w:lang w:val="en-GB"/>
        </w:rPr>
      </w:pPr>
    </w:p>
    <w:p w14:paraId="59DCC41F" w14:textId="77777777" w:rsidR="00C46175" w:rsidRPr="00D93FF9" w:rsidRDefault="00E811B8" w:rsidP="00C8469D">
      <w:pPr>
        <w:pStyle w:val="BodyText"/>
        <w:spacing w:after="0"/>
        <w:rPr>
          <w:rFonts w:ascii="Wingdings" w:hAnsi="Wingdings"/>
          <w:sz w:val="24"/>
          <w:lang w:val="en-GB"/>
        </w:rPr>
      </w:pPr>
      <w:r w:rsidRPr="00D93FF9">
        <w:rPr>
          <w:noProof/>
        </w:rPr>
        <w:drawing>
          <wp:inline distT="0" distB="0" distL="0" distR="0" wp14:anchorId="59DCDC27" wp14:editId="6BF30BA5">
            <wp:extent cx="4953000" cy="3905250"/>
            <wp:effectExtent l="0" t="0" r="0" b="0"/>
            <wp:docPr id="92" name="Picture 92" descr="Flow diagram for evaluating salinity and sodicity impacts of irrigation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low diagram for evaluating salinity and sodicity impacts of irrigation water quality."/>
                    <pic:cNvPicPr/>
                  </pic:nvPicPr>
                  <pic:blipFill>
                    <a:blip r:embed="rId21"/>
                    <a:stretch>
                      <a:fillRect/>
                    </a:stretch>
                  </pic:blipFill>
                  <pic:spPr>
                    <a:xfrm>
                      <a:off x="0" y="0"/>
                      <a:ext cx="4953000" cy="3905250"/>
                    </a:xfrm>
                    <a:prstGeom prst="rect">
                      <a:avLst/>
                    </a:prstGeom>
                  </pic:spPr>
                </pic:pic>
              </a:graphicData>
            </a:graphic>
          </wp:inline>
        </w:drawing>
      </w:r>
    </w:p>
    <w:p w14:paraId="59DCC420" w14:textId="15149771" w:rsidR="00C46175" w:rsidRPr="00D93FF9" w:rsidRDefault="007B28AC" w:rsidP="002C72B2">
      <w:pPr>
        <w:rPr>
          <w:b/>
          <w:bCs/>
          <w:lang w:val="en-GB"/>
        </w:rPr>
      </w:pPr>
      <w:bookmarkStart w:id="48" w:name="_Ref87981552"/>
      <w:bookmarkStart w:id="49" w:name="_Toc96518201"/>
      <w:r w:rsidRPr="00D93FF9">
        <w:rPr>
          <w:b/>
          <w:bCs/>
        </w:rPr>
        <w:t xml:space="preserve">Figure </w:t>
      </w:r>
      <w:r w:rsidRPr="00D93FF9">
        <w:rPr>
          <w:b/>
          <w:bCs/>
        </w:rPr>
        <w:fldChar w:fldCharType="begin"/>
      </w:r>
      <w:r w:rsidRPr="00D93FF9">
        <w:rPr>
          <w:b/>
          <w:bCs/>
        </w:rPr>
        <w:instrText xml:space="preserve"> SEQ Figure \* ARABIC </w:instrText>
      </w:r>
      <w:r w:rsidRPr="00D93FF9">
        <w:rPr>
          <w:b/>
          <w:bCs/>
        </w:rPr>
        <w:fldChar w:fldCharType="separate"/>
      </w:r>
      <w:r w:rsidR="0069302C">
        <w:rPr>
          <w:b/>
          <w:bCs/>
          <w:noProof/>
        </w:rPr>
        <w:t>1</w:t>
      </w:r>
      <w:r w:rsidRPr="00D93FF9">
        <w:rPr>
          <w:b/>
          <w:bCs/>
        </w:rPr>
        <w:fldChar w:fldCharType="end"/>
      </w:r>
      <w:bookmarkEnd w:id="48"/>
      <w:r w:rsidRPr="00D93FF9">
        <w:rPr>
          <w:b/>
          <w:bCs/>
        </w:rPr>
        <w:t xml:space="preserve"> </w:t>
      </w:r>
      <w:bookmarkStart w:id="50" w:name="_Hlk153787522"/>
      <w:r w:rsidR="00E90CE0" w:rsidRPr="00D93FF9">
        <w:rPr>
          <w:b/>
          <w:bCs/>
          <w:lang w:val="en-GB"/>
        </w:rPr>
        <w:t>Flow diagram for evaluating salinity and sodicity impacts of irrigation water quality</w:t>
      </w:r>
      <w:bookmarkEnd w:id="49"/>
      <w:bookmarkEnd w:id="50"/>
    </w:p>
    <w:p w14:paraId="59DCC421" w14:textId="77777777" w:rsidR="00C46175" w:rsidRPr="00D93FF9" w:rsidRDefault="00C46175" w:rsidP="003807A1">
      <w:pPr>
        <w:pStyle w:val="BodyText"/>
        <w:spacing w:after="0"/>
        <w:rPr>
          <w:rFonts w:ascii="Arial"/>
          <w:sz w:val="16"/>
          <w:lang w:val="en-GB"/>
        </w:rPr>
      </w:pPr>
      <w:bookmarkStart w:id="51" w:name="Irrigation_water_quality"/>
      <w:bookmarkStart w:id="52" w:name="Salinity_assessment"/>
      <w:bookmarkEnd w:id="51"/>
      <w:bookmarkEnd w:id="52"/>
    </w:p>
    <w:p w14:paraId="59DCC422" w14:textId="318F79D4" w:rsidR="00C46175" w:rsidRPr="00D93FF9" w:rsidRDefault="00E811B8" w:rsidP="003807A1">
      <w:pPr>
        <w:pStyle w:val="BodyText"/>
        <w:spacing w:after="0" w:line="266" w:lineRule="auto"/>
        <w:rPr>
          <w:lang w:val="en-GB"/>
        </w:rPr>
      </w:pPr>
      <w:r w:rsidRPr="00D93FF9">
        <w:rPr>
          <w:lang w:val="en-GB"/>
        </w:rPr>
        <w:lastRenderedPageBreak/>
        <w:t>There are five key steps to determining the suitability of irrigation water with respect to salinity and sodicity (</w:t>
      </w:r>
      <w:r w:rsidR="002C72B2" w:rsidRPr="00D93FF9">
        <w:rPr>
          <w:lang w:val="en-GB"/>
        </w:rPr>
        <w:fldChar w:fldCharType="begin"/>
      </w:r>
      <w:r w:rsidR="002C72B2" w:rsidRPr="00D93FF9">
        <w:rPr>
          <w:lang w:val="en-GB"/>
        </w:rPr>
        <w:instrText xml:space="preserve"> REF _Ref87981552 \h  \* MERGEFORMAT </w:instrText>
      </w:r>
      <w:r w:rsidR="002C72B2" w:rsidRPr="00D93FF9">
        <w:rPr>
          <w:lang w:val="en-GB"/>
        </w:rPr>
      </w:r>
      <w:r w:rsidR="002C72B2" w:rsidRPr="00D93FF9">
        <w:rPr>
          <w:lang w:val="en-GB"/>
        </w:rPr>
        <w:fldChar w:fldCharType="separate"/>
      </w:r>
      <w:r w:rsidR="0069302C" w:rsidRPr="0069302C">
        <w:t xml:space="preserve">Figure </w:t>
      </w:r>
      <w:r w:rsidR="0069302C" w:rsidRPr="0069302C">
        <w:rPr>
          <w:noProof/>
        </w:rPr>
        <w:t>1</w:t>
      </w:r>
      <w:r w:rsidR="002C72B2" w:rsidRPr="00D93FF9">
        <w:rPr>
          <w:lang w:val="en-GB"/>
        </w:rPr>
        <w:fldChar w:fldCharType="end"/>
      </w:r>
      <w:r w:rsidRPr="00D93FF9">
        <w:rPr>
          <w:lang w:val="en-GB"/>
        </w:rPr>
        <w:t>).</w:t>
      </w:r>
    </w:p>
    <w:p w14:paraId="59DCC423" w14:textId="77777777" w:rsidR="00683FF5" w:rsidRPr="00D93FF9" w:rsidRDefault="00683FF5" w:rsidP="003807A1">
      <w:pPr>
        <w:pStyle w:val="BodyText"/>
        <w:spacing w:after="0" w:line="266" w:lineRule="auto"/>
        <w:rPr>
          <w:lang w:val="en-GB"/>
        </w:rPr>
      </w:pPr>
    </w:p>
    <w:p w14:paraId="59DCC424" w14:textId="7C9A8B34" w:rsidR="004475AC" w:rsidRPr="00D93FF9" w:rsidRDefault="00E811B8" w:rsidP="003807A1">
      <w:pPr>
        <w:pStyle w:val="BodyText"/>
        <w:spacing w:after="0" w:line="266" w:lineRule="auto"/>
        <w:rPr>
          <w:lang w:val="en-GB"/>
        </w:rPr>
      </w:pPr>
      <w:bookmarkStart w:id="53" w:name="_Hlk71792876"/>
      <w:r w:rsidRPr="00D93FF9">
        <w:rPr>
          <w:lang w:val="en-GB"/>
        </w:rPr>
        <w:t>Prior to the following steps, the crop selection comes first</w:t>
      </w:r>
      <w:r w:rsidR="00D55132" w:rsidRPr="00D93FF9">
        <w:rPr>
          <w:lang w:val="en-GB"/>
        </w:rPr>
        <w:t>. Generally, irrigators start with the crop selection</w:t>
      </w:r>
      <w:r w:rsidR="00A45B6D" w:rsidRPr="00D93FF9">
        <w:rPr>
          <w:lang w:val="en-GB"/>
        </w:rPr>
        <w:t xml:space="preserve"> (for instance a grower is growing lettuce, or pomegranates </w:t>
      </w:r>
      <w:r w:rsidR="005C5650" w:rsidRPr="00D93FF9">
        <w:rPr>
          <w:lang w:val="en-GB"/>
        </w:rPr>
        <w:t xml:space="preserve">or grapes, etc, </w:t>
      </w:r>
      <w:r w:rsidR="00A45B6D" w:rsidRPr="00D93FF9">
        <w:rPr>
          <w:lang w:val="en-GB"/>
        </w:rPr>
        <w:t>and their respective rootzone threshold salinity is known) the leaching fraction in order to</w:t>
      </w:r>
      <w:r w:rsidR="00D55132" w:rsidRPr="00D93FF9">
        <w:rPr>
          <w:lang w:val="en-GB"/>
        </w:rPr>
        <w:t xml:space="preserve"> </w:t>
      </w:r>
      <w:r w:rsidR="005C5650" w:rsidRPr="00D93FF9">
        <w:rPr>
          <w:lang w:val="en-GB"/>
        </w:rPr>
        <w:t>maintain suitable root zone salinity conditions, and finally a consideration of where the salt moves. The Leaching Fraction requirement is calculated using the following steps</w:t>
      </w:r>
      <w:r w:rsidR="00A45B6D" w:rsidRPr="00D93FF9">
        <w:rPr>
          <w:lang w:val="en-GB"/>
        </w:rPr>
        <w:t xml:space="preserve">: </w:t>
      </w:r>
      <w:bookmarkEnd w:id="53"/>
    </w:p>
    <w:p w14:paraId="59DCC425" w14:textId="1EB78008" w:rsidR="00C46175" w:rsidRPr="00D93FF9" w:rsidRDefault="00E811B8" w:rsidP="00AC6997">
      <w:pPr>
        <w:pStyle w:val="ListBullet"/>
        <w:spacing w:line="266" w:lineRule="auto"/>
        <w:jc w:val="both"/>
        <w:rPr>
          <w:lang w:val="en-GB"/>
        </w:rPr>
      </w:pPr>
      <w:r w:rsidRPr="006975D0">
        <w:rPr>
          <w:b/>
          <w:bCs/>
          <w:i/>
          <w:lang w:val="en-GB"/>
        </w:rPr>
        <w:t>Step 1</w:t>
      </w:r>
      <w:r w:rsidRPr="00D93FF9">
        <w:rPr>
          <w:i/>
          <w:lang w:val="en-GB"/>
        </w:rPr>
        <w:tab/>
      </w:r>
      <w:r w:rsidRPr="00D93FF9">
        <w:rPr>
          <w:lang w:val="en-GB"/>
        </w:rPr>
        <w:t xml:space="preserve">Identify the soil </w:t>
      </w:r>
      <w:r w:rsidR="00441473" w:rsidRPr="00D93FF9">
        <w:rPr>
          <w:lang w:val="en-GB"/>
        </w:rPr>
        <w:t xml:space="preserve">hydraulic </w:t>
      </w:r>
      <w:r w:rsidRPr="00D93FF9">
        <w:rPr>
          <w:lang w:val="en-GB"/>
        </w:rPr>
        <w:t>properties, water quality, climate (rainfall</w:t>
      </w:r>
      <w:r w:rsidR="0005576A" w:rsidRPr="00D93FF9">
        <w:rPr>
          <w:lang w:val="en-GB"/>
        </w:rPr>
        <w:t xml:space="preserve"> and evaporation</w:t>
      </w:r>
      <w:r w:rsidRPr="00D93FF9">
        <w:rPr>
          <w:lang w:val="en-GB"/>
        </w:rPr>
        <w:t>)</w:t>
      </w:r>
      <w:r w:rsidR="0005576A" w:rsidRPr="00D93FF9">
        <w:rPr>
          <w:lang w:val="en-GB"/>
        </w:rPr>
        <w:t xml:space="preserve">, crop </w:t>
      </w:r>
      <w:r w:rsidRPr="00D93FF9">
        <w:rPr>
          <w:lang w:val="en-GB"/>
        </w:rPr>
        <w:t xml:space="preserve">and management (irrigation application </w:t>
      </w:r>
      <w:r w:rsidR="00441473" w:rsidRPr="00D93FF9">
        <w:rPr>
          <w:lang w:val="en-GB"/>
        </w:rPr>
        <w:t xml:space="preserve">methods and </w:t>
      </w:r>
      <w:r w:rsidRPr="00D93FF9">
        <w:rPr>
          <w:lang w:val="en-GB"/>
        </w:rPr>
        <w:t>rates) practices for the site in</w:t>
      </w:r>
      <w:r w:rsidRPr="00D93FF9">
        <w:rPr>
          <w:spacing w:val="2"/>
          <w:lang w:val="en-GB"/>
        </w:rPr>
        <w:t xml:space="preserve"> </w:t>
      </w:r>
      <w:r w:rsidRPr="00D93FF9">
        <w:rPr>
          <w:lang w:val="en-GB"/>
        </w:rPr>
        <w:t>question.</w:t>
      </w:r>
    </w:p>
    <w:p w14:paraId="59DCC426" w14:textId="77777777" w:rsidR="00C46175" w:rsidRPr="00D93FF9" w:rsidRDefault="00E811B8" w:rsidP="00AC6997">
      <w:pPr>
        <w:pStyle w:val="ListBullet"/>
        <w:spacing w:line="266" w:lineRule="auto"/>
        <w:jc w:val="both"/>
        <w:rPr>
          <w:lang w:val="en-GB"/>
        </w:rPr>
      </w:pPr>
      <w:r w:rsidRPr="006975D0">
        <w:rPr>
          <w:b/>
          <w:bCs/>
          <w:i/>
          <w:lang w:val="en-GB"/>
        </w:rPr>
        <w:t>Step 2</w:t>
      </w:r>
      <w:r w:rsidRPr="00D93FF9">
        <w:rPr>
          <w:i/>
          <w:lang w:val="en-GB"/>
        </w:rPr>
        <w:tab/>
      </w:r>
      <w:r w:rsidRPr="00D93FF9">
        <w:rPr>
          <w:lang w:val="en-GB"/>
        </w:rPr>
        <w:t xml:space="preserve">Estimate the leaching fraction under the new/changed irrigation regime utilising approaches outlined </w:t>
      </w:r>
      <w:r w:rsidR="00441473" w:rsidRPr="00D93FF9">
        <w:rPr>
          <w:lang w:val="en-GB"/>
        </w:rPr>
        <w:t xml:space="preserve">later </w:t>
      </w:r>
      <w:r w:rsidRPr="00D93FF9">
        <w:rPr>
          <w:lang w:val="en-GB"/>
        </w:rPr>
        <w:t>in this Section.</w:t>
      </w:r>
    </w:p>
    <w:p w14:paraId="59DCC427" w14:textId="3CB68DFC" w:rsidR="00C46175" w:rsidRPr="00D93FF9" w:rsidRDefault="00E811B8" w:rsidP="00AC6997">
      <w:pPr>
        <w:pStyle w:val="ListBullet"/>
        <w:spacing w:line="266" w:lineRule="auto"/>
        <w:jc w:val="both"/>
        <w:rPr>
          <w:lang w:val="en-GB"/>
        </w:rPr>
      </w:pPr>
      <w:r w:rsidRPr="006975D0">
        <w:rPr>
          <w:b/>
          <w:bCs/>
          <w:i/>
          <w:lang w:val="en-GB"/>
        </w:rPr>
        <w:t>Step 3</w:t>
      </w:r>
      <w:r w:rsidRPr="00D93FF9">
        <w:rPr>
          <w:i/>
          <w:lang w:val="en-GB"/>
        </w:rPr>
        <w:t xml:space="preserve"> </w:t>
      </w:r>
      <w:r w:rsidRPr="00D93FF9">
        <w:rPr>
          <w:lang w:val="en-GB"/>
        </w:rPr>
        <w:t>Estimate the new average root zone salinity as outlined</w:t>
      </w:r>
      <w:r w:rsidR="00441473" w:rsidRPr="00D93FF9">
        <w:rPr>
          <w:lang w:val="en-GB"/>
        </w:rPr>
        <w:t xml:space="preserve"> later</w:t>
      </w:r>
      <w:r w:rsidRPr="00D93FF9">
        <w:rPr>
          <w:lang w:val="en-GB"/>
        </w:rPr>
        <w:t xml:space="preserve"> in this Section. Average root zone salinity</w:t>
      </w:r>
      <w:r w:rsidR="00320EE9" w:rsidRPr="00D93FF9">
        <w:rPr>
          <w:lang w:val="en-GB"/>
        </w:rPr>
        <w:t xml:space="preserve"> (at saturation extract moisture content)</w:t>
      </w:r>
      <w:r w:rsidRPr="00D93FF9">
        <w:rPr>
          <w:lang w:val="en-GB"/>
        </w:rPr>
        <w:t xml:space="preserve"> is considered the key </w:t>
      </w:r>
      <w:r w:rsidR="006C4D7D" w:rsidRPr="00D93FF9">
        <w:rPr>
          <w:lang w:val="en-GB"/>
        </w:rPr>
        <w:t xml:space="preserve">metric to assess </w:t>
      </w:r>
      <w:r w:rsidRPr="00D93FF9">
        <w:rPr>
          <w:lang w:val="en-GB"/>
        </w:rPr>
        <w:t xml:space="preserve">plant growth in response to salinity levels in </w:t>
      </w:r>
      <w:r w:rsidR="006C4D7D" w:rsidRPr="00D93FF9">
        <w:rPr>
          <w:lang w:val="en-GB"/>
        </w:rPr>
        <w:t xml:space="preserve">the </w:t>
      </w:r>
      <w:r w:rsidRPr="00D93FF9">
        <w:rPr>
          <w:lang w:val="en-GB"/>
        </w:rPr>
        <w:t>irrigation water</w:t>
      </w:r>
      <w:r w:rsidR="00320EE9" w:rsidRPr="00D93FF9">
        <w:rPr>
          <w:lang w:val="en-GB"/>
        </w:rPr>
        <w:t>.</w:t>
      </w:r>
    </w:p>
    <w:p w14:paraId="59DCC428" w14:textId="4271C84D" w:rsidR="00C46175" w:rsidRPr="00D93FF9" w:rsidRDefault="00E811B8" w:rsidP="00AC6997">
      <w:pPr>
        <w:pStyle w:val="ListBullet"/>
        <w:spacing w:line="266" w:lineRule="auto"/>
        <w:jc w:val="both"/>
        <w:rPr>
          <w:lang w:val="en-GB"/>
        </w:rPr>
      </w:pPr>
      <w:r w:rsidRPr="006975D0">
        <w:rPr>
          <w:b/>
          <w:bCs/>
          <w:i/>
          <w:lang w:val="en-GB"/>
        </w:rPr>
        <w:t>Step 4</w:t>
      </w:r>
      <w:r w:rsidRPr="00D93FF9">
        <w:rPr>
          <w:i/>
          <w:lang w:val="en-GB"/>
        </w:rPr>
        <w:t xml:space="preserve"> </w:t>
      </w:r>
      <w:r w:rsidRPr="00D93FF9">
        <w:rPr>
          <w:lang w:val="en-GB"/>
        </w:rPr>
        <w:t>Estimate relative plant yield (</w:t>
      </w:r>
      <w:r w:rsidR="00A45B6D" w:rsidRPr="00D93FF9">
        <w:rPr>
          <w:lang w:val="en-GB"/>
        </w:rPr>
        <w:t>but</w:t>
      </w:r>
      <w:r w:rsidRPr="00D93FF9">
        <w:rPr>
          <w:lang w:val="en-GB"/>
        </w:rPr>
        <w:t xml:space="preserve"> not</w:t>
      </w:r>
      <w:r w:rsidR="00320EE9" w:rsidRPr="00D93FF9">
        <w:rPr>
          <w:lang w:val="en-GB"/>
        </w:rPr>
        <w:t>ing</w:t>
      </w:r>
      <w:r w:rsidRPr="00D93FF9">
        <w:rPr>
          <w:lang w:val="en-GB"/>
        </w:rPr>
        <w:t xml:space="preserve"> that the impact of salinity and sodicity can be modified by management practices as discussed later in this Section).</w:t>
      </w:r>
    </w:p>
    <w:p w14:paraId="59DCC429" w14:textId="288E40DA" w:rsidR="006C4D7D" w:rsidRPr="00D93FF9" w:rsidRDefault="00E811B8" w:rsidP="00AC6997">
      <w:pPr>
        <w:pStyle w:val="ListBullet"/>
        <w:spacing w:line="266" w:lineRule="auto"/>
        <w:jc w:val="both"/>
        <w:rPr>
          <w:lang w:val="en-GB"/>
        </w:rPr>
      </w:pPr>
      <w:bookmarkStart w:id="54" w:name="_Hlk71793638"/>
      <w:r w:rsidRPr="006975D0">
        <w:rPr>
          <w:b/>
          <w:bCs/>
          <w:i/>
          <w:lang w:val="en-GB"/>
        </w:rPr>
        <w:t>Step 5</w:t>
      </w:r>
      <w:r w:rsidRPr="00D93FF9">
        <w:rPr>
          <w:i/>
          <w:lang w:val="en-GB"/>
        </w:rPr>
        <w:t xml:space="preserve"> </w:t>
      </w:r>
      <w:r w:rsidRPr="00D93FF9">
        <w:rPr>
          <w:lang w:val="en-GB"/>
        </w:rPr>
        <w:t>Consider salinity problems within the framework of broader catchment issues such as rising regional watertables, groundwater pollution and surface water quality. Watertable salinity (capillary rise) develops because shallow watertables</w:t>
      </w:r>
      <w:r w:rsidR="00AA429D" w:rsidRPr="00D93FF9">
        <w:rPr>
          <w:lang w:val="en-GB"/>
        </w:rPr>
        <w:t xml:space="preserve"> </w:t>
      </w:r>
      <w:r w:rsidR="00320EE9" w:rsidRPr="00D93FF9">
        <w:rPr>
          <w:lang w:val="en-GB"/>
        </w:rPr>
        <w:t xml:space="preserve">interact with </w:t>
      </w:r>
      <w:r w:rsidRPr="00D93FF9">
        <w:rPr>
          <w:lang w:val="en-GB"/>
        </w:rPr>
        <w:t xml:space="preserve">soil hydraulic </w:t>
      </w:r>
      <w:r w:rsidR="005444A9" w:rsidRPr="00D93FF9">
        <w:rPr>
          <w:lang w:val="en-GB"/>
        </w:rPr>
        <w:t>properties</w:t>
      </w:r>
      <w:r w:rsidRPr="00D93FF9">
        <w:rPr>
          <w:lang w:val="en-GB"/>
        </w:rPr>
        <w:t xml:space="preserve"> and evaporative demand cause the upward movement of </w:t>
      </w:r>
      <w:r w:rsidR="00320EE9" w:rsidRPr="00D93FF9">
        <w:rPr>
          <w:lang w:val="en-GB"/>
        </w:rPr>
        <w:t xml:space="preserve">water and </w:t>
      </w:r>
      <w:r w:rsidRPr="00D93FF9">
        <w:rPr>
          <w:lang w:val="en-GB"/>
        </w:rPr>
        <w:t>salt. It is the greatest threat to the ongoing sustainability of most irrigation schemes in the world.</w:t>
      </w:r>
    </w:p>
    <w:bookmarkEnd w:id="54"/>
    <w:p w14:paraId="59DCC42A" w14:textId="77777777" w:rsidR="00954489" w:rsidRPr="00D93FF9" w:rsidRDefault="00954489" w:rsidP="00AC6997">
      <w:pPr>
        <w:pStyle w:val="ListBullet"/>
        <w:numPr>
          <w:ilvl w:val="0"/>
          <w:numId w:val="0"/>
        </w:numPr>
        <w:ind w:left="397"/>
        <w:rPr>
          <w:lang w:val="en-GB"/>
        </w:rPr>
      </w:pPr>
    </w:p>
    <w:p w14:paraId="59DCC42B" w14:textId="193BE6A8" w:rsidR="00C46175" w:rsidRPr="00D93FF9" w:rsidRDefault="00E90CE0" w:rsidP="001D681B">
      <w:pPr>
        <w:pStyle w:val="BodyText"/>
        <w:spacing w:after="0" w:line="266" w:lineRule="auto"/>
        <w:jc w:val="both"/>
        <w:rPr>
          <w:lang w:val="en-GB"/>
        </w:rPr>
      </w:pPr>
      <w:r w:rsidRPr="00D93FF9">
        <w:rPr>
          <w:lang w:val="en-GB"/>
        </w:rPr>
        <w:t xml:space="preserve">Before an irrigation scheme is developed, the planning process </w:t>
      </w:r>
      <w:r w:rsidR="003E002C" w:rsidRPr="00D93FF9">
        <w:rPr>
          <w:lang w:val="en-GB"/>
        </w:rPr>
        <w:t xml:space="preserve">must </w:t>
      </w:r>
      <w:r w:rsidRPr="00D93FF9">
        <w:rPr>
          <w:lang w:val="en-GB"/>
        </w:rPr>
        <w:t xml:space="preserve">include investigation of the regional hydrogeology to </w:t>
      </w:r>
      <w:r w:rsidR="003E002C" w:rsidRPr="00D93FF9">
        <w:rPr>
          <w:lang w:val="en-GB"/>
        </w:rPr>
        <w:t>minimise the</w:t>
      </w:r>
      <w:r w:rsidRPr="00D93FF9">
        <w:rPr>
          <w:lang w:val="en-GB"/>
        </w:rPr>
        <w:t xml:space="preserve"> development </w:t>
      </w:r>
      <w:r w:rsidR="00284B19" w:rsidRPr="00D93FF9">
        <w:rPr>
          <w:lang w:val="en-GB"/>
        </w:rPr>
        <w:t>of salinity</w:t>
      </w:r>
      <w:r w:rsidR="0029504C" w:rsidRPr="00D93FF9">
        <w:rPr>
          <w:lang w:val="en-GB"/>
        </w:rPr>
        <w:t>,</w:t>
      </w:r>
      <w:r w:rsidR="003E002C" w:rsidRPr="00D93FF9">
        <w:rPr>
          <w:lang w:val="en-GB"/>
        </w:rPr>
        <w:t xml:space="preserve"> or plan the installation of subsurface drains to limit the groundwater rise to &lt;2m below the soil surface</w:t>
      </w:r>
      <w:r w:rsidRPr="00D93FF9">
        <w:rPr>
          <w:lang w:val="en-GB"/>
        </w:rPr>
        <w:t xml:space="preserve">. </w:t>
      </w:r>
      <w:r w:rsidR="0029504C" w:rsidRPr="00D93FF9">
        <w:rPr>
          <w:lang w:val="en-GB"/>
        </w:rPr>
        <w:t>Of course</w:t>
      </w:r>
      <w:r w:rsidR="001758C8" w:rsidRPr="00D93FF9">
        <w:rPr>
          <w:lang w:val="en-GB"/>
        </w:rPr>
        <w:t>,</w:t>
      </w:r>
      <w:r w:rsidR="0029504C" w:rsidRPr="00D93FF9">
        <w:rPr>
          <w:lang w:val="en-GB"/>
        </w:rPr>
        <w:t xml:space="preserve"> the environmental impact of disposing of this saline drainage water needs to be carefully assessed. </w:t>
      </w:r>
      <w:r w:rsidRPr="00D93FF9">
        <w:rPr>
          <w:lang w:val="en-GB"/>
        </w:rPr>
        <w:t xml:space="preserve">The guidelines </w:t>
      </w:r>
      <w:r w:rsidR="003E002C" w:rsidRPr="00D93FF9">
        <w:rPr>
          <w:lang w:val="en-GB"/>
        </w:rPr>
        <w:t xml:space="preserve">discussed in this chapter </w:t>
      </w:r>
      <w:r w:rsidRPr="00D93FF9">
        <w:rPr>
          <w:lang w:val="en-GB"/>
        </w:rPr>
        <w:t xml:space="preserve">concentrate on localised impacts of irrigation, but broader </w:t>
      </w:r>
      <w:r w:rsidR="003E002C" w:rsidRPr="00D93FF9">
        <w:rPr>
          <w:lang w:val="en-GB"/>
        </w:rPr>
        <w:t>issues of landscape hydro-</w:t>
      </w:r>
      <w:r w:rsidRPr="00D93FF9">
        <w:rPr>
          <w:lang w:val="en-GB"/>
        </w:rPr>
        <w:t>salinity issues should not be</w:t>
      </w:r>
      <w:r w:rsidRPr="00D93FF9">
        <w:rPr>
          <w:spacing w:val="-3"/>
          <w:lang w:val="en-GB"/>
        </w:rPr>
        <w:t xml:space="preserve"> </w:t>
      </w:r>
      <w:r w:rsidRPr="00D93FF9">
        <w:rPr>
          <w:lang w:val="en-GB"/>
        </w:rPr>
        <w:t>ignored.</w:t>
      </w:r>
    </w:p>
    <w:p w14:paraId="59DCC42C" w14:textId="36846DB9" w:rsidR="00C46175" w:rsidRPr="00D93FF9" w:rsidRDefault="00E811B8" w:rsidP="00683FF5">
      <w:pPr>
        <w:pStyle w:val="BodyText"/>
        <w:spacing w:after="0"/>
        <w:jc w:val="both"/>
        <w:rPr>
          <w:lang w:val="en-GB"/>
        </w:rPr>
      </w:pPr>
      <w:r w:rsidRPr="00D93FF9">
        <w:rPr>
          <w:lang w:val="en-GB"/>
        </w:rPr>
        <w:t>The details of this methodology follow, with some worked examples provided later in Section</w:t>
      </w:r>
      <w:r w:rsidR="00683FF5" w:rsidRPr="00D93FF9">
        <w:rPr>
          <w:lang w:val="en-GB"/>
        </w:rPr>
        <w:t xml:space="preserve"> </w:t>
      </w:r>
      <w:r w:rsidR="003717A7" w:rsidRPr="00D93FF9">
        <w:rPr>
          <w:lang w:val="en-GB"/>
        </w:rPr>
        <w:fldChar w:fldCharType="begin"/>
      </w:r>
      <w:r w:rsidR="003717A7" w:rsidRPr="00D93FF9">
        <w:rPr>
          <w:lang w:val="en-GB"/>
        </w:rPr>
        <w:instrText xml:space="preserve"> REF _Ref70415504 \r \h </w:instrText>
      </w:r>
      <w:r w:rsidR="00D93FF9">
        <w:rPr>
          <w:lang w:val="en-GB"/>
        </w:rPr>
        <w:instrText xml:space="preserve"> \* MERGEFORMAT </w:instrText>
      </w:r>
      <w:r w:rsidR="003717A7" w:rsidRPr="00D93FF9">
        <w:rPr>
          <w:lang w:val="en-GB"/>
        </w:rPr>
      </w:r>
      <w:r w:rsidR="003717A7" w:rsidRPr="00D93FF9">
        <w:rPr>
          <w:lang w:val="en-GB"/>
        </w:rPr>
        <w:fldChar w:fldCharType="separate"/>
      </w:r>
      <w:r w:rsidR="0069302C">
        <w:rPr>
          <w:lang w:val="en-GB"/>
        </w:rPr>
        <w:t>3.3</w:t>
      </w:r>
      <w:r w:rsidR="003717A7" w:rsidRPr="00D93FF9">
        <w:rPr>
          <w:lang w:val="en-GB"/>
        </w:rPr>
        <w:fldChar w:fldCharType="end"/>
      </w:r>
      <w:r w:rsidRPr="00D93FF9">
        <w:rPr>
          <w:lang w:val="en-GB"/>
        </w:rPr>
        <w:t xml:space="preserve">. </w:t>
      </w:r>
      <w:bookmarkStart w:id="55" w:name="_Hlk71793727"/>
      <w:r w:rsidR="0029504C" w:rsidRPr="00D93FF9">
        <w:rPr>
          <w:lang w:val="en-GB"/>
        </w:rPr>
        <w:t xml:space="preserve">The </w:t>
      </w:r>
      <w:r w:rsidRPr="00D93FF9">
        <w:rPr>
          <w:lang w:val="en-GB"/>
        </w:rPr>
        <w:t xml:space="preserve">Software </w:t>
      </w:r>
      <w:r w:rsidRPr="00D93FF9">
        <w:rPr>
          <w:i/>
          <w:lang w:val="en-GB"/>
        </w:rPr>
        <w:t>SALF</w:t>
      </w:r>
      <w:r w:rsidR="00E577C6" w:rsidRPr="00D93FF9">
        <w:rPr>
          <w:i/>
          <w:lang w:val="en-GB"/>
        </w:rPr>
        <w:t>2</w:t>
      </w:r>
      <w:r w:rsidR="0029504C" w:rsidRPr="00D93FF9">
        <w:rPr>
          <w:i/>
          <w:lang w:val="en-GB"/>
        </w:rPr>
        <w:t xml:space="preserve"> </w:t>
      </w:r>
      <w:r w:rsidR="00D234DA" w:rsidRPr="00D93FF9">
        <w:rPr>
          <w:i/>
          <w:lang w:val="en-GB"/>
        </w:rPr>
        <w:t>(</w:t>
      </w:r>
      <w:r w:rsidR="00D234DA" w:rsidRPr="00D93FF9">
        <w:rPr>
          <w:iCs/>
          <w:lang w:val="en-GB"/>
        </w:rPr>
        <w:t>replacing SALF PREDICT</w:t>
      </w:r>
      <w:r w:rsidR="00D234DA" w:rsidRPr="00D93FF9">
        <w:rPr>
          <w:i/>
          <w:lang w:val="en-GB"/>
        </w:rPr>
        <w:t xml:space="preserve">) </w:t>
      </w:r>
      <w:r w:rsidRPr="00D93FF9">
        <w:rPr>
          <w:lang w:val="en-GB"/>
        </w:rPr>
        <w:t>estimate</w:t>
      </w:r>
      <w:r w:rsidR="00E577C6" w:rsidRPr="00D93FF9">
        <w:rPr>
          <w:lang w:val="en-GB"/>
        </w:rPr>
        <w:t>s</w:t>
      </w:r>
      <w:r w:rsidRPr="00D93FF9">
        <w:rPr>
          <w:lang w:val="en-GB"/>
        </w:rPr>
        <w:t xml:space="preserve"> the parameters necessary for a detailed assessment of irrigation water quality in relation to soil properties, rainfall, water quality and plant salt tolerance. The software</w:t>
      </w:r>
      <w:r w:rsidR="00543195" w:rsidRPr="00D93FF9">
        <w:rPr>
          <w:lang w:val="en-GB"/>
        </w:rPr>
        <w:t>, which includes numerous empirical statistical functions,</w:t>
      </w:r>
      <w:r w:rsidRPr="00D93FF9">
        <w:rPr>
          <w:lang w:val="en-GB"/>
        </w:rPr>
        <w:t xml:space="preserve"> is based on summer rainfall areas and </w:t>
      </w:r>
      <w:r w:rsidR="00543195" w:rsidRPr="00D93FF9">
        <w:rPr>
          <w:lang w:val="en-GB"/>
        </w:rPr>
        <w:t xml:space="preserve">should </w:t>
      </w:r>
      <w:r w:rsidRPr="00D93FF9">
        <w:rPr>
          <w:lang w:val="en-GB"/>
        </w:rPr>
        <w:t xml:space="preserve">be used with some caution in winter rainfall areas. It incorporates many of the detailed algorithms </w:t>
      </w:r>
      <w:r w:rsidR="00543195" w:rsidRPr="00D93FF9">
        <w:rPr>
          <w:lang w:val="en-GB"/>
        </w:rPr>
        <w:t xml:space="preserve">described </w:t>
      </w:r>
      <w:r w:rsidRPr="00D93FF9">
        <w:rPr>
          <w:lang w:val="en-GB"/>
        </w:rPr>
        <w:t xml:space="preserve">in this Section. Copies of the software may also be obtained from </w:t>
      </w:r>
      <w:r w:rsidR="00E577C6" w:rsidRPr="00D93FF9">
        <w:rPr>
          <w:lang w:val="en-GB"/>
        </w:rPr>
        <w:t>its author Dr Roger Shaw</w:t>
      </w:r>
      <w:r w:rsidR="00FE31C8" w:rsidRPr="00D93FF9">
        <w:rPr>
          <w:lang w:val="en-GB"/>
        </w:rPr>
        <w:t xml:space="preserve"> </w:t>
      </w:r>
      <w:bookmarkStart w:id="56" w:name="_Hlk81399147"/>
      <w:r w:rsidR="00FE31C8" w:rsidRPr="00D93FF9">
        <w:rPr>
          <w:lang w:val="en-GB"/>
        </w:rPr>
        <w:t>or the Queensland Government</w:t>
      </w:r>
      <w:r w:rsidR="00002170" w:rsidRPr="00D93FF9">
        <w:rPr>
          <w:lang w:val="en-GB"/>
        </w:rPr>
        <w:t xml:space="preserve"> </w:t>
      </w:r>
      <w:r w:rsidR="00FE31C8" w:rsidRPr="00D93FF9">
        <w:rPr>
          <w:lang w:val="en-GB"/>
        </w:rPr>
        <w:t>website</w:t>
      </w:r>
      <w:r w:rsidR="00476073" w:rsidRPr="00D93FF9">
        <w:rPr>
          <w:lang w:val="en-GB"/>
        </w:rPr>
        <w:t xml:space="preserve">: </w:t>
      </w:r>
      <w:r w:rsidR="00476073" w:rsidRPr="00D93FF9">
        <w:t>Salinity management handbook | Publications | Queensland Government</w:t>
      </w:r>
      <w:bookmarkEnd w:id="56"/>
      <w:r w:rsidR="00DC219E" w:rsidRPr="00D93FF9">
        <w:rPr>
          <w:lang w:val="en-GB"/>
        </w:rPr>
        <w:t xml:space="preserve">. </w:t>
      </w:r>
    </w:p>
    <w:bookmarkEnd w:id="55"/>
    <w:p w14:paraId="59DCC42D" w14:textId="6939D756" w:rsidR="00786F04" w:rsidRPr="00D93FF9" w:rsidRDefault="00E811B8" w:rsidP="003807A1">
      <w:pPr>
        <w:pStyle w:val="BodyText"/>
        <w:spacing w:after="0" w:line="266" w:lineRule="auto"/>
        <w:jc w:val="both"/>
        <w:rPr>
          <w:lang w:val="en-GB"/>
        </w:rPr>
      </w:pPr>
      <w:r w:rsidRPr="00D93FF9">
        <w:rPr>
          <w:lang w:val="en-GB"/>
        </w:rPr>
        <w:t>Other useful software for irrigation management and crop selection include MEDLI</w:t>
      </w:r>
      <w:r w:rsidR="0005576A" w:rsidRPr="00D93FF9">
        <w:rPr>
          <w:lang w:val="en-GB"/>
        </w:rPr>
        <w:t xml:space="preserve"> (</w:t>
      </w:r>
      <w:r w:rsidR="00467A70" w:rsidRPr="00D93FF9">
        <w:rPr>
          <w:lang w:val="en-GB"/>
        </w:rPr>
        <w:t>www.des.qld.gov.au/science/government/science-division/medli)</w:t>
      </w:r>
      <w:r w:rsidR="007C1F17" w:rsidRPr="00D93FF9">
        <w:rPr>
          <w:lang w:val="en-GB"/>
        </w:rPr>
        <w:t>. SWAGMAN Destiny</w:t>
      </w:r>
      <w:r w:rsidR="00AA65F6" w:rsidRPr="00D93FF9">
        <w:rPr>
          <w:lang w:val="en-GB"/>
        </w:rPr>
        <w:t>, SIRAG, R</w:t>
      </w:r>
      <w:r w:rsidR="00525760" w:rsidRPr="00D93FF9">
        <w:rPr>
          <w:lang w:val="en-GB"/>
        </w:rPr>
        <w:t xml:space="preserve">USTIC, WATERSCHED (www.waterschedpro.net.au). </w:t>
      </w:r>
    </w:p>
    <w:p w14:paraId="59DCC42E" w14:textId="77777777" w:rsidR="00C46175" w:rsidRPr="00D93FF9" w:rsidRDefault="00E811B8" w:rsidP="00726062">
      <w:pPr>
        <w:pStyle w:val="Heading4"/>
        <w:rPr>
          <w:lang w:val="en-GB"/>
        </w:rPr>
      </w:pPr>
      <w:r w:rsidRPr="00D93FF9">
        <w:rPr>
          <w:lang w:val="en-GB"/>
        </w:rPr>
        <w:lastRenderedPageBreak/>
        <w:t xml:space="preserve">Irrigation </w:t>
      </w:r>
      <w:r w:rsidRPr="00D93FF9">
        <w:t>water</w:t>
      </w:r>
      <w:r w:rsidRPr="00D93FF9">
        <w:rPr>
          <w:lang w:val="en-GB"/>
        </w:rPr>
        <w:t xml:space="preserve"> quality</w:t>
      </w:r>
    </w:p>
    <w:p w14:paraId="59DCC42F" w14:textId="77777777" w:rsidR="00C46175" w:rsidRPr="00D93FF9" w:rsidRDefault="00E811B8" w:rsidP="00726062">
      <w:pPr>
        <w:pStyle w:val="Heading5"/>
        <w:rPr>
          <w:lang w:val="en-GB"/>
        </w:rPr>
      </w:pPr>
      <w:r w:rsidRPr="00D93FF9">
        <w:rPr>
          <w:lang w:val="en-GB"/>
        </w:rPr>
        <w:t xml:space="preserve">Salinity </w:t>
      </w:r>
      <w:r w:rsidRPr="00D93FF9">
        <w:t>assessment</w:t>
      </w:r>
    </w:p>
    <w:p w14:paraId="59DCC430" w14:textId="5ABF1DC2" w:rsidR="00954489" w:rsidRPr="00D93FF9" w:rsidRDefault="00E811B8" w:rsidP="00B66322">
      <w:pPr>
        <w:pStyle w:val="BodyText"/>
        <w:spacing w:before="88" w:line="261" w:lineRule="auto"/>
        <w:ind w:right="89"/>
        <w:jc w:val="both"/>
        <w:rPr>
          <w:lang w:val="en-GB"/>
        </w:rPr>
      </w:pPr>
      <w:r w:rsidRPr="00D93FF9">
        <w:rPr>
          <w:lang w:val="en-GB"/>
        </w:rPr>
        <w:t>To assess irrigation water quality with respect to salinity, the salt content or electrical conductivity of the water must be known. Electrical conductivity (EC</w:t>
      </w:r>
      <w:r w:rsidR="00B57BCA" w:rsidRPr="00D93FF9">
        <w:rPr>
          <w:vertAlign w:val="subscript"/>
          <w:lang w:val="en-GB"/>
        </w:rPr>
        <w:t>1:5</w:t>
      </w:r>
      <w:r w:rsidRPr="00D93FF9">
        <w:rPr>
          <w:lang w:val="en-GB"/>
        </w:rPr>
        <w:t>) measures the ability of water to conduct an electric current, which is carried by ions in solution such as chloride, sodium, sulfate, nitrate, carbonate, bicarbonate, calcium and magnesium. In irrigated agriculture fertigation through the irrigation system is widely practiced and the salinity impacts of fertilisers in water and soil need to be considered in the assessment of potential impact.</w:t>
      </w:r>
      <w:r w:rsidR="00B66322" w:rsidRPr="00D93FF9">
        <w:rPr>
          <w:lang w:val="en-GB"/>
        </w:rPr>
        <w:t xml:space="preserve"> Indeed, </w:t>
      </w:r>
      <w:r w:rsidR="001E0450" w:rsidRPr="00D93FF9">
        <w:rPr>
          <w:lang w:val="en-GB"/>
        </w:rPr>
        <w:t xml:space="preserve">fertilizers are salts and these salts can impact seedlings health through an osmotic effect. </w:t>
      </w:r>
    </w:p>
    <w:p w14:paraId="59DCC431" w14:textId="2BF3FBFD" w:rsidR="00C46175" w:rsidRPr="00D93FF9" w:rsidRDefault="00E811B8" w:rsidP="003807A1">
      <w:pPr>
        <w:pStyle w:val="BodyText"/>
        <w:spacing w:after="0" w:line="261" w:lineRule="auto"/>
        <w:jc w:val="both"/>
        <w:rPr>
          <w:lang w:val="en-GB"/>
        </w:rPr>
      </w:pPr>
      <w:r w:rsidRPr="00D93FF9">
        <w:rPr>
          <w:lang w:val="en-GB"/>
        </w:rPr>
        <w:t xml:space="preserve">Electrical conductivity is commonly used as an estimate of the concentration </w:t>
      </w:r>
      <w:r w:rsidR="008843CC" w:rsidRPr="00D93FF9">
        <w:rPr>
          <w:lang w:val="en-GB"/>
        </w:rPr>
        <w:t xml:space="preserve">(mg/L) </w:t>
      </w:r>
      <w:r w:rsidRPr="00D93FF9">
        <w:rPr>
          <w:lang w:val="en-GB"/>
        </w:rPr>
        <w:t xml:space="preserve">of total dissolved salts (TDS) and is </w:t>
      </w:r>
      <w:r w:rsidR="008843CC" w:rsidRPr="00D93FF9">
        <w:rPr>
          <w:lang w:val="en-GB"/>
        </w:rPr>
        <w:t xml:space="preserve">expressed </w:t>
      </w:r>
      <w:r w:rsidRPr="00D93FF9">
        <w:rPr>
          <w:lang w:val="en-GB"/>
        </w:rPr>
        <w:t>in deci</w:t>
      </w:r>
      <w:r w:rsidR="00DA0B79" w:rsidRPr="00D93FF9">
        <w:rPr>
          <w:lang w:val="en-GB"/>
        </w:rPr>
        <w:t>-S</w:t>
      </w:r>
      <w:r w:rsidRPr="00D93FF9">
        <w:rPr>
          <w:lang w:val="en-GB"/>
        </w:rPr>
        <w:t>iemens per metre (dS/m) or micro</w:t>
      </w:r>
      <w:r w:rsidR="00DA0B79" w:rsidRPr="00D93FF9">
        <w:rPr>
          <w:lang w:val="en-GB"/>
        </w:rPr>
        <w:t>-S</w:t>
      </w:r>
      <w:r w:rsidRPr="00D93FF9">
        <w:rPr>
          <w:lang w:val="en-GB"/>
        </w:rPr>
        <w:t xml:space="preserve">iemens per centimetre </w:t>
      </w:r>
      <w:r w:rsidR="00962EA1" w:rsidRPr="00D93FF9">
        <w:rPr>
          <w:lang w:val="en-GB"/>
        </w:rPr>
        <w:t>(</w:t>
      </w:r>
      <w:r w:rsidR="00962EA1" w:rsidRPr="00D93FF9">
        <w:rPr>
          <w:rFonts w:ascii="Symbol" w:hAnsi="Symbol"/>
          <w:lang w:val="en-GB"/>
        </w:rPr>
        <w:sym w:font="Symbol" w:char="F06D"/>
      </w:r>
      <w:r w:rsidRPr="00D93FF9">
        <w:rPr>
          <w:lang w:val="en-GB"/>
        </w:rPr>
        <w:t xml:space="preserve">S/cm). Units of dS/m are used throughout these guidelines for irrigation water quality. One dS/m is equivalent to one thousand </w:t>
      </w:r>
      <w:r w:rsidR="00962EA1" w:rsidRPr="00D93FF9">
        <w:rPr>
          <w:rFonts w:ascii="Symbol" w:hAnsi="Symbol"/>
          <w:lang w:val="en-GB"/>
        </w:rPr>
        <w:sym w:font="Symbol" w:char="F06D"/>
      </w:r>
      <w:r w:rsidRPr="00D93FF9">
        <w:rPr>
          <w:lang w:val="en-GB"/>
        </w:rPr>
        <w:t xml:space="preserve">S/cm. Because conversion factors </w:t>
      </w:r>
      <w:r w:rsidR="00DA0B79" w:rsidRPr="00D93FF9">
        <w:rPr>
          <w:lang w:val="en-GB"/>
        </w:rPr>
        <w:t>other than</w:t>
      </w:r>
      <w:r w:rsidR="0051005D" w:rsidRPr="00D93FF9">
        <w:rPr>
          <w:lang w:val="en-GB"/>
        </w:rPr>
        <w:t xml:space="preserve"> 640</w:t>
      </w:r>
      <w:r w:rsidR="00DA0B79" w:rsidRPr="00D93FF9">
        <w:rPr>
          <w:lang w:val="en-GB"/>
        </w:rPr>
        <w:t xml:space="preserve"> can sometimes be </w:t>
      </w:r>
      <w:r w:rsidRPr="00D93FF9">
        <w:rPr>
          <w:lang w:val="en-GB"/>
        </w:rPr>
        <w:t>used to convert EC to TDS</w:t>
      </w:r>
      <w:r w:rsidR="00DA0B79" w:rsidRPr="00D93FF9">
        <w:rPr>
          <w:lang w:val="en-GB"/>
        </w:rPr>
        <w:t xml:space="preserve"> (</w:t>
      </w:r>
      <w:r w:rsidR="00805E4D" w:rsidRPr="00D93FF9">
        <w:rPr>
          <w:lang w:val="en-GB"/>
        </w:rPr>
        <w:t xml:space="preserve">for ECs greater than about 5dS/m, a conversion factor of 800 is suggested – Tanji et al. </w:t>
      </w:r>
      <w:r w:rsidR="00DB2721" w:rsidRPr="00D93FF9">
        <w:rPr>
          <w:lang w:val="en-GB"/>
        </w:rPr>
        <w:t>200</w:t>
      </w:r>
      <w:r w:rsidR="00510101" w:rsidRPr="00D93FF9">
        <w:rPr>
          <w:lang w:val="en-GB"/>
        </w:rPr>
        <w:t>8</w:t>
      </w:r>
      <w:r w:rsidR="00DA0B79" w:rsidRPr="00D93FF9">
        <w:rPr>
          <w:lang w:val="en-GB"/>
        </w:rPr>
        <w:t>)</w:t>
      </w:r>
      <w:r w:rsidRPr="00D93FF9">
        <w:rPr>
          <w:lang w:val="en-GB"/>
        </w:rPr>
        <w:t xml:space="preserve">, it is recommended that only directly </w:t>
      </w:r>
      <w:r w:rsidR="00DA0B79" w:rsidRPr="00D93FF9">
        <w:rPr>
          <w:lang w:val="en-GB"/>
        </w:rPr>
        <w:t xml:space="preserve">measured </w:t>
      </w:r>
      <w:r w:rsidRPr="00D93FF9">
        <w:rPr>
          <w:lang w:val="en-GB"/>
        </w:rPr>
        <w:t>EC data be used.</w:t>
      </w:r>
    </w:p>
    <w:p w14:paraId="59DCC432" w14:textId="2A3A70BD" w:rsidR="002A7F03" w:rsidRPr="00D93FF9" w:rsidRDefault="00E811B8" w:rsidP="002A7F03">
      <w:r w:rsidRPr="00D93FF9">
        <w:t>The following are some useful conversions</w:t>
      </w:r>
      <w:r w:rsidR="009A0EA8" w:rsidRPr="00D93FF9">
        <w:t xml:space="preserve"> are</w:t>
      </w:r>
      <w:r w:rsidRPr="00D93FF9">
        <w:t>:</w:t>
      </w:r>
    </w:p>
    <w:p w14:paraId="59DCC433" w14:textId="77777777" w:rsidR="002A7F03" w:rsidRPr="00D93FF9" w:rsidRDefault="00E811B8" w:rsidP="002A7F03">
      <w:pPr>
        <w:pStyle w:val="Bullet"/>
      </w:pPr>
      <w:r w:rsidRPr="00D93FF9">
        <w:t>1 dS/m = 1000 </w:t>
      </w:r>
      <w:r w:rsidRPr="00D93FF9">
        <w:rPr>
          <w:rFonts w:cs="Calibri"/>
        </w:rPr>
        <w:t>µ</w:t>
      </w:r>
      <w:r w:rsidRPr="00D93FF9">
        <w:t xml:space="preserve">S/cm </w:t>
      </w:r>
    </w:p>
    <w:p w14:paraId="59DCC434" w14:textId="06594D38" w:rsidR="002A7F03" w:rsidRPr="00D93FF9" w:rsidRDefault="00E811B8" w:rsidP="002A7F03">
      <w:pPr>
        <w:pStyle w:val="Bullet"/>
      </w:pPr>
      <w:r w:rsidRPr="00D93FF9">
        <w:t>EC (dS/m) x 6</w:t>
      </w:r>
      <w:r w:rsidR="00DB2721" w:rsidRPr="00D93FF9">
        <w:t>4</w:t>
      </w:r>
      <w:r w:rsidRPr="00D93FF9">
        <w:t xml:space="preserve">0 = TDS (mg/L) </w:t>
      </w:r>
    </w:p>
    <w:p w14:paraId="59DCC435" w14:textId="2AF41491" w:rsidR="002A7F03" w:rsidRPr="00D93FF9" w:rsidRDefault="00E811B8" w:rsidP="002A7F03">
      <w:pPr>
        <w:pStyle w:val="Bullet"/>
      </w:pPr>
      <w:r w:rsidRPr="00D93FF9">
        <w:t>EC (</w:t>
      </w:r>
      <w:r w:rsidRPr="00D93FF9">
        <w:rPr>
          <w:rFonts w:cs="Calibri"/>
        </w:rPr>
        <w:t>µ</w:t>
      </w:r>
      <w:r w:rsidRPr="00D93FF9">
        <w:t>S/cm) x 0.6</w:t>
      </w:r>
      <w:r w:rsidR="00DB2721" w:rsidRPr="00D93FF9">
        <w:t>4</w:t>
      </w:r>
      <w:r w:rsidRPr="00D93FF9">
        <w:t xml:space="preserve"> = TDS (mg/L) </w:t>
      </w:r>
    </w:p>
    <w:p w14:paraId="59DCC436" w14:textId="704F7A4A" w:rsidR="002A7F03" w:rsidRPr="00D93FF9" w:rsidRDefault="00E811B8" w:rsidP="002A7F03">
      <w:pPr>
        <w:pStyle w:val="Bullet"/>
      </w:pPr>
      <w:r w:rsidRPr="00D93FF9">
        <w:t>In summary: 1 dS/m = 1000 </w:t>
      </w:r>
      <w:r w:rsidRPr="00D93FF9">
        <w:rPr>
          <w:rFonts w:cstheme="minorHAnsi"/>
        </w:rPr>
        <w:t>µ</w:t>
      </w:r>
      <w:r w:rsidRPr="00D93FF9">
        <w:t xml:space="preserve">S/cm </w:t>
      </w:r>
      <w:r w:rsidRPr="00D93FF9">
        <w:rPr>
          <w:rFonts w:cstheme="minorHAnsi"/>
        </w:rPr>
        <w:t xml:space="preserve">≈ </w:t>
      </w:r>
      <w:r w:rsidRPr="00D93FF9">
        <w:t>6</w:t>
      </w:r>
      <w:r w:rsidR="00DB2721" w:rsidRPr="00D93FF9">
        <w:t>4</w:t>
      </w:r>
      <w:r w:rsidRPr="00D93FF9">
        <w:t>0 mg/L = 6</w:t>
      </w:r>
      <w:r w:rsidR="00DB2721" w:rsidRPr="00D93FF9">
        <w:t>4</w:t>
      </w:r>
      <w:r w:rsidRPr="00D93FF9">
        <w:t>0 ppm.</w:t>
      </w:r>
    </w:p>
    <w:p w14:paraId="59DCC437" w14:textId="3E2D4DCF" w:rsidR="004F4573" w:rsidRPr="00D93FF9" w:rsidRDefault="00840E64" w:rsidP="003807A1">
      <w:pPr>
        <w:pStyle w:val="BodyText"/>
        <w:spacing w:after="0" w:line="261" w:lineRule="auto"/>
        <w:jc w:val="both"/>
        <w:rPr>
          <w:lang w:val="en-GB"/>
        </w:rPr>
      </w:pPr>
      <w:bookmarkStart w:id="57" w:name="_Hlk81399305"/>
      <w:r w:rsidRPr="00D93FF9">
        <w:rPr>
          <w:lang w:val="en-GB"/>
        </w:rPr>
        <w:t>The three measures of electrical conductivity are (</w:t>
      </w:r>
      <w:r w:rsidR="003E4D94" w:rsidRPr="00D93FF9">
        <w:rPr>
          <w:lang w:val="en-GB"/>
        </w:rPr>
        <w:t>DERM</w:t>
      </w:r>
      <w:r w:rsidRPr="00D93FF9">
        <w:rPr>
          <w:lang w:val="en-GB"/>
        </w:rPr>
        <w:t xml:space="preserve"> 2011)</w:t>
      </w:r>
      <w:r w:rsidR="00217F53" w:rsidRPr="00D93FF9">
        <w:rPr>
          <w:lang w:val="en-GB"/>
        </w:rPr>
        <w:t>:</w:t>
      </w:r>
    </w:p>
    <w:p w14:paraId="70AC51D1" w14:textId="2CD30783" w:rsidR="00840E64" w:rsidRPr="00D93FF9" w:rsidRDefault="00840E64" w:rsidP="002201B6">
      <w:pPr>
        <w:pStyle w:val="Bullet"/>
      </w:pPr>
      <w:r w:rsidRPr="00D93FF9">
        <w:t>EC1:5: the electrical conductivity of a 1:5 soil water suspension, used routinely in analyses</w:t>
      </w:r>
    </w:p>
    <w:p w14:paraId="15D8FC4A" w14:textId="0B89C8FE" w:rsidR="00840E64" w:rsidRPr="00D93FF9" w:rsidRDefault="00840E64" w:rsidP="002201B6">
      <w:pPr>
        <w:pStyle w:val="Bullet"/>
      </w:pPr>
      <w:r w:rsidRPr="00D93FF9">
        <w:t>ECse: the electrical conductivity of the soil saturation extract, used for predicting plant response (commonly predicted from 1:5 and soil properties, or can be measured directly)</w:t>
      </w:r>
    </w:p>
    <w:p w14:paraId="08EC2843" w14:textId="7C6C99A2" w:rsidR="00840E64" w:rsidRPr="00D93FF9" w:rsidRDefault="00840E64" w:rsidP="002201B6">
      <w:pPr>
        <w:pStyle w:val="Bullet"/>
      </w:pPr>
      <w:r w:rsidRPr="00D93FF9">
        <w:t>ECs: the electrical conductivity of soil at measured or predicted maximum field water content (approximating field capacity), used to assess salt movement through the soil (usually predicted from 1:5 and soil properties)</w:t>
      </w:r>
    </w:p>
    <w:bookmarkEnd w:id="57"/>
    <w:p w14:paraId="04D89CC9" w14:textId="77777777" w:rsidR="00840E64" w:rsidRPr="00D93FF9" w:rsidRDefault="00840E64" w:rsidP="003807A1">
      <w:pPr>
        <w:pStyle w:val="BodyText"/>
        <w:spacing w:after="0" w:line="266" w:lineRule="auto"/>
        <w:jc w:val="both"/>
        <w:rPr>
          <w:lang w:val="en-GB"/>
        </w:rPr>
      </w:pPr>
    </w:p>
    <w:p w14:paraId="59DCC438" w14:textId="0F1C9DB0" w:rsidR="00C46175" w:rsidRPr="00D93FF9" w:rsidRDefault="00E811B8" w:rsidP="003807A1">
      <w:pPr>
        <w:pStyle w:val="BodyText"/>
        <w:spacing w:after="0" w:line="266" w:lineRule="auto"/>
        <w:jc w:val="both"/>
        <w:rPr>
          <w:lang w:val="en-GB"/>
        </w:rPr>
      </w:pPr>
      <w:r w:rsidRPr="00D93FF9">
        <w:rPr>
          <w:lang w:val="en-GB"/>
        </w:rPr>
        <w:t xml:space="preserve">A </w:t>
      </w:r>
      <w:r w:rsidR="00F15E99" w:rsidRPr="00D93FF9">
        <w:rPr>
          <w:lang w:val="en-GB"/>
        </w:rPr>
        <w:t xml:space="preserve">generic </w:t>
      </w:r>
      <w:r w:rsidRPr="00D93FF9">
        <w:rPr>
          <w:lang w:val="en-GB"/>
        </w:rPr>
        <w:t>water salinity rating can be assigned to irrigation waters based on EC (</w:t>
      </w:r>
      <w:r w:rsidR="00500234" w:rsidRPr="00D93FF9">
        <w:rPr>
          <w:lang w:val="en-GB"/>
        </w:rPr>
        <w:fldChar w:fldCharType="begin"/>
      </w:r>
      <w:r w:rsidR="00500234" w:rsidRPr="00D93FF9">
        <w:rPr>
          <w:lang w:val="en-GB"/>
        </w:rPr>
        <w:instrText xml:space="preserve"> REF _Ref81390559 \h </w:instrText>
      </w:r>
      <w:r w:rsidR="00D93FF9">
        <w:rPr>
          <w:lang w:val="en-GB"/>
        </w:rPr>
        <w:instrText xml:space="preserve"> \* MERGEFORMAT </w:instrText>
      </w:r>
      <w:r w:rsidR="00500234" w:rsidRPr="00D93FF9">
        <w:rPr>
          <w:lang w:val="en-GB"/>
        </w:rPr>
      </w:r>
      <w:r w:rsidR="00500234" w:rsidRPr="00D93FF9">
        <w:rPr>
          <w:lang w:val="en-GB"/>
        </w:rPr>
        <w:fldChar w:fldCharType="separate"/>
      </w:r>
      <w:r w:rsidR="0069302C" w:rsidRPr="00D93FF9">
        <w:t xml:space="preserve">Table </w:t>
      </w:r>
      <w:r w:rsidR="0069302C">
        <w:rPr>
          <w:noProof/>
        </w:rPr>
        <w:t>8</w:t>
      </w:r>
      <w:r w:rsidR="00500234" w:rsidRPr="00D93FF9">
        <w:rPr>
          <w:lang w:val="en-GB"/>
        </w:rPr>
        <w:fldChar w:fldCharType="end"/>
      </w:r>
      <w:r w:rsidRPr="00D93FF9">
        <w:rPr>
          <w:lang w:val="en-GB"/>
        </w:rPr>
        <w:t xml:space="preserve">). These ratings provide only a general guide and </w:t>
      </w:r>
      <w:r w:rsidR="00F15E99" w:rsidRPr="00D93FF9">
        <w:rPr>
          <w:lang w:val="en-GB"/>
        </w:rPr>
        <w:t>should not be used by themselves to assess the salinity hazard of irrigation waters</w:t>
      </w:r>
      <w:r w:rsidRPr="00D93FF9">
        <w:rPr>
          <w:lang w:val="en-GB"/>
        </w:rPr>
        <w:t>.</w:t>
      </w:r>
      <w:r w:rsidRPr="00D93FF9">
        <w:rPr>
          <w:spacing w:val="46"/>
          <w:lang w:val="en-GB"/>
        </w:rPr>
        <w:t xml:space="preserve"> </w:t>
      </w:r>
      <w:r w:rsidRPr="00D93FF9">
        <w:rPr>
          <w:lang w:val="en-GB"/>
        </w:rPr>
        <w:t>As</w:t>
      </w:r>
      <w:r w:rsidRPr="00D93FF9">
        <w:rPr>
          <w:spacing w:val="47"/>
          <w:lang w:val="en-GB"/>
        </w:rPr>
        <w:t xml:space="preserve"> </w:t>
      </w:r>
      <w:r w:rsidRPr="00D93FF9">
        <w:rPr>
          <w:lang w:val="en-GB"/>
        </w:rPr>
        <w:t>emphasised</w:t>
      </w:r>
      <w:r w:rsidRPr="00D93FF9">
        <w:rPr>
          <w:spacing w:val="47"/>
          <w:lang w:val="en-GB"/>
        </w:rPr>
        <w:t xml:space="preserve"> </w:t>
      </w:r>
      <w:r w:rsidRPr="00D93FF9">
        <w:rPr>
          <w:lang w:val="en-GB"/>
        </w:rPr>
        <w:t>throughout</w:t>
      </w:r>
      <w:r w:rsidRPr="00D93FF9">
        <w:rPr>
          <w:spacing w:val="47"/>
          <w:lang w:val="en-GB"/>
        </w:rPr>
        <w:t xml:space="preserve"> </w:t>
      </w:r>
      <w:r w:rsidRPr="00D93FF9">
        <w:rPr>
          <w:lang w:val="en-GB"/>
        </w:rPr>
        <w:t>thi</w:t>
      </w:r>
      <w:bookmarkStart w:id="58" w:name="Sodicity_assessment"/>
      <w:bookmarkStart w:id="59" w:name="Soil_properties"/>
      <w:bookmarkEnd w:id="58"/>
      <w:bookmarkEnd w:id="59"/>
      <w:r w:rsidR="00F15E99" w:rsidRPr="00D93FF9">
        <w:rPr>
          <w:lang w:val="en-GB"/>
        </w:rPr>
        <w:t xml:space="preserve">s </w:t>
      </w:r>
      <w:r w:rsidR="00A834F8" w:rsidRPr="00D93FF9">
        <w:rPr>
          <w:lang w:val="en-GB"/>
        </w:rPr>
        <w:t>s</w:t>
      </w:r>
      <w:r w:rsidRPr="00D93FF9">
        <w:rPr>
          <w:lang w:val="en-GB"/>
        </w:rPr>
        <w:t xml:space="preserve">ection, other factors such as </w:t>
      </w:r>
      <w:r w:rsidR="004F4573" w:rsidRPr="00D93FF9">
        <w:rPr>
          <w:lang w:val="en-GB"/>
        </w:rPr>
        <w:t>plant species</w:t>
      </w:r>
      <w:r w:rsidR="00A834F8" w:rsidRPr="00D93FF9">
        <w:rPr>
          <w:lang w:val="en-GB"/>
        </w:rPr>
        <w:t xml:space="preserve">, leaching fraction, </w:t>
      </w:r>
      <w:r w:rsidRPr="00D93FF9">
        <w:rPr>
          <w:lang w:val="en-GB"/>
        </w:rPr>
        <w:t>soil characteristics, climate, and irrigation management must be considered.</w:t>
      </w:r>
    </w:p>
    <w:p w14:paraId="59DCC439" w14:textId="77777777" w:rsidR="000504CB" w:rsidRPr="00D93FF9" w:rsidRDefault="000504CB" w:rsidP="003807A1">
      <w:pPr>
        <w:pStyle w:val="BodyText"/>
        <w:spacing w:after="0"/>
        <w:rPr>
          <w:sz w:val="21"/>
          <w:lang w:val="en-GB"/>
        </w:rPr>
      </w:pPr>
    </w:p>
    <w:p w14:paraId="59DCC43A" w14:textId="01B79C48" w:rsidR="00FF6BE9" w:rsidRPr="00D93FF9" w:rsidRDefault="00500234" w:rsidP="00500234">
      <w:pPr>
        <w:pStyle w:val="Caption"/>
        <w:rPr>
          <w:rFonts w:ascii="Arial"/>
          <w:sz w:val="18"/>
          <w:lang w:val="en-GB"/>
        </w:rPr>
      </w:pPr>
      <w:bookmarkStart w:id="60" w:name="_Ref81390559"/>
      <w:bookmarkStart w:id="61" w:name="_Toc96518222"/>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8</w:t>
      </w:r>
      <w:r w:rsidR="00477102" w:rsidRPr="00D93FF9">
        <w:fldChar w:fldCharType="end"/>
      </w:r>
      <w:bookmarkEnd w:id="60"/>
      <w:r w:rsidRPr="00D93FF9">
        <w:t xml:space="preserve"> </w:t>
      </w:r>
      <w:bookmarkStart w:id="62" w:name="_Hlk153787540"/>
      <w:r w:rsidR="00E90CE0" w:rsidRPr="00D93FF9">
        <w:rPr>
          <w:rFonts w:ascii="Arial"/>
          <w:sz w:val="18"/>
          <w:lang w:val="en-GB"/>
        </w:rPr>
        <w:t>Irrigation water salinity ratings based on electrical conductivity</w:t>
      </w:r>
      <w:r w:rsidR="00C54727" w:rsidRPr="00D93FF9">
        <w:rPr>
          <w:rFonts w:ascii="Arial"/>
          <w:sz w:val="18"/>
          <w:vertAlign w:val="superscript"/>
          <w:lang w:val="en-GB"/>
        </w:rPr>
        <w:t>a</w:t>
      </w:r>
      <w:bookmarkEnd w:id="62"/>
      <w:r w:rsidR="00830EF3" w:rsidRPr="00D93FF9">
        <w:rPr>
          <w:rFonts w:ascii="Arial"/>
          <w:sz w:val="18"/>
          <w:vertAlign w:val="superscript"/>
          <w:lang w:val="en-GB"/>
        </w:rPr>
        <w:t>,</w:t>
      </w:r>
      <w:r w:rsidR="00CF330E" w:rsidRPr="00D93FF9">
        <w:rPr>
          <w:rFonts w:ascii="Arial"/>
          <w:sz w:val="18"/>
          <w:vertAlign w:val="superscript"/>
          <w:lang w:val="en-GB"/>
        </w:rPr>
        <w:t>b</w:t>
      </w:r>
      <w:bookmarkEnd w:id="61"/>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rrigation water salinity ratings based on electrical conductivity"/>
        <w:tblDescription w:val="This table lists generic water salinity ratings that can be assigned to irrigation waters based on electrical conductivity. A range of electrical conductivities and their salinity rating ranging from very low to extreme are listed in the first and second columns, and the plant suitability for each type of crop is listed in the third column."/>
      </w:tblPr>
      <w:tblGrid>
        <w:gridCol w:w="3003"/>
        <w:gridCol w:w="3003"/>
        <w:gridCol w:w="3004"/>
      </w:tblGrid>
      <w:tr w:rsidR="00BE3AA8" w:rsidRPr="00D93FF9" w14:paraId="59DCC43E" w14:textId="77777777" w:rsidTr="001758C8">
        <w:tc>
          <w:tcPr>
            <w:tcW w:w="3003" w:type="dxa"/>
            <w:tcBorders>
              <w:top w:val="single" w:sz="4" w:space="0" w:color="auto"/>
              <w:bottom w:val="single" w:sz="4" w:space="0" w:color="auto"/>
            </w:tcBorders>
          </w:tcPr>
          <w:p w14:paraId="59DCC43B" w14:textId="77777777" w:rsidR="00FF6BE9" w:rsidRPr="00D93FF9" w:rsidRDefault="00E811B8" w:rsidP="003807A1">
            <w:pPr>
              <w:spacing w:after="0"/>
              <w:rPr>
                <w:rFonts w:asciiTheme="minorHAnsi" w:hAnsiTheme="minorHAnsi"/>
                <w:b/>
                <w:bCs/>
                <w:szCs w:val="18"/>
                <w:lang w:val="en-GB"/>
              </w:rPr>
            </w:pPr>
            <w:r w:rsidRPr="00D93FF9">
              <w:rPr>
                <w:rFonts w:asciiTheme="minorHAnsi" w:hAnsiTheme="minorHAnsi"/>
                <w:b/>
                <w:bCs/>
                <w:szCs w:val="18"/>
                <w:lang w:val="en-GB"/>
              </w:rPr>
              <w:t>EC (dS/m)</w:t>
            </w:r>
          </w:p>
        </w:tc>
        <w:tc>
          <w:tcPr>
            <w:tcW w:w="3003" w:type="dxa"/>
            <w:tcBorders>
              <w:top w:val="single" w:sz="4" w:space="0" w:color="auto"/>
              <w:bottom w:val="single" w:sz="4" w:space="0" w:color="auto"/>
            </w:tcBorders>
          </w:tcPr>
          <w:p w14:paraId="59DCC43C" w14:textId="08BCA976" w:rsidR="00FF6BE9" w:rsidRPr="00D93FF9" w:rsidRDefault="009A0EA8" w:rsidP="003807A1">
            <w:pPr>
              <w:spacing w:after="0"/>
              <w:rPr>
                <w:rFonts w:asciiTheme="minorHAnsi" w:hAnsiTheme="minorHAnsi"/>
                <w:b/>
                <w:bCs/>
                <w:szCs w:val="18"/>
                <w:lang w:val="en-GB"/>
              </w:rPr>
            </w:pPr>
            <w:r w:rsidRPr="00D93FF9">
              <w:rPr>
                <w:rFonts w:asciiTheme="minorHAnsi" w:hAnsiTheme="minorHAnsi"/>
                <w:b/>
                <w:bCs/>
                <w:szCs w:val="18"/>
                <w:lang w:val="en-GB"/>
              </w:rPr>
              <w:t>S</w:t>
            </w:r>
            <w:r w:rsidR="00E811B8" w:rsidRPr="00D93FF9">
              <w:rPr>
                <w:rFonts w:asciiTheme="minorHAnsi" w:hAnsiTheme="minorHAnsi"/>
                <w:b/>
                <w:bCs/>
                <w:szCs w:val="18"/>
                <w:lang w:val="en-GB"/>
              </w:rPr>
              <w:t>alinity rating</w:t>
            </w:r>
          </w:p>
        </w:tc>
        <w:tc>
          <w:tcPr>
            <w:tcW w:w="3004" w:type="dxa"/>
            <w:tcBorders>
              <w:top w:val="single" w:sz="4" w:space="0" w:color="auto"/>
              <w:bottom w:val="single" w:sz="4" w:space="0" w:color="auto"/>
            </w:tcBorders>
          </w:tcPr>
          <w:p w14:paraId="59DCC43D" w14:textId="77777777" w:rsidR="00FF6BE9" w:rsidRPr="00D93FF9" w:rsidRDefault="00E811B8" w:rsidP="003807A1">
            <w:pPr>
              <w:spacing w:after="0"/>
              <w:rPr>
                <w:rFonts w:asciiTheme="minorHAnsi" w:hAnsiTheme="minorHAnsi"/>
                <w:b/>
                <w:bCs/>
                <w:szCs w:val="18"/>
                <w:lang w:val="en-GB"/>
              </w:rPr>
            </w:pPr>
            <w:r w:rsidRPr="00D93FF9">
              <w:rPr>
                <w:rFonts w:asciiTheme="minorHAnsi" w:hAnsiTheme="minorHAnsi"/>
                <w:b/>
                <w:bCs/>
                <w:szCs w:val="18"/>
                <w:lang w:val="en-GB"/>
              </w:rPr>
              <w:t>Plant suitability</w:t>
            </w:r>
          </w:p>
        </w:tc>
      </w:tr>
      <w:tr w:rsidR="00BE3AA8" w:rsidRPr="00D93FF9" w14:paraId="59DCC442" w14:textId="77777777" w:rsidTr="001758C8">
        <w:tc>
          <w:tcPr>
            <w:tcW w:w="3003" w:type="dxa"/>
            <w:tcBorders>
              <w:top w:val="single" w:sz="4" w:space="0" w:color="auto"/>
            </w:tcBorders>
          </w:tcPr>
          <w:p w14:paraId="59DCC43F" w14:textId="77777777" w:rsidR="00FF6BE9" w:rsidRPr="00D93FF9" w:rsidRDefault="00E811B8" w:rsidP="003807A1">
            <w:pPr>
              <w:spacing w:after="0"/>
              <w:rPr>
                <w:rFonts w:asciiTheme="minorHAnsi" w:hAnsiTheme="minorHAnsi"/>
                <w:szCs w:val="18"/>
                <w:lang w:val="en-GB"/>
              </w:rPr>
            </w:pPr>
            <w:r w:rsidRPr="00D93FF9">
              <w:rPr>
                <w:rFonts w:asciiTheme="minorHAnsi" w:hAnsiTheme="minorHAnsi"/>
                <w:szCs w:val="18"/>
                <w:lang w:val="en-GB"/>
              </w:rPr>
              <w:t>&lt;0.65</w:t>
            </w:r>
          </w:p>
        </w:tc>
        <w:tc>
          <w:tcPr>
            <w:tcW w:w="3003" w:type="dxa"/>
            <w:tcBorders>
              <w:top w:val="single" w:sz="4" w:space="0" w:color="auto"/>
            </w:tcBorders>
          </w:tcPr>
          <w:p w14:paraId="59DCC440" w14:textId="77777777" w:rsidR="00FF6BE9" w:rsidRPr="00D93FF9" w:rsidRDefault="00E811B8" w:rsidP="003807A1">
            <w:pPr>
              <w:spacing w:after="0"/>
              <w:rPr>
                <w:rFonts w:asciiTheme="minorHAnsi" w:hAnsiTheme="minorHAnsi"/>
                <w:szCs w:val="18"/>
                <w:lang w:val="en-GB"/>
              </w:rPr>
            </w:pPr>
            <w:r w:rsidRPr="00D93FF9">
              <w:rPr>
                <w:rFonts w:asciiTheme="minorHAnsi" w:hAnsiTheme="minorHAnsi"/>
                <w:szCs w:val="18"/>
                <w:lang w:val="en-GB"/>
              </w:rPr>
              <w:t>Very low</w:t>
            </w:r>
          </w:p>
        </w:tc>
        <w:tc>
          <w:tcPr>
            <w:tcW w:w="3004" w:type="dxa"/>
            <w:tcBorders>
              <w:top w:val="single" w:sz="4" w:space="0" w:color="auto"/>
            </w:tcBorders>
          </w:tcPr>
          <w:p w14:paraId="59DCC441" w14:textId="77777777" w:rsidR="00FF6BE9" w:rsidRPr="00D93FF9" w:rsidRDefault="00E811B8" w:rsidP="003807A1">
            <w:pPr>
              <w:spacing w:after="0"/>
              <w:rPr>
                <w:rFonts w:asciiTheme="minorHAnsi" w:hAnsiTheme="minorHAnsi"/>
                <w:szCs w:val="18"/>
                <w:lang w:val="en-GB"/>
              </w:rPr>
            </w:pPr>
            <w:r w:rsidRPr="00D93FF9">
              <w:rPr>
                <w:rFonts w:asciiTheme="minorHAnsi" w:hAnsiTheme="minorHAnsi"/>
                <w:szCs w:val="18"/>
                <w:lang w:val="en-GB"/>
              </w:rPr>
              <w:t>Sensitive crops</w:t>
            </w:r>
          </w:p>
        </w:tc>
      </w:tr>
      <w:tr w:rsidR="00BE3AA8" w:rsidRPr="00D93FF9" w14:paraId="59DCC446" w14:textId="77777777" w:rsidTr="00A362CE">
        <w:tc>
          <w:tcPr>
            <w:tcW w:w="3003" w:type="dxa"/>
          </w:tcPr>
          <w:p w14:paraId="59DCC443"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0.65-1.3</w:t>
            </w:r>
          </w:p>
        </w:tc>
        <w:tc>
          <w:tcPr>
            <w:tcW w:w="3003" w:type="dxa"/>
          </w:tcPr>
          <w:p w14:paraId="59DCC444"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Low</w:t>
            </w:r>
          </w:p>
        </w:tc>
        <w:tc>
          <w:tcPr>
            <w:tcW w:w="3004" w:type="dxa"/>
          </w:tcPr>
          <w:p w14:paraId="59DCC445"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Moderately sensitive crops</w:t>
            </w:r>
          </w:p>
        </w:tc>
      </w:tr>
      <w:tr w:rsidR="00BE3AA8" w:rsidRPr="00D93FF9" w14:paraId="59DCC44A" w14:textId="77777777" w:rsidTr="00A362CE">
        <w:tc>
          <w:tcPr>
            <w:tcW w:w="3003" w:type="dxa"/>
          </w:tcPr>
          <w:p w14:paraId="59DCC447"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1.3-2.9</w:t>
            </w:r>
          </w:p>
        </w:tc>
        <w:tc>
          <w:tcPr>
            <w:tcW w:w="3003" w:type="dxa"/>
          </w:tcPr>
          <w:p w14:paraId="59DCC448"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Medium</w:t>
            </w:r>
          </w:p>
        </w:tc>
        <w:tc>
          <w:tcPr>
            <w:tcW w:w="3004" w:type="dxa"/>
          </w:tcPr>
          <w:p w14:paraId="59DCC449"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Moderately tolerant crops</w:t>
            </w:r>
          </w:p>
        </w:tc>
      </w:tr>
      <w:tr w:rsidR="00BE3AA8" w:rsidRPr="00D93FF9" w14:paraId="59DCC44E" w14:textId="77777777" w:rsidTr="00A362CE">
        <w:tc>
          <w:tcPr>
            <w:tcW w:w="3003" w:type="dxa"/>
          </w:tcPr>
          <w:p w14:paraId="59DCC44B"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2.9-5.2</w:t>
            </w:r>
          </w:p>
        </w:tc>
        <w:tc>
          <w:tcPr>
            <w:tcW w:w="3003" w:type="dxa"/>
          </w:tcPr>
          <w:p w14:paraId="59DCC44C"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High</w:t>
            </w:r>
          </w:p>
        </w:tc>
        <w:tc>
          <w:tcPr>
            <w:tcW w:w="3004" w:type="dxa"/>
          </w:tcPr>
          <w:p w14:paraId="59DCC44D"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Tolerant crops</w:t>
            </w:r>
          </w:p>
        </w:tc>
      </w:tr>
      <w:tr w:rsidR="00BE3AA8" w:rsidRPr="00D93FF9" w14:paraId="59DCC452" w14:textId="77777777" w:rsidTr="00A362CE">
        <w:tc>
          <w:tcPr>
            <w:tcW w:w="3003" w:type="dxa"/>
            <w:tcBorders>
              <w:bottom w:val="nil"/>
            </w:tcBorders>
          </w:tcPr>
          <w:p w14:paraId="59DCC44F"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5.2-8.1</w:t>
            </w:r>
          </w:p>
        </w:tc>
        <w:tc>
          <w:tcPr>
            <w:tcW w:w="3003" w:type="dxa"/>
            <w:tcBorders>
              <w:bottom w:val="nil"/>
            </w:tcBorders>
          </w:tcPr>
          <w:p w14:paraId="59DCC450"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Very high</w:t>
            </w:r>
          </w:p>
        </w:tc>
        <w:tc>
          <w:tcPr>
            <w:tcW w:w="3004" w:type="dxa"/>
            <w:tcBorders>
              <w:bottom w:val="nil"/>
            </w:tcBorders>
          </w:tcPr>
          <w:p w14:paraId="59DCC451"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Very tolerant crops</w:t>
            </w:r>
          </w:p>
        </w:tc>
      </w:tr>
      <w:tr w:rsidR="00BE3AA8" w:rsidRPr="00D93FF9" w14:paraId="59DCC456" w14:textId="77777777" w:rsidTr="00A362CE">
        <w:tc>
          <w:tcPr>
            <w:tcW w:w="3003" w:type="dxa"/>
            <w:tcBorders>
              <w:top w:val="nil"/>
              <w:bottom w:val="single" w:sz="4" w:space="0" w:color="auto"/>
            </w:tcBorders>
          </w:tcPr>
          <w:p w14:paraId="59DCC453"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&gt;8.1</w:t>
            </w:r>
          </w:p>
        </w:tc>
        <w:tc>
          <w:tcPr>
            <w:tcW w:w="3003" w:type="dxa"/>
            <w:tcBorders>
              <w:top w:val="nil"/>
              <w:bottom w:val="single" w:sz="4" w:space="0" w:color="auto"/>
            </w:tcBorders>
          </w:tcPr>
          <w:p w14:paraId="59DCC454" w14:textId="77777777"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Extreme</w:t>
            </w:r>
          </w:p>
        </w:tc>
        <w:tc>
          <w:tcPr>
            <w:tcW w:w="3004" w:type="dxa"/>
            <w:tcBorders>
              <w:top w:val="nil"/>
              <w:bottom w:val="single" w:sz="4" w:space="0" w:color="auto"/>
            </w:tcBorders>
          </w:tcPr>
          <w:p w14:paraId="59DCC455" w14:textId="2BF5B4DF" w:rsidR="00C54727" w:rsidRPr="00D93FF9" w:rsidRDefault="00E811B8" w:rsidP="00C54727">
            <w:pPr>
              <w:spacing w:after="0"/>
              <w:rPr>
                <w:rFonts w:asciiTheme="minorHAnsi" w:hAnsiTheme="minorHAnsi"/>
                <w:szCs w:val="18"/>
                <w:lang w:val="en-GB"/>
              </w:rPr>
            </w:pPr>
            <w:r w:rsidRPr="00D93FF9">
              <w:rPr>
                <w:rFonts w:asciiTheme="minorHAnsi" w:hAnsiTheme="minorHAnsi"/>
                <w:szCs w:val="18"/>
                <w:lang w:val="en-GB"/>
              </w:rPr>
              <w:t>General</w:t>
            </w:r>
            <w:r w:rsidR="00962E88" w:rsidRPr="00D93FF9">
              <w:rPr>
                <w:rFonts w:asciiTheme="minorHAnsi" w:hAnsiTheme="minorHAnsi"/>
                <w:szCs w:val="18"/>
                <w:lang w:val="en-GB"/>
              </w:rPr>
              <w:t>l</w:t>
            </w:r>
            <w:r w:rsidRPr="00D93FF9">
              <w:rPr>
                <w:rFonts w:asciiTheme="minorHAnsi" w:hAnsiTheme="minorHAnsi"/>
                <w:szCs w:val="18"/>
                <w:lang w:val="en-GB"/>
              </w:rPr>
              <w:t>y too saline</w:t>
            </w:r>
          </w:p>
        </w:tc>
      </w:tr>
    </w:tbl>
    <w:p w14:paraId="59DCC457" w14:textId="00D8BAD3" w:rsidR="00FF6BE9" w:rsidRPr="00D93FF9" w:rsidRDefault="00E811B8" w:rsidP="003807A1">
      <w:pPr>
        <w:spacing w:after="0"/>
        <w:rPr>
          <w:rFonts w:ascii="Arial"/>
          <w:sz w:val="18"/>
          <w:lang w:val="en-GB"/>
        </w:rPr>
      </w:pPr>
      <w:r w:rsidRPr="00D93FF9">
        <w:rPr>
          <w:rFonts w:ascii="Arial" w:hAnsi="Arial"/>
          <w:sz w:val="14"/>
          <w:lang w:val="en-GB"/>
        </w:rPr>
        <w:t>a Adapted from DNR (1997);</w:t>
      </w:r>
    </w:p>
    <w:p w14:paraId="59DCC458" w14:textId="279F669E" w:rsidR="00FF6BE9" w:rsidRPr="00D93FF9" w:rsidRDefault="00E811B8" w:rsidP="003807A1">
      <w:pPr>
        <w:spacing w:after="0"/>
        <w:rPr>
          <w:rFonts w:ascii="Arial"/>
          <w:sz w:val="14"/>
          <w:szCs w:val="14"/>
          <w:lang w:val="en-GB"/>
        </w:rPr>
      </w:pPr>
      <w:r w:rsidRPr="00D93FF9">
        <w:rPr>
          <w:rFonts w:ascii="Arial"/>
          <w:sz w:val="14"/>
          <w:szCs w:val="14"/>
          <w:lang w:val="en-GB"/>
        </w:rPr>
        <w:lastRenderedPageBreak/>
        <w:t xml:space="preserve">b Criteria for salinity are </w:t>
      </w:r>
      <w:r w:rsidR="00830EF3" w:rsidRPr="00D93FF9">
        <w:rPr>
          <w:rFonts w:ascii="Arial"/>
          <w:sz w:val="14"/>
          <w:szCs w:val="14"/>
          <w:lang w:val="en-GB"/>
        </w:rPr>
        <w:t>b</w:t>
      </w:r>
      <w:r w:rsidRPr="00D93FF9">
        <w:rPr>
          <w:rFonts w:ascii="Arial"/>
          <w:sz w:val="14"/>
          <w:szCs w:val="14"/>
          <w:lang w:val="en-GB"/>
        </w:rPr>
        <w:t>ased on 90% yield of the plant groupings of Maas and Hoffman (1977) and assuming 15% leaching fraction</w:t>
      </w:r>
    </w:p>
    <w:p w14:paraId="59DCC459" w14:textId="77777777" w:rsidR="00E562DF" w:rsidRPr="00D93FF9" w:rsidRDefault="00E562DF" w:rsidP="003807A1">
      <w:pPr>
        <w:pStyle w:val="BodyText"/>
        <w:spacing w:after="0" w:line="235" w:lineRule="auto"/>
        <w:jc w:val="both"/>
        <w:rPr>
          <w:lang w:val="en-GB"/>
        </w:rPr>
      </w:pPr>
    </w:p>
    <w:p w14:paraId="59DCC45A" w14:textId="7E4F83E2" w:rsidR="00C46175" w:rsidRPr="00D93FF9" w:rsidRDefault="00D15044" w:rsidP="003807A1">
      <w:pPr>
        <w:pStyle w:val="BodyText"/>
        <w:spacing w:after="0" w:line="235" w:lineRule="auto"/>
        <w:jc w:val="both"/>
        <w:rPr>
          <w:lang w:val="en-GB"/>
        </w:rPr>
      </w:pPr>
      <w:r w:rsidRPr="00D93FF9">
        <w:rPr>
          <w:lang w:val="en-GB"/>
        </w:rPr>
        <w:t>Th</w:t>
      </w:r>
      <w:r w:rsidR="00603090" w:rsidRPr="00D93FF9">
        <w:rPr>
          <w:lang w:val="en-GB"/>
        </w:rPr>
        <w:t>e EC</w:t>
      </w:r>
      <w:r w:rsidR="00603090" w:rsidRPr="00D93FF9">
        <w:rPr>
          <w:vertAlign w:val="subscript"/>
          <w:lang w:val="en-GB"/>
        </w:rPr>
        <w:t>se</w:t>
      </w:r>
      <w:r w:rsidRPr="00D93FF9">
        <w:rPr>
          <w:lang w:val="en-GB"/>
        </w:rPr>
        <w:t xml:space="preserve"> metric is</w:t>
      </w:r>
      <w:r w:rsidR="00E811B8" w:rsidRPr="00D93FF9">
        <w:rPr>
          <w:lang w:val="en-GB"/>
        </w:rPr>
        <w:t xml:space="preserve"> one of the critical measurements used in salinity assessment and </w:t>
      </w:r>
      <w:r w:rsidR="00603090" w:rsidRPr="00D93FF9">
        <w:rPr>
          <w:lang w:val="en-GB"/>
        </w:rPr>
        <w:t xml:space="preserve">its biological implications is assessed using published </w:t>
      </w:r>
      <w:r w:rsidR="00E811B8" w:rsidRPr="00D93FF9">
        <w:rPr>
          <w:lang w:val="en-GB"/>
        </w:rPr>
        <w:t xml:space="preserve">plant salt tolerance </w:t>
      </w:r>
      <w:r w:rsidR="00603090" w:rsidRPr="00D93FF9">
        <w:rPr>
          <w:lang w:val="en-GB"/>
        </w:rPr>
        <w:t xml:space="preserve">tables </w:t>
      </w:r>
      <w:r w:rsidR="00E811B8" w:rsidRPr="00D93FF9">
        <w:rPr>
          <w:lang w:val="en-GB"/>
        </w:rPr>
        <w:t>(see later discussion on soil</w:t>
      </w:r>
      <w:r w:rsidR="00E811B8" w:rsidRPr="00D93FF9">
        <w:rPr>
          <w:spacing w:val="7"/>
          <w:lang w:val="en-GB"/>
        </w:rPr>
        <w:t xml:space="preserve"> </w:t>
      </w:r>
      <w:r w:rsidR="00E811B8" w:rsidRPr="00D93FF9">
        <w:rPr>
          <w:lang w:val="en-GB"/>
        </w:rPr>
        <w:t>properties).</w:t>
      </w:r>
    </w:p>
    <w:p w14:paraId="59DCC45B" w14:textId="1B60C937" w:rsidR="00C46175" w:rsidRPr="00D93FF9" w:rsidRDefault="00C46175" w:rsidP="003807A1">
      <w:pPr>
        <w:pStyle w:val="BodyText"/>
        <w:spacing w:after="0"/>
        <w:rPr>
          <w:sz w:val="20"/>
          <w:lang w:val="en-GB"/>
        </w:rPr>
      </w:pPr>
    </w:p>
    <w:p w14:paraId="59DCC45C" w14:textId="77777777" w:rsidR="00C46175" w:rsidRPr="00D93FF9" w:rsidRDefault="00E811B8" w:rsidP="006975D0">
      <w:pPr>
        <w:pStyle w:val="Heading5"/>
        <w:spacing w:after="240"/>
        <w:rPr>
          <w:lang w:val="en-GB"/>
        </w:rPr>
      </w:pPr>
      <w:r w:rsidRPr="00D93FF9">
        <w:rPr>
          <w:lang w:val="en-GB"/>
        </w:rPr>
        <w:t xml:space="preserve">Sodicity </w:t>
      </w:r>
      <w:r w:rsidRPr="00D93FF9">
        <w:t>assessment</w:t>
      </w:r>
    </w:p>
    <w:p w14:paraId="59DCC45D" w14:textId="4B837F92" w:rsidR="00C46175" w:rsidRPr="00D93FF9" w:rsidRDefault="00E811B8" w:rsidP="003807A1">
      <w:pPr>
        <w:pStyle w:val="BodyText"/>
        <w:spacing w:after="0" w:line="266" w:lineRule="auto"/>
        <w:jc w:val="both"/>
        <w:rPr>
          <w:lang w:val="en-GB"/>
        </w:rPr>
      </w:pPr>
      <w:r w:rsidRPr="00D93FF9">
        <w:rPr>
          <w:lang w:val="en-GB"/>
        </w:rPr>
        <w:t xml:space="preserve">Sodicity is the </w:t>
      </w:r>
      <w:r w:rsidR="00D15044" w:rsidRPr="00D93FF9">
        <w:rPr>
          <w:lang w:val="en-GB"/>
        </w:rPr>
        <w:t>concentration</w:t>
      </w:r>
      <w:r w:rsidRPr="00D93FF9">
        <w:rPr>
          <w:lang w:val="en-GB"/>
        </w:rPr>
        <w:t xml:space="preserve"> of sodium (Na</w:t>
      </w:r>
      <w:r w:rsidRPr="00D93FF9">
        <w:rPr>
          <w:position w:val="5"/>
          <w:sz w:val="15"/>
          <w:lang w:val="en-GB"/>
        </w:rPr>
        <w:t>+</w:t>
      </w:r>
      <w:r w:rsidRPr="00D93FF9">
        <w:rPr>
          <w:lang w:val="en-GB"/>
        </w:rPr>
        <w:t xml:space="preserve">) ions relative to other cations in </w:t>
      </w:r>
      <w:r w:rsidR="00D15044" w:rsidRPr="00D93FF9">
        <w:rPr>
          <w:lang w:val="en-GB"/>
        </w:rPr>
        <w:t xml:space="preserve">the irrigation water or </w:t>
      </w:r>
      <w:r w:rsidR="004236B3" w:rsidRPr="00D93FF9">
        <w:rPr>
          <w:lang w:val="en-GB"/>
        </w:rPr>
        <w:t xml:space="preserve">on the </w:t>
      </w:r>
      <w:r w:rsidRPr="00D93FF9">
        <w:rPr>
          <w:lang w:val="en-GB"/>
        </w:rPr>
        <w:t>soil</w:t>
      </w:r>
      <w:r w:rsidR="004236B3" w:rsidRPr="00D93FF9">
        <w:rPr>
          <w:lang w:val="en-GB"/>
        </w:rPr>
        <w:t xml:space="preserve"> exchange complex</w:t>
      </w:r>
      <w:r w:rsidRPr="00D93FF9">
        <w:rPr>
          <w:lang w:val="en-GB"/>
        </w:rPr>
        <w:t xml:space="preserve">. </w:t>
      </w:r>
      <w:r w:rsidR="004236B3" w:rsidRPr="00D93FF9">
        <w:rPr>
          <w:lang w:val="en-GB"/>
        </w:rPr>
        <w:t>Sodium on</w:t>
      </w:r>
      <w:r w:rsidR="005D1143" w:rsidRPr="00D93FF9">
        <w:rPr>
          <w:lang w:val="en-GB"/>
        </w:rPr>
        <w:t xml:space="preserve"> the soil cation </w:t>
      </w:r>
      <w:r w:rsidRPr="00D93FF9">
        <w:rPr>
          <w:lang w:val="en-GB"/>
        </w:rPr>
        <w:t xml:space="preserve">exchangeable </w:t>
      </w:r>
      <w:r w:rsidR="005D1143" w:rsidRPr="00D93FF9">
        <w:rPr>
          <w:lang w:val="en-GB"/>
        </w:rPr>
        <w:t xml:space="preserve">complex </w:t>
      </w:r>
      <w:r w:rsidRPr="00D93FF9">
        <w:rPr>
          <w:lang w:val="en-GB"/>
        </w:rPr>
        <w:t>acts as a dispersant.</w:t>
      </w:r>
      <w:r w:rsidR="005D1143" w:rsidRPr="00D93FF9">
        <w:rPr>
          <w:lang w:val="en-GB"/>
        </w:rPr>
        <w:t xml:space="preserve"> However, soil salinity concentration </w:t>
      </w:r>
      <w:r w:rsidR="004236B3" w:rsidRPr="00D93FF9">
        <w:rPr>
          <w:lang w:val="en-GB"/>
        </w:rPr>
        <w:t>(EC</w:t>
      </w:r>
      <w:r w:rsidR="004236B3" w:rsidRPr="00D93FF9">
        <w:rPr>
          <w:vertAlign w:val="subscript"/>
          <w:lang w:val="en-GB"/>
        </w:rPr>
        <w:t>se</w:t>
      </w:r>
      <w:r w:rsidR="004236B3" w:rsidRPr="00D93FF9">
        <w:rPr>
          <w:lang w:val="en-GB"/>
        </w:rPr>
        <w:t xml:space="preserve">) </w:t>
      </w:r>
      <w:r w:rsidR="005D1143" w:rsidRPr="00D93FF9">
        <w:rPr>
          <w:lang w:val="en-GB"/>
        </w:rPr>
        <w:t>also acts as a flocculant of soil particles</w:t>
      </w:r>
      <w:r w:rsidR="004236B3" w:rsidRPr="00D93FF9">
        <w:rPr>
          <w:lang w:val="en-GB"/>
        </w:rPr>
        <w:t xml:space="preserve"> and Na is a contributor to this salinity</w:t>
      </w:r>
      <w:r w:rsidR="005D1143" w:rsidRPr="00D93FF9">
        <w:rPr>
          <w:lang w:val="en-GB"/>
        </w:rPr>
        <w:t xml:space="preserve">. </w:t>
      </w:r>
    </w:p>
    <w:p w14:paraId="59DCC45E" w14:textId="0EC1D14B" w:rsidR="00C46175" w:rsidRPr="00D93FF9" w:rsidRDefault="00E811B8" w:rsidP="003807A1">
      <w:pPr>
        <w:pStyle w:val="BodyText"/>
        <w:spacing w:after="0" w:line="266" w:lineRule="auto"/>
        <w:jc w:val="both"/>
        <w:rPr>
          <w:lang w:val="en-GB"/>
        </w:rPr>
      </w:pPr>
      <w:r w:rsidRPr="00D93FF9">
        <w:rPr>
          <w:lang w:val="en-GB"/>
        </w:rPr>
        <w:t>Elevated levels of Na</w:t>
      </w:r>
      <w:r w:rsidRPr="00D93FF9">
        <w:rPr>
          <w:position w:val="5"/>
          <w:sz w:val="15"/>
          <w:lang w:val="en-GB"/>
        </w:rPr>
        <w:t xml:space="preserve">+ </w:t>
      </w:r>
      <w:r w:rsidRPr="00D93FF9">
        <w:rPr>
          <w:lang w:val="en-GB"/>
        </w:rPr>
        <w:t xml:space="preserve">in irrigation water can lead to sodicity problems in the soil profile. </w:t>
      </w:r>
      <w:r w:rsidR="008A127B" w:rsidRPr="00D93FF9">
        <w:rPr>
          <w:lang w:val="en-GB"/>
        </w:rPr>
        <w:t xml:space="preserve">The </w:t>
      </w:r>
      <w:r w:rsidRPr="00D93FF9">
        <w:rPr>
          <w:lang w:val="en-GB"/>
        </w:rPr>
        <w:t xml:space="preserve">sodicity levels in irrigation water </w:t>
      </w:r>
      <w:r w:rsidR="008A127B" w:rsidRPr="00D93FF9">
        <w:rPr>
          <w:lang w:val="en-GB"/>
        </w:rPr>
        <w:t xml:space="preserve">is quantified by </w:t>
      </w:r>
      <w:r w:rsidRPr="00D93FF9">
        <w:rPr>
          <w:lang w:val="en-GB"/>
        </w:rPr>
        <w:t xml:space="preserve">the </w:t>
      </w:r>
      <w:r w:rsidR="008A127B" w:rsidRPr="00D93FF9">
        <w:rPr>
          <w:lang w:val="en-GB"/>
        </w:rPr>
        <w:t>S</w:t>
      </w:r>
      <w:r w:rsidRPr="00D93FF9">
        <w:rPr>
          <w:lang w:val="en-GB"/>
        </w:rPr>
        <w:t xml:space="preserve">odium </w:t>
      </w:r>
      <w:r w:rsidR="008A127B" w:rsidRPr="00D93FF9">
        <w:rPr>
          <w:lang w:val="en-GB"/>
        </w:rPr>
        <w:t>A</w:t>
      </w:r>
      <w:r w:rsidRPr="00D93FF9">
        <w:rPr>
          <w:lang w:val="en-GB"/>
        </w:rPr>
        <w:t xml:space="preserve">dsorption </w:t>
      </w:r>
      <w:r w:rsidR="008A127B" w:rsidRPr="00D93FF9">
        <w:rPr>
          <w:lang w:val="en-GB"/>
        </w:rPr>
        <w:t>R</w:t>
      </w:r>
      <w:r w:rsidRPr="00D93FF9">
        <w:rPr>
          <w:lang w:val="en-GB"/>
        </w:rPr>
        <w:t xml:space="preserve">atio (SAR). </w:t>
      </w:r>
      <w:r w:rsidR="008A127B" w:rsidRPr="00D93FF9">
        <w:rPr>
          <w:lang w:val="en-GB"/>
        </w:rPr>
        <w:t xml:space="preserve">It </w:t>
      </w:r>
      <w:r w:rsidRPr="00D93FF9">
        <w:rPr>
          <w:lang w:val="en-GB"/>
        </w:rPr>
        <w:t xml:space="preserve">is calculated using the following equation, </w:t>
      </w:r>
      <w:r w:rsidR="008A127B" w:rsidRPr="00D93FF9">
        <w:rPr>
          <w:lang w:val="en-GB"/>
        </w:rPr>
        <w:t xml:space="preserve">noting that </w:t>
      </w:r>
      <w:r w:rsidRPr="00D93FF9">
        <w:rPr>
          <w:lang w:val="en-GB"/>
        </w:rPr>
        <w:t xml:space="preserve">ionic concentrations are </w:t>
      </w:r>
      <w:r w:rsidR="008A127B" w:rsidRPr="00D93FF9">
        <w:rPr>
          <w:lang w:val="en-GB"/>
        </w:rPr>
        <w:t xml:space="preserve">expressed </w:t>
      </w:r>
      <w:r w:rsidRPr="00D93FF9">
        <w:rPr>
          <w:lang w:val="en-GB"/>
        </w:rPr>
        <w:t>in m</w:t>
      </w:r>
      <w:r w:rsidR="00533C85" w:rsidRPr="00D93FF9">
        <w:rPr>
          <w:lang w:val="en-GB"/>
        </w:rPr>
        <w:t>eq</w:t>
      </w:r>
      <w:r w:rsidRPr="00D93FF9">
        <w:rPr>
          <w:lang w:val="en-GB"/>
        </w:rPr>
        <w:t>/L:</w:t>
      </w:r>
    </w:p>
    <w:p w14:paraId="59DCC45F" w14:textId="77777777" w:rsidR="0085132A" w:rsidRPr="00D93FF9" w:rsidRDefault="0085132A" w:rsidP="003807A1">
      <w:pPr>
        <w:pStyle w:val="BodyText"/>
        <w:spacing w:after="0" w:line="266"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84"/>
      </w:tblGrid>
      <w:tr w:rsidR="00BE3AA8" w:rsidRPr="00D93FF9" w14:paraId="59DCC462" w14:textId="77777777" w:rsidTr="0085132A">
        <w:tc>
          <w:tcPr>
            <w:tcW w:w="4725" w:type="dxa"/>
          </w:tcPr>
          <w:p w14:paraId="59DCC460" w14:textId="77777777" w:rsidR="0085132A" w:rsidRPr="00D93FF9" w:rsidRDefault="00E811B8" w:rsidP="003807A1">
            <w:pPr>
              <w:pStyle w:val="BodyText"/>
              <w:spacing w:after="0" w:line="266" w:lineRule="auto"/>
              <w:jc w:val="both"/>
              <w:rPr>
                <w:rFonts w:asciiTheme="minorHAnsi" w:hAnsiTheme="minorHAnsi"/>
                <w:sz w:val="22"/>
                <w:szCs w:val="22"/>
                <w:lang w:val="en-GB"/>
              </w:rPr>
            </w:pPr>
            <w:bookmarkStart w:id="63" w:name="_Hlk69810625"/>
            <m:oMathPara>
              <m:oMathParaPr>
                <m:jc m:val="left"/>
              </m:oMathParaPr>
              <m:oMath>
                <m:r>
                  <m:rPr>
                    <m:sty m:val="p"/>
                  </m:rPr>
                  <w:rPr>
                    <w:rFonts w:ascii="Cambria Math" w:hAnsi="Cambria Math"/>
                    <w:sz w:val="22"/>
                    <w:szCs w:val="22"/>
                    <w:lang w:val="en-GB"/>
                  </w:rPr>
                  <m:t>SAR=</m:t>
                </m:r>
                <m:f>
                  <m:fPr>
                    <m:ctrlPr>
                      <w:rPr>
                        <w:rFonts w:ascii="Cambria Math" w:hAnsi="Cambria Math"/>
                        <w:iCs/>
                        <w:sz w:val="22"/>
                        <w:szCs w:val="22"/>
                        <w:lang w:val="en-GB"/>
                      </w:rPr>
                    </m:ctrlPr>
                  </m:fPr>
                  <m:num>
                    <m:sSup>
                      <m:sSupPr>
                        <m:ctrlPr>
                          <w:rPr>
                            <w:rFonts w:ascii="Cambria Math" w:hAnsi="Cambria Math"/>
                            <w:iCs/>
                            <w:sz w:val="22"/>
                            <w:szCs w:val="22"/>
                            <w:lang w:val="en-GB"/>
                          </w:rPr>
                        </m:ctrlPr>
                      </m:sSupPr>
                      <m:e>
                        <m:r>
                          <m:rPr>
                            <m:sty m:val="p"/>
                          </m:rPr>
                          <w:rPr>
                            <w:rFonts w:ascii="Cambria Math" w:hAnsi="Cambria Math"/>
                            <w:sz w:val="22"/>
                            <w:szCs w:val="22"/>
                            <w:lang w:val="en-GB"/>
                          </w:rPr>
                          <m:t>Na</m:t>
                        </m:r>
                      </m:e>
                      <m:sup>
                        <m:r>
                          <m:rPr>
                            <m:sty m:val="p"/>
                          </m:rPr>
                          <w:rPr>
                            <w:rFonts w:ascii="Cambria Math" w:hAnsi="Cambria Math"/>
                            <w:sz w:val="22"/>
                            <w:szCs w:val="22"/>
                            <w:lang w:val="en-GB"/>
                          </w:rPr>
                          <m:t>+</m:t>
                        </m:r>
                      </m:sup>
                    </m:sSup>
                  </m:num>
                  <m:den>
                    <m:rad>
                      <m:radPr>
                        <m:degHide m:val="1"/>
                        <m:ctrlPr>
                          <w:rPr>
                            <w:rFonts w:ascii="Cambria Math" w:hAnsi="Cambria Math"/>
                            <w:iCs/>
                            <w:sz w:val="22"/>
                            <w:szCs w:val="22"/>
                            <w:lang w:val="en-GB"/>
                          </w:rPr>
                        </m:ctrlPr>
                      </m:radPr>
                      <m:deg/>
                      <m:e>
                        <m:f>
                          <m:fPr>
                            <m:ctrlPr>
                              <w:rPr>
                                <w:rFonts w:ascii="Cambria Math" w:hAnsi="Cambria Math"/>
                                <w:iCs/>
                                <w:sz w:val="22"/>
                                <w:szCs w:val="22"/>
                                <w:lang w:val="en-GB"/>
                              </w:rPr>
                            </m:ctrlPr>
                          </m:fPr>
                          <m:num>
                            <m:sSup>
                              <m:sSupPr>
                                <m:ctrlPr>
                                  <w:rPr>
                                    <w:rFonts w:ascii="Cambria Math" w:hAnsi="Cambria Math"/>
                                    <w:iCs/>
                                    <w:sz w:val="22"/>
                                    <w:szCs w:val="22"/>
                                    <w:lang w:val="en-GB"/>
                                  </w:rPr>
                                </m:ctrlPr>
                              </m:sSupPr>
                              <m:e>
                                <m:r>
                                  <m:rPr>
                                    <m:sty m:val="p"/>
                                  </m:rPr>
                                  <w:rPr>
                                    <w:rFonts w:ascii="Cambria Math" w:hAnsi="Cambria Math"/>
                                    <w:sz w:val="22"/>
                                    <w:szCs w:val="22"/>
                                    <w:lang w:val="en-GB"/>
                                  </w:rPr>
                                  <m:t>Ca</m:t>
                                </m:r>
                              </m:e>
                              <m:sup>
                                <m:r>
                                  <m:rPr>
                                    <m:sty m:val="p"/>
                                  </m:rPr>
                                  <w:rPr>
                                    <w:rFonts w:ascii="Cambria Math" w:hAnsi="Cambria Math"/>
                                    <w:sz w:val="22"/>
                                    <w:szCs w:val="22"/>
                                    <w:lang w:val="en-GB"/>
                                  </w:rPr>
                                  <m:t>2+</m:t>
                                </m:r>
                              </m:sup>
                            </m:sSup>
                            <m:r>
                              <m:rPr>
                                <m:sty m:val="p"/>
                              </m:rPr>
                              <w:rPr>
                                <w:rFonts w:ascii="Cambria Math" w:hAnsi="Cambria Math"/>
                                <w:sz w:val="22"/>
                                <w:szCs w:val="22"/>
                                <w:lang w:val="en-GB"/>
                              </w:rPr>
                              <m:t>+</m:t>
                            </m:r>
                            <m:sSup>
                              <m:sSupPr>
                                <m:ctrlPr>
                                  <w:rPr>
                                    <w:rFonts w:ascii="Cambria Math" w:hAnsi="Cambria Math"/>
                                    <w:iCs/>
                                    <w:sz w:val="22"/>
                                    <w:szCs w:val="22"/>
                                    <w:lang w:val="en-GB"/>
                                  </w:rPr>
                                </m:ctrlPr>
                              </m:sSupPr>
                              <m:e>
                                <m:r>
                                  <m:rPr>
                                    <m:sty m:val="p"/>
                                  </m:rPr>
                                  <w:rPr>
                                    <w:rFonts w:ascii="Cambria Math" w:hAnsi="Cambria Math"/>
                                    <w:sz w:val="22"/>
                                    <w:szCs w:val="22"/>
                                    <w:lang w:val="en-GB"/>
                                  </w:rPr>
                                  <m:t>Mg</m:t>
                                </m:r>
                              </m:e>
                              <m:sup>
                                <m:r>
                                  <m:rPr>
                                    <m:sty m:val="p"/>
                                  </m:rPr>
                                  <w:rPr>
                                    <w:rFonts w:ascii="Cambria Math" w:hAnsi="Cambria Math"/>
                                    <w:sz w:val="22"/>
                                    <w:szCs w:val="22"/>
                                    <w:lang w:val="en-GB"/>
                                  </w:rPr>
                                  <m:t>2+</m:t>
                                </m:r>
                              </m:sup>
                            </m:sSup>
                          </m:num>
                          <m:den>
                            <m:r>
                              <m:rPr>
                                <m:sty m:val="p"/>
                              </m:rPr>
                              <w:rPr>
                                <w:rFonts w:ascii="Cambria Math" w:hAnsi="Cambria Math"/>
                                <w:sz w:val="22"/>
                                <w:szCs w:val="22"/>
                                <w:lang w:val="en-GB"/>
                              </w:rPr>
                              <m:t>2</m:t>
                            </m:r>
                          </m:den>
                        </m:f>
                      </m:e>
                    </m:rad>
                  </m:den>
                </m:f>
              </m:oMath>
            </m:oMathPara>
            <w:bookmarkEnd w:id="63"/>
          </w:p>
        </w:tc>
        <w:tc>
          <w:tcPr>
            <w:tcW w:w="4725" w:type="dxa"/>
          </w:tcPr>
          <w:p w14:paraId="59DCC461" w14:textId="429CE996" w:rsidR="0085132A" w:rsidRPr="00D93FF9" w:rsidRDefault="00E811B8" w:rsidP="003717A7">
            <w:pPr>
              <w:pStyle w:val="Caption"/>
              <w:jc w:val="right"/>
              <w:rPr>
                <w:rFonts w:asciiTheme="minorHAnsi" w:hAnsiTheme="minorHAnsi"/>
                <w:sz w:val="22"/>
                <w:szCs w:val="22"/>
                <w:lang w:val="en-GB"/>
              </w:rPr>
            </w:pPr>
            <w:bookmarkStart w:id="64" w:name="_Ref72927306"/>
            <w:r w:rsidRPr="00D93FF9">
              <w:rPr>
                <w:rFonts w:asciiTheme="minorHAnsi" w:hAnsiTheme="minorHAnsi"/>
                <w:sz w:val="22"/>
                <w:szCs w:val="22"/>
              </w:rPr>
              <w:t xml:space="preserve">Equation </w:t>
            </w:r>
            <w:r w:rsidRPr="00D93FF9">
              <w:rPr>
                <w:szCs w:val="22"/>
              </w:rPr>
              <w:fldChar w:fldCharType="begin"/>
            </w:r>
            <w:r w:rsidRPr="00D93FF9">
              <w:rPr>
                <w:rFonts w:asciiTheme="minorHAnsi" w:hAnsiTheme="minorHAnsi"/>
                <w:sz w:val="22"/>
                <w:szCs w:val="22"/>
              </w:rPr>
              <w:instrText xml:space="preserve"> SEQ Equation \* ARABIC </w:instrText>
            </w:r>
            <w:r w:rsidRPr="00D93FF9">
              <w:rPr>
                <w:szCs w:val="22"/>
              </w:rPr>
              <w:fldChar w:fldCharType="separate"/>
            </w:r>
            <w:r w:rsidR="0069302C">
              <w:rPr>
                <w:rFonts w:asciiTheme="minorHAnsi" w:hAnsiTheme="minorHAnsi"/>
                <w:noProof/>
                <w:sz w:val="22"/>
                <w:szCs w:val="22"/>
              </w:rPr>
              <w:t>1</w:t>
            </w:r>
            <w:r w:rsidRPr="00D93FF9">
              <w:rPr>
                <w:szCs w:val="22"/>
              </w:rPr>
              <w:fldChar w:fldCharType="end"/>
            </w:r>
            <w:bookmarkEnd w:id="64"/>
          </w:p>
        </w:tc>
      </w:tr>
    </w:tbl>
    <w:p w14:paraId="59DCC463" w14:textId="77777777" w:rsidR="0085132A" w:rsidRPr="00D93FF9" w:rsidRDefault="0085132A" w:rsidP="003807A1">
      <w:pPr>
        <w:pStyle w:val="BodyText"/>
        <w:spacing w:after="0" w:line="266" w:lineRule="auto"/>
        <w:jc w:val="both"/>
        <w:rPr>
          <w:lang w:val="en-GB"/>
        </w:rPr>
      </w:pPr>
    </w:p>
    <w:p w14:paraId="59DCC464" w14:textId="4724DCB8" w:rsidR="00773E04" w:rsidRPr="00D93FF9" w:rsidRDefault="00E811B8" w:rsidP="00773E04">
      <w:pPr>
        <w:pStyle w:val="BodyText"/>
        <w:spacing w:before="1" w:line="264" w:lineRule="auto"/>
        <w:ind w:right="209"/>
        <w:jc w:val="both"/>
        <w:rPr>
          <w:lang w:val="en-GB"/>
        </w:rPr>
      </w:pPr>
      <w:r w:rsidRPr="00D93FF9">
        <w:rPr>
          <w:lang w:val="en-GB"/>
        </w:rPr>
        <w:t>Where Na</w:t>
      </w:r>
      <w:r w:rsidRPr="00D93FF9">
        <w:rPr>
          <w:position w:val="5"/>
          <w:lang w:val="en-GB"/>
        </w:rPr>
        <w:t>+</w:t>
      </w:r>
      <w:r w:rsidRPr="00D93FF9">
        <w:rPr>
          <w:lang w:val="en-GB"/>
        </w:rPr>
        <w:t>, Ca</w:t>
      </w:r>
      <w:r w:rsidRPr="00D93FF9">
        <w:rPr>
          <w:vertAlign w:val="superscript"/>
          <w:lang w:val="en-GB"/>
        </w:rPr>
        <w:t>2</w:t>
      </w:r>
      <w:r w:rsidRPr="00D93FF9">
        <w:rPr>
          <w:position w:val="5"/>
          <w:lang w:val="en-GB"/>
        </w:rPr>
        <w:t xml:space="preserve">+ </w:t>
      </w:r>
      <w:r w:rsidRPr="00D93FF9">
        <w:rPr>
          <w:lang w:val="en-GB"/>
        </w:rPr>
        <w:t>and Mg</w:t>
      </w:r>
      <w:r w:rsidRPr="00D93FF9">
        <w:rPr>
          <w:vertAlign w:val="superscript"/>
          <w:lang w:val="en-GB"/>
        </w:rPr>
        <w:t>2</w:t>
      </w:r>
      <w:r w:rsidRPr="00D93FF9">
        <w:rPr>
          <w:position w:val="5"/>
          <w:lang w:val="en-GB"/>
        </w:rPr>
        <w:t xml:space="preserve">+ </w:t>
      </w:r>
      <w:r w:rsidRPr="00D93FF9">
        <w:rPr>
          <w:lang w:val="en-GB"/>
        </w:rPr>
        <w:t>are expressed in mmole</w:t>
      </w:r>
      <w:r w:rsidRPr="00D93FF9">
        <w:rPr>
          <w:vertAlign w:val="subscript"/>
          <w:lang w:val="en-GB"/>
        </w:rPr>
        <w:t>c</w:t>
      </w:r>
      <w:r w:rsidRPr="00D93FF9">
        <w:rPr>
          <w:lang w:val="en-GB"/>
        </w:rPr>
        <w:t>/L (where subscript c indicates</w:t>
      </w:r>
      <w:r w:rsidRPr="00D93FF9">
        <w:rPr>
          <w:spacing w:val="-3"/>
          <w:lang w:val="en-GB"/>
        </w:rPr>
        <w:t xml:space="preserve"> </w:t>
      </w:r>
      <w:r w:rsidRPr="00D93FF9">
        <w:rPr>
          <w:lang w:val="en-GB"/>
        </w:rPr>
        <w:t>cha</w:t>
      </w:r>
      <w:r w:rsidR="00BE415A" w:rsidRPr="00D93FF9">
        <w:rPr>
          <w:lang w:val="en-GB"/>
        </w:rPr>
        <w:t>r</w:t>
      </w:r>
      <w:r w:rsidRPr="00D93FF9">
        <w:rPr>
          <w:lang w:val="en-GB"/>
        </w:rPr>
        <w:t>ge).</w:t>
      </w:r>
    </w:p>
    <w:p w14:paraId="6C34541C" w14:textId="37CE59C6" w:rsidR="009A0EA8" w:rsidRPr="00D93FF9" w:rsidRDefault="009A0EA8" w:rsidP="00773E04">
      <w:pPr>
        <w:pStyle w:val="BodyText"/>
        <w:spacing w:before="1" w:line="264" w:lineRule="auto"/>
        <w:ind w:right="209"/>
        <w:jc w:val="both"/>
        <w:rPr>
          <w:lang w:val="en-GB"/>
        </w:rPr>
      </w:pPr>
      <w:r w:rsidRPr="00D93FF9">
        <w:rPr>
          <w:lang w:val="en-GB"/>
        </w:rPr>
        <w:t>Note: 1 meq/L = 1mmol/L</w:t>
      </w:r>
    </w:p>
    <w:p w14:paraId="59DCC465" w14:textId="3C86E823" w:rsidR="00773E04" w:rsidRPr="00D93FF9" w:rsidRDefault="00E811B8" w:rsidP="00773E04">
      <w:pPr>
        <w:pStyle w:val="BodyText"/>
        <w:spacing w:line="280" w:lineRule="exact"/>
        <w:jc w:val="both"/>
        <w:rPr>
          <w:lang w:val="en-GB"/>
        </w:rPr>
      </w:pPr>
      <w:r w:rsidRPr="00D93FF9">
        <w:rPr>
          <w:lang w:val="en-GB"/>
        </w:rPr>
        <w:t>I</w:t>
      </w:r>
      <w:r w:rsidR="009A0EA8" w:rsidRPr="00D93FF9">
        <w:rPr>
          <w:lang w:val="en-GB"/>
        </w:rPr>
        <w:t>f</w:t>
      </w:r>
      <w:r w:rsidRPr="00D93FF9">
        <w:rPr>
          <w:lang w:val="en-GB"/>
        </w:rPr>
        <w:t xml:space="preserve"> mg/L</w:t>
      </w:r>
      <w:r w:rsidR="009A0EA8" w:rsidRPr="00D93FF9">
        <w:rPr>
          <w:lang w:val="en-GB"/>
        </w:rPr>
        <w:t xml:space="preserve"> units are used</w:t>
      </w:r>
      <w:r w:rsidRPr="00D93FF9">
        <w:rPr>
          <w:lang w:val="en-GB"/>
        </w:rPr>
        <w:t>, the equation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493"/>
      </w:tblGrid>
      <w:tr w:rsidR="00BE3AA8" w:rsidRPr="00D93FF9" w14:paraId="59DCC468" w14:textId="77777777" w:rsidTr="0085132A">
        <w:trPr>
          <w:trHeight w:val="1084"/>
        </w:trPr>
        <w:tc>
          <w:tcPr>
            <w:tcW w:w="4725" w:type="dxa"/>
          </w:tcPr>
          <w:p w14:paraId="59DCC466" w14:textId="77777777" w:rsidR="0085132A" w:rsidRPr="00D93FF9" w:rsidRDefault="00E811B8" w:rsidP="0085132A">
            <w:pPr>
              <w:pStyle w:val="BodyText"/>
              <w:spacing w:before="360" w:after="840" w:line="280" w:lineRule="exact"/>
              <w:jc w:val="both"/>
              <w:rPr>
                <w:rFonts w:asciiTheme="minorHAnsi" w:hAnsiTheme="minorHAnsi"/>
                <w:sz w:val="22"/>
                <w:szCs w:val="22"/>
                <w:lang w:val="en-GB"/>
              </w:rPr>
            </w:pPr>
            <m:oMathPara>
              <m:oMathParaPr>
                <m:jc m:val="left"/>
              </m:oMathParaPr>
              <m:oMath>
                <m:r>
                  <m:rPr>
                    <m:sty m:val="p"/>
                  </m:rPr>
                  <w:rPr>
                    <w:rFonts w:ascii="Cambria Math" w:hAnsi="Cambria Math" w:cs="Cambria Math"/>
                    <w:sz w:val="22"/>
                    <w:szCs w:val="22"/>
                  </w:rPr>
                  <m:t>SAR=</m:t>
                </m:r>
                <m:f>
                  <m:fPr>
                    <m:ctrlPr>
                      <w:rPr>
                        <w:rFonts w:ascii="Cambria Math" w:hAnsi="Cambria Math"/>
                        <w:iCs/>
                        <w:sz w:val="22"/>
                        <w:szCs w:val="22"/>
                      </w:rPr>
                    </m:ctrlPr>
                  </m:fPr>
                  <m:num>
                    <m:f>
                      <m:fPr>
                        <m:ctrlPr>
                          <w:rPr>
                            <w:rFonts w:ascii="Cambria Math" w:hAnsi="Cambria Math"/>
                            <w:iCs/>
                            <w:sz w:val="22"/>
                            <w:szCs w:val="22"/>
                          </w:rPr>
                        </m:ctrlPr>
                      </m:fPr>
                      <m:num>
                        <m:r>
                          <m:rPr>
                            <m:sty m:val="p"/>
                          </m:rPr>
                          <w:rPr>
                            <w:rFonts w:ascii="Cambria Math" w:hAnsi="Cambria Math"/>
                            <w:sz w:val="22"/>
                            <w:szCs w:val="22"/>
                          </w:rPr>
                          <m:t>Na</m:t>
                        </m:r>
                      </m:num>
                      <m:den>
                        <m:r>
                          <m:rPr>
                            <m:sty m:val="p"/>
                          </m:rPr>
                          <w:rPr>
                            <w:rFonts w:ascii="Cambria Math" w:hAnsi="Cambria Math"/>
                            <w:sz w:val="22"/>
                            <w:szCs w:val="22"/>
                          </w:rPr>
                          <m:t>23</m:t>
                        </m:r>
                      </m:den>
                    </m:f>
                  </m:num>
                  <m:den>
                    <m:rad>
                      <m:radPr>
                        <m:degHide m:val="1"/>
                        <m:ctrlPr>
                          <w:rPr>
                            <w:rFonts w:ascii="Cambria Math" w:hAnsi="Cambria Math" w:cs="Cambria Math"/>
                            <w:iCs/>
                            <w:sz w:val="22"/>
                            <w:szCs w:val="22"/>
                          </w:rPr>
                        </m:ctrlPr>
                      </m:radPr>
                      <m:deg/>
                      <m:e>
                        <m:f>
                          <m:fPr>
                            <m:ctrlPr>
                              <w:rPr>
                                <w:rFonts w:ascii="Cambria Math" w:hAnsi="Cambria Math" w:cs="Cambria Math"/>
                                <w:iCs/>
                                <w:sz w:val="22"/>
                                <w:szCs w:val="22"/>
                              </w:rPr>
                            </m:ctrlPr>
                          </m:fPr>
                          <m:num>
                            <m:f>
                              <m:fPr>
                                <m:ctrlPr>
                                  <w:rPr>
                                    <w:rFonts w:ascii="Cambria Math" w:hAnsi="Cambria Math" w:cs="Cambria Math"/>
                                    <w:iCs/>
                                    <w:sz w:val="22"/>
                                    <w:szCs w:val="22"/>
                                  </w:rPr>
                                </m:ctrlPr>
                              </m:fPr>
                              <m:num>
                                <m:r>
                                  <m:rPr>
                                    <m:sty m:val="p"/>
                                  </m:rPr>
                                  <w:rPr>
                                    <w:rFonts w:ascii="Cambria Math" w:hAnsi="Cambria Math" w:cs="Cambria Math"/>
                                    <w:sz w:val="22"/>
                                    <w:szCs w:val="22"/>
                                  </w:rPr>
                                  <m:t>Ca</m:t>
                                </m:r>
                              </m:num>
                              <m:den>
                                <m:r>
                                  <m:rPr>
                                    <m:sty m:val="p"/>
                                  </m:rPr>
                                  <w:rPr>
                                    <w:rFonts w:ascii="Cambria Math" w:hAnsi="Cambria Math" w:cs="Cambria Math"/>
                                    <w:sz w:val="22"/>
                                    <w:szCs w:val="22"/>
                                  </w:rPr>
                                  <m:t>20</m:t>
                                </m:r>
                              </m:den>
                            </m:f>
                            <m:r>
                              <m:rPr>
                                <m:sty m:val="p"/>
                              </m:rPr>
                              <w:rPr>
                                <w:rFonts w:ascii="Cambria Math" w:hAnsi="Cambria Math" w:cs="Cambria Math"/>
                                <w:sz w:val="22"/>
                                <w:szCs w:val="22"/>
                              </w:rPr>
                              <m:t>+</m:t>
                            </m:r>
                            <m:f>
                              <m:fPr>
                                <m:ctrlPr>
                                  <w:rPr>
                                    <w:rFonts w:ascii="Cambria Math" w:hAnsi="Cambria Math" w:cs="Cambria Math"/>
                                    <w:iCs/>
                                    <w:sz w:val="22"/>
                                    <w:szCs w:val="22"/>
                                  </w:rPr>
                                </m:ctrlPr>
                              </m:fPr>
                              <m:num>
                                <m:r>
                                  <m:rPr>
                                    <m:sty m:val="p"/>
                                  </m:rPr>
                                  <w:rPr>
                                    <w:rFonts w:ascii="Cambria Math" w:hAnsi="Cambria Math" w:cs="Cambria Math"/>
                                    <w:sz w:val="22"/>
                                    <w:szCs w:val="22"/>
                                  </w:rPr>
                                  <m:t>Mg</m:t>
                                </m:r>
                              </m:num>
                              <m:den>
                                <m:r>
                                  <m:rPr>
                                    <m:sty m:val="p"/>
                                  </m:rPr>
                                  <w:rPr>
                                    <w:rFonts w:ascii="Cambria Math" w:hAnsi="Cambria Math" w:cs="Cambria Math"/>
                                    <w:sz w:val="22"/>
                                    <w:szCs w:val="22"/>
                                  </w:rPr>
                                  <m:t>12.2</m:t>
                                </m:r>
                              </m:den>
                            </m:f>
                          </m:num>
                          <m:den>
                            <m:r>
                              <m:rPr>
                                <m:sty m:val="p"/>
                              </m:rPr>
                              <w:rPr>
                                <w:rFonts w:ascii="Cambria Math" w:hAnsi="Cambria Math" w:cs="Cambria Math"/>
                                <w:sz w:val="22"/>
                                <w:szCs w:val="22"/>
                              </w:rPr>
                              <m:t>2</m:t>
                            </m:r>
                          </m:den>
                        </m:f>
                      </m:e>
                    </m:rad>
                  </m:den>
                </m:f>
              </m:oMath>
            </m:oMathPara>
          </w:p>
        </w:tc>
        <w:tc>
          <w:tcPr>
            <w:tcW w:w="4725" w:type="dxa"/>
          </w:tcPr>
          <w:p w14:paraId="59DCC467" w14:textId="08C1EA88" w:rsidR="0085132A" w:rsidRPr="00D93FF9" w:rsidRDefault="00E811B8" w:rsidP="003717A7">
            <w:pPr>
              <w:pStyle w:val="Caption"/>
              <w:jc w:val="right"/>
              <w:rPr>
                <w:rFonts w:asciiTheme="minorHAnsi" w:hAnsiTheme="minorHAnsi"/>
                <w:sz w:val="22"/>
                <w:szCs w:val="22"/>
              </w:rPr>
            </w:pPr>
            <w:r w:rsidRPr="00D93FF9">
              <w:rPr>
                <w:rFonts w:asciiTheme="minorHAnsi" w:hAnsiTheme="minorHAnsi"/>
                <w:sz w:val="22"/>
                <w:szCs w:val="22"/>
              </w:rPr>
              <w:t xml:space="preserve">Equation </w:t>
            </w:r>
            <w:r w:rsidRPr="00D93FF9">
              <w:rPr>
                <w:szCs w:val="22"/>
              </w:rPr>
              <w:fldChar w:fldCharType="begin"/>
            </w:r>
            <w:r w:rsidRPr="00D93FF9">
              <w:rPr>
                <w:szCs w:val="22"/>
              </w:rPr>
              <w:instrText xml:space="preserve"> SEQ Equation \* ARABIC </w:instrText>
            </w:r>
            <w:r w:rsidRPr="00D93FF9">
              <w:rPr>
                <w:szCs w:val="22"/>
              </w:rPr>
              <w:fldChar w:fldCharType="separate"/>
            </w:r>
            <w:r w:rsidR="0069302C">
              <w:rPr>
                <w:noProof/>
                <w:szCs w:val="22"/>
              </w:rPr>
              <w:t>2</w:t>
            </w:r>
            <w:r w:rsidRPr="00D93FF9">
              <w:rPr>
                <w:szCs w:val="22"/>
              </w:rPr>
              <w:fldChar w:fldCharType="end"/>
            </w:r>
          </w:p>
        </w:tc>
      </w:tr>
    </w:tbl>
    <w:p w14:paraId="59DCC469" w14:textId="77777777" w:rsidR="003717A7" w:rsidRPr="00D93FF9" w:rsidRDefault="003717A7" w:rsidP="003807A1">
      <w:pPr>
        <w:pStyle w:val="BodyText"/>
        <w:spacing w:after="0" w:line="280" w:lineRule="exact"/>
        <w:jc w:val="both"/>
        <w:rPr>
          <w:lang w:val="en-GB"/>
        </w:rPr>
      </w:pPr>
    </w:p>
    <w:p w14:paraId="59DCC46A" w14:textId="6D4F6944" w:rsidR="00533C85" w:rsidRPr="00D93FF9" w:rsidRDefault="00E811B8" w:rsidP="003807A1">
      <w:pPr>
        <w:pStyle w:val="BodyText"/>
        <w:spacing w:after="0" w:line="280" w:lineRule="exact"/>
        <w:jc w:val="both"/>
        <w:rPr>
          <w:lang w:val="en-GB"/>
        </w:rPr>
      </w:pPr>
      <w:r w:rsidRPr="00D93FF9">
        <w:rPr>
          <w:lang w:val="en-GB"/>
        </w:rPr>
        <w:t>Where units for Na, Ca and Mg are</w:t>
      </w:r>
      <w:r w:rsidR="00BE415A" w:rsidRPr="00D93FF9">
        <w:rPr>
          <w:lang w:val="en-GB"/>
        </w:rPr>
        <w:t xml:space="preserve"> expressed</w:t>
      </w:r>
      <w:r w:rsidRPr="00D93FF9">
        <w:rPr>
          <w:lang w:val="en-GB"/>
        </w:rPr>
        <w:t xml:space="preserve"> in mg/L</w:t>
      </w:r>
      <w:r w:rsidR="00460582" w:rsidRPr="00D93FF9">
        <w:rPr>
          <w:lang w:val="en-GB"/>
        </w:rPr>
        <w:t xml:space="preserve">. </w:t>
      </w:r>
      <w:r w:rsidR="009A0EA8" w:rsidRPr="00D93FF9">
        <w:rPr>
          <w:lang w:val="en-GB"/>
        </w:rPr>
        <w:t>SAR is dimensionless</w:t>
      </w:r>
    </w:p>
    <w:p w14:paraId="59DCC46B" w14:textId="77777777" w:rsidR="004C28FE" w:rsidRPr="00D93FF9" w:rsidRDefault="004C28FE" w:rsidP="004C28FE">
      <w:pPr>
        <w:pStyle w:val="BodyText"/>
        <w:spacing w:after="0"/>
        <w:rPr>
          <w:lang w:val="en-GB"/>
        </w:rPr>
      </w:pPr>
    </w:p>
    <w:p w14:paraId="59DCC46C" w14:textId="163F5F39" w:rsidR="004C28FE" w:rsidRDefault="00E811B8" w:rsidP="00AC6997">
      <w:pPr>
        <w:pStyle w:val="BodyText"/>
        <w:spacing w:after="0"/>
        <w:jc w:val="both"/>
        <w:rPr>
          <w:lang w:val="en-GB"/>
        </w:rPr>
      </w:pPr>
      <w:r w:rsidRPr="00D93FF9">
        <w:rPr>
          <w:lang w:val="en-GB"/>
        </w:rPr>
        <w:t xml:space="preserve">The SAR value </w:t>
      </w:r>
      <w:r w:rsidR="008A127B" w:rsidRPr="00D93FF9">
        <w:rPr>
          <w:lang w:val="en-GB"/>
        </w:rPr>
        <w:t xml:space="preserve">is used to predict soil sodicity (measured as ESP) which in turn can be assessed for its implications in </w:t>
      </w:r>
      <w:r w:rsidRPr="00D93FF9">
        <w:rPr>
          <w:lang w:val="en-GB"/>
        </w:rPr>
        <w:t>maintain</w:t>
      </w:r>
      <w:r w:rsidR="008A127B" w:rsidRPr="00D93FF9">
        <w:rPr>
          <w:lang w:val="en-GB"/>
        </w:rPr>
        <w:t>ing</w:t>
      </w:r>
      <w:r w:rsidRPr="00D93FF9">
        <w:rPr>
          <w:lang w:val="en-GB"/>
        </w:rPr>
        <w:t xml:space="preserve"> soil structural stability. Clay mineralogy (usually expressed as </w:t>
      </w:r>
      <w:r w:rsidR="00B70AD8" w:rsidRPr="00D93FF9">
        <w:rPr>
          <w:lang w:val="en-GB"/>
        </w:rPr>
        <w:t xml:space="preserve">the ratio of CEC to Clay percentage (CCR) with units of </w:t>
      </w:r>
      <w:r w:rsidRPr="00D93FF9">
        <w:rPr>
          <w:lang w:val="en-GB"/>
        </w:rPr>
        <w:t>mmole</w:t>
      </w:r>
      <w:r w:rsidRPr="00D93FF9">
        <w:rPr>
          <w:position w:val="-4"/>
          <w:lang w:val="en-GB"/>
        </w:rPr>
        <w:t xml:space="preserve">c </w:t>
      </w:r>
      <w:r w:rsidRPr="00D93FF9">
        <w:rPr>
          <w:lang w:val="en-GB"/>
        </w:rPr>
        <w:t>/kg</w:t>
      </w:r>
      <w:r w:rsidR="008A127B" w:rsidRPr="00D93FF9">
        <w:rPr>
          <w:lang w:val="en-GB"/>
        </w:rPr>
        <w:t xml:space="preserve"> soil</w:t>
      </w:r>
      <w:r w:rsidRPr="00D93FF9">
        <w:rPr>
          <w:lang w:val="en-GB"/>
        </w:rPr>
        <w:t xml:space="preserve">) </w:t>
      </w:r>
      <w:r w:rsidR="008A127B" w:rsidRPr="00D93FF9">
        <w:rPr>
          <w:lang w:val="en-GB"/>
        </w:rPr>
        <w:t xml:space="preserve">and </w:t>
      </w:r>
      <w:r w:rsidRPr="00D93FF9">
        <w:rPr>
          <w:lang w:val="en-GB"/>
        </w:rPr>
        <w:t>clay content</w:t>
      </w:r>
      <w:r w:rsidR="008A127B" w:rsidRPr="00D93FF9">
        <w:rPr>
          <w:lang w:val="en-GB"/>
        </w:rPr>
        <w:t xml:space="preserve"> are combined to assess the SAR limits of irrigation water to ensure soil structural stability</w:t>
      </w:r>
      <w:r w:rsidRPr="00D93FF9">
        <w:rPr>
          <w:lang w:val="en-GB"/>
        </w:rPr>
        <w:t xml:space="preserve"> as shown in</w:t>
      </w:r>
      <w:r w:rsidR="003F5A12" w:rsidRPr="00D93FF9">
        <w:rPr>
          <w:lang w:val="en-GB"/>
        </w:rPr>
        <w:t xml:space="preserve"> </w:t>
      </w:r>
      <w:r w:rsidR="00E071B8" w:rsidRPr="00D93FF9">
        <w:rPr>
          <w:lang w:val="en-GB"/>
        </w:rPr>
        <w:fldChar w:fldCharType="begin"/>
      </w:r>
      <w:r w:rsidR="00E071B8" w:rsidRPr="00D93FF9">
        <w:rPr>
          <w:lang w:val="en-GB"/>
        </w:rPr>
        <w:instrText xml:space="preserve"> REF _Ref81390618 \h </w:instrText>
      </w:r>
      <w:r w:rsidR="00D93FF9">
        <w:rPr>
          <w:lang w:val="en-GB"/>
        </w:rPr>
        <w:instrText xml:space="preserve"> \* MERGEFORMAT </w:instrText>
      </w:r>
      <w:r w:rsidR="00E071B8" w:rsidRPr="00D93FF9">
        <w:rPr>
          <w:lang w:val="en-GB"/>
        </w:rPr>
      </w:r>
      <w:r w:rsidR="00E071B8" w:rsidRPr="00D93FF9">
        <w:rPr>
          <w:lang w:val="en-GB"/>
        </w:rPr>
        <w:fldChar w:fldCharType="separate"/>
      </w:r>
      <w:r w:rsidR="0069302C" w:rsidRPr="00D93FF9">
        <w:t xml:space="preserve">Table </w:t>
      </w:r>
      <w:r w:rsidR="0069302C">
        <w:rPr>
          <w:noProof/>
        </w:rPr>
        <w:t>9</w:t>
      </w:r>
      <w:r w:rsidR="00E071B8" w:rsidRPr="00D93FF9">
        <w:rPr>
          <w:lang w:val="en-GB"/>
        </w:rPr>
        <w:fldChar w:fldCharType="end"/>
      </w:r>
      <w:r w:rsidR="00E071B8" w:rsidRPr="00D93FF9">
        <w:rPr>
          <w:lang w:val="en-GB"/>
        </w:rPr>
        <w:t>.</w:t>
      </w:r>
      <w:r w:rsidR="008A127B" w:rsidRPr="00D93FF9">
        <w:rPr>
          <w:lang w:val="en-GB"/>
        </w:rPr>
        <w:t xml:space="preserve"> However, as </w:t>
      </w:r>
      <w:r w:rsidRPr="00D93FF9">
        <w:rPr>
          <w:lang w:val="en-GB"/>
        </w:rPr>
        <w:t>the salt concentration in irrigation water act</w:t>
      </w:r>
      <w:r w:rsidR="008A127B" w:rsidRPr="00D93FF9">
        <w:rPr>
          <w:lang w:val="en-GB"/>
        </w:rPr>
        <w:t>s</w:t>
      </w:r>
      <w:r w:rsidRPr="00D93FF9">
        <w:rPr>
          <w:lang w:val="en-GB"/>
        </w:rPr>
        <w:t xml:space="preserve"> as a flocculant, both EC </w:t>
      </w:r>
      <w:r w:rsidRPr="00D93FF9">
        <w:rPr>
          <w:b/>
          <w:bCs/>
          <w:lang w:val="en-GB"/>
        </w:rPr>
        <w:t>and</w:t>
      </w:r>
      <w:r w:rsidRPr="00D93FF9">
        <w:rPr>
          <w:lang w:val="en-GB"/>
        </w:rPr>
        <w:t xml:space="preserve"> SAR need to be considered in the final assessment of water quality suitability. Note that if the soil is a sand, water SAR and soil ESP do not have any impact on soil structure </w:t>
      </w:r>
      <w:r w:rsidR="00B70AD8" w:rsidRPr="00D93FF9">
        <w:rPr>
          <w:lang w:val="en-GB"/>
        </w:rPr>
        <w:t>(</w:t>
      </w:r>
      <w:r w:rsidRPr="00D93FF9">
        <w:rPr>
          <w:lang w:val="en-GB"/>
        </w:rPr>
        <w:t>sand is structureless</w:t>
      </w:r>
      <w:r w:rsidR="009F6BB2" w:rsidRPr="00D93FF9">
        <w:rPr>
          <w:lang w:val="en-GB"/>
        </w:rPr>
        <w:t xml:space="preserve"> and is highly drainable by nature</w:t>
      </w:r>
      <w:r w:rsidR="00B70AD8" w:rsidRPr="00D93FF9">
        <w:rPr>
          <w:lang w:val="en-GB"/>
        </w:rPr>
        <w:t>)</w:t>
      </w:r>
      <w:r w:rsidRPr="00D93FF9">
        <w:rPr>
          <w:lang w:val="en-GB"/>
        </w:rPr>
        <w:t xml:space="preserve"> in which case Na toxicity on selected crop need only be considered</w:t>
      </w:r>
      <w:r w:rsidR="009F6BB2" w:rsidRPr="00D93FF9">
        <w:rPr>
          <w:lang w:val="en-GB"/>
        </w:rPr>
        <w:t xml:space="preserve">. </w:t>
      </w:r>
    </w:p>
    <w:p w14:paraId="02945B8E" w14:textId="77777777" w:rsidR="006975D0" w:rsidRDefault="006975D0" w:rsidP="00AC6997">
      <w:pPr>
        <w:pStyle w:val="BodyText"/>
        <w:spacing w:after="0"/>
        <w:jc w:val="both"/>
        <w:rPr>
          <w:lang w:val="en-GB"/>
        </w:rPr>
      </w:pPr>
    </w:p>
    <w:p w14:paraId="7145FCA9" w14:textId="77777777" w:rsidR="006975D0" w:rsidRDefault="006975D0" w:rsidP="00AC6997">
      <w:pPr>
        <w:pStyle w:val="BodyText"/>
        <w:spacing w:after="0"/>
        <w:jc w:val="both"/>
        <w:rPr>
          <w:lang w:val="en-GB"/>
        </w:rPr>
      </w:pPr>
    </w:p>
    <w:p w14:paraId="46442F0F" w14:textId="77777777" w:rsidR="006975D0" w:rsidRPr="00D93FF9" w:rsidRDefault="006975D0" w:rsidP="00AC6997">
      <w:pPr>
        <w:pStyle w:val="BodyText"/>
        <w:spacing w:after="0"/>
        <w:jc w:val="both"/>
        <w:rPr>
          <w:lang w:val="en-GB"/>
        </w:rPr>
      </w:pPr>
    </w:p>
    <w:p w14:paraId="59DCC46D" w14:textId="77777777" w:rsidR="00C46175" w:rsidRPr="00D93FF9" w:rsidRDefault="00C46175" w:rsidP="003807A1">
      <w:pPr>
        <w:pStyle w:val="BodyText"/>
        <w:spacing w:after="0" w:line="280" w:lineRule="exact"/>
        <w:jc w:val="both"/>
        <w:rPr>
          <w:lang w:val="en-GB"/>
        </w:rPr>
      </w:pPr>
    </w:p>
    <w:p w14:paraId="59DCC46E" w14:textId="61E28CA2" w:rsidR="00B70AD8" w:rsidRPr="00D93FF9" w:rsidRDefault="00500234" w:rsidP="00500234">
      <w:pPr>
        <w:pStyle w:val="Caption"/>
        <w:rPr>
          <w:lang w:val="en-GB"/>
        </w:rPr>
      </w:pPr>
      <w:bookmarkStart w:id="65" w:name="_Ref81390618"/>
      <w:bookmarkStart w:id="66" w:name="_Toc96518223"/>
      <w:r w:rsidRPr="00D93FF9">
        <w:lastRenderedPageBreak/>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9</w:t>
      </w:r>
      <w:r w:rsidR="00477102" w:rsidRPr="00D93FF9">
        <w:fldChar w:fldCharType="end"/>
      </w:r>
      <w:bookmarkEnd w:id="65"/>
      <w:r w:rsidRPr="00D93FF9">
        <w:t xml:space="preserve"> </w:t>
      </w:r>
      <w:bookmarkStart w:id="67" w:name="_Hlk153787554"/>
      <w:r w:rsidR="00E72A11" w:rsidRPr="00D93FF9">
        <w:rPr>
          <w:rFonts w:ascii="Arial"/>
          <w:sz w:val="18"/>
          <w:lang w:val="en-GB"/>
        </w:rPr>
        <w:t>P</w:t>
      </w:r>
      <w:r w:rsidR="00E811B8" w:rsidRPr="00D93FF9">
        <w:rPr>
          <w:rFonts w:ascii="Arial"/>
          <w:sz w:val="18"/>
          <w:lang w:val="en-GB"/>
        </w:rPr>
        <w:t>ermissible SAR of irrigation water for maintaining a stable soil surface under high rainfall</w:t>
      </w:r>
      <w:r w:rsidR="00E811B8" w:rsidRPr="00D93FF9">
        <w:rPr>
          <w:rFonts w:ascii="Arial"/>
          <w:position w:val="4"/>
          <w:sz w:val="12"/>
          <w:lang w:val="en-GB"/>
        </w:rPr>
        <w:t>a,</w:t>
      </w:r>
      <w:bookmarkEnd w:id="67"/>
      <w:r w:rsidR="00E811B8" w:rsidRPr="00D93FF9">
        <w:rPr>
          <w:rFonts w:ascii="Arial"/>
          <w:position w:val="4"/>
          <w:sz w:val="12"/>
          <w:lang w:val="en-GB"/>
        </w:rPr>
        <w:t>b</w:t>
      </w:r>
      <w:bookmarkEnd w:id="66"/>
    </w:p>
    <w:tbl>
      <w:tblPr>
        <w:tblW w:w="0" w:type="auto"/>
        <w:tblLayout w:type="fixed"/>
        <w:tblCellMar>
          <w:left w:w="0" w:type="dxa"/>
          <w:right w:w="0" w:type="dxa"/>
        </w:tblCellMar>
        <w:tblLook w:val="01E0" w:firstRow="1" w:lastRow="1" w:firstColumn="1" w:lastColumn="1" w:noHBand="0" w:noVBand="0"/>
        <w:tblCaption w:val="Permissible Sodium Adsorption Ratio of irrigation water for maintaining a stable soil surface under high rainfall"/>
        <w:tblDescription w:val="This table shows the permissible irrigation water sodium adsorption ratio of different clay content in soils and different soil textures. The values are expressed as the CCR, or cation exchange capacity to clay ratio, which is a combination of clay mineralogy and clay content that is used to assess the sodium adsorption ratio limits of irrigation water to ensure soil structural stability."/>
      </w:tblPr>
      <w:tblGrid>
        <w:gridCol w:w="1216"/>
        <w:gridCol w:w="1650"/>
        <w:gridCol w:w="1061"/>
        <w:gridCol w:w="1061"/>
        <w:gridCol w:w="1061"/>
        <w:gridCol w:w="1516"/>
        <w:gridCol w:w="787"/>
      </w:tblGrid>
      <w:tr w:rsidR="00BE3AA8" w:rsidRPr="00D93FF9" w14:paraId="59DCC472" w14:textId="77777777" w:rsidTr="00AC6997">
        <w:trPr>
          <w:trHeight w:val="318"/>
        </w:trPr>
        <w:tc>
          <w:tcPr>
            <w:tcW w:w="1216" w:type="dxa"/>
            <w:tcBorders>
              <w:top w:val="single" w:sz="6" w:space="0" w:color="000000"/>
            </w:tcBorders>
          </w:tcPr>
          <w:p w14:paraId="59DCC46F" w14:textId="77777777" w:rsidR="00B70AD8" w:rsidRPr="00D93FF9" w:rsidRDefault="00E811B8" w:rsidP="002566B1">
            <w:pPr>
              <w:pStyle w:val="TableParagraph"/>
              <w:spacing w:before="0" w:after="0"/>
              <w:jc w:val="center"/>
              <w:rPr>
                <w:b/>
                <w:sz w:val="16"/>
                <w:lang w:val="en-GB"/>
              </w:rPr>
            </w:pPr>
            <w:r w:rsidRPr="00D93FF9">
              <w:rPr>
                <w:b/>
                <w:sz w:val="16"/>
                <w:lang w:val="en-GB"/>
              </w:rPr>
              <w:t>Clay content</w:t>
            </w:r>
          </w:p>
        </w:tc>
        <w:tc>
          <w:tcPr>
            <w:tcW w:w="1650" w:type="dxa"/>
            <w:tcBorders>
              <w:top w:val="single" w:sz="6" w:space="0" w:color="000000"/>
            </w:tcBorders>
          </w:tcPr>
          <w:p w14:paraId="59DCC470" w14:textId="77777777" w:rsidR="00B70AD8" w:rsidRPr="00D93FF9" w:rsidRDefault="00E811B8" w:rsidP="002566B1">
            <w:pPr>
              <w:pStyle w:val="TableParagraph"/>
              <w:spacing w:before="0" w:after="0"/>
              <w:jc w:val="center"/>
              <w:rPr>
                <w:b/>
                <w:sz w:val="16"/>
                <w:lang w:val="en-GB"/>
              </w:rPr>
            </w:pPr>
            <w:r w:rsidRPr="00D93FF9">
              <w:rPr>
                <w:b/>
                <w:sz w:val="16"/>
                <w:lang w:val="en-GB"/>
              </w:rPr>
              <w:t>Soil texture</w:t>
            </w:r>
          </w:p>
        </w:tc>
        <w:tc>
          <w:tcPr>
            <w:tcW w:w="5486" w:type="dxa"/>
            <w:gridSpan w:val="5"/>
            <w:tcBorders>
              <w:top w:val="single" w:sz="6" w:space="0" w:color="000000"/>
              <w:bottom w:val="single" w:sz="6" w:space="0" w:color="000000"/>
            </w:tcBorders>
          </w:tcPr>
          <w:p w14:paraId="59DCC471" w14:textId="77777777" w:rsidR="00B70AD8" w:rsidRPr="00D93FF9" w:rsidRDefault="00E811B8" w:rsidP="002566B1">
            <w:pPr>
              <w:pStyle w:val="TableParagraph"/>
              <w:spacing w:before="0" w:after="0"/>
              <w:jc w:val="center"/>
              <w:rPr>
                <w:rFonts w:ascii="Times New Roman"/>
                <w:sz w:val="18"/>
                <w:lang w:val="en-GB"/>
              </w:rPr>
            </w:pPr>
            <w:r w:rsidRPr="00D93FF9">
              <w:rPr>
                <w:bCs/>
                <w:sz w:val="16"/>
                <w:lang w:val="en-GB"/>
              </w:rPr>
              <w:t xml:space="preserve">Permissible irrigation </w:t>
            </w:r>
            <w:r w:rsidRPr="00D93FF9">
              <w:rPr>
                <w:b/>
                <w:sz w:val="16"/>
                <w:lang w:val="en-GB"/>
              </w:rPr>
              <w:t>water SAR</w:t>
            </w:r>
          </w:p>
        </w:tc>
      </w:tr>
      <w:tr w:rsidR="00BE3AA8" w:rsidRPr="00D93FF9" w14:paraId="59DCC476" w14:textId="77777777" w:rsidTr="00AC6997">
        <w:trPr>
          <w:trHeight w:val="318"/>
        </w:trPr>
        <w:tc>
          <w:tcPr>
            <w:tcW w:w="1216" w:type="dxa"/>
            <w:tcBorders>
              <w:top w:val="single" w:sz="6" w:space="0" w:color="000000"/>
            </w:tcBorders>
          </w:tcPr>
          <w:p w14:paraId="59DCC473" w14:textId="77777777" w:rsidR="00B70AD8" w:rsidRPr="00D93FF9" w:rsidRDefault="00B70AD8" w:rsidP="002566B1">
            <w:pPr>
              <w:pStyle w:val="TableParagraph"/>
              <w:spacing w:before="0" w:after="0"/>
              <w:jc w:val="center"/>
              <w:rPr>
                <w:b/>
                <w:sz w:val="16"/>
                <w:lang w:val="en-GB"/>
              </w:rPr>
            </w:pPr>
          </w:p>
        </w:tc>
        <w:tc>
          <w:tcPr>
            <w:tcW w:w="1650" w:type="dxa"/>
            <w:tcBorders>
              <w:top w:val="single" w:sz="6" w:space="0" w:color="000000"/>
            </w:tcBorders>
          </w:tcPr>
          <w:p w14:paraId="59DCC474" w14:textId="77777777" w:rsidR="00B70AD8" w:rsidRPr="00D93FF9" w:rsidRDefault="00B70AD8" w:rsidP="002566B1">
            <w:pPr>
              <w:pStyle w:val="TableParagraph"/>
              <w:spacing w:before="0" w:after="0"/>
              <w:jc w:val="center"/>
              <w:rPr>
                <w:b/>
                <w:sz w:val="16"/>
                <w:lang w:val="en-GB"/>
              </w:rPr>
            </w:pPr>
          </w:p>
        </w:tc>
        <w:tc>
          <w:tcPr>
            <w:tcW w:w="5486" w:type="dxa"/>
            <w:gridSpan w:val="5"/>
            <w:tcBorders>
              <w:top w:val="single" w:sz="6" w:space="0" w:color="000000"/>
              <w:bottom w:val="single" w:sz="6" w:space="0" w:color="000000"/>
            </w:tcBorders>
          </w:tcPr>
          <w:p w14:paraId="59DCC475" w14:textId="77777777" w:rsidR="00B70AD8" w:rsidRPr="00D93FF9" w:rsidRDefault="00E811B8" w:rsidP="002566B1">
            <w:pPr>
              <w:pStyle w:val="TableParagraph"/>
              <w:spacing w:before="0" w:after="0"/>
              <w:jc w:val="center"/>
              <w:rPr>
                <w:rFonts w:ascii="Times New Roman"/>
                <w:sz w:val="18"/>
                <w:lang w:val="en-GB"/>
              </w:rPr>
            </w:pPr>
            <w:r w:rsidRPr="00D93FF9">
              <w:rPr>
                <w:bCs/>
                <w:sz w:val="16"/>
                <w:lang w:val="en-GB"/>
              </w:rPr>
              <w:t>Clay mineralogy expressed as CCR (mmol</w:t>
            </w:r>
            <w:r w:rsidRPr="00D93FF9">
              <w:rPr>
                <w:bCs/>
                <w:sz w:val="16"/>
                <w:vertAlign w:val="subscript"/>
                <w:lang w:val="en-GB"/>
              </w:rPr>
              <w:t>c</w:t>
            </w:r>
            <w:r w:rsidRPr="00D93FF9">
              <w:rPr>
                <w:bCs/>
                <w:sz w:val="16"/>
                <w:lang w:val="en-GB"/>
              </w:rPr>
              <w:t>/kg)</w:t>
            </w:r>
            <w:r w:rsidRPr="00D93FF9">
              <w:rPr>
                <w:bCs/>
                <w:sz w:val="16"/>
                <w:vertAlign w:val="superscript"/>
                <w:lang w:val="en-GB"/>
              </w:rPr>
              <w:t>c</w:t>
            </w:r>
          </w:p>
        </w:tc>
      </w:tr>
      <w:tr w:rsidR="00BE3AA8" w:rsidRPr="00D93FF9" w14:paraId="59DCC47E" w14:textId="77777777" w:rsidTr="00AC6997">
        <w:trPr>
          <w:trHeight w:val="160"/>
        </w:trPr>
        <w:tc>
          <w:tcPr>
            <w:tcW w:w="1216" w:type="dxa"/>
            <w:tcBorders>
              <w:bottom w:val="single" w:sz="6" w:space="0" w:color="000000"/>
            </w:tcBorders>
          </w:tcPr>
          <w:p w14:paraId="59DCC477" w14:textId="77777777" w:rsidR="00B70AD8" w:rsidRPr="00D93FF9" w:rsidRDefault="00E811B8" w:rsidP="002566B1">
            <w:pPr>
              <w:pStyle w:val="TableParagraph"/>
              <w:spacing w:before="0" w:after="0"/>
              <w:jc w:val="center"/>
              <w:rPr>
                <w:b/>
                <w:sz w:val="16"/>
                <w:lang w:val="en-GB"/>
              </w:rPr>
            </w:pPr>
            <w:r w:rsidRPr="00D93FF9">
              <w:rPr>
                <w:b/>
                <w:sz w:val="16"/>
                <w:lang w:val="en-GB"/>
              </w:rPr>
              <w:t>(%)</w:t>
            </w:r>
          </w:p>
        </w:tc>
        <w:tc>
          <w:tcPr>
            <w:tcW w:w="1650" w:type="dxa"/>
            <w:tcBorders>
              <w:bottom w:val="single" w:sz="6" w:space="0" w:color="000000"/>
            </w:tcBorders>
          </w:tcPr>
          <w:p w14:paraId="59DCC478" w14:textId="77777777" w:rsidR="00B70AD8" w:rsidRPr="00D93FF9" w:rsidRDefault="00B70AD8" w:rsidP="002566B1">
            <w:pPr>
              <w:pStyle w:val="TableParagraph"/>
              <w:spacing w:before="0" w:after="0"/>
              <w:jc w:val="center"/>
              <w:rPr>
                <w:rFonts w:ascii="Times New Roman"/>
                <w:sz w:val="18"/>
                <w:lang w:val="en-GB"/>
              </w:rPr>
            </w:pPr>
          </w:p>
        </w:tc>
        <w:tc>
          <w:tcPr>
            <w:tcW w:w="1061" w:type="dxa"/>
            <w:tcBorders>
              <w:top w:val="single" w:sz="6" w:space="0" w:color="000000"/>
              <w:bottom w:val="single" w:sz="6" w:space="0" w:color="000000"/>
            </w:tcBorders>
          </w:tcPr>
          <w:p w14:paraId="59DCC479" w14:textId="77777777" w:rsidR="00B70AD8" w:rsidRPr="00D93FF9" w:rsidRDefault="00E811B8" w:rsidP="002566B1">
            <w:pPr>
              <w:pStyle w:val="TableParagraph"/>
              <w:tabs>
                <w:tab w:val="left" w:pos="921"/>
                <w:tab w:val="left" w:pos="2095"/>
              </w:tabs>
              <w:spacing w:before="0" w:after="0"/>
              <w:jc w:val="center"/>
              <w:rPr>
                <w:bCs/>
                <w:sz w:val="16"/>
                <w:lang w:val="en-GB"/>
              </w:rPr>
            </w:pPr>
            <w:r w:rsidRPr="00D93FF9">
              <w:rPr>
                <w:bCs/>
                <w:sz w:val="16"/>
                <w:lang w:val="en-GB"/>
              </w:rPr>
              <w:t>&lt;0.35</w:t>
            </w:r>
          </w:p>
        </w:tc>
        <w:tc>
          <w:tcPr>
            <w:tcW w:w="1061" w:type="dxa"/>
            <w:tcBorders>
              <w:top w:val="single" w:sz="6" w:space="0" w:color="000000"/>
              <w:bottom w:val="single" w:sz="6" w:space="0" w:color="000000"/>
            </w:tcBorders>
          </w:tcPr>
          <w:p w14:paraId="59DCC47A" w14:textId="77777777" w:rsidR="00B70AD8" w:rsidRPr="00D93FF9" w:rsidRDefault="00E811B8" w:rsidP="002566B1">
            <w:pPr>
              <w:pStyle w:val="TableParagraph"/>
              <w:tabs>
                <w:tab w:val="left" w:pos="921"/>
                <w:tab w:val="left" w:pos="2095"/>
              </w:tabs>
              <w:spacing w:before="0" w:after="0"/>
              <w:jc w:val="center"/>
              <w:rPr>
                <w:bCs/>
                <w:sz w:val="16"/>
                <w:lang w:val="en-GB"/>
              </w:rPr>
            </w:pPr>
            <w:r w:rsidRPr="00D93FF9">
              <w:rPr>
                <w:bCs/>
                <w:sz w:val="16"/>
                <w:lang w:val="en-GB"/>
              </w:rPr>
              <w:t>0.35-0.55</w:t>
            </w:r>
          </w:p>
        </w:tc>
        <w:tc>
          <w:tcPr>
            <w:tcW w:w="1061" w:type="dxa"/>
            <w:tcBorders>
              <w:top w:val="single" w:sz="6" w:space="0" w:color="000000"/>
              <w:bottom w:val="single" w:sz="6" w:space="0" w:color="000000"/>
            </w:tcBorders>
          </w:tcPr>
          <w:p w14:paraId="59DCC47B" w14:textId="77777777" w:rsidR="00B70AD8" w:rsidRPr="00D93FF9" w:rsidRDefault="00E811B8" w:rsidP="002566B1">
            <w:pPr>
              <w:pStyle w:val="TableParagraph"/>
              <w:tabs>
                <w:tab w:val="left" w:pos="921"/>
                <w:tab w:val="left" w:pos="2095"/>
              </w:tabs>
              <w:spacing w:before="0" w:after="0"/>
              <w:jc w:val="center"/>
              <w:rPr>
                <w:bCs/>
                <w:sz w:val="16"/>
                <w:lang w:val="en-GB"/>
              </w:rPr>
            </w:pPr>
            <w:r w:rsidRPr="00D93FF9">
              <w:rPr>
                <w:bCs/>
                <w:sz w:val="16"/>
                <w:lang w:val="en-GB"/>
              </w:rPr>
              <w:t>0.55-0.75</w:t>
            </w:r>
          </w:p>
        </w:tc>
        <w:tc>
          <w:tcPr>
            <w:tcW w:w="1516" w:type="dxa"/>
            <w:tcBorders>
              <w:top w:val="single" w:sz="6" w:space="0" w:color="000000"/>
              <w:bottom w:val="single" w:sz="6" w:space="0" w:color="000000"/>
            </w:tcBorders>
          </w:tcPr>
          <w:p w14:paraId="59DCC47C" w14:textId="77777777" w:rsidR="00B70AD8" w:rsidRPr="00D93FF9" w:rsidRDefault="00E811B8" w:rsidP="002566B1">
            <w:pPr>
              <w:pStyle w:val="TableParagraph"/>
              <w:spacing w:before="0" w:after="0"/>
              <w:jc w:val="center"/>
              <w:rPr>
                <w:b/>
                <w:sz w:val="16"/>
                <w:lang w:val="en-GB"/>
              </w:rPr>
            </w:pPr>
            <w:r w:rsidRPr="00D93FF9">
              <w:rPr>
                <w:b/>
                <w:sz w:val="16"/>
                <w:lang w:val="en-GB"/>
              </w:rPr>
              <w:t>0.75-0.95</w:t>
            </w:r>
          </w:p>
        </w:tc>
        <w:tc>
          <w:tcPr>
            <w:tcW w:w="787" w:type="dxa"/>
            <w:tcBorders>
              <w:top w:val="single" w:sz="6" w:space="0" w:color="000000"/>
              <w:bottom w:val="single" w:sz="6" w:space="0" w:color="000000"/>
            </w:tcBorders>
          </w:tcPr>
          <w:p w14:paraId="59DCC47D" w14:textId="77777777" w:rsidR="00B70AD8" w:rsidRPr="00D93FF9" w:rsidRDefault="00E811B8" w:rsidP="002566B1">
            <w:pPr>
              <w:pStyle w:val="TableParagraph"/>
              <w:spacing w:before="0" w:after="0"/>
              <w:jc w:val="center"/>
              <w:rPr>
                <w:b/>
                <w:sz w:val="16"/>
                <w:lang w:val="en-GB"/>
              </w:rPr>
            </w:pPr>
            <w:r w:rsidRPr="00D93FF9">
              <w:rPr>
                <w:b/>
                <w:sz w:val="16"/>
                <w:lang w:val="en-GB"/>
              </w:rPr>
              <w:t>&gt;0.95</w:t>
            </w:r>
          </w:p>
        </w:tc>
      </w:tr>
      <w:tr w:rsidR="00BE3AA8" w:rsidRPr="00D93FF9" w14:paraId="59DCC486" w14:textId="77777777" w:rsidTr="00AC6997">
        <w:trPr>
          <w:trHeight w:val="318"/>
        </w:trPr>
        <w:tc>
          <w:tcPr>
            <w:tcW w:w="1216" w:type="dxa"/>
            <w:tcBorders>
              <w:top w:val="single" w:sz="6" w:space="0" w:color="000000"/>
            </w:tcBorders>
          </w:tcPr>
          <w:p w14:paraId="59DCC47F" w14:textId="77777777" w:rsidR="00B70AD8" w:rsidRPr="00D93FF9" w:rsidRDefault="00E811B8" w:rsidP="002566B1">
            <w:pPr>
              <w:pStyle w:val="TableParagraph"/>
              <w:spacing w:before="0" w:after="0"/>
              <w:jc w:val="center"/>
              <w:rPr>
                <w:sz w:val="16"/>
                <w:lang w:val="en-GB"/>
              </w:rPr>
            </w:pPr>
            <w:r w:rsidRPr="00D93FF9">
              <w:rPr>
                <w:sz w:val="16"/>
                <w:lang w:val="en-GB"/>
              </w:rPr>
              <w:t>&lt;15</w:t>
            </w:r>
          </w:p>
        </w:tc>
        <w:tc>
          <w:tcPr>
            <w:tcW w:w="1650" w:type="dxa"/>
            <w:tcBorders>
              <w:top w:val="single" w:sz="6" w:space="0" w:color="000000"/>
            </w:tcBorders>
          </w:tcPr>
          <w:p w14:paraId="59DCC480" w14:textId="77777777" w:rsidR="00B70AD8" w:rsidRPr="00D93FF9" w:rsidRDefault="00E811B8" w:rsidP="002566B1">
            <w:pPr>
              <w:pStyle w:val="TableParagraph"/>
              <w:spacing w:before="0" w:after="0"/>
              <w:rPr>
                <w:sz w:val="16"/>
                <w:lang w:val="en-GB"/>
              </w:rPr>
            </w:pPr>
            <w:r w:rsidRPr="00D93FF9">
              <w:rPr>
                <w:sz w:val="16"/>
                <w:lang w:val="en-GB"/>
              </w:rPr>
              <w:t>Sand, sandy loam</w:t>
            </w:r>
          </w:p>
        </w:tc>
        <w:tc>
          <w:tcPr>
            <w:tcW w:w="1061" w:type="dxa"/>
            <w:tcBorders>
              <w:top w:val="single" w:sz="6" w:space="0" w:color="000000"/>
            </w:tcBorders>
          </w:tcPr>
          <w:p w14:paraId="59DCC481" w14:textId="77777777" w:rsidR="00B70AD8" w:rsidRPr="00D93FF9" w:rsidRDefault="00E811B8" w:rsidP="002566B1">
            <w:pPr>
              <w:pStyle w:val="TableParagraph"/>
              <w:tabs>
                <w:tab w:val="left" w:pos="1487"/>
                <w:tab w:val="left" w:pos="2733"/>
              </w:tabs>
              <w:spacing w:before="0" w:after="0"/>
              <w:jc w:val="center"/>
              <w:rPr>
                <w:bCs/>
                <w:sz w:val="16"/>
                <w:lang w:val="en-GB"/>
              </w:rPr>
            </w:pPr>
            <w:r w:rsidRPr="00D93FF9">
              <w:rPr>
                <w:bCs/>
                <w:sz w:val="16"/>
                <w:lang w:val="en-GB"/>
              </w:rPr>
              <w:t>&gt;20</w:t>
            </w:r>
          </w:p>
        </w:tc>
        <w:tc>
          <w:tcPr>
            <w:tcW w:w="1061" w:type="dxa"/>
            <w:tcBorders>
              <w:top w:val="single" w:sz="6" w:space="0" w:color="000000"/>
            </w:tcBorders>
          </w:tcPr>
          <w:p w14:paraId="59DCC482" w14:textId="77777777" w:rsidR="00B70AD8" w:rsidRPr="00D93FF9" w:rsidRDefault="00E811B8" w:rsidP="002566B1">
            <w:pPr>
              <w:pStyle w:val="TableParagraph"/>
              <w:tabs>
                <w:tab w:val="left" w:pos="1487"/>
                <w:tab w:val="left" w:pos="2733"/>
              </w:tabs>
              <w:spacing w:before="0" w:after="0"/>
              <w:jc w:val="center"/>
              <w:rPr>
                <w:bCs/>
                <w:sz w:val="16"/>
                <w:lang w:val="en-GB"/>
              </w:rPr>
            </w:pPr>
            <w:r w:rsidRPr="00D93FF9">
              <w:rPr>
                <w:bCs/>
                <w:sz w:val="16"/>
                <w:lang w:val="en-GB"/>
              </w:rPr>
              <w:t>&gt;20</w:t>
            </w:r>
          </w:p>
        </w:tc>
        <w:tc>
          <w:tcPr>
            <w:tcW w:w="1061" w:type="dxa"/>
            <w:tcBorders>
              <w:top w:val="single" w:sz="6" w:space="0" w:color="000000"/>
            </w:tcBorders>
          </w:tcPr>
          <w:p w14:paraId="59DCC483" w14:textId="77777777" w:rsidR="00B70AD8" w:rsidRPr="00D93FF9" w:rsidRDefault="00E811B8" w:rsidP="002566B1">
            <w:pPr>
              <w:pStyle w:val="TableParagraph"/>
              <w:tabs>
                <w:tab w:val="left" w:pos="1487"/>
                <w:tab w:val="left" w:pos="2733"/>
              </w:tabs>
              <w:spacing w:before="0" w:after="0"/>
              <w:jc w:val="center"/>
              <w:rPr>
                <w:bCs/>
                <w:sz w:val="16"/>
                <w:lang w:val="en-GB"/>
              </w:rPr>
            </w:pPr>
            <w:r w:rsidRPr="00D93FF9">
              <w:rPr>
                <w:bCs/>
                <w:sz w:val="16"/>
                <w:lang w:val="en-GB"/>
              </w:rPr>
              <w:t>&gt;20</w:t>
            </w:r>
          </w:p>
        </w:tc>
        <w:tc>
          <w:tcPr>
            <w:tcW w:w="1516" w:type="dxa"/>
            <w:tcBorders>
              <w:top w:val="single" w:sz="6" w:space="0" w:color="000000"/>
            </w:tcBorders>
          </w:tcPr>
          <w:p w14:paraId="59DCC484" w14:textId="77777777" w:rsidR="00B70AD8" w:rsidRPr="00D93FF9" w:rsidRDefault="00E811B8" w:rsidP="002566B1">
            <w:pPr>
              <w:pStyle w:val="TableParagraph"/>
              <w:spacing w:before="0" w:after="0"/>
              <w:jc w:val="center"/>
              <w:rPr>
                <w:sz w:val="16"/>
                <w:lang w:val="en-GB"/>
              </w:rPr>
            </w:pPr>
            <w:r w:rsidRPr="00D93FF9">
              <w:rPr>
                <w:sz w:val="16"/>
                <w:lang w:val="en-GB"/>
              </w:rPr>
              <w:t>&gt;20</w:t>
            </w:r>
          </w:p>
        </w:tc>
        <w:tc>
          <w:tcPr>
            <w:tcW w:w="787" w:type="dxa"/>
            <w:tcBorders>
              <w:top w:val="single" w:sz="6" w:space="0" w:color="000000"/>
            </w:tcBorders>
          </w:tcPr>
          <w:p w14:paraId="59DCC485" w14:textId="77777777" w:rsidR="00B70AD8" w:rsidRPr="00D93FF9" w:rsidRDefault="00E811B8" w:rsidP="002566B1">
            <w:pPr>
              <w:pStyle w:val="TableParagraph"/>
              <w:spacing w:before="0" w:after="0"/>
              <w:jc w:val="center"/>
              <w:rPr>
                <w:sz w:val="16"/>
                <w:lang w:val="en-GB"/>
              </w:rPr>
            </w:pPr>
            <w:r w:rsidRPr="00D93FF9">
              <w:rPr>
                <w:sz w:val="16"/>
                <w:lang w:val="en-GB"/>
              </w:rPr>
              <w:t>&gt;20</w:t>
            </w:r>
          </w:p>
        </w:tc>
      </w:tr>
      <w:tr w:rsidR="00BE3AA8" w:rsidRPr="00D93FF9" w14:paraId="59DCC48E" w14:textId="77777777" w:rsidTr="00AC6997">
        <w:trPr>
          <w:trHeight w:val="319"/>
        </w:trPr>
        <w:tc>
          <w:tcPr>
            <w:tcW w:w="1216" w:type="dxa"/>
          </w:tcPr>
          <w:p w14:paraId="59DCC487" w14:textId="3C0D8E92" w:rsidR="00B70AD8" w:rsidRPr="00D93FF9" w:rsidRDefault="00E811B8" w:rsidP="002566B1">
            <w:pPr>
              <w:pStyle w:val="TableParagraph"/>
              <w:spacing w:before="0" w:after="0"/>
              <w:jc w:val="center"/>
              <w:rPr>
                <w:sz w:val="16"/>
                <w:lang w:val="en-GB"/>
              </w:rPr>
            </w:pPr>
            <w:r w:rsidRPr="00D93FF9">
              <w:rPr>
                <w:sz w:val="16"/>
                <w:lang w:val="en-GB"/>
              </w:rPr>
              <w:t>15</w:t>
            </w:r>
            <w:r w:rsidR="00962EA1" w:rsidRPr="00D93FF9">
              <w:rPr>
                <w:rFonts w:ascii="Symbol" w:hAnsi="Symbol"/>
                <w:sz w:val="16"/>
                <w:lang w:val="en-GB"/>
              </w:rPr>
              <w:sym w:font="Symbol" w:char="F02D"/>
            </w:r>
            <w:r w:rsidRPr="00D93FF9">
              <w:rPr>
                <w:sz w:val="16"/>
                <w:lang w:val="en-GB"/>
              </w:rPr>
              <w:t>25</w:t>
            </w:r>
          </w:p>
        </w:tc>
        <w:tc>
          <w:tcPr>
            <w:tcW w:w="1650" w:type="dxa"/>
          </w:tcPr>
          <w:p w14:paraId="59DCC488" w14:textId="77777777" w:rsidR="00B70AD8" w:rsidRPr="00D93FF9" w:rsidRDefault="00E811B8" w:rsidP="002566B1">
            <w:pPr>
              <w:pStyle w:val="TableParagraph"/>
              <w:spacing w:before="0" w:after="0"/>
              <w:rPr>
                <w:sz w:val="16"/>
                <w:lang w:val="en-GB"/>
              </w:rPr>
            </w:pPr>
            <w:r w:rsidRPr="00D93FF9">
              <w:rPr>
                <w:sz w:val="16"/>
                <w:lang w:val="en-GB"/>
              </w:rPr>
              <w:t>Loam, silty loam</w:t>
            </w:r>
          </w:p>
        </w:tc>
        <w:tc>
          <w:tcPr>
            <w:tcW w:w="1061" w:type="dxa"/>
          </w:tcPr>
          <w:p w14:paraId="59DCC489"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20</w:t>
            </w:r>
          </w:p>
        </w:tc>
        <w:tc>
          <w:tcPr>
            <w:tcW w:w="1061" w:type="dxa"/>
          </w:tcPr>
          <w:p w14:paraId="59DCC48A"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11</w:t>
            </w:r>
          </w:p>
        </w:tc>
        <w:tc>
          <w:tcPr>
            <w:tcW w:w="1061" w:type="dxa"/>
          </w:tcPr>
          <w:p w14:paraId="59DCC48B"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10</w:t>
            </w:r>
          </w:p>
        </w:tc>
        <w:tc>
          <w:tcPr>
            <w:tcW w:w="1516" w:type="dxa"/>
          </w:tcPr>
          <w:p w14:paraId="59DCC48C" w14:textId="77777777" w:rsidR="00B70AD8" w:rsidRPr="00D93FF9" w:rsidRDefault="00E811B8" w:rsidP="002566B1">
            <w:pPr>
              <w:pStyle w:val="TableParagraph"/>
              <w:spacing w:before="0" w:after="0"/>
              <w:jc w:val="center"/>
              <w:rPr>
                <w:sz w:val="16"/>
                <w:lang w:val="en-GB"/>
              </w:rPr>
            </w:pPr>
            <w:r w:rsidRPr="00D93FF9">
              <w:rPr>
                <w:sz w:val="16"/>
                <w:lang w:val="en-GB"/>
              </w:rPr>
              <w:t>10</w:t>
            </w:r>
          </w:p>
        </w:tc>
        <w:tc>
          <w:tcPr>
            <w:tcW w:w="787" w:type="dxa"/>
          </w:tcPr>
          <w:p w14:paraId="59DCC48D" w14:textId="77777777" w:rsidR="00B70AD8" w:rsidRPr="00D93FF9" w:rsidRDefault="00E811B8" w:rsidP="002566B1">
            <w:pPr>
              <w:pStyle w:val="TableParagraph"/>
              <w:spacing w:before="0" w:after="0"/>
              <w:jc w:val="center"/>
              <w:rPr>
                <w:sz w:val="16"/>
                <w:lang w:val="en-GB"/>
              </w:rPr>
            </w:pPr>
            <w:r w:rsidRPr="00D93FF9">
              <w:rPr>
                <w:sz w:val="16"/>
                <w:lang w:val="en-GB"/>
              </w:rPr>
              <w:t>8</w:t>
            </w:r>
          </w:p>
        </w:tc>
      </w:tr>
      <w:tr w:rsidR="00BE3AA8" w:rsidRPr="00D93FF9" w14:paraId="59DCC496" w14:textId="77777777" w:rsidTr="00AC6997">
        <w:trPr>
          <w:trHeight w:val="319"/>
        </w:trPr>
        <w:tc>
          <w:tcPr>
            <w:tcW w:w="1216" w:type="dxa"/>
          </w:tcPr>
          <w:p w14:paraId="59DCC48F" w14:textId="6F234A5B" w:rsidR="00B70AD8" w:rsidRPr="00D93FF9" w:rsidRDefault="00E811B8" w:rsidP="002566B1">
            <w:pPr>
              <w:pStyle w:val="TableParagraph"/>
              <w:spacing w:before="0" w:after="0"/>
              <w:jc w:val="center"/>
              <w:rPr>
                <w:sz w:val="16"/>
                <w:lang w:val="en-GB"/>
              </w:rPr>
            </w:pPr>
            <w:r w:rsidRPr="00D93FF9">
              <w:rPr>
                <w:sz w:val="16"/>
                <w:lang w:val="en-GB"/>
              </w:rPr>
              <w:t>25</w:t>
            </w:r>
            <w:r w:rsidR="00962EA1" w:rsidRPr="00D93FF9">
              <w:rPr>
                <w:rFonts w:ascii="Symbol" w:hAnsi="Symbol"/>
                <w:sz w:val="16"/>
                <w:lang w:val="en-GB"/>
              </w:rPr>
              <w:sym w:font="Symbol" w:char="F02D"/>
            </w:r>
            <w:r w:rsidRPr="00D93FF9">
              <w:rPr>
                <w:sz w:val="16"/>
                <w:lang w:val="en-GB"/>
              </w:rPr>
              <w:t>35</w:t>
            </w:r>
          </w:p>
        </w:tc>
        <w:tc>
          <w:tcPr>
            <w:tcW w:w="1650" w:type="dxa"/>
          </w:tcPr>
          <w:p w14:paraId="59DCC490" w14:textId="77777777" w:rsidR="00B70AD8" w:rsidRPr="00D93FF9" w:rsidRDefault="00E811B8" w:rsidP="002566B1">
            <w:pPr>
              <w:pStyle w:val="TableParagraph"/>
              <w:spacing w:before="0" w:after="0"/>
              <w:rPr>
                <w:sz w:val="16"/>
                <w:lang w:val="en-GB"/>
              </w:rPr>
            </w:pPr>
            <w:r w:rsidRPr="00D93FF9">
              <w:rPr>
                <w:sz w:val="16"/>
                <w:lang w:val="en-GB"/>
              </w:rPr>
              <w:t>Clay loam</w:t>
            </w:r>
          </w:p>
        </w:tc>
        <w:tc>
          <w:tcPr>
            <w:tcW w:w="1061" w:type="dxa"/>
          </w:tcPr>
          <w:p w14:paraId="59DCC491" w14:textId="77777777" w:rsidR="00B70AD8" w:rsidRPr="00D93FF9" w:rsidRDefault="00E811B8" w:rsidP="002566B1">
            <w:pPr>
              <w:pStyle w:val="TableParagraph"/>
              <w:tabs>
                <w:tab w:val="left" w:pos="1094"/>
                <w:tab w:val="left" w:pos="2428"/>
              </w:tabs>
              <w:spacing w:before="0" w:after="0"/>
              <w:jc w:val="center"/>
              <w:rPr>
                <w:bCs/>
                <w:sz w:val="16"/>
                <w:lang w:val="en-GB"/>
              </w:rPr>
            </w:pPr>
            <w:r w:rsidRPr="00D93FF9">
              <w:rPr>
                <w:bCs/>
                <w:sz w:val="16"/>
                <w:lang w:val="en-GB"/>
              </w:rPr>
              <w:t>13</w:t>
            </w:r>
          </w:p>
        </w:tc>
        <w:tc>
          <w:tcPr>
            <w:tcW w:w="1061" w:type="dxa"/>
          </w:tcPr>
          <w:p w14:paraId="59DCC492" w14:textId="77777777" w:rsidR="00B70AD8" w:rsidRPr="00D93FF9" w:rsidRDefault="00E811B8" w:rsidP="002566B1">
            <w:pPr>
              <w:pStyle w:val="TableParagraph"/>
              <w:tabs>
                <w:tab w:val="left" w:pos="1094"/>
                <w:tab w:val="left" w:pos="2428"/>
              </w:tabs>
              <w:spacing w:before="0" w:after="0"/>
              <w:jc w:val="center"/>
              <w:rPr>
                <w:bCs/>
                <w:sz w:val="16"/>
                <w:lang w:val="en-GB"/>
              </w:rPr>
            </w:pPr>
            <w:r w:rsidRPr="00D93FF9">
              <w:rPr>
                <w:bCs/>
                <w:sz w:val="16"/>
                <w:lang w:val="en-GB"/>
              </w:rPr>
              <w:t>11</w:t>
            </w:r>
          </w:p>
        </w:tc>
        <w:tc>
          <w:tcPr>
            <w:tcW w:w="1061" w:type="dxa"/>
          </w:tcPr>
          <w:p w14:paraId="59DCC493" w14:textId="77777777" w:rsidR="00B70AD8" w:rsidRPr="00D93FF9" w:rsidRDefault="00E811B8" w:rsidP="002566B1">
            <w:pPr>
              <w:pStyle w:val="TableParagraph"/>
              <w:tabs>
                <w:tab w:val="left" w:pos="1094"/>
                <w:tab w:val="left" w:pos="2428"/>
              </w:tabs>
              <w:spacing w:before="0" w:after="0"/>
              <w:jc w:val="center"/>
              <w:rPr>
                <w:bCs/>
                <w:sz w:val="16"/>
                <w:lang w:val="en-GB"/>
              </w:rPr>
            </w:pPr>
            <w:r w:rsidRPr="00D93FF9">
              <w:rPr>
                <w:bCs/>
                <w:sz w:val="16"/>
                <w:lang w:val="en-GB"/>
              </w:rPr>
              <w:t>8</w:t>
            </w:r>
          </w:p>
        </w:tc>
        <w:tc>
          <w:tcPr>
            <w:tcW w:w="1516" w:type="dxa"/>
          </w:tcPr>
          <w:p w14:paraId="59DCC494" w14:textId="77777777" w:rsidR="00B70AD8" w:rsidRPr="00D93FF9" w:rsidRDefault="00E811B8" w:rsidP="002566B1">
            <w:pPr>
              <w:pStyle w:val="TableParagraph"/>
              <w:spacing w:before="0" w:after="0"/>
              <w:jc w:val="center"/>
              <w:rPr>
                <w:sz w:val="16"/>
                <w:lang w:val="en-GB"/>
              </w:rPr>
            </w:pPr>
            <w:r w:rsidRPr="00D93FF9">
              <w:rPr>
                <w:sz w:val="16"/>
                <w:lang w:val="en-GB"/>
              </w:rPr>
              <w:t>5</w:t>
            </w:r>
          </w:p>
        </w:tc>
        <w:tc>
          <w:tcPr>
            <w:tcW w:w="787" w:type="dxa"/>
          </w:tcPr>
          <w:p w14:paraId="59DCC495" w14:textId="77777777" w:rsidR="00B70AD8" w:rsidRPr="00D93FF9" w:rsidRDefault="00E811B8" w:rsidP="002566B1">
            <w:pPr>
              <w:pStyle w:val="TableParagraph"/>
              <w:spacing w:before="0" w:after="0"/>
              <w:jc w:val="center"/>
              <w:rPr>
                <w:sz w:val="16"/>
                <w:lang w:val="en-GB"/>
              </w:rPr>
            </w:pPr>
            <w:r w:rsidRPr="00D93FF9">
              <w:rPr>
                <w:sz w:val="16"/>
                <w:lang w:val="en-GB"/>
              </w:rPr>
              <w:t>6</w:t>
            </w:r>
          </w:p>
        </w:tc>
      </w:tr>
      <w:tr w:rsidR="00BE3AA8" w:rsidRPr="00D93FF9" w14:paraId="59DCC49E" w14:textId="77777777" w:rsidTr="00AC6997">
        <w:trPr>
          <w:trHeight w:val="319"/>
        </w:trPr>
        <w:tc>
          <w:tcPr>
            <w:tcW w:w="1216" w:type="dxa"/>
          </w:tcPr>
          <w:p w14:paraId="59DCC497" w14:textId="37E884AA" w:rsidR="00B70AD8" w:rsidRPr="00D93FF9" w:rsidRDefault="00E811B8" w:rsidP="002566B1">
            <w:pPr>
              <w:pStyle w:val="TableParagraph"/>
              <w:spacing w:before="0" w:after="0"/>
              <w:jc w:val="center"/>
              <w:rPr>
                <w:sz w:val="16"/>
                <w:lang w:val="en-GB"/>
              </w:rPr>
            </w:pPr>
            <w:r w:rsidRPr="00D93FF9">
              <w:rPr>
                <w:sz w:val="16"/>
                <w:lang w:val="en-GB"/>
              </w:rPr>
              <w:t>35</w:t>
            </w:r>
            <w:r w:rsidR="00962EA1" w:rsidRPr="00D93FF9">
              <w:rPr>
                <w:rFonts w:ascii="Symbol" w:hAnsi="Symbol"/>
                <w:sz w:val="16"/>
                <w:lang w:val="en-GB"/>
              </w:rPr>
              <w:sym w:font="Symbol" w:char="F02D"/>
            </w:r>
            <w:r w:rsidRPr="00D93FF9">
              <w:rPr>
                <w:sz w:val="16"/>
                <w:lang w:val="en-GB"/>
              </w:rPr>
              <w:t>45</w:t>
            </w:r>
          </w:p>
        </w:tc>
        <w:tc>
          <w:tcPr>
            <w:tcW w:w="1650" w:type="dxa"/>
          </w:tcPr>
          <w:p w14:paraId="59DCC498" w14:textId="77777777" w:rsidR="00B70AD8" w:rsidRPr="00D93FF9" w:rsidRDefault="00E811B8" w:rsidP="002566B1">
            <w:pPr>
              <w:pStyle w:val="TableParagraph"/>
              <w:spacing w:before="0" w:after="0"/>
              <w:rPr>
                <w:sz w:val="16"/>
                <w:lang w:val="en-GB"/>
              </w:rPr>
            </w:pPr>
            <w:r w:rsidRPr="00D93FF9">
              <w:rPr>
                <w:sz w:val="16"/>
                <w:lang w:val="en-GB"/>
              </w:rPr>
              <w:t>Light clay</w:t>
            </w:r>
          </w:p>
        </w:tc>
        <w:tc>
          <w:tcPr>
            <w:tcW w:w="1061" w:type="dxa"/>
          </w:tcPr>
          <w:p w14:paraId="59DCC499" w14:textId="77777777" w:rsidR="00B70AD8" w:rsidRPr="00D93FF9" w:rsidRDefault="00E811B8" w:rsidP="002566B1">
            <w:pPr>
              <w:pStyle w:val="TableParagraph"/>
              <w:tabs>
                <w:tab w:val="left" w:pos="1183"/>
                <w:tab w:val="left" w:pos="2428"/>
              </w:tabs>
              <w:spacing w:before="0" w:after="0"/>
              <w:jc w:val="center"/>
              <w:rPr>
                <w:bCs/>
                <w:sz w:val="16"/>
                <w:lang w:val="en-GB"/>
              </w:rPr>
            </w:pPr>
            <w:r w:rsidRPr="00D93FF9">
              <w:rPr>
                <w:bCs/>
                <w:sz w:val="16"/>
                <w:lang w:val="en-GB"/>
              </w:rPr>
              <w:t>11</w:t>
            </w:r>
          </w:p>
        </w:tc>
        <w:tc>
          <w:tcPr>
            <w:tcW w:w="1061" w:type="dxa"/>
          </w:tcPr>
          <w:p w14:paraId="59DCC49A" w14:textId="77777777" w:rsidR="00B70AD8" w:rsidRPr="00D93FF9" w:rsidRDefault="00E811B8" w:rsidP="002566B1">
            <w:pPr>
              <w:pStyle w:val="TableParagraph"/>
              <w:tabs>
                <w:tab w:val="left" w:pos="1183"/>
                <w:tab w:val="left" w:pos="2428"/>
              </w:tabs>
              <w:spacing w:before="0" w:after="0"/>
              <w:jc w:val="center"/>
              <w:rPr>
                <w:bCs/>
                <w:sz w:val="16"/>
                <w:lang w:val="en-GB"/>
              </w:rPr>
            </w:pPr>
            <w:r w:rsidRPr="00D93FF9">
              <w:rPr>
                <w:bCs/>
                <w:sz w:val="16"/>
                <w:lang w:val="en-GB"/>
              </w:rPr>
              <w:t>8</w:t>
            </w:r>
          </w:p>
        </w:tc>
        <w:tc>
          <w:tcPr>
            <w:tcW w:w="1061" w:type="dxa"/>
          </w:tcPr>
          <w:p w14:paraId="59DCC49B" w14:textId="77777777" w:rsidR="00B70AD8" w:rsidRPr="00D93FF9" w:rsidRDefault="00E811B8" w:rsidP="002566B1">
            <w:pPr>
              <w:pStyle w:val="TableParagraph"/>
              <w:tabs>
                <w:tab w:val="left" w:pos="1183"/>
                <w:tab w:val="left" w:pos="2428"/>
              </w:tabs>
              <w:spacing w:before="0" w:after="0"/>
              <w:jc w:val="center"/>
              <w:rPr>
                <w:bCs/>
                <w:sz w:val="16"/>
                <w:lang w:val="en-GB"/>
              </w:rPr>
            </w:pPr>
            <w:r w:rsidRPr="00D93FF9">
              <w:rPr>
                <w:bCs/>
                <w:sz w:val="16"/>
                <w:lang w:val="en-GB"/>
              </w:rPr>
              <w:t>5</w:t>
            </w:r>
          </w:p>
        </w:tc>
        <w:tc>
          <w:tcPr>
            <w:tcW w:w="1516" w:type="dxa"/>
          </w:tcPr>
          <w:p w14:paraId="59DCC49C" w14:textId="77777777" w:rsidR="00B70AD8" w:rsidRPr="00D93FF9" w:rsidRDefault="00E811B8" w:rsidP="002566B1">
            <w:pPr>
              <w:pStyle w:val="TableParagraph"/>
              <w:spacing w:before="0" w:after="0"/>
              <w:jc w:val="center"/>
              <w:rPr>
                <w:sz w:val="16"/>
                <w:lang w:val="en-GB"/>
              </w:rPr>
            </w:pPr>
            <w:r w:rsidRPr="00D93FF9">
              <w:rPr>
                <w:sz w:val="16"/>
                <w:lang w:val="en-GB"/>
              </w:rPr>
              <w:t>5</w:t>
            </w:r>
          </w:p>
        </w:tc>
        <w:tc>
          <w:tcPr>
            <w:tcW w:w="787" w:type="dxa"/>
          </w:tcPr>
          <w:p w14:paraId="59DCC49D" w14:textId="77777777" w:rsidR="00B70AD8" w:rsidRPr="00D93FF9" w:rsidRDefault="00E811B8" w:rsidP="002566B1">
            <w:pPr>
              <w:pStyle w:val="TableParagraph"/>
              <w:spacing w:before="0" w:after="0"/>
              <w:jc w:val="center"/>
              <w:rPr>
                <w:sz w:val="16"/>
                <w:lang w:val="en-GB"/>
              </w:rPr>
            </w:pPr>
            <w:r w:rsidRPr="00D93FF9">
              <w:rPr>
                <w:sz w:val="16"/>
                <w:lang w:val="en-GB"/>
              </w:rPr>
              <w:t>5</w:t>
            </w:r>
          </w:p>
        </w:tc>
      </w:tr>
      <w:tr w:rsidR="00BE3AA8" w:rsidRPr="00D93FF9" w14:paraId="59DCC4A6" w14:textId="77777777" w:rsidTr="00AC6997">
        <w:trPr>
          <w:trHeight w:val="319"/>
        </w:trPr>
        <w:tc>
          <w:tcPr>
            <w:tcW w:w="1216" w:type="dxa"/>
          </w:tcPr>
          <w:p w14:paraId="59DCC49F" w14:textId="6E362E1E" w:rsidR="00B70AD8" w:rsidRPr="00D93FF9" w:rsidRDefault="00E811B8" w:rsidP="002566B1">
            <w:pPr>
              <w:pStyle w:val="TableParagraph"/>
              <w:spacing w:before="0" w:after="0"/>
              <w:jc w:val="center"/>
              <w:rPr>
                <w:sz w:val="16"/>
                <w:lang w:val="en-GB"/>
              </w:rPr>
            </w:pPr>
            <w:r w:rsidRPr="00D93FF9">
              <w:rPr>
                <w:sz w:val="16"/>
                <w:lang w:val="en-GB"/>
              </w:rPr>
              <w:t>45</w:t>
            </w:r>
            <w:r w:rsidR="00962EA1" w:rsidRPr="00D93FF9">
              <w:rPr>
                <w:rFonts w:ascii="Symbol" w:hAnsi="Symbol"/>
                <w:sz w:val="16"/>
                <w:lang w:val="en-GB"/>
              </w:rPr>
              <w:sym w:font="Symbol" w:char="F02D"/>
            </w:r>
            <w:r w:rsidRPr="00D93FF9">
              <w:rPr>
                <w:sz w:val="16"/>
                <w:lang w:val="en-GB"/>
              </w:rPr>
              <w:t>55</w:t>
            </w:r>
          </w:p>
        </w:tc>
        <w:tc>
          <w:tcPr>
            <w:tcW w:w="1650" w:type="dxa"/>
          </w:tcPr>
          <w:p w14:paraId="59DCC4A0" w14:textId="77777777" w:rsidR="00B70AD8" w:rsidRPr="00D93FF9" w:rsidRDefault="00E811B8" w:rsidP="002566B1">
            <w:pPr>
              <w:pStyle w:val="TableParagraph"/>
              <w:spacing w:before="0" w:after="0"/>
              <w:rPr>
                <w:sz w:val="16"/>
                <w:lang w:val="en-GB"/>
              </w:rPr>
            </w:pPr>
            <w:r w:rsidRPr="00D93FF9">
              <w:rPr>
                <w:sz w:val="16"/>
                <w:lang w:val="en-GB"/>
              </w:rPr>
              <w:t>Medium clay</w:t>
            </w:r>
          </w:p>
        </w:tc>
        <w:tc>
          <w:tcPr>
            <w:tcW w:w="1061" w:type="dxa"/>
          </w:tcPr>
          <w:p w14:paraId="59DCC4A1" w14:textId="77777777" w:rsidR="00B70AD8" w:rsidRPr="00D93FF9" w:rsidRDefault="00E811B8" w:rsidP="002566B1">
            <w:pPr>
              <w:pStyle w:val="TableParagraph"/>
              <w:tabs>
                <w:tab w:val="left" w:pos="1183"/>
                <w:tab w:val="left" w:pos="2428"/>
              </w:tabs>
              <w:spacing w:before="0" w:after="0"/>
              <w:jc w:val="center"/>
              <w:rPr>
                <w:bCs/>
                <w:sz w:val="16"/>
                <w:lang w:val="en-GB"/>
              </w:rPr>
            </w:pPr>
            <w:r w:rsidRPr="00D93FF9">
              <w:rPr>
                <w:bCs/>
                <w:sz w:val="16"/>
                <w:lang w:val="en-GB"/>
              </w:rPr>
              <w:t>10</w:t>
            </w:r>
          </w:p>
        </w:tc>
        <w:tc>
          <w:tcPr>
            <w:tcW w:w="1061" w:type="dxa"/>
          </w:tcPr>
          <w:p w14:paraId="59DCC4A2" w14:textId="77777777" w:rsidR="00B70AD8" w:rsidRPr="00D93FF9" w:rsidRDefault="00E811B8" w:rsidP="002566B1">
            <w:pPr>
              <w:pStyle w:val="TableParagraph"/>
              <w:tabs>
                <w:tab w:val="left" w:pos="1183"/>
                <w:tab w:val="left" w:pos="2428"/>
              </w:tabs>
              <w:spacing w:before="0" w:after="0"/>
              <w:jc w:val="center"/>
              <w:rPr>
                <w:bCs/>
                <w:sz w:val="16"/>
                <w:lang w:val="en-GB"/>
              </w:rPr>
            </w:pPr>
            <w:r w:rsidRPr="00D93FF9">
              <w:rPr>
                <w:bCs/>
                <w:sz w:val="16"/>
                <w:lang w:val="en-GB"/>
              </w:rPr>
              <w:t>5</w:t>
            </w:r>
          </w:p>
        </w:tc>
        <w:tc>
          <w:tcPr>
            <w:tcW w:w="1061" w:type="dxa"/>
          </w:tcPr>
          <w:p w14:paraId="59DCC4A3" w14:textId="77777777" w:rsidR="00B70AD8" w:rsidRPr="00D93FF9" w:rsidRDefault="00E811B8" w:rsidP="002566B1">
            <w:pPr>
              <w:pStyle w:val="TableParagraph"/>
              <w:tabs>
                <w:tab w:val="left" w:pos="1183"/>
                <w:tab w:val="left" w:pos="2428"/>
              </w:tabs>
              <w:spacing w:before="0" w:after="0"/>
              <w:jc w:val="center"/>
              <w:rPr>
                <w:bCs/>
                <w:sz w:val="16"/>
                <w:lang w:val="en-GB"/>
              </w:rPr>
            </w:pPr>
            <w:r w:rsidRPr="00D93FF9">
              <w:rPr>
                <w:bCs/>
                <w:sz w:val="16"/>
                <w:lang w:val="en-GB"/>
              </w:rPr>
              <w:t>5</w:t>
            </w:r>
          </w:p>
        </w:tc>
        <w:tc>
          <w:tcPr>
            <w:tcW w:w="1516" w:type="dxa"/>
          </w:tcPr>
          <w:p w14:paraId="59DCC4A4" w14:textId="77777777" w:rsidR="00B70AD8" w:rsidRPr="00D93FF9" w:rsidRDefault="00E811B8" w:rsidP="002566B1">
            <w:pPr>
              <w:pStyle w:val="TableParagraph"/>
              <w:spacing w:before="0" w:after="0"/>
              <w:jc w:val="center"/>
              <w:rPr>
                <w:sz w:val="16"/>
                <w:lang w:val="en-GB"/>
              </w:rPr>
            </w:pPr>
            <w:r w:rsidRPr="00D93FF9">
              <w:rPr>
                <w:sz w:val="16"/>
                <w:lang w:val="en-GB"/>
              </w:rPr>
              <w:t>5</w:t>
            </w:r>
          </w:p>
        </w:tc>
        <w:tc>
          <w:tcPr>
            <w:tcW w:w="787" w:type="dxa"/>
          </w:tcPr>
          <w:p w14:paraId="59DCC4A5" w14:textId="77777777" w:rsidR="00B70AD8" w:rsidRPr="00D93FF9" w:rsidRDefault="00E811B8" w:rsidP="002566B1">
            <w:pPr>
              <w:pStyle w:val="TableParagraph"/>
              <w:spacing w:before="0" w:after="0"/>
              <w:jc w:val="center"/>
              <w:rPr>
                <w:sz w:val="16"/>
                <w:lang w:val="en-GB"/>
              </w:rPr>
            </w:pPr>
            <w:r w:rsidRPr="00D93FF9">
              <w:rPr>
                <w:sz w:val="16"/>
                <w:lang w:val="en-GB"/>
              </w:rPr>
              <w:t>5</w:t>
            </w:r>
          </w:p>
        </w:tc>
      </w:tr>
      <w:tr w:rsidR="00BE3AA8" w:rsidRPr="00D93FF9" w14:paraId="59DCC4AE" w14:textId="77777777" w:rsidTr="00AC6997">
        <w:trPr>
          <w:trHeight w:val="319"/>
        </w:trPr>
        <w:tc>
          <w:tcPr>
            <w:tcW w:w="1216" w:type="dxa"/>
          </w:tcPr>
          <w:p w14:paraId="59DCC4A7" w14:textId="2F94363A" w:rsidR="00B70AD8" w:rsidRPr="00D93FF9" w:rsidRDefault="00E811B8" w:rsidP="002566B1">
            <w:pPr>
              <w:pStyle w:val="TableParagraph"/>
              <w:spacing w:before="0" w:after="0"/>
              <w:jc w:val="center"/>
              <w:rPr>
                <w:sz w:val="16"/>
                <w:lang w:val="en-GB"/>
              </w:rPr>
            </w:pPr>
            <w:r w:rsidRPr="00D93FF9">
              <w:rPr>
                <w:sz w:val="16"/>
                <w:lang w:val="en-GB"/>
              </w:rPr>
              <w:t>55</w:t>
            </w:r>
            <w:r w:rsidR="00962EA1" w:rsidRPr="00D93FF9">
              <w:rPr>
                <w:rFonts w:ascii="Symbol" w:hAnsi="Symbol"/>
                <w:sz w:val="16"/>
                <w:lang w:val="en-GB"/>
              </w:rPr>
              <w:sym w:font="Symbol" w:char="F02D"/>
            </w:r>
            <w:r w:rsidRPr="00D93FF9">
              <w:rPr>
                <w:sz w:val="16"/>
                <w:lang w:val="en-GB"/>
              </w:rPr>
              <w:t>65</w:t>
            </w:r>
          </w:p>
        </w:tc>
        <w:tc>
          <w:tcPr>
            <w:tcW w:w="1650" w:type="dxa"/>
          </w:tcPr>
          <w:p w14:paraId="59DCC4A8" w14:textId="77777777" w:rsidR="00B70AD8" w:rsidRPr="00D93FF9" w:rsidRDefault="00E811B8" w:rsidP="002566B1">
            <w:pPr>
              <w:pStyle w:val="TableParagraph"/>
              <w:spacing w:before="0" w:after="0"/>
              <w:rPr>
                <w:sz w:val="16"/>
                <w:lang w:val="en-GB"/>
              </w:rPr>
            </w:pPr>
            <w:r w:rsidRPr="00D93FF9">
              <w:rPr>
                <w:sz w:val="16"/>
                <w:lang w:val="en-GB"/>
              </w:rPr>
              <w:t>Medium-heavy clay</w:t>
            </w:r>
          </w:p>
        </w:tc>
        <w:tc>
          <w:tcPr>
            <w:tcW w:w="1061" w:type="dxa"/>
          </w:tcPr>
          <w:p w14:paraId="59DCC4A9"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8</w:t>
            </w:r>
          </w:p>
        </w:tc>
        <w:tc>
          <w:tcPr>
            <w:tcW w:w="1061" w:type="dxa"/>
          </w:tcPr>
          <w:p w14:paraId="59DCC4AA"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5</w:t>
            </w:r>
          </w:p>
        </w:tc>
        <w:tc>
          <w:tcPr>
            <w:tcW w:w="1061" w:type="dxa"/>
          </w:tcPr>
          <w:p w14:paraId="59DCC4AB"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5</w:t>
            </w:r>
          </w:p>
        </w:tc>
        <w:tc>
          <w:tcPr>
            <w:tcW w:w="1516" w:type="dxa"/>
          </w:tcPr>
          <w:p w14:paraId="59DCC4AC" w14:textId="77777777" w:rsidR="00B70AD8" w:rsidRPr="00D93FF9" w:rsidRDefault="00E811B8" w:rsidP="002566B1">
            <w:pPr>
              <w:pStyle w:val="TableParagraph"/>
              <w:spacing w:before="0" w:after="0"/>
              <w:jc w:val="center"/>
              <w:rPr>
                <w:sz w:val="16"/>
                <w:lang w:val="en-GB"/>
              </w:rPr>
            </w:pPr>
            <w:r w:rsidRPr="00D93FF9">
              <w:rPr>
                <w:sz w:val="16"/>
                <w:lang w:val="en-GB"/>
              </w:rPr>
              <w:t>4</w:t>
            </w:r>
          </w:p>
        </w:tc>
        <w:tc>
          <w:tcPr>
            <w:tcW w:w="787" w:type="dxa"/>
          </w:tcPr>
          <w:p w14:paraId="59DCC4AD" w14:textId="77777777" w:rsidR="00B70AD8" w:rsidRPr="00D93FF9" w:rsidRDefault="00E811B8" w:rsidP="002566B1">
            <w:pPr>
              <w:pStyle w:val="TableParagraph"/>
              <w:spacing w:before="0" w:after="0"/>
              <w:jc w:val="center"/>
              <w:rPr>
                <w:sz w:val="16"/>
                <w:lang w:val="en-GB"/>
              </w:rPr>
            </w:pPr>
            <w:r w:rsidRPr="00D93FF9">
              <w:rPr>
                <w:sz w:val="16"/>
                <w:lang w:val="en-GB"/>
              </w:rPr>
              <w:t>4</w:t>
            </w:r>
          </w:p>
        </w:tc>
      </w:tr>
      <w:tr w:rsidR="00BE3AA8" w:rsidRPr="00D93FF9" w14:paraId="59DCC4B6" w14:textId="77777777" w:rsidTr="00AC6997">
        <w:trPr>
          <w:trHeight w:val="319"/>
        </w:trPr>
        <w:tc>
          <w:tcPr>
            <w:tcW w:w="1216" w:type="dxa"/>
          </w:tcPr>
          <w:p w14:paraId="59DCC4AF" w14:textId="63F11653" w:rsidR="00B70AD8" w:rsidRPr="00D93FF9" w:rsidRDefault="00E811B8" w:rsidP="002566B1">
            <w:pPr>
              <w:pStyle w:val="TableParagraph"/>
              <w:spacing w:before="0" w:after="0"/>
              <w:jc w:val="center"/>
              <w:rPr>
                <w:sz w:val="16"/>
                <w:lang w:val="en-GB"/>
              </w:rPr>
            </w:pPr>
            <w:r w:rsidRPr="00D93FF9">
              <w:rPr>
                <w:sz w:val="16"/>
                <w:lang w:val="en-GB"/>
              </w:rPr>
              <w:t>65</w:t>
            </w:r>
            <w:r w:rsidR="00962EA1" w:rsidRPr="00D93FF9">
              <w:rPr>
                <w:rFonts w:ascii="Symbol" w:hAnsi="Symbol"/>
                <w:sz w:val="16"/>
                <w:lang w:val="en-GB"/>
              </w:rPr>
              <w:sym w:font="Symbol" w:char="F02D"/>
            </w:r>
            <w:r w:rsidRPr="00D93FF9">
              <w:rPr>
                <w:sz w:val="16"/>
                <w:lang w:val="en-GB"/>
              </w:rPr>
              <w:t>75</w:t>
            </w:r>
          </w:p>
        </w:tc>
        <w:tc>
          <w:tcPr>
            <w:tcW w:w="1650" w:type="dxa"/>
          </w:tcPr>
          <w:p w14:paraId="59DCC4B0" w14:textId="77777777" w:rsidR="00B70AD8" w:rsidRPr="00D93FF9" w:rsidRDefault="00E811B8" w:rsidP="002566B1">
            <w:pPr>
              <w:pStyle w:val="TableParagraph"/>
              <w:spacing w:before="0" w:after="0"/>
              <w:rPr>
                <w:sz w:val="16"/>
                <w:lang w:val="en-GB"/>
              </w:rPr>
            </w:pPr>
            <w:r w:rsidRPr="00D93FF9">
              <w:rPr>
                <w:sz w:val="16"/>
                <w:lang w:val="en-GB"/>
              </w:rPr>
              <w:t>Heavy clay</w:t>
            </w:r>
          </w:p>
        </w:tc>
        <w:tc>
          <w:tcPr>
            <w:tcW w:w="1061" w:type="dxa"/>
          </w:tcPr>
          <w:p w14:paraId="59DCC4B1"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w:t>
            </w:r>
          </w:p>
        </w:tc>
        <w:tc>
          <w:tcPr>
            <w:tcW w:w="1061" w:type="dxa"/>
          </w:tcPr>
          <w:p w14:paraId="59DCC4B2"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4</w:t>
            </w:r>
          </w:p>
        </w:tc>
        <w:tc>
          <w:tcPr>
            <w:tcW w:w="1061" w:type="dxa"/>
          </w:tcPr>
          <w:p w14:paraId="59DCC4B3"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4</w:t>
            </w:r>
          </w:p>
        </w:tc>
        <w:tc>
          <w:tcPr>
            <w:tcW w:w="1516" w:type="dxa"/>
          </w:tcPr>
          <w:p w14:paraId="59DCC4B4" w14:textId="77777777" w:rsidR="00B70AD8" w:rsidRPr="00D93FF9" w:rsidRDefault="00E811B8" w:rsidP="002566B1">
            <w:pPr>
              <w:pStyle w:val="TableParagraph"/>
              <w:spacing w:before="0" w:after="0"/>
              <w:jc w:val="center"/>
              <w:rPr>
                <w:sz w:val="16"/>
                <w:lang w:val="en-GB"/>
              </w:rPr>
            </w:pPr>
            <w:r w:rsidRPr="00D93FF9">
              <w:rPr>
                <w:sz w:val="16"/>
                <w:lang w:val="en-GB"/>
              </w:rPr>
              <w:t>4</w:t>
            </w:r>
          </w:p>
        </w:tc>
        <w:tc>
          <w:tcPr>
            <w:tcW w:w="787" w:type="dxa"/>
          </w:tcPr>
          <w:p w14:paraId="59DCC4B5" w14:textId="77777777" w:rsidR="00B70AD8" w:rsidRPr="00D93FF9" w:rsidRDefault="00E811B8" w:rsidP="002566B1">
            <w:pPr>
              <w:pStyle w:val="TableParagraph"/>
              <w:spacing w:before="0" w:after="0"/>
              <w:jc w:val="center"/>
              <w:rPr>
                <w:sz w:val="16"/>
                <w:lang w:val="en-GB"/>
              </w:rPr>
            </w:pPr>
            <w:r w:rsidRPr="00D93FF9">
              <w:rPr>
                <w:sz w:val="16"/>
                <w:lang w:val="en-GB"/>
              </w:rPr>
              <w:t>4</w:t>
            </w:r>
          </w:p>
        </w:tc>
      </w:tr>
      <w:tr w:rsidR="00BE3AA8" w:rsidRPr="00D93FF9" w14:paraId="59DCC4BE" w14:textId="77777777" w:rsidTr="00AC6997">
        <w:trPr>
          <w:trHeight w:val="318"/>
        </w:trPr>
        <w:tc>
          <w:tcPr>
            <w:tcW w:w="1216" w:type="dxa"/>
            <w:tcBorders>
              <w:bottom w:val="single" w:sz="6" w:space="0" w:color="000000"/>
            </w:tcBorders>
          </w:tcPr>
          <w:p w14:paraId="59DCC4B7" w14:textId="32F26464" w:rsidR="00B70AD8" w:rsidRPr="00D93FF9" w:rsidRDefault="00E811B8" w:rsidP="002566B1">
            <w:pPr>
              <w:pStyle w:val="TableParagraph"/>
              <w:spacing w:before="0" w:after="0"/>
              <w:jc w:val="center"/>
              <w:rPr>
                <w:sz w:val="16"/>
                <w:lang w:val="en-GB"/>
              </w:rPr>
            </w:pPr>
            <w:r w:rsidRPr="00D93FF9">
              <w:rPr>
                <w:sz w:val="16"/>
                <w:lang w:val="en-GB"/>
              </w:rPr>
              <w:t>75</w:t>
            </w:r>
            <w:r w:rsidR="00962EA1" w:rsidRPr="00D93FF9">
              <w:rPr>
                <w:rFonts w:ascii="Symbol" w:hAnsi="Symbol"/>
                <w:sz w:val="16"/>
                <w:lang w:val="en-GB"/>
              </w:rPr>
              <w:sym w:font="Symbol" w:char="F02D"/>
            </w:r>
            <w:r w:rsidRPr="00D93FF9">
              <w:rPr>
                <w:sz w:val="16"/>
                <w:lang w:val="en-GB"/>
              </w:rPr>
              <w:t>85</w:t>
            </w:r>
          </w:p>
        </w:tc>
        <w:tc>
          <w:tcPr>
            <w:tcW w:w="1650" w:type="dxa"/>
            <w:tcBorders>
              <w:bottom w:val="single" w:sz="6" w:space="0" w:color="000000"/>
            </w:tcBorders>
          </w:tcPr>
          <w:p w14:paraId="59DCC4B8" w14:textId="77777777" w:rsidR="00B70AD8" w:rsidRPr="00D93FF9" w:rsidRDefault="00E811B8" w:rsidP="002566B1">
            <w:pPr>
              <w:pStyle w:val="TableParagraph"/>
              <w:spacing w:before="0" w:after="0"/>
              <w:rPr>
                <w:sz w:val="16"/>
                <w:lang w:val="en-GB"/>
              </w:rPr>
            </w:pPr>
            <w:r w:rsidRPr="00D93FF9">
              <w:rPr>
                <w:sz w:val="16"/>
                <w:lang w:val="en-GB"/>
              </w:rPr>
              <w:t>Heavy clay</w:t>
            </w:r>
          </w:p>
        </w:tc>
        <w:tc>
          <w:tcPr>
            <w:tcW w:w="1061" w:type="dxa"/>
            <w:tcBorders>
              <w:bottom w:val="single" w:sz="6" w:space="0" w:color="000000"/>
            </w:tcBorders>
          </w:tcPr>
          <w:p w14:paraId="59DCC4B9"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w:t>
            </w:r>
          </w:p>
        </w:tc>
        <w:tc>
          <w:tcPr>
            <w:tcW w:w="1061" w:type="dxa"/>
            <w:tcBorders>
              <w:bottom w:val="single" w:sz="6" w:space="0" w:color="000000"/>
            </w:tcBorders>
          </w:tcPr>
          <w:p w14:paraId="59DCC4BA"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w:t>
            </w:r>
          </w:p>
        </w:tc>
        <w:tc>
          <w:tcPr>
            <w:tcW w:w="1061" w:type="dxa"/>
            <w:tcBorders>
              <w:bottom w:val="single" w:sz="6" w:space="0" w:color="000000"/>
            </w:tcBorders>
          </w:tcPr>
          <w:p w14:paraId="59DCC4BB" w14:textId="77777777" w:rsidR="00B70AD8" w:rsidRPr="00D93FF9" w:rsidRDefault="00E811B8" w:rsidP="002566B1">
            <w:pPr>
              <w:pStyle w:val="TableParagraph"/>
              <w:tabs>
                <w:tab w:val="left" w:pos="1094"/>
                <w:tab w:val="left" w:pos="2339"/>
              </w:tabs>
              <w:spacing w:before="0" w:after="0"/>
              <w:jc w:val="center"/>
              <w:rPr>
                <w:bCs/>
                <w:sz w:val="16"/>
                <w:lang w:val="en-GB"/>
              </w:rPr>
            </w:pPr>
            <w:r w:rsidRPr="00D93FF9">
              <w:rPr>
                <w:bCs/>
                <w:sz w:val="16"/>
                <w:lang w:val="en-GB"/>
              </w:rPr>
              <w:t>4</w:t>
            </w:r>
          </w:p>
        </w:tc>
        <w:tc>
          <w:tcPr>
            <w:tcW w:w="1516" w:type="dxa"/>
            <w:tcBorders>
              <w:bottom w:val="single" w:sz="6" w:space="0" w:color="000000"/>
            </w:tcBorders>
          </w:tcPr>
          <w:p w14:paraId="59DCC4BC" w14:textId="77777777" w:rsidR="00B70AD8" w:rsidRPr="00D93FF9" w:rsidRDefault="00E811B8" w:rsidP="002566B1">
            <w:pPr>
              <w:pStyle w:val="TableParagraph"/>
              <w:spacing w:before="0" w:after="0"/>
              <w:jc w:val="center"/>
              <w:rPr>
                <w:sz w:val="16"/>
                <w:lang w:val="en-GB"/>
              </w:rPr>
            </w:pPr>
            <w:r w:rsidRPr="00D93FF9">
              <w:rPr>
                <w:sz w:val="16"/>
                <w:lang w:val="en-GB"/>
              </w:rPr>
              <w:t>5</w:t>
            </w:r>
          </w:p>
        </w:tc>
        <w:tc>
          <w:tcPr>
            <w:tcW w:w="787" w:type="dxa"/>
            <w:tcBorders>
              <w:bottom w:val="single" w:sz="6" w:space="0" w:color="000000"/>
            </w:tcBorders>
          </w:tcPr>
          <w:p w14:paraId="59DCC4BD" w14:textId="77777777" w:rsidR="00B70AD8" w:rsidRPr="00D93FF9" w:rsidRDefault="00E811B8" w:rsidP="002566B1">
            <w:pPr>
              <w:pStyle w:val="TableParagraph"/>
              <w:spacing w:before="0" w:after="0"/>
              <w:jc w:val="center"/>
              <w:rPr>
                <w:sz w:val="16"/>
                <w:lang w:val="en-GB"/>
              </w:rPr>
            </w:pPr>
            <w:r w:rsidRPr="00D93FF9">
              <w:rPr>
                <w:sz w:val="16"/>
                <w:lang w:val="en-GB"/>
              </w:rPr>
              <w:t>5</w:t>
            </w:r>
          </w:p>
        </w:tc>
      </w:tr>
    </w:tbl>
    <w:p w14:paraId="59DCC4BF" w14:textId="3E9BDB17" w:rsidR="00B70AD8" w:rsidRPr="00D93FF9" w:rsidRDefault="00E811B8" w:rsidP="00B70AD8">
      <w:pPr>
        <w:spacing w:after="0" w:line="268" w:lineRule="auto"/>
        <w:rPr>
          <w:rFonts w:ascii="Arial"/>
          <w:sz w:val="14"/>
          <w:lang w:val="en-GB"/>
        </w:rPr>
      </w:pPr>
      <w:r w:rsidRPr="00D93FF9">
        <w:rPr>
          <w:rFonts w:ascii="Arial"/>
          <w:sz w:val="14"/>
          <w:lang w:val="en-GB"/>
        </w:rPr>
        <w:t>a From D</w:t>
      </w:r>
      <w:r w:rsidR="00E33DAA" w:rsidRPr="00D93FF9">
        <w:rPr>
          <w:rFonts w:ascii="Arial"/>
          <w:sz w:val="14"/>
          <w:lang w:val="en-GB"/>
        </w:rPr>
        <w:t>ERM</w:t>
      </w:r>
      <w:r w:rsidRPr="00D93FF9">
        <w:rPr>
          <w:rFonts w:ascii="Arial"/>
          <w:sz w:val="14"/>
          <w:lang w:val="en-GB"/>
        </w:rPr>
        <w:t xml:space="preserve"> (</w:t>
      </w:r>
      <w:r w:rsidR="00E33DAA" w:rsidRPr="00D93FF9">
        <w:rPr>
          <w:rFonts w:ascii="Arial"/>
          <w:sz w:val="14"/>
          <w:lang w:val="en-GB"/>
        </w:rPr>
        <w:t>2011</w:t>
      </w:r>
      <w:r w:rsidR="007B37EE" w:rsidRPr="00D93FF9">
        <w:rPr>
          <w:rFonts w:ascii="Arial"/>
          <w:sz w:val="14"/>
          <w:lang w:val="en-GB"/>
        </w:rPr>
        <w:t>)</w:t>
      </w:r>
      <w:r w:rsidRPr="00D93FF9">
        <w:rPr>
          <w:rFonts w:ascii="Arial"/>
          <w:sz w:val="14"/>
          <w:lang w:val="en-GB"/>
        </w:rPr>
        <w:t>; b These values are based on the prediction of the leaching fraction model under a high rainfall of 2000 mm/year, to estimate the soil ESP and hence SAR that should prevent surface soil dispersion; c CCR: cation exchange capacity/clay ratio</w:t>
      </w:r>
    </w:p>
    <w:p w14:paraId="59DCC4C0" w14:textId="77777777" w:rsidR="00B70AD8" w:rsidRPr="00D93FF9" w:rsidRDefault="00B70AD8" w:rsidP="003807A1">
      <w:pPr>
        <w:pStyle w:val="BodyText"/>
        <w:spacing w:after="0" w:line="280" w:lineRule="exact"/>
        <w:jc w:val="both"/>
        <w:rPr>
          <w:lang w:val="en-GB"/>
        </w:rPr>
      </w:pPr>
    </w:p>
    <w:p w14:paraId="59DCC4C1" w14:textId="53B98FA9" w:rsidR="00D92F70" w:rsidRPr="00D93FF9" w:rsidRDefault="00E811B8" w:rsidP="00AC6997">
      <w:pPr>
        <w:pStyle w:val="BodyText"/>
        <w:spacing w:after="0"/>
        <w:jc w:val="both"/>
        <w:rPr>
          <w:lang w:val="en-GB"/>
        </w:rPr>
      </w:pPr>
      <w:r w:rsidRPr="00D93FF9">
        <w:rPr>
          <w:lang w:val="en-GB"/>
        </w:rPr>
        <w:t xml:space="preserve">Some irrigation waters, due to their source (recycled water for instance) </w:t>
      </w:r>
      <w:r w:rsidRPr="00D93FF9">
        <w:t>can contain high cation concentrations other than sodium (eg potassium, K) in which case it would be more relevant to consider the cation ratio of soil structure stability (CROSS), rather than SAR (Rengasamy 201</w:t>
      </w:r>
      <w:r w:rsidR="00071455" w:rsidRPr="00D93FF9">
        <w:t>0</w:t>
      </w:r>
      <w:r w:rsidRPr="00D93FF9">
        <w:t>) as it provides a more complete assessment</w:t>
      </w:r>
      <w:r w:rsidR="006C3660" w:rsidRPr="00D93FF9">
        <w:t xml:space="preserve"> of the impact of monovalent cations on soil structural stability</w:t>
      </w:r>
      <w:r w:rsidRPr="00D93FF9">
        <w:t xml:space="preserve"> </w:t>
      </w:r>
    </w:p>
    <w:p w14:paraId="59DCC4C2" w14:textId="77777777" w:rsidR="006C3660" w:rsidRPr="00D93FF9" w:rsidRDefault="006C3660" w:rsidP="003807A1">
      <w:pPr>
        <w:pStyle w:val="BodyText"/>
        <w:spacing w:after="0"/>
        <w:rPr>
          <w:sz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494"/>
      </w:tblGrid>
      <w:tr w:rsidR="00BE3AA8" w:rsidRPr="00D93FF9" w14:paraId="59DCC4C6" w14:textId="77777777" w:rsidTr="00AC6997">
        <w:tc>
          <w:tcPr>
            <w:tcW w:w="6516" w:type="dxa"/>
          </w:tcPr>
          <w:p w14:paraId="59DCC4C3" w14:textId="77777777" w:rsidR="006C3660" w:rsidRPr="00D93FF9" w:rsidRDefault="00E811B8" w:rsidP="003807A1">
            <w:pPr>
              <w:pStyle w:val="BodyText"/>
              <w:spacing w:after="0"/>
              <w:rPr>
                <w:iCs/>
                <w:sz w:val="22"/>
                <w:szCs w:val="22"/>
                <w:lang w:val="en-GB"/>
              </w:rPr>
            </w:pPr>
            <m:oMathPara>
              <m:oMathParaPr>
                <m:jc m:val="left"/>
              </m:oMathParaPr>
              <m:oMath>
                <m:r>
                  <m:rPr>
                    <m:sty m:val="p"/>
                  </m:rPr>
                  <w:rPr>
                    <w:rFonts w:ascii="Cambria Math" w:hAnsi="Cambria Math"/>
                    <w:sz w:val="22"/>
                    <w:szCs w:val="22"/>
                    <w:lang w:val="en-GB"/>
                  </w:rPr>
                  <m:t>CROSS=</m:t>
                </m:r>
                <m:f>
                  <m:fPr>
                    <m:ctrlPr>
                      <w:rPr>
                        <w:rFonts w:ascii="Cambria Math" w:eastAsiaTheme="minorHAnsi" w:hAnsi="Cambria Math" w:cstheme="minorBidi"/>
                        <w:iCs/>
                        <w:sz w:val="22"/>
                        <w:szCs w:val="22"/>
                        <w:lang w:val="en-GB" w:eastAsia="en-US"/>
                      </w:rPr>
                    </m:ctrlPr>
                  </m:fPr>
                  <m:num>
                    <m:r>
                      <m:rPr>
                        <m:sty m:val="p"/>
                      </m:rPr>
                      <w:rPr>
                        <w:rFonts w:ascii="Cambria Math" w:hAnsi="Cambria Math"/>
                        <w:sz w:val="22"/>
                        <w:szCs w:val="22"/>
                        <w:lang w:val="en-GB"/>
                      </w:rPr>
                      <m:t>(Na+0.56K)</m:t>
                    </m:r>
                  </m:num>
                  <m:den>
                    <m:sSup>
                      <m:sSupPr>
                        <m:ctrlPr>
                          <w:rPr>
                            <w:rFonts w:ascii="Cambria Math" w:eastAsiaTheme="minorHAnsi" w:hAnsi="Cambria Math" w:cstheme="minorBidi"/>
                            <w:iCs/>
                            <w:sz w:val="22"/>
                            <w:szCs w:val="22"/>
                            <w:lang w:val="en-GB" w:eastAsia="en-US"/>
                          </w:rPr>
                        </m:ctrlPr>
                      </m:sSupPr>
                      <m:e>
                        <m:d>
                          <m:dPr>
                            <m:begChr m:val="["/>
                            <m:endChr m:val="]"/>
                            <m:ctrlPr>
                              <w:rPr>
                                <w:rFonts w:ascii="Cambria Math" w:eastAsiaTheme="minorHAnsi" w:hAnsi="Cambria Math" w:cstheme="minorBidi"/>
                                <w:iCs/>
                                <w:sz w:val="22"/>
                                <w:szCs w:val="22"/>
                                <w:lang w:val="en-GB" w:eastAsia="en-US"/>
                              </w:rPr>
                            </m:ctrlPr>
                          </m:dPr>
                          <m:e>
                            <m:d>
                              <m:dPr>
                                <m:ctrlPr>
                                  <w:rPr>
                                    <w:rFonts w:ascii="Cambria Math" w:eastAsiaTheme="minorHAnsi" w:hAnsi="Cambria Math" w:cstheme="minorBidi"/>
                                    <w:iCs/>
                                    <w:sz w:val="22"/>
                                    <w:szCs w:val="22"/>
                                    <w:lang w:val="en-GB" w:eastAsia="en-US"/>
                                  </w:rPr>
                                </m:ctrlPr>
                              </m:dPr>
                              <m:e>
                                <m:f>
                                  <m:fPr>
                                    <m:ctrlPr>
                                      <w:rPr>
                                        <w:rFonts w:ascii="Cambria Math" w:eastAsiaTheme="minorHAnsi" w:hAnsi="Cambria Math" w:cstheme="minorBidi"/>
                                        <w:iCs/>
                                        <w:sz w:val="22"/>
                                        <w:szCs w:val="22"/>
                                        <w:lang w:val="en-GB" w:eastAsia="en-US"/>
                                      </w:rPr>
                                    </m:ctrlPr>
                                  </m:fPr>
                                  <m:num>
                                    <m:r>
                                      <m:rPr>
                                        <m:sty m:val="p"/>
                                      </m:rPr>
                                      <w:rPr>
                                        <w:rFonts w:ascii="Cambria Math" w:hAnsi="Cambria Math"/>
                                        <w:sz w:val="22"/>
                                        <w:szCs w:val="22"/>
                                        <w:lang w:val="en-GB"/>
                                      </w:rPr>
                                      <m:t>Ca+0.6Mg</m:t>
                                    </m:r>
                                  </m:num>
                                  <m:den>
                                    <m:r>
                                      <m:rPr>
                                        <m:sty m:val="p"/>
                                      </m:rPr>
                                      <w:rPr>
                                        <w:rFonts w:ascii="Cambria Math" w:hAnsi="Cambria Math"/>
                                        <w:sz w:val="22"/>
                                        <w:szCs w:val="22"/>
                                        <w:lang w:val="en-GB"/>
                                      </w:rPr>
                                      <m:t>2</m:t>
                                    </m:r>
                                  </m:den>
                                </m:f>
                              </m:e>
                            </m:d>
                          </m:e>
                        </m:d>
                      </m:e>
                      <m:sup>
                        <m:f>
                          <m:fPr>
                            <m:ctrlPr>
                              <w:rPr>
                                <w:rFonts w:ascii="Cambria Math" w:eastAsiaTheme="minorHAnsi" w:hAnsi="Cambria Math" w:cstheme="minorBidi"/>
                                <w:iCs/>
                                <w:sz w:val="22"/>
                                <w:szCs w:val="22"/>
                                <w:lang w:val="en-GB" w:eastAsia="en-US"/>
                              </w:rPr>
                            </m:ctrlPr>
                          </m:fPr>
                          <m:num>
                            <m:r>
                              <m:rPr>
                                <m:sty m:val="p"/>
                              </m:rPr>
                              <w:rPr>
                                <w:rFonts w:ascii="Cambria Math" w:hAnsi="Cambria Math"/>
                                <w:sz w:val="22"/>
                                <w:szCs w:val="22"/>
                                <w:lang w:val="en-GB"/>
                              </w:rPr>
                              <m:t>1</m:t>
                            </m:r>
                          </m:num>
                          <m:den>
                            <m:r>
                              <m:rPr>
                                <m:sty m:val="p"/>
                              </m:rPr>
                              <w:rPr>
                                <w:rFonts w:ascii="Cambria Math" w:hAnsi="Cambria Math"/>
                                <w:sz w:val="22"/>
                                <w:szCs w:val="22"/>
                                <w:lang w:val="en-GB"/>
                              </w:rPr>
                              <m:t>2</m:t>
                            </m:r>
                          </m:den>
                        </m:f>
                      </m:sup>
                    </m:sSup>
                  </m:den>
                </m:f>
              </m:oMath>
            </m:oMathPara>
          </w:p>
        </w:tc>
        <w:tc>
          <w:tcPr>
            <w:tcW w:w="2494" w:type="dxa"/>
          </w:tcPr>
          <w:p w14:paraId="59DCC4C4" w14:textId="457B5B25" w:rsidR="006C3660" w:rsidRPr="00D93FF9" w:rsidRDefault="00E811B8" w:rsidP="0006380A">
            <w:pPr>
              <w:pStyle w:val="Caption"/>
              <w:jc w:val="right"/>
              <w:rPr>
                <w:sz w:val="22"/>
                <w:szCs w:val="22"/>
              </w:rPr>
            </w:pPr>
            <w:r w:rsidRPr="00D93FF9">
              <w:rPr>
                <w:sz w:val="22"/>
                <w:szCs w:val="22"/>
              </w:rPr>
              <w:t xml:space="preserve">Equation </w:t>
            </w:r>
            <w:r w:rsidRPr="00D93FF9">
              <w:rPr>
                <w:szCs w:val="22"/>
              </w:rPr>
              <w:fldChar w:fldCharType="begin"/>
            </w:r>
            <w:r w:rsidRPr="00D93FF9">
              <w:rPr>
                <w:szCs w:val="22"/>
              </w:rPr>
              <w:instrText xml:space="preserve"> SEQ Equation \* ARABIC </w:instrText>
            </w:r>
            <w:r w:rsidRPr="00D93FF9">
              <w:rPr>
                <w:szCs w:val="22"/>
              </w:rPr>
              <w:fldChar w:fldCharType="separate"/>
            </w:r>
            <w:r w:rsidR="0069302C">
              <w:rPr>
                <w:noProof/>
                <w:szCs w:val="22"/>
              </w:rPr>
              <w:t>3</w:t>
            </w:r>
            <w:r w:rsidRPr="00D93FF9">
              <w:rPr>
                <w:szCs w:val="22"/>
              </w:rPr>
              <w:fldChar w:fldCharType="end"/>
            </w:r>
          </w:p>
          <w:p w14:paraId="59DCC4C5" w14:textId="77777777" w:rsidR="006C3660" w:rsidRPr="00D93FF9" w:rsidRDefault="006C3660" w:rsidP="003807A1">
            <w:pPr>
              <w:pStyle w:val="BodyText"/>
              <w:spacing w:after="0"/>
              <w:rPr>
                <w:lang w:val="en-GB"/>
              </w:rPr>
            </w:pPr>
          </w:p>
        </w:tc>
      </w:tr>
    </w:tbl>
    <w:p w14:paraId="59DCC4C7" w14:textId="3F927A23" w:rsidR="006C3660" w:rsidRPr="00D93FF9" w:rsidRDefault="006C3660" w:rsidP="003807A1">
      <w:pPr>
        <w:pStyle w:val="BodyText"/>
        <w:spacing w:after="0"/>
        <w:rPr>
          <w:sz w:val="18"/>
          <w:lang w:val="en-GB"/>
        </w:rPr>
      </w:pPr>
    </w:p>
    <w:p w14:paraId="716455DF" w14:textId="770E2D92" w:rsidR="00FB4B5E" w:rsidRPr="00D93FF9" w:rsidRDefault="00FB4B5E" w:rsidP="003807A1">
      <w:pPr>
        <w:pStyle w:val="BodyText"/>
        <w:spacing w:after="0"/>
        <w:rPr>
          <w:lang w:val="en-GB"/>
        </w:rPr>
      </w:pPr>
      <w:r w:rsidRPr="00D93FF9">
        <w:rPr>
          <w:lang w:val="en-GB"/>
        </w:rPr>
        <w:t>CROSS is dimensionless</w:t>
      </w:r>
    </w:p>
    <w:p w14:paraId="75F733A5" w14:textId="77777777" w:rsidR="00592B13" w:rsidRPr="00D93FF9" w:rsidRDefault="00592B13" w:rsidP="003807A1">
      <w:pPr>
        <w:pStyle w:val="BodyText"/>
        <w:spacing w:after="0"/>
        <w:rPr>
          <w:lang w:val="en-GB"/>
        </w:rPr>
      </w:pPr>
    </w:p>
    <w:p w14:paraId="59DCC4C8" w14:textId="77777777" w:rsidR="00C46175" w:rsidRPr="00D93FF9" w:rsidRDefault="00E811B8" w:rsidP="00726062">
      <w:pPr>
        <w:pStyle w:val="Heading4"/>
        <w:rPr>
          <w:lang w:val="en-GB"/>
        </w:rPr>
      </w:pPr>
      <w:r w:rsidRPr="00D93FF9">
        <w:rPr>
          <w:lang w:val="en-GB"/>
        </w:rPr>
        <w:t xml:space="preserve">Soil </w:t>
      </w:r>
      <w:r w:rsidRPr="00D93FF9">
        <w:t>properties</w:t>
      </w:r>
    </w:p>
    <w:p w14:paraId="59DCC4C9" w14:textId="3763A00A" w:rsidR="006B24E9" w:rsidRPr="00D93FF9" w:rsidRDefault="00E811B8" w:rsidP="003807A1">
      <w:pPr>
        <w:pStyle w:val="BodyText"/>
        <w:spacing w:after="0" w:line="266" w:lineRule="auto"/>
        <w:jc w:val="both"/>
        <w:rPr>
          <w:lang w:val="en-GB"/>
        </w:rPr>
      </w:pPr>
      <w:r w:rsidRPr="00D93FF9">
        <w:rPr>
          <w:lang w:val="en-GB"/>
        </w:rPr>
        <w:t xml:space="preserve">Soil properties are major factors affecting irrigation salinity assessment. Soil salinity and sodicity can be predicted using empirical relationships between readily measured soil properties and leaching </w:t>
      </w:r>
      <w:r w:rsidR="00B70AD8" w:rsidRPr="00D93FF9">
        <w:rPr>
          <w:lang w:val="en-GB"/>
        </w:rPr>
        <w:t xml:space="preserve">fraction </w:t>
      </w:r>
      <w:r w:rsidRPr="00D93FF9">
        <w:rPr>
          <w:lang w:val="en-GB"/>
        </w:rPr>
        <w:t>(adjusted for changes resulting from irrigation water salinity and sodicity), taking into consideration rainfall effects. Estimation of equilibrium soil salinity and sodicity values can then be calculated, assuming a steady state mass balance approach. This is the essence of steps 1–3 of</w:t>
      </w:r>
      <w:r w:rsidR="0085132A" w:rsidRPr="00D93FF9">
        <w:rPr>
          <w:lang w:val="en-GB"/>
        </w:rPr>
        <w:t xml:space="preserve"> </w:t>
      </w:r>
      <w:r w:rsidR="00F460E9" w:rsidRPr="00D93FF9">
        <w:rPr>
          <w:lang w:val="en-GB"/>
        </w:rPr>
        <w:fldChar w:fldCharType="begin"/>
      </w:r>
      <w:r w:rsidR="00F460E9" w:rsidRPr="00D93FF9">
        <w:rPr>
          <w:lang w:val="en-GB"/>
        </w:rPr>
        <w:instrText xml:space="preserve"> REF _Ref87981552 \h </w:instrText>
      </w:r>
      <w:r w:rsidR="00962E88" w:rsidRPr="00D93FF9">
        <w:rPr>
          <w:lang w:val="en-GB"/>
        </w:rPr>
        <w:instrText xml:space="preserve"> \* MERGEFORMAT </w:instrText>
      </w:r>
      <w:r w:rsidR="00F460E9" w:rsidRPr="00D93FF9">
        <w:rPr>
          <w:lang w:val="en-GB"/>
        </w:rPr>
      </w:r>
      <w:r w:rsidR="00F460E9" w:rsidRPr="00D93FF9">
        <w:rPr>
          <w:lang w:val="en-GB"/>
        </w:rPr>
        <w:fldChar w:fldCharType="separate"/>
      </w:r>
      <w:r w:rsidR="0069302C" w:rsidRPr="0069302C">
        <w:t xml:space="preserve">Figure </w:t>
      </w:r>
      <w:r w:rsidR="0069302C" w:rsidRPr="0069302C">
        <w:rPr>
          <w:noProof/>
        </w:rPr>
        <w:t>1</w:t>
      </w:r>
      <w:r w:rsidR="00F460E9" w:rsidRPr="00D93FF9">
        <w:rPr>
          <w:lang w:val="en-GB"/>
        </w:rPr>
        <w:fldChar w:fldCharType="end"/>
      </w:r>
      <w:r w:rsidR="00F460E9" w:rsidRPr="00D93FF9">
        <w:rPr>
          <w:lang w:val="en-GB"/>
        </w:rPr>
        <w:t xml:space="preserve">. </w:t>
      </w:r>
      <w:r w:rsidR="00CD4DC4" w:rsidRPr="00D93FF9">
        <w:rPr>
          <w:lang w:val="en-GB"/>
        </w:rPr>
        <w:t xml:space="preserve">The different categories of salt affected soils </w:t>
      </w:r>
      <w:r w:rsidR="00C51943" w:rsidRPr="00D93FF9">
        <w:rPr>
          <w:lang w:val="en-GB"/>
        </w:rPr>
        <w:t>depending on EC, SAR and pH is presented in</w:t>
      </w:r>
      <w:r w:rsidR="00500234" w:rsidRPr="00D93FF9">
        <w:rPr>
          <w:lang w:val="en-GB"/>
        </w:rPr>
        <w:t xml:space="preserve"> </w:t>
      </w:r>
      <w:r w:rsidR="00500234" w:rsidRPr="00D93FF9">
        <w:rPr>
          <w:lang w:val="en-GB"/>
        </w:rPr>
        <w:fldChar w:fldCharType="begin"/>
      </w:r>
      <w:r w:rsidR="00500234" w:rsidRPr="00D93FF9">
        <w:rPr>
          <w:lang w:val="en-GB"/>
        </w:rPr>
        <w:instrText xml:space="preserve"> REF _Ref81390677 \h </w:instrText>
      </w:r>
      <w:r w:rsidR="00962E88" w:rsidRPr="00D93FF9">
        <w:rPr>
          <w:lang w:val="en-GB"/>
        </w:rPr>
        <w:instrText xml:space="preserve"> \* MERGEFORMAT </w:instrText>
      </w:r>
      <w:r w:rsidR="00500234" w:rsidRPr="00D93FF9">
        <w:rPr>
          <w:lang w:val="en-GB"/>
        </w:rPr>
      </w:r>
      <w:r w:rsidR="00500234" w:rsidRPr="00D93FF9">
        <w:rPr>
          <w:lang w:val="en-GB"/>
        </w:rPr>
        <w:fldChar w:fldCharType="separate"/>
      </w:r>
      <w:r w:rsidR="0069302C" w:rsidRPr="00D93FF9">
        <w:t xml:space="preserve">Figure </w:t>
      </w:r>
      <w:r w:rsidR="0069302C">
        <w:rPr>
          <w:noProof/>
        </w:rPr>
        <w:t>2</w:t>
      </w:r>
      <w:r w:rsidR="00500234" w:rsidRPr="00D93FF9">
        <w:rPr>
          <w:lang w:val="en-GB"/>
        </w:rPr>
        <w:fldChar w:fldCharType="end"/>
      </w:r>
      <w:r w:rsidR="00C51943" w:rsidRPr="00D93FF9">
        <w:rPr>
          <w:lang w:val="en-GB"/>
        </w:rPr>
        <w:t xml:space="preserve">. </w:t>
      </w:r>
    </w:p>
    <w:p w14:paraId="59DCC4CA" w14:textId="77777777" w:rsidR="00C46175" w:rsidRPr="00D93FF9" w:rsidRDefault="00C46175" w:rsidP="003807A1">
      <w:pPr>
        <w:pStyle w:val="BodyText"/>
        <w:spacing w:after="0"/>
        <w:rPr>
          <w:rFonts w:ascii="Arial"/>
          <w:sz w:val="16"/>
          <w:lang w:val="en-GB"/>
        </w:rPr>
      </w:pPr>
    </w:p>
    <w:p w14:paraId="59DCC4CB" w14:textId="77777777" w:rsidR="00EA0C82" w:rsidRPr="00D93FF9" w:rsidRDefault="00EA0C82" w:rsidP="003807A1">
      <w:pPr>
        <w:pStyle w:val="BodyText"/>
        <w:spacing w:after="0"/>
        <w:rPr>
          <w:rFonts w:ascii="Arial"/>
          <w:sz w:val="16"/>
          <w:lang w:val="en-GB"/>
        </w:rPr>
      </w:pPr>
    </w:p>
    <w:p w14:paraId="59DCC4CC" w14:textId="77777777" w:rsidR="00EA0C82" w:rsidRPr="00D93FF9" w:rsidRDefault="00E811B8" w:rsidP="003807A1">
      <w:pPr>
        <w:pStyle w:val="BodyText"/>
        <w:spacing w:after="0"/>
        <w:rPr>
          <w:rFonts w:ascii="Arial"/>
          <w:sz w:val="16"/>
          <w:lang w:val="en-GB"/>
        </w:rPr>
      </w:pPr>
      <w:r w:rsidRPr="00D93FF9">
        <w:rPr>
          <w:noProof/>
          <w:lang w:val="en-GB"/>
        </w:rPr>
        <w:lastRenderedPageBreak/>
        <w:drawing>
          <wp:inline distT="0" distB="0" distL="0" distR="0" wp14:anchorId="59DCDC29" wp14:editId="7833C700">
            <wp:extent cx="5727700" cy="4162425"/>
            <wp:effectExtent l="0" t="0" r="6350" b="9525"/>
            <wp:docPr id="11" name="Picture 11" descr="Different categories of salt affected soils based on sodium adsorption ratio, Electrical conductivity and pH, and their potential impacts on plant growth. Four categories of soils are detailed, including saline, saline sodic, sodic, and non-salt affected so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fferent categories of salt affected soils based on sodium adsorption ratio, Electrical conductivity and pH, and their potential impacts on plant growth. Four categories of soils are detailed, including saline, saline sodic, sodic, and non-salt affected soils. "/>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27700" cy="4162425"/>
                    </a:xfrm>
                    <a:prstGeom prst="rect">
                      <a:avLst/>
                    </a:prstGeom>
                    <a:noFill/>
                    <a:ln>
                      <a:noFill/>
                    </a:ln>
                    <a:extLst>
                      <a:ext uri="{53640926-AAD7-44D8-BBD7-CCE9431645EC}">
                        <a14:shadowObscured xmlns:a14="http://schemas.microsoft.com/office/drawing/2010/main"/>
                      </a:ext>
                    </a:extLst>
                  </pic:spPr>
                </pic:pic>
              </a:graphicData>
            </a:graphic>
          </wp:inline>
        </w:drawing>
      </w:r>
    </w:p>
    <w:p w14:paraId="59DCC4CE" w14:textId="77777777" w:rsidR="00EA0C82" w:rsidRPr="00D93FF9" w:rsidRDefault="00EA0C82" w:rsidP="003807A1">
      <w:pPr>
        <w:pStyle w:val="BodyText"/>
        <w:spacing w:after="0"/>
        <w:rPr>
          <w:rFonts w:ascii="Arial"/>
          <w:sz w:val="16"/>
          <w:lang w:val="en-GB"/>
        </w:rPr>
      </w:pPr>
    </w:p>
    <w:p w14:paraId="59DCC4CF" w14:textId="21FCE19A" w:rsidR="00EA0C82" w:rsidRPr="00D93FF9" w:rsidRDefault="00500234" w:rsidP="00500234">
      <w:pPr>
        <w:pStyle w:val="Caption"/>
        <w:rPr>
          <w:rFonts w:ascii="Arial"/>
          <w:sz w:val="16"/>
          <w:lang w:val="en-GB"/>
        </w:rPr>
      </w:pPr>
      <w:bookmarkStart w:id="68" w:name="_Ref81390677"/>
      <w:bookmarkStart w:id="69" w:name="_Toc96518202"/>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2</w:t>
      </w:r>
      <w:r w:rsidR="007B28AC" w:rsidRPr="00D93FF9">
        <w:fldChar w:fldCharType="end"/>
      </w:r>
      <w:bookmarkEnd w:id="68"/>
      <w:r w:rsidRPr="00D93FF9">
        <w:t xml:space="preserve"> </w:t>
      </w:r>
      <w:bookmarkStart w:id="70" w:name="_Hlk153787566"/>
      <w:r w:rsidR="00E811B8" w:rsidRPr="00D93FF9">
        <w:t>Categories of salt affected soils based on SAR, EC</w:t>
      </w:r>
      <w:r w:rsidR="00E811B8" w:rsidRPr="00D93FF9">
        <w:rPr>
          <w:vertAlign w:val="subscript"/>
        </w:rPr>
        <w:t>se</w:t>
      </w:r>
      <w:r w:rsidR="00E811B8" w:rsidRPr="00D93FF9">
        <w:t xml:space="preserve"> and pH and </w:t>
      </w:r>
      <w:r w:rsidR="00B70AD8" w:rsidRPr="00D93FF9">
        <w:t xml:space="preserve">their </w:t>
      </w:r>
      <w:r w:rsidR="00E811B8" w:rsidRPr="00D93FF9">
        <w:t>po</w:t>
      </w:r>
      <w:r w:rsidR="00B70AD8" w:rsidRPr="00D93FF9">
        <w:t>tential</w:t>
      </w:r>
      <w:r w:rsidR="00E811B8" w:rsidRPr="00D93FF9">
        <w:t xml:space="preserve"> impacts on plant</w:t>
      </w:r>
      <w:r w:rsidR="00B70AD8" w:rsidRPr="00D93FF9">
        <w:t xml:space="preserve"> growth</w:t>
      </w:r>
      <w:bookmarkEnd w:id="69"/>
      <w:r w:rsidR="00E811B8" w:rsidRPr="00D93FF9">
        <w:t xml:space="preserve"> </w:t>
      </w:r>
      <w:bookmarkEnd w:id="70"/>
    </w:p>
    <w:p w14:paraId="59DCC4D0" w14:textId="7088C2EC" w:rsidR="00CD4DC4" w:rsidRPr="00D93FF9" w:rsidRDefault="00E811B8" w:rsidP="003807A1">
      <w:pPr>
        <w:pStyle w:val="BodyText"/>
        <w:spacing w:after="0"/>
        <w:rPr>
          <w:sz w:val="18"/>
          <w:szCs w:val="18"/>
        </w:rPr>
      </w:pPr>
      <w:r w:rsidRPr="00D93FF9">
        <w:rPr>
          <w:sz w:val="18"/>
          <w:szCs w:val="18"/>
        </w:rPr>
        <w:t xml:space="preserve">After Rengasamy </w:t>
      </w:r>
      <w:r w:rsidR="006B4181" w:rsidRPr="00D93FF9">
        <w:rPr>
          <w:sz w:val="18"/>
          <w:szCs w:val="18"/>
        </w:rPr>
        <w:t>(</w:t>
      </w:r>
      <w:r w:rsidRPr="00D93FF9">
        <w:rPr>
          <w:sz w:val="18"/>
          <w:szCs w:val="18"/>
        </w:rPr>
        <w:t>2010</w:t>
      </w:r>
      <w:r w:rsidR="006B4181" w:rsidRPr="00D93FF9">
        <w:rPr>
          <w:sz w:val="18"/>
          <w:szCs w:val="18"/>
        </w:rPr>
        <w:t>)</w:t>
      </w:r>
    </w:p>
    <w:p w14:paraId="59DCC4D1" w14:textId="77777777" w:rsidR="0007629D" w:rsidRPr="00D93FF9" w:rsidRDefault="0007629D" w:rsidP="003807A1">
      <w:pPr>
        <w:pStyle w:val="BodyText"/>
        <w:spacing w:after="0"/>
        <w:rPr>
          <w:rFonts w:ascii="Arial"/>
          <w:sz w:val="18"/>
          <w:szCs w:val="18"/>
          <w:lang w:val="en-GB"/>
        </w:rPr>
      </w:pPr>
    </w:p>
    <w:p w14:paraId="59DCC4D2" w14:textId="77777777" w:rsidR="00C46175" w:rsidRPr="00D93FF9" w:rsidRDefault="00E811B8" w:rsidP="00726062">
      <w:pPr>
        <w:pStyle w:val="Heading5"/>
        <w:rPr>
          <w:lang w:val="en-GB"/>
        </w:rPr>
      </w:pPr>
      <w:r w:rsidRPr="00D93FF9">
        <w:rPr>
          <w:lang w:val="en-GB"/>
        </w:rPr>
        <w:t xml:space="preserve">Soil salinity </w:t>
      </w:r>
      <w:r w:rsidRPr="00D93FF9">
        <w:t>assessment</w:t>
      </w:r>
    </w:p>
    <w:p w14:paraId="59DCC4D3" w14:textId="342A8B21" w:rsidR="00C46175" w:rsidRPr="00D93FF9" w:rsidRDefault="00E811B8" w:rsidP="0055629B">
      <w:pPr>
        <w:pStyle w:val="BodyText"/>
        <w:spacing w:after="0" w:line="266" w:lineRule="auto"/>
        <w:jc w:val="both"/>
        <w:rPr>
          <w:lang w:val="en-GB"/>
        </w:rPr>
      </w:pPr>
      <w:r w:rsidRPr="00D93FF9">
        <w:rPr>
          <w:lang w:val="en-GB"/>
        </w:rPr>
        <w:t xml:space="preserve">Leaching fraction (LF) and EC are two critical </w:t>
      </w:r>
      <w:r w:rsidR="00EB3C5A" w:rsidRPr="00D93FF9">
        <w:rPr>
          <w:lang w:val="en-GB"/>
        </w:rPr>
        <w:t>parameters in assessing soil salinity hazards</w:t>
      </w:r>
      <w:r w:rsidRPr="00D93FF9">
        <w:rPr>
          <w:lang w:val="en-GB"/>
        </w:rPr>
        <w:t xml:space="preserve">. </w:t>
      </w:r>
      <w:r w:rsidR="00CB4CFE" w:rsidRPr="00D93FF9">
        <w:rPr>
          <w:lang w:val="en-GB"/>
        </w:rPr>
        <w:t xml:space="preserve">The leaching fraction is the term given to the portion of applied water </w:t>
      </w:r>
      <w:r w:rsidR="00E72A11" w:rsidRPr="00D93FF9">
        <w:rPr>
          <w:lang w:val="en-GB"/>
        </w:rPr>
        <w:t xml:space="preserve">(effective rainfall + irrigation) </w:t>
      </w:r>
      <w:r w:rsidR="00CB4CFE" w:rsidRPr="00D93FF9">
        <w:rPr>
          <w:lang w:val="en-GB"/>
        </w:rPr>
        <w:t>that drain</w:t>
      </w:r>
      <w:r w:rsidR="00E72A11" w:rsidRPr="00D93FF9">
        <w:rPr>
          <w:lang w:val="en-GB"/>
        </w:rPr>
        <w:t>s</w:t>
      </w:r>
      <w:r w:rsidR="00CB4CFE" w:rsidRPr="00D93FF9">
        <w:rPr>
          <w:lang w:val="en-GB"/>
        </w:rPr>
        <w:t xml:space="preserve"> through the root zone to </w:t>
      </w:r>
      <w:r w:rsidR="00E72A11" w:rsidRPr="00D93FF9">
        <w:rPr>
          <w:lang w:val="en-GB"/>
        </w:rPr>
        <w:t xml:space="preserve">help </w:t>
      </w:r>
      <w:r w:rsidR="00CB4CFE" w:rsidRPr="00D93FF9">
        <w:rPr>
          <w:lang w:val="en-GB"/>
        </w:rPr>
        <w:t>maintain soil salinity at acceptable concentrations (D</w:t>
      </w:r>
      <w:r w:rsidR="0068767A" w:rsidRPr="00D93FF9">
        <w:rPr>
          <w:lang w:val="en-GB"/>
        </w:rPr>
        <w:t>ERM</w:t>
      </w:r>
      <w:r w:rsidR="00CB4CFE" w:rsidRPr="00D93FF9">
        <w:rPr>
          <w:lang w:val="en-GB"/>
        </w:rPr>
        <w:t xml:space="preserve"> 2011). </w:t>
      </w:r>
      <w:r w:rsidRPr="00D93FF9">
        <w:rPr>
          <w:lang w:val="en-GB"/>
        </w:rPr>
        <w:t>These parameters form the basis of predicting soil root zone salinity (</w:t>
      </w:r>
      <w:r w:rsidR="00EB3C5A" w:rsidRPr="00D93FF9">
        <w:rPr>
          <w:lang w:val="en-GB"/>
        </w:rPr>
        <w:t xml:space="preserve">as measured by </w:t>
      </w:r>
      <w:r w:rsidRPr="00D93FF9">
        <w:rPr>
          <w:lang w:val="en-GB"/>
        </w:rPr>
        <w:t>EC</w:t>
      </w:r>
      <w:r w:rsidRPr="00D93FF9">
        <w:rPr>
          <w:position w:val="-4"/>
          <w:sz w:val="15"/>
          <w:lang w:val="en-GB"/>
        </w:rPr>
        <w:t>se</w:t>
      </w:r>
      <w:r w:rsidRPr="00D93FF9">
        <w:rPr>
          <w:lang w:val="en-GB"/>
        </w:rPr>
        <w:t>) and plant response, from which a sustainable irrigation management strategy can be determined. Methodologies are outlined in the following Sections; a more detailed discussion can be found in Shaw (1994).</w:t>
      </w:r>
    </w:p>
    <w:p w14:paraId="59DCC4D4" w14:textId="77777777" w:rsidR="00CF7F19" w:rsidRPr="00D93FF9" w:rsidRDefault="00CF7F19" w:rsidP="0028147C">
      <w:pPr>
        <w:pStyle w:val="BodyText"/>
        <w:spacing w:after="0" w:line="280" w:lineRule="exact"/>
        <w:ind w:left="284" w:hanging="284"/>
        <w:jc w:val="both"/>
        <w:rPr>
          <w:lang w:val="en-GB"/>
        </w:rPr>
      </w:pPr>
    </w:p>
    <w:p w14:paraId="59DCC4D5" w14:textId="77777777" w:rsidR="0028147C" w:rsidRPr="00D93FF9" w:rsidRDefault="00E811B8" w:rsidP="00726062">
      <w:pPr>
        <w:pStyle w:val="ListBullet"/>
        <w:rPr>
          <w:lang w:val="en-GB"/>
        </w:rPr>
      </w:pPr>
      <w:r w:rsidRPr="00D93FF9">
        <w:rPr>
          <w:lang w:val="en-GB"/>
        </w:rPr>
        <w:t xml:space="preserve">Osmotic </w:t>
      </w:r>
      <w:r w:rsidRPr="00D93FF9">
        <w:t>Effect</w:t>
      </w:r>
      <w:r w:rsidRPr="00D93FF9">
        <w:rPr>
          <w:lang w:val="en-GB"/>
        </w:rPr>
        <w:t xml:space="preserve"> </w:t>
      </w:r>
    </w:p>
    <w:p w14:paraId="59DCC4D6" w14:textId="1EEC4414" w:rsidR="003D4388" w:rsidRPr="00D93FF9" w:rsidRDefault="00E811B8" w:rsidP="00B52BC5">
      <w:pPr>
        <w:pStyle w:val="BodyText"/>
        <w:spacing w:after="0" w:line="266" w:lineRule="auto"/>
        <w:jc w:val="both"/>
        <w:rPr>
          <w:lang w:val="en-GB"/>
        </w:rPr>
      </w:pPr>
      <w:r w:rsidRPr="00D93FF9">
        <w:rPr>
          <w:lang w:val="en-GB"/>
        </w:rPr>
        <w:t>High concentration of salts in soil water lower</w:t>
      </w:r>
      <w:r w:rsidR="0055629B" w:rsidRPr="00D93FF9">
        <w:rPr>
          <w:lang w:val="en-GB"/>
        </w:rPr>
        <w:t>s</w:t>
      </w:r>
      <w:r w:rsidRPr="00D93FF9">
        <w:rPr>
          <w:lang w:val="en-GB"/>
        </w:rPr>
        <w:t xml:space="preserve"> the water </w:t>
      </w:r>
      <w:r w:rsidR="0068767A" w:rsidRPr="00D93FF9">
        <w:rPr>
          <w:lang w:val="en-GB"/>
        </w:rPr>
        <w:t xml:space="preserve">potential </w:t>
      </w:r>
      <w:r w:rsidRPr="00D93FF9">
        <w:rPr>
          <w:lang w:val="en-GB"/>
        </w:rPr>
        <w:t xml:space="preserve">gradient between the soil and plant root </w:t>
      </w:r>
      <w:r w:rsidR="0068767A" w:rsidRPr="00D93FF9">
        <w:rPr>
          <w:lang w:val="en-GB"/>
        </w:rPr>
        <w:t>thereby a</w:t>
      </w:r>
      <w:r w:rsidRPr="00D93FF9">
        <w:rPr>
          <w:lang w:val="en-GB"/>
        </w:rPr>
        <w:t>ffecting the readily available water</w:t>
      </w:r>
      <w:r w:rsidR="0068767A" w:rsidRPr="00D93FF9">
        <w:rPr>
          <w:lang w:val="en-GB"/>
        </w:rPr>
        <w:t xml:space="preserve"> (</w:t>
      </w:r>
      <w:r w:rsidR="008C20B1" w:rsidRPr="00D93FF9">
        <w:rPr>
          <w:lang w:val="en-GB"/>
        </w:rPr>
        <w:fldChar w:fldCharType="begin"/>
      </w:r>
      <w:r w:rsidR="008C20B1" w:rsidRPr="00D93FF9">
        <w:rPr>
          <w:lang w:val="en-GB"/>
        </w:rPr>
        <w:instrText xml:space="preserve"> REF _Ref81390876 \h </w:instrText>
      </w:r>
      <w:r w:rsidR="00D93FF9">
        <w:rPr>
          <w:lang w:val="en-GB"/>
        </w:rPr>
        <w:instrText xml:space="preserve"> \* MERGEFORMAT </w:instrText>
      </w:r>
      <w:r w:rsidR="008C20B1" w:rsidRPr="00D93FF9">
        <w:rPr>
          <w:lang w:val="en-GB"/>
        </w:rPr>
      </w:r>
      <w:r w:rsidR="008C20B1" w:rsidRPr="00D93FF9">
        <w:rPr>
          <w:lang w:val="en-GB"/>
        </w:rPr>
        <w:fldChar w:fldCharType="separate"/>
      </w:r>
      <w:r w:rsidR="0069302C" w:rsidRPr="00D93FF9">
        <w:t xml:space="preserve">Figure </w:t>
      </w:r>
      <w:r w:rsidR="0069302C">
        <w:rPr>
          <w:noProof/>
        </w:rPr>
        <w:t>3</w:t>
      </w:r>
      <w:r w:rsidR="008C20B1" w:rsidRPr="00D93FF9">
        <w:rPr>
          <w:lang w:val="en-GB"/>
        </w:rPr>
        <w:fldChar w:fldCharType="end"/>
      </w:r>
      <w:r w:rsidR="0068767A" w:rsidRPr="00D93FF9">
        <w:rPr>
          <w:lang w:val="en-GB"/>
        </w:rPr>
        <w:t>)</w:t>
      </w:r>
      <w:r w:rsidRPr="00D93FF9">
        <w:rPr>
          <w:lang w:val="en-GB"/>
        </w:rPr>
        <w:t xml:space="preserve">. </w:t>
      </w:r>
    </w:p>
    <w:p w14:paraId="59DCC4D7" w14:textId="5D686D0E" w:rsidR="003D4388" w:rsidRPr="00D93FF9" w:rsidRDefault="00E811B8" w:rsidP="00B52BC5">
      <w:pPr>
        <w:autoSpaceDE w:val="0"/>
        <w:autoSpaceDN w:val="0"/>
        <w:adjustRightInd w:val="0"/>
        <w:spacing w:after="0" w:line="266" w:lineRule="auto"/>
        <w:jc w:val="both"/>
        <w:rPr>
          <w:rFonts w:eastAsia="Frutiger-Light" w:cs="Frutiger-Light"/>
        </w:rPr>
      </w:pPr>
      <w:r w:rsidRPr="00D93FF9">
        <w:rPr>
          <w:rFonts w:eastAsia="Frutiger-Light" w:cs="Frutiger-Light"/>
        </w:rPr>
        <w:t xml:space="preserve">Plants draw water from the bulk soil by creating an osmotic potential </w:t>
      </w:r>
      <w:r w:rsidR="0026307C" w:rsidRPr="00D93FF9">
        <w:rPr>
          <w:rFonts w:eastAsia="Frutiger-Light" w:cs="Frutiger-Light"/>
        </w:rPr>
        <w:t xml:space="preserve">gradient </w:t>
      </w:r>
      <w:r w:rsidRPr="00D93FF9">
        <w:rPr>
          <w:rFonts w:eastAsia="Frutiger-Light" w:cs="Frutiger-Light"/>
        </w:rPr>
        <w:t>(difference) across the soil/root boundary where a higher concentration of salt must exist within the root for water uptake to occur. In a saline soil, given that the osmotic potential across the soil/root boundary is decreased</w:t>
      </w:r>
      <w:r w:rsidR="00B52BC5" w:rsidRPr="00D93FF9">
        <w:rPr>
          <w:rFonts w:eastAsia="Frutiger-Light" w:cs="Frutiger-Light"/>
        </w:rPr>
        <w:t xml:space="preserve">, </w:t>
      </w:r>
      <w:r w:rsidR="007C4489" w:rsidRPr="00D93FF9">
        <w:rPr>
          <w:rFonts w:eastAsia="Frutiger-Light" w:cs="Frutiger-Light"/>
        </w:rPr>
        <w:t xml:space="preserve">the plant becomes stressed and </w:t>
      </w:r>
      <w:r w:rsidR="00B52BC5" w:rsidRPr="00D93FF9">
        <w:rPr>
          <w:rFonts w:eastAsia="Frutiger-Light" w:cs="Frutiger-Light"/>
        </w:rPr>
        <w:t>fo</w:t>
      </w:r>
      <w:r w:rsidRPr="00D93FF9">
        <w:rPr>
          <w:rFonts w:eastAsia="Frutiger-Light" w:cs="Frutiger-Light"/>
        </w:rPr>
        <w:t>r water uptake to continue there must be some osmotic adjustment, where the plant absorbs and compartmentalises salt or organic solutes, thus restoring the osmotic potential required for water uptake (Bernstein 1975</w:t>
      </w:r>
      <w:r w:rsidR="00B52BC5" w:rsidRPr="00D93FF9">
        <w:rPr>
          <w:rFonts w:eastAsia="Frutiger-Light" w:cs="Frutiger-Light"/>
        </w:rPr>
        <w:t>, cited in GRDC 2009</w:t>
      </w:r>
      <w:r w:rsidRPr="00D93FF9">
        <w:rPr>
          <w:rFonts w:eastAsia="Frutiger-Light" w:cs="Frutiger-Light"/>
        </w:rPr>
        <w:t>)</w:t>
      </w:r>
      <w:r w:rsidR="00B52BC5" w:rsidRPr="00D93FF9">
        <w:rPr>
          <w:rFonts w:eastAsia="Frutiger-Light" w:cs="Frutiger-Light"/>
        </w:rPr>
        <w:t xml:space="preserve">. </w:t>
      </w:r>
    </w:p>
    <w:p w14:paraId="59DCC4D8" w14:textId="77777777" w:rsidR="0068767A" w:rsidRPr="00D93FF9" w:rsidRDefault="00E811B8" w:rsidP="0068767A">
      <w:pPr>
        <w:pStyle w:val="BodyText"/>
        <w:spacing w:after="0" w:line="280" w:lineRule="exact"/>
        <w:jc w:val="both"/>
        <w:rPr>
          <w:lang w:val="en-GB"/>
        </w:rPr>
      </w:pPr>
      <w:r w:rsidRPr="00D93FF9">
        <w:rPr>
          <w:lang w:val="en-GB"/>
        </w:rPr>
        <w:lastRenderedPageBreak/>
        <w:t>In saline soils, s</w:t>
      </w:r>
      <w:r w:rsidR="0028147C" w:rsidRPr="00D93FF9">
        <w:rPr>
          <w:lang w:val="en-GB"/>
        </w:rPr>
        <w:t>oil</w:t>
      </w:r>
      <w:r w:rsidRPr="00D93FF9">
        <w:rPr>
          <w:lang w:val="en-GB"/>
        </w:rPr>
        <w:t>s</w:t>
      </w:r>
      <w:r w:rsidR="0028147C" w:rsidRPr="00D93FF9">
        <w:rPr>
          <w:lang w:val="en-GB"/>
        </w:rPr>
        <w:t xml:space="preserve"> may appear wet yet crop cannot extract adequate water. The impact of th</w:t>
      </w:r>
      <w:r w:rsidRPr="00D93FF9">
        <w:rPr>
          <w:lang w:val="en-GB"/>
        </w:rPr>
        <w:t>is</w:t>
      </w:r>
      <w:r w:rsidR="0028147C" w:rsidRPr="00D93FF9">
        <w:rPr>
          <w:lang w:val="en-GB"/>
        </w:rPr>
        <w:t xml:space="preserve"> osmotic </w:t>
      </w:r>
      <w:r w:rsidRPr="00D93FF9">
        <w:rPr>
          <w:lang w:val="en-GB"/>
        </w:rPr>
        <w:t xml:space="preserve">“drought” </w:t>
      </w:r>
      <w:r w:rsidR="0028147C" w:rsidRPr="00D93FF9">
        <w:rPr>
          <w:lang w:val="en-GB"/>
        </w:rPr>
        <w:t>can be greater than the toxicity effects of N</w:t>
      </w:r>
      <w:r w:rsidR="00332E88" w:rsidRPr="00D93FF9">
        <w:rPr>
          <w:lang w:val="en-GB"/>
        </w:rPr>
        <w:t>a</w:t>
      </w:r>
      <w:r w:rsidR="0028147C" w:rsidRPr="00D93FF9">
        <w:rPr>
          <w:lang w:val="en-GB"/>
        </w:rPr>
        <w:t xml:space="preserve"> and Cl especially in dryland agriculture. In the short term keeping the soil profile</w:t>
      </w:r>
      <w:r w:rsidRPr="00D93FF9">
        <w:rPr>
          <w:lang w:val="en-GB"/>
        </w:rPr>
        <w:t xml:space="preserve"> wet near field capacity</w:t>
      </w:r>
      <w:r w:rsidR="0028147C" w:rsidRPr="00D93FF9">
        <w:rPr>
          <w:lang w:val="en-GB"/>
        </w:rPr>
        <w:t xml:space="preserve"> mitigates the impact of the osmotic effect. The impact of osmotic effect </w:t>
      </w:r>
      <w:r w:rsidRPr="00D93FF9">
        <w:rPr>
          <w:lang w:val="en-GB"/>
        </w:rPr>
        <w:t>can be exacerbated if irrigation water includes fertilizer (fertigation) or amendments such as soluble Ca salts to correct sodicity issues.</w:t>
      </w:r>
    </w:p>
    <w:p w14:paraId="59DCC4D9" w14:textId="77777777" w:rsidR="0068767A" w:rsidRPr="00D93FF9" w:rsidRDefault="0068767A" w:rsidP="0028147C">
      <w:pPr>
        <w:pStyle w:val="BodyText"/>
        <w:spacing w:after="0" w:line="280" w:lineRule="exact"/>
        <w:jc w:val="both"/>
        <w:rPr>
          <w:lang w:val="en-GB"/>
        </w:rPr>
      </w:pPr>
    </w:p>
    <w:p w14:paraId="59DCC4DA" w14:textId="77777777" w:rsidR="0028147C" w:rsidRPr="00D93FF9" w:rsidRDefault="00E811B8" w:rsidP="0028147C">
      <w:pPr>
        <w:pStyle w:val="BodyText"/>
        <w:spacing w:after="0" w:line="280" w:lineRule="exact"/>
        <w:ind w:left="284" w:hanging="284"/>
        <w:jc w:val="both"/>
        <w:rPr>
          <w:lang w:val="en-GB"/>
        </w:rPr>
      </w:pPr>
      <w:r w:rsidRPr="00D93FF9">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59DCDC2D" wp14:editId="3858D40E">
                <wp:simplePos x="0" y="0"/>
                <wp:positionH relativeFrom="column">
                  <wp:posOffset>0</wp:posOffset>
                </wp:positionH>
                <wp:positionV relativeFrom="paragraph">
                  <wp:posOffset>8255</wp:posOffset>
                </wp:positionV>
                <wp:extent cx="3664585" cy="2732405"/>
                <wp:effectExtent l="12700" t="8890" r="8890" b="11430"/>
                <wp:wrapNone/>
                <wp:docPr id="12" name="Text Box 12" descr="A diagram depicting the relative water uptake by plant roots in saline and non-saline soil.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2732405"/>
                        </a:xfrm>
                        <a:prstGeom prst="rect">
                          <a:avLst/>
                        </a:prstGeom>
                        <a:solidFill>
                          <a:srgbClr val="FFFFFF"/>
                        </a:solidFill>
                        <a:ln w="9525">
                          <a:solidFill>
                            <a:srgbClr val="000000"/>
                          </a:solidFill>
                          <a:miter lim="800000"/>
                          <a:headEnd/>
                          <a:tailEnd/>
                        </a:ln>
                      </wps:spPr>
                      <wps:txbx>
                        <w:txbxContent>
                          <w:p w14:paraId="59DCDD2D" w14:textId="77777777" w:rsidR="00EA5964" w:rsidRDefault="00E811B8" w:rsidP="00332E88">
                            <w:r>
                              <w:rPr>
                                <w:noProof/>
                                <w:sz w:val="20"/>
                                <w:szCs w:val="20"/>
                              </w:rPr>
                              <w:drawing>
                                <wp:inline distT="0" distB="0" distL="0" distR="0" wp14:anchorId="59DCDD39" wp14:editId="59DCDD3A">
                                  <wp:extent cx="3476625" cy="2514600"/>
                                  <wp:effectExtent l="0" t="0" r="9525" b="0"/>
                                  <wp:docPr id="1262003668" name="Picture 126200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25821"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476625" cy="2514600"/>
                                          </a:xfrm>
                                          <a:prstGeom prst="rect">
                                            <a:avLst/>
                                          </a:prstGeom>
                                          <a:noFill/>
                                          <a:ln>
                                            <a:noFill/>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DCDC2D" id="_x0000_t202" coordsize="21600,21600" o:spt="202" path="m,l,21600r21600,l21600,xe">
                <v:stroke joinstyle="miter"/>
                <v:path gradientshapeok="t" o:connecttype="rect"/>
              </v:shapetype>
              <v:shape id="Text Box 12" o:spid="_x0000_s1026" type="#_x0000_t202" alt="A diagram depicting the relative water uptake by plant roots in saline and non-saline soil. " style="position:absolute;left:0;text-align:left;margin-left:0;margin-top:.65pt;width:288.55pt;height:215.1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">
                <v:textbox style="mso-fit-shape-to-text:t">
                  <w:txbxContent>
                    <w:p w14:paraId="59DCDD2D" w14:textId="77777777" w:rsidR="00EA5964" w:rsidRDefault="00E811B8" w:rsidP="00332E88">
                      <w:r>
                        <w:rPr>
                          <w:noProof/>
                          <w:sz w:val="20"/>
                          <w:szCs w:val="20"/>
                        </w:rPr>
                        <w:drawing>
                          <wp:inline distT="0" distB="0" distL="0" distR="0" wp14:anchorId="59DCDD39" wp14:editId="59DCDD3A">
                            <wp:extent cx="3476625" cy="2514600"/>
                            <wp:effectExtent l="0" t="0" r="9525" b="0"/>
                            <wp:docPr id="975182990" name="Picture 97518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25821"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76625" cy="2514600"/>
                                    </a:xfrm>
                                    <a:prstGeom prst="rect">
                                      <a:avLst/>
                                    </a:prstGeom>
                                    <a:noFill/>
                                    <a:ln>
                                      <a:noFill/>
                                    </a:ln>
                                  </pic:spPr>
                                </pic:pic>
                              </a:graphicData>
                            </a:graphic>
                          </wp:inline>
                        </w:drawing>
                      </w:r>
                    </w:p>
                  </w:txbxContent>
                </v:textbox>
              </v:shape>
            </w:pict>
          </mc:Fallback>
        </mc:AlternateContent>
      </w:r>
    </w:p>
    <w:p w14:paraId="59DCC4DC" w14:textId="77777777" w:rsidR="00332E88" w:rsidRPr="00D93FF9" w:rsidRDefault="00332E88" w:rsidP="0028147C">
      <w:pPr>
        <w:pStyle w:val="BodyText"/>
        <w:spacing w:after="0" w:line="280" w:lineRule="exact"/>
        <w:ind w:left="284" w:hanging="284"/>
        <w:jc w:val="both"/>
        <w:rPr>
          <w:lang w:val="en-GB"/>
        </w:rPr>
      </w:pPr>
    </w:p>
    <w:p w14:paraId="59DCC4DD" w14:textId="77777777" w:rsidR="00332E88" w:rsidRPr="00D93FF9" w:rsidRDefault="00332E88" w:rsidP="0028147C">
      <w:pPr>
        <w:pStyle w:val="BodyText"/>
        <w:spacing w:after="0" w:line="280" w:lineRule="exact"/>
        <w:ind w:left="284" w:hanging="284"/>
        <w:jc w:val="both"/>
        <w:rPr>
          <w:lang w:val="en-GB"/>
        </w:rPr>
      </w:pPr>
    </w:p>
    <w:p w14:paraId="59DCC4DE" w14:textId="77777777" w:rsidR="00332E88" w:rsidRPr="00D93FF9" w:rsidRDefault="00332E88" w:rsidP="0028147C">
      <w:pPr>
        <w:pStyle w:val="BodyText"/>
        <w:spacing w:after="0" w:line="280" w:lineRule="exact"/>
        <w:ind w:left="284" w:hanging="284"/>
        <w:jc w:val="both"/>
        <w:rPr>
          <w:lang w:val="en-GB"/>
        </w:rPr>
      </w:pPr>
    </w:p>
    <w:p w14:paraId="59DCC4DF" w14:textId="77777777" w:rsidR="00332E88" w:rsidRPr="00D93FF9" w:rsidRDefault="00332E88" w:rsidP="0028147C">
      <w:pPr>
        <w:pStyle w:val="BodyText"/>
        <w:spacing w:after="0" w:line="280" w:lineRule="exact"/>
        <w:ind w:left="284" w:hanging="284"/>
        <w:jc w:val="both"/>
        <w:rPr>
          <w:lang w:val="en-GB"/>
        </w:rPr>
      </w:pPr>
    </w:p>
    <w:p w14:paraId="59DCC4E0" w14:textId="77777777" w:rsidR="00332E88" w:rsidRPr="00D93FF9" w:rsidRDefault="00332E88" w:rsidP="0028147C">
      <w:pPr>
        <w:pStyle w:val="BodyText"/>
        <w:spacing w:after="0" w:line="280" w:lineRule="exact"/>
        <w:ind w:left="284" w:hanging="284"/>
        <w:jc w:val="both"/>
        <w:rPr>
          <w:lang w:val="en-GB"/>
        </w:rPr>
      </w:pPr>
    </w:p>
    <w:p w14:paraId="59DCC4E1" w14:textId="77777777" w:rsidR="00332E88" w:rsidRPr="00D93FF9" w:rsidRDefault="00332E88" w:rsidP="0028147C">
      <w:pPr>
        <w:pStyle w:val="BodyText"/>
        <w:spacing w:after="0" w:line="280" w:lineRule="exact"/>
        <w:ind w:left="284" w:hanging="284"/>
        <w:jc w:val="both"/>
        <w:rPr>
          <w:lang w:val="en-GB"/>
        </w:rPr>
      </w:pPr>
    </w:p>
    <w:p w14:paraId="59DCC4E2" w14:textId="77777777" w:rsidR="00332E88" w:rsidRPr="00D93FF9" w:rsidRDefault="00332E88" w:rsidP="0028147C">
      <w:pPr>
        <w:pStyle w:val="BodyText"/>
        <w:spacing w:after="0" w:line="280" w:lineRule="exact"/>
        <w:ind w:left="284" w:hanging="284"/>
        <w:jc w:val="both"/>
        <w:rPr>
          <w:lang w:val="en-GB"/>
        </w:rPr>
      </w:pPr>
    </w:p>
    <w:p w14:paraId="59DCC4E3" w14:textId="77777777" w:rsidR="00332E88" w:rsidRPr="00D93FF9" w:rsidRDefault="00332E88" w:rsidP="0028147C">
      <w:pPr>
        <w:pStyle w:val="BodyText"/>
        <w:spacing w:after="0" w:line="280" w:lineRule="exact"/>
        <w:ind w:left="284" w:hanging="284"/>
        <w:jc w:val="both"/>
        <w:rPr>
          <w:lang w:val="en-GB"/>
        </w:rPr>
      </w:pPr>
    </w:p>
    <w:p w14:paraId="59DCC4E4" w14:textId="77777777" w:rsidR="00332E88" w:rsidRPr="00D93FF9" w:rsidRDefault="00332E88" w:rsidP="0028147C">
      <w:pPr>
        <w:pStyle w:val="BodyText"/>
        <w:spacing w:after="0" w:line="280" w:lineRule="exact"/>
        <w:ind w:left="284" w:hanging="284"/>
        <w:jc w:val="both"/>
        <w:rPr>
          <w:lang w:val="en-GB"/>
        </w:rPr>
      </w:pPr>
    </w:p>
    <w:p w14:paraId="59DCC4E5" w14:textId="77777777" w:rsidR="00332E88" w:rsidRPr="00D93FF9" w:rsidRDefault="00332E88" w:rsidP="0028147C">
      <w:pPr>
        <w:pStyle w:val="BodyText"/>
        <w:spacing w:after="0" w:line="280" w:lineRule="exact"/>
        <w:ind w:left="284" w:hanging="284"/>
        <w:jc w:val="both"/>
        <w:rPr>
          <w:lang w:val="en-GB"/>
        </w:rPr>
      </w:pPr>
    </w:p>
    <w:p w14:paraId="59DCC4E6" w14:textId="77777777" w:rsidR="00332E88" w:rsidRPr="00D93FF9" w:rsidRDefault="00332E88" w:rsidP="0028147C">
      <w:pPr>
        <w:pStyle w:val="BodyText"/>
        <w:spacing w:after="0" w:line="280" w:lineRule="exact"/>
        <w:ind w:left="284" w:hanging="284"/>
        <w:jc w:val="both"/>
        <w:rPr>
          <w:lang w:val="en-GB"/>
        </w:rPr>
      </w:pPr>
    </w:p>
    <w:p w14:paraId="59DCC4E7" w14:textId="77777777" w:rsidR="00332E88" w:rsidRPr="00D93FF9" w:rsidRDefault="00332E88" w:rsidP="0028147C">
      <w:pPr>
        <w:pStyle w:val="BodyText"/>
        <w:spacing w:after="0" w:line="280" w:lineRule="exact"/>
        <w:ind w:left="284" w:hanging="284"/>
        <w:jc w:val="both"/>
        <w:rPr>
          <w:lang w:val="en-GB"/>
        </w:rPr>
      </w:pPr>
    </w:p>
    <w:p w14:paraId="59DCC4E8" w14:textId="77777777" w:rsidR="00332E88" w:rsidRPr="00D93FF9" w:rsidRDefault="00332E88" w:rsidP="0028147C">
      <w:pPr>
        <w:pStyle w:val="BodyText"/>
        <w:spacing w:after="0" w:line="280" w:lineRule="exact"/>
        <w:ind w:left="284" w:hanging="284"/>
        <w:jc w:val="both"/>
        <w:rPr>
          <w:lang w:val="en-GB"/>
        </w:rPr>
      </w:pPr>
    </w:p>
    <w:p w14:paraId="59DCC4E9" w14:textId="77777777" w:rsidR="0068767A" w:rsidRPr="00D93FF9" w:rsidRDefault="0068767A" w:rsidP="0028147C">
      <w:pPr>
        <w:pStyle w:val="BodyText"/>
        <w:spacing w:after="0" w:line="280" w:lineRule="exact"/>
        <w:ind w:left="284" w:hanging="284"/>
        <w:jc w:val="both"/>
        <w:rPr>
          <w:lang w:val="en-GB"/>
        </w:rPr>
      </w:pPr>
    </w:p>
    <w:p w14:paraId="59DCC4EA" w14:textId="77777777" w:rsidR="0068767A" w:rsidRPr="00D93FF9" w:rsidRDefault="0068767A" w:rsidP="0028147C">
      <w:pPr>
        <w:pStyle w:val="BodyText"/>
        <w:spacing w:after="0" w:line="280" w:lineRule="exact"/>
        <w:ind w:left="284" w:hanging="284"/>
        <w:jc w:val="both"/>
        <w:rPr>
          <w:lang w:val="en-GB"/>
        </w:rPr>
      </w:pPr>
    </w:p>
    <w:p w14:paraId="59DCC4EB" w14:textId="74EB684C" w:rsidR="00332E88" w:rsidRPr="00D93FF9" w:rsidRDefault="00500234" w:rsidP="00500234">
      <w:pPr>
        <w:pStyle w:val="Caption"/>
        <w:rPr>
          <w:lang w:val="en-GB"/>
        </w:rPr>
      </w:pPr>
      <w:bookmarkStart w:id="71" w:name="_Ref81390876"/>
      <w:bookmarkStart w:id="72" w:name="_Toc96518203"/>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3</w:t>
      </w:r>
      <w:r w:rsidR="007B28AC" w:rsidRPr="00D93FF9">
        <w:fldChar w:fldCharType="end"/>
      </w:r>
      <w:bookmarkEnd w:id="71"/>
      <w:r w:rsidRPr="00D93FF9">
        <w:t xml:space="preserve"> </w:t>
      </w:r>
      <w:bookmarkStart w:id="73" w:name="_Hlk153787573"/>
      <w:r w:rsidR="00E811B8" w:rsidRPr="00D93FF9">
        <w:t>The relative water uptake by plant</w:t>
      </w:r>
      <w:r w:rsidR="00695F73" w:rsidRPr="00D93FF9">
        <w:t xml:space="preserve"> roots</w:t>
      </w:r>
      <w:r w:rsidR="00E811B8" w:rsidRPr="00D93FF9">
        <w:t xml:space="preserve"> in saline and non-saline soil</w:t>
      </w:r>
      <w:bookmarkEnd w:id="72"/>
      <w:r w:rsidR="00E811B8" w:rsidRPr="00D93FF9">
        <w:t xml:space="preserve"> </w:t>
      </w:r>
      <w:bookmarkEnd w:id="73"/>
    </w:p>
    <w:p w14:paraId="59DCC4EC" w14:textId="6B81DA06" w:rsidR="00332E88" w:rsidRPr="00D93FF9" w:rsidRDefault="00E811B8" w:rsidP="0028147C">
      <w:pPr>
        <w:pStyle w:val="BodyText"/>
        <w:spacing w:after="0" w:line="280" w:lineRule="exact"/>
        <w:ind w:left="284" w:hanging="284"/>
        <w:jc w:val="both"/>
        <w:rPr>
          <w:sz w:val="18"/>
          <w:szCs w:val="18"/>
          <w:lang w:val="en-GB"/>
        </w:rPr>
      </w:pPr>
      <w:r w:rsidRPr="00D93FF9">
        <w:rPr>
          <w:sz w:val="18"/>
          <w:szCs w:val="18"/>
          <w:lang w:val="en-GB"/>
        </w:rPr>
        <w:t xml:space="preserve">Source: Kelly and Rengasamy </w:t>
      </w:r>
      <w:r w:rsidR="006B4181" w:rsidRPr="00D93FF9">
        <w:rPr>
          <w:sz w:val="18"/>
          <w:szCs w:val="18"/>
          <w:lang w:val="en-GB"/>
        </w:rPr>
        <w:t>(</w:t>
      </w:r>
      <w:r w:rsidRPr="00D93FF9">
        <w:rPr>
          <w:sz w:val="18"/>
          <w:szCs w:val="18"/>
          <w:lang w:val="en-GB"/>
        </w:rPr>
        <w:t>2006</w:t>
      </w:r>
      <w:r w:rsidR="006B4181" w:rsidRPr="00D93FF9">
        <w:rPr>
          <w:sz w:val="18"/>
          <w:szCs w:val="18"/>
          <w:lang w:val="en-GB"/>
        </w:rPr>
        <w:t>)</w:t>
      </w:r>
    </w:p>
    <w:p w14:paraId="59DCC4ED" w14:textId="77777777" w:rsidR="00695F73" w:rsidRPr="00D93FF9" w:rsidRDefault="00E811B8" w:rsidP="0028147C">
      <w:pPr>
        <w:pStyle w:val="BodyText"/>
        <w:spacing w:after="0" w:line="280" w:lineRule="exact"/>
        <w:ind w:left="284" w:hanging="284"/>
        <w:jc w:val="both"/>
        <w:rPr>
          <w:sz w:val="18"/>
          <w:szCs w:val="18"/>
          <w:lang w:val="en-GB"/>
        </w:rPr>
      </w:pPr>
      <w:r w:rsidRPr="00D93FF9">
        <w:rPr>
          <w:sz w:val="18"/>
          <w:szCs w:val="18"/>
          <w:lang w:val="en-GB"/>
        </w:rPr>
        <w:t>Note: OP = osmotic potential with units of KPa</w:t>
      </w:r>
    </w:p>
    <w:p w14:paraId="59DCC4EE" w14:textId="77777777" w:rsidR="007C4489" w:rsidRPr="00D93FF9" w:rsidRDefault="007C4489" w:rsidP="0028147C">
      <w:pPr>
        <w:pStyle w:val="BodyText"/>
        <w:spacing w:after="0" w:line="280" w:lineRule="exact"/>
        <w:ind w:left="284" w:hanging="284"/>
        <w:jc w:val="both"/>
        <w:rPr>
          <w:lang w:val="en-GB"/>
        </w:rPr>
      </w:pPr>
    </w:p>
    <w:p w14:paraId="59DCC4EF" w14:textId="7CC3CF04" w:rsidR="003D4388" w:rsidRPr="00D93FF9" w:rsidRDefault="00E811B8" w:rsidP="007C4489">
      <w:pPr>
        <w:pStyle w:val="BodyText"/>
        <w:spacing w:after="0" w:line="280" w:lineRule="exact"/>
        <w:jc w:val="both"/>
        <w:rPr>
          <w:lang w:val="en-GB"/>
        </w:rPr>
      </w:pPr>
      <w:r w:rsidRPr="00D93FF9">
        <w:rPr>
          <w:lang w:val="en-GB"/>
        </w:rPr>
        <w:t>As mentioned above, t</w:t>
      </w:r>
      <w:r w:rsidR="007C4489" w:rsidRPr="00D93FF9">
        <w:rPr>
          <w:lang w:val="en-GB"/>
        </w:rPr>
        <w:t>he osmotic adjustment from the plant requires solutes accumulations (ions or organic solutes) and ions compartmentalisation</w:t>
      </w:r>
      <w:r w:rsidRPr="00D93FF9">
        <w:rPr>
          <w:lang w:val="en-GB"/>
        </w:rPr>
        <w:t>. These processes</w:t>
      </w:r>
      <w:r w:rsidR="007C4489" w:rsidRPr="00D93FF9">
        <w:rPr>
          <w:lang w:val="en-GB"/>
        </w:rPr>
        <w:t xml:space="preserve"> require energy from the plant </w:t>
      </w:r>
      <w:r w:rsidRPr="00D93FF9">
        <w:rPr>
          <w:lang w:val="en-GB"/>
        </w:rPr>
        <w:t>(ATP production) which is costly. It has been suggested by Grattan et al</w:t>
      </w:r>
      <w:r w:rsidR="00CF45F1" w:rsidRPr="00D93FF9">
        <w:rPr>
          <w:lang w:val="en-GB"/>
        </w:rPr>
        <w:t>.</w:t>
      </w:r>
      <w:r w:rsidRPr="00D93FF9">
        <w:rPr>
          <w:lang w:val="en-GB"/>
        </w:rPr>
        <w:t xml:space="preserve"> (unpublished) and Munns et al. (2020) that ultimately, the more energy the plant spends osmoregulating, the less it has to spend on growth processes and that the osmotic drought might in fact be due to the energy expense to regulate it. </w:t>
      </w:r>
    </w:p>
    <w:p w14:paraId="158CD9FF" w14:textId="77777777" w:rsidR="0069302C" w:rsidRPr="00D93FF9" w:rsidRDefault="00E811B8" w:rsidP="0069302C">
      <w:pPr>
        <w:pStyle w:val="BodyText"/>
        <w:spacing w:after="0" w:line="280" w:lineRule="exact"/>
        <w:jc w:val="both"/>
      </w:pPr>
      <w:r w:rsidRPr="00D93FF9">
        <w:rPr>
          <w:lang w:val="en-GB"/>
        </w:rPr>
        <w:t>Indeed, w</w:t>
      </w:r>
      <w:r w:rsidR="003D4388" w:rsidRPr="00D93FF9">
        <w:rPr>
          <w:lang w:val="en-GB"/>
        </w:rPr>
        <w:t xml:space="preserve">hen looking at the relationship between </w:t>
      </w:r>
      <w:r w:rsidRPr="00D93FF9">
        <w:rPr>
          <w:lang w:val="en-GB"/>
        </w:rPr>
        <w:t>the osmotic potential and EC (</w:t>
      </w:r>
      <w:r w:rsidR="008C20B1" w:rsidRPr="00D93FF9">
        <w:rPr>
          <w:lang w:val="en-GB"/>
        </w:rPr>
        <w:fldChar w:fldCharType="begin"/>
      </w:r>
      <w:r w:rsidR="008C20B1" w:rsidRPr="00D93FF9">
        <w:rPr>
          <w:lang w:val="en-GB"/>
        </w:rPr>
        <w:instrText xml:space="preserve"> REF _Ref81390910 \h </w:instrText>
      </w:r>
      <w:r w:rsidR="00D93FF9">
        <w:rPr>
          <w:lang w:val="en-GB"/>
        </w:rPr>
        <w:instrText xml:space="preserve"> \* MERGEFORMAT </w:instrText>
      </w:r>
      <w:r w:rsidR="008C20B1" w:rsidRPr="00D93FF9">
        <w:rPr>
          <w:lang w:val="en-GB"/>
        </w:rPr>
      </w:r>
      <w:r w:rsidR="008C20B1" w:rsidRPr="00D93FF9">
        <w:rPr>
          <w:lang w:val="en-GB"/>
        </w:rPr>
        <w:fldChar w:fldCharType="separate"/>
      </w:r>
    </w:p>
    <w:p w14:paraId="59DCC4F0" w14:textId="5C595336" w:rsidR="008C4E43" w:rsidRPr="00D93FF9" w:rsidRDefault="0069302C" w:rsidP="006C7437">
      <w:pPr>
        <w:pStyle w:val="BodyText"/>
        <w:spacing w:after="0" w:line="280" w:lineRule="exact"/>
        <w:jc w:val="both"/>
        <w:rPr>
          <w:lang w:val="en-GB"/>
        </w:rPr>
      </w:pPr>
      <w:r w:rsidRPr="00D93FF9">
        <w:t>Figure</w:t>
      </w:r>
      <w:r w:rsidRPr="00D93FF9">
        <w:rPr>
          <w:noProof/>
        </w:rPr>
        <w:t xml:space="preserve"> </w:t>
      </w:r>
      <w:r>
        <w:rPr>
          <w:noProof/>
        </w:rPr>
        <w:t>4</w:t>
      </w:r>
      <w:r w:rsidR="008C20B1" w:rsidRPr="00D93FF9">
        <w:rPr>
          <w:lang w:val="en-GB"/>
        </w:rPr>
        <w:fldChar w:fldCharType="end"/>
      </w:r>
      <w:r w:rsidR="008C20B1" w:rsidRPr="00D93FF9">
        <w:rPr>
          <w:lang w:val="en-GB"/>
        </w:rPr>
        <w:t xml:space="preserve"> - </w:t>
      </w:r>
      <w:r w:rsidR="00E811B8" w:rsidRPr="00D93FF9">
        <w:rPr>
          <w:rFonts w:eastAsia="Times New Roman"/>
        </w:rPr>
        <w:t>an ECse of 5 dS/m is only -2 bar “increasing" to -4 bar at 10</w:t>
      </w:r>
      <w:r w:rsidR="00387A21">
        <w:rPr>
          <w:rFonts w:eastAsia="Times New Roman"/>
        </w:rPr>
        <w:t xml:space="preserve"> </w:t>
      </w:r>
      <w:r w:rsidR="00E811B8" w:rsidRPr="00D93FF9">
        <w:rPr>
          <w:rFonts w:eastAsia="Times New Roman"/>
        </w:rPr>
        <w:t>dS/m</w:t>
      </w:r>
      <w:r w:rsidR="00387A21">
        <w:rPr>
          <w:rFonts w:eastAsia="Times New Roman"/>
        </w:rPr>
        <w:t>)</w:t>
      </w:r>
      <w:r w:rsidR="00E811B8" w:rsidRPr="00D93FF9">
        <w:rPr>
          <w:rFonts w:eastAsia="Times New Roman"/>
        </w:rPr>
        <w:t xml:space="preserve">. These are not values that should cause much of an effect on soil water availability given plants can dry soil down to -15 bar and beyond. It is not a big challenge for the plant to be able to osmoregulate at these osmotic soil water </w:t>
      </w:r>
      <w:r w:rsidR="00E811B8" w:rsidRPr="00D93FF9">
        <w:rPr>
          <w:rFonts w:eastAsia="Times New Roman"/>
        </w:rPr>
        <w:lastRenderedPageBreak/>
        <w:t>potentials. This</w:t>
      </w:r>
      <w:r w:rsidR="00387A21">
        <w:rPr>
          <w:rFonts w:eastAsia="Times New Roman"/>
        </w:rPr>
        <w:t xml:space="preserve"> </w:t>
      </w:r>
      <w:r w:rsidR="00E811B8" w:rsidRPr="00D93FF9">
        <w:rPr>
          <w:rFonts w:eastAsia="Times New Roman"/>
        </w:rPr>
        <w:t xml:space="preserve">emphasises the hypothesis by Grattan that the energy spent in osmotic adjustment as </w:t>
      </w:r>
      <w:r w:rsidR="00962EA1" w:rsidRPr="00D93FF9">
        <w:rPr>
          <w:noProof/>
        </w:rPr>
        <w:drawing>
          <wp:anchor distT="0" distB="0" distL="114300" distR="114300" simplePos="0" relativeHeight="251678720" behindDoc="1" locked="0" layoutInCell="1" allowOverlap="1" wp14:anchorId="59DCDC31" wp14:editId="5294A3C5">
            <wp:simplePos x="0" y="0"/>
            <wp:positionH relativeFrom="margin">
              <wp:align>left</wp:align>
            </wp:positionH>
            <wp:positionV relativeFrom="paragraph">
              <wp:posOffset>533400</wp:posOffset>
            </wp:positionV>
            <wp:extent cx="4829175" cy="2856230"/>
            <wp:effectExtent l="0" t="0" r="9525" b="1270"/>
            <wp:wrapTopAndBottom/>
            <wp:docPr id="22" name="Picture 3" descr="A graph is shown with electrical conductivity on the x-axis ranging from 0-26 dS/m, and osmotic potential on the y-axis ranging from -12 to 0 bars, for converting soil electrical conductivity to soil osmotic potential. A straight line runs from the top left of the graph’s y-axis to the bottom right of the graph’s x-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graph is shown with electrical conductivity on the x-axis ranging from 0-26 dS/m, and osmotic potential on the y-axis ranging from -12 to 0 bars, for converting soil electrical conductivity to soil osmotic potential. A straight line runs from the top left of the graph’s y-axis to the bottom right of the graph’s x-axis. "/>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829175" cy="2856230"/>
                    </a:xfrm>
                    <a:prstGeom prst="rect">
                      <a:avLst/>
                    </a:prstGeom>
                    <a:noFill/>
                    <a:ln>
                      <a:noFill/>
                    </a:ln>
                    <a:effectLst/>
                    <a:extLst>
                      <a:ext uri="{53640926-AAD7-44D8-BBD7-CCE9431645EC}">
                        <a14:shadowObscured xmlns:a14="http://schemas.microsoft.com/office/drawing/2010/main"/>
                      </a:ext>
                    </a:extLst>
                  </pic:spPr>
                </pic:pic>
              </a:graphicData>
            </a:graphic>
          </wp:anchor>
        </w:drawing>
      </w:r>
      <w:r w:rsidR="00E811B8" w:rsidRPr="00D93FF9">
        <w:rPr>
          <w:rFonts w:eastAsia="Times New Roman"/>
        </w:rPr>
        <w:t>the main cause of reduced plant growth.</w:t>
      </w:r>
    </w:p>
    <w:p w14:paraId="1A8EB463" w14:textId="77777777" w:rsidR="003602E1" w:rsidRPr="00D93FF9" w:rsidRDefault="003602E1" w:rsidP="008C20B1">
      <w:pPr>
        <w:pStyle w:val="Caption"/>
      </w:pPr>
      <w:bookmarkStart w:id="74" w:name="_Ref81390910"/>
    </w:p>
    <w:p w14:paraId="59DCC4F3" w14:textId="64FD1858" w:rsidR="007640E9" w:rsidRPr="00D93FF9" w:rsidRDefault="008C20B1" w:rsidP="008C20B1">
      <w:pPr>
        <w:pStyle w:val="Caption"/>
      </w:pPr>
      <w:bookmarkStart w:id="75" w:name="_Toc96518204"/>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4</w:t>
      </w:r>
      <w:r w:rsidR="007B28AC" w:rsidRPr="00D93FF9">
        <w:fldChar w:fldCharType="end"/>
      </w:r>
      <w:bookmarkEnd w:id="74"/>
      <w:r w:rsidRPr="00D93FF9">
        <w:t xml:space="preserve"> </w:t>
      </w:r>
      <w:bookmarkStart w:id="76" w:name="_Hlk153787582"/>
      <w:r w:rsidR="00E811B8" w:rsidRPr="00D93FF9">
        <w:t>Conversion of soil electrical conductivity (EC) to soil osmotic potential (Ψ)</w:t>
      </w:r>
      <w:bookmarkEnd w:id="75"/>
      <w:bookmarkEnd w:id="76"/>
    </w:p>
    <w:p w14:paraId="59DCC4F4" w14:textId="77777777" w:rsidR="007640E9" w:rsidRPr="00D93FF9" w:rsidRDefault="007640E9" w:rsidP="007640E9">
      <w:pPr>
        <w:rPr>
          <w:lang w:bidi="en-US"/>
        </w:rPr>
      </w:pPr>
    </w:p>
    <w:p w14:paraId="59DCC4F5" w14:textId="77777777" w:rsidR="00C46175" w:rsidRPr="00D93FF9" w:rsidRDefault="00E811B8" w:rsidP="006316DE">
      <w:pPr>
        <w:pStyle w:val="ListBullet"/>
        <w:spacing w:before="0"/>
        <w:ind w:left="0" w:firstLine="0"/>
        <w:rPr>
          <w:lang w:val="en-GB"/>
        </w:rPr>
      </w:pPr>
      <w:r w:rsidRPr="00D93FF9">
        <w:rPr>
          <w:lang w:val="en-GB"/>
        </w:rPr>
        <w:t>Leaching fraction</w:t>
      </w:r>
    </w:p>
    <w:p w14:paraId="1B580080" w14:textId="77777777" w:rsidR="0069302C" w:rsidRPr="00D93FF9" w:rsidRDefault="00E811B8" w:rsidP="0069302C">
      <w:pPr>
        <w:pStyle w:val="BodyText"/>
      </w:pPr>
      <w:r w:rsidRPr="00D93FF9">
        <w:rPr>
          <w:lang w:val="en-GB"/>
        </w:rPr>
        <w:t>Leaching fraction</w:t>
      </w:r>
      <w:r w:rsidR="00470636" w:rsidRPr="00D93FF9">
        <w:rPr>
          <w:lang w:val="en-GB"/>
        </w:rPr>
        <w:t xml:space="preserve"> (LF)</w:t>
      </w:r>
      <w:r w:rsidRPr="00D93FF9">
        <w:rPr>
          <w:lang w:val="en-GB"/>
        </w:rPr>
        <w:t xml:space="preserve"> is defined as the proportion of applied water (irrigation + rainfall) that drains below the root zone in the soil profile (see</w:t>
      </w:r>
      <w:r w:rsidR="008C20B1" w:rsidRPr="00D93FF9">
        <w:rPr>
          <w:lang w:val="en-GB"/>
        </w:rPr>
        <w:t xml:space="preserve"> </w:t>
      </w:r>
      <w:r w:rsidR="008C20B1" w:rsidRPr="00D93FF9">
        <w:rPr>
          <w:lang w:val="en-GB"/>
        </w:rPr>
        <w:fldChar w:fldCharType="begin"/>
      </w:r>
      <w:r w:rsidR="008C20B1" w:rsidRPr="00D93FF9">
        <w:rPr>
          <w:lang w:val="en-GB"/>
        </w:rPr>
        <w:instrText xml:space="preserve"> REF _Ref81390968 \h </w:instrText>
      </w:r>
      <w:r w:rsidR="00217F53" w:rsidRPr="00D93FF9">
        <w:rPr>
          <w:lang w:val="en-GB"/>
        </w:rPr>
        <w:instrText xml:space="preserve"> \* MERGEFORMAT </w:instrText>
      </w:r>
      <w:r w:rsidR="008C20B1" w:rsidRPr="00D93FF9">
        <w:rPr>
          <w:lang w:val="en-GB"/>
        </w:rPr>
      </w:r>
      <w:r w:rsidR="008C20B1" w:rsidRPr="00D93FF9">
        <w:rPr>
          <w:lang w:val="en-GB"/>
        </w:rPr>
        <w:fldChar w:fldCharType="separate"/>
      </w:r>
      <w:r w:rsidR="0069302C" w:rsidRPr="00D93FF9">
        <w:t xml:space="preserve">Figure </w:t>
      </w:r>
      <w:r w:rsidR="0069302C">
        <w:rPr>
          <w:noProof/>
        </w:rPr>
        <w:t>5</w:t>
      </w:r>
      <w:r w:rsidR="008C20B1" w:rsidRPr="00D93FF9">
        <w:rPr>
          <w:lang w:val="en-GB"/>
        </w:rPr>
        <w:fldChar w:fldCharType="end"/>
      </w:r>
      <w:r w:rsidRPr="00D93FF9">
        <w:rPr>
          <w:lang w:val="en-GB"/>
        </w:rPr>
        <w:t>)</w:t>
      </w:r>
      <w:r w:rsidR="00EB3C5A" w:rsidRPr="00D93FF9">
        <w:rPr>
          <w:lang w:val="en-GB"/>
        </w:rPr>
        <w:t xml:space="preserve">. It is often </w:t>
      </w:r>
      <w:r w:rsidRPr="00D93FF9">
        <w:rPr>
          <w:lang w:val="en-GB"/>
        </w:rPr>
        <w:t>expressed as a percentage</w:t>
      </w:r>
      <w:r w:rsidR="00695F73" w:rsidRPr="00D93FF9">
        <w:rPr>
          <w:lang w:val="en-GB"/>
        </w:rPr>
        <w:t xml:space="preserve"> (see </w:t>
      </w:r>
      <w:r w:rsidR="00695F73" w:rsidRPr="00D93FF9">
        <w:rPr>
          <w:rFonts w:eastAsiaTheme="majorEastAsia" w:cstheme="majorBidi"/>
          <w:b/>
          <w:bCs/>
          <w:color w:val="000000" w:themeColor="text1"/>
          <w:szCs w:val="18"/>
          <w:lang w:val="en-GB" w:bidi="en-US"/>
        </w:rPr>
        <w:fldChar w:fldCharType="begin"/>
      </w:r>
      <w:r w:rsidR="00695F73" w:rsidRPr="00D93FF9">
        <w:rPr>
          <w:lang w:val="en-GB"/>
        </w:rPr>
        <w:instrText xml:space="preserve"> REF _Ref72920677 \h </w:instrText>
      </w:r>
      <w:r w:rsidR="00217F53" w:rsidRPr="00D93FF9">
        <w:rPr>
          <w:lang w:val="en-GB"/>
        </w:rPr>
        <w:instrText xml:space="preserve"> \* MERGEFORMAT </w:instrText>
      </w:r>
      <w:r w:rsidR="00695F73" w:rsidRPr="00D93FF9">
        <w:rPr>
          <w:rFonts w:eastAsiaTheme="majorEastAsia" w:cstheme="majorBidi"/>
          <w:b/>
          <w:bCs/>
          <w:color w:val="000000" w:themeColor="text1"/>
          <w:szCs w:val="18"/>
          <w:lang w:val="en-GB" w:bidi="en-US"/>
        </w:rPr>
      </w:r>
      <w:r w:rsidR="00695F73" w:rsidRPr="00D93FF9">
        <w:rPr>
          <w:rFonts w:eastAsiaTheme="majorEastAsia" w:cstheme="majorBidi"/>
          <w:b/>
          <w:bCs/>
          <w:color w:val="000000" w:themeColor="text1"/>
          <w:szCs w:val="18"/>
          <w:lang w:val="en-GB" w:bidi="en-US"/>
        </w:rPr>
        <w:fldChar w:fldCharType="separate"/>
      </w:r>
    </w:p>
    <w:p w14:paraId="1A17FE3A" w14:textId="77777777" w:rsidR="0069302C" w:rsidRPr="00D93FF9" w:rsidRDefault="0069302C" w:rsidP="0069302C">
      <w:pPr>
        <w:pStyle w:val="BodyText"/>
      </w:pPr>
    </w:p>
    <w:p w14:paraId="2580B4BD" w14:textId="77777777" w:rsidR="0069302C" w:rsidRPr="00D93FF9" w:rsidRDefault="0069302C" w:rsidP="0069302C">
      <w:pPr>
        <w:pStyle w:val="BodyText"/>
        <w:rPr>
          <w:noProof/>
        </w:rPr>
      </w:pPr>
    </w:p>
    <w:p w14:paraId="59DCC4F6" w14:textId="55A011ED" w:rsidR="00C46175" w:rsidRPr="00D93FF9" w:rsidRDefault="0069302C" w:rsidP="00217F53">
      <w:pPr>
        <w:pStyle w:val="BodyText"/>
      </w:pPr>
      <w:r w:rsidRPr="00D93FF9">
        <w:t xml:space="preserve">Equation </w:t>
      </w:r>
      <w:r>
        <w:rPr>
          <w:noProof/>
        </w:rPr>
        <w:t>4</w:t>
      </w:r>
      <w:r w:rsidR="00695F73" w:rsidRPr="00D93FF9">
        <w:rPr>
          <w:lang w:val="en-GB"/>
        </w:rPr>
        <w:fldChar w:fldCharType="end"/>
      </w:r>
      <w:r w:rsidR="00695F73" w:rsidRPr="00D93FF9">
        <w:rPr>
          <w:lang w:val="en-GB"/>
        </w:rPr>
        <w:t>)</w:t>
      </w:r>
      <w:r w:rsidR="00E811B8" w:rsidRPr="00D93FF9">
        <w:rPr>
          <w:lang w:val="en-GB"/>
        </w:rPr>
        <w:t>.</w:t>
      </w:r>
    </w:p>
    <w:tbl>
      <w:tblPr>
        <w:tblStyle w:val="TableGrid"/>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4537"/>
      </w:tblGrid>
      <w:tr w:rsidR="00BE3AA8" w:rsidRPr="00D93FF9" w14:paraId="59DCC4F9" w14:textId="77777777" w:rsidTr="00A8314F">
        <w:trPr>
          <w:trHeight w:val="3823"/>
        </w:trPr>
        <w:tc>
          <w:tcPr>
            <w:tcW w:w="5144" w:type="dxa"/>
          </w:tcPr>
          <w:p w14:paraId="59DCC4F7" w14:textId="13E690AB" w:rsidR="00FC5332" w:rsidRPr="00D93FF9" w:rsidRDefault="00E811B8" w:rsidP="003807A1">
            <w:pPr>
              <w:pStyle w:val="BodyText"/>
              <w:spacing w:after="0" w:line="266" w:lineRule="auto"/>
              <w:jc w:val="both"/>
              <w:rPr>
                <w:lang w:val="en-GB"/>
              </w:rPr>
            </w:pPr>
            <w:r w:rsidRPr="00D93FF9">
              <w:rPr>
                <w:noProof/>
              </w:rPr>
              <w:drawing>
                <wp:inline distT="0" distB="0" distL="0" distR="0" wp14:anchorId="59DCDC37" wp14:editId="1977F9A8">
                  <wp:extent cx="3150711"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26176"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176312" cy="1939684"/>
                          </a:xfrm>
                          <a:prstGeom prst="rect">
                            <a:avLst/>
                          </a:prstGeom>
                          <a:noFill/>
                          <a:ln>
                            <a:noFill/>
                          </a:ln>
                        </pic:spPr>
                      </pic:pic>
                    </a:graphicData>
                  </a:graphic>
                </wp:inline>
              </w:drawing>
            </w:r>
          </w:p>
        </w:tc>
        <w:tc>
          <w:tcPr>
            <w:tcW w:w="4570" w:type="dxa"/>
          </w:tcPr>
          <w:p w14:paraId="59DCC4F8" w14:textId="57E0E754" w:rsidR="00FC5332" w:rsidRPr="00D93FF9" w:rsidRDefault="00E811B8" w:rsidP="003807A1">
            <w:pPr>
              <w:pStyle w:val="BodyText"/>
              <w:spacing w:after="0" w:line="266" w:lineRule="auto"/>
              <w:jc w:val="both"/>
              <w:rPr>
                <w:lang w:val="en-GB"/>
              </w:rPr>
            </w:pPr>
            <w:r w:rsidRPr="00D93FF9">
              <w:rPr>
                <w:noProof/>
              </w:rPr>
              <w:drawing>
                <wp:inline distT="0" distB="0" distL="0" distR="0" wp14:anchorId="59DCDC3B" wp14:editId="51FD219A">
                  <wp:extent cx="2457450" cy="1885862"/>
                  <wp:effectExtent l="0" t="0" r="0" b="635"/>
                  <wp:docPr id="20" name="Picture 20" descr="A schematic representation of the water balance is on the left of the figure and the salt balance on the right of the figure within the soil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hematic representation of the water balance is on the left of the figure and the salt balance on the right of the figure within the soil profile. "/>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72862" cy="1897689"/>
                          </a:xfrm>
                          <a:prstGeom prst="rect">
                            <a:avLst/>
                          </a:prstGeom>
                          <a:noFill/>
                          <a:ln>
                            <a:noFill/>
                          </a:ln>
                        </pic:spPr>
                      </pic:pic>
                    </a:graphicData>
                  </a:graphic>
                </wp:inline>
              </w:drawing>
            </w:r>
          </w:p>
        </w:tc>
      </w:tr>
    </w:tbl>
    <w:p w14:paraId="59DCC4FB" w14:textId="059A2539" w:rsidR="00C46175" w:rsidRPr="00D93FF9" w:rsidRDefault="008C20B1" w:rsidP="008C20B1">
      <w:pPr>
        <w:pStyle w:val="Caption"/>
        <w:rPr>
          <w:rFonts w:ascii="Arial"/>
          <w:sz w:val="18"/>
          <w:lang w:val="en-GB"/>
        </w:rPr>
      </w:pPr>
      <w:bookmarkStart w:id="77" w:name="_Ref81390968"/>
      <w:bookmarkStart w:id="78" w:name="_Toc96518205"/>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5</w:t>
      </w:r>
      <w:r w:rsidR="007B28AC" w:rsidRPr="00D93FF9">
        <w:fldChar w:fldCharType="end"/>
      </w:r>
      <w:bookmarkEnd w:id="77"/>
      <w:r w:rsidR="00E811B8" w:rsidRPr="00D93FF9">
        <w:t xml:space="preserve"> </w:t>
      </w:r>
      <w:bookmarkStart w:id="79" w:name="_Hlk153787591"/>
      <w:r w:rsidR="00E90CE0" w:rsidRPr="00D93FF9">
        <w:rPr>
          <w:rFonts w:ascii="Arial"/>
          <w:sz w:val="18"/>
          <w:lang w:val="en-GB"/>
        </w:rPr>
        <w:t xml:space="preserve">Schematic representation of </w:t>
      </w:r>
      <w:r w:rsidR="00695F73" w:rsidRPr="00D93FF9">
        <w:rPr>
          <w:rFonts w:ascii="Arial"/>
          <w:sz w:val="18"/>
          <w:lang w:val="en-GB"/>
        </w:rPr>
        <w:t xml:space="preserve">the water balance </w:t>
      </w:r>
      <w:r w:rsidR="00FC5332" w:rsidRPr="00D93FF9">
        <w:rPr>
          <w:rFonts w:ascii="Arial"/>
          <w:sz w:val="18"/>
          <w:lang w:val="en-GB"/>
        </w:rPr>
        <w:t xml:space="preserve">(left) and the salt balance </w:t>
      </w:r>
      <w:r w:rsidR="00695F73" w:rsidRPr="00D93FF9">
        <w:rPr>
          <w:rFonts w:ascii="Arial"/>
          <w:sz w:val="18"/>
          <w:lang w:val="en-GB"/>
        </w:rPr>
        <w:t xml:space="preserve">(right) </w:t>
      </w:r>
      <w:r w:rsidR="00FC5332" w:rsidRPr="00D93FF9">
        <w:rPr>
          <w:rFonts w:ascii="Arial"/>
          <w:sz w:val="18"/>
          <w:lang w:val="en-GB"/>
        </w:rPr>
        <w:t>within the soil profile</w:t>
      </w:r>
      <w:bookmarkEnd w:id="78"/>
      <w:r w:rsidR="00FC5332" w:rsidRPr="00D93FF9">
        <w:rPr>
          <w:rFonts w:ascii="Arial"/>
          <w:sz w:val="18"/>
          <w:lang w:val="en-GB"/>
        </w:rPr>
        <w:t xml:space="preserve"> </w:t>
      </w:r>
      <w:bookmarkEnd w:id="79"/>
    </w:p>
    <w:p w14:paraId="59DCC4FC" w14:textId="77777777" w:rsidR="00933157" w:rsidRPr="00D93FF9" w:rsidRDefault="00E811B8" w:rsidP="00933157">
      <w:pPr>
        <w:rPr>
          <w:sz w:val="18"/>
          <w:szCs w:val="18"/>
          <w:lang w:val="en-GB" w:bidi="en-US"/>
        </w:rPr>
      </w:pPr>
      <w:r w:rsidRPr="00D93FF9">
        <w:rPr>
          <w:sz w:val="18"/>
          <w:szCs w:val="18"/>
          <w:lang w:val="en-GB" w:bidi="en-US"/>
        </w:rPr>
        <w:t>Note: leaching fraction is part of the deep drainage (D</w:t>
      </w:r>
      <w:r w:rsidRPr="00D93FF9">
        <w:rPr>
          <w:sz w:val="18"/>
          <w:szCs w:val="18"/>
          <w:vertAlign w:val="subscript"/>
          <w:lang w:val="en-GB" w:bidi="en-US"/>
        </w:rPr>
        <w:t>d</w:t>
      </w:r>
      <w:r w:rsidRPr="00D93FF9">
        <w:rPr>
          <w:sz w:val="18"/>
          <w:szCs w:val="18"/>
          <w:lang w:val="en-GB" w:bidi="en-US"/>
        </w:rPr>
        <w:t>)</w:t>
      </w:r>
    </w:p>
    <w:p w14:paraId="59DCC4FD" w14:textId="77777777" w:rsidR="00DD4788" w:rsidRPr="00D93FF9" w:rsidRDefault="00DD4788" w:rsidP="003807A1">
      <w:pPr>
        <w:pStyle w:val="BodyText"/>
        <w:spacing w:after="0"/>
        <w:rPr>
          <w:rFonts w:ascii="Arial"/>
          <w:sz w:val="23"/>
          <w:lang w:val="en-GB"/>
        </w:rPr>
      </w:pPr>
    </w:p>
    <w:p w14:paraId="59DCC4FE" w14:textId="56E94EB2" w:rsidR="00C46175" w:rsidRPr="00D93FF9" w:rsidRDefault="00E811B8" w:rsidP="003807A1">
      <w:pPr>
        <w:pStyle w:val="BodyText"/>
        <w:spacing w:after="0" w:line="266" w:lineRule="auto"/>
        <w:jc w:val="both"/>
        <w:rPr>
          <w:lang w:val="en-GB"/>
        </w:rPr>
      </w:pPr>
      <w:r w:rsidRPr="00D93FF9">
        <w:rPr>
          <w:lang w:val="en-GB"/>
        </w:rPr>
        <w:t xml:space="preserve">Prediction of LF is fundamental to irrigation salinity </w:t>
      </w:r>
      <w:r w:rsidR="00695F73" w:rsidRPr="00D93FF9">
        <w:rPr>
          <w:lang w:val="en-GB"/>
        </w:rPr>
        <w:t xml:space="preserve">risk </w:t>
      </w:r>
      <w:r w:rsidRPr="00D93FF9">
        <w:rPr>
          <w:lang w:val="en-GB"/>
        </w:rPr>
        <w:t xml:space="preserve">assessment, </w:t>
      </w:r>
      <w:r w:rsidR="00695F73" w:rsidRPr="00D93FF9">
        <w:rPr>
          <w:lang w:val="en-GB"/>
        </w:rPr>
        <w:t>as it allows calculation of root zone salinity and its consequential effects on plant production</w:t>
      </w:r>
      <w:r w:rsidRPr="00D93FF9">
        <w:rPr>
          <w:lang w:val="en-GB"/>
        </w:rPr>
        <w:t xml:space="preserve">. A simple empirical approach estimates LF </w:t>
      </w:r>
      <w:r w:rsidR="00EB3C5A" w:rsidRPr="00D93FF9">
        <w:rPr>
          <w:lang w:val="en-GB"/>
        </w:rPr>
        <w:t>by considering the mass balance of salts under steady state conditions</w:t>
      </w:r>
      <w:r w:rsidR="00FB4B5E" w:rsidRPr="00D93FF9">
        <w:rPr>
          <w:lang w:val="en-GB"/>
        </w:rPr>
        <w:t>.</w:t>
      </w:r>
      <w:r w:rsidR="00217CA1" w:rsidRPr="00D93FF9">
        <w:rPr>
          <w:lang w:val="en-GB"/>
        </w:rPr>
        <w:t xml:space="preserve"> </w:t>
      </w:r>
      <w:r w:rsidR="00FB4B5E" w:rsidRPr="00D93FF9">
        <w:rPr>
          <w:lang w:val="en-GB"/>
        </w:rPr>
        <w:t>T</w:t>
      </w:r>
      <w:r w:rsidR="00EB3C5A" w:rsidRPr="00D93FF9">
        <w:rPr>
          <w:lang w:val="en-GB"/>
        </w:rPr>
        <w:t xml:space="preserve">hat is, </w:t>
      </w:r>
      <w:r w:rsidRPr="00D93FF9">
        <w:rPr>
          <w:lang w:val="en-GB"/>
        </w:rPr>
        <w:t>equilibrium occurs between the inputs and the outputs of salt after a given period</w:t>
      </w:r>
      <w:r w:rsidR="00EB3C5A" w:rsidRPr="00D93FF9">
        <w:rPr>
          <w:lang w:val="en-GB"/>
        </w:rPr>
        <w:t xml:space="preserve"> (years), at which point </w:t>
      </w:r>
      <w:r w:rsidRPr="00D93FF9">
        <w:rPr>
          <w:lang w:val="en-GB"/>
        </w:rPr>
        <w:t xml:space="preserve">the </w:t>
      </w:r>
      <w:r w:rsidR="00FB4B5E" w:rsidRPr="00D93FF9">
        <w:rPr>
          <w:lang w:val="en-GB"/>
        </w:rPr>
        <w:t xml:space="preserve">accumulation of further </w:t>
      </w:r>
      <w:r w:rsidRPr="00D93FF9">
        <w:rPr>
          <w:lang w:val="en-GB"/>
        </w:rPr>
        <w:t xml:space="preserve">salt storage </w:t>
      </w:r>
      <w:r w:rsidR="00FB4B5E" w:rsidRPr="00D93FF9">
        <w:rPr>
          <w:lang w:val="en-GB"/>
        </w:rPr>
        <w:t xml:space="preserve">in the soil </w:t>
      </w:r>
      <w:r w:rsidRPr="00D93FF9">
        <w:rPr>
          <w:lang w:val="en-GB"/>
        </w:rPr>
        <w:t>becomes</w:t>
      </w:r>
      <w:r w:rsidRPr="00D93FF9">
        <w:rPr>
          <w:spacing w:val="-1"/>
          <w:lang w:val="en-GB"/>
        </w:rPr>
        <w:t xml:space="preserve"> </w:t>
      </w:r>
      <w:r w:rsidRPr="00D93FF9">
        <w:rPr>
          <w:lang w:val="en-GB"/>
        </w:rPr>
        <w:t>zero.</w:t>
      </w:r>
    </w:p>
    <w:p w14:paraId="59DCC4FF" w14:textId="135FCBCA" w:rsidR="00695F73" w:rsidRPr="00D93FF9" w:rsidRDefault="00E811B8" w:rsidP="00695F73">
      <w:pPr>
        <w:spacing w:line="264" w:lineRule="auto"/>
        <w:jc w:val="both"/>
        <w:rPr>
          <w:lang w:val="en-GB"/>
        </w:rPr>
      </w:pPr>
      <w:r w:rsidRPr="00D93FF9">
        <w:rPr>
          <w:lang w:val="en-GB"/>
        </w:rPr>
        <w:t>The leaching fraction does not need to be applied with every irrigation event: strategic leaching irrigations can be applied as required, such as when the EC</w:t>
      </w:r>
      <w:r w:rsidRPr="00D93FF9">
        <w:rPr>
          <w:vertAlign w:val="subscript"/>
          <w:lang w:val="en-GB"/>
        </w:rPr>
        <w:t>se</w:t>
      </w:r>
      <w:r w:rsidRPr="00D93FF9">
        <w:rPr>
          <w:lang w:val="en-GB"/>
        </w:rPr>
        <w:t xml:space="preserve"> approaches the plant salinity threshold (see </w:t>
      </w:r>
      <w:r w:rsidR="005E46B1" w:rsidRPr="00D93FF9">
        <w:rPr>
          <w:lang w:val="en-GB"/>
        </w:rPr>
        <w:fldChar w:fldCharType="begin"/>
      </w:r>
      <w:r w:rsidR="005E46B1" w:rsidRPr="00D93FF9">
        <w:rPr>
          <w:lang w:val="en-GB"/>
        </w:rPr>
        <w:instrText xml:space="preserve"> REF _Ref81391734 \h </w:instrText>
      </w:r>
      <w:r w:rsidR="00D93FF9">
        <w:rPr>
          <w:lang w:val="en-GB"/>
        </w:rPr>
        <w:instrText xml:space="preserve"> \* MERGEFORMAT </w:instrText>
      </w:r>
      <w:r w:rsidR="005E46B1" w:rsidRPr="00D93FF9">
        <w:rPr>
          <w:lang w:val="en-GB"/>
        </w:rPr>
      </w:r>
      <w:r w:rsidR="005E46B1" w:rsidRPr="00D93FF9">
        <w:rPr>
          <w:lang w:val="en-GB"/>
        </w:rPr>
        <w:fldChar w:fldCharType="separate"/>
      </w:r>
      <w:r w:rsidR="0069302C" w:rsidRPr="00D93FF9">
        <w:t xml:space="preserve">Table </w:t>
      </w:r>
      <w:r w:rsidR="0069302C">
        <w:rPr>
          <w:noProof/>
        </w:rPr>
        <w:t>14</w:t>
      </w:r>
      <w:r w:rsidR="005E46B1" w:rsidRPr="00D93FF9">
        <w:rPr>
          <w:lang w:val="en-GB"/>
        </w:rPr>
        <w:fldChar w:fldCharType="end"/>
      </w:r>
      <w:r w:rsidR="005E46B1" w:rsidRPr="00D93FF9">
        <w:rPr>
          <w:lang w:val="en-GB"/>
        </w:rPr>
        <w:t xml:space="preserve"> </w:t>
      </w:r>
      <w:r w:rsidRPr="00D93FF9">
        <w:rPr>
          <w:lang w:val="en-GB"/>
        </w:rPr>
        <w:t>and</w:t>
      </w:r>
      <w:r w:rsidR="005E46B1" w:rsidRPr="00D93FF9">
        <w:rPr>
          <w:lang w:val="en-GB"/>
        </w:rPr>
        <w:t xml:space="preserve"> </w:t>
      </w:r>
      <w:r w:rsidR="005E46B1" w:rsidRPr="00D93FF9">
        <w:rPr>
          <w:lang w:val="en-GB"/>
        </w:rPr>
        <w:fldChar w:fldCharType="begin"/>
      </w:r>
      <w:r w:rsidR="005E46B1" w:rsidRPr="00D93FF9">
        <w:rPr>
          <w:lang w:val="en-GB"/>
        </w:rPr>
        <w:instrText xml:space="preserve"> REF _Ref81391747 \h </w:instrText>
      </w:r>
      <w:r w:rsidR="00D93FF9">
        <w:rPr>
          <w:lang w:val="en-GB"/>
        </w:rPr>
        <w:instrText xml:space="preserve"> \* MERGEFORMAT </w:instrText>
      </w:r>
      <w:r w:rsidR="005E46B1" w:rsidRPr="00D93FF9">
        <w:rPr>
          <w:lang w:val="en-GB"/>
        </w:rPr>
      </w:r>
      <w:r w:rsidR="005E46B1" w:rsidRPr="00D93FF9">
        <w:rPr>
          <w:lang w:val="en-GB"/>
        </w:rPr>
        <w:fldChar w:fldCharType="separate"/>
      </w:r>
      <w:r w:rsidR="0069302C" w:rsidRPr="00D93FF9">
        <w:t xml:space="preserve">Table </w:t>
      </w:r>
      <w:r w:rsidR="0069302C">
        <w:rPr>
          <w:noProof/>
        </w:rPr>
        <w:t>15</w:t>
      </w:r>
      <w:r w:rsidR="005E46B1" w:rsidRPr="00D93FF9">
        <w:rPr>
          <w:lang w:val="en-GB"/>
        </w:rPr>
        <w:fldChar w:fldCharType="end"/>
      </w:r>
      <w:r w:rsidRPr="00D93FF9">
        <w:rPr>
          <w:lang w:val="en-GB"/>
        </w:rPr>
        <w:t xml:space="preserve">). Calculation of the leaching fraction after the (summer or winter) wet season may give a better result as the average deep drainage from rainfall and irrigation water will be higher than irrigation water alone, thereby increasing the calculated </w:t>
      </w:r>
      <w:r w:rsidR="00CF6F10" w:rsidRPr="00D93FF9">
        <w:rPr>
          <w:lang w:val="en-GB"/>
        </w:rPr>
        <w:t>l</w:t>
      </w:r>
      <w:r w:rsidRPr="00D93FF9">
        <w:rPr>
          <w:lang w:val="en-GB"/>
        </w:rPr>
        <w:t xml:space="preserve">eaching </w:t>
      </w:r>
      <w:r w:rsidR="00CF6F10" w:rsidRPr="00D93FF9">
        <w:rPr>
          <w:lang w:val="en-GB"/>
        </w:rPr>
        <w:t>f</w:t>
      </w:r>
      <w:r w:rsidRPr="00D93FF9">
        <w:rPr>
          <w:lang w:val="en-GB"/>
        </w:rPr>
        <w:t xml:space="preserve">raction and hence salt leaching. </w:t>
      </w:r>
    </w:p>
    <w:p w14:paraId="59DCC500" w14:textId="20EB924E" w:rsidR="00B52139" w:rsidRPr="00D93FF9" w:rsidRDefault="00E811B8" w:rsidP="00B52139">
      <w:pPr>
        <w:spacing w:line="264" w:lineRule="auto"/>
        <w:jc w:val="both"/>
        <w:rPr>
          <w:lang w:val="en-GB"/>
        </w:rPr>
      </w:pPr>
      <w:r w:rsidRPr="00D93FF9">
        <w:rPr>
          <w:lang w:val="en-GB"/>
        </w:rPr>
        <w:t xml:space="preserve">Irrigation managers can </w:t>
      </w:r>
      <w:r w:rsidR="00695F73" w:rsidRPr="00D93FF9">
        <w:rPr>
          <w:lang w:val="en-GB"/>
        </w:rPr>
        <w:t xml:space="preserve">apply </w:t>
      </w:r>
      <w:r w:rsidRPr="00D93FF9">
        <w:rPr>
          <w:lang w:val="en-GB"/>
        </w:rPr>
        <w:t>an adaptive management approach with respect to LF by measuring root zone salinity an</w:t>
      </w:r>
      <w:r w:rsidR="00C1155D" w:rsidRPr="00D93FF9">
        <w:rPr>
          <w:lang w:val="en-GB"/>
        </w:rPr>
        <w:t>d</w:t>
      </w:r>
      <w:r w:rsidRPr="00D93FF9">
        <w:rPr>
          <w:lang w:val="en-GB"/>
        </w:rPr>
        <w:t xml:space="preserve"> applying an excess irrigation to increase the deep drainage and hence increase the leaching fraction. This potentially has the advantage of managing to the crop’s specific salinity requirements, and mitigating the groundwater risks associated with excessive deep percolation. </w:t>
      </w:r>
      <w:r w:rsidR="00F51D3C" w:rsidRPr="00D93FF9">
        <w:rPr>
          <w:lang w:val="en-GB"/>
        </w:rPr>
        <w:t>This is effectively the approach pioneered by the US Salinity Lab (1954) that based their recommendations on irrigation schemes operating in an effectively desert Californian landscape.</w:t>
      </w:r>
      <w:r w:rsidRPr="00D93FF9">
        <w:rPr>
          <w:lang w:val="en-GB"/>
        </w:rPr>
        <w:t xml:space="preserve"> </w:t>
      </w:r>
    </w:p>
    <w:p w14:paraId="59DCC501" w14:textId="77777777" w:rsidR="00C46175" w:rsidRPr="00D93FF9" w:rsidRDefault="00E811B8" w:rsidP="003807A1">
      <w:pPr>
        <w:pStyle w:val="BodyText"/>
        <w:spacing w:after="0" w:line="256" w:lineRule="auto"/>
        <w:jc w:val="both"/>
        <w:rPr>
          <w:lang w:val="en-GB"/>
        </w:rPr>
      </w:pPr>
      <w:bookmarkStart w:id="80" w:name="Note_in_the_above_that_1_dS/m_=_1000_(s/"/>
      <w:bookmarkStart w:id="81" w:name="LF_prediction_models"/>
      <w:bookmarkEnd w:id="80"/>
      <w:bookmarkEnd w:id="81"/>
      <w:r w:rsidRPr="00D93FF9">
        <w:rPr>
          <w:lang w:val="en-GB"/>
        </w:rPr>
        <w:t xml:space="preserve">Leaching fraction </w:t>
      </w:r>
      <w:r w:rsidR="00CE24C7" w:rsidRPr="00D93FF9">
        <w:rPr>
          <w:lang w:val="en-GB"/>
        </w:rPr>
        <w:t xml:space="preserve">can be </w:t>
      </w:r>
      <w:r w:rsidRPr="00D93FF9">
        <w:rPr>
          <w:lang w:val="en-GB"/>
        </w:rPr>
        <w:t>estimated most easily by calculating the ratio of</w:t>
      </w:r>
      <w:r w:rsidR="00B52139" w:rsidRPr="00D93FF9">
        <w:rPr>
          <w:lang w:val="en-GB"/>
        </w:rPr>
        <w:t xml:space="preserve"> salt</w:t>
      </w:r>
      <w:r w:rsidRPr="00D93FF9">
        <w:rPr>
          <w:lang w:val="en-GB"/>
        </w:rPr>
        <w:t xml:space="preserve"> inputs (</w:t>
      </w:r>
      <w:r w:rsidR="00B52139" w:rsidRPr="00D93FF9">
        <w:rPr>
          <w:lang w:val="en-GB"/>
        </w:rPr>
        <w:t xml:space="preserve">in </w:t>
      </w:r>
      <w:r w:rsidRPr="00D93FF9">
        <w:rPr>
          <w:lang w:val="en-GB"/>
        </w:rPr>
        <w:t xml:space="preserve">rainfall </w:t>
      </w:r>
      <w:r w:rsidR="00B52139" w:rsidRPr="00D93FF9">
        <w:rPr>
          <w:lang w:val="en-GB"/>
        </w:rPr>
        <w:t xml:space="preserve">and </w:t>
      </w:r>
      <w:r w:rsidRPr="00D93FF9">
        <w:rPr>
          <w:lang w:val="en-GB"/>
        </w:rPr>
        <w:t>irrigation) to outputs</w:t>
      </w:r>
      <w:r w:rsidR="00B52139" w:rsidRPr="00D93FF9">
        <w:rPr>
          <w:lang w:val="en-GB"/>
        </w:rPr>
        <w:t xml:space="preserve"> (in deep drainage)</w:t>
      </w:r>
      <w:r w:rsidRPr="00D93FF9">
        <w:rPr>
          <w:lang w:val="en-GB"/>
        </w:rPr>
        <w:t>. On the assumption that the water draining at the bottom of the root zone</w:t>
      </w:r>
      <w:r w:rsidR="00B52139" w:rsidRPr="00D93FF9">
        <w:rPr>
          <w:lang w:val="en-GB"/>
        </w:rPr>
        <w:t xml:space="preserve"> does no change further with soil depth, consideration of mass balance at equilibrium allows us to write</w:t>
      </w:r>
      <w:r w:rsidRPr="00D93FF9">
        <w:rPr>
          <w:lang w:val="en-GB"/>
        </w:rPr>
        <w:t>:</w:t>
      </w:r>
    </w:p>
    <w:p w14:paraId="59DCC502" w14:textId="77777777" w:rsidR="0064076E" w:rsidRPr="00D93FF9" w:rsidRDefault="0064076E" w:rsidP="003807A1">
      <w:pPr>
        <w:pStyle w:val="BodyText"/>
        <w:spacing w:after="0" w:line="256"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50A" w14:textId="77777777" w:rsidTr="0064076E">
        <w:tc>
          <w:tcPr>
            <w:tcW w:w="4505" w:type="dxa"/>
          </w:tcPr>
          <w:p w14:paraId="59DCC503" w14:textId="77777777" w:rsidR="00B52139" w:rsidRPr="00D93FF9" w:rsidRDefault="00E811B8" w:rsidP="001C6BB0">
            <w:pPr>
              <w:pStyle w:val="BodyText"/>
              <w:spacing w:after="120" w:line="257" w:lineRule="auto"/>
              <w:jc w:val="both"/>
              <w:rPr>
                <w:rFonts w:ascii="Cambria Math" w:hAnsi="Cambria Math"/>
                <w:sz w:val="22"/>
                <w:szCs w:val="22"/>
                <w:lang w:val="en-GB"/>
              </w:rPr>
            </w:pPr>
            <m:oMath>
              <m:r>
                <m:rPr>
                  <m:sty m:val="p"/>
                </m:rPr>
                <w:rPr>
                  <w:rFonts w:ascii="Cambria Math" w:hAnsi="Cambria Math"/>
                  <w:sz w:val="22"/>
                  <w:szCs w:val="22"/>
                  <w:lang w:val="en-GB"/>
                </w:rPr>
                <m:t xml:space="preserve">    ECi x Di=ECd x Dd</m:t>
              </m:r>
            </m:oMath>
            <w:r w:rsidRPr="00D93FF9">
              <w:rPr>
                <w:rFonts w:ascii="Cambria Math" w:hAnsi="Cambria Math"/>
                <w:sz w:val="22"/>
                <w:szCs w:val="22"/>
                <w:lang w:val="en-GB"/>
              </w:rPr>
              <w:t xml:space="preserve"> </w:t>
            </w:r>
          </w:p>
          <w:p w14:paraId="59DCC504" w14:textId="77777777" w:rsidR="00B52139" w:rsidRPr="00D93FF9" w:rsidRDefault="00B52139" w:rsidP="001C6BB0">
            <w:pPr>
              <w:pStyle w:val="BodyText"/>
              <w:spacing w:after="120" w:line="257" w:lineRule="auto"/>
              <w:jc w:val="both"/>
              <w:rPr>
                <w:rFonts w:ascii="Cambria Math" w:hAnsi="Cambria Math"/>
                <w:sz w:val="22"/>
                <w:szCs w:val="22"/>
                <w:lang w:val="en-GB"/>
              </w:rPr>
            </w:pPr>
          </w:p>
          <w:p w14:paraId="59DCC505" w14:textId="77777777" w:rsidR="0064076E" w:rsidRPr="00D93FF9" w:rsidRDefault="00E811B8" w:rsidP="001C6BB0">
            <w:pPr>
              <w:pStyle w:val="BodyText"/>
              <w:spacing w:after="120" w:line="257" w:lineRule="auto"/>
              <w:jc w:val="both"/>
              <w:rPr>
                <w:rFonts w:ascii="Cambria Math" w:hAnsi="Cambria Math"/>
                <w:sz w:val="22"/>
                <w:szCs w:val="22"/>
                <w:lang w:val="en-GB"/>
              </w:rPr>
            </w:pPr>
            <w:r w:rsidRPr="00D93FF9">
              <w:rPr>
                <w:rFonts w:ascii="Cambria Math" w:hAnsi="Cambria Math"/>
                <w:sz w:val="22"/>
                <w:szCs w:val="22"/>
                <w:lang w:val="en-GB"/>
              </w:rPr>
              <w:t xml:space="preserve">which on rearrangement can be expressed as: </w:t>
            </w:r>
          </w:p>
          <w:p w14:paraId="59DCC506" w14:textId="77777777" w:rsidR="00B52139" w:rsidRPr="00D93FF9" w:rsidRDefault="00E811B8" w:rsidP="001C6BB0">
            <w:pPr>
              <w:pStyle w:val="BodyText"/>
              <w:spacing w:after="120" w:line="257" w:lineRule="auto"/>
              <w:jc w:val="both"/>
              <w:rPr>
                <w:rFonts w:ascii="Cambria Math" w:hAnsi="Cambria Math"/>
                <w:sz w:val="22"/>
                <w:szCs w:val="22"/>
                <w:lang w:val="en-GB"/>
              </w:rPr>
            </w:pPr>
            <m:oMathPara>
              <m:oMathParaPr>
                <m:jc m:val="left"/>
              </m:oMathParaPr>
              <m:oMath>
                <m:r>
                  <m:rPr>
                    <m:sty m:val="p"/>
                  </m:rPr>
                  <w:rPr>
                    <w:rFonts w:ascii="Cambria Math" w:hAnsi="Cambria Math"/>
                    <w:sz w:val="22"/>
                    <w:szCs w:val="22"/>
                    <w:lang w:val="en-GB"/>
                  </w:rPr>
                  <m:t>LF=</m:t>
                </m:r>
                <m:f>
                  <m:fPr>
                    <m:ctrlPr>
                      <w:rPr>
                        <w:rFonts w:ascii="Cambria Math" w:hAnsi="Cambria Math"/>
                        <w:iCs/>
                        <w:sz w:val="22"/>
                        <w:szCs w:val="22"/>
                        <w:lang w:val="en-GB"/>
                      </w:rPr>
                    </m:ctrlPr>
                  </m:fPr>
                  <m:num>
                    <m:r>
                      <m:rPr>
                        <m:sty m:val="p"/>
                      </m:rPr>
                      <w:rPr>
                        <w:rFonts w:ascii="Cambria Math" w:hAnsi="Cambria Math"/>
                        <w:sz w:val="22"/>
                        <w:szCs w:val="22"/>
                        <w:lang w:val="en-GB"/>
                      </w:rPr>
                      <m:t>ECi</m:t>
                    </m:r>
                  </m:num>
                  <m:den>
                    <m:r>
                      <m:rPr>
                        <m:sty m:val="p"/>
                      </m:rPr>
                      <w:rPr>
                        <w:rFonts w:ascii="Cambria Math" w:hAnsi="Cambria Math"/>
                        <w:sz w:val="22"/>
                        <w:szCs w:val="22"/>
                        <w:lang w:val="en-GB"/>
                      </w:rPr>
                      <m:t>ECd</m:t>
                    </m:r>
                  </m:den>
                </m:f>
                <m:r>
                  <m:rPr>
                    <m:sty m:val="p"/>
                  </m:rPr>
                  <w:rPr>
                    <w:rFonts w:ascii="Cambria Math" w:hAnsi="Cambria Math"/>
                    <w:sz w:val="22"/>
                    <w:szCs w:val="22"/>
                    <w:lang w:val="en-GB"/>
                  </w:rPr>
                  <m:t>=</m:t>
                </m:r>
                <m:f>
                  <m:fPr>
                    <m:ctrlPr>
                      <w:rPr>
                        <w:rFonts w:ascii="Cambria Math" w:eastAsiaTheme="minorEastAsia" w:hAnsi="Cambria Math"/>
                        <w:iCs/>
                        <w:sz w:val="22"/>
                        <w:szCs w:val="22"/>
                        <w:lang w:val="en-GB"/>
                      </w:rPr>
                    </m:ctrlPr>
                  </m:fPr>
                  <m:num>
                    <m:r>
                      <m:rPr>
                        <m:sty m:val="p"/>
                      </m:rPr>
                      <w:rPr>
                        <w:rFonts w:ascii="Cambria Math" w:eastAsiaTheme="minorEastAsia" w:hAnsi="Cambria Math"/>
                        <w:sz w:val="22"/>
                        <w:szCs w:val="22"/>
                        <w:lang w:val="en-GB"/>
                      </w:rPr>
                      <m:t>Dd</m:t>
                    </m:r>
                  </m:num>
                  <m:den>
                    <m:r>
                      <m:rPr>
                        <m:sty m:val="p"/>
                      </m:rPr>
                      <w:rPr>
                        <w:rFonts w:ascii="Cambria Math" w:eastAsiaTheme="minorEastAsia" w:hAnsi="Cambria Math"/>
                        <w:sz w:val="22"/>
                        <w:szCs w:val="22"/>
                        <w:lang w:val="en-GB"/>
                      </w:rPr>
                      <m:t>Di</m:t>
                    </m:r>
                  </m:den>
                </m:f>
              </m:oMath>
            </m:oMathPara>
          </w:p>
        </w:tc>
        <w:tc>
          <w:tcPr>
            <w:tcW w:w="4505" w:type="dxa"/>
          </w:tcPr>
          <w:p w14:paraId="59DCC507" w14:textId="77777777" w:rsidR="00B52139" w:rsidRPr="00D93FF9" w:rsidRDefault="00B52139" w:rsidP="003717A7">
            <w:pPr>
              <w:pStyle w:val="Caption"/>
              <w:jc w:val="right"/>
              <w:rPr>
                <w:rFonts w:asciiTheme="minorHAnsi" w:hAnsiTheme="minorHAnsi"/>
                <w:sz w:val="22"/>
                <w:szCs w:val="22"/>
              </w:rPr>
            </w:pPr>
            <w:bookmarkStart w:id="82" w:name="_Ref72920677"/>
          </w:p>
          <w:p w14:paraId="59DCC508" w14:textId="77777777" w:rsidR="00B52139" w:rsidRPr="00D93FF9" w:rsidRDefault="00B52139" w:rsidP="003717A7">
            <w:pPr>
              <w:pStyle w:val="Caption"/>
              <w:jc w:val="right"/>
              <w:rPr>
                <w:rFonts w:asciiTheme="minorHAnsi" w:hAnsiTheme="minorHAnsi"/>
                <w:sz w:val="22"/>
                <w:szCs w:val="22"/>
              </w:rPr>
            </w:pPr>
          </w:p>
          <w:p w14:paraId="4019C033" w14:textId="77777777" w:rsidR="00D228C6" w:rsidRPr="00D93FF9" w:rsidRDefault="00D228C6" w:rsidP="003717A7">
            <w:pPr>
              <w:pStyle w:val="Caption"/>
              <w:jc w:val="right"/>
              <w:rPr>
                <w:rFonts w:asciiTheme="minorHAnsi" w:hAnsiTheme="minorHAnsi"/>
                <w:sz w:val="22"/>
                <w:szCs w:val="22"/>
              </w:rPr>
            </w:pPr>
            <w:bookmarkStart w:id="83" w:name="_Ref72923130"/>
          </w:p>
          <w:p w14:paraId="59DCC509" w14:textId="2FA9966D" w:rsidR="0064076E" w:rsidRPr="00D93FF9" w:rsidRDefault="00E811B8" w:rsidP="003717A7">
            <w:pPr>
              <w:pStyle w:val="Caption"/>
              <w:jc w:val="right"/>
              <w:rPr>
                <w:rFonts w:asciiTheme="minorHAnsi" w:hAnsiTheme="minorHAnsi"/>
                <w:sz w:val="22"/>
                <w:szCs w:val="22"/>
                <w:lang w:val="en-GB"/>
              </w:rPr>
            </w:pPr>
            <w:r w:rsidRPr="00D93FF9">
              <w:rPr>
                <w:rFonts w:asciiTheme="minorHAnsi" w:hAnsiTheme="minorHAnsi"/>
                <w:sz w:val="22"/>
                <w:szCs w:val="22"/>
              </w:rPr>
              <w:t xml:space="preserve">Equation </w:t>
            </w:r>
            <w:r w:rsidRPr="00D93FF9">
              <w:rPr>
                <w:szCs w:val="22"/>
              </w:rPr>
              <w:fldChar w:fldCharType="begin"/>
            </w:r>
            <w:r w:rsidRPr="00D93FF9">
              <w:rPr>
                <w:rFonts w:asciiTheme="minorHAnsi" w:hAnsiTheme="minorHAnsi"/>
                <w:sz w:val="22"/>
                <w:szCs w:val="22"/>
              </w:rPr>
              <w:instrText xml:space="preserve"> SEQ Equation \* ARABIC </w:instrText>
            </w:r>
            <w:r w:rsidRPr="00D93FF9">
              <w:rPr>
                <w:szCs w:val="22"/>
              </w:rPr>
              <w:fldChar w:fldCharType="separate"/>
            </w:r>
            <w:r w:rsidR="0069302C">
              <w:rPr>
                <w:rFonts w:asciiTheme="minorHAnsi" w:hAnsiTheme="minorHAnsi"/>
                <w:noProof/>
                <w:sz w:val="22"/>
                <w:szCs w:val="22"/>
              </w:rPr>
              <w:t>4</w:t>
            </w:r>
            <w:r w:rsidRPr="00D93FF9">
              <w:rPr>
                <w:szCs w:val="22"/>
              </w:rPr>
              <w:fldChar w:fldCharType="end"/>
            </w:r>
            <w:bookmarkEnd w:id="82"/>
            <w:bookmarkEnd w:id="83"/>
          </w:p>
        </w:tc>
      </w:tr>
    </w:tbl>
    <w:p w14:paraId="59DCC50B" w14:textId="77777777" w:rsidR="0064076E" w:rsidRPr="00D93FF9" w:rsidRDefault="0064076E" w:rsidP="003807A1">
      <w:pPr>
        <w:pStyle w:val="BodyText"/>
        <w:spacing w:after="0" w:line="256" w:lineRule="auto"/>
        <w:jc w:val="both"/>
        <w:rPr>
          <w:lang w:val="en-GB"/>
        </w:rPr>
      </w:pPr>
    </w:p>
    <w:p w14:paraId="59DCC50C" w14:textId="77777777" w:rsidR="00C46175" w:rsidRPr="00D93FF9" w:rsidRDefault="00E811B8" w:rsidP="003807A1">
      <w:pPr>
        <w:pStyle w:val="BodyText"/>
        <w:spacing w:after="0"/>
        <w:rPr>
          <w:lang w:val="en-GB"/>
        </w:rPr>
      </w:pPr>
      <w:r w:rsidRPr="00D93FF9">
        <w:rPr>
          <w:lang w:val="en-GB"/>
        </w:rPr>
        <w:t>where:</w:t>
      </w:r>
    </w:p>
    <w:p w14:paraId="59DCC50D" w14:textId="77777777" w:rsidR="00C46175" w:rsidRPr="00D93FF9" w:rsidRDefault="00E811B8" w:rsidP="003807A1">
      <w:pPr>
        <w:pStyle w:val="BodyText"/>
        <w:tabs>
          <w:tab w:val="left" w:pos="997"/>
        </w:tabs>
        <w:spacing w:after="0"/>
        <w:rPr>
          <w:i/>
          <w:lang w:val="en-GB"/>
        </w:rPr>
      </w:pPr>
      <w:r w:rsidRPr="00D93FF9">
        <w:rPr>
          <w:lang w:val="en-GB"/>
        </w:rPr>
        <w:t>EC</w:t>
      </w:r>
      <w:r w:rsidRPr="00D93FF9">
        <w:rPr>
          <w:position w:val="-4"/>
          <w:sz w:val="15"/>
          <w:lang w:val="en-GB"/>
        </w:rPr>
        <w:t>i</w:t>
      </w:r>
      <w:r w:rsidRPr="00D93FF9">
        <w:rPr>
          <w:position w:val="-4"/>
          <w:sz w:val="15"/>
          <w:lang w:val="en-GB"/>
        </w:rPr>
        <w:tab/>
      </w:r>
      <w:r w:rsidRPr="00D93FF9">
        <w:rPr>
          <w:lang w:val="en-GB"/>
        </w:rPr>
        <w:t>= electrical conductivity of water entering soil in dS/m (rainfall + irrigation)</w:t>
      </w:r>
      <w:r w:rsidRPr="00D93FF9">
        <w:rPr>
          <w:spacing w:val="2"/>
          <w:lang w:val="en-GB"/>
        </w:rPr>
        <w:t xml:space="preserve"> </w:t>
      </w:r>
      <w:r w:rsidRPr="00D93FF9">
        <w:rPr>
          <w:iCs/>
          <w:lang w:val="en-GB"/>
        </w:rPr>
        <w:t>(known)</w:t>
      </w:r>
    </w:p>
    <w:p w14:paraId="59DCC50E" w14:textId="77777777" w:rsidR="00C46175" w:rsidRPr="00D93FF9" w:rsidRDefault="00E811B8" w:rsidP="003807A1">
      <w:pPr>
        <w:pStyle w:val="BodyText"/>
        <w:tabs>
          <w:tab w:val="left" w:pos="997"/>
        </w:tabs>
        <w:spacing w:after="0"/>
        <w:rPr>
          <w:i/>
          <w:lang w:val="en-GB"/>
        </w:rPr>
      </w:pPr>
      <w:r w:rsidRPr="00D93FF9">
        <w:rPr>
          <w:lang w:val="en-GB"/>
        </w:rPr>
        <w:t>EC</w:t>
      </w:r>
      <w:r w:rsidRPr="00D93FF9">
        <w:rPr>
          <w:vertAlign w:val="subscript"/>
          <w:lang w:val="en-GB"/>
        </w:rPr>
        <w:t>d</w:t>
      </w:r>
      <w:r w:rsidRPr="00D93FF9">
        <w:rPr>
          <w:lang w:val="en-GB"/>
        </w:rPr>
        <w:tab/>
        <w:t>= electrical conductivity of drainage water below the root zone in dS/m</w:t>
      </w:r>
      <w:r w:rsidRPr="00D93FF9">
        <w:rPr>
          <w:spacing w:val="6"/>
          <w:lang w:val="en-GB"/>
        </w:rPr>
        <w:t xml:space="preserve"> </w:t>
      </w:r>
      <w:r w:rsidRPr="00D93FF9">
        <w:rPr>
          <w:lang w:val="en-GB"/>
        </w:rPr>
        <w:t>(measur</w:t>
      </w:r>
      <w:r w:rsidR="002566B1" w:rsidRPr="00D93FF9">
        <w:rPr>
          <w:lang w:val="en-GB"/>
        </w:rPr>
        <w:t>ed</w:t>
      </w:r>
      <w:r w:rsidRPr="00D93FF9">
        <w:rPr>
          <w:lang w:val="en-GB"/>
        </w:rPr>
        <w:t>)</w:t>
      </w:r>
    </w:p>
    <w:p w14:paraId="59DCC50F" w14:textId="77777777" w:rsidR="00C46175" w:rsidRPr="00D93FF9" w:rsidRDefault="00E811B8" w:rsidP="00F834E3">
      <w:pPr>
        <w:pStyle w:val="BodyText"/>
        <w:tabs>
          <w:tab w:val="left" w:pos="997"/>
        </w:tabs>
        <w:spacing w:after="0" w:line="266" w:lineRule="auto"/>
        <w:rPr>
          <w:iCs/>
          <w:lang w:val="en-GB"/>
        </w:rPr>
      </w:pPr>
      <w:r w:rsidRPr="00D93FF9">
        <w:rPr>
          <w:lang w:val="en-GB"/>
        </w:rPr>
        <w:t>D</w:t>
      </w:r>
      <w:r w:rsidRPr="00D93FF9">
        <w:rPr>
          <w:vertAlign w:val="subscript"/>
          <w:lang w:val="en-GB"/>
        </w:rPr>
        <w:t>i</w:t>
      </w:r>
      <w:r w:rsidRPr="00D93FF9">
        <w:rPr>
          <w:lang w:val="en-GB"/>
        </w:rPr>
        <w:tab/>
      </w:r>
      <w:r w:rsidRPr="00D93FF9">
        <w:rPr>
          <w:lang w:val="en-GB"/>
        </w:rPr>
        <w:tab/>
        <w:t xml:space="preserve">= depth of water applied to the soil profile in mm/year (rainfall + irrigation) </w:t>
      </w:r>
      <w:r w:rsidRPr="00D93FF9">
        <w:rPr>
          <w:iCs/>
          <w:lang w:val="en-GB"/>
        </w:rPr>
        <w:t xml:space="preserve">(known or </w:t>
      </w:r>
      <w:r w:rsidR="002566B1" w:rsidRPr="00D93FF9">
        <w:rPr>
          <w:iCs/>
          <w:lang w:val="en-GB"/>
        </w:rPr>
        <w:t>measured</w:t>
      </w:r>
      <w:r w:rsidRPr="00D93FF9">
        <w:rPr>
          <w:iCs/>
          <w:lang w:val="en-GB"/>
        </w:rPr>
        <w:t>)</w:t>
      </w:r>
    </w:p>
    <w:p w14:paraId="59DCC510" w14:textId="77777777" w:rsidR="00C46175" w:rsidRPr="00D93FF9" w:rsidRDefault="00E811B8" w:rsidP="003807A1">
      <w:pPr>
        <w:pStyle w:val="BodyText"/>
        <w:tabs>
          <w:tab w:val="left" w:pos="997"/>
        </w:tabs>
        <w:spacing w:after="0"/>
        <w:rPr>
          <w:iCs/>
          <w:lang w:val="en-GB"/>
        </w:rPr>
      </w:pPr>
      <w:r w:rsidRPr="00D93FF9">
        <w:rPr>
          <w:lang w:val="en-GB"/>
        </w:rPr>
        <w:t>D</w:t>
      </w:r>
      <w:r w:rsidRPr="00D93FF9">
        <w:rPr>
          <w:vertAlign w:val="subscript"/>
          <w:lang w:val="en-GB"/>
        </w:rPr>
        <w:t>d</w:t>
      </w:r>
      <w:r w:rsidRPr="00D93FF9">
        <w:rPr>
          <w:lang w:val="en-GB"/>
        </w:rPr>
        <w:tab/>
        <w:t>= depth of water draining below the root zone in mm/year</w:t>
      </w:r>
      <w:r w:rsidRPr="00D93FF9">
        <w:rPr>
          <w:spacing w:val="1"/>
          <w:lang w:val="en-GB"/>
        </w:rPr>
        <w:t xml:space="preserve"> </w:t>
      </w:r>
      <w:r w:rsidRPr="00D93FF9">
        <w:rPr>
          <w:iCs/>
          <w:lang w:val="en-GB"/>
        </w:rPr>
        <w:t>(</w:t>
      </w:r>
      <w:r w:rsidR="00C44E09" w:rsidRPr="00D93FF9">
        <w:rPr>
          <w:iCs/>
          <w:lang w:val="en-GB"/>
        </w:rPr>
        <w:t xml:space="preserve">to be </w:t>
      </w:r>
      <w:r w:rsidRPr="00D93FF9">
        <w:rPr>
          <w:iCs/>
          <w:lang w:val="en-GB"/>
        </w:rPr>
        <w:t>predicted)</w:t>
      </w:r>
    </w:p>
    <w:p w14:paraId="59DCC511" w14:textId="77777777" w:rsidR="00533C85" w:rsidRPr="00D93FF9" w:rsidRDefault="00E811B8" w:rsidP="003807A1">
      <w:pPr>
        <w:pStyle w:val="BodyText"/>
        <w:spacing w:after="0"/>
        <w:rPr>
          <w:lang w:val="en-GB"/>
        </w:rPr>
      </w:pPr>
      <w:r w:rsidRPr="00D93FF9">
        <w:rPr>
          <w:lang w:val="en-GB"/>
        </w:rPr>
        <w:t>EC</w:t>
      </w:r>
      <w:r w:rsidRPr="00D93FF9">
        <w:rPr>
          <w:vertAlign w:val="subscript"/>
          <w:lang w:val="en-GB"/>
        </w:rPr>
        <w:t>i</w:t>
      </w:r>
      <w:r w:rsidRPr="00D93FF9">
        <w:rPr>
          <w:lang w:val="en-GB"/>
        </w:rPr>
        <w:t xml:space="preserve"> can be calculated (on an annual basis) using the following relationship:</w:t>
      </w:r>
    </w:p>
    <w:p w14:paraId="59DCC512" w14:textId="77777777" w:rsidR="0064076E" w:rsidRPr="00D93FF9" w:rsidRDefault="0064076E" w:rsidP="003807A1">
      <w:pPr>
        <w:pStyle w:val="BodyText"/>
        <w:spacing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516" w14:textId="77777777" w:rsidTr="0064076E">
        <w:tc>
          <w:tcPr>
            <w:tcW w:w="4505" w:type="dxa"/>
          </w:tcPr>
          <w:p w14:paraId="59DCC513" w14:textId="77777777" w:rsidR="0064076E" w:rsidRPr="00D93FF9" w:rsidRDefault="00735642" w:rsidP="003807A1">
            <w:pPr>
              <w:pStyle w:val="BodyText"/>
              <w:spacing w:after="0"/>
              <w:rPr>
                <w:iCs/>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i</m:t>
                    </m:r>
                  </m:sub>
                </m:sSub>
                <m:r>
                  <m:rPr>
                    <m:sty m:val="p"/>
                  </m:rPr>
                  <w:rPr>
                    <w:rFonts w:ascii="Cambria Math" w:hAnsi="Cambria Math"/>
                    <w:sz w:val="22"/>
                    <w:szCs w:val="22"/>
                    <w:lang w:val="en-GB"/>
                  </w:rPr>
                  <m:t>=</m:t>
                </m:r>
                <m:f>
                  <m:fPr>
                    <m:ctrlPr>
                      <w:rPr>
                        <w:rFonts w:ascii="Cambria Math" w:hAnsi="Cambria Math"/>
                        <w:iCs/>
                        <w:sz w:val="22"/>
                        <w:szCs w:val="22"/>
                        <w:lang w:val="en-GB"/>
                      </w:rPr>
                    </m:ctrlPr>
                  </m:fPr>
                  <m:num>
                    <m:d>
                      <m:dPr>
                        <m:ctrlPr>
                          <w:rPr>
                            <w:rFonts w:ascii="Cambria Math" w:hAnsi="Cambria Math"/>
                            <w:iCs/>
                            <w:sz w:val="22"/>
                            <w:szCs w:val="22"/>
                            <w:lang w:val="en-GB"/>
                          </w:rPr>
                        </m:ctrlPr>
                      </m:dPr>
                      <m:e>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r</m:t>
                            </m:r>
                          </m:sub>
                        </m:sSub>
                        <m:r>
                          <m:rPr>
                            <m:sty m:val="p"/>
                          </m:rPr>
                          <w:rPr>
                            <w:rFonts w:ascii="Cambria Math" w:hAnsi="Cambria Math"/>
                            <w:sz w:val="22"/>
                            <w:szCs w:val="22"/>
                            <w:lang w:val="en-GB"/>
                          </w:rPr>
                          <m:t>×</m:t>
                        </m:r>
                        <m:sSub>
                          <m:sSubPr>
                            <m:ctrlPr>
                              <w:rPr>
                                <w:rFonts w:ascii="Cambria Math" w:hAnsi="Cambria Math"/>
                                <w:iCs/>
                                <w:sz w:val="22"/>
                                <w:szCs w:val="22"/>
                                <w:lang w:val="en-GB"/>
                              </w:rPr>
                            </m:ctrlPr>
                          </m:sSubPr>
                          <m:e>
                            <m:r>
                              <m:rPr>
                                <m:sty m:val="p"/>
                              </m:rPr>
                              <w:rPr>
                                <w:rFonts w:ascii="Cambria Math" w:hAnsi="Cambria Math"/>
                                <w:sz w:val="22"/>
                                <w:szCs w:val="22"/>
                                <w:lang w:val="en-GB"/>
                              </w:rPr>
                              <m:t>D</m:t>
                            </m:r>
                          </m:e>
                          <m:sub>
                            <m:r>
                              <m:rPr>
                                <m:sty m:val="p"/>
                              </m:rPr>
                              <w:rPr>
                                <w:rFonts w:ascii="Cambria Math" w:hAnsi="Cambria Math"/>
                                <w:sz w:val="22"/>
                                <w:szCs w:val="22"/>
                                <w:lang w:val="en-GB"/>
                              </w:rPr>
                              <m:t>r</m:t>
                            </m:r>
                          </m:sub>
                        </m:sSub>
                      </m:e>
                    </m:d>
                    <m:r>
                      <m:rPr>
                        <m:sty m:val="p"/>
                      </m:rPr>
                      <w:rPr>
                        <w:rFonts w:ascii="Cambria Math" w:hAnsi="Cambria Math"/>
                        <w:sz w:val="22"/>
                        <w:szCs w:val="22"/>
                        <w:lang w:val="en-GB"/>
                      </w:rPr>
                      <m:t>+(</m:t>
                    </m:r>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iw</m:t>
                        </m:r>
                      </m:sub>
                    </m:sSub>
                    <m:r>
                      <m:rPr>
                        <m:sty m:val="p"/>
                      </m:rPr>
                      <w:rPr>
                        <w:rFonts w:ascii="Cambria Math" w:hAnsi="Cambria Math"/>
                        <w:sz w:val="22"/>
                        <w:szCs w:val="22"/>
                        <w:lang w:val="en-GB"/>
                      </w:rPr>
                      <m:t>×</m:t>
                    </m:r>
                    <m:sSub>
                      <m:sSubPr>
                        <m:ctrlPr>
                          <w:rPr>
                            <w:rFonts w:ascii="Cambria Math" w:hAnsi="Cambria Math"/>
                            <w:iCs/>
                            <w:sz w:val="22"/>
                            <w:szCs w:val="22"/>
                            <w:lang w:val="en-GB"/>
                          </w:rPr>
                        </m:ctrlPr>
                      </m:sSubPr>
                      <m:e>
                        <m:r>
                          <m:rPr>
                            <m:sty m:val="p"/>
                          </m:rPr>
                          <w:rPr>
                            <w:rFonts w:ascii="Cambria Math" w:hAnsi="Cambria Math"/>
                            <w:sz w:val="22"/>
                            <w:szCs w:val="22"/>
                            <w:lang w:val="en-GB"/>
                          </w:rPr>
                          <m:t>D</m:t>
                        </m:r>
                      </m:e>
                      <m:sub>
                        <m:r>
                          <m:rPr>
                            <m:sty m:val="p"/>
                          </m:rPr>
                          <w:rPr>
                            <w:rFonts w:ascii="Cambria Math" w:hAnsi="Cambria Math"/>
                            <w:sz w:val="22"/>
                            <w:szCs w:val="22"/>
                            <w:lang w:val="en-GB"/>
                          </w:rPr>
                          <m:t>iw</m:t>
                        </m:r>
                      </m:sub>
                    </m:sSub>
                    <m:r>
                      <m:rPr>
                        <m:sty m:val="p"/>
                      </m:rPr>
                      <w:rPr>
                        <w:rFonts w:ascii="Cambria Math" w:hAnsi="Cambria Math"/>
                        <w:sz w:val="22"/>
                        <w:szCs w:val="22"/>
                        <w:lang w:val="en-GB"/>
                      </w:rPr>
                      <m:t>)</m:t>
                    </m:r>
                  </m:num>
                  <m:den>
                    <m:r>
                      <m:rPr>
                        <m:sty m:val="p"/>
                      </m:rPr>
                      <w:rPr>
                        <w:rFonts w:ascii="Cambria Math" w:hAnsi="Cambria Math"/>
                        <w:sz w:val="22"/>
                        <w:szCs w:val="22"/>
                        <w:lang w:val="en-GB"/>
                      </w:rPr>
                      <m:t>(</m:t>
                    </m:r>
                    <m:sSub>
                      <m:sSubPr>
                        <m:ctrlPr>
                          <w:rPr>
                            <w:rFonts w:ascii="Cambria Math" w:hAnsi="Cambria Math"/>
                            <w:iCs/>
                            <w:sz w:val="22"/>
                            <w:szCs w:val="22"/>
                            <w:lang w:val="en-GB"/>
                          </w:rPr>
                        </m:ctrlPr>
                      </m:sSubPr>
                      <m:e>
                        <m:r>
                          <m:rPr>
                            <m:sty m:val="p"/>
                          </m:rPr>
                          <w:rPr>
                            <w:rFonts w:ascii="Cambria Math" w:hAnsi="Cambria Math"/>
                            <w:sz w:val="22"/>
                            <w:szCs w:val="22"/>
                            <w:lang w:val="en-GB"/>
                          </w:rPr>
                          <m:t>D</m:t>
                        </m:r>
                      </m:e>
                      <m:sub>
                        <m:r>
                          <m:rPr>
                            <m:sty m:val="p"/>
                          </m:rPr>
                          <w:rPr>
                            <w:rFonts w:ascii="Cambria Math" w:hAnsi="Cambria Math"/>
                            <w:sz w:val="22"/>
                            <w:szCs w:val="22"/>
                            <w:lang w:val="en-GB"/>
                          </w:rPr>
                          <m:t>r</m:t>
                        </m:r>
                      </m:sub>
                    </m:sSub>
                    <m:r>
                      <m:rPr>
                        <m:sty m:val="p"/>
                      </m:rPr>
                      <w:rPr>
                        <w:rFonts w:ascii="Cambria Math" w:hAnsi="Cambria Math"/>
                        <w:sz w:val="22"/>
                        <w:szCs w:val="22"/>
                        <w:lang w:val="en-GB"/>
                      </w:rPr>
                      <m:t>+</m:t>
                    </m:r>
                    <m:sSub>
                      <m:sSubPr>
                        <m:ctrlPr>
                          <w:rPr>
                            <w:rFonts w:ascii="Cambria Math" w:hAnsi="Cambria Math"/>
                            <w:iCs/>
                            <w:sz w:val="22"/>
                            <w:szCs w:val="22"/>
                            <w:lang w:val="en-GB"/>
                          </w:rPr>
                        </m:ctrlPr>
                      </m:sSubPr>
                      <m:e>
                        <m:r>
                          <m:rPr>
                            <m:sty m:val="p"/>
                          </m:rPr>
                          <w:rPr>
                            <w:rFonts w:ascii="Cambria Math" w:hAnsi="Cambria Math"/>
                            <w:sz w:val="22"/>
                            <w:szCs w:val="22"/>
                            <w:lang w:val="en-GB"/>
                          </w:rPr>
                          <m:t>D</m:t>
                        </m:r>
                      </m:e>
                      <m:sub>
                        <m:r>
                          <m:rPr>
                            <m:sty m:val="p"/>
                          </m:rPr>
                          <w:rPr>
                            <w:rFonts w:ascii="Cambria Math" w:hAnsi="Cambria Math"/>
                            <w:sz w:val="22"/>
                            <w:szCs w:val="22"/>
                            <w:lang w:val="en-GB"/>
                          </w:rPr>
                          <m:t>iw</m:t>
                        </m:r>
                      </m:sub>
                    </m:sSub>
                    <m:r>
                      <m:rPr>
                        <m:sty m:val="p"/>
                      </m:rPr>
                      <w:rPr>
                        <w:rFonts w:ascii="Cambria Math" w:hAnsi="Cambria Math"/>
                        <w:sz w:val="22"/>
                        <w:szCs w:val="22"/>
                        <w:lang w:val="en-GB"/>
                      </w:rPr>
                      <m:t>)</m:t>
                    </m:r>
                  </m:den>
                </m:f>
                <m:r>
                  <m:rPr>
                    <m:sty m:val="p"/>
                  </m:rPr>
                  <w:rPr>
                    <w:rFonts w:ascii="Cambria Math" w:hAnsi="Cambria Math"/>
                    <w:sz w:val="22"/>
                    <w:szCs w:val="22"/>
                    <w:lang w:val="en-GB"/>
                  </w:rPr>
                  <m:t xml:space="preserve"> </m:t>
                </m:r>
              </m:oMath>
            </m:oMathPara>
          </w:p>
        </w:tc>
        <w:tc>
          <w:tcPr>
            <w:tcW w:w="4505" w:type="dxa"/>
          </w:tcPr>
          <w:p w14:paraId="59DCC514" w14:textId="365DDB7D" w:rsidR="0064076E" w:rsidRPr="00D93FF9" w:rsidRDefault="00E811B8" w:rsidP="004A4C4C">
            <w:pPr>
              <w:pStyle w:val="Caption"/>
              <w:jc w:val="right"/>
              <w:rPr>
                <w:sz w:val="22"/>
                <w:szCs w:val="22"/>
              </w:rPr>
            </w:pPr>
            <w:bookmarkStart w:id="84" w:name="_Ref70605126"/>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5</w:t>
            </w:r>
            <w:r w:rsidRPr="00D93FF9">
              <w:rPr>
                <w:szCs w:val="22"/>
              </w:rPr>
              <w:fldChar w:fldCharType="end"/>
            </w:r>
            <w:bookmarkEnd w:id="84"/>
          </w:p>
          <w:p w14:paraId="59DCC515" w14:textId="77777777" w:rsidR="0064076E" w:rsidRPr="00D93FF9" w:rsidRDefault="0064076E" w:rsidP="003807A1">
            <w:pPr>
              <w:pStyle w:val="BodyText"/>
              <w:spacing w:after="0"/>
              <w:rPr>
                <w:lang w:val="en-GB"/>
              </w:rPr>
            </w:pPr>
          </w:p>
        </w:tc>
      </w:tr>
    </w:tbl>
    <w:p w14:paraId="59DCC517" w14:textId="77777777" w:rsidR="0064076E" w:rsidRPr="00D93FF9" w:rsidRDefault="0064076E" w:rsidP="003807A1">
      <w:pPr>
        <w:pStyle w:val="BodyText"/>
        <w:spacing w:after="0"/>
        <w:rPr>
          <w:lang w:val="en-GB"/>
        </w:rPr>
      </w:pPr>
    </w:p>
    <w:p w14:paraId="59DCC518" w14:textId="77777777" w:rsidR="00C46175" w:rsidRPr="00D93FF9" w:rsidRDefault="00E811B8" w:rsidP="003807A1">
      <w:pPr>
        <w:pStyle w:val="BodyText"/>
        <w:spacing w:after="0"/>
        <w:rPr>
          <w:lang w:val="en-GB"/>
        </w:rPr>
      </w:pPr>
      <w:r w:rsidRPr="00D93FF9">
        <w:rPr>
          <w:lang w:val="en-GB"/>
        </w:rPr>
        <w:t>where:</w:t>
      </w:r>
    </w:p>
    <w:p w14:paraId="59DCC519" w14:textId="77777777" w:rsidR="00C46175" w:rsidRPr="00D93FF9" w:rsidRDefault="00E811B8" w:rsidP="003807A1">
      <w:pPr>
        <w:spacing w:after="0"/>
        <w:rPr>
          <w:lang w:val="en-GB"/>
        </w:rPr>
      </w:pPr>
      <w:r w:rsidRPr="00D93FF9">
        <w:rPr>
          <w:lang w:val="en-GB"/>
        </w:rPr>
        <w:t>EC</w:t>
      </w:r>
      <w:r w:rsidRPr="00D93FF9">
        <w:rPr>
          <w:position w:val="-4"/>
          <w:sz w:val="15"/>
          <w:lang w:val="en-GB"/>
        </w:rPr>
        <w:t>i</w:t>
      </w:r>
      <w:r w:rsidRPr="00D93FF9">
        <w:rPr>
          <w:position w:val="-4"/>
          <w:sz w:val="15"/>
          <w:lang w:val="en-GB"/>
        </w:rPr>
        <w:tab/>
      </w:r>
      <w:r w:rsidRPr="00D93FF9">
        <w:rPr>
          <w:lang w:val="en-GB"/>
        </w:rPr>
        <w:t xml:space="preserve">= electrical conductivity of water </w:t>
      </w:r>
      <w:r w:rsidR="00FA7FE5" w:rsidRPr="00D93FF9">
        <w:rPr>
          <w:lang w:val="en-GB"/>
        </w:rPr>
        <w:t xml:space="preserve">infiltrating </w:t>
      </w:r>
      <w:r w:rsidRPr="00D93FF9">
        <w:rPr>
          <w:lang w:val="en-GB"/>
        </w:rPr>
        <w:t>soil (rainfall +</w:t>
      </w:r>
      <w:r w:rsidRPr="00D93FF9">
        <w:rPr>
          <w:spacing w:val="-5"/>
          <w:lang w:val="en-GB"/>
        </w:rPr>
        <w:t xml:space="preserve"> </w:t>
      </w:r>
      <w:r w:rsidRPr="00D93FF9">
        <w:rPr>
          <w:lang w:val="en-GB"/>
        </w:rPr>
        <w:t>irrigation)</w:t>
      </w:r>
      <w:r w:rsidR="00FA7FE5" w:rsidRPr="00D93FF9">
        <w:rPr>
          <w:lang w:val="en-GB"/>
        </w:rPr>
        <w:t xml:space="preserve"> with units of dS/m (measur</w:t>
      </w:r>
      <w:r w:rsidR="00C44E09" w:rsidRPr="00D93FF9">
        <w:rPr>
          <w:lang w:val="en-GB"/>
        </w:rPr>
        <w:t>ed</w:t>
      </w:r>
      <w:r w:rsidR="00FA7FE5" w:rsidRPr="00D93FF9">
        <w:rPr>
          <w:lang w:val="en-GB"/>
        </w:rPr>
        <w:t>)</w:t>
      </w:r>
    </w:p>
    <w:p w14:paraId="59DCC51A" w14:textId="77777777" w:rsidR="00C1155D" w:rsidRPr="00D93FF9" w:rsidRDefault="00E811B8" w:rsidP="003807A1">
      <w:pPr>
        <w:pStyle w:val="BodyText"/>
        <w:tabs>
          <w:tab w:val="left" w:pos="992"/>
        </w:tabs>
        <w:spacing w:after="0" w:line="309" w:lineRule="auto"/>
        <w:rPr>
          <w:lang w:val="en-GB"/>
        </w:rPr>
      </w:pPr>
      <w:r w:rsidRPr="00D93FF9">
        <w:rPr>
          <w:lang w:val="en-GB"/>
        </w:rPr>
        <w:lastRenderedPageBreak/>
        <w:t>EC</w:t>
      </w:r>
      <w:r w:rsidRPr="00D93FF9">
        <w:rPr>
          <w:position w:val="-4"/>
          <w:sz w:val="15"/>
          <w:lang w:val="en-GB"/>
        </w:rPr>
        <w:t>r</w:t>
      </w:r>
      <w:r w:rsidRPr="00D93FF9">
        <w:rPr>
          <w:position w:val="-4"/>
          <w:sz w:val="15"/>
          <w:lang w:val="en-GB"/>
        </w:rPr>
        <w:tab/>
      </w:r>
      <w:r w:rsidRPr="00D93FF9">
        <w:rPr>
          <w:lang w:val="en-GB"/>
        </w:rPr>
        <w:t xml:space="preserve">= electrical conductivity of rainfall, taken to be 0.03 dS/m (unless measured locally) </w:t>
      </w:r>
    </w:p>
    <w:p w14:paraId="59DCC51B" w14:textId="77777777" w:rsidR="00C46175" w:rsidRPr="00D93FF9" w:rsidRDefault="00E811B8" w:rsidP="003807A1">
      <w:pPr>
        <w:pStyle w:val="BodyText"/>
        <w:tabs>
          <w:tab w:val="left" w:pos="992"/>
        </w:tabs>
        <w:spacing w:after="0" w:line="309" w:lineRule="auto"/>
        <w:rPr>
          <w:lang w:val="en-GB"/>
        </w:rPr>
      </w:pPr>
      <w:r w:rsidRPr="00D93FF9">
        <w:rPr>
          <w:lang w:val="en-GB"/>
        </w:rPr>
        <w:t>EC</w:t>
      </w:r>
      <w:r w:rsidRPr="00D93FF9">
        <w:rPr>
          <w:position w:val="-4"/>
          <w:sz w:val="15"/>
          <w:lang w:val="en-GB"/>
        </w:rPr>
        <w:t>iw</w:t>
      </w:r>
      <w:r w:rsidRPr="00D93FF9">
        <w:rPr>
          <w:position w:val="-4"/>
          <w:sz w:val="15"/>
          <w:lang w:val="en-GB"/>
        </w:rPr>
        <w:tab/>
      </w:r>
      <w:r w:rsidRPr="00D93FF9">
        <w:rPr>
          <w:lang w:val="en-GB"/>
        </w:rPr>
        <w:t>= electrical conductivity of irrigation water in</w:t>
      </w:r>
      <w:r w:rsidRPr="00D93FF9">
        <w:rPr>
          <w:spacing w:val="-2"/>
          <w:lang w:val="en-GB"/>
        </w:rPr>
        <w:t xml:space="preserve"> </w:t>
      </w:r>
      <w:r w:rsidRPr="00D93FF9">
        <w:rPr>
          <w:lang w:val="en-GB"/>
        </w:rPr>
        <w:t>dS/m</w:t>
      </w:r>
      <w:r w:rsidR="00C44E09" w:rsidRPr="00D93FF9">
        <w:rPr>
          <w:lang w:val="en-GB"/>
        </w:rPr>
        <w:t xml:space="preserve"> (measured)</w:t>
      </w:r>
    </w:p>
    <w:p w14:paraId="59DCC51C" w14:textId="77777777" w:rsidR="00C46175" w:rsidRPr="00D93FF9" w:rsidRDefault="00E811B8" w:rsidP="003807A1">
      <w:pPr>
        <w:pStyle w:val="BodyText"/>
        <w:tabs>
          <w:tab w:val="left" w:pos="997"/>
        </w:tabs>
        <w:spacing w:after="0" w:line="285" w:lineRule="exact"/>
        <w:rPr>
          <w:lang w:val="en-GB"/>
        </w:rPr>
      </w:pPr>
      <w:r w:rsidRPr="00D93FF9">
        <w:rPr>
          <w:lang w:val="en-GB"/>
        </w:rPr>
        <w:t>D</w:t>
      </w:r>
      <w:r w:rsidRPr="00D93FF9">
        <w:rPr>
          <w:position w:val="-4"/>
          <w:sz w:val="15"/>
          <w:lang w:val="en-GB"/>
        </w:rPr>
        <w:t>r</w:t>
      </w:r>
      <w:r w:rsidRPr="00D93FF9">
        <w:rPr>
          <w:position w:val="-4"/>
          <w:sz w:val="15"/>
          <w:lang w:val="en-GB"/>
        </w:rPr>
        <w:tab/>
      </w:r>
      <w:r w:rsidRPr="00D93FF9">
        <w:rPr>
          <w:lang w:val="en-GB"/>
        </w:rPr>
        <w:t>= rainfall depth in</w:t>
      </w:r>
      <w:r w:rsidRPr="00D93FF9">
        <w:rPr>
          <w:spacing w:val="-1"/>
          <w:lang w:val="en-GB"/>
        </w:rPr>
        <w:t xml:space="preserve"> </w:t>
      </w:r>
      <w:r w:rsidRPr="00D93FF9">
        <w:rPr>
          <w:lang w:val="en-GB"/>
        </w:rPr>
        <w:t>mm/year</w:t>
      </w:r>
      <w:r w:rsidR="00C44E09" w:rsidRPr="00D93FF9">
        <w:rPr>
          <w:lang w:val="en-GB"/>
        </w:rPr>
        <w:t xml:space="preserve"> (measured)</w:t>
      </w:r>
    </w:p>
    <w:p w14:paraId="59DCC51D" w14:textId="77777777" w:rsidR="00C44E09" w:rsidRPr="00D93FF9" w:rsidRDefault="00E811B8" w:rsidP="003807A1">
      <w:pPr>
        <w:pStyle w:val="BodyText"/>
        <w:tabs>
          <w:tab w:val="left" w:pos="992"/>
        </w:tabs>
        <w:spacing w:after="0" w:line="292" w:lineRule="auto"/>
        <w:rPr>
          <w:lang w:val="en-GB"/>
        </w:rPr>
      </w:pPr>
      <w:r w:rsidRPr="00D93FF9">
        <w:rPr>
          <w:lang w:val="en-GB"/>
        </w:rPr>
        <w:t>D</w:t>
      </w:r>
      <w:r w:rsidRPr="00D93FF9">
        <w:rPr>
          <w:position w:val="-4"/>
          <w:sz w:val="15"/>
          <w:lang w:val="en-GB"/>
        </w:rPr>
        <w:t>iw</w:t>
      </w:r>
      <w:r w:rsidRPr="00D93FF9">
        <w:rPr>
          <w:position w:val="-4"/>
          <w:sz w:val="15"/>
          <w:lang w:val="en-GB"/>
        </w:rPr>
        <w:tab/>
      </w:r>
      <w:r w:rsidRPr="00D93FF9">
        <w:rPr>
          <w:lang w:val="en-GB"/>
        </w:rPr>
        <w:t>= depth of irrigation water applied to the soil profile in mm/year (measured)</w:t>
      </w:r>
      <w:r w:rsidR="003662DB" w:rsidRPr="00D93FF9">
        <w:rPr>
          <w:lang w:val="en-GB"/>
        </w:rPr>
        <w:t>.</w:t>
      </w:r>
    </w:p>
    <w:p w14:paraId="59DCC51E" w14:textId="77777777" w:rsidR="00C46175" w:rsidRPr="00D93FF9" w:rsidRDefault="00E811B8" w:rsidP="003807A1">
      <w:pPr>
        <w:pStyle w:val="BodyText"/>
        <w:tabs>
          <w:tab w:val="left" w:pos="992"/>
        </w:tabs>
        <w:spacing w:after="0" w:line="292" w:lineRule="auto"/>
        <w:rPr>
          <w:lang w:val="en-GB"/>
        </w:rPr>
      </w:pPr>
      <w:r w:rsidRPr="00D93FF9">
        <w:rPr>
          <w:lang w:val="en-GB"/>
        </w:rPr>
        <w:t xml:space="preserve">Note </w:t>
      </w:r>
      <w:r w:rsidR="00FA7FE5" w:rsidRPr="00D93FF9">
        <w:rPr>
          <w:lang w:val="en-GB"/>
        </w:rPr>
        <w:t>that it is assumed that all the applied irrigation water and rainfall infiltrates the soil. Clearly this is an approximation as rainfall runoff occurs from most soils whilst furrow irrigation</w:t>
      </w:r>
      <w:r w:rsidR="006D165F" w:rsidRPr="00D93FF9">
        <w:rPr>
          <w:lang w:val="en-GB"/>
        </w:rPr>
        <w:t xml:space="preserve"> </w:t>
      </w:r>
      <w:r w:rsidR="00FA7FE5" w:rsidRPr="00D93FF9">
        <w:rPr>
          <w:lang w:val="en-GB"/>
        </w:rPr>
        <w:t xml:space="preserve">is rarely 100% efficient in terms of infiltration. </w:t>
      </w:r>
    </w:p>
    <w:p w14:paraId="59DCC51F" w14:textId="77777777" w:rsidR="00C46175" w:rsidRPr="00D93FF9" w:rsidRDefault="00E811B8" w:rsidP="00F834E3">
      <w:pPr>
        <w:pStyle w:val="ListBullet"/>
        <w:rPr>
          <w:lang w:val="en-GB"/>
        </w:rPr>
      </w:pPr>
      <w:r w:rsidRPr="00D93FF9">
        <w:rPr>
          <w:lang w:val="en-GB"/>
        </w:rPr>
        <w:t xml:space="preserve">LF </w:t>
      </w:r>
      <w:r w:rsidRPr="00D93FF9">
        <w:t>prediction</w:t>
      </w:r>
      <w:r w:rsidRPr="00D93FF9">
        <w:rPr>
          <w:lang w:val="en-GB"/>
        </w:rPr>
        <w:t xml:space="preserve"> models</w:t>
      </w:r>
    </w:p>
    <w:p w14:paraId="59DCC520" w14:textId="2AF7C7D4" w:rsidR="00C46175" w:rsidRPr="00D93FF9" w:rsidRDefault="00E811B8" w:rsidP="003807A1">
      <w:pPr>
        <w:pStyle w:val="BodyText"/>
        <w:spacing w:after="0"/>
        <w:rPr>
          <w:lang w:val="en-GB"/>
        </w:rPr>
      </w:pPr>
      <w:r w:rsidRPr="00D93FF9">
        <w:rPr>
          <w:lang w:val="en-GB"/>
        </w:rPr>
        <w:t>Irrigation water salinity can be predicted using several approaches as outlined in</w:t>
      </w:r>
      <w:r w:rsidR="008C20B1" w:rsidRPr="00D93FF9">
        <w:rPr>
          <w:lang w:val="en-GB"/>
        </w:rPr>
        <w:t xml:space="preserve"> </w:t>
      </w:r>
      <w:r w:rsidR="008C20B1" w:rsidRPr="00D93FF9">
        <w:rPr>
          <w:lang w:val="en-GB"/>
        </w:rPr>
        <w:fldChar w:fldCharType="begin"/>
      </w:r>
      <w:r w:rsidR="008C20B1" w:rsidRPr="00D93FF9">
        <w:rPr>
          <w:lang w:val="en-GB"/>
        </w:rPr>
        <w:instrText xml:space="preserve"> REF _Ref81391002 \h </w:instrText>
      </w:r>
      <w:r w:rsidR="00D93FF9">
        <w:rPr>
          <w:lang w:val="en-GB"/>
        </w:rPr>
        <w:instrText xml:space="preserve"> \* MERGEFORMAT </w:instrText>
      </w:r>
      <w:r w:rsidR="008C20B1" w:rsidRPr="00D93FF9">
        <w:rPr>
          <w:lang w:val="en-GB"/>
        </w:rPr>
      </w:r>
      <w:r w:rsidR="008C20B1" w:rsidRPr="00D93FF9">
        <w:rPr>
          <w:lang w:val="en-GB"/>
        </w:rPr>
        <w:fldChar w:fldCharType="separate"/>
      </w:r>
      <w:r w:rsidR="0069302C" w:rsidRPr="00D93FF9">
        <w:t xml:space="preserve">Table </w:t>
      </w:r>
      <w:r w:rsidR="0069302C">
        <w:rPr>
          <w:noProof/>
        </w:rPr>
        <w:t>10</w:t>
      </w:r>
      <w:r w:rsidR="008C20B1" w:rsidRPr="00D93FF9">
        <w:rPr>
          <w:lang w:val="en-GB"/>
        </w:rPr>
        <w:fldChar w:fldCharType="end"/>
      </w:r>
      <w:r w:rsidRPr="00D93FF9">
        <w:rPr>
          <w:lang w:val="en-GB"/>
        </w:rPr>
        <w:t>.</w:t>
      </w:r>
    </w:p>
    <w:p w14:paraId="59DCC521" w14:textId="77777777" w:rsidR="006D165F" w:rsidRPr="00D93FF9" w:rsidRDefault="006D165F" w:rsidP="003807A1">
      <w:pPr>
        <w:pStyle w:val="BodyText"/>
        <w:spacing w:after="0"/>
        <w:rPr>
          <w:lang w:val="en-GB"/>
        </w:rPr>
      </w:pPr>
    </w:p>
    <w:p w14:paraId="59DCC522" w14:textId="0EB4F8ED" w:rsidR="00EF590F" w:rsidRPr="00D93FF9" w:rsidRDefault="008C20B1" w:rsidP="008C20B1">
      <w:pPr>
        <w:pStyle w:val="Caption"/>
        <w:rPr>
          <w:rFonts w:ascii="Arial"/>
          <w:sz w:val="12"/>
          <w:lang w:val="en-GB"/>
        </w:rPr>
      </w:pPr>
      <w:bookmarkStart w:id="85" w:name="_Ref81391002"/>
      <w:bookmarkStart w:id="86" w:name="_Toc96518224"/>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10</w:t>
      </w:r>
      <w:r w:rsidR="00477102" w:rsidRPr="00D93FF9">
        <w:fldChar w:fldCharType="end"/>
      </w:r>
      <w:bookmarkEnd w:id="85"/>
      <w:r w:rsidRPr="00D93FF9">
        <w:t xml:space="preserve"> </w:t>
      </w:r>
      <w:bookmarkStart w:id="87" w:name="_Hlk153787601"/>
      <w:r w:rsidR="00E811B8" w:rsidRPr="00D93FF9">
        <w:rPr>
          <w:rFonts w:ascii="Arial"/>
          <w:sz w:val="18"/>
          <w:lang w:val="en-GB"/>
        </w:rPr>
        <w:t>Summary of methods and data required for estimating leaching fraction for different conditions</w:t>
      </w:r>
      <w:r w:rsidR="00E811B8" w:rsidRPr="00D93FF9">
        <w:rPr>
          <w:rFonts w:ascii="Arial"/>
          <w:position w:val="4"/>
          <w:sz w:val="12"/>
          <w:lang w:val="en-GB"/>
        </w:rPr>
        <w:t>a</w:t>
      </w:r>
      <w:bookmarkEnd w:id="86"/>
      <w:bookmarkEnd w:id="8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 summary of methods and data required for estimating leaching fraction for different conditions"/>
        <w:tblDescription w:val="Condition models are shown in the first column, field data required are shown in the second column, and the methods are shown in the third column."/>
      </w:tblPr>
      <w:tblGrid>
        <w:gridCol w:w="3003"/>
        <w:gridCol w:w="3003"/>
        <w:gridCol w:w="3004"/>
      </w:tblGrid>
      <w:tr w:rsidR="00BE3AA8" w:rsidRPr="006316DE" w14:paraId="59DCC526" w14:textId="77777777" w:rsidTr="00A8314F">
        <w:tc>
          <w:tcPr>
            <w:tcW w:w="3003" w:type="dxa"/>
          </w:tcPr>
          <w:p w14:paraId="59DCC523" w14:textId="77777777" w:rsidR="006D165F" w:rsidRPr="006316DE" w:rsidRDefault="00E811B8" w:rsidP="003807A1">
            <w:pPr>
              <w:pStyle w:val="BodyText"/>
              <w:spacing w:after="0"/>
              <w:rPr>
                <w:rFonts w:asciiTheme="minorHAnsi" w:hAnsiTheme="minorHAnsi" w:cstheme="minorHAnsi"/>
                <w:b/>
                <w:bCs/>
                <w:szCs w:val="18"/>
                <w:lang w:val="en-GB"/>
              </w:rPr>
            </w:pPr>
            <w:r w:rsidRPr="006316DE">
              <w:rPr>
                <w:rFonts w:asciiTheme="minorHAnsi" w:hAnsiTheme="minorHAnsi" w:cstheme="minorHAnsi"/>
                <w:b/>
                <w:bCs/>
                <w:szCs w:val="18"/>
                <w:lang w:val="en-GB"/>
              </w:rPr>
              <w:t>Condition model</w:t>
            </w:r>
          </w:p>
        </w:tc>
        <w:tc>
          <w:tcPr>
            <w:tcW w:w="3003" w:type="dxa"/>
          </w:tcPr>
          <w:p w14:paraId="59DCC524" w14:textId="77777777" w:rsidR="006D165F" w:rsidRPr="006316DE" w:rsidRDefault="00E811B8" w:rsidP="003807A1">
            <w:pPr>
              <w:pStyle w:val="BodyText"/>
              <w:spacing w:after="0"/>
              <w:rPr>
                <w:rFonts w:asciiTheme="minorHAnsi" w:hAnsiTheme="minorHAnsi" w:cstheme="minorHAnsi"/>
                <w:b/>
                <w:bCs/>
                <w:szCs w:val="18"/>
                <w:lang w:val="en-GB"/>
              </w:rPr>
            </w:pPr>
            <w:r w:rsidRPr="006316DE">
              <w:rPr>
                <w:rFonts w:asciiTheme="minorHAnsi" w:hAnsiTheme="minorHAnsi" w:cstheme="minorHAnsi"/>
                <w:b/>
                <w:bCs/>
                <w:szCs w:val="18"/>
                <w:lang w:val="en-GB"/>
              </w:rPr>
              <w:t>Field data</w:t>
            </w:r>
          </w:p>
        </w:tc>
        <w:tc>
          <w:tcPr>
            <w:tcW w:w="3004" w:type="dxa"/>
          </w:tcPr>
          <w:p w14:paraId="59DCC525" w14:textId="77777777" w:rsidR="006D165F" w:rsidRPr="006316DE" w:rsidRDefault="00E811B8" w:rsidP="003807A1">
            <w:pPr>
              <w:pStyle w:val="BodyText"/>
              <w:spacing w:after="0"/>
              <w:rPr>
                <w:rFonts w:asciiTheme="minorHAnsi" w:hAnsiTheme="minorHAnsi" w:cstheme="minorHAnsi"/>
                <w:b/>
                <w:bCs/>
                <w:szCs w:val="18"/>
                <w:lang w:val="en-GB"/>
              </w:rPr>
            </w:pPr>
            <w:r w:rsidRPr="006316DE">
              <w:rPr>
                <w:rFonts w:asciiTheme="minorHAnsi" w:hAnsiTheme="minorHAnsi" w:cstheme="minorHAnsi"/>
                <w:b/>
                <w:bCs/>
                <w:szCs w:val="18"/>
                <w:lang w:val="en-GB"/>
              </w:rPr>
              <w:t>Method</w:t>
            </w:r>
          </w:p>
        </w:tc>
      </w:tr>
      <w:tr w:rsidR="00BE3AA8" w:rsidRPr="006316DE" w14:paraId="59DCC52E" w14:textId="77777777" w:rsidTr="00A8314F">
        <w:tc>
          <w:tcPr>
            <w:tcW w:w="3003" w:type="dxa"/>
          </w:tcPr>
          <w:p w14:paraId="59DCC527" w14:textId="77777777" w:rsidR="006D165F" w:rsidRPr="006316DE" w:rsidRDefault="00E811B8" w:rsidP="003807A1">
            <w:pPr>
              <w:pStyle w:val="BodyText"/>
              <w:spacing w:after="0"/>
              <w:rPr>
                <w:rFonts w:asciiTheme="minorHAnsi" w:hAnsiTheme="minorHAnsi" w:cstheme="minorHAnsi"/>
                <w:szCs w:val="18"/>
                <w:lang w:val="en-GB"/>
              </w:rPr>
            </w:pPr>
            <w:r w:rsidRPr="006316DE">
              <w:rPr>
                <w:rFonts w:asciiTheme="minorHAnsi" w:hAnsiTheme="minorHAnsi" w:cstheme="minorHAnsi"/>
                <w:szCs w:val="18"/>
                <w:lang w:val="en-GB"/>
              </w:rPr>
              <w:t>Prior to irrigation</w:t>
            </w:r>
          </w:p>
          <w:p w14:paraId="59DCC528" w14:textId="233EC90D" w:rsidR="00EF590F" w:rsidRPr="006316DE" w:rsidRDefault="00E811B8" w:rsidP="003807A1">
            <w:pPr>
              <w:pStyle w:val="BodyText"/>
              <w:spacing w:after="0"/>
              <w:rPr>
                <w:rFonts w:asciiTheme="minorHAnsi" w:hAnsiTheme="minorHAnsi" w:cstheme="minorHAnsi"/>
                <w:szCs w:val="18"/>
                <w:lang w:val="en-GB"/>
              </w:rPr>
            </w:pPr>
            <w:r w:rsidRPr="006316DE">
              <w:rPr>
                <w:rFonts w:asciiTheme="minorHAnsi" w:hAnsiTheme="minorHAnsi" w:cstheme="minorHAnsi"/>
                <w:szCs w:val="18"/>
                <w:lang w:val="en-GB"/>
              </w:rPr>
              <w:t xml:space="preserve">Shaw </w:t>
            </w:r>
            <w:r w:rsidR="00FA6E9E" w:rsidRPr="006316DE">
              <w:rPr>
                <w:rFonts w:asciiTheme="minorHAnsi" w:hAnsiTheme="minorHAnsi" w:cstheme="minorHAnsi"/>
                <w:szCs w:val="18"/>
                <w:lang w:val="en-GB"/>
              </w:rPr>
              <w:t>and</w:t>
            </w:r>
            <w:r w:rsidRPr="006316DE">
              <w:rPr>
                <w:rFonts w:asciiTheme="minorHAnsi" w:hAnsiTheme="minorHAnsi" w:cstheme="minorHAnsi"/>
                <w:szCs w:val="18"/>
                <w:lang w:val="en-GB"/>
              </w:rPr>
              <w:t xml:space="preserve"> Thorburn (1985)</w:t>
            </w:r>
            <w:r w:rsidR="00CF45F1" w:rsidRPr="006316DE">
              <w:rPr>
                <w:rFonts w:asciiTheme="minorHAnsi" w:hAnsiTheme="minorHAnsi" w:cstheme="minorHAnsi"/>
                <w:szCs w:val="18"/>
                <w:lang w:val="en-GB"/>
              </w:rPr>
              <w:t>;</w:t>
            </w:r>
            <w:r w:rsidRPr="006316DE">
              <w:rPr>
                <w:rFonts w:asciiTheme="minorHAnsi" w:hAnsiTheme="minorHAnsi" w:cstheme="minorHAnsi"/>
                <w:szCs w:val="18"/>
                <w:lang w:val="en-GB"/>
              </w:rPr>
              <w:t xml:space="preserve"> Shaw (1996)</w:t>
            </w:r>
          </w:p>
        </w:tc>
        <w:tc>
          <w:tcPr>
            <w:tcW w:w="3003" w:type="dxa"/>
          </w:tcPr>
          <w:p w14:paraId="59DCC529" w14:textId="77777777" w:rsidR="00EF590F" w:rsidRPr="006316DE" w:rsidRDefault="00E811B8" w:rsidP="00A8314F">
            <w:pPr>
              <w:spacing w:after="0" w:line="235" w:lineRule="auto"/>
              <w:rPr>
                <w:rFonts w:asciiTheme="minorHAnsi" w:hAnsiTheme="minorHAnsi" w:cstheme="minorHAnsi"/>
                <w:szCs w:val="18"/>
                <w:lang w:val="en-GB"/>
              </w:rPr>
            </w:pPr>
            <w:r w:rsidRPr="006316DE">
              <w:rPr>
                <w:rFonts w:asciiTheme="minorHAnsi" w:hAnsiTheme="minorHAnsi" w:cstheme="minorHAnsi"/>
                <w:szCs w:val="18"/>
                <w:lang w:val="en-GB"/>
              </w:rPr>
              <w:t>(a) EC and amount of irrigation water, rainfall, EC1:5 at bottom of root zone, maximum field water content</w:t>
            </w:r>
          </w:p>
          <w:p w14:paraId="59DCC52A" w14:textId="77777777" w:rsidR="006D165F" w:rsidRPr="006316DE" w:rsidRDefault="00E811B8" w:rsidP="00A8314F">
            <w:pPr>
              <w:spacing w:after="0" w:line="235" w:lineRule="auto"/>
              <w:rPr>
                <w:rFonts w:asciiTheme="minorHAnsi" w:hAnsiTheme="minorHAnsi" w:cstheme="minorHAnsi"/>
                <w:szCs w:val="18"/>
                <w:lang w:val="en-GB"/>
              </w:rPr>
            </w:pPr>
            <w:r w:rsidRPr="006316DE">
              <w:rPr>
                <w:rFonts w:asciiTheme="minorHAnsi" w:hAnsiTheme="minorHAnsi" w:cstheme="minorHAnsi"/>
                <w:szCs w:val="18"/>
                <w:lang w:val="en-GB"/>
              </w:rPr>
              <w:t xml:space="preserve">(b) </w:t>
            </w:r>
            <w:r w:rsidR="00EF590F" w:rsidRPr="006316DE">
              <w:rPr>
                <w:rFonts w:asciiTheme="minorHAnsi" w:hAnsiTheme="minorHAnsi" w:cstheme="minorHAnsi"/>
                <w:szCs w:val="18"/>
                <w:lang w:val="en-GB"/>
              </w:rPr>
              <w:t>Clay and CEC from 0 to 0.9 m, ESP at 0.9 m, annual rainfall and irrigation and EC of irrigation.</w:t>
            </w:r>
          </w:p>
        </w:tc>
        <w:tc>
          <w:tcPr>
            <w:tcW w:w="3004" w:type="dxa"/>
          </w:tcPr>
          <w:p w14:paraId="59DCC52B" w14:textId="77777777" w:rsidR="00EF590F" w:rsidRPr="006316DE" w:rsidRDefault="00E811B8" w:rsidP="00EF590F">
            <w:pPr>
              <w:spacing w:after="0"/>
              <w:rPr>
                <w:rFonts w:asciiTheme="minorHAnsi" w:hAnsiTheme="minorHAnsi" w:cstheme="minorHAnsi"/>
                <w:szCs w:val="18"/>
                <w:lang w:val="en-GB"/>
              </w:rPr>
            </w:pPr>
            <w:r w:rsidRPr="006316DE">
              <w:rPr>
                <w:rFonts w:asciiTheme="minorHAnsi" w:hAnsiTheme="minorHAnsi" w:cstheme="minorHAnsi"/>
                <w:szCs w:val="18"/>
                <w:lang w:val="en-GB"/>
              </w:rPr>
              <w:t>Leaching fraction predicted from soil properties and water application.</w:t>
            </w:r>
          </w:p>
          <w:p w14:paraId="59DCC52C" w14:textId="77777777" w:rsidR="00EF590F" w:rsidRPr="006316DE" w:rsidRDefault="00E811B8" w:rsidP="00EF590F">
            <w:pPr>
              <w:spacing w:after="0"/>
              <w:rPr>
                <w:rFonts w:asciiTheme="minorHAnsi" w:hAnsiTheme="minorHAnsi" w:cstheme="minorHAnsi"/>
                <w:szCs w:val="18"/>
                <w:lang w:val="en-GB"/>
              </w:rPr>
            </w:pPr>
            <w:r w:rsidRPr="006316DE">
              <w:rPr>
                <w:rFonts w:asciiTheme="minorHAnsi" w:hAnsiTheme="minorHAnsi" w:cstheme="minorHAnsi"/>
                <w:szCs w:val="18"/>
                <w:lang w:val="en-GB"/>
              </w:rPr>
              <w:t>Adjustments are necessary for winter rainfall areas.</w:t>
            </w:r>
          </w:p>
          <w:p w14:paraId="59DCC52D" w14:textId="77777777" w:rsidR="006D165F" w:rsidRPr="006316DE" w:rsidRDefault="006D165F" w:rsidP="003807A1">
            <w:pPr>
              <w:pStyle w:val="BodyText"/>
              <w:spacing w:after="0"/>
              <w:rPr>
                <w:rFonts w:asciiTheme="minorHAnsi" w:hAnsiTheme="minorHAnsi" w:cstheme="minorHAnsi"/>
                <w:szCs w:val="18"/>
                <w:lang w:val="en-GB"/>
              </w:rPr>
            </w:pPr>
          </w:p>
        </w:tc>
      </w:tr>
      <w:tr w:rsidR="00BE3AA8" w:rsidRPr="006316DE" w14:paraId="59DCC534" w14:textId="77777777" w:rsidTr="00A8314F">
        <w:tc>
          <w:tcPr>
            <w:tcW w:w="3003" w:type="dxa"/>
          </w:tcPr>
          <w:p w14:paraId="59DCC52F" w14:textId="77777777" w:rsidR="00EF590F" w:rsidRPr="006316DE" w:rsidRDefault="00E811B8" w:rsidP="00EF590F">
            <w:pPr>
              <w:spacing w:after="0"/>
              <w:rPr>
                <w:rFonts w:asciiTheme="minorHAnsi" w:hAnsiTheme="minorHAnsi" w:cstheme="minorHAnsi"/>
                <w:szCs w:val="18"/>
                <w:lang w:val="en-GB"/>
              </w:rPr>
            </w:pPr>
            <w:r w:rsidRPr="006316DE">
              <w:rPr>
                <w:rFonts w:asciiTheme="minorHAnsi" w:hAnsiTheme="minorHAnsi" w:cstheme="minorHAnsi"/>
                <w:szCs w:val="18"/>
                <w:lang w:val="en-GB"/>
              </w:rPr>
              <w:t>Long-term irrigation (steady state: 5</w:t>
            </w:r>
            <w:r w:rsidR="000E7481" w:rsidRPr="006316DE">
              <w:rPr>
                <w:rFonts w:asciiTheme="minorHAnsi" w:hAnsiTheme="minorHAnsi" w:cstheme="minorHAnsi"/>
                <w:szCs w:val="18"/>
                <w:lang w:val="en-GB"/>
              </w:rPr>
              <w:t>-</w:t>
            </w:r>
            <w:r w:rsidRPr="006316DE">
              <w:rPr>
                <w:rFonts w:asciiTheme="minorHAnsi" w:hAnsiTheme="minorHAnsi" w:cstheme="minorHAnsi"/>
                <w:szCs w:val="18"/>
                <w:lang w:val="en-GB"/>
              </w:rPr>
              <w:t>10 years) USSL</w:t>
            </w:r>
            <w:r w:rsidRPr="006316DE">
              <w:rPr>
                <w:rFonts w:asciiTheme="minorHAnsi" w:hAnsiTheme="minorHAnsi" w:cstheme="minorHAnsi"/>
                <w:spacing w:val="-1"/>
                <w:szCs w:val="18"/>
                <w:lang w:val="en-GB"/>
              </w:rPr>
              <w:t xml:space="preserve"> </w:t>
            </w:r>
            <w:r w:rsidRPr="006316DE">
              <w:rPr>
                <w:rFonts w:asciiTheme="minorHAnsi" w:hAnsiTheme="minorHAnsi" w:cstheme="minorHAnsi"/>
                <w:szCs w:val="18"/>
                <w:lang w:val="en-GB"/>
              </w:rPr>
              <w:t>(1954)</w:t>
            </w:r>
          </w:p>
          <w:p w14:paraId="59DCC530" w14:textId="77777777" w:rsidR="006D165F" w:rsidRPr="006316DE" w:rsidRDefault="006D165F" w:rsidP="003807A1">
            <w:pPr>
              <w:pStyle w:val="BodyText"/>
              <w:spacing w:after="0"/>
              <w:rPr>
                <w:rFonts w:asciiTheme="minorHAnsi" w:hAnsiTheme="minorHAnsi" w:cstheme="minorHAnsi"/>
                <w:szCs w:val="18"/>
                <w:lang w:val="en-GB"/>
              </w:rPr>
            </w:pPr>
          </w:p>
        </w:tc>
        <w:tc>
          <w:tcPr>
            <w:tcW w:w="3003" w:type="dxa"/>
          </w:tcPr>
          <w:p w14:paraId="59DCC531" w14:textId="77777777" w:rsidR="00EF590F" w:rsidRPr="006316DE" w:rsidRDefault="00E811B8" w:rsidP="00EF590F">
            <w:pPr>
              <w:spacing w:after="0" w:line="235" w:lineRule="auto"/>
              <w:rPr>
                <w:rFonts w:asciiTheme="minorHAnsi" w:hAnsiTheme="minorHAnsi" w:cstheme="minorHAnsi"/>
                <w:szCs w:val="18"/>
                <w:lang w:val="en-GB"/>
              </w:rPr>
            </w:pPr>
            <w:r w:rsidRPr="006316DE">
              <w:rPr>
                <w:rFonts w:asciiTheme="minorHAnsi" w:hAnsiTheme="minorHAnsi" w:cstheme="minorHAnsi"/>
                <w:szCs w:val="18"/>
                <w:lang w:val="en-GB"/>
              </w:rPr>
              <w:t xml:space="preserve">EC and amount of irrigation water, </w:t>
            </w:r>
            <w:r w:rsidRPr="006316DE">
              <w:rPr>
                <w:rFonts w:asciiTheme="minorHAnsi" w:hAnsiTheme="minorHAnsi" w:cstheme="minorHAnsi"/>
                <w:position w:val="2"/>
                <w:szCs w:val="18"/>
                <w:lang w:val="en-GB"/>
              </w:rPr>
              <w:t>rainfall, EC</w:t>
            </w:r>
            <w:r w:rsidRPr="006316DE">
              <w:rPr>
                <w:rFonts w:asciiTheme="minorHAnsi" w:hAnsiTheme="minorHAnsi" w:cstheme="minorHAnsi"/>
                <w:szCs w:val="18"/>
                <w:lang w:val="en-GB"/>
              </w:rPr>
              <w:t xml:space="preserve">1:5 </w:t>
            </w:r>
            <w:r w:rsidRPr="006316DE">
              <w:rPr>
                <w:rFonts w:asciiTheme="minorHAnsi" w:hAnsiTheme="minorHAnsi" w:cstheme="minorHAnsi"/>
                <w:position w:val="2"/>
                <w:szCs w:val="18"/>
                <w:lang w:val="en-GB"/>
              </w:rPr>
              <w:t xml:space="preserve">at bottom of root zone, </w:t>
            </w:r>
            <w:r w:rsidRPr="006316DE">
              <w:rPr>
                <w:rFonts w:asciiTheme="minorHAnsi" w:hAnsiTheme="minorHAnsi" w:cstheme="minorHAnsi"/>
                <w:szCs w:val="18"/>
                <w:lang w:val="en-GB"/>
              </w:rPr>
              <w:t>maximum field water</w:t>
            </w:r>
            <w:r w:rsidRPr="006316DE">
              <w:rPr>
                <w:rFonts w:asciiTheme="minorHAnsi" w:hAnsiTheme="minorHAnsi" w:cstheme="minorHAnsi"/>
                <w:spacing w:val="3"/>
                <w:szCs w:val="18"/>
                <w:lang w:val="en-GB"/>
              </w:rPr>
              <w:t xml:space="preserve"> </w:t>
            </w:r>
            <w:r w:rsidRPr="006316DE">
              <w:rPr>
                <w:rFonts w:asciiTheme="minorHAnsi" w:hAnsiTheme="minorHAnsi" w:cstheme="minorHAnsi"/>
                <w:szCs w:val="18"/>
                <w:lang w:val="en-GB"/>
              </w:rPr>
              <w:t>content</w:t>
            </w:r>
          </w:p>
          <w:p w14:paraId="59DCC532" w14:textId="77777777" w:rsidR="006D165F" w:rsidRPr="006316DE" w:rsidRDefault="006D165F" w:rsidP="003807A1">
            <w:pPr>
              <w:pStyle w:val="BodyText"/>
              <w:spacing w:after="0"/>
              <w:rPr>
                <w:rFonts w:asciiTheme="minorHAnsi" w:hAnsiTheme="minorHAnsi" w:cstheme="minorHAnsi"/>
                <w:szCs w:val="18"/>
                <w:lang w:val="en-GB"/>
              </w:rPr>
            </w:pPr>
          </w:p>
        </w:tc>
        <w:tc>
          <w:tcPr>
            <w:tcW w:w="3004" w:type="dxa"/>
          </w:tcPr>
          <w:p w14:paraId="59DCC533" w14:textId="77777777" w:rsidR="006D165F" w:rsidRPr="006316DE" w:rsidRDefault="00E811B8" w:rsidP="003807A1">
            <w:pPr>
              <w:pStyle w:val="BodyText"/>
              <w:spacing w:after="0"/>
              <w:rPr>
                <w:rFonts w:asciiTheme="minorHAnsi" w:hAnsiTheme="minorHAnsi" w:cstheme="minorHAnsi"/>
                <w:szCs w:val="18"/>
                <w:lang w:val="en-GB"/>
              </w:rPr>
            </w:pPr>
            <w:r w:rsidRPr="006316DE">
              <w:rPr>
                <w:rFonts w:asciiTheme="minorHAnsi" w:hAnsiTheme="minorHAnsi" w:cstheme="minorHAnsi"/>
                <w:position w:val="2"/>
                <w:szCs w:val="18"/>
                <w:lang w:val="en-GB"/>
              </w:rPr>
              <w:t>EC</w:t>
            </w:r>
            <w:r w:rsidRPr="006316DE">
              <w:rPr>
                <w:rFonts w:asciiTheme="minorHAnsi" w:hAnsiTheme="minorHAnsi" w:cstheme="minorHAnsi"/>
                <w:szCs w:val="18"/>
                <w:lang w:val="en-GB"/>
              </w:rPr>
              <w:t xml:space="preserve">1:5 </w:t>
            </w:r>
            <w:r w:rsidRPr="006316DE">
              <w:rPr>
                <w:rFonts w:asciiTheme="minorHAnsi" w:hAnsiTheme="minorHAnsi" w:cstheme="minorHAnsi"/>
                <w:position w:val="2"/>
                <w:szCs w:val="18"/>
                <w:lang w:val="en-GB"/>
              </w:rPr>
              <w:t>converted to EC</w:t>
            </w:r>
            <w:r w:rsidRPr="006316DE">
              <w:rPr>
                <w:rFonts w:asciiTheme="minorHAnsi" w:hAnsiTheme="minorHAnsi" w:cstheme="minorHAnsi"/>
                <w:szCs w:val="18"/>
                <w:lang w:val="en-GB"/>
              </w:rPr>
              <w:t xml:space="preserve">s </w:t>
            </w:r>
            <w:r w:rsidRPr="006316DE">
              <w:rPr>
                <w:rFonts w:asciiTheme="minorHAnsi" w:hAnsiTheme="minorHAnsi" w:cstheme="minorHAnsi"/>
                <w:position w:val="2"/>
                <w:szCs w:val="18"/>
                <w:lang w:val="en-GB"/>
              </w:rPr>
              <w:t xml:space="preserve">and </w:t>
            </w:r>
            <w:r w:rsidRPr="006316DE">
              <w:rPr>
                <w:rFonts w:asciiTheme="minorHAnsi" w:hAnsiTheme="minorHAnsi" w:cstheme="minorHAnsi"/>
                <w:szCs w:val="18"/>
                <w:lang w:val="en-GB"/>
              </w:rPr>
              <w:t>leaching fraction calculated</w:t>
            </w:r>
          </w:p>
        </w:tc>
      </w:tr>
      <w:tr w:rsidR="00BE3AA8" w:rsidRPr="006316DE" w14:paraId="59DCC53A" w14:textId="77777777" w:rsidTr="00A8314F">
        <w:tc>
          <w:tcPr>
            <w:tcW w:w="3003" w:type="dxa"/>
          </w:tcPr>
          <w:p w14:paraId="59DCC535" w14:textId="447B3ECA" w:rsidR="00EF590F" w:rsidRPr="006316DE" w:rsidRDefault="00E811B8" w:rsidP="00EF590F">
            <w:pPr>
              <w:spacing w:after="0"/>
              <w:rPr>
                <w:rFonts w:asciiTheme="minorHAnsi" w:hAnsiTheme="minorHAnsi" w:cstheme="minorHAnsi"/>
                <w:szCs w:val="18"/>
                <w:lang w:val="en-GB"/>
              </w:rPr>
            </w:pPr>
            <w:r w:rsidRPr="006316DE">
              <w:rPr>
                <w:rFonts w:asciiTheme="minorHAnsi" w:hAnsiTheme="minorHAnsi" w:cstheme="minorHAnsi"/>
                <w:szCs w:val="18"/>
                <w:lang w:val="en-GB"/>
              </w:rPr>
              <w:t>Short term irrigation (non-steady state) Rose et al. (1979)</w:t>
            </w:r>
            <w:r w:rsidR="00CF45F1" w:rsidRPr="006316DE">
              <w:rPr>
                <w:rFonts w:asciiTheme="minorHAnsi" w:hAnsiTheme="minorHAnsi" w:cstheme="minorHAnsi"/>
                <w:szCs w:val="18"/>
                <w:lang w:val="en-GB"/>
              </w:rPr>
              <w:t>;</w:t>
            </w:r>
            <w:r w:rsidRPr="006316DE">
              <w:rPr>
                <w:rFonts w:asciiTheme="minorHAnsi" w:hAnsiTheme="minorHAnsi" w:cstheme="minorHAnsi"/>
                <w:szCs w:val="18"/>
                <w:lang w:val="en-GB"/>
              </w:rPr>
              <w:t xml:space="preserve"> Thorburn et al. (1987)</w:t>
            </w:r>
          </w:p>
          <w:p w14:paraId="59DCC536" w14:textId="77777777" w:rsidR="006D165F" w:rsidRPr="006316DE" w:rsidRDefault="006D165F" w:rsidP="003807A1">
            <w:pPr>
              <w:pStyle w:val="BodyText"/>
              <w:spacing w:after="0"/>
              <w:rPr>
                <w:rFonts w:asciiTheme="minorHAnsi" w:hAnsiTheme="minorHAnsi" w:cstheme="minorHAnsi"/>
                <w:szCs w:val="18"/>
                <w:lang w:val="en-GB"/>
              </w:rPr>
            </w:pPr>
          </w:p>
        </w:tc>
        <w:tc>
          <w:tcPr>
            <w:tcW w:w="3003" w:type="dxa"/>
          </w:tcPr>
          <w:p w14:paraId="59DCC537" w14:textId="77777777" w:rsidR="00EF590F" w:rsidRPr="006316DE" w:rsidRDefault="00E811B8" w:rsidP="00EF590F">
            <w:pPr>
              <w:spacing w:after="0" w:line="235" w:lineRule="auto"/>
              <w:rPr>
                <w:rFonts w:asciiTheme="minorHAnsi" w:hAnsiTheme="minorHAnsi" w:cstheme="minorHAnsi"/>
                <w:szCs w:val="18"/>
                <w:lang w:val="en-GB"/>
              </w:rPr>
            </w:pPr>
            <w:r w:rsidRPr="006316DE">
              <w:rPr>
                <w:rFonts w:asciiTheme="minorHAnsi" w:hAnsiTheme="minorHAnsi" w:cstheme="minorHAnsi"/>
                <w:position w:val="2"/>
                <w:szCs w:val="18"/>
                <w:lang w:val="en-GB"/>
              </w:rPr>
              <w:t>Cl of irrigation water, Cl</w:t>
            </w:r>
            <w:r w:rsidRPr="006316DE">
              <w:rPr>
                <w:rFonts w:asciiTheme="minorHAnsi" w:hAnsiTheme="minorHAnsi" w:cstheme="minorHAnsi"/>
                <w:szCs w:val="18"/>
                <w:lang w:val="en-GB"/>
              </w:rPr>
              <w:t xml:space="preserve">1:5 </w:t>
            </w:r>
            <w:r w:rsidRPr="006316DE">
              <w:rPr>
                <w:rFonts w:asciiTheme="minorHAnsi" w:hAnsiTheme="minorHAnsi" w:cstheme="minorHAnsi"/>
                <w:position w:val="2"/>
                <w:szCs w:val="18"/>
                <w:lang w:val="en-GB"/>
              </w:rPr>
              <w:t xml:space="preserve">profiles </w:t>
            </w:r>
            <w:r w:rsidRPr="006316DE">
              <w:rPr>
                <w:rFonts w:asciiTheme="minorHAnsi" w:hAnsiTheme="minorHAnsi" w:cstheme="minorHAnsi"/>
                <w:szCs w:val="18"/>
                <w:lang w:val="en-GB"/>
              </w:rPr>
              <w:t>taken at two times, depth of rainfall and irrigation, maximum field water</w:t>
            </w:r>
            <w:r w:rsidRPr="006316DE">
              <w:rPr>
                <w:rFonts w:asciiTheme="minorHAnsi" w:hAnsiTheme="minorHAnsi" w:cstheme="minorHAnsi"/>
                <w:spacing w:val="1"/>
                <w:szCs w:val="18"/>
                <w:lang w:val="en-GB"/>
              </w:rPr>
              <w:t xml:space="preserve"> </w:t>
            </w:r>
            <w:r w:rsidRPr="006316DE">
              <w:rPr>
                <w:rFonts w:asciiTheme="minorHAnsi" w:hAnsiTheme="minorHAnsi" w:cstheme="minorHAnsi"/>
                <w:szCs w:val="18"/>
                <w:lang w:val="en-GB"/>
              </w:rPr>
              <w:t>content</w:t>
            </w:r>
          </w:p>
          <w:p w14:paraId="59DCC538" w14:textId="77777777" w:rsidR="006D165F" w:rsidRPr="006316DE" w:rsidRDefault="006D165F" w:rsidP="003807A1">
            <w:pPr>
              <w:pStyle w:val="BodyText"/>
              <w:spacing w:after="0"/>
              <w:rPr>
                <w:rFonts w:asciiTheme="minorHAnsi" w:hAnsiTheme="minorHAnsi" w:cstheme="minorHAnsi"/>
                <w:szCs w:val="18"/>
                <w:lang w:val="en-GB"/>
              </w:rPr>
            </w:pPr>
          </w:p>
        </w:tc>
        <w:tc>
          <w:tcPr>
            <w:tcW w:w="3004" w:type="dxa"/>
          </w:tcPr>
          <w:p w14:paraId="59DCC539" w14:textId="77777777" w:rsidR="006D165F" w:rsidRPr="006316DE" w:rsidRDefault="00E811B8" w:rsidP="00A8314F">
            <w:pPr>
              <w:spacing w:after="0"/>
              <w:rPr>
                <w:rFonts w:asciiTheme="minorHAnsi" w:hAnsiTheme="minorHAnsi" w:cstheme="minorHAnsi"/>
                <w:szCs w:val="18"/>
                <w:lang w:val="en-GB"/>
              </w:rPr>
            </w:pPr>
            <w:r w:rsidRPr="006316DE">
              <w:rPr>
                <w:rFonts w:asciiTheme="minorHAnsi" w:hAnsiTheme="minorHAnsi" w:cstheme="minorHAnsi"/>
                <w:szCs w:val="18"/>
                <w:lang w:val="en-GB"/>
              </w:rPr>
              <w:t xml:space="preserve">Leaching fraction calculated </w:t>
            </w:r>
          </w:p>
        </w:tc>
      </w:tr>
      <w:tr w:rsidR="00BE3AA8" w:rsidRPr="006316DE" w14:paraId="59DCC53F" w14:textId="77777777" w:rsidTr="00A8314F">
        <w:tc>
          <w:tcPr>
            <w:tcW w:w="3003" w:type="dxa"/>
          </w:tcPr>
          <w:p w14:paraId="59DCC53B" w14:textId="190529FB" w:rsidR="00EF590F" w:rsidRPr="006316DE" w:rsidRDefault="00E811B8" w:rsidP="00EF590F">
            <w:pPr>
              <w:spacing w:after="0"/>
              <w:rPr>
                <w:rFonts w:asciiTheme="minorHAnsi" w:hAnsiTheme="minorHAnsi" w:cstheme="minorHAnsi"/>
                <w:szCs w:val="18"/>
                <w:lang w:val="en-GB"/>
              </w:rPr>
            </w:pPr>
            <w:r w:rsidRPr="006316DE">
              <w:rPr>
                <w:rFonts w:asciiTheme="minorHAnsi" w:hAnsiTheme="minorHAnsi" w:cstheme="minorHAnsi"/>
                <w:szCs w:val="18"/>
                <w:lang w:val="en-GB"/>
              </w:rPr>
              <w:t xml:space="preserve">Changed irrigation water salinity Shaw </w:t>
            </w:r>
            <w:r w:rsidR="00FA6E9E" w:rsidRPr="006316DE">
              <w:rPr>
                <w:rFonts w:asciiTheme="minorHAnsi" w:hAnsiTheme="minorHAnsi" w:cstheme="minorHAnsi"/>
                <w:szCs w:val="18"/>
                <w:lang w:val="en-GB"/>
              </w:rPr>
              <w:t>and</w:t>
            </w:r>
            <w:r w:rsidRPr="006316DE">
              <w:rPr>
                <w:rFonts w:asciiTheme="minorHAnsi" w:hAnsiTheme="minorHAnsi" w:cstheme="minorHAnsi"/>
                <w:szCs w:val="18"/>
                <w:lang w:val="en-GB"/>
              </w:rPr>
              <w:t xml:space="preserve"> Thorburn (1985)</w:t>
            </w:r>
            <w:r w:rsidR="00CF45F1" w:rsidRPr="006316DE">
              <w:rPr>
                <w:rFonts w:asciiTheme="minorHAnsi" w:hAnsiTheme="minorHAnsi" w:cstheme="minorHAnsi"/>
                <w:szCs w:val="18"/>
                <w:lang w:val="en-GB"/>
              </w:rPr>
              <w:t>;</w:t>
            </w:r>
          </w:p>
          <w:p w14:paraId="59DCC53C" w14:textId="77777777" w:rsidR="006D165F" w:rsidRPr="006316DE" w:rsidRDefault="00E811B8" w:rsidP="00EF590F">
            <w:pPr>
              <w:spacing w:after="0"/>
              <w:rPr>
                <w:rFonts w:asciiTheme="minorHAnsi" w:hAnsiTheme="minorHAnsi" w:cstheme="minorHAnsi"/>
                <w:szCs w:val="18"/>
                <w:lang w:val="en-GB"/>
              </w:rPr>
            </w:pPr>
            <w:r w:rsidRPr="006316DE">
              <w:rPr>
                <w:rFonts w:asciiTheme="minorHAnsi" w:hAnsiTheme="minorHAnsi" w:cstheme="minorHAnsi"/>
                <w:szCs w:val="18"/>
                <w:lang w:val="en-GB"/>
              </w:rPr>
              <w:t>Shaw (1996)</w:t>
            </w:r>
          </w:p>
        </w:tc>
        <w:tc>
          <w:tcPr>
            <w:tcW w:w="3003" w:type="dxa"/>
          </w:tcPr>
          <w:p w14:paraId="59DCC53D" w14:textId="77777777" w:rsidR="006D165F" w:rsidRPr="006316DE" w:rsidRDefault="00E811B8" w:rsidP="00A8314F">
            <w:pPr>
              <w:spacing w:after="0"/>
              <w:rPr>
                <w:rFonts w:asciiTheme="minorHAnsi" w:hAnsiTheme="minorHAnsi" w:cstheme="minorHAnsi"/>
                <w:szCs w:val="18"/>
                <w:lang w:val="en-GB"/>
              </w:rPr>
            </w:pPr>
            <w:r w:rsidRPr="006316DE">
              <w:rPr>
                <w:rFonts w:asciiTheme="minorHAnsi" w:hAnsiTheme="minorHAnsi" w:cstheme="minorHAnsi"/>
                <w:szCs w:val="18"/>
                <w:lang w:val="en-GB"/>
              </w:rPr>
              <w:t>As for (a) and (b) above, plus quantity and EC of past and future irrigation water, annual rainfall</w:t>
            </w:r>
          </w:p>
        </w:tc>
        <w:tc>
          <w:tcPr>
            <w:tcW w:w="3004" w:type="dxa"/>
          </w:tcPr>
          <w:p w14:paraId="59DCC53E" w14:textId="77777777" w:rsidR="006D165F" w:rsidRPr="006316DE" w:rsidRDefault="00E811B8" w:rsidP="003807A1">
            <w:pPr>
              <w:pStyle w:val="BodyText"/>
              <w:spacing w:after="0"/>
              <w:rPr>
                <w:rFonts w:asciiTheme="minorHAnsi" w:hAnsiTheme="minorHAnsi" w:cstheme="minorHAnsi"/>
                <w:szCs w:val="18"/>
                <w:lang w:val="en-GB"/>
              </w:rPr>
            </w:pPr>
            <w:r w:rsidRPr="006316DE">
              <w:rPr>
                <w:rFonts w:asciiTheme="minorHAnsi" w:hAnsiTheme="minorHAnsi" w:cstheme="minorHAnsi"/>
                <w:szCs w:val="18"/>
                <w:lang w:val="en-GB"/>
              </w:rPr>
              <w:t>Leaching fraction predicted from soil properties and water salinity</w:t>
            </w:r>
          </w:p>
        </w:tc>
      </w:tr>
    </w:tbl>
    <w:p w14:paraId="59DCC540" w14:textId="77777777" w:rsidR="006D165F" w:rsidRPr="006316DE" w:rsidRDefault="00E811B8" w:rsidP="003807A1">
      <w:pPr>
        <w:pStyle w:val="BodyText"/>
        <w:spacing w:after="0"/>
        <w:rPr>
          <w:rFonts w:cstheme="minorHAnsi"/>
          <w:sz w:val="18"/>
          <w:szCs w:val="18"/>
          <w:lang w:val="en-GB"/>
        </w:rPr>
      </w:pPr>
      <w:r w:rsidRPr="006316DE">
        <w:rPr>
          <w:rFonts w:cstheme="minorHAnsi"/>
          <w:sz w:val="18"/>
          <w:szCs w:val="18"/>
          <w:lang w:val="en-GB"/>
        </w:rPr>
        <w:t>a Discussed further in the following sections</w:t>
      </w:r>
    </w:p>
    <w:p w14:paraId="59DCC541" w14:textId="77777777" w:rsidR="006D165F" w:rsidRPr="00D93FF9" w:rsidRDefault="006D165F" w:rsidP="003807A1">
      <w:pPr>
        <w:pStyle w:val="BodyText"/>
        <w:spacing w:after="0" w:line="266" w:lineRule="auto"/>
        <w:jc w:val="both"/>
        <w:rPr>
          <w:lang w:val="en-GB"/>
        </w:rPr>
      </w:pPr>
    </w:p>
    <w:p w14:paraId="59DCC542" w14:textId="77777777" w:rsidR="00C46175" w:rsidRPr="00D93FF9" w:rsidRDefault="00E811B8" w:rsidP="003807A1">
      <w:pPr>
        <w:pStyle w:val="BodyText"/>
        <w:spacing w:after="0" w:line="266" w:lineRule="auto"/>
        <w:jc w:val="both"/>
        <w:rPr>
          <w:lang w:val="en-GB"/>
        </w:rPr>
      </w:pPr>
      <w:r w:rsidRPr="00D93FF9">
        <w:rPr>
          <w:lang w:val="en-GB"/>
        </w:rPr>
        <w:t xml:space="preserve">These methods are based on empirical relationships between readily measured soil properties and </w:t>
      </w:r>
      <w:r w:rsidR="000F6B29" w:rsidRPr="00D93FF9">
        <w:rPr>
          <w:lang w:val="en-GB"/>
        </w:rPr>
        <w:t>deep drainage which in turn is adjusted for changes</w:t>
      </w:r>
      <w:r w:rsidRPr="00D93FF9">
        <w:rPr>
          <w:lang w:val="en-GB"/>
        </w:rPr>
        <w:t xml:space="preserve">. resulting from irrigation water salinity and sodicity. </w:t>
      </w:r>
    </w:p>
    <w:p w14:paraId="59DCC543" w14:textId="77777777" w:rsidR="004A4C4C" w:rsidRPr="00D93FF9" w:rsidRDefault="004A4C4C" w:rsidP="003807A1">
      <w:pPr>
        <w:pStyle w:val="BodyText"/>
        <w:spacing w:after="0" w:line="266" w:lineRule="auto"/>
        <w:jc w:val="both"/>
        <w:rPr>
          <w:lang w:val="en-GB"/>
        </w:rPr>
      </w:pPr>
    </w:p>
    <w:p w14:paraId="59DCC544" w14:textId="77777777" w:rsidR="00C46175" w:rsidRPr="00D93FF9" w:rsidRDefault="00E811B8" w:rsidP="00A8314F">
      <w:pPr>
        <w:pStyle w:val="BodyText"/>
        <w:spacing w:before="120" w:after="120" w:line="266" w:lineRule="auto"/>
        <w:jc w:val="both"/>
        <w:rPr>
          <w:rFonts w:ascii="Symbol" w:hAnsi="Symbol"/>
          <w:i/>
          <w:iCs/>
          <w:sz w:val="20"/>
          <w:lang w:val="en-GB"/>
        </w:rPr>
      </w:pPr>
      <w:r w:rsidRPr="00D93FF9">
        <w:rPr>
          <w:rFonts w:ascii="Arial" w:hAnsi="Arial"/>
          <w:i/>
          <w:iCs/>
          <w:sz w:val="20"/>
          <w:lang w:val="en-GB"/>
        </w:rPr>
        <w:t>Prior to</w:t>
      </w:r>
      <w:r w:rsidRPr="00D93FF9">
        <w:rPr>
          <w:rFonts w:ascii="Arial" w:hAnsi="Arial"/>
          <w:i/>
          <w:iCs/>
          <w:spacing w:val="-2"/>
          <w:sz w:val="20"/>
          <w:lang w:val="en-GB"/>
        </w:rPr>
        <w:t xml:space="preserve"> </w:t>
      </w:r>
      <w:r w:rsidRPr="00D93FF9">
        <w:rPr>
          <w:rFonts w:ascii="Arial" w:hAnsi="Arial"/>
          <w:i/>
          <w:iCs/>
          <w:sz w:val="20"/>
          <w:lang w:val="en-GB"/>
        </w:rPr>
        <w:t>irrigation</w:t>
      </w:r>
    </w:p>
    <w:p w14:paraId="59DCC545" w14:textId="77777777" w:rsidR="00C46175" w:rsidRPr="00D93FF9" w:rsidRDefault="00E811B8" w:rsidP="003807A1">
      <w:pPr>
        <w:pStyle w:val="BodyText"/>
        <w:spacing w:after="0" w:line="266" w:lineRule="auto"/>
        <w:jc w:val="both"/>
        <w:rPr>
          <w:lang w:val="en-GB"/>
        </w:rPr>
      </w:pPr>
      <w:r w:rsidRPr="00D93FF9">
        <w:rPr>
          <w:lang w:val="en-GB"/>
        </w:rPr>
        <w:t>To assess the suitability of land for irrigation, it is necessary to predict the LF value that will occur under irrigation. Shaw and Thorburn (1985) and Shaw (1996) developed a method for predicting the</w:t>
      </w:r>
      <w:r w:rsidR="000F6B29" w:rsidRPr="00D93FF9">
        <w:rPr>
          <w:lang w:val="en-GB"/>
        </w:rPr>
        <w:t xml:space="preserve"> steady state</w:t>
      </w:r>
      <w:r w:rsidRPr="00D93FF9">
        <w:rPr>
          <w:lang w:val="en-GB"/>
        </w:rPr>
        <w:t xml:space="preserve"> LF at the bottom of the root zone that would occur under irrigation.</w:t>
      </w:r>
    </w:p>
    <w:p w14:paraId="59DCC546" w14:textId="77777777" w:rsidR="00C46175" w:rsidRPr="00D93FF9" w:rsidRDefault="00E811B8" w:rsidP="003807A1">
      <w:pPr>
        <w:pStyle w:val="BodyText"/>
        <w:spacing w:after="0" w:line="280" w:lineRule="exact"/>
        <w:jc w:val="both"/>
        <w:rPr>
          <w:lang w:val="en-GB"/>
        </w:rPr>
      </w:pPr>
      <w:r w:rsidRPr="00D93FF9">
        <w:rPr>
          <w:lang w:val="en-GB"/>
        </w:rPr>
        <w:t xml:space="preserve">The soil properties of dominant influence on </w:t>
      </w:r>
      <w:r w:rsidR="000F6B29" w:rsidRPr="00D93FF9">
        <w:rPr>
          <w:lang w:val="en-GB"/>
        </w:rPr>
        <w:t xml:space="preserve">deep drainage </w:t>
      </w:r>
      <w:r w:rsidRPr="00D93FF9">
        <w:rPr>
          <w:lang w:val="en-GB"/>
        </w:rPr>
        <w:t>are clay content, clay mineralogy (CCR) (expressed as CEC/clay ratio, mmole</w:t>
      </w:r>
      <w:r w:rsidRPr="00D93FF9">
        <w:rPr>
          <w:position w:val="-4"/>
          <w:sz w:val="15"/>
          <w:lang w:val="en-GB"/>
        </w:rPr>
        <w:t>c</w:t>
      </w:r>
      <w:r w:rsidRPr="00D93FF9">
        <w:rPr>
          <w:lang w:val="en-GB"/>
        </w:rPr>
        <w:t>/kg of clay), and the exchangeable sodium percentage (ESP). As a result of the relationship between soil properties, ESP and rainfall are specified for different soil groups across a wide range of rainfalls. Leaching fraction under irrigation can then be calculated by substituting the depth of irrigation plus rainfall D</w:t>
      </w:r>
      <w:r w:rsidRPr="00D93FF9">
        <w:rPr>
          <w:position w:val="-4"/>
          <w:sz w:val="15"/>
          <w:lang w:val="en-GB"/>
        </w:rPr>
        <w:t>i+r</w:t>
      </w:r>
      <w:r w:rsidRPr="00D93FF9">
        <w:rPr>
          <w:lang w:val="en-GB"/>
        </w:rPr>
        <w:t>, for D</w:t>
      </w:r>
      <w:r w:rsidRPr="00D93FF9">
        <w:rPr>
          <w:position w:val="-4"/>
          <w:sz w:val="15"/>
          <w:lang w:val="en-GB"/>
        </w:rPr>
        <w:t>r</w:t>
      </w:r>
      <w:r w:rsidRPr="00D93FF9">
        <w:rPr>
          <w:lang w:val="en-GB"/>
        </w:rPr>
        <w:t xml:space="preserve">. Because </w:t>
      </w:r>
      <w:r w:rsidR="000F6B29" w:rsidRPr="00D93FF9">
        <w:rPr>
          <w:lang w:val="en-GB"/>
        </w:rPr>
        <w:t>the</w:t>
      </w:r>
      <w:r w:rsidRPr="00D93FF9">
        <w:rPr>
          <w:lang w:val="en-GB"/>
        </w:rPr>
        <w:t xml:space="preserve"> </w:t>
      </w:r>
      <w:r w:rsidR="000F6B29" w:rsidRPr="00D93FF9">
        <w:rPr>
          <w:lang w:val="en-GB"/>
        </w:rPr>
        <w:t xml:space="preserve">increase </w:t>
      </w:r>
      <w:r w:rsidRPr="00D93FF9">
        <w:rPr>
          <w:lang w:val="en-GB"/>
        </w:rPr>
        <w:t xml:space="preserve">in </w:t>
      </w:r>
      <w:r w:rsidR="000F6B29" w:rsidRPr="00D93FF9">
        <w:rPr>
          <w:lang w:val="en-GB"/>
        </w:rPr>
        <w:t xml:space="preserve">soil solution </w:t>
      </w:r>
      <w:r w:rsidRPr="00D93FF9">
        <w:rPr>
          <w:lang w:val="en-GB"/>
        </w:rPr>
        <w:t xml:space="preserve">electrolyte concentration will result in a change in leaching for a given soil ESP, an adjustment of the </w:t>
      </w:r>
      <w:r w:rsidRPr="00D93FF9">
        <w:rPr>
          <w:lang w:val="en-GB"/>
        </w:rPr>
        <w:lastRenderedPageBreak/>
        <w:t>predicted leaching fraction is made whe</w:t>
      </w:r>
      <w:r w:rsidR="000F6B29" w:rsidRPr="00D93FF9">
        <w:rPr>
          <w:lang w:val="en-GB"/>
        </w:rPr>
        <w:t>n</w:t>
      </w:r>
      <w:r w:rsidRPr="00D93FF9">
        <w:rPr>
          <w:lang w:val="en-GB"/>
        </w:rPr>
        <w:t xml:space="preserve"> the irrigation water has a high SAR</w:t>
      </w:r>
      <w:r w:rsidR="000F6B29" w:rsidRPr="00D93FF9">
        <w:rPr>
          <w:lang w:val="en-GB"/>
        </w:rPr>
        <w:t>.</w:t>
      </w:r>
      <w:r w:rsidRPr="00D93FF9">
        <w:rPr>
          <w:lang w:val="en-GB"/>
        </w:rPr>
        <w:t xml:space="preserve"> </w:t>
      </w:r>
      <w:r w:rsidR="000F6B29" w:rsidRPr="00D93FF9">
        <w:rPr>
          <w:lang w:val="en-GB"/>
        </w:rPr>
        <w:t>T</w:t>
      </w:r>
      <w:r w:rsidRPr="00D93FF9">
        <w:rPr>
          <w:lang w:val="en-GB"/>
        </w:rPr>
        <w:t>he ESP at the bottom of the root zone is also adjusted.</w:t>
      </w:r>
    </w:p>
    <w:p w14:paraId="3E5B1D84" w14:textId="77777777" w:rsidR="006975D0" w:rsidRDefault="006975D0" w:rsidP="003807A1">
      <w:pPr>
        <w:pStyle w:val="BodyText"/>
        <w:spacing w:after="0" w:line="249" w:lineRule="auto"/>
        <w:jc w:val="both"/>
        <w:rPr>
          <w:lang w:val="en-GB"/>
        </w:rPr>
      </w:pPr>
    </w:p>
    <w:p w14:paraId="294371EA" w14:textId="77777777" w:rsidR="006975D0" w:rsidRDefault="006975D0" w:rsidP="003807A1">
      <w:pPr>
        <w:pStyle w:val="BodyText"/>
        <w:spacing w:after="0" w:line="249" w:lineRule="auto"/>
        <w:jc w:val="both"/>
        <w:rPr>
          <w:lang w:val="en-GB"/>
        </w:rPr>
      </w:pPr>
    </w:p>
    <w:p w14:paraId="59DCC547" w14:textId="39AC06EA" w:rsidR="00C46175" w:rsidRPr="00D93FF9" w:rsidRDefault="00E811B8" w:rsidP="003807A1">
      <w:pPr>
        <w:pStyle w:val="BodyText"/>
        <w:spacing w:after="0" w:line="249" w:lineRule="auto"/>
        <w:jc w:val="both"/>
        <w:rPr>
          <w:lang w:val="en-GB"/>
        </w:rPr>
      </w:pPr>
      <w:r w:rsidRPr="00D93FF9">
        <w:rPr>
          <w:lang w:val="en-GB"/>
        </w:rPr>
        <w:t>LF</w:t>
      </w:r>
      <w:r w:rsidRPr="00D93FF9">
        <w:rPr>
          <w:position w:val="-4"/>
          <w:sz w:val="15"/>
          <w:lang w:val="en-GB"/>
        </w:rPr>
        <w:t xml:space="preserve">r </w:t>
      </w:r>
      <w:r w:rsidRPr="00D93FF9">
        <w:rPr>
          <w:lang w:val="en-GB"/>
        </w:rPr>
        <w:t>(expressed as a percentage) is the predicted LF under rain</w:t>
      </w:r>
      <w:r w:rsidR="00CF6F10" w:rsidRPr="00D93FF9">
        <w:rPr>
          <w:lang w:val="en-GB"/>
        </w:rPr>
        <w:t>fall</w:t>
      </w:r>
      <w:r w:rsidRPr="00D93FF9">
        <w:rPr>
          <w:lang w:val="en-GB"/>
        </w:rPr>
        <w:t xml:space="preserve"> conditions and is calculated from the general equation for each soil group (as given in</w:t>
      </w:r>
      <w:r w:rsidR="00D228C6" w:rsidRPr="00D93FF9">
        <w:rPr>
          <w:lang w:val="en-GB"/>
        </w:rPr>
        <w:t xml:space="preserve"> </w:t>
      </w:r>
      <w:r w:rsidR="00D228C6" w:rsidRPr="00D93FF9">
        <w:rPr>
          <w:lang w:val="en-GB"/>
        </w:rPr>
        <w:fldChar w:fldCharType="begin"/>
      </w:r>
      <w:r w:rsidR="00D228C6" w:rsidRPr="00D93FF9">
        <w:rPr>
          <w:lang w:val="en-GB"/>
        </w:rPr>
        <w:instrText xml:space="preserve"> REF _Ref81391049 \h </w:instrText>
      </w:r>
      <w:r w:rsidR="00D93FF9">
        <w:rPr>
          <w:lang w:val="en-GB"/>
        </w:rPr>
        <w:instrText xml:space="preserve"> \* MERGEFORMAT </w:instrText>
      </w:r>
      <w:r w:rsidR="00D228C6" w:rsidRPr="00D93FF9">
        <w:rPr>
          <w:lang w:val="en-GB"/>
        </w:rPr>
      </w:r>
      <w:r w:rsidR="00D228C6" w:rsidRPr="00D93FF9">
        <w:rPr>
          <w:lang w:val="en-GB"/>
        </w:rPr>
        <w:fldChar w:fldCharType="separate"/>
      </w:r>
      <w:r w:rsidR="0069302C" w:rsidRPr="00D93FF9">
        <w:t xml:space="preserve">Table </w:t>
      </w:r>
      <w:r w:rsidR="0069302C">
        <w:rPr>
          <w:noProof/>
        </w:rPr>
        <w:t>11</w:t>
      </w:r>
      <w:r w:rsidR="00D228C6" w:rsidRPr="00D93FF9">
        <w:rPr>
          <w:lang w:val="en-GB"/>
        </w:rPr>
        <w:fldChar w:fldCharType="end"/>
      </w:r>
      <w:r w:rsidRPr="00D93FF9">
        <w:rPr>
          <w:lang w:val="en-GB"/>
        </w:rPr>
        <w:t>) using the general</w:t>
      </w:r>
      <w:r w:rsidRPr="00D93FF9">
        <w:rPr>
          <w:spacing w:val="-1"/>
          <w:lang w:val="en-GB"/>
        </w:rPr>
        <w:t xml:space="preserve"> </w:t>
      </w:r>
      <w:r w:rsidRPr="00D93FF9">
        <w:rPr>
          <w:lang w:val="en-GB"/>
        </w:rPr>
        <w:t>form:</w:t>
      </w:r>
    </w:p>
    <w:p w14:paraId="59DCC548" w14:textId="77777777" w:rsidR="0064076E" w:rsidRPr="00D93FF9" w:rsidRDefault="0064076E" w:rsidP="003807A1">
      <w:pPr>
        <w:pStyle w:val="BodyText"/>
        <w:spacing w:after="0" w:line="249"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54C" w14:textId="77777777" w:rsidTr="004D4425">
        <w:tc>
          <w:tcPr>
            <w:tcW w:w="4505" w:type="dxa"/>
          </w:tcPr>
          <w:p w14:paraId="59DCC549" w14:textId="77777777" w:rsidR="004D4425" w:rsidRPr="00D93FF9" w:rsidRDefault="00735642" w:rsidP="003807A1">
            <w:pPr>
              <w:pStyle w:val="BodyText"/>
              <w:spacing w:after="0" w:line="249" w:lineRule="auto"/>
              <w:jc w:val="both"/>
              <w:rPr>
                <w:iCs/>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LF</m:t>
                    </m:r>
                  </m:e>
                  <m:sub>
                    <m:r>
                      <m:rPr>
                        <m:sty m:val="p"/>
                      </m:rPr>
                      <w:rPr>
                        <w:rFonts w:ascii="Cambria Math" w:hAnsi="Cambria Math"/>
                        <w:sz w:val="22"/>
                        <w:szCs w:val="22"/>
                        <w:lang w:val="en-GB"/>
                      </w:rPr>
                      <m:t>r</m:t>
                    </m:r>
                  </m:sub>
                </m:sSub>
                <m:r>
                  <m:rPr>
                    <m:sty m:val="p"/>
                  </m:rPr>
                  <w:rPr>
                    <w:rFonts w:ascii="Cambria Math" w:hAnsi="Cambria Math"/>
                    <w:sz w:val="22"/>
                    <w:szCs w:val="22"/>
                    <w:lang w:val="en-GB"/>
                  </w:rPr>
                  <m:t>=</m:t>
                </m:r>
                <m:f>
                  <m:fPr>
                    <m:ctrlPr>
                      <w:rPr>
                        <w:rFonts w:ascii="Cambria Math" w:hAnsi="Cambria Math"/>
                        <w:iCs/>
                        <w:sz w:val="22"/>
                        <w:szCs w:val="22"/>
                        <w:lang w:val="en-GB"/>
                      </w:rPr>
                    </m:ctrlPr>
                  </m:fPr>
                  <m:num>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r</m:t>
                        </m:r>
                      </m:sub>
                    </m:sSub>
                  </m:num>
                  <m:den>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d</m:t>
                        </m:r>
                      </m:sub>
                    </m:sSub>
                  </m:den>
                </m:f>
              </m:oMath>
            </m:oMathPara>
          </w:p>
        </w:tc>
        <w:tc>
          <w:tcPr>
            <w:tcW w:w="4505" w:type="dxa"/>
          </w:tcPr>
          <w:p w14:paraId="59DCC54A" w14:textId="69604CD0" w:rsidR="004D4425" w:rsidRPr="00D93FF9" w:rsidRDefault="00E811B8" w:rsidP="004A4C4C">
            <w:pPr>
              <w:pStyle w:val="Caption"/>
              <w:jc w:val="right"/>
              <w:rPr>
                <w:sz w:val="22"/>
                <w:szCs w:val="22"/>
              </w:rPr>
            </w:pPr>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6</w:t>
            </w:r>
            <w:r w:rsidRPr="00D93FF9">
              <w:rPr>
                <w:szCs w:val="22"/>
              </w:rPr>
              <w:fldChar w:fldCharType="end"/>
            </w:r>
          </w:p>
          <w:p w14:paraId="59DCC54B" w14:textId="77777777" w:rsidR="004D4425" w:rsidRPr="00D93FF9" w:rsidRDefault="004D4425" w:rsidP="003807A1">
            <w:pPr>
              <w:pStyle w:val="BodyText"/>
              <w:spacing w:after="0" w:line="249" w:lineRule="auto"/>
              <w:jc w:val="both"/>
              <w:rPr>
                <w:lang w:val="en-GB"/>
              </w:rPr>
            </w:pPr>
          </w:p>
        </w:tc>
      </w:tr>
    </w:tbl>
    <w:p w14:paraId="59DCC54D" w14:textId="3566F755" w:rsidR="0064076E" w:rsidRPr="00D93FF9" w:rsidRDefault="0064076E" w:rsidP="003807A1">
      <w:pPr>
        <w:pStyle w:val="BodyText"/>
        <w:spacing w:after="0" w:line="249" w:lineRule="auto"/>
        <w:jc w:val="both"/>
        <w:rPr>
          <w:lang w:val="en-GB"/>
        </w:rPr>
      </w:pPr>
    </w:p>
    <w:p w14:paraId="4A2B4DAC" w14:textId="366F97B8" w:rsidR="00805774" w:rsidRPr="00D93FF9" w:rsidRDefault="00805774" w:rsidP="003807A1">
      <w:pPr>
        <w:pStyle w:val="BodyText"/>
        <w:spacing w:after="0" w:line="249" w:lineRule="auto"/>
        <w:jc w:val="both"/>
        <w:rPr>
          <w:i/>
          <w:iCs/>
          <w:lang w:val="en-GB"/>
        </w:rPr>
      </w:pPr>
      <w:r w:rsidRPr="00D93FF9">
        <w:rPr>
          <w:i/>
          <w:iCs/>
          <w:lang w:val="en-GB"/>
        </w:rPr>
        <w:t>Note that EC</w:t>
      </w:r>
      <w:r w:rsidRPr="00D93FF9">
        <w:rPr>
          <w:i/>
          <w:iCs/>
          <w:vertAlign w:val="subscript"/>
          <w:lang w:val="en-GB"/>
        </w:rPr>
        <w:t>d</w:t>
      </w:r>
      <w:r w:rsidRPr="00D93FF9">
        <w:rPr>
          <w:i/>
          <w:iCs/>
          <w:lang w:val="en-GB"/>
        </w:rPr>
        <w:t xml:space="preserve"> in Equation 6 is also the ECs of </w:t>
      </w:r>
      <w:r w:rsidR="00760C85" w:rsidRPr="00D93FF9">
        <w:rPr>
          <w:i/>
          <w:iCs/>
          <w:lang w:val="en-GB"/>
        </w:rPr>
        <w:t xml:space="preserve">Table 8. </w:t>
      </w:r>
    </w:p>
    <w:p w14:paraId="721C491B" w14:textId="77777777" w:rsidR="00760C85" w:rsidRPr="00D93FF9" w:rsidRDefault="00760C85" w:rsidP="003807A1">
      <w:pPr>
        <w:pStyle w:val="BodyText"/>
        <w:spacing w:after="0" w:line="249" w:lineRule="auto"/>
        <w:jc w:val="both"/>
        <w:rPr>
          <w:lang w:val="en-GB"/>
        </w:rPr>
      </w:pPr>
    </w:p>
    <w:p w14:paraId="59DCC54E" w14:textId="46D39B4E" w:rsidR="00992968" w:rsidRPr="00D93FF9" w:rsidRDefault="00E811B8" w:rsidP="003807A1">
      <w:pPr>
        <w:pStyle w:val="BodyText"/>
        <w:spacing w:after="0" w:line="249" w:lineRule="auto"/>
        <w:jc w:val="both"/>
        <w:rPr>
          <w:lang w:val="en-GB"/>
        </w:rPr>
      </w:pPr>
      <w:r w:rsidRPr="00D93FF9">
        <w:rPr>
          <w:lang w:val="en-GB"/>
        </w:rPr>
        <w:t>where EC</w:t>
      </w:r>
      <w:r w:rsidRPr="00D93FF9">
        <w:rPr>
          <w:position w:val="-4"/>
          <w:sz w:val="15"/>
          <w:lang w:val="en-GB"/>
        </w:rPr>
        <w:t xml:space="preserve">d </w:t>
      </w:r>
      <w:r w:rsidRPr="00D93FF9">
        <w:rPr>
          <w:lang w:val="en-GB"/>
        </w:rPr>
        <w:t xml:space="preserve">(the </w:t>
      </w:r>
      <w:r w:rsidRPr="00D93FF9">
        <w:rPr>
          <w:i/>
          <w:iCs/>
          <w:lang w:val="en-GB"/>
        </w:rPr>
        <w:t>in situ</w:t>
      </w:r>
      <w:r w:rsidRPr="00D93FF9">
        <w:rPr>
          <w:lang w:val="en-GB"/>
        </w:rPr>
        <w:t xml:space="preserve"> salinity of the soil solution at moisture contents allowing gravity drainage) can be approximated by 2.2 x EC</w:t>
      </w:r>
      <w:r w:rsidRPr="00D93FF9">
        <w:rPr>
          <w:position w:val="-4"/>
          <w:sz w:val="15"/>
          <w:lang w:val="en-GB"/>
        </w:rPr>
        <w:t xml:space="preserve">se </w:t>
      </w:r>
      <w:r w:rsidRPr="00D93FF9">
        <w:rPr>
          <w:lang w:val="en-GB"/>
        </w:rPr>
        <w:t>(the “measured” EC of the soil saturation extract). Note that 2.2 represents the generalised relationship between water content of the soil saturation extract and maximum soil water content. EC</w:t>
      </w:r>
      <w:r w:rsidRPr="00D93FF9">
        <w:rPr>
          <w:position w:val="-4"/>
          <w:sz w:val="15"/>
          <w:lang w:val="en-GB"/>
        </w:rPr>
        <w:t xml:space="preserve">se </w:t>
      </w:r>
      <w:r w:rsidR="00933157" w:rsidRPr="00D93FF9">
        <w:rPr>
          <w:lang w:val="en-GB"/>
        </w:rPr>
        <w:t>is</w:t>
      </w:r>
      <w:r w:rsidRPr="00D93FF9">
        <w:rPr>
          <w:lang w:val="en-GB"/>
        </w:rPr>
        <w:t xml:space="preserve"> be</w:t>
      </w:r>
      <w:r w:rsidR="00933157" w:rsidRPr="00D93FF9">
        <w:rPr>
          <w:lang w:val="en-GB"/>
        </w:rPr>
        <w:t>tter</w:t>
      </w:r>
      <w:r w:rsidRPr="00D93FF9">
        <w:rPr>
          <w:lang w:val="en-GB"/>
        </w:rPr>
        <w:t xml:space="preserve"> estimated from the easily measured E</w:t>
      </w:r>
      <w:r w:rsidR="0005191B" w:rsidRPr="00D93FF9">
        <w:rPr>
          <w:lang w:val="en-GB"/>
        </w:rPr>
        <w:t>C</w:t>
      </w:r>
      <w:r w:rsidRPr="00D93FF9">
        <w:rPr>
          <w:vertAlign w:val="subscript"/>
          <w:lang w:val="en-GB"/>
        </w:rPr>
        <w:t xml:space="preserve">1:5 </w:t>
      </w:r>
      <w:r w:rsidRPr="00D93FF9">
        <w:rPr>
          <w:lang w:val="en-GB"/>
        </w:rPr>
        <w:t xml:space="preserve">using </w:t>
      </w:r>
      <w:r w:rsidR="00933157" w:rsidRPr="00D93FF9">
        <w:rPr>
          <w:lang w:val="en-GB"/>
        </w:rPr>
        <w:t xml:space="preserve">empirical </w:t>
      </w:r>
      <w:r w:rsidRPr="00D93FF9">
        <w:rPr>
          <w:lang w:val="en-GB"/>
        </w:rPr>
        <w:t>relationships based on</w:t>
      </w:r>
      <w:r w:rsidR="00933157" w:rsidRPr="00D93FF9">
        <w:rPr>
          <w:lang w:val="en-GB"/>
        </w:rPr>
        <w:t xml:space="preserve"> other</w:t>
      </w:r>
      <w:r w:rsidRPr="00D93FF9">
        <w:rPr>
          <w:lang w:val="en-GB"/>
        </w:rPr>
        <w:t xml:space="preserve"> easily measured soil properties (Shaw 1996). </w:t>
      </w:r>
    </w:p>
    <w:p w14:paraId="59DCC54F" w14:textId="77777777" w:rsidR="00C46175" w:rsidRPr="00D93FF9" w:rsidRDefault="00E811B8" w:rsidP="003807A1">
      <w:pPr>
        <w:pStyle w:val="BodyText"/>
        <w:spacing w:after="0" w:line="249" w:lineRule="auto"/>
        <w:jc w:val="both"/>
        <w:rPr>
          <w:lang w:val="en-GB"/>
        </w:rPr>
      </w:pPr>
      <w:r w:rsidRPr="00D93FF9">
        <w:rPr>
          <w:lang w:val="en-GB"/>
        </w:rPr>
        <w:t>LFr can be predicted from</w:t>
      </w:r>
      <w:r w:rsidR="00E90CE0" w:rsidRPr="00D93FF9">
        <w:rPr>
          <w:lang w:val="en-GB"/>
        </w:rPr>
        <w:t xml:space="preserve"> the following equation:</w:t>
      </w:r>
    </w:p>
    <w:p w14:paraId="59DCC550" w14:textId="77777777" w:rsidR="004D4425" w:rsidRPr="00D93FF9" w:rsidRDefault="004D4425" w:rsidP="003807A1">
      <w:pPr>
        <w:pStyle w:val="BodyText"/>
        <w:spacing w:after="0" w:line="249"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554" w14:textId="77777777" w:rsidTr="004D4425">
        <w:tc>
          <w:tcPr>
            <w:tcW w:w="4505" w:type="dxa"/>
          </w:tcPr>
          <w:p w14:paraId="59DCC551" w14:textId="77777777" w:rsidR="004D4425" w:rsidRPr="00D93FF9" w:rsidRDefault="00735642" w:rsidP="003807A1">
            <w:pPr>
              <w:pStyle w:val="BodyText"/>
              <w:spacing w:after="0" w:line="249" w:lineRule="auto"/>
              <w:jc w:val="both"/>
              <w:rPr>
                <w:iCs/>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LF</m:t>
                    </m:r>
                  </m:e>
                  <m:sub>
                    <m:r>
                      <m:rPr>
                        <m:sty m:val="p"/>
                      </m:rPr>
                      <w:rPr>
                        <w:rFonts w:ascii="Cambria Math" w:hAnsi="Cambria Math"/>
                        <w:sz w:val="22"/>
                        <w:szCs w:val="22"/>
                        <w:lang w:val="en-GB"/>
                      </w:rPr>
                      <m:t>r</m:t>
                    </m:r>
                  </m:sub>
                </m:sSub>
                <m:r>
                  <m:rPr>
                    <m:sty m:val="p"/>
                  </m:rPr>
                  <w:rPr>
                    <w:rFonts w:ascii="Cambria Math" w:hAnsi="Cambria Math"/>
                    <w:sz w:val="22"/>
                    <w:szCs w:val="22"/>
                    <w:lang w:val="en-GB"/>
                  </w:rPr>
                  <m:t>=</m:t>
                </m:r>
                <m:f>
                  <m:fPr>
                    <m:ctrlPr>
                      <w:rPr>
                        <w:rFonts w:ascii="Cambria Math" w:hAnsi="Cambria Math"/>
                        <w:iCs/>
                        <w:sz w:val="22"/>
                        <w:szCs w:val="22"/>
                        <w:lang w:val="en-GB"/>
                      </w:rPr>
                    </m:ctrlPr>
                  </m:fPr>
                  <m:num>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r</m:t>
                        </m:r>
                      </m:sub>
                    </m:sSub>
                  </m:num>
                  <m:den>
                    <m:r>
                      <m:rPr>
                        <m:sty m:val="p"/>
                      </m:rPr>
                      <w:rPr>
                        <w:rFonts w:ascii="Cambria Math" w:hAnsi="Cambria Math"/>
                        <w:sz w:val="22"/>
                        <w:szCs w:val="22"/>
                        <w:lang w:val="en-GB"/>
                      </w:rPr>
                      <m:t>2.2×</m:t>
                    </m:r>
                    <m:sSup>
                      <m:sSupPr>
                        <m:ctrlPr>
                          <w:rPr>
                            <w:rFonts w:ascii="Cambria Math" w:hAnsi="Cambria Math"/>
                            <w:iCs/>
                            <w:sz w:val="22"/>
                            <w:szCs w:val="22"/>
                            <w:lang w:val="en-GB"/>
                          </w:rPr>
                        </m:ctrlPr>
                      </m:sSupPr>
                      <m:e>
                        <m:r>
                          <m:rPr>
                            <m:sty m:val="p"/>
                          </m:rPr>
                          <w:rPr>
                            <w:rFonts w:ascii="Cambria Math" w:hAnsi="Cambria Math"/>
                            <w:sz w:val="22"/>
                            <w:szCs w:val="22"/>
                            <w:lang w:val="en-GB"/>
                          </w:rPr>
                          <m:t>10</m:t>
                        </m:r>
                      </m:e>
                      <m:sup>
                        <m:d>
                          <m:dPr>
                            <m:begChr m:val="["/>
                            <m:endChr m:val="]"/>
                            <m:ctrlPr>
                              <w:rPr>
                                <w:rFonts w:ascii="Cambria Math" w:hAnsi="Cambria Math"/>
                                <w:iCs/>
                                <w:sz w:val="22"/>
                                <w:szCs w:val="22"/>
                                <w:lang w:val="en-GB"/>
                              </w:rPr>
                            </m:ctrlPr>
                          </m:dPr>
                          <m:e>
                            <m:r>
                              <m:rPr>
                                <m:sty m:val="p"/>
                              </m:rPr>
                              <w:rPr>
                                <w:rFonts w:ascii="Cambria Math" w:hAnsi="Cambria Math"/>
                                <w:sz w:val="22"/>
                                <w:szCs w:val="22"/>
                                <w:lang w:val="en-GB"/>
                              </w:rPr>
                              <m:t>a+blog</m:t>
                            </m:r>
                            <m:d>
                              <m:dPr>
                                <m:ctrlPr>
                                  <w:rPr>
                                    <w:rFonts w:ascii="Cambria Math" w:hAnsi="Cambria Math"/>
                                    <w:iCs/>
                                    <w:sz w:val="22"/>
                                    <w:szCs w:val="22"/>
                                    <w:lang w:val="en-GB"/>
                                  </w:rPr>
                                </m:ctrlPr>
                              </m:dPr>
                              <m:e>
                                <m:f>
                                  <m:fPr>
                                    <m:ctrlPr>
                                      <w:rPr>
                                        <w:rFonts w:ascii="Cambria Math" w:hAnsi="Cambria Math"/>
                                        <w:iCs/>
                                        <w:sz w:val="22"/>
                                        <w:szCs w:val="22"/>
                                        <w:lang w:val="en-GB"/>
                                      </w:rPr>
                                    </m:ctrlPr>
                                  </m:fPr>
                                  <m:num>
                                    <m:r>
                                      <m:rPr>
                                        <m:sty m:val="p"/>
                                      </m:rPr>
                                      <w:rPr>
                                        <w:rFonts w:ascii="Cambria Math" w:hAnsi="Cambria Math"/>
                                        <w:sz w:val="22"/>
                                        <w:szCs w:val="22"/>
                                        <w:lang w:val="en-GB"/>
                                      </w:rPr>
                                      <m:t>0.03×rainfall</m:t>
                                    </m:r>
                                  </m:num>
                                  <m:den>
                                    <m:r>
                                      <m:rPr>
                                        <m:sty m:val="p"/>
                                      </m:rPr>
                                      <w:rPr>
                                        <w:rFonts w:ascii="Cambria Math" w:hAnsi="Cambria Math"/>
                                        <w:sz w:val="22"/>
                                        <w:szCs w:val="22"/>
                                        <w:lang w:val="en-GB"/>
                                      </w:rPr>
                                      <m:t>ESP</m:t>
                                    </m:r>
                                  </m:den>
                                </m:f>
                              </m:e>
                            </m:d>
                          </m:e>
                        </m:d>
                      </m:sup>
                    </m:sSup>
                  </m:den>
                </m:f>
              </m:oMath>
            </m:oMathPara>
          </w:p>
        </w:tc>
        <w:tc>
          <w:tcPr>
            <w:tcW w:w="4505" w:type="dxa"/>
          </w:tcPr>
          <w:p w14:paraId="59DCC552" w14:textId="50026949" w:rsidR="004D4425" w:rsidRPr="00D93FF9" w:rsidRDefault="00E811B8" w:rsidP="004A4C4C">
            <w:pPr>
              <w:pStyle w:val="Caption"/>
              <w:jc w:val="right"/>
              <w:rPr>
                <w:sz w:val="22"/>
                <w:szCs w:val="22"/>
                <w:lang w:val="en-GB"/>
              </w:rPr>
            </w:pPr>
            <w:bookmarkStart w:id="88" w:name="_Ref70423377"/>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7</w:t>
            </w:r>
            <w:r w:rsidRPr="00D93FF9">
              <w:rPr>
                <w:szCs w:val="22"/>
              </w:rPr>
              <w:fldChar w:fldCharType="end"/>
            </w:r>
            <w:bookmarkEnd w:id="88"/>
          </w:p>
          <w:p w14:paraId="59DCC553" w14:textId="77777777" w:rsidR="004D4425" w:rsidRPr="00D93FF9" w:rsidRDefault="004D4425" w:rsidP="003807A1">
            <w:pPr>
              <w:pStyle w:val="BodyText"/>
              <w:spacing w:after="0" w:line="249" w:lineRule="auto"/>
              <w:jc w:val="both"/>
              <w:rPr>
                <w:sz w:val="22"/>
                <w:szCs w:val="22"/>
                <w:lang w:val="en-GB"/>
              </w:rPr>
            </w:pPr>
          </w:p>
        </w:tc>
      </w:tr>
    </w:tbl>
    <w:p w14:paraId="59DCC555" w14:textId="77777777" w:rsidR="004D4425" w:rsidRPr="00D93FF9" w:rsidRDefault="004D4425" w:rsidP="003807A1">
      <w:pPr>
        <w:pStyle w:val="BodyText"/>
        <w:spacing w:after="0" w:line="249" w:lineRule="auto"/>
        <w:jc w:val="both"/>
        <w:rPr>
          <w:lang w:val="en-GB"/>
        </w:rPr>
      </w:pPr>
    </w:p>
    <w:p w14:paraId="59DCC556" w14:textId="558A9E51" w:rsidR="002C3D69" w:rsidRPr="00D93FF9" w:rsidRDefault="00E811B8" w:rsidP="003807A1">
      <w:pPr>
        <w:pStyle w:val="BodyText"/>
        <w:spacing w:after="0" w:line="266" w:lineRule="auto"/>
        <w:rPr>
          <w:lang w:val="en-GB"/>
        </w:rPr>
      </w:pPr>
      <w:r w:rsidRPr="00D93FF9">
        <w:rPr>
          <w:lang w:val="en-GB"/>
        </w:rPr>
        <w:t>where t</w:t>
      </w:r>
      <w:r w:rsidR="00E90CE0" w:rsidRPr="00D93FF9">
        <w:rPr>
          <w:lang w:val="en-GB"/>
        </w:rPr>
        <w:t xml:space="preserve">he coefficients ‘a’ and ‘b’ </w:t>
      </w:r>
      <w:r w:rsidRPr="00D93FF9">
        <w:rPr>
          <w:lang w:val="en-GB"/>
        </w:rPr>
        <w:t>capture the effect of ESP on soil permeability and their values vary with the clay percentage and CCR values (see</w:t>
      </w:r>
      <w:r w:rsidR="008C20B1" w:rsidRPr="00D93FF9">
        <w:rPr>
          <w:lang w:val="en-GB"/>
        </w:rPr>
        <w:t xml:space="preserve"> </w:t>
      </w:r>
      <w:r w:rsidR="008C20B1" w:rsidRPr="00D93FF9">
        <w:rPr>
          <w:lang w:val="en-GB"/>
        </w:rPr>
        <w:fldChar w:fldCharType="begin"/>
      </w:r>
      <w:r w:rsidR="008C20B1" w:rsidRPr="00D93FF9">
        <w:rPr>
          <w:lang w:val="en-GB"/>
        </w:rPr>
        <w:instrText xml:space="preserve"> REF _Ref81391049 \h </w:instrText>
      </w:r>
      <w:r w:rsidR="00D93FF9">
        <w:rPr>
          <w:lang w:val="en-GB"/>
        </w:rPr>
        <w:instrText xml:space="preserve"> \* MERGEFORMAT </w:instrText>
      </w:r>
      <w:r w:rsidR="008C20B1" w:rsidRPr="00D93FF9">
        <w:rPr>
          <w:lang w:val="en-GB"/>
        </w:rPr>
      </w:r>
      <w:r w:rsidR="008C20B1" w:rsidRPr="00D93FF9">
        <w:rPr>
          <w:lang w:val="en-GB"/>
        </w:rPr>
        <w:fldChar w:fldCharType="separate"/>
      </w:r>
      <w:r w:rsidR="0069302C" w:rsidRPr="00D93FF9">
        <w:t xml:space="preserve">Table </w:t>
      </w:r>
      <w:r w:rsidR="0069302C">
        <w:rPr>
          <w:noProof/>
        </w:rPr>
        <w:t>11</w:t>
      </w:r>
      <w:r w:rsidR="008C20B1" w:rsidRPr="00D93FF9">
        <w:rPr>
          <w:lang w:val="en-GB"/>
        </w:rPr>
        <w:fldChar w:fldCharType="end"/>
      </w:r>
      <w:r w:rsidRPr="00D93FF9">
        <w:rPr>
          <w:lang w:val="en-GB"/>
        </w:rPr>
        <w:t>)</w:t>
      </w:r>
      <w:r w:rsidR="00E90CE0" w:rsidRPr="00D93FF9">
        <w:rPr>
          <w:lang w:val="en-GB"/>
        </w:rPr>
        <w:t xml:space="preserve">. </w:t>
      </w:r>
    </w:p>
    <w:p w14:paraId="59DCC557" w14:textId="77777777" w:rsidR="002C3D69" w:rsidRPr="00D93FF9" w:rsidRDefault="002C3D69" w:rsidP="003807A1">
      <w:pPr>
        <w:pStyle w:val="BodyText"/>
        <w:spacing w:after="0" w:line="266" w:lineRule="auto"/>
        <w:rPr>
          <w:lang w:val="en-GB"/>
        </w:rPr>
      </w:pPr>
    </w:p>
    <w:p w14:paraId="59DCC558" w14:textId="142DDEE6" w:rsidR="002C3D69" w:rsidRPr="00D93FF9" w:rsidRDefault="008C20B1" w:rsidP="008C20B1">
      <w:pPr>
        <w:pStyle w:val="Caption"/>
        <w:rPr>
          <w:rFonts w:ascii="Arial"/>
          <w:sz w:val="12"/>
          <w:lang w:val="en-GB"/>
        </w:rPr>
      </w:pPr>
      <w:bookmarkStart w:id="89" w:name="_Ref81391049"/>
      <w:bookmarkStart w:id="90" w:name="_Toc96518225"/>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11</w:t>
      </w:r>
      <w:r w:rsidR="00477102" w:rsidRPr="00D93FF9">
        <w:fldChar w:fldCharType="end"/>
      </w:r>
      <w:bookmarkEnd w:id="89"/>
      <w:r w:rsidRPr="00D93FF9">
        <w:t xml:space="preserve"> </w:t>
      </w:r>
      <w:bookmarkStart w:id="91" w:name="_Hlk153787608"/>
      <w:r w:rsidR="00E811B8" w:rsidRPr="00D93FF9">
        <w:rPr>
          <w:rFonts w:ascii="Arial"/>
          <w:sz w:val="18"/>
          <w:lang w:val="en-GB"/>
        </w:rPr>
        <w:t xml:space="preserve">Parameters used in </w:t>
      </w:r>
      <w:r w:rsidR="00E811B8" w:rsidRPr="00D93FF9">
        <w:rPr>
          <w:rFonts w:ascii="Arial"/>
          <w:sz w:val="18"/>
          <w:lang w:val="en-GB"/>
        </w:rPr>
        <w:fldChar w:fldCharType="begin"/>
      </w:r>
      <w:r w:rsidR="00E811B8" w:rsidRPr="00D93FF9">
        <w:rPr>
          <w:rFonts w:ascii="Arial"/>
          <w:sz w:val="18"/>
          <w:lang w:val="en-GB"/>
        </w:rPr>
        <w:instrText xml:space="preserve"> REF _Ref70424874 \h </w:instrText>
      </w:r>
      <w:r w:rsidR="00D93FF9">
        <w:rPr>
          <w:rFonts w:ascii="Arial"/>
          <w:sz w:val="18"/>
          <w:lang w:val="en-GB"/>
        </w:rPr>
        <w:instrText xml:space="preserve"> \* MERGEFORMAT </w:instrText>
      </w:r>
      <w:r w:rsidR="00E811B8" w:rsidRPr="00D93FF9">
        <w:rPr>
          <w:rFonts w:ascii="Arial"/>
          <w:sz w:val="18"/>
          <w:lang w:val="en-GB"/>
        </w:rPr>
      </w:r>
      <w:r w:rsidR="00E811B8" w:rsidRPr="00D93FF9">
        <w:rPr>
          <w:rFonts w:ascii="Arial"/>
          <w:sz w:val="18"/>
          <w:lang w:val="en-GB"/>
        </w:rPr>
        <w:fldChar w:fldCharType="separate"/>
      </w:r>
      <w:r w:rsidR="0069302C" w:rsidRPr="00D93FF9">
        <w:rPr>
          <w:szCs w:val="22"/>
        </w:rPr>
        <w:t xml:space="preserve">Equation </w:t>
      </w:r>
      <w:r w:rsidR="0069302C">
        <w:rPr>
          <w:noProof/>
          <w:szCs w:val="22"/>
        </w:rPr>
        <w:t>8</w:t>
      </w:r>
      <w:r w:rsidR="00E811B8" w:rsidRPr="00D93FF9">
        <w:rPr>
          <w:rFonts w:ascii="Arial"/>
          <w:sz w:val="18"/>
          <w:lang w:val="en-GB"/>
        </w:rPr>
        <w:fldChar w:fldCharType="end"/>
      </w:r>
      <w:r w:rsidR="00E811B8" w:rsidRPr="00D93FF9">
        <w:rPr>
          <w:rFonts w:ascii="Arial"/>
          <w:sz w:val="18"/>
          <w:lang w:val="en-GB"/>
        </w:rPr>
        <w:t xml:space="preserve"> to estimate LF under rainfall</w:t>
      </w:r>
      <w:r w:rsidR="00E811B8" w:rsidRPr="00D93FF9">
        <w:rPr>
          <w:rFonts w:ascii="Arial"/>
          <w:position w:val="4"/>
          <w:sz w:val="12"/>
          <w:lang w:val="en-GB"/>
        </w:rPr>
        <w:t>a</w:t>
      </w:r>
      <w:bookmarkEnd w:id="90"/>
      <w:bookmarkEnd w:id="91"/>
    </w:p>
    <w:tbl>
      <w:tblPr>
        <w:tblW w:w="0" w:type="auto"/>
        <w:tblInd w:w="117" w:type="dxa"/>
        <w:tblLayout w:type="fixed"/>
        <w:tblCellMar>
          <w:left w:w="0" w:type="dxa"/>
          <w:right w:w="0" w:type="dxa"/>
        </w:tblCellMar>
        <w:tblLook w:val="01E0" w:firstRow="1" w:lastRow="1" w:firstColumn="1" w:lastColumn="1" w:noHBand="0" w:noVBand="0"/>
        <w:tblCaption w:val="Parameters used in Equation 8 to estimate leaching fraction under rainfall"/>
        <w:tblDescription w:val="Lists the parameters required for using equation 8 to estimate leaching fraction under rainfall. Different clay content ranges are shown in the first column, the parameters a or b are shown in the second column, and the remaining 5 columns show values for CCR categories in millimoles per kilogram.  "/>
      </w:tblPr>
      <w:tblGrid>
        <w:gridCol w:w="1177"/>
        <w:gridCol w:w="1089"/>
        <w:gridCol w:w="1291"/>
        <w:gridCol w:w="1293"/>
        <w:gridCol w:w="1240"/>
        <w:gridCol w:w="1248"/>
        <w:gridCol w:w="1290"/>
      </w:tblGrid>
      <w:tr w:rsidR="00BE3AA8" w:rsidRPr="00D93FF9" w14:paraId="59DCC56B" w14:textId="77777777" w:rsidTr="002B768F">
        <w:trPr>
          <w:trHeight w:val="837"/>
        </w:trPr>
        <w:tc>
          <w:tcPr>
            <w:tcW w:w="1177" w:type="dxa"/>
            <w:tcBorders>
              <w:top w:val="single" w:sz="6" w:space="0" w:color="000000"/>
              <w:bottom w:val="single" w:sz="6" w:space="0" w:color="000000"/>
            </w:tcBorders>
          </w:tcPr>
          <w:p w14:paraId="59DCC559" w14:textId="77777777" w:rsidR="002C3D69" w:rsidRPr="00D93FF9" w:rsidRDefault="00E811B8" w:rsidP="002B768F">
            <w:pPr>
              <w:pStyle w:val="TableParagraph"/>
              <w:spacing w:before="0" w:after="0" w:line="259" w:lineRule="auto"/>
              <w:rPr>
                <w:rFonts w:asciiTheme="minorHAnsi" w:hAnsiTheme="minorHAnsi"/>
                <w:b/>
                <w:bCs/>
                <w:sz w:val="18"/>
                <w:szCs w:val="18"/>
                <w:lang w:val="en-GB"/>
              </w:rPr>
            </w:pPr>
            <w:r w:rsidRPr="00D93FF9">
              <w:rPr>
                <w:rFonts w:asciiTheme="minorHAnsi" w:hAnsiTheme="minorHAnsi"/>
                <w:b/>
                <w:bCs/>
                <w:sz w:val="18"/>
                <w:szCs w:val="18"/>
                <w:lang w:val="en-GB"/>
              </w:rPr>
              <w:t>Clay content range</w:t>
            </w:r>
          </w:p>
          <w:p w14:paraId="59DCC55A" w14:textId="77777777" w:rsidR="002C3D69" w:rsidRPr="00D93FF9" w:rsidRDefault="00E811B8" w:rsidP="002B768F">
            <w:pPr>
              <w:pStyle w:val="TableParagraph"/>
              <w:spacing w:before="0" w:after="0"/>
              <w:rPr>
                <w:rFonts w:asciiTheme="minorHAnsi" w:hAnsiTheme="minorHAnsi"/>
                <w:b/>
                <w:bCs/>
                <w:sz w:val="18"/>
                <w:szCs w:val="18"/>
                <w:lang w:val="en-GB"/>
              </w:rPr>
            </w:pPr>
            <w:r w:rsidRPr="00D93FF9">
              <w:rPr>
                <w:rFonts w:asciiTheme="minorHAnsi" w:hAnsiTheme="minorHAnsi"/>
                <w:b/>
                <w:bCs/>
                <w:sz w:val="18"/>
                <w:szCs w:val="18"/>
                <w:lang w:val="en-GB"/>
              </w:rPr>
              <w:t>(%)</w:t>
            </w:r>
          </w:p>
        </w:tc>
        <w:tc>
          <w:tcPr>
            <w:tcW w:w="1089" w:type="dxa"/>
            <w:tcBorders>
              <w:top w:val="single" w:sz="6" w:space="0" w:color="000000"/>
              <w:bottom w:val="single" w:sz="6" w:space="0" w:color="000000"/>
            </w:tcBorders>
          </w:tcPr>
          <w:p w14:paraId="59DCC55B" w14:textId="77777777" w:rsidR="002C3D69" w:rsidRPr="00D93FF9" w:rsidRDefault="00E811B8" w:rsidP="002B768F">
            <w:pPr>
              <w:pStyle w:val="TableParagraph"/>
              <w:spacing w:before="0" w:after="0"/>
              <w:jc w:val="center"/>
              <w:rPr>
                <w:rFonts w:asciiTheme="minorHAnsi" w:hAnsiTheme="minorHAnsi"/>
                <w:b/>
                <w:bCs/>
                <w:sz w:val="18"/>
                <w:szCs w:val="18"/>
                <w:lang w:val="en-GB"/>
              </w:rPr>
            </w:pPr>
            <w:r w:rsidRPr="00D93FF9">
              <w:rPr>
                <w:rFonts w:asciiTheme="minorHAnsi" w:hAnsiTheme="minorHAnsi"/>
                <w:b/>
                <w:bCs/>
                <w:sz w:val="18"/>
                <w:szCs w:val="18"/>
                <w:lang w:val="en-GB"/>
              </w:rPr>
              <w:t>Parameter</w:t>
            </w:r>
          </w:p>
        </w:tc>
        <w:tc>
          <w:tcPr>
            <w:tcW w:w="1291" w:type="dxa"/>
            <w:tcBorders>
              <w:top w:val="single" w:sz="6" w:space="0" w:color="000000"/>
              <w:bottom w:val="single" w:sz="6" w:space="0" w:color="000000"/>
            </w:tcBorders>
          </w:tcPr>
          <w:p w14:paraId="59DCC55C" w14:textId="77777777" w:rsidR="002C3D69" w:rsidRPr="00D93FF9" w:rsidRDefault="00E811B8" w:rsidP="002B768F">
            <w:pPr>
              <w:pStyle w:val="TableParagraph"/>
              <w:spacing w:before="0" w:after="0"/>
              <w:jc w:val="center"/>
              <w:rPr>
                <w:rFonts w:asciiTheme="minorHAnsi" w:hAnsiTheme="minorHAnsi"/>
                <w:b/>
                <w:bCs/>
                <w:sz w:val="18"/>
                <w:szCs w:val="18"/>
                <w:lang w:val="en-GB"/>
              </w:rPr>
            </w:pPr>
            <w:r w:rsidRPr="00D93FF9">
              <w:rPr>
                <w:rFonts w:asciiTheme="minorHAnsi" w:hAnsiTheme="minorHAnsi"/>
                <w:b/>
                <w:bCs/>
                <w:sz w:val="18"/>
                <w:szCs w:val="18"/>
                <w:lang w:val="en-GB"/>
              </w:rPr>
              <w:t>CCR</w:t>
            </w:r>
          </w:p>
          <w:p w14:paraId="59DCC55D" w14:textId="77777777" w:rsidR="002C3D69" w:rsidRPr="00D93FF9" w:rsidRDefault="00E811B8" w:rsidP="002B768F">
            <w:pPr>
              <w:pStyle w:val="TableParagraph"/>
              <w:spacing w:before="0" w:after="0"/>
              <w:jc w:val="center"/>
              <w:rPr>
                <w:rFonts w:asciiTheme="minorHAnsi" w:hAnsiTheme="minorHAnsi"/>
                <w:b/>
                <w:bCs/>
                <w:sz w:val="18"/>
                <w:szCs w:val="18"/>
                <w:lang w:val="en-GB"/>
              </w:rPr>
            </w:pPr>
            <w:r w:rsidRPr="00D93FF9">
              <w:rPr>
                <w:rFonts w:asciiTheme="minorHAnsi" w:hAnsiTheme="minorHAnsi"/>
                <w:b/>
                <w:bCs/>
                <w:sz w:val="18"/>
                <w:szCs w:val="18"/>
                <w:lang w:val="en-GB"/>
              </w:rPr>
              <w:t>&lt;0.35</w:t>
            </w:r>
          </w:p>
          <w:p w14:paraId="59DCC55E" w14:textId="77777777" w:rsidR="002C3D69" w:rsidRPr="00D93FF9" w:rsidRDefault="00E811B8" w:rsidP="002B768F">
            <w:pPr>
              <w:pStyle w:val="TableParagraph"/>
              <w:spacing w:before="0" w:after="0"/>
              <w:jc w:val="center"/>
              <w:rPr>
                <w:rFonts w:asciiTheme="minorHAnsi" w:hAnsiTheme="minorHAnsi"/>
                <w:b/>
                <w:bCs/>
                <w:sz w:val="18"/>
                <w:szCs w:val="18"/>
                <w:lang w:val="en-GB"/>
              </w:rPr>
            </w:pPr>
            <w:r w:rsidRPr="00D93FF9">
              <w:rPr>
                <w:rFonts w:asciiTheme="minorHAnsi" w:hAnsiTheme="minorHAnsi"/>
                <w:b/>
                <w:bCs/>
                <w:position w:val="2"/>
                <w:sz w:val="18"/>
                <w:szCs w:val="18"/>
                <w:lang w:val="en-GB"/>
              </w:rPr>
              <w:t>(mmole</w:t>
            </w:r>
            <w:r w:rsidRPr="00D93FF9">
              <w:rPr>
                <w:rFonts w:asciiTheme="minorHAnsi" w:hAnsiTheme="minorHAnsi"/>
                <w:b/>
                <w:bCs/>
                <w:sz w:val="18"/>
                <w:szCs w:val="18"/>
                <w:lang w:val="en-GB"/>
              </w:rPr>
              <w:t xml:space="preserve">c </w:t>
            </w:r>
            <w:r w:rsidRPr="00D93FF9">
              <w:rPr>
                <w:rFonts w:asciiTheme="minorHAnsi" w:hAnsiTheme="minorHAnsi"/>
                <w:b/>
                <w:bCs/>
                <w:position w:val="2"/>
                <w:sz w:val="18"/>
                <w:szCs w:val="18"/>
                <w:lang w:val="en-GB"/>
              </w:rPr>
              <w:t>/kg)</w:t>
            </w:r>
          </w:p>
        </w:tc>
        <w:tc>
          <w:tcPr>
            <w:tcW w:w="1293" w:type="dxa"/>
            <w:tcBorders>
              <w:top w:val="single" w:sz="6" w:space="0" w:color="000000"/>
              <w:bottom w:val="single" w:sz="6" w:space="0" w:color="000000"/>
            </w:tcBorders>
          </w:tcPr>
          <w:p w14:paraId="59DCC55F" w14:textId="77777777" w:rsidR="002C3D69" w:rsidRPr="00D93FF9" w:rsidRDefault="00E811B8" w:rsidP="002B768F">
            <w:pPr>
              <w:pStyle w:val="TableParagraph"/>
              <w:spacing w:before="0" w:after="0" w:line="244" w:lineRule="auto"/>
              <w:ind w:hanging="3"/>
              <w:jc w:val="center"/>
              <w:rPr>
                <w:rFonts w:asciiTheme="minorHAnsi" w:hAnsiTheme="minorHAnsi"/>
                <w:b/>
                <w:bCs/>
                <w:sz w:val="18"/>
                <w:szCs w:val="18"/>
                <w:lang w:val="en-GB"/>
              </w:rPr>
            </w:pPr>
            <w:r w:rsidRPr="00D93FF9">
              <w:rPr>
                <w:rFonts w:asciiTheme="minorHAnsi" w:hAnsiTheme="minorHAnsi"/>
                <w:b/>
                <w:bCs/>
                <w:sz w:val="18"/>
                <w:szCs w:val="18"/>
                <w:lang w:val="en-GB"/>
              </w:rPr>
              <w:t xml:space="preserve">CCR </w:t>
            </w:r>
          </w:p>
          <w:p w14:paraId="59DCC560" w14:textId="77777777" w:rsidR="002C3D69" w:rsidRPr="00D93FF9" w:rsidRDefault="00E811B8" w:rsidP="002B768F">
            <w:pPr>
              <w:pStyle w:val="TableParagraph"/>
              <w:spacing w:before="0" w:after="0" w:line="244" w:lineRule="auto"/>
              <w:ind w:hanging="3"/>
              <w:jc w:val="center"/>
              <w:rPr>
                <w:rFonts w:asciiTheme="minorHAnsi" w:hAnsiTheme="minorHAnsi"/>
                <w:b/>
                <w:bCs/>
                <w:sz w:val="18"/>
                <w:szCs w:val="18"/>
                <w:lang w:val="en-GB"/>
              </w:rPr>
            </w:pPr>
            <w:r w:rsidRPr="00D93FF9">
              <w:rPr>
                <w:rFonts w:asciiTheme="minorHAnsi" w:hAnsiTheme="minorHAnsi"/>
                <w:b/>
                <w:bCs/>
                <w:sz w:val="18"/>
                <w:szCs w:val="18"/>
                <w:lang w:val="en-GB"/>
              </w:rPr>
              <w:t>0.35-0.55</w:t>
            </w:r>
          </w:p>
          <w:p w14:paraId="59DCC561" w14:textId="77777777" w:rsidR="002C3D69" w:rsidRPr="00D93FF9" w:rsidRDefault="00E811B8" w:rsidP="002B768F">
            <w:pPr>
              <w:pStyle w:val="TableParagraph"/>
              <w:spacing w:before="0" w:after="0"/>
              <w:jc w:val="center"/>
              <w:rPr>
                <w:rFonts w:asciiTheme="minorHAnsi" w:hAnsiTheme="minorHAnsi"/>
                <w:b/>
                <w:bCs/>
                <w:sz w:val="18"/>
                <w:szCs w:val="18"/>
                <w:lang w:val="en-GB"/>
              </w:rPr>
            </w:pPr>
            <w:r w:rsidRPr="00D93FF9">
              <w:rPr>
                <w:rFonts w:asciiTheme="minorHAnsi" w:hAnsiTheme="minorHAnsi"/>
                <w:b/>
                <w:bCs/>
                <w:sz w:val="18"/>
                <w:szCs w:val="18"/>
                <w:lang w:val="en-GB"/>
              </w:rPr>
              <w:t>(mmole</w:t>
            </w:r>
            <w:r w:rsidRPr="00D93FF9">
              <w:rPr>
                <w:rFonts w:asciiTheme="minorHAnsi" w:hAnsiTheme="minorHAnsi"/>
                <w:b/>
                <w:bCs/>
                <w:position w:val="-3"/>
                <w:sz w:val="18"/>
                <w:szCs w:val="18"/>
                <w:lang w:val="en-GB"/>
              </w:rPr>
              <w:t xml:space="preserve">c </w:t>
            </w:r>
            <w:r w:rsidRPr="00D93FF9">
              <w:rPr>
                <w:rFonts w:asciiTheme="minorHAnsi" w:hAnsiTheme="minorHAnsi"/>
                <w:b/>
                <w:bCs/>
                <w:sz w:val="18"/>
                <w:szCs w:val="18"/>
                <w:lang w:val="en-GB"/>
              </w:rPr>
              <w:t>/kg)</w:t>
            </w:r>
          </w:p>
        </w:tc>
        <w:tc>
          <w:tcPr>
            <w:tcW w:w="1240" w:type="dxa"/>
            <w:tcBorders>
              <w:top w:val="single" w:sz="6" w:space="0" w:color="000000"/>
              <w:bottom w:val="single" w:sz="6" w:space="0" w:color="000000"/>
            </w:tcBorders>
          </w:tcPr>
          <w:p w14:paraId="59DCC562" w14:textId="77777777" w:rsidR="002C3D69" w:rsidRPr="00D93FF9" w:rsidRDefault="00E811B8" w:rsidP="002B768F">
            <w:pPr>
              <w:pStyle w:val="TableParagraph"/>
              <w:spacing w:before="0" w:after="0" w:line="244" w:lineRule="auto"/>
              <w:ind w:firstLine="2"/>
              <w:jc w:val="center"/>
              <w:rPr>
                <w:rFonts w:asciiTheme="minorHAnsi" w:hAnsiTheme="minorHAnsi"/>
                <w:b/>
                <w:bCs/>
                <w:sz w:val="18"/>
                <w:szCs w:val="18"/>
                <w:lang w:val="en-GB"/>
              </w:rPr>
            </w:pPr>
            <w:r w:rsidRPr="00D93FF9">
              <w:rPr>
                <w:rFonts w:asciiTheme="minorHAnsi" w:hAnsiTheme="minorHAnsi"/>
                <w:b/>
                <w:bCs/>
                <w:sz w:val="18"/>
                <w:szCs w:val="18"/>
                <w:lang w:val="en-GB"/>
              </w:rPr>
              <w:t xml:space="preserve">CCR </w:t>
            </w:r>
          </w:p>
          <w:p w14:paraId="59DCC563" w14:textId="77777777" w:rsidR="002C3D69" w:rsidRPr="00D93FF9" w:rsidRDefault="00E811B8" w:rsidP="002B768F">
            <w:pPr>
              <w:pStyle w:val="TableParagraph"/>
              <w:spacing w:before="0" w:after="0" w:line="244" w:lineRule="auto"/>
              <w:ind w:firstLine="2"/>
              <w:jc w:val="center"/>
              <w:rPr>
                <w:rFonts w:asciiTheme="minorHAnsi" w:hAnsiTheme="minorHAnsi"/>
                <w:b/>
                <w:bCs/>
                <w:sz w:val="18"/>
                <w:szCs w:val="18"/>
                <w:lang w:val="en-GB"/>
              </w:rPr>
            </w:pPr>
            <w:r w:rsidRPr="00D93FF9">
              <w:rPr>
                <w:rFonts w:asciiTheme="minorHAnsi" w:hAnsiTheme="minorHAnsi"/>
                <w:b/>
                <w:bCs/>
                <w:sz w:val="18"/>
                <w:szCs w:val="18"/>
                <w:lang w:val="en-GB"/>
              </w:rPr>
              <w:t>0.55-0.75</w:t>
            </w:r>
          </w:p>
          <w:p w14:paraId="59DCC564" w14:textId="77777777" w:rsidR="002C3D69" w:rsidRPr="00D93FF9" w:rsidRDefault="00E811B8" w:rsidP="002B768F">
            <w:pPr>
              <w:pStyle w:val="TableParagraph"/>
              <w:spacing w:before="0" w:after="0"/>
              <w:jc w:val="center"/>
              <w:rPr>
                <w:rFonts w:asciiTheme="minorHAnsi" w:hAnsiTheme="minorHAnsi"/>
                <w:b/>
                <w:bCs/>
                <w:sz w:val="18"/>
                <w:szCs w:val="18"/>
                <w:lang w:val="en-GB"/>
              </w:rPr>
            </w:pPr>
            <w:r w:rsidRPr="00D93FF9">
              <w:rPr>
                <w:rFonts w:asciiTheme="minorHAnsi" w:hAnsiTheme="minorHAnsi"/>
                <w:b/>
                <w:bCs/>
                <w:position w:val="2"/>
                <w:sz w:val="18"/>
                <w:szCs w:val="18"/>
                <w:lang w:val="en-GB"/>
              </w:rPr>
              <w:t>(mmole</w:t>
            </w:r>
            <w:r w:rsidRPr="00D93FF9">
              <w:rPr>
                <w:rFonts w:asciiTheme="minorHAnsi" w:hAnsiTheme="minorHAnsi"/>
                <w:b/>
                <w:bCs/>
                <w:sz w:val="18"/>
                <w:szCs w:val="18"/>
                <w:lang w:val="en-GB"/>
              </w:rPr>
              <w:t xml:space="preserve">c </w:t>
            </w:r>
            <w:r w:rsidRPr="00D93FF9">
              <w:rPr>
                <w:rFonts w:asciiTheme="minorHAnsi" w:hAnsiTheme="minorHAnsi"/>
                <w:b/>
                <w:bCs/>
                <w:position w:val="2"/>
                <w:sz w:val="18"/>
                <w:szCs w:val="18"/>
                <w:lang w:val="en-GB"/>
              </w:rPr>
              <w:t>/kg)</w:t>
            </w:r>
          </w:p>
        </w:tc>
        <w:tc>
          <w:tcPr>
            <w:tcW w:w="1248" w:type="dxa"/>
            <w:tcBorders>
              <w:top w:val="single" w:sz="6" w:space="0" w:color="000000"/>
              <w:bottom w:val="single" w:sz="6" w:space="0" w:color="000000"/>
            </w:tcBorders>
          </w:tcPr>
          <w:p w14:paraId="59DCC565" w14:textId="77777777" w:rsidR="002C3D69" w:rsidRPr="00D93FF9" w:rsidRDefault="00E811B8" w:rsidP="002B768F">
            <w:pPr>
              <w:pStyle w:val="TableParagraph"/>
              <w:spacing w:before="0" w:after="0" w:line="244" w:lineRule="auto"/>
              <w:ind w:hanging="3"/>
              <w:jc w:val="center"/>
              <w:rPr>
                <w:rFonts w:asciiTheme="minorHAnsi" w:hAnsiTheme="minorHAnsi"/>
                <w:b/>
                <w:bCs/>
                <w:sz w:val="18"/>
                <w:szCs w:val="18"/>
                <w:lang w:val="en-GB"/>
              </w:rPr>
            </w:pPr>
            <w:r w:rsidRPr="00D93FF9">
              <w:rPr>
                <w:rFonts w:asciiTheme="minorHAnsi" w:hAnsiTheme="minorHAnsi"/>
                <w:b/>
                <w:bCs/>
                <w:sz w:val="18"/>
                <w:szCs w:val="18"/>
                <w:lang w:val="en-GB"/>
              </w:rPr>
              <w:t>CCR</w:t>
            </w:r>
          </w:p>
          <w:p w14:paraId="59DCC566" w14:textId="77777777" w:rsidR="002C3D69" w:rsidRPr="00D93FF9" w:rsidRDefault="00E811B8" w:rsidP="002B768F">
            <w:pPr>
              <w:pStyle w:val="TableParagraph"/>
              <w:spacing w:before="0" w:after="0" w:line="244" w:lineRule="auto"/>
              <w:ind w:hanging="3"/>
              <w:jc w:val="center"/>
              <w:rPr>
                <w:rFonts w:asciiTheme="minorHAnsi" w:hAnsiTheme="minorHAnsi"/>
                <w:b/>
                <w:bCs/>
                <w:sz w:val="18"/>
                <w:szCs w:val="18"/>
                <w:lang w:val="en-GB"/>
              </w:rPr>
            </w:pPr>
            <w:r w:rsidRPr="00D93FF9">
              <w:rPr>
                <w:rFonts w:asciiTheme="minorHAnsi" w:hAnsiTheme="minorHAnsi"/>
                <w:b/>
                <w:bCs/>
                <w:sz w:val="18"/>
                <w:szCs w:val="18"/>
                <w:lang w:val="en-GB"/>
              </w:rPr>
              <w:t>0.75-0.95</w:t>
            </w:r>
          </w:p>
          <w:p w14:paraId="59DCC567" w14:textId="77777777" w:rsidR="002C3D69" w:rsidRPr="00D93FF9" w:rsidRDefault="00E811B8" w:rsidP="002B768F">
            <w:pPr>
              <w:pStyle w:val="TableParagraph"/>
              <w:spacing w:before="0" w:after="0"/>
              <w:jc w:val="center"/>
              <w:rPr>
                <w:rFonts w:asciiTheme="minorHAnsi" w:hAnsiTheme="minorHAnsi"/>
                <w:b/>
                <w:bCs/>
                <w:sz w:val="18"/>
                <w:szCs w:val="18"/>
                <w:lang w:val="en-GB"/>
              </w:rPr>
            </w:pPr>
            <w:r w:rsidRPr="00D93FF9">
              <w:rPr>
                <w:rFonts w:asciiTheme="minorHAnsi" w:hAnsiTheme="minorHAnsi"/>
                <w:b/>
                <w:bCs/>
                <w:position w:val="2"/>
                <w:sz w:val="18"/>
                <w:szCs w:val="18"/>
                <w:lang w:val="en-GB"/>
              </w:rPr>
              <w:t>(mmole</w:t>
            </w:r>
            <w:r w:rsidRPr="00D93FF9">
              <w:rPr>
                <w:rFonts w:asciiTheme="minorHAnsi" w:hAnsiTheme="minorHAnsi"/>
                <w:b/>
                <w:bCs/>
                <w:sz w:val="18"/>
                <w:szCs w:val="18"/>
                <w:lang w:val="en-GB"/>
              </w:rPr>
              <w:t xml:space="preserve">c </w:t>
            </w:r>
            <w:r w:rsidRPr="00D93FF9">
              <w:rPr>
                <w:rFonts w:asciiTheme="minorHAnsi" w:hAnsiTheme="minorHAnsi"/>
                <w:b/>
                <w:bCs/>
                <w:position w:val="2"/>
                <w:sz w:val="18"/>
                <w:szCs w:val="18"/>
                <w:lang w:val="en-GB"/>
              </w:rPr>
              <w:t>/kg)</w:t>
            </w:r>
          </w:p>
        </w:tc>
        <w:tc>
          <w:tcPr>
            <w:tcW w:w="1290" w:type="dxa"/>
            <w:tcBorders>
              <w:top w:val="single" w:sz="6" w:space="0" w:color="000000"/>
              <w:bottom w:val="single" w:sz="6" w:space="0" w:color="000000"/>
            </w:tcBorders>
          </w:tcPr>
          <w:p w14:paraId="59DCC568" w14:textId="77777777" w:rsidR="002C3D69" w:rsidRPr="00D93FF9" w:rsidRDefault="00E811B8" w:rsidP="002B768F">
            <w:pPr>
              <w:pStyle w:val="TableParagraph"/>
              <w:spacing w:before="0" w:after="0"/>
              <w:jc w:val="center"/>
              <w:rPr>
                <w:rFonts w:asciiTheme="minorHAnsi" w:hAnsiTheme="minorHAnsi"/>
                <w:b/>
                <w:bCs/>
                <w:sz w:val="18"/>
                <w:szCs w:val="18"/>
                <w:lang w:val="en-GB"/>
              </w:rPr>
            </w:pPr>
            <w:r w:rsidRPr="00D93FF9">
              <w:rPr>
                <w:rFonts w:asciiTheme="minorHAnsi" w:hAnsiTheme="minorHAnsi"/>
                <w:b/>
                <w:bCs/>
                <w:sz w:val="18"/>
                <w:szCs w:val="18"/>
                <w:lang w:val="en-GB"/>
              </w:rPr>
              <w:t>CCR</w:t>
            </w:r>
          </w:p>
          <w:p w14:paraId="59DCC569" w14:textId="77777777" w:rsidR="002C3D69" w:rsidRPr="00D93FF9" w:rsidRDefault="00E811B8" w:rsidP="002B768F">
            <w:pPr>
              <w:pStyle w:val="TableParagraph"/>
              <w:spacing w:before="0" w:after="0"/>
              <w:jc w:val="center"/>
              <w:rPr>
                <w:rFonts w:asciiTheme="minorHAnsi" w:hAnsiTheme="minorHAnsi"/>
                <w:b/>
                <w:bCs/>
                <w:sz w:val="18"/>
                <w:szCs w:val="18"/>
                <w:lang w:val="en-GB"/>
              </w:rPr>
            </w:pPr>
            <w:r w:rsidRPr="00D93FF9">
              <w:rPr>
                <w:rFonts w:asciiTheme="minorHAnsi" w:hAnsiTheme="minorHAnsi"/>
                <w:b/>
                <w:bCs/>
                <w:sz w:val="18"/>
                <w:szCs w:val="18"/>
                <w:lang w:val="en-GB"/>
              </w:rPr>
              <w:t>&gt;0.95</w:t>
            </w:r>
          </w:p>
          <w:p w14:paraId="59DCC56A" w14:textId="77777777" w:rsidR="002C3D69" w:rsidRPr="00D93FF9" w:rsidRDefault="00E811B8" w:rsidP="002B768F">
            <w:pPr>
              <w:pStyle w:val="TableParagraph"/>
              <w:spacing w:before="0" w:after="0"/>
              <w:jc w:val="center"/>
              <w:rPr>
                <w:rFonts w:asciiTheme="minorHAnsi" w:hAnsiTheme="minorHAnsi"/>
                <w:b/>
                <w:bCs/>
                <w:sz w:val="18"/>
                <w:szCs w:val="18"/>
                <w:lang w:val="en-GB"/>
              </w:rPr>
            </w:pPr>
            <w:r w:rsidRPr="00D93FF9">
              <w:rPr>
                <w:rFonts w:asciiTheme="minorHAnsi" w:hAnsiTheme="minorHAnsi"/>
                <w:b/>
                <w:bCs/>
                <w:position w:val="2"/>
                <w:sz w:val="18"/>
                <w:szCs w:val="18"/>
                <w:lang w:val="en-GB"/>
              </w:rPr>
              <w:t>(mmole</w:t>
            </w:r>
            <w:r w:rsidRPr="00D93FF9">
              <w:rPr>
                <w:rFonts w:asciiTheme="minorHAnsi" w:hAnsiTheme="minorHAnsi"/>
                <w:b/>
                <w:bCs/>
                <w:sz w:val="18"/>
                <w:szCs w:val="18"/>
                <w:lang w:val="en-GB"/>
              </w:rPr>
              <w:t xml:space="preserve">c </w:t>
            </w:r>
            <w:r w:rsidRPr="00D93FF9">
              <w:rPr>
                <w:rFonts w:asciiTheme="minorHAnsi" w:hAnsiTheme="minorHAnsi"/>
                <w:b/>
                <w:bCs/>
                <w:position w:val="2"/>
                <w:sz w:val="18"/>
                <w:szCs w:val="18"/>
                <w:lang w:val="en-GB"/>
              </w:rPr>
              <w:t>/kg)</w:t>
            </w:r>
          </w:p>
        </w:tc>
      </w:tr>
      <w:tr w:rsidR="00BE3AA8" w:rsidRPr="00D93FF9" w14:paraId="59DCC573" w14:textId="77777777" w:rsidTr="002B768F">
        <w:trPr>
          <w:trHeight w:val="267"/>
        </w:trPr>
        <w:tc>
          <w:tcPr>
            <w:tcW w:w="1177" w:type="dxa"/>
            <w:tcBorders>
              <w:top w:val="single" w:sz="6" w:space="0" w:color="000000"/>
            </w:tcBorders>
          </w:tcPr>
          <w:p w14:paraId="59DCC56C" w14:textId="77777777" w:rsidR="002C3D69" w:rsidRPr="00D93FF9" w:rsidRDefault="00E811B8" w:rsidP="002B768F">
            <w:pPr>
              <w:pStyle w:val="TableParagraph"/>
              <w:spacing w:before="0" w:after="0" w:line="185" w:lineRule="exact"/>
              <w:rPr>
                <w:rFonts w:asciiTheme="minorHAnsi" w:hAnsiTheme="minorHAnsi"/>
                <w:sz w:val="18"/>
                <w:szCs w:val="18"/>
                <w:lang w:val="en-GB"/>
              </w:rPr>
            </w:pPr>
            <w:r w:rsidRPr="00D93FF9">
              <w:rPr>
                <w:rFonts w:asciiTheme="minorHAnsi" w:hAnsiTheme="minorHAnsi"/>
                <w:sz w:val="18"/>
                <w:szCs w:val="18"/>
                <w:lang w:val="en-GB"/>
              </w:rPr>
              <w:t>5</w:t>
            </w:r>
            <w:r w:rsidR="00A8314F" w:rsidRPr="00D93FF9">
              <w:rPr>
                <w:rFonts w:asciiTheme="minorHAnsi" w:hAnsiTheme="minorHAnsi"/>
                <w:sz w:val="18"/>
                <w:szCs w:val="18"/>
                <w:lang w:val="en-GB"/>
              </w:rPr>
              <w:t>-</w:t>
            </w:r>
            <w:r w:rsidRPr="00D93FF9">
              <w:rPr>
                <w:rFonts w:asciiTheme="minorHAnsi" w:hAnsiTheme="minorHAnsi"/>
                <w:sz w:val="18"/>
                <w:szCs w:val="18"/>
                <w:lang w:val="en-GB"/>
              </w:rPr>
              <w:t>15</w:t>
            </w:r>
          </w:p>
        </w:tc>
        <w:tc>
          <w:tcPr>
            <w:tcW w:w="1089" w:type="dxa"/>
            <w:tcBorders>
              <w:top w:val="single" w:sz="6" w:space="0" w:color="000000"/>
            </w:tcBorders>
          </w:tcPr>
          <w:p w14:paraId="59DCC56D"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a</w:t>
            </w:r>
          </w:p>
        </w:tc>
        <w:tc>
          <w:tcPr>
            <w:tcW w:w="1291" w:type="dxa"/>
            <w:tcBorders>
              <w:top w:val="single" w:sz="6" w:space="0" w:color="000000"/>
            </w:tcBorders>
          </w:tcPr>
          <w:p w14:paraId="59DCC56E"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-0.653</w:t>
            </w:r>
          </w:p>
        </w:tc>
        <w:tc>
          <w:tcPr>
            <w:tcW w:w="1293" w:type="dxa"/>
            <w:tcBorders>
              <w:top w:val="single" w:sz="6" w:space="0" w:color="000000"/>
            </w:tcBorders>
          </w:tcPr>
          <w:p w14:paraId="59DCC56F"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-0.240</w:t>
            </w:r>
          </w:p>
        </w:tc>
        <w:tc>
          <w:tcPr>
            <w:tcW w:w="1240" w:type="dxa"/>
            <w:tcBorders>
              <w:top w:val="single" w:sz="6" w:space="0" w:color="000000"/>
            </w:tcBorders>
          </w:tcPr>
          <w:p w14:paraId="59DCC570"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-0.124</w:t>
            </w:r>
          </w:p>
        </w:tc>
        <w:tc>
          <w:tcPr>
            <w:tcW w:w="1248" w:type="dxa"/>
            <w:tcBorders>
              <w:top w:val="single" w:sz="6" w:space="0" w:color="000000"/>
            </w:tcBorders>
          </w:tcPr>
          <w:p w14:paraId="59DCC571"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-0.115</w:t>
            </w:r>
          </w:p>
        </w:tc>
        <w:tc>
          <w:tcPr>
            <w:tcW w:w="1290" w:type="dxa"/>
            <w:tcBorders>
              <w:top w:val="single" w:sz="6" w:space="0" w:color="000000"/>
            </w:tcBorders>
          </w:tcPr>
          <w:p w14:paraId="59DCC572"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-0.559</w:t>
            </w:r>
          </w:p>
        </w:tc>
      </w:tr>
      <w:tr w:rsidR="00BE3AA8" w:rsidRPr="00D93FF9" w14:paraId="59DCC57B" w14:textId="77777777" w:rsidTr="002B768F">
        <w:trPr>
          <w:trHeight w:val="250"/>
        </w:trPr>
        <w:tc>
          <w:tcPr>
            <w:tcW w:w="1177" w:type="dxa"/>
            <w:tcBorders>
              <w:bottom w:val="dotted" w:sz="2" w:space="0" w:color="000000"/>
            </w:tcBorders>
          </w:tcPr>
          <w:p w14:paraId="59DCC574" w14:textId="77777777" w:rsidR="002C3D69" w:rsidRPr="00D93FF9" w:rsidRDefault="002C3D69" w:rsidP="002B768F">
            <w:pPr>
              <w:pStyle w:val="TableParagraph"/>
              <w:spacing w:before="0" w:after="0"/>
              <w:rPr>
                <w:rFonts w:asciiTheme="minorHAnsi" w:hAnsiTheme="minorHAnsi"/>
                <w:sz w:val="18"/>
                <w:szCs w:val="18"/>
                <w:lang w:val="en-GB"/>
              </w:rPr>
            </w:pPr>
          </w:p>
        </w:tc>
        <w:tc>
          <w:tcPr>
            <w:tcW w:w="1089" w:type="dxa"/>
            <w:tcBorders>
              <w:bottom w:val="dotted" w:sz="2" w:space="0" w:color="000000"/>
            </w:tcBorders>
          </w:tcPr>
          <w:p w14:paraId="59DCC575"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b</w:t>
            </w:r>
          </w:p>
        </w:tc>
        <w:tc>
          <w:tcPr>
            <w:tcW w:w="1291" w:type="dxa"/>
            <w:tcBorders>
              <w:bottom w:val="dotted" w:sz="2" w:space="0" w:color="000000"/>
            </w:tcBorders>
          </w:tcPr>
          <w:p w14:paraId="59DCC576"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-0.098</w:t>
            </w:r>
          </w:p>
        </w:tc>
        <w:tc>
          <w:tcPr>
            <w:tcW w:w="1293" w:type="dxa"/>
            <w:tcBorders>
              <w:bottom w:val="dotted" w:sz="2" w:space="0" w:color="000000"/>
            </w:tcBorders>
          </w:tcPr>
          <w:p w14:paraId="59DCC577"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-0.521</w:t>
            </w:r>
          </w:p>
        </w:tc>
        <w:tc>
          <w:tcPr>
            <w:tcW w:w="1240" w:type="dxa"/>
            <w:tcBorders>
              <w:bottom w:val="dotted" w:sz="2" w:space="0" w:color="000000"/>
            </w:tcBorders>
          </w:tcPr>
          <w:p w14:paraId="59DCC578"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-0.562</w:t>
            </w:r>
          </w:p>
        </w:tc>
        <w:tc>
          <w:tcPr>
            <w:tcW w:w="1248" w:type="dxa"/>
            <w:tcBorders>
              <w:bottom w:val="dotted" w:sz="2" w:space="0" w:color="000000"/>
            </w:tcBorders>
          </w:tcPr>
          <w:p w14:paraId="59DCC579"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-0.506</w:t>
            </w:r>
          </w:p>
        </w:tc>
        <w:tc>
          <w:tcPr>
            <w:tcW w:w="1290" w:type="dxa"/>
            <w:tcBorders>
              <w:bottom w:val="dotted" w:sz="2" w:space="0" w:color="000000"/>
            </w:tcBorders>
          </w:tcPr>
          <w:p w14:paraId="59DCC57A"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-0.067</w:t>
            </w:r>
          </w:p>
        </w:tc>
      </w:tr>
      <w:tr w:rsidR="00BE3AA8" w:rsidRPr="00D93FF9" w14:paraId="59DCC583" w14:textId="77777777" w:rsidTr="002B768F">
        <w:trPr>
          <w:trHeight w:val="267"/>
        </w:trPr>
        <w:tc>
          <w:tcPr>
            <w:tcW w:w="1177" w:type="dxa"/>
            <w:tcBorders>
              <w:top w:val="dotted" w:sz="2" w:space="0" w:color="000000"/>
            </w:tcBorders>
          </w:tcPr>
          <w:p w14:paraId="59DCC57C" w14:textId="77777777" w:rsidR="002C3D69" w:rsidRPr="00D93FF9" w:rsidRDefault="00E811B8" w:rsidP="002B768F">
            <w:pPr>
              <w:pStyle w:val="TableParagraph"/>
              <w:spacing w:before="0" w:after="0" w:line="185" w:lineRule="exact"/>
              <w:rPr>
                <w:rFonts w:asciiTheme="minorHAnsi" w:hAnsiTheme="minorHAnsi"/>
                <w:sz w:val="18"/>
                <w:szCs w:val="18"/>
                <w:lang w:val="en-GB"/>
              </w:rPr>
            </w:pPr>
            <w:r w:rsidRPr="00D93FF9">
              <w:rPr>
                <w:rFonts w:asciiTheme="minorHAnsi" w:hAnsiTheme="minorHAnsi"/>
                <w:sz w:val="18"/>
                <w:szCs w:val="18"/>
                <w:lang w:val="en-GB"/>
              </w:rPr>
              <w:t>15</w:t>
            </w:r>
            <w:r w:rsidR="00A8314F" w:rsidRPr="00D93FF9">
              <w:rPr>
                <w:rFonts w:asciiTheme="minorHAnsi" w:hAnsiTheme="minorHAnsi"/>
                <w:sz w:val="18"/>
                <w:szCs w:val="18"/>
                <w:lang w:val="en-GB"/>
              </w:rPr>
              <w:t>-</w:t>
            </w:r>
            <w:r w:rsidRPr="00D93FF9">
              <w:rPr>
                <w:rFonts w:asciiTheme="minorHAnsi" w:hAnsiTheme="minorHAnsi"/>
                <w:sz w:val="18"/>
                <w:szCs w:val="18"/>
                <w:lang w:val="en-GB"/>
              </w:rPr>
              <w:t>25</w:t>
            </w:r>
          </w:p>
        </w:tc>
        <w:tc>
          <w:tcPr>
            <w:tcW w:w="1089" w:type="dxa"/>
            <w:tcBorders>
              <w:top w:val="dotted" w:sz="2" w:space="0" w:color="000000"/>
            </w:tcBorders>
          </w:tcPr>
          <w:p w14:paraId="59DCC57D"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a</w:t>
            </w:r>
          </w:p>
        </w:tc>
        <w:tc>
          <w:tcPr>
            <w:tcW w:w="1291" w:type="dxa"/>
            <w:tcBorders>
              <w:top w:val="dotted" w:sz="2" w:space="0" w:color="000000"/>
            </w:tcBorders>
          </w:tcPr>
          <w:p w14:paraId="59DCC57E"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-0.011</w:t>
            </w:r>
          </w:p>
        </w:tc>
        <w:tc>
          <w:tcPr>
            <w:tcW w:w="1293" w:type="dxa"/>
            <w:tcBorders>
              <w:top w:val="dotted" w:sz="2" w:space="0" w:color="000000"/>
            </w:tcBorders>
          </w:tcPr>
          <w:p w14:paraId="59DCC57F"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0.330</w:t>
            </w:r>
          </w:p>
        </w:tc>
        <w:tc>
          <w:tcPr>
            <w:tcW w:w="1240" w:type="dxa"/>
            <w:tcBorders>
              <w:top w:val="dotted" w:sz="2" w:space="0" w:color="000000"/>
            </w:tcBorders>
          </w:tcPr>
          <w:p w14:paraId="59DCC580"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0.440</w:t>
            </w:r>
          </w:p>
        </w:tc>
        <w:tc>
          <w:tcPr>
            <w:tcW w:w="1248" w:type="dxa"/>
            <w:tcBorders>
              <w:top w:val="dotted" w:sz="2" w:space="0" w:color="000000"/>
            </w:tcBorders>
          </w:tcPr>
          <w:p w14:paraId="59DCC581"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0.479</w:t>
            </w:r>
          </w:p>
        </w:tc>
        <w:tc>
          <w:tcPr>
            <w:tcW w:w="1290" w:type="dxa"/>
            <w:tcBorders>
              <w:top w:val="dotted" w:sz="2" w:space="0" w:color="000000"/>
            </w:tcBorders>
          </w:tcPr>
          <w:p w14:paraId="59DCC582"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0.295</w:t>
            </w:r>
          </w:p>
        </w:tc>
      </w:tr>
      <w:tr w:rsidR="00BE3AA8" w:rsidRPr="00D93FF9" w14:paraId="59DCC58B" w14:textId="77777777" w:rsidTr="002B768F">
        <w:trPr>
          <w:trHeight w:val="250"/>
        </w:trPr>
        <w:tc>
          <w:tcPr>
            <w:tcW w:w="1177" w:type="dxa"/>
            <w:tcBorders>
              <w:bottom w:val="dotted" w:sz="2" w:space="0" w:color="000000"/>
            </w:tcBorders>
          </w:tcPr>
          <w:p w14:paraId="59DCC584" w14:textId="77777777" w:rsidR="002C3D69" w:rsidRPr="00D93FF9" w:rsidRDefault="002C3D69" w:rsidP="002B768F">
            <w:pPr>
              <w:pStyle w:val="TableParagraph"/>
              <w:spacing w:before="0" w:after="0"/>
              <w:rPr>
                <w:rFonts w:asciiTheme="minorHAnsi" w:hAnsiTheme="minorHAnsi"/>
                <w:sz w:val="18"/>
                <w:szCs w:val="18"/>
                <w:lang w:val="en-GB"/>
              </w:rPr>
            </w:pPr>
          </w:p>
        </w:tc>
        <w:tc>
          <w:tcPr>
            <w:tcW w:w="1089" w:type="dxa"/>
            <w:tcBorders>
              <w:bottom w:val="dotted" w:sz="2" w:space="0" w:color="000000"/>
            </w:tcBorders>
          </w:tcPr>
          <w:p w14:paraId="59DCC585"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b</w:t>
            </w:r>
          </w:p>
        </w:tc>
        <w:tc>
          <w:tcPr>
            <w:tcW w:w="1291" w:type="dxa"/>
            <w:tcBorders>
              <w:bottom w:val="dotted" w:sz="2" w:space="0" w:color="000000"/>
            </w:tcBorders>
          </w:tcPr>
          <w:p w14:paraId="59DCC586"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-0.593</w:t>
            </w:r>
          </w:p>
        </w:tc>
        <w:tc>
          <w:tcPr>
            <w:tcW w:w="1293" w:type="dxa"/>
            <w:tcBorders>
              <w:bottom w:val="dotted" w:sz="2" w:space="0" w:color="000000"/>
            </w:tcBorders>
          </w:tcPr>
          <w:p w14:paraId="59DCC587"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-0.857</w:t>
            </w:r>
          </w:p>
        </w:tc>
        <w:tc>
          <w:tcPr>
            <w:tcW w:w="1240" w:type="dxa"/>
            <w:tcBorders>
              <w:bottom w:val="dotted" w:sz="2" w:space="0" w:color="000000"/>
            </w:tcBorders>
          </w:tcPr>
          <w:p w14:paraId="59DCC588"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-0.934</w:t>
            </w:r>
          </w:p>
        </w:tc>
        <w:tc>
          <w:tcPr>
            <w:tcW w:w="1248" w:type="dxa"/>
            <w:tcBorders>
              <w:bottom w:val="dotted" w:sz="2" w:space="0" w:color="000000"/>
            </w:tcBorders>
          </w:tcPr>
          <w:p w14:paraId="59DCC589"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-1.195</w:t>
            </w:r>
          </w:p>
        </w:tc>
        <w:tc>
          <w:tcPr>
            <w:tcW w:w="1290" w:type="dxa"/>
            <w:tcBorders>
              <w:bottom w:val="dotted" w:sz="2" w:space="0" w:color="000000"/>
            </w:tcBorders>
          </w:tcPr>
          <w:p w14:paraId="59DCC58A"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-0.671</w:t>
            </w:r>
          </w:p>
        </w:tc>
      </w:tr>
      <w:tr w:rsidR="00BE3AA8" w:rsidRPr="00D93FF9" w14:paraId="59DCC593" w14:textId="77777777" w:rsidTr="002B768F">
        <w:trPr>
          <w:trHeight w:val="267"/>
        </w:trPr>
        <w:tc>
          <w:tcPr>
            <w:tcW w:w="1177" w:type="dxa"/>
            <w:tcBorders>
              <w:top w:val="dotted" w:sz="2" w:space="0" w:color="000000"/>
            </w:tcBorders>
          </w:tcPr>
          <w:p w14:paraId="59DCC58C" w14:textId="77777777" w:rsidR="002C3D69" w:rsidRPr="00D93FF9" w:rsidRDefault="00E811B8" w:rsidP="002B768F">
            <w:pPr>
              <w:pStyle w:val="TableParagraph"/>
              <w:spacing w:before="0" w:after="0" w:line="185" w:lineRule="exact"/>
              <w:rPr>
                <w:rFonts w:asciiTheme="minorHAnsi" w:hAnsiTheme="minorHAnsi"/>
                <w:sz w:val="18"/>
                <w:szCs w:val="18"/>
                <w:lang w:val="en-GB"/>
              </w:rPr>
            </w:pPr>
            <w:r w:rsidRPr="00D93FF9">
              <w:rPr>
                <w:rFonts w:asciiTheme="minorHAnsi" w:hAnsiTheme="minorHAnsi"/>
                <w:sz w:val="18"/>
                <w:szCs w:val="18"/>
                <w:lang w:val="en-GB"/>
              </w:rPr>
              <w:t>25</w:t>
            </w:r>
            <w:r w:rsidR="00A8314F" w:rsidRPr="00D93FF9">
              <w:rPr>
                <w:rFonts w:asciiTheme="minorHAnsi" w:hAnsiTheme="minorHAnsi"/>
                <w:sz w:val="18"/>
                <w:szCs w:val="18"/>
                <w:lang w:val="en-GB"/>
              </w:rPr>
              <w:t>-</w:t>
            </w:r>
            <w:r w:rsidRPr="00D93FF9">
              <w:rPr>
                <w:rFonts w:asciiTheme="minorHAnsi" w:hAnsiTheme="minorHAnsi"/>
                <w:sz w:val="18"/>
                <w:szCs w:val="18"/>
                <w:lang w:val="en-GB"/>
              </w:rPr>
              <w:t>35</w:t>
            </w:r>
          </w:p>
        </w:tc>
        <w:tc>
          <w:tcPr>
            <w:tcW w:w="1089" w:type="dxa"/>
            <w:tcBorders>
              <w:top w:val="dotted" w:sz="2" w:space="0" w:color="000000"/>
            </w:tcBorders>
          </w:tcPr>
          <w:p w14:paraId="59DCC58D"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a</w:t>
            </w:r>
          </w:p>
        </w:tc>
        <w:tc>
          <w:tcPr>
            <w:tcW w:w="1291" w:type="dxa"/>
            <w:tcBorders>
              <w:top w:val="dotted" w:sz="2" w:space="0" w:color="000000"/>
            </w:tcBorders>
          </w:tcPr>
          <w:p w14:paraId="59DCC58E"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0.147</w:t>
            </w:r>
          </w:p>
        </w:tc>
        <w:tc>
          <w:tcPr>
            <w:tcW w:w="1293" w:type="dxa"/>
            <w:tcBorders>
              <w:top w:val="dotted" w:sz="2" w:space="0" w:color="000000"/>
            </w:tcBorders>
          </w:tcPr>
          <w:p w14:paraId="59DCC58F"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0.411</w:t>
            </w:r>
          </w:p>
        </w:tc>
        <w:tc>
          <w:tcPr>
            <w:tcW w:w="1240" w:type="dxa"/>
            <w:tcBorders>
              <w:top w:val="dotted" w:sz="2" w:space="0" w:color="000000"/>
            </w:tcBorders>
          </w:tcPr>
          <w:p w14:paraId="59DCC590"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0.633</w:t>
            </w:r>
          </w:p>
        </w:tc>
        <w:tc>
          <w:tcPr>
            <w:tcW w:w="1248" w:type="dxa"/>
            <w:tcBorders>
              <w:top w:val="dotted" w:sz="2" w:space="0" w:color="000000"/>
            </w:tcBorders>
          </w:tcPr>
          <w:p w14:paraId="59DCC591"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0.772</w:t>
            </w:r>
          </w:p>
        </w:tc>
        <w:tc>
          <w:tcPr>
            <w:tcW w:w="1290" w:type="dxa"/>
            <w:tcBorders>
              <w:top w:val="dotted" w:sz="2" w:space="0" w:color="000000"/>
            </w:tcBorders>
          </w:tcPr>
          <w:p w14:paraId="59DCC592"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0.457</w:t>
            </w:r>
          </w:p>
        </w:tc>
      </w:tr>
      <w:tr w:rsidR="00BE3AA8" w:rsidRPr="00D93FF9" w14:paraId="59DCC59B" w14:textId="77777777" w:rsidTr="002B768F">
        <w:trPr>
          <w:trHeight w:val="250"/>
        </w:trPr>
        <w:tc>
          <w:tcPr>
            <w:tcW w:w="1177" w:type="dxa"/>
            <w:tcBorders>
              <w:bottom w:val="dotted" w:sz="2" w:space="0" w:color="000000"/>
            </w:tcBorders>
          </w:tcPr>
          <w:p w14:paraId="59DCC594" w14:textId="77777777" w:rsidR="002C3D69" w:rsidRPr="00D93FF9" w:rsidRDefault="002C3D69" w:rsidP="002B768F">
            <w:pPr>
              <w:pStyle w:val="TableParagraph"/>
              <w:spacing w:before="0" w:after="0"/>
              <w:rPr>
                <w:rFonts w:asciiTheme="minorHAnsi" w:hAnsiTheme="minorHAnsi"/>
                <w:sz w:val="18"/>
                <w:szCs w:val="18"/>
                <w:lang w:val="en-GB"/>
              </w:rPr>
            </w:pPr>
          </w:p>
        </w:tc>
        <w:tc>
          <w:tcPr>
            <w:tcW w:w="1089" w:type="dxa"/>
            <w:tcBorders>
              <w:bottom w:val="dotted" w:sz="2" w:space="0" w:color="000000"/>
            </w:tcBorders>
          </w:tcPr>
          <w:p w14:paraId="59DCC595"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b</w:t>
            </w:r>
          </w:p>
        </w:tc>
        <w:tc>
          <w:tcPr>
            <w:tcW w:w="1291" w:type="dxa"/>
            <w:tcBorders>
              <w:bottom w:val="dotted" w:sz="2" w:space="0" w:color="000000"/>
            </w:tcBorders>
          </w:tcPr>
          <w:p w14:paraId="59DCC596"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-0.672</w:t>
            </w:r>
          </w:p>
        </w:tc>
        <w:tc>
          <w:tcPr>
            <w:tcW w:w="1293" w:type="dxa"/>
            <w:tcBorders>
              <w:bottom w:val="dotted" w:sz="2" w:space="0" w:color="000000"/>
            </w:tcBorders>
          </w:tcPr>
          <w:p w14:paraId="59DCC597"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-0.936</w:t>
            </w:r>
          </w:p>
        </w:tc>
        <w:tc>
          <w:tcPr>
            <w:tcW w:w="1240" w:type="dxa"/>
            <w:tcBorders>
              <w:bottom w:val="dotted" w:sz="2" w:space="0" w:color="000000"/>
            </w:tcBorders>
          </w:tcPr>
          <w:p w14:paraId="59DCC598"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-1.032</w:t>
            </w:r>
          </w:p>
        </w:tc>
        <w:tc>
          <w:tcPr>
            <w:tcW w:w="1248" w:type="dxa"/>
            <w:tcBorders>
              <w:bottom w:val="dotted" w:sz="2" w:space="0" w:color="000000"/>
            </w:tcBorders>
          </w:tcPr>
          <w:p w14:paraId="59DCC599"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-0.980</w:t>
            </w:r>
          </w:p>
        </w:tc>
        <w:tc>
          <w:tcPr>
            <w:tcW w:w="1290" w:type="dxa"/>
            <w:tcBorders>
              <w:bottom w:val="dotted" w:sz="2" w:space="0" w:color="000000"/>
            </w:tcBorders>
          </w:tcPr>
          <w:p w14:paraId="59DCC59A"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-0.750</w:t>
            </w:r>
          </w:p>
        </w:tc>
      </w:tr>
      <w:tr w:rsidR="00BE3AA8" w:rsidRPr="00D93FF9" w14:paraId="59DCC5A3" w14:textId="77777777" w:rsidTr="002B768F">
        <w:trPr>
          <w:trHeight w:val="267"/>
        </w:trPr>
        <w:tc>
          <w:tcPr>
            <w:tcW w:w="1177" w:type="dxa"/>
            <w:tcBorders>
              <w:top w:val="dotted" w:sz="2" w:space="0" w:color="000000"/>
            </w:tcBorders>
          </w:tcPr>
          <w:p w14:paraId="59DCC59C" w14:textId="77777777" w:rsidR="002C3D69" w:rsidRPr="00D93FF9" w:rsidRDefault="00E811B8" w:rsidP="002B768F">
            <w:pPr>
              <w:pStyle w:val="TableParagraph"/>
              <w:spacing w:before="0" w:after="0" w:line="185" w:lineRule="exact"/>
              <w:rPr>
                <w:rFonts w:asciiTheme="minorHAnsi" w:hAnsiTheme="minorHAnsi"/>
                <w:sz w:val="18"/>
                <w:szCs w:val="18"/>
                <w:lang w:val="en-GB"/>
              </w:rPr>
            </w:pPr>
            <w:r w:rsidRPr="00D93FF9">
              <w:rPr>
                <w:rFonts w:asciiTheme="minorHAnsi" w:hAnsiTheme="minorHAnsi"/>
                <w:sz w:val="18"/>
                <w:szCs w:val="18"/>
                <w:lang w:val="en-GB"/>
              </w:rPr>
              <w:t>3</w:t>
            </w:r>
            <w:r w:rsidR="00A8314F" w:rsidRPr="00D93FF9">
              <w:rPr>
                <w:rFonts w:asciiTheme="minorHAnsi" w:hAnsiTheme="minorHAnsi"/>
                <w:sz w:val="18"/>
                <w:szCs w:val="18"/>
                <w:lang w:val="en-GB"/>
              </w:rPr>
              <w:t>-</w:t>
            </w:r>
            <w:r w:rsidRPr="00D93FF9">
              <w:rPr>
                <w:rFonts w:asciiTheme="minorHAnsi" w:hAnsiTheme="minorHAnsi"/>
                <w:sz w:val="18"/>
                <w:szCs w:val="18"/>
                <w:lang w:val="en-GB"/>
              </w:rPr>
              <w:t>45</w:t>
            </w:r>
          </w:p>
        </w:tc>
        <w:tc>
          <w:tcPr>
            <w:tcW w:w="1089" w:type="dxa"/>
            <w:tcBorders>
              <w:top w:val="dotted" w:sz="2" w:space="0" w:color="000000"/>
            </w:tcBorders>
          </w:tcPr>
          <w:p w14:paraId="59DCC59D"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a</w:t>
            </w:r>
          </w:p>
        </w:tc>
        <w:tc>
          <w:tcPr>
            <w:tcW w:w="1291" w:type="dxa"/>
            <w:tcBorders>
              <w:top w:val="dotted" w:sz="2" w:space="0" w:color="000000"/>
            </w:tcBorders>
          </w:tcPr>
          <w:p w14:paraId="59DCC59E"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0.438</w:t>
            </w:r>
          </w:p>
        </w:tc>
        <w:tc>
          <w:tcPr>
            <w:tcW w:w="1293" w:type="dxa"/>
            <w:tcBorders>
              <w:top w:val="dotted" w:sz="2" w:space="0" w:color="000000"/>
            </w:tcBorders>
          </w:tcPr>
          <w:p w14:paraId="59DCC59F"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0.706</w:t>
            </w:r>
          </w:p>
        </w:tc>
        <w:tc>
          <w:tcPr>
            <w:tcW w:w="1240" w:type="dxa"/>
            <w:tcBorders>
              <w:top w:val="dotted" w:sz="2" w:space="0" w:color="000000"/>
            </w:tcBorders>
          </w:tcPr>
          <w:p w14:paraId="59DCC5A0"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0.827</w:t>
            </w:r>
          </w:p>
        </w:tc>
        <w:tc>
          <w:tcPr>
            <w:tcW w:w="1248" w:type="dxa"/>
            <w:tcBorders>
              <w:top w:val="dotted" w:sz="2" w:space="0" w:color="000000"/>
            </w:tcBorders>
          </w:tcPr>
          <w:p w14:paraId="59DCC5A1"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0.831</w:t>
            </w:r>
          </w:p>
        </w:tc>
        <w:tc>
          <w:tcPr>
            <w:tcW w:w="1290" w:type="dxa"/>
            <w:tcBorders>
              <w:top w:val="dotted" w:sz="2" w:space="0" w:color="000000"/>
            </w:tcBorders>
          </w:tcPr>
          <w:p w14:paraId="59DCC5A2"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0.663</w:t>
            </w:r>
          </w:p>
        </w:tc>
      </w:tr>
      <w:tr w:rsidR="00BE3AA8" w:rsidRPr="00D93FF9" w14:paraId="59DCC5AB" w14:textId="77777777" w:rsidTr="002B768F">
        <w:trPr>
          <w:trHeight w:val="250"/>
        </w:trPr>
        <w:tc>
          <w:tcPr>
            <w:tcW w:w="1177" w:type="dxa"/>
            <w:tcBorders>
              <w:bottom w:val="dotted" w:sz="2" w:space="0" w:color="000000"/>
            </w:tcBorders>
          </w:tcPr>
          <w:p w14:paraId="59DCC5A4" w14:textId="77777777" w:rsidR="002C3D69" w:rsidRPr="00D93FF9" w:rsidRDefault="002C3D69" w:rsidP="002B768F">
            <w:pPr>
              <w:pStyle w:val="TableParagraph"/>
              <w:spacing w:before="0" w:after="0"/>
              <w:rPr>
                <w:rFonts w:asciiTheme="minorHAnsi" w:hAnsiTheme="minorHAnsi"/>
                <w:sz w:val="18"/>
                <w:szCs w:val="18"/>
                <w:lang w:val="en-GB"/>
              </w:rPr>
            </w:pPr>
          </w:p>
        </w:tc>
        <w:tc>
          <w:tcPr>
            <w:tcW w:w="1089" w:type="dxa"/>
            <w:tcBorders>
              <w:bottom w:val="dotted" w:sz="2" w:space="0" w:color="000000"/>
            </w:tcBorders>
          </w:tcPr>
          <w:p w14:paraId="59DCC5A5"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b</w:t>
            </w:r>
          </w:p>
        </w:tc>
        <w:tc>
          <w:tcPr>
            <w:tcW w:w="1291" w:type="dxa"/>
            <w:tcBorders>
              <w:bottom w:val="dotted" w:sz="2" w:space="0" w:color="000000"/>
            </w:tcBorders>
          </w:tcPr>
          <w:p w14:paraId="59DCC5A6"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-1.036</w:t>
            </w:r>
          </w:p>
        </w:tc>
        <w:tc>
          <w:tcPr>
            <w:tcW w:w="1293" w:type="dxa"/>
            <w:tcBorders>
              <w:bottom w:val="dotted" w:sz="2" w:space="0" w:color="000000"/>
            </w:tcBorders>
          </w:tcPr>
          <w:p w14:paraId="59DCC5A7"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-1.141</w:t>
            </w:r>
          </w:p>
        </w:tc>
        <w:tc>
          <w:tcPr>
            <w:tcW w:w="1240" w:type="dxa"/>
            <w:tcBorders>
              <w:bottom w:val="dotted" w:sz="2" w:space="0" w:color="000000"/>
            </w:tcBorders>
          </w:tcPr>
          <w:p w14:paraId="59DCC5A8"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-1.087</w:t>
            </w:r>
          </w:p>
        </w:tc>
        <w:tc>
          <w:tcPr>
            <w:tcW w:w="1248" w:type="dxa"/>
            <w:tcBorders>
              <w:bottom w:val="dotted" w:sz="2" w:space="0" w:color="000000"/>
            </w:tcBorders>
          </w:tcPr>
          <w:p w14:paraId="59DCC5A9"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-0.962</w:t>
            </w:r>
          </w:p>
        </w:tc>
        <w:tc>
          <w:tcPr>
            <w:tcW w:w="1290" w:type="dxa"/>
            <w:tcBorders>
              <w:bottom w:val="dotted" w:sz="2" w:space="0" w:color="000000"/>
            </w:tcBorders>
          </w:tcPr>
          <w:p w14:paraId="59DCC5AA"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-0.897</w:t>
            </w:r>
          </w:p>
        </w:tc>
      </w:tr>
      <w:tr w:rsidR="00BE3AA8" w:rsidRPr="00D93FF9" w14:paraId="59DCC5B3" w14:textId="77777777" w:rsidTr="002B768F">
        <w:trPr>
          <w:trHeight w:val="267"/>
        </w:trPr>
        <w:tc>
          <w:tcPr>
            <w:tcW w:w="1177" w:type="dxa"/>
            <w:tcBorders>
              <w:top w:val="dotted" w:sz="2" w:space="0" w:color="000000"/>
            </w:tcBorders>
          </w:tcPr>
          <w:p w14:paraId="59DCC5AC" w14:textId="77777777" w:rsidR="002C3D69" w:rsidRPr="00D93FF9" w:rsidRDefault="00E811B8" w:rsidP="002B768F">
            <w:pPr>
              <w:pStyle w:val="TableParagraph"/>
              <w:spacing w:before="0" w:after="0" w:line="185" w:lineRule="exact"/>
              <w:rPr>
                <w:rFonts w:asciiTheme="minorHAnsi" w:hAnsiTheme="minorHAnsi"/>
                <w:sz w:val="18"/>
                <w:szCs w:val="18"/>
                <w:lang w:val="en-GB"/>
              </w:rPr>
            </w:pPr>
            <w:r w:rsidRPr="00D93FF9">
              <w:rPr>
                <w:rFonts w:asciiTheme="minorHAnsi" w:hAnsiTheme="minorHAnsi"/>
                <w:sz w:val="18"/>
                <w:szCs w:val="18"/>
                <w:lang w:val="en-GB"/>
              </w:rPr>
              <w:t>45</w:t>
            </w:r>
            <w:r w:rsidR="00A8314F" w:rsidRPr="00D93FF9">
              <w:rPr>
                <w:rFonts w:asciiTheme="minorHAnsi" w:hAnsiTheme="minorHAnsi"/>
                <w:sz w:val="18"/>
                <w:szCs w:val="18"/>
                <w:lang w:val="en-GB"/>
              </w:rPr>
              <w:t>-</w:t>
            </w:r>
            <w:r w:rsidRPr="00D93FF9">
              <w:rPr>
                <w:rFonts w:asciiTheme="minorHAnsi" w:hAnsiTheme="minorHAnsi"/>
                <w:sz w:val="18"/>
                <w:szCs w:val="18"/>
                <w:lang w:val="en-GB"/>
              </w:rPr>
              <w:t>55</w:t>
            </w:r>
          </w:p>
        </w:tc>
        <w:tc>
          <w:tcPr>
            <w:tcW w:w="1089" w:type="dxa"/>
            <w:tcBorders>
              <w:top w:val="dotted" w:sz="2" w:space="0" w:color="000000"/>
            </w:tcBorders>
          </w:tcPr>
          <w:p w14:paraId="59DCC5AD"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a</w:t>
            </w:r>
          </w:p>
        </w:tc>
        <w:tc>
          <w:tcPr>
            <w:tcW w:w="1291" w:type="dxa"/>
            <w:tcBorders>
              <w:top w:val="dotted" w:sz="2" w:space="0" w:color="000000"/>
            </w:tcBorders>
          </w:tcPr>
          <w:p w14:paraId="59DCC5AE"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0.602</w:t>
            </w:r>
          </w:p>
        </w:tc>
        <w:tc>
          <w:tcPr>
            <w:tcW w:w="1293" w:type="dxa"/>
            <w:tcBorders>
              <w:top w:val="dotted" w:sz="2" w:space="0" w:color="000000"/>
            </w:tcBorders>
          </w:tcPr>
          <w:p w14:paraId="59DCC5AF"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0.831</w:t>
            </w:r>
          </w:p>
        </w:tc>
        <w:tc>
          <w:tcPr>
            <w:tcW w:w="1240" w:type="dxa"/>
            <w:tcBorders>
              <w:top w:val="dotted" w:sz="2" w:space="0" w:color="000000"/>
            </w:tcBorders>
          </w:tcPr>
          <w:p w14:paraId="59DCC5B0"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0.802</w:t>
            </w:r>
          </w:p>
        </w:tc>
        <w:tc>
          <w:tcPr>
            <w:tcW w:w="1248" w:type="dxa"/>
            <w:tcBorders>
              <w:top w:val="dotted" w:sz="2" w:space="0" w:color="000000"/>
            </w:tcBorders>
          </w:tcPr>
          <w:p w14:paraId="59DCC5B1"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0.794</w:t>
            </w:r>
          </w:p>
        </w:tc>
        <w:tc>
          <w:tcPr>
            <w:tcW w:w="1290" w:type="dxa"/>
            <w:tcBorders>
              <w:top w:val="dotted" w:sz="2" w:space="0" w:color="000000"/>
            </w:tcBorders>
          </w:tcPr>
          <w:p w14:paraId="59DCC5B2"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0.570</w:t>
            </w:r>
          </w:p>
        </w:tc>
      </w:tr>
      <w:tr w:rsidR="00BE3AA8" w:rsidRPr="00D93FF9" w14:paraId="59DCC5BB" w14:textId="77777777" w:rsidTr="002B768F">
        <w:trPr>
          <w:trHeight w:val="250"/>
        </w:trPr>
        <w:tc>
          <w:tcPr>
            <w:tcW w:w="1177" w:type="dxa"/>
            <w:tcBorders>
              <w:bottom w:val="dotted" w:sz="2" w:space="0" w:color="000000"/>
            </w:tcBorders>
          </w:tcPr>
          <w:p w14:paraId="59DCC5B4" w14:textId="77777777" w:rsidR="002C3D69" w:rsidRPr="00D93FF9" w:rsidRDefault="002C3D69" w:rsidP="002B768F">
            <w:pPr>
              <w:pStyle w:val="TableParagraph"/>
              <w:spacing w:before="0" w:after="0"/>
              <w:rPr>
                <w:rFonts w:asciiTheme="minorHAnsi" w:hAnsiTheme="minorHAnsi"/>
                <w:sz w:val="18"/>
                <w:szCs w:val="18"/>
                <w:lang w:val="en-GB"/>
              </w:rPr>
            </w:pPr>
          </w:p>
        </w:tc>
        <w:tc>
          <w:tcPr>
            <w:tcW w:w="1089" w:type="dxa"/>
            <w:tcBorders>
              <w:bottom w:val="dotted" w:sz="2" w:space="0" w:color="000000"/>
            </w:tcBorders>
          </w:tcPr>
          <w:p w14:paraId="59DCC5B5"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b</w:t>
            </w:r>
          </w:p>
        </w:tc>
        <w:tc>
          <w:tcPr>
            <w:tcW w:w="1291" w:type="dxa"/>
            <w:tcBorders>
              <w:bottom w:val="dotted" w:sz="2" w:space="0" w:color="000000"/>
            </w:tcBorders>
          </w:tcPr>
          <w:p w14:paraId="59DCC5B6"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-1.161</w:t>
            </w:r>
          </w:p>
        </w:tc>
        <w:tc>
          <w:tcPr>
            <w:tcW w:w="1293" w:type="dxa"/>
            <w:tcBorders>
              <w:bottom w:val="dotted" w:sz="2" w:space="0" w:color="000000"/>
            </w:tcBorders>
          </w:tcPr>
          <w:p w14:paraId="59DCC5B7"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-1.047</w:t>
            </w:r>
          </w:p>
        </w:tc>
        <w:tc>
          <w:tcPr>
            <w:tcW w:w="1240" w:type="dxa"/>
            <w:tcBorders>
              <w:bottom w:val="dotted" w:sz="2" w:space="0" w:color="000000"/>
            </w:tcBorders>
          </w:tcPr>
          <w:p w14:paraId="59DCC5B8"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-0.971</w:t>
            </w:r>
          </w:p>
        </w:tc>
        <w:tc>
          <w:tcPr>
            <w:tcW w:w="1248" w:type="dxa"/>
            <w:tcBorders>
              <w:bottom w:val="dotted" w:sz="2" w:space="0" w:color="000000"/>
            </w:tcBorders>
          </w:tcPr>
          <w:p w14:paraId="59DCC5B9"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-1.105</w:t>
            </w:r>
          </w:p>
        </w:tc>
        <w:tc>
          <w:tcPr>
            <w:tcW w:w="1290" w:type="dxa"/>
            <w:tcBorders>
              <w:bottom w:val="dotted" w:sz="2" w:space="0" w:color="000000"/>
            </w:tcBorders>
          </w:tcPr>
          <w:p w14:paraId="59DCC5BA"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-0.807</w:t>
            </w:r>
          </w:p>
        </w:tc>
      </w:tr>
      <w:tr w:rsidR="00BE3AA8" w:rsidRPr="00D93FF9" w14:paraId="59DCC5C3" w14:textId="77777777" w:rsidTr="002B768F">
        <w:trPr>
          <w:trHeight w:val="267"/>
        </w:trPr>
        <w:tc>
          <w:tcPr>
            <w:tcW w:w="1177" w:type="dxa"/>
            <w:tcBorders>
              <w:top w:val="dotted" w:sz="2" w:space="0" w:color="000000"/>
            </w:tcBorders>
          </w:tcPr>
          <w:p w14:paraId="59DCC5BC" w14:textId="77777777" w:rsidR="002C3D69" w:rsidRPr="00D93FF9" w:rsidRDefault="00E811B8" w:rsidP="002B768F">
            <w:pPr>
              <w:pStyle w:val="TableParagraph"/>
              <w:spacing w:before="0" w:after="0" w:line="185" w:lineRule="exact"/>
              <w:rPr>
                <w:rFonts w:asciiTheme="minorHAnsi" w:hAnsiTheme="minorHAnsi"/>
                <w:sz w:val="18"/>
                <w:szCs w:val="18"/>
                <w:lang w:val="en-GB"/>
              </w:rPr>
            </w:pPr>
            <w:r w:rsidRPr="00D93FF9">
              <w:rPr>
                <w:rFonts w:asciiTheme="minorHAnsi" w:hAnsiTheme="minorHAnsi"/>
                <w:sz w:val="18"/>
                <w:szCs w:val="18"/>
                <w:lang w:val="en-GB"/>
              </w:rPr>
              <w:t>55</w:t>
            </w:r>
            <w:r w:rsidR="00A8314F" w:rsidRPr="00D93FF9">
              <w:rPr>
                <w:rFonts w:asciiTheme="minorHAnsi" w:hAnsiTheme="minorHAnsi"/>
                <w:sz w:val="18"/>
                <w:szCs w:val="18"/>
                <w:lang w:val="en-GB"/>
              </w:rPr>
              <w:t>-</w:t>
            </w:r>
            <w:r w:rsidRPr="00D93FF9">
              <w:rPr>
                <w:rFonts w:asciiTheme="minorHAnsi" w:hAnsiTheme="minorHAnsi"/>
                <w:sz w:val="18"/>
                <w:szCs w:val="18"/>
                <w:lang w:val="en-GB"/>
              </w:rPr>
              <w:t>65</w:t>
            </w:r>
          </w:p>
        </w:tc>
        <w:tc>
          <w:tcPr>
            <w:tcW w:w="1089" w:type="dxa"/>
            <w:tcBorders>
              <w:top w:val="dotted" w:sz="2" w:space="0" w:color="000000"/>
            </w:tcBorders>
          </w:tcPr>
          <w:p w14:paraId="59DCC5BD"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a</w:t>
            </w:r>
          </w:p>
        </w:tc>
        <w:tc>
          <w:tcPr>
            <w:tcW w:w="1291" w:type="dxa"/>
            <w:tcBorders>
              <w:top w:val="dotted" w:sz="2" w:space="0" w:color="000000"/>
            </w:tcBorders>
          </w:tcPr>
          <w:p w14:paraId="59DCC5BE"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0.802</w:t>
            </w:r>
          </w:p>
        </w:tc>
        <w:tc>
          <w:tcPr>
            <w:tcW w:w="1293" w:type="dxa"/>
            <w:tcBorders>
              <w:top w:val="dotted" w:sz="2" w:space="0" w:color="000000"/>
            </w:tcBorders>
          </w:tcPr>
          <w:p w14:paraId="59DCC5BF"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0.812</w:t>
            </w:r>
          </w:p>
        </w:tc>
        <w:tc>
          <w:tcPr>
            <w:tcW w:w="1240" w:type="dxa"/>
            <w:tcBorders>
              <w:top w:val="dotted" w:sz="2" w:space="0" w:color="000000"/>
            </w:tcBorders>
          </w:tcPr>
          <w:p w14:paraId="59DCC5C0"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0.870</w:t>
            </w:r>
          </w:p>
        </w:tc>
        <w:tc>
          <w:tcPr>
            <w:tcW w:w="1248" w:type="dxa"/>
            <w:tcBorders>
              <w:top w:val="dotted" w:sz="2" w:space="0" w:color="000000"/>
            </w:tcBorders>
          </w:tcPr>
          <w:p w14:paraId="59DCC5C1"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0.783</w:t>
            </w:r>
          </w:p>
        </w:tc>
        <w:tc>
          <w:tcPr>
            <w:tcW w:w="1290" w:type="dxa"/>
            <w:tcBorders>
              <w:top w:val="dotted" w:sz="2" w:space="0" w:color="000000"/>
            </w:tcBorders>
          </w:tcPr>
          <w:p w14:paraId="59DCC5C2"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0.613</w:t>
            </w:r>
          </w:p>
        </w:tc>
      </w:tr>
      <w:tr w:rsidR="00BE3AA8" w:rsidRPr="00D93FF9" w14:paraId="59DCC5CB" w14:textId="77777777" w:rsidTr="002B768F">
        <w:trPr>
          <w:trHeight w:val="250"/>
        </w:trPr>
        <w:tc>
          <w:tcPr>
            <w:tcW w:w="1177" w:type="dxa"/>
            <w:tcBorders>
              <w:bottom w:val="dotted" w:sz="2" w:space="0" w:color="000000"/>
            </w:tcBorders>
          </w:tcPr>
          <w:p w14:paraId="59DCC5C4" w14:textId="77777777" w:rsidR="002C3D69" w:rsidRPr="00D93FF9" w:rsidRDefault="002C3D69" w:rsidP="002B768F">
            <w:pPr>
              <w:pStyle w:val="TableParagraph"/>
              <w:spacing w:before="0" w:after="0"/>
              <w:rPr>
                <w:rFonts w:asciiTheme="minorHAnsi" w:hAnsiTheme="minorHAnsi"/>
                <w:sz w:val="18"/>
                <w:szCs w:val="18"/>
                <w:lang w:val="en-GB"/>
              </w:rPr>
            </w:pPr>
          </w:p>
        </w:tc>
        <w:tc>
          <w:tcPr>
            <w:tcW w:w="1089" w:type="dxa"/>
            <w:tcBorders>
              <w:bottom w:val="dotted" w:sz="2" w:space="0" w:color="000000"/>
            </w:tcBorders>
          </w:tcPr>
          <w:p w14:paraId="59DCC5C5"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b</w:t>
            </w:r>
          </w:p>
        </w:tc>
        <w:tc>
          <w:tcPr>
            <w:tcW w:w="1291" w:type="dxa"/>
            <w:tcBorders>
              <w:bottom w:val="dotted" w:sz="2" w:space="0" w:color="000000"/>
            </w:tcBorders>
          </w:tcPr>
          <w:p w14:paraId="59DCC5C6"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-0.888</w:t>
            </w:r>
          </w:p>
        </w:tc>
        <w:tc>
          <w:tcPr>
            <w:tcW w:w="1293" w:type="dxa"/>
            <w:tcBorders>
              <w:bottom w:val="dotted" w:sz="2" w:space="0" w:color="000000"/>
            </w:tcBorders>
          </w:tcPr>
          <w:p w14:paraId="59DCC5C7"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-1.317</w:t>
            </w:r>
          </w:p>
        </w:tc>
        <w:tc>
          <w:tcPr>
            <w:tcW w:w="1240" w:type="dxa"/>
            <w:tcBorders>
              <w:bottom w:val="dotted" w:sz="2" w:space="0" w:color="000000"/>
            </w:tcBorders>
          </w:tcPr>
          <w:p w14:paraId="59DCC5C8"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-1.006</w:t>
            </w:r>
          </w:p>
        </w:tc>
        <w:tc>
          <w:tcPr>
            <w:tcW w:w="1248" w:type="dxa"/>
            <w:tcBorders>
              <w:bottom w:val="dotted" w:sz="2" w:space="0" w:color="000000"/>
            </w:tcBorders>
          </w:tcPr>
          <w:p w14:paraId="59DCC5C9"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-0.888</w:t>
            </w:r>
          </w:p>
        </w:tc>
        <w:tc>
          <w:tcPr>
            <w:tcW w:w="1290" w:type="dxa"/>
            <w:tcBorders>
              <w:bottom w:val="dotted" w:sz="2" w:space="0" w:color="000000"/>
            </w:tcBorders>
          </w:tcPr>
          <w:p w14:paraId="59DCC5CA"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-0.588</w:t>
            </w:r>
          </w:p>
        </w:tc>
      </w:tr>
      <w:tr w:rsidR="00BE3AA8" w:rsidRPr="00D93FF9" w14:paraId="59DCC5D3" w14:textId="77777777" w:rsidTr="002B768F">
        <w:trPr>
          <w:trHeight w:val="267"/>
        </w:trPr>
        <w:tc>
          <w:tcPr>
            <w:tcW w:w="1177" w:type="dxa"/>
            <w:tcBorders>
              <w:top w:val="dotted" w:sz="2" w:space="0" w:color="000000"/>
            </w:tcBorders>
          </w:tcPr>
          <w:p w14:paraId="59DCC5CC" w14:textId="77777777" w:rsidR="002C3D69" w:rsidRPr="00D93FF9" w:rsidRDefault="00E811B8" w:rsidP="002B768F">
            <w:pPr>
              <w:pStyle w:val="TableParagraph"/>
              <w:spacing w:before="0" w:after="0" w:line="185" w:lineRule="exact"/>
              <w:rPr>
                <w:rFonts w:asciiTheme="minorHAnsi" w:hAnsiTheme="minorHAnsi"/>
                <w:sz w:val="18"/>
                <w:szCs w:val="18"/>
                <w:lang w:val="en-GB"/>
              </w:rPr>
            </w:pPr>
            <w:r w:rsidRPr="00D93FF9">
              <w:rPr>
                <w:rFonts w:asciiTheme="minorHAnsi" w:hAnsiTheme="minorHAnsi"/>
                <w:sz w:val="18"/>
                <w:szCs w:val="18"/>
                <w:lang w:val="en-GB"/>
              </w:rPr>
              <w:t>65</w:t>
            </w:r>
            <w:r w:rsidR="00A8314F" w:rsidRPr="00D93FF9">
              <w:rPr>
                <w:rFonts w:asciiTheme="minorHAnsi" w:hAnsiTheme="minorHAnsi"/>
                <w:sz w:val="18"/>
                <w:szCs w:val="18"/>
                <w:lang w:val="en-GB"/>
              </w:rPr>
              <w:t>-</w:t>
            </w:r>
            <w:r w:rsidRPr="00D93FF9">
              <w:rPr>
                <w:rFonts w:asciiTheme="minorHAnsi" w:hAnsiTheme="minorHAnsi"/>
                <w:sz w:val="18"/>
                <w:szCs w:val="18"/>
                <w:lang w:val="en-GB"/>
              </w:rPr>
              <w:t>75</w:t>
            </w:r>
          </w:p>
        </w:tc>
        <w:tc>
          <w:tcPr>
            <w:tcW w:w="1089" w:type="dxa"/>
            <w:tcBorders>
              <w:top w:val="dotted" w:sz="2" w:space="0" w:color="000000"/>
            </w:tcBorders>
          </w:tcPr>
          <w:p w14:paraId="59DCC5CD"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a</w:t>
            </w:r>
          </w:p>
        </w:tc>
        <w:tc>
          <w:tcPr>
            <w:tcW w:w="1291" w:type="dxa"/>
            <w:tcBorders>
              <w:top w:val="dotted" w:sz="2" w:space="0" w:color="000000"/>
            </w:tcBorders>
          </w:tcPr>
          <w:p w14:paraId="59DCC5CE" w14:textId="77777777" w:rsidR="002C3D69" w:rsidRPr="00D93FF9" w:rsidRDefault="002C3D69" w:rsidP="002B768F">
            <w:pPr>
              <w:pStyle w:val="TableParagraph"/>
              <w:spacing w:before="0" w:after="0"/>
              <w:rPr>
                <w:rFonts w:asciiTheme="minorHAnsi" w:hAnsiTheme="minorHAnsi"/>
                <w:sz w:val="18"/>
                <w:szCs w:val="18"/>
                <w:lang w:val="en-GB"/>
              </w:rPr>
            </w:pPr>
          </w:p>
        </w:tc>
        <w:tc>
          <w:tcPr>
            <w:tcW w:w="1293" w:type="dxa"/>
            <w:tcBorders>
              <w:top w:val="dotted" w:sz="2" w:space="0" w:color="000000"/>
            </w:tcBorders>
          </w:tcPr>
          <w:p w14:paraId="59DCC5CF"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0.722</w:t>
            </w:r>
          </w:p>
        </w:tc>
        <w:tc>
          <w:tcPr>
            <w:tcW w:w="1240" w:type="dxa"/>
            <w:tcBorders>
              <w:top w:val="dotted" w:sz="2" w:space="0" w:color="000000"/>
            </w:tcBorders>
          </w:tcPr>
          <w:p w14:paraId="59DCC5D0"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0.663</w:t>
            </w:r>
          </w:p>
        </w:tc>
        <w:tc>
          <w:tcPr>
            <w:tcW w:w="1248" w:type="dxa"/>
            <w:tcBorders>
              <w:top w:val="dotted" w:sz="2" w:space="0" w:color="000000"/>
            </w:tcBorders>
          </w:tcPr>
          <w:p w14:paraId="59DCC5D1"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0.684</w:t>
            </w:r>
          </w:p>
        </w:tc>
        <w:tc>
          <w:tcPr>
            <w:tcW w:w="1290" w:type="dxa"/>
            <w:tcBorders>
              <w:top w:val="dotted" w:sz="2" w:space="0" w:color="000000"/>
            </w:tcBorders>
          </w:tcPr>
          <w:p w14:paraId="59DCC5D2"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0.394</w:t>
            </w:r>
          </w:p>
        </w:tc>
      </w:tr>
      <w:tr w:rsidR="00BE3AA8" w:rsidRPr="00D93FF9" w14:paraId="59DCC5DB" w14:textId="77777777" w:rsidTr="002B768F">
        <w:trPr>
          <w:trHeight w:val="250"/>
        </w:trPr>
        <w:tc>
          <w:tcPr>
            <w:tcW w:w="1177" w:type="dxa"/>
            <w:tcBorders>
              <w:bottom w:val="dotted" w:sz="2" w:space="0" w:color="000000"/>
            </w:tcBorders>
          </w:tcPr>
          <w:p w14:paraId="59DCC5D4" w14:textId="77777777" w:rsidR="002C3D69" w:rsidRPr="00D93FF9" w:rsidRDefault="002C3D69" w:rsidP="002B768F">
            <w:pPr>
              <w:pStyle w:val="TableParagraph"/>
              <w:spacing w:before="0" w:after="0"/>
              <w:rPr>
                <w:rFonts w:asciiTheme="minorHAnsi" w:hAnsiTheme="minorHAnsi"/>
                <w:sz w:val="18"/>
                <w:szCs w:val="18"/>
                <w:lang w:val="en-GB"/>
              </w:rPr>
            </w:pPr>
          </w:p>
        </w:tc>
        <w:tc>
          <w:tcPr>
            <w:tcW w:w="1089" w:type="dxa"/>
            <w:tcBorders>
              <w:bottom w:val="dotted" w:sz="2" w:space="0" w:color="000000"/>
            </w:tcBorders>
          </w:tcPr>
          <w:p w14:paraId="59DCC5D5"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b</w:t>
            </w:r>
          </w:p>
        </w:tc>
        <w:tc>
          <w:tcPr>
            <w:tcW w:w="1291" w:type="dxa"/>
            <w:tcBorders>
              <w:bottom w:val="dotted" w:sz="2" w:space="0" w:color="000000"/>
            </w:tcBorders>
          </w:tcPr>
          <w:p w14:paraId="59DCC5D6" w14:textId="77777777" w:rsidR="002C3D69" w:rsidRPr="00D93FF9" w:rsidRDefault="002C3D69" w:rsidP="002B768F">
            <w:pPr>
              <w:pStyle w:val="TableParagraph"/>
              <w:spacing w:before="0" w:after="0"/>
              <w:rPr>
                <w:rFonts w:asciiTheme="minorHAnsi" w:hAnsiTheme="minorHAnsi"/>
                <w:sz w:val="18"/>
                <w:szCs w:val="18"/>
                <w:lang w:val="en-GB"/>
              </w:rPr>
            </w:pPr>
          </w:p>
        </w:tc>
        <w:tc>
          <w:tcPr>
            <w:tcW w:w="1293" w:type="dxa"/>
            <w:tcBorders>
              <w:bottom w:val="dotted" w:sz="2" w:space="0" w:color="000000"/>
            </w:tcBorders>
          </w:tcPr>
          <w:p w14:paraId="59DCC5D7"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-0.826</w:t>
            </w:r>
          </w:p>
        </w:tc>
        <w:tc>
          <w:tcPr>
            <w:tcW w:w="1240" w:type="dxa"/>
            <w:tcBorders>
              <w:bottom w:val="dotted" w:sz="2" w:space="0" w:color="000000"/>
            </w:tcBorders>
          </w:tcPr>
          <w:p w14:paraId="59DCC5D8"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-0.840</w:t>
            </w:r>
          </w:p>
        </w:tc>
        <w:tc>
          <w:tcPr>
            <w:tcW w:w="1248" w:type="dxa"/>
            <w:tcBorders>
              <w:bottom w:val="dotted" w:sz="2" w:space="0" w:color="000000"/>
            </w:tcBorders>
          </w:tcPr>
          <w:p w14:paraId="59DCC5D9"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-1.109</w:t>
            </w:r>
          </w:p>
        </w:tc>
        <w:tc>
          <w:tcPr>
            <w:tcW w:w="1290" w:type="dxa"/>
            <w:tcBorders>
              <w:bottom w:val="dotted" w:sz="2" w:space="0" w:color="000000"/>
            </w:tcBorders>
          </w:tcPr>
          <w:p w14:paraId="59DCC5DA"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-0.583</w:t>
            </w:r>
          </w:p>
        </w:tc>
      </w:tr>
      <w:tr w:rsidR="00BE3AA8" w:rsidRPr="00D93FF9" w14:paraId="59DCC5E3" w14:textId="77777777" w:rsidTr="002B768F">
        <w:trPr>
          <w:trHeight w:val="267"/>
        </w:trPr>
        <w:tc>
          <w:tcPr>
            <w:tcW w:w="1177" w:type="dxa"/>
            <w:tcBorders>
              <w:top w:val="dotted" w:sz="2" w:space="0" w:color="000000"/>
            </w:tcBorders>
          </w:tcPr>
          <w:p w14:paraId="59DCC5DC" w14:textId="77777777" w:rsidR="002C3D69" w:rsidRPr="00D93FF9" w:rsidRDefault="00E811B8" w:rsidP="002B768F">
            <w:pPr>
              <w:pStyle w:val="TableParagraph"/>
              <w:spacing w:before="0" w:after="0" w:line="185" w:lineRule="exact"/>
              <w:rPr>
                <w:rFonts w:asciiTheme="minorHAnsi" w:hAnsiTheme="minorHAnsi"/>
                <w:sz w:val="18"/>
                <w:szCs w:val="18"/>
                <w:lang w:val="en-GB"/>
              </w:rPr>
            </w:pPr>
            <w:r w:rsidRPr="00D93FF9">
              <w:rPr>
                <w:rFonts w:asciiTheme="minorHAnsi" w:hAnsiTheme="minorHAnsi"/>
                <w:sz w:val="18"/>
                <w:szCs w:val="18"/>
                <w:lang w:val="en-GB"/>
              </w:rPr>
              <w:t>75</w:t>
            </w:r>
            <w:r w:rsidR="00A8314F" w:rsidRPr="00D93FF9">
              <w:rPr>
                <w:rFonts w:asciiTheme="minorHAnsi" w:hAnsiTheme="minorHAnsi"/>
                <w:sz w:val="18"/>
                <w:szCs w:val="18"/>
                <w:lang w:val="en-GB"/>
              </w:rPr>
              <w:t>-</w:t>
            </w:r>
            <w:r w:rsidRPr="00D93FF9">
              <w:rPr>
                <w:rFonts w:asciiTheme="minorHAnsi" w:hAnsiTheme="minorHAnsi"/>
                <w:sz w:val="18"/>
                <w:szCs w:val="18"/>
                <w:lang w:val="en-GB"/>
              </w:rPr>
              <w:t>85</w:t>
            </w:r>
          </w:p>
        </w:tc>
        <w:tc>
          <w:tcPr>
            <w:tcW w:w="1089" w:type="dxa"/>
            <w:tcBorders>
              <w:top w:val="dotted" w:sz="2" w:space="0" w:color="000000"/>
            </w:tcBorders>
          </w:tcPr>
          <w:p w14:paraId="59DCC5DD"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a</w:t>
            </w:r>
          </w:p>
        </w:tc>
        <w:tc>
          <w:tcPr>
            <w:tcW w:w="1291" w:type="dxa"/>
            <w:tcBorders>
              <w:top w:val="dotted" w:sz="2" w:space="0" w:color="000000"/>
            </w:tcBorders>
          </w:tcPr>
          <w:p w14:paraId="59DCC5DE" w14:textId="77777777" w:rsidR="002C3D69" w:rsidRPr="00D93FF9" w:rsidRDefault="002C3D69" w:rsidP="002B768F">
            <w:pPr>
              <w:pStyle w:val="TableParagraph"/>
              <w:spacing w:before="0" w:after="0"/>
              <w:rPr>
                <w:rFonts w:asciiTheme="minorHAnsi" w:hAnsiTheme="minorHAnsi"/>
                <w:sz w:val="18"/>
                <w:szCs w:val="18"/>
                <w:lang w:val="en-GB"/>
              </w:rPr>
            </w:pPr>
          </w:p>
        </w:tc>
        <w:tc>
          <w:tcPr>
            <w:tcW w:w="1293" w:type="dxa"/>
            <w:tcBorders>
              <w:top w:val="dotted" w:sz="2" w:space="0" w:color="000000"/>
            </w:tcBorders>
          </w:tcPr>
          <w:p w14:paraId="59DCC5DF" w14:textId="77777777" w:rsidR="002C3D69" w:rsidRPr="00D93FF9" w:rsidRDefault="002C3D69" w:rsidP="002B768F">
            <w:pPr>
              <w:pStyle w:val="TableParagraph"/>
              <w:spacing w:before="0" w:after="0"/>
              <w:rPr>
                <w:rFonts w:asciiTheme="minorHAnsi" w:hAnsiTheme="minorHAnsi"/>
                <w:sz w:val="18"/>
                <w:szCs w:val="18"/>
                <w:lang w:val="en-GB"/>
              </w:rPr>
            </w:pPr>
          </w:p>
        </w:tc>
        <w:tc>
          <w:tcPr>
            <w:tcW w:w="1240" w:type="dxa"/>
            <w:tcBorders>
              <w:top w:val="dotted" w:sz="2" w:space="0" w:color="000000"/>
            </w:tcBorders>
          </w:tcPr>
          <w:p w14:paraId="59DCC5E0"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0.660</w:t>
            </w:r>
          </w:p>
        </w:tc>
        <w:tc>
          <w:tcPr>
            <w:tcW w:w="1248" w:type="dxa"/>
            <w:tcBorders>
              <w:top w:val="dotted" w:sz="2" w:space="0" w:color="000000"/>
            </w:tcBorders>
          </w:tcPr>
          <w:p w14:paraId="59DCC5E1" w14:textId="77777777" w:rsidR="002C3D69" w:rsidRPr="00D93FF9" w:rsidRDefault="00E811B8" w:rsidP="002B768F">
            <w:pPr>
              <w:pStyle w:val="TableParagraph"/>
              <w:spacing w:before="0" w:after="0" w:line="175" w:lineRule="exact"/>
              <w:rPr>
                <w:rFonts w:asciiTheme="minorHAnsi" w:hAnsiTheme="minorHAnsi"/>
                <w:sz w:val="18"/>
                <w:szCs w:val="18"/>
                <w:lang w:val="en-GB"/>
              </w:rPr>
            </w:pPr>
            <w:r w:rsidRPr="00D93FF9">
              <w:rPr>
                <w:rFonts w:asciiTheme="minorHAnsi" w:hAnsiTheme="minorHAnsi"/>
                <w:sz w:val="18"/>
                <w:szCs w:val="18"/>
                <w:lang w:val="en-GB"/>
              </w:rPr>
              <w:t>0.690</w:t>
            </w:r>
          </w:p>
        </w:tc>
        <w:tc>
          <w:tcPr>
            <w:tcW w:w="1290" w:type="dxa"/>
            <w:tcBorders>
              <w:top w:val="dotted" w:sz="2" w:space="0" w:color="000000"/>
            </w:tcBorders>
          </w:tcPr>
          <w:p w14:paraId="59DCC5E2" w14:textId="77777777" w:rsidR="002C3D69" w:rsidRPr="00D93FF9" w:rsidRDefault="00E811B8" w:rsidP="002B768F">
            <w:pPr>
              <w:pStyle w:val="TableParagraph"/>
              <w:spacing w:before="0" w:after="0" w:line="175" w:lineRule="exact"/>
              <w:jc w:val="center"/>
              <w:rPr>
                <w:rFonts w:asciiTheme="minorHAnsi" w:hAnsiTheme="minorHAnsi"/>
                <w:sz w:val="18"/>
                <w:szCs w:val="18"/>
                <w:lang w:val="en-GB"/>
              </w:rPr>
            </w:pPr>
            <w:r w:rsidRPr="00D93FF9">
              <w:rPr>
                <w:rFonts w:asciiTheme="minorHAnsi" w:hAnsiTheme="minorHAnsi"/>
                <w:sz w:val="18"/>
                <w:szCs w:val="18"/>
                <w:lang w:val="en-GB"/>
              </w:rPr>
              <w:t>0.248</w:t>
            </w:r>
          </w:p>
        </w:tc>
      </w:tr>
      <w:tr w:rsidR="00BE3AA8" w:rsidRPr="00D93FF9" w14:paraId="59DCC5EB" w14:textId="77777777" w:rsidTr="002B768F">
        <w:trPr>
          <w:trHeight w:val="250"/>
        </w:trPr>
        <w:tc>
          <w:tcPr>
            <w:tcW w:w="1177" w:type="dxa"/>
            <w:tcBorders>
              <w:bottom w:val="single" w:sz="6" w:space="0" w:color="000000"/>
            </w:tcBorders>
          </w:tcPr>
          <w:p w14:paraId="59DCC5E4" w14:textId="77777777" w:rsidR="002C3D69" w:rsidRPr="00D93FF9" w:rsidRDefault="002C3D69" w:rsidP="002B768F">
            <w:pPr>
              <w:pStyle w:val="TableParagraph"/>
              <w:spacing w:before="0" w:after="0"/>
              <w:rPr>
                <w:rFonts w:asciiTheme="minorHAnsi" w:hAnsiTheme="minorHAnsi"/>
                <w:sz w:val="18"/>
                <w:szCs w:val="18"/>
                <w:lang w:val="en-GB"/>
              </w:rPr>
            </w:pPr>
          </w:p>
        </w:tc>
        <w:tc>
          <w:tcPr>
            <w:tcW w:w="1089" w:type="dxa"/>
            <w:tcBorders>
              <w:bottom w:val="single" w:sz="6" w:space="0" w:color="000000"/>
            </w:tcBorders>
          </w:tcPr>
          <w:p w14:paraId="59DCC5E5"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b</w:t>
            </w:r>
          </w:p>
        </w:tc>
        <w:tc>
          <w:tcPr>
            <w:tcW w:w="1291" w:type="dxa"/>
            <w:tcBorders>
              <w:bottom w:val="single" w:sz="6" w:space="0" w:color="000000"/>
            </w:tcBorders>
          </w:tcPr>
          <w:p w14:paraId="59DCC5E6" w14:textId="77777777" w:rsidR="002C3D69" w:rsidRPr="00D93FF9" w:rsidRDefault="002C3D69" w:rsidP="002B768F">
            <w:pPr>
              <w:pStyle w:val="TableParagraph"/>
              <w:spacing w:before="0" w:after="0"/>
              <w:rPr>
                <w:rFonts w:asciiTheme="minorHAnsi" w:hAnsiTheme="minorHAnsi"/>
                <w:sz w:val="18"/>
                <w:szCs w:val="18"/>
                <w:lang w:val="en-GB"/>
              </w:rPr>
            </w:pPr>
          </w:p>
        </w:tc>
        <w:tc>
          <w:tcPr>
            <w:tcW w:w="1293" w:type="dxa"/>
            <w:tcBorders>
              <w:bottom w:val="single" w:sz="6" w:space="0" w:color="000000"/>
            </w:tcBorders>
          </w:tcPr>
          <w:p w14:paraId="59DCC5E7" w14:textId="77777777" w:rsidR="002C3D69" w:rsidRPr="00D93FF9" w:rsidRDefault="002C3D69" w:rsidP="002B768F">
            <w:pPr>
              <w:pStyle w:val="TableParagraph"/>
              <w:spacing w:before="0" w:after="0"/>
              <w:rPr>
                <w:rFonts w:asciiTheme="minorHAnsi" w:hAnsiTheme="minorHAnsi"/>
                <w:sz w:val="18"/>
                <w:szCs w:val="18"/>
                <w:lang w:val="en-GB"/>
              </w:rPr>
            </w:pPr>
          </w:p>
        </w:tc>
        <w:tc>
          <w:tcPr>
            <w:tcW w:w="1240" w:type="dxa"/>
            <w:tcBorders>
              <w:bottom w:val="single" w:sz="6" w:space="0" w:color="000000"/>
            </w:tcBorders>
          </w:tcPr>
          <w:p w14:paraId="59DCC5E8"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-0.751</w:t>
            </w:r>
          </w:p>
        </w:tc>
        <w:tc>
          <w:tcPr>
            <w:tcW w:w="1248" w:type="dxa"/>
            <w:tcBorders>
              <w:bottom w:val="single" w:sz="6" w:space="0" w:color="000000"/>
            </w:tcBorders>
          </w:tcPr>
          <w:p w14:paraId="59DCC5E9" w14:textId="77777777" w:rsidR="002C3D69" w:rsidRPr="00D93FF9" w:rsidRDefault="00E811B8" w:rsidP="002B768F">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-0.872</w:t>
            </w:r>
          </w:p>
        </w:tc>
        <w:tc>
          <w:tcPr>
            <w:tcW w:w="1290" w:type="dxa"/>
            <w:tcBorders>
              <w:bottom w:val="single" w:sz="6" w:space="0" w:color="000000"/>
            </w:tcBorders>
          </w:tcPr>
          <w:p w14:paraId="59DCC5EA" w14:textId="77777777" w:rsidR="002C3D69" w:rsidRPr="00D93FF9" w:rsidRDefault="00E811B8" w:rsidP="002B768F">
            <w:pPr>
              <w:pStyle w:val="TableParagraph"/>
              <w:spacing w:before="0" w:after="0"/>
              <w:jc w:val="center"/>
              <w:rPr>
                <w:rFonts w:asciiTheme="minorHAnsi" w:hAnsiTheme="minorHAnsi"/>
                <w:sz w:val="18"/>
                <w:szCs w:val="18"/>
                <w:lang w:val="en-GB"/>
              </w:rPr>
            </w:pPr>
            <w:r w:rsidRPr="00D93FF9">
              <w:rPr>
                <w:rFonts w:asciiTheme="minorHAnsi" w:hAnsiTheme="minorHAnsi"/>
                <w:sz w:val="18"/>
                <w:szCs w:val="18"/>
                <w:lang w:val="en-GB"/>
              </w:rPr>
              <w:t>-0.777</w:t>
            </w:r>
          </w:p>
        </w:tc>
      </w:tr>
    </w:tbl>
    <w:p w14:paraId="59DCC5EC" w14:textId="77777777" w:rsidR="002C3D69" w:rsidRPr="00D93FF9" w:rsidRDefault="00E811B8" w:rsidP="002C3D69">
      <w:pPr>
        <w:spacing w:after="0"/>
        <w:rPr>
          <w:rFonts w:ascii="Arial"/>
          <w:sz w:val="14"/>
          <w:lang w:val="en-GB"/>
        </w:rPr>
      </w:pPr>
      <w:r w:rsidRPr="00D93FF9">
        <w:rPr>
          <w:rFonts w:ascii="Arial"/>
          <w:sz w:val="14"/>
          <w:lang w:val="en-GB"/>
        </w:rPr>
        <w:t>a From Shaw (1996)</w:t>
      </w:r>
    </w:p>
    <w:p w14:paraId="59DCC5ED" w14:textId="77777777" w:rsidR="002C3D69" w:rsidRPr="00D93FF9" w:rsidRDefault="002C3D69" w:rsidP="002C3D69">
      <w:pPr>
        <w:pStyle w:val="BodyText"/>
        <w:spacing w:after="0"/>
        <w:rPr>
          <w:rFonts w:ascii="Arial"/>
          <w:sz w:val="17"/>
          <w:lang w:val="en-GB"/>
        </w:rPr>
      </w:pPr>
    </w:p>
    <w:p w14:paraId="59DCC5EE" w14:textId="77777777" w:rsidR="00C46175" w:rsidRPr="00D93FF9" w:rsidRDefault="00E811B8" w:rsidP="003807A1">
      <w:pPr>
        <w:pStyle w:val="BodyText"/>
        <w:spacing w:after="0" w:line="266" w:lineRule="auto"/>
        <w:rPr>
          <w:lang w:val="en-GB"/>
        </w:rPr>
      </w:pPr>
      <w:r w:rsidRPr="00D93FF9">
        <w:rPr>
          <w:lang w:val="en-GB"/>
        </w:rPr>
        <w:lastRenderedPageBreak/>
        <w:t xml:space="preserve">Under irrigated conditions the salinity of the </w:t>
      </w:r>
      <w:r w:rsidR="002C3D69" w:rsidRPr="00D93FF9">
        <w:rPr>
          <w:lang w:val="en-GB"/>
        </w:rPr>
        <w:t xml:space="preserve">infiltrating </w:t>
      </w:r>
      <w:r w:rsidRPr="00D93FF9">
        <w:rPr>
          <w:lang w:val="en-GB"/>
        </w:rPr>
        <w:t xml:space="preserve">waters </w:t>
      </w:r>
      <w:r w:rsidR="002C3D69" w:rsidRPr="00D93FF9">
        <w:rPr>
          <w:lang w:val="en-GB"/>
        </w:rPr>
        <w:t>is</w:t>
      </w:r>
      <w:r w:rsidRPr="00D93FF9">
        <w:rPr>
          <w:lang w:val="en-GB"/>
        </w:rPr>
        <w:t xml:space="preserve"> always larger than that of rainfall</w:t>
      </w:r>
      <w:r w:rsidR="002C3D69" w:rsidRPr="00D93FF9">
        <w:rPr>
          <w:lang w:val="en-GB"/>
        </w:rPr>
        <w:t xml:space="preserve"> and the </w:t>
      </w:r>
      <w:r w:rsidRPr="00D93FF9">
        <w:rPr>
          <w:lang w:val="en-GB"/>
        </w:rPr>
        <w:t>soil solution electrolyte concentration increase</w:t>
      </w:r>
      <w:r w:rsidR="002C3D69" w:rsidRPr="00D93FF9">
        <w:rPr>
          <w:lang w:val="en-GB"/>
        </w:rPr>
        <w:t>s</w:t>
      </w:r>
      <w:r w:rsidRPr="00D93FF9">
        <w:rPr>
          <w:lang w:val="en-GB"/>
        </w:rPr>
        <w:t xml:space="preserve"> causing a flocculation effect</w:t>
      </w:r>
      <w:r w:rsidR="002C3D69" w:rsidRPr="00D93FF9">
        <w:rPr>
          <w:lang w:val="en-GB"/>
        </w:rPr>
        <w:t xml:space="preserve"> thereby increasing deep drainage</w:t>
      </w:r>
      <w:r w:rsidRPr="00D93FF9">
        <w:rPr>
          <w:lang w:val="en-GB"/>
        </w:rPr>
        <w:t>. Hence the LF under irrigated conditions, LF</w:t>
      </w:r>
      <w:r w:rsidRPr="00D93FF9">
        <w:rPr>
          <w:vertAlign w:val="subscript"/>
          <w:lang w:val="en-GB"/>
        </w:rPr>
        <w:t>i</w:t>
      </w:r>
      <w:r w:rsidRPr="00D93FF9">
        <w:rPr>
          <w:lang w:val="en-GB"/>
        </w:rPr>
        <w:t>, can be calculated as</w:t>
      </w:r>
      <w:r w:rsidR="00933157" w:rsidRPr="00D93FF9">
        <w:rPr>
          <w:lang w:val="en-GB"/>
        </w:rPr>
        <w:t>:</w:t>
      </w:r>
    </w:p>
    <w:p w14:paraId="59DCC5EF" w14:textId="77777777" w:rsidR="004D4425" w:rsidRPr="00D93FF9" w:rsidRDefault="004D4425" w:rsidP="003807A1">
      <w:pPr>
        <w:pStyle w:val="BodyText"/>
        <w:spacing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5F3" w14:textId="77777777" w:rsidTr="004D4425">
        <w:tc>
          <w:tcPr>
            <w:tcW w:w="4505" w:type="dxa"/>
          </w:tcPr>
          <w:p w14:paraId="59DCC5F0" w14:textId="77777777" w:rsidR="004D4425" w:rsidRPr="00D93FF9" w:rsidRDefault="00E811B8" w:rsidP="003807A1">
            <w:pPr>
              <w:pStyle w:val="BodyText"/>
              <w:spacing w:after="0"/>
              <w:rPr>
                <w:sz w:val="22"/>
                <w:szCs w:val="22"/>
                <w:lang w:val="en-GB"/>
              </w:rPr>
            </w:pPr>
            <m:oMathPara>
              <m:oMathParaPr>
                <m:jc m:val="left"/>
              </m:oMathParaPr>
              <m:oMath>
                <m:r>
                  <m:rPr>
                    <m:sty m:val="p"/>
                  </m:rPr>
                  <w:rPr>
                    <w:rFonts w:ascii="Cambria Math" w:hAnsi="Cambria Math"/>
                    <w:sz w:val="22"/>
                    <w:szCs w:val="22"/>
                    <w:lang w:val="en-GB"/>
                  </w:rPr>
                  <m:t>L</m:t>
                </m:r>
                <m:sSub>
                  <m:sSubPr>
                    <m:ctrlPr>
                      <w:rPr>
                        <w:rFonts w:ascii="Cambria Math" w:hAnsi="Cambria Math"/>
                        <w:iCs/>
                        <w:sz w:val="22"/>
                        <w:szCs w:val="22"/>
                        <w:lang w:val="en-GB"/>
                      </w:rPr>
                    </m:ctrlPr>
                  </m:sSubPr>
                  <m:e>
                    <m:r>
                      <m:rPr>
                        <m:sty m:val="p"/>
                      </m:rPr>
                      <w:rPr>
                        <w:rFonts w:ascii="Cambria Math" w:hAnsi="Cambria Math"/>
                        <w:sz w:val="22"/>
                        <w:szCs w:val="22"/>
                        <w:lang w:val="en-GB"/>
                      </w:rPr>
                      <m:t>F</m:t>
                    </m:r>
                  </m:e>
                  <m:sub>
                    <m:r>
                      <m:rPr>
                        <m:sty m:val="p"/>
                      </m:rPr>
                      <w:rPr>
                        <w:rFonts w:ascii="Cambria Math" w:hAnsi="Cambria Math"/>
                        <w:sz w:val="22"/>
                        <w:szCs w:val="22"/>
                        <w:lang w:val="en-GB"/>
                      </w:rPr>
                      <m:t>i</m:t>
                    </m:r>
                  </m:sub>
                </m:sSub>
                <m:r>
                  <m:rPr>
                    <m:sty m:val="p"/>
                  </m:rPr>
                  <w:rPr>
                    <w:rFonts w:ascii="Cambria Math" w:hAnsi="Cambria Math"/>
                    <w:sz w:val="22"/>
                    <w:szCs w:val="22"/>
                    <w:lang w:val="en-GB"/>
                  </w:rPr>
                  <m:t>=L</m:t>
                </m:r>
                <m:sSub>
                  <m:sSubPr>
                    <m:ctrlPr>
                      <w:rPr>
                        <w:rFonts w:ascii="Cambria Math" w:hAnsi="Cambria Math"/>
                        <w:iCs/>
                        <w:sz w:val="22"/>
                        <w:szCs w:val="22"/>
                        <w:lang w:val="en-GB"/>
                      </w:rPr>
                    </m:ctrlPr>
                  </m:sSubPr>
                  <m:e>
                    <m:r>
                      <m:rPr>
                        <m:sty m:val="p"/>
                      </m:rPr>
                      <w:rPr>
                        <w:rFonts w:ascii="Cambria Math" w:hAnsi="Cambria Math"/>
                        <w:sz w:val="22"/>
                        <w:szCs w:val="22"/>
                        <w:lang w:val="en-GB"/>
                      </w:rPr>
                      <m:t>F</m:t>
                    </m:r>
                  </m:e>
                  <m:sub>
                    <m:r>
                      <m:rPr>
                        <m:sty m:val="p"/>
                      </m:rPr>
                      <w:rPr>
                        <w:rFonts w:ascii="Cambria Math" w:hAnsi="Cambria Math"/>
                        <w:sz w:val="22"/>
                        <w:szCs w:val="22"/>
                        <w:lang w:val="en-GB"/>
                      </w:rPr>
                      <m:t>r</m:t>
                    </m:r>
                  </m:sub>
                </m:sSub>
                <m:d>
                  <m:dPr>
                    <m:ctrlPr>
                      <w:rPr>
                        <w:rFonts w:ascii="Cambria Math" w:hAnsi="Cambria Math"/>
                        <w:iCs/>
                        <w:sz w:val="22"/>
                        <w:szCs w:val="22"/>
                        <w:lang w:val="en-GB"/>
                      </w:rPr>
                    </m:ctrlPr>
                  </m:dPr>
                  <m:e>
                    <m:f>
                      <m:fPr>
                        <m:ctrlPr>
                          <w:rPr>
                            <w:rFonts w:ascii="Cambria Math" w:hAnsi="Cambria Math"/>
                            <w:iCs/>
                            <w:sz w:val="22"/>
                            <w:szCs w:val="22"/>
                            <w:lang w:val="en-GB"/>
                          </w:rPr>
                        </m:ctrlPr>
                      </m:fPr>
                      <m:num>
                        <m:r>
                          <m:rPr>
                            <m:sty m:val="p"/>
                          </m:rPr>
                          <w:rPr>
                            <w:rFonts w:ascii="Cambria Math" w:hAnsi="Cambria Math"/>
                            <w:sz w:val="22"/>
                            <w:szCs w:val="22"/>
                            <w:lang w:val="en-GB"/>
                          </w:rPr>
                          <m:t>E</m:t>
                        </m:r>
                        <m:sSub>
                          <m:sSubPr>
                            <m:ctrlPr>
                              <w:rPr>
                                <w:rFonts w:ascii="Cambria Math" w:hAnsi="Cambria Math"/>
                                <w:iCs/>
                                <w:sz w:val="22"/>
                                <w:szCs w:val="22"/>
                                <w:lang w:val="en-GB"/>
                              </w:rPr>
                            </m:ctrlPr>
                          </m:sSubPr>
                          <m:e>
                            <m:r>
                              <m:rPr>
                                <m:sty m:val="p"/>
                              </m:rPr>
                              <w:rPr>
                                <w:rFonts w:ascii="Cambria Math" w:hAnsi="Cambria Math"/>
                                <w:sz w:val="22"/>
                                <w:szCs w:val="22"/>
                                <w:lang w:val="en-GB"/>
                              </w:rPr>
                              <m:t>C</m:t>
                            </m:r>
                          </m:e>
                          <m:sub>
                            <m:r>
                              <m:rPr>
                                <m:sty m:val="p"/>
                              </m:rPr>
                              <w:rPr>
                                <w:rFonts w:ascii="Cambria Math" w:hAnsi="Cambria Math"/>
                                <w:sz w:val="22"/>
                                <w:szCs w:val="22"/>
                                <w:lang w:val="en-GB"/>
                              </w:rPr>
                              <m:t>i</m:t>
                            </m:r>
                          </m:sub>
                        </m:sSub>
                      </m:num>
                      <m:den>
                        <m:r>
                          <m:rPr>
                            <m:sty m:val="p"/>
                          </m:rPr>
                          <w:rPr>
                            <w:rFonts w:ascii="Cambria Math" w:hAnsi="Cambria Math"/>
                            <w:sz w:val="22"/>
                            <w:szCs w:val="22"/>
                            <w:lang w:val="en-GB"/>
                          </w:rPr>
                          <m:t>E</m:t>
                        </m:r>
                        <m:sSub>
                          <m:sSubPr>
                            <m:ctrlPr>
                              <w:rPr>
                                <w:rFonts w:ascii="Cambria Math" w:hAnsi="Cambria Math"/>
                                <w:iCs/>
                                <w:sz w:val="22"/>
                                <w:szCs w:val="22"/>
                                <w:lang w:val="en-GB"/>
                              </w:rPr>
                            </m:ctrlPr>
                          </m:sSubPr>
                          <m:e>
                            <m:r>
                              <m:rPr>
                                <m:sty m:val="p"/>
                              </m:rPr>
                              <w:rPr>
                                <w:rFonts w:ascii="Cambria Math" w:hAnsi="Cambria Math"/>
                                <w:sz w:val="22"/>
                                <w:szCs w:val="22"/>
                                <w:lang w:val="en-GB"/>
                              </w:rPr>
                              <m:t>C</m:t>
                            </m:r>
                          </m:e>
                          <m:sub>
                            <m:r>
                              <m:rPr>
                                <m:sty m:val="p"/>
                              </m:rPr>
                              <w:rPr>
                                <w:rFonts w:ascii="Cambria Math" w:hAnsi="Cambria Math"/>
                                <w:sz w:val="22"/>
                                <w:szCs w:val="22"/>
                                <w:lang w:val="en-GB"/>
                              </w:rPr>
                              <m:t>r</m:t>
                            </m:r>
                          </m:sub>
                        </m:sSub>
                      </m:den>
                    </m:f>
                  </m:e>
                </m:d>
              </m:oMath>
            </m:oMathPara>
          </w:p>
        </w:tc>
        <w:tc>
          <w:tcPr>
            <w:tcW w:w="4505" w:type="dxa"/>
          </w:tcPr>
          <w:p w14:paraId="59DCC5F1" w14:textId="0871F88F" w:rsidR="004D4425" w:rsidRPr="00D93FF9" w:rsidRDefault="00E811B8" w:rsidP="004A4C4C">
            <w:pPr>
              <w:pStyle w:val="Caption"/>
              <w:jc w:val="right"/>
              <w:rPr>
                <w:sz w:val="22"/>
                <w:szCs w:val="22"/>
              </w:rPr>
            </w:pPr>
            <w:bookmarkStart w:id="92" w:name="_Ref70424874"/>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8</w:t>
            </w:r>
            <w:r w:rsidRPr="00D93FF9">
              <w:rPr>
                <w:szCs w:val="22"/>
              </w:rPr>
              <w:fldChar w:fldCharType="end"/>
            </w:r>
            <w:bookmarkEnd w:id="92"/>
          </w:p>
          <w:p w14:paraId="59DCC5F2" w14:textId="77777777" w:rsidR="004D4425" w:rsidRPr="00D93FF9" w:rsidRDefault="004D4425" w:rsidP="003807A1">
            <w:pPr>
              <w:pStyle w:val="BodyText"/>
              <w:spacing w:after="0"/>
              <w:rPr>
                <w:sz w:val="22"/>
                <w:szCs w:val="22"/>
                <w:lang w:val="en-GB"/>
              </w:rPr>
            </w:pPr>
          </w:p>
        </w:tc>
      </w:tr>
    </w:tbl>
    <w:p w14:paraId="59DCC5F4" w14:textId="77777777" w:rsidR="004D4425" w:rsidRPr="00D93FF9" w:rsidRDefault="004D4425" w:rsidP="003807A1">
      <w:pPr>
        <w:pStyle w:val="BodyText"/>
        <w:spacing w:after="0"/>
        <w:rPr>
          <w:lang w:val="en-GB"/>
        </w:rPr>
      </w:pPr>
    </w:p>
    <w:p w14:paraId="59DCC5F5" w14:textId="77777777" w:rsidR="00771B40" w:rsidRPr="00D93FF9" w:rsidRDefault="00E811B8" w:rsidP="003807A1">
      <w:pPr>
        <w:pStyle w:val="BodyText"/>
        <w:spacing w:after="0"/>
        <w:rPr>
          <w:lang w:val="en-GB"/>
        </w:rPr>
      </w:pPr>
      <w:r w:rsidRPr="00D93FF9">
        <w:rPr>
          <w:lang w:val="en-GB"/>
        </w:rPr>
        <w:t>where:</w:t>
      </w:r>
    </w:p>
    <w:p w14:paraId="59DCC5F6" w14:textId="77777777" w:rsidR="005557FF" w:rsidRPr="00D93FF9" w:rsidRDefault="00E811B8" w:rsidP="003807A1">
      <w:pPr>
        <w:pStyle w:val="BodyText"/>
        <w:tabs>
          <w:tab w:val="left" w:pos="992"/>
        </w:tabs>
        <w:spacing w:after="0" w:line="348" w:lineRule="auto"/>
        <w:rPr>
          <w:lang w:val="en-GB"/>
        </w:rPr>
      </w:pPr>
      <w:r w:rsidRPr="00D93FF9">
        <w:rPr>
          <w:lang w:val="en-GB"/>
        </w:rPr>
        <w:t>LF</w:t>
      </w:r>
      <w:r w:rsidRPr="00D93FF9">
        <w:rPr>
          <w:position w:val="-4"/>
          <w:sz w:val="15"/>
          <w:lang w:val="en-GB"/>
        </w:rPr>
        <w:t>i</w:t>
      </w:r>
      <w:r w:rsidRPr="00D93FF9">
        <w:rPr>
          <w:position w:val="-4"/>
          <w:sz w:val="15"/>
          <w:lang w:val="en-GB"/>
        </w:rPr>
        <w:tab/>
      </w:r>
      <w:r w:rsidRPr="00D93FF9">
        <w:rPr>
          <w:lang w:val="en-GB"/>
        </w:rPr>
        <w:t xml:space="preserve">= predicted leaching fraction under irrigation (expressed as a percentage) </w:t>
      </w:r>
    </w:p>
    <w:p w14:paraId="59DCC5F7" w14:textId="77777777" w:rsidR="005557FF" w:rsidRPr="00D93FF9" w:rsidRDefault="00E811B8" w:rsidP="003807A1">
      <w:pPr>
        <w:pStyle w:val="BodyText"/>
        <w:tabs>
          <w:tab w:val="left" w:pos="992"/>
        </w:tabs>
        <w:spacing w:after="0" w:line="348" w:lineRule="auto"/>
        <w:rPr>
          <w:lang w:val="en-GB"/>
        </w:rPr>
      </w:pPr>
      <w:r w:rsidRPr="00D93FF9">
        <w:rPr>
          <w:lang w:val="en-GB"/>
        </w:rPr>
        <w:t>LF</w:t>
      </w:r>
      <w:r w:rsidRPr="00D93FF9">
        <w:rPr>
          <w:position w:val="-4"/>
          <w:sz w:val="15"/>
          <w:lang w:val="en-GB"/>
        </w:rPr>
        <w:t>r</w:t>
      </w:r>
      <w:r w:rsidRPr="00D93FF9">
        <w:rPr>
          <w:position w:val="-4"/>
          <w:sz w:val="15"/>
          <w:lang w:val="en-GB"/>
        </w:rPr>
        <w:tab/>
      </w:r>
      <w:r w:rsidRPr="00D93FF9">
        <w:rPr>
          <w:lang w:val="en-GB"/>
        </w:rPr>
        <w:t xml:space="preserve">= predicted leaching fraction under rainfall (expressed as a percentage) </w:t>
      </w:r>
    </w:p>
    <w:p w14:paraId="59DCC5F8" w14:textId="77777777" w:rsidR="00C46175" w:rsidRPr="00D93FF9" w:rsidRDefault="00E811B8" w:rsidP="003807A1">
      <w:pPr>
        <w:pStyle w:val="BodyText"/>
        <w:tabs>
          <w:tab w:val="left" w:pos="992"/>
        </w:tabs>
        <w:spacing w:after="0" w:line="348" w:lineRule="auto"/>
        <w:rPr>
          <w:lang w:val="en-GB"/>
        </w:rPr>
      </w:pPr>
      <w:r w:rsidRPr="00D93FF9">
        <w:rPr>
          <w:lang w:val="en-GB"/>
        </w:rPr>
        <w:t>EC</w:t>
      </w:r>
      <w:r w:rsidRPr="00D93FF9">
        <w:rPr>
          <w:position w:val="-4"/>
          <w:sz w:val="15"/>
          <w:lang w:val="en-GB"/>
        </w:rPr>
        <w:t>i</w:t>
      </w:r>
      <w:r w:rsidRPr="00D93FF9">
        <w:rPr>
          <w:position w:val="-4"/>
          <w:sz w:val="15"/>
          <w:lang w:val="en-GB"/>
        </w:rPr>
        <w:tab/>
      </w:r>
      <w:r w:rsidRPr="00D93FF9">
        <w:rPr>
          <w:lang w:val="en-GB"/>
        </w:rPr>
        <w:t xml:space="preserve">= weighted EC of input water for irrigation (i) and rainfall (r) (in dS/m) </w:t>
      </w:r>
      <w:r w:rsidR="00754564" w:rsidRPr="00D93FF9">
        <w:rPr>
          <w:lang w:val="en-GB"/>
        </w:rPr>
        <w:t xml:space="preserve">noting </w:t>
      </w:r>
      <w:r w:rsidRPr="00D93FF9">
        <w:rPr>
          <w:lang w:val="en-GB"/>
        </w:rPr>
        <w:t>EC</w:t>
      </w:r>
      <w:r w:rsidRPr="00D93FF9">
        <w:rPr>
          <w:position w:val="-4"/>
          <w:sz w:val="15"/>
          <w:lang w:val="en-GB"/>
        </w:rPr>
        <w:t>r</w:t>
      </w:r>
      <w:r w:rsidRPr="00D93FF9">
        <w:rPr>
          <w:position w:val="-4"/>
          <w:sz w:val="15"/>
          <w:lang w:val="en-GB"/>
        </w:rPr>
        <w:tab/>
      </w:r>
      <w:r w:rsidRPr="00D93FF9">
        <w:rPr>
          <w:lang w:val="en-GB"/>
        </w:rPr>
        <w:t>= 0.03 dS/m</w:t>
      </w:r>
    </w:p>
    <w:p w14:paraId="59DCC5F9" w14:textId="77777777" w:rsidR="00804207" w:rsidRPr="00D93FF9" w:rsidRDefault="00E811B8" w:rsidP="003807A1">
      <w:pPr>
        <w:pStyle w:val="BodyText"/>
        <w:tabs>
          <w:tab w:val="left" w:pos="992"/>
        </w:tabs>
        <w:spacing w:after="0" w:line="348" w:lineRule="auto"/>
        <w:rPr>
          <w:lang w:val="en-GB"/>
        </w:rPr>
      </w:pPr>
      <w:r w:rsidRPr="00D93FF9">
        <w:rPr>
          <w:lang w:val="en-GB"/>
        </w:rPr>
        <w:t xml:space="preserve">The ratio of the EC values is always </w:t>
      </w:r>
      <w:r w:rsidR="000A327D" w:rsidRPr="00D93FF9">
        <w:rPr>
          <w:lang w:val="en-GB"/>
        </w:rPr>
        <w:t xml:space="preserve">greater than </w:t>
      </w:r>
      <w:r w:rsidRPr="00D93FF9">
        <w:rPr>
          <w:lang w:val="en-GB"/>
        </w:rPr>
        <w:t>1</w:t>
      </w:r>
      <w:r w:rsidR="00FE056D" w:rsidRPr="00D93FF9">
        <w:rPr>
          <w:lang w:val="en-GB"/>
        </w:rPr>
        <w:t xml:space="preserve">, </w:t>
      </w:r>
      <w:r w:rsidRPr="00D93FF9">
        <w:rPr>
          <w:lang w:val="en-GB"/>
        </w:rPr>
        <w:t>hence LFi will always be greater than LFr.</w:t>
      </w:r>
    </w:p>
    <w:p w14:paraId="59DCC5FA" w14:textId="081F013F" w:rsidR="00471879" w:rsidRPr="00D93FF9" w:rsidRDefault="00E811B8" w:rsidP="00A8314F">
      <w:pPr>
        <w:pStyle w:val="BodyText"/>
        <w:spacing w:after="0" w:line="266" w:lineRule="auto"/>
        <w:jc w:val="both"/>
        <w:rPr>
          <w:lang w:val="en-GB"/>
        </w:rPr>
      </w:pPr>
      <w:bookmarkStart w:id="93" w:name="Long-term_irrigation_(steady_state)"/>
      <w:bookmarkEnd w:id="93"/>
      <w:r w:rsidRPr="00D93FF9">
        <w:rPr>
          <w:lang w:val="en-GB"/>
        </w:rPr>
        <w:t>On the basis of experience with heavy textured soils in the Lockyer Valley using variable salinity irrigation waters</w:t>
      </w:r>
      <w:r w:rsidR="00BC6324" w:rsidRPr="00D93FF9">
        <w:rPr>
          <w:lang w:val="en-GB"/>
        </w:rPr>
        <w:t xml:space="preserve"> </w:t>
      </w:r>
      <w:r w:rsidRPr="00D93FF9">
        <w:rPr>
          <w:lang w:val="en-GB"/>
        </w:rPr>
        <w:t>a non-linear adjustment was developed</w:t>
      </w:r>
      <w:r w:rsidR="00754564" w:rsidRPr="00D93FF9">
        <w:rPr>
          <w:lang w:val="en-GB"/>
        </w:rPr>
        <w:t xml:space="preserve"> by Shaw (</w:t>
      </w:r>
      <w:r w:rsidR="001045C9" w:rsidRPr="00D93FF9">
        <w:rPr>
          <w:lang w:val="en-GB"/>
        </w:rPr>
        <w:t>1995</w:t>
      </w:r>
      <w:r w:rsidR="00754564" w:rsidRPr="00D93FF9">
        <w:rPr>
          <w:lang w:val="en-GB"/>
        </w:rPr>
        <w:t>)</w:t>
      </w:r>
      <w:r w:rsidRPr="00D93FF9">
        <w:rPr>
          <w:lang w:val="en-GB"/>
        </w:rPr>
        <w:t xml:space="preserve">. </w:t>
      </w:r>
      <w:r w:rsidR="000A327D" w:rsidRPr="00D93FF9">
        <w:rPr>
          <w:lang w:val="en-GB"/>
        </w:rPr>
        <w:t xml:space="preserve">Applying the non-linear adjustment to </w:t>
      </w:r>
      <w:r w:rsidR="000A327D" w:rsidRPr="00D93FF9">
        <w:rPr>
          <w:lang w:val="en-GB"/>
        </w:rPr>
        <w:fldChar w:fldCharType="begin"/>
      </w:r>
      <w:r w:rsidR="000A327D" w:rsidRPr="00D93FF9">
        <w:rPr>
          <w:lang w:val="en-GB"/>
        </w:rPr>
        <w:instrText xml:space="preserve"> REF _Ref70424874 \h </w:instrText>
      </w:r>
      <w:r w:rsidR="00D93FF9">
        <w:rPr>
          <w:lang w:val="en-GB"/>
        </w:rPr>
        <w:instrText xml:space="preserve"> \* MERGEFORMAT </w:instrText>
      </w:r>
      <w:r w:rsidR="000A327D" w:rsidRPr="00D93FF9">
        <w:rPr>
          <w:lang w:val="en-GB"/>
        </w:rPr>
      </w:r>
      <w:r w:rsidR="000A327D" w:rsidRPr="00D93FF9">
        <w:rPr>
          <w:lang w:val="en-GB"/>
        </w:rPr>
        <w:fldChar w:fldCharType="separate"/>
      </w:r>
      <w:r w:rsidR="0069302C" w:rsidRPr="00D93FF9">
        <w:t xml:space="preserve">Equation </w:t>
      </w:r>
      <w:r w:rsidR="0069302C">
        <w:rPr>
          <w:noProof/>
        </w:rPr>
        <w:t>8</w:t>
      </w:r>
      <w:r w:rsidR="000A327D" w:rsidRPr="00D93FF9">
        <w:rPr>
          <w:lang w:val="en-GB"/>
        </w:rPr>
        <w:fldChar w:fldCharType="end"/>
      </w:r>
      <w:r w:rsidR="000A327D" w:rsidRPr="00D93FF9">
        <w:rPr>
          <w:lang w:val="en-GB"/>
        </w:rPr>
        <w:t>, Shaw showed that the adjusted LF under irrigation, LF</w:t>
      </w:r>
      <w:r w:rsidR="000A327D" w:rsidRPr="00D93FF9">
        <w:rPr>
          <w:vertAlign w:val="subscript"/>
          <w:lang w:val="en-GB"/>
        </w:rPr>
        <w:t>f</w:t>
      </w:r>
      <w:r w:rsidR="000A327D" w:rsidRPr="00D93FF9">
        <w:rPr>
          <w:lang w:val="en-GB"/>
        </w:rPr>
        <w:t>, could be expressed as:</w:t>
      </w:r>
    </w:p>
    <w:p w14:paraId="59DCC5FB" w14:textId="77777777" w:rsidR="00EE0E7C" w:rsidRPr="00D93FF9" w:rsidRDefault="00EE0E7C" w:rsidP="003807A1">
      <w:pPr>
        <w:pStyle w:val="BodyText"/>
        <w:spacing w:after="0"/>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5FF" w14:textId="77777777" w:rsidTr="004D4425">
        <w:tc>
          <w:tcPr>
            <w:tcW w:w="4505" w:type="dxa"/>
          </w:tcPr>
          <w:p w14:paraId="59DCC5FC" w14:textId="0B6AAF8E" w:rsidR="004D4425" w:rsidRPr="00D93FF9" w:rsidRDefault="00E811B8" w:rsidP="003807A1">
            <w:pPr>
              <w:pStyle w:val="BodyText"/>
              <w:spacing w:after="0"/>
              <w:jc w:val="both"/>
              <w:rPr>
                <w:sz w:val="22"/>
                <w:szCs w:val="22"/>
                <w:lang w:val="en-GB"/>
              </w:rPr>
            </w:pPr>
            <m:oMathPara>
              <m:oMathParaPr>
                <m:jc m:val="left"/>
              </m:oMathParaPr>
              <m:oMath>
                <m:r>
                  <m:rPr>
                    <m:sty m:val="p"/>
                  </m:rPr>
                  <w:rPr>
                    <w:rFonts w:ascii="Cambria Math" w:hAnsi="Cambria Math"/>
                    <w:sz w:val="22"/>
                    <w:szCs w:val="22"/>
                    <w:lang w:val="en-GB"/>
                  </w:rPr>
                  <m:t>L</m:t>
                </m:r>
                <m:sSub>
                  <m:sSubPr>
                    <m:ctrlPr>
                      <w:rPr>
                        <w:rFonts w:ascii="Cambria Math" w:hAnsi="Cambria Math"/>
                        <w:iCs/>
                        <w:sz w:val="22"/>
                        <w:szCs w:val="22"/>
                        <w:lang w:val="en-GB"/>
                      </w:rPr>
                    </m:ctrlPr>
                  </m:sSubPr>
                  <m:e>
                    <m:r>
                      <m:rPr>
                        <m:sty m:val="p"/>
                      </m:rPr>
                      <w:rPr>
                        <w:rFonts w:ascii="Cambria Math" w:hAnsi="Cambria Math"/>
                        <w:sz w:val="22"/>
                        <w:szCs w:val="22"/>
                        <w:lang w:val="en-GB"/>
                      </w:rPr>
                      <m:t>F</m:t>
                    </m:r>
                  </m:e>
                  <m:sub>
                    <m:r>
                      <m:rPr>
                        <m:sty m:val="p"/>
                      </m:rPr>
                      <w:rPr>
                        <w:rFonts w:ascii="Cambria Math" w:hAnsi="Cambria Math"/>
                        <w:sz w:val="22"/>
                        <w:szCs w:val="22"/>
                        <w:lang w:val="en-GB"/>
                      </w:rPr>
                      <m:t>f</m:t>
                    </m:r>
                  </m:sub>
                </m:sSub>
                <m:r>
                  <m:rPr>
                    <m:sty m:val="p"/>
                  </m:rPr>
                  <w:rPr>
                    <w:rFonts w:ascii="Cambria Math" w:hAnsi="Cambria Math"/>
                    <w:sz w:val="22"/>
                    <w:szCs w:val="22"/>
                    <w:lang w:val="en-GB"/>
                  </w:rPr>
                  <m:t>=L</m:t>
                </m:r>
                <m:sSub>
                  <m:sSubPr>
                    <m:ctrlPr>
                      <w:rPr>
                        <w:rFonts w:ascii="Cambria Math" w:hAnsi="Cambria Math"/>
                        <w:iCs/>
                        <w:sz w:val="22"/>
                        <w:szCs w:val="22"/>
                        <w:lang w:val="en-GB"/>
                      </w:rPr>
                    </m:ctrlPr>
                  </m:sSubPr>
                  <m:e>
                    <m:r>
                      <m:rPr>
                        <m:sty m:val="p"/>
                      </m:rPr>
                      <w:rPr>
                        <w:rFonts w:ascii="Cambria Math" w:hAnsi="Cambria Math"/>
                        <w:sz w:val="22"/>
                        <w:szCs w:val="22"/>
                        <w:lang w:val="en-GB"/>
                      </w:rPr>
                      <m:t>f</m:t>
                    </m:r>
                  </m:e>
                  <m:sub>
                    <m:r>
                      <m:rPr>
                        <m:sty m:val="p"/>
                      </m:rPr>
                      <w:rPr>
                        <w:rFonts w:ascii="Cambria Math" w:hAnsi="Cambria Math"/>
                        <w:sz w:val="22"/>
                        <w:szCs w:val="22"/>
                        <w:lang w:val="en-GB"/>
                      </w:rPr>
                      <m:t>r</m:t>
                    </m:r>
                  </m:sub>
                </m:sSub>
                <m:d>
                  <m:dPr>
                    <m:begChr m:val="["/>
                    <m:endChr m:val="]"/>
                    <m:ctrlPr>
                      <w:rPr>
                        <w:rFonts w:ascii="Cambria Math" w:hAnsi="Cambria Math"/>
                        <w:iCs/>
                        <w:sz w:val="22"/>
                        <w:szCs w:val="22"/>
                        <w:lang w:val="en-GB"/>
                      </w:rPr>
                    </m:ctrlPr>
                  </m:dPr>
                  <m:e>
                    <m:r>
                      <m:rPr>
                        <m:sty m:val="p"/>
                      </m:rPr>
                      <w:rPr>
                        <w:rFonts w:ascii="Cambria Math" w:hAnsi="Cambria Math"/>
                        <w:sz w:val="22"/>
                        <w:szCs w:val="22"/>
                        <w:lang w:val="en-GB"/>
                      </w:rPr>
                      <m:t>2.65</m:t>
                    </m:r>
                    <m:sSubSup>
                      <m:sSubSupPr>
                        <m:ctrlPr>
                          <w:rPr>
                            <w:rFonts w:ascii="Cambria Math" w:hAnsi="Cambria Math"/>
                            <w:iCs/>
                            <w:sz w:val="22"/>
                            <w:szCs w:val="22"/>
                            <w:lang w:val="en-GB"/>
                          </w:rPr>
                        </m:ctrlPr>
                      </m:sSubSupPr>
                      <m:e>
                        <m:d>
                          <m:dPr>
                            <m:ctrlPr>
                              <w:rPr>
                                <w:rFonts w:ascii="Cambria Math" w:hAnsi="Cambria Math"/>
                                <w:iCs/>
                                <w:sz w:val="22"/>
                                <w:szCs w:val="22"/>
                                <w:lang w:val="en-GB"/>
                              </w:rPr>
                            </m:ctrlPr>
                          </m:dPr>
                          <m:e>
                            <m:f>
                              <m:fPr>
                                <m:ctrlPr>
                                  <w:rPr>
                                    <w:rFonts w:ascii="Cambria Math" w:hAnsi="Cambria Math"/>
                                    <w:iCs/>
                                    <w:sz w:val="22"/>
                                    <w:szCs w:val="22"/>
                                    <w:lang w:val="en-GB"/>
                                  </w:rPr>
                                </m:ctrlPr>
                              </m:fPr>
                              <m:num>
                                <m:r>
                                  <m:rPr>
                                    <m:sty m:val="p"/>
                                  </m:rPr>
                                  <w:rPr>
                                    <w:rFonts w:ascii="Cambria Math" w:hAnsi="Cambria Math"/>
                                    <w:sz w:val="22"/>
                                    <w:szCs w:val="22"/>
                                    <w:lang w:val="en-GB"/>
                                  </w:rPr>
                                  <m:t>E</m:t>
                                </m:r>
                                <m:sSub>
                                  <m:sSubPr>
                                    <m:ctrlPr>
                                      <w:rPr>
                                        <w:rFonts w:ascii="Cambria Math" w:hAnsi="Cambria Math"/>
                                        <w:iCs/>
                                        <w:sz w:val="22"/>
                                        <w:szCs w:val="22"/>
                                        <w:lang w:val="en-GB"/>
                                      </w:rPr>
                                    </m:ctrlPr>
                                  </m:sSubPr>
                                  <m:e>
                                    <m:r>
                                      <m:rPr>
                                        <m:sty m:val="p"/>
                                      </m:rPr>
                                      <w:rPr>
                                        <w:rFonts w:ascii="Cambria Math" w:hAnsi="Cambria Math"/>
                                        <w:sz w:val="22"/>
                                        <w:szCs w:val="22"/>
                                        <w:lang w:val="en-GB"/>
                                      </w:rPr>
                                      <m:t>C</m:t>
                                    </m:r>
                                  </m:e>
                                  <m:sub>
                                    <m:r>
                                      <m:rPr>
                                        <m:sty m:val="p"/>
                                      </m:rPr>
                                      <w:rPr>
                                        <w:rFonts w:ascii="Cambria Math" w:hAnsi="Cambria Math"/>
                                        <w:sz w:val="22"/>
                                        <w:szCs w:val="22"/>
                                        <w:lang w:val="en-GB"/>
                                      </w:rPr>
                                      <m:t>i</m:t>
                                    </m:r>
                                  </m:sub>
                                </m:sSub>
                              </m:num>
                              <m:den>
                                <m:r>
                                  <m:rPr>
                                    <m:sty m:val="p"/>
                                  </m:rPr>
                                  <w:rPr>
                                    <w:rFonts w:ascii="Cambria Math" w:hAnsi="Cambria Math"/>
                                    <w:sz w:val="22"/>
                                    <w:szCs w:val="22"/>
                                    <w:lang w:val="en-GB"/>
                                  </w:rPr>
                                  <m:t>E</m:t>
                                </m:r>
                                <m:sSub>
                                  <m:sSubPr>
                                    <m:ctrlPr>
                                      <w:rPr>
                                        <w:rFonts w:ascii="Cambria Math" w:hAnsi="Cambria Math"/>
                                        <w:iCs/>
                                        <w:sz w:val="22"/>
                                        <w:szCs w:val="22"/>
                                        <w:lang w:val="en-GB"/>
                                      </w:rPr>
                                    </m:ctrlPr>
                                  </m:sSubPr>
                                  <m:e>
                                    <m:r>
                                      <m:rPr>
                                        <m:sty m:val="p"/>
                                      </m:rPr>
                                      <w:rPr>
                                        <w:rFonts w:ascii="Cambria Math" w:hAnsi="Cambria Math"/>
                                        <w:sz w:val="22"/>
                                        <w:szCs w:val="22"/>
                                        <w:lang w:val="en-GB"/>
                                      </w:rPr>
                                      <m:t>c</m:t>
                                    </m:r>
                                  </m:e>
                                  <m:sub>
                                    <m:r>
                                      <m:rPr>
                                        <m:sty m:val="p"/>
                                      </m:rPr>
                                      <w:rPr>
                                        <w:rFonts w:ascii="Cambria Math" w:hAnsi="Cambria Math"/>
                                        <w:sz w:val="22"/>
                                        <w:szCs w:val="22"/>
                                        <w:lang w:val="en-GB"/>
                                      </w:rPr>
                                      <m:t>r</m:t>
                                    </m:r>
                                  </m:sub>
                                </m:sSub>
                              </m:den>
                            </m:f>
                          </m:e>
                        </m:d>
                      </m:e>
                      <m:sub/>
                      <m:sup>
                        <m:r>
                          <m:rPr>
                            <m:sty m:val="p"/>
                          </m:rPr>
                          <w:rPr>
                            <w:rFonts w:ascii="Cambria Math" w:hAnsi="Cambria Math"/>
                            <w:sz w:val="22"/>
                            <w:szCs w:val="22"/>
                            <w:lang w:val="en-GB"/>
                          </w:rPr>
                          <m:t>0.5</m:t>
                        </m:r>
                      </m:sup>
                    </m:sSubSup>
                    <m:r>
                      <m:rPr>
                        <m:sty m:val="p"/>
                      </m:rPr>
                      <w:rPr>
                        <w:rFonts w:ascii="Cambria Math" w:hAnsi="Cambria Math"/>
                        <w:sz w:val="22"/>
                        <w:szCs w:val="22"/>
                        <w:lang w:val="en-GB"/>
                      </w:rPr>
                      <m:t>-1.35</m:t>
                    </m:r>
                  </m:e>
                </m:d>
              </m:oMath>
            </m:oMathPara>
          </w:p>
        </w:tc>
        <w:tc>
          <w:tcPr>
            <w:tcW w:w="4505" w:type="dxa"/>
          </w:tcPr>
          <w:p w14:paraId="59DCC5FD" w14:textId="487452F3" w:rsidR="004D4425" w:rsidRPr="00D93FF9" w:rsidRDefault="00E811B8" w:rsidP="004A4C4C">
            <w:pPr>
              <w:pStyle w:val="Caption"/>
              <w:jc w:val="right"/>
              <w:rPr>
                <w:sz w:val="22"/>
                <w:szCs w:val="22"/>
                <w:lang w:val="en-GB"/>
              </w:rPr>
            </w:pPr>
            <w:bookmarkStart w:id="94" w:name="_Ref71624236"/>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9</w:t>
            </w:r>
            <w:r w:rsidRPr="00D93FF9">
              <w:rPr>
                <w:szCs w:val="22"/>
              </w:rPr>
              <w:fldChar w:fldCharType="end"/>
            </w:r>
            <w:bookmarkEnd w:id="94"/>
          </w:p>
          <w:p w14:paraId="59DCC5FE" w14:textId="77777777" w:rsidR="004D4425" w:rsidRPr="00D93FF9" w:rsidRDefault="004D4425" w:rsidP="003807A1">
            <w:pPr>
              <w:pStyle w:val="BodyText"/>
              <w:spacing w:after="0"/>
              <w:jc w:val="both"/>
              <w:rPr>
                <w:sz w:val="22"/>
                <w:szCs w:val="22"/>
                <w:lang w:val="en-GB"/>
              </w:rPr>
            </w:pPr>
          </w:p>
        </w:tc>
      </w:tr>
    </w:tbl>
    <w:p w14:paraId="59DCC600" w14:textId="77777777" w:rsidR="004D4425" w:rsidRPr="00D93FF9" w:rsidRDefault="004D4425" w:rsidP="003807A1">
      <w:pPr>
        <w:pStyle w:val="BodyText"/>
        <w:spacing w:after="0"/>
        <w:jc w:val="both"/>
        <w:rPr>
          <w:lang w:val="en-GB"/>
        </w:rPr>
      </w:pPr>
    </w:p>
    <w:p w14:paraId="59DCC601" w14:textId="77777777" w:rsidR="00C46175" w:rsidRPr="00D93FF9" w:rsidRDefault="00E811B8" w:rsidP="003807A1">
      <w:pPr>
        <w:pStyle w:val="BodyText"/>
        <w:spacing w:after="0"/>
        <w:rPr>
          <w:lang w:val="en-GB"/>
        </w:rPr>
      </w:pPr>
      <w:r w:rsidRPr="00D93FF9">
        <w:rPr>
          <w:lang w:val="en-GB"/>
        </w:rPr>
        <w:t>where:</w:t>
      </w:r>
    </w:p>
    <w:p w14:paraId="59DCC603" w14:textId="16DD86CC" w:rsidR="00C46175" w:rsidRPr="00D93FF9" w:rsidRDefault="00E811B8" w:rsidP="003807A1">
      <w:pPr>
        <w:tabs>
          <w:tab w:val="left" w:pos="745"/>
          <w:tab w:val="left" w:pos="2139"/>
        </w:tabs>
        <w:spacing w:after="0"/>
        <w:rPr>
          <w:lang w:val="en-GB"/>
        </w:rPr>
      </w:pPr>
      <w:r w:rsidRPr="00D93FF9">
        <w:rPr>
          <w:lang w:val="en-GB"/>
        </w:rPr>
        <w:t>LF</w:t>
      </w:r>
      <w:r w:rsidRPr="00D93FF9">
        <w:rPr>
          <w:position w:val="-4"/>
          <w:sz w:val="15"/>
          <w:lang w:val="en-GB"/>
        </w:rPr>
        <w:t>f</w:t>
      </w:r>
      <w:r w:rsidR="001B33B6" w:rsidRPr="00D93FF9">
        <w:rPr>
          <w:position w:val="-4"/>
          <w:sz w:val="15"/>
          <w:lang w:val="en-GB"/>
        </w:rPr>
        <w:tab/>
      </w:r>
      <w:r w:rsidRPr="00D93FF9">
        <w:rPr>
          <w:lang w:val="en-GB"/>
        </w:rPr>
        <w:t>= predict</w:t>
      </w:r>
      <w:r w:rsidR="00622CB7" w:rsidRPr="00D93FF9">
        <w:rPr>
          <w:lang w:val="en-GB"/>
        </w:rPr>
        <w:t>ed</w:t>
      </w:r>
      <w:r w:rsidRPr="00D93FF9">
        <w:rPr>
          <w:lang w:val="en-GB"/>
        </w:rPr>
        <w:t xml:space="preserve"> LF </w:t>
      </w:r>
      <w:r w:rsidR="00622CB7" w:rsidRPr="00D93FF9">
        <w:rPr>
          <w:lang w:val="en-GB"/>
        </w:rPr>
        <w:t>under</w:t>
      </w:r>
      <w:r w:rsidRPr="00D93FF9">
        <w:rPr>
          <w:lang w:val="en-GB"/>
        </w:rPr>
        <w:t xml:space="preserve"> irrigation </w:t>
      </w:r>
      <w:r w:rsidR="00622CB7" w:rsidRPr="00D93FF9">
        <w:rPr>
          <w:lang w:val="en-GB"/>
        </w:rPr>
        <w:t xml:space="preserve">after allowing for irrigation </w:t>
      </w:r>
      <w:r w:rsidRPr="00D93FF9">
        <w:rPr>
          <w:lang w:val="en-GB"/>
        </w:rPr>
        <w:t xml:space="preserve">water quality and </w:t>
      </w:r>
      <w:r w:rsidR="008720BA" w:rsidRPr="00D93FF9">
        <w:rPr>
          <w:lang w:val="en-GB"/>
        </w:rPr>
        <w:t xml:space="preserve">amount </w:t>
      </w:r>
    </w:p>
    <w:p w14:paraId="59DCC604" w14:textId="77777777" w:rsidR="003A1A27" w:rsidRPr="00D93FF9" w:rsidRDefault="00E811B8" w:rsidP="001B33B6">
      <w:pPr>
        <w:pStyle w:val="BodyText"/>
        <w:tabs>
          <w:tab w:val="left" w:pos="709"/>
        </w:tabs>
        <w:spacing w:after="0" w:line="348" w:lineRule="auto"/>
        <w:rPr>
          <w:spacing w:val="-3"/>
          <w:lang w:val="en-GB"/>
        </w:rPr>
      </w:pPr>
      <w:r w:rsidRPr="00D93FF9">
        <w:rPr>
          <w:spacing w:val="-3"/>
          <w:lang w:val="en-GB"/>
        </w:rPr>
        <w:t>EC</w:t>
      </w:r>
      <w:r w:rsidRPr="00D93FF9">
        <w:rPr>
          <w:spacing w:val="-3"/>
          <w:position w:val="-4"/>
          <w:sz w:val="15"/>
          <w:lang w:val="en-GB"/>
        </w:rPr>
        <w:t>i</w:t>
      </w:r>
      <w:r w:rsidR="001B33B6" w:rsidRPr="00D93FF9">
        <w:rPr>
          <w:spacing w:val="-3"/>
          <w:position w:val="-4"/>
          <w:sz w:val="15"/>
          <w:lang w:val="en-GB"/>
        </w:rPr>
        <w:tab/>
      </w:r>
      <w:r w:rsidRPr="00D93FF9">
        <w:rPr>
          <w:lang w:val="en-GB"/>
        </w:rPr>
        <w:t xml:space="preserve">= electrical </w:t>
      </w:r>
      <w:r w:rsidRPr="00D93FF9">
        <w:rPr>
          <w:spacing w:val="-3"/>
          <w:lang w:val="en-GB"/>
        </w:rPr>
        <w:t xml:space="preserve">conductivity </w:t>
      </w:r>
      <w:r w:rsidRPr="00D93FF9">
        <w:rPr>
          <w:lang w:val="en-GB"/>
        </w:rPr>
        <w:t xml:space="preserve">of water </w:t>
      </w:r>
      <w:r w:rsidR="008720BA" w:rsidRPr="00D93FF9">
        <w:rPr>
          <w:lang w:val="en-GB"/>
        </w:rPr>
        <w:t>infiltrating the</w:t>
      </w:r>
      <w:r w:rsidRPr="00D93FF9">
        <w:rPr>
          <w:lang w:val="en-GB"/>
        </w:rPr>
        <w:t xml:space="preserve"> soil in dS/m (rainfall +</w:t>
      </w:r>
      <w:r w:rsidRPr="00D93FF9">
        <w:rPr>
          <w:spacing w:val="-30"/>
          <w:lang w:val="en-GB"/>
        </w:rPr>
        <w:t xml:space="preserve"> </w:t>
      </w:r>
      <w:r w:rsidRPr="00D93FF9">
        <w:rPr>
          <w:spacing w:val="-3"/>
          <w:lang w:val="en-GB"/>
        </w:rPr>
        <w:t xml:space="preserve">irrigation) </w:t>
      </w:r>
    </w:p>
    <w:p w14:paraId="59DCC605" w14:textId="77777777" w:rsidR="00C46175" w:rsidRPr="00D93FF9" w:rsidRDefault="00E811B8" w:rsidP="001B33B6">
      <w:pPr>
        <w:pStyle w:val="BodyText"/>
        <w:tabs>
          <w:tab w:val="left" w:pos="709"/>
        </w:tabs>
        <w:spacing w:after="0" w:line="348" w:lineRule="auto"/>
        <w:rPr>
          <w:lang w:val="en-GB"/>
        </w:rPr>
      </w:pPr>
      <w:r w:rsidRPr="00D93FF9">
        <w:rPr>
          <w:spacing w:val="-3"/>
          <w:lang w:val="en-GB"/>
        </w:rPr>
        <w:t>EC</w:t>
      </w:r>
      <w:r w:rsidRPr="00D93FF9">
        <w:rPr>
          <w:spacing w:val="-3"/>
          <w:position w:val="-4"/>
          <w:sz w:val="15"/>
          <w:lang w:val="en-GB"/>
        </w:rPr>
        <w:t>r</w:t>
      </w:r>
      <w:r w:rsidRPr="00D93FF9">
        <w:rPr>
          <w:spacing w:val="-3"/>
          <w:position w:val="-4"/>
          <w:sz w:val="15"/>
          <w:lang w:val="en-GB"/>
        </w:rPr>
        <w:tab/>
      </w:r>
      <w:r w:rsidRPr="00D93FF9">
        <w:rPr>
          <w:lang w:val="en-GB"/>
        </w:rPr>
        <w:t xml:space="preserve">= electrical </w:t>
      </w:r>
      <w:r w:rsidRPr="00D93FF9">
        <w:rPr>
          <w:spacing w:val="-3"/>
          <w:lang w:val="en-GB"/>
        </w:rPr>
        <w:t xml:space="preserve">conductivity </w:t>
      </w:r>
      <w:r w:rsidRPr="00D93FF9">
        <w:rPr>
          <w:lang w:val="en-GB"/>
        </w:rPr>
        <w:t>of rainfall = 0.03</w:t>
      </w:r>
      <w:r w:rsidRPr="00D93FF9">
        <w:rPr>
          <w:spacing w:val="-35"/>
          <w:lang w:val="en-GB"/>
        </w:rPr>
        <w:t xml:space="preserve"> </w:t>
      </w:r>
      <w:r w:rsidRPr="00D93FF9">
        <w:rPr>
          <w:lang w:val="en-GB"/>
        </w:rPr>
        <w:t>dS/m</w:t>
      </w:r>
    </w:p>
    <w:p w14:paraId="59DCC606" w14:textId="77777777" w:rsidR="00C46175" w:rsidRPr="00D93FF9" w:rsidRDefault="00E811B8" w:rsidP="001C6BB0">
      <w:pPr>
        <w:pStyle w:val="ListParagraph"/>
        <w:tabs>
          <w:tab w:val="left" w:pos="637"/>
          <w:tab w:val="left" w:pos="638"/>
        </w:tabs>
        <w:spacing w:before="120" w:after="120"/>
        <w:ind w:left="0"/>
        <w:rPr>
          <w:rFonts w:ascii="Symbol" w:hAnsi="Symbol"/>
          <w:i/>
          <w:iCs/>
          <w:sz w:val="20"/>
          <w:lang w:val="en-GB"/>
        </w:rPr>
      </w:pPr>
      <w:r w:rsidRPr="00D93FF9">
        <w:rPr>
          <w:rFonts w:ascii="Arial" w:hAnsi="Arial"/>
          <w:i/>
          <w:iCs/>
          <w:sz w:val="20"/>
          <w:lang w:val="en-GB"/>
        </w:rPr>
        <w:t>Long-term irrigation (steady</w:t>
      </w:r>
      <w:r w:rsidRPr="00D93FF9">
        <w:rPr>
          <w:rFonts w:ascii="Arial" w:hAnsi="Arial"/>
          <w:i/>
          <w:iCs/>
          <w:spacing w:val="-5"/>
          <w:sz w:val="20"/>
          <w:lang w:val="en-GB"/>
        </w:rPr>
        <w:t xml:space="preserve"> </w:t>
      </w:r>
      <w:r w:rsidRPr="00D93FF9">
        <w:rPr>
          <w:rFonts w:ascii="Arial" w:hAnsi="Arial"/>
          <w:i/>
          <w:iCs/>
          <w:sz w:val="20"/>
          <w:lang w:val="en-GB"/>
        </w:rPr>
        <w:t>state)</w:t>
      </w:r>
    </w:p>
    <w:p w14:paraId="59DCC607" w14:textId="77777777" w:rsidR="00C46175" w:rsidRPr="00D93FF9" w:rsidRDefault="00E811B8" w:rsidP="003807A1">
      <w:pPr>
        <w:pStyle w:val="BodyText"/>
        <w:spacing w:after="0" w:line="266" w:lineRule="auto"/>
        <w:rPr>
          <w:lang w:val="en-GB"/>
        </w:rPr>
      </w:pPr>
      <w:r w:rsidRPr="00D93FF9">
        <w:rPr>
          <w:lang w:val="en-GB"/>
        </w:rPr>
        <w:t>Where soils have been under irrigation for some years</w:t>
      </w:r>
      <w:r w:rsidR="00622CB7" w:rsidRPr="00D93FF9">
        <w:rPr>
          <w:lang w:val="en-GB"/>
        </w:rPr>
        <w:t xml:space="preserve"> (for instance more than 10 years)</w:t>
      </w:r>
      <w:r w:rsidRPr="00D93FF9">
        <w:rPr>
          <w:lang w:val="en-GB"/>
        </w:rPr>
        <w:t xml:space="preserve">, steady-state conditions should exist and the following </w:t>
      </w:r>
      <w:r w:rsidR="00622CB7" w:rsidRPr="00D93FF9">
        <w:rPr>
          <w:lang w:val="en-GB"/>
        </w:rPr>
        <w:t xml:space="preserve">mass-balance </w:t>
      </w:r>
      <w:r w:rsidRPr="00D93FF9">
        <w:rPr>
          <w:lang w:val="en-GB"/>
        </w:rPr>
        <w:t>equation is</w:t>
      </w:r>
      <w:r w:rsidRPr="00D93FF9">
        <w:rPr>
          <w:spacing w:val="-3"/>
          <w:lang w:val="en-GB"/>
        </w:rPr>
        <w:t xml:space="preserve"> </w:t>
      </w:r>
      <w:r w:rsidRPr="00D93FF9">
        <w:rPr>
          <w:lang w:val="en-GB"/>
        </w:rPr>
        <w:t>valid:</w:t>
      </w:r>
    </w:p>
    <w:p w14:paraId="59DCC608" w14:textId="77777777" w:rsidR="004D4425" w:rsidRPr="00D93FF9" w:rsidRDefault="004D4425" w:rsidP="004D4425">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60B" w14:textId="77777777" w:rsidTr="004D4425">
        <w:tc>
          <w:tcPr>
            <w:tcW w:w="4505" w:type="dxa"/>
          </w:tcPr>
          <w:p w14:paraId="59DCC609" w14:textId="77777777" w:rsidR="004D4425" w:rsidRPr="00D93FF9" w:rsidRDefault="00E811B8" w:rsidP="003807A1">
            <w:pPr>
              <w:spacing w:after="0" w:line="266" w:lineRule="auto"/>
              <w:rPr>
                <w:sz w:val="22"/>
                <w:szCs w:val="22"/>
                <w:lang w:val="en-GB"/>
              </w:rPr>
            </w:pPr>
            <m:oMathPara>
              <m:oMathParaPr>
                <m:jc m:val="left"/>
              </m:oMathParaPr>
              <m:oMath>
                <m:r>
                  <m:rPr>
                    <m:sty m:val="p"/>
                  </m:rPr>
                  <w:rPr>
                    <w:rFonts w:ascii="Cambria Math" w:hAnsi="Cambria Math"/>
                    <w:sz w:val="22"/>
                    <w:szCs w:val="22"/>
                    <w:lang w:val="en-GB"/>
                  </w:rPr>
                  <m:t>LF=</m:t>
                </m:r>
                <m:f>
                  <m:fPr>
                    <m:ctrlPr>
                      <w:rPr>
                        <w:rFonts w:ascii="Cambria Math" w:hAnsi="Cambria Math"/>
                        <w:iCs/>
                        <w:sz w:val="22"/>
                        <w:szCs w:val="22"/>
                        <w:lang w:val="en-GB"/>
                      </w:rPr>
                    </m:ctrlPr>
                  </m:fPr>
                  <m:num>
                    <m:r>
                      <m:rPr>
                        <m:sty m:val="p"/>
                      </m:rPr>
                      <w:rPr>
                        <w:rFonts w:ascii="Cambria Math" w:hAnsi="Cambria Math"/>
                        <w:sz w:val="22"/>
                        <w:szCs w:val="22"/>
                        <w:lang w:val="en-GB"/>
                      </w:rPr>
                      <m:t>E</m:t>
                    </m:r>
                    <m:sSub>
                      <m:sSubPr>
                        <m:ctrlPr>
                          <w:rPr>
                            <w:rFonts w:ascii="Cambria Math" w:hAnsi="Cambria Math"/>
                            <w:iCs/>
                            <w:sz w:val="22"/>
                            <w:szCs w:val="22"/>
                            <w:lang w:val="en-GB"/>
                          </w:rPr>
                        </m:ctrlPr>
                      </m:sSubPr>
                      <m:e>
                        <m:r>
                          <m:rPr>
                            <m:sty m:val="p"/>
                          </m:rPr>
                          <w:rPr>
                            <w:rFonts w:ascii="Cambria Math" w:hAnsi="Cambria Math"/>
                            <w:sz w:val="22"/>
                            <w:szCs w:val="22"/>
                            <w:lang w:val="en-GB"/>
                          </w:rPr>
                          <m:t>C</m:t>
                        </m:r>
                      </m:e>
                      <m:sub>
                        <m:r>
                          <m:rPr>
                            <m:sty m:val="p"/>
                          </m:rPr>
                          <w:rPr>
                            <w:rFonts w:ascii="Cambria Math" w:hAnsi="Cambria Math"/>
                            <w:sz w:val="22"/>
                            <w:szCs w:val="22"/>
                            <w:lang w:val="en-GB"/>
                          </w:rPr>
                          <m:t>i</m:t>
                        </m:r>
                      </m:sub>
                    </m:sSub>
                  </m:num>
                  <m:den>
                    <m:r>
                      <m:rPr>
                        <m:sty m:val="p"/>
                      </m:rPr>
                      <w:rPr>
                        <w:rFonts w:ascii="Cambria Math" w:hAnsi="Cambria Math"/>
                        <w:sz w:val="22"/>
                        <w:szCs w:val="22"/>
                        <w:lang w:val="en-GB"/>
                      </w:rPr>
                      <m:t>E</m:t>
                    </m:r>
                    <m:sSub>
                      <m:sSubPr>
                        <m:ctrlPr>
                          <w:rPr>
                            <w:rFonts w:ascii="Cambria Math" w:hAnsi="Cambria Math"/>
                            <w:iCs/>
                            <w:sz w:val="22"/>
                            <w:szCs w:val="22"/>
                            <w:lang w:val="en-GB"/>
                          </w:rPr>
                        </m:ctrlPr>
                      </m:sSubPr>
                      <m:e>
                        <m:r>
                          <m:rPr>
                            <m:sty m:val="p"/>
                          </m:rPr>
                          <w:rPr>
                            <w:rFonts w:ascii="Cambria Math" w:hAnsi="Cambria Math"/>
                            <w:sz w:val="22"/>
                            <w:szCs w:val="22"/>
                            <w:lang w:val="en-GB"/>
                          </w:rPr>
                          <m:t>c</m:t>
                        </m:r>
                      </m:e>
                      <m:sub>
                        <m:r>
                          <m:rPr>
                            <m:sty m:val="p"/>
                          </m:rPr>
                          <w:rPr>
                            <w:rFonts w:ascii="Cambria Math" w:hAnsi="Cambria Math"/>
                            <w:sz w:val="22"/>
                            <w:szCs w:val="22"/>
                            <w:lang w:val="en-GB"/>
                          </w:rPr>
                          <m:t>s</m:t>
                        </m:r>
                      </m:sub>
                    </m:sSub>
                  </m:den>
                </m:f>
              </m:oMath>
            </m:oMathPara>
          </w:p>
        </w:tc>
        <w:tc>
          <w:tcPr>
            <w:tcW w:w="4505" w:type="dxa"/>
          </w:tcPr>
          <w:p w14:paraId="59DCC60A" w14:textId="133A38BC" w:rsidR="004D4425" w:rsidRPr="00D93FF9" w:rsidRDefault="00E811B8" w:rsidP="004A4C4C">
            <w:pPr>
              <w:spacing w:after="0" w:line="266" w:lineRule="auto"/>
              <w:jc w:val="right"/>
              <w:rPr>
                <w:b/>
                <w:bCs/>
                <w:sz w:val="22"/>
                <w:szCs w:val="22"/>
                <w:lang w:val="en-GB"/>
              </w:rPr>
            </w:pPr>
            <w:bookmarkStart w:id="95" w:name="_Ref71187988"/>
            <w:r w:rsidRPr="00D93FF9">
              <w:rPr>
                <w:b/>
                <w:bCs/>
                <w:sz w:val="22"/>
                <w:szCs w:val="22"/>
              </w:rPr>
              <w:t xml:space="preserve">Equation </w:t>
            </w:r>
            <w:r w:rsidRPr="00D93FF9">
              <w:rPr>
                <w:b/>
                <w:bCs/>
              </w:rPr>
              <w:fldChar w:fldCharType="begin"/>
            </w:r>
            <w:r w:rsidRPr="00D93FF9">
              <w:rPr>
                <w:b/>
                <w:bCs/>
                <w:sz w:val="22"/>
                <w:szCs w:val="22"/>
              </w:rPr>
              <w:instrText xml:space="preserve"> SEQ Equation \* ARABIC </w:instrText>
            </w:r>
            <w:r w:rsidRPr="00D93FF9">
              <w:rPr>
                <w:b/>
                <w:bCs/>
              </w:rPr>
              <w:fldChar w:fldCharType="separate"/>
            </w:r>
            <w:r w:rsidR="0069302C">
              <w:rPr>
                <w:b/>
                <w:bCs/>
                <w:noProof/>
                <w:sz w:val="22"/>
                <w:szCs w:val="22"/>
              </w:rPr>
              <w:t>10</w:t>
            </w:r>
            <w:r w:rsidRPr="00D93FF9">
              <w:rPr>
                <w:b/>
                <w:bCs/>
              </w:rPr>
              <w:fldChar w:fldCharType="end"/>
            </w:r>
            <w:bookmarkEnd w:id="95"/>
          </w:p>
        </w:tc>
      </w:tr>
    </w:tbl>
    <w:p w14:paraId="59DCC60C" w14:textId="77777777" w:rsidR="00CA0CC6" w:rsidRPr="00D93FF9" w:rsidRDefault="00CA0CC6" w:rsidP="003807A1">
      <w:pPr>
        <w:pStyle w:val="BodyText"/>
        <w:spacing w:after="0"/>
        <w:rPr>
          <w:lang w:val="en-GB"/>
        </w:rPr>
      </w:pPr>
    </w:p>
    <w:p w14:paraId="59DCC60D" w14:textId="77777777" w:rsidR="00C46175" w:rsidRPr="00D93FF9" w:rsidRDefault="00E811B8" w:rsidP="003807A1">
      <w:pPr>
        <w:pStyle w:val="BodyText"/>
        <w:spacing w:after="0"/>
        <w:rPr>
          <w:lang w:val="en-GB"/>
        </w:rPr>
      </w:pPr>
      <w:r w:rsidRPr="00D93FF9">
        <w:rPr>
          <w:lang w:val="en-GB"/>
        </w:rPr>
        <w:t>where:</w:t>
      </w:r>
    </w:p>
    <w:p w14:paraId="59DCC60E" w14:textId="77777777" w:rsidR="00C46175" w:rsidRPr="00D93FF9" w:rsidRDefault="00E811B8" w:rsidP="003807A1">
      <w:pPr>
        <w:pStyle w:val="BodyText"/>
        <w:spacing w:after="0"/>
        <w:rPr>
          <w:lang w:val="en-GB"/>
        </w:rPr>
      </w:pPr>
      <w:r w:rsidRPr="00D93FF9">
        <w:rPr>
          <w:lang w:val="en-GB"/>
        </w:rPr>
        <w:t>EC</w:t>
      </w:r>
      <w:r w:rsidRPr="00D93FF9">
        <w:rPr>
          <w:position w:val="-4"/>
          <w:sz w:val="15"/>
          <w:lang w:val="en-GB"/>
        </w:rPr>
        <w:t xml:space="preserve">i </w:t>
      </w:r>
      <w:r w:rsidRPr="00D93FF9">
        <w:rPr>
          <w:lang w:val="en-GB"/>
        </w:rPr>
        <w:t>= electrical conductivity of water entering soil in dS/m (rainfall + irrigation).</w:t>
      </w:r>
      <w:bookmarkStart w:id="96" w:name="Short-term_irrigation"/>
      <w:bookmarkStart w:id="97" w:name="Changed_irrigation_water_salinity"/>
      <w:bookmarkEnd w:id="96"/>
      <w:bookmarkEnd w:id="97"/>
    </w:p>
    <w:p w14:paraId="66E9E535" w14:textId="77777777" w:rsidR="0069302C" w:rsidRPr="00D93FF9" w:rsidRDefault="00E811B8" w:rsidP="0069302C">
      <w:pPr>
        <w:pStyle w:val="BodyText"/>
      </w:pPr>
      <w:r w:rsidRPr="00D93FF9">
        <w:rPr>
          <w:lang w:val="en-GB"/>
        </w:rPr>
        <w:t>EC</w:t>
      </w:r>
      <w:r w:rsidRPr="00D93FF9">
        <w:rPr>
          <w:position w:val="-4"/>
          <w:sz w:val="15"/>
          <w:lang w:val="en-GB"/>
        </w:rPr>
        <w:t xml:space="preserve">s </w:t>
      </w:r>
      <w:r w:rsidRPr="00D93FF9">
        <w:rPr>
          <w:lang w:val="en-GB"/>
        </w:rPr>
        <w:t>is the equivalent of EC</w:t>
      </w:r>
      <w:r w:rsidRPr="00D93FF9">
        <w:rPr>
          <w:position w:val="-4"/>
          <w:sz w:val="15"/>
          <w:lang w:val="en-GB"/>
        </w:rPr>
        <w:t xml:space="preserve">d </w:t>
      </w:r>
      <w:r w:rsidRPr="00D93FF9">
        <w:rPr>
          <w:lang w:val="en-GB"/>
        </w:rPr>
        <w:t xml:space="preserve">of </w:t>
      </w:r>
      <w:r w:rsidR="00CA6E77" w:rsidRPr="00D93FF9">
        <w:rPr>
          <w:rFonts w:eastAsiaTheme="majorEastAsia" w:cstheme="majorBidi"/>
          <w:b/>
          <w:bCs/>
          <w:color w:val="000000" w:themeColor="text1"/>
          <w:szCs w:val="18"/>
          <w:lang w:val="en-GB" w:bidi="en-US"/>
        </w:rPr>
        <w:fldChar w:fldCharType="begin"/>
      </w:r>
      <w:r w:rsidR="00CA6E77" w:rsidRPr="00D93FF9">
        <w:rPr>
          <w:lang w:val="en-GB"/>
        </w:rPr>
        <w:instrText xml:space="preserve"> REF _Ref72923130 \h </w:instrText>
      </w:r>
      <w:r w:rsidR="00E727E6" w:rsidRPr="00D93FF9">
        <w:rPr>
          <w:lang w:val="en-GB"/>
        </w:rPr>
        <w:instrText xml:space="preserve"> \* MERGEFORMAT </w:instrText>
      </w:r>
      <w:r w:rsidR="00CA6E77" w:rsidRPr="00D93FF9">
        <w:rPr>
          <w:rFonts w:eastAsiaTheme="majorEastAsia" w:cstheme="majorBidi"/>
          <w:b/>
          <w:bCs/>
          <w:color w:val="000000" w:themeColor="text1"/>
          <w:szCs w:val="18"/>
          <w:lang w:val="en-GB" w:bidi="en-US"/>
        </w:rPr>
      </w:r>
      <w:r w:rsidR="00CA6E77" w:rsidRPr="00D93FF9">
        <w:rPr>
          <w:rFonts w:eastAsiaTheme="majorEastAsia" w:cstheme="majorBidi"/>
          <w:b/>
          <w:bCs/>
          <w:color w:val="000000" w:themeColor="text1"/>
          <w:szCs w:val="18"/>
          <w:lang w:val="en-GB" w:bidi="en-US"/>
        </w:rPr>
        <w:fldChar w:fldCharType="separate"/>
      </w:r>
    </w:p>
    <w:p w14:paraId="59DCC60F" w14:textId="6DB2A0EB" w:rsidR="00C46175" w:rsidRPr="00D93FF9" w:rsidRDefault="0069302C" w:rsidP="00E727E6">
      <w:pPr>
        <w:pStyle w:val="BodyText"/>
      </w:pPr>
      <w:r w:rsidRPr="00D93FF9">
        <w:t>Equation</w:t>
      </w:r>
      <w:r w:rsidRPr="00D93FF9">
        <w:rPr>
          <w:noProof/>
        </w:rPr>
        <w:t xml:space="preserve"> </w:t>
      </w:r>
      <w:r>
        <w:rPr>
          <w:noProof/>
        </w:rPr>
        <w:t>4</w:t>
      </w:r>
      <w:r w:rsidR="00CA6E77" w:rsidRPr="00D93FF9">
        <w:rPr>
          <w:lang w:val="en-GB"/>
        </w:rPr>
        <w:fldChar w:fldCharType="end"/>
      </w:r>
      <w:r w:rsidR="00CA6E77" w:rsidRPr="00D93FF9">
        <w:rPr>
          <w:lang w:val="en-GB"/>
        </w:rPr>
        <w:t xml:space="preserve"> </w:t>
      </w:r>
      <w:r w:rsidR="00E811B8" w:rsidRPr="00D93FF9">
        <w:rPr>
          <w:lang w:val="en-GB"/>
        </w:rPr>
        <w:t>and is determined from soil EC</w:t>
      </w:r>
      <w:r w:rsidR="00E811B8" w:rsidRPr="00D93FF9">
        <w:rPr>
          <w:position w:val="-4"/>
          <w:sz w:val="15"/>
          <w:lang w:val="en-GB"/>
        </w:rPr>
        <w:t xml:space="preserve">1:5 </w:t>
      </w:r>
      <w:r w:rsidR="00E811B8" w:rsidRPr="00D93FF9">
        <w:rPr>
          <w:lang w:val="en-GB"/>
        </w:rPr>
        <w:t>measurements (taken at the bottom of the root zone). However, the EC</w:t>
      </w:r>
      <w:r w:rsidR="00E811B8" w:rsidRPr="00D93FF9">
        <w:rPr>
          <w:position w:val="-4"/>
          <w:sz w:val="15"/>
          <w:lang w:val="en-GB"/>
        </w:rPr>
        <w:t xml:space="preserve">1:5 </w:t>
      </w:r>
      <w:r w:rsidR="00E811B8" w:rsidRPr="00D93FF9">
        <w:rPr>
          <w:lang w:val="en-GB"/>
        </w:rPr>
        <w:t xml:space="preserve">value </w:t>
      </w:r>
      <w:r w:rsidR="0022794F" w:rsidRPr="00D93FF9">
        <w:rPr>
          <w:lang w:val="en-GB"/>
        </w:rPr>
        <w:t>needs</w:t>
      </w:r>
      <w:r w:rsidR="00E811B8" w:rsidRPr="00D93FF9">
        <w:rPr>
          <w:lang w:val="en-GB"/>
        </w:rPr>
        <w:t xml:space="preserve"> to be converted to EC</w:t>
      </w:r>
      <w:r w:rsidR="00E811B8" w:rsidRPr="00D93FF9">
        <w:rPr>
          <w:position w:val="-4"/>
          <w:sz w:val="15"/>
          <w:lang w:val="en-GB"/>
        </w:rPr>
        <w:t xml:space="preserve">s </w:t>
      </w:r>
      <w:r w:rsidR="00E811B8" w:rsidRPr="00D93FF9">
        <w:rPr>
          <w:lang w:val="en-GB"/>
        </w:rPr>
        <w:t xml:space="preserve">using </w:t>
      </w:r>
      <w:r w:rsidR="0022794F" w:rsidRPr="00D93FF9">
        <w:rPr>
          <w:lang w:val="en-GB"/>
        </w:rPr>
        <w:t xml:space="preserve">the </w:t>
      </w:r>
      <w:r w:rsidR="00E811B8" w:rsidRPr="00D93FF9">
        <w:rPr>
          <w:lang w:val="en-GB"/>
        </w:rPr>
        <w:t xml:space="preserve">dilution calculations described in the following </w:t>
      </w:r>
      <w:r w:rsidR="0022794F" w:rsidRPr="00D93FF9">
        <w:rPr>
          <w:lang w:val="en-GB"/>
        </w:rPr>
        <w:t>s</w:t>
      </w:r>
      <w:r w:rsidR="00E811B8" w:rsidRPr="00D93FF9">
        <w:rPr>
          <w:lang w:val="en-GB"/>
        </w:rPr>
        <w:t>ection. EC</w:t>
      </w:r>
      <w:r w:rsidR="00E811B8" w:rsidRPr="00D93FF9">
        <w:rPr>
          <w:position w:val="-4"/>
          <w:sz w:val="15"/>
          <w:lang w:val="en-GB"/>
        </w:rPr>
        <w:t xml:space="preserve">i </w:t>
      </w:r>
      <w:r w:rsidR="00E811B8" w:rsidRPr="00D93FF9">
        <w:rPr>
          <w:lang w:val="en-GB"/>
        </w:rPr>
        <w:t>can be calculated (on an annual basis) using</w:t>
      </w:r>
      <w:r w:rsidR="00C1155D" w:rsidRPr="00D93FF9">
        <w:rPr>
          <w:lang w:val="en-GB"/>
        </w:rPr>
        <w:t xml:space="preserve"> </w:t>
      </w:r>
      <w:r w:rsidR="00C1155D" w:rsidRPr="00D93FF9">
        <w:rPr>
          <w:lang w:val="en-GB"/>
        </w:rPr>
        <w:fldChar w:fldCharType="begin"/>
      </w:r>
      <w:r w:rsidR="00C1155D" w:rsidRPr="00D93FF9">
        <w:rPr>
          <w:lang w:val="en-GB"/>
        </w:rPr>
        <w:instrText xml:space="preserve"> REF _Ref70605126 \h </w:instrText>
      </w:r>
      <w:r w:rsidR="00D93FF9">
        <w:rPr>
          <w:lang w:val="en-GB"/>
        </w:rPr>
        <w:instrText xml:space="preserve"> \* MERGEFORMAT </w:instrText>
      </w:r>
      <w:r w:rsidR="00C1155D" w:rsidRPr="00D93FF9">
        <w:rPr>
          <w:lang w:val="en-GB"/>
        </w:rPr>
      </w:r>
      <w:r w:rsidR="00C1155D" w:rsidRPr="00D93FF9">
        <w:rPr>
          <w:lang w:val="en-GB"/>
        </w:rPr>
        <w:fldChar w:fldCharType="separate"/>
      </w:r>
      <w:r w:rsidRPr="00D93FF9">
        <w:t xml:space="preserve">Equation </w:t>
      </w:r>
      <w:r>
        <w:rPr>
          <w:noProof/>
        </w:rPr>
        <w:t>5</w:t>
      </w:r>
      <w:r w:rsidR="00C1155D" w:rsidRPr="00D93FF9">
        <w:rPr>
          <w:lang w:val="en-GB"/>
        </w:rPr>
        <w:fldChar w:fldCharType="end"/>
      </w:r>
      <w:r w:rsidR="00E811B8" w:rsidRPr="00D93FF9">
        <w:rPr>
          <w:lang w:val="en-GB"/>
        </w:rPr>
        <w:t>.</w:t>
      </w:r>
      <w:r w:rsidR="005746C5" w:rsidRPr="00D93FF9">
        <w:rPr>
          <w:rFonts w:ascii="Arial"/>
          <w:sz w:val="20"/>
          <w:lang w:val="en-GB"/>
        </w:rPr>
        <w:t xml:space="preserve"> </w:t>
      </w:r>
    </w:p>
    <w:p w14:paraId="59DCC610" w14:textId="77777777" w:rsidR="00C46175" w:rsidRPr="00D93FF9" w:rsidRDefault="00C46175" w:rsidP="003807A1">
      <w:pPr>
        <w:pStyle w:val="BodyText"/>
        <w:spacing w:after="0"/>
        <w:rPr>
          <w:rFonts w:ascii="Arial"/>
          <w:sz w:val="16"/>
          <w:lang w:val="en-GB"/>
        </w:rPr>
      </w:pPr>
    </w:p>
    <w:p w14:paraId="59DCC611" w14:textId="77777777" w:rsidR="00C46175" w:rsidRPr="00D93FF9" w:rsidRDefault="00E811B8" w:rsidP="00726062">
      <w:pPr>
        <w:pStyle w:val="ListParagraph"/>
        <w:tabs>
          <w:tab w:val="left" w:pos="637"/>
          <w:tab w:val="left" w:pos="638"/>
        </w:tabs>
        <w:spacing w:before="120" w:after="120"/>
        <w:ind w:left="0"/>
        <w:rPr>
          <w:rFonts w:ascii="Arial" w:hAnsi="Arial"/>
          <w:i/>
          <w:iCs/>
          <w:sz w:val="20"/>
          <w:lang w:val="en-GB"/>
        </w:rPr>
      </w:pPr>
      <w:r w:rsidRPr="00D93FF9">
        <w:rPr>
          <w:rFonts w:ascii="Arial" w:hAnsi="Arial"/>
          <w:i/>
          <w:iCs/>
          <w:sz w:val="20"/>
          <w:lang w:val="en-GB"/>
        </w:rPr>
        <w:t>Short-term irrigation</w:t>
      </w:r>
    </w:p>
    <w:p w14:paraId="59DCC612" w14:textId="19E6406B" w:rsidR="00C46175" w:rsidRPr="00D93FF9" w:rsidRDefault="00E811B8" w:rsidP="003807A1">
      <w:pPr>
        <w:pStyle w:val="BodyText"/>
        <w:spacing w:after="0" w:line="266" w:lineRule="auto"/>
        <w:jc w:val="both"/>
        <w:rPr>
          <w:lang w:val="en-GB"/>
        </w:rPr>
      </w:pPr>
      <w:r w:rsidRPr="00D93FF9">
        <w:rPr>
          <w:lang w:val="en-GB"/>
        </w:rPr>
        <w:lastRenderedPageBreak/>
        <w:t xml:space="preserve">As irrigation changes the salt balance, soil salinity will change (increase or decrease) after the commencement of irrigation until a new equilibrium (steady state) is attained. Until this is reached, </w:t>
      </w:r>
      <w:r w:rsidR="001B7691" w:rsidRPr="00D93FF9">
        <w:rPr>
          <w:lang w:val="en-GB"/>
        </w:rPr>
        <w:fldChar w:fldCharType="begin"/>
      </w:r>
      <w:r w:rsidR="001B7691" w:rsidRPr="00D93FF9">
        <w:rPr>
          <w:lang w:val="en-GB"/>
        </w:rPr>
        <w:instrText xml:space="preserve"> REF _Ref71187988 \h </w:instrText>
      </w:r>
      <w:r w:rsidR="0022794F" w:rsidRPr="00D93FF9">
        <w:rPr>
          <w:lang w:val="en-GB"/>
        </w:rPr>
        <w:instrText xml:space="preserve"> \* MERGEFORMAT </w:instrText>
      </w:r>
      <w:r w:rsidR="001B7691" w:rsidRPr="00D93FF9">
        <w:rPr>
          <w:lang w:val="en-GB"/>
        </w:rPr>
      </w:r>
      <w:r w:rsidR="001B7691" w:rsidRPr="00D93FF9">
        <w:rPr>
          <w:lang w:val="en-GB"/>
        </w:rPr>
        <w:fldChar w:fldCharType="separate"/>
      </w:r>
      <w:r w:rsidR="0069302C" w:rsidRPr="0069302C">
        <w:t xml:space="preserve">Equation </w:t>
      </w:r>
      <w:r w:rsidR="0069302C" w:rsidRPr="0069302C">
        <w:rPr>
          <w:noProof/>
        </w:rPr>
        <w:t>10</w:t>
      </w:r>
      <w:r w:rsidR="001B7691" w:rsidRPr="00D93FF9">
        <w:rPr>
          <w:lang w:val="en-GB"/>
        </w:rPr>
        <w:fldChar w:fldCharType="end"/>
      </w:r>
      <w:r w:rsidR="001B7691" w:rsidRPr="00D93FF9">
        <w:rPr>
          <w:lang w:val="en-GB"/>
        </w:rPr>
        <w:t xml:space="preserve"> </w:t>
      </w:r>
      <w:r w:rsidRPr="00D93FF9">
        <w:rPr>
          <w:lang w:val="en-GB"/>
        </w:rPr>
        <w:t>will not give an accurate indication of LF.</w:t>
      </w:r>
    </w:p>
    <w:p w14:paraId="59DCC613" w14:textId="67B68FB2" w:rsidR="00C46175" w:rsidRPr="00D93FF9" w:rsidRDefault="00E811B8" w:rsidP="003807A1">
      <w:pPr>
        <w:pStyle w:val="BodyText"/>
        <w:spacing w:after="0" w:line="266" w:lineRule="auto"/>
        <w:jc w:val="both"/>
        <w:rPr>
          <w:lang w:val="en-GB"/>
        </w:rPr>
      </w:pPr>
      <w:r w:rsidRPr="00D93FF9">
        <w:rPr>
          <w:lang w:val="en-GB"/>
        </w:rPr>
        <w:t xml:space="preserve">As an alternative, the change in soil salinity which occurs between two sampling times can be used, as </w:t>
      </w:r>
      <w:r w:rsidR="000D0838" w:rsidRPr="00D93FF9">
        <w:rPr>
          <w:lang w:val="en-GB"/>
        </w:rPr>
        <w:t>describ</w:t>
      </w:r>
      <w:r w:rsidRPr="00D93FF9">
        <w:rPr>
          <w:lang w:val="en-GB"/>
        </w:rPr>
        <w:t xml:space="preserve">ed by Rose et al. (1979). This model is most suited to slowly permeable soils with lengthy periods required to reach equilibrium. The data required are soil salinity profiles (preferably chloride) at two sampling times, the </w:t>
      </w:r>
      <w:r w:rsidR="002B7678" w:rsidRPr="00D93FF9">
        <w:rPr>
          <w:lang w:val="en-GB"/>
        </w:rPr>
        <w:t xml:space="preserve">depth </w:t>
      </w:r>
      <w:r w:rsidR="000D0838" w:rsidRPr="00D93FF9">
        <w:rPr>
          <w:lang w:val="en-GB"/>
        </w:rPr>
        <w:t>of irrigation</w:t>
      </w:r>
      <w:r w:rsidR="002B7678" w:rsidRPr="00D93FF9">
        <w:rPr>
          <w:lang w:val="en-GB"/>
        </w:rPr>
        <w:t xml:space="preserve"> and </w:t>
      </w:r>
      <w:r w:rsidRPr="00D93FF9">
        <w:rPr>
          <w:lang w:val="en-GB"/>
        </w:rPr>
        <w:t xml:space="preserve">salinity (chloride) of </w:t>
      </w:r>
      <w:r w:rsidR="002B7678" w:rsidRPr="00D93FF9">
        <w:rPr>
          <w:lang w:val="en-GB"/>
        </w:rPr>
        <w:t xml:space="preserve">the </w:t>
      </w:r>
      <w:r w:rsidRPr="00D93FF9">
        <w:rPr>
          <w:lang w:val="en-GB"/>
        </w:rPr>
        <w:t>irrigation water, and the maximum field water content of the soil</w:t>
      </w:r>
      <w:r w:rsidR="002B7678" w:rsidRPr="00D93FF9">
        <w:rPr>
          <w:lang w:val="en-GB"/>
        </w:rPr>
        <w:t xml:space="preserve"> after drainage ceases</w:t>
      </w:r>
      <w:r w:rsidR="0022794F" w:rsidRPr="00D93FF9">
        <w:rPr>
          <w:lang w:val="en-GB"/>
        </w:rPr>
        <w:t xml:space="preserve"> (the upper storage limit or field capacity)</w:t>
      </w:r>
      <w:r w:rsidRPr="00D93FF9">
        <w:rPr>
          <w:lang w:val="en-GB"/>
        </w:rPr>
        <w:t>.</w:t>
      </w:r>
    </w:p>
    <w:p w14:paraId="59DCC614" w14:textId="7749E20E" w:rsidR="00C46175" w:rsidRPr="00D93FF9" w:rsidRDefault="00E811B8" w:rsidP="003807A1">
      <w:pPr>
        <w:pStyle w:val="BodyText"/>
        <w:spacing w:after="0" w:line="266" w:lineRule="auto"/>
        <w:jc w:val="both"/>
        <w:rPr>
          <w:lang w:val="en-GB"/>
        </w:rPr>
      </w:pPr>
      <w:r w:rsidRPr="00D93FF9">
        <w:rPr>
          <w:lang w:val="en-GB"/>
        </w:rPr>
        <w:t xml:space="preserve">Maximum water content can be measured in the field after an extended wet period, or is easily predicted from the equations of Shaw and Yule (1978) or Littleboy (1997) for most slowly permeable soils (Thorburn </w:t>
      </w:r>
      <w:r w:rsidR="00FA6E9E" w:rsidRPr="00D93FF9">
        <w:rPr>
          <w:lang w:val="en-GB"/>
        </w:rPr>
        <w:t>and</w:t>
      </w:r>
      <w:r w:rsidRPr="00D93FF9">
        <w:rPr>
          <w:lang w:val="en-GB"/>
        </w:rPr>
        <w:t xml:space="preserve"> Gardner 1986). The equation of Rose et al. (1979)</w:t>
      </w:r>
      <w:r w:rsidRPr="00D93FF9">
        <w:rPr>
          <w:spacing w:val="11"/>
          <w:lang w:val="en-GB"/>
        </w:rPr>
        <w:t xml:space="preserve"> </w:t>
      </w:r>
      <w:r w:rsidRPr="00D93FF9">
        <w:rPr>
          <w:lang w:val="en-GB"/>
        </w:rPr>
        <w:t>is:</w:t>
      </w:r>
    </w:p>
    <w:p w14:paraId="59DCC615" w14:textId="77777777" w:rsidR="00E6551A" w:rsidRPr="00D93FF9" w:rsidRDefault="00E6551A" w:rsidP="003807A1">
      <w:pPr>
        <w:pStyle w:val="BodyText"/>
        <w:spacing w:after="0" w:line="266"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4"/>
        <w:gridCol w:w="2477"/>
      </w:tblGrid>
      <w:tr w:rsidR="00BE3AA8" w:rsidRPr="00D93FF9" w14:paraId="59DCC618" w14:textId="77777777" w:rsidTr="00A5209E">
        <w:trPr>
          <w:trHeight w:val="773"/>
        </w:trPr>
        <w:tc>
          <w:tcPr>
            <w:tcW w:w="6464" w:type="dxa"/>
          </w:tcPr>
          <w:p w14:paraId="59DCC616" w14:textId="77777777" w:rsidR="00E6551A" w:rsidRPr="00D93FF9" w:rsidRDefault="00735642" w:rsidP="003807A1">
            <w:pPr>
              <w:pStyle w:val="BodyText"/>
              <w:spacing w:after="0" w:line="266" w:lineRule="auto"/>
              <w:jc w:val="both"/>
              <w:rPr>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S</m:t>
                    </m:r>
                  </m:e>
                  <m:sub>
                    <m:r>
                      <m:rPr>
                        <m:sty m:val="p"/>
                      </m:rPr>
                      <w:rPr>
                        <w:rFonts w:ascii="Cambria Math" w:hAnsi="Cambria Math"/>
                        <w:sz w:val="22"/>
                        <w:szCs w:val="22"/>
                        <w:lang w:val="en-GB"/>
                      </w:rPr>
                      <m:t>2</m:t>
                    </m:r>
                  </m:sub>
                </m:sSub>
                <m:r>
                  <m:rPr>
                    <m:sty m:val="p"/>
                  </m:rPr>
                  <w:rPr>
                    <w:rFonts w:ascii="Cambria Math" w:hAnsi="Cambria Math"/>
                    <w:sz w:val="22"/>
                    <w:szCs w:val="22"/>
                    <w:lang w:val="en-GB"/>
                  </w:rPr>
                  <m:t>=</m:t>
                </m:r>
                <m:sSub>
                  <m:sSubPr>
                    <m:ctrlPr>
                      <w:rPr>
                        <w:rFonts w:ascii="Cambria Math" w:hAnsi="Cambria Math"/>
                        <w:iCs/>
                        <w:sz w:val="22"/>
                        <w:szCs w:val="22"/>
                        <w:lang w:val="en-GB"/>
                      </w:rPr>
                    </m:ctrlPr>
                  </m:sSubPr>
                  <m:e>
                    <m:r>
                      <m:rPr>
                        <m:sty m:val="p"/>
                      </m:rPr>
                      <w:rPr>
                        <w:rFonts w:ascii="Cambria Math" w:hAnsi="Cambria Math"/>
                        <w:sz w:val="22"/>
                        <w:szCs w:val="22"/>
                        <w:lang w:val="en-GB"/>
                      </w:rPr>
                      <m:t>S</m:t>
                    </m:r>
                  </m:e>
                  <m:sub>
                    <m:r>
                      <m:rPr>
                        <m:sty m:val="p"/>
                      </m:rPr>
                      <w:rPr>
                        <w:rFonts w:ascii="Cambria Math" w:hAnsi="Cambria Math"/>
                        <w:sz w:val="22"/>
                        <w:szCs w:val="22"/>
                        <w:lang w:val="en-GB"/>
                      </w:rPr>
                      <m:t>1</m:t>
                    </m:r>
                  </m:sub>
                </m:sSub>
                <m:r>
                  <m:rPr>
                    <m:sty m:val="p"/>
                  </m:rPr>
                  <w:rPr>
                    <w:rFonts w:ascii="Cambria Math" w:hAnsi="Cambria Math"/>
                    <w:sz w:val="22"/>
                    <w:szCs w:val="22"/>
                    <w:lang w:val="en-GB"/>
                  </w:rPr>
                  <m:t>+</m:t>
                </m:r>
                <m:d>
                  <m:dPr>
                    <m:begChr m:val="["/>
                    <m:endChr m:val="]"/>
                    <m:ctrlPr>
                      <w:rPr>
                        <w:rFonts w:ascii="Cambria Math" w:hAnsi="Cambria Math"/>
                        <w:iCs/>
                        <w:sz w:val="22"/>
                        <w:szCs w:val="22"/>
                        <w:lang w:val="en-GB"/>
                      </w:rPr>
                    </m:ctrlPr>
                  </m:dPr>
                  <m:e>
                    <m:d>
                      <m:dPr>
                        <m:ctrlPr>
                          <w:rPr>
                            <w:rFonts w:ascii="Cambria Math" w:hAnsi="Cambria Math"/>
                            <w:iCs/>
                            <w:sz w:val="22"/>
                            <w:szCs w:val="22"/>
                            <w:lang w:val="en-GB"/>
                          </w:rPr>
                        </m:ctrlPr>
                      </m:dPr>
                      <m:e>
                        <m:f>
                          <m:fPr>
                            <m:ctrlPr>
                              <w:rPr>
                                <w:rFonts w:ascii="Cambria Math" w:hAnsi="Cambria Math"/>
                                <w:iCs/>
                                <w:sz w:val="22"/>
                                <w:szCs w:val="22"/>
                                <w:lang w:val="en-GB"/>
                              </w:rPr>
                            </m:ctrlPr>
                          </m:fPr>
                          <m:num>
                            <m:r>
                              <m:rPr>
                                <m:sty m:val="p"/>
                              </m:rPr>
                              <w:rPr>
                                <w:rFonts w:ascii="Cambria Math" w:hAnsi="Cambria Math"/>
                                <w:sz w:val="22"/>
                                <w:szCs w:val="22"/>
                                <w:lang w:val="en-GB"/>
                              </w:rPr>
                              <m:t>Dⅈ</m:t>
                            </m:r>
                            <m:sSub>
                              <m:sSubPr>
                                <m:ctrlPr>
                                  <w:rPr>
                                    <w:rFonts w:ascii="Cambria Math" w:hAnsi="Cambria Math"/>
                                    <w:iCs/>
                                    <w:sz w:val="22"/>
                                    <w:szCs w:val="22"/>
                                    <w:lang w:val="en-GB"/>
                                  </w:rPr>
                                </m:ctrlPr>
                              </m:sSubPr>
                              <m:e>
                                <m:r>
                                  <m:rPr>
                                    <m:sty m:val="p"/>
                                  </m:rPr>
                                  <w:rPr>
                                    <w:rFonts w:ascii="Cambria Math" w:hAnsi="Cambria Math"/>
                                    <w:sz w:val="22"/>
                                    <w:szCs w:val="22"/>
                                    <w:lang w:val="en-GB"/>
                                  </w:rPr>
                                  <m:t>S</m:t>
                                </m:r>
                              </m:e>
                              <m:sub>
                                <m:r>
                                  <m:rPr>
                                    <m:sty m:val="p"/>
                                  </m:rPr>
                                  <w:rPr>
                                    <w:rFonts w:ascii="Cambria Math" w:hAnsi="Cambria Math"/>
                                    <w:sz w:val="22"/>
                                    <w:szCs w:val="22"/>
                                    <w:lang w:val="en-GB"/>
                                  </w:rPr>
                                  <m:t>i</m:t>
                                </m:r>
                              </m:sub>
                            </m:sSub>
                          </m:num>
                          <m:den>
                            <m:sSub>
                              <m:sSubPr>
                                <m:ctrlPr>
                                  <w:rPr>
                                    <w:rFonts w:ascii="Cambria Math" w:hAnsi="Cambria Math"/>
                                    <w:iCs/>
                                    <w:sz w:val="22"/>
                                    <w:szCs w:val="22"/>
                                    <w:lang w:val="en-GB"/>
                                  </w:rPr>
                                </m:ctrlPr>
                              </m:sSubPr>
                              <m:e>
                                <m:r>
                                  <m:rPr>
                                    <m:sty m:val="p"/>
                                  </m:rPr>
                                  <w:rPr>
                                    <w:rFonts w:ascii="Cambria Math" w:hAnsi="Cambria Math"/>
                                    <w:sz w:val="22"/>
                                    <w:szCs w:val="22"/>
                                    <w:lang w:val="en-GB"/>
                                  </w:rPr>
                                  <m:t>D</m:t>
                                </m:r>
                              </m:e>
                              <m:sub>
                                <m:r>
                                  <m:rPr>
                                    <m:sty m:val="p"/>
                                  </m:rPr>
                                  <w:rPr>
                                    <w:rFonts w:ascii="Cambria Math" w:hAnsi="Cambria Math"/>
                                    <w:sz w:val="22"/>
                                    <w:szCs w:val="22"/>
                                    <w:lang w:val="en-GB"/>
                                  </w:rPr>
                                  <m:t>d</m:t>
                                </m:r>
                              </m:sub>
                            </m:sSub>
                            <m:r>
                              <m:rPr>
                                <m:sty m:val="p"/>
                              </m:rPr>
                              <w:rPr>
                                <w:rFonts w:ascii="Cambria Math" w:hAnsi="Cambria Math"/>
                                <w:sz w:val="22"/>
                                <w:szCs w:val="22"/>
                                <w:lang w:val="en-GB"/>
                              </w:rPr>
                              <m:t>I</m:t>
                            </m:r>
                          </m:den>
                        </m:f>
                        <m:r>
                          <m:rPr>
                            <m:sty m:val="p"/>
                          </m:rPr>
                          <w:rPr>
                            <w:rFonts w:ascii="Cambria Math" w:hAnsi="Cambria Math"/>
                            <w:sz w:val="22"/>
                            <w:szCs w:val="22"/>
                            <w:lang w:val="en-GB"/>
                          </w:rPr>
                          <m:t>-</m:t>
                        </m:r>
                        <m:sSub>
                          <m:sSubPr>
                            <m:ctrlPr>
                              <w:rPr>
                                <w:rFonts w:ascii="Cambria Math" w:hAnsi="Cambria Math"/>
                                <w:iCs/>
                                <w:sz w:val="22"/>
                                <w:szCs w:val="22"/>
                                <w:lang w:val="en-GB"/>
                              </w:rPr>
                            </m:ctrlPr>
                          </m:sSubPr>
                          <m:e>
                            <m:r>
                              <m:rPr>
                                <m:sty m:val="p"/>
                              </m:rPr>
                              <w:rPr>
                                <w:rFonts w:ascii="Cambria Math" w:hAnsi="Cambria Math"/>
                                <w:sz w:val="22"/>
                                <w:szCs w:val="22"/>
                                <w:lang w:val="en-GB"/>
                              </w:rPr>
                              <m:t>S</m:t>
                            </m:r>
                          </m:e>
                          <m:sub>
                            <m:r>
                              <m:rPr>
                                <m:sty m:val="p"/>
                              </m:rPr>
                              <w:rPr>
                                <w:rFonts w:ascii="Cambria Math" w:hAnsi="Cambria Math"/>
                                <w:sz w:val="22"/>
                                <w:szCs w:val="22"/>
                                <w:lang w:val="en-GB"/>
                              </w:rPr>
                              <m:t>i</m:t>
                            </m:r>
                          </m:sub>
                        </m:sSub>
                      </m:e>
                    </m:d>
                    <m:r>
                      <m:rPr>
                        <m:sty m:val="p"/>
                      </m:rPr>
                      <w:rPr>
                        <w:rFonts w:ascii="Cambria Math" w:hAnsi="Cambria Math"/>
                        <w:sz w:val="22"/>
                        <w:szCs w:val="22"/>
                        <w:lang w:val="en-GB"/>
                      </w:rPr>
                      <m:t>λ-</m:t>
                    </m:r>
                    <m:sSub>
                      <m:sSubPr>
                        <m:ctrlPr>
                          <w:rPr>
                            <w:rFonts w:ascii="Cambria Math" w:hAnsi="Cambria Math"/>
                            <w:iCs/>
                            <w:sz w:val="22"/>
                            <w:szCs w:val="22"/>
                            <w:lang w:val="en-GB"/>
                          </w:rPr>
                        </m:ctrlPr>
                      </m:sSubPr>
                      <m:e>
                        <m:r>
                          <m:rPr>
                            <m:sty m:val="p"/>
                          </m:rPr>
                          <w:rPr>
                            <w:rFonts w:ascii="Cambria Math" w:hAnsi="Cambria Math"/>
                            <w:sz w:val="22"/>
                            <w:szCs w:val="22"/>
                            <w:lang w:val="en-GB"/>
                          </w:rPr>
                          <m:t>S</m:t>
                        </m:r>
                      </m:e>
                      <m:sub>
                        <m:r>
                          <m:rPr>
                            <m:sty m:val="p"/>
                          </m:rPr>
                          <w:rPr>
                            <w:rFonts w:ascii="Cambria Math" w:hAnsi="Cambria Math"/>
                            <w:sz w:val="22"/>
                            <w:szCs w:val="22"/>
                            <w:lang w:val="en-GB"/>
                          </w:rPr>
                          <m:t>i</m:t>
                        </m:r>
                      </m:sub>
                    </m:sSub>
                  </m:e>
                </m:d>
                <m:d>
                  <m:dPr>
                    <m:begChr m:val="["/>
                    <m:endChr m:val="]"/>
                    <m:ctrlPr>
                      <w:rPr>
                        <w:rFonts w:ascii="Cambria Math" w:hAnsi="Cambria Math"/>
                        <w:iCs/>
                        <w:sz w:val="22"/>
                        <w:szCs w:val="22"/>
                        <w:lang w:val="en-GB"/>
                      </w:rPr>
                    </m:ctrlPr>
                  </m:dPr>
                  <m:e>
                    <m:sSup>
                      <m:sSupPr>
                        <m:ctrlPr>
                          <w:rPr>
                            <w:rFonts w:ascii="Cambria Math" w:hAnsi="Cambria Math"/>
                            <w:iCs/>
                            <w:sz w:val="22"/>
                            <w:szCs w:val="22"/>
                            <w:lang w:val="en-GB"/>
                          </w:rPr>
                        </m:ctrlPr>
                      </m:sSupPr>
                      <m:e>
                        <m:d>
                          <m:dPr>
                            <m:begChr m:val="|"/>
                            <m:endChr m:val="|"/>
                            <m:ctrlPr>
                              <w:rPr>
                                <w:rFonts w:ascii="Cambria Math" w:hAnsi="Cambria Math"/>
                                <w:iCs/>
                                <w:sz w:val="22"/>
                                <w:szCs w:val="22"/>
                                <w:lang w:val="en-GB"/>
                              </w:rPr>
                            </m:ctrlPr>
                          </m:dPr>
                          <m:e>
                            <m:r>
                              <m:rPr>
                                <m:sty m:val="p"/>
                              </m:rPr>
                              <w:rPr>
                                <w:rFonts w:ascii="Cambria Math" w:hAnsi="Cambria Math"/>
                                <w:sz w:val="22"/>
                                <w:szCs w:val="22"/>
                                <w:lang w:val="en-GB"/>
                              </w:rPr>
                              <m:t>1-</m:t>
                            </m:r>
                            <m:func>
                              <m:funcPr>
                                <m:ctrlPr>
                                  <w:rPr>
                                    <w:rFonts w:ascii="Cambria Math" w:hAnsi="Cambria Math"/>
                                    <w:iCs/>
                                    <w:sz w:val="22"/>
                                    <w:szCs w:val="22"/>
                                    <w:lang w:val="en-GB"/>
                                  </w:rPr>
                                </m:ctrlPr>
                              </m:funcPr>
                              <m:fName>
                                <m:r>
                                  <m:rPr>
                                    <m:sty m:val="p"/>
                                  </m:rPr>
                                  <w:rPr>
                                    <w:rFonts w:ascii="Cambria Math" w:hAnsi="Cambria Math"/>
                                    <w:sz w:val="22"/>
                                    <w:szCs w:val="22"/>
                                    <w:lang w:val="en-GB"/>
                                  </w:rPr>
                                  <m:t>exp</m:t>
                                </m:r>
                              </m:fName>
                              <m:e>
                                <m:r>
                                  <m:rPr>
                                    <m:sty m:val="p"/>
                                  </m:rPr>
                                  <w:rPr>
                                    <w:rFonts w:ascii="Cambria Math" w:hAnsi="Cambria Math"/>
                                    <w:sz w:val="22"/>
                                    <w:szCs w:val="22"/>
                                    <w:lang w:val="en-GB"/>
                                  </w:rPr>
                                  <m:t>(-</m:t>
                                </m:r>
                                <m:sSub>
                                  <m:sSubPr>
                                    <m:ctrlPr>
                                      <w:rPr>
                                        <w:rFonts w:ascii="Cambria Math" w:hAnsi="Cambria Math"/>
                                        <w:iCs/>
                                        <w:sz w:val="22"/>
                                        <w:szCs w:val="22"/>
                                        <w:lang w:val="en-GB"/>
                                      </w:rPr>
                                    </m:ctrlPr>
                                  </m:sSubPr>
                                  <m:e>
                                    <m:r>
                                      <m:rPr>
                                        <m:sty m:val="p"/>
                                      </m:rPr>
                                      <w:rPr>
                                        <w:rFonts w:ascii="Cambria Math" w:hAnsi="Cambria Math"/>
                                        <w:sz w:val="22"/>
                                        <w:szCs w:val="22"/>
                                        <w:lang w:val="en-GB"/>
                                      </w:rPr>
                                      <m:t>D</m:t>
                                    </m:r>
                                  </m:e>
                                  <m:sub>
                                    <m:r>
                                      <m:rPr>
                                        <m:sty m:val="p"/>
                                      </m:rPr>
                                      <w:rPr>
                                        <w:rFonts w:ascii="Cambria Math" w:hAnsi="Cambria Math"/>
                                        <w:sz w:val="22"/>
                                        <w:szCs w:val="22"/>
                                        <w:lang w:val="en-GB"/>
                                      </w:rPr>
                                      <m:t>d</m:t>
                                    </m:r>
                                  </m:sub>
                                </m:sSub>
                                <m:f>
                                  <m:fPr>
                                    <m:ctrlPr>
                                      <w:rPr>
                                        <w:rFonts w:ascii="Cambria Math" w:hAnsi="Cambria Math"/>
                                        <w:iCs/>
                                        <w:sz w:val="22"/>
                                        <w:szCs w:val="22"/>
                                        <w:lang w:val="en-GB"/>
                                      </w:rPr>
                                    </m:ctrlPr>
                                  </m:fPr>
                                  <m:num>
                                    <m:r>
                                      <m:rPr>
                                        <m:sty m:val="p"/>
                                      </m:rPr>
                                      <w:rPr>
                                        <w:rFonts w:ascii="Cambria Math" w:hAnsi="Cambria Math"/>
                                        <w:sz w:val="22"/>
                                        <w:szCs w:val="22"/>
                                        <w:lang w:val="en-GB"/>
                                      </w:rPr>
                                      <m:t>1</m:t>
                                    </m:r>
                                  </m:num>
                                  <m:den>
                                    <m:r>
                                      <m:rPr>
                                        <m:sty m:val="p"/>
                                      </m:rPr>
                                      <w:rPr>
                                        <w:rFonts w:ascii="Cambria Math" w:hAnsi="Cambria Math"/>
                                        <w:sz w:val="22"/>
                                        <w:szCs w:val="22"/>
                                        <w:lang w:val="en-GB"/>
                                      </w:rPr>
                                      <m:t>Zθ</m:t>
                                    </m:r>
                                  </m:den>
                                </m:f>
                                <m:r>
                                  <w:rPr>
                                    <w:rFonts w:ascii="Cambria Math" w:hAnsi="Cambria Math"/>
                                    <w:sz w:val="22"/>
                                    <w:szCs w:val="22"/>
                                    <w:lang w:val="en-GB"/>
                                  </w:rPr>
                                  <m:t>)</m:t>
                                </m:r>
                              </m:e>
                            </m:func>
                          </m:e>
                        </m:d>
                      </m:e>
                      <m:sup>
                        <m:r>
                          <m:rPr>
                            <m:sty m:val="p"/>
                          </m:rPr>
                          <w:rPr>
                            <w:rFonts w:ascii="Cambria Math" w:hAnsi="Cambria Math"/>
                            <w:sz w:val="22"/>
                            <w:szCs w:val="22"/>
                            <w:lang w:val="en-GB"/>
                          </w:rPr>
                          <m:t>t</m:t>
                        </m:r>
                      </m:sup>
                    </m:sSup>
                  </m:e>
                </m:d>
              </m:oMath>
            </m:oMathPara>
          </w:p>
        </w:tc>
        <w:tc>
          <w:tcPr>
            <w:tcW w:w="2477" w:type="dxa"/>
          </w:tcPr>
          <w:p w14:paraId="59DCC617" w14:textId="59F8466D" w:rsidR="00E6551A" w:rsidRPr="00D93FF9" w:rsidRDefault="00E811B8" w:rsidP="004A4C4C">
            <w:pPr>
              <w:pStyle w:val="Caption"/>
              <w:jc w:val="right"/>
              <w:rPr>
                <w:sz w:val="22"/>
                <w:szCs w:val="22"/>
                <w:lang w:val="en-GB"/>
              </w:rPr>
            </w:pPr>
            <w:bookmarkStart w:id="98" w:name="_Ref71188052"/>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11</w:t>
            </w:r>
            <w:r w:rsidRPr="00D93FF9">
              <w:rPr>
                <w:szCs w:val="22"/>
              </w:rPr>
              <w:fldChar w:fldCharType="end"/>
            </w:r>
            <w:bookmarkEnd w:id="98"/>
          </w:p>
        </w:tc>
      </w:tr>
    </w:tbl>
    <w:p w14:paraId="39DE6595" w14:textId="1FBC7970" w:rsidR="000D0838" w:rsidRPr="00D93FF9" w:rsidRDefault="00E466D8" w:rsidP="00476DF6">
      <w:pPr>
        <w:pStyle w:val="BodyText"/>
        <w:spacing w:after="0" w:line="266" w:lineRule="auto"/>
        <w:jc w:val="both"/>
        <w:rPr>
          <w:lang w:val="en-GB"/>
        </w:rPr>
      </w:pPr>
      <w:r w:rsidRPr="00D93FF9">
        <w:rPr>
          <w:lang w:val="en-GB"/>
        </w:rPr>
        <w:t>w</w:t>
      </w:r>
      <w:r w:rsidR="00E811B8" w:rsidRPr="00D93FF9">
        <w:rPr>
          <w:lang w:val="en-GB"/>
        </w:rPr>
        <w:t>here</w:t>
      </w:r>
      <w:r w:rsidRPr="00D93FF9">
        <w:rPr>
          <w:lang w:val="en-GB"/>
        </w:rPr>
        <w:t xml:space="preserve">: </w:t>
      </w:r>
    </w:p>
    <w:p w14:paraId="2A03CB35" w14:textId="77777777" w:rsidR="000D0838" w:rsidRPr="00D93FF9" w:rsidRDefault="00E811B8" w:rsidP="00476DF6">
      <w:pPr>
        <w:pStyle w:val="BodyText"/>
        <w:spacing w:after="0" w:line="266" w:lineRule="auto"/>
        <w:jc w:val="both"/>
        <w:rPr>
          <w:lang w:val="en-GB"/>
        </w:rPr>
      </w:pPr>
      <w:r w:rsidRPr="00D93FF9">
        <w:rPr>
          <w:lang w:val="en-GB"/>
        </w:rPr>
        <w:t>S</w:t>
      </w:r>
      <w:r w:rsidRPr="00D93FF9">
        <w:rPr>
          <w:vertAlign w:val="subscript"/>
          <w:lang w:val="en-GB"/>
        </w:rPr>
        <w:t>1</w:t>
      </w:r>
      <w:r w:rsidRPr="00D93FF9">
        <w:rPr>
          <w:lang w:val="en-GB"/>
        </w:rPr>
        <w:t xml:space="preserve"> and S</w:t>
      </w:r>
      <w:r w:rsidRPr="00D93FF9">
        <w:rPr>
          <w:vertAlign w:val="subscript"/>
          <w:lang w:val="en-GB"/>
        </w:rPr>
        <w:t>2</w:t>
      </w:r>
      <w:r w:rsidRPr="00D93FF9">
        <w:rPr>
          <w:lang w:val="en-GB"/>
        </w:rPr>
        <w:t xml:space="preserve"> are the </w:t>
      </w:r>
      <w:r w:rsidRPr="00D93FF9">
        <w:rPr>
          <w:b/>
          <w:bCs/>
          <w:lang w:val="en-GB"/>
        </w:rPr>
        <w:t>mean</w:t>
      </w:r>
      <w:r w:rsidRPr="00D93FF9">
        <w:rPr>
          <w:lang w:val="en-GB"/>
        </w:rPr>
        <w:t xml:space="preserve"> root zone salinities determined at two different times, </w:t>
      </w:r>
    </w:p>
    <w:p w14:paraId="459F77A4" w14:textId="77777777" w:rsidR="000D0838" w:rsidRPr="00D93FF9" w:rsidRDefault="00E811B8" w:rsidP="00476DF6">
      <w:pPr>
        <w:pStyle w:val="BodyText"/>
        <w:spacing w:after="0" w:line="266" w:lineRule="auto"/>
        <w:jc w:val="both"/>
        <w:rPr>
          <w:lang w:val="en-GB"/>
        </w:rPr>
      </w:pPr>
      <w:r w:rsidRPr="00D93FF9">
        <w:rPr>
          <w:lang w:val="en-GB"/>
        </w:rPr>
        <w:t xml:space="preserve">t is the time between </w:t>
      </w:r>
      <w:r w:rsidR="002B7678" w:rsidRPr="00D93FF9">
        <w:rPr>
          <w:lang w:val="en-GB"/>
        </w:rPr>
        <w:t>measurements</w:t>
      </w:r>
      <w:r w:rsidRPr="00D93FF9">
        <w:rPr>
          <w:lang w:val="en-GB"/>
        </w:rPr>
        <w:t xml:space="preserve">, </w:t>
      </w:r>
    </w:p>
    <w:p w14:paraId="35E14C4D" w14:textId="77777777" w:rsidR="000D0838" w:rsidRPr="00D93FF9" w:rsidRDefault="00E811B8" w:rsidP="00476DF6">
      <w:pPr>
        <w:pStyle w:val="BodyText"/>
        <w:spacing w:after="0" w:line="266" w:lineRule="auto"/>
        <w:jc w:val="both"/>
        <w:rPr>
          <w:lang w:val="en-GB"/>
        </w:rPr>
      </w:pPr>
      <w:r w:rsidRPr="00D93FF9">
        <w:rPr>
          <w:lang w:val="en-GB"/>
        </w:rPr>
        <w:t xml:space="preserve">z is the depth of root zone, </w:t>
      </w:r>
    </w:p>
    <w:p w14:paraId="1C8031F6" w14:textId="40CFFDF9" w:rsidR="000D0838" w:rsidRPr="00D93FF9" w:rsidRDefault="00962EA1" w:rsidP="00476DF6">
      <w:pPr>
        <w:pStyle w:val="BodyText"/>
        <w:spacing w:after="0" w:line="266" w:lineRule="auto"/>
        <w:jc w:val="both"/>
        <w:rPr>
          <w:lang w:val="en-GB"/>
        </w:rPr>
      </w:pPr>
      <w:r w:rsidRPr="00D93FF9">
        <w:rPr>
          <w:rFonts w:ascii="Symbol" w:hAnsi="Symbol"/>
          <w:lang w:val="en-GB"/>
        </w:rPr>
        <w:sym w:font="Symbol" w:char="F071"/>
      </w:r>
      <w:r w:rsidR="00E811B8" w:rsidRPr="00D93FF9">
        <w:rPr>
          <w:lang w:val="en-GB"/>
        </w:rPr>
        <w:t xml:space="preserve"> is the volumetric water content </w:t>
      </w:r>
      <w:r w:rsidR="002B7678" w:rsidRPr="00D93FF9">
        <w:rPr>
          <w:lang w:val="en-GB"/>
        </w:rPr>
        <w:t xml:space="preserve">at </w:t>
      </w:r>
      <w:r w:rsidR="00E811B8" w:rsidRPr="00D93FF9">
        <w:rPr>
          <w:lang w:val="en-GB"/>
        </w:rPr>
        <w:t xml:space="preserve">which drainage </w:t>
      </w:r>
      <w:r w:rsidR="002B7678" w:rsidRPr="00D93FF9">
        <w:rPr>
          <w:lang w:val="en-GB"/>
        </w:rPr>
        <w:t xml:space="preserve">has essentially ceased (&lt;0.1mm/day), </w:t>
      </w:r>
    </w:p>
    <w:p w14:paraId="064F0B82" w14:textId="23DF1B93" w:rsidR="00176E7B" w:rsidRPr="00D93FF9" w:rsidRDefault="00176E7B" w:rsidP="00476DF6">
      <w:pPr>
        <w:pStyle w:val="BodyText"/>
        <w:spacing w:after="0" w:line="266" w:lineRule="auto"/>
        <w:jc w:val="both"/>
        <w:rPr>
          <w:lang w:val="en-GB"/>
        </w:rPr>
      </w:pPr>
      <w:r w:rsidRPr="00D93FF9">
        <w:rPr>
          <w:lang w:val="en-GB"/>
        </w:rPr>
        <w:t xml:space="preserve">Dd is the deep drainage, below the root zone, </w:t>
      </w:r>
    </w:p>
    <w:p w14:paraId="40FF20A1" w14:textId="15558D62" w:rsidR="00176E7B" w:rsidRPr="00D93FF9" w:rsidRDefault="00176E7B" w:rsidP="00476DF6">
      <w:pPr>
        <w:pStyle w:val="BodyText"/>
        <w:spacing w:after="0" w:line="266" w:lineRule="auto"/>
        <w:jc w:val="both"/>
        <w:rPr>
          <w:lang w:val="en-GB"/>
        </w:rPr>
      </w:pPr>
      <w:r w:rsidRPr="00D93FF9">
        <w:rPr>
          <w:lang w:val="en-GB"/>
        </w:rPr>
        <w:t xml:space="preserve">Di is the depth of infiltration, </w:t>
      </w:r>
    </w:p>
    <w:p w14:paraId="1F82548D" w14:textId="1D2560B9" w:rsidR="00176E7B" w:rsidRPr="00D93FF9" w:rsidRDefault="00176E7B" w:rsidP="00476DF6">
      <w:pPr>
        <w:pStyle w:val="BodyText"/>
        <w:spacing w:after="0" w:line="266" w:lineRule="auto"/>
        <w:jc w:val="both"/>
        <w:rPr>
          <w:lang w:val="en-GB"/>
        </w:rPr>
      </w:pPr>
      <w:r w:rsidRPr="00D93FF9">
        <w:rPr>
          <w:lang w:val="en-GB"/>
        </w:rPr>
        <w:t xml:space="preserve">Si is the solute concentration of the irrigation water, </w:t>
      </w:r>
    </w:p>
    <w:p w14:paraId="59DCC619" w14:textId="75B78542" w:rsidR="00C46175" w:rsidRPr="00D93FF9" w:rsidRDefault="00962EA1" w:rsidP="00476DF6">
      <w:pPr>
        <w:pStyle w:val="BodyText"/>
        <w:spacing w:after="0" w:line="266" w:lineRule="auto"/>
        <w:jc w:val="both"/>
        <w:rPr>
          <w:lang w:val="en-GB"/>
        </w:rPr>
      </w:pPr>
      <w:r w:rsidRPr="00D93FF9">
        <w:rPr>
          <w:rFonts w:ascii="Symbol" w:hAnsi="Symbol"/>
          <w:lang w:val="en-GB"/>
        </w:rPr>
        <w:sym w:font="Symbol" w:char="F06C"/>
      </w:r>
      <w:r w:rsidR="00E811B8" w:rsidRPr="00D93FF9">
        <w:rPr>
          <w:lang w:val="en-GB"/>
        </w:rPr>
        <w:t xml:space="preserve"> is a factor to account for </w:t>
      </w:r>
      <w:r w:rsidR="002B7678" w:rsidRPr="00D93FF9">
        <w:rPr>
          <w:lang w:val="en-GB"/>
        </w:rPr>
        <w:t xml:space="preserve">the shape of the </w:t>
      </w:r>
      <w:r w:rsidR="00E811B8" w:rsidRPr="00D93FF9">
        <w:rPr>
          <w:lang w:val="en-GB"/>
        </w:rPr>
        <w:t>soil salinity profile.</w:t>
      </w:r>
    </w:p>
    <w:p w14:paraId="59DCC61A" w14:textId="544FDF77" w:rsidR="00C46175" w:rsidRPr="00D93FF9" w:rsidRDefault="00E811B8" w:rsidP="00476DF6">
      <w:pPr>
        <w:pStyle w:val="BodyText"/>
        <w:spacing w:after="0" w:line="266" w:lineRule="auto"/>
        <w:jc w:val="both"/>
        <w:rPr>
          <w:lang w:val="en-GB"/>
        </w:rPr>
      </w:pPr>
      <w:r w:rsidRPr="00D93FF9">
        <w:rPr>
          <w:lang w:val="en-GB"/>
        </w:rPr>
        <w:t>Since</w:t>
      </w:r>
      <w:r w:rsidR="00E90CE0" w:rsidRPr="00D93FF9">
        <w:rPr>
          <w:lang w:val="en-GB"/>
        </w:rPr>
        <w:t xml:space="preserve"> D</w:t>
      </w:r>
      <w:r w:rsidR="00E90CE0" w:rsidRPr="00D93FF9">
        <w:rPr>
          <w:position w:val="-4"/>
          <w:sz w:val="15"/>
          <w:lang w:val="en-GB"/>
        </w:rPr>
        <w:t xml:space="preserve">d </w:t>
      </w:r>
      <w:r w:rsidR="00E90CE0" w:rsidRPr="00D93FF9">
        <w:rPr>
          <w:lang w:val="en-GB"/>
        </w:rPr>
        <w:t>is the only unknown in the equation</w:t>
      </w:r>
      <w:r w:rsidRPr="00D93FF9">
        <w:rPr>
          <w:lang w:val="en-GB"/>
        </w:rPr>
        <w:t>, it</w:t>
      </w:r>
      <w:r w:rsidR="00E90CE0" w:rsidRPr="00D93FF9">
        <w:rPr>
          <w:lang w:val="en-GB"/>
        </w:rPr>
        <w:t xml:space="preserve"> can be calculated </w:t>
      </w:r>
      <w:r w:rsidRPr="00D93FF9">
        <w:rPr>
          <w:lang w:val="en-GB"/>
        </w:rPr>
        <w:t xml:space="preserve">by manipulating </w:t>
      </w:r>
      <w:r w:rsidR="00684E84" w:rsidRPr="00D93FF9">
        <w:rPr>
          <w:lang w:val="en-GB"/>
        </w:rPr>
        <w:fldChar w:fldCharType="begin"/>
      </w:r>
      <w:r w:rsidR="00684E84" w:rsidRPr="00D93FF9">
        <w:rPr>
          <w:lang w:val="en-GB"/>
        </w:rPr>
        <w:instrText xml:space="preserve"> REF _Ref71188052 \h </w:instrText>
      </w:r>
      <w:r w:rsidR="00D93FF9">
        <w:rPr>
          <w:lang w:val="en-GB"/>
        </w:rPr>
        <w:instrText xml:space="preserve"> \* MERGEFORMAT </w:instrText>
      </w:r>
      <w:r w:rsidR="00684E84" w:rsidRPr="00D93FF9">
        <w:rPr>
          <w:lang w:val="en-GB"/>
        </w:rPr>
      </w:r>
      <w:r w:rsidR="00684E84" w:rsidRPr="00D93FF9">
        <w:rPr>
          <w:lang w:val="en-GB"/>
        </w:rPr>
        <w:fldChar w:fldCharType="separate"/>
      </w:r>
      <w:r w:rsidR="0069302C" w:rsidRPr="00D93FF9">
        <w:t xml:space="preserve">Equation </w:t>
      </w:r>
      <w:r w:rsidR="0069302C">
        <w:rPr>
          <w:noProof/>
        </w:rPr>
        <w:t>11</w:t>
      </w:r>
      <w:r w:rsidR="00684E84" w:rsidRPr="00D93FF9">
        <w:rPr>
          <w:lang w:val="en-GB"/>
        </w:rPr>
        <w:fldChar w:fldCharType="end"/>
      </w:r>
      <w:r w:rsidR="00E90CE0" w:rsidRPr="00D93FF9">
        <w:rPr>
          <w:lang w:val="en-GB"/>
        </w:rPr>
        <w:t xml:space="preserve">. </w:t>
      </w:r>
      <w:r w:rsidR="009325F1" w:rsidRPr="00D93FF9">
        <w:rPr>
          <w:lang w:val="en-GB"/>
        </w:rPr>
        <w:t>After</w:t>
      </w:r>
      <w:r w:rsidR="00180CB9" w:rsidRPr="00D93FF9">
        <w:rPr>
          <w:lang w:val="en-GB"/>
        </w:rPr>
        <w:t xml:space="preserve"> D</w:t>
      </w:r>
      <w:r w:rsidR="00180CB9" w:rsidRPr="00D93FF9">
        <w:rPr>
          <w:vertAlign w:val="subscript"/>
          <w:lang w:val="en-GB"/>
        </w:rPr>
        <w:t>d</w:t>
      </w:r>
      <w:r w:rsidR="00180CB9" w:rsidRPr="00D93FF9">
        <w:rPr>
          <w:lang w:val="en-GB"/>
        </w:rPr>
        <w:t xml:space="preserve"> is converted to LF, it </w:t>
      </w:r>
      <w:r w:rsidR="00E90CE0" w:rsidRPr="00D93FF9">
        <w:rPr>
          <w:lang w:val="en-GB"/>
        </w:rPr>
        <w:t>can be used to calculate the average root zone salinity at steady state</w:t>
      </w:r>
      <w:r w:rsidR="00180CB9" w:rsidRPr="00D93FF9">
        <w:rPr>
          <w:lang w:val="en-GB"/>
        </w:rPr>
        <w:t xml:space="preserve"> conditions</w:t>
      </w:r>
      <w:r w:rsidR="00E90CE0" w:rsidRPr="00D93FF9">
        <w:rPr>
          <w:lang w:val="en-GB"/>
        </w:rPr>
        <w:t xml:space="preserve">. The model can also indicate the time period when steady state conditions will be reached, and how much </w:t>
      </w:r>
      <w:r w:rsidR="0033675F" w:rsidRPr="00D93FF9">
        <w:rPr>
          <w:lang w:val="en-GB"/>
        </w:rPr>
        <w:t xml:space="preserve">the soil </w:t>
      </w:r>
      <w:r w:rsidR="00E90CE0" w:rsidRPr="00D93FF9">
        <w:rPr>
          <w:lang w:val="en-GB"/>
        </w:rPr>
        <w:t xml:space="preserve">salinity will increase (or possibly decrease) until that time. If the EC root zone value at steady state is too </w:t>
      </w:r>
      <w:r w:rsidR="0033675F" w:rsidRPr="00D93FF9">
        <w:rPr>
          <w:lang w:val="en-GB"/>
        </w:rPr>
        <w:t xml:space="preserve">high </w:t>
      </w:r>
      <w:r w:rsidR="00E90CE0" w:rsidRPr="00D93FF9">
        <w:rPr>
          <w:lang w:val="en-GB"/>
        </w:rPr>
        <w:t xml:space="preserve">for the </w:t>
      </w:r>
      <w:r w:rsidR="0033675F" w:rsidRPr="00D93FF9">
        <w:rPr>
          <w:lang w:val="en-GB"/>
        </w:rPr>
        <w:t xml:space="preserve">selected </w:t>
      </w:r>
      <w:r w:rsidR="00E90CE0" w:rsidRPr="00D93FF9">
        <w:rPr>
          <w:lang w:val="en-GB"/>
        </w:rPr>
        <w:t xml:space="preserve">crop to be grown, irrigation management practice will </w:t>
      </w:r>
      <w:r w:rsidR="0033675F" w:rsidRPr="00D93FF9">
        <w:rPr>
          <w:lang w:val="en-GB"/>
        </w:rPr>
        <w:t xml:space="preserve">need </w:t>
      </w:r>
      <w:r w:rsidR="00E90CE0" w:rsidRPr="00D93FF9">
        <w:rPr>
          <w:lang w:val="en-GB"/>
        </w:rPr>
        <w:t>to be</w:t>
      </w:r>
      <w:r w:rsidR="00E90CE0" w:rsidRPr="00D93FF9">
        <w:rPr>
          <w:spacing w:val="-1"/>
          <w:lang w:val="en-GB"/>
        </w:rPr>
        <w:t xml:space="preserve"> </w:t>
      </w:r>
      <w:r w:rsidR="00E90CE0" w:rsidRPr="00D93FF9">
        <w:rPr>
          <w:lang w:val="en-GB"/>
        </w:rPr>
        <w:t>modified.</w:t>
      </w:r>
    </w:p>
    <w:p w14:paraId="59DCC61B" w14:textId="77777777" w:rsidR="00C46175" w:rsidRPr="00D93FF9" w:rsidRDefault="00C46175" w:rsidP="006D42B8">
      <w:pPr>
        <w:pStyle w:val="BodyText"/>
        <w:spacing w:after="0" w:line="235" w:lineRule="auto"/>
        <w:rPr>
          <w:rFonts w:ascii="Arial"/>
          <w:sz w:val="18"/>
          <w:lang w:val="en-GB"/>
        </w:rPr>
      </w:pPr>
      <w:bookmarkStart w:id="99" w:name="Electrical_conductivity_of_soil"/>
      <w:bookmarkStart w:id="100" w:name="Calculation_of_ECse"/>
      <w:bookmarkEnd w:id="99"/>
      <w:bookmarkEnd w:id="100"/>
    </w:p>
    <w:p w14:paraId="59DCC61C" w14:textId="77777777" w:rsidR="00C46175" w:rsidRPr="00D93FF9" w:rsidRDefault="00E811B8" w:rsidP="00A8314F">
      <w:pPr>
        <w:pStyle w:val="ListBullet"/>
        <w:rPr>
          <w:lang w:val="en-GB"/>
        </w:rPr>
      </w:pPr>
      <w:r w:rsidRPr="00D93FF9">
        <w:rPr>
          <w:lang w:val="en-GB"/>
        </w:rPr>
        <w:t xml:space="preserve">Electrical </w:t>
      </w:r>
      <w:r w:rsidR="00476DF6" w:rsidRPr="00D93FF9">
        <w:rPr>
          <w:lang w:val="en-GB"/>
        </w:rPr>
        <w:t>C</w:t>
      </w:r>
      <w:r w:rsidRPr="00D93FF9">
        <w:rPr>
          <w:lang w:val="en-GB"/>
        </w:rPr>
        <w:t>onductivity of soil</w:t>
      </w:r>
    </w:p>
    <w:p w14:paraId="59DCC61D" w14:textId="5B28CA16" w:rsidR="00C46175" w:rsidRPr="00D93FF9" w:rsidRDefault="00E811B8" w:rsidP="001045C9">
      <w:pPr>
        <w:pStyle w:val="BodyText"/>
        <w:spacing w:after="0" w:line="266" w:lineRule="auto"/>
        <w:jc w:val="both"/>
        <w:rPr>
          <w:lang w:val="en-GB"/>
        </w:rPr>
      </w:pPr>
      <w:r w:rsidRPr="00D93FF9">
        <w:rPr>
          <w:lang w:val="en-GB"/>
        </w:rPr>
        <w:t xml:space="preserve">Measurement of soil salinity has traditionally been based on EC and chloride concentration determined </w:t>
      </w:r>
      <w:r w:rsidR="0084179C" w:rsidRPr="00D93FF9">
        <w:rPr>
          <w:lang w:val="en-GB"/>
        </w:rPr>
        <w:t>in the</w:t>
      </w:r>
      <w:r w:rsidRPr="00D93FF9">
        <w:rPr>
          <w:lang w:val="en-GB"/>
        </w:rPr>
        <w:t xml:space="preserve"> laboratory using 1:5 soil:water suspension procedure (Rayment </w:t>
      </w:r>
      <w:r w:rsidR="00FA6E9E" w:rsidRPr="00D93FF9">
        <w:rPr>
          <w:lang w:val="en-GB"/>
        </w:rPr>
        <w:t>and</w:t>
      </w:r>
      <w:r w:rsidRPr="00D93FF9">
        <w:rPr>
          <w:lang w:val="en-GB"/>
        </w:rPr>
        <w:t xml:space="preserve"> </w:t>
      </w:r>
      <w:r w:rsidR="005E23C9" w:rsidRPr="00D93FF9">
        <w:rPr>
          <w:lang w:val="en-GB"/>
        </w:rPr>
        <w:t>Lyons 2010</w:t>
      </w:r>
      <w:r w:rsidRPr="00D93FF9">
        <w:rPr>
          <w:lang w:val="en-GB"/>
        </w:rPr>
        <w:t>). While this is a convenient laboratory measure of the salt content of a soil, measurements of EC at other water contents are more useful, namely EC</w:t>
      </w:r>
      <w:r w:rsidRPr="00D93FF9">
        <w:rPr>
          <w:position w:val="-4"/>
          <w:sz w:val="15"/>
          <w:lang w:val="en-GB"/>
        </w:rPr>
        <w:t xml:space="preserve">se </w:t>
      </w:r>
      <w:r w:rsidRPr="00D93FF9">
        <w:rPr>
          <w:lang w:val="en-GB"/>
        </w:rPr>
        <w:t xml:space="preserve">for plant </w:t>
      </w:r>
      <w:r w:rsidR="00E466D8" w:rsidRPr="00D93FF9">
        <w:rPr>
          <w:lang w:val="en-GB"/>
        </w:rPr>
        <w:t xml:space="preserve">growth </w:t>
      </w:r>
      <w:r w:rsidRPr="00D93FF9">
        <w:rPr>
          <w:lang w:val="en-GB"/>
        </w:rPr>
        <w:t>response and EC</w:t>
      </w:r>
      <w:r w:rsidRPr="00D93FF9">
        <w:rPr>
          <w:position w:val="-4"/>
          <w:sz w:val="15"/>
          <w:lang w:val="en-GB"/>
        </w:rPr>
        <w:t xml:space="preserve">s </w:t>
      </w:r>
      <w:r w:rsidRPr="00D93FF9">
        <w:rPr>
          <w:lang w:val="en-GB"/>
        </w:rPr>
        <w:t xml:space="preserve">for salt </w:t>
      </w:r>
      <w:r w:rsidR="00E466D8" w:rsidRPr="00D93FF9">
        <w:rPr>
          <w:lang w:val="en-GB"/>
        </w:rPr>
        <w:t>mass balance calculations</w:t>
      </w:r>
      <w:r w:rsidRPr="00D93FF9">
        <w:rPr>
          <w:lang w:val="en-GB"/>
        </w:rPr>
        <w:t>.</w:t>
      </w:r>
    </w:p>
    <w:p w14:paraId="59DCC61E" w14:textId="3FD2EDE6" w:rsidR="00C46175" w:rsidRPr="00D93FF9" w:rsidRDefault="00E811B8" w:rsidP="001045C9">
      <w:pPr>
        <w:pStyle w:val="BodyText"/>
        <w:spacing w:after="0" w:line="266" w:lineRule="auto"/>
        <w:jc w:val="both"/>
        <w:rPr>
          <w:lang w:val="en-GB"/>
        </w:rPr>
      </w:pPr>
      <w:r w:rsidRPr="00D93FF9">
        <w:rPr>
          <w:lang w:val="en-GB"/>
        </w:rPr>
        <w:t>EC</w:t>
      </w:r>
      <w:r w:rsidRPr="00D93FF9">
        <w:rPr>
          <w:position w:val="-4"/>
          <w:sz w:val="15"/>
          <w:lang w:val="en-GB"/>
        </w:rPr>
        <w:t xml:space="preserve">se </w:t>
      </w:r>
      <w:r w:rsidRPr="00D93FF9">
        <w:rPr>
          <w:lang w:val="en-GB"/>
        </w:rPr>
        <w:t>(dS/m) is defined as the electrical conductivity of the soil saturation extract, while EC</w:t>
      </w:r>
      <w:r w:rsidRPr="00D93FF9">
        <w:rPr>
          <w:position w:val="-4"/>
          <w:sz w:val="15"/>
          <w:lang w:val="en-GB"/>
        </w:rPr>
        <w:t xml:space="preserve">s </w:t>
      </w:r>
      <w:r w:rsidRPr="00D93FF9">
        <w:rPr>
          <w:lang w:val="en-GB"/>
        </w:rPr>
        <w:t xml:space="preserve">(dS/m) is the electrical conductivity of the soil solution at maximum field water content. Maximum field water content is the maximum measured water content of the soil in the field, two to three days following wetting. It is expressed on a mass basis (g/100 g) and </w:t>
      </w:r>
      <w:r w:rsidR="0033675F" w:rsidRPr="00D93FF9">
        <w:rPr>
          <w:lang w:val="en-GB"/>
        </w:rPr>
        <w:t xml:space="preserve">can be </w:t>
      </w:r>
      <w:r w:rsidRPr="00D93FF9">
        <w:rPr>
          <w:lang w:val="en-GB"/>
        </w:rPr>
        <w:t xml:space="preserve">considerably lower than the </w:t>
      </w:r>
      <w:r w:rsidR="0084179C" w:rsidRPr="00D93FF9">
        <w:rPr>
          <w:lang w:val="en-GB"/>
        </w:rPr>
        <w:t>conventional</w:t>
      </w:r>
      <w:r w:rsidRPr="00D93FF9">
        <w:rPr>
          <w:lang w:val="en-GB"/>
        </w:rPr>
        <w:t xml:space="preserve"> estimate of laboratory ‘field capacity’ using ground samples</w:t>
      </w:r>
      <w:r w:rsidR="0033675F" w:rsidRPr="00D93FF9">
        <w:rPr>
          <w:lang w:val="en-GB"/>
        </w:rPr>
        <w:t xml:space="preserve"> equilibrated at -0.1 or -0.33 bar water potential</w:t>
      </w:r>
      <w:r w:rsidRPr="00D93FF9">
        <w:rPr>
          <w:lang w:val="en-GB"/>
        </w:rPr>
        <w:t xml:space="preserve"> (Gardner </w:t>
      </w:r>
      <w:r w:rsidR="00FA6E9E" w:rsidRPr="00D93FF9">
        <w:rPr>
          <w:lang w:val="en-GB"/>
        </w:rPr>
        <w:t>and</w:t>
      </w:r>
      <w:r w:rsidRPr="00D93FF9">
        <w:rPr>
          <w:lang w:val="en-GB"/>
        </w:rPr>
        <w:t xml:space="preserve"> Coughlan</w:t>
      </w:r>
      <w:r w:rsidRPr="00D93FF9">
        <w:rPr>
          <w:spacing w:val="-3"/>
          <w:lang w:val="en-GB"/>
        </w:rPr>
        <w:t xml:space="preserve"> </w:t>
      </w:r>
      <w:r w:rsidRPr="00D93FF9">
        <w:rPr>
          <w:lang w:val="en-GB"/>
        </w:rPr>
        <w:t>1982).</w:t>
      </w:r>
    </w:p>
    <w:p w14:paraId="59DCC61F" w14:textId="78F7A812" w:rsidR="00C46175" w:rsidRPr="00D93FF9" w:rsidRDefault="00E811B8" w:rsidP="0087794E">
      <w:pPr>
        <w:pStyle w:val="BodyText"/>
        <w:spacing w:before="60" w:after="0" w:line="280" w:lineRule="exact"/>
        <w:jc w:val="both"/>
        <w:rPr>
          <w:lang w:val="en-GB"/>
        </w:rPr>
      </w:pPr>
      <w:r w:rsidRPr="00D93FF9">
        <w:rPr>
          <w:lang w:val="en-GB"/>
        </w:rPr>
        <w:t xml:space="preserve">The soil:water ratio of 1:5 was established in response to </w:t>
      </w:r>
      <w:r w:rsidR="0084179C" w:rsidRPr="00D93FF9">
        <w:rPr>
          <w:lang w:val="en-GB"/>
        </w:rPr>
        <w:t xml:space="preserve">practical </w:t>
      </w:r>
      <w:r w:rsidRPr="00D93FF9">
        <w:rPr>
          <w:lang w:val="en-GB"/>
        </w:rPr>
        <w:t xml:space="preserve">difficulties that arise when using the traditional saturation extract mixing method with heavy textured Australian soils and is a </w:t>
      </w:r>
      <w:r w:rsidRPr="00D93FF9">
        <w:rPr>
          <w:lang w:val="en-GB"/>
        </w:rPr>
        <w:lastRenderedPageBreak/>
        <w:t xml:space="preserve">convenient laboratory and field technique. However, it is not directly </w:t>
      </w:r>
      <w:r w:rsidR="0033675F" w:rsidRPr="00D93FF9">
        <w:rPr>
          <w:lang w:val="en-GB"/>
        </w:rPr>
        <w:t xml:space="preserve">linked </w:t>
      </w:r>
      <w:r w:rsidRPr="00D93FF9">
        <w:rPr>
          <w:lang w:val="en-GB"/>
        </w:rPr>
        <w:t xml:space="preserve">to </w:t>
      </w:r>
      <w:r w:rsidR="0084179C" w:rsidRPr="00D93FF9">
        <w:rPr>
          <w:lang w:val="en-GB"/>
        </w:rPr>
        <w:t xml:space="preserve">published </w:t>
      </w:r>
      <w:r w:rsidRPr="00D93FF9">
        <w:rPr>
          <w:lang w:val="en-GB"/>
        </w:rPr>
        <w:t>soil behaviour and plant response</w:t>
      </w:r>
      <w:r w:rsidR="0084179C" w:rsidRPr="00D93FF9">
        <w:rPr>
          <w:lang w:val="en-GB"/>
        </w:rPr>
        <w:t>s</w:t>
      </w:r>
      <w:r w:rsidRPr="00D93FF9">
        <w:rPr>
          <w:lang w:val="en-GB"/>
        </w:rPr>
        <w:t>, as the ratio is far more dilute than is found under field conditions</w:t>
      </w:r>
      <w:r w:rsidR="0033675F" w:rsidRPr="00D93FF9">
        <w:rPr>
          <w:lang w:val="en-GB"/>
        </w:rPr>
        <w:t>. It is also</w:t>
      </w:r>
      <w:r w:rsidRPr="00D93FF9">
        <w:rPr>
          <w:lang w:val="en-GB"/>
        </w:rPr>
        <w:t xml:space="preserve"> </w:t>
      </w:r>
      <w:r w:rsidR="00B15319" w:rsidRPr="00D93FF9">
        <w:rPr>
          <w:lang w:val="en-GB"/>
        </w:rPr>
        <w:t xml:space="preserve">a </w:t>
      </w:r>
      <w:r w:rsidRPr="00D93FF9">
        <w:rPr>
          <w:lang w:val="en-GB"/>
        </w:rPr>
        <w:t>fixed</w:t>
      </w:r>
      <w:r w:rsidR="00B15319" w:rsidRPr="00D93FF9">
        <w:rPr>
          <w:lang w:val="en-GB"/>
        </w:rPr>
        <w:t xml:space="preserve"> ratio</w:t>
      </w:r>
      <w:r w:rsidRPr="00D93FF9">
        <w:rPr>
          <w:lang w:val="en-GB"/>
        </w:rPr>
        <w:t xml:space="preserve"> irrespective of soil texture. Analysis of EC</w:t>
      </w:r>
      <w:r w:rsidRPr="00D93FF9">
        <w:rPr>
          <w:position w:val="-4"/>
          <w:sz w:val="15"/>
          <w:lang w:val="en-GB"/>
        </w:rPr>
        <w:t xml:space="preserve">1:5 </w:t>
      </w:r>
      <w:r w:rsidRPr="00D93FF9">
        <w:rPr>
          <w:lang w:val="en-GB"/>
        </w:rPr>
        <w:t>tends to underestimate the electrical conductivity of sandy soils compared with clay</w:t>
      </w:r>
      <w:r w:rsidRPr="00D93FF9">
        <w:rPr>
          <w:spacing w:val="-5"/>
          <w:lang w:val="en-GB"/>
        </w:rPr>
        <w:t xml:space="preserve"> </w:t>
      </w:r>
      <w:r w:rsidRPr="00D93FF9">
        <w:rPr>
          <w:lang w:val="en-GB"/>
        </w:rPr>
        <w:t>soils.</w:t>
      </w:r>
    </w:p>
    <w:p w14:paraId="59DCC620" w14:textId="1C688E96" w:rsidR="00C46175" w:rsidRPr="00D93FF9" w:rsidRDefault="00E811B8" w:rsidP="00CA3CB3">
      <w:pPr>
        <w:pStyle w:val="BodyText"/>
        <w:spacing w:before="60" w:after="0" w:line="280" w:lineRule="exact"/>
        <w:jc w:val="both"/>
        <w:rPr>
          <w:lang w:val="en-GB"/>
        </w:rPr>
      </w:pPr>
      <w:r w:rsidRPr="00D93FF9">
        <w:rPr>
          <w:lang w:val="en-GB"/>
        </w:rPr>
        <w:t>Plants respond to salinity at water contents equal to or drier than saturation. The EC</w:t>
      </w:r>
      <w:r w:rsidRPr="00D93FF9">
        <w:rPr>
          <w:position w:val="-4"/>
          <w:sz w:val="15"/>
          <w:lang w:val="en-GB"/>
        </w:rPr>
        <w:t xml:space="preserve">se </w:t>
      </w:r>
      <w:r w:rsidRPr="00D93FF9">
        <w:rPr>
          <w:lang w:val="en-GB"/>
        </w:rPr>
        <w:t>is the most dilute soil solution concentration that plants could be expected to encounter and has been successfully used to relate plant response to soil salinity across a wide range of soil textures. This soil water content, a well</w:t>
      </w:r>
      <w:r w:rsidR="00CC4DA4" w:rsidRPr="00D93FF9">
        <w:rPr>
          <w:lang w:val="en-GB"/>
        </w:rPr>
        <w:t>-</w:t>
      </w:r>
      <w:r w:rsidRPr="00D93FF9">
        <w:rPr>
          <w:lang w:val="en-GB"/>
        </w:rPr>
        <w:t xml:space="preserve">accepted standard </w:t>
      </w:r>
      <w:r w:rsidR="00B15319" w:rsidRPr="00D93FF9">
        <w:rPr>
          <w:lang w:val="en-GB"/>
        </w:rPr>
        <w:t xml:space="preserve">and was chosen by the USSL (1954) </w:t>
      </w:r>
      <w:r w:rsidRPr="00D93FF9">
        <w:rPr>
          <w:lang w:val="en-GB"/>
        </w:rPr>
        <w:t>as it is the lowest reproducible soil water content</w:t>
      </w:r>
      <w:r w:rsidR="00DC5C57" w:rsidRPr="00D93FF9">
        <w:rPr>
          <w:lang w:val="en-GB"/>
        </w:rPr>
        <w:t xml:space="preserve"> after</w:t>
      </w:r>
      <w:r w:rsidRPr="00D93FF9">
        <w:rPr>
          <w:lang w:val="en-GB"/>
        </w:rPr>
        <w:t xml:space="preserve"> which </w:t>
      </w:r>
      <w:r w:rsidR="00DC5C57" w:rsidRPr="00D93FF9">
        <w:rPr>
          <w:lang w:val="en-GB"/>
        </w:rPr>
        <w:t>sufficient</w:t>
      </w:r>
      <w:r w:rsidR="0033675F" w:rsidRPr="00D93FF9">
        <w:rPr>
          <w:lang w:val="en-GB"/>
        </w:rPr>
        <w:t xml:space="preserve"> water</w:t>
      </w:r>
      <w:r w:rsidRPr="00D93FF9">
        <w:rPr>
          <w:lang w:val="en-GB"/>
        </w:rPr>
        <w:t xml:space="preserve"> can be readily removed </w:t>
      </w:r>
      <w:r w:rsidR="0084179C" w:rsidRPr="00D93FF9">
        <w:rPr>
          <w:lang w:val="en-GB"/>
        </w:rPr>
        <w:t>from the</w:t>
      </w:r>
      <w:r w:rsidR="00DC5C57" w:rsidRPr="00D93FF9">
        <w:rPr>
          <w:lang w:val="en-GB"/>
        </w:rPr>
        <w:t xml:space="preserve"> soil</w:t>
      </w:r>
      <w:r w:rsidR="0084179C" w:rsidRPr="00D93FF9">
        <w:rPr>
          <w:lang w:val="en-GB"/>
        </w:rPr>
        <w:t xml:space="preserve"> paste </w:t>
      </w:r>
      <w:r w:rsidRPr="00D93FF9">
        <w:rPr>
          <w:lang w:val="en-GB"/>
        </w:rPr>
        <w:t xml:space="preserve">for </w:t>
      </w:r>
      <w:r w:rsidR="00DC5C57" w:rsidRPr="00D93FF9">
        <w:rPr>
          <w:lang w:val="en-GB"/>
        </w:rPr>
        <w:t>subsequent EC measurement</w:t>
      </w:r>
      <w:r w:rsidRPr="00D93FF9">
        <w:rPr>
          <w:lang w:val="en-GB"/>
        </w:rPr>
        <w:t>. It also consistently relates to field soil water contents and soil textures (Rhoades 1983).</w:t>
      </w:r>
    </w:p>
    <w:p w14:paraId="59DCC621" w14:textId="6DDE8B23" w:rsidR="00823EAA" w:rsidRPr="00D93FF9" w:rsidRDefault="00E811B8" w:rsidP="00823EAA">
      <w:pPr>
        <w:jc w:val="both"/>
        <w:rPr>
          <w:lang w:val="en-GB"/>
        </w:rPr>
      </w:pPr>
      <w:bookmarkStart w:id="101" w:name="_Hlk153903901"/>
      <w:bookmarkStart w:id="102" w:name="_Ref71036244"/>
      <w:r w:rsidRPr="00D93FF9">
        <w:rPr>
          <w:lang w:val="en-GB"/>
        </w:rPr>
        <w:t xml:space="preserve">To assess the </w:t>
      </w:r>
      <w:r w:rsidR="00DC5C57" w:rsidRPr="00D93FF9">
        <w:rPr>
          <w:lang w:val="en-GB"/>
        </w:rPr>
        <w:t>effect</w:t>
      </w:r>
      <w:r w:rsidRPr="00D93FF9">
        <w:rPr>
          <w:lang w:val="en-GB"/>
        </w:rPr>
        <w:t xml:space="preserve"> of soil salinity on </w:t>
      </w:r>
      <w:r w:rsidR="00DC5C57" w:rsidRPr="00D93FF9">
        <w:rPr>
          <w:lang w:val="en-GB"/>
        </w:rPr>
        <w:t xml:space="preserve">the growth of </w:t>
      </w:r>
      <w:r w:rsidRPr="00D93FF9">
        <w:rPr>
          <w:lang w:val="en-GB"/>
        </w:rPr>
        <w:t>specific crops, the EC</w:t>
      </w:r>
      <w:r w:rsidRPr="00D93FF9">
        <w:rPr>
          <w:vertAlign w:val="subscript"/>
          <w:lang w:val="en-GB"/>
        </w:rPr>
        <w:t>se</w:t>
      </w:r>
      <w:r w:rsidRPr="00D93FF9">
        <w:rPr>
          <w:lang w:val="en-GB"/>
        </w:rPr>
        <w:t xml:space="preserve"> value is required. EC</w:t>
      </w:r>
      <w:r w:rsidRPr="00D93FF9">
        <w:rPr>
          <w:vertAlign w:val="subscript"/>
          <w:lang w:val="en-GB"/>
        </w:rPr>
        <w:t>se</w:t>
      </w:r>
      <w:r w:rsidRPr="00D93FF9">
        <w:rPr>
          <w:lang w:val="en-GB"/>
        </w:rPr>
        <w:t xml:space="preserve"> can be estimated using conversion in</w:t>
      </w:r>
      <w:r w:rsidR="008C20B1" w:rsidRPr="00D93FF9">
        <w:rPr>
          <w:lang w:val="en-GB"/>
        </w:rPr>
        <w:t xml:space="preserve"> </w:t>
      </w:r>
      <w:r w:rsidR="008C20B1" w:rsidRPr="00D93FF9">
        <w:rPr>
          <w:lang w:val="en-GB"/>
        </w:rPr>
        <w:fldChar w:fldCharType="begin"/>
      </w:r>
      <w:r w:rsidR="008C20B1" w:rsidRPr="00D93FF9">
        <w:rPr>
          <w:lang w:val="en-GB"/>
        </w:rPr>
        <w:instrText xml:space="preserve"> REF _Ref81391075 \h </w:instrText>
      </w:r>
      <w:r w:rsidR="00D93FF9">
        <w:rPr>
          <w:lang w:val="en-GB"/>
        </w:rPr>
        <w:instrText xml:space="preserve"> \* MERGEFORMAT </w:instrText>
      </w:r>
      <w:r w:rsidR="008C20B1" w:rsidRPr="00D93FF9">
        <w:rPr>
          <w:lang w:val="en-GB"/>
        </w:rPr>
      </w:r>
      <w:r w:rsidR="008C20B1" w:rsidRPr="00D93FF9">
        <w:rPr>
          <w:lang w:val="en-GB"/>
        </w:rPr>
        <w:fldChar w:fldCharType="separate"/>
      </w:r>
      <w:r w:rsidR="0069302C" w:rsidRPr="00D93FF9">
        <w:t xml:space="preserve">Table </w:t>
      </w:r>
      <w:r w:rsidR="0069302C">
        <w:rPr>
          <w:noProof/>
        </w:rPr>
        <w:t>12</w:t>
      </w:r>
      <w:r w:rsidR="008C20B1" w:rsidRPr="00D93FF9">
        <w:rPr>
          <w:lang w:val="en-GB"/>
        </w:rPr>
        <w:fldChar w:fldCharType="end"/>
      </w:r>
      <w:bookmarkEnd w:id="101"/>
      <w:r w:rsidRPr="00D93FF9">
        <w:rPr>
          <w:lang w:val="en-GB"/>
        </w:rPr>
        <w:t xml:space="preserve"> (Cass et al</w:t>
      </w:r>
      <w:r w:rsidR="00CF45F1" w:rsidRPr="00D93FF9">
        <w:rPr>
          <w:lang w:val="en-GB"/>
        </w:rPr>
        <w:t>.</w:t>
      </w:r>
      <w:r w:rsidRPr="00D93FF9">
        <w:rPr>
          <w:lang w:val="en-GB"/>
        </w:rPr>
        <w:t xml:space="preserve"> 1996). </w:t>
      </w:r>
    </w:p>
    <w:p w14:paraId="59DCC623" w14:textId="16C7E9A4" w:rsidR="00B03738" w:rsidRPr="00D93FF9" w:rsidRDefault="008C20B1" w:rsidP="008C20B1">
      <w:pPr>
        <w:pStyle w:val="Caption"/>
        <w:rPr>
          <w:lang w:val="en-GB"/>
        </w:rPr>
      </w:pPr>
      <w:bookmarkStart w:id="103" w:name="_Ref81391075"/>
      <w:bookmarkStart w:id="104" w:name="_Toc96518226"/>
      <w:bookmarkEnd w:id="102"/>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12</w:t>
      </w:r>
      <w:r w:rsidR="00477102" w:rsidRPr="00D93FF9">
        <w:fldChar w:fldCharType="end"/>
      </w:r>
      <w:bookmarkEnd w:id="103"/>
      <w:r w:rsidRPr="00D93FF9">
        <w:t xml:space="preserve"> </w:t>
      </w:r>
      <w:bookmarkStart w:id="105" w:name="_Hlk153787618"/>
      <w:r w:rsidR="00E811B8" w:rsidRPr="00D93FF9">
        <w:t>Multiplier factors for different soil textures to convert EC</w:t>
      </w:r>
      <w:r w:rsidR="00E811B8" w:rsidRPr="00D93FF9">
        <w:rPr>
          <w:vertAlign w:val="subscript"/>
        </w:rPr>
        <w:t>1:5</w:t>
      </w:r>
      <w:r w:rsidR="00E811B8" w:rsidRPr="00D93FF9">
        <w:t xml:space="preserve"> to EC</w:t>
      </w:r>
      <w:r w:rsidR="00E811B8" w:rsidRPr="00D93FF9">
        <w:rPr>
          <w:vertAlign w:val="subscript"/>
        </w:rPr>
        <w:t>se</w:t>
      </w:r>
      <w:bookmarkEnd w:id="104"/>
    </w:p>
    <w:bookmarkEnd w:id="105"/>
    <w:p w14:paraId="59DCC624" w14:textId="77777777" w:rsidR="00164A52" w:rsidRPr="00D93FF9" w:rsidRDefault="00E811B8" w:rsidP="00CA3CB3">
      <w:pPr>
        <w:pStyle w:val="BodyText"/>
        <w:spacing w:before="60" w:after="0" w:line="280" w:lineRule="exact"/>
        <w:jc w:val="both"/>
        <w:rPr>
          <w:lang w:val="en-GB"/>
        </w:rPr>
      </w:pPr>
      <w:r w:rsidRPr="00D93FF9">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9DCDC3D" wp14:editId="59DCDC3E">
                <wp:simplePos x="0" y="0"/>
                <wp:positionH relativeFrom="margin">
                  <wp:align>right</wp:align>
                </wp:positionH>
                <wp:positionV relativeFrom="paragraph">
                  <wp:posOffset>50165</wp:posOffset>
                </wp:positionV>
                <wp:extent cx="5700395" cy="2575560"/>
                <wp:effectExtent l="0" t="0" r="14605" b="152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2575560"/>
                        </a:xfrm>
                        <a:prstGeom prst="rect">
                          <a:avLst/>
                        </a:prstGeom>
                        <a:solidFill>
                          <a:srgbClr val="FFFFFF"/>
                        </a:solidFill>
                        <a:ln w="9525">
                          <a:solidFill>
                            <a:srgbClr val="000000"/>
                          </a:solidFill>
                          <a:miter lim="800000"/>
                          <a:headEnd/>
                          <a:tailEnd/>
                        </a:ln>
                      </wps:spPr>
                      <wps:txbx>
                        <w:txbxContent>
                          <w:p w14:paraId="59DCDD2F" w14:textId="77777777" w:rsidR="00EA5964" w:rsidRDefault="00E811B8" w:rsidP="00164A52">
                            <w:r>
                              <w:rPr>
                                <w:noProof/>
                                <w:sz w:val="20"/>
                                <w:szCs w:val="20"/>
                              </w:rPr>
                              <w:drawing>
                                <wp:inline distT="0" distB="0" distL="0" distR="0" wp14:anchorId="59DCDD3D" wp14:editId="75185CE0">
                                  <wp:extent cx="5210175" cy="2483180"/>
                                  <wp:effectExtent l="0" t="0" r="0" b="0"/>
                                  <wp:docPr id="1633131846" name="Picture 1633131846" descr="A conversion table for estimating the ECse which is used to assess the effect of soil salinity on the growth of specific crops. Different soil texture types are shown in the first column, the conversion factor for each is shown in the second column. In the third column different clay contents are shown with their conversion factors shown in the fourth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26481" name="Picture 259926481" descr="A conversion table for estimating the ECse which is used to assess the effect of soil salinity on the growth of specific crops. Different soil texture types are shown in the first column, the conversion factor for each is shown in the second column. In the third column different clay contents are shown with their conversion factors shown in the fourth column."/>
                                          <pic:cNvPicPr>
                                            <a:picLocks noChangeAspect="1" noChangeArrowheads="1"/>
                                          </pic:cNvPicPr>
                                        </pic:nvPicPr>
                                        <pic:blipFill>
                                          <a:blip r:embed="rId28">
                                            <a:extLst>
                                              <a:ext uri="{28A0092B-C50C-407E-A947-70E740481C1C}">
                                                <a14:useLocalDpi xmlns:a14="http://schemas.microsoft.com/office/drawing/2010/main" val="0"/>
                                              </a:ext>
                                            </a:extLst>
                                          </a:blip>
                                          <a:srcRect t="10227"/>
                                          <a:stretch>
                                            <a:fillRect/>
                                          </a:stretch>
                                        </pic:blipFill>
                                        <pic:spPr bwMode="auto">
                                          <a:xfrm>
                                            <a:off x="0" y="0"/>
                                            <a:ext cx="5232794" cy="24939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9DCDC3D" id="Text Box 25" o:spid="_x0000_s1027" type="#_x0000_t202" style="position:absolute;left:0;text-align:left;margin-left:397.65pt;margin-top:3.95pt;width:448.85pt;height:202.8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">
                <v:textbox>
                  <w:txbxContent>
                    <w:p w14:paraId="59DCDD2F" w14:textId="77777777" w:rsidR="00EA5964" w:rsidRDefault="00E811B8" w:rsidP="00164A52">
                      <w:r>
                        <w:rPr>
                          <w:noProof/>
                          <w:sz w:val="20"/>
                          <w:szCs w:val="20"/>
                        </w:rPr>
                        <w:drawing>
                          <wp:inline distT="0" distB="0" distL="0" distR="0" wp14:anchorId="59DCDD3D" wp14:editId="75185CE0">
                            <wp:extent cx="5210175" cy="2483180"/>
                            <wp:effectExtent l="0" t="0" r="0" b="0"/>
                            <wp:docPr id="259926481" name="Picture 259926481" descr="A conversion table for estimating the ECse which is used to assess the effect of soil salinity on the growth of specific crops. Different soil texture types are shown in the first column, the conversion factor for each is shown in the second column. In the third column different clay contents are shown with their conversion factors shown in the fourth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26481" name="Picture 259926481" descr="A conversion table for estimating the ECse which is used to assess the effect of soil salinity on the growth of specific crops. Different soil texture types are shown in the first column, the conversion factor for each is shown in the second column. In the third column different clay contents are shown with their conversion factors shown in the fourth column."/>
                                    <pic:cNvPicPr>
                                      <a:picLocks noChangeAspect="1" noChangeArrowheads="1"/>
                                    </pic:cNvPicPr>
                                  </pic:nvPicPr>
                                  <pic:blipFill>
                                    <a:blip r:embed="rId29">
                                      <a:extLst>
                                        <a:ext uri="{28A0092B-C50C-407E-A947-70E740481C1C}">
                                          <a14:useLocalDpi xmlns:a14="http://schemas.microsoft.com/office/drawing/2010/main" val="0"/>
                                        </a:ext>
                                      </a:extLst>
                                    </a:blip>
                                    <a:srcRect t="10227"/>
                                    <a:stretch>
                                      <a:fillRect/>
                                    </a:stretch>
                                  </pic:blipFill>
                                  <pic:spPr bwMode="auto">
                                    <a:xfrm>
                                      <a:off x="0" y="0"/>
                                      <a:ext cx="5232794" cy="24939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59DCC626" w14:textId="77777777" w:rsidR="00164A52" w:rsidRPr="00D93FF9" w:rsidRDefault="00164A52" w:rsidP="00CA3CB3">
      <w:pPr>
        <w:pStyle w:val="BodyText"/>
        <w:spacing w:before="60" w:after="0" w:line="280" w:lineRule="exact"/>
        <w:jc w:val="both"/>
        <w:rPr>
          <w:lang w:val="en-GB"/>
        </w:rPr>
      </w:pPr>
    </w:p>
    <w:p w14:paraId="59DCC627" w14:textId="77777777" w:rsidR="00164A52" w:rsidRPr="00D93FF9" w:rsidRDefault="00164A52" w:rsidP="00CA3CB3">
      <w:pPr>
        <w:pStyle w:val="BodyText"/>
        <w:spacing w:before="60" w:after="0" w:line="280" w:lineRule="exact"/>
        <w:jc w:val="both"/>
        <w:rPr>
          <w:lang w:val="en-GB"/>
        </w:rPr>
      </w:pPr>
    </w:p>
    <w:p w14:paraId="59DCC628" w14:textId="77777777" w:rsidR="00164A52" w:rsidRPr="00D93FF9" w:rsidRDefault="00164A52" w:rsidP="00CA3CB3">
      <w:pPr>
        <w:pStyle w:val="BodyText"/>
        <w:spacing w:before="60" w:after="0" w:line="280" w:lineRule="exact"/>
        <w:jc w:val="both"/>
        <w:rPr>
          <w:lang w:val="en-GB"/>
        </w:rPr>
      </w:pPr>
    </w:p>
    <w:p w14:paraId="59DCC629" w14:textId="77777777" w:rsidR="00164A52" w:rsidRPr="00D93FF9" w:rsidRDefault="00164A52" w:rsidP="00CA3CB3">
      <w:pPr>
        <w:pStyle w:val="BodyText"/>
        <w:spacing w:before="60" w:after="0" w:line="280" w:lineRule="exact"/>
        <w:jc w:val="both"/>
        <w:rPr>
          <w:lang w:val="en-GB"/>
        </w:rPr>
      </w:pPr>
    </w:p>
    <w:p w14:paraId="59DCC62A" w14:textId="77777777" w:rsidR="00164A52" w:rsidRPr="00D93FF9" w:rsidRDefault="00164A52" w:rsidP="00CA3CB3">
      <w:pPr>
        <w:pStyle w:val="BodyText"/>
        <w:spacing w:before="60" w:after="0" w:line="280" w:lineRule="exact"/>
        <w:jc w:val="both"/>
        <w:rPr>
          <w:lang w:val="en-GB"/>
        </w:rPr>
      </w:pPr>
    </w:p>
    <w:p w14:paraId="59DCC62B" w14:textId="77777777" w:rsidR="00164A52" w:rsidRPr="00D93FF9" w:rsidRDefault="00164A52" w:rsidP="00CA3CB3">
      <w:pPr>
        <w:pStyle w:val="BodyText"/>
        <w:spacing w:before="60" w:after="0" w:line="280" w:lineRule="exact"/>
        <w:jc w:val="both"/>
        <w:rPr>
          <w:lang w:val="en-GB"/>
        </w:rPr>
      </w:pPr>
    </w:p>
    <w:p w14:paraId="59DCC62C" w14:textId="77777777" w:rsidR="00164A52" w:rsidRPr="00D93FF9" w:rsidRDefault="00164A52" w:rsidP="00CA3CB3">
      <w:pPr>
        <w:pStyle w:val="BodyText"/>
        <w:spacing w:before="60" w:after="0" w:line="280" w:lineRule="exact"/>
        <w:jc w:val="both"/>
        <w:rPr>
          <w:lang w:val="en-GB"/>
        </w:rPr>
      </w:pPr>
    </w:p>
    <w:p w14:paraId="59DCC62D" w14:textId="77777777" w:rsidR="00164A52" w:rsidRPr="00D93FF9" w:rsidRDefault="00164A52" w:rsidP="00CA3CB3">
      <w:pPr>
        <w:pStyle w:val="BodyText"/>
        <w:spacing w:before="60" w:after="0" w:line="280" w:lineRule="exact"/>
        <w:jc w:val="both"/>
        <w:rPr>
          <w:lang w:val="en-GB"/>
        </w:rPr>
      </w:pPr>
    </w:p>
    <w:p w14:paraId="59DCC62E" w14:textId="77777777" w:rsidR="00164A52" w:rsidRPr="00D93FF9" w:rsidRDefault="00164A52" w:rsidP="00CA3CB3">
      <w:pPr>
        <w:pStyle w:val="BodyText"/>
        <w:spacing w:before="60" w:after="0" w:line="280" w:lineRule="exact"/>
        <w:jc w:val="both"/>
        <w:rPr>
          <w:lang w:val="en-GB"/>
        </w:rPr>
      </w:pPr>
    </w:p>
    <w:p w14:paraId="59DCC62F" w14:textId="77777777" w:rsidR="00164A52" w:rsidRPr="00D93FF9" w:rsidRDefault="00164A52" w:rsidP="00CA3CB3">
      <w:pPr>
        <w:pStyle w:val="BodyText"/>
        <w:spacing w:before="60" w:after="0" w:line="280" w:lineRule="exact"/>
        <w:jc w:val="both"/>
        <w:rPr>
          <w:lang w:val="en-GB"/>
        </w:rPr>
      </w:pPr>
    </w:p>
    <w:p w14:paraId="59DCC630" w14:textId="77777777" w:rsidR="00164A52" w:rsidRPr="00D93FF9" w:rsidRDefault="00164A52" w:rsidP="00CA3CB3">
      <w:pPr>
        <w:pStyle w:val="BodyText"/>
        <w:spacing w:before="60" w:after="0" w:line="280" w:lineRule="exact"/>
        <w:jc w:val="both"/>
        <w:rPr>
          <w:lang w:val="en-GB"/>
        </w:rPr>
      </w:pPr>
    </w:p>
    <w:p w14:paraId="59DCC631" w14:textId="77777777" w:rsidR="00B03738" w:rsidRPr="00D93FF9" w:rsidRDefault="00B03738" w:rsidP="0087794E">
      <w:pPr>
        <w:pStyle w:val="BodyText"/>
        <w:spacing w:before="60" w:after="0" w:line="280" w:lineRule="exact"/>
        <w:jc w:val="both"/>
        <w:rPr>
          <w:lang w:val="en-GB"/>
        </w:rPr>
      </w:pPr>
    </w:p>
    <w:p w14:paraId="59DCC632" w14:textId="12DECABD" w:rsidR="00C46175" w:rsidRPr="00D93FF9" w:rsidRDefault="00E811B8" w:rsidP="003807A1">
      <w:pPr>
        <w:pStyle w:val="BodyText"/>
        <w:spacing w:after="0" w:line="280" w:lineRule="exact"/>
        <w:jc w:val="both"/>
        <w:rPr>
          <w:lang w:val="en-GB"/>
        </w:rPr>
      </w:pPr>
      <w:r w:rsidRPr="00D93FF9">
        <w:rPr>
          <w:lang w:val="en-GB"/>
        </w:rPr>
        <w:t>Convective</w:t>
      </w:r>
      <w:r w:rsidR="00E90CE0" w:rsidRPr="00D93FF9">
        <w:rPr>
          <w:lang w:val="en-GB"/>
        </w:rPr>
        <w:t xml:space="preserve"> movement </w:t>
      </w:r>
      <w:r w:rsidRPr="00D93FF9">
        <w:rPr>
          <w:lang w:val="en-GB"/>
        </w:rPr>
        <w:t xml:space="preserve">of solutes </w:t>
      </w:r>
      <w:r w:rsidR="00E90CE0" w:rsidRPr="00D93FF9">
        <w:rPr>
          <w:lang w:val="en-GB"/>
        </w:rPr>
        <w:t xml:space="preserve">in soils becomes limited once the soil water content is drier than </w:t>
      </w:r>
      <w:r w:rsidR="0033675F" w:rsidRPr="00D93FF9">
        <w:rPr>
          <w:lang w:val="en-GB"/>
        </w:rPr>
        <w:t xml:space="preserve">the Upper Storage Limit </w:t>
      </w:r>
      <w:r w:rsidR="00E90CE0" w:rsidRPr="00D93FF9">
        <w:rPr>
          <w:lang w:val="en-GB"/>
        </w:rPr>
        <w:t>field water content. The salinity at this water content, EC</w:t>
      </w:r>
      <w:r w:rsidR="00E90CE0" w:rsidRPr="00D93FF9">
        <w:rPr>
          <w:position w:val="-4"/>
          <w:sz w:val="15"/>
          <w:lang w:val="en-GB"/>
        </w:rPr>
        <w:t>s</w:t>
      </w:r>
      <w:r w:rsidR="00E90CE0" w:rsidRPr="00D93FF9">
        <w:rPr>
          <w:lang w:val="en-GB"/>
        </w:rPr>
        <w:t xml:space="preserve">, </w:t>
      </w:r>
      <w:r w:rsidRPr="00D93FF9">
        <w:rPr>
          <w:lang w:val="en-GB"/>
        </w:rPr>
        <w:t xml:space="preserve">coincides with </w:t>
      </w:r>
      <w:r w:rsidR="00E90CE0" w:rsidRPr="00D93FF9">
        <w:rPr>
          <w:lang w:val="en-GB"/>
        </w:rPr>
        <w:t xml:space="preserve">the </w:t>
      </w:r>
      <w:r w:rsidRPr="00D93FF9">
        <w:rPr>
          <w:lang w:val="en-GB"/>
        </w:rPr>
        <w:t xml:space="preserve">water content at which </w:t>
      </w:r>
      <w:r w:rsidR="00E90CE0" w:rsidRPr="00D93FF9">
        <w:rPr>
          <w:lang w:val="en-GB"/>
        </w:rPr>
        <w:t>soil profile drainage has effectively ceased</w:t>
      </w:r>
      <w:r w:rsidRPr="00D93FF9">
        <w:rPr>
          <w:lang w:val="en-GB"/>
        </w:rPr>
        <w:t>. It</w:t>
      </w:r>
      <w:r w:rsidR="00E90CE0" w:rsidRPr="00D93FF9">
        <w:rPr>
          <w:lang w:val="en-GB"/>
        </w:rPr>
        <w:t xml:space="preserve"> is used in leaching fraction estimations and in solute movement studies and modelling. </w:t>
      </w:r>
      <w:bookmarkStart w:id="106" w:name="_Hlk153904257"/>
      <w:r w:rsidR="008C20B1" w:rsidRPr="00D93FF9">
        <w:rPr>
          <w:lang w:val="en-GB"/>
        </w:rPr>
        <w:fldChar w:fldCharType="begin"/>
      </w:r>
      <w:r w:rsidR="008C20B1" w:rsidRPr="00D93FF9">
        <w:rPr>
          <w:lang w:val="en-GB"/>
        </w:rPr>
        <w:instrText xml:space="preserve"> REF _Ref81391093 \h </w:instrText>
      </w:r>
      <w:r w:rsidR="00D93FF9">
        <w:rPr>
          <w:lang w:val="en-GB"/>
        </w:rPr>
        <w:instrText xml:space="preserve"> \* MERGEFORMAT </w:instrText>
      </w:r>
      <w:r w:rsidR="008C20B1" w:rsidRPr="00D93FF9">
        <w:rPr>
          <w:lang w:val="en-GB"/>
        </w:rPr>
      </w:r>
      <w:r w:rsidR="008C20B1" w:rsidRPr="00D93FF9">
        <w:rPr>
          <w:lang w:val="en-GB"/>
        </w:rPr>
        <w:fldChar w:fldCharType="separate"/>
      </w:r>
      <w:r w:rsidR="0069302C" w:rsidRPr="00D93FF9">
        <w:t xml:space="preserve">Table </w:t>
      </w:r>
      <w:r w:rsidR="0069302C">
        <w:rPr>
          <w:noProof/>
        </w:rPr>
        <w:t>13</w:t>
      </w:r>
      <w:r w:rsidR="008C20B1" w:rsidRPr="00D93FF9">
        <w:rPr>
          <w:lang w:val="en-GB"/>
        </w:rPr>
        <w:fldChar w:fldCharType="end"/>
      </w:r>
      <w:r w:rsidR="00D228C6" w:rsidRPr="00D93FF9">
        <w:rPr>
          <w:lang w:val="en-GB"/>
        </w:rPr>
        <w:t xml:space="preserve"> </w:t>
      </w:r>
      <w:r w:rsidR="00E90CE0" w:rsidRPr="00D93FF9">
        <w:rPr>
          <w:lang w:val="en-GB"/>
        </w:rPr>
        <w:t>shows the relative dilutions with respect to field water contents for the three measures of</w:t>
      </w:r>
      <w:r w:rsidR="00E90CE0" w:rsidRPr="00D93FF9">
        <w:rPr>
          <w:spacing w:val="4"/>
          <w:lang w:val="en-GB"/>
        </w:rPr>
        <w:t xml:space="preserve"> </w:t>
      </w:r>
      <w:r w:rsidR="00E90CE0" w:rsidRPr="00D93FF9">
        <w:rPr>
          <w:lang w:val="en-GB"/>
        </w:rPr>
        <w:t>EC.</w:t>
      </w:r>
      <w:bookmarkEnd w:id="106"/>
    </w:p>
    <w:p w14:paraId="59DCC633" w14:textId="77777777" w:rsidR="0097568A" w:rsidRPr="00D93FF9" w:rsidRDefault="0097568A" w:rsidP="003807A1">
      <w:pPr>
        <w:pStyle w:val="BodyText"/>
        <w:spacing w:after="0" w:line="280" w:lineRule="exact"/>
        <w:jc w:val="both"/>
        <w:rPr>
          <w:lang w:val="en-GB"/>
        </w:rPr>
      </w:pPr>
    </w:p>
    <w:p w14:paraId="59DCC634" w14:textId="1BC8F9C4" w:rsidR="0097568A" w:rsidRPr="00D93FF9" w:rsidRDefault="008C20B1" w:rsidP="008C20B1">
      <w:pPr>
        <w:pStyle w:val="Caption"/>
        <w:rPr>
          <w:lang w:val="en-GB"/>
        </w:rPr>
      </w:pPr>
      <w:bookmarkStart w:id="107" w:name="_Ref81391093"/>
      <w:bookmarkStart w:id="108" w:name="_Toc96518227"/>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13</w:t>
      </w:r>
      <w:r w:rsidR="00477102" w:rsidRPr="00D93FF9">
        <w:fldChar w:fldCharType="end"/>
      </w:r>
      <w:bookmarkEnd w:id="107"/>
      <w:r w:rsidRPr="00D93FF9">
        <w:t xml:space="preserve"> </w:t>
      </w:r>
      <w:bookmarkStart w:id="109" w:name="_Hlk153787630"/>
      <w:r w:rsidR="00E811B8" w:rsidRPr="00D93FF9">
        <w:rPr>
          <w:rFonts w:ascii="Arial"/>
          <w:sz w:val="18"/>
          <w:lang w:val="en-GB"/>
        </w:rPr>
        <w:t>Relative dilution above maximum field water content for three measures of soil salinity, EC</w:t>
      </w:r>
      <w:r w:rsidR="00E811B8" w:rsidRPr="00D93FF9">
        <w:rPr>
          <w:rFonts w:ascii="Arial"/>
          <w:position w:val="-3"/>
          <w:sz w:val="12"/>
          <w:lang w:val="en-GB"/>
        </w:rPr>
        <w:t>1:5</w:t>
      </w:r>
      <w:r w:rsidR="00E811B8" w:rsidRPr="00D93FF9">
        <w:rPr>
          <w:rFonts w:ascii="Arial"/>
          <w:sz w:val="18"/>
          <w:lang w:val="en-GB"/>
        </w:rPr>
        <w:t>, EC</w:t>
      </w:r>
      <w:r w:rsidR="00E811B8" w:rsidRPr="00D93FF9">
        <w:rPr>
          <w:rFonts w:ascii="Arial"/>
          <w:position w:val="-3"/>
          <w:sz w:val="12"/>
          <w:lang w:val="en-GB"/>
        </w:rPr>
        <w:t xml:space="preserve">se </w:t>
      </w:r>
      <w:r w:rsidR="00E811B8" w:rsidRPr="00D93FF9">
        <w:rPr>
          <w:rFonts w:ascii="Arial"/>
          <w:sz w:val="18"/>
          <w:lang w:val="en-GB"/>
        </w:rPr>
        <w:t>and ECs</w:t>
      </w:r>
      <w:r w:rsidR="00E811B8" w:rsidRPr="00D93FF9">
        <w:rPr>
          <w:rFonts w:ascii="Arial"/>
          <w:sz w:val="18"/>
          <w:vertAlign w:val="superscript"/>
          <w:lang w:val="en-GB"/>
        </w:rPr>
        <w:t>a</w:t>
      </w:r>
      <w:bookmarkEnd w:id="108"/>
      <w:bookmarkEnd w:id="10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Relative dilution above maximum field water content for three measures of soil salinity, EC1:5, ECse and ECs"/>
        <w:tblDescription w:val="This table shows the relative dilutions with respect to field water contents for the three measures of EC. The first column shows the three measures, and the second column shows the dilution above the drained upper limit water content."/>
      </w:tblPr>
      <w:tblGrid>
        <w:gridCol w:w="4505"/>
        <w:gridCol w:w="4505"/>
      </w:tblGrid>
      <w:tr w:rsidR="00BE3AA8" w:rsidRPr="00D93FF9" w14:paraId="59DCC637" w14:textId="77777777" w:rsidTr="001D7F8D">
        <w:tc>
          <w:tcPr>
            <w:tcW w:w="4505" w:type="dxa"/>
          </w:tcPr>
          <w:p w14:paraId="59DCC635" w14:textId="77777777" w:rsidR="0097568A" w:rsidRPr="00D93FF9" w:rsidRDefault="00E811B8" w:rsidP="003807A1">
            <w:pPr>
              <w:pStyle w:val="BodyText"/>
              <w:spacing w:after="0" w:line="280" w:lineRule="exact"/>
              <w:jc w:val="both"/>
              <w:rPr>
                <w:b/>
                <w:bCs/>
                <w:lang w:val="en-GB"/>
              </w:rPr>
            </w:pPr>
            <w:r w:rsidRPr="00D93FF9">
              <w:rPr>
                <w:b/>
                <w:bCs/>
                <w:lang w:val="en-GB"/>
              </w:rPr>
              <w:t>Measure</w:t>
            </w:r>
          </w:p>
        </w:tc>
        <w:tc>
          <w:tcPr>
            <w:tcW w:w="4505" w:type="dxa"/>
          </w:tcPr>
          <w:p w14:paraId="59DCC636" w14:textId="77777777" w:rsidR="0097568A" w:rsidRPr="00D93FF9" w:rsidRDefault="00E811B8" w:rsidP="003807A1">
            <w:pPr>
              <w:pStyle w:val="BodyText"/>
              <w:spacing w:after="0" w:line="280" w:lineRule="exact"/>
              <w:jc w:val="both"/>
              <w:rPr>
                <w:b/>
                <w:bCs/>
                <w:lang w:val="en-GB"/>
              </w:rPr>
            </w:pPr>
            <w:r w:rsidRPr="00D93FF9">
              <w:rPr>
                <w:b/>
                <w:bCs/>
                <w:lang w:val="en-GB"/>
              </w:rPr>
              <w:t xml:space="preserve">Dilution above </w:t>
            </w:r>
            <w:r w:rsidR="006D42B8" w:rsidRPr="00D93FF9">
              <w:rPr>
                <w:b/>
                <w:bCs/>
                <w:lang w:val="en-GB"/>
              </w:rPr>
              <w:t>drained upper limit</w:t>
            </w:r>
            <w:r w:rsidRPr="00D93FF9">
              <w:rPr>
                <w:b/>
                <w:bCs/>
                <w:lang w:val="en-GB"/>
              </w:rPr>
              <w:t xml:space="preserve"> water content</w:t>
            </w:r>
          </w:p>
        </w:tc>
      </w:tr>
      <w:tr w:rsidR="00BE3AA8" w:rsidRPr="00D93FF9" w14:paraId="59DCC63A" w14:textId="77777777" w:rsidTr="001D7F8D">
        <w:tc>
          <w:tcPr>
            <w:tcW w:w="4505" w:type="dxa"/>
            <w:tcBorders>
              <w:bottom w:val="nil"/>
            </w:tcBorders>
          </w:tcPr>
          <w:p w14:paraId="59DCC638" w14:textId="77777777" w:rsidR="0097568A" w:rsidRPr="00D93FF9" w:rsidRDefault="00E811B8" w:rsidP="003807A1">
            <w:pPr>
              <w:pStyle w:val="BodyText"/>
              <w:spacing w:after="0" w:line="280" w:lineRule="exact"/>
              <w:jc w:val="both"/>
              <w:rPr>
                <w:lang w:val="en-GB"/>
              </w:rPr>
            </w:pPr>
            <w:r w:rsidRPr="00D93FF9">
              <w:rPr>
                <w:lang w:val="en-GB"/>
              </w:rPr>
              <w:t>EC</w:t>
            </w:r>
            <w:r w:rsidRPr="00D93FF9">
              <w:rPr>
                <w:vertAlign w:val="subscript"/>
                <w:lang w:val="en-GB"/>
              </w:rPr>
              <w:t>1:5</w:t>
            </w:r>
          </w:p>
        </w:tc>
        <w:tc>
          <w:tcPr>
            <w:tcW w:w="4505" w:type="dxa"/>
            <w:tcBorders>
              <w:bottom w:val="nil"/>
            </w:tcBorders>
          </w:tcPr>
          <w:p w14:paraId="59DCC639" w14:textId="77777777" w:rsidR="0097568A" w:rsidRPr="00D93FF9" w:rsidRDefault="00E811B8" w:rsidP="003807A1">
            <w:pPr>
              <w:pStyle w:val="BodyText"/>
              <w:spacing w:after="0" w:line="280" w:lineRule="exact"/>
              <w:jc w:val="both"/>
              <w:rPr>
                <w:lang w:val="en-GB"/>
              </w:rPr>
            </w:pPr>
            <w:r w:rsidRPr="00D93FF9">
              <w:rPr>
                <w:lang w:val="en-GB"/>
              </w:rPr>
              <w:t>5 to &gt;40 times</w:t>
            </w:r>
          </w:p>
        </w:tc>
      </w:tr>
      <w:tr w:rsidR="00BE3AA8" w:rsidRPr="00D93FF9" w14:paraId="59DCC63D" w14:textId="77777777" w:rsidTr="001D7F8D">
        <w:tc>
          <w:tcPr>
            <w:tcW w:w="4505" w:type="dxa"/>
            <w:tcBorders>
              <w:top w:val="nil"/>
              <w:bottom w:val="nil"/>
            </w:tcBorders>
          </w:tcPr>
          <w:p w14:paraId="59DCC63B" w14:textId="77777777" w:rsidR="0097568A" w:rsidRPr="00D93FF9" w:rsidRDefault="00E811B8" w:rsidP="003807A1">
            <w:pPr>
              <w:pStyle w:val="BodyText"/>
              <w:spacing w:after="0" w:line="280" w:lineRule="exact"/>
              <w:jc w:val="both"/>
              <w:rPr>
                <w:lang w:val="en-GB"/>
              </w:rPr>
            </w:pPr>
            <w:r w:rsidRPr="00D93FF9">
              <w:rPr>
                <w:lang w:val="en-GB"/>
              </w:rPr>
              <w:t>EC</w:t>
            </w:r>
            <w:r w:rsidRPr="00D93FF9">
              <w:rPr>
                <w:vertAlign w:val="subscript"/>
                <w:lang w:val="en-GB"/>
              </w:rPr>
              <w:t>se</w:t>
            </w:r>
          </w:p>
        </w:tc>
        <w:tc>
          <w:tcPr>
            <w:tcW w:w="4505" w:type="dxa"/>
            <w:tcBorders>
              <w:top w:val="nil"/>
              <w:bottom w:val="nil"/>
            </w:tcBorders>
          </w:tcPr>
          <w:p w14:paraId="59DCC63C" w14:textId="77777777" w:rsidR="0097568A" w:rsidRPr="00D93FF9" w:rsidRDefault="00E811B8" w:rsidP="003807A1">
            <w:pPr>
              <w:pStyle w:val="BodyText"/>
              <w:spacing w:after="0" w:line="280" w:lineRule="exact"/>
              <w:jc w:val="both"/>
              <w:rPr>
                <w:lang w:val="en-GB"/>
              </w:rPr>
            </w:pPr>
            <w:r w:rsidRPr="00D93FF9">
              <w:rPr>
                <w:lang w:val="en-GB"/>
              </w:rPr>
              <w:t>2 to 3 times</w:t>
            </w:r>
          </w:p>
        </w:tc>
      </w:tr>
      <w:tr w:rsidR="00BE3AA8" w:rsidRPr="00D93FF9" w14:paraId="59DCC640" w14:textId="77777777" w:rsidTr="001D7F8D">
        <w:tc>
          <w:tcPr>
            <w:tcW w:w="4505" w:type="dxa"/>
            <w:tcBorders>
              <w:top w:val="nil"/>
            </w:tcBorders>
          </w:tcPr>
          <w:p w14:paraId="59DCC63E" w14:textId="77777777" w:rsidR="0097568A" w:rsidRPr="00D93FF9" w:rsidRDefault="00E811B8" w:rsidP="003807A1">
            <w:pPr>
              <w:pStyle w:val="BodyText"/>
              <w:spacing w:after="0" w:line="280" w:lineRule="exact"/>
              <w:jc w:val="both"/>
              <w:rPr>
                <w:lang w:val="en-GB"/>
              </w:rPr>
            </w:pPr>
            <w:r w:rsidRPr="00D93FF9">
              <w:rPr>
                <w:lang w:val="en-GB"/>
              </w:rPr>
              <w:t>EC</w:t>
            </w:r>
            <w:r w:rsidRPr="00D93FF9">
              <w:rPr>
                <w:vertAlign w:val="subscript"/>
                <w:lang w:val="en-GB"/>
              </w:rPr>
              <w:t>s</w:t>
            </w:r>
          </w:p>
        </w:tc>
        <w:tc>
          <w:tcPr>
            <w:tcW w:w="4505" w:type="dxa"/>
            <w:tcBorders>
              <w:top w:val="nil"/>
            </w:tcBorders>
          </w:tcPr>
          <w:p w14:paraId="59DCC63F" w14:textId="77777777" w:rsidR="0097568A" w:rsidRPr="00D93FF9" w:rsidRDefault="00E811B8" w:rsidP="003807A1">
            <w:pPr>
              <w:pStyle w:val="BodyText"/>
              <w:spacing w:after="0" w:line="280" w:lineRule="exact"/>
              <w:jc w:val="both"/>
              <w:rPr>
                <w:lang w:val="en-GB"/>
              </w:rPr>
            </w:pPr>
            <w:r w:rsidRPr="00D93FF9">
              <w:rPr>
                <w:lang w:val="en-GB"/>
              </w:rPr>
              <w:t>1 time</w:t>
            </w:r>
          </w:p>
        </w:tc>
      </w:tr>
    </w:tbl>
    <w:p w14:paraId="59DCC641" w14:textId="4A4D2DD9" w:rsidR="0097568A" w:rsidRPr="00D93FF9" w:rsidRDefault="00E811B8" w:rsidP="003807A1">
      <w:pPr>
        <w:pStyle w:val="BodyText"/>
        <w:spacing w:after="0" w:line="280" w:lineRule="exact"/>
        <w:jc w:val="both"/>
        <w:rPr>
          <w:sz w:val="18"/>
          <w:szCs w:val="18"/>
          <w:lang w:val="en-GB"/>
        </w:rPr>
      </w:pPr>
      <w:r w:rsidRPr="00D93FF9">
        <w:rPr>
          <w:sz w:val="18"/>
          <w:szCs w:val="18"/>
          <w:lang w:val="en-GB"/>
        </w:rPr>
        <w:t xml:space="preserve">a From </w:t>
      </w:r>
      <w:r w:rsidR="00E33DAA" w:rsidRPr="00D93FF9">
        <w:rPr>
          <w:sz w:val="18"/>
          <w:szCs w:val="18"/>
          <w:lang w:val="en-GB"/>
        </w:rPr>
        <w:t>DERM (2011)</w:t>
      </w:r>
    </w:p>
    <w:p w14:paraId="59DCC642" w14:textId="77777777" w:rsidR="0097568A" w:rsidRPr="00D93FF9" w:rsidRDefault="0097568A" w:rsidP="0097568A">
      <w:pPr>
        <w:pStyle w:val="ListBullet"/>
        <w:numPr>
          <w:ilvl w:val="0"/>
          <w:numId w:val="0"/>
        </w:numPr>
        <w:rPr>
          <w:rFonts w:ascii="Symbol" w:hAnsi="Symbol"/>
          <w:lang w:val="en-GB"/>
        </w:rPr>
      </w:pPr>
    </w:p>
    <w:p w14:paraId="59DCC643" w14:textId="77777777" w:rsidR="00F834E3" w:rsidRPr="00D93FF9" w:rsidRDefault="00E811B8" w:rsidP="009B4D90">
      <w:pPr>
        <w:pStyle w:val="ListBullet"/>
      </w:pPr>
      <w:r w:rsidRPr="00D93FF9">
        <w:t>Calculation of EC</w:t>
      </w:r>
      <w:r w:rsidRPr="00D93FF9">
        <w:rPr>
          <w:sz w:val="15"/>
          <w:szCs w:val="15"/>
        </w:rPr>
        <w:t>se</w:t>
      </w:r>
    </w:p>
    <w:p w14:paraId="59DCC644" w14:textId="1BECE962" w:rsidR="00D17638" w:rsidRPr="00D93FF9" w:rsidRDefault="00E811B8" w:rsidP="0087794E">
      <w:pPr>
        <w:pStyle w:val="BodyText"/>
        <w:spacing w:before="120" w:after="120" w:line="249" w:lineRule="auto"/>
        <w:jc w:val="both"/>
        <w:rPr>
          <w:lang w:val="en-GB"/>
        </w:rPr>
      </w:pPr>
      <w:r w:rsidRPr="00D93FF9">
        <w:rPr>
          <w:lang w:val="en-GB"/>
        </w:rPr>
        <w:lastRenderedPageBreak/>
        <w:t>There are two methods that can be used to calculate EC</w:t>
      </w:r>
      <w:r w:rsidRPr="00D93FF9">
        <w:rPr>
          <w:position w:val="-4"/>
          <w:sz w:val="15"/>
          <w:lang w:val="en-GB"/>
        </w:rPr>
        <w:t>se</w:t>
      </w:r>
      <w:r w:rsidRPr="00D93FF9">
        <w:rPr>
          <w:lang w:val="en-GB"/>
        </w:rPr>
        <w:t>. The first method is based on the EC</w:t>
      </w:r>
      <w:r w:rsidRPr="00D93FF9">
        <w:rPr>
          <w:vertAlign w:val="subscript"/>
          <w:lang w:val="en-GB"/>
        </w:rPr>
        <w:t>iw</w:t>
      </w:r>
      <w:r w:rsidRPr="00D93FF9">
        <w:rPr>
          <w:lang w:val="en-GB"/>
        </w:rPr>
        <w:t xml:space="preserve"> value obtained from the analysis of irrigation water. This method provides an approximate estimate of EC</w:t>
      </w:r>
      <w:r w:rsidRPr="00D93FF9">
        <w:rPr>
          <w:sz w:val="15"/>
          <w:szCs w:val="15"/>
          <w:lang w:val="en-GB"/>
        </w:rPr>
        <w:t>se</w:t>
      </w:r>
      <w:r w:rsidRPr="00D93FF9">
        <w:rPr>
          <w:lang w:val="en-GB"/>
        </w:rPr>
        <w:t xml:space="preserve"> </w:t>
      </w:r>
      <w:r w:rsidR="003E45A1" w:rsidRPr="00D93FF9">
        <w:rPr>
          <w:lang w:val="en-GB"/>
        </w:rPr>
        <w:t xml:space="preserve">when combined with the </w:t>
      </w:r>
      <w:r w:rsidRPr="00D93FF9">
        <w:rPr>
          <w:lang w:val="en-GB"/>
        </w:rPr>
        <w:t>predicted leaching fraction (LF) of the soil under</w:t>
      </w:r>
      <w:r w:rsidR="00894A21" w:rsidRPr="00D93FF9">
        <w:rPr>
          <w:lang w:val="en-GB"/>
        </w:rPr>
        <w:t xml:space="preserve"> </w:t>
      </w:r>
      <w:r w:rsidRPr="00D93FF9">
        <w:rPr>
          <w:lang w:val="en-GB"/>
        </w:rPr>
        <w:t>irrigation.</w:t>
      </w:r>
      <w:bookmarkStart w:id="110" w:name="1._Converting_ECiw_to_ECse"/>
      <w:bookmarkStart w:id="111" w:name="2._Converting_EC1:5_to_ECse"/>
      <w:bookmarkEnd w:id="110"/>
      <w:bookmarkEnd w:id="111"/>
    </w:p>
    <w:p w14:paraId="59DCC645" w14:textId="77777777" w:rsidR="00C46175" w:rsidRPr="00D93FF9" w:rsidRDefault="00E811B8" w:rsidP="001C6BB0">
      <w:pPr>
        <w:pStyle w:val="BodyText"/>
        <w:spacing w:before="120" w:after="120"/>
        <w:rPr>
          <w:rFonts w:ascii="Arial"/>
          <w:i/>
          <w:iCs/>
          <w:sz w:val="20"/>
          <w:lang w:val="en-GB"/>
        </w:rPr>
      </w:pPr>
      <w:r w:rsidRPr="00D93FF9">
        <w:rPr>
          <w:rFonts w:ascii="Arial"/>
          <w:i/>
          <w:iCs/>
          <w:sz w:val="20"/>
          <w:lang w:val="en-GB"/>
        </w:rPr>
        <w:t>Converting EC</w:t>
      </w:r>
      <w:r w:rsidRPr="00D93FF9">
        <w:rPr>
          <w:rFonts w:ascii="Arial"/>
          <w:i/>
          <w:iCs/>
          <w:sz w:val="20"/>
          <w:vertAlign w:val="subscript"/>
          <w:lang w:val="en-GB"/>
        </w:rPr>
        <w:t>iw</w:t>
      </w:r>
      <w:r w:rsidRPr="00D93FF9">
        <w:rPr>
          <w:rFonts w:ascii="Arial"/>
          <w:i/>
          <w:iCs/>
          <w:sz w:val="20"/>
          <w:lang w:val="en-GB"/>
        </w:rPr>
        <w:t xml:space="preserve"> to</w:t>
      </w:r>
      <w:r w:rsidRPr="00D93FF9">
        <w:rPr>
          <w:rFonts w:ascii="Arial"/>
          <w:i/>
          <w:iCs/>
          <w:spacing w:val="-4"/>
          <w:sz w:val="20"/>
          <w:lang w:val="en-GB"/>
        </w:rPr>
        <w:t xml:space="preserve"> </w:t>
      </w:r>
      <w:r w:rsidRPr="00D93FF9">
        <w:rPr>
          <w:rFonts w:ascii="Arial"/>
          <w:i/>
          <w:iCs/>
          <w:sz w:val="20"/>
          <w:lang w:val="en-GB"/>
        </w:rPr>
        <w:t>EC</w:t>
      </w:r>
      <w:r w:rsidRPr="00D93FF9">
        <w:rPr>
          <w:rFonts w:ascii="Arial"/>
          <w:i/>
          <w:iCs/>
          <w:sz w:val="20"/>
          <w:vertAlign w:val="subscript"/>
          <w:lang w:val="en-GB"/>
        </w:rPr>
        <w:t>se</w:t>
      </w:r>
    </w:p>
    <w:p w14:paraId="59DCC646" w14:textId="77777777" w:rsidR="00C46175" w:rsidRPr="00D93FF9" w:rsidRDefault="00E811B8">
      <w:pPr>
        <w:pStyle w:val="BodyText"/>
        <w:spacing w:before="120" w:after="120"/>
        <w:rPr>
          <w:lang w:val="en-GB"/>
        </w:rPr>
      </w:pPr>
      <w:r w:rsidRPr="00D93FF9">
        <w:rPr>
          <w:lang w:val="en-GB"/>
        </w:rPr>
        <w:t>The equation to calculate EC</w:t>
      </w:r>
      <w:r w:rsidRPr="00D93FF9">
        <w:rPr>
          <w:vertAlign w:val="subscript"/>
          <w:lang w:val="en-GB"/>
        </w:rPr>
        <w:t>se</w:t>
      </w:r>
      <w:r w:rsidRPr="00D93FF9">
        <w:rPr>
          <w:lang w:val="en-GB"/>
        </w:rPr>
        <w:t xml:space="preserve"> for the average root zone using this method is:</w:t>
      </w:r>
    </w:p>
    <w:p w14:paraId="59DCC647" w14:textId="77777777" w:rsidR="008F60DE" w:rsidRPr="00D93FF9" w:rsidRDefault="008F60DE" w:rsidP="008F60DE">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64A" w14:textId="77777777" w:rsidTr="0087794E">
        <w:tc>
          <w:tcPr>
            <w:tcW w:w="4505" w:type="dxa"/>
          </w:tcPr>
          <w:p w14:paraId="59DCC648" w14:textId="77777777" w:rsidR="00D17638" w:rsidRPr="00D93FF9" w:rsidRDefault="00735642">
            <w:pPr>
              <w:pStyle w:val="BodyText"/>
              <w:spacing w:before="120" w:after="120"/>
              <w:rPr>
                <w:iCs/>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se</m:t>
                    </m:r>
                  </m:sub>
                </m:sSub>
                <m:r>
                  <m:rPr>
                    <m:sty m:val="p"/>
                  </m:rPr>
                  <w:rPr>
                    <w:rFonts w:ascii="Cambria Math" w:hAnsi="Cambria Math"/>
                    <w:sz w:val="22"/>
                    <w:szCs w:val="22"/>
                    <w:lang w:val="en-GB"/>
                  </w:rPr>
                  <m:t>=</m:t>
                </m:r>
                <m:f>
                  <m:fPr>
                    <m:ctrlPr>
                      <w:rPr>
                        <w:rFonts w:ascii="Cambria Math" w:hAnsi="Cambria Math"/>
                        <w:iCs/>
                        <w:sz w:val="22"/>
                        <w:szCs w:val="22"/>
                        <w:lang w:val="en-GB"/>
                      </w:rPr>
                    </m:ctrlPr>
                  </m:fPr>
                  <m:num>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iw</m:t>
                        </m:r>
                      </m:sub>
                    </m:sSub>
                  </m:num>
                  <m:den>
                    <m:r>
                      <m:rPr>
                        <m:sty m:val="p"/>
                      </m:rPr>
                      <w:rPr>
                        <w:rFonts w:ascii="Cambria Math" w:hAnsi="Cambria Math"/>
                        <w:sz w:val="22"/>
                        <w:szCs w:val="22"/>
                        <w:lang w:val="en-GB"/>
                      </w:rPr>
                      <m:t>2.2×</m:t>
                    </m:r>
                    <m:sSub>
                      <m:sSubPr>
                        <m:ctrlPr>
                          <w:rPr>
                            <w:rFonts w:ascii="Cambria Math" w:hAnsi="Cambria Math"/>
                            <w:iCs/>
                            <w:sz w:val="22"/>
                            <w:szCs w:val="22"/>
                            <w:lang w:val="en-GB"/>
                          </w:rPr>
                        </m:ctrlPr>
                      </m:sSubPr>
                      <m:e>
                        <m:r>
                          <m:rPr>
                            <m:sty m:val="p"/>
                          </m:rPr>
                          <w:rPr>
                            <w:rFonts w:ascii="Cambria Math" w:hAnsi="Cambria Math"/>
                            <w:sz w:val="22"/>
                            <w:szCs w:val="22"/>
                            <w:lang w:val="en-GB"/>
                          </w:rPr>
                          <m:t>LF</m:t>
                        </m:r>
                      </m:e>
                      <m:sub>
                        <m:r>
                          <m:rPr>
                            <m:sty m:val="p"/>
                          </m:rPr>
                          <w:rPr>
                            <w:rFonts w:ascii="Cambria Math" w:hAnsi="Cambria Math"/>
                            <w:sz w:val="22"/>
                            <w:szCs w:val="22"/>
                            <w:lang w:val="en-GB"/>
                          </w:rPr>
                          <m:t>av</m:t>
                        </m:r>
                      </m:sub>
                    </m:sSub>
                  </m:den>
                </m:f>
              </m:oMath>
            </m:oMathPara>
          </w:p>
        </w:tc>
        <w:tc>
          <w:tcPr>
            <w:tcW w:w="4505" w:type="dxa"/>
          </w:tcPr>
          <w:p w14:paraId="59DCC649" w14:textId="0DDA7F17" w:rsidR="00D17638" w:rsidRPr="00D93FF9" w:rsidRDefault="00E811B8" w:rsidP="00DA421B">
            <w:pPr>
              <w:pStyle w:val="BodyText"/>
              <w:spacing w:before="120" w:after="120"/>
              <w:jc w:val="right"/>
              <w:rPr>
                <w:b/>
                <w:bCs/>
                <w:sz w:val="22"/>
                <w:szCs w:val="22"/>
                <w:lang w:val="en-GB"/>
              </w:rPr>
            </w:pPr>
            <w:bookmarkStart w:id="112" w:name="_Ref71622697"/>
            <w:r w:rsidRPr="00D93FF9">
              <w:rPr>
                <w:b/>
                <w:bCs/>
                <w:sz w:val="22"/>
                <w:szCs w:val="22"/>
              </w:rPr>
              <w:t xml:space="preserve">Equation </w:t>
            </w:r>
            <w:r w:rsidRPr="00D93FF9">
              <w:rPr>
                <w:b/>
                <w:bCs/>
              </w:rPr>
              <w:fldChar w:fldCharType="begin"/>
            </w:r>
            <w:r w:rsidRPr="00D93FF9">
              <w:rPr>
                <w:b/>
                <w:bCs/>
                <w:sz w:val="22"/>
                <w:szCs w:val="22"/>
              </w:rPr>
              <w:instrText xml:space="preserve"> SEQ Equation \* ARABIC </w:instrText>
            </w:r>
            <w:r w:rsidRPr="00D93FF9">
              <w:rPr>
                <w:b/>
                <w:bCs/>
              </w:rPr>
              <w:fldChar w:fldCharType="separate"/>
            </w:r>
            <w:r w:rsidR="0069302C">
              <w:rPr>
                <w:b/>
                <w:bCs/>
                <w:noProof/>
                <w:sz w:val="22"/>
                <w:szCs w:val="22"/>
              </w:rPr>
              <w:t>12</w:t>
            </w:r>
            <w:r w:rsidRPr="00D93FF9">
              <w:rPr>
                <w:b/>
                <w:bCs/>
              </w:rPr>
              <w:fldChar w:fldCharType="end"/>
            </w:r>
            <w:bookmarkEnd w:id="112"/>
          </w:p>
        </w:tc>
      </w:tr>
    </w:tbl>
    <w:p w14:paraId="59DCC64B" w14:textId="77777777" w:rsidR="008F60DE" w:rsidRPr="00D93FF9" w:rsidRDefault="008F60DE" w:rsidP="008F60DE">
      <w:pPr>
        <w:pStyle w:val="BodyText"/>
        <w:spacing w:before="120" w:after="120"/>
        <w:rPr>
          <w:lang w:val="en-GB"/>
        </w:rPr>
      </w:pPr>
    </w:p>
    <w:p w14:paraId="59DCC64C" w14:textId="3A1178B0" w:rsidR="008F60DE" w:rsidRPr="00D93FF9" w:rsidRDefault="00E811B8">
      <w:pPr>
        <w:pStyle w:val="BodyText"/>
        <w:spacing w:before="120" w:after="120"/>
        <w:rPr>
          <w:lang w:val="en-GB"/>
        </w:rPr>
      </w:pPr>
      <w:r w:rsidRPr="00D93FF9">
        <w:rPr>
          <w:lang w:val="en-GB"/>
        </w:rPr>
        <w:t>EC</w:t>
      </w:r>
      <w:r w:rsidRPr="00D93FF9">
        <w:rPr>
          <w:vertAlign w:val="subscript"/>
          <w:lang w:val="en-GB"/>
        </w:rPr>
        <w:t>se</w:t>
      </w:r>
      <w:r w:rsidRPr="00D93FF9">
        <w:rPr>
          <w:lang w:val="en-GB"/>
        </w:rPr>
        <w:tab/>
        <w:t xml:space="preserve">= average root zone salinity (in dS/m) </w:t>
      </w:r>
    </w:p>
    <w:p w14:paraId="59DCC64D" w14:textId="38C8522D" w:rsidR="00C46175" w:rsidRPr="00D93FF9" w:rsidRDefault="00E811B8" w:rsidP="008F60DE">
      <w:pPr>
        <w:pStyle w:val="BodyText"/>
        <w:spacing w:before="120" w:after="120"/>
        <w:rPr>
          <w:lang w:val="en-GB"/>
        </w:rPr>
      </w:pPr>
      <w:r w:rsidRPr="00D93FF9">
        <w:rPr>
          <w:lang w:val="en-GB"/>
        </w:rPr>
        <w:t>EC</w:t>
      </w:r>
      <w:r w:rsidRPr="00D93FF9">
        <w:rPr>
          <w:vertAlign w:val="subscript"/>
          <w:lang w:val="en-GB"/>
        </w:rPr>
        <w:t>iw</w:t>
      </w:r>
      <w:r w:rsidRPr="00D93FF9">
        <w:rPr>
          <w:lang w:val="en-GB"/>
        </w:rPr>
        <w:tab/>
        <w:t xml:space="preserve">= electrical conductivity of </w:t>
      </w:r>
      <w:r w:rsidR="00AC071B" w:rsidRPr="00D93FF9">
        <w:rPr>
          <w:lang w:val="en-GB"/>
        </w:rPr>
        <w:t xml:space="preserve">irrigation water </w:t>
      </w:r>
      <w:r w:rsidRPr="00D93FF9">
        <w:rPr>
          <w:lang w:val="en-GB"/>
        </w:rPr>
        <w:t>(in dS/m)</w:t>
      </w:r>
    </w:p>
    <w:p w14:paraId="59DCC64E" w14:textId="77777777" w:rsidR="00FA5967" w:rsidRPr="00D93FF9" w:rsidRDefault="00E811B8" w:rsidP="008F60DE">
      <w:pPr>
        <w:pStyle w:val="BodyText"/>
        <w:spacing w:before="120" w:after="120"/>
        <w:rPr>
          <w:lang w:val="en-GB"/>
        </w:rPr>
      </w:pPr>
      <w:r w:rsidRPr="00D93FF9">
        <w:rPr>
          <w:lang w:val="en-GB"/>
        </w:rPr>
        <w:t xml:space="preserve">2.2 is a empirical conversion factor which is soil texture independent and </w:t>
      </w:r>
    </w:p>
    <w:p w14:paraId="59DCC64F" w14:textId="557361DA" w:rsidR="00FA5967" w:rsidRPr="00D93FF9" w:rsidRDefault="00E811B8" w:rsidP="008F60DE">
      <w:pPr>
        <w:pStyle w:val="BodyText"/>
        <w:spacing w:before="120" w:after="120"/>
        <w:rPr>
          <w:lang w:val="en-GB"/>
        </w:rPr>
      </w:pPr>
      <w:r w:rsidRPr="00D93FF9">
        <w:rPr>
          <w:lang w:val="en-GB"/>
        </w:rPr>
        <w:t>LF</w:t>
      </w:r>
      <w:r w:rsidRPr="00D93FF9">
        <w:rPr>
          <w:vertAlign w:val="subscript"/>
          <w:lang w:val="en-GB"/>
        </w:rPr>
        <w:t>av</w:t>
      </w:r>
      <w:r w:rsidRPr="00D93FF9">
        <w:rPr>
          <w:lang w:val="en-GB"/>
        </w:rPr>
        <w:t xml:space="preserve"> is the </w:t>
      </w:r>
      <w:r w:rsidRPr="00D93FF9">
        <w:rPr>
          <w:b/>
          <w:bCs/>
          <w:lang w:val="en-GB"/>
        </w:rPr>
        <w:t>average</w:t>
      </w:r>
      <w:r w:rsidRPr="00D93FF9">
        <w:rPr>
          <w:lang w:val="en-GB"/>
        </w:rPr>
        <w:t xml:space="preserve"> LF of the whole root zone and is calculated (following Shaw et al</w:t>
      </w:r>
      <w:r w:rsidR="00470636" w:rsidRPr="00D93FF9">
        <w:rPr>
          <w:lang w:val="en-GB"/>
        </w:rPr>
        <w:t>.</w:t>
      </w:r>
      <w:r w:rsidRPr="00D93FF9">
        <w:rPr>
          <w:lang w:val="en-GB"/>
        </w:rPr>
        <w:t xml:space="preserve"> 1987</w:t>
      </w:r>
      <w:r w:rsidR="00CF45F1" w:rsidRPr="00D93FF9">
        <w:rPr>
          <w:lang w:val="en-GB"/>
        </w:rPr>
        <w:t>;</w:t>
      </w:r>
      <w:r w:rsidRPr="00D93FF9">
        <w:rPr>
          <w:lang w:val="en-GB"/>
        </w:rPr>
        <w:t xml:space="preserve"> Rho</w:t>
      </w:r>
      <w:r w:rsidR="0041347A" w:rsidRPr="00D93FF9">
        <w:rPr>
          <w:lang w:val="en-GB"/>
        </w:rPr>
        <w:t>a</w:t>
      </w:r>
      <w:r w:rsidRPr="00D93FF9">
        <w:rPr>
          <w:lang w:val="en-GB"/>
        </w:rPr>
        <w:t>des 1982)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652" w14:textId="77777777" w:rsidTr="0087794E">
        <w:tc>
          <w:tcPr>
            <w:tcW w:w="4505" w:type="dxa"/>
          </w:tcPr>
          <w:p w14:paraId="59DCC650" w14:textId="77777777" w:rsidR="009658F8" w:rsidRPr="00D93FF9" w:rsidRDefault="00735642" w:rsidP="009658F8">
            <w:pPr>
              <w:pStyle w:val="BodyText"/>
              <w:spacing w:before="120" w:after="120"/>
              <w:rPr>
                <w:rFonts w:ascii="Cambria Math" w:hAnsi="Cambria Math"/>
                <w:iCs/>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LF</m:t>
                    </m:r>
                  </m:e>
                  <m:sub>
                    <m:r>
                      <m:rPr>
                        <m:sty m:val="p"/>
                      </m:rPr>
                      <w:rPr>
                        <w:rFonts w:ascii="Cambria Math" w:hAnsi="Cambria Math"/>
                        <w:sz w:val="22"/>
                        <w:szCs w:val="22"/>
                        <w:lang w:val="en-GB"/>
                      </w:rPr>
                      <m:t>av</m:t>
                    </m:r>
                  </m:sub>
                </m:sSub>
                <m:r>
                  <m:rPr>
                    <m:sty m:val="p"/>
                  </m:rPr>
                  <w:rPr>
                    <w:rFonts w:ascii="Cambria Math" w:hAnsi="Cambria Math"/>
                    <w:sz w:val="22"/>
                    <w:szCs w:val="22"/>
                    <w:lang w:val="en-GB"/>
                  </w:rPr>
                  <m:t>(%)=</m:t>
                </m:r>
                <m:sSup>
                  <m:sSupPr>
                    <m:ctrlPr>
                      <w:rPr>
                        <w:rFonts w:ascii="Cambria Math" w:hAnsi="Cambria Math"/>
                        <w:iCs/>
                        <w:sz w:val="22"/>
                        <w:szCs w:val="22"/>
                        <w:lang w:val="en-GB"/>
                      </w:rPr>
                    </m:ctrlPr>
                  </m:sSupPr>
                  <m:e>
                    <m:d>
                      <m:dPr>
                        <m:ctrlPr>
                          <w:rPr>
                            <w:rFonts w:ascii="Cambria Math" w:hAnsi="Cambria Math"/>
                            <w:iCs/>
                            <w:sz w:val="22"/>
                            <w:szCs w:val="22"/>
                            <w:lang w:val="en-GB"/>
                          </w:rPr>
                        </m:ctrlPr>
                      </m:dPr>
                      <m:e>
                        <m:r>
                          <m:rPr>
                            <m:sty m:val="p"/>
                          </m:rPr>
                          <w:rPr>
                            <w:rFonts w:ascii="Cambria Math" w:hAnsi="Cambria Math"/>
                            <w:sz w:val="22"/>
                            <w:szCs w:val="22"/>
                            <w:lang w:val="en-GB"/>
                          </w:rPr>
                          <m:t>0.976LF×0.282</m:t>
                        </m:r>
                      </m:e>
                    </m:d>
                  </m:e>
                  <m:sup>
                    <m:r>
                      <m:rPr>
                        <m:sty m:val="p"/>
                      </m:rPr>
                      <w:rPr>
                        <w:rFonts w:ascii="Cambria Math" w:hAnsi="Cambria Math"/>
                        <w:sz w:val="22"/>
                        <w:szCs w:val="22"/>
                        <w:lang w:val="en-GB"/>
                      </w:rPr>
                      <m:t>0.625</m:t>
                    </m:r>
                  </m:sup>
                </m:sSup>
              </m:oMath>
            </m:oMathPara>
          </w:p>
        </w:tc>
        <w:tc>
          <w:tcPr>
            <w:tcW w:w="4505" w:type="dxa"/>
          </w:tcPr>
          <w:p w14:paraId="59DCC651" w14:textId="436E405A" w:rsidR="009658F8" w:rsidRPr="00D93FF9" w:rsidRDefault="00E811B8" w:rsidP="00DA421B">
            <w:pPr>
              <w:pStyle w:val="BodyText"/>
              <w:spacing w:before="120" w:after="120"/>
              <w:jc w:val="right"/>
              <w:rPr>
                <w:b/>
                <w:bCs/>
                <w:sz w:val="22"/>
                <w:szCs w:val="22"/>
                <w:lang w:val="en-GB"/>
              </w:rPr>
            </w:pPr>
            <w:bookmarkStart w:id="113" w:name="_Ref71621708"/>
            <w:r w:rsidRPr="00D93FF9">
              <w:rPr>
                <w:b/>
                <w:bCs/>
                <w:sz w:val="22"/>
                <w:szCs w:val="22"/>
              </w:rPr>
              <w:t xml:space="preserve">Equation </w:t>
            </w:r>
            <w:r w:rsidRPr="00D93FF9">
              <w:rPr>
                <w:b/>
                <w:bCs/>
              </w:rPr>
              <w:fldChar w:fldCharType="begin"/>
            </w:r>
            <w:r w:rsidRPr="00D93FF9">
              <w:rPr>
                <w:b/>
                <w:bCs/>
                <w:sz w:val="22"/>
                <w:szCs w:val="22"/>
              </w:rPr>
              <w:instrText xml:space="preserve"> SEQ Equation \* ARABIC </w:instrText>
            </w:r>
            <w:r w:rsidRPr="00D93FF9">
              <w:rPr>
                <w:b/>
                <w:bCs/>
              </w:rPr>
              <w:fldChar w:fldCharType="separate"/>
            </w:r>
            <w:r w:rsidR="0069302C">
              <w:rPr>
                <w:b/>
                <w:bCs/>
                <w:noProof/>
                <w:sz w:val="22"/>
                <w:szCs w:val="22"/>
              </w:rPr>
              <w:t>13</w:t>
            </w:r>
            <w:r w:rsidRPr="00D93FF9">
              <w:rPr>
                <w:b/>
                <w:bCs/>
              </w:rPr>
              <w:fldChar w:fldCharType="end"/>
            </w:r>
            <w:bookmarkEnd w:id="113"/>
          </w:p>
        </w:tc>
      </w:tr>
    </w:tbl>
    <w:p w14:paraId="59DCC653" w14:textId="77777777" w:rsidR="00C46175" w:rsidRPr="00D93FF9" w:rsidRDefault="00E811B8" w:rsidP="009658F8">
      <w:pPr>
        <w:pStyle w:val="BodyText"/>
        <w:spacing w:before="120" w:after="120"/>
        <w:rPr>
          <w:lang w:val="en-GB"/>
        </w:rPr>
      </w:pPr>
      <w:r w:rsidRPr="00D93FF9">
        <w:rPr>
          <w:lang w:val="en-GB"/>
        </w:rPr>
        <w:t>where:</w:t>
      </w:r>
    </w:p>
    <w:p w14:paraId="59DCC654" w14:textId="1A2BC32C" w:rsidR="00C46175" w:rsidRPr="00D93FF9" w:rsidRDefault="00E811B8" w:rsidP="0087794E">
      <w:pPr>
        <w:pStyle w:val="BodyText"/>
        <w:spacing w:before="120" w:after="120"/>
        <w:rPr>
          <w:lang w:val="en-GB"/>
        </w:rPr>
      </w:pPr>
      <w:r w:rsidRPr="00D93FF9">
        <w:rPr>
          <w:lang w:val="en-GB"/>
        </w:rPr>
        <w:t>LF is</w:t>
      </w:r>
      <w:r w:rsidR="00FA5967" w:rsidRPr="00D93FF9">
        <w:rPr>
          <w:lang w:val="en-GB"/>
        </w:rPr>
        <w:t xml:space="preserve"> the LF at the bottom of the root zone and is</w:t>
      </w:r>
      <w:r w:rsidRPr="00D93FF9">
        <w:rPr>
          <w:lang w:val="en-GB"/>
        </w:rPr>
        <w:t xml:space="preserve"> calculated as previously discussed.</w:t>
      </w:r>
    </w:p>
    <w:p w14:paraId="59DCC655" w14:textId="55B42772" w:rsidR="00C46175" w:rsidRPr="00D93FF9" w:rsidRDefault="00E811B8" w:rsidP="0087794E">
      <w:pPr>
        <w:pStyle w:val="BodyText"/>
        <w:spacing w:before="120" w:after="120"/>
        <w:rPr>
          <w:lang w:val="en-GB"/>
        </w:rPr>
      </w:pPr>
      <w:r w:rsidRPr="00D93FF9">
        <w:rPr>
          <w:lang w:val="en-GB"/>
        </w:rPr>
        <w:t>The EC</w:t>
      </w:r>
      <w:r w:rsidRPr="00D93FF9">
        <w:rPr>
          <w:vertAlign w:val="subscript"/>
          <w:lang w:val="en-GB"/>
        </w:rPr>
        <w:t>se</w:t>
      </w:r>
      <w:r w:rsidRPr="00D93FF9">
        <w:rPr>
          <w:lang w:val="en-GB"/>
        </w:rPr>
        <w:t xml:space="preserve"> value can then be used to match plant species to a particular irrigation situation as described in the plant salt tolerance</w:t>
      </w:r>
      <w:r w:rsidR="00835971" w:rsidRPr="00D93FF9">
        <w:rPr>
          <w:lang w:val="en-GB"/>
        </w:rPr>
        <w:t xml:space="preserve"> </w:t>
      </w:r>
      <w:r w:rsidR="00835971" w:rsidRPr="00D93FF9">
        <w:rPr>
          <w:lang w:val="en-GB"/>
        </w:rPr>
        <w:fldChar w:fldCharType="begin"/>
      </w:r>
      <w:r w:rsidR="00835971" w:rsidRPr="00D93FF9">
        <w:rPr>
          <w:lang w:val="en-GB"/>
        </w:rPr>
        <w:instrText xml:space="preserve"> REF _Ref81391734 \h </w:instrText>
      </w:r>
      <w:r w:rsidR="00D93FF9">
        <w:rPr>
          <w:lang w:val="en-GB"/>
        </w:rPr>
        <w:instrText xml:space="preserve"> \* MERGEFORMAT </w:instrText>
      </w:r>
      <w:r w:rsidR="00835971" w:rsidRPr="00D93FF9">
        <w:rPr>
          <w:lang w:val="en-GB"/>
        </w:rPr>
      </w:r>
      <w:r w:rsidR="00835971" w:rsidRPr="00D93FF9">
        <w:rPr>
          <w:lang w:val="en-GB"/>
        </w:rPr>
        <w:fldChar w:fldCharType="separate"/>
      </w:r>
      <w:r w:rsidR="0069302C" w:rsidRPr="00D93FF9">
        <w:t xml:space="preserve">Table </w:t>
      </w:r>
      <w:r w:rsidR="0069302C">
        <w:rPr>
          <w:noProof/>
        </w:rPr>
        <w:t>14</w:t>
      </w:r>
      <w:r w:rsidR="00835971" w:rsidRPr="00D93FF9">
        <w:rPr>
          <w:lang w:val="en-GB"/>
        </w:rPr>
        <w:fldChar w:fldCharType="end"/>
      </w:r>
      <w:r w:rsidR="00835971" w:rsidRPr="00D93FF9">
        <w:rPr>
          <w:lang w:val="en-GB"/>
        </w:rPr>
        <w:t xml:space="preserve"> and </w:t>
      </w:r>
      <w:r w:rsidR="00835971" w:rsidRPr="00D93FF9">
        <w:rPr>
          <w:lang w:val="en-GB"/>
        </w:rPr>
        <w:fldChar w:fldCharType="begin"/>
      </w:r>
      <w:r w:rsidR="00835971" w:rsidRPr="00D93FF9">
        <w:rPr>
          <w:lang w:val="en-GB"/>
        </w:rPr>
        <w:instrText xml:space="preserve"> REF _Ref81391747 \h </w:instrText>
      </w:r>
      <w:r w:rsidR="00D93FF9">
        <w:rPr>
          <w:lang w:val="en-GB"/>
        </w:rPr>
        <w:instrText xml:space="preserve"> \* MERGEFORMAT </w:instrText>
      </w:r>
      <w:r w:rsidR="00835971" w:rsidRPr="00D93FF9">
        <w:rPr>
          <w:lang w:val="en-GB"/>
        </w:rPr>
      </w:r>
      <w:r w:rsidR="00835971" w:rsidRPr="00D93FF9">
        <w:rPr>
          <w:lang w:val="en-GB"/>
        </w:rPr>
        <w:fldChar w:fldCharType="separate"/>
      </w:r>
      <w:r w:rsidR="0069302C" w:rsidRPr="00D93FF9">
        <w:t xml:space="preserve">Table </w:t>
      </w:r>
      <w:r w:rsidR="0069302C">
        <w:rPr>
          <w:noProof/>
        </w:rPr>
        <w:t>15</w:t>
      </w:r>
      <w:r w:rsidR="00835971" w:rsidRPr="00D93FF9">
        <w:rPr>
          <w:lang w:val="en-GB"/>
        </w:rPr>
        <w:fldChar w:fldCharType="end"/>
      </w:r>
      <w:r w:rsidR="00835971" w:rsidRPr="00D93FF9">
        <w:rPr>
          <w:lang w:val="en-GB"/>
        </w:rPr>
        <w:t xml:space="preserve">. </w:t>
      </w:r>
    </w:p>
    <w:p w14:paraId="59DCC656" w14:textId="77777777" w:rsidR="00C46175" w:rsidRPr="00D93FF9" w:rsidRDefault="00E811B8" w:rsidP="0087794E">
      <w:pPr>
        <w:pStyle w:val="BodyText"/>
        <w:spacing w:before="120" w:after="120"/>
        <w:rPr>
          <w:i/>
          <w:iCs/>
        </w:rPr>
      </w:pPr>
      <w:r w:rsidRPr="00D93FF9">
        <w:rPr>
          <w:i/>
          <w:iCs/>
        </w:rPr>
        <w:t>Converting EC</w:t>
      </w:r>
      <w:r w:rsidRPr="00D93FF9">
        <w:rPr>
          <w:i/>
          <w:iCs/>
          <w:vertAlign w:val="subscript"/>
        </w:rPr>
        <w:t>1:5</w:t>
      </w:r>
      <w:r w:rsidRPr="00D93FF9">
        <w:rPr>
          <w:i/>
          <w:iCs/>
        </w:rPr>
        <w:t xml:space="preserve"> to EC</w:t>
      </w:r>
      <w:r w:rsidRPr="00D93FF9">
        <w:rPr>
          <w:i/>
          <w:iCs/>
          <w:vertAlign w:val="subscript"/>
        </w:rPr>
        <w:t>se</w:t>
      </w:r>
    </w:p>
    <w:p w14:paraId="59DCC657" w14:textId="77A5840C" w:rsidR="00082518" w:rsidRPr="00D93FF9" w:rsidRDefault="00E811B8" w:rsidP="00082518">
      <w:pPr>
        <w:pStyle w:val="BodyText"/>
        <w:spacing w:after="0" w:line="252" w:lineRule="auto"/>
        <w:jc w:val="both"/>
        <w:rPr>
          <w:lang w:val="en-GB"/>
        </w:rPr>
      </w:pPr>
      <w:r w:rsidRPr="00D93FF9">
        <w:rPr>
          <w:lang w:val="en-GB"/>
        </w:rPr>
        <w:t>Equation 12 has the limitation that the conversion factor 2.2 is soil texture invariant. As an alter</w:t>
      </w:r>
      <w:r w:rsidR="00096135" w:rsidRPr="00D93FF9">
        <w:rPr>
          <w:lang w:val="en-GB"/>
        </w:rPr>
        <w:t>n</w:t>
      </w:r>
      <w:r w:rsidRPr="00D93FF9">
        <w:rPr>
          <w:lang w:val="en-GB"/>
        </w:rPr>
        <w:t xml:space="preserve">ative Shaw (1994) developed an empirical model based </w:t>
      </w:r>
      <w:r w:rsidR="00294408" w:rsidRPr="00D93FF9">
        <w:rPr>
          <w:lang w:val="en-GB"/>
        </w:rPr>
        <w:t>where</w:t>
      </w:r>
      <w:r w:rsidRPr="00D93FF9">
        <w:rPr>
          <w:lang w:val="en-GB"/>
        </w:rPr>
        <w:t xml:space="preserve"> </w:t>
      </w:r>
      <w:r w:rsidR="00294408" w:rsidRPr="00D93FF9">
        <w:rPr>
          <w:lang w:val="en-GB"/>
        </w:rPr>
        <w:t>a</w:t>
      </w:r>
      <w:r w:rsidRPr="00D93FF9">
        <w:rPr>
          <w:lang w:val="en-GB"/>
        </w:rPr>
        <w:t xml:space="preserve"> given mass of dissolved salt in a system at two water contents is represented by:</w:t>
      </w:r>
    </w:p>
    <w:p w14:paraId="59DCC658" w14:textId="77777777" w:rsidR="00C5309F" w:rsidRPr="00D93FF9" w:rsidRDefault="00C5309F" w:rsidP="003807A1">
      <w:pPr>
        <w:pStyle w:val="BodyText"/>
        <w:spacing w:after="0" w:line="252"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65B" w14:textId="77777777" w:rsidTr="00C5309F">
        <w:tc>
          <w:tcPr>
            <w:tcW w:w="4505" w:type="dxa"/>
          </w:tcPr>
          <w:p w14:paraId="59DCC659" w14:textId="77777777" w:rsidR="00C5309F" w:rsidRPr="00D93FF9" w:rsidRDefault="00735642" w:rsidP="00066224">
            <w:pPr>
              <w:pStyle w:val="BodyText"/>
              <w:spacing w:after="60" w:line="252" w:lineRule="auto"/>
              <w:jc w:val="both"/>
              <w:rPr>
                <w:iCs/>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θ</m:t>
                    </m:r>
                  </m:e>
                  <m:sub>
                    <m:r>
                      <m:rPr>
                        <m:sty m:val="p"/>
                      </m:rPr>
                      <w:rPr>
                        <w:rFonts w:ascii="Cambria Math" w:hAnsi="Cambria Math"/>
                        <w:sz w:val="22"/>
                        <w:szCs w:val="22"/>
                        <w:lang w:val="en-GB"/>
                      </w:rPr>
                      <m:t>se</m:t>
                    </m:r>
                  </m:sub>
                </m:sSub>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se</m:t>
                    </m:r>
                  </m:sub>
                </m:sSub>
                <m:r>
                  <m:rPr>
                    <m:sty m:val="p"/>
                  </m:rPr>
                  <w:rPr>
                    <w:rFonts w:ascii="Cambria Math" w:hAnsi="Cambria Math"/>
                    <w:sz w:val="22"/>
                    <w:szCs w:val="22"/>
                    <w:lang w:val="en-GB"/>
                  </w:rPr>
                  <m:t>=</m:t>
                </m:r>
                <m:sSub>
                  <m:sSubPr>
                    <m:ctrlPr>
                      <w:rPr>
                        <w:rFonts w:ascii="Cambria Math" w:hAnsi="Cambria Math"/>
                        <w:iCs/>
                        <w:sz w:val="22"/>
                        <w:szCs w:val="22"/>
                        <w:lang w:val="en-GB"/>
                      </w:rPr>
                    </m:ctrlPr>
                  </m:sSubPr>
                  <m:e>
                    <m:r>
                      <m:rPr>
                        <m:sty m:val="p"/>
                      </m:rPr>
                      <w:rPr>
                        <w:rFonts w:ascii="Cambria Math" w:hAnsi="Cambria Math"/>
                        <w:sz w:val="22"/>
                        <w:szCs w:val="22"/>
                        <w:lang w:val="en-GB"/>
                      </w:rPr>
                      <m:t>θ</m:t>
                    </m:r>
                  </m:e>
                  <m:sub>
                    <m:r>
                      <m:rPr>
                        <m:sty m:val="p"/>
                      </m:rPr>
                      <w:rPr>
                        <w:rFonts w:ascii="Cambria Math" w:hAnsi="Cambria Math"/>
                        <w:sz w:val="22"/>
                        <w:szCs w:val="22"/>
                        <w:lang w:val="en-GB"/>
                      </w:rPr>
                      <m:t>1:5</m:t>
                    </m:r>
                  </m:sub>
                </m:sSub>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1:5</m:t>
                    </m:r>
                  </m:sub>
                </m:sSub>
              </m:oMath>
            </m:oMathPara>
          </w:p>
        </w:tc>
        <w:tc>
          <w:tcPr>
            <w:tcW w:w="4505" w:type="dxa"/>
          </w:tcPr>
          <w:p w14:paraId="59DCC65A" w14:textId="37DA748C" w:rsidR="00C5309F" w:rsidRPr="00D93FF9" w:rsidRDefault="00E811B8" w:rsidP="00C5309F">
            <w:pPr>
              <w:pStyle w:val="BodyText"/>
              <w:spacing w:after="0" w:line="252" w:lineRule="auto"/>
              <w:jc w:val="right"/>
              <w:rPr>
                <w:b/>
                <w:bCs/>
                <w:sz w:val="22"/>
                <w:szCs w:val="22"/>
                <w:lang w:val="en-GB"/>
              </w:rPr>
            </w:pPr>
            <w:r w:rsidRPr="00D93FF9">
              <w:rPr>
                <w:b/>
                <w:bCs/>
                <w:sz w:val="22"/>
                <w:szCs w:val="22"/>
              </w:rPr>
              <w:t xml:space="preserve">Equation </w:t>
            </w:r>
            <w:r w:rsidRPr="00D93FF9">
              <w:rPr>
                <w:b/>
                <w:bCs/>
              </w:rPr>
              <w:fldChar w:fldCharType="begin"/>
            </w:r>
            <w:r w:rsidRPr="00D93FF9">
              <w:rPr>
                <w:b/>
                <w:bCs/>
                <w:sz w:val="22"/>
                <w:szCs w:val="22"/>
              </w:rPr>
              <w:instrText xml:space="preserve"> SEQ Equation \* ARABIC </w:instrText>
            </w:r>
            <w:r w:rsidRPr="00D93FF9">
              <w:rPr>
                <w:b/>
                <w:bCs/>
              </w:rPr>
              <w:fldChar w:fldCharType="separate"/>
            </w:r>
            <w:r w:rsidR="0069302C">
              <w:rPr>
                <w:b/>
                <w:bCs/>
                <w:noProof/>
                <w:sz w:val="22"/>
                <w:szCs w:val="22"/>
              </w:rPr>
              <w:t>14</w:t>
            </w:r>
            <w:r w:rsidRPr="00D93FF9">
              <w:rPr>
                <w:b/>
                <w:bCs/>
              </w:rPr>
              <w:fldChar w:fldCharType="end"/>
            </w:r>
          </w:p>
        </w:tc>
      </w:tr>
    </w:tbl>
    <w:p w14:paraId="59DCC65C" w14:textId="77777777" w:rsidR="00C5309F" w:rsidRPr="00D93FF9" w:rsidRDefault="00C5309F" w:rsidP="003807A1">
      <w:pPr>
        <w:pStyle w:val="BodyText"/>
        <w:spacing w:after="0" w:line="252" w:lineRule="auto"/>
        <w:jc w:val="both"/>
        <w:rPr>
          <w:lang w:val="en-GB"/>
        </w:rPr>
      </w:pPr>
    </w:p>
    <w:p w14:paraId="59DCC65D" w14:textId="77777777" w:rsidR="00B17C95" w:rsidRPr="00D93FF9" w:rsidRDefault="00E811B8" w:rsidP="003807A1">
      <w:pPr>
        <w:pStyle w:val="BodyText"/>
        <w:spacing w:after="0"/>
        <w:rPr>
          <w:lang w:val="en-GB"/>
        </w:rPr>
      </w:pPr>
      <w:r w:rsidRPr="00D93FF9">
        <w:rPr>
          <w:lang w:val="en-GB"/>
        </w:rPr>
        <w:t>This equation can be then rearranged as:</w:t>
      </w:r>
      <w:r w:rsidR="00DA6B30" w:rsidRPr="00D93FF9">
        <w:rPr>
          <w:lang w:val="en-GB"/>
        </w:rPr>
        <w:t xml:space="preserve"> </w:t>
      </w:r>
    </w:p>
    <w:p w14:paraId="59DCC65E" w14:textId="77777777" w:rsidR="007F2CDA" w:rsidRPr="00D93FF9" w:rsidRDefault="007F2CDA" w:rsidP="003807A1">
      <w:pPr>
        <w:pStyle w:val="BodyText"/>
        <w:spacing w:after="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662" w14:textId="77777777" w:rsidTr="007F2CDA">
        <w:tc>
          <w:tcPr>
            <w:tcW w:w="4505" w:type="dxa"/>
          </w:tcPr>
          <w:p w14:paraId="59DCC65F" w14:textId="77777777" w:rsidR="007F2CDA" w:rsidRPr="00D93FF9" w:rsidRDefault="00E811B8" w:rsidP="003807A1">
            <w:pPr>
              <w:pStyle w:val="BodyText"/>
              <w:spacing w:after="0"/>
              <w:rPr>
                <w:sz w:val="22"/>
                <w:szCs w:val="22"/>
                <w:lang w:val="en-GB"/>
              </w:rPr>
            </w:pPr>
            <m:oMathPara>
              <m:oMathParaPr>
                <m:jc m:val="left"/>
              </m:oMathParaPr>
              <m:oMath>
                <m:r>
                  <m:rPr>
                    <m:sty m:val="p"/>
                  </m:rPr>
                  <w:rPr>
                    <w:rFonts w:ascii="Cambria Math" w:hAnsi="Cambria Math"/>
                    <w:noProof/>
                    <w:sz w:val="22"/>
                    <w:szCs w:val="22"/>
                  </w:rPr>
                  <m:t>E</m:t>
                </m:r>
                <m:sSub>
                  <m:sSubPr>
                    <m:ctrlPr>
                      <w:rPr>
                        <w:rFonts w:ascii="Cambria Math" w:hAnsi="Cambria Math"/>
                        <w:iCs/>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se</m:t>
                    </m:r>
                  </m:sub>
                </m:sSub>
                <m:r>
                  <m:rPr>
                    <m:sty m:val="p"/>
                  </m:rPr>
                  <w:rPr>
                    <w:rFonts w:ascii="Cambria Math" w:hAnsi="Cambria Math"/>
                    <w:noProof/>
                    <w:sz w:val="22"/>
                    <w:szCs w:val="22"/>
                  </w:rPr>
                  <m:t>=E</m:t>
                </m:r>
                <m:sSub>
                  <m:sSubPr>
                    <m:ctrlPr>
                      <w:rPr>
                        <w:rFonts w:ascii="Cambria Math" w:hAnsi="Cambria Math"/>
                        <w:iCs/>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1:5</m:t>
                    </m:r>
                  </m:sub>
                </m:sSub>
                <m:d>
                  <m:dPr>
                    <m:ctrlPr>
                      <w:rPr>
                        <w:rFonts w:ascii="Cambria Math" w:hAnsi="Cambria Math"/>
                        <w:iCs/>
                        <w:noProof/>
                        <w:sz w:val="22"/>
                        <w:szCs w:val="22"/>
                      </w:rPr>
                    </m:ctrlPr>
                  </m:dPr>
                  <m:e>
                    <m:f>
                      <m:fPr>
                        <m:ctrlPr>
                          <w:rPr>
                            <w:rFonts w:ascii="Cambria Math" w:hAnsi="Cambria Math"/>
                            <w:noProof/>
                            <w:sz w:val="22"/>
                            <w:szCs w:val="22"/>
                          </w:rPr>
                        </m:ctrlPr>
                      </m:fPr>
                      <m:num>
                        <m:sSub>
                          <m:sSubPr>
                            <m:ctrlPr>
                              <w:rPr>
                                <w:rFonts w:ascii="Cambria Math" w:hAnsi="Cambria Math"/>
                                <w:noProof/>
                                <w:sz w:val="22"/>
                                <w:szCs w:val="22"/>
                              </w:rPr>
                            </m:ctrlPr>
                          </m:sSubPr>
                          <m:e>
                            <m:r>
                              <m:rPr>
                                <m:sty m:val="p"/>
                              </m:rPr>
                              <w:rPr>
                                <w:rFonts w:ascii="Cambria Math" w:hAnsi="Cambria Math"/>
                                <w:sz w:val="22"/>
                                <w:szCs w:val="22"/>
                                <w:lang w:val="en-GB"/>
                              </w:rPr>
                              <m:t>θ</m:t>
                            </m:r>
                          </m:e>
                          <m:sub>
                            <m:r>
                              <m:rPr>
                                <m:sty m:val="p"/>
                              </m:rPr>
                              <w:rPr>
                                <w:rFonts w:ascii="Cambria Math" w:hAnsi="Cambria Math"/>
                                <w:noProof/>
                                <w:sz w:val="22"/>
                                <w:szCs w:val="22"/>
                              </w:rPr>
                              <m:t>1:5</m:t>
                            </m:r>
                          </m:sub>
                        </m:sSub>
                      </m:num>
                      <m:den>
                        <m:sSub>
                          <m:sSubPr>
                            <m:ctrlPr>
                              <w:rPr>
                                <w:rFonts w:ascii="Cambria Math" w:hAnsi="Cambria Math"/>
                                <w:noProof/>
                                <w:sz w:val="22"/>
                                <w:szCs w:val="22"/>
                              </w:rPr>
                            </m:ctrlPr>
                          </m:sSubPr>
                          <m:e>
                            <m:r>
                              <m:rPr>
                                <m:sty m:val="p"/>
                              </m:rPr>
                              <w:rPr>
                                <w:rFonts w:ascii="Cambria Math" w:hAnsi="Cambria Math"/>
                                <w:sz w:val="22"/>
                                <w:szCs w:val="22"/>
                                <w:lang w:val="en-GB"/>
                              </w:rPr>
                              <m:t>θ</m:t>
                            </m:r>
                          </m:e>
                          <m:sub>
                            <m:r>
                              <m:rPr>
                                <m:sty m:val="p"/>
                              </m:rPr>
                              <w:rPr>
                                <w:rFonts w:ascii="Cambria Math" w:hAnsi="Cambria Math"/>
                                <w:noProof/>
                                <w:sz w:val="22"/>
                                <w:szCs w:val="22"/>
                              </w:rPr>
                              <m:t>se</m:t>
                            </m:r>
                          </m:sub>
                        </m:sSub>
                      </m:den>
                    </m:f>
                  </m:e>
                </m:d>
              </m:oMath>
            </m:oMathPara>
          </w:p>
        </w:tc>
        <w:tc>
          <w:tcPr>
            <w:tcW w:w="4505" w:type="dxa"/>
          </w:tcPr>
          <w:p w14:paraId="59DCC660" w14:textId="3254F257" w:rsidR="007F2CDA" w:rsidRPr="00D93FF9" w:rsidRDefault="00E811B8" w:rsidP="00B474ED">
            <w:pPr>
              <w:pStyle w:val="Caption"/>
              <w:jc w:val="right"/>
              <w:rPr>
                <w:sz w:val="22"/>
                <w:szCs w:val="22"/>
              </w:rPr>
            </w:pPr>
            <w:bookmarkStart w:id="114" w:name="_Ref71621190"/>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15</w:t>
            </w:r>
            <w:r w:rsidRPr="00D93FF9">
              <w:rPr>
                <w:szCs w:val="22"/>
              </w:rPr>
              <w:fldChar w:fldCharType="end"/>
            </w:r>
            <w:bookmarkEnd w:id="114"/>
          </w:p>
          <w:p w14:paraId="59DCC661" w14:textId="77777777" w:rsidR="007F2CDA" w:rsidRPr="00D93FF9" w:rsidRDefault="007F2CDA" w:rsidP="003807A1">
            <w:pPr>
              <w:pStyle w:val="BodyText"/>
              <w:spacing w:after="0"/>
              <w:rPr>
                <w:sz w:val="22"/>
                <w:szCs w:val="22"/>
                <w:lang w:val="en-GB"/>
              </w:rPr>
            </w:pPr>
          </w:p>
        </w:tc>
      </w:tr>
    </w:tbl>
    <w:p w14:paraId="59DCC663" w14:textId="77777777" w:rsidR="007F2CDA" w:rsidRPr="00D93FF9" w:rsidRDefault="007F2CDA" w:rsidP="003807A1">
      <w:pPr>
        <w:pStyle w:val="BodyText"/>
        <w:spacing w:after="0"/>
        <w:rPr>
          <w:lang w:val="en-GB"/>
        </w:rPr>
      </w:pPr>
    </w:p>
    <w:p w14:paraId="59DCC664" w14:textId="77777777" w:rsidR="00C46175" w:rsidRPr="00D93FF9" w:rsidRDefault="00E811B8" w:rsidP="00B474ED">
      <w:pPr>
        <w:pStyle w:val="BodyText"/>
        <w:spacing w:after="0"/>
        <w:jc w:val="both"/>
        <w:rPr>
          <w:lang w:val="en-GB"/>
        </w:rPr>
      </w:pPr>
      <w:r w:rsidRPr="00D93FF9">
        <w:rPr>
          <w:lang w:val="en-GB"/>
        </w:rPr>
        <w:t>where:</w:t>
      </w:r>
    </w:p>
    <w:p w14:paraId="59DCC665" w14:textId="69F176E6" w:rsidR="00544311" w:rsidRPr="00D93FF9" w:rsidRDefault="00E811B8" w:rsidP="00B474ED">
      <w:pPr>
        <w:pStyle w:val="BodyText"/>
        <w:tabs>
          <w:tab w:val="left" w:pos="992"/>
        </w:tabs>
        <w:spacing w:after="0" w:line="348" w:lineRule="auto"/>
        <w:jc w:val="both"/>
        <w:rPr>
          <w:lang w:val="en-GB"/>
        </w:rPr>
      </w:pPr>
      <w:r w:rsidRPr="00D93FF9">
        <w:rPr>
          <w:lang w:val="en-GB"/>
        </w:rPr>
        <w:t>θ</w:t>
      </w:r>
      <w:r w:rsidR="00E90CE0" w:rsidRPr="00D93FF9">
        <w:rPr>
          <w:position w:val="-4"/>
          <w:sz w:val="15"/>
          <w:lang w:val="en-GB"/>
        </w:rPr>
        <w:t>se</w:t>
      </w:r>
      <w:r w:rsidR="00E90CE0" w:rsidRPr="00D93FF9">
        <w:rPr>
          <w:position w:val="-4"/>
          <w:sz w:val="15"/>
          <w:lang w:val="en-GB"/>
        </w:rPr>
        <w:tab/>
      </w:r>
      <w:r w:rsidR="00E90CE0" w:rsidRPr="00D93FF9">
        <w:rPr>
          <w:lang w:val="en-GB"/>
        </w:rPr>
        <w:t>= water content</w:t>
      </w:r>
      <w:r w:rsidR="00082518" w:rsidRPr="00D93FF9">
        <w:rPr>
          <w:lang w:val="en-GB"/>
        </w:rPr>
        <w:t xml:space="preserve"> (g/g) at </w:t>
      </w:r>
      <w:r w:rsidR="00E90CE0" w:rsidRPr="00D93FF9">
        <w:rPr>
          <w:lang w:val="en-GB"/>
        </w:rPr>
        <w:t>t</w:t>
      </w:r>
      <w:r w:rsidR="00294408" w:rsidRPr="00D93FF9">
        <w:rPr>
          <w:lang w:val="en-GB"/>
        </w:rPr>
        <w:t>he</w:t>
      </w:r>
      <w:r w:rsidR="00E90CE0" w:rsidRPr="00D93FF9">
        <w:rPr>
          <w:lang w:val="en-GB"/>
        </w:rPr>
        <w:t xml:space="preserve"> soil saturation </w:t>
      </w:r>
      <w:r w:rsidR="00294408" w:rsidRPr="00D93FF9">
        <w:rPr>
          <w:lang w:val="en-GB"/>
        </w:rPr>
        <w:t xml:space="preserve">extract </w:t>
      </w:r>
    </w:p>
    <w:p w14:paraId="59DCC666" w14:textId="77777777" w:rsidR="00544311" w:rsidRPr="00D93FF9" w:rsidRDefault="00E811B8" w:rsidP="00B474ED">
      <w:pPr>
        <w:pStyle w:val="BodyText"/>
        <w:tabs>
          <w:tab w:val="left" w:pos="992"/>
        </w:tabs>
        <w:spacing w:after="0" w:line="348" w:lineRule="auto"/>
        <w:jc w:val="both"/>
        <w:rPr>
          <w:lang w:val="en-GB"/>
        </w:rPr>
      </w:pPr>
      <w:r w:rsidRPr="00D93FF9">
        <w:rPr>
          <w:lang w:val="en-GB"/>
        </w:rPr>
        <w:t>EC</w:t>
      </w:r>
      <w:r w:rsidRPr="00D93FF9">
        <w:rPr>
          <w:position w:val="-4"/>
          <w:sz w:val="15"/>
          <w:lang w:val="en-GB"/>
        </w:rPr>
        <w:t>se</w:t>
      </w:r>
      <w:r w:rsidRPr="00D93FF9">
        <w:rPr>
          <w:position w:val="-4"/>
          <w:sz w:val="15"/>
          <w:lang w:val="en-GB"/>
        </w:rPr>
        <w:tab/>
      </w:r>
      <w:r w:rsidRPr="00D93FF9">
        <w:rPr>
          <w:lang w:val="en-GB"/>
        </w:rPr>
        <w:t>= electrical conductivity</w:t>
      </w:r>
      <w:r w:rsidR="00082518" w:rsidRPr="00D93FF9">
        <w:rPr>
          <w:lang w:val="en-GB"/>
        </w:rPr>
        <w:t xml:space="preserve"> (dS/m)</w:t>
      </w:r>
      <w:r w:rsidRPr="00D93FF9">
        <w:rPr>
          <w:lang w:val="en-GB"/>
        </w:rPr>
        <w:t xml:space="preserve"> of </w:t>
      </w:r>
      <w:r w:rsidR="00082518" w:rsidRPr="00D93FF9">
        <w:rPr>
          <w:lang w:val="en-GB"/>
        </w:rPr>
        <w:t xml:space="preserve">the soil </w:t>
      </w:r>
      <w:r w:rsidRPr="00D93FF9">
        <w:rPr>
          <w:lang w:val="en-GB"/>
        </w:rPr>
        <w:t>solution at the water content Q</w:t>
      </w:r>
      <w:r w:rsidRPr="00D93FF9">
        <w:rPr>
          <w:position w:val="-4"/>
          <w:sz w:val="15"/>
          <w:lang w:val="en-GB"/>
        </w:rPr>
        <w:t>se</w:t>
      </w:r>
    </w:p>
    <w:p w14:paraId="59DCC667" w14:textId="77777777" w:rsidR="00C46175" w:rsidRPr="00D93FF9" w:rsidRDefault="00E811B8" w:rsidP="00B474ED">
      <w:pPr>
        <w:pStyle w:val="BodyText"/>
        <w:tabs>
          <w:tab w:val="left" w:pos="992"/>
        </w:tabs>
        <w:spacing w:after="0" w:line="348" w:lineRule="auto"/>
        <w:jc w:val="both"/>
        <w:rPr>
          <w:lang w:val="en-GB"/>
        </w:rPr>
      </w:pPr>
      <w:r w:rsidRPr="00D93FF9">
        <w:rPr>
          <w:lang w:val="en-GB"/>
        </w:rPr>
        <w:t>θ</w:t>
      </w:r>
      <w:r w:rsidR="00E90CE0" w:rsidRPr="00D93FF9">
        <w:rPr>
          <w:position w:val="-4"/>
          <w:sz w:val="15"/>
          <w:lang w:val="en-GB"/>
        </w:rPr>
        <w:t>1:5</w:t>
      </w:r>
      <w:r w:rsidR="00E90CE0" w:rsidRPr="00D93FF9">
        <w:rPr>
          <w:position w:val="-4"/>
          <w:sz w:val="15"/>
          <w:lang w:val="en-GB"/>
        </w:rPr>
        <w:tab/>
      </w:r>
      <w:r w:rsidR="00E90CE0" w:rsidRPr="00D93FF9">
        <w:rPr>
          <w:lang w:val="en-GB"/>
        </w:rPr>
        <w:t xml:space="preserve">= water content </w:t>
      </w:r>
      <w:r w:rsidR="00082518" w:rsidRPr="00D93FF9">
        <w:rPr>
          <w:lang w:val="en-GB"/>
        </w:rPr>
        <w:t>(g/g) of the</w:t>
      </w:r>
      <w:r w:rsidR="00E90CE0" w:rsidRPr="00D93FF9">
        <w:rPr>
          <w:lang w:val="en-GB"/>
        </w:rPr>
        <w:t xml:space="preserve"> 1:5 soil water</w:t>
      </w:r>
      <w:r w:rsidR="00E90CE0" w:rsidRPr="00D93FF9">
        <w:rPr>
          <w:spacing w:val="2"/>
          <w:lang w:val="en-GB"/>
        </w:rPr>
        <w:t xml:space="preserve"> </w:t>
      </w:r>
      <w:r w:rsidR="00E90CE0" w:rsidRPr="00D93FF9">
        <w:rPr>
          <w:lang w:val="en-GB"/>
        </w:rPr>
        <w:t>suspension</w:t>
      </w:r>
    </w:p>
    <w:p w14:paraId="59DCC668" w14:textId="77777777" w:rsidR="00C46175" w:rsidRPr="00D93FF9" w:rsidRDefault="00E811B8" w:rsidP="00B474ED">
      <w:pPr>
        <w:pStyle w:val="BodyText"/>
        <w:tabs>
          <w:tab w:val="left" w:pos="992"/>
        </w:tabs>
        <w:spacing w:after="0" w:line="348" w:lineRule="auto"/>
        <w:jc w:val="both"/>
        <w:rPr>
          <w:lang w:val="en-GB"/>
        </w:rPr>
      </w:pPr>
      <w:r w:rsidRPr="00D93FF9">
        <w:rPr>
          <w:lang w:val="en-GB"/>
        </w:rPr>
        <w:t>EC</w:t>
      </w:r>
      <w:r w:rsidRPr="00D93FF9">
        <w:rPr>
          <w:position w:val="-4"/>
          <w:sz w:val="15"/>
          <w:lang w:val="en-GB"/>
        </w:rPr>
        <w:t>1:5</w:t>
      </w:r>
      <w:r w:rsidRPr="00D93FF9">
        <w:rPr>
          <w:position w:val="-4"/>
          <w:sz w:val="15"/>
          <w:lang w:val="en-GB"/>
        </w:rPr>
        <w:tab/>
      </w:r>
      <w:r w:rsidRPr="00D93FF9">
        <w:rPr>
          <w:sz w:val="20"/>
          <w:lang w:val="en-GB"/>
        </w:rPr>
        <w:t xml:space="preserve">= </w:t>
      </w:r>
      <w:r w:rsidRPr="00D93FF9">
        <w:rPr>
          <w:lang w:val="en-GB"/>
        </w:rPr>
        <w:t xml:space="preserve">electrical conductivity of salt solution at 1:5 soil water dilution </w:t>
      </w:r>
    </w:p>
    <w:p w14:paraId="59DCC669" w14:textId="77777777" w:rsidR="00C46175" w:rsidRPr="00D93FF9" w:rsidRDefault="00E811B8" w:rsidP="00B474ED">
      <w:pPr>
        <w:pStyle w:val="BodyText"/>
        <w:spacing w:after="0" w:line="266" w:lineRule="auto"/>
        <w:jc w:val="both"/>
        <w:rPr>
          <w:lang w:val="en-GB"/>
        </w:rPr>
      </w:pPr>
      <w:r w:rsidRPr="00D93FF9">
        <w:rPr>
          <w:lang w:val="en-GB"/>
        </w:rPr>
        <w:lastRenderedPageBreak/>
        <w:t>A number of constraints exist with practical applications of a simple water content ratio conversion. These are discussed in detail in Shaw (1994).</w:t>
      </w:r>
    </w:p>
    <w:p w14:paraId="59DCC66A" w14:textId="77777777" w:rsidR="00C46175" w:rsidRPr="00D93FF9" w:rsidRDefault="00E811B8" w:rsidP="00B474ED">
      <w:pPr>
        <w:pStyle w:val="ListBullet"/>
        <w:jc w:val="both"/>
        <w:rPr>
          <w:rFonts w:ascii="Symbol" w:hAnsi="Symbol"/>
          <w:lang w:val="en-GB"/>
        </w:rPr>
      </w:pPr>
      <w:r w:rsidRPr="00D93FF9">
        <w:rPr>
          <w:lang w:val="en-GB"/>
        </w:rPr>
        <w:t>Saturation water content is not unique, varying with methodology and in conversions. Using the above method, saturation water content would have to be predicted from other soil properties such as air</w:t>
      </w:r>
      <w:r w:rsidR="00D030CE" w:rsidRPr="00D93FF9">
        <w:rPr>
          <w:lang w:val="en-GB"/>
        </w:rPr>
        <w:t>-</w:t>
      </w:r>
      <w:r w:rsidRPr="00D93FF9">
        <w:rPr>
          <w:lang w:val="en-GB"/>
        </w:rPr>
        <w:t>dried soil moisture and clay</w:t>
      </w:r>
      <w:r w:rsidRPr="00D93FF9">
        <w:rPr>
          <w:spacing w:val="-1"/>
          <w:lang w:val="en-GB"/>
        </w:rPr>
        <w:t xml:space="preserve"> </w:t>
      </w:r>
      <w:r w:rsidRPr="00D93FF9">
        <w:rPr>
          <w:lang w:val="en-GB"/>
        </w:rPr>
        <w:t>contents.</w:t>
      </w:r>
    </w:p>
    <w:p w14:paraId="59DCC66B" w14:textId="77777777" w:rsidR="00C46175" w:rsidRPr="00D93FF9" w:rsidRDefault="00E811B8" w:rsidP="001758C8">
      <w:pPr>
        <w:pStyle w:val="ListBullet"/>
        <w:spacing w:line="266" w:lineRule="auto"/>
        <w:jc w:val="both"/>
        <w:rPr>
          <w:lang w:val="en-GB"/>
        </w:rPr>
      </w:pPr>
      <w:r w:rsidRPr="00D93FF9">
        <w:rPr>
          <w:lang w:val="en-GB"/>
        </w:rPr>
        <w:t>Soils contain salts of varying solubility. Calcium sulfate (gypsum), sodium carbonate and bicarbonate, and calcium carbonate are more soluble in dilute solutions, and their solubility</w:t>
      </w:r>
      <w:r w:rsidRPr="00D93FF9">
        <w:rPr>
          <w:spacing w:val="9"/>
          <w:lang w:val="en-GB"/>
        </w:rPr>
        <w:t xml:space="preserve"> </w:t>
      </w:r>
      <w:r w:rsidRPr="00D93FF9">
        <w:rPr>
          <w:lang w:val="en-GB"/>
        </w:rPr>
        <w:t>depends</w:t>
      </w:r>
      <w:r w:rsidRPr="00D93FF9">
        <w:rPr>
          <w:spacing w:val="13"/>
          <w:lang w:val="en-GB"/>
        </w:rPr>
        <w:t xml:space="preserve"> </w:t>
      </w:r>
      <w:r w:rsidRPr="00D93FF9">
        <w:rPr>
          <w:lang w:val="en-GB"/>
        </w:rPr>
        <w:t>on</w:t>
      </w:r>
      <w:r w:rsidRPr="00D93FF9">
        <w:rPr>
          <w:spacing w:val="12"/>
          <w:lang w:val="en-GB"/>
        </w:rPr>
        <w:t xml:space="preserve"> </w:t>
      </w:r>
      <w:r w:rsidRPr="00D93FF9">
        <w:rPr>
          <w:lang w:val="en-GB"/>
        </w:rPr>
        <w:t>the</w:t>
      </w:r>
      <w:r w:rsidRPr="00D93FF9">
        <w:rPr>
          <w:spacing w:val="13"/>
          <w:lang w:val="en-GB"/>
        </w:rPr>
        <w:t xml:space="preserve"> </w:t>
      </w:r>
      <w:r w:rsidRPr="00D93FF9">
        <w:rPr>
          <w:lang w:val="en-GB"/>
        </w:rPr>
        <w:t>composition</w:t>
      </w:r>
      <w:r w:rsidRPr="00D93FF9">
        <w:rPr>
          <w:spacing w:val="13"/>
          <w:lang w:val="en-GB"/>
        </w:rPr>
        <w:t xml:space="preserve"> </w:t>
      </w:r>
      <w:r w:rsidRPr="00D93FF9">
        <w:rPr>
          <w:lang w:val="en-GB"/>
        </w:rPr>
        <w:t>of</w:t>
      </w:r>
      <w:r w:rsidRPr="00D93FF9">
        <w:rPr>
          <w:spacing w:val="12"/>
          <w:lang w:val="en-GB"/>
        </w:rPr>
        <w:t xml:space="preserve"> </w:t>
      </w:r>
      <w:r w:rsidRPr="00D93FF9">
        <w:rPr>
          <w:lang w:val="en-GB"/>
        </w:rPr>
        <w:t>other</w:t>
      </w:r>
      <w:r w:rsidRPr="00D93FF9">
        <w:rPr>
          <w:spacing w:val="13"/>
          <w:lang w:val="en-GB"/>
        </w:rPr>
        <w:t xml:space="preserve"> </w:t>
      </w:r>
      <w:r w:rsidRPr="00D93FF9">
        <w:rPr>
          <w:lang w:val="en-GB"/>
        </w:rPr>
        <w:t>salts</w:t>
      </w:r>
      <w:r w:rsidRPr="00D93FF9">
        <w:rPr>
          <w:spacing w:val="13"/>
          <w:lang w:val="en-GB"/>
        </w:rPr>
        <w:t xml:space="preserve"> </w:t>
      </w:r>
      <w:r w:rsidRPr="00D93FF9">
        <w:rPr>
          <w:lang w:val="en-GB"/>
        </w:rPr>
        <w:t>present</w:t>
      </w:r>
      <w:r w:rsidRPr="00D93FF9">
        <w:rPr>
          <w:spacing w:val="12"/>
          <w:lang w:val="en-GB"/>
        </w:rPr>
        <w:t xml:space="preserve"> </w:t>
      </w:r>
      <w:r w:rsidRPr="00D93FF9">
        <w:rPr>
          <w:lang w:val="en-GB"/>
        </w:rPr>
        <w:t>(e.g.</w:t>
      </w:r>
      <w:r w:rsidRPr="00D93FF9">
        <w:rPr>
          <w:spacing w:val="16"/>
          <w:lang w:val="en-GB"/>
        </w:rPr>
        <w:t xml:space="preserve"> </w:t>
      </w:r>
      <w:r w:rsidRPr="00D93FF9">
        <w:rPr>
          <w:lang w:val="en-GB"/>
        </w:rPr>
        <w:t>gypsum</w:t>
      </w:r>
      <w:r w:rsidRPr="00D93FF9">
        <w:rPr>
          <w:spacing w:val="11"/>
          <w:lang w:val="en-GB"/>
        </w:rPr>
        <w:t xml:space="preserve"> </w:t>
      </w:r>
      <w:r w:rsidRPr="00D93FF9">
        <w:rPr>
          <w:lang w:val="en-GB"/>
        </w:rPr>
        <w:t>is</w:t>
      </w:r>
      <w:r w:rsidRPr="00D93FF9">
        <w:rPr>
          <w:spacing w:val="15"/>
          <w:lang w:val="en-GB"/>
        </w:rPr>
        <w:t xml:space="preserve"> </w:t>
      </w:r>
      <w:r w:rsidRPr="00D93FF9">
        <w:rPr>
          <w:lang w:val="en-GB"/>
        </w:rPr>
        <w:t>more</w:t>
      </w:r>
      <w:r w:rsidRPr="00D93FF9">
        <w:rPr>
          <w:spacing w:val="16"/>
          <w:lang w:val="en-GB"/>
        </w:rPr>
        <w:t xml:space="preserve"> </w:t>
      </w:r>
      <w:r w:rsidRPr="00D93FF9">
        <w:rPr>
          <w:lang w:val="en-GB"/>
        </w:rPr>
        <w:t>soluble</w:t>
      </w:r>
      <w:bookmarkStart w:id="115" w:name="Calculation_of_ECs"/>
      <w:bookmarkEnd w:id="115"/>
      <w:r w:rsidR="00B17C95" w:rsidRPr="00D93FF9">
        <w:rPr>
          <w:lang w:val="en-GB"/>
        </w:rPr>
        <w:t xml:space="preserve"> </w:t>
      </w:r>
      <w:r w:rsidRPr="00D93FF9">
        <w:rPr>
          <w:lang w:val="en-GB"/>
        </w:rPr>
        <w:t>if sodium chloride is present and less soluble if calcium chloride is present). Hence the composition of salts is important in a 1:5 soil:water suspension.</w:t>
      </w:r>
    </w:p>
    <w:p w14:paraId="59DCC66C" w14:textId="77777777" w:rsidR="00C46175" w:rsidRPr="00D93FF9" w:rsidRDefault="00E811B8" w:rsidP="00B474ED">
      <w:pPr>
        <w:pStyle w:val="ListBullet"/>
        <w:jc w:val="both"/>
        <w:rPr>
          <w:rFonts w:ascii="Symbol" w:hAnsi="Symbol"/>
          <w:lang w:val="en-GB"/>
        </w:rPr>
      </w:pPr>
      <w:r w:rsidRPr="00D93FF9">
        <w:rPr>
          <w:lang w:val="en-GB"/>
        </w:rPr>
        <w:t>In some cases where clay remains in suspension, the charge carried by the clay contributes to EC</w:t>
      </w:r>
      <w:r w:rsidRPr="00D93FF9">
        <w:rPr>
          <w:position w:val="-4"/>
          <w:sz w:val="15"/>
          <w:lang w:val="en-GB"/>
        </w:rPr>
        <w:t>1:5</w:t>
      </w:r>
      <w:r w:rsidRPr="00D93FF9">
        <w:rPr>
          <w:lang w:val="en-GB"/>
        </w:rPr>
        <w:t>. This is not taken into consideration in EC</w:t>
      </w:r>
      <w:r w:rsidRPr="00D93FF9">
        <w:rPr>
          <w:position w:val="-4"/>
          <w:sz w:val="15"/>
          <w:lang w:val="en-GB"/>
        </w:rPr>
        <w:t>se</w:t>
      </w:r>
      <w:r w:rsidRPr="00D93FF9">
        <w:rPr>
          <w:lang w:val="en-GB"/>
        </w:rPr>
        <w:t>, which is measured on extracts without any clay</w:t>
      </w:r>
      <w:r w:rsidRPr="00D93FF9">
        <w:rPr>
          <w:spacing w:val="-6"/>
          <w:lang w:val="en-GB"/>
        </w:rPr>
        <w:t xml:space="preserve"> </w:t>
      </w:r>
      <w:r w:rsidRPr="00D93FF9">
        <w:rPr>
          <w:lang w:val="en-GB"/>
        </w:rPr>
        <w:t>contribution.</w:t>
      </w:r>
    </w:p>
    <w:p w14:paraId="59DCC66D" w14:textId="77777777" w:rsidR="00C46175" w:rsidRPr="00D93FF9" w:rsidRDefault="00E811B8" w:rsidP="00B474ED">
      <w:pPr>
        <w:pStyle w:val="ListBullet"/>
        <w:jc w:val="both"/>
        <w:rPr>
          <w:rFonts w:ascii="Symbol" w:hAnsi="Symbol"/>
          <w:lang w:val="en-GB"/>
        </w:rPr>
      </w:pPr>
      <w:r w:rsidRPr="00D93FF9">
        <w:rPr>
          <w:lang w:val="en-GB"/>
        </w:rPr>
        <w:t>The increase in dilution ratio results in ion exchange with a preference for monovalent ions such as sodium on the exchange complex.</w:t>
      </w:r>
    </w:p>
    <w:p w14:paraId="59DCC66E" w14:textId="77777777" w:rsidR="00C46175" w:rsidRPr="00D93FF9" w:rsidRDefault="00E811B8" w:rsidP="00B474ED">
      <w:pPr>
        <w:pStyle w:val="ListBullet"/>
        <w:jc w:val="both"/>
        <w:rPr>
          <w:rFonts w:ascii="Symbol" w:hAnsi="Symbol"/>
          <w:lang w:val="en-GB"/>
        </w:rPr>
      </w:pPr>
      <w:r w:rsidRPr="00D93FF9">
        <w:rPr>
          <w:lang w:val="en-GB"/>
        </w:rPr>
        <w:t>As a solution becomes more concentrated, dissolved ions pair together forming neutral ion pairs such as calcium sulfate. Since these ion pairs do not conduct an electrical current, the EC at high concentrations of salts that form ion pairs is reduced. Thus</w:t>
      </w:r>
      <w:r w:rsidR="00096135" w:rsidRPr="00D93FF9">
        <w:rPr>
          <w:lang w:val="en-GB"/>
        </w:rPr>
        <w:t>,</w:t>
      </w:r>
      <w:r w:rsidRPr="00D93FF9">
        <w:rPr>
          <w:lang w:val="en-GB"/>
        </w:rPr>
        <w:t xml:space="preserve"> the direct conversion of EC</w:t>
      </w:r>
      <w:r w:rsidRPr="00D93FF9">
        <w:rPr>
          <w:position w:val="-4"/>
          <w:sz w:val="15"/>
          <w:lang w:val="en-GB"/>
        </w:rPr>
        <w:t xml:space="preserve">1:5 </w:t>
      </w:r>
      <w:r w:rsidRPr="00D93FF9">
        <w:rPr>
          <w:lang w:val="en-GB"/>
        </w:rPr>
        <w:t>to EC</w:t>
      </w:r>
      <w:r w:rsidRPr="00D93FF9">
        <w:rPr>
          <w:position w:val="-4"/>
          <w:sz w:val="15"/>
          <w:lang w:val="en-GB"/>
        </w:rPr>
        <w:t xml:space="preserve">se </w:t>
      </w:r>
      <w:r w:rsidRPr="00D93FF9">
        <w:rPr>
          <w:lang w:val="en-GB"/>
        </w:rPr>
        <w:t>may overestimate EC</w:t>
      </w:r>
      <w:r w:rsidRPr="00D93FF9">
        <w:rPr>
          <w:position w:val="-4"/>
          <w:sz w:val="15"/>
          <w:lang w:val="en-GB"/>
        </w:rPr>
        <w:t xml:space="preserve">se </w:t>
      </w:r>
      <w:r w:rsidRPr="00D93FF9">
        <w:rPr>
          <w:lang w:val="en-GB"/>
        </w:rPr>
        <w:t>at high salinity</w:t>
      </w:r>
      <w:r w:rsidRPr="00D93FF9">
        <w:rPr>
          <w:spacing w:val="-29"/>
          <w:lang w:val="en-GB"/>
        </w:rPr>
        <w:t xml:space="preserve"> </w:t>
      </w:r>
      <w:r w:rsidRPr="00D93FF9">
        <w:rPr>
          <w:lang w:val="en-GB"/>
        </w:rPr>
        <w:t>levels.</w:t>
      </w:r>
    </w:p>
    <w:p w14:paraId="59DCC66F" w14:textId="5D3FABB5" w:rsidR="00C46175" w:rsidRPr="00D93FF9" w:rsidRDefault="00E811B8" w:rsidP="003807A1">
      <w:pPr>
        <w:pStyle w:val="BodyText"/>
        <w:spacing w:after="0" w:line="254" w:lineRule="auto"/>
        <w:jc w:val="both"/>
        <w:rPr>
          <w:lang w:val="en-GB"/>
        </w:rPr>
      </w:pPr>
      <w:r w:rsidRPr="00D93FF9">
        <w:rPr>
          <w:lang w:val="en-GB"/>
        </w:rPr>
        <w:t xml:space="preserve">Therefore, to </w:t>
      </w:r>
      <w:r w:rsidR="00294408" w:rsidRPr="00D93FF9">
        <w:rPr>
          <w:lang w:val="en-GB"/>
        </w:rPr>
        <w:t xml:space="preserve">more </w:t>
      </w:r>
      <w:r w:rsidRPr="00D93FF9">
        <w:rPr>
          <w:lang w:val="en-GB"/>
        </w:rPr>
        <w:t>accurately estimate EC</w:t>
      </w:r>
      <w:r w:rsidRPr="00D93FF9">
        <w:rPr>
          <w:position w:val="-4"/>
          <w:sz w:val="15"/>
          <w:lang w:val="en-GB"/>
        </w:rPr>
        <w:t xml:space="preserve">se </w:t>
      </w:r>
      <w:r w:rsidRPr="00D93FF9">
        <w:rPr>
          <w:lang w:val="en-GB"/>
        </w:rPr>
        <w:t>from EC</w:t>
      </w:r>
      <w:r w:rsidRPr="00D93FF9">
        <w:rPr>
          <w:position w:val="-4"/>
          <w:sz w:val="15"/>
          <w:lang w:val="en-GB"/>
        </w:rPr>
        <w:t>1:5</w:t>
      </w:r>
      <w:r w:rsidRPr="00D93FF9">
        <w:rPr>
          <w:lang w:val="en-GB"/>
        </w:rPr>
        <w:t xml:space="preserve">, the above factors </w:t>
      </w:r>
      <w:r w:rsidR="00294408" w:rsidRPr="00D93FF9">
        <w:rPr>
          <w:lang w:val="en-GB"/>
        </w:rPr>
        <w:t>need to</w:t>
      </w:r>
      <w:r w:rsidRPr="00D93FF9">
        <w:rPr>
          <w:lang w:val="en-GB"/>
        </w:rPr>
        <w:t xml:space="preserve"> be taken into consideration. This can be done by adding a</w:t>
      </w:r>
      <w:r w:rsidR="00294408" w:rsidRPr="00D93FF9">
        <w:rPr>
          <w:lang w:val="en-GB"/>
        </w:rPr>
        <w:t>n exponent</w:t>
      </w:r>
      <w:r w:rsidRPr="00D93FF9">
        <w:rPr>
          <w:lang w:val="en-GB"/>
        </w:rPr>
        <w:t xml:space="preserve"> term </w:t>
      </w:r>
      <w:r w:rsidR="00035FE7" w:rsidRPr="00D93FF9">
        <w:rPr>
          <w:i/>
          <w:iCs/>
          <w:lang w:val="en-GB"/>
        </w:rPr>
        <w:t>c</w:t>
      </w:r>
      <w:r w:rsidRPr="00D93FF9">
        <w:rPr>
          <w:i/>
          <w:lang w:val="en-GB"/>
        </w:rPr>
        <w:t xml:space="preserve"> </w:t>
      </w:r>
      <w:r w:rsidRPr="00D93FF9">
        <w:rPr>
          <w:lang w:val="en-GB"/>
        </w:rPr>
        <w:t xml:space="preserve">to the water content ratio term </w:t>
      </w:r>
      <w:r w:rsidR="00294408" w:rsidRPr="00D93FF9">
        <w:rPr>
          <w:lang w:val="en-GB"/>
        </w:rPr>
        <w:t xml:space="preserve">to </w:t>
      </w:r>
      <w:r w:rsidRPr="00D93FF9">
        <w:rPr>
          <w:lang w:val="en-GB"/>
        </w:rPr>
        <w:t>take into account the solubility effects of different salt concentrations and compositions and the effect of suspended clays.</w:t>
      </w:r>
    </w:p>
    <w:p w14:paraId="59DCC670" w14:textId="71E97417" w:rsidR="00C13F5D" w:rsidRPr="00D93FF9" w:rsidRDefault="00E811B8" w:rsidP="003807A1">
      <w:pPr>
        <w:pStyle w:val="BodyText"/>
        <w:spacing w:after="0"/>
        <w:jc w:val="both"/>
        <w:rPr>
          <w:lang w:val="en-GB"/>
        </w:rPr>
      </w:pPr>
      <w:r w:rsidRPr="00D93FF9">
        <w:rPr>
          <w:lang w:val="en-GB"/>
        </w:rPr>
        <w:fldChar w:fldCharType="begin"/>
      </w:r>
      <w:r w:rsidRPr="00D93FF9">
        <w:rPr>
          <w:lang w:val="en-GB"/>
        </w:rPr>
        <w:instrText xml:space="preserve"> REF _Ref71621190 \h </w:instrText>
      </w:r>
      <w:r w:rsidR="00D93FF9">
        <w:rPr>
          <w:lang w:val="en-GB"/>
        </w:rPr>
        <w:instrText xml:space="preserve"> \* MERGEFORMAT </w:instrText>
      </w:r>
      <w:r w:rsidRPr="00D93FF9">
        <w:rPr>
          <w:lang w:val="en-GB"/>
        </w:rPr>
      </w:r>
      <w:r w:rsidRPr="00D93FF9">
        <w:rPr>
          <w:lang w:val="en-GB"/>
        </w:rPr>
        <w:fldChar w:fldCharType="separate"/>
      </w:r>
      <w:r w:rsidR="0069302C" w:rsidRPr="00D93FF9">
        <w:t xml:space="preserve">Equation </w:t>
      </w:r>
      <w:r w:rsidR="0069302C">
        <w:rPr>
          <w:noProof/>
        </w:rPr>
        <w:t>15</w:t>
      </w:r>
      <w:r w:rsidRPr="00D93FF9">
        <w:rPr>
          <w:lang w:val="en-GB"/>
        </w:rPr>
        <w:fldChar w:fldCharType="end"/>
      </w:r>
      <w:r w:rsidRPr="00D93FF9">
        <w:rPr>
          <w:lang w:val="en-GB"/>
        </w:rPr>
        <w:t xml:space="preserve"> </w:t>
      </w:r>
      <w:r w:rsidR="00E90CE0" w:rsidRPr="00D93FF9">
        <w:rPr>
          <w:lang w:val="en-GB"/>
        </w:rPr>
        <w:t>then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674" w14:textId="77777777" w:rsidTr="007F2CDA">
        <w:tc>
          <w:tcPr>
            <w:tcW w:w="4505" w:type="dxa"/>
          </w:tcPr>
          <w:p w14:paraId="59DCC671" w14:textId="77777777" w:rsidR="007F2CDA" w:rsidRPr="00D93FF9" w:rsidRDefault="00E811B8" w:rsidP="003807A1">
            <w:pPr>
              <w:pStyle w:val="BodyText"/>
              <w:spacing w:after="0"/>
              <w:jc w:val="both"/>
              <w:rPr>
                <w:sz w:val="22"/>
                <w:szCs w:val="22"/>
                <w:lang w:val="en-GB"/>
              </w:rPr>
            </w:pPr>
            <m:oMathPara>
              <m:oMathParaPr>
                <m:jc m:val="left"/>
              </m:oMathParaPr>
              <m:oMath>
                <m:r>
                  <m:rPr>
                    <m:sty m:val="p"/>
                  </m:rPr>
                  <w:rPr>
                    <w:rFonts w:ascii="Cambria Math" w:hAnsi="Cambria Math"/>
                    <w:noProof/>
                    <w:sz w:val="22"/>
                    <w:szCs w:val="22"/>
                  </w:rPr>
                  <m:t>E</m:t>
                </m:r>
                <m:sSub>
                  <m:sSubPr>
                    <m:ctrlPr>
                      <w:rPr>
                        <w:rFonts w:ascii="Cambria Math" w:hAnsi="Cambria Math"/>
                        <w:iCs/>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se</m:t>
                    </m:r>
                  </m:sub>
                </m:sSub>
                <m:r>
                  <m:rPr>
                    <m:sty m:val="p"/>
                  </m:rPr>
                  <w:rPr>
                    <w:rFonts w:ascii="Cambria Math" w:hAnsi="Cambria Math"/>
                    <w:noProof/>
                    <w:sz w:val="22"/>
                    <w:szCs w:val="22"/>
                  </w:rPr>
                  <m:t>=E</m:t>
                </m:r>
                <m:sSub>
                  <m:sSubPr>
                    <m:ctrlPr>
                      <w:rPr>
                        <w:rFonts w:ascii="Cambria Math" w:hAnsi="Cambria Math"/>
                        <w:iCs/>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1:5</m:t>
                    </m:r>
                  </m:sub>
                </m:sSub>
                <m:sSup>
                  <m:sSupPr>
                    <m:ctrlPr>
                      <w:rPr>
                        <w:rFonts w:ascii="Cambria Math" w:hAnsi="Cambria Math"/>
                        <w:i/>
                        <w:iCs/>
                        <w:noProof/>
                        <w:sz w:val="22"/>
                        <w:szCs w:val="22"/>
                      </w:rPr>
                    </m:ctrlPr>
                  </m:sSupPr>
                  <m:e>
                    <m:d>
                      <m:dPr>
                        <m:ctrlPr>
                          <w:rPr>
                            <w:rFonts w:ascii="Cambria Math" w:hAnsi="Cambria Math"/>
                            <w:iCs/>
                            <w:noProof/>
                            <w:sz w:val="22"/>
                            <w:szCs w:val="22"/>
                          </w:rPr>
                        </m:ctrlPr>
                      </m:dPr>
                      <m:e>
                        <m:f>
                          <m:fPr>
                            <m:ctrlPr>
                              <w:rPr>
                                <w:rFonts w:ascii="Cambria Math" w:hAnsi="Cambria Math"/>
                                <w:noProof/>
                                <w:sz w:val="22"/>
                                <w:szCs w:val="22"/>
                              </w:rPr>
                            </m:ctrlPr>
                          </m:fPr>
                          <m:num>
                            <m:sSub>
                              <m:sSubPr>
                                <m:ctrlPr>
                                  <w:rPr>
                                    <w:rFonts w:ascii="Cambria Math" w:hAnsi="Cambria Math"/>
                                    <w:noProof/>
                                    <w:sz w:val="22"/>
                                    <w:szCs w:val="22"/>
                                  </w:rPr>
                                </m:ctrlPr>
                              </m:sSubPr>
                              <m:e>
                                <m:r>
                                  <m:rPr>
                                    <m:sty m:val="p"/>
                                  </m:rPr>
                                  <w:rPr>
                                    <w:rFonts w:ascii="Cambria Math" w:hAnsi="Cambria Math"/>
                                    <w:sz w:val="22"/>
                                    <w:szCs w:val="22"/>
                                    <w:lang w:val="en-GB"/>
                                  </w:rPr>
                                  <m:t>θ</m:t>
                                </m:r>
                              </m:e>
                              <m:sub>
                                <m:r>
                                  <m:rPr>
                                    <m:sty m:val="p"/>
                                  </m:rPr>
                                  <w:rPr>
                                    <w:rFonts w:ascii="Cambria Math" w:hAnsi="Cambria Math"/>
                                    <w:noProof/>
                                    <w:sz w:val="22"/>
                                    <w:szCs w:val="22"/>
                                  </w:rPr>
                                  <m:t>1:5</m:t>
                                </m:r>
                              </m:sub>
                            </m:sSub>
                          </m:num>
                          <m:den>
                            <m:sSub>
                              <m:sSubPr>
                                <m:ctrlPr>
                                  <w:rPr>
                                    <w:rFonts w:ascii="Cambria Math" w:hAnsi="Cambria Math"/>
                                    <w:noProof/>
                                    <w:sz w:val="22"/>
                                    <w:szCs w:val="22"/>
                                  </w:rPr>
                                </m:ctrlPr>
                              </m:sSubPr>
                              <m:e>
                                <m:r>
                                  <m:rPr>
                                    <m:sty m:val="p"/>
                                  </m:rPr>
                                  <w:rPr>
                                    <w:rFonts w:ascii="Cambria Math" w:hAnsi="Cambria Math"/>
                                    <w:sz w:val="22"/>
                                    <w:szCs w:val="22"/>
                                    <w:lang w:val="en-GB"/>
                                  </w:rPr>
                                  <m:t>θ</m:t>
                                </m:r>
                              </m:e>
                              <m:sub>
                                <m:r>
                                  <m:rPr>
                                    <m:sty m:val="p"/>
                                  </m:rPr>
                                  <w:rPr>
                                    <w:rFonts w:ascii="Cambria Math" w:hAnsi="Cambria Math"/>
                                    <w:noProof/>
                                    <w:sz w:val="22"/>
                                    <w:szCs w:val="22"/>
                                  </w:rPr>
                                  <m:t>se</m:t>
                                </m:r>
                              </m:sub>
                            </m:sSub>
                          </m:den>
                        </m:f>
                      </m:e>
                    </m:d>
                  </m:e>
                  <m:sup>
                    <m:r>
                      <w:rPr>
                        <w:rFonts w:ascii="Cambria Math" w:hAnsi="Cambria Math"/>
                        <w:noProof/>
                        <w:sz w:val="22"/>
                        <w:szCs w:val="22"/>
                      </w:rPr>
                      <m:t>c</m:t>
                    </m:r>
                  </m:sup>
                </m:sSup>
              </m:oMath>
            </m:oMathPara>
          </w:p>
        </w:tc>
        <w:tc>
          <w:tcPr>
            <w:tcW w:w="4505" w:type="dxa"/>
          </w:tcPr>
          <w:p w14:paraId="59DCC672" w14:textId="7493D3AA" w:rsidR="007F2CDA" w:rsidRPr="00D93FF9" w:rsidRDefault="00E811B8" w:rsidP="00B474ED">
            <w:pPr>
              <w:pStyle w:val="Caption"/>
              <w:jc w:val="right"/>
              <w:rPr>
                <w:sz w:val="22"/>
                <w:szCs w:val="22"/>
              </w:rPr>
            </w:pPr>
            <w:bookmarkStart w:id="116" w:name="_Ref72927138"/>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16</w:t>
            </w:r>
            <w:r w:rsidRPr="00D93FF9">
              <w:rPr>
                <w:szCs w:val="22"/>
              </w:rPr>
              <w:fldChar w:fldCharType="end"/>
            </w:r>
            <w:bookmarkEnd w:id="116"/>
          </w:p>
          <w:p w14:paraId="59DCC673" w14:textId="77777777" w:rsidR="007F2CDA" w:rsidRPr="00D93FF9" w:rsidRDefault="007F2CDA" w:rsidP="00B474ED">
            <w:pPr>
              <w:pStyle w:val="BodyText"/>
              <w:spacing w:after="0"/>
              <w:jc w:val="right"/>
              <w:rPr>
                <w:sz w:val="22"/>
                <w:szCs w:val="22"/>
                <w:lang w:val="en-GB"/>
              </w:rPr>
            </w:pPr>
          </w:p>
        </w:tc>
      </w:tr>
    </w:tbl>
    <w:p w14:paraId="59DCC675" w14:textId="77777777" w:rsidR="007F2CDA" w:rsidRPr="00D93FF9" w:rsidRDefault="007F2CDA" w:rsidP="003807A1">
      <w:pPr>
        <w:pStyle w:val="BodyText"/>
        <w:spacing w:after="0"/>
        <w:jc w:val="both"/>
        <w:rPr>
          <w:lang w:val="en-GB"/>
        </w:rPr>
      </w:pPr>
    </w:p>
    <w:p w14:paraId="59DCC676" w14:textId="77777777" w:rsidR="00C46175" w:rsidRPr="00D93FF9" w:rsidRDefault="00E811B8" w:rsidP="003807A1">
      <w:pPr>
        <w:pStyle w:val="BodyText"/>
        <w:spacing w:after="0"/>
        <w:jc w:val="both"/>
        <w:rPr>
          <w:lang w:val="en-GB"/>
        </w:rPr>
      </w:pPr>
      <w:r w:rsidRPr="00D93FF9">
        <w:rPr>
          <w:lang w:val="en-GB"/>
        </w:rPr>
        <w:t xml:space="preserve">where </w:t>
      </w:r>
      <w:r w:rsidR="00526933" w:rsidRPr="00D93FF9">
        <w:rPr>
          <w:lang w:val="en-GB"/>
        </w:rPr>
        <w:t>θ</w:t>
      </w:r>
      <w:r w:rsidRPr="00D93FF9">
        <w:rPr>
          <w:position w:val="-4"/>
          <w:sz w:val="15"/>
          <w:lang w:val="en-GB"/>
        </w:rPr>
        <w:t xml:space="preserve">1:5 </w:t>
      </w:r>
      <w:r w:rsidRPr="00D93FF9">
        <w:rPr>
          <w:lang w:val="en-GB"/>
        </w:rPr>
        <w:t xml:space="preserve">is the water content of the 1:5 mixture and </w:t>
      </w:r>
      <w:r w:rsidR="00526933" w:rsidRPr="00D93FF9">
        <w:rPr>
          <w:lang w:val="en-GB"/>
        </w:rPr>
        <w:t>θ</w:t>
      </w:r>
      <w:r w:rsidRPr="00D93FF9">
        <w:rPr>
          <w:position w:val="-4"/>
          <w:sz w:val="15"/>
          <w:lang w:val="en-GB"/>
        </w:rPr>
        <w:t xml:space="preserve">se </w:t>
      </w:r>
      <w:r w:rsidRPr="00D93FF9">
        <w:rPr>
          <w:lang w:val="en-GB"/>
        </w:rPr>
        <w:t>is the saturated soil water content.</w:t>
      </w:r>
    </w:p>
    <w:p w14:paraId="59DCC677" w14:textId="77777777" w:rsidR="00C46175" w:rsidRPr="00D93FF9" w:rsidRDefault="00E811B8" w:rsidP="003807A1">
      <w:pPr>
        <w:pStyle w:val="BodyText"/>
        <w:spacing w:after="0" w:line="249" w:lineRule="auto"/>
        <w:jc w:val="both"/>
        <w:rPr>
          <w:lang w:val="en-GB"/>
        </w:rPr>
      </w:pPr>
      <w:r w:rsidRPr="00D93FF9">
        <w:rPr>
          <w:lang w:val="en-GB"/>
        </w:rPr>
        <w:t xml:space="preserve">The </w:t>
      </w:r>
      <w:r w:rsidR="00035FE7" w:rsidRPr="00D93FF9">
        <w:rPr>
          <w:i/>
          <w:lang w:val="en-GB"/>
        </w:rPr>
        <w:t>c</w:t>
      </w:r>
      <w:r w:rsidRPr="00D93FF9">
        <w:rPr>
          <w:i/>
          <w:lang w:val="en-GB"/>
        </w:rPr>
        <w:t xml:space="preserve"> </w:t>
      </w:r>
      <w:r w:rsidRPr="00D93FF9">
        <w:rPr>
          <w:lang w:val="en-GB"/>
        </w:rPr>
        <w:t>coefficient is derived from the ratio of the non-chloride and chloride salts (based on the chloride analysis of a 1:5 soil: water extract and related to EC using the equation of USSL (1954) and McIntyre (1980).</w:t>
      </w:r>
    </w:p>
    <w:p w14:paraId="59DCC678" w14:textId="54A5D2EB" w:rsidR="000C1B71" w:rsidRPr="00D93FF9" w:rsidRDefault="00E811B8" w:rsidP="000C1B71">
      <w:pPr>
        <w:pStyle w:val="BodyText"/>
        <w:spacing w:after="0" w:line="266" w:lineRule="auto"/>
        <w:jc w:val="both"/>
        <w:rPr>
          <w:lang w:val="en-GB"/>
        </w:rPr>
      </w:pPr>
      <w:r w:rsidRPr="00D93FF9">
        <w:rPr>
          <w:lang w:val="en-GB"/>
        </w:rPr>
        <w:t>Based on these relationships, Shaw (1996) developed the following equation to predict EC</w:t>
      </w:r>
      <w:r w:rsidRPr="00D93FF9">
        <w:rPr>
          <w:position w:val="-4"/>
          <w:sz w:val="15"/>
          <w:lang w:val="en-GB"/>
        </w:rPr>
        <w:t>se</w:t>
      </w:r>
      <w:r w:rsidR="00A019E2" w:rsidRPr="00D93FF9">
        <w:rPr>
          <w:lang w:val="en-GB"/>
        </w:rPr>
        <w:t xml:space="preserve"> from the more easily measured EC</w:t>
      </w:r>
      <w:r w:rsidR="00A019E2" w:rsidRPr="00D93FF9">
        <w:rPr>
          <w:vertAlign w:val="subscript"/>
          <w:lang w:val="en-GB"/>
        </w:rPr>
        <w:t>1:5</w:t>
      </w:r>
      <w:r w:rsidR="00A019E2" w:rsidRPr="00D93FF9">
        <w:rPr>
          <w:lang w:val="en-GB"/>
        </w:rPr>
        <w:t>.</w:t>
      </w:r>
    </w:p>
    <w:p w14:paraId="59DCC679" w14:textId="77777777" w:rsidR="006D496A" w:rsidRPr="00D93FF9" w:rsidRDefault="006D496A" w:rsidP="000C1B71">
      <w:pPr>
        <w:pStyle w:val="BodyText"/>
        <w:spacing w:after="0" w:line="266" w:lineRule="auto"/>
        <w:jc w:val="both"/>
        <w:rPr>
          <w:lang w:val="en-GB"/>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gridCol w:w="1471"/>
      </w:tblGrid>
      <w:tr w:rsidR="00BE3AA8" w:rsidRPr="00D93FF9" w14:paraId="59DCC67C" w14:textId="77777777" w:rsidTr="006D496A">
        <w:trPr>
          <w:trHeight w:val="1413"/>
        </w:trPr>
        <w:tc>
          <w:tcPr>
            <w:tcW w:w="7880" w:type="dxa"/>
          </w:tcPr>
          <w:p w14:paraId="59DCC67A" w14:textId="77777777" w:rsidR="006D496A" w:rsidRPr="00D93FF9" w:rsidRDefault="00E811B8" w:rsidP="000C1B71">
            <w:pPr>
              <w:pStyle w:val="BodyText"/>
              <w:spacing w:after="0" w:line="266" w:lineRule="auto"/>
              <w:jc w:val="both"/>
              <w:rPr>
                <w:sz w:val="22"/>
                <w:szCs w:val="22"/>
                <w:lang w:val="en-GB"/>
              </w:rPr>
            </w:pPr>
            <m:oMathPara>
              <m:oMathParaPr>
                <m:jc m:val="left"/>
              </m:oMathParaPr>
              <m:oMath>
                <m:r>
                  <m:rPr>
                    <m:sty m:val="p"/>
                  </m:rPr>
                  <w:rPr>
                    <w:rFonts w:ascii="Cambria Math" w:hAnsi="Cambria Math"/>
                    <w:noProof/>
                    <w:sz w:val="22"/>
                    <w:szCs w:val="22"/>
                  </w:rPr>
                  <m:t>E</m:t>
                </m:r>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se</m:t>
                    </m:r>
                  </m:sub>
                </m:sSub>
                <m:r>
                  <m:rPr>
                    <m:sty m:val="p"/>
                  </m:rPr>
                  <w:rPr>
                    <w:rFonts w:ascii="Cambria Math" w:hAnsi="Cambria Math"/>
                    <w:noProof/>
                    <w:sz w:val="22"/>
                    <w:szCs w:val="22"/>
                  </w:rPr>
                  <m:t>=E</m:t>
                </m:r>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1:5</m:t>
                    </m:r>
                  </m:sub>
                </m:sSub>
                <m:sSup>
                  <m:sSupPr>
                    <m:ctrlPr>
                      <w:rPr>
                        <w:rFonts w:ascii="Cambria Math" w:hAnsi="Cambria Math"/>
                        <w:noProof/>
                        <w:sz w:val="22"/>
                        <w:szCs w:val="22"/>
                      </w:rPr>
                    </m:ctrlPr>
                  </m:sSupPr>
                  <m:e>
                    <m:d>
                      <m:dPr>
                        <m:ctrlPr>
                          <w:rPr>
                            <w:rFonts w:ascii="Cambria Math" w:hAnsi="Cambria Math"/>
                            <w:noProof/>
                            <w:sz w:val="22"/>
                            <w:szCs w:val="22"/>
                          </w:rPr>
                        </m:ctrlPr>
                      </m:dPr>
                      <m:e>
                        <m:f>
                          <m:fPr>
                            <m:ctrlPr>
                              <w:rPr>
                                <w:rFonts w:ascii="Cambria Math" w:hAnsi="Cambria Math"/>
                                <w:noProof/>
                                <w:sz w:val="22"/>
                                <w:szCs w:val="22"/>
                              </w:rPr>
                            </m:ctrlPr>
                          </m:fPr>
                          <m:num>
                            <m:r>
                              <m:rPr>
                                <m:sty m:val="p"/>
                              </m:rPr>
                              <w:rPr>
                                <w:rFonts w:ascii="Cambria Math" w:hAnsi="Cambria Math"/>
                                <w:noProof/>
                                <w:sz w:val="22"/>
                                <w:szCs w:val="22"/>
                              </w:rPr>
                              <m:t>500+6ADMC</m:t>
                            </m:r>
                          </m:num>
                          <m:den>
                            <m:r>
                              <m:rPr>
                                <m:sty m:val="p"/>
                              </m:rPr>
                              <w:rPr>
                                <w:rFonts w:ascii="Cambria Math" w:hAnsi="Cambria Math"/>
                                <w:noProof/>
                                <w:sz w:val="22"/>
                                <w:szCs w:val="22"/>
                              </w:rPr>
                              <m:t>6.57ADMC+30.34</m:t>
                            </m:r>
                          </m:den>
                        </m:f>
                      </m:e>
                    </m:d>
                    <m:d>
                      <m:dPr>
                        <m:begChr m:val="["/>
                        <m:endChr m:val="]"/>
                        <m:ctrlPr>
                          <w:rPr>
                            <w:rFonts w:ascii="Cambria Math" w:hAnsi="Cambria Math"/>
                            <w:noProof/>
                            <w:sz w:val="22"/>
                            <w:szCs w:val="22"/>
                          </w:rPr>
                        </m:ctrlPr>
                      </m:dPr>
                      <m:e>
                        <m:f>
                          <m:fPr>
                            <m:ctrlPr>
                              <w:rPr>
                                <w:rFonts w:ascii="Cambria Math" w:hAnsi="Cambria Math"/>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1.024+0.232ln(</m:t>
                            </m:r>
                            <m:f>
                              <m:fPr>
                                <m:ctrlPr>
                                  <w:rPr>
                                    <w:rFonts w:ascii="Cambria Math" w:hAnsi="Cambria Math"/>
                                    <w:noProof/>
                                    <w:sz w:val="22"/>
                                    <w:szCs w:val="22"/>
                                  </w:rPr>
                                </m:ctrlPr>
                              </m:fPr>
                              <m:num>
                                <m:sSub>
                                  <m:sSubPr>
                                    <m:ctrlPr>
                                      <w:rPr>
                                        <w:rFonts w:ascii="Cambria Math" w:hAnsi="Cambria Math"/>
                                        <w:noProof/>
                                        <w:sz w:val="22"/>
                                        <w:szCs w:val="22"/>
                                      </w:rPr>
                                    </m:ctrlPr>
                                  </m:sSubPr>
                                  <m:e>
                                    <m:r>
                                      <m:rPr>
                                        <m:sty m:val="p"/>
                                      </m:rPr>
                                      <w:rPr>
                                        <w:rFonts w:ascii="Cambria Math" w:hAnsi="Cambria Math"/>
                                        <w:noProof/>
                                        <w:sz w:val="22"/>
                                        <w:szCs w:val="22"/>
                                      </w:rPr>
                                      <m:t>EC</m:t>
                                    </m:r>
                                  </m:e>
                                  <m:sub>
                                    <m:r>
                                      <m:rPr>
                                        <m:sty m:val="p"/>
                                      </m:rPr>
                                      <w:rPr>
                                        <w:rFonts w:ascii="Cambria Math" w:hAnsi="Cambria Math"/>
                                        <w:noProof/>
                                        <w:sz w:val="22"/>
                                        <w:szCs w:val="22"/>
                                      </w:rPr>
                                      <m:t>1:5</m:t>
                                    </m:r>
                                  </m:sub>
                                </m:sSub>
                              </m:num>
                              <m:den>
                                <m:sSup>
                                  <m:sSupPr>
                                    <m:ctrlPr>
                                      <w:rPr>
                                        <w:rFonts w:ascii="Cambria Math" w:hAnsi="Cambria Math"/>
                                        <w:noProof/>
                                        <w:sz w:val="22"/>
                                        <w:szCs w:val="22"/>
                                      </w:rPr>
                                    </m:ctrlPr>
                                  </m:sSupPr>
                                  <m:e>
                                    <m:r>
                                      <m:rPr>
                                        <m:sty m:val="p"/>
                                      </m:rPr>
                                      <w:rPr>
                                        <w:rFonts w:ascii="Cambria Math" w:hAnsi="Cambria Math"/>
                                        <w:noProof/>
                                        <w:sz w:val="22"/>
                                        <w:szCs w:val="22"/>
                                      </w:rPr>
                                      <m:t>10</m:t>
                                    </m:r>
                                  </m:e>
                                  <m:sup>
                                    <m:r>
                                      <m:rPr>
                                        <m:sty m:val="p"/>
                                      </m:rPr>
                                      <w:rPr>
                                        <w:rFonts w:ascii="Cambria Math" w:hAnsi="Cambria Math"/>
                                        <w:noProof/>
                                        <w:sz w:val="22"/>
                                        <w:szCs w:val="22"/>
                                      </w:rPr>
                                      <m:t>0.92</m:t>
                                    </m:r>
                                    <m:func>
                                      <m:funcPr>
                                        <m:ctrlPr>
                                          <w:rPr>
                                            <w:rFonts w:ascii="Cambria Math" w:hAnsi="Cambria Math"/>
                                            <w:noProof/>
                                            <w:sz w:val="22"/>
                                            <w:szCs w:val="22"/>
                                          </w:rPr>
                                        </m:ctrlPr>
                                      </m:funcPr>
                                      <m:fName>
                                        <m:r>
                                          <m:rPr>
                                            <m:sty m:val="p"/>
                                          </m:rPr>
                                          <w:rPr>
                                            <w:rFonts w:ascii="Cambria Math" w:hAnsi="Cambria Math"/>
                                            <w:noProof/>
                                            <w:sz w:val="22"/>
                                            <w:szCs w:val="22"/>
                                          </w:rPr>
                                          <m:t>log</m:t>
                                        </m:r>
                                      </m:fName>
                                      <m:e>
                                        <m:d>
                                          <m:dPr>
                                            <m:ctrlPr>
                                              <w:rPr>
                                                <w:rFonts w:ascii="Cambria Math" w:hAnsi="Cambria Math"/>
                                                <w:noProof/>
                                                <w:sz w:val="22"/>
                                                <w:szCs w:val="22"/>
                                              </w:rPr>
                                            </m:ctrlPr>
                                          </m:dPr>
                                          <m:e>
                                            <m:r>
                                              <m:rPr>
                                                <m:sty m:val="p"/>
                                              </m:rPr>
                                              <w:rPr>
                                                <w:rFonts w:ascii="Cambria Math" w:hAnsi="Cambria Math"/>
                                                <w:noProof/>
                                                <w:sz w:val="22"/>
                                                <w:szCs w:val="22"/>
                                              </w:rPr>
                                              <m:t>56.42Cl%</m:t>
                                            </m:r>
                                          </m:e>
                                        </m:d>
                                      </m:e>
                                    </m:func>
                                    <m:r>
                                      <m:rPr>
                                        <m:sty m:val="p"/>
                                      </m:rPr>
                                      <w:rPr>
                                        <w:rFonts w:ascii="Cambria Math" w:hAnsi="Cambria Math"/>
                                        <w:noProof/>
                                        <w:sz w:val="22"/>
                                        <w:szCs w:val="22"/>
                                      </w:rPr>
                                      <m:t>-0.865</m:t>
                                    </m:r>
                                  </m:sup>
                                </m:sSup>
                              </m:den>
                            </m:f>
                            <m:r>
                              <m:rPr>
                                <m:sty m:val="p"/>
                              </m:rPr>
                              <w:rPr>
                                <w:rFonts w:ascii="Cambria Math" w:hAnsi="Cambria Math"/>
                                <w:noProof/>
                                <w:sz w:val="22"/>
                                <w:szCs w:val="22"/>
                              </w:rPr>
                              <m:t>)</m:t>
                            </m:r>
                          </m:den>
                        </m:f>
                      </m:e>
                    </m:d>
                  </m:e>
                  <m:sup/>
                </m:sSup>
              </m:oMath>
            </m:oMathPara>
          </w:p>
        </w:tc>
        <w:tc>
          <w:tcPr>
            <w:tcW w:w="1471" w:type="dxa"/>
          </w:tcPr>
          <w:p w14:paraId="59DCC67B" w14:textId="02B6C7BF" w:rsidR="006D496A" w:rsidRPr="00D93FF9" w:rsidRDefault="00E811B8" w:rsidP="006D496A">
            <w:pPr>
              <w:pStyle w:val="Caption"/>
              <w:rPr>
                <w:sz w:val="22"/>
                <w:szCs w:val="22"/>
                <w:lang w:val="en-GB"/>
              </w:rPr>
            </w:pPr>
            <w:r w:rsidRPr="00D93FF9">
              <w:rPr>
                <w:szCs w:val="22"/>
              </w:rPr>
              <w:t xml:space="preserve">Equation </w:t>
            </w:r>
            <w:r w:rsidRPr="00D93FF9">
              <w:rPr>
                <w:szCs w:val="22"/>
              </w:rPr>
              <w:fldChar w:fldCharType="begin"/>
            </w:r>
            <w:r w:rsidRPr="00D93FF9">
              <w:rPr>
                <w:szCs w:val="22"/>
              </w:rPr>
              <w:instrText xml:space="preserve"> SEQ Equation \* ARABIC </w:instrText>
            </w:r>
            <w:r w:rsidRPr="00D93FF9">
              <w:rPr>
                <w:szCs w:val="22"/>
              </w:rPr>
              <w:fldChar w:fldCharType="separate"/>
            </w:r>
            <w:r w:rsidR="0069302C">
              <w:rPr>
                <w:noProof/>
                <w:szCs w:val="22"/>
              </w:rPr>
              <w:t>17</w:t>
            </w:r>
            <w:r w:rsidRPr="00D93FF9">
              <w:rPr>
                <w:szCs w:val="22"/>
              </w:rPr>
              <w:fldChar w:fldCharType="end"/>
            </w:r>
          </w:p>
        </w:tc>
      </w:tr>
    </w:tbl>
    <w:p w14:paraId="59DCC67D" w14:textId="77777777" w:rsidR="006D496A" w:rsidRPr="00D93FF9" w:rsidRDefault="006D496A" w:rsidP="000C1B71">
      <w:pPr>
        <w:pStyle w:val="BodyText"/>
        <w:spacing w:after="0" w:line="266" w:lineRule="auto"/>
        <w:jc w:val="both"/>
        <w:rPr>
          <w:lang w:val="en-GB"/>
        </w:rPr>
      </w:pPr>
    </w:p>
    <w:p w14:paraId="59DCC67E" w14:textId="77777777" w:rsidR="00C13F5D" w:rsidRPr="00D93FF9" w:rsidRDefault="00E811B8" w:rsidP="003807A1">
      <w:pPr>
        <w:pStyle w:val="BodyText"/>
        <w:spacing w:after="0" w:line="266" w:lineRule="auto"/>
        <w:rPr>
          <w:lang w:val="en-GB"/>
        </w:rPr>
      </w:pPr>
      <w:r w:rsidRPr="00D93FF9">
        <w:rPr>
          <w:lang w:val="en-GB"/>
        </w:rPr>
        <w:t xml:space="preserve">where: </w:t>
      </w:r>
    </w:p>
    <w:p w14:paraId="59DCC67F" w14:textId="04DC576A" w:rsidR="00C46175" w:rsidRPr="00D93FF9" w:rsidRDefault="00E811B8" w:rsidP="003807A1">
      <w:pPr>
        <w:pStyle w:val="BodyText"/>
        <w:spacing w:after="0" w:line="266" w:lineRule="auto"/>
        <w:rPr>
          <w:lang w:val="en-GB"/>
        </w:rPr>
      </w:pPr>
      <w:r w:rsidRPr="00D93FF9">
        <w:rPr>
          <w:lang w:val="en-GB"/>
        </w:rPr>
        <w:t>ADMC = air dry moisture content</w:t>
      </w:r>
      <w:r w:rsidR="00082518" w:rsidRPr="00D93FF9">
        <w:rPr>
          <w:lang w:val="en-GB"/>
        </w:rPr>
        <w:t xml:space="preserve"> at </w:t>
      </w:r>
      <w:r w:rsidRPr="00D93FF9">
        <w:rPr>
          <w:lang w:val="en-GB"/>
        </w:rPr>
        <w:t>40°C and expressed as a percentage of the oven dry soil weight (g/100 g).</w:t>
      </w:r>
      <w:r w:rsidR="00B0735D" w:rsidRPr="00D93FF9">
        <w:rPr>
          <w:lang w:val="en-GB"/>
        </w:rPr>
        <w:t xml:space="preserve"> ADMC is a surrogate of clay content and clay mineralogy</w:t>
      </w:r>
      <w:r w:rsidR="00082518" w:rsidRPr="00D93FF9">
        <w:rPr>
          <w:lang w:val="en-GB"/>
        </w:rPr>
        <w:t xml:space="preserve"> which is strongly correlated with the ratio </w:t>
      </w:r>
      <m:oMath>
        <m:d>
          <m:dPr>
            <m:ctrlPr>
              <w:rPr>
                <w:rFonts w:ascii="Cambria Math" w:hAnsi="Cambria Math"/>
                <w:iCs/>
                <w:noProof/>
                <w:sz w:val="28"/>
                <w:szCs w:val="28"/>
              </w:rPr>
            </m:ctrlPr>
          </m:dPr>
          <m:e>
            <m:f>
              <m:fPr>
                <m:ctrlPr>
                  <w:rPr>
                    <w:rFonts w:ascii="Cambria Math" w:hAnsi="Cambria Math"/>
                    <w:noProof/>
                    <w:sz w:val="28"/>
                    <w:szCs w:val="28"/>
                  </w:rPr>
                </m:ctrlPr>
              </m:fPr>
              <m:num>
                <m:sSub>
                  <m:sSubPr>
                    <m:ctrlPr>
                      <w:rPr>
                        <w:rFonts w:ascii="Cambria Math" w:hAnsi="Cambria Math"/>
                        <w:noProof/>
                        <w:sz w:val="28"/>
                        <w:szCs w:val="28"/>
                      </w:rPr>
                    </m:ctrlPr>
                  </m:sSubPr>
                  <m:e>
                    <m:r>
                      <m:rPr>
                        <m:sty m:val="p"/>
                      </m:rPr>
                      <w:rPr>
                        <w:rFonts w:ascii="Cambria Math" w:hAnsi="Cambria Math"/>
                        <w:sz w:val="28"/>
                        <w:szCs w:val="28"/>
                        <w:lang w:val="en-GB"/>
                      </w:rPr>
                      <m:t>θ</m:t>
                    </m:r>
                  </m:e>
                  <m:sub>
                    <m:r>
                      <m:rPr>
                        <m:sty m:val="p"/>
                      </m:rPr>
                      <w:rPr>
                        <w:rFonts w:ascii="Cambria Math" w:hAnsi="Cambria Math"/>
                        <w:noProof/>
                        <w:sz w:val="28"/>
                        <w:szCs w:val="28"/>
                      </w:rPr>
                      <m:t>1:5</m:t>
                    </m:r>
                  </m:sub>
                </m:sSub>
              </m:num>
              <m:den>
                <m:sSub>
                  <m:sSubPr>
                    <m:ctrlPr>
                      <w:rPr>
                        <w:rFonts w:ascii="Cambria Math" w:hAnsi="Cambria Math"/>
                        <w:noProof/>
                        <w:sz w:val="28"/>
                        <w:szCs w:val="28"/>
                      </w:rPr>
                    </m:ctrlPr>
                  </m:sSubPr>
                  <m:e>
                    <m:r>
                      <m:rPr>
                        <m:sty m:val="p"/>
                      </m:rPr>
                      <w:rPr>
                        <w:rFonts w:ascii="Cambria Math" w:hAnsi="Cambria Math"/>
                        <w:sz w:val="28"/>
                        <w:szCs w:val="28"/>
                        <w:lang w:val="en-GB"/>
                      </w:rPr>
                      <m:t>θ</m:t>
                    </m:r>
                  </m:e>
                  <m:sub>
                    <m:r>
                      <m:rPr>
                        <m:sty m:val="p"/>
                      </m:rPr>
                      <w:rPr>
                        <w:rFonts w:ascii="Cambria Math" w:hAnsi="Cambria Math"/>
                        <w:noProof/>
                        <w:sz w:val="28"/>
                        <w:szCs w:val="28"/>
                      </w:rPr>
                      <m:t>se</m:t>
                    </m:r>
                  </m:sub>
                </m:sSub>
              </m:den>
            </m:f>
          </m:e>
        </m:d>
      </m:oMath>
      <w:r w:rsidR="00082518" w:rsidRPr="00D93FF9">
        <w:rPr>
          <w:sz w:val="28"/>
          <w:szCs w:val="28"/>
          <w:lang w:val="en-GB"/>
        </w:rPr>
        <w:t xml:space="preserve"> </w:t>
      </w:r>
      <w:r w:rsidR="00082518" w:rsidRPr="00D93FF9">
        <w:rPr>
          <w:lang w:val="en-GB"/>
        </w:rPr>
        <w:t xml:space="preserve">from </w:t>
      </w:r>
      <w:r w:rsidR="00082518" w:rsidRPr="00D93FF9">
        <w:rPr>
          <w:lang w:val="en-GB"/>
        </w:rPr>
        <w:fldChar w:fldCharType="begin"/>
      </w:r>
      <w:r w:rsidR="00082518" w:rsidRPr="00D93FF9">
        <w:rPr>
          <w:lang w:val="en-GB"/>
        </w:rPr>
        <w:instrText xml:space="preserve"> REF _Ref72927138 \h </w:instrText>
      </w:r>
      <w:r w:rsidR="00D93FF9">
        <w:rPr>
          <w:lang w:val="en-GB"/>
        </w:rPr>
        <w:instrText xml:space="preserve"> \* MERGEFORMAT </w:instrText>
      </w:r>
      <w:r w:rsidR="00082518" w:rsidRPr="00D93FF9">
        <w:rPr>
          <w:lang w:val="en-GB"/>
        </w:rPr>
      </w:r>
      <w:r w:rsidR="00082518" w:rsidRPr="00D93FF9">
        <w:rPr>
          <w:lang w:val="en-GB"/>
        </w:rPr>
        <w:fldChar w:fldCharType="separate"/>
      </w:r>
      <w:r w:rsidR="0069302C" w:rsidRPr="00D93FF9">
        <w:t xml:space="preserve">Equation </w:t>
      </w:r>
      <w:r w:rsidR="0069302C">
        <w:rPr>
          <w:noProof/>
        </w:rPr>
        <w:t>16</w:t>
      </w:r>
      <w:r w:rsidR="00082518" w:rsidRPr="00D93FF9">
        <w:rPr>
          <w:lang w:val="en-GB"/>
        </w:rPr>
        <w:fldChar w:fldCharType="end"/>
      </w:r>
      <w:r w:rsidR="00082518" w:rsidRPr="00D93FF9">
        <w:rPr>
          <w:lang w:val="en-GB"/>
        </w:rPr>
        <w:t xml:space="preserve">. </w:t>
      </w:r>
    </w:p>
    <w:p w14:paraId="59DCC680" w14:textId="77777777" w:rsidR="007934A2" w:rsidRPr="00D93FF9" w:rsidRDefault="00E811B8" w:rsidP="003807A1">
      <w:pPr>
        <w:pStyle w:val="BodyText"/>
        <w:spacing w:after="0" w:line="266" w:lineRule="auto"/>
        <w:rPr>
          <w:lang w:val="en-GB"/>
        </w:rPr>
      </w:pPr>
      <w:r w:rsidRPr="00D93FF9">
        <w:rPr>
          <w:lang w:val="en-GB"/>
        </w:rPr>
        <w:lastRenderedPageBreak/>
        <w:t>CI% is the measured soil chloride level (in the 1:5 solution) with units of mg/kg soil</w:t>
      </w:r>
    </w:p>
    <w:p w14:paraId="59DCC681" w14:textId="7C9A67EA" w:rsidR="00C46175" w:rsidRPr="00D93FF9" w:rsidRDefault="00E811B8" w:rsidP="003807A1">
      <w:pPr>
        <w:pStyle w:val="BodyText"/>
        <w:spacing w:after="0"/>
        <w:rPr>
          <w:lang w:val="en-GB"/>
        </w:rPr>
      </w:pPr>
      <w:r w:rsidRPr="00D93FF9">
        <w:rPr>
          <w:lang w:val="en-GB"/>
        </w:rPr>
        <w:t xml:space="preserve">The </w:t>
      </w:r>
      <w:r w:rsidR="00D82720" w:rsidRPr="00D93FF9">
        <w:rPr>
          <w:lang w:val="en-GB"/>
        </w:rPr>
        <w:t xml:space="preserve">predicted </w:t>
      </w:r>
      <w:r w:rsidRPr="00D93FF9">
        <w:rPr>
          <w:lang w:val="en-GB"/>
        </w:rPr>
        <w:t>EC</w:t>
      </w:r>
      <w:r w:rsidRPr="00D93FF9">
        <w:rPr>
          <w:position w:val="-4"/>
          <w:sz w:val="15"/>
          <w:lang w:val="en-GB"/>
        </w:rPr>
        <w:t xml:space="preserve">se </w:t>
      </w:r>
      <w:r w:rsidRPr="00D93FF9">
        <w:rPr>
          <w:lang w:val="en-GB"/>
        </w:rPr>
        <w:t xml:space="preserve">value </w:t>
      </w:r>
      <w:r w:rsidR="00082518" w:rsidRPr="00D93FF9">
        <w:rPr>
          <w:lang w:val="en-GB"/>
        </w:rPr>
        <w:t xml:space="preserve">can </w:t>
      </w:r>
      <w:r w:rsidRPr="00D93FF9">
        <w:rPr>
          <w:lang w:val="en-GB"/>
        </w:rPr>
        <w:t xml:space="preserve">then </w:t>
      </w:r>
      <w:r w:rsidR="00082518" w:rsidRPr="00D93FF9">
        <w:rPr>
          <w:lang w:val="en-GB"/>
        </w:rPr>
        <w:t xml:space="preserve">be </w:t>
      </w:r>
      <w:r w:rsidRPr="00D93FF9">
        <w:rPr>
          <w:lang w:val="en-GB"/>
        </w:rPr>
        <w:t xml:space="preserve">used to </w:t>
      </w:r>
      <w:r w:rsidR="007934A2" w:rsidRPr="00D93FF9">
        <w:rPr>
          <w:lang w:val="en-GB"/>
        </w:rPr>
        <w:t xml:space="preserve">assess the effect of soil salinity on the relative growth of the crop species </w:t>
      </w:r>
      <w:r w:rsidR="00D82720" w:rsidRPr="00D93FF9">
        <w:rPr>
          <w:lang w:val="en-GB"/>
        </w:rPr>
        <w:t xml:space="preserve">of interest </w:t>
      </w:r>
      <w:r w:rsidR="00082518" w:rsidRPr="00D93FF9">
        <w:rPr>
          <w:lang w:val="en-GB"/>
        </w:rPr>
        <w:t>(via</w:t>
      </w:r>
      <w:r w:rsidR="0039162B" w:rsidRPr="00D93FF9">
        <w:rPr>
          <w:lang w:val="en-GB"/>
        </w:rPr>
        <w:t xml:space="preserve"> </w:t>
      </w:r>
      <w:r w:rsidR="0039162B" w:rsidRPr="00D93FF9">
        <w:rPr>
          <w:lang w:val="en-GB"/>
        </w:rPr>
        <w:fldChar w:fldCharType="begin"/>
      </w:r>
      <w:r w:rsidR="0039162B" w:rsidRPr="00D93FF9">
        <w:rPr>
          <w:lang w:val="en-GB"/>
        </w:rPr>
        <w:instrText xml:space="preserve"> REF _Ref81391734 \h </w:instrText>
      </w:r>
      <w:r w:rsidR="00D93FF9">
        <w:rPr>
          <w:lang w:val="en-GB"/>
        </w:rPr>
        <w:instrText xml:space="preserve"> \* MERGEFORMAT </w:instrText>
      </w:r>
      <w:r w:rsidR="0039162B" w:rsidRPr="00D93FF9">
        <w:rPr>
          <w:lang w:val="en-GB"/>
        </w:rPr>
      </w:r>
      <w:r w:rsidR="0039162B" w:rsidRPr="00D93FF9">
        <w:rPr>
          <w:lang w:val="en-GB"/>
        </w:rPr>
        <w:fldChar w:fldCharType="separate"/>
      </w:r>
      <w:r w:rsidR="0069302C" w:rsidRPr="00D93FF9">
        <w:t xml:space="preserve">Table </w:t>
      </w:r>
      <w:r w:rsidR="0069302C">
        <w:rPr>
          <w:noProof/>
        </w:rPr>
        <w:t>14</w:t>
      </w:r>
      <w:r w:rsidR="0039162B" w:rsidRPr="00D93FF9">
        <w:rPr>
          <w:lang w:val="en-GB"/>
        </w:rPr>
        <w:fldChar w:fldCharType="end"/>
      </w:r>
      <w:r w:rsidR="0039162B" w:rsidRPr="00D93FF9">
        <w:rPr>
          <w:lang w:val="en-GB"/>
        </w:rPr>
        <w:t xml:space="preserve"> and</w:t>
      </w:r>
      <w:r w:rsidR="0039162B" w:rsidRPr="00D93FF9">
        <w:rPr>
          <w:lang w:val="en-GB"/>
        </w:rPr>
        <w:fldChar w:fldCharType="begin"/>
      </w:r>
      <w:r w:rsidR="0039162B" w:rsidRPr="00D93FF9">
        <w:rPr>
          <w:lang w:val="en-GB"/>
        </w:rPr>
        <w:instrText xml:space="preserve"> REF _Ref81391747 \h </w:instrText>
      </w:r>
      <w:r w:rsidR="00D93FF9">
        <w:rPr>
          <w:lang w:val="en-GB"/>
        </w:rPr>
        <w:instrText xml:space="preserve"> \* MERGEFORMAT </w:instrText>
      </w:r>
      <w:r w:rsidR="0039162B" w:rsidRPr="00D93FF9">
        <w:rPr>
          <w:lang w:val="en-GB"/>
        </w:rPr>
      </w:r>
      <w:r w:rsidR="0039162B" w:rsidRPr="00D93FF9">
        <w:rPr>
          <w:lang w:val="en-GB"/>
        </w:rPr>
        <w:fldChar w:fldCharType="separate"/>
      </w:r>
      <w:r w:rsidR="0069302C" w:rsidRPr="00D93FF9">
        <w:t xml:space="preserve">Table </w:t>
      </w:r>
      <w:r w:rsidR="0069302C">
        <w:rPr>
          <w:noProof/>
        </w:rPr>
        <w:t>15</w:t>
      </w:r>
      <w:r w:rsidR="0039162B" w:rsidRPr="00D93FF9">
        <w:rPr>
          <w:lang w:val="en-GB"/>
        </w:rPr>
        <w:fldChar w:fldCharType="end"/>
      </w:r>
      <w:r w:rsidR="0039162B" w:rsidRPr="00D93FF9">
        <w:rPr>
          <w:lang w:val="en-GB"/>
        </w:rPr>
        <w:t>)</w:t>
      </w:r>
      <w:r w:rsidR="007934A2" w:rsidRPr="00D93FF9">
        <w:rPr>
          <w:lang w:val="en-GB"/>
        </w:rPr>
        <w:t xml:space="preserve">. </w:t>
      </w:r>
    </w:p>
    <w:p w14:paraId="59DCC682" w14:textId="77777777" w:rsidR="00C46175" w:rsidRPr="00D93FF9" w:rsidRDefault="00E811B8" w:rsidP="0087794E">
      <w:pPr>
        <w:pStyle w:val="ListBullet"/>
        <w:numPr>
          <w:ilvl w:val="0"/>
          <w:numId w:val="0"/>
        </w:numPr>
        <w:ind w:left="397" w:hanging="397"/>
        <w:rPr>
          <w:rFonts w:ascii="Symbol" w:hAnsi="Symbol"/>
          <w:i/>
          <w:iCs/>
          <w:lang w:val="en-GB"/>
        </w:rPr>
      </w:pPr>
      <w:r w:rsidRPr="00D93FF9">
        <w:rPr>
          <w:i/>
          <w:iCs/>
          <w:lang w:val="en-GB"/>
        </w:rPr>
        <w:t>Calculation of</w:t>
      </w:r>
      <w:r w:rsidRPr="00D93FF9">
        <w:rPr>
          <w:i/>
          <w:iCs/>
          <w:spacing w:val="-1"/>
          <w:lang w:val="en-GB"/>
        </w:rPr>
        <w:t xml:space="preserve"> </w:t>
      </w:r>
      <w:r w:rsidRPr="00D93FF9">
        <w:rPr>
          <w:i/>
          <w:iCs/>
          <w:lang w:val="en-GB"/>
        </w:rPr>
        <w:t>EC</w:t>
      </w:r>
      <w:r w:rsidRPr="00D93FF9">
        <w:rPr>
          <w:i/>
          <w:iCs/>
          <w:position w:val="-4"/>
          <w:lang w:val="en-GB"/>
        </w:rPr>
        <w:t>s</w:t>
      </w:r>
    </w:p>
    <w:p w14:paraId="59DCC683" w14:textId="77777777" w:rsidR="00C46175" w:rsidRPr="00D93FF9" w:rsidRDefault="00E811B8" w:rsidP="003807A1">
      <w:pPr>
        <w:pStyle w:val="BodyText"/>
        <w:spacing w:after="0" w:line="235" w:lineRule="auto"/>
        <w:rPr>
          <w:lang w:val="en-GB"/>
        </w:rPr>
      </w:pPr>
      <w:r w:rsidRPr="00D93FF9">
        <w:rPr>
          <w:lang w:val="en-GB"/>
        </w:rPr>
        <w:t>EC</w:t>
      </w:r>
      <w:r w:rsidRPr="00D93FF9">
        <w:rPr>
          <w:position w:val="-4"/>
          <w:sz w:val="15"/>
          <w:lang w:val="en-GB"/>
        </w:rPr>
        <w:t xml:space="preserve">s </w:t>
      </w:r>
      <w:r w:rsidRPr="00D93FF9">
        <w:rPr>
          <w:lang w:val="en-GB"/>
        </w:rPr>
        <w:t>is approximately two times the EC</w:t>
      </w:r>
      <w:r w:rsidRPr="00D93FF9">
        <w:rPr>
          <w:position w:val="-4"/>
          <w:sz w:val="15"/>
          <w:lang w:val="en-GB"/>
        </w:rPr>
        <w:t xml:space="preserve">se </w:t>
      </w:r>
      <w:r w:rsidRPr="00D93FF9">
        <w:rPr>
          <w:lang w:val="en-GB"/>
        </w:rPr>
        <w:t>value for most soils, therefore the following equation is applicable:</w:t>
      </w:r>
    </w:p>
    <w:p w14:paraId="59DCC684" w14:textId="77777777" w:rsidR="004E58E9" w:rsidRPr="00D93FF9" w:rsidRDefault="004E58E9" w:rsidP="003807A1">
      <w:pPr>
        <w:pStyle w:val="BodyText"/>
        <w:spacing w:after="0" w:line="235" w:lineRule="auto"/>
        <w:rPr>
          <w:lang w:val="en-GB"/>
        </w:rPr>
      </w:pPr>
    </w:p>
    <w:tbl>
      <w:tblPr>
        <w:tblStyle w:val="TableGrid"/>
        <w:tblW w:w="9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55"/>
      </w:tblGrid>
      <w:tr w:rsidR="00BE3AA8" w:rsidRPr="00D93FF9" w14:paraId="59DCC688" w14:textId="77777777" w:rsidTr="001D7F8D">
        <w:trPr>
          <w:trHeight w:val="736"/>
        </w:trPr>
        <w:tc>
          <w:tcPr>
            <w:tcW w:w="4655" w:type="dxa"/>
          </w:tcPr>
          <w:p w14:paraId="59DCC685" w14:textId="77777777" w:rsidR="0034048C" w:rsidRPr="00D93FF9" w:rsidRDefault="00735642" w:rsidP="003807A1">
            <w:pPr>
              <w:pStyle w:val="BodyText"/>
              <w:spacing w:after="0" w:line="235" w:lineRule="auto"/>
              <w:rPr>
                <w:iCs/>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s</m:t>
                    </m:r>
                  </m:sub>
                </m:sSub>
                <m:r>
                  <m:rPr>
                    <m:sty m:val="p"/>
                  </m:rPr>
                  <w:rPr>
                    <w:rFonts w:ascii="Cambria Math" w:hAnsi="Cambria Math"/>
                    <w:sz w:val="22"/>
                    <w:szCs w:val="22"/>
                    <w:lang w:val="en-GB"/>
                  </w:rPr>
                  <m:t>=2.2×</m:t>
                </m:r>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se</m:t>
                    </m:r>
                  </m:sub>
                </m:sSub>
              </m:oMath>
            </m:oMathPara>
          </w:p>
        </w:tc>
        <w:tc>
          <w:tcPr>
            <w:tcW w:w="4655" w:type="dxa"/>
          </w:tcPr>
          <w:p w14:paraId="59DCC686" w14:textId="2F34511C" w:rsidR="0034048C" w:rsidRPr="00D93FF9" w:rsidRDefault="00E811B8" w:rsidP="00B474ED">
            <w:pPr>
              <w:pStyle w:val="Caption"/>
              <w:jc w:val="right"/>
              <w:rPr>
                <w:sz w:val="22"/>
                <w:szCs w:val="22"/>
              </w:rPr>
            </w:pPr>
            <w:bookmarkStart w:id="117" w:name="_Ref71621207"/>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18</w:t>
            </w:r>
            <w:r w:rsidRPr="00D93FF9">
              <w:rPr>
                <w:szCs w:val="22"/>
              </w:rPr>
              <w:fldChar w:fldCharType="end"/>
            </w:r>
            <w:bookmarkEnd w:id="117"/>
          </w:p>
          <w:p w14:paraId="59DCC687" w14:textId="77777777" w:rsidR="0034048C" w:rsidRPr="00D93FF9" w:rsidRDefault="0034048C" w:rsidP="003807A1">
            <w:pPr>
              <w:pStyle w:val="BodyText"/>
              <w:spacing w:after="0" w:line="235" w:lineRule="auto"/>
              <w:rPr>
                <w:lang w:val="en-GB"/>
              </w:rPr>
            </w:pPr>
          </w:p>
        </w:tc>
      </w:tr>
    </w:tbl>
    <w:p w14:paraId="59DCC689" w14:textId="77777777" w:rsidR="00B03738" w:rsidRPr="00D93FF9" w:rsidRDefault="00B03738" w:rsidP="003807A1">
      <w:pPr>
        <w:pStyle w:val="BodyText"/>
        <w:spacing w:after="0" w:line="235" w:lineRule="auto"/>
        <w:rPr>
          <w:lang w:val="en-GB"/>
        </w:rPr>
      </w:pPr>
    </w:p>
    <w:p w14:paraId="59DCC68A" w14:textId="77777777" w:rsidR="00C46175" w:rsidRPr="00D93FF9" w:rsidRDefault="00E811B8" w:rsidP="00840D10">
      <w:pPr>
        <w:pStyle w:val="Heading5"/>
        <w:rPr>
          <w:lang w:val="en-GB"/>
        </w:rPr>
      </w:pPr>
      <w:r w:rsidRPr="00D93FF9">
        <w:rPr>
          <w:lang w:val="en-GB"/>
        </w:rPr>
        <w:t>Soil sodicity assessment</w:t>
      </w:r>
    </w:p>
    <w:p w14:paraId="59DCC68B" w14:textId="77777777" w:rsidR="00C46175" w:rsidRPr="00D93FF9" w:rsidRDefault="00E811B8" w:rsidP="003807A1">
      <w:pPr>
        <w:pStyle w:val="BodyText"/>
        <w:spacing w:after="0"/>
        <w:jc w:val="both"/>
        <w:rPr>
          <w:lang w:val="en-GB"/>
        </w:rPr>
      </w:pPr>
      <w:r w:rsidRPr="00D93FF9">
        <w:rPr>
          <w:lang w:val="en-GB"/>
        </w:rPr>
        <w:t>Two common methods of measuring soil sodicity are:</w:t>
      </w:r>
    </w:p>
    <w:p w14:paraId="59DCC68C" w14:textId="77777777" w:rsidR="00C46175" w:rsidRPr="00D93FF9" w:rsidRDefault="00E811B8" w:rsidP="00C55FB1">
      <w:pPr>
        <w:pStyle w:val="ListBullet"/>
        <w:numPr>
          <w:ilvl w:val="0"/>
          <w:numId w:val="13"/>
        </w:numPr>
        <w:spacing w:line="266" w:lineRule="auto"/>
        <w:ind w:left="754" w:hanging="357"/>
        <w:jc w:val="both"/>
        <w:rPr>
          <w:rFonts w:ascii="Symbol" w:hAnsi="Symbol"/>
          <w:lang w:val="en-GB"/>
        </w:rPr>
      </w:pPr>
      <w:r w:rsidRPr="00D93FF9">
        <w:rPr>
          <w:lang w:val="en-GB"/>
        </w:rPr>
        <w:t>exchangeable sodium percentage (ESP</w:t>
      </w:r>
      <w:r w:rsidR="00D91172" w:rsidRPr="00D93FF9">
        <w:rPr>
          <w:lang w:val="en-GB"/>
        </w:rPr>
        <w:t>), which is the amount</w:t>
      </w:r>
      <w:r w:rsidRPr="00D93FF9">
        <w:rPr>
          <w:lang w:val="en-GB"/>
        </w:rPr>
        <w:t xml:space="preserve"> of sodium adsorbed onto the clay mineral surfaces as a proportion of the total cation exchange capacity (CEC, the ability of soil particles to adsorb cations);</w:t>
      </w:r>
      <w:r w:rsidRPr="00D93FF9">
        <w:rPr>
          <w:spacing w:val="-2"/>
          <w:lang w:val="en-GB"/>
        </w:rPr>
        <w:t xml:space="preserve"> </w:t>
      </w:r>
      <w:r w:rsidRPr="00D93FF9">
        <w:rPr>
          <w:lang w:val="en-GB"/>
        </w:rPr>
        <w:t>and</w:t>
      </w:r>
    </w:p>
    <w:p w14:paraId="59DCC68D" w14:textId="52A682DC" w:rsidR="00C46175" w:rsidRPr="00D93FF9" w:rsidRDefault="00E811B8" w:rsidP="00C55FB1">
      <w:pPr>
        <w:pStyle w:val="ListBullet"/>
        <w:numPr>
          <w:ilvl w:val="0"/>
          <w:numId w:val="13"/>
        </w:numPr>
        <w:spacing w:line="266" w:lineRule="auto"/>
        <w:ind w:left="754" w:hanging="357"/>
        <w:jc w:val="both"/>
        <w:rPr>
          <w:rFonts w:ascii="Symbol" w:hAnsi="Symbol"/>
          <w:lang w:val="en-GB"/>
        </w:rPr>
      </w:pPr>
      <w:r w:rsidRPr="00D93FF9">
        <w:rPr>
          <w:lang w:val="en-GB"/>
        </w:rPr>
        <w:t xml:space="preserve">sodium adsorption ratio (SAR), </w:t>
      </w:r>
      <w:r w:rsidR="00A438E5" w:rsidRPr="00D93FF9">
        <w:rPr>
          <w:lang w:val="en-GB"/>
        </w:rPr>
        <w:t xml:space="preserve">which is </w:t>
      </w:r>
      <w:r w:rsidRPr="00D93FF9">
        <w:rPr>
          <w:lang w:val="en-GB"/>
        </w:rPr>
        <w:t xml:space="preserve">the relative concentration of sodium to calcium </w:t>
      </w:r>
      <w:r w:rsidR="00A438E5" w:rsidRPr="00D93FF9">
        <w:rPr>
          <w:lang w:val="en-GB"/>
        </w:rPr>
        <w:t xml:space="preserve">plus </w:t>
      </w:r>
      <w:r w:rsidRPr="00D93FF9">
        <w:rPr>
          <w:lang w:val="en-GB"/>
        </w:rPr>
        <w:t>magnesium in the soil</w:t>
      </w:r>
      <w:r w:rsidRPr="00D93FF9">
        <w:rPr>
          <w:spacing w:val="-4"/>
          <w:lang w:val="en-GB"/>
        </w:rPr>
        <w:t xml:space="preserve"> </w:t>
      </w:r>
      <w:r w:rsidRPr="00D93FF9">
        <w:rPr>
          <w:lang w:val="en-GB"/>
        </w:rPr>
        <w:t>solution</w:t>
      </w:r>
      <w:r w:rsidR="00D91172" w:rsidRPr="00D93FF9">
        <w:rPr>
          <w:lang w:val="en-GB"/>
        </w:rPr>
        <w:t xml:space="preserve"> (see </w:t>
      </w:r>
      <w:r w:rsidR="00D91172" w:rsidRPr="00D93FF9">
        <w:rPr>
          <w:lang w:val="en-GB"/>
        </w:rPr>
        <w:fldChar w:fldCharType="begin"/>
      </w:r>
      <w:r w:rsidR="00D91172" w:rsidRPr="00D93FF9">
        <w:rPr>
          <w:lang w:val="en-GB"/>
        </w:rPr>
        <w:instrText xml:space="preserve"> REF _Ref72927306 \h </w:instrText>
      </w:r>
      <w:r w:rsidR="00632CE7" w:rsidRPr="00D93FF9">
        <w:rPr>
          <w:lang w:val="en-GB"/>
        </w:rPr>
        <w:instrText xml:space="preserve"> \* MERGEFORMAT </w:instrText>
      </w:r>
      <w:r w:rsidR="00D91172" w:rsidRPr="00D93FF9">
        <w:rPr>
          <w:lang w:val="en-GB"/>
        </w:rPr>
      </w:r>
      <w:r w:rsidR="00D91172" w:rsidRPr="00D93FF9">
        <w:rPr>
          <w:lang w:val="en-GB"/>
        </w:rPr>
        <w:fldChar w:fldCharType="separate"/>
      </w:r>
      <w:r w:rsidR="0069302C" w:rsidRPr="00D93FF9">
        <w:t xml:space="preserve">Equation </w:t>
      </w:r>
      <w:r w:rsidR="0069302C">
        <w:rPr>
          <w:noProof/>
        </w:rPr>
        <w:t>1</w:t>
      </w:r>
      <w:r w:rsidR="00D91172" w:rsidRPr="00D93FF9">
        <w:rPr>
          <w:lang w:val="en-GB"/>
        </w:rPr>
        <w:fldChar w:fldCharType="end"/>
      </w:r>
      <w:r w:rsidR="00D91172" w:rsidRPr="00D93FF9">
        <w:rPr>
          <w:lang w:val="en-GB"/>
        </w:rPr>
        <w:t>)</w:t>
      </w:r>
      <w:r w:rsidRPr="00D93FF9">
        <w:rPr>
          <w:lang w:val="en-GB"/>
        </w:rPr>
        <w:t>.</w:t>
      </w:r>
    </w:p>
    <w:p w14:paraId="59DCC68E" w14:textId="77777777" w:rsidR="00C46175" w:rsidRPr="00D93FF9" w:rsidRDefault="00E811B8" w:rsidP="0087794E">
      <w:pPr>
        <w:pStyle w:val="ListBullet"/>
        <w:rPr>
          <w:lang w:val="en-GB"/>
        </w:rPr>
      </w:pPr>
      <w:r w:rsidRPr="00D93FF9">
        <w:rPr>
          <w:lang w:val="en-GB"/>
        </w:rPr>
        <w:t>Exchangeable sodium percentage (ESP)</w:t>
      </w:r>
    </w:p>
    <w:p w14:paraId="59DCC68F" w14:textId="77777777" w:rsidR="00C46175" w:rsidRPr="00D93FF9" w:rsidRDefault="00E811B8" w:rsidP="008144AC">
      <w:pPr>
        <w:pStyle w:val="BodyText"/>
        <w:spacing w:after="0" w:line="266" w:lineRule="auto"/>
        <w:jc w:val="both"/>
        <w:rPr>
          <w:lang w:val="en-GB"/>
        </w:rPr>
      </w:pPr>
      <w:r w:rsidRPr="00D93FF9">
        <w:rPr>
          <w:lang w:val="en-GB"/>
        </w:rPr>
        <w:t xml:space="preserve">ESP is determined by routine CEC and exchangeable cation methods as outlined by Bruce and Rayment (1982) and Rayment and </w:t>
      </w:r>
      <w:r w:rsidR="00927FAE" w:rsidRPr="00D93FF9">
        <w:rPr>
          <w:lang w:val="en-GB"/>
        </w:rPr>
        <w:t xml:space="preserve">Lyons </w:t>
      </w:r>
      <w:r w:rsidRPr="00D93FF9">
        <w:rPr>
          <w:lang w:val="en-GB"/>
        </w:rPr>
        <w:t>(</w:t>
      </w:r>
      <w:r w:rsidR="00927FAE" w:rsidRPr="00D93FF9">
        <w:rPr>
          <w:lang w:val="en-GB"/>
        </w:rPr>
        <w:t>2010</w:t>
      </w:r>
      <w:r w:rsidRPr="00D93FF9">
        <w:rPr>
          <w:lang w:val="en-GB"/>
        </w:rPr>
        <w:t>). It is calculated using the following</w:t>
      </w:r>
      <w:r w:rsidRPr="00D93FF9">
        <w:rPr>
          <w:spacing w:val="-3"/>
          <w:lang w:val="en-GB"/>
        </w:rPr>
        <w:t xml:space="preserve"> </w:t>
      </w:r>
      <w:r w:rsidRPr="00D93FF9">
        <w:rPr>
          <w:lang w:val="en-GB"/>
        </w:rPr>
        <w:t>equation:</w:t>
      </w:r>
    </w:p>
    <w:p w14:paraId="59DCC690" w14:textId="77777777" w:rsidR="0034048C" w:rsidRPr="00D93FF9" w:rsidRDefault="0034048C" w:rsidP="008144AC">
      <w:pPr>
        <w:pStyle w:val="BodyText"/>
        <w:spacing w:after="0" w:line="266" w:lineRule="auto"/>
        <w:jc w:val="both"/>
        <w:rPr>
          <w:lang w:val="en-GB"/>
        </w:rPr>
      </w:pPr>
    </w:p>
    <w:tbl>
      <w:tblPr>
        <w:tblStyle w:val="TableGrid"/>
        <w:tblW w:w="93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62"/>
      </w:tblGrid>
      <w:tr w:rsidR="00BE3AA8" w:rsidRPr="00D93FF9" w14:paraId="59DCC694" w14:textId="77777777" w:rsidTr="00C00CD4">
        <w:trPr>
          <w:trHeight w:val="766"/>
        </w:trPr>
        <w:tc>
          <w:tcPr>
            <w:tcW w:w="4662" w:type="dxa"/>
          </w:tcPr>
          <w:p w14:paraId="59DCC691" w14:textId="77777777" w:rsidR="003A3901" w:rsidRPr="00D93FF9" w:rsidRDefault="00E811B8" w:rsidP="008144AC">
            <w:pPr>
              <w:pStyle w:val="BodyText"/>
              <w:spacing w:after="0" w:line="266" w:lineRule="auto"/>
              <w:jc w:val="both"/>
              <w:rPr>
                <w:sz w:val="22"/>
                <w:szCs w:val="22"/>
                <w:lang w:val="en-GB"/>
              </w:rPr>
            </w:pPr>
            <m:oMathPara>
              <m:oMathParaPr>
                <m:jc m:val="left"/>
              </m:oMathParaPr>
              <m:oMath>
                <m:r>
                  <m:rPr>
                    <m:sty m:val="p"/>
                  </m:rPr>
                  <w:rPr>
                    <w:rFonts w:ascii="Cambria Math" w:hAnsi="Cambria Math"/>
                    <w:sz w:val="22"/>
                    <w:szCs w:val="22"/>
                    <w:lang w:val="en-GB"/>
                  </w:rPr>
                  <m:t>ESP=</m:t>
                </m:r>
                <m:f>
                  <m:fPr>
                    <m:ctrlPr>
                      <w:rPr>
                        <w:rFonts w:ascii="Cambria Math" w:hAnsi="Cambria Math"/>
                        <w:iCs/>
                        <w:sz w:val="22"/>
                        <w:szCs w:val="22"/>
                        <w:lang w:val="en-GB"/>
                      </w:rPr>
                    </m:ctrlPr>
                  </m:fPr>
                  <m:num>
                    <m:r>
                      <m:rPr>
                        <m:sty m:val="p"/>
                      </m:rPr>
                      <w:rPr>
                        <w:rFonts w:ascii="Cambria Math" w:hAnsi="Cambria Math"/>
                        <w:sz w:val="22"/>
                        <w:szCs w:val="22"/>
                        <w:lang w:val="en-GB"/>
                      </w:rPr>
                      <m:t>Na×100</m:t>
                    </m:r>
                  </m:num>
                  <m:den>
                    <m:r>
                      <m:rPr>
                        <m:sty m:val="p"/>
                      </m:rPr>
                      <w:rPr>
                        <w:rFonts w:ascii="Cambria Math" w:hAnsi="Cambria Math"/>
                        <w:sz w:val="22"/>
                        <w:szCs w:val="22"/>
                        <w:lang w:val="en-GB"/>
                      </w:rPr>
                      <m:t>CEC</m:t>
                    </m:r>
                  </m:den>
                </m:f>
              </m:oMath>
            </m:oMathPara>
          </w:p>
        </w:tc>
        <w:tc>
          <w:tcPr>
            <w:tcW w:w="4662" w:type="dxa"/>
          </w:tcPr>
          <w:p w14:paraId="59DCC692" w14:textId="4B445359" w:rsidR="003A3901" w:rsidRPr="00D93FF9" w:rsidRDefault="00E811B8" w:rsidP="00B474ED">
            <w:pPr>
              <w:pStyle w:val="Caption"/>
              <w:jc w:val="right"/>
              <w:rPr>
                <w:sz w:val="22"/>
                <w:szCs w:val="22"/>
              </w:rPr>
            </w:pPr>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19</w:t>
            </w:r>
            <w:r w:rsidRPr="00D93FF9">
              <w:rPr>
                <w:szCs w:val="22"/>
              </w:rPr>
              <w:fldChar w:fldCharType="end"/>
            </w:r>
          </w:p>
          <w:p w14:paraId="59DCC693" w14:textId="77777777" w:rsidR="003A3901" w:rsidRPr="00D93FF9" w:rsidRDefault="003A3901" w:rsidP="008144AC">
            <w:pPr>
              <w:pStyle w:val="BodyText"/>
              <w:spacing w:after="0" w:line="266" w:lineRule="auto"/>
              <w:jc w:val="both"/>
              <w:rPr>
                <w:lang w:val="en-GB"/>
              </w:rPr>
            </w:pPr>
          </w:p>
        </w:tc>
      </w:tr>
    </w:tbl>
    <w:p w14:paraId="59DCC695" w14:textId="77777777" w:rsidR="0034048C" w:rsidRPr="00D93FF9" w:rsidRDefault="0034048C" w:rsidP="008144AC">
      <w:pPr>
        <w:pStyle w:val="BodyText"/>
        <w:spacing w:after="0" w:line="266" w:lineRule="auto"/>
        <w:jc w:val="both"/>
        <w:rPr>
          <w:lang w:val="en-GB"/>
        </w:rPr>
      </w:pPr>
    </w:p>
    <w:p w14:paraId="59DCC696" w14:textId="77777777" w:rsidR="00C46175" w:rsidRPr="00D93FF9" w:rsidRDefault="00E811B8" w:rsidP="003807A1">
      <w:pPr>
        <w:pStyle w:val="BodyText"/>
        <w:spacing w:after="0"/>
        <w:rPr>
          <w:lang w:val="en-GB"/>
        </w:rPr>
      </w:pPr>
      <w:r w:rsidRPr="00D93FF9">
        <w:rPr>
          <w:lang w:val="en-GB"/>
        </w:rPr>
        <w:t>where:</w:t>
      </w:r>
    </w:p>
    <w:p w14:paraId="59DCC697" w14:textId="77777777" w:rsidR="00C46175" w:rsidRPr="00D93FF9" w:rsidRDefault="00E811B8" w:rsidP="003807A1">
      <w:pPr>
        <w:pStyle w:val="BodyText"/>
        <w:tabs>
          <w:tab w:val="left" w:pos="998"/>
        </w:tabs>
        <w:spacing w:after="0"/>
        <w:rPr>
          <w:lang w:val="en-GB"/>
        </w:rPr>
      </w:pPr>
      <w:r w:rsidRPr="00D93FF9">
        <w:rPr>
          <w:lang w:val="en-GB"/>
        </w:rPr>
        <w:t>Na</w:t>
      </w:r>
      <w:r w:rsidRPr="00D93FF9">
        <w:rPr>
          <w:lang w:val="en-GB"/>
        </w:rPr>
        <w:tab/>
        <w:t>= ionic concentration of Na</w:t>
      </w:r>
      <w:r w:rsidRPr="00D93FF9">
        <w:rPr>
          <w:position w:val="5"/>
          <w:sz w:val="15"/>
          <w:lang w:val="en-GB"/>
        </w:rPr>
        <w:t xml:space="preserve">+ </w:t>
      </w:r>
      <w:r w:rsidRPr="00D93FF9">
        <w:rPr>
          <w:lang w:val="en-GB"/>
        </w:rPr>
        <w:t>in mmole</w:t>
      </w:r>
      <w:r w:rsidRPr="00D93FF9">
        <w:rPr>
          <w:position w:val="-4"/>
          <w:sz w:val="15"/>
          <w:lang w:val="en-GB"/>
        </w:rPr>
        <w:t xml:space="preserve">c </w:t>
      </w:r>
      <w:r w:rsidRPr="00D93FF9">
        <w:rPr>
          <w:lang w:val="en-GB"/>
        </w:rPr>
        <w:t>/100</w:t>
      </w:r>
      <w:r w:rsidRPr="00D93FF9">
        <w:rPr>
          <w:spacing w:val="-18"/>
          <w:lang w:val="en-GB"/>
        </w:rPr>
        <w:t xml:space="preserve"> </w:t>
      </w:r>
      <w:r w:rsidRPr="00D93FF9">
        <w:rPr>
          <w:lang w:val="en-GB"/>
        </w:rPr>
        <w:t>g</w:t>
      </w:r>
    </w:p>
    <w:p w14:paraId="59DCC698" w14:textId="77777777" w:rsidR="00C46175" w:rsidRPr="00D93FF9" w:rsidRDefault="00E811B8" w:rsidP="003807A1">
      <w:pPr>
        <w:pStyle w:val="BodyText"/>
        <w:tabs>
          <w:tab w:val="left" w:pos="992"/>
        </w:tabs>
        <w:spacing w:after="0"/>
        <w:rPr>
          <w:lang w:val="en-GB"/>
        </w:rPr>
      </w:pPr>
      <w:r w:rsidRPr="00D93FF9">
        <w:rPr>
          <w:lang w:val="en-GB"/>
        </w:rPr>
        <w:t>CEC</w:t>
      </w:r>
      <w:r w:rsidRPr="00D93FF9">
        <w:rPr>
          <w:lang w:val="en-GB"/>
        </w:rPr>
        <w:tab/>
        <w:t>= cation exchange capacity of the soil in mmole</w:t>
      </w:r>
      <w:r w:rsidRPr="00D93FF9">
        <w:rPr>
          <w:position w:val="-4"/>
          <w:sz w:val="15"/>
          <w:lang w:val="en-GB"/>
        </w:rPr>
        <w:t xml:space="preserve">c </w:t>
      </w:r>
      <w:r w:rsidRPr="00D93FF9">
        <w:rPr>
          <w:lang w:val="en-GB"/>
        </w:rPr>
        <w:t>/100</w:t>
      </w:r>
      <w:r w:rsidRPr="00D93FF9">
        <w:rPr>
          <w:spacing w:val="-2"/>
          <w:lang w:val="en-GB"/>
        </w:rPr>
        <w:t xml:space="preserve"> </w:t>
      </w:r>
      <w:r w:rsidRPr="00D93FF9">
        <w:rPr>
          <w:lang w:val="en-GB"/>
        </w:rPr>
        <w:t>g</w:t>
      </w:r>
    </w:p>
    <w:p w14:paraId="59DCC699" w14:textId="77777777" w:rsidR="00C46175" w:rsidRPr="00D93FF9" w:rsidRDefault="00E811B8" w:rsidP="00632CE7">
      <w:pPr>
        <w:pStyle w:val="BodyText"/>
        <w:spacing w:after="0" w:line="266" w:lineRule="auto"/>
        <w:jc w:val="both"/>
        <w:rPr>
          <w:lang w:val="en-GB"/>
        </w:rPr>
      </w:pPr>
      <w:r w:rsidRPr="00D93FF9">
        <w:rPr>
          <w:lang w:val="en-GB"/>
        </w:rPr>
        <w:t>In the absence of CEC data, the sum of the exchangeable cations sodium (Na), calcium (Ca), magnesium (Mg) and potassium (K) can be used as an approximation of CEC, except:</w:t>
      </w:r>
    </w:p>
    <w:p w14:paraId="59DCC69A" w14:textId="10BB0882" w:rsidR="00C46175" w:rsidRPr="00D93FF9" w:rsidRDefault="00E811B8" w:rsidP="00632CE7">
      <w:pPr>
        <w:pStyle w:val="ListBullet"/>
        <w:spacing w:line="266" w:lineRule="auto"/>
        <w:jc w:val="both"/>
        <w:rPr>
          <w:rFonts w:ascii="Symbol" w:hAnsi="Symbol"/>
          <w:lang w:val="en-GB"/>
        </w:rPr>
      </w:pPr>
      <w:r w:rsidRPr="00D93FF9">
        <w:rPr>
          <w:lang w:val="en-GB"/>
        </w:rPr>
        <w:t xml:space="preserve">in acid soils, unless exchange acidity has been determined (Rayment </w:t>
      </w:r>
      <w:r w:rsidR="00FA6E9E" w:rsidRPr="00D93FF9">
        <w:rPr>
          <w:lang w:val="en-GB"/>
        </w:rPr>
        <w:t>and</w:t>
      </w:r>
      <w:r w:rsidRPr="00D93FF9">
        <w:rPr>
          <w:lang w:val="en-GB"/>
        </w:rPr>
        <w:t xml:space="preserve"> Higginson 1992) an overestimat</w:t>
      </w:r>
      <w:r w:rsidR="00BC3A21" w:rsidRPr="00D93FF9">
        <w:rPr>
          <w:lang w:val="en-GB"/>
        </w:rPr>
        <w:t>ion</w:t>
      </w:r>
      <w:r w:rsidRPr="00D93FF9">
        <w:rPr>
          <w:lang w:val="en-GB"/>
        </w:rPr>
        <w:t xml:space="preserve"> of ESP will occur from summation of</w:t>
      </w:r>
      <w:r w:rsidRPr="00D93FF9">
        <w:rPr>
          <w:spacing w:val="-6"/>
          <w:lang w:val="en-GB"/>
        </w:rPr>
        <w:t xml:space="preserve"> </w:t>
      </w:r>
      <w:r w:rsidRPr="00D93FF9">
        <w:rPr>
          <w:lang w:val="en-GB"/>
        </w:rPr>
        <w:t>cations;</w:t>
      </w:r>
      <w:r w:rsidR="000061BA" w:rsidRPr="00D93FF9">
        <w:rPr>
          <w:lang w:val="en-GB"/>
        </w:rPr>
        <w:t xml:space="preserve"> It can be corrected using exchange acidity measurements (Rayment and </w:t>
      </w:r>
      <w:r w:rsidR="00927FAE" w:rsidRPr="00D93FF9">
        <w:rPr>
          <w:lang w:val="en-GB"/>
        </w:rPr>
        <w:t>Lyons</w:t>
      </w:r>
      <w:r w:rsidR="00280455" w:rsidRPr="00D93FF9">
        <w:rPr>
          <w:lang w:val="en-GB"/>
        </w:rPr>
        <w:t xml:space="preserve"> </w:t>
      </w:r>
      <w:r w:rsidR="00927FAE" w:rsidRPr="00D93FF9">
        <w:rPr>
          <w:lang w:val="en-GB"/>
        </w:rPr>
        <w:t>2010)</w:t>
      </w:r>
    </w:p>
    <w:p w14:paraId="59DCC69B" w14:textId="48700198" w:rsidR="00C46175" w:rsidRPr="00D93FF9" w:rsidRDefault="00E811B8" w:rsidP="00632CE7">
      <w:pPr>
        <w:pStyle w:val="ListBullet"/>
        <w:spacing w:line="266" w:lineRule="auto"/>
        <w:jc w:val="both"/>
        <w:rPr>
          <w:rFonts w:ascii="Symbol" w:hAnsi="Symbol"/>
          <w:lang w:val="en-GB"/>
        </w:rPr>
      </w:pPr>
      <w:r w:rsidRPr="00D93FF9">
        <w:rPr>
          <w:lang w:val="en-GB"/>
        </w:rPr>
        <w:t xml:space="preserve">in alkaline soils where Tucker’s solution at pH 8.4 (Rayment </w:t>
      </w:r>
      <w:r w:rsidR="00FA6E9E" w:rsidRPr="00D93FF9">
        <w:rPr>
          <w:lang w:val="en-GB"/>
        </w:rPr>
        <w:t>and</w:t>
      </w:r>
      <w:r w:rsidRPr="00D93FF9">
        <w:rPr>
          <w:lang w:val="en-GB"/>
        </w:rPr>
        <w:t xml:space="preserve"> </w:t>
      </w:r>
      <w:r w:rsidR="00927FAE" w:rsidRPr="00D93FF9">
        <w:rPr>
          <w:lang w:val="en-GB"/>
        </w:rPr>
        <w:t>Lyons 2010</w:t>
      </w:r>
      <w:r w:rsidRPr="00D93FF9">
        <w:rPr>
          <w:lang w:val="en-GB"/>
        </w:rPr>
        <w:t>) has not been used to extract cations</w:t>
      </w:r>
      <w:r w:rsidR="00A438E5" w:rsidRPr="00D93FF9">
        <w:rPr>
          <w:lang w:val="en-GB"/>
        </w:rPr>
        <w:t>. In which case,</w:t>
      </w:r>
      <w:r w:rsidRPr="00D93FF9">
        <w:rPr>
          <w:lang w:val="en-GB"/>
        </w:rPr>
        <w:t xml:space="preserve"> sparingly soluble Ca salts will give inflated Ca and hence an underestimate of ESP.</w:t>
      </w:r>
    </w:p>
    <w:p w14:paraId="59DCC69C" w14:textId="42B41A1B" w:rsidR="00510E5C" w:rsidRPr="00D93FF9" w:rsidRDefault="00E811B8" w:rsidP="00632CE7">
      <w:pPr>
        <w:pStyle w:val="ListBullet"/>
        <w:spacing w:line="266" w:lineRule="auto"/>
        <w:jc w:val="both"/>
        <w:rPr>
          <w:rFonts w:ascii="Symbol" w:hAnsi="Symbol"/>
          <w:lang w:val="en-GB"/>
        </w:rPr>
      </w:pPr>
      <w:r w:rsidRPr="00D93FF9">
        <w:rPr>
          <w:lang w:val="en-GB"/>
        </w:rPr>
        <w:t>In saline soils, unless the soil is prewashed</w:t>
      </w:r>
      <w:r w:rsidR="00434938" w:rsidRPr="00D93FF9">
        <w:rPr>
          <w:lang w:val="en-GB"/>
        </w:rPr>
        <w:t xml:space="preserve"> with </w:t>
      </w:r>
      <w:r w:rsidR="003B4B4A" w:rsidRPr="00D93FF9">
        <w:rPr>
          <w:lang w:val="en-GB"/>
        </w:rPr>
        <w:t>an alcohol solution</w:t>
      </w:r>
      <w:r w:rsidRPr="00D93FF9">
        <w:rPr>
          <w:lang w:val="en-GB"/>
        </w:rPr>
        <w:t>, the CEC will not accurately be measured (So et al. 200</w:t>
      </w:r>
      <w:r w:rsidR="007A03B7" w:rsidRPr="00D93FF9">
        <w:rPr>
          <w:lang w:val="en-GB"/>
        </w:rPr>
        <w:t>4</w:t>
      </w:r>
      <w:r w:rsidR="006B4181" w:rsidRPr="00D93FF9">
        <w:rPr>
          <w:lang w:val="en-GB"/>
        </w:rPr>
        <w:t>;</w:t>
      </w:r>
      <w:r w:rsidR="001371F0" w:rsidRPr="00D93FF9">
        <w:rPr>
          <w:lang w:val="en-GB"/>
        </w:rPr>
        <w:t xml:space="preserve"> SSA 2013</w:t>
      </w:r>
      <w:r w:rsidRPr="00D93FF9">
        <w:rPr>
          <w:lang w:val="en-GB"/>
        </w:rPr>
        <w:t>)</w:t>
      </w:r>
      <w:r w:rsidR="00434938" w:rsidRPr="00D93FF9">
        <w:rPr>
          <w:lang w:val="en-GB"/>
        </w:rPr>
        <w:t xml:space="preserve"> as the soluble salts are measured as exchangeable cations</w:t>
      </w:r>
      <w:r w:rsidR="001371F0" w:rsidRPr="00D93FF9">
        <w:rPr>
          <w:lang w:val="en-GB"/>
        </w:rPr>
        <w:t>.</w:t>
      </w:r>
    </w:p>
    <w:p w14:paraId="59DCC69D" w14:textId="77777777" w:rsidR="00C46175" w:rsidRPr="00D93FF9" w:rsidRDefault="00E811B8" w:rsidP="00632CE7">
      <w:pPr>
        <w:pStyle w:val="BodyText"/>
        <w:spacing w:after="0" w:line="266" w:lineRule="auto"/>
        <w:jc w:val="both"/>
        <w:rPr>
          <w:spacing w:val="-3"/>
          <w:lang w:val="en-GB"/>
        </w:rPr>
      </w:pPr>
      <w:r w:rsidRPr="00D93FF9">
        <w:rPr>
          <w:spacing w:val="-4"/>
          <w:lang w:val="en-GB"/>
        </w:rPr>
        <w:t xml:space="preserve">In some </w:t>
      </w:r>
      <w:r w:rsidRPr="00D93FF9">
        <w:rPr>
          <w:spacing w:val="-3"/>
          <w:lang w:val="en-GB"/>
        </w:rPr>
        <w:t xml:space="preserve">variable charge soils (usually </w:t>
      </w:r>
      <w:r w:rsidRPr="00D93FF9">
        <w:rPr>
          <w:lang w:val="en-GB"/>
        </w:rPr>
        <w:t xml:space="preserve">acid </w:t>
      </w:r>
      <w:r w:rsidRPr="00D93FF9">
        <w:rPr>
          <w:spacing w:val="-3"/>
          <w:lang w:val="en-GB"/>
        </w:rPr>
        <w:t xml:space="preserve">soils), </w:t>
      </w:r>
      <w:r w:rsidRPr="00D93FF9">
        <w:rPr>
          <w:lang w:val="en-GB"/>
        </w:rPr>
        <w:t xml:space="preserve">the CEC </w:t>
      </w:r>
      <w:r w:rsidRPr="00D93FF9">
        <w:rPr>
          <w:spacing w:val="-3"/>
          <w:lang w:val="en-GB"/>
        </w:rPr>
        <w:t xml:space="preserve">measured </w:t>
      </w:r>
      <w:r w:rsidRPr="00D93FF9">
        <w:rPr>
          <w:lang w:val="en-GB"/>
        </w:rPr>
        <w:t xml:space="preserve">by the </w:t>
      </w:r>
      <w:r w:rsidRPr="00D93FF9">
        <w:rPr>
          <w:spacing w:val="-3"/>
          <w:lang w:val="en-GB"/>
        </w:rPr>
        <w:t xml:space="preserve">above method may </w:t>
      </w:r>
      <w:r w:rsidRPr="00D93FF9">
        <w:rPr>
          <w:lang w:val="en-GB"/>
        </w:rPr>
        <w:t xml:space="preserve">be </w:t>
      </w:r>
      <w:r w:rsidRPr="00D93FF9">
        <w:rPr>
          <w:spacing w:val="-4"/>
          <w:lang w:val="en-GB"/>
        </w:rPr>
        <w:t>overestimate</w:t>
      </w:r>
      <w:r w:rsidR="004015CB" w:rsidRPr="00D93FF9">
        <w:rPr>
          <w:spacing w:val="-4"/>
          <w:lang w:val="en-GB"/>
        </w:rPr>
        <w:t>d</w:t>
      </w:r>
      <w:r w:rsidRPr="00D93FF9">
        <w:rPr>
          <w:spacing w:val="-4"/>
          <w:lang w:val="en-GB"/>
        </w:rPr>
        <w:t xml:space="preserve"> </w:t>
      </w:r>
      <w:r w:rsidRPr="00D93FF9">
        <w:rPr>
          <w:lang w:val="en-GB"/>
        </w:rPr>
        <w:t xml:space="preserve">due to </w:t>
      </w:r>
      <w:r w:rsidRPr="00D93FF9">
        <w:rPr>
          <w:spacing w:val="-4"/>
          <w:lang w:val="en-GB"/>
        </w:rPr>
        <w:t xml:space="preserve">pH-dependent </w:t>
      </w:r>
      <w:r w:rsidRPr="00D93FF9">
        <w:rPr>
          <w:spacing w:val="-3"/>
          <w:lang w:val="en-GB"/>
        </w:rPr>
        <w:t xml:space="preserve">charge, </w:t>
      </w:r>
      <w:r w:rsidRPr="00D93FF9">
        <w:rPr>
          <w:lang w:val="en-GB"/>
        </w:rPr>
        <w:t>and</w:t>
      </w:r>
      <w:r w:rsidR="004015CB" w:rsidRPr="00D93FF9">
        <w:rPr>
          <w:lang w:val="en-GB"/>
        </w:rPr>
        <w:t xml:space="preserve"> hence</w:t>
      </w:r>
      <w:r w:rsidRPr="00D93FF9">
        <w:rPr>
          <w:lang w:val="en-GB"/>
        </w:rPr>
        <w:t xml:space="preserve"> an </w:t>
      </w:r>
      <w:r w:rsidRPr="00D93FF9">
        <w:rPr>
          <w:spacing w:val="-4"/>
          <w:lang w:val="en-GB"/>
        </w:rPr>
        <w:t>underestimat</w:t>
      </w:r>
      <w:r w:rsidR="004015CB" w:rsidRPr="00D93FF9">
        <w:rPr>
          <w:spacing w:val="-4"/>
          <w:lang w:val="en-GB"/>
        </w:rPr>
        <w:t>ion</w:t>
      </w:r>
      <w:r w:rsidRPr="00D93FF9">
        <w:rPr>
          <w:spacing w:val="-4"/>
          <w:lang w:val="en-GB"/>
        </w:rPr>
        <w:t xml:space="preserve"> </w:t>
      </w:r>
      <w:r w:rsidRPr="00D93FF9">
        <w:rPr>
          <w:lang w:val="en-GB"/>
        </w:rPr>
        <w:t xml:space="preserve">of ESP </w:t>
      </w:r>
      <w:r w:rsidRPr="00D93FF9">
        <w:rPr>
          <w:spacing w:val="-3"/>
          <w:lang w:val="en-GB"/>
        </w:rPr>
        <w:t>may occur.</w:t>
      </w:r>
    </w:p>
    <w:p w14:paraId="59DCC69E" w14:textId="77777777" w:rsidR="00CF7F19" w:rsidRPr="00D93FF9" w:rsidRDefault="00CF7F19" w:rsidP="00632CE7">
      <w:pPr>
        <w:pStyle w:val="BodyText"/>
        <w:spacing w:after="0" w:line="266" w:lineRule="auto"/>
        <w:jc w:val="both"/>
        <w:rPr>
          <w:lang w:val="en-GB"/>
        </w:rPr>
      </w:pPr>
    </w:p>
    <w:p w14:paraId="59DCC69F" w14:textId="77777777" w:rsidR="00C46175" w:rsidRPr="00D93FF9" w:rsidRDefault="00E811B8" w:rsidP="00632CE7">
      <w:pPr>
        <w:pStyle w:val="BodyText"/>
        <w:spacing w:after="0" w:line="266" w:lineRule="auto"/>
        <w:jc w:val="both"/>
        <w:rPr>
          <w:lang w:val="en-GB"/>
        </w:rPr>
      </w:pPr>
      <w:r w:rsidRPr="00D93FF9">
        <w:rPr>
          <w:lang w:val="en-GB"/>
        </w:rPr>
        <w:lastRenderedPageBreak/>
        <w:t xml:space="preserve">The SAR of irrigation water </w:t>
      </w:r>
      <w:r w:rsidR="004015CB" w:rsidRPr="00D93FF9">
        <w:rPr>
          <w:lang w:val="en-GB"/>
        </w:rPr>
        <w:t xml:space="preserve">(or soil solution) </w:t>
      </w:r>
      <w:r w:rsidRPr="00D93FF9">
        <w:rPr>
          <w:lang w:val="en-GB"/>
        </w:rPr>
        <w:t>can be used to predict soil sodicity response to irrigation or changes in ESP.</w:t>
      </w:r>
    </w:p>
    <w:p w14:paraId="59DCC6A0" w14:textId="77777777" w:rsidR="00C46175" w:rsidRPr="00D93FF9" w:rsidRDefault="00C46175" w:rsidP="003807A1">
      <w:pPr>
        <w:pStyle w:val="BodyText"/>
        <w:spacing w:after="0"/>
        <w:rPr>
          <w:sz w:val="19"/>
          <w:lang w:val="en-GB"/>
        </w:rPr>
      </w:pPr>
    </w:p>
    <w:p w14:paraId="59DCC6A1" w14:textId="77777777" w:rsidR="00C46175" w:rsidRPr="00D93FF9" w:rsidRDefault="00E811B8" w:rsidP="0087794E">
      <w:pPr>
        <w:pStyle w:val="ListBullet"/>
        <w:rPr>
          <w:lang w:val="en-GB"/>
        </w:rPr>
      </w:pPr>
      <w:r w:rsidRPr="00D93FF9">
        <w:rPr>
          <w:lang w:val="en-GB"/>
        </w:rPr>
        <w:t>Predicting changes in ESP</w:t>
      </w:r>
    </w:p>
    <w:p w14:paraId="59DCC6A2" w14:textId="7DFFAA4C" w:rsidR="00C46175" w:rsidRPr="00D93FF9" w:rsidRDefault="00E811B8" w:rsidP="003807A1">
      <w:pPr>
        <w:pStyle w:val="BodyText"/>
        <w:spacing w:after="0" w:line="266" w:lineRule="auto"/>
        <w:jc w:val="both"/>
        <w:rPr>
          <w:spacing w:val="-3"/>
          <w:lang w:val="en-GB"/>
        </w:rPr>
      </w:pPr>
      <w:r w:rsidRPr="00D93FF9">
        <w:rPr>
          <w:spacing w:val="-3"/>
          <w:lang w:val="en-GB"/>
        </w:rPr>
        <w:t xml:space="preserve">Sodium </w:t>
      </w:r>
      <w:r w:rsidRPr="00D93FF9">
        <w:rPr>
          <w:lang w:val="en-GB"/>
        </w:rPr>
        <w:t xml:space="preserve">in </w:t>
      </w:r>
      <w:r w:rsidRPr="00D93FF9">
        <w:rPr>
          <w:spacing w:val="-2"/>
          <w:lang w:val="en-GB"/>
        </w:rPr>
        <w:t xml:space="preserve">waters </w:t>
      </w:r>
      <w:r w:rsidRPr="00D93FF9">
        <w:rPr>
          <w:lang w:val="en-GB"/>
        </w:rPr>
        <w:t xml:space="preserve">and in the </w:t>
      </w:r>
      <w:r w:rsidRPr="00D93FF9">
        <w:rPr>
          <w:spacing w:val="-3"/>
          <w:lang w:val="en-GB"/>
        </w:rPr>
        <w:t xml:space="preserve">soil solution </w:t>
      </w:r>
      <w:r w:rsidRPr="00D93FF9">
        <w:rPr>
          <w:lang w:val="en-GB"/>
        </w:rPr>
        <w:t xml:space="preserve">is usually expressed as </w:t>
      </w:r>
      <w:r w:rsidRPr="00D93FF9">
        <w:rPr>
          <w:spacing w:val="-3"/>
          <w:lang w:val="en-GB"/>
        </w:rPr>
        <w:t xml:space="preserve">SAR </w:t>
      </w:r>
      <w:r w:rsidRPr="00D93FF9">
        <w:rPr>
          <w:lang w:val="en-GB"/>
        </w:rPr>
        <w:t xml:space="preserve">because of its close </w:t>
      </w:r>
      <w:r w:rsidRPr="00D93FF9">
        <w:rPr>
          <w:spacing w:val="-3"/>
          <w:lang w:val="en-GB"/>
        </w:rPr>
        <w:t xml:space="preserve">relationship with </w:t>
      </w:r>
      <w:r w:rsidRPr="00D93FF9">
        <w:rPr>
          <w:lang w:val="en-GB"/>
        </w:rPr>
        <w:t xml:space="preserve">the ESP of the </w:t>
      </w:r>
      <w:r w:rsidRPr="00D93FF9">
        <w:rPr>
          <w:spacing w:val="-3"/>
          <w:lang w:val="en-GB"/>
        </w:rPr>
        <w:t xml:space="preserve">soil. </w:t>
      </w:r>
      <w:r w:rsidRPr="00D93FF9">
        <w:rPr>
          <w:lang w:val="en-GB"/>
        </w:rPr>
        <w:t xml:space="preserve">The </w:t>
      </w:r>
      <w:r w:rsidRPr="00D93FF9">
        <w:rPr>
          <w:spacing w:val="-3"/>
          <w:lang w:val="en-GB"/>
        </w:rPr>
        <w:t xml:space="preserve">proportions </w:t>
      </w:r>
      <w:r w:rsidRPr="00D93FF9">
        <w:rPr>
          <w:lang w:val="en-GB"/>
        </w:rPr>
        <w:t xml:space="preserve">of Ca, Mg and Na ions on the </w:t>
      </w:r>
      <w:r w:rsidRPr="00D93FF9">
        <w:rPr>
          <w:spacing w:val="-3"/>
          <w:lang w:val="en-GB"/>
        </w:rPr>
        <w:t xml:space="preserve">soil exchange </w:t>
      </w:r>
      <w:r w:rsidR="000061BA" w:rsidRPr="00D93FF9">
        <w:rPr>
          <w:spacing w:val="-3"/>
          <w:lang w:val="en-GB"/>
        </w:rPr>
        <w:t xml:space="preserve">complex </w:t>
      </w:r>
      <w:r w:rsidRPr="00D93FF9">
        <w:rPr>
          <w:lang w:val="en-GB"/>
        </w:rPr>
        <w:t xml:space="preserve">are not identical to the proportions in the </w:t>
      </w:r>
      <w:r w:rsidRPr="00D93FF9">
        <w:rPr>
          <w:spacing w:val="-3"/>
          <w:lang w:val="en-GB"/>
        </w:rPr>
        <w:t xml:space="preserve">soil solution </w:t>
      </w:r>
      <w:r w:rsidRPr="00D93FF9">
        <w:rPr>
          <w:lang w:val="en-GB"/>
        </w:rPr>
        <w:t xml:space="preserve">because the </w:t>
      </w:r>
      <w:r w:rsidRPr="00D93FF9">
        <w:rPr>
          <w:spacing w:val="-3"/>
          <w:lang w:val="en-GB"/>
        </w:rPr>
        <w:t xml:space="preserve">divalent </w:t>
      </w:r>
      <w:r w:rsidRPr="00D93FF9">
        <w:rPr>
          <w:lang w:val="en-GB"/>
        </w:rPr>
        <w:t xml:space="preserve">cations </w:t>
      </w:r>
      <w:r w:rsidRPr="00D93FF9">
        <w:rPr>
          <w:spacing w:val="-3"/>
          <w:lang w:val="en-GB"/>
        </w:rPr>
        <w:t>(Ca</w:t>
      </w:r>
      <w:r w:rsidRPr="00D93FF9">
        <w:rPr>
          <w:spacing w:val="-6"/>
          <w:lang w:val="en-GB"/>
        </w:rPr>
        <w:t xml:space="preserve"> </w:t>
      </w:r>
      <w:r w:rsidRPr="00D93FF9">
        <w:rPr>
          <w:lang w:val="en-GB"/>
        </w:rPr>
        <w:t>and</w:t>
      </w:r>
      <w:r w:rsidRPr="00D93FF9">
        <w:rPr>
          <w:spacing w:val="-6"/>
          <w:lang w:val="en-GB"/>
        </w:rPr>
        <w:t xml:space="preserve"> </w:t>
      </w:r>
      <w:r w:rsidRPr="00D93FF9">
        <w:rPr>
          <w:spacing w:val="-3"/>
          <w:lang w:val="en-GB"/>
        </w:rPr>
        <w:t>Mg)</w:t>
      </w:r>
      <w:r w:rsidRPr="00D93FF9">
        <w:rPr>
          <w:spacing w:val="-6"/>
          <w:lang w:val="en-GB"/>
        </w:rPr>
        <w:t xml:space="preserve"> </w:t>
      </w:r>
      <w:r w:rsidRPr="00D93FF9">
        <w:rPr>
          <w:lang w:val="en-GB"/>
        </w:rPr>
        <w:t>are</w:t>
      </w:r>
      <w:r w:rsidRPr="00D93FF9">
        <w:rPr>
          <w:spacing w:val="-5"/>
          <w:lang w:val="en-GB"/>
        </w:rPr>
        <w:t xml:space="preserve"> </w:t>
      </w:r>
      <w:r w:rsidRPr="00D93FF9">
        <w:rPr>
          <w:lang w:val="en-GB"/>
        </w:rPr>
        <w:t>preferentially</w:t>
      </w:r>
      <w:r w:rsidRPr="00D93FF9">
        <w:rPr>
          <w:spacing w:val="-9"/>
          <w:lang w:val="en-GB"/>
        </w:rPr>
        <w:t xml:space="preserve"> </w:t>
      </w:r>
      <w:r w:rsidRPr="00D93FF9">
        <w:rPr>
          <w:lang w:val="en-GB"/>
        </w:rPr>
        <w:t>adsorbed</w:t>
      </w:r>
      <w:r w:rsidRPr="00D93FF9">
        <w:rPr>
          <w:spacing w:val="-5"/>
          <w:lang w:val="en-GB"/>
        </w:rPr>
        <w:t xml:space="preserve"> </w:t>
      </w:r>
      <w:r w:rsidRPr="00D93FF9">
        <w:rPr>
          <w:lang w:val="en-GB"/>
        </w:rPr>
        <w:t>onto</w:t>
      </w:r>
      <w:r w:rsidRPr="00D93FF9">
        <w:rPr>
          <w:spacing w:val="-6"/>
          <w:lang w:val="en-GB"/>
        </w:rPr>
        <w:t xml:space="preserve"> </w:t>
      </w:r>
      <w:r w:rsidRPr="00D93FF9">
        <w:rPr>
          <w:lang w:val="en-GB"/>
        </w:rPr>
        <w:t>the</w:t>
      </w:r>
      <w:r w:rsidRPr="00D93FF9">
        <w:rPr>
          <w:spacing w:val="-6"/>
          <w:lang w:val="en-GB"/>
        </w:rPr>
        <w:t xml:space="preserve"> </w:t>
      </w:r>
      <w:r w:rsidRPr="00D93FF9">
        <w:rPr>
          <w:lang w:val="en-GB"/>
        </w:rPr>
        <w:t>clay</w:t>
      </w:r>
      <w:r w:rsidRPr="00D93FF9">
        <w:rPr>
          <w:spacing w:val="-8"/>
          <w:lang w:val="en-GB"/>
        </w:rPr>
        <w:t xml:space="preserve"> </w:t>
      </w:r>
      <w:r w:rsidRPr="00D93FF9">
        <w:rPr>
          <w:spacing w:val="-3"/>
          <w:lang w:val="en-GB"/>
        </w:rPr>
        <w:t>exchange</w:t>
      </w:r>
      <w:r w:rsidRPr="00D93FF9">
        <w:rPr>
          <w:spacing w:val="-6"/>
          <w:lang w:val="en-GB"/>
        </w:rPr>
        <w:t xml:space="preserve"> </w:t>
      </w:r>
      <w:r w:rsidRPr="00D93FF9">
        <w:rPr>
          <w:spacing w:val="-3"/>
          <w:lang w:val="en-GB"/>
        </w:rPr>
        <w:t>surfaces.</w:t>
      </w:r>
      <w:r w:rsidRPr="00D93FF9">
        <w:rPr>
          <w:spacing w:val="-6"/>
          <w:lang w:val="en-GB"/>
        </w:rPr>
        <w:t xml:space="preserve"> </w:t>
      </w:r>
      <w:r w:rsidRPr="00D93FF9">
        <w:rPr>
          <w:lang w:val="en-GB"/>
        </w:rPr>
        <w:t>ESP</w:t>
      </w:r>
      <w:r w:rsidRPr="00D93FF9">
        <w:rPr>
          <w:spacing w:val="-3"/>
          <w:lang w:val="en-GB"/>
        </w:rPr>
        <w:t xml:space="preserve"> </w:t>
      </w:r>
      <w:r w:rsidRPr="00D93FF9">
        <w:rPr>
          <w:lang w:val="en-GB"/>
        </w:rPr>
        <w:t>can</w:t>
      </w:r>
      <w:r w:rsidRPr="00D93FF9">
        <w:rPr>
          <w:spacing w:val="-4"/>
          <w:lang w:val="en-GB"/>
        </w:rPr>
        <w:t xml:space="preserve"> </w:t>
      </w:r>
      <w:r w:rsidRPr="00D93FF9">
        <w:rPr>
          <w:lang w:val="en-GB"/>
        </w:rPr>
        <w:t>be</w:t>
      </w:r>
      <w:r w:rsidRPr="00D93FF9">
        <w:rPr>
          <w:spacing w:val="-4"/>
          <w:lang w:val="en-GB"/>
        </w:rPr>
        <w:t xml:space="preserve"> </w:t>
      </w:r>
      <w:r w:rsidRPr="00D93FF9">
        <w:rPr>
          <w:lang w:val="en-GB"/>
        </w:rPr>
        <w:t xml:space="preserve">calculated </w:t>
      </w:r>
      <w:r w:rsidRPr="00D93FF9">
        <w:rPr>
          <w:spacing w:val="-3"/>
          <w:lang w:val="en-GB"/>
        </w:rPr>
        <w:t xml:space="preserve">from </w:t>
      </w:r>
      <w:r w:rsidRPr="00D93FF9">
        <w:rPr>
          <w:lang w:val="en-GB"/>
        </w:rPr>
        <w:t xml:space="preserve">SAR </w:t>
      </w:r>
      <w:r w:rsidRPr="00D93FF9">
        <w:rPr>
          <w:spacing w:val="-3"/>
          <w:lang w:val="en-GB"/>
        </w:rPr>
        <w:t xml:space="preserve">using </w:t>
      </w:r>
      <w:r w:rsidRPr="00D93FF9">
        <w:rPr>
          <w:lang w:val="en-GB"/>
        </w:rPr>
        <w:t xml:space="preserve">the </w:t>
      </w:r>
      <w:r w:rsidRPr="00D93FF9">
        <w:rPr>
          <w:spacing w:val="-3"/>
          <w:lang w:val="en-GB"/>
        </w:rPr>
        <w:t xml:space="preserve">following relationship (USSL 1954), which </w:t>
      </w:r>
      <w:r w:rsidRPr="00D93FF9">
        <w:rPr>
          <w:lang w:val="en-GB"/>
        </w:rPr>
        <w:t xml:space="preserve">has </w:t>
      </w:r>
      <w:r w:rsidRPr="00D93FF9">
        <w:rPr>
          <w:spacing w:val="-3"/>
          <w:lang w:val="en-GB"/>
        </w:rPr>
        <w:t xml:space="preserve">been found </w:t>
      </w:r>
      <w:r w:rsidRPr="00D93FF9">
        <w:rPr>
          <w:lang w:val="en-GB"/>
        </w:rPr>
        <w:t xml:space="preserve">to </w:t>
      </w:r>
      <w:r w:rsidRPr="00D93FF9">
        <w:rPr>
          <w:spacing w:val="-4"/>
          <w:lang w:val="en-GB"/>
        </w:rPr>
        <w:t xml:space="preserve">provide </w:t>
      </w:r>
      <w:r w:rsidRPr="00D93FF9">
        <w:rPr>
          <w:lang w:val="en-GB"/>
        </w:rPr>
        <w:t xml:space="preserve">practical predictions in </w:t>
      </w:r>
      <w:r w:rsidRPr="00D93FF9">
        <w:rPr>
          <w:spacing w:val="-3"/>
          <w:lang w:val="en-GB"/>
        </w:rPr>
        <w:t xml:space="preserve">many situations, </w:t>
      </w:r>
      <w:r w:rsidRPr="00D93FF9">
        <w:rPr>
          <w:lang w:val="en-GB"/>
        </w:rPr>
        <w:t xml:space="preserve">including </w:t>
      </w:r>
      <w:r w:rsidRPr="00D93FF9">
        <w:rPr>
          <w:spacing w:val="-3"/>
          <w:lang w:val="en-GB"/>
        </w:rPr>
        <w:t xml:space="preserve">Australian soils </w:t>
      </w:r>
      <w:r w:rsidRPr="00D93FF9">
        <w:rPr>
          <w:lang w:val="en-GB"/>
        </w:rPr>
        <w:t xml:space="preserve">under </w:t>
      </w:r>
      <w:r w:rsidRPr="00D93FF9">
        <w:rPr>
          <w:spacing w:val="-3"/>
          <w:lang w:val="en-GB"/>
        </w:rPr>
        <w:t>irrigation (Skene 1965).</w:t>
      </w:r>
    </w:p>
    <w:p w14:paraId="59DCC6A3" w14:textId="77777777" w:rsidR="004E58E9" w:rsidRPr="00D93FF9" w:rsidRDefault="004E58E9" w:rsidP="003807A1">
      <w:pPr>
        <w:pStyle w:val="BodyText"/>
        <w:spacing w:after="0" w:line="266" w:lineRule="auto"/>
        <w:jc w:val="both"/>
        <w:rPr>
          <w:spacing w:val="-3"/>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6A7" w14:textId="77777777" w:rsidTr="003A3901">
        <w:tc>
          <w:tcPr>
            <w:tcW w:w="4505" w:type="dxa"/>
          </w:tcPr>
          <w:p w14:paraId="59DCC6A4" w14:textId="77777777" w:rsidR="003A3901" w:rsidRPr="00D93FF9" w:rsidRDefault="00E811B8" w:rsidP="004A7F90">
            <w:pPr>
              <w:pStyle w:val="BodyText"/>
              <w:spacing w:after="0"/>
              <w:ind w:right="-799"/>
              <w:rPr>
                <w:iCs/>
                <w:sz w:val="22"/>
                <w:szCs w:val="22"/>
                <w:lang w:val="en-GB"/>
              </w:rPr>
            </w:pPr>
            <m:oMathPara>
              <m:oMathParaPr>
                <m:jc m:val="left"/>
              </m:oMathParaPr>
              <m:oMath>
                <m:r>
                  <m:rPr>
                    <m:sty m:val="p"/>
                  </m:rPr>
                  <w:rPr>
                    <w:rFonts w:ascii="Cambria Math" w:hAnsi="Cambria Math"/>
                    <w:sz w:val="22"/>
                    <w:szCs w:val="22"/>
                    <w:lang w:val="en-GB"/>
                  </w:rPr>
                  <m:t>ESP=</m:t>
                </m:r>
                <m:f>
                  <m:fPr>
                    <m:ctrlPr>
                      <w:rPr>
                        <w:rFonts w:ascii="Cambria Math" w:hAnsi="Cambria Math"/>
                        <w:iCs/>
                        <w:sz w:val="22"/>
                        <w:szCs w:val="22"/>
                        <w:lang w:val="en-GB"/>
                      </w:rPr>
                    </m:ctrlPr>
                  </m:fPr>
                  <m:num>
                    <m:r>
                      <m:rPr>
                        <m:sty m:val="p"/>
                      </m:rPr>
                      <w:rPr>
                        <w:rFonts w:ascii="Cambria Math" w:hAnsi="Cambria Math"/>
                        <w:sz w:val="22"/>
                        <w:szCs w:val="22"/>
                        <w:lang w:val="en-GB"/>
                      </w:rPr>
                      <m:t>100</m:t>
                    </m:r>
                    <m:d>
                      <m:dPr>
                        <m:ctrlPr>
                          <w:rPr>
                            <w:rFonts w:ascii="Cambria Math" w:hAnsi="Cambria Math"/>
                            <w:iCs/>
                            <w:sz w:val="22"/>
                            <w:szCs w:val="22"/>
                            <w:lang w:val="en-GB"/>
                          </w:rPr>
                        </m:ctrlPr>
                      </m:dPr>
                      <m:e>
                        <m:r>
                          <m:rPr>
                            <m:sty m:val="p"/>
                          </m:rPr>
                          <w:rPr>
                            <w:rFonts w:ascii="Cambria Math" w:hAnsi="Cambria Math"/>
                            <w:sz w:val="22"/>
                            <w:szCs w:val="22"/>
                            <w:lang w:val="en-GB"/>
                          </w:rPr>
                          <m:t>-0.0126+0.01475SAR</m:t>
                        </m:r>
                      </m:e>
                    </m:d>
                  </m:num>
                  <m:den>
                    <m:r>
                      <m:rPr>
                        <m:sty m:val="p"/>
                      </m:rPr>
                      <w:rPr>
                        <w:rFonts w:ascii="Cambria Math" w:hAnsi="Cambria Math"/>
                        <w:sz w:val="22"/>
                        <w:szCs w:val="22"/>
                        <w:lang w:val="en-GB"/>
                      </w:rPr>
                      <m:t>1+</m:t>
                    </m:r>
                    <m:d>
                      <m:dPr>
                        <m:ctrlPr>
                          <w:rPr>
                            <w:rFonts w:ascii="Cambria Math" w:hAnsi="Cambria Math"/>
                            <w:iCs/>
                            <w:sz w:val="22"/>
                            <w:szCs w:val="22"/>
                            <w:lang w:val="en-GB"/>
                          </w:rPr>
                        </m:ctrlPr>
                      </m:dPr>
                      <m:e>
                        <m:r>
                          <m:rPr>
                            <m:sty m:val="p"/>
                          </m:rPr>
                          <w:rPr>
                            <w:rFonts w:ascii="Cambria Math" w:hAnsi="Cambria Math"/>
                            <w:sz w:val="22"/>
                            <w:szCs w:val="22"/>
                            <w:lang w:val="en-GB"/>
                          </w:rPr>
                          <m:t>-0.0126+0.01475SAR</m:t>
                        </m:r>
                      </m:e>
                    </m:d>
                  </m:den>
                </m:f>
              </m:oMath>
            </m:oMathPara>
          </w:p>
        </w:tc>
        <w:tc>
          <w:tcPr>
            <w:tcW w:w="4505" w:type="dxa"/>
          </w:tcPr>
          <w:p w14:paraId="59DCC6A5" w14:textId="3026FB42" w:rsidR="003A3901" w:rsidRPr="00D93FF9" w:rsidRDefault="00E811B8" w:rsidP="00B474ED">
            <w:pPr>
              <w:pStyle w:val="Caption"/>
              <w:jc w:val="right"/>
              <w:rPr>
                <w:sz w:val="22"/>
                <w:szCs w:val="22"/>
              </w:rPr>
            </w:pPr>
            <w:bookmarkStart w:id="118" w:name="_Ref72928631"/>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20</w:t>
            </w:r>
            <w:r w:rsidRPr="00D93FF9">
              <w:rPr>
                <w:szCs w:val="22"/>
              </w:rPr>
              <w:fldChar w:fldCharType="end"/>
            </w:r>
            <w:bookmarkEnd w:id="118"/>
          </w:p>
          <w:p w14:paraId="59DCC6A6" w14:textId="77777777" w:rsidR="003A3901" w:rsidRPr="00D93FF9" w:rsidRDefault="003A3901" w:rsidP="003807A1">
            <w:pPr>
              <w:pStyle w:val="BodyText"/>
              <w:spacing w:after="0" w:line="266" w:lineRule="auto"/>
              <w:jc w:val="both"/>
              <w:rPr>
                <w:spacing w:val="-3"/>
                <w:lang w:val="en-GB"/>
              </w:rPr>
            </w:pPr>
          </w:p>
        </w:tc>
      </w:tr>
    </w:tbl>
    <w:p w14:paraId="59DCC6A8" w14:textId="77777777" w:rsidR="00C46175" w:rsidRPr="00D93FF9" w:rsidRDefault="00C46175" w:rsidP="003807A1">
      <w:pPr>
        <w:pStyle w:val="BodyText"/>
        <w:spacing w:after="0"/>
        <w:rPr>
          <w:rFonts w:ascii="Arial"/>
          <w:sz w:val="16"/>
          <w:lang w:val="en-GB"/>
        </w:rPr>
      </w:pPr>
      <w:bookmarkStart w:id="119" w:name="Predicting_changes_in_SAR"/>
      <w:bookmarkEnd w:id="119"/>
    </w:p>
    <w:p w14:paraId="59DCC6A9" w14:textId="43AB068E" w:rsidR="00A90B5A" w:rsidRPr="00D93FF9" w:rsidRDefault="00E811B8" w:rsidP="00A90B5A">
      <w:pPr>
        <w:pStyle w:val="BodyText"/>
        <w:spacing w:after="0"/>
        <w:jc w:val="both"/>
        <w:rPr>
          <w:lang w:val="en-GB"/>
        </w:rPr>
      </w:pPr>
      <w:r w:rsidRPr="00D93FF9">
        <w:rPr>
          <w:lang w:val="en-GB"/>
        </w:rPr>
        <w:t xml:space="preserve">The relationship can be seen in </w:t>
      </w:r>
      <w:r w:rsidR="007F5AB0" w:rsidRPr="00D93FF9">
        <w:rPr>
          <w:lang w:val="en-GB"/>
        </w:rPr>
        <w:fldChar w:fldCharType="begin"/>
      </w:r>
      <w:r w:rsidR="007F5AB0" w:rsidRPr="00D93FF9">
        <w:rPr>
          <w:lang w:val="en-GB"/>
        </w:rPr>
        <w:instrText xml:space="preserve"> REF _Ref81391201 \h </w:instrText>
      </w:r>
      <w:r w:rsidR="00D93FF9">
        <w:rPr>
          <w:lang w:val="en-GB"/>
        </w:rPr>
        <w:instrText xml:space="preserve"> \* MERGEFORMAT </w:instrText>
      </w:r>
      <w:r w:rsidR="007F5AB0" w:rsidRPr="00D93FF9">
        <w:rPr>
          <w:lang w:val="en-GB"/>
        </w:rPr>
      </w:r>
      <w:r w:rsidR="007F5AB0" w:rsidRPr="00D93FF9">
        <w:rPr>
          <w:lang w:val="en-GB"/>
        </w:rPr>
        <w:fldChar w:fldCharType="separate"/>
      </w:r>
      <w:r w:rsidR="0069302C" w:rsidRPr="00D93FF9">
        <w:t xml:space="preserve">Figure </w:t>
      </w:r>
      <w:r w:rsidR="0069302C">
        <w:rPr>
          <w:noProof/>
        </w:rPr>
        <w:t>6</w:t>
      </w:r>
      <w:r w:rsidR="007F5AB0" w:rsidRPr="00D93FF9">
        <w:rPr>
          <w:lang w:val="en-GB"/>
        </w:rPr>
        <w:fldChar w:fldCharType="end"/>
      </w:r>
      <w:r w:rsidR="0039162B" w:rsidRPr="00D93FF9">
        <w:rPr>
          <w:lang w:val="en-GB"/>
        </w:rPr>
        <w:t xml:space="preserve"> </w:t>
      </w:r>
      <w:r w:rsidRPr="00D93FF9">
        <w:rPr>
          <w:lang w:val="en-GB"/>
        </w:rPr>
        <w:t>and is not very different to a 1:1 relationship.</w:t>
      </w:r>
    </w:p>
    <w:p w14:paraId="59DCC6AA" w14:textId="77777777" w:rsidR="00632CE7" w:rsidRPr="00D93FF9" w:rsidRDefault="00632CE7" w:rsidP="00A90B5A">
      <w:pPr>
        <w:pStyle w:val="BodyText"/>
        <w:spacing w:after="0"/>
        <w:jc w:val="both"/>
        <w:rPr>
          <w:lang w:val="en-GB"/>
        </w:rPr>
      </w:pPr>
    </w:p>
    <w:p w14:paraId="59DCC6AB" w14:textId="77777777" w:rsidR="00632CE7" w:rsidRPr="00D93FF9" w:rsidRDefault="00E811B8" w:rsidP="0007629D">
      <w:pPr>
        <w:pStyle w:val="BodyText"/>
        <w:spacing w:after="0"/>
        <w:jc w:val="both"/>
        <w:rPr>
          <w:lang w:val="en-GB"/>
        </w:rPr>
      </w:pPr>
      <w:r w:rsidRPr="00D93FF9">
        <w:rPr>
          <w:noProof/>
        </w:rPr>
        <w:drawing>
          <wp:inline distT="0" distB="0" distL="0" distR="0" wp14:anchorId="59DCDC41" wp14:editId="31F02674">
            <wp:extent cx="5074054" cy="3362325"/>
            <wp:effectExtent l="0" t="0" r="0" b="0"/>
            <wp:docPr id="27" name="Picture 2" descr="Shows the conversion of irrigation water Sodium Adsorption Ratio to soil equilibrium ESP. A graph is shown with the sodium adsorption ratio on the x-axis ranging from 0-32, and the ESP of soil on the y-axis ranging from 0-32, for converting the sodium adsorption ratio to soil equilibrium ESP. The relationship is shown on the graph and is not very different from a 1:1 relationship. A slightly curved line runs from the bottom left of the graph’s y-axis to the top right of the graph’s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Shows the conversion of irrigation water Sodium Adsorption Ratio to soil equilibrium ESP. A graph is shown with the sodium adsorption ratio on the x-axis ranging from 0-32, and the ESP of soil on the y-axis ranging from 0-32, for converting the sodium adsorption ratio to soil equilibrium ESP. The relationship is shown on the graph and is not very different from a 1:1 relationship. A slightly curved line runs from the bottom left of the graph’s y-axis to the top right of the graph’s x-axis."/>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077263" cy="336445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9DCC6AD" w14:textId="762DCF67" w:rsidR="00A90B5A" w:rsidRPr="00D93FF9" w:rsidRDefault="007F5AB0" w:rsidP="007F5AB0">
      <w:pPr>
        <w:pStyle w:val="Caption"/>
      </w:pPr>
      <w:bookmarkStart w:id="120" w:name="_Ref81391201"/>
      <w:bookmarkStart w:id="121" w:name="_Toc96518206"/>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6</w:t>
      </w:r>
      <w:r w:rsidR="007B28AC" w:rsidRPr="00D93FF9">
        <w:fldChar w:fldCharType="end"/>
      </w:r>
      <w:bookmarkEnd w:id="120"/>
      <w:r w:rsidRPr="00D93FF9">
        <w:t xml:space="preserve"> </w:t>
      </w:r>
      <w:bookmarkStart w:id="122" w:name="_Hlk153787647"/>
      <w:r w:rsidR="00E811B8" w:rsidRPr="00D93FF9">
        <w:t>Conversion of irrigation water SAR to soil equilibrium ESP</w:t>
      </w:r>
      <w:bookmarkEnd w:id="121"/>
      <w:bookmarkEnd w:id="122"/>
    </w:p>
    <w:p w14:paraId="59DCC6AE" w14:textId="0276B8E3" w:rsidR="0088137F" w:rsidRPr="00D93FF9" w:rsidRDefault="00E811B8" w:rsidP="0088137F">
      <w:pPr>
        <w:rPr>
          <w:sz w:val="18"/>
          <w:szCs w:val="18"/>
          <w:lang w:bidi="en-US"/>
        </w:rPr>
      </w:pPr>
      <w:r w:rsidRPr="00D93FF9">
        <w:rPr>
          <w:sz w:val="18"/>
          <w:szCs w:val="18"/>
          <w:lang w:bidi="en-US"/>
        </w:rPr>
        <w:t xml:space="preserve">After </w:t>
      </w:r>
      <w:r w:rsidR="00A438E5" w:rsidRPr="00D93FF9">
        <w:rPr>
          <w:sz w:val="18"/>
          <w:szCs w:val="18"/>
          <w:lang w:bidi="en-US"/>
        </w:rPr>
        <w:t>T. Kodel</w:t>
      </w:r>
      <w:r w:rsidRPr="00D93FF9">
        <w:rPr>
          <w:sz w:val="18"/>
          <w:szCs w:val="18"/>
          <w:lang w:bidi="en-US"/>
        </w:rPr>
        <w:t xml:space="preserve">, pers. </w:t>
      </w:r>
      <w:r w:rsidR="00A438E5" w:rsidRPr="00D93FF9">
        <w:rPr>
          <w:sz w:val="18"/>
          <w:szCs w:val="18"/>
          <w:lang w:bidi="en-US"/>
        </w:rPr>
        <w:t>c</w:t>
      </w:r>
      <w:r w:rsidRPr="00D93FF9">
        <w:rPr>
          <w:sz w:val="18"/>
          <w:szCs w:val="18"/>
          <w:lang w:bidi="en-US"/>
        </w:rPr>
        <w:t>omm.</w:t>
      </w:r>
    </w:p>
    <w:p w14:paraId="59DCC6AF" w14:textId="77777777" w:rsidR="00A90B5A" w:rsidRPr="00D93FF9" w:rsidRDefault="00A90B5A" w:rsidP="00A90B5A">
      <w:pPr>
        <w:pStyle w:val="BodyText"/>
        <w:spacing w:after="0"/>
        <w:jc w:val="both"/>
        <w:rPr>
          <w:lang w:val="en-GB"/>
        </w:rPr>
      </w:pPr>
    </w:p>
    <w:p w14:paraId="59DCC6B0" w14:textId="77777777" w:rsidR="00C46175" w:rsidRPr="00D93FF9" w:rsidRDefault="00E811B8" w:rsidP="0087794E">
      <w:pPr>
        <w:pStyle w:val="BodyText"/>
        <w:spacing w:after="0"/>
        <w:jc w:val="both"/>
        <w:rPr>
          <w:lang w:val="en-GB"/>
        </w:rPr>
      </w:pPr>
      <w:r w:rsidRPr="00D93FF9">
        <w:rPr>
          <w:lang w:val="en-GB"/>
        </w:rPr>
        <w:t>While</w:t>
      </w:r>
      <w:r w:rsidRPr="00D93FF9">
        <w:rPr>
          <w:spacing w:val="28"/>
          <w:lang w:val="en-GB"/>
        </w:rPr>
        <w:t xml:space="preserve"> </w:t>
      </w:r>
      <w:r w:rsidRPr="00D93FF9">
        <w:rPr>
          <w:lang w:val="en-GB"/>
        </w:rPr>
        <w:t>changes</w:t>
      </w:r>
      <w:r w:rsidRPr="00D93FF9">
        <w:rPr>
          <w:spacing w:val="28"/>
          <w:lang w:val="en-GB"/>
        </w:rPr>
        <w:t xml:space="preserve"> </w:t>
      </w:r>
      <w:r w:rsidRPr="00D93FF9">
        <w:rPr>
          <w:lang w:val="en-GB"/>
        </w:rPr>
        <w:t>in</w:t>
      </w:r>
      <w:r w:rsidRPr="00D93FF9">
        <w:rPr>
          <w:spacing w:val="29"/>
          <w:lang w:val="en-GB"/>
        </w:rPr>
        <w:t xml:space="preserve"> </w:t>
      </w:r>
      <w:r w:rsidRPr="00D93FF9">
        <w:rPr>
          <w:lang w:val="en-GB"/>
        </w:rPr>
        <w:t>the</w:t>
      </w:r>
      <w:r w:rsidRPr="00D93FF9">
        <w:rPr>
          <w:spacing w:val="28"/>
          <w:lang w:val="en-GB"/>
        </w:rPr>
        <w:t xml:space="preserve"> </w:t>
      </w:r>
      <w:r w:rsidRPr="00D93FF9">
        <w:rPr>
          <w:lang w:val="en-GB"/>
        </w:rPr>
        <w:t>soil</w:t>
      </w:r>
      <w:r w:rsidRPr="00D93FF9">
        <w:rPr>
          <w:spacing w:val="29"/>
          <w:lang w:val="en-GB"/>
        </w:rPr>
        <w:t xml:space="preserve"> </w:t>
      </w:r>
      <w:r w:rsidRPr="00D93FF9">
        <w:rPr>
          <w:lang w:val="en-GB"/>
        </w:rPr>
        <w:t>salt</w:t>
      </w:r>
      <w:r w:rsidRPr="00D93FF9">
        <w:rPr>
          <w:spacing w:val="28"/>
          <w:lang w:val="en-GB"/>
        </w:rPr>
        <w:t xml:space="preserve"> </w:t>
      </w:r>
      <w:r w:rsidRPr="00D93FF9">
        <w:rPr>
          <w:lang w:val="en-GB"/>
        </w:rPr>
        <w:t>content</w:t>
      </w:r>
      <w:r w:rsidRPr="00D93FF9">
        <w:rPr>
          <w:spacing w:val="28"/>
          <w:lang w:val="en-GB"/>
        </w:rPr>
        <w:t xml:space="preserve"> </w:t>
      </w:r>
      <w:r w:rsidRPr="00D93FF9">
        <w:rPr>
          <w:lang w:val="en-GB"/>
        </w:rPr>
        <w:t>under</w:t>
      </w:r>
      <w:r w:rsidRPr="00D93FF9">
        <w:rPr>
          <w:spacing w:val="29"/>
          <w:lang w:val="en-GB"/>
        </w:rPr>
        <w:t xml:space="preserve"> </w:t>
      </w:r>
      <w:r w:rsidRPr="00D93FF9">
        <w:rPr>
          <w:lang w:val="en-GB"/>
        </w:rPr>
        <w:t>irrigation</w:t>
      </w:r>
      <w:r w:rsidRPr="00D93FF9">
        <w:rPr>
          <w:spacing w:val="28"/>
          <w:lang w:val="en-GB"/>
        </w:rPr>
        <w:t xml:space="preserve"> </w:t>
      </w:r>
      <w:r w:rsidRPr="00D93FF9">
        <w:rPr>
          <w:lang w:val="en-GB"/>
        </w:rPr>
        <w:t>are</w:t>
      </w:r>
      <w:r w:rsidRPr="00D93FF9">
        <w:rPr>
          <w:spacing w:val="29"/>
          <w:lang w:val="en-GB"/>
        </w:rPr>
        <w:t xml:space="preserve"> </w:t>
      </w:r>
      <w:r w:rsidRPr="00D93FF9">
        <w:rPr>
          <w:lang w:val="en-GB"/>
        </w:rPr>
        <w:t>reasonably</w:t>
      </w:r>
      <w:r w:rsidRPr="00D93FF9">
        <w:rPr>
          <w:spacing w:val="25"/>
          <w:lang w:val="en-GB"/>
        </w:rPr>
        <w:t xml:space="preserve"> </w:t>
      </w:r>
      <w:r w:rsidRPr="00D93FF9">
        <w:rPr>
          <w:lang w:val="en-GB"/>
        </w:rPr>
        <w:t>rapid</w:t>
      </w:r>
      <w:r w:rsidRPr="00D93FF9">
        <w:rPr>
          <w:spacing w:val="28"/>
          <w:lang w:val="en-GB"/>
        </w:rPr>
        <w:t xml:space="preserve"> </w:t>
      </w:r>
      <w:r w:rsidRPr="00D93FF9">
        <w:rPr>
          <w:lang w:val="en-GB"/>
        </w:rPr>
        <w:t>for</w:t>
      </w:r>
      <w:r w:rsidRPr="00D93FF9">
        <w:rPr>
          <w:spacing w:val="31"/>
          <w:lang w:val="en-GB"/>
        </w:rPr>
        <w:t xml:space="preserve"> </w:t>
      </w:r>
      <w:r w:rsidRPr="00D93FF9">
        <w:rPr>
          <w:lang w:val="en-GB"/>
        </w:rPr>
        <w:t>the</w:t>
      </w:r>
      <w:r w:rsidRPr="00D93FF9">
        <w:rPr>
          <w:spacing w:val="30"/>
          <w:lang w:val="en-GB"/>
        </w:rPr>
        <w:t xml:space="preserve"> </w:t>
      </w:r>
      <w:r w:rsidRPr="00D93FF9">
        <w:rPr>
          <w:lang w:val="en-GB"/>
        </w:rPr>
        <w:t>surface</w:t>
      </w:r>
      <w:r w:rsidR="00FB3515" w:rsidRPr="00D93FF9">
        <w:rPr>
          <w:lang w:val="en-GB"/>
        </w:rPr>
        <w:t xml:space="preserve"> </w:t>
      </w:r>
      <w:r w:rsidRPr="00D93FF9">
        <w:rPr>
          <w:lang w:val="en-GB"/>
        </w:rPr>
        <w:t>0.1 m (occurring in a matter of months), changes in cation exchange composition in the subsoil may take many years to come to equilibrium. The rate of change is proportional to the quantity of salts added. For example, an application of 530 mm/yr of an irrigation water with an EC of approximately 5 dS/m to a clay soil with a CEC of 50 mmole</w:t>
      </w:r>
      <w:r w:rsidRPr="00D93FF9">
        <w:rPr>
          <w:position w:val="-4"/>
          <w:sz w:val="15"/>
          <w:lang w:val="en-GB"/>
        </w:rPr>
        <w:t xml:space="preserve">c </w:t>
      </w:r>
      <w:r w:rsidRPr="00D93FF9">
        <w:rPr>
          <w:lang w:val="en-GB"/>
        </w:rPr>
        <w:t xml:space="preserve">/100 g would contribute </w:t>
      </w:r>
      <w:r w:rsidR="00C13436" w:rsidRPr="00D93FF9">
        <w:rPr>
          <w:lang w:val="en-GB"/>
        </w:rPr>
        <w:t xml:space="preserve">the equivalent of </w:t>
      </w:r>
      <w:r w:rsidRPr="00D93FF9">
        <w:rPr>
          <w:lang w:val="en-GB"/>
        </w:rPr>
        <w:t>an additional 6 percent of cations to the exchange complex in the top 0.6 m of soil</w:t>
      </w:r>
      <w:r w:rsidR="00C13436" w:rsidRPr="00D93FF9">
        <w:rPr>
          <w:lang w:val="en-GB"/>
        </w:rPr>
        <w:t>,</w:t>
      </w:r>
      <w:r w:rsidRPr="00D93FF9">
        <w:rPr>
          <w:lang w:val="en-GB"/>
        </w:rPr>
        <w:t xml:space="preserve"> each year.</w:t>
      </w:r>
    </w:p>
    <w:p w14:paraId="59DCC6B1" w14:textId="77777777" w:rsidR="00A43666" w:rsidRPr="00D93FF9" w:rsidRDefault="00E811B8" w:rsidP="002C70CE">
      <w:pPr>
        <w:pStyle w:val="BodyText"/>
        <w:spacing w:before="10" w:line="280" w:lineRule="exact"/>
        <w:ind w:right="-52"/>
        <w:jc w:val="both"/>
        <w:rPr>
          <w:lang w:val="en-GB"/>
        </w:rPr>
      </w:pPr>
      <w:r w:rsidRPr="00D93FF9">
        <w:rPr>
          <w:lang w:val="en-GB"/>
        </w:rPr>
        <w:t xml:space="preserve">However, the correction of soil ESP though the addition of calcium amendments </w:t>
      </w:r>
      <w:r w:rsidR="00C13436" w:rsidRPr="00D93FF9">
        <w:rPr>
          <w:lang w:val="en-GB"/>
        </w:rPr>
        <w:t>can</w:t>
      </w:r>
      <w:r w:rsidRPr="00D93FF9">
        <w:rPr>
          <w:lang w:val="en-GB"/>
        </w:rPr>
        <w:t xml:space="preserve"> be achieved in the year of application. The addition of Ca will replace Na on the soil exchange complex. This in turn </w:t>
      </w:r>
      <w:r w:rsidRPr="00D93FF9">
        <w:rPr>
          <w:lang w:val="en-GB"/>
        </w:rPr>
        <w:lastRenderedPageBreak/>
        <w:t xml:space="preserve">will improve soil structure and have a positive impact on soil percolation. It is important to </w:t>
      </w:r>
      <w:r w:rsidR="00C13436" w:rsidRPr="00D93FF9">
        <w:rPr>
          <w:lang w:val="en-GB"/>
        </w:rPr>
        <w:t>note</w:t>
      </w:r>
      <w:r w:rsidRPr="00D93FF9">
        <w:rPr>
          <w:lang w:val="en-GB"/>
        </w:rPr>
        <w:t xml:space="preserve"> that the addition of calcium will increase soil salinity through the addition of a salt (Ca-x) and increase Na displaced from the exchange complex </w:t>
      </w:r>
      <w:r w:rsidR="00C13436" w:rsidRPr="00D93FF9">
        <w:rPr>
          <w:lang w:val="en-GB"/>
        </w:rPr>
        <w:t xml:space="preserve">into the soil solution </w:t>
      </w:r>
      <w:r w:rsidRPr="00D93FF9">
        <w:rPr>
          <w:lang w:val="en-GB"/>
        </w:rPr>
        <w:t xml:space="preserve">which can become a problem with Na sensitive crops in the year of application.  The increase in salinity and Na availability may need to be considered in the season of application (timing of application of Ca, rate of application of Ca and crop selection). </w:t>
      </w:r>
    </w:p>
    <w:p w14:paraId="59DCC6B2" w14:textId="77777777" w:rsidR="00C46175" w:rsidRPr="00D93FF9" w:rsidRDefault="00E811B8" w:rsidP="0087794E">
      <w:pPr>
        <w:pStyle w:val="ListBullet"/>
        <w:rPr>
          <w:lang w:val="en-GB"/>
        </w:rPr>
      </w:pPr>
      <w:r w:rsidRPr="00D93FF9">
        <w:rPr>
          <w:lang w:val="en-GB"/>
        </w:rPr>
        <w:t>Predicting changes in SAR</w:t>
      </w:r>
    </w:p>
    <w:p w14:paraId="59DCC6B3" w14:textId="77777777" w:rsidR="00C46175" w:rsidRPr="00D93FF9" w:rsidRDefault="00E811B8" w:rsidP="003807A1">
      <w:pPr>
        <w:pStyle w:val="BodyText"/>
        <w:spacing w:after="0" w:line="266" w:lineRule="auto"/>
        <w:jc w:val="both"/>
        <w:rPr>
          <w:lang w:val="en-GB"/>
        </w:rPr>
      </w:pPr>
      <w:r w:rsidRPr="00D93FF9">
        <w:rPr>
          <w:lang w:val="en-GB"/>
        </w:rPr>
        <w:t xml:space="preserve">The SAR of an irrigation water provides an indication of the effect the water is likely to have on </w:t>
      </w:r>
      <w:r w:rsidR="00C13436" w:rsidRPr="00D93FF9">
        <w:rPr>
          <w:lang w:val="en-GB"/>
        </w:rPr>
        <w:t xml:space="preserve">the ESP of </w:t>
      </w:r>
      <w:r w:rsidRPr="00D93FF9">
        <w:rPr>
          <w:lang w:val="en-GB"/>
        </w:rPr>
        <w:t>a soil. A number of factors influence the relationship between ESP and SAR. In particular, the proportion of bicarbonate and calcium ions can result in the precipitation of calcium carbonate, removing calcium from the system. Also, with</w:t>
      </w:r>
      <w:r w:rsidR="000061BA" w:rsidRPr="00D93FF9">
        <w:rPr>
          <w:lang w:val="en-GB"/>
        </w:rPr>
        <w:t>in</w:t>
      </w:r>
      <w:r w:rsidRPr="00D93FF9">
        <w:rPr>
          <w:lang w:val="en-GB"/>
        </w:rPr>
        <w:t xml:space="preserve"> the root zone, the soil solution is concentrated by root water extraction, resulting in precipitation of the less soluble salts. However, the partial pressure of carbon dioxide is higher in the root zone due to root </w:t>
      </w:r>
      <w:r w:rsidR="00C13436" w:rsidRPr="00D93FF9">
        <w:rPr>
          <w:lang w:val="en-GB"/>
        </w:rPr>
        <w:t>respiration</w:t>
      </w:r>
      <w:r w:rsidRPr="00D93FF9">
        <w:rPr>
          <w:lang w:val="en-GB"/>
        </w:rPr>
        <w:t>, with the result that carbonate salts can remain in solution.</w:t>
      </w:r>
    </w:p>
    <w:p w14:paraId="59DCC6B4" w14:textId="50BDC321" w:rsidR="005B2806" w:rsidRPr="00D93FF9" w:rsidRDefault="00E811B8" w:rsidP="003807A1">
      <w:pPr>
        <w:pStyle w:val="BodyText"/>
        <w:spacing w:after="0" w:line="266" w:lineRule="auto"/>
        <w:jc w:val="both"/>
        <w:rPr>
          <w:lang w:val="en-GB"/>
        </w:rPr>
      </w:pPr>
      <w:r w:rsidRPr="00D93FF9">
        <w:rPr>
          <w:lang w:val="en-GB"/>
        </w:rPr>
        <w:t>Additionally, the amount of deep drainage (</w:t>
      </w:r>
      <w:r w:rsidR="00AC0270" w:rsidRPr="00D93FF9">
        <w:rPr>
          <w:lang w:val="en-GB"/>
        </w:rPr>
        <w:t>i</w:t>
      </w:r>
      <w:r w:rsidR="0041347A" w:rsidRPr="00D93FF9">
        <w:rPr>
          <w:lang w:val="en-GB"/>
        </w:rPr>
        <w:t>.</w:t>
      </w:r>
      <w:r w:rsidR="00AC0270" w:rsidRPr="00D93FF9">
        <w:rPr>
          <w:lang w:val="en-GB"/>
        </w:rPr>
        <w:t>e</w:t>
      </w:r>
      <w:r w:rsidR="0041347A" w:rsidRPr="00D93FF9">
        <w:rPr>
          <w:lang w:val="en-GB"/>
        </w:rPr>
        <w:t>.,</w:t>
      </w:r>
      <w:r w:rsidR="00AC0270" w:rsidRPr="00D93FF9">
        <w:rPr>
          <w:lang w:val="en-GB"/>
        </w:rPr>
        <w:t xml:space="preserve"> </w:t>
      </w:r>
      <w:r w:rsidRPr="00D93FF9">
        <w:rPr>
          <w:lang w:val="en-GB"/>
        </w:rPr>
        <w:t xml:space="preserve">leaching) has an important effect in changing the concentration of salts in the root zone. Suarez (1981) developed a model for the SAR of the drainage water at the bottom of the root zone. This point </w:t>
      </w:r>
      <w:r w:rsidR="00C13436" w:rsidRPr="00D93FF9">
        <w:rPr>
          <w:lang w:val="en-GB"/>
        </w:rPr>
        <w:t xml:space="preserve">nominal </w:t>
      </w:r>
      <w:r w:rsidRPr="00D93FF9">
        <w:rPr>
          <w:lang w:val="en-GB"/>
        </w:rPr>
        <w:t>reflect</w:t>
      </w:r>
      <w:r w:rsidR="00AC0270" w:rsidRPr="00D93FF9">
        <w:rPr>
          <w:lang w:val="en-GB"/>
        </w:rPr>
        <w:t>s</w:t>
      </w:r>
      <w:r w:rsidRPr="00D93FF9">
        <w:rPr>
          <w:lang w:val="en-GB"/>
        </w:rPr>
        <w:t xml:space="preserve"> the highest SAR reached in the soil profile</w:t>
      </w:r>
      <w:r w:rsidR="00936439" w:rsidRPr="00D93FF9">
        <w:rPr>
          <w:lang w:val="en-GB"/>
        </w:rPr>
        <w:t>.</w:t>
      </w:r>
    </w:p>
    <w:p w14:paraId="59DCC6B5" w14:textId="77777777" w:rsidR="005B2806" w:rsidRPr="00D93FF9" w:rsidRDefault="005B2806" w:rsidP="003807A1">
      <w:pPr>
        <w:pStyle w:val="BodyText"/>
        <w:spacing w:after="0" w:line="266"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6B9" w14:textId="77777777" w:rsidTr="0001298B">
        <w:tc>
          <w:tcPr>
            <w:tcW w:w="4505" w:type="dxa"/>
          </w:tcPr>
          <w:p w14:paraId="59DCC6B6" w14:textId="77777777" w:rsidR="0001298B" w:rsidRPr="00D93FF9" w:rsidRDefault="00735642" w:rsidP="003807A1">
            <w:pPr>
              <w:pStyle w:val="BodyText"/>
              <w:spacing w:after="0" w:line="266" w:lineRule="auto"/>
              <w:jc w:val="both"/>
              <w:rPr>
                <w:sz w:val="22"/>
                <w:szCs w:val="22"/>
                <w:lang w:val="en-GB"/>
              </w:rPr>
            </w:pPr>
            <m:oMathPara>
              <m:oMathParaPr>
                <m:jc m:val="left"/>
              </m:oMathParaPr>
              <m:oMath>
                <m:sSub>
                  <m:sSubPr>
                    <m:ctrlPr>
                      <w:rPr>
                        <w:rFonts w:ascii="Cambria Math" w:hAnsi="Cambria Math"/>
                        <w:iCs/>
                        <w:noProof/>
                        <w:sz w:val="22"/>
                        <w:szCs w:val="22"/>
                      </w:rPr>
                    </m:ctrlPr>
                  </m:sSubPr>
                  <m:e>
                    <m:r>
                      <m:rPr>
                        <m:sty m:val="p"/>
                      </m:rPr>
                      <w:rPr>
                        <w:rFonts w:ascii="Cambria Math" w:hAnsi="Cambria Math"/>
                        <w:noProof/>
                        <w:sz w:val="22"/>
                        <w:szCs w:val="22"/>
                      </w:rPr>
                      <m:t>SAR</m:t>
                    </m:r>
                  </m:e>
                  <m:sub>
                    <m:r>
                      <m:rPr>
                        <m:sty m:val="p"/>
                      </m:rPr>
                      <w:rPr>
                        <w:rFonts w:ascii="Cambria Math" w:hAnsi="Cambria Math"/>
                        <w:noProof/>
                        <w:sz w:val="22"/>
                        <w:szCs w:val="22"/>
                      </w:rPr>
                      <m:t>d</m:t>
                    </m:r>
                  </m:sub>
                </m:sSub>
                <m:r>
                  <m:rPr>
                    <m:sty m:val="p"/>
                  </m:rPr>
                  <w:rPr>
                    <w:rFonts w:ascii="Cambria Math" w:hAnsi="Cambria Math"/>
                    <w:noProof/>
                    <w:sz w:val="22"/>
                    <w:szCs w:val="22"/>
                  </w:rPr>
                  <m:t>=</m:t>
                </m:r>
                <m:f>
                  <m:fPr>
                    <m:ctrlPr>
                      <w:rPr>
                        <w:rFonts w:ascii="Cambria Math" w:hAnsi="Cambria Math"/>
                        <w:iCs/>
                        <w:noProof/>
                        <w:sz w:val="22"/>
                        <w:szCs w:val="22"/>
                      </w:rPr>
                    </m:ctrlPr>
                  </m:fPr>
                  <m:num>
                    <m:f>
                      <m:fPr>
                        <m:ctrlPr>
                          <w:rPr>
                            <w:rFonts w:ascii="Cambria Math" w:hAnsi="Cambria Math"/>
                            <w:iCs/>
                            <w:noProof/>
                            <w:sz w:val="22"/>
                            <w:szCs w:val="22"/>
                          </w:rPr>
                        </m:ctrlPr>
                      </m:fPr>
                      <m:num>
                        <m:sSub>
                          <m:sSubPr>
                            <m:ctrlPr>
                              <w:rPr>
                                <w:rFonts w:ascii="Cambria Math" w:hAnsi="Cambria Math"/>
                                <w:iCs/>
                                <w:noProof/>
                                <w:sz w:val="22"/>
                                <w:szCs w:val="22"/>
                              </w:rPr>
                            </m:ctrlPr>
                          </m:sSubPr>
                          <m:e>
                            <m:r>
                              <m:rPr>
                                <m:sty m:val="p"/>
                              </m:rPr>
                              <w:rPr>
                                <w:rFonts w:ascii="Cambria Math" w:hAnsi="Cambria Math"/>
                                <w:noProof/>
                                <w:sz w:val="22"/>
                                <w:szCs w:val="22"/>
                              </w:rPr>
                              <m:t>Na</m:t>
                            </m:r>
                          </m:e>
                          <m:sub>
                            <m:r>
                              <m:rPr>
                                <m:sty m:val="p"/>
                              </m:rPr>
                              <w:rPr>
                                <w:rFonts w:ascii="Cambria Math" w:hAnsi="Cambria Math"/>
                                <w:noProof/>
                                <w:sz w:val="22"/>
                                <w:szCs w:val="22"/>
                              </w:rPr>
                              <m:t>iw</m:t>
                            </m:r>
                          </m:sub>
                        </m:sSub>
                      </m:num>
                      <m:den>
                        <m:r>
                          <m:rPr>
                            <m:sty m:val="p"/>
                          </m:rPr>
                          <w:rPr>
                            <w:rFonts w:ascii="Cambria Math" w:hAnsi="Cambria Math"/>
                            <w:noProof/>
                            <w:sz w:val="22"/>
                            <w:szCs w:val="22"/>
                          </w:rPr>
                          <m:t>LF</m:t>
                        </m:r>
                      </m:den>
                    </m:f>
                  </m:num>
                  <m:den>
                    <m:sSup>
                      <m:sSupPr>
                        <m:ctrlPr>
                          <w:rPr>
                            <w:rFonts w:ascii="Cambria Math" w:hAnsi="Cambria Math"/>
                            <w:iCs/>
                            <w:noProof/>
                            <w:sz w:val="22"/>
                            <w:szCs w:val="22"/>
                          </w:rPr>
                        </m:ctrlPr>
                      </m:sSupPr>
                      <m:e>
                        <m:d>
                          <m:dPr>
                            <m:ctrlPr>
                              <w:rPr>
                                <w:rFonts w:ascii="Cambria Math" w:hAnsi="Cambria Math"/>
                                <w:iCs/>
                                <w:noProof/>
                                <w:sz w:val="22"/>
                                <w:szCs w:val="22"/>
                              </w:rPr>
                            </m:ctrlPr>
                          </m:dPr>
                          <m:e>
                            <m:f>
                              <m:fPr>
                                <m:ctrlPr>
                                  <w:rPr>
                                    <w:rFonts w:ascii="Cambria Math" w:hAnsi="Cambria Math"/>
                                    <w:iCs/>
                                    <w:noProof/>
                                    <w:sz w:val="22"/>
                                    <w:szCs w:val="22"/>
                                  </w:rPr>
                                </m:ctrlPr>
                              </m:fPr>
                              <m:num>
                                <m:sSub>
                                  <m:sSubPr>
                                    <m:ctrlPr>
                                      <w:rPr>
                                        <w:rFonts w:ascii="Cambria Math" w:hAnsi="Cambria Math"/>
                                        <w:iCs/>
                                        <w:noProof/>
                                        <w:sz w:val="22"/>
                                        <w:szCs w:val="22"/>
                                      </w:rPr>
                                    </m:ctrlPr>
                                  </m:sSubPr>
                                  <m:e>
                                    <m:r>
                                      <m:rPr>
                                        <m:sty m:val="p"/>
                                      </m:rPr>
                                      <w:rPr>
                                        <w:rFonts w:ascii="Cambria Math" w:hAnsi="Cambria Math"/>
                                        <w:noProof/>
                                        <w:sz w:val="22"/>
                                        <w:szCs w:val="22"/>
                                      </w:rPr>
                                      <m:t>Mg</m:t>
                                    </m:r>
                                  </m:e>
                                  <m:sub>
                                    <m:r>
                                      <m:rPr>
                                        <m:sty m:val="p"/>
                                      </m:rPr>
                                      <w:rPr>
                                        <w:rFonts w:ascii="Cambria Math" w:hAnsi="Cambria Math"/>
                                        <w:noProof/>
                                        <w:sz w:val="22"/>
                                        <w:szCs w:val="22"/>
                                      </w:rPr>
                                      <m:t>iw</m:t>
                                    </m:r>
                                  </m:sub>
                                </m:sSub>
                              </m:num>
                              <m:den>
                                <m:r>
                                  <m:rPr>
                                    <m:sty m:val="p"/>
                                  </m:rPr>
                                  <w:rPr>
                                    <w:rFonts w:ascii="Cambria Math" w:hAnsi="Cambria Math"/>
                                    <w:noProof/>
                                    <w:sz w:val="22"/>
                                    <w:szCs w:val="22"/>
                                  </w:rPr>
                                  <m:t>LF</m:t>
                                </m:r>
                              </m:den>
                            </m:f>
                            <m:r>
                              <m:rPr>
                                <m:sty m:val="p"/>
                              </m:rPr>
                              <w:rPr>
                                <w:rFonts w:ascii="Cambria Math" w:hAnsi="Cambria Math"/>
                                <w:noProof/>
                                <w:sz w:val="22"/>
                                <w:szCs w:val="22"/>
                              </w:rPr>
                              <m:t>+</m:t>
                            </m:r>
                            <m:sSub>
                              <m:sSubPr>
                                <m:ctrlPr>
                                  <w:rPr>
                                    <w:rFonts w:ascii="Cambria Math" w:hAnsi="Cambria Math"/>
                                    <w:iCs/>
                                    <w:noProof/>
                                    <w:sz w:val="22"/>
                                    <w:szCs w:val="22"/>
                                  </w:rPr>
                                </m:ctrlPr>
                              </m:sSubPr>
                              <m:e>
                                <m:r>
                                  <m:rPr>
                                    <m:sty m:val="p"/>
                                  </m:rPr>
                                  <w:rPr>
                                    <w:rFonts w:ascii="Cambria Math" w:hAnsi="Cambria Math"/>
                                    <w:noProof/>
                                    <w:sz w:val="22"/>
                                    <w:szCs w:val="22"/>
                                  </w:rPr>
                                  <m:t>Ca</m:t>
                                </m:r>
                              </m:e>
                              <m:sub>
                                <m:r>
                                  <m:rPr>
                                    <m:sty m:val="p"/>
                                  </m:rPr>
                                  <w:rPr>
                                    <w:rFonts w:ascii="Cambria Math" w:hAnsi="Cambria Math"/>
                                    <w:noProof/>
                                    <w:sz w:val="22"/>
                                    <w:szCs w:val="22"/>
                                  </w:rPr>
                                  <m:t>d</m:t>
                                </m:r>
                              </m:sub>
                            </m:sSub>
                          </m:e>
                        </m:d>
                      </m:e>
                      <m:sup>
                        <m:r>
                          <m:rPr>
                            <m:sty m:val="p"/>
                          </m:rPr>
                          <w:rPr>
                            <w:rFonts w:ascii="Cambria Math" w:hAnsi="Cambria Math"/>
                            <w:noProof/>
                            <w:sz w:val="22"/>
                            <w:szCs w:val="22"/>
                          </w:rPr>
                          <m:t>0.5</m:t>
                        </m:r>
                      </m:sup>
                    </m:sSup>
                  </m:den>
                </m:f>
              </m:oMath>
            </m:oMathPara>
          </w:p>
        </w:tc>
        <w:tc>
          <w:tcPr>
            <w:tcW w:w="4505" w:type="dxa"/>
          </w:tcPr>
          <w:p w14:paraId="59DCC6B7" w14:textId="39935C79" w:rsidR="0001298B" w:rsidRPr="00D93FF9" w:rsidRDefault="00E811B8" w:rsidP="00B474ED">
            <w:pPr>
              <w:pStyle w:val="Caption"/>
              <w:jc w:val="right"/>
              <w:rPr>
                <w:sz w:val="22"/>
                <w:szCs w:val="22"/>
                <w:lang w:val="en-GB"/>
              </w:rPr>
            </w:pPr>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21</w:t>
            </w:r>
            <w:r w:rsidRPr="00D93FF9">
              <w:rPr>
                <w:szCs w:val="22"/>
              </w:rPr>
              <w:fldChar w:fldCharType="end"/>
            </w:r>
          </w:p>
          <w:p w14:paraId="59DCC6B8" w14:textId="77777777" w:rsidR="0001298B" w:rsidRPr="00D93FF9" w:rsidRDefault="0001298B" w:rsidP="003807A1">
            <w:pPr>
              <w:pStyle w:val="BodyText"/>
              <w:spacing w:after="0" w:line="266" w:lineRule="auto"/>
              <w:jc w:val="both"/>
              <w:rPr>
                <w:lang w:val="en-GB"/>
              </w:rPr>
            </w:pPr>
          </w:p>
        </w:tc>
      </w:tr>
    </w:tbl>
    <w:p w14:paraId="59DCC6BA" w14:textId="77777777" w:rsidR="003A3901" w:rsidRPr="00D93FF9" w:rsidRDefault="003A3901" w:rsidP="003807A1">
      <w:pPr>
        <w:pStyle w:val="BodyText"/>
        <w:spacing w:after="0" w:line="266" w:lineRule="auto"/>
        <w:jc w:val="both"/>
        <w:rPr>
          <w:lang w:val="en-GB"/>
        </w:rPr>
      </w:pPr>
    </w:p>
    <w:p w14:paraId="59DCC6BB" w14:textId="77777777" w:rsidR="005B2806" w:rsidRPr="00D93FF9" w:rsidRDefault="00E811B8" w:rsidP="003807A1">
      <w:pPr>
        <w:pStyle w:val="BodyText"/>
        <w:spacing w:after="0" w:line="348" w:lineRule="auto"/>
        <w:jc w:val="both"/>
        <w:rPr>
          <w:lang w:val="en-GB"/>
        </w:rPr>
      </w:pPr>
      <w:r w:rsidRPr="00D93FF9">
        <w:rPr>
          <w:lang w:val="en-GB"/>
        </w:rPr>
        <w:t>where:</w:t>
      </w:r>
    </w:p>
    <w:p w14:paraId="59DCC6BC" w14:textId="77777777" w:rsidR="005B2806" w:rsidRPr="00D93FF9" w:rsidRDefault="00E811B8" w:rsidP="003807A1">
      <w:pPr>
        <w:pStyle w:val="BodyText"/>
        <w:spacing w:after="0" w:line="348" w:lineRule="auto"/>
        <w:jc w:val="both"/>
        <w:rPr>
          <w:lang w:val="en-GB"/>
        </w:rPr>
      </w:pPr>
      <w:r w:rsidRPr="00D93FF9">
        <w:rPr>
          <w:lang w:val="en-GB"/>
        </w:rPr>
        <w:t>SAR</w:t>
      </w:r>
      <w:r w:rsidRPr="00D93FF9">
        <w:rPr>
          <w:position w:val="-4"/>
          <w:sz w:val="15"/>
          <w:lang w:val="en-GB"/>
        </w:rPr>
        <w:t xml:space="preserve">d </w:t>
      </w:r>
      <w:r w:rsidRPr="00D93FF9">
        <w:rPr>
          <w:lang w:val="en-GB"/>
        </w:rPr>
        <w:t xml:space="preserve">= SAR of drainage water at the bottom of the root zone </w:t>
      </w:r>
    </w:p>
    <w:p w14:paraId="59DCC6BD" w14:textId="77777777" w:rsidR="00C46175" w:rsidRPr="00D93FF9" w:rsidRDefault="00E811B8" w:rsidP="003807A1">
      <w:pPr>
        <w:pStyle w:val="BodyText"/>
        <w:spacing w:after="0" w:line="348" w:lineRule="auto"/>
        <w:jc w:val="both"/>
        <w:rPr>
          <w:lang w:val="en-GB"/>
        </w:rPr>
      </w:pPr>
      <w:r w:rsidRPr="00D93FF9">
        <w:rPr>
          <w:lang w:val="en-GB"/>
        </w:rPr>
        <w:t xml:space="preserve">LF </w:t>
      </w:r>
      <w:r w:rsidR="00E90CE0" w:rsidRPr="00D93FF9">
        <w:rPr>
          <w:lang w:val="en-GB"/>
        </w:rPr>
        <w:t>= leaching fraction at the bottom of the root zone</w:t>
      </w:r>
    </w:p>
    <w:p w14:paraId="59DCC6BE" w14:textId="77777777" w:rsidR="005B2806" w:rsidRPr="00D93FF9" w:rsidRDefault="00E811B8" w:rsidP="003807A1">
      <w:pPr>
        <w:pStyle w:val="BodyText"/>
        <w:tabs>
          <w:tab w:val="left" w:pos="997"/>
        </w:tabs>
        <w:spacing w:after="0" w:line="348" w:lineRule="auto"/>
        <w:jc w:val="both"/>
        <w:rPr>
          <w:lang w:val="en-GB"/>
        </w:rPr>
      </w:pPr>
      <w:r w:rsidRPr="00D93FF9">
        <w:rPr>
          <w:lang w:val="en-GB"/>
        </w:rPr>
        <w:t>Na</w:t>
      </w:r>
      <w:r w:rsidRPr="00D93FF9">
        <w:rPr>
          <w:position w:val="-4"/>
          <w:sz w:val="15"/>
          <w:lang w:val="en-GB"/>
        </w:rPr>
        <w:t xml:space="preserve">iw </w:t>
      </w:r>
      <w:r w:rsidRPr="00D93FF9">
        <w:rPr>
          <w:lang w:val="en-GB"/>
        </w:rPr>
        <w:t>= Na concentration in the irrigation water (in mmole</w:t>
      </w:r>
      <w:r w:rsidRPr="00D93FF9">
        <w:rPr>
          <w:position w:val="-4"/>
          <w:sz w:val="15"/>
          <w:lang w:val="en-GB"/>
        </w:rPr>
        <w:t xml:space="preserve">c </w:t>
      </w:r>
      <w:r w:rsidRPr="00D93FF9">
        <w:rPr>
          <w:lang w:val="en-GB"/>
        </w:rPr>
        <w:t xml:space="preserve">/L) </w:t>
      </w:r>
    </w:p>
    <w:p w14:paraId="59DCC6BF" w14:textId="77777777" w:rsidR="005B2806" w:rsidRPr="00D93FF9" w:rsidRDefault="00E811B8" w:rsidP="003807A1">
      <w:pPr>
        <w:pStyle w:val="BodyText"/>
        <w:tabs>
          <w:tab w:val="left" w:pos="997"/>
        </w:tabs>
        <w:spacing w:after="0" w:line="348" w:lineRule="auto"/>
        <w:jc w:val="both"/>
        <w:rPr>
          <w:lang w:val="en-GB"/>
        </w:rPr>
      </w:pPr>
      <w:r w:rsidRPr="00D93FF9">
        <w:rPr>
          <w:lang w:val="en-GB"/>
        </w:rPr>
        <w:t>Mg</w:t>
      </w:r>
      <w:r w:rsidRPr="00D93FF9">
        <w:rPr>
          <w:position w:val="-4"/>
          <w:sz w:val="15"/>
          <w:lang w:val="en-GB"/>
        </w:rPr>
        <w:t xml:space="preserve">iw </w:t>
      </w:r>
      <w:r w:rsidRPr="00D93FF9">
        <w:rPr>
          <w:lang w:val="en-GB"/>
        </w:rPr>
        <w:t>= Mg concentration in the irrigation water (in mmole</w:t>
      </w:r>
      <w:r w:rsidRPr="00D93FF9">
        <w:rPr>
          <w:position w:val="-4"/>
          <w:sz w:val="15"/>
          <w:lang w:val="en-GB"/>
        </w:rPr>
        <w:t xml:space="preserve">c </w:t>
      </w:r>
      <w:r w:rsidRPr="00D93FF9">
        <w:rPr>
          <w:lang w:val="en-GB"/>
        </w:rPr>
        <w:t xml:space="preserve">/L) </w:t>
      </w:r>
    </w:p>
    <w:p w14:paraId="59DCC6C0" w14:textId="77777777" w:rsidR="00C46175" w:rsidRPr="00D93FF9" w:rsidRDefault="00E811B8" w:rsidP="003807A1">
      <w:pPr>
        <w:pStyle w:val="BodyText"/>
        <w:tabs>
          <w:tab w:val="left" w:pos="997"/>
        </w:tabs>
        <w:spacing w:after="0" w:line="348" w:lineRule="auto"/>
        <w:jc w:val="both"/>
        <w:rPr>
          <w:lang w:val="en-GB"/>
        </w:rPr>
      </w:pPr>
      <w:r w:rsidRPr="00D93FF9">
        <w:rPr>
          <w:lang w:val="en-GB"/>
        </w:rPr>
        <w:t>Ca</w:t>
      </w:r>
      <w:r w:rsidRPr="00D93FF9">
        <w:rPr>
          <w:position w:val="-4"/>
          <w:sz w:val="15"/>
          <w:lang w:val="en-GB"/>
        </w:rPr>
        <w:t>d</w:t>
      </w:r>
      <w:r w:rsidRPr="00D93FF9">
        <w:rPr>
          <w:position w:val="-4"/>
          <w:sz w:val="15"/>
          <w:lang w:val="en-GB"/>
        </w:rPr>
        <w:tab/>
      </w:r>
      <w:r w:rsidRPr="00D93FF9">
        <w:rPr>
          <w:lang w:val="en-GB"/>
        </w:rPr>
        <w:t>= Ca concentration in the drainage water (in mmole</w:t>
      </w:r>
      <w:r w:rsidRPr="00D93FF9">
        <w:rPr>
          <w:position w:val="-4"/>
          <w:sz w:val="15"/>
          <w:lang w:val="en-GB"/>
        </w:rPr>
        <w:t>c</w:t>
      </w:r>
      <w:r w:rsidRPr="00D93FF9">
        <w:rPr>
          <w:spacing w:val="4"/>
          <w:position w:val="-4"/>
          <w:sz w:val="15"/>
          <w:lang w:val="en-GB"/>
        </w:rPr>
        <w:t xml:space="preserve"> </w:t>
      </w:r>
      <w:r w:rsidRPr="00D93FF9">
        <w:rPr>
          <w:lang w:val="en-GB"/>
        </w:rPr>
        <w:t>/L)</w:t>
      </w:r>
    </w:p>
    <w:p w14:paraId="59DCC6C1" w14:textId="353A1F47" w:rsidR="00C46175" w:rsidRPr="00D93FF9" w:rsidRDefault="00E811B8" w:rsidP="00C13436">
      <w:pPr>
        <w:pStyle w:val="BodyText"/>
        <w:spacing w:after="0" w:line="266" w:lineRule="auto"/>
        <w:jc w:val="both"/>
        <w:rPr>
          <w:lang w:val="en-GB"/>
        </w:rPr>
      </w:pPr>
      <w:r w:rsidRPr="00D93FF9">
        <w:rPr>
          <w:lang w:val="en-GB"/>
        </w:rPr>
        <w:t>Ca</w:t>
      </w:r>
      <w:r w:rsidRPr="00D93FF9">
        <w:rPr>
          <w:position w:val="-4"/>
          <w:sz w:val="15"/>
          <w:lang w:val="en-GB"/>
        </w:rPr>
        <w:t xml:space="preserve">d </w:t>
      </w:r>
      <w:r w:rsidRPr="00D93FF9">
        <w:rPr>
          <w:lang w:val="en-GB"/>
        </w:rPr>
        <w:t>is predicted from the ionic strength, HCO</w:t>
      </w:r>
      <w:r w:rsidRPr="00D93FF9">
        <w:rPr>
          <w:position w:val="-4"/>
          <w:sz w:val="15"/>
          <w:lang w:val="en-GB"/>
        </w:rPr>
        <w:t>3</w:t>
      </w:r>
      <w:r w:rsidRPr="00D93FF9">
        <w:rPr>
          <w:lang w:val="en-GB"/>
        </w:rPr>
        <w:t>:Ca ratio, and partial pressure of CO</w:t>
      </w:r>
      <w:r w:rsidRPr="00D93FF9">
        <w:rPr>
          <w:position w:val="-4"/>
          <w:sz w:val="15"/>
          <w:lang w:val="en-GB"/>
        </w:rPr>
        <w:t>2</w:t>
      </w:r>
      <w:r w:rsidRPr="00D93FF9">
        <w:rPr>
          <w:lang w:val="en-GB"/>
        </w:rPr>
        <w:t>. Ca</w:t>
      </w:r>
      <w:r w:rsidRPr="00D93FF9">
        <w:rPr>
          <w:position w:val="-4"/>
          <w:sz w:val="15"/>
          <w:lang w:val="en-GB"/>
        </w:rPr>
        <w:t xml:space="preserve">d </w:t>
      </w:r>
      <w:r w:rsidRPr="00D93FF9">
        <w:rPr>
          <w:lang w:val="en-GB"/>
        </w:rPr>
        <w:t>values can be calculated from data given by Suarez</w:t>
      </w:r>
      <w:r w:rsidRPr="00D93FF9">
        <w:rPr>
          <w:spacing w:val="-27"/>
          <w:lang w:val="en-GB"/>
        </w:rPr>
        <w:t xml:space="preserve"> </w:t>
      </w:r>
      <w:r w:rsidR="0041347A" w:rsidRPr="00D93FF9">
        <w:rPr>
          <w:spacing w:val="-27"/>
          <w:lang w:val="en-GB"/>
        </w:rPr>
        <w:t xml:space="preserve"> </w:t>
      </w:r>
      <w:r w:rsidRPr="00D93FF9">
        <w:rPr>
          <w:lang w:val="en-GB"/>
        </w:rPr>
        <w:t>(1981).</w:t>
      </w:r>
    </w:p>
    <w:p w14:paraId="59DCC6C2" w14:textId="77777777" w:rsidR="00C46175" w:rsidRPr="00D93FF9" w:rsidRDefault="00E811B8" w:rsidP="00C13436">
      <w:pPr>
        <w:pStyle w:val="BodyText"/>
        <w:spacing w:after="0" w:line="266" w:lineRule="auto"/>
        <w:jc w:val="both"/>
        <w:rPr>
          <w:lang w:val="en-GB"/>
        </w:rPr>
      </w:pPr>
      <w:r w:rsidRPr="00D93FF9">
        <w:rPr>
          <w:lang w:val="en-GB"/>
        </w:rPr>
        <w:t>An alternative approximate prediction of the effect of sodic irrigation water on the SAR in the root zone is provided by Miyamoto</w:t>
      </w:r>
      <w:r w:rsidRPr="00D93FF9">
        <w:rPr>
          <w:spacing w:val="-3"/>
          <w:lang w:val="en-GB"/>
        </w:rPr>
        <w:t xml:space="preserve"> </w:t>
      </w:r>
      <w:r w:rsidRPr="00D93FF9">
        <w:rPr>
          <w:lang w:val="en-GB"/>
        </w:rPr>
        <w:t>(1980):</w:t>
      </w:r>
    </w:p>
    <w:p w14:paraId="59DCC6C3" w14:textId="77777777" w:rsidR="004E58E9" w:rsidRPr="00D93FF9" w:rsidRDefault="004E58E9" w:rsidP="003807A1">
      <w:pPr>
        <w:pStyle w:val="BodyText"/>
        <w:spacing w:after="0" w:line="266" w:lineRule="auto"/>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6C7" w14:textId="77777777" w:rsidTr="00F20935">
        <w:tc>
          <w:tcPr>
            <w:tcW w:w="4505" w:type="dxa"/>
          </w:tcPr>
          <w:p w14:paraId="59DCC6C4" w14:textId="77777777" w:rsidR="00F20935" w:rsidRPr="00D93FF9" w:rsidRDefault="00735642" w:rsidP="003807A1">
            <w:pPr>
              <w:pStyle w:val="BodyText"/>
              <w:spacing w:after="0" w:line="266" w:lineRule="auto"/>
              <w:jc w:val="both"/>
              <w:rPr>
                <w:sz w:val="22"/>
                <w:szCs w:val="22"/>
                <w:lang w:val="en-GB"/>
              </w:rPr>
            </w:pPr>
            <m:oMathPara>
              <m:oMathParaPr>
                <m:jc m:val="left"/>
              </m:oMathParaPr>
              <m:oMath>
                <m:sSub>
                  <m:sSubPr>
                    <m:ctrlPr>
                      <w:rPr>
                        <w:rFonts w:ascii="Cambria Math" w:hAnsi="Cambria Math"/>
                        <w:iCs/>
                        <w:noProof/>
                        <w:sz w:val="22"/>
                        <w:szCs w:val="22"/>
                      </w:rPr>
                    </m:ctrlPr>
                  </m:sSubPr>
                  <m:e>
                    <m:r>
                      <m:rPr>
                        <m:sty m:val="p"/>
                      </m:rPr>
                      <w:rPr>
                        <w:rFonts w:ascii="Cambria Math" w:hAnsi="Cambria Math"/>
                        <w:noProof/>
                        <w:sz w:val="22"/>
                        <w:szCs w:val="22"/>
                      </w:rPr>
                      <m:t>SAR</m:t>
                    </m:r>
                  </m:e>
                  <m:sub>
                    <m:r>
                      <m:rPr>
                        <m:sty m:val="p"/>
                      </m:rPr>
                      <w:rPr>
                        <w:rFonts w:ascii="Cambria Math" w:hAnsi="Cambria Math"/>
                        <w:noProof/>
                        <w:sz w:val="22"/>
                        <w:szCs w:val="22"/>
                      </w:rPr>
                      <m:t>d</m:t>
                    </m:r>
                  </m:sub>
                </m:sSub>
                <m:r>
                  <m:rPr>
                    <m:sty m:val="p"/>
                  </m:rPr>
                  <w:rPr>
                    <w:rFonts w:ascii="Cambria Math" w:hAnsi="Cambria Math"/>
                    <w:noProof/>
                    <w:sz w:val="22"/>
                    <w:szCs w:val="22"/>
                  </w:rPr>
                  <m:t>=</m:t>
                </m:r>
                <m:sSub>
                  <m:sSubPr>
                    <m:ctrlPr>
                      <w:rPr>
                        <w:rFonts w:ascii="Cambria Math" w:hAnsi="Cambria Math"/>
                        <w:iCs/>
                        <w:noProof/>
                        <w:sz w:val="22"/>
                        <w:szCs w:val="22"/>
                      </w:rPr>
                    </m:ctrlPr>
                  </m:sSubPr>
                  <m:e>
                    <m:r>
                      <m:rPr>
                        <m:sty m:val="p"/>
                      </m:rPr>
                      <w:rPr>
                        <w:rFonts w:ascii="Cambria Math" w:hAnsi="Cambria Math"/>
                        <w:noProof/>
                        <w:sz w:val="22"/>
                        <w:szCs w:val="22"/>
                      </w:rPr>
                      <m:t>SAR</m:t>
                    </m:r>
                  </m:e>
                  <m:sub>
                    <m:r>
                      <m:rPr>
                        <m:sty m:val="p"/>
                      </m:rPr>
                      <w:rPr>
                        <w:rFonts w:ascii="Cambria Math" w:hAnsi="Cambria Math"/>
                        <w:noProof/>
                        <w:sz w:val="22"/>
                        <w:szCs w:val="22"/>
                      </w:rPr>
                      <m:t>iw</m:t>
                    </m:r>
                  </m:sub>
                </m:sSub>
                <m:sSup>
                  <m:sSupPr>
                    <m:ctrlPr>
                      <w:rPr>
                        <w:rFonts w:ascii="Cambria Math" w:hAnsi="Cambria Math"/>
                        <w:iCs/>
                        <w:noProof/>
                        <w:sz w:val="22"/>
                        <w:szCs w:val="22"/>
                      </w:rPr>
                    </m:ctrlPr>
                  </m:sSupPr>
                  <m:e>
                    <m:d>
                      <m:dPr>
                        <m:ctrlPr>
                          <w:rPr>
                            <w:rFonts w:ascii="Cambria Math" w:hAnsi="Cambria Math"/>
                            <w:iCs/>
                            <w:noProof/>
                            <w:sz w:val="22"/>
                            <w:szCs w:val="22"/>
                          </w:rPr>
                        </m:ctrlPr>
                      </m:dPr>
                      <m:e>
                        <m:f>
                          <m:fPr>
                            <m:ctrlPr>
                              <w:rPr>
                                <w:rFonts w:ascii="Cambria Math" w:hAnsi="Cambria Math"/>
                                <w:iCs/>
                                <w:noProof/>
                                <w:sz w:val="22"/>
                                <w:szCs w:val="22"/>
                              </w:rPr>
                            </m:ctrlPr>
                          </m:fPr>
                          <m:num>
                            <m:r>
                              <m:rPr>
                                <m:sty m:val="p"/>
                              </m:rPr>
                              <w:rPr>
                                <w:rFonts w:ascii="Cambria Math" w:hAnsi="Cambria Math"/>
                                <w:noProof/>
                                <w:sz w:val="22"/>
                                <w:szCs w:val="22"/>
                              </w:rPr>
                              <m:t>1</m:t>
                            </m:r>
                          </m:num>
                          <m:den>
                            <m:r>
                              <m:rPr>
                                <m:sty m:val="p"/>
                              </m:rPr>
                              <w:rPr>
                                <w:rFonts w:ascii="Cambria Math" w:hAnsi="Cambria Math"/>
                                <w:noProof/>
                                <w:sz w:val="22"/>
                                <w:szCs w:val="22"/>
                              </w:rPr>
                              <m:t>LF</m:t>
                            </m:r>
                          </m:den>
                        </m:f>
                      </m:e>
                    </m:d>
                  </m:e>
                  <m:sup>
                    <m:r>
                      <m:rPr>
                        <m:sty m:val="p"/>
                      </m:rPr>
                      <w:rPr>
                        <w:rFonts w:ascii="Cambria Math" w:hAnsi="Cambria Math"/>
                        <w:noProof/>
                        <w:sz w:val="22"/>
                        <w:szCs w:val="22"/>
                      </w:rPr>
                      <m:t>0.5</m:t>
                    </m:r>
                  </m:sup>
                </m:sSup>
              </m:oMath>
            </m:oMathPara>
          </w:p>
        </w:tc>
        <w:tc>
          <w:tcPr>
            <w:tcW w:w="4505" w:type="dxa"/>
          </w:tcPr>
          <w:p w14:paraId="59DCC6C5" w14:textId="10E324F7" w:rsidR="00F20935" w:rsidRPr="00D93FF9" w:rsidRDefault="00E811B8" w:rsidP="00B474ED">
            <w:pPr>
              <w:pStyle w:val="Caption"/>
              <w:jc w:val="right"/>
              <w:rPr>
                <w:sz w:val="22"/>
                <w:szCs w:val="22"/>
              </w:rPr>
            </w:pPr>
            <w:bookmarkStart w:id="123" w:name="_Ref72928582"/>
            <w:r w:rsidRPr="00D93FF9">
              <w:rPr>
                <w:sz w:val="22"/>
                <w:szCs w:val="22"/>
              </w:rPr>
              <w:t xml:space="preserve">Equation </w:t>
            </w:r>
            <w:r w:rsidRPr="00D93FF9">
              <w:rPr>
                <w:szCs w:val="22"/>
              </w:rPr>
              <w:fldChar w:fldCharType="begin"/>
            </w:r>
            <w:r w:rsidRPr="00D93FF9">
              <w:rPr>
                <w:sz w:val="22"/>
                <w:szCs w:val="22"/>
              </w:rPr>
              <w:instrText xml:space="preserve"> SEQ Equation \* ARABIC </w:instrText>
            </w:r>
            <w:r w:rsidRPr="00D93FF9">
              <w:rPr>
                <w:szCs w:val="22"/>
              </w:rPr>
              <w:fldChar w:fldCharType="separate"/>
            </w:r>
            <w:r w:rsidR="0069302C">
              <w:rPr>
                <w:noProof/>
                <w:sz w:val="22"/>
                <w:szCs w:val="22"/>
              </w:rPr>
              <w:t>22</w:t>
            </w:r>
            <w:r w:rsidRPr="00D93FF9">
              <w:rPr>
                <w:szCs w:val="22"/>
              </w:rPr>
              <w:fldChar w:fldCharType="end"/>
            </w:r>
            <w:bookmarkEnd w:id="123"/>
          </w:p>
          <w:p w14:paraId="59DCC6C6" w14:textId="77777777" w:rsidR="00F20935" w:rsidRPr="00D93FF9" w:rsidRDefault="00F20935" w:rsidP="003807A1">
            <w:pPr>
              <w:pStyle w:val="BodyText"/>
              <w:spacing w:after="0" w:line="266" w:lineRule="auto"/>
              <w:jc w:val="both"/>
              <w:rPr>
                <w:lang w:val="en-GB"/>
              </w:rPr>
            </w:pPr>
          </w:p>
        </w:tc>
      </w:tr>
    </w:tbl>
    <w:p w14:paraId="59DCC6C8" w14:textId="77777777" w:rsidR="0001298B" w:rsidRPr="00D93FF9" w:rsidRDefault="0001298B" w:rsidP="003807A1">
      <w:pPr>
        <w:pStyle w:val="BodyText"/>
        <w:spacing w:after="0" w:line="266" w:lineRule="auto"/>
        <w:jc w:val="both"/>
        <w:rPr>
          <w:lang w:val="en-GB"/>
        </w:rPr>
      </w:pPr>
    </w:p>
    <w:p w14:paraId="59DCC6C9" w14:textId="77777777" w:rsidR="00C46175" w:rsidRPr="00D93FF9" w:rsidRDefault="00E811B8" w:rsidP="003807A1">
      <w:pPr>
        <w:pStyle w:val="BodyText"/>
        <w:spacing w:after="0"/>
        <w:rPr>
          <w:lang w:val="en-GB"/>
        </w:rPr>
      </w:pPr>
      <w:r w:rsidRPr="00D93FF9">
        <w:rPr>
          <w:lang w:val="en-GB"/>
        </w:rPr>
        <w:t>where:</w:t>
      </w:r>
    </w:p>
    <w:p w14:paraId="59DCC6CA" w14:textId="77777777" w:rsidR="00C46175" w:rsidRPr="00D93FF9" w:rsidRDefault="00E811B8" w:rsidP="003807A1">
      <w:pPr>
        <w:pStyle w:val="BodyText"/>
        <w:tabs>
          <w:tab w:val="left" w:pos="1129"/>
        </w:tabs>
        <w:spacing w:after="0" w:line="348" w:lineRule="auto"/>
        <w:rPr>
          <w:lang w:val="en-GB"/>
        </w:rPr>
      </w:pPr>
      <w:r w:rsidRPr="00D93FF9">
        <w:rPr>
          <w:lang w:val="en-GB"/>
        </w:rPr>
        <w:t>SAR</w:t>
      </w:r>
      <w:r w:rsidRPr="00D93FF9">
        <w:rPr>
          <w:position w:val="-4"/>
          <w:sz w:val="15"/>
          <w:lang w:val="en-GB"/>
        </w:rPr>
        <w:t>d</w:t>
      </w:r>
      <w:r w:rsidRPr="00D93FF9">
        <w:rPr>
          <w:position w:val="-4"/>
          <w:sz w:val="15"/>
          <w:lang w:val="en-GB"/>
        </w:rPr>
        <w:tab/>
      </w:r>
      <w:r w:rsidRPr="00D93FF9">
        <w:rPr>
          <w:lang w:val="en-GB"/>
        </w:rPr>
        <w:t>= SAR of the deep drainage water at the bottom of the root zone SAR</w:t>
      </w:r>
      <w:r w:rsidRPr="00D93FF9">
        <w:rPr>
          <w:position w:val="-4"/>
          <w:sz w:val="15"/>
          <w:lang w:val="en-GB"/>
        </w:rPr>
        <w:t>iw</w:t>
      </w:r>
      <w:r w:rsidRPr="00D93FF9">
        <w:rPr>
          <w:position w:val="-4"/>
          <w:sz w:val="15"/>
          <w:lang w:val="en-GB"/>
        </w:rPr>
        <w:tab/>
      </w:r>
      <w:r w:rsidRPr="00D93FF9">
        <w:rPr>
          <w:lang w:val="en-GB"/>
        </w:rPr>
        <w:t>= SAR of the irrigation</w:t>
      </w:r>
      <w:r w:rsidRPr="00D93FF9">
        <w:rPr>
          <w:spacing w:val="-1"/>
          <w:lang w:val="en-GB"/>
        </w:rPr>
        <w:t xml:space="preserve"> </w:t>
      </w:r>
      <w:r w:rsidRPr="00D93FF9">
        <w:rPr>
          <w:lang w:val="en-GB"/>
        </w:rPr>
        <w:t>water</w:t>
      </w:r>
    </w:p>
    <w:p w14:paraId="59DCC6CB" w14:textId="5DD92BF3" w:rsidR="00C46175" w:rsidRPr="00D93FF9" w:rsidRDefault="00E811B8" w:rsidP="003807A1">
      <w:pPr>
        <w:pStyle w:val="BodyText"/>
        <w:spacing w:after="0" w:line="266" w:lineRule="auto"/>
        <w:rPr>
          <w:lang w:val="en-GB"/>
        </w:rPr>
      </w:pPr>
      <w:r w:rsidRPr="00D93FF9">
        <w:rPr>
          <w:lang w:val="en-GB"/>
        </w:rPr>
        <w:t>To estimate the ESP at the bottom of the root zone following a change in irrigation water SAR,</w:t>
      </w:r>
      <w:r w:rsidRPr="00D93FF9">
        <w:rPr>
          <w:spacing w:val="8"/>
          <w:lang w:val="en-GB"/>
        </w:rPr>
        <w:t xml:space="preserve"> </w:t>
      </w:r>
      <w:r w:rsidRPr="00D93FF9">
        <w:rPr>
          <w:lang w:val="en-GB"/>
        </w:rPr>
        <w:t>the</w:t>
      </w:r>
      <w:r w:rsidRPr="00D93FF9">
        <w:rPr>
          <w:spacing w:val="8"/>
          <w:lang w:val="en-GB"/>
        </w:rPr>
        <w:t xml:space="preserve"> </w:t>
      </w:r>
      <w:r w:rsidRPr="00D93FF9">
        <w:rPr>
          <w:lang w:val="en-GB"/>
        </w:rPr>
        <w:t>LF</w:t>
      </w:r>
      <w:r w:rsidRPr="00D93FF9">
        <w:rPr>
          <w:spacing w:val="8"/>
          <w:lang w:val="en-GB"/>
        </w:rPr>
        <w:t xml:space="preserve"> </w:t>
      </w:r>
      <w:r w:rsidRPr="00D93FF9">
        <w:rPr>
          <w:lang w:val="en-GB"/>
        </w:rPr>
        <w:t>is</w:t>
      </w:r>
      <w:r w:rsidRPr="00D93FF9">
        <w:rPr>
          <w:spacing w:val="8"/>
          <w:lang w:val="en-GB"/>
        </w:rPr>
        <w:t xml:space="preserve"> </w:t>
      </w:r>
      <w:r w:rsidRPr="00D93FF9">
        <w:rPr>
          <w:lang w:val="en-GB"/>
        </w:rPr>
        <w:t>predicted</w:t>
      </w:r>
      <w:r w:rsidRPr="00D93FF9">
        <w:rPr>
          <w:spacing w:val="8"/>
          <w:lang w:val="en-GB"/>
        </w:rPr>
        <w:t xml:space="preserve"> </w:t>
      </w:r>
      <w:r w:rsidRPr="00D93FF9">
        <w:rPr>
          <w:lang w:val="en-GB"/>
        </w:rPr>
        <w:t>for</w:t>
      </w:r>
      <w:r w:rsidRPr="00D93FF9">
        <w:rPr>
          <w:spacing w:val="11"/>
          <w:lang w:val="en-GB"/>
        </w:rPr>
        <w:t xml:space="preserve"> </w:t>
      </w:r>
      <w:r w:rsidRPr="00D93FF9">
        <w:rPr>
          <w:lang w:val="en-GB"/>
        </w:rPr>
        <w:t>the</w:t>
      </w:r>
      <w:r w:rsidRPr="00D93FF9">
        <w:rPr>
          <w:spacing w:val="11"/>
          <w:lang w:val="en-GB"/>
        </w:rPr>
        <w:t xml:space="preserve"> </w:t>
      </w:r>
      <w:r w:rsidRPr="00D93FF9">
        <w:rPr>
          <w:lang w:val="en-GB"/>
        </w:rPr>
        <w:t>existing</w:t>
      </w:r>
      <w:r w:rsidRPr="00D93FF9">
        <w:rPr>
          <w:spacing w:val="8"/>
          <w:lang w:val="en-GB"/>
        </w:rPr>
        <w:t xml:space="preserve"> </w:t>
      </w:r>
      <w:r w:rsidRPr="00D93FF9">
        <w:rPr>
          <w:lang w:val="en-GB"/>
        </w:rPr>
        <w:t>soil</w:t>
      </w:r>
      <w:r w:rsidRPr="00D93FF9">
        <w:rPr>
          <w:spacing w:val="11"/>
          <w:lang w:val="en-GB"/>
        </w:rPr>
        <w:t xml:space="preserve"> </w:t>
      </w:r>
      <w:r w:rsidRPr="00D93FF9">
        <w:rPr>
          <w:lang w:val="en-GB"/>
        </w:rPr>
        <w:t>as</w:t>
      </w:r>
      <w:r w:rsidRPr="00D93FF9">
        <w:rPr>
          <w:spacing w:val="11"/>
          <w:lang w:val="en-GB"/>
        </w:rPr>
        <w:t xml:space="preserve"> </w:t>
      </w:r>
      <w:r w:rsidRPr="00D93FF9">
        <w:rPr>
          <w:lang w:val="en-GB"/>
        </w:rPr>
        <w:t>per</w:t>
      </w:r>
      <w:r w:rsidRPr="00D93FF9">
        <w:rPr>
          <w:spacing w:val="12"/>
          <w:lang w:val="en-GB"/>
        </w:rPr>
        <w:t xml:space="preserve"> </w:t>
      </w:r>
      <w:r w:rsidRPr="00D93FF9">
        <w:rPr>
          <w:lang w:val="en-GB"/>
        </w:rPr>
        <w:t>the</w:t>
      </w:r>
      <w:r w:rsidRPr="00D93FF9">
        <w:rPr>
          <w:spacing w:val="11"/>
          <w:lang w:val="en-GB"/>
        </w:rPr>
        <w:t xml:space="preserve"> </w:t>
      </w:r>
      <w:r w:rsidRPr="00D93FF9">
        <w:rPr>
          <w:lang w:val="en-GB"/>
        </w:rPr>
        <w:t>methods</w:t>
      </w:r>
      <w:r w:rsidRPr="00D93FF9">
        <w:rPr>
          <w:spacing w:val="11"/>
          <w:lang w:val="en-GB"/>
        </w:rPr>
        <w:t xml:space="preserve"> </w:t>
      </w:r>
      <w:r w:rsidRPr="00D93FF9">
        <w:rPr>
          <w:lang w:val="en-GB"/>
        </w:rPr>
        <w:t>in</w:t>
      </w:r>
      <w:r w:rsidR="00345518" w:rsidRPr="00D93FF9">
        <w:rPr>
          <w:lang w:val="en-GB"/>
        </w:rPr>
        <w:t xml:space="preserve"> </w:t>
      </w:r>
      <w:r w:rsidR="00345518" w:rsidRPr="00D93FF9">
        <w:rPr>
          <w:lang w:val="en-GB"/>
        </w:rPr>
        <w:fldChar w:fldCharType="begin"/>
      </w:r>
      <w:r w:rsidR="00345518" w:rsidRPr="00D93FF9">
        <w:rPr>
          <w:lang w:val="en-GB"/>
        </w:rPr>
        <w:instrText xml:space="preserve"> REF _Ref81391002 \h </w:instrText>
      </w:r>
      <w:r w:rsidR="00D93FF9">
        <w:rPr>
          <w:lang w:val="en-GB"/>
        </w:rPr>
        <w:instrText xml:space="preserve"> \* MERGEFORMAT </w:instrText>
      </w:r>
      <w:r w:rsidR="00345518" w:rsidRPr="00D93FF9">
        <w:rPr>
          <w:lang w:val="en-GB"/>
        </w:rPr>
      </w:r>
      <w:r w:rsidR="00345518" w:rsidRPr="00D93FF9">
        <w:rPr>
          <w:lang w:val="en-GB"/>
        </w:rPr>
        <w:fldChar w:fldCharType="separate"/>
      </w:r>
      <w:r w:rsidR="0069302C" w:rsidRPr="00D93FF9">
        <w:t xml:space="preserve">Table </w:t>
      </w:r>
      <w:r w:rsidR="0069302C">
        <w:rPr>
          <w:noProof/>
        </w:rPr>
        <w:t>10</w:t>
      </w:r>
      <w:r w:rsidR="00345518" w:rsidRPr="00D93FF9">
        <w:rPr>
          <w:lang w:val="en-GB"/>
        </w:rPr>
        <w:fldChar w:fldCharType="end"/>
      </w:r>
      <w:r w:rsidRPr="00D93FF9">
        <w:rPr>
          <w:lang w:val="en-GB"/>
        </w:rPr>
        <w:t>.</w:t>
      </w:r>
      <w:r w:rsidRPr="00D93FF9">
        <w:rPr>
          <w:spacing w:val="11"/>
          <w:lang w:val="en-GB"/>
        </w:rPr>
        <w:t xml:space="preserve"> </w:t>
      </w:r>
      <w:r w:rsidRPr="00D93FF9">
        <w:rPr>
          <w:lang w:val="en-GB"/>
        </w:rPr>
        <w:t>Once</w:t>
      </w:r>
      <w:r w:rsidRPr="00D93FF9">
        <w:rPr>
          <w:spacing w:val="11"/>
          <w:lang w:val="en-GB"/>
        </w:rPr>
        <w:t xml:space="preserve"> </w:t>
      </w:r>
      <w:r w:rsidRPr="00D93FF9">
        <w:rPr>
          <w:lang w:val="en-GB"/>
        </w:rPr>
        <w:t>a</w:t>
      </w:r>
      <w:r w:rsidRPr="00D93FF9">
        <w:rPr>
          <w:spacing w:val="12"/>
          <w:lang w:val="en-GB"/>
        </w:rPr>
        <w:t xml:space="preserve"> </w:t>
      </w:r>
      <w:r w:rsidRPr="00D93FF9">
        <w:rPr>
          <w:lang w:val="en-GB"/>
        </w:rPr>
        <w:t>LF</w:t>
      </w:r>
      <w:r w:rsidRPr="00D93FF9">
        <w:rPr>
          <w:spacing w:val="11"/>
          <w:lang w:val="en-GB"/>
        </w:rPr>
        <w:t xml:space="preserve"> </w:t>
      </w:r>
      <w:r w:rsidRPr="00D93FF9">
        <w:rPr>
          <w:lang w:val="en-GB"/>
        </w:rPr>
        <w:t>is</w:t>
      </w:r>
      <w:bookmarkStart w:id="124" w:name="Assessing_soil_structural_stability_usin"/>
      <w:bookmarkStart w:id="125" w:name="Plant_salt_tolerance"/>
      <w:bookmarkEnd w:id="124"/>
      <w:bookmarkEnd w:id="125"/>
      <w:r w:rsidR="00A03CE9" w:rsidRPr="00D93FF9">
        <w:rPr>
          <w:lang w:val="en-GB"/>
        </w:rPr>
        <w:t xml:space="preserve"> </w:t>
      </w:r>
      <w:r w:rsidRPr="00D93FF9">
        <w:rPr>
          <w:lang w:val="en-GB"/>
        </w:rPr>
        <w:t xml:space="preserve">determined, </w:t>
      </w:r>
      <w:r w:rsidR="00C13436" w:rsidRPr="00D93FF9">
        <w:rPr>
          <w:lang w:val="en-GB"/>
        </w:rPr>
        <w:fldChar w:fldCharType="begin"/>
      </w:r>
      <w:r w:rsidR="00C13436" w:rsidRPr="00D93FF9">
        <w:rPr>
          <w:lang w:val="en-GB"/>
        </w:rPr>
        <w:instrText xml:space="preserve"> REF _Ref72928582 \h </w:instrText>
      </w:r>
      <w:r w:rsidR="00D93FF9">
        <w:rPr>
          <w:lang w:val="en-GB"/>
        </w:rPr>
        <w:instrText xml:space="preserve"> \* MERGEFORMAT </w:instrText>
      </w:r>
      <w:r w:rsidR="00C13436" w:rsidRPr="00D93FF9">
        <w:rPr>
          <w:lang w:val="en-GB"/>
        </w:rPr>
      </w:r>
      <w:r w:rsidR="00C13436" w:rsidRPr="00D93FF9">
        <w:rPr>
          <w:lang w:val="en-GB"/>
        </w:rPr>
        <w:fldChar w:fldCharType="separate"/>
      </w:r>
      <w:r w:rsidR="0069302C" w:rsidRPr="00D93FF9">
        <w:t xml:space="preserve">Equation </w:t>
      </w:r>
      <w:r w:rsidR="0069302C">
        <w:rPr>
          <w:noProof/>
        </w:rPr>
        <w:lastRenderedPageBreak/>
        <w:t>22</w:t>
      </w:r>
      <w:r w:rsidR="00C13436" w:rsidRPr="00D93FF9">
        <w:rPr>
          <w:lang w:val="en-GB"/>
        </w:rPr>
        <w:fldChar w:fldCharType="end"/>
      </w:r>
      <w:r w:rsidR="00C13436" w:rsidRPr="00D93FF9">
        <w:rPr>
          <w:lang w:val="en-GB"/>
        </w:rPr>
        <w:t xml:space="preserve"> </w:t>
      </w:r>
      <w:r w:rsidRPr="00D93FF9">
        <w:rPr>
          <w:lang w:val="en-GB"/>
        </w:rPr>
        <w:t xml:space="preserve">can be used in conjunction with </w:t>
      </w:r>
      <w:r w:rsidR="00C13436" w:rsidRPr="00D93FF9">
        <w:rPr>
          <w:lang w:val="en-GB"/>
        </w:rPr>
        <w:fldChar w:fldCharType="begin"/>
      </w:r>
      <w:r w:rsidR="00C13436" w:rsidRPr="00D93FF9">
        <w:rPr>
          <w:lang w:val="en-GB"/>
        </w:rPr>
        <w:instrText xml:space="preserve"> REF _Ref72928631 \h </w:instrText>
      </w:r>
      <w:r w:rsidR="00D93FF9">
        <w:rPr>
          <w:lang w:val="en-GB"/>
        </w:rPr>
        <w:instrText xml:space="preserve"> \* MERGEFORMAT </w:instrText>
      </w:r>
      <w:r w:rsidR="00C13436" w:rsidRPr="00D93FF9">
        <w:rPr>
          <w:lang w:val="en-GB"/>
        </w:rPr>
      </w:r>
      <w:r w:rsidR="00C13436" w:rsidRPr="00D93FF9">
        <w:rPr>
          <w:lang w:val="en-GB"/>
        </w:rPr>
        <w:fldChar w:fldCharType="separate"/>
      </w:r>
      <w:r w:rsidR="0069302C" w:rsidRPr="00D93FF9">
        <w:t xml:space="preserve">Equation </w:t>
      </w:r>
      <w:r w:rsidR="0069302C">
        <w:rPr>
          <w:noProof/>
        </w:rPr>
        <w:t>20</w:t>
      </w:r>
      <w:r w:rsidR="00C13436" w:rsidRPr="00D93FF9">
        <w:rPr>
          <w:lang w:val="en-GB"/>
        </w:rPr>
        <w:fldChar w:fldCharType="end"/>
      </w:r>
      <w:r w:rsidR="00C13436" w:rsidRPr="00D93FF9">
        <w:rPr>
          <w:lang w:val="en-GB"/>
        </w:rPr>
        <w:t xml:space="preserve"> </w:t>
      </w:r>
      <w:r w:rsidRPr="00D93FF9">
        <w:rPr>
          <w:lang w:val="en-GB"/>
        </w:rPr>
        <w:t>to estimate a new soil ESP and this new ESP can then be used in the methods outlined in</w:t>
      </w:r>
      <w:r w:rsidR="00345518" w:rsidRPr="00D93FF9">
        <w:rPr>
          <w:lang w:val="en-GB"/>
        </w:rPr>
        <w:t xml:space="preserve"> </w:t>
      </w:r>
      <w:r w:rsidR="00345518" w:rsidRPr="00D93FF9">
        <w:rPr>
          <w:lang w:val="en-GB"/>
        </w:rPr>
        <w:fldChar w:fldCharType="begin"/>
      </w:r>
      <w:r w:rsidR="00345518" w:rsidRPr="00D93FF9">
        <w:rPr>
          <w:lang w:val="en-GB"/>
        </w:rPr>
        <w:instrText xml:space="preserve"> REF _Ref81391002 \h </w:instrText>
      </w:r>
      <w:r w:rsidR="00D93FF9">
        <w:rPr>
          <w:lang w:val="en-GB"/>
        </w:rPr>
        <w:instrText xml:space="preserve"> \* MERGEFORMAT </w:instrText>
      </w:r>
      <w:r w:rsidR="00345518" w:rsidRPr="00D93FF9">
        <w:rPr>
          <w:lang w:val="en-GB"/>
        </w:rPr>
      </w:r>
      <w:r w:rsidR="00345518" w:rsidRPr="00D93FF9">
        <w:rPr>
          <w:lang w:val="en-GB"/>
        </w:rPr>
        <w:fldChar w:fldCharType="separate"/>
      </w:r>
      <w:r w:rsidR="0069302C" w:rsidRPr="00D93FF9">
        <w:t xml:space="preserve">Table </w:t>
      </w:r>
      <w:r w:rsidR="0069302C">
        <w:rPr>
          <w:noProof/>
        </w:rPr>
        <w:t>10</w:t>
      </w:r>
      <w:r w:rsidR="00345518" w:rsidRPr="00D93FF9">
        <w:rPr>
          <w:lang w:val="en-GB"/>
        </w:rPr>
        <w:fldChar w:fldCharType="end"/>
      </w:r>
      <w:r w:rsidRPr="00D93FF9">
        <w:rPr>
          <w:lang w:val="en-GB"/>
        </w:rPr>
        <w:t>.</w:t>
      </w:r>
    </w:p>
    <w:p w14:paraId="59DCC6CC" w14:textId="77777777" w:rsidR="00C46175" w:rsidRPr="00D93FF9" w:rsidRDefault="00E811B8" w:rsidP="009F5D09">
      <w:pPr>
        <w:pStyle w:val="Heading5"/>
      </w:pPr>
      <w:r w:rsidRPr="00D93FF9">
        <w:t>Assessing soil structural stability using SAR and EC of irrigation water</w:t>
      </w:r>
    </w:p>
    <w:p w14:paraId="59DCC6CD" w14:textId="0489C322" w:rsidR="00C46175" w:rsidRPr="00D93FF9" w:rsidRDefault="00E811B8" w:rsidP="003807A1">
      <w:pPr>
        <w:pStyle w:val="BodyText"/>
        <w:spacing w:after="0" w:line="266" w:lineRule="auto"/>
        <w:jc w:val="both"/>
        <w:rPr>
          <w:lang w:val="en-GB"/>
        </w:rPr>
      </w:pPr>
      <w:r w:rsidRPr="00D93FF9">
        <w:rPr>
          <w:lang w:val="en-GB"/>
        </w:rPr>
        <w:t>In most cases</w:t>
      </w:r>
      <w:r w:rsidR="00560ECA" w:rsidRPr="00D93FF9">
        <w:rPr>
          <w:lang w:val="en-GB"/>
        </w:rPr>
        <w:t xml:space="preserve"> in Australia</w:t>
      </w:r>
      <w:r w:rsidRPr="00D93FF9">
        <w:rPr>
          <w:lang w:val="en-GB"/>
        </w:rPr>
        <w:t xml:space="preserve">, </w:t>
      </w:r>
      <w:r w:rsidR="00560ECA" w:rsidRPr="00D93FF9">
        <w:rPr>
          <w:lang w:val="en-GB"/>
        </w:rPr>
        <w:t xml:space="preserve">rainfall </w:t>
      </w:r>
      <w:r w:rsidR="00F3123B" w:rsidRPr="00D93FF9">
        <w:rPr>
          <w:lang w:val="en-GB"/>
        </w:rPr>
        <w:t xml:space="preserve">events </w:t>
      </w:r>
      <w:r w:rsidR="00560ECA" w:rsidRPr="00D93FF9">
        <w:rPr>
          <w:lang w:val="en-GB"/>
        </w:rPr>
        <w:t>in excess of the soil water deficit</w:t>
      </w:r>
      <w:r w:rsidRPr="00D93FF9">
        <w:rPr>
          <w:lang w:val="en-GB"/>
        </w:rPr>
        <w:t xml:space="preserve"> can leach </w:t>
      </w:r>
      <w:r w:rsidR="00E257E8" w:rsidRPr="00D93FF9">
        <w:rPr>
          <w:lang w:val="en-GB"/>
        </w:rPr>
        <w:t xml:space="preserve">some of the </w:t>
      </w:r>
      <w:r w:rsidRPr="00D93FF9">
        <w:rPr>
          <w:lang w:val="en-GB"/>
        </w:rPr>
        <w:t>accumulated salts below the root zone</w:t>
      </w:r>
      <w:r w:rsidR="00E257E8" w:rsidRPr="00D93FF9">
        <w:rPr>
          <w:lang w:val="en-GB"/>
        </w:rPr>
        <w:t>. Hence,</w:t>
      </w:r>
      <w:r w:rsidRPr="00D93FF9">
        <w:rPr>
          <w:lang w:val="en-GB"/>
        </w:rPr>
        <w:t xml:space="preserve"> salt accumulation from irrigation can usually be managed. However, more serious consequences result from using waters with high SAR. High sodium levels affect soil behaviour by increasing soil dispersibility, reducing water entry, making cultivation and good seed beds more difficult to attain, and reducing soil profile water availability. </w:t>
      </w:r>
    </w:p>
    <w:p w14:paraId="59DCC6CE" w14:textId="0AC90CF3" w:rsidR="00C46175" w:rsidRPr="00D93FF9" w:rsidRDefault="00E811B8" w:rsidP="003807A1">
      <w:pPr>
        <w:pStyle w:val="BodyText"/>
        <w:spacing w:after="0" w:line="266" w:lineRule="auto"/>
        <w:jc w:val="both"/>
        <w:rPr>
          <w:lang w:val="en-GB"/>
        </w:rPr>
      </w:pPr>
      <w:r w:rsidRPr="00D93FF9">
        <w:rPr>
          <w:lang w:val="en-GB"/>
        </w:rPr>
        <w:t>Some general relationships can be established for many soils which indicate the combination of irrigation water EC and SAR where these dispersion problems are most likely to occur (see</w:t>
      </w:r>
      <w:r w:rsidR="000C0320" w:rsidRPr="00D93FF9">
        <w:rPr>
          <w:lang w:val="en-GB"/>
        </w:rPr>
        <w:t xml:space="preserve"> </w:t>
      </w:r>
      <w:r w:rsidR="007F5AB0" w:rsidRPr="00D93FF9">
        <w:rPr>
          <w:lang w:val="en-GB"/>
        </w:rPr>
        <w:fldChar w:fldCharType="begin"/>
      </w:r>
      <w:r w:rsidR="007F5AB0" w:rsidRPr="00D93FF9">
        <w:rPr>
          <w:lang w:val="en-GB"/>
        </w:rPr>
        <w:instrText xml:space="preserve"> REF _Ref81391234 \h </w:instrText>
      </w:r>
      <w:r w:rsidR="00D93FF9">
        <w:rPr>
          <w:lang w:val="en-GB"/>
        </w:rPr>
        <w:instrText xml:space="preserve"> \* MERGEFORMAT </w:instrText>
      </w:r>
      <w:r w:rsidR="007F5AB0" w:rsidRPr="00D93FF9">
        <w:rPr>
          <w:lang w:val="en-GB"/>
        </w:rPr>
      </w:r>
      <w:r w:rsidR="007F5AB0" w:rsidRPr="00D93FF9">
        <w:rPr>
          <w:lang w:val="en-GB"/>
        </w:rPr>
        <w:fldChar w:fldCharType="separate"/>
      </w:r>
      <w:r w:rsidR="0069302C" w:rsidRPr="00D93FF9">
        <w:t xml:space="preserve">Figure </w:t>
      </w:r>
      <w:r w:rsidR="0069302C">
        <w:rPr>
          <w:noProof/>
        </w:rPr>
        <w:t>7</w:t>
      </w:r>
      <w:r w:rsidR="007F5AB0" w:rsidRPr="00D93FF9">
        <w:rPr>
          <w:lang w:val="en-GB"/>
        </w:rPr>
        <w:fldChar w:fldCharType="end"/>
      </w:r>
      <w:r w:rsidRPr="00D93FF9">
        <w:rPr>
          <w:lang w:val="en-GB"/>
        </w:rPr>
        <w:t>).</w:t>
      </w:r>
    </w:p>
    <w:p w14:paraId="59DCC6CF" w14:textId="0E83CFA7" w:rsidR="00C46175" w:rsidRPr="00D93FF9" w:rsidRDefault="00E811B8" w:rsidP="003807A1">
      <w:pPr>
        <w:pStyle w:val="BodyText"/>
        <w:spacing w:after="0" w:line="266" w:lineRule="auto"/>
        <w:jc w:val="both"/>
        <w:rPr>
          <w:lang w:val="en-GB"/>
        </w:rPr>
      </w:pPr>
      <w:r w:rsidRPr="00D93FF9">
        <w:rPr>
          <w:lang w:val="en-GB"/>
        </w:rPr>
        <w:t xml:space="preserve">Water compositions that occur to the right of the equilibrium lines are considered satisfactory for use, provided the SAR is not so high that severe dispersion of the surface soil water will occur following rainfall. For example, if an irrigation water of EC </w:t>
      </w:r>
      <w:r w:rsidR="00054A7F" w:rsidRPr="00D93FF9">
        <w:rPr>
          <w:lang w:val="en-GB"/>
        </w:rPr>
        <w:t>3.2</w:t>
      </w:r>
      <w:r w:rsidRPr="00D93FF9">
        <w:rPr>
          <w:lang w:val="en-GB"/>
        </w:rPr>
        <w:t xml:space="preserve"> dS/m and an SAR of </w:t>
      </w:r>
      <w:r w:rsidR="00054A7F" w:rsidRPr="00D93FF9">
        <w:rPr>
          <w:lang w:val="en-GB"/>
        </w:rPr>
        <w:t>13</w:t>
      </w:r>
      <w:r w:rsidRPr="00D93FF9">
        <w:rPr>
          <w:lang w:val="en-GB"/>
        </w:rPr>
        <w:t xml:space="preserve"> is used for irrigation, the soil will be stable. Water quality that falls to the left of the solid line is likely to induce degradation of soil structure and corrective management will be required (e.g.</w:t>
      </w:r>
      <w:r w:rsidR="0041347A" w:rsidRPr="00D93FF9">
        <w:rPr>
          <w:lang w:val="en-GB"/>
        </w:rPr>
        <w:t>,</w:t>
      </w:r>
      <w:r w:rsidRPr="00D93FF9">
        <w:rPr>
          <w:lang w:val="en-GB"/>
        </w:rPr>
        <w:t xml:space="preserve"> application of lime or gypsum). Water that falls between the lines is of marginal quality and should be treated with caution.</w:t>
      </w:r>
    </w:p>
    <w:p w14:paraId="59DCC6D0" w14:textId="77777777" w:rsidR="00C46175" w:rsidRPr="00D93FF9" w:rsidRDefault="00C46175" w:rsidP="003807A1">
      <w:pPr>
        <w:pStyle w:val="BodyText"/>
        <w:spacing w:after="0"/>
        <w:rPr>
          <w:sz w:val="20"/>
          <w:lang w:val="en-GB"/>
        </w:rPr>
      </w:pPr>
    </w:p>
    <w:p w14:paraId="59DCC6D1" w14:textId="77777777" w:rsidR="00C46175" w:rsidRPr="00D93FF9" w:rsidRDefault="00E811B8" w:rsidP="003807A1">
      <w:pPr>
        <w:pStyle w:val="BodyText"/>
        <w:spacing w:after="0"/>
        <w:rPr>
          <w:sz w:val="24"/>
          <w:lang w:val="en-GB"/>
        </w:rPr>
      </w:pPr>
      <w:r w:rsidRPr="00D93FF9">
        <w:rPr>
          <w:noProof/>
          <w:sz w:val="20"/>
        </w:rPr>
        <w:drawing>
          <wp:inline distT="0" distB="0" distL="0" distR="0" wp14:anchorId="59DCDC45" wp14:editId="1DEDE723">
            <wp:extent cx="4010025" cy="3738733"/>
            <wp:effectExtent l="0" t="0" r="0" b="0"/>
            <wp:docPr id="29" name="image80.png" descr="Relationship between Sodium Adsorption Ratio and EC of irrigation water for prediction of soil structural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0.png" descr="Relationship between Sodium Adsorption Ratio and EC of irrigation water for prediction of soil structural stability"/>
                    <pic:cNvPicPr/>
                  </pic:nvPicPr>
                  <pic:blipFill>
                    <a:blip r:embed="rId31" cstate="screen">
                      <a:extLst>
                        <a:ext uri="{28A0092B-C50C-407E-A947-70E740481C1C}">
                          <a14:useLocalDpi xmlns:a14="http://schemas.microsoft.com/office/drawing/2010/main" val="0"/>
                        </a:ext>
                      </a:extLst>
                    </a:blip>
                    <a:srcRect r="27430"/>
                    <a:stretch>
                      <a:fillRect/>
                    </a:stretch>
                  </pic:blipFill>
                  <pic:spPr bwMode="auto">
                    <a:xfrm>
                      <a:off x="0" y="0"/>
                      <a:ext cx="4010455" cy="3739134"/>
                    </a:xfrm>
                    <a:prstGeom prst="rect">
                      <a:avLst/>
                    </a:prstGeom>
                    <a:ln>
                      <a:noFill/>
                    </a:ln>
                    <a:extLst>
                      <a:ext uri="{53640926-AAD7-44D8-BBD7-CCE9431645EC}">
                        <a14:shadowObscured xmlns:a14="http://schemas.microsoft.com/office/drawing/2010/main"/>
                      </a:ext>
                    </a:extLst>
                  </pic:spPr>
                </pic:pic>
              </a:graphicData>
            </a:graphic>
          </wp:inline>
        </w:drawing>
      </w:r>
    </w:p>
    <w:p w14:paraId="59DCC6D3" w14:textId="4FF893A1" w:rsidR="00C46175" w:rsidRPr="00D93FF9" w:rsidRDefault="007F5AB0" w:rsidP="007F5AB0">
      <w:pPr>
        <w:pStyle w:val="Caption"/>
        <w:rPr>
          <w:rFonts w:ascii="Arial" w:hAnsi="Arial"/>
          <w:b w:val="0"/>
          <w:bCs w:val="0"/>
          <w:sz w:val="18"/>
          <w:lang w:val="en-GB"/>
        </w:rPr>
      </w:pPr>
      <w:bookmarkStart w:id="126" w:name="_Ref81391234"/>
      <w:bookmarkStart w:id="127" w:name="_Toc96518207"/>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7</w:t>
      </w:r>
      <w:r w:rsidR="007B28AC" w:rsidRPr="00D93FF9">
        <w:fldChar w:fldCharType="end"/>
      </w:r>
      <w:bookmarkEnd w:id="126"/>
      <w:r w:rsidRPr="00D93FF9">
        <w:t xml:space="preserve"> </w:t>
      </w:r>
      <w:bookmarkStart w:id="128" w:name="_Hlk153787657"/>
      <w:r w:rsidR="00E90CE0" w:rsidRPr="00D93FF9">
        <w:rPr>
          <w:rFonts w:ascii="Arial" w:hAnsi="Arial"/>
          <w:sz w:val="18"/>
          <w:lang w:val="en-GB"/>
        </w:rPr>
        <w:t xml:space="preserve">Relationship between SAR and EC of irrigation water for prediction of soil structural stability </w:t>
      </w:r>
      <w:bookmarkEnd w:id="128"/>
      <w:r w:rsidR="003602E1" w:rsidRPr="00D93FF9">
        <w:rPr>
          <w:rFonts w:ascii="Arial" w:hAnsi="Arial"/>
          <w:b w:val="0"/>
          <w:bCs w:val="0"/>
          <w:sz w:val="18"/>
          <w:lang w:val="en-GB"/>
        </w:rPr>
        <w:t>A</w:t>
      </w:r>
      <w:r w:rsidR="00E90CE0" w:rsidRPr="00D93FF9">
        <w:rPr>
          <w:rFonts w:ascii="Arial" w:hAnsi="Arial"/>
          <w:b w:val="0"/>
          <w:bCs w:val="0"/>
          <w:sz w:val="18"/>
          <w:lang w:val="en-GB"/>
        </w:rPr>
        <w:t>dapted from DNR 1997</w:t>
      </w:r>
      <w:bookmarkEnd w:id="127"/>
    </w:p>
    <w:p w14:paraId="59DCC6D4" w14:textId="46368B1E" w:rsidR="002103C0" w:rsidRPr="00D93FF9" w:rsidRDefault="00E811B8" w:rsidP="004C15D2">
      <w:pPr>
        <w:jc w:val="both"/>
        <w:rPr>
          <w:lang w:val="en-GB"/>
        </w:rPr>
      </w:pPr>
      <w:r w:rsidRPr="00D93FF9">
        <w:rPr>
          <w:lang w:val="en-GB"/>
        </w:rPr>
        <w:t xml:space="preserve">However, the relationship presented in </w:t>
      </w:r>
      <w:r w:rsidR="007F5AB0" w:rsidRPr="00D93FF9">
        <w:rPr>
          <w:lang w:val="en-GB"/>
        </w:rPr>
        <w:fldChar w:fldCharType="begin"/>
      </w:r>
      <w:r w:rsidR="007F5AB0" w:rsidRPr="00D93FF9">
        <w:rPr>
          <w:lang w:val="en-GB"/>
        </w:rPr>
        <w:instrText xml:space="preserve"> REF _Ref81391234 \h </w:instrText>
      </w:r>
      <w:r w:rsidR="00D93FF9">
        <w:rPr>
          <w:lang w:val="en-GB"/>
        </w:rPr>
        <w:instrText xml:space="preserve"> \* MERGEFORMAT </w:instrText>
      </w:r>
      <w:r w:rsidR="007F5AB0" w:rsidRPr="00D93FF9">
        <w:rPr>
          <w:lang w:val="en-GB"/>
        </w:rPr>
      </w:r>
      <w:r w:rsidR="007F5AB0" w:rsidRPr="00D93FF9">
        <w:rPr>
          <w:lang w:val="en-GB"/>
        </w:rPr>
        <w:fldChar w:fldCharType="separate"/>
      </w:r>
      <w:r w:rsidR="0069302C" w:rsidRPr="00D93FF9">
        <w:t xml:space="preserve">Figure </w:t>
      </w:r>
      <w:r w:rsidR="0069302C">
        <w:rPr>
          <w:noProof/>
        </w:rPr>
        <w:t>7</w:t>
      </w:r>
      <w:r w:rsidR="007F5AB0" w:rsidRPr="00D93FF9">
        <w:rPr>
          <w:lang w:val="en-GB"/>
        </w:rPr>
        <w:fldChar w:fldCharType="end"/>
      </w:r>
      <w:r w:rsidR="00E1137F" w:rsidRPr="00D93FF9">
        <w:rPr>
          <w:lang w:val="en-GB"/>
        </w:rPr>
        <w:t xml:space="preserve"> </w:t>
      </w:r>
      <w:r w:rsidRPr="00D93FF9">
        <w:rPr>
          <w:lang w:val="en-GB"/>
        </w:rPr>
        <w:t xml:space="preserve">cannot be representative of the range of soils encountered throughout Australia (Bennett and Raine 2012). </w:t>
      </w:r>
      <w:bookmarkStart w:id="129" w:name="_Hlk73386803"/>
      <w:r w:rsidR="00B12E1D" w:rsidRPr="00D93FF9">
        <w:rPr>
          <w:lang w:val="en-GB"/>
        </w:rPr>
        <w:t xml:space="preserve">It is useful as a general guide to </w:t>
      </w:r>
      <w:r w:rsidR="00A01F85" w:rsidRPr="00D93FF9">
        <w:rPr>
          <w:lang w:val="en-GB"/>
        </w:rPr>
        <w:t xml:space="preserve">understand </w:t>
      </w:r>
      <w:r w:rsidR="00B12E1D" w:rsidRPr="00D93FF9">
        <w:rPr>
          <w:lang w:val="en-GB"/>
        </w:rPr>
        <w:t>areas of threshold electrolyte concentrations beyond which dispersion will occur but should not be considered as an absolute guide</w:t>
      </w:r>
      <w:r w:rsidRPr="00D93FF9">
        <w:rPr>
          <w:lang w:val="en-GB"/>
        </w:rPr>
        <w:t xml:space="preserve"> for irrigation</w:t>
      </w:r>
      <w:r w:rsidR="00B12E1D" w:rsidRPr="00D93FF9">
        <w:rPr>
          <w:lang w:val="en-GB"/>
        </w:rPr>
        <w:t>.</w:t>
      </w:r>
      <w:bookmarkEnd w:id="129"/>
      <w:r w:rsidR="00B12E1D" w:rsidRPr="00D93FF9">
        <w:rPr>
          <w:lang w:val="en-GB"/>
        </w:rPr>
        <w:t xml:space="preserve"> </w:t>
      </w:r>
      <w:r w:rsidRPr="00D93FF9">
        <w:rPr>
          <w:lang w:val="en-GB"/>
        </w:rPr>
        <w:t xml:space="preserve">Bennett </w:t>
      </w:r>
      <w:r w:rsidR="008526F5" w:rsidRPr="00D93FF9">
        <w:rPr>
          <w:lang w:val="en-GB"/>
        </w:rPr>
        <w:t>and Raine</w:t>
      </w:r>
      <w:r w:rsidRPr="00D93FF9">
        <w:rPr>
          <w:lang w:val="en-GB"/>
        </w:rPr>
        <w:t xml:space="preserve"> (201</w:t>
      </w:r>
      <w:r w:rsidR="008526F5" w:rsidRPr="00D93FF9">
        <w:rPr>
          <w:lang w:val="en-GB"/>
        </w:rPr>
        <w:t>2</w:t>
      </w:r>
      <w:r w:rsidRPr="00D93FF9">
        <w:rPr>
          <w:lang w:val="en-GB"/>
        </w:rPr>
        <w:t xml:space="preserve">) </w:t>
      </w:r>
      <w:r w:rsidR="00243AAD" w:rsidRPr="00D93FF9">
        <w:rPr>
          <w:lang w:val="en-GB"/>
        </w:rPr>
        <w:t xml:space="preserve">showed that </w:t>
      </w:r>
      <w:r w:rsidR="004B3CB8" w:rsidRPr="00D93FF9">
        <w:rPr>
          <w:lang w:val="en-GB"/>
        </w:rPr>
        <w:t>threshold electrolyte concentration (</w:t>
      </w:r>
      <w:r w:rsidR="00243AAD" w:rsidRPr="00D93FF9">
        <w:rPr>
          <w:lang w:val="en-GB"/>
        </w:rPr>
        <w:t>TEC</w:t>
      </w:r>
      <w:r w:rsidR="004B3CB8" w:rsidRPr="00D93FF9">
        <w:rPr>
          <w:lang w:val="en-GB"/>
        </w:rPr>
        <w:t>)</w:t>
      </w:r>
      <w:r w:rsidR="00243AAD" w:rsidRPr="00D93FF9">
        <w:rPr>
          <w:lang w:val="en-GB"/>
        </w:rPr>
        <w:t xml:space="preserve"> beyond which aggregate-dispersion will occur </w:t>
      </w:r>
      <w:r w:rsidRPr="00D93FF9">
        <w:rPr>
          <w:lang w:val="en-GB"/>
        </w:rPr>
        <w:t xml:space="preserve">leading to a reduction in </w:t>
      </w:r>
      <w:r w:rsidR="00243AAD" w:rsidRPr="00D93FF9">
        <w:rPr>
          <w:lang w:val="en-GB"/>
        </w:rPr>
        <w:t>K</w:t>
      </w:r>
      <w:r w:rsidR="00243AAD" w:rsidRPr="00D93FF9">
        <w:rPr>
          <w:vertAlign w:val="subscript"/>
          <w:lang w:val="en-GB"/>
        </w:rPr>
        <w:t>sat</w:t>
      </w:r>
      <w:r w:rsidRPr="00D93FF9">
        <w:rPr>
          <w:lang w:val="en-GB"/>
        </w:rPr>
        <w:t>,</w:t>
      </w:r>
      <w:r w:rsidR="00243AAD" w:rsidRPr="00D93FF9">
        <w:rPr>
          <w:lang w:val="en-GB"/>
        </w:rPr>
        <w:t xml:space="preserve"> was clearly soil specific, even within a soil order of the Australian Soil Classification. In their study </w:t>
      </w:r>
      <w:r w:rsidR="00F674A1" w:rsidRPr="00D93FF9">
        <w:rPr>
          <w:lang w:val="en-GB"/>
        </w:rPr>
        <w:t xml:space="preserve">defining </w:t>
      </w:r>
      <w:r w:rsidR="00B12E1D" w:rsidRPr="00D93FF9">
        <w:rPr>
          <w:lang w:val="en-GB"/>
        </w:rPr>
        <w:t xml:space="preserve">TEC </w:t>
      </w:r>
      <w:r w:rsidR="00F674A1" w:rsidRPr="00D93FF9">
        <w:rPr>
          <w:lang w:val="en-GB"/>
        </w:rPr>
        <w:t>as that which causes</w:t>
      </w:r>
      <w:r w:rsidR="00B12E1D" w:rsidRPr="00D93FF9">
        <w:rPr>
          <w:lang w:val="en-GB"/>
        </w:rPr>
        <w:t xml:space="preserve"> a 20% reduction of K</w:t>
      </w:r>
      <w:r w:rsidR="00B12E1D" w:rsidRPr="00D93FF9">
        <w:rPr>
          <w:vertAlign w:val="subscript"/>
          <w:lang w:val="en-GB"/>
        </w:rPr>
        <w:t>sat</w:t>
      </w:r>
      <w:r w:rsidR="00B12E1D" w:rsidRPr="00D93FF9">
        <w:rPr>
          <w:lang w:val="en-GB"/>
        </w:rPr>
        <w:t xml:space="preserve"> in 58 Australian soils</w:t>
      </w:r>
      <w:r w:rsidR="00243AAD" w:rsidRPr="00D93FF9">
        <w:rPr>
          <w:lang w:val="en-GB"/>
        </w:rPr>
        <w:t xml:space="preserve">, the </w:t>
      </w:r>
      <w:r w:rsidR="00243AAD" w:rsidRPr="00D93FF9">
        <w:rPr>
          <w:lang w:val="en-GB"/>
        </w:rPr>
        <w:lastRenderedPageBreak/>
        <w:t>authors showed that</w:t>
      </w:r>
      <w:r w:rsidR="00A01F85" w:rsidRPr="00D93FF9">
        <w:rPr>
          <w:lang w:val="en-GB"/>
        </w:rPr>
        <w:t xml:space="preserve"> the </w:t>
      </w:r>
      <w:r w:rsidRPr="00D93FF9">
        <w:rPr>
          <w:lang w:val="en-GB"/>
        </w:rPr>
        <w:t xml:space="preserve">soil specific TEC was best </w:t>
      </w:r>
      <w:r w:rsidR="00F674A1" w:rsidRPr="00D93FF9">
        <w:rPr>
          <w:lang w:val="en-GB"/>
        </w:rPr>
        <w:t xml:space="preserve">predicted </w:t>
      </w:r>
      <w:r w:rsidRPr="00D93FF9">
        <w:rPr>
          <w:lang w:val="en-GB"/>
        </w:rPr>
        <w:t xml:space="preserve">by </w:t>
      </w:r>
      <w:r w:rsidR="00A01F85" w:rsidRPr="00D93FF9">
        <w:rPr>
          <w:lang w:val="en-GB"/>
        </w:rPr>
        <w:t xml:space="preserve">clay content </w:t>
      </w:r>
      <w:r w:rsidRPr="00D93FF9">
        <w:rPr>
          <w:lang w:val="en-GB"/>
        </w:rPr>
        <w:t>and clay net negative charge.</w:t>
      </w:r>
      <w:r w:rsidR="000307EA" w:rsidRPr="00D93FF9">
        <w:rPr>
          <w:lang w:val="en-GB"/>
        </w:rPr>
        <w:t xml:space="preserve"> </w:t>
      </w:r>
      <w:r w:rsidR="002B768F" w:rsidRPr="00D93FF9">
        <w:rPr>
          <w:lang w:val="en-GB"/>
        </w:rPr>
        <w:t>The soil specificity of the TEC curve and comparison with the generic comparison between SAR and EC is illustrated in</w:t>
      </w:r>
      <w:r w:rsidR="00E1137F" w:rsidRPr="00D93FF9">
        <w:rPr>
          <w:lang w:val="en-GB"/>
        </w:rPr>
        <w:t xml:space="preserve"> </w:t>
      </w:r>
      <w:r w:rsidR="007F5AB0" w:rsidRPr="00D93FF9">
        <w:rPr>
          <w:lang w:val="en-GB"/>
        </w:rPr>
        <w:fldChar w:fldCharType="begin"/>
      </w:r>
      <w:r w:rsidR="007F5AB0" w:rsidRPr="00D93FF9">
        <w:rPr>
          <w:lang w:val="en-GB"/>
        </w:rPr>
        <w:instrText xml:space="preserve"> REF _Ref81391270 \h </w:instrText>
      </w:r>
      <w:r w:rsidR="00D93FF9">
        <w:rPr>
          <w:lang w:val="en-GB"/>
        </w:rPr>
        <w:instrText xml:space="preserve"> \* MERGEFORMAT </w:instrText>
      </w:r>
      <w:r w:rsidR="007F5AB0" w:rsidRPr="00D93FF9">
        <w:rPr>
          <w:lang w:val="en-GB"/>
        </w:rPr>
      </w:r>
      <w:r w:rsidR="007F5AB0" w:rsidRPr="00D93FF9">
        <w:rPr>
          <w:lang w:val="en-GB"/>
        </w:rPr>
        <w:fldChar w:fldCharType="separate"/>
      </w:r>
      <w:r w:rsidR="0069302C" w:rsidRPr="00D93FF9">
        <w:t xml:space="preserve">Figure </w:t>
      </w:r>
      <w:r w:rsidR="0069302C">
        <w:rPr>
          <w:noProof/>
        </w:rPr>
        <w:t>8</w:t>
      </w:r>
      <w:r w:rsidR="007F5AB0" w:rsidRPr="00D93FF9">
        <w:rPr>
          <w:lang w:val="en-GB"/>
        </w:rPr>
        <w:fldChar w:fldCharType="end"/>
      </w:r>
      <w:r w:rsidR="0087794E" w:rsidRPr="00D93FF9">
        <w:rPr>
          <w:lang w:val="en-GB"/>
        </w:rPr>
        <w:t xml:space="preserve">. </w:t>
      </w:r>
    </w:p>
    <w:p w14:paraId="59DCC6D5" w14:textId="77777777" w:rsidR="002B768F" w:rsidRPr="00D93FF9" w:rsidRDefault="00E811B8" w:rsidP="004C15D2">
      <w:pPr>
        <w:jc w:val="both"/>
        <w:rPr>
          <w:lang w:val="en-GB"/>
        </w:rPr>
      </w:pPr>
      <w:r w:rsidRPr="00D93FF9">
        <w:rPr>
          <w:noProof/>
        </w:rPr>
        <mc:AlternateContent>
          <mc:Choice Requires="wps">
            <w:drawing>
              <wp:anchor distT="0" distB="0" distL="114300" distR="114300" simplePos="0" relativeHeight="251681792" behindDoc="0" locked="0" layoutInCell="1" allowOverlap="1" wp14:anchorId="59DCDC49" wp14:editId="59DCDC4A">
                <wp:simplePos x="0" y="0"/>
                <wp:positionH relativeFrom="column">
                  <wp:posOffset>2609850</wp:posOffset>
                </wp:positionH>
                <wp:positionV relativeFrom="paragraph">
                  <wp:posOffset>1914525</wp:posOffset>
                </wp:positionV>
                <wp:extent cx="228600" cy="142875"/>
                <wp:effectExtent l="0" t="0" r="0" b="9525"/>
                <wp:wrapNone/>
                <wp:docPr id="30" name="Rectangle 30"/>
                <wp:cNvGraphicFramePr/>
                <a:graphic xmlns:a="http://schemas.openxmlformats.org/drawingml/2006/main">
                  <a:graphicData uri="http://schemas.microsoft.com/office/word/2010/wordprocessingShape">
                    <wps:wsp>
                      <wps:cNvSpPr/>
                      <wps:spPr>
                        <a:xfrm>
                          <a:off x="0" y="0"/>
                          <a:ext cx="2286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6B682600" id="Rectangle 30" o:spid="_x0000_s1026" style="position:absolute;margin-left:205.5pt;margin-top:150.75pt;width:18pt;height:1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" fillcolor="white [3212]" stroked="f" strokeweight="2pt"/>
            </w:pict>
          </mc:Fallback>
        </mc:AlternateContent>
      </w:r>
      <w:r w:rsidRPr="00D93FF9">
        <w:rPr>
          <w:noProof/>
        </w:rPr>
        <w:drawing>
          <wp:inline distT="0" distB="0" distL="0" distR="0" wp14:anchorId="59DCDC4B" wp14:editId="13E6F2BF">
            <wp:extent cx="5622925" cy="2038350"/>
            <wp:effectExtent l="0" t="0" r="0" b="0"/>
            <wp:docPr id="31" name="Picture 31" descr="Comparison of the TEC curves leading to a 20% reduction in Ksat for six soils (left) and the relationship between Sodium Adsorption Ratio and EC for soil structural stabilit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mparison of the TEC curves leading to a 20% reduction in Ksat for six soils (left) and the relationship between Sodium Adsorption Ratio and EC for soil structural stability (right)."/>
                    <pic:cNvPicPr/>
                  </pic:nvPicPr>
                  <pic:blipFill>
                    <a:blip r:embed="rId32"/>
                    <a:srcRect l="1829" b="1170"/>
                    <a:stretch>
                      <a:fillRect/>
                    </a:stretch>
                  </pic:blipFill>
                  <pic:spPr bwMode="auto">
                    <a:xfrm>
                      <a:off x="0" y="0"/>
                      <a:ext cx="5622925" cy="2038350"/>
                    </a:xfrm>
                    <a:prstGeom prst="rect">
                      <a:avLst/>
                    </a:prstGeom>
                    <a:ln>
                      <a:noFill/>
                    </a:ln>
                    <a:extLst>
                      <a:ext uri="{53640926-AAD7-44D8-BBD7-CCE9431645EC}">
                        <a14:shadowObscured xmlns:a14="http://schemas.microsoft.com/office/drawing/2010/main"/>
                      </a:ext>
                    </a:extLst>
                  </pic:spPr>
                </pic:pic>
              </a:graphicData>
            </a:graphic>
          </wp:inline>
        </w:drawing>
      </w:r>
    </w:p>
    <w:p w14:paraId="59DCC6D7" w14:textId="5314894C" w:rsidR="002B768F" w:rsidRPr="00D93FF9" w:rsidRDefault="007F5AB0" w:rsidP="007F5AB0">
      <w:pPr>
        <w:pStyle w:val="Caption"/>
      </w:pPr>
      <w:bookmarkStart w:id="130" w:name="_Ref81391270"/>
      <w:bookmarkStart w:id="131" w:name="_Toc96518208"/>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8</w:t>
      </w:r>
      <w:r w:rsidR="007B28AC" w:rsidRPr="00D93FF9">
        <w:fldChar w:fldCharType="end"/>
      </w:r>
      <w:bookmarkEnd w:id="130"/>
      <w:r w:rsidRPr="00D93FF9">
        <w:t xml:space="preserve"> </w:t>
      </w:r>
      <w:bookmarkStart w:id="132" w:name="_Hlk153787663"/>
      <w:r w:rsidR="00E811B8" w:rsidRPr="00D93FF9">
        <w:t>Comparison of the TEC curves (leading to a 20% reduction in K</w:t>
      </w:r>
      <w:r w:rsidR="00E811B8" w:rsidRPr="00D93FF9">
        <w:rPr>
          <w:vertAlign w:val="subscript"/>
        </w:rPr>
        <w:t>sat</w:t>
      </w:r>
      <w:r w:rsidR="00E811B8" w:rsidRPr="00D93FF9">
        <w:t>) for six soils (left) and the relationship between SAR and EC for soil structural stability as presented in ANZECC</w:t>
      </w:r>
      <w:r w:rsidR="0041347A" w:rsidRPr="00D93FF9">
        <w:t xml:space="preserve"> and </w:t>
      </w:r>
      <w:r w:rsidR="008526F5" w:rsidRPr="00D93FF9">
        <w:t>ARMCANZ</w:t>
      </w:r>
      <w:r w:rsidR="00E811B8" w:rsidRPr="00D93FF9">
        <w:t xml:space="preserve"> (2000).</w:t>
      </w:r>
      <w:bookmarkEnd w:id="131"/>
      <w:r w:rsidR="00E811B8" w:rsidRPr="00D93FF9">
        <w:t xml:space="preserve"> </w:t>
      </w:r>
      <w:bookmarkEnd w:id="132"/>
    </w:p>
    <w:p w14:paraId="59DCC6D8" w14:textId="7CE11FE0" w:rsidR="005457E3" w:rsidRPr="00D93FF9" w:rsidRDefault="00E811B8" w:rsidP="005457E3">
      <w:pPr>
        <w:rPr>
          <w:sz w:val="18"/>
          <w:szCs w:val="18"/>
          <w:lang w:bidi="en-US"/>
        </w:rPr>
      </w:pPr>
      <w:r w:rsidRPr="00D93FF9">
        <w:rPr>
          <w:sz w:val="18"/>
          <w:szCs w:val="18"/>
          <w:lang w:bidi="en-US"/>
        </w:rPr>
        <w:t xml:space="preserve">Source: Bennett and Raine </w:t>
      </w:r>
      <w:r w:rsidR="00053908" w:rsidRPr="00D93FF9">
        <w:rPr>
          <w:sz w:val="18"/>
          <w:szCs w:val="18"/>
          <w:lang w:bidi="en-US"/>
        </w:rPr>
        <w:t>(</w:t>
      </w:r>
      <w:r w:rsidR="00A958E6" w:rsidRPr="00D93FF9">
        <w:rPr>
          <w:sz w:val="18"/>
          <w:szCs w:val="18"/>
          <w:lang w:bidi="en-US"/>
        </w:rPr>
        <w:t>2012</w:t>
      </w:r>
      <w:r w:rsidR="00053908" w:rsidRPr="00D93FF9">
        <w:rPr>
          <w:sz w:val="18"/>
          <w:szCs w:val="18"/>
          <w:lang w:bidi="en-US"/>
        </w:rPr>
        <w:t>)</w:t>
      </w:r>
    </w:p>
    <w:p w14:paraId="59DCC6D9" w14:textId="77777777" w:rsidR="00C46175" w:rsidRPr="00D93FF9" w:rsidRDefault="00E811B8" w:rsidP="00840D10">
      <w:pPr>
        <w:pStyle w:val="Heading4"/>
        <w:rPr>
          <w:lang w:val="en-GB"/>
        </w:rPr>
      </w:pPr>
      <w:r w:rsidRPr="00D93FF9">
        <w:rPr>
          <w:lang w:val="en-GB"/>
        </w:rPr>
        <w:t xml:space="preserve">Plant salt </w:t>
      </w:r>
      <w:r w:rsidRPr="00D93FF9">
        <w:t>tolerance</w:t>
      </w:r>
    </w:p>
    <w:p w14:paraId="59DCC6DA" w14:textId="77777777" w:rsidR="00C46175" w:rsidRPr="00D93FF9" w:rsidRDefault="00E811B8" w:rsidP="000C0320">
      <w:pPr>
        <w:pStyle w:val="BodyText"/>
        <w:spacing w:after="0" w:line="266" w:lineRule="auto"/>
        <w:jc w:val="both"/>
        <w:rPr>
          <w:lang w:val="en-GB"/>
        </w:rPr>
      </w:pPr>
      <w:r w:rsidRPr="00D93FF9">
        <w:rPr>
          <w:spacing w:val="-3"/>
          <w:lang w:val="en-GB"/>
        </w:rPr>
        <w:t xml:space="preserve">Plant salt </w:t>
      </w:r>
      <w:r w:rsidRPr="00D93FF9">
        <w:rPr>
          <w:lang w:val="en-GB"/>
        </w:rPr>
        <w:t xml:space="preserve">tolerance can be defined as the ability of plants to </w:t>
      </w:r>
      <w:r w:rsidRPr="00D93FF9">
        <w:rPr>
          <w:spacing w:val="-3"/>
          <w:lang w:val="en-GB"/>
        </w:rPr>
        <w:t xml:space="preserve">survive </w:t>
      </w:r>
      <w:r w:rsidRPr="00D93FF9">
        <w:rPr>
          <w:lang w:val="en-GB"/>
        </w:rPr>
        <w:t xml:space="preserve">and produce </w:t>
      </w:r>
      <w:r w:rsidRPr="00D93FF9">
        <w:rPr>
          <w:spacing w:val="-3"/>
          <w:lang w:val="en-GB"/>
        </w:rPr>
        <w:t xml:space="preserve">economic yields </w:t>
      </w:r>
      <w:r w:rsidRPr="00D93FF9">
        <w:rPr>
          <w:lang w:val="en-GB"/>
        </w:rPr>
        <w:t xml:space="preserve">under </w:t>
      </w:r>
      <w:r w:rsidRPr="00D93FF9">
        <w:rPr>
          <w:spacing w:val="-3"/>
          <w:lang w:val="en-GB"/>
        </w:rPr>
        <w:t xml:space="preserve">adverse </w:t>
      </w:r>
      <w:r w:rsidRPr="00D93FF9">
        <w:rPr>
          <w:lang w:val="en-GB"/>
        </w:rPr>
        <w:t xml:space="preserve">conditions caused by </w:t>
      </w:r>
      <w:r w:rsidRPr="00D93FF9">
        <w:rPr>
          <w:spacing w:val="-3"/>
          <w:lang w:val="en-GB"/>
        </w:rPr>
        <w:t xml:space="preserve">salinity. </w:t>
      </w:r>
      <w:r w:rsidRPr="00D93FF9">
        <w:rPr>
          <w:spacing w:val="-4"/>
          <w:lang w:val="en-GB"/>
        </w:rPr>
        <w:t xml:space="preserve">In </w:t>
      </w:r>
      <w:r w:rsidRPr="00D93FF9">
        <w:rPr>
          <w:lang w:val="en-GB"/>
        </w:rPr>
        <w:t xml:space="preserve">the case of </w:t>
      </w:r>
      <w:r w:rsidRPr="00D93FF9">
        <w:rPr>
          <w:spacing w:val="-3"/>
          <w:lang w:val="en-GB"/>
        </w:rPr>
        <w:t xml:space="preserve">ornamental species, </w:t>
      </w:r>
      <w:r w:rsidRPr="00D93FF9">
        <w:rPr>
          <w:lang w:val="en-GB"/>
        </w:rPr>
        <w:t>the ability to</w:t>
      </w:r>
      <w:r w:rsidRPr="00D93FF9">
        <w:rPr>
          <w:spacing w:val="-7"/>
          <w:lang w:val="en-GB"/>
        </w:rPr>
        <w:t xml:space="preserve"> </w:t>
      </w:r>
      <w:r w:rsidRPr="00D93FF9">
        <w:rPr>
          <w:spacing w:val="-3"/>
          <w:lang w:val="en-GB"/>
        </w:rPr>
        <w:t>survive</w:t>
      </w:r>
      <w:r w:rsidRPr="00D93FF9">
        <w:rPr>
          <w:spacing w:val="-7"/>
          <w:lang w:val="en-GB"/>
        </w:rPr>
        <w:t xml:space="preserve"> </w:t>
      </w:r>
      <w:r w:rsidRPr="00D93FF9">
        <w:rPr>
          <w:lang w:val="en-GB"/>
        </w:rPr>
        <w:t>and</w:t>
      </w:r>
      <w:r w:rsidRPr="00D93FF9">
        <w:rPr>
          <w:spacing w:val="-3"/>
          <w:lang w:val="en-GB"/>
        </w:rPr>
        <w:t xml:space="preserve"> maintain</w:t>
      </w:r>
      <w:r w:rsidRPr="00D93FF9">
        <w:rPr>
          <w:spacing w:val="-4"/>
          <w:lang w:val="en-GB"/>
        </w:rPr>
        <w:t xml:space="preserve"> </w:t>
      </w:r>
      <w:r w:rsidRPr="00D93FF9">
        <w:rPr>
          <w:lang w:val="en-GB"/>
        </w:rPr>
        <w:t>aesthetic</w:t>
      </w:r>
      <w:r w:rsidRPr="00D93FF9">
        <w:rPr>
          <w:spacing w:val="-3"/>
          <w:lang w:val="en-GB"/>
        </w:rPr>
        <w:t xml:space="preserve"> </w:t>
      </w:r>
      <w:r w:rsidRPr="00D93FF9">
        <w:rPr>
          <w:lang w:val="en-GB"/>
        </w:rPr>
        <w:t>appearance</w:t>
      </w:r>
      <w:r w:rsidRPr="00D93FF9">
        <w:rPr>
          <w:spacing w:val="-4"/>
          <w:lang w:val="en-GB"/>
        </w:rPr>
        <w:t xml:space="preserve"> </w:t>
      </w:r>
      <w:r w:rsidRPr="00D93FF9">
        <w:rPr>
          <w:spacing w:val="-3"/>
          <w:lang w:val="en-GB"/>
        </w:rPr>
        <w:t>may</w:t>
      </w:r>
      <w:r w:rsidRPr="00D93FF9">
        <w:rPr>
          <w:spacing w:val="-6"/>
          <w:lang w:val="en-GB"/>
        </w:rPr>
        <w:t xml:space="preserve"> </w:t>
      </w:r>
      <w:r w:rsidRPr="00D93FF9">
        <w:rPr>
          <w:lang w:val="en-GB"/>
        </w:rPr>
        <w:t>be</w:t>
      </w:r>
      <w:r w:rsidRPr="00D93FF9">
        <w:rPr>
          <w:spacing w:val="-4"/>
          <w:lang w:val="en-GB"/>
        </w:rPr>
        <w:t xml:space="preserve"> </w:t>
      </w:r>
      <w:r w:rsidRPr="00D93FF9">
        <w:rPr>
          <w:spacing w:val="-3"/>
          <w:lang w:val="en-GB"/>
        </w:rPr>
        <w:t>more</w:t>
      </w:r>
      <w:r w:rsidRPr="00D93FF9">
        <w:rPr>
          <w:spacing w:val="-4"/>
          <w:lang w:val="en-GB"/>
        </w:rPr>
        <w:t xml:space="preserve"> </w:t>
      </w:r>
      <w:r w:rsidRPr="00D93FF9">
        <w:rPr>
          <w:spacing w:val="-3"/>
          <w:lang w:val="en-GB"/>
        </w:rPr>
        <w:t xml:space="preserve">important </w:t>
      </w:r>
      <w:r w:rsidRPr="00D93FF9">
        <w:rPr>
          <w:lang w:val="en-GB"/>
        </w:rPr>
        <w:t>than</w:t>
      </w:r>
      <w:r w:rsidRPr="00D93FF9">
        <w:rPr>
          <w:spacing w:val="-4"/>
          <w:lang w:val="en-GB"/>
        </w:rPr>
        <w:t xml:space="preserve"> </w:t>
      </w:r>
      <w:r w:rsidRPr="00D93FF9">
        <w:rPr>
          <w:spacing w:val="-3"/>
          <w:lang w:val="en-GB"/>
        </w:rPr>
        <w:t xml:space="preserve">yield. </w:t>
      </w:r>
      <w:r w:rsidRPr="00D93FF9">
        <w:rPr>
          <w:lang w:val="en-GB"/>
        </w:rPr>
        <w:t>Criteria</w:t>
      </w:r>
      <w:r w:rsidRPr="00D93FF9">
        <w:rPr>
          <w:spacing w:val="-4"/>
          <w:lang w:val="en-GB"/>
        </w:rPr>
        <w:t xml:space="preserve"> </w:t>
      </w:r>
      <w:r w:rsidRPr="00D93FF9">
        <w:rPr>
          <w:lang w:val="en-GB"/>
        </w:rPr>
        <w:t>that</w:t>
      </w:r>
      <w:r w:rsidRPr="00D93FF9">
        <w:rPr>
          <w:spacing w:val="-4"/>
          <w:lang w:val="en-GB"/>
        </w:rPr>
        <w:t xml:space="preserve"> </w:t>
      </w:r>
      <w:r w:rsidRPr="00D93FF9">
        <w:rPr>
          <w:spacing w:val="-2"/>
          <w:lang w:val="en-GB"/>
        </w:rPr>
        <w:t xml:space="preserve">are </w:t>
      </w:r>
      <w:r w:rsidRPr="00D93FF9">
        <w:rPr>
          <w:spacing w:val="-3"/>
          <w:lang w:val="en-GB"/>
        </w:rPr>
        <w:t>commonly</w:t>
      </w:r>
      <w:r w:rsidRPr="00D93FF9">
        <w:rPr>
          <w:spacing w:val="-10"/>
          <w:lang w:val="en-GB"/>
        </w:rPr>
        <w:t xml:space="preserve"> </w:t>
      </w:r>
      <w:r w:rsidRPr="00D93FF9">
        <w:rPr>
          <w:lang w:val="en-GB"/>
        </w:rPr>
        <w:t>used</w:t>
      </w:r>
      <w:r w:rsidRPr="00D93FF9">
        <w:rPr>
          <w:spacing w:val="-8"/>
          <w:lang w:val="en-GB"/>
        </w:rPr>
        <w:t xml:space="preserve"> </w:t>
      </w:r>
      <w:r w:rsidRPr="00D93FF9">
        <w:rPr>
          <w:lang w:val="en-GB"/>
        </w:rPr>
        <w:t>to</w:t>
      </w:r>
      <w:r w:rsidRPr="00D93FF9">
        <w:rPr>
          <w:spacing w:val="-8"/>
          <w:lang w:val="en-GB"/>
        </w:rPr>
        <w:t xml:space="preserve"> </w:t>
      </w:r>
      <w:r w:rsidRPr="00D93FF9">
        <w:rPr>
          <w:lang w:val="en-GB"/>
        </w:rPr>
        <w:t>assess</w:t>
      </w:r>
      <w:r w:rsidRPr="00D93FF9">
        <w:rPr>
          <w:spacing w:val="-7"/>
          <w:lang w:val="en-GB"/>
        </w:rPr>
        <w:t xml:space="preserve"> </w:t>
      </w:r>
      <w:r w:rsidRPr="00D93FF9">
        <w:rPr>
          <w:lang w:val="en-GB"/>
        </w:rPr>
        <w:t>the</w:t>
      </w:r>
      <w:r w:rsidRPr="00D93FF9">
        <w:rPr>
          <w:spacing w:val="-8"/>
          <w:lang w:val="en-GB"/>
        </w:rPr>
        <w:t xml:space="preserve"> </w:t>
      </w:r>
      <w:r w:rsidRPr="00D93FF9">
        <w:rPr>
          <w:lang w:val="en-GB"/>
        </w:rPr>
        <w:t>suitability</w:t>
      </w:r>
      <w:r w:rsidRPr="00D93FF9">
        <w:rPr>
          <w:spacing w:val="-11"/>
          <w:lang w:val="en-GB"/>
        </w:rPr>
        <w:t xml:space="preserve"> </w:t>
      </w:r>
      <w:r w:rsidRPr="00D93FF9">
        <w:rPr>
          <w:lang w:val="en-GB"/>
        </w:rPr>
        <w:t>of</w:t>
      </w:r>
      <w:r w:rsidRPr="00D93FF9">
        <w:rPr>
          <w:spacing w:val="-8"/>
          <w:lang w:val="en-GB"/>
        </w:rPr>
        <w:t xml:space="preserve"> </w:t>
      </w:r>
      <w:r w:rsidRPr="00D93FF9">
        <w:rPr>
          <w:lang w:val="en-GB"/>
        </w:rPr>
        <w:t>a</w:t>
      </w:r>
      <w:r w:rsidRPr="00D93FF9">
        <w:rPr>
          <w:spacing w:val="-7"/>
          <w:lang w:val="en-GB"/>
        </w:rPr>
        <w:t xml:space="preserve"> </w:t>
      </w:r>
      <w:r w:rsidRPr="00D93FF9">
        <w:rPr>
          <w:lang w:val="en-GB"/>
        </w:rPr>
        <w:t>plant</w:t>
      </w:r>
      <w:r w:rsidRPr="00D93FF9">
        <w:rPr>
          <w:spacing w:val="-8"/>
          <w:lang w:val="en-GB"/>
        </w:rPr>
        <w:t xml:space="preserve"> </w:t>
      </w:r>
      <w:r w:rsidRPr="00D93FF9">
        <w:rPr>
          <w:lang w:val="en-GB"/>
        </w:rPr>
        <w:t>for</w:t>
      </w:r>
      <w:r w:rsidRPr="00D93FF9">
        <w:rPr>
          <w:spacing w:val="-8"/>
          <w:lang w:val="en-GB"/>
        </w:rPr>
        <w:t xml:space="preserve"> </w:t>
      </w:r>
      <w:r w:rsidRPr="00D93FF9">
        <w:rPr>
          <w:lang w:val="en-GB"/>
        </w:rPr>
        <w:t>a</w:t>
      </w:r>
      <w:r w:rsidRPr="00D93FF9">
        <w:rPr>
          <w:spacing w:val="-8"/>
          <w:lang w:val="en-GB"/>
        </w:rPr>
        <w:t xml:space="preserve"> </w:t>
      </w:r>
      <w:r w:rsidRPr="00D93FF9">
        <w:rPr>
          <w:lang w:val="en-GB"/>
        </w:rPr>
        <w:t>particular</w:t>
      </w:r>
      <w:r w:rsidRPr="00D93FF9">
        <w:rPr>
          <w:spacing w:val="-7"/>
          <w:lang w:val="en-GB"/>
        </w:rPr>
        <w:t xml:space="preserve"> </w:t>
      </w:r>
      <w:r w:rsidRPr="00D93FF9">
        <w:rPr>
          <w:lang w:val="en-GB"/>
        </w:rPr>
        <w:t>salinity</w:t>
      </w:r>
      <w:r w:rsidRPr="00D93FF9">
        <w:rPr>
          <w:spacing w:val="-11"/>
          <w:lang w:val="en-GB"/>
        </w:rPr>
        <w:t xml:space="preserve"> </w:t>
      </w:r>
      <w:r w:rsidRPr="00D93FF9">
        <w:rPr>
          <w:lang w:val="en-GB"/>
        </w:rPr>
        <w:t>situation</w:t>
      </w:r>
      <w:r w:rsidRPr="00D93FF9">
        <w:rPr>
          <w:spacing w:val="-8"/>
          <w:lang w:val="en-GB"/>
        </w:rPr>
        <w:t xml:space="preserve"> </w:t>
      </w:r>
      <w:r w:rsidRPr="00D93FF9">
        <w:rPr>
          <w:lang w:val="en-GB"/>
        </w:rPr>
        <w:t>are:</w:t>
      </w:r>
    </w:p>
    <w:p w14:paraId="59DCC6DB" w14:textId="77777777" w:rsidR="00C46175" w:rsidRPr="00D93FF9" w:rsidRDefault="00E811B8" w:rsidP="000C0320">
      <w:pPr>
        <w:pStyle w:val="ListBullet"/>
        <w:jc w:val="both"/>
        <w:rPr>
          <w:rFonts w:ascii="Arial"/>
          <w:sz w:val="20"/>
          <w:lang w:val="en-GB"/>
        </w:rPr>
      </w:pPr>
      <w:r w:rsidRPr="00D93FF9">
        <w:rPr>
          <w:lang w:val="en-GB"/>
        </w:rPr>
        <w:t>salinity (the effect of the salt concentration on the plant, largely osmotic in</w:t>
      </w:r>
      <w:r w:rsidRPr="00D93FF9">
        <w:rPr>
          <w:spacing w:val="1"/>
          <w:lang w:val="en-GB"/>
        </w:rPr>
        <w:t xml:space="preserve"> </w:t>
      </w:r>
      <w:r w:rsidRPr="00D93FF9">
        <w:rPr>
          <w:lang w:val="en-GB"/>
        </w:rPr>
        <w:t>nature);</w:t>
      </w:r>
      <w:bookmarkStart w:id="133" w:name="Plant_response"/>
      <w:bookmarkEnd w:id="133"/>
      <w:r w:rsidR="00560ECA" w:rsidRPr="00D93FF9">
        <w:rPr>
          <w:rFonts w:ascii="Arial"/>
          <w:sz w:val="20"/>
          <w:lang w:val="en-GB"/>
        </w:rPr>
        <w:t xml:space="preserve"> </w:t>
      </w:r>
    </w:p>
    <w:p w14:paraId="59DCC6DC" w14:textId="77777777" w:rsidR="00C46175" w:rsidRPr="00D93FF9" w:rsidRDefault="00E811B8" w:rsidP="000C0320">
      <w:pPr>
        <w:pStyle w:val="ListBullet"/>
        <w:jc w:val="both"/>
        <w:rPr>
          <w:rFonts w:ascii="Symbol" w:hAnsi="Symbol"/>
          <w:lang w:val="en-GB"/>
        </w:rPr>
      </w:pPr>
      <w:r w:rsidRPr="00D93FF9">
        <w:rPr>
          <w:lang w:val="en-GB"/>
        </w:rPr>
        <w:t>specific ion toxicity (the toxic effects of specific ions, particularly sodium, chloride</w:t>
      </w:r>
      <w:r w:rsidR="00560ECA" w:rsidRPr="00D93FF9">
        <w:rPr>
          <w:lang w:val="en-GB"/>
        </w:rPr>
        <w:t>, boron</w:t>
      </w:r>
      <w:r w:rsidRPr="00D93FF9">
        <w:rPr>
          <w:lang w:val="en-GB"/>
        </w:rPr>
        <w:t xml:space="preserve"> and other metal</w:t>
      </w:r>
      <w:r w:rsidRPr="00D93FF9">
        <w:rPr>
          <w:spacing w:val="-3"/>
          <w:lang w:val="en-GB"/>
        </w:rPr>
        <w:t xml:space="preserve"> </w:t>
      </w:r>
      <w:r w:rsidRPr="00D93FF9">
        <w:rPr>
          <w:lang w:val="en-GB"/>
        </w:rPr>
        <w:t>ions);</w:t>
      </w:r>
    </w:p>
    <w:p w14:paraId="59DCC6DD" w14:textId="77777777" w:rsidR="00C46175" w:rsidRPr="00D93FF9" w:rsidRDefault="00E811B8" w:rsidP="000C0320">
      <w:pPr>
        <w:pStyle w:val="ListBullet"/>
        <w:jc w:val="both"/>
        <w:rPr>
          <w:rFonts w:ascii="Symbol" w:hAnsi="Symbol"/>
          <w:lang w:val="en-GB"/>
        </w:rPr>
      </w:pPr>
      <w:r w:rsidRPr="00D93FF9">
        <w:rPr>
          <w:lang w:val="en-GB"/>
        </w:rPr>
        <w:t>nutritional disorders (due to excessive concentrations of some</w:t>
      </w:r>
      <w:r w:rsidRPr="00D93FF9">
        <w:rPr>
          <w:spacing w:val="2"/>
          <w:lang w:val="en-GB"/>
        </w:rPr>
        <w:t xml:space="preserve"> </w:t>
      </w:r>
      <w:r w:rsidRPr="00D93FF9">
        <w:rPr>
          <w:lang w:val="en-GB"/>
        </w:rPr>
        <w:t>ions).</w:t>
      </w:r>
    </w:p>
    <w:p w14:paraId="59DCC6DE" w14:textId="6EB1696F" w:rsidR="00A9112F" w:rsidRPr="00D93FF9" w:rsidRDefault="00E811B8" w:rsidP="000C0320">
      <w:pPr>
        <w:pStyle w:val="ListBullet"/>
        <w:jc w:val="both"/>
        <w:rPr>
          <w:lang w:val="en-GB"/>
        </w:rPr>
      </w:pPr>
      <w:r w:rsidRPr="00D93FF9">
        <w:rPr>
          <w:lang w:val="en-GB"/>
        </w:rPr>
        <w:t xml:space="preserve">Plants respond to salinity in the </w:t>
      </w:r>
      <w:r w:rsidR="00616106" w:rsidRPr="00D93FF9">
        <w:rPr>
          <w:lang w:val="en-GB"/>
        </w:rPr>
        <w:t xml:space="preserve">whole </w:t>
      </w:r>
      <w:r w:rsidRPr="00D93FF9">
        <w:rPr>
          <w:lang w:val="en-GB"/>
        </w:rPr>
        <w:t xml:space="preserve">root zone. Two measures of </w:t>
      </w:r>
      <w:r w:rsidR="00616106" w:rsidRPr="00D93FF9">
        <w:rPr>
          <w:lang w:val="en-GB"/>
        </w:rPr>
        <w:t xml:space="preserve">average </w:t>
      </w:r>
      <w:r w:rsidRPr="00D93FF9">
        <w:rPr>
          <w:lang w:val="en-GB"/>
        </w:rPr>
        <w:t xml:space="preserve">root zone salinity are commonly used: </w:t>
      </w:r>
      <w:r w:rsidR="00616106" w:rsidRPr="00D93FF9">
        <w:rPr>
          <w:lang w:val="en-GB"/>
        </w:rPr>
        <w:t xml:space="preserve">arithmetic </w:t>
      </w:r>
      <w:r w:rsidRPr="00D93FF9">
        <w:rPr>
          <w:lang w:val="en-GB"/>
        </w:rPr>
        <w:t>average and water uptake weighted</w:t>
      </w:r>
      <w:r w:rsidR="00616106" w:rsidRPr="00D93FF9">
        <w:rPr>
          <w:lang w:val="en-GB"/>
        </w:rPr>
        <w:t xml:space="preserve"> average</w:t>
      </w:r>
      <w:r w:rsidR="00FC6CBB" w:rsidRPr="00D93FF9">
        <w:rPr>
          <w:lang w:val="en-GB"/>
        </w:rPr>
        <w:t xml:space="preserve"> (</w:t>
      </w:r>
      <w:r w:rsidR="007F5AB0" w:rsidRPr="00D93FF9">
        <w:rPr>
          <w:lang w:val="en-GB"/>
        </w:rPr>
        <w:fldChar w:fldCharType="begin"/>
      </w:r>
      <w:r w:rsidR="007F5AB0" w:rsidRPr="00D93FF9">
        <w:rPr>
          <w:lang w:val="en-GB"/>
        </w:rPr>
        <w:instrText xml:space="preserve"> REF _Ref81391368 \h </w:instrText>
      </w:r>
      <w:r w:rsidR="00D93FF9">
        <w:rPr>
          <w:lang w:val="en-GB"/>
        </w:rPr>
        <w:instrText xml:space="preserve"> \* MERGEFORMAT </w:instrText>
      </w:r>
      <w:r w:rsidR="007F5AB0" w:rsidRPr="00D93FF9">
        <w:rPr>
          <w:lang w:val="en-GB"/>
        </w:rPr>
      </w:r>
      <w:r w:rsidR="007F5AB0" w:rsidRPr="00D93FF9">
        <w:rPr>
          <w:lang w:val="en-GB"/>
        </w:rPr>
        <w:fldChar w:fldCharType="separate"/>
      </w:r>
      <w:r w:rsidR="0069302C" w:rsidRPr="00D93FF9">
        <w:t xml:space="preserve">Figure </w:t>
      </w:r>
      <w:r w:rsidR="0069302C">
        <w:rPr>
          <w:noProof/>
        </w:rPr>
        <w:t>9</w:t>
      </w:r>
      <w:r w:rsidR="007F5AB0" w:rsidRPr="00D93FF9">
        <w:rPr>
          <w:lang w:val="en-GB"/>
        </w:rPr>
        <w:fldChar w:fldCharType="end"/>
      </w:r>
      <w:r w:rsidR="00FC6CBB" w:rsidRPr="00D93FF9">
        <w:rPr>
          <w:lang w:val="en-GB"/>
        </w:rPr>
        <w:t>)</w:t>
      </w:r>
      <w:r w:rsidRPr="00D93FF9">
        <w:rPr>
          <w:lang w:val="en-GB"/>
        </w:rPr>
        <w:t xml:space="preserve">. </w:t>
      </w:r>
    </w:p>
    <w:p w14:paraId="59DCC6DF" w14:textId="0CDBDA2F" w:rsidR="00A9112F" w:rsidRPr="00D93FF9" w:rsidRDefault="00E811B8" w:rsidP="00DE557F">
      <w:pPr>
        <w:pStyle w:val="ListBullet"/>
        <w:numPr>
          <w:ilvl w:val="0"/>
          <w:numId w:val="0"/>
        </w:numPr>
        <w:spacing w:line="266" w:lineRule="auto"/>
        <w:ind w:left="397"/>
        <w:jc w:val="both"/>
        <w:rPr>
          <w:lang w:val="en-GB"/>
        </w:rPr>
      </w:pPr>
      <w:r w:rsidRPr="00D93FF9">
        <w:rPr>
          <w:lang w:val="en-US"/>
        </w:rPr>
        <w:t xml:space="preserve">Indeed, soil salinity values usually increase from the soil surface peaking at the bottom of the root zone. Because the majority of root water extraction is taken from the upper part of the root zone, this lower soil salinity has more effect on plant growth than the EC at the bottom of the root zone. Hence there is a need for some </w:t>
      </w:r>
      <w:r w:rsidR="0020253C" w:rsidRPr="00D93FF9">
        <w:rPr>
          <w:lang w:val="en-US"/>
        </w:rPr>
        <w:t xml:space="preserve">depth-weighted </w:t>
      </w:r>
      <w:r w:rsidRPr="00D93FF9">
        <w:rPr>
          <w:lang w:val="en-US"/>
        </w:rPr>
        <w:t>averaging applied to the above calculations</w:t>
      </w:r>
      <w:r w:rsidR="00536817" w:rsidRPr="00D93FF9">
        <w:rPr>
          <w:lang w:val="en-US"/>
        </w:rPr>
        <w:t xml:space="preserve"> (</w:t>
      </w:r>
      <w:r w:rsidR="00536817" w:rsidRPr="00D93FF9">
        <w:rPr>
          <w:lang w:val="en-US"/>
        </w:rPr>
        <w:fldChar w:fldCharType="begin"/>
      </w:r>
      <w:r w:rsidR="00536817" w:rsidRPr="00D93FF9">
        <w:rPr>
          <w:lang w:val="en-US"/>
        </w:rPr>
        <w:instrText xml:space="preserve"> REF _Ref70605126 \h </w:instrText>
      </w:r>
      <w:r w:rsidR="00D93FF9">
        <w:rPr>
          <w:lang w:val="en-US"/>
        </w:rPr>
        <w:instrText xml:space="preserve"> \* MERGEFORMAT </w:instrText>
      </w:r>
      <w:r w:rsidR="00536817" w:rsidRPr="00D93FF9">
        <w:rPr>
          <w:lang w:val="en-US"/>
        </w:rPr>
      </w:r>
      <w:r w:rsidR="00536817" w:rsidRPr="00D93FF9">
        <w:rPr>
          <w:lang w:val="en-US"/>
        </w:rPr>
        <w:fldChar w:fldCharType="separate"/>
      </w:r>
      <w:r w:rsidR="0069302C" w:rsidRPr="00D93FF9">
        <w:t xml:space="preserve">Equation </w:t>
      </w:r>
      <w:r w:rsidR="0069302C">
        <w:rPr>
          <w:noProof/>
        </w:rPr>
        <w:t>5</w:t>
      </w:r>
      <w:r w:rsidR="00536817" w:rsidRPr="00D93FF9">
        <w:rPr>
          <w:lang w:val="en-US"/>
        </w:rPr>
        <w:fldChar w:fldCharType="end"/>
      </w:r>
      <w:r w:rsidR="00536817" w:rsidRPr="00D93FF9">
        <w:rPr>
          <w:lang w:val="en-US"/>
        </w:rPr>
        <w:t>). T</w:t>
      </w:r>
      <w:r w:rsidRPr="00D93FF9">
        <w:rPr>
          <w:lang w:val="en-US"/>
        </w:rPr>
        <w:t xml:space="preserve">his could either be a simple arithmetic mean or a root water uptake weighted mean. The following graphs show the effect of these averaging assumptions </w:t>
      </w:r>
      <w:r w:rsidR="00536817" w:rsidRPr="00D93FF9">
        <w:rPr>
          <w:lang w:val="en-US"/>
        </w:rPr>
        <w:t>(</w:t>
      </w:r>
      <w:r w:rsidR="007F5AB0" w:rsidRPr="00D93FF9">
        <w:rPr>
          <w:lang w:val="en-US"/>
        </w:rPr>
        <w:fldChar w:fldCharType="begin"/>
      </w:r>
      <w:r w:rsidR="007F5AB0" w:rsidRPr="00D93FF9">
        <w:rPr>
          <w:lang w:val="en-US"/>
        </w:rPr>
        <w:instrText xml:space="preserve"> REF _Ref81391368 \h </w:instrText>
      </w:r>
      <w:r w:rsidR="00D93FF9">
        <w:rPr>
          <w:lang w:val="en-US"/>
        </w:rPr>
        <w:instrText xml:space="preserve"> \* MERGEFORMAT </w:instrText>
      </w:r>
      <w:r w:rsidR="007F5AB0" w:rsidRPr="00D93FF9">
        <w:rPr>
          <w:lang w:val="en-US"/>
        </w:rPr>
      </w:r>
      <w:r w:rsidR="007F5AB0" w:rsidRPr="00D93FF9">
        <w:rPr>
          <w:lang w:val="en-US"/>
        </w:rPr>
        <w:fldChar w:fldCharType="separate"/>
      </w:r>
      <w:r w:rsidR="0069302C" w:rsidRPr="00D93FF9">
        <w:t xml:space="preserve">Figure </w:t>
      </w:r>
      <w:r w:rsidR="0069302C">
        <w:rPr>
          <w:noProof/>
        </w:rPr>
        <w:t>9</w:t>
      </w:r>
      <w:r w:rsidR="007F5AB0" w:rsidRPr="00D93FF9">
        <w:rPr>
          <w:lang w:val="en-US"/>
        </w:rPr>
        <w:fldChar w:fldCharType="end"/>
      </w:r>
      <w:r w:rsidR="00536817" w:rsidRPr="00D93FF9">
        <w:rPr>
          <w:lang w:val="en-US"/>
        </w:rPr>
        <w:t>)</w:t>
      </w:r>
    </w:p>
    <w:p w14:paraId="59DCC6E0" w14:textId="26F7B9B4" w:rsidR="00C46175" w:rsidRPr="00D93FF9" w:rsidRDefault="00E811B8" w:rsidP="00DE557F">
      <w:pPr>
        <w:pStyle w:val="ListBullet"/>
        <w:spacing w:line="266" w:lineRule="auto"/>
        <w:jc w:val="both"/>
        <w:rPr>
          <w:lang w:val="en-GB"/>
        </w:rPr>
      </w:pPr>
      <w:r w:rsidRPr="00D93FF9">
        <w:rPr>
          <w:lang w:val="en-GB"/>
        </w:rPr>
        <w:t>Because plants respond to the integration of atmospheric and soil conditions, average root zone salinity provides a conservative measure of soil salinity conditions for estimating plant response. Several studies (</w:t>
      </w:r>
      <w:r w:rsidR="0041347A" w:rsidRPr="00D93FF9">
        <w:rPr>
          <w:lang w:val="en-GB"/>
        </w:rPr>
        <w:t xml:space="preserve">Bernstein </w:t>
      </w:r>
      <w:r w:rsidR="00FA6E9E" w:rsidRPr="00D93FF9">
        <w:rPr>
          <w:lang w:val="en-GB"/>
        </w:rPr>
        <w:t>and</w:t>
      </w:r>
      <w:r w:rsidR="0041347A" w:rsidRPr="00D93FF9">
        <w:rPr>
          <w:lang w:val="en-GB"/>
        </w:rPr>
        <w:t xml:space="preserve"> Francois 1973; </w:t>
      </w:r>
      <w:r w:rsidRPr="00D93FF9">
        <w:rPr>
          <w:lang w:val="en-GB"/>
        </w:rPr>
        <w:t>Devitt et al. 1984</w:t>
      </w:r>
      <w:r w:rsidR="0041347A" w:rsidRPr="00D93FF9">
        <w:rPr>
          <w:lang w:val="en-GB"/>
        </w:rPr>
        <w:t>;</w:t>
      </w:r>
      <w:r w:rsidRPr="00D93FF9">
        <w:rPr>
          <w:lang w:val="en-GB"/>
        </w:rPr>
        <w:t xml:space="preserve"> Rhoades 1982) have shown average root zone salinity to provide an appropriate </w:t>
      </w:r>
      <w:r w:rsidR="00DE557F" w:rsidRPr="00D93FF9">
        <w:rPr>
          <w:lang w:val="en-GB"/>
        </w:rPr>
        <w:t>measure</w:t>
      </w:r>
      <w:r w:rsidRPr="00D93FF9">
        <w:rPr>
          <w:lang w:val="en-GB"/>
        </w:rPr>
        <w:t xml:space="preserve"> of root zone salinity for determining plant response to</w:t>
      </w:r>
      <w:r w:rsidRPr="00D93FF9">
        <w:rPr>
          <w:spacing w:val="-1"/>
          <w:lang w:val="en-GB"/>
        </w:rPr>
        <w:t xml:space="preserve"> </w:t>
      </w:r>
      <w:r w:rsidRPr="00D93FF9">
        <w:rPr>
          <w:lang w:val="en-GB"/>
        </w:rPr>
        <w:t>salinity.</w:t>
      </w:r>
    </w:p>
    <w:p w14:paraId="59DCC6E1" w14:textId="77777777" w:rsidR="0014356A" w:rsidRPr="00D93FF9" w:rsidRDefault="0014356A" w:rsidP="003807A1">
      <w:pPr>
        <w:pStyle w:val="BodyText"/>
        <w:spacing w:after="0" w:line="266" w:lineRule="auto"/>
        <w:jc w:val="both"/>
        <w:rPr>
          <w:lang w:val="en-GB"/>
        </w:rPr>
      </w:pPr>
    </w:p>
    <w:p w14:paraId="59DCC6E2" w14:textId="77777777" w:rsidR="0014356A" w:rsidRPr="00D93FF9" w:rsidRDefault="00E811B8" w:rsidP="003807A1">
      <w:pPr>
        <w:pStyle w:val="BodyText"/>
        <w:spacing w:after="0" w:line="266" w:lineRule="auto"/>
        <w:jc w:val="both"/>
        <w:rPr>
          <w:lang w:val="en-GB"/>
        </w:rPr>
      </w:pPr>
      <w:r w:rsidRPr="00D93FF9">
        <w:rPr>
          <w:noProof/>
          <w:lang w:val="en-US"/>
        </w:rPr>
        <w:lastRenderedPageBreak/>
        <mc:AlternateContent>
          <mc:Choice Requires="wps">
            <w:drawing>
              <wp:anchor distT="0" distB="0" distL="114300" distR="114300" simplePos="0" relativeHeight="251682816" behindDoc="0" locked="0" layoutInCell="1" allowOverlap="1" wp14:anchorId="59DCDC51" wp14:editId="59DCDC52">
                <wp:simplePos x="0" y="0"/>
                <wp:positionH relativeFrom="column">
                  <wp:posOffset>4809490</wp:posOffset>
                </wp:positionH>
                <wp:positionV relativeFrom="paragraph">
                  <wp:posOffset>2457450</wp:posOffset>
                </wp:positionV>
                <wp:extent cx="466725" cy="247650"/>
                <wp:effectExtent l="0" t="0" r="9525" b="0"/>
                <wp:wrapNone/>
                <wp:docPr id="850343456" name="Text Box 850343456"/>
                <wp:cNvGraphicFramePr/>
                <a:graphic xmlns:a="http://schemas.openxmlformats.org/drawingml/2006/main">
                  <a:graphicData uri="http://schemas.microsoft.com/office/word/2010/wordprocessingShape">
                    <wps:wsp>
                      <wps:cNvSpPr txBox="1"/>
                      <wps:spPr>
                        <a:xfrm>
                          <a:off x="0" y="0"/>
                          <a:ext cx="466725" cy="247650"/>
                        </a:xfrm>
                        <a:prstGeom prst="rect">
                          <a:avLst/>
                        </a:prstGeom>
                        <a:solidFill>
                          <a:schemeClr val="accent6">
                            <a:lumMod val="20000"/>
                            <a:lumOff val="80000"/>
                          </a:schemeClr>
                        </a:solidFill>
                        <a:ln w="6350">
                          <a:noFill/>
                        </a:ln>
                      </wps:spPr>
                      <wps:txbx>
                        <w:txbxContent>
                          <w:p w14:paraId="59DCDD31" w14:textId="77777777" w:rsidR="00EA5964" w:rsidRPr="001739AF" w:rsidRDefault="00E811B8">
                            <w:pPr>
                              <w:rPr>
                                <w:rFonts w:ascii="Arial" w:hAnsi="Arial" w:cs="Arial"/>
                                <w:b/>
                                <w:bCs/>
                                <w:sz w:val="20"/>
                                <w:szCs w:val="20"/>
                              </w:rPr>
                            </w:pPr>
                            <w:r w:rsidRPr="001739AF">
                              <w:rPr>
                                <w:rFonts w:ascii="Arial" w:hAnsi="Arial" w:cs="Arial"/>
                                <w:b/>
                                <w:bCs/>
                                <w:sz w:val="20"/>
                                <w:szCs w:val="20"/>
                              </w:rPr>
                              <w:t>1.03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DCDC51" id="Text Box 850343456" o:spid="_x0000_s1028" type="#_x0000_t202" style="position:absolute;left:0;text-align:left;margin-left:378.7pt;margin-top:193.5pt;width:36.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" fillcolor="#fde9d9 [665]" stroked="f" strokeweight=".5pt">
                <v:textbox>
                  <w:txbxContent>
                    <w:p w14:paraId="59DCDD31" w14:textId="77777777" w:rsidR="00EA5964" w:rsidRPr="001739AF" w:rsidRDefault="00E811B8">
                      <w:pPr>
                        <w:rPr>
                          <w:rFonts w:ascii="Arial" w:hAnsi="Arial" w:cs="Arial"/>
                          <w:b/>
                          <w:bCs/>
                          <w:sz w:val="20"/>
                          <w:szCs w:val="20"/>
                        </w:rPr>
                      </w:pPr>
                      <w:r w:rsidRPr="001739AF">
                        <w:rPr>
                          <w:rFonts w:ascii="Arial" w:hAnsi="Arial" w:cs="Arial"/>
                          <w:b/>
                          <w:bCs/>
                          <w:sz w:val="20"/>
                          <w:szCs w:val="20"/>
                        </w:rPr>
                        <w:t>1.03</w:t>
                      </w:r>
                    </w:p>
                  </w:txbxContent>
                </v:textbox>
              </v:shape>
            </w:pict>
          </mc:Fallback>
        </mc:AlternateContent>
      </w:r>
      <w:r w:rsidR="0014356A" w:rsidRPr="00D93FF9">
        <w:rPr>
          <w:noProof/>
          <w:lang w:val="en-US"/>
        </w:rPr>
        <w:drawing>
          <wp:inline distT="0" distB="0" distL="0" distR="0" wp14:anchorId="59DCDC53" wp14:editId="2BFE83D5">
            <wp:extent cx="5802468" cy="2990850"/>
            <wp:effectExtent l="0" t="0" r="8255" b="0"/>
            <wp:docPr id="850343457" name="Picture 850343457" descr="The figure shows two measures of root zone salinity (RZS), showing the effect of each averaging assumption. The first graph shows that the average RZS is 1.43 using a simple arithmetic average, while the second graph shows that the water uptake weighted RZS 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43457" name="Picture 850343457" descr="The figure shows two measures of root zone salinity (RZS), showing the effect of each averaging assumption. The first graph shows that the average RZS is 1.43 using a simple arithmetic average, while the second graph shows that the water uptake weighted RZS is 1.03."/>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04705" cy="2992003"/>
                    </a:xfrm>
                    <a:prstGeom prst="rect">
                      <a:avLst/>
                    </a:prstGeom>
                    <a:ln>
                      <a:noFill/>
                    </a:ln>
                    <a:extLst>
                      <a:ext uri="{53640926-AAD7-44D8-BBD7-CCE9431645EC}">
                        <a14:shadowObscured xmlns:a14="http://schemas.microsoft.com/office/drawing/2010/main"/>
                      </a:ext>
                    </a:extLst>
                  </pic:spPr>
                </pic:pic>
              </a:graphicData>
            </a:graphic>
          </wp:inline>
        </w:drawing>
      </w:r>
    </w:p>
    <w:p w14:paraId="59DCC6E4" w14:textId="5B8E86DD" w:rsidR="0014356A" w:rsidRPr="00D93FF9" w:rsidRDefault="007F5AB0" w:rsidP="007F5AB0">
      <w:pPr>
        <w:pStyle w:val="Caption"/>
      </w:pPr>
      <w:bookmarkStart w:id="134" w:name="_Ref81391368"/>
      <w:bookmarkStart w:id="135" w:name="_Toc96518209"/>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9</w:t>
      </w:r>
      <w:r w:rsidR="007B28AC" w:rsidRPr="00D93FF9">
        <w:fldChar w:fldCharType="end"/>
      </w:r>
      <w:bookmarkEnd w:id="134"/>
      <w:r w:rsidRPr="00D93FF9">
        <w:t xml:space="preserve"> </w:t>
      </w:r>
      <w:bookmarkStart w:id="136" w:name="_Hlk153787671"/>
      <w:r w:rsidR="00E811B8" w:rsidRPr="00D93FF9">
        <w:t xml:space="preserve">Two measures of root zone salinity (RZS): average RZS (left) and water uptake </w:t>
      </w:r>
      <w:r w:rsidR="00DE557F" w:rsidRPr="00D93FF9">
        <w:t xml:space="preserve">weighted </w:t>
      </w:r>
      <w:r w:rsidR="00E811B8" w:rsidRPr="00D93FF9">
        <w:t>RZS (right)</w:t>
      </w:r>
      <w:bookmarkEnd w:id="135"/>
      <w:bookmarkEnd w:id="136"/>
    </w:p>
    <w:p w14:paraId="59DCC6E5" w14:textId="15A98603" w:rsidR="00FC6CBB" w:rsidRPr="00D93FF9" w:rsidRDefault="00E811B8" w:rsidP="00FC6CBB">
      <w:pPr>
        <w:rPr>
          <w:sz w:val="18"/>
          <w:szCs w:val="18"/>
          <w:lang w:bidi="en-US"/>
        </w:rPr>
      </w:pPr>
      <w:r w:rsidRPr="00D93FF9">
        <w:rPr>
          <w:sz w:val="18"/>
          <w:szCs w:val="18"/>
          <w:lang w:bidi="en-US"/>
        </w:rPr>
        <w:t>Adapted from D</w:t>
      </w:r>
      <w:r w:rsidR="00712E17" w:rsidRPr="00D93FF9">
        <w:rPr>
          <w:sz w:val="18"/>
          <w:szCs w:val="18"/>
          <w:lang w:bidi="en-US"/>
        </w:rPr>
        <w:t>ERM</w:t>
      </w:r>
      <w:r w:rsidRPr="00D93FF9">
        <w:rPr>
          <w:sz w:val="18"/>
          <w:szCs w:val="18"/>
          <w:lang w:bidi="en-US"/>
        </w:rPr>
        <w:t xml:space="preserve"> </w:t>
      </w:r>
      <w:r w:rsidR="007B37EE" w:rsidRPr="00D93FF9">
        <w:rPr>
          <w:sz w:val="18"/>
          <w:szCs w:val="18"/>
          <w:lang w:bidi="en-US"/>
        </w:rPr>
        <w:t>(</w:t>
      </w:r>
      <w:r w:rsidRPr="00D93FF9">
        <w:rPr>
          <w:sz w:val="18"/>
          <w:szCs w:val="18"/>
          <w:lang w:bidi="en-US"/>
        </w:rPr>
        <w:t>2011</w:t>
      </w:r>
      <w:r w:rsidR="007B37EE" w:rsidRPr="00D93FF9">
        <w:rPr>
          <w:sz w:val="18"/>
          <w:szCs w:val="18"/>
          <w:lang w:bidi="en-US"/>
        </w:rPr>
        <w:t>)</w:t>
      </w:r>
    </w:p>
    <w:p w14:paraId="59DCC6E6" w14:textId="77777777" w:rsidR="00C46175" w:rsidRPr="00D93FF9" w:rsidRDefault="00E811B8" w:rsidP="003807A1">
      <w:pPr>
        <w:pStyle w:val="BodyText"/>
        <w:spacing w:after="0" w:line="266" w:lineRule="auto"/>
        <w:jc w:val="both"/>
        <w:rPr>
          <w:lang w:val="en-GB"/>
        </w:rPr>
      </w:pPr>
      <w:r w:rsidRPr="00D93FF9">
        <w:rPr>
          <w:lang w:val="en-GB"/>
        </w:rPr>
        <w:t>Many Australian soils have increasing salinity and reduced soil porosity, hydraulic conductivity and water storage capacity at depth. Thus</w:t>
      </w:r>
      <w:r w:rsidR="009F5D09" w:rsidRPr="00D93FF9">
        <w:rPr>
          <w:lang w:val="en-GB"/>
        </w:rPr>
        <w:t>,</w:t>
      </w:r>
      <w:r w:rsidRPr="00D93FF9">
        <w:rPr>
          <w:lang w:val="en-GB"/>
        </w:rPr>
        <w:t xml:space="preserve"> a measure of root zone salinity weighted for actual water uptake pattern of plants in the root zone </w:t>
      </w:r>
      <w:r w:rsidR="00DE557F" w:rsidRPr="00D93FF9">
        <w:rPr>
          <w:lang w:val="en-GB"/>
        </w:rPr>
        <w:t>s</w:t>
      </w:r>
      <w:r w:rsidR="00576E84" w:rsidRPr="00D93FF9">
        <w:rPr>
          <w:lang w:val="en-GB"/>
        </w:rPr>
        <w:t>h</w:t>
      </w:r>
      <w:r w:rsidRPr="00D93FF9">
        <w:rPr>
          <w:lang w:val="en-GB"/>
        </w:rPr>
        <w:t>ould provide a more realistic estimate of plant response, since water uptake by roots is not uniform throughout the root zone. The shape of the water uptake pattern with depth varies considerably with frequency of rainfall and/or</w:t>
      </w:r>
      <w:r w:rsidRPr="00D93FF9">
        <w:rPr>
          <w:spacing w:val="-3"/>
          <w:lang w:val="en-GB"/>
        </w:rPr>
        <w:t xml:space="preserve"> </w:t>
      </w:r>
      <w:r w:rsidRPr="00D93FF9">
        <w:rPr>
          <w:lang w:val="en-GB"/>
        </w:rPr>
        <w:t>irrigation.</w:t>
      </w:r>
    </w:p>
    <w:p w14:paraId="59DCC6E8" w14:textId="79B59A72" w:rsidR="009B4D90" w:rsidRPr="00D93FF9" w:rsidRDefault="00E811B8" w:rsidP="003E5521">
      <w:pPr>
        <w:pStyle w:val="CommentText"/>
        <w:jc w:val="both"/>
        <w:rPr>
          <w:sz w:val="22"/>
          <w:szCs w:val="22"/>
          <w:lang w:val="en-GB"/>
        </w:rPr>
      </w:pPr>
      <w:r w:rsidRPr="00D93FF9">
        <w:rPr>
          <w:sz w:val="22"/>
          <w:szCs w:val="22"/>
          <w:lang w:val="en-GB"/>
        </w:rPr>
        <w:t>Salinity usually increases with depth because the amount of water passing below any given soil depth</w:t>
      </w:r>
      <w:r w:rsidR="00DE557F" w:rsidRPr="00D93FF9">
        <w:rPr>
          <w:sz w:val="22"/>
          <w:szCs w:val="22"/>
          <w:lang w:val="en-GB"/>
        </w:rPr>
        <w:t xml:space="preserve"> (i</w:t>
      </w:r>
      <w:r w:rsidR="00D860D4" w:rsidRPr="00D93FF9">
        <w:rPr>
          <w:sz w:val="22"/>
          <w:szCs w:val="22"/>
          <w:lang w:val="en-GB"/>
        </w:rPr>
        <w:t>.</w:t>
      </w:r>
      <w:r w:rsidR="00DE557F" w:rsidRPr="00D93FF9">
        <w:rPr>
          <w:sz w:val="22"/>
          <w:szCs w:val="22"/>
          <w:lang w:val="en-GB"/>
        </w:rPr>
        <w:t>e</w:t>
      </w:r>
      <w:r w:rsidR="00D860D4" w:rsidRPr="00D93FF9">
        <w:rPr>
          <w:sz w:val="22"/>
          <w:szCs w:val="22"/>
          <w:lang w:val="en-GB"/>
        </w:rPr>
        <w:t>.,</w:t>
      </w:r>
      <w:r w:rsidR="00DE557F" w:rsidRPr="00D93FF9">
        <w:rPr>
          <w:sz w:val="22"/>
          <w:szCs w:val="22"/>
          <w:lang w:val="en-GB"/>
        </w:rPr>
        <w:t xml:space="preserve"> the leaching fraction)</w:t>
      </w:r>
      <w:r w:rsidRPr="00D93FF9">
        <w:rPr>
          <w:sz w:val="22"/>
          <w:szCs w:val="22"/>
          <w:lang w:val="en-GB"/>
        </w:rPr>
        <w:t xml:space="preserve"> increases with depth until the bottom of the root zone is reached. At this point the LF remains constant with increasing depth. As the upper part of the root zone has the lower salinity and contributes more of the root water uptake this layer is more important than more saline deeper soil layers. Hence the idea of a water uptake weighted average. </w:t>
      </w:r>
    </w:p>
    <w:p w14:paraId="59DCC6E9" w14:textId="77777777" w:rsidR="00C46175" w:rsidRPr="00D93FF9" w:rsidRDefault="00E811B8" w:rsidP="003807A1">
      <w:pPr>
        <w:pStyle w:val="BodyText"/>
        <w:spacing w:after="0" w:line="266" w:lineRule="auto"/>
        <w:jc w:val="both"/>
        <w:rPr>
          <w:lang w:val="en-GB"/>
        </w:rPr>
      </w:pPr>
      <w:r w:rsidRPr="00D93FF9">
        <w:rPr>
          <w:lang w:val="en-GB"/>
        </w:rPr>
        <w:t>Water uptake weighted root zone salinity, while providing a better representation of root zone salinity where subsoils are saline, may not be sufficiently conservative to account for plant response during dry periods where subsoil water is critical for plant survival.</w:t>
      </w:r>
    </w:p>
    <w:p w14:paraId="59DCC6EA" w14:textId="77777777" w:rsidR="00C46175" w:rsidRPr="00D93FF9" w:rsidRDefault="00E811B8" w:rsidP="00840D10">
      <w:pPr>
        <w:pStyle w:val="Heading5"/>
        <w:rPr>
          <w:lang w:val="en-GB"/>
        </w:rPr>
      </w:pPr>
      <w:r w:rsidRPr="00D93FF9">
        <w:rPr>
          <w:lang w:val="en-GB"/>
        </w:rPr>
        <w:t>Plant response</w:t>
      </w:r>
    </w:p>
    <w:p w14:paraId="59DCC6EB" w14:textId="7BFF8F47" w:rsidR="00C46175" w:rsidRPr="00D93FF9" w:rsidRDefault="00E811B8" w:rsidP="003807A1">
      <w:pPr>
        <w:pStyle w:val="BodyText"/>
        <w:spacing w:after="0" w:line="266" w:lineRule="auto"/>
        <w:jc w:val="both"/>
        <w:rPr>
          <w:lang w:val="en-GB"/>
        </w:rPr>
      </w:pPr>
      <w:r w:rsidRPr="00D93FF9">
        <w:rPr>
          <w:lang w:val="en-GB"/>
        </w:rPr>
        <w:t xml:space="preserve">Most agriculturally important crops respond to total salinity as an osmotic effect. Some woody horticultural species are also susceptible to concentrations of specific ions. When these concentrations reach toxic levels, effects are noticeable in the leaves, particularly the leaf margins. Symptoms include necrotic spots, leaf bronzing and in highly toxic cases, defoliation. This is discussed further in Maas (1986). The ions most often associated with this </w:t>
      </w:r>
      <w:r w:rsidR="00DE557F" w:rsidRPr="00D93FF9">
        <w:rPr>
          <w:lang w:val="en-GB"/>
        </w:rPr>
        <w:t xml:space="preserve">response </w:t>
      </w:r>
      <w:r w:rsidRPr="00D93FF9">
        <w:rPr>
          <w:lang w:val="en-GB"/>
        </w:rPr>
        <w:t>are sodium, chloride and boron (see Sections</w:t>
      </w:r>
      <w:r w:rsidR="00571F12" w:rsidRPr="00D93FF9">
        <w:rPr>
          <w:lang w:val="en-GB"/>
        </w:rPr>
        <w:t xml:space="preserve"> </w:t>
      </w:r>
      <w:r w:rsidR="00571F12" w:rsidRPr="00D93FF9">
        <w:rPr>
          <w:lang w:val="en-GB"/>
        </w:rPr>
        <w:fldChar w:fldCharType="begin"/>
      </w:r>
      <w:r w:rsidR="00571F12" w:rsidRPr="00D93FF9">
        <w:rPr>
          <w:lang w:val="en-GB"/>
        </w:rPr>
        <w:instrText xml:space="preserve"> REF _Ref70410001 \r \h </w:instrText>
      </w:r>
      <w:r w:rsidR="00E727E6" w:rsidRPr="00D93FF9">
        <w:rPr>
          <w:lang w:val="en-GB"/>
        </w:rPr>
        <w:instrText xml:space="preserve"> \* MERGEFORMAT </w:instrText>
      </w:r>
      <w:r w:rsidR="00571F12" w:rsidRPr="00D93FF9">
        <w:rPr>
          <w:lang w:val="en-GB"/>
        </w:rPr>
      </w:r>
      <w:r w:rsidR="00571F12" w:rsidRPr="00D93FF9">
        <w:rPr>
          <w:lang w:val="en-GB"/>
        </w:rPr>
        <w:fldChar w:fldCharType="separate"/>
      </w:r>
      <w:r w:rsidR="0069302C">
        <w:rPr>
          <w:lang w:val="en-GB"/>
        </w:rPr>
        <w:t>4.2</w:t>
      </w:r>
      <w:r w:rsidR="00571F12" w:rsidRPr="00D93FF9">
        <w:rPr>
          <w:lang w:val="en-GB"/>
        </w:rPr>
        <w:fldChar w:fldCharType="end"/>
      </w:r>
      <w:r w:rsidR="00571F12" w:rsidRPr="00D93FF9">
        <w:rPr>
          <w:lang w:val="en-GB"/>
        </w:rPr>
        <w:t xml:space="preserve">, </w:t>
      </w:r>
      <w:r w:rsidR="003602E1" w:rsidRPr="00D93FF9">
        <w:rPr>
          <w:lang w:val="en-GB"/>
        </w:rPr>
        <w:fldChar w:fldCharType="begin"/>
      </w:r>
      <w:r w:rsidR="003602E1" w:rsidRPr="00D93FF9">
        <w:rPr>
          <w:lang w:val="en-GB"/>
        </w:rPr>
        <w:instrText xml:space="preserve"> REF _Ref71721684 \r \h  \* MERGEFORMAT </w:instrText>
      </w:r>
      <w:r w:rsidR="003602E1" w:rsidRPr="00D93FF9">
        <w:rPr>
          <w:lang w:val="en-GB"/>
        </w:rPr>
      </w:r>
      <w:r w:rsidR="003602E1" w:rsidRPr="00D93FF9">
        <w:rPr>
          <w:lang w:val="en-GB"/>
        </w:rPr>
        <w:fldChar w:fldCharType="separate"/>
      </w:r>
      <w:r w:rsidR="0069302C">
        <w:rPr>
          <w:lang w:val="en-GB"/>
        </w:rPr>
        <w:t>4.3</w:t>
      </w:r>
      <w:r w:rsidR="003602E1" w:rsidRPr="00D93FF9">
        <w:rPr>
          <w:lang w:val="en-GB"/>
        </w:rPr>
        <w:fldChar w:fldCharType="end"/>
      </w:r>
      <w:r w:rsidR="003602E1" w:rsidRPr="00D93FF9">
        <w:rPr>
          <w:lang w:val="en-GB"/>
        </w:rPr>
        <w:t xml:space="preserve">, </w:t>
      </w:r>
      <w:r w:rsidR="00571F12" w:rsidRPr="00D93FF9">
        <w:rPr>
          <w:lang w:val="en-GB"/>
        </w:rPr>
        <w:fldChar w:fldCharType="begin"/>
      </w:r>
      <w:r w:rsidR="00571F12" w:rsidRPr="00D93FF9">
        <w:rPr>
          <w:lang w:val="en-GB"/>
        </w:rPr>
        <w:instrText xml:space="preserve"> REF _Ref70500660 \r \h </w:instrText>
      </w:r>
      <w:r w:rsidR="00E727E6" w:rsidRPr="00D93FF9">
        <w:rPr>
          <w:lang w:val="en-GB"/>
        </w:rPr>
        <w:instrText xml:space="preserve"> \* MERGEFORMAT </w:instrText>
      </w:r>
      <w:r w:rsidR="00571F12" w:rsidRPr="00D93FF9">
        <w:rPr>
          <w:lang w:val="en-GB"/>
        </w:rPr>
      </w:r>
      <w:r w:rsidR="00571F12" w:rsidRPr="00D93FF9">
        <w:rPr>
          <w:lang w:val="en-GB"/>
        </w:rPr>
        <w:fldChar w:fldCharType="separate"/>
      </w:r>
      <w:r w:rsidR="0069302C">
        <w:rPr>
          <w:lang w:val="en-GB"/>
        </w:rPr>
        <w:t>5.6</w:t>
      </w:r>
      <w:r w:rsidR="00571F12" w:rsidRPr="00D93FF9">
        <w:rPr>
          <w:lang w:val="en-GB"/>
        </w:rPr>
        <w:fldChar w:fldCharType="end"/>
      </w:r>
      <w:r w:rsidRPr="00D93FF9">
        <w:rPr>
          <w:lang w:val="en-GB"/>
        </w:rPr>
        <w:t>).</w:t>
      </w:r>
    </w:p>
    <w:p w14:paraId="59DCC6EC" w14:textId="55369CCC" w:rsidR="00C46175" w:rsidRPr="00D93FF9" w:rsidRDefault="00E811B8" w:rsidP="00E37A60">
      <w:pPr>
        <w:pStyle w:val="CommentText"/>
        <w:jc w:val="both"/>
        <w:rPr>
          <w:rFonts w:ascii="Arial"/>
          <w:sz w:val="18"/>
          <w:lang w:val="en-GB"/>
        </w:rPr>
      </w:pPr>
      <w:r w:rsidRPr="00D93FF9">
        <w:rPr>
          <w:sz w:val="22"/>
          <w:szCs w:val="22"/>
          <w:lang w:val="en-GB"/>
        </w:rPr>
        <w:t>The figures given for plant salt tolerance in relation to EC</w:t>
      </w:r>
      <w:r w:rsidRPr="00D93FF9">
        <w:rPr>
          <w:sz w:val="22"/>
          <w:szCs w:val="22"/>
          <w:vertAlign w:val="subscript"/>
          <w:lang w:val="en-GB"/>
        </w:rPr>
        <w:t>se</w:t>
      </w:r>
      <w:r w:rsidRPr="00D93FF9">
        <w:rPr>
          <w:sz w:val="22"/>
          <w:szCs w:val="22"/>
          <w:lang w:val="en-GB"/>
        </w:rPr>
        <w:t xml:space="preserve"> will depend on the intended use of the plants. Maas and Hoffman (1977) reviewed worldwide literature published on plant salt tolerance and normalised the data into a uniform framework to allow data to be evaluated and used consistently. They concluded that the </w:t>
      </w:r>
      <w:r w:rsidR="00DE557F" w:rsidRPr="00D93FF9">
        <w:rPr>
          <w:sz w:val="22"/>
          <w:szCs w:val="22"/>
          <w:lang w:val="en-GB"/>
        </w:rPr>
        <w:t xml:space="preserve">usual </w:t>
      </w:r>
      <w:r w:rsidRPr="00D93FF9">
        <w:rPr>
          <w:sz w:val="22"/>
          <w:szCs w:val="22"/>
          <w:lang w:val="en-GB"/>
        </w:rPr>
        <w:t xml:space="preserve">response of plants to salinity is to have no yield reduction up to threshold level, beyond which there is an approximate linear decrease in yield with increasing soil </w:t>
      </w:r>
      <w:r w:rsidRPr="00D93FF9">
        <w:rPr>
          <w:sz w:val="22"/>
          <w:szCs w:val="22"/>
          <w:lang w:val="en-GB"/>
        </w:rPr>
        <w:lastRenderedPageBreak/>
        <w:t>salinity. Groupings were made based on the response of relative yield of a wide range of species to salinity into five salt tolerance categories (see</w:t>
      </w:r>
      <w:r w:rsidR="003E7A86" w:rsidRPr="00D93FF9">
        <w:rPr>
          <w:sz w:val="22"/>
          <w:szCs w:val="22"/>
          <w:lang w:val="en-GB"/>
        </w:rPr>
        <w:t xml:space="preserve"> </w:t>
      </w:r>
      <w:r w:rsidR="003E7A86" w:rsidRPr="00D93FF9">
        <w:rPr>
          <w:sz w:val="22"/>
          <w:szCs w:val="22"/>
          <w:lang w:val="en-GB"/>
        </w:rPr>
        <w:fldChar w:fldCharType="begin"/>
      </w:r>
      <w:r w:rsidR="003E7A86" w:rsidRPr="00D93FF9">
        <w:rPr>
          <w:sz w:val="22"/>
          <w:szCs w:val="22"/>
          <w:lang w:val="en-GB"/>
        </w:rPr>
        <w:instrText xml:space="preserve"> REF _Ref81391416 \h </w:instrText>
      </w:r>
      <w:r w:rsidR="00D93FF9">
        <w:rPr>
          <w:sz w:val="22"/>
          <w:szCs w:val="22"/>
          <w:lang w:val="en-GB"/>
        </w:rPr>
        <w:instrText xml:space="preserve"> \* MERGEFORMAT </w:instrText>
      </w:r>
      <w:r w:rsidR="003E7A86" w:rsidRPr="00D93FF9">
        <w:rPr>
          <w:sz w:val="22"/>
          <w:szCs w:val="22"/>
          <w:lang w:val="en-GB"/>
        </w:rPr>
      </w:r>
      <w:r w:rsidR="003E7A86" w:rsidRPr="00D93FF9">
        <w:rPr>
          <w:sz w:val="22"/>
          <w:szCs w:val="22"/>
          <w:lang w:val="en-GB"/>
        </w:rPr>
        <w:fldChar w:fldCharType="separate"/>
      </w:r>
      <w:r w:rsidR="0069302C" w:rsidRPr="00D93FF9">
        <w:t xml:space="preserve">Figure </w:t>
      </w:r>
      <w:r w:rsidR="0069302C">
        <w:rPr>
          <w:noProof/>
        </w:rPr>
        <w:t>10</w:t>
      </w:r>
      <w:r w:rsidR="003E7A86" w:rsidRPr="00D93FF9">
        <w:rPr>
          <w:sz w:val="22"/>
          <w:szCs w:val="22"/>
          <w:lang w:val="en-GB"/>
        </w:rPr>
        <w:fldChar w:fldCharType="end"/>
      </w:r>
      <w:r w:rsidRPr="00D93FF9">
        <w:rPr>
          <w:sz w:val="22"/>
          <w:szCs w:val="22"/>
          <w:lang w:val="en-GB"/>
        </w:rPr>
        <w:t>).</w:t>
      </w:r>
      <w:r w:rsidR="00E37A60" w:rsidRPr="00D93FF9">
        <w:rPr>
          <w:sz w:val="22"/>
          <w:szCs w:val="22"/>
          <w:lang w:val="en-GB"/>
        </w:rPr>
        <w:t xml:space="preserve"> most of the data was obtained using constant flow or daily watering saline solutions to keep the soil solution EC more or less constant, which is not likely to happen in field conditions. </w:t>
      </w:r>
    </w:p>
    <w:p w14:paraId="59DCC6ED" w14:textId="77777777" w:rsidR="00C46175" w:rsidRPr="00D93FF9" w:rsidRDefault="00C46175" w:rsidP="00C520C9">
      <w:pPr>
        <w:pStyle w:val="BodyText"/>
        <w:spacing w:after="0" w:line="20" w:lineRule="exact"/>
        <w:rPr>
          <w:rFonts w:ascii="Arial"/>
          <w:sz w:val="2"/>
          <w:lang w:val="en-GB"/>
        </w:rPr>
      </w:pPr>
    </w:p>
    <w:p w14:paraId="59DCC6EE" w14:textId="77777777" w:rsidR="00C520C9" w:rsidRPr="00D93FF9" w:rsidRDefault="00C520C9" w:rsidP="00C520C9">
      <w:pPr>
        <w:pStyle w:val="BodyText"/>
        <w:spacing w:after="0" w:line="20" w:lineRule="exact"/>
        <w:rPr>
          <w:rFonts w:ascii="Arial"/>
          <w:sz w:val="2"/>
          <w:lang w:val="en-GB"/>
        </w:rPr>
      </w:pPr>
    </w:p>
    <w:p w14:paraId="59DCC6EF" w14:textId="77777777" w:rsidR="00C46175" w:rsidRPr="00D93FF9" w:rsidRDefault="00E811B8" w:rsidP="003807A1">
      <w:pPr>
        <w:pStyle w:val="BodyText"/>
        <w:spacing w:after="0"/>
        <w:rPr>
          <w:rFonts w:ascii="Arial"/>
          <w:sz w:val="20"/>
          <w:lang w:val="en-GB"/>
        </w:rPr>
      </w:pPr>
      <w:r w:rsidRPr="00D93FF9">
        <w:rPr>
          <w:noProof/>
        </w:rPr>
        <w:drawing>
          <wp:inline distT="0" distB="0" distL="0" distR="0" wp14:anchorId="59DCDC59" wp14:editId="4C999213">
            <wp:extent cx="5000625" cy="3091850"/>
            <wp:effectExtent l="0" t="0" r="0" b="0"/>
            <wp:docPr id="1759459568" name="Picture 1" descr="Relative crop yield in relation to soil root zone salinity for the five plant salt tolerance groupings of Maas and Hoffman (19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59568" name="Picture 1" descr="Relative crop yield in relation to soil root zone salinity for the five plant salt tolerance groupings of Maas and Hoffman (1977). "/>
                    <pic:cNvPicPr/>
                  </pic:nvPicPr>
                  <pic:blipFill>
                    <a:blip r:embed="rId34"/>
                    <a:stretch>
                      <a:fillRect/>
                    </a:stretch>
                  </pic:blipFill>
                  <pic:spPr>
                    <a:xfrm>
                      <a:off x="0" y="0"/>
                      <a:ext cx="5011681" cy="3098686"/>
                    </a:xfrm>
                    <a:prstGeom prst="rect">
                      <a:avLst/>
                    </a:prstGeom>
                  </pic:spPr>
                </pic:pic>
              </a:graphicData>
            </a:graphic>
          </wp:inline>
        </w:drawing>
      </w:r>
    </w:p>
    <w:p w14:paraId="59DCC6F1" w14:textId="77777777" w:rsidR="00C46175" w:rsidRPr="00D93FF9" w:rsidRDefault="00C46175" w:rsidP="003807A1">
      <w:pPr>
        <w:pStyle w:val="BodyText"/>
        <w:spacing w:after="0"/>
        <w:rPr>
          <w:rFonts w:ascii="Arial"/>
          <w:sz w:val="6"/>
          <w:lang w:val="en-GB"/>
        </w:rPr>
      </w:pPr>
    </w:p>
    <w:p w14:paraId="59DCC6F2" w14:textId="4C768A63" w:rsidR="00C46175" w:rsidRPr="00D93FF9" w:rsidRDefault="003E7A86" w:rsidP="003E7A86">
      <w:pPr>
        <w:pStyle w:val="Caption"/>
        <w:rPr>
          <w:rFonts w:ascii="Arial" w:hAnsi="Arial"/>
          <w:sz w:val="18"/>
          <w:lang w:val="en-GB"/>
        </w:rPr>
      </w:pPr>
      <w:bookmarkStart w:id="137" w:name="_Ref81391416"/>
      <w:bookmarkStart w:id="138" w:name="_Toc96518210"/>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10</w:t>
      </w:r>
      <w:r w:rsidR="007B28AC" w:rsidRPr="00D93FF9">
        <w:fldChar w:fldCharType="end"/>
      </w:r>
      <w:bookmarkEnd w:id="137"/>
      <w:r w:rsidRPr="00D93FF9">
        <w:t xml:space="preserve"> </w:t>
      </w:r>
      <w:bookmarkStart w:id="139" w:name="_Hlk153787676"/>
      <w:r w:rsidR="00E90CE0" w:rsidRPr="00D93FF9">
        <w:rPr>
          <w:rFonts w:ascii="Arial" w:hAnsi="Arial"/>
          <w:sz w:val="18"/>
          <w:lang w:val="en-GB"/>
        </w:rPr>
        <w:t>Relative crop yield in relation to soil salinity (EC</w:t>
      </w:r>
      <w:r w:rsidR="00E90CE0" w:rsidRPr="00D93FF9">
        <w:rPr>
          <w:rFonts w:ascii="Arial" w:hAnsi="Arial"/>
          <w:position w:val="-3"/>
          <w:sz w:val="12"/>
          <w:lang w:val="en-GB"/>
        </w:rPr>
        <w:t>se</w:t>
      </w:r>
      <w:r w:rsidR="00E90CE0" w:rsidRPr="00D93FF9">
        <w:rPr>
          <w:rFonts w:ascii="Arial" w:hAnsi="Arial"/>
          <w:sz w:val="18"/>
          <w:lang w:val="en-GB"/>
        </w:rPr>
        <w:t>) for plant salt tolerance groupings of Maas and Hoffman (1977)</w:t>
      </w:r>
      <w:bookmarkEnd w:id="138"/>
      <w:bookmarkEnd w:id="139"/>
    </w:p>
    <w:p w14:paraId="59DCC6F3" w14:textId="77777777" w:rsidR="00C46175" w:rsidRPr="00D93FF9" w:rsidRDefault="00C46175" w:rsidP="003807A1">
      <w:pPr>
        <w:pStyle w:val="BodyText"/>
        <w:spacing w:after="0"/>
        <w:rPr>
          <w:rFonts w:ascii="Arial"/>
          <w:lang w:val="en-GB"/>
        </w:rPr>
      </w:pPr>
    </w:p>
    <w:p w14:paraId="59DCC6F4" w14:textId="5F6702CC" w:rsidR="00E63030" w:rsidRPr="00D93FF9" w:rsidRDefault="00E811B8" w:rsidP="00E37A60">
      <w:pPr>
        <w:pStyle w:val="BodyText"/>
        <w:spacing w:after="0" w:line="266" w:lineRule="auto"/>
        <w:jc w:val="both"/>
        <w:rPr>
          <w:sz w:val="20"/>
          <w:lang w:val="en-GB"/>
        </w:rPr>
      </w:pPr>
      <w:r w:rsidRPr="00D93FF9">
        <w:rPr>
          <w:lang w:val="en-GB"/>
        </w:rPr>
        <w:t>By incorporating irrigation water salinity (EC</w:t>
      </w:r>
      <w:r w:rsidRPr="00D93FF9">
        <w:rPr>
          <w:position w:val="-4"/>
          <w:sz w:val="15"/>
          <w:lang w:val="en-GB"/>
        </w:rPr>
        <w:t>iw</w:t>
      </w:r>
      <w:r w:rsidRPr="00D93FF9">
        <w:rPr>
          <w:lang w:val="en-GB"/>
        </w:rPr>
        <w:t>) with the soil properties calculated previously (LF and EC</w:t>
      </w:r>
      <w:r w:rsidRPr="00D93FF9">
        <w:rPr>
          <w:position w:val="-4"/>
          <w:sz w:val="15"/>
          <w:lang w:val="en-GB"/>
        </w:rPr>
        <w:t>se</w:t>
      </w:r>
      <w:r w:rsidRPr="00D93FF9">
        <w:rPr>
          <w:lang w:val="en-GB"/>
        </w:rPr>
        <w:t xml:space="preserve">), an approximation of the suitability of water quality </w:t>
      </w:r>
      <w:r w:rsidR="005F1259" w:rsidRPr="00D93FF9">
        <w:rPr>
          <w:lang w:val="en-GB"/>
        </w:rPr>
        <w:t xml:space="preserve">for </w:t>
      </w:r>
      <w:r w:rsidRPr="00D93FF9">
        <w:rPr>
          <w:lang w:val="en-GB"/>
        </w:rPr>
        <w:t>a particular irrigation situation can be assessed. This interrelationship is shown in</w:t>
      </w:r>
      <w:r w:rsidR="00062486" w:rsidRPr="00D93FF9">
        <w:rPr>
          <w:lang w:val="en-GB"/>
        </w:rPr>
        <w:t xml:space="preserve"> </w:t>
      </w:r>
      <w:r w:rsidR="00135A48" w:rsidRPr="00D93FF9">
        <w:rPr>
          <w:lang w:val="en-GB"/>
        </w:rPr>
        <w:fldChar w:fldCharType="begin"/>
      </w:r>
      <w:r w:rsidR="00135A48" w:rsidRPr="00D93FF9">
        <w:rPr>
          <w:lang w:val="en-GB"/>
        </w:rPr>
        <w:instrText xml:space="preserve"> REF _Ref81391485 \h </w:instrText>
      </w:r>
      <w:r w:rsidR="00D93FF9">
        <w:rPr>
          <w:lang w:val="en-GB"/>
        </w:rPr>
        <w:instrText xml:space="preserve"> \* MERGEFORMAT </w:instrText>
      </w:r>
      <w:r w:rsidR="00135A48" w:rsidRPr="00D93FF9">
        <w:rPr>
          <w:lang w:val="en-GB"/>
        </w:rPr>
      </w:r>
      <w:r w:rsidR="00135A48" w:rsidRPr="00D93FF9">
        <w:rPr>
          <w:lang w:val="en-GB"/>
        </w:rPr>
        <w:fldChar w:fldCharType="separate"/>
      </w:r>
      <w:r w:rsidR="0069302C" w:rsidRPr="00D93FF9">
        <w:t xml:space="preserve">Figure </w:t>
      </w:r>
      <w:r w:rsidR="0069302C">
        <w:rPr>
          <w:noProof/>
        </w:rPr>
        <w:t>11</w:t>
      </w:r>
      <w:r w:rsidR="00135A48" w:rsidRPr="00D93FF9">
        <w:rPr>
          <w:lang w:val="en-GB"/>
        </w:rPr>
        <w:fldChar w:fldCharType="end"/>
      </w:r>
      <w:r w:rsidRPr="00D93FF9">
        <w:rPr>
          <w:lang w:val="en-GB"/>
        </w:rPr>
        <w:t>. This figure (modified from Rhoades 19</w:t>
      </w:r>
      <w:r w:rsidR="007D1B3F" w:rsidRPr="00D93FF9">
        <w:rPr>
          <w:lang w:val="en-GB"/>
        </w:rPr>
        <w:t>8</w:t>
      </w:r>
      <w:r w:rsidRPr="00D93FF9">
        <w:rPr>
          <w:lang w:val="en-GB"/>
        </w:rPr>
        <w:t>2) illustrates that</w:t>
      </w:r>
      <w:r w:rsidR="005F1259" w:rsidRPr="00D93FF9">
        <w:rPr>
          <w:lang w:val="en-GB"/>
        </w:rPr>
        <w:t xml:space="preserve"> the</w:t>
      </w:r>
      <w:r w:rsidRPr="00D93FF9">
        <w:rPr>
          <w:lang w:val="en-GB"/>
        </w:rPr>
        <w:t xml:space="preserve"> leaching fraction </w:t>
      </w:r>
      <w:r w:rsidR="005F1259" w:rsidRPr="00D93FF9">
        <w:rPr>
          <w:lang w:val="en-GB"/>
        </w:rPr>
        <w:t>has a profound influence on the</w:t>
      </w:r>
      <w:r w:rsidRPr="00D93FF9">
        <w:rPr>
          <w:lang w:val="en-GB"/>
        </w:rPr>
        <w:t xml:space="preserve"> root zone salinity, </w:t>
      </w:r>
      <w:r w:rsidR="005F1259" w:rsidRPr="00D93FF9">
        <w:rPr>
          <w:lang w:val="en-GB"/>
        </w:rPr>
        <w:t xml:space="preserve">the type of </w:t>
      </w:r>
      <w:r w:rsidRPr="00D93FF9">
        <w:rPr>
          <w:lang w:val="en-GB"/>
        </w:rPr>
        <w:t xml:space="preserve">plants </w:t>
      </w:r>
      <w:r w:rsidR="005F1259" w:rsidRPr="00D93FF9">
        <w:rPr>
          <w:lang w:val="en-GB"/>
        </w:rPr>
        <w:t xml:space="preserve">that </w:t>
      </w:r>
      <w:r w:rsidRPr="00D93FF9">
        <w:rPr>
          <w:lang w:val="en-GB"/>
        </w:rPr>
        <w:t>can be</w:t>
      </w:r>
      <w:r w:rsidRPr="00D93FF9">
        <w:rPr>
          <w:spacing w:val="1"/>
          <w:lang w:val="en-GB"/>
        </w:rPr>
        <w:t xml:space="preserve"> </w:t>
      </w:r>
      <w:r w:rsidRPr="00D93FF9">
        <w:rPr>
          <w:lang w:val="en-GB"/>
        </w:rPr>
        <w:t xml:space="preserve">grown. In this figure, the </w:t>
      </w:r>
      <w:r w:rsidRPr="00D93FF9">
        <w:t>EC</w:t>
      </w:r>
      <w:r w:rsidRPr="00D93FF9">
        <w:rPr>
          <w:vertAlign w:val="subscript"/>
        </w:rPr>
        <w:t>se</w:t>
      </w:r>
      <w:r w:rsidRPr="00D93FF9">
        <w:t xml:space="preserve"> -EC combinations to left of any LF line specify acceptable root zone salinities for the different plant types. The EC</w:t>
      </w:r>
      <w:r w:rsidRPr="00D93FF9">
        <w:rPr>
          <w:vertAlign w:val="subscript"/>
        </w:rPr>
        <w:t>se</w:t>
      </w:r>
      <w:r w:rsidRPr="00D93FF9">
        <w:t xml:space="preserve"> range alone (y-axis) specifies the acceptable soil salinity for each type of plant category, eg 5 to 8 dS/m for tolerant plants. Then within any given EC</w:t>
      </w:r>
      <w:r w:rsidRPr="00D93FF9">
        <w:rPr>
          <w:vertAlign w:val="subscript"/>
        </w:rPr>
        <w:t>se</w:t>
      </w:r>
      <w:r w:rsidRPr="00D93FF9">
        <w:t xml:space="preserve"> range, the higher the LF the higher the acceptable irrigation water salinity. This means that very saline water </w:t>
      </w:r>
      <w:r w:rsidR="005F1259" w:rsidRPr="00D93FF9">
        <w:t>(eg EC&gt;6dS/m)</w:t>
      </w:r>
      <w:r w:rsidR="004F3E3D" w:rsidRPr="00D93FF9">
        <w:t xml:space="preserve"> </w:t>
      </w:r>
      <w:r w:rsidRPr="00D93FF9">
        <w:t xml:space="preserve">can be used on tolerant plants only if the LF is 0.5 or more. </w:t>
      </w:r>
    </w:p>
    <w:p w14:paraId="59DCC6F5" w14:textId="77777777" w:rsidR="00C46175" w:rsidRPr="00D93FF9" w:rsidRDefault="00E811B8" w:rsidP="003807A1">
      <w:pPr>
        <w:pStyle w:val="BodyText"/>
        <w:spacing w:after="0"/>
        <w:rPr>
          <w:sz w:val="20"/>
          <w:lang w:val="en-GB"/>
        </w:rPr>
      </w:pPr>
      <w:r w:rsidRPr="00D93FF9">
        <w:rPr>
          <w:noProof/>
        </w:rPr>
        <w:lastRenderedPageBreak/>
        <w:drawing>
          <wp:inline distT="0" distB="0" distL="0" distR="0" wp14:anchorId="59DCDC5D" wp14:editId="3A8F29D0">
            <wp:extent cx="4210050" cy="4112491"/>
            <wp:effectExtent l="0" t="0" r="0" b="2540"/>
            <wp:docPr id="850343458" name="Picture 850343458" descr="Interrelationships between irrigation water salinity, root zone salinity, leaching fraction and plant salt tolerance. This illustrates that an approximation of the suitability of water quality for a particular irrigation situation can be assessed by incorporating irrigation water salinity with the soil properties calculated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43458" name="Picture 850343458" descr="Interrelationships between irrigation water salinity, root zone salinity, leaching fraction and plant salt tolerance. This illustrates that an approximation of the suitability of water quality for a particular irrigation situation can be assessed by incorporating irrigation water salinity with the soil properties calculated previously."/>
                    <pic:cNvPicPr/>
                  </pic:nvPicPr>
                  <pic:blipFill>
                    <a:blip r:embed="rId35"/>
                    <a:stretch>
                      <a:fillRect/>
                    </a:stretch>
                  </pic:blipFill>
                  <pic:spPr>
                    <a:xfrm>
                      <a:off x="0" y="0"/>
                      <a:ext cx="4216280" cy="4118576"/>
                    </a:xfrm>
                    <a:prstGeom prst="rect">
                      <a:avLst/>
                    </a:prstGeom>
                  </pic:spPr>
                </pic:pic>
              </a:graphicData>
            </a:graphic>
          </wp:inline>
        </w:drawing>
      </w:r>
    </w:p>
    <w:p w14:paraId="59DCC6F7" w14:textId="602AEE2F" w:rsidR="00C46175" w:rsidRPr="00D93FF9" w:rsidRDefault="00135A48" w:rsidP="00135A48">
      <w:pPr>
        <w:pStyle w:val="Caption"/>
        <w:rPr>
          <w:sz w:val="16"/>
          <w:lang w:val="en-GB"/>
        </w:rPr>
      </w:pPr>
      <w:bookmarkStart w:id="140" w:name="_Ref81391485"/>
      <w:bookmarkStart w:id="141" w:name="_Toc96518211"/>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11</w:t>
      </w:r>
      <w:r w:rsidR="007B28AC" w:rsidRPr="00D93FF9">
        <w:fldChar w:fldCharType="end"/>
      </w:r>
      <w:bookmarkEnd w:id="140"/>
      <w:r w:rsidRPr="00D93FF9">
        <w:t xml:space="preserve"> </w:t>
      </w:r>
      <w:bookmarkStart w:id="142" w:name="_Hlk153787685"/>
      <w:r w:rsidR="00E90CE0" w:rsidRPr="00D93FF9">
        <w:rPr>
          <w:lang w:val="en-GB"/>
        </w:rPr>
        <w:t>Interrelationships between irrigation water salinity, root zone salinity, leaching fraction and plant salt</w:t>
      </w:r>
      <w:r w:rsidR="0045118D" w:rsidRPr="00D93FF9">
        <w:rPr>
          <w:lang w:val="en-GB"/>
        </w:rPr>
        <w:t xml:space="preserve"> </w:t>
      </w:r>
      <w:r w:rsidR="00E90CE0" w:rsidRPr="00D93FF9">
        <w:rPr>
          <w:lang w:val="en-GB"/>
        </w:rPr>
        <w:t>tolerance</w:t>
      </w:r>
      <w:bookmarkEnd w:id="141"/>
      <w:r w:rsidR="00E90CE0" w:rsidRPr="00D93FF9">
        <w:rPr>
          <w:lang w:val="en-GB"/>
        </w:rPr>
        <w:t xml:space="preserve"> </w:t>
      </w:r>
      <w:bookmarkStart w:id="143" w:name="Factors_affecting_the_expression_of_sali"/>
      <w:bookmarkEnd w:id="142"/>
      <w:bookmarkEnd w:id="143"/>
    </w:p>
    <w:p w14:paraId="59DCC6F8" w14:textId="77777777" w:rsidR="00E63030" w:rsidRPr="00D93FF9" w:rsidRDefault="00E811B8" w:rsidP="003807A1">
      <w:pPr>
        <w:pStyle w:val="BodyText"/>
        <w:spacing w:after="0" w:line="280" w:lineRule="exact"/>
        <w:jc w:val="both"/>
        <w:rPr>
          <w:sz w:val="18"/>
          <w:szCs w:val="18"/>
          <w:lang w:val="en-GB"/>
        </w:rPr>
      </w:pPr>
      <w:r w:rsidRPr="00D93FF9">
        <w:rPr>
          <w:sz w:val="18"/>
          <w:szCs w:val="18"/>
          <w:lang w:val="en-GB"/>
        </w:rPr>
        <w:t>Modified from Rhoades 1982</w:t>
      </w:r>
    </w:p>
    <w:p w14:paraId="59DCC6F9" w14:textId="77777777" w:rsidR="0007629D" w:rsidRPr="00D93FF9" w:rsidRDefault="0007629D" w:rsidP="003807A1">
      <w:pPr>
        <w:pStyle w:val="BodyText"/>
        <w:spacing w:after="0" w:line="280" w:lineRule="exact"/>
        <w:jc w:val="both"/>
        <w:rPr>
          <w:lang w:val="en-GB"/>
        </w:rPr>
      </w:pPr>
    </w:p>
    <w:p w14:paraId="59DCC6FA" w14:textId="728515B0" w:rsidR="00C46175" w:rsidRPr="00D93FF9" w:rsidRDefault="00062486" w:rsidP="007B54B3">
      <w:pPr>
        <w:pStyle w:val="BodyText"/>
        <w:spacing w:after="0" w:line="266" w:lineRule="auto"/>
        <w:jc w:val="both"/>
        <w:rPr>
          <w:lang w:val="en-GB"/>
        </w:rPr>
      </w:pPr>
      <w:r w:rsidRPr="00D93FF9">
        <w:rPr>
          <w:lang w:val="en-GB"/>
        </w:rPr>
        <w:fldChar w:fldCharType="begin"/>
      </w:r>
      <w:r w:rsidRPr="00D93FF9">
        <w:rPr>
          <w:lang w:val="en-GB"/>
        </w:rPr>
        <w:instrText xml:space="preserve"> REF _Ref81391734 \h </w:instrText>
      </w:r>
      <w:r w:rsidR="00D93FF9">
        <w:rPr>
          <w:lang w:val="en-GB"/>
        </w:rPr>
        <w:instrText xml:space="preserve"> \* MERGEFORMAT </w:instrText>
      </w:r>
      <w:r w:rsidRPr="00D93FF9">
        <w:rPr>
          <w:lang w:val="en-GB"/>
        </w:rPr>
      </w:r>
      <w:r w:rsidRPr="00D93FF9">
        <w:rPr>
          <w:lang w:val="en-GB"/>
        </w:rPr>
        <w:fldChar w:fldCharType="separate"/>
      </w:r>
      <w:r w:rsidR="0069302C" w:rsidRPr="00D93FF9">
        <w:t xml:space="preserve">Table </w:t>
      </w:r>
      <w:r w:rsidR="0069302C">
        <w:rPr>
          <w:noProof/>
        </w:rPr>
        <w:t>14</w:t>
      </w:r>
      <w:r w:rsidRPr="00D93FF9">
        <w:rPr>
          <w:lang w:val="en-GB"/>
        </w:rPr>
        <w:fldChar w:fldCharType="end"/>
      </w:r>
      <w:r w:rsidRPr="00D93FF9">
        <w:rPr>
          <w:lang w:val="en-GB"/>
        </w:rPr>
        <w:t xml:space="preserve"> </w:t>
      </w:r>
      <w:r w:rsidR="00574F7D" w:rsidRPr="00D93FF9">
        <w:rPr>
          <w:lang w:val="en-GB"/>
        </w:rPr>
        <w:t>is</w:t>
      </w:r>
      <w:r w:rsidR="00E90CE0" w:rsidRPr="00D93FF9">
        <w:rPr>
          <w:lang w:val="en-GB"/>
        </w:rPr>
        <w:t xml:space="preserve"> a compilation of plant salt tolerance data, including threshold salinity values and rate of yield decline with increasing salinity. </w:t>
      </w:r>
      <w:r w:rsidRPr="00D93FF9">
        <w:rPr>
          <w:lang w:val="en-GB"/>
        </w:rPr>
        <w:fldChar w:fldCharType="begin"/>
      </w:r>
      <w:r w:rsidRPr="00D93FF9">
        <w:rPr>
          <w:lang w:val="en-GB"/>
        </w:rPr>
        <w:instrText xml:space="preserve"> REF _Ref81391747 \h </w:instrText>
      </w:r>
      <w:r w:rsidR="00D93FF9">
        <w:rPr>
          <w:lang w:val="en-GB"/>
        </w:rPr>
        <w:instrText xml:space="preserve"> \* MERGEFORMAT </w:instrText>
      </w:r>
      <w:r w:rsidRPr="00D93FF9">
        <w:rPr>
          <w:lang w:val="en-GB"/>
        </w:rPr>
      </w:r>
      <w:r w:rsidRPr="00D93FF9">
        <w:rPr>
          <w:lang w:val="en-GB"/>
        </w:rPr>
        <w:fldChar w:fldCharType="separate"/>
      </w:r>
      <w:r w:rsidR="0069302C" w:rsidRPr="00D93FF9">
        <w:t xml:space="preserve">Table </w:t>
      </w:r>
      <w:r w:rsidR="0069302C">
        <w:rPr>
          <w:noProof/>
        </w:rPr>
        <w:t>15</w:t>
      </w:r>
      <w:r w:rsidRPr="00D93FF9">
        <w:rPr>
          <w:lang w:val="en-GB"/>
        </w:rPr>
        <w:fldChar w:fldCharType="end"/>
      </w:r>
      <w:r w:rsidRPr="00D93FF9">
        <w:rPr>
          <w:lang w:val="en-GB"/>
        </w:rPr>
        <w:t xml:space="preserve"> </w:t>
      </w:r>
      <w:r w:rsidR="00574F7D" w:rsidRPr="00D93FF9">
        <w:rPr>
          <w:lang w:val="en-GB"/>
        </w:rPr>
        <w:t>includes salinity threshold values as well as EC</w:t>
      </w:r>
      <w:r w:rsidR="00574F7D" w:rsidRPr="00D93FF9">
        <w:rPr>
          <w:vertAlign w:val="subscript"/>
          <w:lang w:val="en-GB"/>
        </w:rPr>
        <w:t>i</w:t>
      </w:r>
      <w:r w:rsidR="00574F7D" w:rsidRPr="00D93FF9">
        <w:rPr>
          <w:lang w:val="en-GB"/>
        </w:rPr>
        <w:t xml:space="preserve"> at different leaching fractions. </w:t>
      </w:r>
      <w:r w:rsidR="00363E71" w:rsidRPr="00D93FF9">
        <w:rPr>
          <w:lang w:val="en-GB"/>
        </w:rPr>
        <w:t>Leaching Fraction and EC</w:t>
      </w:r>
      <w:r w:rsidR="00F079D5" w:rsidRPr="00D93FF9">
        <w:rPr>
          <w:vertAlign w:val="subscript"/>
          <w:lang w:val="en-GB"/>
        </w:rPr>
        <w:t>se</w:t>
      </w:r>
      <w:r w:rsidR="00363E71" w:rsidRPr="00D93FF9">
        <w:rPr>
          <w:lang w:val="en-GB"/>
        </w:rPr>
        <w:t xml:space="preserve"> define the acceptable irrigation salinity for any irrigation depth (in mm/yr) and climate. </w:t>
      </w:r>
      <w:r w:rsidR="00E90CE0" w:rsidRPr="00D93FF9">
        <w:rPr>
          <w:lang w:val="en-GB"/>
        </w:rPr>
        <w:t>The data are correct for uniformly salinised soils in which the dominant anion is chloride. Th</w:t>
      </w:r>
      <w:r w:rsidR="00574F7D" w:rsidRPr="00D93FF9">
        <w:rPr>
          <w:lang w:val="en-GB"/>
        </w:rPr>
        <w:t>ese</w:t>
      </w:r>
      <w:r w:rsidR="00E90CE0" w:rsidRPr="00D93FF9">
        <w:rPr>
          <w:lang w:val="en-GB"/>
        </w:rPr>
        <w:t xml:space="preserve"> table</w:t>
      </w:r>
      <w:r w:rsidR="00574F7D" w:rsidRPr="00D93FF9">
        <w:rPr>
          <w:lang w:val="en-GB"/>
        </w:rPr>
        <w:t>s</w:t>
      </w:r>
      <w:r w:rsidR="00E90CE0" w:rsidRPr="00D93FF9">
        <w:rPr>
          <w:lang w:val="en-GB"/>
        </w:rPr>
        <w:t xml:space="preserve"> provide a guideline of plant suitability based on </w:t>
      </w:r>
      <w:r w:rsidR="00E90CE0" w:rsidRPr="00D93FF9">
        <w:rPr>
          <w:b/>
          <w:bCs/>
          <w:lang w:val="en-GB"/>
        </w:rPr>
        <w:t>average</w:t>
      </w:r>
      <w:r w:rsidR="00E90CE0" w:rsidRPr="00D93FF9">
        <w:rPr>
          <w:lang w:val="en-GB"/>
        </w:rPr>
        <w:t xml:space="preserve"> root zone salinity (EC</w:t>
      </w:r>
      <w:r w:rsidR="00E90CE0" w:rsidRPr="00D93FF9">
        <w:rPr>
          <w:position w:val="-4"/>
          <w:sz w:val="15"/>
          <w:lang w:val="en-GB"/>
        </w:rPr>
        <w:t>se</w:t>
      </w:r>
      <w:r w:rsidR="00E90CE0" w:rsidRPr="00D93FF9">
        <w:rPr>
          <w:lang w:val="en-GB"/>
        </w:rPr>
        <w:t xml:space="preserve">), which was </w:t>
      </w:r>
      <w:r w:rsidR="00616106" w:rsidRPr="00D93FF9">
        <w:rPr>
          <w:lang w:val="en-GB"/>
        </w:rPr>
        <w:t>discussed previously</w:t>
      </w:r>
      <w:r w:rsidR="00E90CE0" w:rsidRPr="00D93FF9">
        <w:rPr>
          <w:lang w:val="en-GB"/>
        </w:rPr>
        <w:t xml:space="preserve">. </w:t>
      </w:r>
      <w:r w:rsidR="00F079D5" w:rsidRPr="00D93FF9">
        <w:rPr>
          <w:lang w:val="en-GB"/>
        </w:rPr>
        <w:t>This</w:t>
      </w:r>
      <w:r w:rsidR="00E90CE0" w:rsidRPr="00D93FF9">
        <w:rPr>
          <w:lang w:val="en-GB"/>
        </w:rPr>
        <w:t xml:space="preserve"> table is derived from data currently available in the literature, but preference should be given to locally derived data where available.</w:t>
      </w:r>
    </w:p>
    <w:p w14:paraId="59DCC6FB" w14:textId="77777777" w:rsidR="00574F7D" w:rsidRPr="00D93FF9" w:rsidRDefault="00574F7D" w:rsidP="003807A1">
      <w:pPr>
        <w:pStyle w:val="BodyText"/>
        <w:spacing w:after="0"/>
        <w:rPr>
          <w:lang w:val="en-GB"/>
        </w:rPr>
      </w:pPr>
    </w:p>
    <w:p w14:paraId="59DCC6FC" w14:textId="77777777" w:rsidR="002814E9" w:rsidRPr="00D93FF9" w:rsidRDefault="00E811B8" w:rsidP="003807A1">
      <w:pPr>
        <w:pStyle w:val="BodyText"/>
        <w:spacing w:after="0"/>
        <w:rPr>
          <w:lang w:val="en-GB"/>
        </w:rPr>
      </w:pPr>
      <w:r w:rsidRPr="00D93FF9">
        <w:rPr>
          <w:lang w:val="en-GB"/>
        </w:rPr>
        <w:t>To determine actual yield response from the table, the following relationship is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700" w14:textId="77777777" w:rsidTr="00BF0967">
        <w:tc>
          <w:tcPr>
            <w:tcW w:w="4505" w:type="dxa"/>
          </w:tcPr>
          <w:p w14:paraId="59DCC6FD" w14:textId="77777777" w:rsidR="00BF0967" w:rsidRPr="00D93FF9" w:rsidRDefault="00735642" w:rsidP="003807A1">
            <w:pPr>
              <w:pStyle w:val="BodyText"/>
              <w:spacing w:after="0"/>
              <w:rPr>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Y</m:t>
                    </m:r>
                  </m:e>
                  <m:sub>
                    <m:r>
                      <m:rPr>
                        <m:sty m:val="p"/>
                      </m:rPr>
                      <w:rPr>
                        <w:rFonts w:ascii="Cambria Math" w:hAnsi="Cambria Math"/>
                        <w:sz w:val="22"/>
                        <w:szCs w:val="22"/>
                        <w:lang w:val="en-GB"/>
                      </w:rPr>
                      <m:t>r</m:t>
                    </m:r>
                  </m:sub>
                </m:sSub>
                <m:r>
                  <m:rPr>
                    <m:sty m:val="p"/>
                  </m:rPr>
                  <w:rPr>
                    <w:rFonts w:ascii="Cambria Math" w:hAnsi="Cambria Math"/>
                    <w:sz w:val="22"/>
                    <w:szCs w:val="22"/>
                    <w:lang w:val="en-GB"/>
                  </w:rPr>
                  <m:t>=100-B</m:t>
                </m:r>
                <m:d>
                  <m:dPr>
                    <m:ctrlPr>
                      <w:rPr>
                        <w:rFonts w:ascii="Cambria Math" w:hAnsi="Cambria Math"/>
                        <w:iCs/>
                        <w:sz w:val="22"/>
                        <w:szCs w:val="22"/>
                        <w:lang w:val="en-GB"/>
                      </w:rPr>
                    </m:ctrlPr>
                  </m:dPr>
                  <m:e>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se</m:t>
                        </m:r>
                      </m:sub>
                    </m:sSub>
                    <m:r>
                      <m:rPr>
                        <m:sty m:val="p"/>
                      </m:rPr>
                      <w:rPr>
                        <w:rFonts w:ascii="Cambria Math" w:hAnsi="Cambria Math"/>
                        <w:sz w:val="22"/>
                        <w:szCs w:val="22"/>
                        <w:lang w:val="en-GB"/>
                      </w:rPr>
                      <m:t>-A</m:t>
                    </m:r>
                  </m:e>
                </m:d>
              </m:oMath>
            </m:oMathPara>
          </w:p>
        </w:tc>
        <w:tc>
          <w:tcPr>
            <w:tcW w:w="4505" w:type="dxa"/>
          </w:tcPr>
          <w:p w14:paraId="59DCC6FE" w14:textId="43160DD4" w:rsidR="00BF0967" w:rsidRPr="00D93FF9" w:rsidRDefault="00E811B8" w:rsidP="00BF0967">
            <w:pPr>
              <w:pStyle w:val="Caption"/>
              <w:jc w:val="right"/>
              <w:rPr>
                <w:rFonts w:asciiTheme="minorHAnsi" w:hAnsiTheme="minorHAnsi"/>
                <w:sz w:val="22"/>
                <w:szCs w:val="22"/>
                <w:lang w:val="en-GB"/>
              </w:rPr>
            </w:pPr>
            <w:bookmarkStart w:id="144" w:name="_Ref70513062"/>
            <w:r w:rsidRPr="00D93FF9">
              <w:rPr>
                <w:rFonts w:asciiTheme="minorHAnsi" w:hAnsiTheme="minorHAnsi"/>
                <w:sz w:val="22"/>
                <w:szCs w:val="22"/>
              </w:rPr>
              <w:t xml:space="preserve">Equation </w:t>
            </w:r>
            <w:r w:rsidRPr="00D93FF9">
              <w:rPr>
                <w:szCs w:val="22"/>
              </w:rPr>
              <w:fldChar w:fldCharType="begin"/>
            </w:r>
            <w:r w:rsidRPr="00D93FF9">
              <w:rPr>
                <w:rFonts w:asciiTheme="minorHAnsi" w:hAnsiTheme="minorHAnsi"/>
                <w:sz w:val="22"/>
                <w:szCs w:val="22"/>
              </w:rPr>
              <w:instrText xml:space="preserve"> SEQ Equation \* ARABIC </w:instrText>
            </w:r>
            <w:r w:rsidRPr="00D93FF9">
              <w:rPr>
                <w:szCs w:val="22"/>
              </w:rPr>
              <w:fldChar w:fldCharType="separate"/>
            </w:r>
            <w:r w:rsidR="0069302C">
              <w:rPr>
                <w:rFonts w:asciiTheme="minorHAnsi" w:hAnsiTheme="minorHAnsi"/>
                <w:noProof/>
                <w:sz w:val="22"/>
                <w:szCs w:val="22"/>
              </w:rPr>
              <w:t>23</w:t>
            </w:r>
            <w:r w:rsidRPr="00D93FF9">
              <w:rPr>
                <w:szCs w:val="22"/>
              </w:rPr>
              <w:fldChar w:fldCharType="end"/>
            </w:r>
            <w:bookmarkEnd w:id="144"/>
          </w:p>
          <w:p w14:paraId="59DCC6FF" w14:textId="77777777" w:rsidR="00BF0967" w:rsidRPr="00D93FF9" w:rsidRDefault="00BF0967" w:rsidP="003807A1">
            <w:pPr>
              <w:pStyle w:val="BodyText"/>
              <w:spacing w:after="0"/>
              <w:rPr>
                <w:lang w:val="en-GB"/>
              </w:rPr>
            </w:pPr>
          </w:p>
        </w:tc>
      </w:tr>
    </w:tbl>
    <w:p w14:paraId="59DCC701" w14:textId="77777777" w:rsidR="00BF0967" w:rsidRPr="00D93FF9" w:rsidRDefault="00BF0967" w:rsidP="003807A1">
      <w:pPr>
        <w:pStyle w:val="BodyText"/>
        <w:spacing w:after="0"/>
        <w:rPr>
          <w:lang w:val="en-GB"/>
        </w:rPr>
      </w:pPr>
    </w:p>
    <w:p w14:paraId="59DCC702" w14:textId="77777777" w:rsidR="00C46175" w:rsidRPr="00D93FF9" w:rsidRDefault="00E811B8" w:rsidP="003807A1">
      <w:pPr>
        <w:pStyle w:val="BodyText"/>
        <w:spacing w:after="0"/>
        <w:rPr>
          <w:lang w:val="en-GB"/>
        </w:rPr>
      </w:pPr>
      <w:r w:rsidRPr="00D93FF9">
        <w:rPr>
          <w:lang w:val="en-GB"/>
        </w:rPr>
        <w:t>where:</w:t>
      </w:r>
    </w:p>
    <w:p w14:paraId="59DCC703" w14:textId="77777777" w:rsidR="00C46175" w:rsidRPr="00D93FF9" w:rsidRDefault="00E811B8" w:rsidP="003807A1">
      <w:pPr>
        <w:pStyle w:val="BodyText"/>
        <w:spacing w:after="0"/>
        <w:rPr>
          <w:lang w:val="en-GB"/>
        </w:rPr>
      </w:pPr>
      <w:r w:rsidRPr="00D93FF9">
        <w:rPr>
          <w:lang w:val="en-GB"/>
        </w:rPr>
        <w:t>Y</w:t>
      </w:r>
      <w:r w:rsidRPr="00D93FF9">
        <w:rPr>
          <w:position w:val="-4"/>
          <w:sz w:val="15"/>
          <w:lang w:val="en-GB"/>
        </w:rPr>
        <w:t xml:space="preserve">r </w:t>
      </w:r>
      <w:r w:rsidRPr="00D93FF9">
        <w:rPr>
          <w:lang w:val="en-GB"/>
        </w:rPr>
        <w:t>= relative yield</w:t>
      </w:r>
      <w:r w:rsidR="00C45C89" w:rsidRPr="00D93FF9">
        <w:rPr>
          <w:lang w:val="en-GB"/>
        </w:rPr>
        <w:t xml:space="preserve"> (in %)</w:t>
      </w:r>
    </w:p>
    <w:p w14:paraId="59DCC705" w14:textId="77777777" w:rsidR="00C46175" w:rsidRPr="00D93FF9" w:rsidRDefault="00E811B8" w:rsidP="003807A1">
      <w:pPr>
        <w:pStyle w:val="BodyText"/>
        <w:spacing w:after="0"/>
        <w:rPr>
          <w:lang w:val="en-GB"/>
        </w:rPr>
      </w:pPr>
      <w:r w:rsidRPr="00D93FF9">
        <w:rPr>
          <w:lang w:val="en-GB"/>
        </w:rPr>
        <w:t>A = the salinity threshold</w:t>
      </w:r>
      <w:r w:rsidR="00B0769E" w:rsidRPr="00D93FF9">
        <w:rPr>
          <w:lang w:val="en-GB"/>
        </w:rPr>
        <w:t xml:space="preserve"> (in dS/m) and</w:t>
      </w:r>
    </w:p>
    <w:p w14:paraId="59DCC706" w14:textId="5CE5DC40" w:rsidR="00D63D7F" w:rsidRPr="00D93FF9" w:rsidRDefault="00E811B8" w:rsidP="00D63D7F">
      <w:pPr>
        <w:pStyle w:val="BodyText"/>
        <w:tabs>
          <w:tab w:val="left" w:pos="636"/>
        </w:tabs>
        <w:spacing w:after="0" w:line="266" w:lineRule="auto"/>
        <w:rPr>
          <w:lang w:val="en-GB"/>
        </w:rPr>
      </w:pPr>
      <w:r w:rsidRPr="00D93FF9">
        <w:rPr>
          <w:lang w:val="en-GB"/>
        </w:rPr>
        <w:t>B = the percentage productivity decrease per dS/m increase above the threshold value (from</w:t>
      </w:r>
      <w:r w:rsidR="005E46B1" w:rsidRPr="00D93FF9">
        <w:rPr>
          <w:lang w:val="en-GB"/>
        </w:rPr>
        <w:t xml:space="preserve"> </w:t>
      </w:r>
      <w:r w:rsidR="005E46B1" w:rsidRPr="00D93FF9">
        <w:rPr>
          <w:lang w:val="en-GB"/>
        </w:rPr>
        <w:fldChar w:fldCharType="begin"/>
      </w:r>
      <w:r w:rsidR="005E46B1" w:rsidRPr="00D93FF9">
        <w:rPr>
          <w:lang w:val="en-GB"/>
        </w:rPr>
        <w:instrText xml:space="preserve"> REF _Ref81391734 \h </w:instrText>
      </w:r>
      <w:r w:rsidR="00D93FF9">
        <w:rPr>
          <w:lang w:val="en-GB"/>
        </w:rPr>
        <w:instrText xml:space="preserve"> \* MERGEFORMAT </w:instrText>
      </w:r>
      <w:r w:rsidR="005E46B1" w:rsidRPr="00D93FF9">
        <w:rPr>
          <w:lang w:val="en-GB"/>
        </w:rPr>
      </w:r>
      <w:r w:rsidR="005E46B1" w:rsidRPr="00D93FF9">
        <w:rPr>
          <w:lang w:val="en-GB"/>
        </w:rPr>
        <w:fldChar w:fldCharType="separate"/>
      </w:r>
      <w:r w:rsidR="0069302C" w:rsidRPr="00D93FF9">
        <w:t xml:space="preserve">Table </w:t>
      </w:r>
      <w:r w:rsidR="0069302C">
        <w:rPr>
          <w:noProof/>
        </w:rPr>
        <w:t>14</w:t>
      </w:r>
      <w:r w:rsidR="005E46B1" w:rsidRPr="00D93FF9">
        <w:rPr>
          <w:lang w:val="en-GB"/>
        </w:rPr>
        <w:fldChar w:fldCharType="end"/>
      </w:r>
      <w:r w:rsidR="005E46B1" w:rsidRPr="00D93FF9">
        <w:rPr>
          <w:lang w:val="en-GB"/>
        </w:rPr>
        <w:t xml:space="preserve"> and </w:t>
      </w:r>
      <w:r w:rsidR="005E46B1" w:rsidRPr="00D93FF9">
        <w:rPr>
          <w:lang w:val="en-GB"/>
        </w:rPr>
        <w:fldChar w:fldCharType="begin"/>
      </w:r>
      <w:r w:rsidR="005E46B1" w:rsidRPr="00D93FF9">
        <w:rPr>
          <w:lang w:val="en-GB"/>
        </w:rPr>
        <w:instrText xml:space="preserve"> REF _Ref81391747 \h </w:instrText>
      </w:r>
      <w:r w:rsidR="00D93FF9">
        <w:rPr>
          <w:lang w:val="en-GB"/>
        </w:rPr>
        <w:instrText xml:space="preserve"> \* MERGEFORMAT </w:instrText>
      </w:r>
      <w:r w:rsidR="005E46B1" w:rsidRPr="00D93FF9">
        <w:rPr>
          <w:lang w:val="en-GB"/>
        </w:rPr>
      </w:r>
      <w:r w:rsidR="005E46B1" w:rsidRPr="00D93FF9">
        <w:rPr>
          <w:lang w:val="en-GB"/>
        </w:rPr>
        <w:fldChar w:fldCharType="separate"/>
      </w:r>
      <w:r w:rsidR="0069302C" w:rsidRPr="00D93FF9">
        <w:t xml:space="preserve">Table </w:t>
      </w:r>
      <w:r w:rsidR="0069302C">
        <w:rPr>
          <w:noProof/>
        </w:rPr>
        <w:t>15</w:t>
      </w:r>
      <w:r w:rsidR="005E46B1" w:rsidRPr="00D93FF9">
        <w:rPr>
          <w:lang w:val="en-GB"/>
        </w:rPr>
        <w:fldChar w:fldCharType="end"/>
      </w:r>
      <w:r w:rsidRPr="00D93FF9">
        <w:rPr>
          <w:lang w:val="en-GB"/>
        </w:rPr>
        <w:t>)</w:t>
      </w:r>
      <w:r w:rsidR="00B0769E" w:rsidRPr="00D93FF9">
        <w:rPr>
          <w:spacing w:val="-4"/>
          <w:lang w:val="en-GB"/>
        </w:rPr>
        <w:t>.</w:t>
      </w:r>
    </w:p>
    <w:p w14:paraId="59DCC707" w14:textId="7DE9AF98" w:rsidR="00C46175" w:rsidRPr="00D93FF9" w:rsidRDefault="00E811B8" w:rsidP="003807A1">
      <w:pPr>
        <w:pStyle w:val="BodyText"/>
        <w:spacing w:after="0"/>
        <w:rPr>
          <w:lang w:val="en-GB"/>
        </w:rPr>
      </w:pPr>
      <w:r w:rsidRPr="00D93FF9">
        <w:rPr>
          <w:lang w:val="en-GB"/>
        </w:rPr>
        <w:t>EC</w:t>
      </w:r>
      <w:r w:rsidRPr="00D93FF9">
        <w:rPr>
          <w:position w:val="-4"/>
          <w:sz w:val="15"/>
          <w:lang w:val="en-GB"/>
        </w:rPr>
        <w:t xml:space="preserve">se </w:t>
      </w:r>
      <w:r w:rsidRPr="00D93FF9">
        <w:rPr>
          <w:lang w:val="en-GB"/>
        </w:rPr>
        <w:t xml:space="preserve">values are also </w:t>
      </w:r>
      <w:r w:rsidR="00BF3B8C" w:rsidRPr="00D93FF9">
        <w:rPr>
          <w:lang w:val="en-GB"/>
        </w:rPr>
        <w:t xml:space="preserve">listed </w:t>
      </w:r>
      <w:r w:rsidRPr="00D93FF9">
        <w:rPr>
          <w:lang w:val="en-GB"/>
        </w:rPr>
        <w:t>in</w:t>
      </w:r>
      <w:r w:rsidR="005E46B1" w:rsidRPr="00D93FF9">
        <w:rPr>
          <w:lang w:val="en-GB"/>
        </w:rPr>
        <w:t xml:space="preserve"> </w:t>
      </w:r>
      <w:r w:rsidR="005E46B1" w:rsidRPr="00D93FF9">
        <w:rPr>
          <w:lang w:val="en-GB"/>
        </w:rPr>
        <w:fldChar w:fldCharType="begin"/>
      </w:r>
      <w:r w:rsidR="005E46B1" w:rsidRPr="00D93FF9">
        <w:rPr>
          <w:lang w:val="en-GB"/>
        </w:rPr>
        <w:instrText xml:space="preserve"> REF _Ref81391734 \h </w:instrText>
      </w:r>
      <w:r w:rsidR="00D93FF9">
        <w:rPr>
          <w:lang w:val="en-GB"/>
        </w:rPr>
        <w:instrText xml:space="preserve"> \* MERGEFORMAT </w:instrText>
      </w:r>
      <w:r w:rsidR="005E46B1" w:rsidRPr="00D93FF9">
        <w:rPr>
          <w:lang w:val="en-GB"/>
        </w:rPr>
      </w:r>
      <w:r w:rsidR="005E46B1" w:rsidRPr="00D93FF9">
        <w:rPr>
          <w:lang w:val="en-GB"/>
        </w:rPr>
        <w:fldChar w:fldCharType="separate"/>
      </w:r>
      <w:r w:rsidR="0069302C" w:rsidRPr="00D93FF9">
        <w:t xml:space="preserve">Table </w:t>
      </w:r>
      <w:r w:rsidR="0069302C">
        <w:rPr>
          <w:noProof/>
        </w:rPr>
        <w:t>14</w:t>
      </w:r>
      <w:r w:rsidR="005E46B1" w:rsidRPr="00D93FF9">
        <w:rPr>
          <w:lang w:val="en-GB"/>
        </w:rPr>
        <w:fldChar w:fldCharType="end"/>
      </w:r>
      <w:r w:rsidRPr="00D93FF9">
        <w:rPr>
          <w:lang w:val="en-GB"/>
        </w:rPr>
        <w:t>.</w:t>
      </w:r>
    </w:p>
    <w:p w14:paraId="59DCC708" w14:textId="77777777" w:rsidR="00C46175" w:rsidRPr="00D93FF9" w:rsidRDefault="00C46175" w:rsidP="003807A1">
      <w:pPr>
        <w:pStyle w:val="BodyText"/>
        <w:spacing w:after="0"/>
        <w:rPr>
          <w:sz w:val="28"/>
          <w:lang w:val="en-GB"/>
        </w:rPr>
      </w:pPr>
    </w:p>
    <w:p w14:paraId="59DCC709" w14:textId="77777777" w:rsidR="00C46175" w:rsidRPr="00D93FF9" w:rsidRDefault="00E811B8" w:rsidP="003807A1">
      <w:pPr>
        <w:pStyle w:val="BodyText"/>
        <w:spacing w:after="0"/>
        <w:rPr>
          <w:lang w:val="en-GB"/>
        </w:rPr>
      </w:pPr>
      <w:r w:rsidRPr="00D93FF9">
        <w:rPr>
          <w:lang w:val="en-GB"/>
        </w:rPr>
        <w:lastRenderedPageBreak/>
        <w:t>To calculate the EC</w:t>
      </w:r>
      <w:r w:rsidRPr="00D93FF9">
        <w:rPr>
          <w:position w:val="-4"/>
          <w:sz w:val="15"/>
          <w:lang w:val="en-GB"/>
        </w:rPr>
        <w:t xml:space="preserve">se </w:t>
      </w:r>
      <w:r w:rsidRPr="00D93FF9">
        <w:rPr>
          <w:lang w:val="en-GB"/>
        </w:rPr>
        <w:t>at 90 percent yield, the equation is rearranged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70D" w14:textId="77777777" w:rsidTr="001B69DA">
        <w:tc>
          <w:tcPr>
            <w:tcW w:w="4505" w:type="dxa"/>
          </w:tcPr>
          <w:p w14:paraId="59DCC70A" w14:textId="77777777" w:rsidR="001B69DA" w:rsidRPr="00D93FF9" w:rsidRDefault="00735642" w:rsidP="004A7F90">
            <w:pPr>
              <w:pStyle w:val="BodyText"/>
              <w:spacing w:after="0"/>
              <w:rPr>
                <w:iCs/>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se90%</m:t>
                    </m:r>
                  </m:sub>
                </m:sSub>
                <m:r>
                  <m:rPr>
                    <m:sty m:val="p"/>
                  </m:rPr>
                  <w:rPr>
                    <w:rFonts w:ascii="Cambria Math" w:hAnsi="Cambria Math"/>
                    <w:sz w:val="22"/>
                    <w:szCs w:val="22"/>
                    <w:lang w:val="en-GB"/>
                  </w:rPr>
                  <m:t>=A+</m:t>
                </m:r>
                <m:f>
                  <m:fPr>
                    <m:ctrlPr>
                      <w:rPr>
                        <w:rFonts w:ascii="Cambria Math" w:hAnsi="Cambria Math"/>
                        <w:iCs/>
                        <w:sz w:val="22"/>
                        <w:szCs w:val="22"/>
                        <w:lang w:val="en-GB"/>
                      </w:rPr>
                    </m:ctrlPr>
                  </m:fPr>
                  <m:num>
                    <m:r>
                      <m:rPr>
                        <m:sty m:val="p"/>
                      </m:rPr>
                      <w:rPr>
                        <w:rFonts w:ascii="Cambria Math" w:hAnsi="Cambria Math"/>
                        <w:sz w:val="22"/>
                        <w:szCs w:val="22"/>
                        <w:lang w:val="en-GB"/>
                      </w:rPr>
                      <m:t>10</m:t>
                    </m:r>
                  </m:num>
                  <m:den>
                    <m:r>
                      <m:rPr>
                        <m:sty m:val="p"/>
                      </m:rPr>
                      <w:rPr>
                        <w:rFonts w:ascii="Cambria Math" w:hAnsi="Cambria Math"/>
                        <w:sz w:val="22"/>
                        <w:szCs w:val="22"/>
                        <w:lang w:val="en-GB"/>
                      </w:rPr>
                      <m:t>B</m:t>
                    </m:r>
                  </m:den>
                </m:f>
              </m:oMath>
            </m:oMathPara>
          </w:p>
        </w:tc>
        <w:tc>
          <w:tcPr>
            <w:tcW w:w="4505" w:type="dxa"/>
          </w:tcPr>
          <w:p w14:paraId="59DCC70B" w14:textId="15540A9B" w:rsidR="001B69DA" w:rsidRPr="00D93FF9" w:rsidRDefault="00E811B8" w:rsidP="001B69DA">
            <w:pPr>
              <w:pStyle w:val="Caption"/>
              <w:jc w:val="right"/>
              <w:rPr>
                <w:rFonts w:asciiTheme="minorHAnsi" w:hAnsiTheme="minorHAnsi"/>
                <w:sz w:val="22"/>
                <w:szCs w:val="22"/>
                <w:lang w:val="en-GB"/>
              </w:rPr>
            </w:pPr>
            <w:bookmarkStart w:id="145" w:name="_Ref70513076"/>
            <w:r w:rsidRPr="00D93FF9">
              <w:rPr>
                <w:rFonts w:asciiTheme="minorHAnsi" w:hAnsiTheme="minorHAnsi"/>
                <w:sz w:val="22"/>
                <w:szCs w:val="22"/>
              </w:rPr>
              <w:t xml:space="preserve">Equation </w:t>
            </w:r>
            <w:r w:rsidRPr="00D93FF9">
              <w:rPr>
                <w:szCs w:val="22"/>
              </w:rPr>
              <w:fldChar w:fldCharType="begin"/>
            </w:r>
            <w:r w:rsidRPr="00D93FF9">
              <w:rPr>
                <w:rFonts w:asciiTheme="minorHAnsi" w:hAnsiTheme="minorHAnsi"/>
                <w:sz w:val="22"/>
                <w:szCs w:val="22"/>
              </w:rPr>
              <w:instrText xml:space="preserve"> SEQ Equation \* ARABIC </w:instrText>
            </w:r>
            <w:r w:rsidRPr="00D93FF9">
              <w:rPr>
                <w:szCs w:val="22"/>
              </w:rPr>
              <w:fldChar w:fldCharType="separate"/>
            </w:r>
            <w:r w:rsidR="0069302C">
              <w:rPr>
                <w:rFonts w:asciiTheme="minorHAnsi" w:hAnsiTheme="minorHAnsi"/>
                <w:noProof/>
                <w:sz w:val="22"/>
                <w:szCs w:val="22"/>
              </w:rPr>
              <w:t>24</w:t>
            </w:r>
            <w:r w:rsidRPr="00D93FF9">
              <w:rPr>
                <w:szCs w:val="22"/>
              </w:rPr>
              <w:fldChar w:fldCharType="end"/>
            </w:r>
            <w:bookmarkEnd w:id="145"/>
          </w:p>
          <w:p w14:paraId="59DCC70C" w14:textId="77777777" w:rsidR="001B69DA" w:rsidRPr="00D93FF9" w:rsidRDefault="001B69DA" w:rsidP="003807A1">
            <w:pPr>
              <w:spacing w:after="0"/>
              <w:rPr>
                <w:lang w:val="en-GB"/>
              </w:rPr>
            </w:pPr>
          </w:p>
        </w:tc>
      </w:tr>
    </w:tbl>
    <w:p w14:paraId="59DCC70E" w14:textId="1779706A" w:rsidR="00C46175" w:rsidRPr="00D93FF9" w:rsidRDefault="00E811B8" w:rsidP="003807A1">
      <w:pPr>
        <w:pStyle w:val="BodyText"/>
        <w:spacing w:after="0"/>
        <w:jc w:val="both"/>
        <w:rPr>
          <w:lang w:val="en-GB"/>
        </w:rPr>
      </w:pPr>
      <w:r w:rsidRPr="00D93FF9">
        <w:rPr>
          <w:lang w:val="en-GB"/>
        </w:rPr>
        <w:t>It can also</w:t>
      </w:r>
      <w:r w:rsidR="00E90CE0" w:rsidRPr="00D93FF9">
        <w:rPr>
          <w:lang w:val="en-GB"/>
        </w:rPr>
        <w:t xml:space="preserve"> be applied to 75 percent or 50 percent yield values as shown in</w:t>
      </w:r>
      <w:r w:rsidR="005E46B1" w:rsidRPr="00D93FF9">
        <w:rPr>
          <w:lang w:val="en-GB"/>
        </w:rPr>
        <w:t xml:space="preserve"> </w:t>
      </w:r>
      <w:r w:rsidR="005E46B1" w:rsidRPr="00D93FF9">
        <w:rPr>
          <w:lang w:val="en-GB"/>
        </w:rPr>
        <w:fldChar w:fldCharType="begin"/>
      </w:r>
      <w:r w:rsidR="005E46B1" w:rsidRPr="00D93FF9">
        <w:rPr>
          <w:lang w:val="en-GB"/>
        </w:rPr>
        <w:instrText xml:space="preserve"> REF _Ref81391734 \h </w:instrText>
      </w:r>
      <w:r w:rsidR="00D93FF9">
        <w:rPr>
          <w:lang w:val="en-GB"/>
        </w:rPr>
        <w:instrText xml:space="preserve"> \* MERGEFORMAT </w:instrText>
      </w:r>
      <w:r w:rsidR="005E46B1" w:rsidRPr="00D93FF9">
        <w:rPr>
          <w:lang w:val="en-GB"/>
        </w:rPr>
      </w:r>
      <w:r w:rsidR="005E46B1" w:rsidRPr="00D93FF9">
        <w:rPr>
          <w:lang w:val="en-GB"/>
        </w:rPr>
        <w:fldChar w:fldCharType="separate"/>
      </w:r>
      <w:r w:rsidR="0069302C" w:rsidRPr="00D93FF9">
        <w:t xml:space="preserve">Table </w:t>
      </w:r>
      <w:r w:rsidR="0069302C">
        <w:rPr>
          <w:noProof/>
        </w:rPr>
        <w:t>14</w:t>
      </w:r>
      <w:r w:rsidR="005E46B1" w:rsidRPr="00D93FF9">
        <w:rPr>
          <w:lang w:val="en-GB"/>
        </w:rPr>
        <w:fldChar w:fldCharType="end"/>
      </w:r>
      <w:r w:rsidR="003A1850" w:rsidRPr="00D93FF9">
        <w:rPr>
          <w:lang w:val="en-GB"/>
        </w:rPr>
        <w:t>.</w:t>
      </w:r>
    </w:p>
    <w:p w14:paraId="59DCC70F" w14:textId="77777777" w:rsidR="00C46175" w:rsidRPr="00D93FF9" w:rsidRDefault="00C46175" w:rsidP="003807A1">
      <w:pPr>
        <w:pStyle w:val="BodyText"/>
        <w:spacing w:after="0"/>
        <w:rPr>
          <w:sz w:val="20"/>
          <w:lang w:val="en-GB"/>
        </w:rPr>
      </w:pPr>
    </w:p>
    <w:p w14:paraId="59DCC710" w14:textId="378F9DEC" w:rsidR="00ED1324" w:rsidRPr="00D93FF9" w:rsidRDefault="00E811B8" w:rsidP="00F079D5">
      <w:pPr>
        <w:pStyle w:val="BodyText"/>
        <w:spacing w:after="0"/>
        <w:jc w:val="both"/>
        <w:rPr>
          <w:lang w:val="en-GB"/>
        </w:rPr>
      </w:pPr>
      <w:r w:rsidRPr="00D93FF9">
        <w:rPr>
          <w:lang w:val="en-GB"/>
        </w:rPr>
        <w:fldChar w:fldCharType="begin"/>
      </w:r>
      <w:r w:rsidRPr="00D93FF9">
        <w:rPr>
          <w:lang w:val="en-GB"/>
        </w:rPr>
        <w:instrText xml:space="preserve"> REF _Ref70513062 \h </w:instrText>
      </w:r>
      <w:r w:rsidR="00FE4925" w:rsidRPr="00D93FF9">
        <w:rPr>
          <w:lang w:val="en-GB"/>
        </w:rPr>
        <w:instrText xml:space="preserve"> \* MERGEFORMAT </w:instrText>
      </w:r>
      <w:r w:rsidRPr="00D93FF9">
        <w:rPr>
          <w:lang w:val="en-GB"/>
        </w:rPr>
      </w:r>
      <w:r w:rsidRPr="00D93FF9">
        <w:rPr>
          <w:lang w:val="en-GB"/>
        </w:rPr>
        <w:fldChar w:fldCharType="separate"/>
      </w:r>
      <w:r w:rsidR="0069302C" w:rsidRPr="00D93FF9">
        <w:t xml:space="preserve">Equation </w:t>
      </w:r>
      <w:r w:rsidR="0069302C">
        <w:rPr>
          <w:noProof/>
        </w:rPr>
        <w:t>23</w:t>
      </w:r>
      <w:r w:rsidRPr="00D93FF9">
        <w:rPr>
          <w:lang w:val="en-GB"/>
        </w:rPr>
        <w:fldChar w:fldCharType="end"/>
      </w:r>
      <w:r w:rsidRPr="00D93FF9">
        <w:rPr>
          <w:lang w:val="en-GB"/>
        </w:rPr>
        <w:t xml:space="preserve"> </w:t>
      </w:r>
      <w:r w:rsidR="00530016" w:rsidRPr="00D93FF9">
        <w:rPr>
          <w:lang w:val="en-GB"/>
        </w:rPr>
        <w:t>is</w:t>
      </w:r>
      <w:r w:rsidRPr="00D93FF9">
        <w:rPr>
          <w:lang w:val="en-GB"/>
        </w:rPr>
        <w:t xml:space="preserve"> derived from Maas and Hoffman (1977). However, as pointed out by Grattan (</w:t>
      </w:r>
      <w:r w:rsidR="00741077" w:rsidRPr="00D93FF9">
        <w:rPr>
          <w:lang w:val="en-GB"/>
        </w:rPr>
        <w:t>unpublished</w:t>
      </w:r>
      <w:r w:rsidRPr="00D93FF9">
        <w:rPr>
          <w:lang w:val="en-GB"/>
        </w:rPr>
        <w:t xml:space="preserve">), </w:t>
      </w:r>
      <w:r w:rsidR="006E4662" w:rsidRPr="00D93FF9">
        <w:rPr>
          <w:lang w:val="en-GB"/>
        </w:rPr>
        <w:t xml:space="preserve">there is uncertainty about the </w:t>
      </w:r>
      <w:r w:rsidR="00B0769E" w:rsidRPr="00D93FF9">
        <w:rPr>
          <w:lang w:val="en-GB"/>
        </w:rPr>
        <w:t>salinity</w:t>
      </w:r>
      <w:r w:rsidR="006E4662" w:rsidRPr="00D93FF9">
        <w:rPr>
          <w:lang w:val="en-GB"/>
        </w:rPr>
        <w:t xml:space="preserve"> threshold (</w:t>
      </w:r>
      <w:r w:rsidR="00B0769E" w:rsidRPr="00D93FF9">
        <w:rPr>
          <w:lang w:val="en-GB"/>
        </w:rPr>
        <w:t>A</w:t>
      </w:r>
      <w:r w:rsidR="006E4662" w:rsidRPr="00D93FF9">
        <w:rPr>
          <w:lang w:val="en-GB"/>
        </w:rPr>
        <w:t xml:space="preserve">) in that </w:t>
      </w:r>
      <w:r w:rsidR="001739AF" w:rsidRPr="00D93FF9">
        <w:rPr>
          <w:lang w:val="en-GB"/>
        </w:rPr>
        <w:t>it</w:t>
      </w:r>
      <w:r w:rsidR="006E4662" w:rsidRPr="00D93FF9">
        <w:rPr>
          <w:lang w:val="en-GB"/>
        </w:rPr>
        <w:t xml:space="preserve"> lack</w:t>
      </w:r>
      <w:r w:rsidR="001739AF" w:rsidRPr="00D93FF9">
        <w:rPr>
          <w:lang w:val="en-GB"/>
        </w:rPr>
        <w:t>s</w:t>
      </w:r>
      <w:r w:rsidR="006E4662" w:rsidRPr="00D93FF9">
        <w:rPr>
          <w:lang w:val="en-GB"/>
        </w:rPr>
        <w:t xml:space="preserve"> physiological justification</w:t>
      </w:r>
      <w:r w:rsidR="00530016" w:rsidRPr="00D93FF9">
        <w:rPr>
          <w:lang w:val="en-GB"/>
        </w:rPr>
        <w:t xml:space="preserve"> and because the standard errors associated with the threshold values is large (Grieve et al. 2012)</w:t>
      </w:r>
      <w:r w:rsidR="006E4662" w:rsidRPr="00D93FF9">
        <w:rPr>
          <w:lang w:val="en-GB"/>
        </w:rPr>
        <w:t xml:space="preserve">. </w:t>
      </w:r>
      <w:r w:rsidR="001D2698" w:rsidRPr="00D93FF9">
        <w:rPr>
          <w:lang w:val="en-GB"/>
        </w:rPr>
        <w:t xml:space="preserve">Also, the preliminary steps </w:t>
      </w:r>
      <w:r w:rsidR="005A7FC0" w:rsidRPr="00D93FF9">
        <w:rPr>
          <w:lang w:val="en-GB"/>
        </w:rPr>
        <w:t>for</w:t>
      </w:r>
      <w:r w:rsidR="001D2698" w:rsidRPr="00D93FF9">
        <w:rPr>
          <w:lang w:val="en-GB"/>
        </w:rPr>
        <w:t xml:space="preserve"> the derivation of </w:t>
      </w:r>
      <w:r w:rsidR="001D2698" w:rsidRPr="00D93FF9">
        <w:rPr>
          <w:lang w:val="en-GB"/>
        </w:rPr>
        <w:fldChar w:fldCharType="begin"/>
      </w:r>
      <w:r w:rsidR="001D2698" w:rsidRPr="00D93FF9">
        <w:rPr>
          <w:lang w:val="en-GB"/>
        </w:rPr>
        <w:instrText xml:space="preserve"> REF _Ref70513062 \h </w:instrText>
      </w:r>
      <w:r w:rsidR="00FE4925" w:rsidRPr="00D93FF9">
        <w:rPr>
          <w:lang w:val="en-GB"/>
        </w:rPr>
        <w:instrText xml:space="preserve"> \* MERGEFORMAT </w:instrText>
      </w:r>
      <w:r w:rsidR="001D2698" w:rsidRPr="00D93FF9">
        <w:rPr>
          <w:lang w:val="en-GB"/>
        </w:rPr>
      </w:r>
      <w:r w:rsidR="001D2698" w:rsidRPr="00D93FF9">
        <w:rPr>
          <w:lang w:val="en-GB"/>
        </w:rPr>
        <w:fldChar w:fldCharType="separate"/>
      </w:r>
      <w:r w:rsidR="0069302C" w:rsidRPr="00D93FF9">
        <w:t xml:space="preserve">Equation </w:t>
      </w:r>
      <w:r w:rsidR="0069302C">
        <w:rPr>
          <w:noProof/>
        </w:rPr>
        <w:t>23</w:t>
      </w:r>
      <w:r w:rsidR="001D2698" w:rsidRPr="00D93FF9">
        <w:rPr>
          <w:lang w:val="en-GB"/>
        </w:rPr>
        <w:fldChar w:fldCharType="end"/>
      </w:r>
      <w:r w:rsidR="001D2698" w:rsidRPr="00D93FF9">
        <w:rPr>
          <w:lang w:val="en-GB"/>
        </w:rPr>
        <w:t xml:space="preserve"> rely on obt</w:t>
      </w:r>
      <w:r w:rsidR="00F079D5" w:rsidRPr="00D93FF9">
        <w:rPr>
          <w:lang w:val="en-GB"/>
        </w:rPr>
        <w:t>aining</w:t>
      </w:r>
      <w:r w:rsidR="001D2698" w:rsidRPr="00D93FF9">
        <w:rPr>
          <w:lang w:val="en-GB"/>
        </w:rPr>
        <w:t xml:space="preserve"> a yield unaffected by salinity, which in itself is difficult to obtain (</w:t>
      </w:r>
      <w:r w:rsidR="00530016" w:rsidRPr="00D93FF9">
        <w:rPr>
          <w:lang w:val="en-GB"/>
        </w:rPr>
        <w:t>Van Straten et al.</w:t>
      </w:r>
      <w:r w:rsidR="001D2698" w:rsidRPr="00D93FF9">
        <w:rPr>
          <w:lang w:val="en-GB"/>
        </w:rPr>
        <w:t xml:space="preserve"> </w:t>
      </w:r>
      <w:r w:rsidR="00530016" w:rsidRPr="00D93FF9">
        <w:rPr>
          <w:lang w:val="en-GB"/>
        </w:rPr>
        <w:t>2019)</w:t>
      </w:r>
      <w:r w:rsidR="001D2698" w:rsidRPr="00D93FF9">
        <w:rPr>
          <w:lang w:val="en-GB"/>
        </w:rPr>
        <w:t xml:space="preserve">. </w:t>
      </w:r>
      <w:r w:rsidR="005A7FC0" w:rsidRPr="00D93FF9">
        <w:rPr>
          <w:lang w:val="en-GB"/>
        </w:rPr>
        <w:t xml:space="preserve">The authors </w:t>
      </w:r>
      <w:r w:rsidR="00530016" w:rsidRPr="00D93FF9">
        <w:rPr>
          <w:lang w:val="en-GB"/>
        </w:rPr>
        <w:t xml:space="preserve">suggest using the </w:t>
      </w:r>
      <w:r w:rsidR="00C43183" w:rsidRPr="00D93FF9">
        <w:rPr>
          <w:lang w:val="en-GB"/>
        </w:rPr>
        <w:t>90% yield EC</w:t>
      </w:r>
      <w:r w:rsidR="00C43183" w:rsidRPr="00D93FF9">
        <w:rPr>
          <w:vertAlign w:val="subscript"/>
          <w:lang w:val="en-GB"/>
        </w:rPr>
        <w:t>se</w:t>
      </w:r>
      <w:r w:rsidR="00C43183" w:rsidRPr="00D93FF9">
        <w:rPr>
          <w:lang w:val="en-GB"/>
        </w:rPr>
        <w:t xml:space="preserve"> parameter to overcome the lack of robustness of the</w:t>
      </w:r>
      <w:r w:rsidR="00530016" w:rsidRPr="00D93FF9">
        <w:rPr>
          <w:lang w:val="en-GB"/>
        </w:rPr>
        <w:t xml:space="preserve"> yield threshold parameter</w:t>
      </w:r>
      <w:r w:rsidR="00C43183" w:rsidRPr="00D93FF9">
        <w:rPr>
          <w:lang w:val="en-GB"/>
        </w:rPr>
        <w:t xml:space="preserve">. </w:t>
      </w:r>
    </w:p>
    <w:p w14:paraId="59DCC711" w14:textId="0B595226" w:rsidR="00601B1B" w:rsidRPr="00D93FF9" w:rsidRDefault="00E811B8">
      <w:pPr>
        <w:pStyle w:val="BodyText"/>
        <w:spacing w:after="0"/>
        <w:jc w:val="both"/>
        <w:rPr>
          <w:lang w:val="en-GB"/>
        </w:rPr>
      </w:pPr>
      <w:r w:rsidRPr="00D93FF9">
        <w:rPr>
          <w:lang w:val="en-GB"/>
        </w:rPr>
        <w:t>A n</w:t>
      </w:r>
      <w:r w:rsidR="009A5A83" w:rsidRPr="00D93FF9">
        <w:rPr>
          <w:lang w:val="en-GB"/>
        </w:rPr>
        <w:t>on-linear response-curve have since been developed (van Genuchten and Gupta 1993)</w:t>
      </w:r>
      <w:r w:rsidRPr="00D93FF9">
        <w:rPr>
          <w:lang w:val="en-GB"/>
        </w:rPr>
        <w:t>. It is a preferable model mathematically (Van Straten et al. 2019) even though the Maas and Hoffman model remains used because of the ease of interpretation</w:t>
      </w:r>
      <w:r w:rsidR="00F079D5" w:rsidRPr="00D93FF9">
        <w:rPr>
          <w:lang w:val="en-GB"/>
        </w:rPr>
        <w:t xml:space="preserve">. It is recommended for </w:t>
      </w:r>
      <w:r w:rsidR="00C375B3" w:rsidRPr="00D93FF9">
        <w:rPr>
          <w:lang w:val="en-GB"/>
        </w:rPr>
        <w:t xml:space="preserve">use in </w:t>
      </w:r>
      <w:r w:rsidR="00F079D5" w:rsidRPr="00D93FF9">
        <w:rPr>
          <w:lang w:val="en-GB"/>
        </w:rPr>
        <w:t xml:space="preserve">these </w:t>
      </w:r>
      <w:r w:rsidR="00C375B3" w:rsidRPr="00D93FF9">
        <w:rPr>
          <w:lang w:val="en-GB"/>
        </w:rPr>
        <w:t>Guidelines</w:t>
      </w:r>
      <w:r w:rsidRPr="00D93FF9">
        <w:rPr>
          <w:lang w:val="en-GB"/>
        </w:rPr>
        <w:t xml:space="preserve">. </w:t>
      </w:r>
    </w:p>
    <w:p w14:paraId="59DCC712" w14:textId="440CF0AC" w:rsidR="008513DE" w:rsidRPr="00D93FF9" w:rsidRDefault="00E811B8" w:rsidP="009F6E7F">
      <w:pPr>
        <w:pStyle w:val="BodyText"/>
        <w:spacing w:after="0"/>
        <w:jc w:val="both"/>
        <w:rPr>
          <w:lang w:val="en-GB"/>
        </w:rPr>
      </w:pPr>
      <w:r w:rsidRPr="00D93FF9">
        <w:rPr>
          <w:lang w:val="en-GB"/>
        </w:rPr>
        <w:t>Finally, Tedeschi (20</w:t>
      </w:r>
      <w:r w:rsidR="00934922" w:rsidRPr="00D93FF9">
        <w:rPr>
          <w:lang w:val="en-GB"/>
        </w:rPr>
        <w:t>20</w:t>
      </w:r>
      <w:r w:rsidR="00E83807" w:rsidRPr="00D93FF9">
        <w:rPr>
          <w:lang w:val="en-GB"/>
        </w:rPr>
        <w:t>)</w:t>
      </w:r>
      <w:r w:rsidRPr="00D93FF9">
        <w:rPr>
          <w:lang w:val="en-GB"/>
        </w:rPr>
        <w:t xml:space="preserve"> points out that the Maas and Hoffman</w:t>
      </w:r>
      <w:r w:rsidR="00C375B3" w:rsidRPr="00D93FF9">
        <w:rPr>
          <w:lang w:val="en-GB"/>
        </w:rPr>
        <w:t xml:space="preserve"> relationship</w:t>
      </w:r>
      <w:r w:rsidRPr="00D93FF9">
        <w:rPr>
          <w:lang w:val="en-GB"/>
        </w:rPr>
        <w:t xml:space="preserve"> was developed under saturated soil conditions</w:t>
      </w:r>
      <w:r w:rsidR="00C375B3" w:rsidRPr="00D93FF9">
        <w:rPr>
          <w:lang w:val="en-GB"/>
        </w:rPr>
        <w:t xml:space="preserve"> and a constant EC</w:t>
      </w:r>
      <w:r w:rsidRPr="00D93FF9">
        <w:rPr>
          <w:lang w:val="en-GB"/>
        </w:rPr>
        <w:t xml:space="preserve">, </w:t>
      </w:r>
      <w:r w:rsidR="00F079D5" w:rsidRPr="00D93FF9">
        <w:rPr>
          <w:lang w:val="en-GB"/>
        </w:rPr>
        <w:t xml:space="preserve">which is </w:t>
      </w:r>
      <w:r w:rsidRPr="00D93FF9">
        <w:rPr>
          <w:lang w:val="en-GB"/>
        </w:rPr>
        <w:t>rarely met in the field or</w:t>
      </w:r>
      <w:r w:rsidR="00F079D5" w:rsidRPr="00D93FF9">
        <w:rPr>
          <w:lang w:val="en-GB"/>
        </w:rPr>
        <w:t>, if so, then</w:t>
      </w:r>
      <w:r w:rsidRPr="00D93FF9">
        <w:rPr>
          <w:lang w:val="en-GB"/>
        </w:rPr>
        <w:t xml:space="preserve"> only for a limited amount of time. Therefore, it should be corrected, taking into account the actual water content of the soil (Tedeschi et al. 2017). </w:t>
      </w:r>
    </w:p>
    <w:p w14:paraId="59DCC713" w14:textId="77777777" w:rsidR="008513DE" w:rsidRPr="00D93FF9" w:rsidRDefault="008513DE" w:rsidP="008513DE">
      <w:pPr>
        <w:pStyle w:val="BodyText"/>
        <w:spacing w:after="0"/>
        <w:jc w:val="both"/>
        <w:rPr>
          <w:lang w:val="en-GB"/>
        </w:rPr>
      </w:pPr>
    </w:p>
    <w:p w14:paraId="59DCC714" w14:textId="77777777" w:rsidR="00C46175" w:rsidRPr="00D93FF9" w:rsidRDefault="00E811B8" w:rsidP="00405E68">
      <w:pPr>
        <w:pStyle w:val="Heading4"/>
        <w:rPr>
          <w:lang w:val="en-GB"/>
        </w:rPr>
      </w:pPr>
      <w:r w:rsidRPr="00D93FF9">
        <w:rPr>
          <w:lang w:val="en-GB"/>
        </w:rPr>
        <w:t>Factors affecting the expression of salinity</w:t>
      </w:r>
    </w:p>
    <w:p w14:paraId="59DCC715" w14:textId="5C2B0BD1" w:rsidR="00C46175" w:rsidRPr="00D93FF9" w:rsidRDefault="00E811B8" w:rsidP="003807A1">
      <w:pPr>
        <w:pStyle w:val="BodyText"/>
        <w:spacing w:after="0" w:line="266" w:lineRule="auto"/>
        <w:jc w:val="both"/>
        <w:rPr>
          <w:lang w:val="en-GB"/>
        </w:rPr>
      </w:pPr>
      <w:r w:rsidRPr="00D93FF9">
        <w:rPr>
          <w:lang w:val="en-GB"/>
        </w:rPr>
        <w:t>Low permeability soils tend also to be sodic in the root zone. Soils have limited salt accumulation in high rainfall situations (</w:t>
      </w:r>
      <w:r w:rsidR="00F079D5" w:rsidRPr="00D93FF9">
        <w:rPr>
          <w:lang w:val="en-GB"/>
        </w:rPr>
        <w:t xml:space="preserve">say </w:t>
      </w:r>
      <w:r w:rsidRPr="00D93FF9">
        <w:rPr>
          <w:lang w:val="en-GB"/>
        </w:rPr>
        <w:t>2000 mm/year), where there is sufficient leaching to remove accumulated salts out of the soil profile.</w:t>
      </w:r>
    </w:p>
    <w:p w14:paraId="59DCC716" w14:textId="77777777" w:rsidR="00C46175" w:rsidRPr="00D93FF9" w:rsidRDefault="00C46175" w:rsidP="003807A1">
      <w:pPr>
        <w:spacing w:after="0" w:line="266" w:lineRule="auto"/>
        <w:jc w:val="both"/>
        <w:rPr>
          <w:lang w:val="en-GB"/>
        </w:rPr>
        <w:sectPr w:rsidR="00C46175" w:rsidRPr="00D93FF9" w:rsidSect="00FF241C">
          <w:pgSz w:w="11900" w:h="16840"/>
          <w:pgMar w:top="1440" w:right="1440" w:bottom="1440" w:left="1440" w:header="720" w:footer="720" w:gutter="0"/>
          <w:pgNumType w:start="1"/>
          <w:cols w:space="720"/>
        </w:sectPr>
      </w:pPr>
    </w:p>
    <w:p w14:paraId="59DCC717" w14:textId="5D181955" w:rsidR="00C46175" w:rsidRPr="00D93FF9" w:rsidRDefault="00135A48" w:rsidP="00135A48">
      <w:pPr>
        <w:pStyle w:val="Caption"/>
        <w:rPr>
          <w:rFonts w:ascii="Arial"/>
          <w:position w:val="4"/>
          <w:sz w:val="12"/>
          <w:lang w:val="en-GB"/>
        </w:rPr>
      </w:pPr>
      <w:bookmarkStart w:id="146" w:name="_Ref81391734"/>
      <w:bookmarkStart w:id="147" w:name="_Toc96518228"/>
      <w:r w:rsidRPr="00D93FF9">
        <w:lastRenderedPageBreak/>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14</w:t>
      </w:r>
      <w:r w:rsidR="00477102" w:rsidRPr="00D93FF9">
        <w:fldChar w:fldCharType="end"/>
      </w:r>
      <w:bookmarkEnd w:id="146"/>
      <w:r w:rsidRPr="00D93FF9">
        <w:t xml:space="preserve"> </w:t>
      </w:r>
      <w:bookmarkStart w:id="148" w:name="_Hlk153812599"/>
      <w:r w:rsidR="00BC671C" w:rsidRPr="00D93FF9">
        <w:t xml:space="preserve">Salinity threshold for </w:t>
      </w:r>
      <w:r w:rsidR="00BC671C" w:rsidRPr="00D93FF9">
        <w:rPr>
          <w:rFonts w:ascii="Arial"/>
          <w:b w:val="0"/>
          <w:sz w:val="18"/>
          <w:lang w:val="en-GB"/>
        </w:rPr>
        <w:t>p</w:t>
      </w:r>
      <w:r w:rsidR="00E90CE0" w:rsidRPr="00D93FF9">
        <w:rPr>
          <w:rFonts w:ascii="Arial"/>
          <w:sz w:val="18"/>
          <w:lang w:val="en-GB"/>
        </w:rPr>
        <w:t>lant</w:t>
      </w:r>
      <w:r w:rsidR="00BC671C" w:rsidRPr="00D93FF9">
        <w:rPr>
          <w:rFonts w:ascii="Arial"/>
          <w:sz w:val="18"/>
          <w:lang w:val="en-GB"/>
        </w:rPr>
        <w:t>s, expressed in units of saturation extract</w:t>
      </w:r>
      <w:r w:rsidR="00BF3B8C" w:rsidRPr="00D93FF9">
        <w:rPr>
          <w:rFonts w:ascii="Arial"/>
          <w:sz w:val="18"/>
          <w:lang w:val="en-GB"/>
        </w:rPr>
        <w:t xml:space="preserve"> (EC</w:t>
      </w:r>
      <w:r w:rsidR="00BF3B8C" w:rsidRPr="00D93FF9">
        <w:rPr>
          <w:rFonts w:ascii="Arial"/>
          <w:sz w:val="18"/>
          <w:vertAlign w:val="subscript"/>
          <w:lang w:val="en-GB"/>
        </w:rPr>
        <w:t>se</w:t>
      </w:r>
      <w:r w:rsidR="00BF3B8C" w:rsidRPr="00D93FF9">
        <w:rPr>
          <w:rFonts w:ascii="Arial"/>
          <w:sz w:val="18"/>
          <w:lang w:val="en-GB"/>
        </w:rPr>
        <w:t>)</w:t>
      </w:r>
      <w:r w:rsidR="00BC671C" w:rsidRPr="00D93FF9">
        <w:rPr>
          <w:rFonts w:ascii="Arial"/>
          <w:sz w:val="18"/>
          <w:lang w:val="en-GB"/>
        </w:rPr>
        <w:t>, arranged</w:t>
      </w:r>
      <w:r w:rsidR="00E90CE0" w:rsidRPr="00D93FF9">
        <w:rPr>
          <w:rFonts w:ascii="Arial"/>
          <w:sz w:val="18"/>
          <w:lang w:val="en-GB"/>
        </w:rPr>
        <w:t xml:space="preserve"> in alphabetical order by common name, within broad plant groups</w:t>
      </w:r>
      <w:r w:rsidR="00E90CE0" w:rsidRPr="00D93FF9">
        <w:rPr>
          <w:rFonts w:ascii="Arial"/>
          <w:position w:val="4"/>
          <w:sz w:val="12"/>
          <w:lang w:val="en-GB"/>
        </w:rPr>
        <w:t>a</w:t>
      </w:r>
      <w:bookmarkEnd w:id="147"/>
      <w:bookmarkEnd w:id="148"/>
    </w:p>
    <w:p w14:paraId="59DCC719" w14:textId="32B34751" w:rsidR="00C46175" w:rsidRDefault="00E811B8" w:rsidP="006975D0">
      <w:pPr>
        <w:jc w:val="both"/>
        <w:rPr>
          <w:sz w:val="18"/>
          <w:szCs w:val="18"/>
          <w:lang w:bidi="en-US"/>
        </w:rPr>
      </w:pPr>
      <w:r w:rsidRPr="00D93FF9">
        <w:rPr>
          <w:sz w:val="18"/>
          <w:szCs w:val="18"/>
          <w:lang w:bidi="en-US"/>
        </w:rPr>
        <w:t>Note: ECse values are reported for plant responses when yield is first affected (the salinity threshold) as well as those values corresponding to 90%, 75% and 50 % of the maximum, unconstrained yield. Also listed is the percentage plant yield reduction per unit increase in ECse, for salinity values &gt; threshold ECse</w:t>
      </w:r>
      <w:r w:rsidR="006975D0">
        <w:rPr>
          <w:sz w:val="18"/>
          <w:szCs w:val="18"/>
          <w:lang w:bidi="en-US"/>
        </w:rPr>
        <w:t>.</w:t>
      </w:r>
    </w:p>
    <w:p w14:paraId="4D0EBD0E" w14:textId="77777777" w:rsidR="006975D0" w:rsidRPr="00D93FF9" w:rsidRDefault="006975D0" w:rsidP="006975D0">
      <w:pPr>
        <w:jc w:val="both"/>
        <w:rPr>
          <w:rFonts w:ascii="Arial"/>
          <w:b/>
          <w:sz w:val="16"/>
          <w:lang w:val="en-GB"/>
        </w:rPr>
      </w:pPr>
    </w:p>
    <w:tbl>
      <w:tblPr>
        <w:tblW w:w="0" w:type="auto"/>
        <w:tblInd w:w="121" w:type="dxa"/>
        <w:tblLayout w:type="fixed"/>
        <w:tblCellMar>
          <w:left w:w="0" w:type="dxa"/>
          <w:right w:w="0" w:type="dxa"/>
        </w:tblCellMar>
        <w:tblLook w:val="01E0" w:firstRow="1" w:lastRow="1" w:firstColumn="1" w:lastColumn="1" w:noHBand="0" w:noVBand="0"/>
        <w:tblCaption w:val="Salinity threshold for plants, expressed in units of saturation extract, arranged in alphabetical order by common name, within broad plant groups"/>
        <w:tblDescription w:val="A compilation of plant salt tolerance data, including threshold salinity values and rate of yield decline with increasing salinity. Values are given for a wide range of plants within categories including grains, fruits, vegetables, ornamentals, and pastures."/>
      </w:tblPr>
      <w:tblGrid>
        <w:gridCol w:w="2135"/>
        <w:gridCol w:w="3033"/>
        <w:gridCol w:w="1867"/>
        <w:gridCol w:w="2100"/>
        <w:gridCol w:w="986"/>
        <w:gridCol w:w="1042"/>
        <w:gridCol w:w="1137"/>
        <w:gridCol w:w="1166"/>
      </w:tblGrid>
      <w:tr w:rsidR="00BE3AA8" w:rsidRPr="00D93FF9" w14:paraId="59DCC720" w14:textId="77777777" w:rsidTr="002F55F0">
        <w:trPr>
          <w:trHeight w:val="425"/>
        </w:trPr>
        <w:tc>
          <w:tcPr>
            <w:tcW w:w="2135" w:type="dxa"/>
            <w:tcBorders>
              <w:top w:val="single" w:sz="4" w:space="0" w:color="auto"/>
              <w:bottom w:val="single" w:sz="6" w:space="0" w:color="000000"/>
            </w:tcBorders>
          </w:tcPr>
          <w:p w14:paraId="59DCC71A" w14:textId="77777777" w:rsidR="00712309" w:rsidRPr="00D93FF9" w:rsidRDefault="00E811B8" w:rsidP="00632CE7">
            <w:pPr>
              <w:pStyle w:val="TableParagraph"/>
              <w:spacing w:before="0" w:after="0"/>
              <w:rPr>
                <w:b/>
                <w:sz w:val="16"/>
                <w:lang w:val="en-GB"/>
              </w:rPr>
            </w:pPr>
            <w:r w:rsidRPr="00D93FF9">
              <w:rPr>
                <w:b/>
                <w:sz w:val="16"/>
                <w:lang w:val="en-GB"/>
              </w:rPr>
              <w:t>Common name</w:t>
            </w:r>
          </w:p>
        </w:tc>
        <w:tc>
          <w:tcPr>
            <w:tcW w:w="3033" w:type="dxa"/>
            <w:tcBorders>
              <w:top w:val="single" w:sz="4" w:space="0" w:color="auto"/>
              <w:bottom w:val="single" w:sz="6" w:space="0" w:color="000000"/>
            </w:tcBorders>
          </w:tcPr>
          <w:p w14:paraId="59DCC71B" w14:textId="77777777" w:rsidR="00712309" w:rsidRPr="00D93FF9" w:rsidRDefault="00E811B8" w:rsidP="00632CE7">
            <w:pPr>
              <w:pStyle w:val="TableParagraph"/>
              <w:spacing w:before="0" w:after="0"/>
              <w:rPr>
                <w:b/>
                <w:sz w:val="16"/>
                <w:lang w:val="en-GB"/>
              </w:rPr>
            </w:pPr>
            <w:r w:rsidRPr="00D93FF9">
              <w:rPr>
                <w:b/>
                <w:sz w:val="16"/>
                <w:lang w:val="en-GB"/>
              </w:rPr>
              <w:t>Scientific name</w:t>
            </w:r>
          </w:p>
        </w:tc>
        <w:tc>
          <w:tcPr>
            <w:tcW w:w="1867" w:type="dxa"/>
            <w:tcBorders>
              <w:top w:val="single" w:sz="4" w:space="0" w:color="auto"/>
              <w:bottom w:val="single" w:sz="6" w:space="0" w:color="000000"/>
            </w:tcBorders>
          </w:tcPr>
          <w:p w14:paraId="59DCC71C" w14:textId="77777777" w:rsidR="00712309" w:rsidRPr="00D93FF9" w:rsidRDefault="00E811B8" w:rsidP="002F55F0">
            <w:pPr>
              <w:pStyle w:val="TableParagraph"/>
              <w:spacing w:before="0" w:after="0" w:line="212" w:lineRule="exact"/>
              <w:jc w:val="center"/>
              <w:rPr>
                <w:sz w:val="16"/>
                <w:lang w:val="en-GB"/>
              </w:rPr>
            </w:pPr>
            <w:r w:rsidRPr="00D93FF9">
              <w:rPr>
                <w:b/>
                <w:sz w:val="16"/>
                <w:lang w:val="en-GB"/>
              </w:rPr>
              <w:t xml:space="preserve">Salinity threshold </w:t>
            </w:r>
            <w:r w:rsidRPr="00D93FF9">
              <w:rPr>
                <w:b/>
                <w:position w:val="2"/>
                <w:sz w:val="16"/>
                <w:lang w:val="en-GB"/>
              </w:rPr>
              <w:t>(EC</w:t>
            </w:r>
            <w:r w:rsidRPr="00D93FF9">
              <w:rPr>
                <w:b/>
                <w:sz w:val="11"/>
                <w:lang w:val="en-GB"/>
              </w:rPr>
              <w:t xml:space="preserve">se </w:t>
            </w:r>
            <w:r w:rsidRPr="00D93FF9">
              <w:rPr>
                <w:b/>
                <w:position w:val="2"/>
                <w:sz w:val="16"/>
                <w:lang w:val="en-GB"/>
              </w:rPr>
              <w:t>dS/m)</w:t>
            </w:r>
          </w:p>
        </w:tc>
        <w:tc>
          <w:tcPr>
            <w:tcW w:w="2100" w:type="dxa"/>
            <w:tcBorders>
              <w:top w:val="single" w:sz="4" w:space="0" w:color="auto"/>
              <w:bottom w:val="single" w:sz="6" w:space="0" w:color="000000"/>
            </w:tcBorders>
          </w:tcPr>
          <w:p w14:paraId="59DCC71D" w14:textId="77777777" w:rsidR="00712309" w:rsidRPr="00D93FF9" w:rsidRDefault="00E811B8" w:rsidP="002F55F0">
            <w:pPr>
              <w:pStyle w:val="TableParagraph"/>
              <w:spacing w:before="0" w:after="0" w:line="190" w:lineRule="atLeast"/>
              <w:jc w:val="center"/>
              <w:rPr>
                <w:b/>
                <w:sz w:val="16"/>
                <w:lang w:val="en-GB"/>
              </w:rPr>
            </w:pPr>
            <w:r w:rsidRPr="00D93FF9">
              <w:rPr>
                <w:b/>
                <w:sz w:val="16"/>
                <w:lang w:val="en-GB"/>
              </w:rPr>
              <w:t>Productivity decrease per dS/m increase (%)</w:t>
            </w:r>
          </w:p>
        </w:tc>
        <w:tc>
          <w:tcPr>
            <w:tcW w:w="3165" w:type="dxa"/>
            <w:gridSpan w:val="3"/>
            <w:tcBorders>
              <w:top w:val="single" w:sz="4" w:space="0" w:color="auto"/>
              <w:bottom w:val="single" w:sz="6" w:space="0" w:color="000000"/>
            </w:tcBorders>
          </w:tcPr>
          <w:p w14:paraId="59DCC71E" w14:textId="77777777" w:rsidR="00712309" w:rsidRPr="00D93FF9" w:rsidRDefault="00E811B8" w:rsidP="002F55F0">
            <w:pPr>
              <w:pStyle w:val="TableParagraph"/>
              <w:spacing w:before="0" w:after="0"/>
              <w:jc w:val="center"/>
              <w:rPr>
                <w:b/>
                <w:sz w:val="16"/>
                <w:lang w:val="en-GB"/>
              </w:rPr>
            </w:pPr>
            <w:r w:rsidRPr="00D93FF9">
              <w:rPr>
                <w:b/>
                <w:position w:val="2"/>
                <w:sz w:val="16"/>
                <w:lang w:val="en-GB"/>
              </w:rPr>
              <w:t>Soil Salinity EC</w:t>
            </w:r>
            <w:r w:rsidRPr="00D93FF9">
              <w:rPr>
                <w:b/>
                <w:sz w:val="11"/>
                <w:lang w:val="en-GB"/>
              </w:rPr>
              <w:t xml:space="preserve">se </w:t>
            </w:r>
            <w:r w:rsidRPr="00D93FF9">
              <w:rPr>
                <w:b/>
                <w:position w:val="2"/>
                <w:sz w:val="16"/>
                <w:lang w:val="en-GB"/>
              </w:rPr>
              <w:t>(dS/m) at</w:t>
            </w:r>
          </w:p>
        </w:tc>
        <w:tc>
          <w:tcPr>
            <w:tcW w:w="1166" w:type="dxa"/>
            <w:tcBorders>
              <w:top w:val="single" w:sz="4" w:space="0" w:color="auto"/>
              <w:bottom w:val="single" w:sz="6" w:space="0" w:color="000000"/>
            </w:tcBorders>
          </w:tcPr>
          <w:p w14:paraId="59DCC71F" w14:textId="77777777" w:rsidR="00712309" w:rsidRPr="00D93FF9" w:rsidRDefault="00E811B8" w:rsidP="002F55F0">
            <w:pPr>
              <w:pStyle w:val="TableParagraph"/>
              <w:spacing w:before="0" w:after="0"/>
              <w:jc w:val="center"/>
              <w:rPr>
                <w:sz w:val="16"/>
                <w:lang w:val="en-GB"/>
              </w:rPr>
            </w:pPr>
            <w:r w:rsidRPr="00D93FF9">
              <w:rPr>
                <w:b/>
                <w:sz w:val="16"/>
                <w:lang w:val="en-GB"/>
              </w:rPr>
              <w:t>Reference</w:t>
            </w:r>
            <w:r w:rsidR="004A7F90" w:rsidRPr="00D93FF9">
              <w:rPr>
                <w:sz w:val="16"/>
                <w:vertAlign w:val="superscript"/>
                <w:lang w:val="en-GB"/>
              </w:rPr>
              <w:t>b</w:t>
            </w:r>
          </w:p>
        </w:tc>
      </w:tr>
      <w:tr w:rsidR="00BE3AA8" w:rsidRPr="00D93FF9" w14:paraId="59DCC729" w14:textId="77777777" w:rsidTr="002F55F0">
        <w:trPr>
          <w:trHeight w:val="425"/>
        </w:trPr>
        <w:tc>
          <w:tcPr>
            <w:tcW w:w="2135" w:type="dxa"/>
            <w:tcBorders>
              <w:bottom w:val="single" w:sz="6" w:space="0" w:color="000000"/>
            </w:tcBorders>
          </w:tcPr>
          <w:p w14:paraId="59DCC721" w14:textId="77777777" w:rsidR="00712309" w:rsidRPr="00D93FF9" w:rsidRDefault="00712309" w:rsidP="00632CE7">
            <w:pPr>
              <w:pStyle w:val="TableParagraph"/>
              <w:spacing w:before="0" w:after="0"/>
              <w:rPr>
                <w:b/>
                <w:sz w:val="16"/>
                <w:lang w:val="en-GB"/>
              </w:rPr>
            </w:pPr>
          </w:p>
        </w:tc>
        <w:tc>
          <w:tcPr>
            <w:tcW w:w="3033" w:type="dxa"/>
            <w:tcBorders>
              <w:bottom w:val="single" w:sz="6" w:space="0" w:color="000000"/>
            </w:tcBorders>
          </w:tcPr>
          <w:p w14:paraId="59DCC722" w14:textId="77777777" w:rsidR="00712309" w:rsidRPr="00D93FF9" w:rsidRDefault="00712309" w:rsidP="00632CE7">
            <w:pPr>
              <w:pStyle w:val="TableParagraph"/>
              <w:spacing w:before="0" w:after="0"/>
              <w:rPr>
                <w:b/>
                <w:sz w:val="16"/>
                <w:lang w:val="en-GB"/>
              </w:rPr>
            </w:pPr>
          </w:p>
        </w:tc>
        <w:tc>
          <w:tcPr>
            <w:tcW w:w="1867" w:type="dxa"/>
            <w:tcBorders>
              <w:bottom w:val="single" w:sz="6" w:space="0" w:color="000000"/>
            </w:tcBorders>
          </w:tcPr>
          <w:p w14:paraId="59DCC723" w14:textId="77777777" w:rsidR="00712309" w:rsidRPr="00D93FF9" w:rsidRDefault="00712309" w:rsidP="002F55F0">
            <w:pPr>
              <w:pStyle w:val="TableParagraph"/>
              <w:spacing w:before="0" w:after="0" w:line="212" w:lineRule="exact"/>
              <w:jc w:val="center"/>
              <w:rPr>
                <w:b/>
                <w:sz w:val="16"/>
                <w:lang w:val="en-GB"/>
              </w:rPr>
            </w:pPr>
          </w:p>
        </w:tc>
        <w:tc>
          <w:tcPr>
            <w:tcW w:w="2100" w:type="dxa"/>
            <w:tcBorders>
              <w:bottom w:val="single" w:sz="6" w:space="0" w:color="000000"/>
            </w:tcBorders>
          </w:tcPr>
          <w:p w14:paraId="59DCC724" w14:textId="77777777" w:rsidR="00712309" w:rsidRPr="00D93FF9" w:rsidRDefault="00712309" w:rsidP="002F55F0">
            <w:pPr>
              <w:pStyle w:val="TableParagraph"/>
              <w:spacing w:before="0" w:after="0" w:line="190" w:lineRule="atLeast"/>
              <w:jc w:val="center"/>
              <w:rPr>
                <w:b/>
                <w:sz w:val="16"/>
                <w:lang w:val="en-GB"/>
              </w:rPr>
            </w:pPr>
          </w:p>
        </w:tc>
        <w:tc>
          <w:tcPr>
            <w:tcW w:w="986" w:type="dxa"/>
            <w:tcBorders>
              <w:top w:val="single" w:sz="6" w:space="0" w:color="000000"/>
              <w:bottom w:val="single" w:sz="6" w:space="0" w:color="000000"/>
            </w:tcBorders>
          </w:tcPr>
          <w:p w14:paraId="59DCC725" w14:textId="77777777" w:rsidR="00712309" w:rsidRPr="00D93FF9" w:rsidRDefault="00E811B8" w:rsidP="002F55F0">
            <w:pPr>
              <w:pStyle w:val="TableParagraph"/>
              <w:spacing w:before="0" w:after="0"/>
              <w:jc w:val="center"/>
              <w:rPr>
                <w:b/>
                <w:sz w:val="16"/>
                <w:lang w:val="en-GB"/>
              </w:rPr>
            </w:pPr>
            <w:r w:rsidRPr="00D93FF9">
              <w:rPr>
                <w:b/>
                <w:sz w:val="16"/>
                <w:lang w:val="en-GB"/>
              </w:rPr>
              <w:t>90% yield</w:t>
            </w:r>
          </w:p>
        </w:tc>
        <w:tc>
          <w:tcPr>
            <w:tcW w:w="1042" w:type="dxa"/>
            <w:tcBorders>
              <w:top w:val="single" w:sz="6" w:space="0" w:color="000000"/>
              <w:bottom w:val="single" w:sz="6" w:space="0" w:color="000000"/>
            </w:tcBorders>
          </w:tcPr>
          <w:p w14:paraId="59DCC726" w14:textId="77777777" w:rsidR="00712309" w:rsidRPr="00D93FF9" w:rsidRDefault="00E811B8" w:rsidP="002F55F0">
            <w:pPr>
              <w:pStyle w:val="TableParagraph"/>
              <w:spacing w:before="0" w:after="0"/>
              <w:jc w:val="center"/>
              <w:rPr>
                <w:b/>
                <w:sz w:val="16"/>
                <w:lang w:val="en-GB"/>
              </w:rPr>
            </w:pPr>
            <w:r w:rsidRPr="00D93FF9">
              <w:rPr>
                <w:b/>
                <w:sz w:val="16"/>
                <w:lang w:val="en-GB"/>
              </w:rPr>
              <w:t>75% yield</w:t>
            </w:r>
          </w:p>
        </w:tc>
        <w:tc>
          <w:tcPr>
            <w:tcW w:w="1136" w:type="dxa"/>
            <w:tcBorders>
              <w:top w:val="single" w:sz="6" w:space="0" w:color="000000"/>
              <w:bottom w:val="single" w:sz="6" w:space="0" w:color="000000"/>
            </w:tcBorders>
          </w:tcPr>
          <w:p w14:paraId="59DCC727" w14:textId="77777777" w:rsidR="00712309" w:rsidRPr="00D93FF9" w:rsidRDefault="00E811B8" w:rsidP="002F55F0">
            <w:pPr>
              <w:pStyle w:val="TableParagraph"/>
              <w:spacing w:before="0" w:after="0"/>
              <w:jc w:val="center"/>
              <w:rPr>
                <w:b/>
                <w:sz w:val="16"/>
                <w:lang w:val="en-GB"/>
              </w:rPr>
            </w:pPr>
            <w:r w:rsidRPr="00D93FF9">
              <w:rPr>
                <w:b/>
                <w:sz w:val="16"/>
                <w:lang w:val="en-GB"/>
              </w:rPr>
              <w:t>50% yield</w:t>
            </w:r>
          </w:p>
        </w:tc>
        <w:tc>
          <w:tcPr>
            <w:tcW w:w="1166" w:type="dxa"/>
            <w:tcBorders>
              <w:bottom w:val="single" w:sz="6" w:space="0" w:color="000000"/>
            </w:tcBorders>
          </w:tcPr>
          <w:p w14:paraId="59DCC728" w14:textId="77777777" w:rsidR="00712309" w:rsidRPr="00D93FF9" w:rsidRDefault="00712309" w:rsidP="002F55F0">
            <w:pPr>
              <w:pStyle w:val="TableParagraph"/>
              <w:spacing w:before="0" w:after="0"/>
              <w:jc w:val="center"/>
              <w:rPr>
                <w:b/>
                <w:sz w:val="16"/>
                <w:lang w:val="en-GB"/>
              </w:rPr>
            </w:pPr>
          </w:p>
        </w:tc>
      </w:tr>
      <w:tr w:rsidR="00BE3AA8" w:rsidRPr="00D93FF9" w14:paraId="59DCC732" w14:textId="77777777" w:rsidTr="002F55F0">
        <w:trPr>
          <w:trHeight w:val="253"/>
        </w:trPr>
        <w:tc>
          <w:tcPr>
            <w:tcW w:w="2135" w:type="dxa"/>
            <w:tcBorders>
              <w:top w:val="single" w:sz="6" w:space="0" w:color="000000"/>
            </w:tcBorders>
          </w:tcPr>
          <w:p w14:paraId="59DCC72A" w14:textId="77777777" w:rsidR="00712309" w:rsidRPr="00D93FF9" w:rsidRDefault="00E811B8" w:rsidP="00632CE7">
            <w:pPr>
              <w:pStyle w:val="TableParagraph"/>
              <w:spacing w:before="0" w:after="0"/>
              <w:rPr>
                <w:b/>
                <w:sz w:val="16"/>
                <w:lang w:val="en-GB"/>
              </w:rPr>
            </w:pPr>
            <w:r w:rsidRPr="00D93FF9">
              <w:rPr>
                <w:b/>
                <w:sz w:val="16"/>
                <w:lang w:val="en-GB"/>
              </w:rPr>
              <w:t>Grains</w:t>
            </w:r>
          </w:p>
        </w:tc>
        <w:tc>
          <w:tcPr>
            <w:tcW w:w="3033" w:type="dxa"/>
            <w:tcBorders>
              <w:top w:val="single" w:sz="6" w:space="0" w:color="000000"/>
            </w:tcBorders>
          </w:tcPr>
          <w:p w14:paraId="59DCC72B" w14:textId="77777777" w:rsidR="00712309" w:rsidRPr="00D93FF9" w:rsidRDefault="00712309" w:rsidP="00632CE7">
            <w:pPr>
              <w:pStyle w:val="TableParagraph"/>
              <w:spacing w:before="0" w:after="0"/>
              <w:rPr>
                <w:rFonts w:ascii="Times New Roman"/>
                <w:sz w:val="14"/>
                <w:lang w:val="en-GB"/>
              </w:rPr>
            </w:pPr>
          </w:p>
        </w:tc>
        <w:tc>
          <w:tcPr>
            <w:tcW w:w="1867" w:type="dxa"/>
            <w:tcBorders>
              <w:top w:val="single" w:sz="6" w:space="0" w:color="000000"/>
            </w:tcBorders>
          </w:tcPr>
          <w:p w14:paraId="59DCC72C" w14:textId="77777777" w:rsidR="00712309" w:rsidRPr="00D93FF9" w:rsidRDefault="00712309" w:rsidP="002F55F0">
            <w:pPr>
              <w:pStyle w:val="TableParagraph"/>
              <w:spacing w:before="0" w:after="0"/>
              <w:jc w:val="center"/>
              <w:rPr>
                <w:rFonts w:ascii="Times New Roman"/>
                <w:sz w:val="14"/>
                <w:lang w:val="en-GB"/>
              </w:rPr>
            </w:pPr>
          </w:p>
        </w:tc>
        <w:tc>
          <w:tcPr>
            <w:tcW w:w="2100" w:type="dxa"/>
            <w:tcBorders>
              <w:top w:val="single" w:sz="6" w:space="0" w:color="000000"/>
            </w:tcBorders>
          </w:tcPr>
          <w:p w14:paraId="59DCC72D" w14:textId="77777777" w:rsidR="00712309" w:rsidRPr="00D93FF9" w:rsidRDefault="00712309" w:rsidP="002F55F0">
            <w:pPr>
              <w:pStyle w:val="TableParagraph"/>
              <w:spacing w:before="0" w:after="0"/>
              <w:jc w:val="center"/>
              <w:rPr>
                <w:rFonts w:ascii="Times New Roman"/>
                <w:sz w:val="14"/>
                <w:lang w:val="en-GB"/>
              </w:rPr>
            </w:pPr>
          </w:p>
        </w:tc>
        <w:tc>
          <w:tcPr>
            <w:tcW w:w="986" w:type="dxa"/>
            <w:tcBorders>
              <w:top w:val="single" w:sz="6" w:space="0" w:color="000000"/>
            </w:tcBorders>
          </w:tcPr>
          <w:p w14:paraId="59DCC72E" w14:textId="77777777" w:rsidR="00712309" w:rsidRPr="00D93FF9" w:rsidRDefault="00712309" w:rsidP="002F55F0">
            <w:pPr>
              <w:pStyle w:val="TableParagraph"/>
              <w:spacing w:before="0" w:after="0"/>
              <w:jc w:val="center"/>
              <w:rPr>
                <w:rFonts w:ascii="Times New Roman"/>
                <w:sz w:val="14"/>
                <w:lang w:val="en-GB"/>
              </w:rPr>
            </w:pPr>
          </w:p>
        </w:tc>
        <w:tc>
          <w:tcPr>
            <w:tcW w:w="1042" w:type="dxa"/>
            <w:tcBorders>
              <w:top w:val="single" w:sz="6" w:space="0" w:color="000000"/>
            </w:tcBorders>
          </w:tcPr>
          <w:p w14:paraId="59DCC72F" w14:textId="77777777" w:rsidR="00712309" w:rsidRPr="00D93FF9" w:rsidRDefault="00712309" w:rsidP="002F55F0">
            <w:pPr>
              <w:pStyle w:val="TableParagraph"/>
              <w:spacing w:before="0" w:after="0"/>
              <w:jc w:val="center"/>
              <w:rPr>
                <w:rFonts w:ascii="Times New Roman"/>
                <w:sz w:val="14"/>
                <w:lang w:val="en-GB"/>
              </w:rPr>
            </w:pPr>
          </w:p>
        </w:tc>
        <w:tc>
          <w:tcPr>
            <w:tcW w:w="1136" w:type="dxa"/>
            <w:tcBorders>
              <w:top w:val="single" w:sz="6" w:space="0" w:color="000000"/>
            </w:tcBorders>
          </w:tcPr>
          <w:p w14:paraId="59DCC730" w14:textId="77777777" w:rsidR="00712309" w:rsidRPr="00D93FF9" w:rsidRDefault="00712309" w:rsidP="002F55F0">
            <w:pPr>
              <w:pStyle w:val="TableParagraph"/>
              <w:spacing w:before="0" w:after="0"/>
              <w:jc w:val="center"/>
              <w:rPr>
                <w:rFonts w:ascii="Times New Roman"/>
                <w:sz w:val="14"/>
                <w:lang w:val="en-GB"/>
              </w:rPr>
            </w:pPr>
          </w:p>
        </w:tc>
        <w:tc>
          <w:tcPr>
            <w:tcW w:w="1166" w:type="dxa"/>
            <w:tcBorders>
              <w:top w:val="single" w:sz="6" w:space="0" w:color="000000"/>
            </w:tcBorders>
          </w:tcPr>
          <w:p w14:paraId="59DCC731" w14:textId="77777777" w:rsidR="00712309" w:rsidRPr="00D93FF9" w:rsidRDefault="00712309" w:rsidP="002F55F0">
            <w:pPr>
              <w:pStyle w:val="TableParagraph"/>
              <w:spacing w:before="0" w:after="0"/>
              <w:jc w:val="center"/>
              <w:rPr>
                <w:rFonts w:ascii="Times New Roman"/>
                <w:sz w:val="14"/>
                <w:lang w:val="en-GB"/>
              </w:rPr>
            </w:pPr>
          </w:p>
        </w:tc>
      </w:tr>
      <w:tr w:rsidR="00BE3AA8" w:rsidRPr="00D93FF9" w14:paraId="59DCC73B" w14:textId="77777777" w:rsidTr="002F55F0">
        <w:trPr>
          <w:trHeight w:val="255"/>
        </w:trPr>
        <w:tc>
          <w:tcPr>
            <w:tcW w:w="2135" w:type="dxa"/>
          </w:tcPr>
          <w:p w14:paraId="59DCC733" w14:textId="77777777" w:rsidR="00712309" w:rsidRPr="00D93FF9" w:rsidRDefault="00E811B8" w:rsidP="00632CE7">
            <w:pPr>
              <w:pStyle w:val="TableParagraph"/>
              <w:spacing w:before="0" w:after="0"/>
              <w:rPr>
                <w:sz w:val="16"/>
                <w:lang w:val="en-GB"/>
              </w:rPr>
            </w:pPr>
            <w:r w:rsidRPr="00D93FF9">
              <w:rPr>
                <w:sz w:val="16"/>
                <w:lang w:val="en-GB"/>
              </w:rPr>
              <w:t>Barley, grain</w:t>
            </w:r>
          </w:p>
        </w:tc>
        <w:tc>
          <w:tcPr>
            <w:tcW w:w="3033" w:type="dxa"/>
          </w:tcPr>
          <w:p w14:paraId="59DCC734" w14:textId="77777777" w:rsidR="00712309" w:rsidRPr="00D93FF9" w:rsidRDefault="00E811B8" w:rsidP="00632CE7">
            <w:pPr>
              <w:pStyle w:val="TableParagraph"/>
              <w:spacing w:before="0" w:after="0"/>
              <w:rPr>
                <w:i/>
                <w:sz w:val="16"/>
                <w:lang w:val="en-GB"/>
              </w:rPr>
            </w:pPr>
            <w:r w:rsidRPr="00D93FF9">
              <w:rPr>
                <w:i/>
                <w:sz w:val="16"/>
                <w:lang w:val="en-GB"/>
              </w:rPr>
              <w:t>Hordeum vulgare</w:t>
            </w:r>
          </w:p>
        </w:tc>
        <w:tc>
          <w:tcPr>
            <w:tcW w:w="1867" w:type="dxa"/>
          </w:tcPr>
          <w:p w14:paraId="59DCC735" w14:textId="77777777" w:rsidR="00712309" w:rsidRPr="00D93FF9" w:rsidRDefault="00E811B8" w:rsidP="002F55F0">
            <w:pPr>
              <w:pStyle w:val="TableParagraph"/>
              <w:spacing w:before="0" w:after="0"/>
              <w:jc w:val="center"/>
              <w:rPr>
                <w:sz w:val="16"/>
                <w:lang w:val="en-GB"/>
              </w:rPr>
            </w:pPr>
            <w:r w:rsidRPr="00D93FF9">
              <w:rPr>
                <w:sz w:val="16"/>
                <w:lang w:val="en-GB"/>
              </w:rPr>
              <w:t>8.0</w:t>
            </w:r>
          </w:p>
        </w:tc>
        <w:tc>
          <w:tcPr>
            <w:tcW w:w="2100" w:type="dxa"/>
          </w:tcPr>
          <w:p w14:paraId="59DCC736" w14:textId="77777777" w:rsidR="00712309" w:rsidRPr="00D93FF9" w:rsidRDefault="00E811B8" w:rsidP="002F55F0">
            <w:pPr>
              <w:pStyle w:val="TableParagraph"/>
              <w:spacing w:before="0" w:after="0"/>
              <w:jc w:val="center"/>
              <w:rPr>
                <w:sz w:val="16"/>
                <w:lang w:val="en-GB"/>
              </w:rPr>
            </w:pPr>
            <w:r w:rsidRPr="00D93FF9">
              <w:rPr>
                <w:sz w:val="16"/>
                <w:lang w:val="en-GB"/>
              </w:rPr>
              <w:t>5.0</w:t>
            </w:r>
          </w:p>
        </w:tc>
        <w:tc>
          <w:tcPr>
            <w:tcW w:w="986" w:type="dxa"/>
          </w:tcPr>
          <w:p w14:paraId="59DCC737" w14:textId="77777777" w:rsidR="00712309" w:rsidRPr="00D93FF9" w:rsidRDefault="00E811B8" w:rsidP="002F55F0">
            <w:pPr>
              <w:pStyle w:val="TableParagraph"/>
              <w:spacing w:before="0" w:after="0"/>
              <w:jc w:val="center"/>
              <w:rPr>
                <w:sz w:val="16"/>
                <w:lang w:val="en-GB"/>
              </w:rPr>
            </w:pPr>
            <w:r w:rsidRPr="00D93FF9">
              <w:rPr>
                <w:sz w:val="16"/>
                <w:lang w:val="en-GB"/>
              </w:rPr>
              <w:t>10.0</w:t>
            </w:r>
          </w:p>
        </w:tc>
        <w:tc>
          <w:tcPr>
            <w:tcW w:w="1042" w:type="dxa"/>
          </w:tcPr>
          <w:p w14:paraId="59DCC738" w14:textId="77777777" w:rsidR="00712309" w:rsidRPr="00D93FF9" w:rsidRDefault="00E811B8" w:rsidP="002F55F0">
            <w:pPr>
              <w:pStyle w:val="TableParagraph"/>
              <w:spacing w:before="0" w:after="0"/>
              <w:jc w:val="center"/>
              <w:rPr>
                <w:sz w:val="16"/>
                <w:lang w:val="en-GB"/>
              </w:rPr>
            </w:pPr>
            <w:r w:rsidRPr="00D93FF9">
              <w:rPr>
                <w:sz w:val="16"/>
                <w:lang w:val="en-GB"/>
              </w:rPr>
              <w:t>13.0</w:t>
            </w:r>
          </w:p>
        </w:tc>
        <w:tc>
          <w:tcPr>
            <w:tcW w:w="1136" w:type="dxa"/>
          </w:tcPr>
          <w:p w14:paraId="59DCC739" w14:textId="77777777" w:rsidR="00712309" w:rsidRPr="00D93FF9" w:rsidRDefault="00E811B8" w:rsidP="002F55F0">
            <w:pPr>
              <w:pStyle w:val="TableParagraph"/>
              <w:spacing w:before="0" w:after="0"/>
              <w:jc w:val="center"/>
              <w:rPr>
                <w:sz w:val="16"/>
                <w:lang w:val="en-GB"/>
              </w:rPr>
            </w:pPr>
            <w:r w:rsidRPr="00D93FF9">
              <w:rPr>
                <w:sz w:val="16"/>
                <w:lang w:val="en-GB"/>
              </w:rPr>
              <w:t>18.0</w:t>
            </w:r>
          </w:p>
        </w:tc>
        <w:tc>
          <w:tcPr>
            <w:tcW w:w="1166" w:type="dxa"/>
          </w:tcPr>
          <w:p w14:paraId="59DCC73A"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744" w14:textId="77777777" w:rsidTr="002F55F0">
        <w:trPr>
          <w:trHeight w:val="228"/>
        </w:trPr>
        <w:tc>
          <w:tcPr>
            <w:tcW w:w="2135" w:type="dxa"/>
          </w:tcPr>
          <w:p w14:paraId="59DCC73C" w14:textId="77777777" w:rsidR="00712309" w:rsidRPr="00D93FF9" w:rsidRDefault="00E811B8" w:rsidP="00632CE7">
            <w:pPr>
              <w:pStyle w:val="TableParagraph"/>
              <w:spacing w:before="0" w:after="0"/>
              <w:rPr>
                <w:sz w:val="16"/>
                <w:lang w:val="en-GB"/>
              </w:rPr>
            </w:pPr>
            <w:r w:rsidRPr="00D93FF9">
              <w:rPr>
                <w:sz w:val="16"/>
                <w:lang w:val="en-GB"/>
              </w:rPr>
              <w:t>Corn, grain, sweet</w:t>
            </w:r>
          </w:p>
        </w:tc>
        <w:tc>
          <w:tcPr>
            <w:tcW w:w="3033" w:type="dxa"/>
          </w:tcPr>
          <w:p w14:paraId="59DCC73D" w14:textId="77777777" w:rsidR="00712309" w:rsidRPr="00D93FF9" w:rsidRDefault="00E811B8" w:rsidP="00632CE7">
            <w:pPr>
              <w:pStyle w:val="TableParagraph"/>
              <w:spacing w:before="0" w:after="0"/>
              <w:rPr>
                <w:i/>
                <w:sz w:val="16"/>
                <w:lang w:val="en-GB"/>
              </w:rPr>
            </w:pPr>
            <w:r w:rsidRPr="00D93FF9">
              <w:rPr>
                <w:i/>
                <w:sz w:val="16"/>
                <w:lang w:val="en-GB"/>
              </w:rPr>
              <w:t>Zea mays</w:t>
            </w:r>
          </w:p>
        </w:tc>
        <w:tc>
          <w:tcPr>
            <w:tcW w:w="1867" w:type="dxa"/>
          </w:tcPr>
          <w:p w14:paraId="59DCC73E" w14:textId="77777777" w:rsidR="00712309" w:rsidRPr="00D93FF9" w:rsidRDefault="00E811B8" w:rsidP="002F55F0">
            <w:pPr>
              <w:pStyle w:val="TableParagraph"/>
              <w:spacing w:before="0" w:after="0"/>
              <w:jc w:val="center"/>
              <w:rPr>
                <w:sz w:val="16"/>
                <w:lang w:val="en-GB"/>
              </w:rPr>
            </w:pPr>
            <w:r w:rsidRPr="00D93FF9">
              <w:rPr>
                <w:sz w:val="16"/>
                <w:lang w:val="en-GB"/>
              </w:rPr>
              <w:t>1.7</w:t>
            </w:r>
          </w:p>
        </w:tc>
        <w:tc>
          <w:tcPr>
            <w:tcW w:w="2100" w:type="dxa"/>
          </w:tcPr>
          <w:p w14:paraId="59DCC73F" w14:textId="77777777" w:rsidR="00712309" w:rsidRPr="00D93FF9" w:rsidRDefault="00E811B8" w:rsidP="002F55F0">
            <w:pPr>
              <w:pStyle w:val="TableParagraph"/>
              <w:spacing w:before="0" w:after="0"/>
              <w:jc w:val="center"/>
              <w:rPr>
                <w:sz w:val="16"/>
                <w:lang w:val="en-GB"/>
              </w:rPr>
            </w:pPr>
            <w:r w:rsidRPr="00D93FF9">
              <w:rPr>
                <w:sz w:val="16"/>
                <w:lang w:val="en-GB"/>
              </w:rPr>
              <w:t>12.0</w:t>
            </w:r>
          </w:p>
        </w:tc>
        <w:tc>
          <w:tcPr>
            <w:tcW w:w="986" w:type="dxa"/>
          </w:tcPr>
          <w:p w14:paraId="59DCC740" w14:textId="77777777" w:rsidR="00712309" w:rsidRPr="00D93FF9" w:rsidRDefault="00E811B8" w:rsidP="002F55F0">
            <w:pPr>
              <w:pStyle w:val="TableParagraph"/>
              <w:spacing w:before="0" w:after="0"/>
              <w:jc w:val="center"/>
              <w:rPr>
                <w:sz w:val="16"/>
                <w:lang w:val="en-GB"/>
              </w:rPr>
            </w:pPr>
            <w:r w:rsidRPr="00D93FF9">
              <w:rPr>
                <w:sz w:val="16"/>
                <w:lang w:val="en-GB"/>
              </w:rPr>
              <w:t>2.5</w:t>
            </w:r>
          </w:p>
        </w:tc>
        <w:tc>
          <w:tcPr>
            <w:tcW w:w="1042" w:type="dxa"/>
          </w:tcPr>
          <w:p w14:paraId="59DCC741" w14:textId="77777777" w:rsidR="00712309" w:rsidRPr="00D93FF9" w:rsidRDefault="00E811B8" w:rsidP="002F55F0">
            <w:pPr>
              <w:pStyle w:val="TableParagraph"/>
              <w:spacing w:before="0" w:after="0"/>
              <w:jc w:val="center"/>
              <w:rPr>
                <w:sz w:val="16"/>
                <w:lang w:val="en-GB"/>
              </w:rPr>
            </w:pPr>
            <w:r w:rsidRPr="00D93FF9">
              <w:rPr>
                <w:sz w:val="16"/>
                <w:lang w:val="en-GB"/>
              </w:rPr>
              <w:t>3.8</w:t>
            </w:r>
          </w:p>
        </w:tc>
        <w:tc>
          <w:tcPr>
            <w:tcW w:w="1136" w:type="dxa"/>
          </w:tcPr>
          <w:p w14:paraId="59DCC742" w14:textId="77777777" w:rsidR="00712309" w:rsidRPr="00D93FF9" w:rsidRDefault="00E811B8" w:rsidP="002F55F0">
            <w:pPr>
              <w:pStyle w:val="TableParagraph"/>
              <w:spacing w:before="0" w:after="0"/>
              <w:jc w:val="center"/>
              <w:rPr>
                <w:sz w:val="16"/>
                <w:lang w:val="en-GB"/>
              </w:rPr>
            </w:pPr>
            <w:r w:rsidRPr="00D93FF9">
              <w:rPr>
                <w:sz w:val="16"/>
                <w:lang w:val="en-GB"/>
              </w:rPr>
              <w:t>5.9</w:t>
            </w:r>
          </w:p>
        </w:tc>
        <w:tc>
          <w:tcPr>
            <w:tcW w:w="1166" w:type="dxa"/>
          </w:tcPr>
          <w:p w14:paraId="59DCC743"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74D" w14:textId="77777777" w:rsidTr="002F55F0">
        <w:trPr>
          <w:trHeight w:val="228"/>
        </w:trPr>
        <w:tc>
          <w:tcPr>
            <w:tcW w:w="2135" w:type="dxa"/>
          </w:tcPr>
          <w:p w14:paraId="59DCC745" w14:textId="77777777" w:rsidR="00712309" w:rsidRPr="00D93FF9" w:rsidRDefault="00E811B8" w:rsidP="00632CE7">
            <w:pPr>
              <w:pStyle w:val="TableParagraph"/>
              <w:spacing w:before="0" w:after="0"/>
              <w:rPr>
                <w:sz w:val="16"/>
                <w:lang w:val="en-GB"/>
              </w:rPr>
            </w:pPr>
            <w:r w:rsidRPr="00D93FF9">
              <w:rPr>
                <w:sz w:val="16"/>
                <w:lang w:val="en-GB"/>
              </w:rPr>
              <w:t>Cotton</w:t>
            </w:r>
          </w:p>
        </w:tc>
        <w:tc>
          <w:tcPr>
            <w:tcW w:w="3033" w:type="dxa"/>
          </w:tcPr>
          <w:p w14:paraId="59DCC746" w14:textId="77777777" w:rsidR="00712309" w:rsidRPr="00D93FF9" w:rsidRDefault="00E811B8" w:rsidP="00632CE7">
            <w:pPr>
              <w:pStyle w:val="TableParagraph"/>
              <w:spacing w:before="0" w:after="0"/>
              <w:rPr>
                <w:i/>
                <w:sz w:val="16"/>
                <w:lang w:val="en-GB"/>
              </w:rPr>
            </w:pPr>
            <w:r w:rsidRPr="00D93FF9">
              <w:rPr>
                <w:i/>
                <w:sz w:val="16"/>
                <w:lang w:val="en-GB"/>
              </w:rPr>
              <w:t>Gossypium hirsutum</w:t>
            </w:r>
          </w:p>
        </w:tc>
        <w:tc>
          <w:tcPr>
            <w:tcW w:w="1867" w:type="dxa"/>
          </w:tcPr>
          <w:p w14:paraId="59DCC747" w14:textId="77777777" w:rsidR="00712309" w:rsidRPr="00D93FF9" w:rsidRDefault="00E811B8" w:rsidP="002F55F0">
            <w:pPr>
              <w:pStyle w:val="TableParagraph"/>
              <w:spacing w:before="0" w:after="0"/>
              <w:jc w:val="center"/>
              <w:rPr>
                <w:sz w:val="16"/>
                <w:lang w:val="en-GB"/>
              </w:rPr>
            </w:pPr>
            <w:r w:rsidRPr="00D93FF9">
              <w:rPr>
                <w:sz w:val="16"/>
                <w:lang w:val="en-GB"/>
              </w:rPr>
              <w:t>7.7</w:t>
            </w:r>
          </w:p>
        </w:tc>
        <w:tc>
          <w:tcPr>
            <w:tcW w:w="2100" w:type="dxa"/>
          </w:tcPr>
          <w:p w14:paraId="59DCC748" w14:textId="77777777" w:rsidR="00712309" w:rsidRPr="00D93FF9" w:rsidRDefault="00E811B8" w:rsidP="002F55F0">
            <w:pPr>
              <w:pStyle w:val="TableParagraph"/>
              <w:spacing w:before="0" w:after="0"/>
              <w:jc w:val="center"/>
              <w:rPr>
                <w:sz w:val="16"/>
                <w:lang w:val="en-GB"/>
              </w:rPr>
            </w:pPr>
            <w:r w:rsidRPr="00D93FF9">
              <w:rPr>
                <w:sz w:val="16"/>
                <w:lang w:val="en-GB"/>
              </w:rPr>
              <w:t>5.2</w:t>
            </w:r>
          </w:p>
        </w:tc>
        <w:tc>
          <w:tcPr>
            <w:tcW w:w="986" w:type="dxa"/>
          </w:tcPr>
          <w:p w14:paraId="59DCC749" w14:textId="77777777" w:rsidR="00712309" w:rsidRPr="00D93FF9" w:rsidRDefault="00E811B8" w:rsidP="002F55F0">
            <w:pPr>
              <w:pStyle w:val="TableParagraph"/>
              <w:spacing w:before="0" w:after="0"/>
              <w:jc w:val="center"/>
              <w:rPr>
                <w:sz w:val="16"/>
                <w:lang w:val="en-GB"/>
              </w:rPr>
            </w:pPr>
            <w:r w:rsidRPr="00D93FF9">
              <w:rPr>
                <w:sz w:val="16"/>
                <w:lang w:val="en-GB"/>
              </w:rPr>
              <w:t>9.6</w:t>
            </w:r>
          </w:p>
        </w:tc>
        <w:tc>
          <w:tcPr>
            <w:tcW w:w="1042" w:type="dxa"/>
          </w:tcPr>
          <w:p w14:paraId="59DCC74A" w14:textId="77777777" w:rsidR="00712309" w:rsidRPr="00D93FF9" w:rsidRDefault="00E811B8" w:rsidP="002F55F0">
            <w:pPr>
              <w:pStyle w:val="TableParagraph"/>
              <w:spacing w:before="0" w:after="0"/>
              <w:jc w:val="center"/>
              <w:rPr>
                <w:sz w:val="16"/>
                <w:lang w:val="en-GB"/>
              </w:rPr>
            </w:pPr>
            <w:r w:rsidRPr="00D93FF9">
              <w:rPr>
                <w:sz w:val="16"/>
                <w:lang w:val="en-GB"/>
              </w:rPr>
              <w:t>12.5</w:t>
            </w:r>
          </w:p>
        </w:tc>
        <w:tc>
          <w:tcPr>
            <w:tcW w:w="1136" w:type="dxa"/>
          </w:tcPr>
          <w:p w14:paraId="59DCC74B" w14:textId="77777777" w:rsidR="00712309" w:rsidRPr="00D93FF9" w:rsidRDefault="00E811B8" w:rsidP="002F55F0">
            <w:pPr>
              <w:pStyle w:val="TableParagraph"/>
              <w:spacing w:before="0" w:after="0"/>
              <w:jc w:val="center"/>
              <w:rPr>
                <w:sz w:val="16"/>
                <w:lang w:val="en-GB"/>
              </w:rPr>
            </w:pPr>
            <w:r w:rsidRPr="00D93FF9">
              <w:rPr>
                <w:sz w:val="16"/>
                <w:lang w:val="en-GB"/>
              </w:rPr>
              <w:t>17.3</w:t>
            </w:r>
          </w:p>
        </w:tc>
        <w:tc>
          <w:tcPr>
            <w:tcW w:w="1166" w:type="dxa"/>
          </w:tcPr>
          <w:p w14:paraId="59DCC74C"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756" w14:textId="77777777" w:rsidTr="002F55F0">
        <w:trPr>
          <w:trHeight w:val="227"/>
        </w:trPr>
        <w:tc>
          <w:tcPr>
            <w:tcW w:w="2135" w:type="dxa"/>
          </w:tcPr>
          <w:p w14:paraId="59DCC74E" w14:textId="77777777" w:rsidR="00712309" w:rsidRPr="00D93FF9" w:rsidRDefault="00E811B8" w:rsidP="00632CE7">
            <w:pPr>
              <w:pStyle w:val="TableParagraph"/>
              <w:spacing w:before="0" w:after="0"/>
              <w:rPr>
                <w:sz w:val="16"/>
                <w:lang w:val="en-GB"/>
              </w:rPr>
            </w:pPr>
            <w:r w:rsidRPr="00D93FF9">
              <w:rPr>
                <w:sz w:val="16"/>
                <w:lang w:val="en-GB"/>
              </w:rPr>
              <w:t>Cowpea (seed)</w:t>
            </w:r>
          </w:p>
        </w:tc>
        <w:tc>
          <w:tcPr>
            <w:tcW w:w="3033" w:type="dxa"/>
          </w:tcPr>
          <w:p w14:paraId="59DCC74F" w14:textId="77777777" w:rsidR="00712309" w:rsidRPr="00D93FF9" w:rsidRDefault="00E811B8" w:rsidP="00632CE7">
            <w:pPr>
              <w:pStyle w:val="TableParagraph"/>
              <w:spacing w:before="0" w:after="0"/>
              <w:rPr>
                <w:i/>
                <w:sz w:val="16"/>
                <w:lang w:val="en-GB"/>
              </w:rPr>
            </w:pPr>
            <w:r w:rsidRPr="00D93FF9">
              <w:rPr>
                <w:i/>
                <w:sz w:val="16"/>
                <w:lang w:val="en-GB"/>
              </w:rPr>
              <w:t>Vigna unguiculata</w:t>
            </w:r>
          </w:p>
        </w:tc>
        <w:tc>
          <w:tcPr>
            <w:tcW w:w="1867" w:type="dxa"/>
          </w:tcPr>
          <w:p w14:paraId="59DCC750" w14:textId="77777777" w:rsidR="00712309" w:rsidRPr="00D93FF9" w:rsidRDefault="00E811B8" w:rsidP="002F55F0">
            <w:pPr>
              <w:pStyle w:val="TableParagraph"/>
              <w:spacing w:before="0" w:after="0"/>
              <w:jc w:val="center"/>
              <w:rPr>
                <w:sz w:val="16"/>
                <w:lang w:val="en-GB"/>
              </w:rPr>
            </w:pPr>
            <w:r w:rsidRPr="00D93FF9">
              <w:rPr>
                <w:sz w:val="16"/>
                <w:lang w:val="en-GB"/>
              </w:rPr>
              <w:t>1.6</w:t>
            </w:r>
          </w:p>
        </w:tc>
        <w:tc>
          <w:tcPr>
            <w:tcW w:w="2100" w:type="dxa"/>
          </w:tcPr>
          <w:p w14:paraId="59DCC751" w14:textId="77777777" w:rsidR="00712309" w:rsidRPr="00D93FF9" w:rsidRDefault="00E811B8" w:rsidP="002F55F0">
            <w:pPr>
              <w:pStyle w:val="TableParagraph"/>
              <w:spacing w:before="0" w:after="0"/>
              <w:jc w:val="center"/>
              <w:rPr>
                <w:sz w:val="16"/>
                <w:lang w:val="en-GB"/>
              </w:rPr>
            </w:pPr>
            <w:r w:rsidRPr="00D93FF9">
              <w:rPr>
                <w:sz w:val="16"/>
                <w:lang w:val="en-GB"/>
              </w:rPr>
              <w:t>9.0</w:t>
            </w:r>
          </w:p>
        </w:tc>
        <w:tc>
          <w:tcPr>
            <w:tcW w:w="986" w:type="dxa"/>
          </w:tcPr>
          <w:p w14:paraId="59DCC752" w14:textId="77777777" w:rsidR="00712309" w:rsidRPr="00D93FF9" w:rsidRDefault="00E811B8" w:rsidP="002F55F0">
            <w:pPr>
              <w:pStyle w:val="TableParagraph"/>
              <w:spacing w:before="0" w:after="0"/>
              <w:jc w:val="center"/>
              <w:rPr>
                <w:sz w:val="16"/>
                <w:lang w:val="en-GB"/>
              </w:rPr>
            </w:pPr>
            <w:r w:rsidRPr="00D93FF9">
              <w:rPr>
                <w:sz w:val="16"/>
                <w:lang w:val="en-GB"/>
              </w:rPr>
              <w:t>2.7</w:t>
            </w:r>
          </w:p>
        </w:tc>
        <w:tc>
          <w:tcPr>
            <w:tcW w:w="1042" w:type="dxa"/>
          </w:tcPr>
          <w:p w14:paraId="59DCC753" w14:textId="77777777" w:rsidR="00712309" w:rsidRPr="00D93FF9" w:rsidRDefault="00E811B8" w:rsidP="002F55F0">
            <w:pPr>
              <w:pStyle w:val="TableParagraph"/>
              <w:spacing w:before="0" w:after="0"/>
              <w:jc w:val="center"/>
              <w:rPr>
                <w:sz w:val="16"/>
                <w:lang w:val="en-GB"/>
              </w:rPr>
            </w:pPr>
            <w:r w:rsidRPr="00D93FF9">
              <w:rPr>
                <w:sz w:val="16"/>
                <w:lang w:val="en-GB"/>
              </w:rPr>
              <w:t>4.4</w:t>
            </w:r>
          </w:p>
        </w:tc>
        <w:tc>
          <w:tcPr>
            <w:tcW w:w="1136" w:type="dxa"/>
          </w:tcPr>
          <w:p w14:paraId="59DCC754" w14:textId="77777777" w:rsidR="00712309" w:rsidRPr="00D93FF9" w:rsidRDefault="00E811B8" w:rsidP="002F55F0">
            <w:pPr>
              <w:pStyle w:val="TableParagraph"/>
              <w:spacing w:before="0" w:after="0"/>
              <w:jc w:val="center"/>
              <w:rPr>
                <w:sz w:val="16"/>
                <w:lang w:val="en-GB"/>
              </w:rPr>
            </w:pPr>
            <w:r w:rsidRPr="00D93FF9">
              <w:rPr>
                <w:sz w:val="16"/>
                <w:lang w:val="en-GB"/>
              </w:rPr>
              <w:t>7.2</w:t>
            </w:r>
          </w:p>
        </w:tc>
        <w:tc>
          <w:tcPr>
            <w:tcW w:w="1166" w:type="dxa"/>
          </w:tcPr>
          <w:p w14:paraId="59DCC755" w14:textId="77777777" w:rsidR="00712309" w:rsidRPr="00D93FF9" w:rsidRDefault="00E811B8" w:rsidP="002F55F0">
            <w:pPr>
              <w:pStyle w:val="TableParagraph"/>
              <w:spacing w:before="0" w:after="0"/>
              <w:jc w:val="center"/>
              <w:rPr>
                <w:sz w:val="16"/>
                <w:lang w:val="en-GB"/>
              </w:rPr>
            </w:pPr>
            <w:r w:rsidRPr="00D93FF9">
              <w:rPr>
                <w:sz w:val="16"/>
                <w:lang w:val="en-GB"/>
              </w:rPr>
              <w:t>9</w:t>
            </w:r>
          </w:p>
        </w:tc>
      </w:tr>
      <w:tr w:rsidR="00BE3AA8" w:rsidRPr="00D93FF9" w14:paraId="59DCC75F" w14:textId="77777777" w:rsidTr="002F55F0">
        <w:trPr>
          <w:trHeight w:val="228"/>
        </w:trPr>
        <w:tc>
          <w:tcPr>
            <w:tcW w:w="2135" w:type="dxa"/>
          </w:tcPr>
          <w:p w14:paraId="59DCC757" w14:textId="77777777" w:rsidR="00712309" w:rsidRPr="00D93FF9" w:rsidRDefault="00E811B8" w:rsidP="00632CE7">
            <w:pPr>
              <w:pStyle w:val="TableParagraph"/>
              <w:spacing w:before="0" w:after="0"/>
              <w:rPr>
                <w:sz w:val="16"/>
                <w:lang w:val="en-GB"/>
              </w:rPr>
            </w:pPr>
            <w:r w:rsidRPr="00D93FF9">
              <w:rPr>
                <w:sz w:val="16"/>
                <w:lang w:val="en-GB"/>
              </w:rPr>
              <w:t>Cowpea, Caloona</w:t>
            </w:r>
          </w:p>
        </w:tc>
        <w:tc>
          <w:tcPr>
            <w:tcW w:w="3033" w:type="dxa"/>
          </w:tcPr>
          <w:p w14:paraId="59DCC758" w14:textId="77777777" w:rsidR="00712309" w:rsidRPr="00D93FF9" w:rsidRDefault="00E811B8" w:rsidP="00632CE7">
            <w:pPr>
              <w:pStyle w:val="TableParagraph"/>
              <w:spacing w:before="0" w:after="0"/>
              <w:rPr>
                <w:i/>
                <w:sz w:val="16"/>
                <w:lang w:val="en-GB"/>
              </w:rPr>
            </w:pPr>
            <w:r w:rsidRPr="00D93FF9">
              <w:rPr>
                <w:i/>
                <w:sz w:val="16"/>
                <w:lang w:val="en-GB"/>
              </w:rPr>
              <w:t xml:space="preserve">Vigna unguiculata </w:t>
            </w:r>
            <w:r w:rsidRPr="00D93FF9">
              <w:rPr>
                <w:sz w:val="16"/>
                <w:lang w:val="en-GB"/>
              </w:rPr>
              <w:t xml:space="preserve">var </w:t>
            </w:r>
            <w:r w:rsidRPr="00D93FF9">
              <w:rPr>
                <w:i/>
                <w:sz w:val="16"/>
                <w:lang w:val="en-GB"/>
              </w:rPr>
              <w:t>Caloona</w:t>
            </w:r>
          </w:p>
        </w:tc>
        <w:tc>
          <w:tcPr>
            <w:tcW w:w="1867" w:type="dxa"/>
          </w:tcPr>
          <w:p w14:paraId="59DCC759" w14:textId="77777777" w:rsidR="00712309" w:rsidRPr="00D93FF9" w:rsidRDefault="00E811B8" w:rsidP="002F55F0">
            <w:pPr>
              <w:pStyle w:val="TableParagraph"/>
              <w:spacing w:before="0" w:after="0"/>
              <w:jc w:val="center"/>
              <w:rPr>
                <w:sz w:val="16"/>
                <w:lang w:val="en-GB"/>
              </w:rPr>
            </w:pPr>
            <w:r w:rsidRPr="00D93FF9">
              <w:rPr>
                <w:sz w:val="16"/>
                <w:lang w:val="en-GB"/>
              </w:rPr>
              <w:t>2.0</w:t>
            </w:r>
          </w:p>
        </w:tc>
        <w:tc>
          <w:tcPr>
            <w:tcW w:w="2100" w:type="dxa"/>
          </w:tcPr>
          <w:p w14:paraId="59DCC75A" w14:textId="77777777" w:rsidR="00712309" w:rsidRPr="00D93FF9" w:rsidRDefault="00E811B8" w:rsidP="002F55F0">
            <w:pPr>
              <w:pStyle w:val="TableParagraph"/>
              <w:spacing w:before="0" w:after="0"/>
              <w:jc w:val="center"/>
              <w:rPr>
                <w:sz w:val="16"/>
                <w:lang w:val="en-GB"/>
              </w:rPr>
            </w:pPr>
            <w:r w:rsidRPr="00D93FF9">
              <w:rPr>
                <w:sz w:val="16"/>
                <w:lang w:val="en-GB"/>
              </w:rPr>
              <w:t>10.8</w:t>
            </w:r>
          </w:p>
        </w:tc>
        <w:tc>
          <w:tcPr>
            <w:tcW w:w="986" w:type="dxa"/>
          </w:tcPr>
          <w:p w14:paraId="59DCC75B" w14:textId="77777777" w:rsidR="00712309" w:rsidRPr="00D93FF9" w:rsidRDefault="00E811B8" w:rsidP="002F55F0">
            <w:pPr>
              <w:pStyle w:val="TableParagraph"/>
              <w:spacing w:before="0" w:after="0"/>
              <w:jc w:val="center"/>
              <w:rPr>
                <w:sz w:val="16"/>
                <w:lang w:val="en-GB"/>
              </w:rPr>
            </w:pPr>
            <w:r w:rsidRPr="00D93FF9">
              <w:rPr>
                <w:sz w:val="16"/>
                <w:lang w:val="en-GB"/>
              </w:rPr>
              <w:t>2.9</w:t>
            </w:r>
          </w:p>
        </w:tc>
        <w:tc>
          <w:tcPr>
            <w:tcW w:w="1042" w:type="dxa"/>
          </w:tcPr>
          <w:p w14:paraId="59DCC75C" w14:textId="77777777" w:rsidR="00712309" w:rsidRPr="00D93FF9" w:rsidRDefault="00E811B8" w:rsidP="002F55F0">
            <w:pPr>
              <w:pStyle w:val="TableParagraph"/>
              <w:spacing w:before="0" w:after="0"/>
              <w:jc w:val="center"/>
              <w:rPr>
                <w:sz w:val="16"/>
                <w:lang w:val="en-GB"/>
              </w:rPr>
            </w:pPr>
            <w:r w:rsidRPr="00D93FF9">
              <w:rPr>
                <w:sz w:val="16"/>
                <w:lang w:val="en-GB"/>
              </w:rPr>
              <w:t>4.3</w:t>
            </w:r>
          </w:p>
        </w:tc>
        <w:tc>
          <w:tcPr>
            <w:tcW w:w="1136" w:type="dxa"/>
          </w:tcPr>
          <w:p w14:paraId="59DCC75D" w14:textId="77777777" w:rsidR="00712309" w:rsidRPr="00D93FF9" w:rsidRDefault="00E811B8" w:rsidP="002F55F0">
            <w:pPr>
              <w:pStyle w:val="TableParagraph"/>
              <w:spacing w:before="0" w:after="0"/>
              <w:jc w:val="center"/>
              <w:rPr>
                <w:sz w:val="16"/>
                <w:lang w:val="en-GB"/>
              </w:rPr>
            </w:pPr>
            <w:r w:rsidRPr="00D93FF9">
              <w:rPr>
                <w:sz w:val="16"/>
                <w:lang w:val="en-GB"/>
              </w:rPr>
              <w:t>6.6</w:t>
            </w:r>
          </w:p>
        </w:tc>
        <w:tc>
          <w:tcPr>
            <w:tcW w:w="1166" w:type="dxa"/>
          </w:tcPr>
          <w:p w14:paraId="59DCC75E" w14:textId="77777777" w:rsidR="00712309" w:rsidRPr="00D93FF9" w:rsidRDefault="00E811B8" w:rsidP="002F55F0">
            <w:pPr>
              <w:pStyle w:val="TableParagraph"/>
              <w:spacing w:before="0" w:after="0"/>
              <w:jc w:val="center"/>
              <w:rPr>
                <w:sz w:val="16"/>
                <w:lang w:val="en-GB"/>
              </w:rPr>
            </w:pPr>
            <w:r w:rsidRPr="00D93FF9">
              <w:rPr>
                <w:sz w:val="16"/>
                <w:lang w:val="en-GB"/>
              </w:rPr>
              <w:t>3</w:t>
            </w:r>
          </w:p>
        </w:tc>
      </w:tr>
      <w:tr w:rsidR="00BE3AA8" w:rsidRPr="00D93FF9" w14:paraId="59DCC768" w14:textId="77777777" w:rsidTr="002F55F0">
        <w:trPr>
          <w:trHeight w:val="227"/>
        </w:trPr>
        <w:tc>
          <w:tcPr>
            <w:tcW w:w="2135" w:type="dxa"/>
          </w:tcPr>
          <w:p w14:paraId="59DCC760" w14:textId="77777777" w:rsidR="00712309" w:rsidRPr="00D93FF9" w:rsidRDefault="00E811B8" w:rsidP="00632CE7">
            <w:pPr>
              <w:pStyle w:val="TableParagraph"/>
              <w:spacing w:before="0" w:after="0"/>
              <w:rPr>
                <w:sz w:val="16"/>
                <w:lang w:val="en-GB"/>
              </w:rPr>
            </w:pPr>
            <w:r w:rsidRPr="00D93FF9">
              <w:rPr>
                <w:sz w:val="16"/>
                <w:lang w:val="en-GB"/>
              </w:rPr>
              <w:t>Flax/Linseed</w:t>
            </w:r>
          </w:p>
        </w:tc>
        <w:tc>
          <w:tcPr>
            <w:tcW w:w="3033" w:type="dxa"/>
          </w:tcPr>
          <w:p w14:paraId="59DCC761" w14:textId="77777777" w:rsidR="00712309" w:rsidRPr="00D93FF9" w:rsidRDefault="00E811B8" w:rsidP="00632CE7">
            <w:pPr>
              <w:pStyle w:val="TableParagraph"/>
              <w:spacing w:before="0" w:after="0"/>
              <w:rPr>
                <w:i/>
                <w:sz w:val="16"/>
                <w:lang w:val="en-GB"/>
              </w:rPr>
            </w:pPr>
            <w:r w:rsidRPr="00D93FF9">
              <w:rPr>
                <w:i/>
                <w:sz w:val="16"/>
                <w:lang w:val="en-GB"/>
              </w:rPr>
              <w:t>Vinum usitatissimum</w:t>
            </w:r>
          </w:p>
        </w:tc>
        <w:tc>
          <w:tcPr>
            <w:tcW w:w="1867" w:type="dxa"/>
          </w:tcPr>
          <w:p w14:paraId="59DCC762" w14:textId="77777777" w:rsidR="00712309" w:rsidRPr="00D93FF9" w:rsidRDefault="00E811B8" w:rsidP="002F55F0">
            <w:pPr>
              <w:pStyle w:val="TableParagraph"/>
              <w:spacing w:before="0" w:after="0"/>
              <w:jc w:val="center"/>
              <w:rPr>
                <w:sz w:val="16"/>
                <w:lang w:val="en-GB"/>
              </w:rPr>
            </w:pPr>
            <w:r w:rsidRPr="00D93FF9">
              <w:rPr>
                <w:sz w:val="16"/>
                <w:lang w:val="en-GB"/>
              </w:rPr>
              <w:t>1.7</w:t>
            </w:r>
          </w:p>
        </w:tc>
        <w:tc>
          <w:tcPr>
            <w:tcW w:w="2100" w:type="dxa"/>
          </w:tcPr>
          <w:p w14:paraId="59DCC763" w14:textId="77777777" w:rsidR="00712309" w:rsidRPr="00D93FF9" w:rsidRDefault="00E811B8" w:rsidP="002F55F0">
            <w:pPr>
              <w:pStyle w:val="TableParagraph"/>
              <w:spacing w:before="0" w:after="0"/>
              <w:jc w:val="center"/>
              <w:rPr>
                <w:sz w:val="16"/>
                <w:lang w:val="en-GB"/>
              </w:rPr>
            </w:pPr>
            <w:r w:rsidRPr="00D93FF9">
              <w:rPr>
                <w:sz w:val="16"/>
                <w:lang w:val="en-GB"/>
              </w:rPr>
              <w:t>12.0</w:t>
            </w:r>
          </w:p>
        </w:tc>
        <w:tc>
          <w:tcPr>
            <w:tcW w:w="986" w:type="dxa"/>
          </w:tcPr>
          <w:p w14:paraId="59DCC764" w14:textId="77777777" w:rsidR="00712309" w:rsidRPr="00D93FF9" w:rsidRDefault="00E811B8" w:rsidP="002F55F0">
            <w:pPr>
              <w:pStyle w:val="TableParagraph"/>
              <w:spacing w:before="0" w:after="0"/>
              <w:jc w:val="center"/>
              <w:rPr>
                <w:sz w:val="16"/>
                <w:lang w:val="en-GB"/>
              </w:rPr>
            </w:pPr>
            <w:r w:rsidRPr="00D93FF9">
              <w:rPr>
                <w:sz w:val="16"/>
                <w:lang w:val="en-GB"/>
              </w:rPr>
              <w:t>2.5</w:t>
            </w:r>
          </w:p>
        </w:tc>
        <w:tc>
          <w:tcPr>
            <w:tcW w:w="1042" w:type="dxa"/>
          </w:tcPr>
          <w:p w14:paraId="59DCC765" w14:textId="77777777" w:rsidR="00712309" w:rsidRPr="00D93FF9" w:rsidRDefault="00E811B8" w:rsidP="002F55F0">
            <w:pPr>
              <w:pStyle w:val="TableParagraph"/>
              <w:spacing w:before="0" w:after="0"/>
              <w:jc w:val="center"/>
              <w:rPr>
                <w:sz w:val="16"/>
                <w:lang w:val="en-GB"/>
              </w:rPr>
            </w:pPr>
            <w:r w:rsidRPr="00D93FF9">
              <w:rPr>
                <w:sz w:val="16"/>
                <w:lang w:val="en-GB"/>
              </w:rPr>
              <w:t>3.8</w:t>
            </w:r>
          </w:p>
        </w:tc>
        <w:tc>
          <w:tcPr>
            <w:tcW w:w="1136" w:type="dxa"/>
          </w:tcPr>
          <w:p w14:paraId="59DCC766" w14:textId="77777777" w:rsidR="00712309" w:rsidRPr="00D93FF9" w:rsidRDefault="00E811B8" w:rsidP="002F55F0">
            <w:pPr>
              <w:pStyle w:val="TableParagraph"/>
              <w:spacing w:before="0" w:after="0"/>
              <w:jc w:val="center"/>
              <w:rPr>
                <w:sz w:val="16"/>
                <w:lang w:val="en-GB"/>
              </w:rPr>
            </w:pPr>
            <w:r w:rsidRPr="00D93FF9">
              <w:rPr>
                <w:sz w:val="16"/>
                <w:lang w:val="en-GB"/>
              </w:rPr>
              <w:t>5.9</w:t>
            </w:r>
          </w:p>
        </w:tc>
        <w:tc>
          <w:tcPr>
            <w:tcW w:w="1166" w:type="dxa"/>
          </w:tcPr>
          <w:p w14:paraId="59DCC767"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771" w14:textId="77777777" w:rsidTr="002F55F0">
        <w:trPr>
          <w:trHeight w:val="228"/>
        </w:trPr>
        <w:tc>
          <w:tcPr>
            <w:tcW w:w="2135" w:type="dxa"/>
          </w:tcPr>
          <w:p w14:paraId="59DCC769" w14:textId="77777777" w:rsidR="00712309" w:rsidRPr="00D93FF9" w:rsidRDefault="00E811B8" w:rsidP="00632CE7">
            <w:pPr>
              <w:pStyle w:val="TableParagraph"/>
              <w:spacing w:before="0" w:after="0"/>
              <w:rPr>
                <w:sz w:val="16"/>
                <w:lang w:val="en-GB"/>
              </w:rPr>
            </w:pPr>
            <w:r w:rsidRPr="00D93FF9">
              <w:rPr>
                <w:sz w:val="16"/>
                <w:lang w:val="en-GB"/>
              </w:rPr>
              <w:t>Oats</w:t>
            </w:r>
          </w:p>
        </w:tc>
        <w:tc>
          <w:tcPr>
            <w:tcW w:w="3033" w:type="dxa"/>
          </w:tcPr>
          <w:p w14:paraId="59DCC76A" w14:textId="77777777" w:rsidR="00712309" w:rsidRPr="00D93FF9" w:rsidRDefault="00E811B8" w:rsidP="00632CE7">
            <w:pPr>
              <w:pStyle w:val="TableParagraph"/>
              <w:spacing w:before="0" w:after="0"/>
              <w:rPr>
                <w:i/>
                <w:sz w:val="16"/>
                <w:lang w:val="en-GB"/>
              </w:rPr>
            </w:pPr>
            <w:r w:rsidRPr="00D93FF9">
              <w:rPr>
                <w:i/>
                <w:sz w:val="16"/>
                <w:lang w:val="en-GB"/>
              </w:rPr>
              <w:t>Avena sativa</w:t>
            </w:r>
          </w:p>
        </w:tc>
        <w:tc>
          <w:tcPr>
            <w:tcW w:w="1867" w:type="dxa"/>
          </w:tcPr>
          <w:p w14:paraId="59DCC76B" w14:textId="77777777" w:rsidR="00712309" w:rsidRPr="00D93FF9" w:rsidRDefault="00E811B8" w:rsidP="002F55F0">
            <w:pPr>
              <w:pStyle w:val="TableParagraph"/>
              <w:spacing w:before="0" w:after="0"/>
              <w:jc w:val="center"/>
              <w:rPr>
                <w:sz w:val="16"/>
                <w:lang w:val="en-GB"/>
              </w:rPr>
            </w:pPr>
            <w:r w:rsidRPr="00D93FF9">
              <w:rPr>
                <w:sz w:val="16"/>
                <w:lang w:val="en-GB"/>
              </w:rPr>
              <w:t>5.0</w:t>
            </w:r>
          </w:p>
        </w:tc>
        <w:tc>
          <w:tcPr>
            <w:tcW w:w="2100" w:type="dxa"/>
          </w:tcPr>
          <w:p w14:paraId="59DCC76C" w14:textId="77777777" w:rsidR="00712309" w:rsidRPr="00D93FF9" w:rsidRDefault="00E811B8" w:rsidP="002F55F0">
            <w:pPr>
              <w:pStyle w:val="TableParagraph"/>
              <w:spacing w:before="0" w:after="0"/>
              <w:jc w:val="center"/>
              <w:rPr>
                <w:sz w:val="16"/>
                <w:lang w:val="en-GB"/>
              </w:rPr>
            </w:pPr>
            <w:r w:rsidRPr="00D93FF9">
              <w:rPr>
                <w:sz w:val="16"/>
                <w:lang w:val="en-GB"/>
              </w:rPr>
              <w:t>20.0</w:t>
            </w:r>
          </w:p>
        </w:tc>
        <w:tc>
          <w:tcPr>
            <w:tcW w:w="986" w:type="dxa"/>
          </w:tcPr>
          <w:p w14:paraId="59DCC76D" w14:textId="77777777" w:rsidR="00712309" w:rsidRPr="00D93FF9" w:rsidRDefault="00E811B8" w:rsidP="002F55F0">
            <w:pPr>
              <w:pStyle w:val="TableParagraph"/>
              <w:spacing w:before="0" w:after="0"/>
              <w:jc w:val="center"/>
              <w:rPr>
                <w:sz w:val="16"/>
                <w:lang w:val="en-GB"/>
              </w:rPr>
            </w:pPr>
            <w:r w:rsidRPr="00D93FF9">
              <w:rPr>
                <w:sz w:val="16"/>
                <w:lang w:val="en-GB"/>
              </w:rPr>
              <w:t>5.5</w:t>
            </w:r>
          </w:p>
        </w:tc>
        <w:tc>
          <w:tcPr>
            <w:tcW w:w="1042" w:type="dxa"/>
          </w:tcPr>
          <w:p w14:paraId="59DCC76E" w14:textId="77777777" w:rsidR="00712309" w:rsidRPr="00D93FF9" w:rsidRDefault="00E811B8" w:rsidP="002F55F0">
            <w:pPr>
              <w:pStyle w:val="TableParagraph"/>
              <w:spacing w:before="0" w:after="0"/>
              <w:jc w:val="center"/>
              <w:rPr>
                <w:sz w:val="16"/>
                <w:lang w:val="en-GB"/>
              </w:rPr>
            </w:pPr>
            <w:r w:rsidRPr="00D93FF9">
              <w:rPr>
                <w:sz w:val="16"/>
                <w:lang w:val="en-GB"/>
              </w:rPr>
              <w:t>6.3</w:t>
            </w:r>
          </w:p>
        </w:tc>
        <w:tc>
          <w:tcPr>
            <w:tcW w:w="1136" w:type="dxa"/>
          </w:tcPr>
          <w:p w14:paraId="59DCC76F" w14:textId="77777777" w:rsidR="00712309" w:rsidRPr="00D93FF9" w:rsidRDefault="00E811B8" w:rsidP="002F55F0">
            <w:pPr>
              <w:pStyle w:val="TableParagraph"/>
              <w:spacing w:before="0" w:after="0"/>
              <w:jc w:val="center"/>
              <w:rPr>
                <w:sz w:val="16"/>
                <w:lang w:val="en-GB"/>
              </w:rPr>
            </w:pPr>
            <w:r w:rsidRPr="00D93FF9">
              <w:rPr>
                <w:sz w:val="16"/>
                <w:lang w:val="en-GB"/>
              </w:rPr>
              <w:t>7.5</w:t>
            </w:r>
          </w:p>
        </w:tc>
        <w:tc>
          <w:tcPr>
            <w:tcW w:w="1166" w:type="dxa"/>
          </w:tcPr>
          <w:p w14:paraId="59DCC770" w14:textId="77777777" w:rsidR="00712309" w:rsidRPr="00D93FF9" w:rsidRDefault="00E811B8" w:rsidP="002F55F0">
            <w:pPr>
              <w:pStyle w:val="TableParagraph"/>
              <w:spacing w:before="0" w:after="0"/>
              <w:jc w:val="center"/>
              <w:rPr>
                <w:sz w:val="16"/>
                <w:lang w:val="en-GB"/>
              </w:rPr>
            </w:pPr>
            <w:r w:rsidRPr="00D93FF9">
              <w:rPr>
                <w:sz w:val="16"/>
                <w:lang w:val="en-GB"/>
              </w:rPr>
              <w:t>9</w:t>
            </w:r>
          </w:p>
        </w:tc>
      </w:tr>
      <w:tr w:rsidR="00BE3AA8" w:rsidRPr="00D93FF9" w14:paraId="59DCC77A" w14:textId="77777777" w:rsidTr="002F55F0">
        <w:trPr>
          <w:trHeight w:val="228"/>
        </w:trPr>
        <w:tc>
          <w:tcPr>
            <w:tcW w:w="2135" w:type="dxa"/>
          </w:tcPr>
          <w:p w14:paraId="59DCC772" w14:textId="77777777" w:rsidR="00712309" w:rsidRPr="00D93FF9" w:rsidRDefault="00E811B8" w:rsidP="00632CE7">
            <w:pPr>
              <w:pStyle w:val="TableParagraph"/>
              <w:spacing w:before="0" w:after="0"/>
              <w:rPr>
                <w:sz w:val="16"/>
                <w:lang w:val="en-GB"/>
              </w:rPr>
            </w:pPr>
            <w:r w:rsidRPr="00D93FF9">
              <w:rPr>
                <w:sz w:val="16"/>
                <w:lang w:val="en-GB"/>
              </w:rPr>
              <w:t>Peanut</w:t>
            </w:r>
          </w:p>
        </w:tc>
        <w:tc>
          <w:tcPr>
            <w:tcW w:w="3033" w:type="dxa"/>
          </w:tcPr>
          <w:p w14:paraId="59DCC773" w14:textId="77777777" w:rsidR="00712309" w:rsidRPr="00D93FF9" w:rsidRDefault="00E811B8" w:rsidP="00632CE7">
            <w:pPr>
              <w:pStyle w:val="TableParagraph"/>
              <w:spacing w:before="0" w:after="0"/>
              <w:rPr>
                <w:i/>
                <w:sz w:val="16"/>
                <w:lang w:val="en-GB"/>
              </w:rPr>
            </w:pPr>
            <w:r w:rsidRPr="00D93FF9">
              <w:rPr>
                <w:i/>
                <w:sz w:val="16"/>
                <w:lang w:val="en-GB"/>
              </w:rPr>
              <w:t>Arachis hypogala</w:t>
            </w:r>
          </w:p>
        </w:tc>
        <w:tc>
          <w:tcPr>
            <w:tcW w:w="1867" w:type="dxa"/>
          </w:tcPr>
          <w:p w14:paraId="59DCC774" w14:textId="77777777" w:rsidR="00712309" w:rsidRPr="00D93FF9" w:rsidRDefault="00E811B8" w:rsidP="002F55F0">
            <w:pPr>
              <w:pStyle w:val="TableParagraph"/>
              <w:spacing w:before="0" w:after="0"/>
              <w:jc w:val="center"/>
              <w:rPr>
                <w:sz w:val="16"/>
                <w:lang w:val="en-GB"/>
              </w:rPr>
            </w:pPr>
            <w:r w:rsidRPr="00D93FF9">
              <w:rPr>
                <w:sz w:val="16"/>
                <w:lang w:val="en-GB"/>
              </w:rPr>
              <w:t>3.2</w:t>
            </w:r>
          </w:p>
        </w:tc>
        <w:tc>
          <w:tcPr>
            <w:tcW w:w="2100" w:type="dxa"/>
          </w:tcPr>
          <w:p w14:paraId="59DCC775" w14:textId="77777777" w:rsidR="00712309" w:rsidRPr="00D93FF9" w:rsidRDefault="00E811B8" w:rsidP="002F55F0">
            <w:pPr>
              <w:pStyle w:val="TableParagraph"/>
              <w:spacing w:before="0" w:after="0"/>
              <w:jc w:val="center"/>
              <w:rPr>
                <w:sz w:val="16"/>
                <w:lang w:val="en-GB"/>
              </w:rPr>
            </w:pPr>
            <w:r w:rsidRPr="00D93FF9">
              <w:rPr>
                <w:sz w:val="16"/>
                <w:lang w:val="en-GB"/>
              </w:rPr>
              <w:t>29.4</w:t>
            </w:r>
          </w:p>
        </w:tc>
        <w:tc>
          <w:tcPr>
            <w:tcW w:w="986" w:type="dxa"/>
          </w:tcPr>
          <w:p w14:paraId="59DCC776" w14:textId="77777777" w:rsidR="00712309" w:rsidRPr="00D93FF9" w:rsidRDefault="00E811B8" w:rsidP="002F55F0">
            <w:pPr>
              <w:pStyle w:val="TableParagraph"/>
              <w:spacing w:before="0" w:after="0"/>
              <w:jc w:val="center"/>
              <w:rPr>
                <w:sz w:val="16"/>
                <w:lang w:val="en-GB"/>
              </w:rPr>
            </w:pPr>
            <w:r w:rsidRPr="00D93FF9">
              <w:rPr>
                <w:sz w:val="16"/>
                <w:lang w:val="en-GB"/>
              </w:rPr>
              <w:t>3.5</w:t>
            </w:r>
          </w:p>
        </w:tc>
        <w:tc>
          <w:tcPr>
            <w:tcW w:w="1042" w:type="dxa"/>
          </w:tcPr>
          <w:p w14:paraId="59DCC777" w14:textId="77777777" w:rsidR="00712309" w:rsidRPr="00D93FF9" w:rsidRDefault="00E811B8" w:rsidP="002F55F0">
            <w:pPr>
              <w:pStyle w:val="TableParagraph"/>
              <w:spacing w:before="0" w:after="0"/>
              <w:jc w:val="center"/>
              <w:rPr>
                <w:sz w:val="16"/>
                <w:lang w:val="en-GB"/>
              </w:rPr>
            </w:pPr>
            <w:r w:rsidRPr="00D93FF9">
              <w:rPr>
                <w:sz w:val="16"/>
                <w:lang w:val="en-GB"/>
              </w:rPr>
              <w:t>4.1</w:t>
            </w:r>
          </w:p>
        </w:tc>
        <w:tc>
          <w:tcPr>
            <w:tcW w:w="1136" w:type="dxa"/>
          </w:tcPr>
          <w:p w14:paraId="59DCC778" w14:textId="77777777" w:rsidR="00712309" w:rsidRPr="00D93FF9" w:rsidRDefault="00E811B8" w:rsidP="002F55F0">
            <w:pPr>
              <w:pStyle w:val="TableParagraph"/>
              <w:spacing w:before="0" w:after="0"/>
              <w:jc w:val="center"/>
              <w:rPr>
                <w:sz w:val="16"/>
                <w:lang w:val="en-GB"/>
              </w:rPr>
            </w:pPr>
            <w:r w:rsidRPr="00D93FF9">
              <w:rPr>
                <w:sz w:val="16"/>
                <w:lang w:val="en-GB"/>
              </w:rPr>
              <w:t>4.9</w:t>
            </w:r>
          </w:p>
        </w:tc>
        <w:tc>
          <w:tcPr>
            <w:tcW w:w="1166" w:type="dxa"/>
          </w:tcPr>
          <w:p w14:paraId="59DCC779" w14:textId="77777777" w:rsidR="00712309" w:rsidRPr="00D93FF9" w:rsidRDefault="00E811B8" w:rsidP="002F55F0">
            <w:pPr>
              <w:pStyle w:val="TableParagraph"/>
              <w:spacing w:before="0" w:after="0"/>
              <w:jc w:val="center"/>
              <w:rPr>
                <w:sz w:val="16"/>
                <w:lang w:val="en-GB"/>
              </w:rPr>
            </w:pPr>
            <w:r w:rsidRPr="00D93FF9">
              <w:rPr>
                <w:sz w:val="16"/>
                <w:lang w:val="en-GB"/>
              </w:rPr>
              <w:t>2</w:t>
            </w:r>
          </w:p>
        </w:tc>
      </w:tr>
      <w:tr w:rsidR="00BE3AA8" w:rsidRPr="00D93FF9" w14:paraId="59DCC783" w14:textId="77777777" w:rsidTr="002F55F0">
        <w:trPr>
          <w:trHeight w:val="227"/>
        </w:trPr>
        <w:tc>
          <w:tcPr>
            <w:tcW w:w="2135" w:type="dxa"/>
          </w:tcPr>
          <w:p w14:paraId="59DCC77B" w14:textId="77777777" w:rsidR="00712309" w:rsidRPr="00D93FF9" w:rsidRDefault="00E811B8" w:rsidP="00632CE7">
            <w:pPr>
              <w:pStyle w:val="TableParagraph"/>
              <w:spacing w:before="0" w:after="0"/>
              <w:rPr>
                <w:sz w:val="16"/>
                <w:lang w:val="en-GB"/>
              </w:rPr>
            </w:pPr>
            <w:r w:rsidRPr="00D93FF9">
              <w:rPr>
                <w:sz w:val="16"/>
                <w:lang w:val="en-GB"/>
              </w:rPr>
              <w:t>Phasey bean, Murray</w:t>
            </w:r>
          </w:p>
        </w:tc>
        <w:tc>
          <w:tcPr>
            <w:tcW w:w="3033" w:type="dxa"/>
          </w:tcPr>
          <w:p w14:paraId="59DCC77C" w14:textId="77777777" w:rsidR="00712309" w:rsidRPr="00D93FF9" w:rsidRDefault="00E811B8" w:rsidP="00632CE7">
            <w:pPr>
              <w:pStyle w:val="TableParagraph"/>
              <w:spacing w:before="0" w:after="0"/>
              <w:rPr>
                <w:i/>
                <w:sz w:val="16"/>
                <w:lang w:val="en-GB"/>
              </w:rPr>
            </w:pPr>
            <w:r w:rsidRPr="00D93FF9">
              <w:rPr>
                <w:i/>
                <w:sz w:val="16"/>
                <w:lang w:val="en-GB"/>
              </w:rPr>
              <w:t>Macroptilium lathyroides</w:t>
            </w:r>
          </w:p>
        </w:tc>
        <w:tc>
          <w:tcPr>
            <w:tcW w:w="1867" w:type="dxa"/>
          </w:tcPr>
          <w:p w14:paraId="59DCC77D" w14:textId="77777777" w:rsidR="00712309" w:rsidRPr="00D93FF9" w:rsidRDefault="00E811B8" w:rsidP="002F55F0">
            <w:pPr>
              <w:pStyle w:val="TableParagraph"/>
              <w:spacing w:before="0" w:after="0"/>
              <w:jc w:val="center"/>
              <w:rPr>
                <w:sz w:val="16"/>
                <w:lang w:val="en-GB"/>
              </w:rPr>
            </w:pPr>
            <w:r w:rsidRPr="00D93FF9">
              <w:rPr>
                <w:sz w:val="16"/>
                <w:lang w:val="en-GB"/>
              </w:rPr>
              <w:t>0.8</w:t>
            </w:r>
          </w:p>
        </w:tc>
        <w:tc>
          <w:tcPr>
            <w:tcW w:w="2100" w:type="dxa"/>
          </w:tcPr>
          <w:p w14:paraId="59DCC77E" w14:textId="77777777" w:rsidR="00712309" w:rsidRPr="00D93FF9" w:rsidRDefault="00E811B8" w:rsidP="002F55F0">
            <w:pPr>
              <w:pStyle w:val="TableParagraph"/>
              <w:spacing w:before="0" w:after="0"/>
              <w:jc w:val="center"/>
              <w:rPr>
                <w:sz w:val="16"/>
                <w:lang w:val="en-GB"/>
              </w:rPr>
            </w:pPr>
            <w:r w:rsidRPr="00D93FF9">
              <w:rPr>
                <w:sz w:val="16"/>
                <w:lang w:val="en-GB"/>
              </w:rPr>
              <w:t>7.9</w:t>
            </w:r>
          </w:p>
        </w:tc>
        <w:tc>
          <w:tcPr>
            <w:tcW w:w="986" w:type="dxa"/>
          </w:tcPr>
          <w:p w14:paraId="59DCC77F" w14:textId="77777777" w:rsidR="00712309" w:rsidRPr="00D93FF9" w:rsidRDefault="00E811B8" w:rsidP="002F55F0">
            <w:pPr>
              <w:pStyle w:val="TableParagraph"/>
              <w:spacing w:before="0" w:after="0"/>
              <w:jc w:val="center"/>
              <w:rPr>
                <w:sz w:val="16"/>
                <w:lang w:val="en-GB"/>
              </w:rPr>
            </w:pPr>
            <w:r w:rsidRPr="00D93FF9">
              <w:rPr>
                <w:sz w:val="16"/>
                <w:lang w:val="en-GB"/>
              </w:rPr>
              <w:t>2.1</w:t>
            </w:r>
          </w:p>
        </w:tc>
        <w:tc>
          <w:tcPr>
            <w:tcW w:w="1042" w:type="dxa"/>
          </w:tcPr>
          <w:p w14:paraId="59DCC780" w14:textId="77777777" w:rsidR="00712309" w:rsidRPr="00D93FF9" w:rsidRDefault="00E811B8" w:rsidP="002F55F0">
            <w:pPr>
              <w:pStyle w:val="TableParagraph"/>
              <w:spacing w:before="0" w:after="0"/>
              <w:jc w:val="center"/>
              <w:rPr>
                <w:sz w:val="16"/>
                <w:lang w:val="en-GB"/>
              </w:rPr>
            </w:pPr>
            <w:r w:rsidRPr="00D93FF9">
              <w:rPr>
                <w:sz w:val="16"/>
                <w:lang w:val="en-GB"/>
              </w:rPr>
              <w:t>4.0</w:t>
            </w:r>
          </w:p>
        </w:tc>
        <w:tc>
          <w:tcPr>
            <w:tcW w:w="1136" w:type="dxa"/>
          </w:tcPr>
          <w:p w14:paraId="59DCC781" w14:textId="77777777" w:rsidR="00712309" w:rsidRPr="00D93FF9" w:rsidRDefault="00E811B8" w:rsidP="002F55F0">
            <w:pPr>
              <w:pStyle w:val="TableParagraph"/>
              <w:spacing w:before="0" w:after="0"/>
              <w:jc w:val="center"/>
              <w:rPr>
                <w:sz w:val="16"/>
                <w:lang w:val="en-GB"/>
              </w:rPr>
            </w:pPr>
            <w:r w:rsidRPr="00D93FF9">
              <w:rPr>
                <w:sz w:val="16"/>
                <w:lang w:val="en-GB"/>
              </w:rPr>
              <w:t>7.1</w:t>
            </w:r>
          </w:p>
        </w:tc>
        <w:tc>
          <w:tcPr>
            <w:tcW w:w="1166" w:type="dxa"/>
          </w:tcPr>
          <w:p w14:paraId="59DCC782" w14:textId="77777777" w:rsidR="00712309" w:rsidRPr="00D93FF9" w:rsidRDefault="00E811B8" w:rsidP="002F55F0">
            <w:pPr>
              <w:pStyle w:val="TableParagraph"/>
              <w:spacing w:before="0" w:after="0"/>
              <w:jc w:val="center"/>
              <w:rPr>
                <w:sz w:val="16"/>
                <w:lang w:val="en-GB"/>
              </w:rPr>
            </w:pPr>
            <w:r w:rsidRPr="00D93FF9">
              <w:rPr>
                <w:sz w:val="16"/>
                <w:lang w:val="en-GB"/>
              </w:rPr>
              <w:t>3</w:t>
            </w:r>
          </w:p>
        </w:tc>
      </w:tr>
      <w:tr w:rsidR="00BE3AA8" w:rsidRPr="00D93FF9" w14:paraId="59DCC78C" w14:textId="77777777" w:rsidTr="002F55F0">
        <w:trPr>
          <w:trHeight w:val="227"/>
        </w:trPr>
        <w:tc>
          <w:tcPr>
            <w:tcW w:w="2135" w:type="dxa"/>
          </w:tcPr>
          <w:p w14:paraId="59DCC784" w14:textId="77777777" w:rsidR="00712309" w:rsidRPr="00D93FF9" w:rsidRDefault="00E811B8" w:rsidP="00632CE7">
            <w:pPr>
              <w:pStyle w:val="TableParagraph"/>
              <w:spacing w:before="0" w:after="0"/>
              <w:rPr>
                <w:sz w:val="16"/>
                <w:lang w:val="en-GB"/>
              </w:rPr>
            </w:pPr>
            <w:r w:rsidRPr="00D93FF9">
              <w:rPr>
                <w:sz w:val="16"/>
                <w:lang w:val="en-GB"/>
              </w:rPr>
              <w:t>Rice, paddy</w:t>
            </w:r>
          </w:p>
        </w:tc>
        <w:tc>
          <w:tcPr>
            <w:tcW w:w="3033" w:type="dxa"/>
          </w:tcPr>
          <w:p w14:paraId="59DCC785" w14:textId="77777777" w:rsidR="00712309" w:rsidRPr="00D93FF9" w:rsidRDefault="00E811B8" w:rsidP="00632CE7">
            <w:pPr>
              <w:pStyle w:val="TableParagraph"/>
              <w:spacing w:before="0" w:after="0"/>
              <w:rPr>
                <w:i/>
                <w:sz w:val="16"/>
                <w:lang w:val="en-GB"/>
              </w:rPr>
            </w:pPr>
            <w:r w:rsidRPr="00D93FF9">
              <w:rPr>
                <w:i/>
                <w:sz w:val="16"/>
                <w:lang w:val="en-GB"/>
              </w:rPr>
              <w:t>Oryza sativa</w:t>
            </w:r>
          </w:p>
        </w:tc>
        <w:tc>
          <w:tcPr>
            <w:tcW w:w="1867" w:type="dxa"/>
          </w:tcPr>
          <w:p w14:paraId="59DCC786" w14:textId="77777777" w:rsidR="00712309" w:rsidRPr="00D93FF9" w:rsidRDefault="00E811B8" w:rsidP="002F55F0">
            <w:pPr>
              <w:pStyle w:val="TableParagraph"/>
              <w:spacing w:before="0" w:after="0"/>
              <w:jc w:val="center"/>
              <w:rPr>
                <w:sz w:val="16"/>
                <w:lang w:val="en-GB"/>
              </w:rPr>
            </w:pPr>
            <w:r w:rsidRPr="00D93FF9">
              <w:rPr>
                <w:sz w:val="16"/>
                <w:lang w:val="en-GB"/>
              </w:rPr>
              <w:t>1.9</w:t>
            </w:r>
          </w:p>
        </w:tc>
        <w:tc>
          <w:tcPr>
            <w:tcW w:w="2100" w:type="dxa"/>
          </w:tcPr>
          <w:p w14:paraId="59DCC787" w14:textId="77777777" w:rsidR="00712309" w:rsidRPr="00D93FF9" w:rsidRDefault="00E811B8" w:rsidP="002F55F0">
            <w:pPr>
              <w:pStyle w:val="TableParagraph"/>
              <w:spacing w:before="0" w:after="0"/>
              <w:jc w:val="center"/>
              <w:rPr>
                <w:sz w:val="16"/>
                <w:lang w:val="en-GB"/>
              </w:rPr>
            </w:pPr>
            <w:r w:rsidRPr="00D93FF9">
              <w:rPr>
                <w:sz w:val="16"/>
                <w:lang w:val="en-GB"/>
              </w:rPr>
              <w:t>9.1</w:t>
            </w:r>
          </w:p>
        </w:tc>
        <w:tc>
          <w:tcPr>
            <w:tcW w:w="986" w:type="dxa"/>
          </w:tcPr>
          <w:p w14:paraId="59DCC788" w14:textId="77777777" w:rsidR="00712309" w:rsidRPr="00D93FF9" w:rsidRDefault="00E811B8" w:rsidP="002F55F0">
            <w:pPr>
              <w:pStyle w:val="TableParagraph"/>
              <w:spacing w:before="0" w:after="0"/>
              <w:jc w:val="center"/>
              <w:rPr>
                <w:sz w:val="16"/>
                <w:lang w:val="en-GB"/>
              </w:rPr>
            </w:pPr>
            <w:r w:rsidRPr="00D93FF9">
              <w:rPr>
                <w:sz w:val="16"/>
                <w:lang w:val="en-GB"/>
              </w:rPr>
              <w:t>3.8</w:t>
            </w:r>
          </w:p>
        </w:tc>
        <w:tc>
          <w:tcPr>
            <w:tcW w:w="1042" w:type="dxa"/>
          </w:tcPr>
          <w:p w14:paraId="59DCC789" w14:textId="77777777" w:rsidR="00712309" w:rsidRPr="00D93FF9" w:rsidRDefault="00E811B8" w:rsidP="002F55F0">
            <w:pPr>
              <w:pStyle w:val="TableParagraph"/>
              <w:spacing w:before="0" w:after="0"/>
              <w:jc w:val="center"/>
              <w:rPr>
                <w:sz w:val="16"/>
                <w:lang w:val="en-GB"/>
              </w:rPr>
            </w:pPr>
            <w:r w:rsidRPr="00D93FF9">
              <w:rPr>
                <w:sz w:val="16"/>
                <w:lang w:val="en-GB"/>
              </w:rPr>
              <w:t>5.1</w:t>
            </w:r>
          </w:p>
        </w:tc>
        <w:tc>
          <w:tcPr>
            <w:tcW w:w="1136" w:type="dxa"/>
          </w:tcPr>
          <w:p w14:paraId="59DCC78A" w14:textId="77777777" w:rsidR="00712309" w:rsidRPr="00D93FF9" w:rsidRDefault="00E811B8" w:rsidP="002F55F0">
            <w:pPr>
              <w:pStyle w:val="TableParagraph"/>
              <w:spacing w:before="0" w:after="0"/>
              <w:jc w:val="center"/>
              <w:rPr>
                <w:sz w:val="16"/>
                <w:lang w:val="en-GB"/>
              </w:rPr>
            </w:pPr>
            <w:r w:rsidRPr="00D93FF9">
              <w:rPr>
                <w:sz w:val="16"/>
                <w:lang w:val="en-GB"/>
              </w:rPr>
              <w:t>7.1</w:t>
            </w:r>
          </w:p>
        </w:tc>
        <w:tc>
          <w:tcPr>
            <w:tcW w:w="1166" w:type="dxa"/>
          </w:tcPr>
          <w:p w14:paraId="59DCC78B" w14:textId="77777777" w:rsidR="00712309" w:rsidRPr="00D93FF9" w:rsidRDefault="00E811B8" w:rsidP="002F55F0">
            <w:pPr>
              <w:pStyle w:val="TableParagraph"/>
              <w:spacing w:before="0" w:after="0"/>
              <w:jc w:val="center"/>
              <w:rPr>
                <w:sz w:val="16"/>
                <w:lang w:val="en-GB"/>
              </w:rPr>
            </w:pPr>
            <w:r w:rsidRPr="00D93FF9">
              <w:rPr>
                <w:sz w:val="16"/>
                <w:lang w:val="en-GB"/>
              </w:rPr>
              <w:t>10</w:t>
            </w:r>
          </w:p>
        </w:tc>
      </w:tr>
      <w:tr w:rsidR="00BE3AA8" w:rsidRPr="00D93FF9" w14:paraId="59DCC795" w14:textId="77777777" w:rsidTr="002F55F0">
        <w:trPr>
          <w:trHeight w:val="227"/>
        </w:trPr>
        <w:tc>
          <w:tcPr>
            <w:tcW w:w="2135" w:type="dxa"/>
          </w:tcPr>
          <w:p w14:paraId="59DCC78D" w14:textId="77777777" w:rsidR="00712309" w:rsidRPr="00D93FF9" w:rsidRDefault="00E811B8" w:rsidP="00632CE7">
            <w:pPr>
              <w:pStyle w:val="TableParagraph"/>
              <w:spacing w:before="0" w:after="0"/>
              <w:rPr>
                <w:sz w:val="16"/>
                <w:lang w:val="en-GB"/>
              </w:rPr>
            </w:pPr>
            <w:r w:rsidRPr="00D93FF9">
              <w:rPr>
                <w:sz w:val="16"/>
                <w:lang w:val="en-GB"/>
              </w:rPr>
              <w:t>Safflower</w:t>
            </w:r>
          </w:p>
        </w:tc>
        <w:tc>
          <w:tcPr>
            <w:tcW w:w="3033" w:type="dxa"/>
          </w:tcPr>
          <w:p w14:paraId="59DCC78E" w14:textId="77777777" w:rsidR="00712309" w:rsidRPr="00D93FF9" w:rsidRDefault="00E811B8" w:rsidP="00632CE7">
            <w:pPr>
              <w:pStyle w:val="TableParagraph"/>
              <w:spacing w:before="0" w:after="0"/>
              <w:rPr>
                <w:i/>
                <w:sz w:val="16"/>
                <w:lang w:val="en-GB"/>
              </w:rPr>
            </w:pPr>
            <w:r w:rsidRPr="00D93FF9">
              <w:rPr>
                <w:i/>
                <w:sz w:val="16"/>
                <w:lang w:val="en-GB"/>
              </w:rPr>
              <w:t>Carthamus tinctorius</w:t>
            </w:r>
          </w:p>
        </w:tc>
        <w:tc>
          <w:tcPr>
            <w:tcW w:w="1867" w:type="dxa"/>
          </w:tcPr>
          <w:p w14:paraId="59DCC78F" w14:textId="77777777" w:rsidR="00712309" w:rsidRPr="00D93FF9" w:rsidRDefault="00E811B8" w:rsidP="002F55F0">
            <w:pPr>
              <w:pStyle w:val="TableParagraph"/>
              <w:spacing w:before="0" w:after="0"/>
              <w:jc w:val="center"/>
              <w:rPr>
                <w:sz w:val="16"/>
                <w:lang w:val="en-GB"/>
              </w:rPr>
            </w:pPr>
            <w:r w:rsidRPr="00D93FF9">
              <w:rPr>
                <w:sz w:val="16"/>
                <w:lang w:val="en-GB"/>
              </w:rPr>
              <w:t>6.5</w:t>
            </w:r>
          </w:p>
        </w:tc>
        <w:tc>
          <w:tcPr>
            <w:tcW w:w="2100" w:type="dxa"/>
          </w:tcPr>
          <w:p w14:paraId="59DCC790" w14:textId="77777777" w:rsidR="00712309" w:rsidRPr="00D93FF9" w:rsidRDefault="00712309" w:rsidP="002F55F0">
            <w:pPr>
              <w:pStyle w:val="TableParagraph"/>
              <w:spacing w:before="0" w:after="0"/>
              <w:jc w:val="center"/>
              <w:rPr>
                <w:rFonts w:ascii="Times New Roman"/>
                <w:sz w:val="14"/>
                <w:lang w:val="en-GB"/>
              </w:rPr>
            </w:pPr>
          </w:p>
        </w:tc>
        <w:tc>
          <w:tcPr>
            <w:tcW w:w="986" w:type="dxa"/>
          </w:tcPr>
          <w:p w14:paraId="59DCC791" w14:textId="77777777" w:rsidR="00712309" w:rsidRPr="00D93FF9" w:rsidRDefault="00712309" w:rsidP="002F55F0">
            <w:pPr>
              <w:pStyle w:val="TableParagraph"/>
              <w:spacing w:before="0" w:after="0"/>
              <w:jc w:val="center"/>
              <w:rPr>
                <w:rFonts w:ascii="Times New Roman"/>
                <w:sz w:val="14"/>
                <w:lang w:val="en-GB"/>
              </w:rPr>
            </w:pPr>
          </w:p>
        </w:tc>
        <w:tc>
          <w:tcPr>
            <w:tcW w:w="1042" w:type="dxa"/>
          </w:tcPr>
          <w:p w14:paraId="59DCC792" w14:textId="77777777" w:rsidR="00712309" w:rsidRPr="00D93FF9" w:rsidRDefault="00712309" w:rsidP="002F55F0">
            <w:pPr>
              <w:pStyle w:val="TableParagraph"/>
              <w:spacing w:before="0" w:after="0"/>
              <w:jc w:val="center"/>
              <w:rPr>
                <w:rFonts w:ascii="Times New Roman"/>
                <w:sz w:val="14"/>
                <w:lang w:val="en-GB"/>
              </w:rPr>
            </w:pPr>
          </w:p>
        </w:tc>
        <w:tc>
          <w:tcPr>
            <w:tcW w:w="1136" w:type="dxa"/>
          </w:tcPr>
          <w:p w14:paraId="59DCC793" w14:textId="77777777" w:rsidR="00712309" w:rsidRPr="00D93FF9" w:rsidRDefault="00712309" w:rsidP="002F55F0">
            <w:pPr>
              <w:pStyle w:val="TableParagraph"/>
              <w:spacing w:before="0" w:after="0"/>
              <w:jc w:val="center"/>
              <w:rPr>
                <w:rFonts w:ascii="Times New Roman"/>
                <w:sz w:val="14"/>
                <w:lang w:val="en-GB"/>
              </w:rPr>
            </w:pPr>
          </w:p>
        </w:tc>
        <w:tc>
          <w:tcPr>
            <w:tcW w:w="1166" w:type="dxa"/>
          </w:tcPr>
          <w:p w14:paraId="59DCC794" w14:textId="77777777" w:rsidR="00712309"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7A1" w14:textId="77777777" w:rsidTr="002F55F0">
        <w:trPr>
          <w:trHeight w:val="228"/>
        </w:trPr>
        <w:tc>
          <w:tcPr>
            <w:tcW w:w="2135" w:type="dxa"/>
          </w:tcPr>
          <w:p w14:paraId="59DCC796" w14:textId="77777777" w:rsidR="00712309" w:rsidRPr="00D93FF9" w:rsidRDefault="00E811B8" w:rsidP="00632CE7">
            <w:pPr>
              <w:pStyle w:val="TableParagraph"/>
              <w:spacing w:before="0" w:after="0"/>
              <w:rPr>
                <w:sz w:val="16"/>
                <w:lang w:val="en-GB"/>
              </w:rPr>
            </w:pPr>
            <w:r w:rsidRPr="00D93FF9">
              <w:rPr>
                <w:sz w:val="16"/>
                <w:lang w:val="en-GB"/>
              </w:rPr>
              <w:t>Sorghum</w:t>
            </w:r>
          </w:p>
        </w:tc>
        <w:tc>
          <w:tcPr>
            <w:tcW w:w="3033" w:type="dxa"/>
          </w:tcPr>
          <w:p w14:paraId="59DCC797" w14:textId="77777777" w:rsidR="00712309" w:rsidRPr="00D93FF9" w:rsidRDefault="00E811B8" w:rsidP="00632CE7">
            <w:pPr>
              <w:pStyle w:val="TableParagraph"/>
              <w:spacing w:before="0" w:after="0"/>
              <w:rPr>
                <w:i/>
                <w:sz w:val="16"/>
                <w:lang w:val="en-GB"/>
              </w:rPr>
            </w:pPr>
            <w:r w:rsidRPr="00D93FF9">
              <w:rPr>
                <w:i/>
                <w:sz w:val="16"/>
                <w:lang w:val="en-GB"/>
              </w:rPr>
              <w:t>Sorghum bicolor</w:t>
            </w:r>
          </w:p>
        </w:tc>
        <w:tc>
          <w:tcPr>
            <w:tcW w:w="1867" w:type="dxa"/>
          </w:tcPr>
          <w:p w14:paraId="59DCC798" w14:textId="77777777" w:rsidR="00712309" w:rsidRPr="00D93FF9" w:rsidRDefault="00E811B8" w:rsidP="002F55F0">
            <w:pPr>
              <w:pStyle w:val="TableParagraph"/>
              <w:spacing w:before="0" w:after="0"/>
              <w:jc w:val="center"/>
              <w:rPr>
                <w:sz w:val="16"/>
                <w:lang w:val="en-GB"/>
              </w:rPr>
            </w:pPr>
            <w:r w:rsidRPr="00D93FF9">
              <w:rPr>
                <w:sz w:val="16"/>
                <w:lang w:val="en-GB"/>
              </w:rPr>
              <w:t>6.8</w:t>
            </w:r>
          </w:p>
        </w:tc>
        <w:tc>
          <w:tcPr>
            <w:tcW w:w="2100" w:type="dxa"/>
          </w:tcPr>
          <w:p w14:paraId="59DCC799" w14:textId="77777777" w:rsidR="00712309" w:rsidRPr="00D93FF9" w:rsidRDefault="00E811B8" w:rsidP="002F55F0">
            <w:pPr>
              <w:pStyle w:val="TableParagraph"/>
              <w:spacing w:before="0" w:after="0"/>
              <w:jc w:val="center"/>
              <w:rPr>
                <w:sz w:val="16"/>
                <w:lang w:val="en-GB"/>
              </w:rPr>
            </w:pPr>
            <w:r w:rsidRPr="00D93FF9">
              <w:rPr>
                <w:sz w:val="16"/>
                <w:lang w:val="en-GB"/>
              </w:rPr>
              <w:t>15.9</w:t>
            </w:r>
          </w:p>
        </w:tc>
        <w:tc>
          <w:tcPr>
            <w:tcW w:w="986" w:type="dxa"/>
          </w:tcPr>
          <w:p w14:paraId="59DCC79A" w14:textId="77777777" w:rsidR="00712309" w:rsidRPr="00D93FF9" w:rsidRDefault="00E811B8" w:rsidP="002F55F0">
            <w:pPr>
              <w:pStyle w:val="TableParagraph"/>
              <w:spacing w:before="0" w:after="0"/>
              <w:jc w:val="center"/>
              <w:rPr>
                <w:sz w:val="16"/>
                <w:lang w:val="en-GB"/>
              </w:rPr>
            </w:pPr>
            <w:r w:rsidRPr="00D93FF9">
              <w:rPr>
                <w:sz w:val="16"/>
                <w:lang w:val="en-GB"/>
              </w:rPr>
              <w:t>7.4</w:t>
            </w:r>
          </w:p>
          <w:p w14:paraId="59DCC79B" w14:textId="77777777" w:rsidR="007D5134" w:rsidRPr="00D93FF9" w:rsidRDefault="007D5134" w:rsidP="002F55F0">
            <w:pPr>
              <w:pStyle w:val="TableParagraph"/>
              <w:spacing w:before="0" w:after="0"/>
              <w:jc w:val="center"/>
              <w:rPr>
                <w:sz w:val="16"/>
                <w:lang w:val="en-GB"/>
              </w:rPr>
            </w:pPr>
          </w:p>
        </w:tc>
        <w:tc>
          <w:tcPr>
            <w:tcW w:w="1042" w:type="dxa"/>
          </w:tcPr>
          <w:p w14:paraId="59DCC79C" w14:textId="77777777" w:rsidR="00712309" w:rsidRPr="00D93FF9" w:rsidRDefault="00E811B8" w:rsidP="002F55F0">
            <w:pPr>
              <w:pStyle w:val="TableParagraph"/>
              <w:spacing w:before="0" w:after="0"/>
              <w:jc w:val="center"/>
              <w:rPr>
                <w:sz w:val="16"/>
                <w:lang w:val="en-GB"/>
              </w:rPr>
            </w:pPr>
            <w:r w:rsidRPr="00D93FF9">
              <w:rPr>
                <w:sz w:val="16"/>
                <w:lang w:val="en-GB"/>
              </w:rPr>
              <w:t>8.4</w:t>
            </w:r>
          </w:p>
        </w:tc>
        <w:tc>
          <w:tcPr>
            <w:tcW w:w="1136" w:type="dxa"/>
          </w:tcPr>
          <w:p w14:paraId="59DCC79D" w14:textId="77777777" w:rsidR="0010549F" w:rsidRPr="00D93FF9" w:rsidRDefault="00E811B8" w:rsidP="002F55F0">
            <w:pPr>
              <w:pStyle w:val="TableParagraph"/>
              <w:spacing w:before="0" w:after="0"/>
              <w:jc w:val="center"/>
              <w:rPr>
                <w:sz w:val="16"/>
                <w:lang w:val="en-GB"/>
              </w:rPr>
            </w:pPr>
            <w:r w:rsidRPr="00D93FF9">
              <w:rPr>
                <w:sz w:val="16"/>
                <w:lang w:val="en-GB"/>
              </w:rPr>
              <w:t>9.9</w:t>
            </w:r>
          </w:p>
          <w:p w14:paraId="59DCC79E" w14:textId="77777777" w:rsidR="00712309" w:rsidRPr="00D93FF9" w:rsidRDefault="00E811B8" w:rsidP="002F55F0">
            <w:pPr>
              <w:pStyle w:val="TableParagraph"/>
              <w:spacing w:before="0" w:after="0"/>
              <w:jc w:val="center"/>
              <w:rPr>
                <w:sz w:val="16"/>
                <w:lang w:val="en-GB"/>
              </w:rPr>
            </w:pPr>
            <w:r w:rsidRPr="00D93FF9">
              <w:rPr>
                <w:sz w:val="16"/>
                <w:lang w:val="en-GB"/>
              </w:rPr>
              <w:t>2.8</w:t>
            </w:r>
            <w:r w:rsidR="0034070A" w:rsidRPr="00D93FF9">
              <w:rPr>
                <w:sz w:val="16"/>
                <w:lang w:val="en-GB"/>
              </w:rPr>
              <w:t>-3.</w:t>
            </w:r>
            <w:r w:rsidR="007D5134" w:rsidRPr="00D93FF9">
              <w:rPr>
                <w:sz w:val="16"/>
                <w:lang w:val="en-GB"/>
              </w:rPr>
              <w:t>0</w:t>
            </w:r>
            <w:r w:rsidR="0034070A" w:rsidRPr="00D93FF9">
              <w:rPr>
                <w:sz w:val="16"/>
                <w:lang w:val="en-GB"/>
              </w:rPr>
              <w:t>6</w:t>
            </w:r>
          </w:p>
        </w:tc>
        <w:tc>
          <w:tcPr>
            <w:tcW w:w="1166" w:type="dxa"/>
          </w:tcPr>
          <w:p w14:paraId="59DCC79F" w14:textId="77777777" w:rsidR="0010549F" w:rsidRPr="00D93FF9" w:rsidRDefault="00E811B8" w:rsidP="002F55F0">
            <w:pPr>
              <w:pStyle w:val="TableParagraph"/>
              <w:spacing w:before="0" w:after="0"/>
              <w:jc w:val="center"/>
              <w:rPr>
                <w:sz w:val="16"/>
                <w:lang w:val="en-GB"/>
              </w:rPr>
            </w:pPr>
            <w:r w:rsidRPr="00D93FF9">
              <w:rPr>
                <w:sz w:val="16"/>
                <w:lang w:val="en-GB"/>
              </w:rPr>
              <w:t>4</w:t>
            </w:r>
          </w:p>
          <w:p w14:paraId="59DCC7A0" w14:textId="77777777" w:rsidR="00712309" w:rsidRPr="00D93FF9" w:rsidRDefault="00E811B8" w:rsidP="002F55F0">
            <w:pPr>
              <w:pStyle w:val="TableParagraph"/>
              <w:spacing w:before="0" w:after="0"/>
              <w:jc w:val="center"/>
              <w:rPr>
                <w:sz w:val="16"/>
                <w:lang w:val="en-GB"/>
              </w:rPr>
            </w:pPr>
            <w:r w:rsidRPr="00D93FF9">
              <w:rPr>
                <w:sz w:val="16"/>
                <w:lang w:val="en-GB"/>
              </w:rPr>
              <w:t>11</w:t>
            </w:r>
          </w:p>
        </w:tc>
      </w:tr>
      <w:tr w:rsidR="00BE3AA8" w:rsidRPr="00D93FF9" w14:paraId="59DCC7AA" w14:textId="77777777" w:rsidTr="002F55F0">
        <w:trPr>
          <w:trHeight w:val="227"/>
        </w:trPr>
        <w:tc>
          <w:tcPr>
            <w:tcW w:w="2135" w:type="dxa"/>
          </w:tcPr>
          <w:p w14:paraId="59DCC7A2" w14:textId="77777777" w:rsidR="00712309" w:rsidRPr="00D93FF9" w:rsidRDefault="00E811B8" w:rsidP="00632CE7">
            <w:pPr>
              <w:pStyle w:val="TableParagraph"/>
              <w:spacing w:before="0" w:after="0"/>
              <w:rPr>
                <w:sz w:val="16"/>
                <w:lang w:val="en-GB"/>
              </w:rPr>
            </w:pPr>
            <w:r w:rsidRPr="00D93FF9">
              <w:rPr>
                <w:sz w:val="16"/>
                <w:lang w:val="en-GB"/>
              </w:rPr>
              <w:t>Sorghum, crooble</w:t>
            </w:r>
          </w:p>
        </w:tc>
        <w:tc>
          <w:tcPr>
            <w:tcW w:w="3033" w:type="dxa"/>
          </w:tcPr>
          <w:p w14:paraId="59DCC7A3" w14:textId="77777777" w:rsidR="00712309" w:rsidRPr="00D93FF9" w:rsidRDefault="00E811B8" w:rsidP="00632CE7">
            <w:pPr>
              <w:pStyle w:val="TableParagraph"/>
              <w:spacing w:before="0" w:after="0"/>
              <w:rPr>
                <w:i/>
                <w:sz w:val="16"/>
                <w:lang w:val="en-GB"/>
              </w:rPr>
            </w:pPr>
            <w:r w:rsidRPr="00D93FF9">
              <w:rPr>
                <w:i/>
                <w:sz w:val="16"/>
                <w:lang w:val="en-GB"/>
              </w:rPr>
              <w:t>Sorghum almum</w:t>
            </w:r>
          </w:p>
        </w:tc>
        <w:tc>
          <w:tcPr>
            <w:tcW w:w="1867" w:type="dxa"/>
          </w:tcPr>
          <w:p w14:paraId="59DCC7A4" w14:textId="77777777" w:rsidR="00712309" w:rsidRPr="00D93FF9" w:rsidRDefault="00E811B8" w:rsidP="002F55F0">
            <w:pPr>
              <w:pStyle w:val="TableParagraph"/>
              <w:spacing w:before="0" w:after="0"/>
              <w:jc w:val="center"/>
              <w:rPr>
                <w:sz w:val="16"/>
                <w:lang w:val="en-GB"/>
              </w:rPr>
            </w:pPr>
            <w:r w:rsidRPr="00D93FF9">
              <w:rPr>
                <w:sz w:val="16"/>
                <w:lang w:val="en-GB"/>
              </w:rPr>
              <w:t>8.3</w:t>
            </w:r>
          </w:p>
        </w:tc>
        <w:tc>
          <w:tcPr>
            <w:tcW w:w="2100" w:type="dxa"/>
          </w:tcPr>
          <w:p w14:paraId="59DCC7A5" w14:textId="77777777" w:rsidR="00712309" w:rsidRPr="00D93FF9" w:rsidRDefault="00E811B8" w:rsidP="002F55F0">
            <w:pPr>
              <w:pStyle w:val="TableParagraph"/>
              <w:spacing w:before="0" w:after="0"/>
              <w:jc w:val="center"/>
              <w:rPr>
                <w:sz w:val="16"/>
                <w:lang w:val="en-GB"/>
              </w:rPr>
            </w:pPr>
            <w:r w:rsidRPr="00D93FF9">
              <w:rPr>
                <w:sz w:val="16"/>
                <w:lang w:val="en-GB"/>
              </w:rPr>
              <w:t>11.2</w:t>
            </w:r>
          </w:p>
        </w:tc>
        <w:tc>
          <w:tcPr>
            <w:tcW w:w="986" w:type="dxa"/>
          </w:tcPr>
          <w:p w14:paraId="59DCC7A6" w14:textId="77777777" w:rsidR="00712309" w:rsidRPr="00D93FF9" w:rsidRDefault="00E811B8" w:rsidP="002F55F0">
            <w:pPr>
              <w:pStyle w:val="TableParagraph"/>
              <w:spacing w:before="0" w:after="0"/>
              <w:jc w:val="center"/>
              <w:rPr>
                <w:sz w:val="16"/>
                <w:lang w:val="en-GB"/>
              </w:rPr>
            </w:pPr>
            <w:r w:rsidRPr="00D93FF9">
              <w:rPr>
                <w:sz w:val="16"/>
                <w:lang w:val="en-GB"/>
              </w:rPr>
              <w:t>9.2</w:t>
            </w:r>
          </w:p>
        </w:tc>
        <w:tc>
          <w:tcPr>
            <w:tcW w:w="1042" w:type="dxa"/>
          </w:tcPr>
          <w:p w14:paraId="59DCC7A7" w14:textId="77777777" w:rsidR="00712309" w:rsidRPr="00D93FF9" w:rsidRDefault="00E811B8" w:rsidP="002F55F0">
            <w:pPr>
              <w:pStyle w:val="TableParagraph"/>
              <w:spacing w:before="0" w:after="0"/>
              <w:jc w:val="center"/>
              <w:rPr>
                <w:sz w:val="16"/>
                <w:lang w:val="en-GB"/>
              </w:rPr>
            </w:pPr>
            <w:r w:rsidRPr="00D93FF9">
              <w:rPr>
                <w:sz w:val="16"/>
                <w:lang w:val="en-GB"/>
              </w:rPr>
              <w:t>10.5</w:t>
            </w:r>
          </w:p>
        </w:tc>
        <w:tc>
          <w:tcPr>
            <w:tcW w:w="1136" w:type="dxa"/>
          </w:tcPr>
          <w:p w14:paraId="59DCC7A8" w14:textId="77777777" w:rsidR="00712309" w:rsidRPr="00D93FF9" w:rsidRDefault="00E811B8" w:rsidP="002F55F0">
            <w:pPr>
              <w:pStyle w:val="TableParagraph"/>
              <w:spacing w:before="0" w:after="0"/>
              <w:jc w:val="center"/>
              <w:rPr>
                <w:sz w:val="16"/>
                <w:lang w:val="en-GB"/>
              </w:rPr>
            </w:pPr>
            <w:r w:rsidRPr="00D93FF9">
              <w:rPr>
                <w:sz w:val="16"/>
                <w:lang w:val="en-GB"/>
              </w:rPr>
              <w:t>12.8</w:t>
            </w:r>
          </w:p>
        </w:tc>
        <w:tc>
          <w:tcPr>
            <w:tcW w:w="1166" w:type="dxa"/>
          </w:tcPr>
          <w:p w14:paraId="59DCC7A9" w14:textId="77777777" w:rsidR="00712309" w:rsidRPr="00D93FF9" w:rsidRDefault="00E811B8" w:rsidP="002F55F0">
            <w:pPr>
              <w:pStyle w:val="TableParagraph"/>
              <w:spacing w:before="0" w:after="0"/>
              <w:jc w:val="center"/>
              <w:rPr>
                <w:sz w:val="16"/>
                <w:lang w:val="en-GB"/>
              </w:rPr>
            </w:pPr>
            <w:r w:rsidRPr="00D93FF9">
              <w:rPr>
                <w:sz w:val="16"/>
                <w:lang w:val="en-GB"/>
              </w:rPr>
              <w:t>3</w:t>
            </w:r>
          </w:p>
        </w:tc>
      </w:tr>
      <w:tr w:rsidR="00BE3AA8" w:rsidRPr="00D93FF9" w14:paraId="59DCC7B3" w14:textId="77777777" w:rsidTr="002F55F0">
        <w:trPr>
          <w:trHeight w:val="228"/>
        </w:trPr>
        <w:tc>
          <w:tcPr>
            <w:tcW w:w="2135" w:type="dxa"/>
          </w:tcPr>
          <w:p w14:paraId="59DCC7AB" w14:textId="77777777" w:rsidR="00712309" w:rsidRPr="00D93FF9" w:rsidRDefault="00E811B8" w:rsidP="00632CE7">
            <w:pPr>
              <w:pStyle w:val="TableParagraph"/>
              <w:spacing w:before="0" w:after="0"/>
              <w:rPr>
                <w:sz w:val="16"/>
                <w:lang w:val="en-GB"/>
              </w:rPr>
            </w:pPr>
            <w:r w:rsidRPr="00D93FF9">
              <w:rPr>
                <w:sz w:val="16"/>
                <w:lang w:val="en-GB"/>
              </w:rPr>
              <w:t>Soybean</w:t>
            </w:r>
          </w:p>
        </w:tc>
        <w:tc>
          <w:tcPr>
            <w:tcW w:w="3033" w:type="dxa"/>
          </w:tcPr>
          <w:p w14:paraId="59DCC7AC" w14:textId="77777777" w:rsidR="00712309" w:rsidRPr="00D93FF9" w:rsidRDefault="00E811B8" w:rsidP="00632CE7">
            <w:pPr>
              <w:pStyle w:val="TableParagraph"/>
              <w:spacing w:before="0" w:after="0"/>
              <w:rPr>
                <w:i/>
                <w:sz w:val="16"/>
                <w:lang w:val="en-GB"/>
              </w:rPr>
            </w:pPr>
            <w:r w:rsidRPr="00D93FF9">
              <w:rPr>
                <w:i/>
                <w:sz w:val="16"/>
                <w:lang w:val="en-GB"/>
              </w:rPr>
              <w:t>Glycine max</w:t>
            </w:r>
          </w:p>
        </w:tc>
        <w:tc>
          <w:tcPr>
            <w:tcW w:w="1867" w:type="dxa"/>
          </w:tcPr>
          <w:p w14:paraId="59DCC7AD" w14:textId="77777777" w:rsidR="00712309" w:rsidRPr="00D93FF9" w:rsidRDefault="00E811B8" w:rsidP="002F55F0">
            <w:pPr>
              <w:pStyle w:val="TableParagraph"/>
              <w:spacing w:before="0" w:after="0"/>
              <w:jc w:val="center"/>
              <w:rPr>
                <w:sz w:val="16"/>
                <w:lang w:val="en-GB"/>
              </w:rPr>
            </w:pPr>
            <w:r w:rsidRPr="00D93FF9">
              <w:rPr>
                <w:sz w:val="16"/>
                <w:lang w:val="en-GB"/>
              </w:rPr>
              <w:t>5.0</w:t>
            </w:r>
          </w:p>
        </w:tc>
        <w:tc>
          <w:tcPr>
            <w:tcW w:w="2100" w:type="dxa"/>
          </w:tcPr>
          <w:p w14:paraId="59DCC7AE" w14:textId="77777777" w:rsidR="00712309" w:rsidRPr="00D93FF9" w:rsidRDefault="00E811B8" w:rsidP="002F55F0">
            <w:pPr>
              <w:pStyle w:val="TableParagraph"/>
              <w:spacing w:before="0" w:after="0"/>
              <w:jc w:val="center"/>
              <w:rPr>
                <w:sz w:val="16"/>
                <w:lang w:val="en-GB"/>
              </w:rPr>
            </w:pPr>
            <w:r w:rsidRPr="00D93FF9">
              <w:rPr>
                <w:sz w:val="16"/>
                <w:lang w:val="en-GB"/>
              </w:rPr>
              <w:t>20.0</w:t>
            </w:r>
          </w:p>
        </w:tc>
        <w:tc>
          <w:tcPr>
            <w:tcW w:w="986" w:type="dxa"/>
          </w:tcPr>
          <w:p w14:paraId="59DCC7AF" w14:textId="77777777" w:rsidR="00712309" w:rsidRPr="00D93FF9" w:rsidRDefault="00E811B8" w:rsidP="002F55F0">
            <w:pPr>
              <w:pStyle w:val="TableParagraph"/>
              <w:spacing w:before="0" w:after="0"/>
              <w:jc w:val="center"/>
              <w:rPr>
                <w:sz w:val="16"/>
                <w:lang w:val="en-GB"/>
              </w:rPr>
            </w:pPr>
            <w:r w:rsidRPr="00D93FF9">
              <w:rPr>
                <w:sz w:val="16"/>
                <w:lang w:val="en-GB"/>
              </w:rPr>
              <w:t>5.5</w:t>
            </w:r>
          </w:p>
        </w:tc>
        <w:tc>
          <w:tcPr>
            <w:tcW w:w="1042" w:type="dxa"/>
          </w:tcPr>
          <w:p w14:paraId="59DCC7B0" w14:textId="77777777" w:rsidR="00712309" w:rsidRPr="00D93FF9" w:rsidRDefault="00E811B8" w:rsidP="002F55F0">
            <w:pPr>
              <w:pStyle w:val="TableParagraph"/>
              <w:spacing w:before="0" w:after="0"/>
              <w:jc w:val="center"/>
              <w:rPr>
                <w:sz w:val="16"/>
                <w:lang w:val="en-GB"/>
              </w:rPr>
            </w:pPr>
            <w:r w:rsidRPr="00D93FF9">
              <w:rPr>
                <w:sz w:val="16"/>
                <w:lang w:val="en-GB"/>
              </w:rPr>
              <w:t>6.3</w:t>
            </w:r>
          </w:p>
        </w:tc>
        <w:tc>
          <w:tcPr>
            <w:tcW w:w="1136" w:type="dxa"/>
          </w:tcPr>
          <w:p w14:paraId="59DCC7B1" w14:textId="77777777" w:rsidR="00712309" w:rsidRPr="00D93FF9" w:rsidRDefault="00E811B8" w:rsidP="002F55F0">
            <w:pPr>
              <w:pStyle w:val="TableParagraph"/>
              <w:spacing w:before="0" w:after="0"/>
              <w:jc w:val="center"/>
              <w:rPr>
                <w:sz w:val="16"/>
                <w:lang w:val="en-GB"/>
              </w:rPr>
            </w:pPr>
            <w:r w:rsidRPr="00D93FF9">
              <w:rPr>
                <w:sz w:val="16"/>
                <w:lang w:val="en-GB"/>
              </w:rPr>
              <w:t>7.5</w:t>
            </w:r>
          </w:p>
        </w:tc>
        <w:tc>
          <w:tcPr>
            <w:tcW w:w="1166" w:type="dxa"/>
          </w:tcPr>
          <w:p w14:paraId="59DCC7B2"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7C3" w14:textId="77777777" w:rsidTr="002F55F0">
        <w:trPr>
          <w:trHeight w:val="227"/>
        </w:trPr>
        <w:tc>
          <w:tcPr>
            <w:tcW w:w="2135" w:type="dxa"/>
          </w:tcPr>
          <w:p w14:paraId="59DCC7B4" w14:textId="77777777" w:rsidR="00712309" w:rsidRPr="00D93FF9" w:rsidRDefault="00E811B8" w:rsidP="00632CE7">
            <w:pPr>
              <w:pStyle w:val="TableParagraph"/>
              <w:spacing w:before="0" w:after="0"/>
              <w:rPr>
                <w:sz w:val="16"/>
                <w:lang w:val="en-GB"/>
              </w:rPr>
            </w:pPr>
            <w:r w:rsidRPr="00D93FF9">
              <w:rPr>
                <w:sz w:val="16"/>
                <w:lang w:val="en-GB"/>
              </w:rPr>
              <w:t>Sugarcane</w:t>
            </w:r>
          </w:p>
          <w:p w14:paraId="59DCC7B5" w14:textId="77777777" w:rsidR="000B2D70" w:rsidRPr="00D93FF9" w:rsidRDefault="00E811B8" w:rsidP="00632CE7">
            <w:pPr>
              <w:pStyle w:val="TableParagraph"/>
              <w:spacing w:before="0" w:after="0"/>
              <w:rPr>
                <w:sz w:val="16"/>
                <w:lang w:val="en-GB"/>
              </w:rPr>
            </w:pPr>
            <w:r w:rsidRPr="00D93FF9">
              <w:rPr>
                <w:sz w:val="16"/>
                <w:lang w:val="en-GB"/>
              </w:rPr>
              <w:t>Plant crop</w:t>
            </w:r>
          </w:p>
          <w:p w14:paraId="59DCC7B6" w14:textId="77777777" w:rsidR="000B2D70" w:rsidRPr="00D93FF9" w:rsidRDefault="00E811B8" w:rsidP="00632CE7">
            <w:pPr>
              <w:pStyle w:val="TableParagraph"/>
              <w:spacing w:before="0" w:after="0"/>
              <w:rPr>
                <w:sz w:val="16"/>
                <w:lang w:val="en-GB"/>
              </w:rPr>
            </w:pPr>
            <w:r w:rsidRPr="00D93FF9">
              <w:rPr>
                <w:sz w:val="16"/>
                <w:lang w:val="en-GB"/>
              </w:rPr>
              <w:t>Ratoon cane</w:t>
            </w:r>
          </w:p>
        </w:tc>
        <w:tc>
          <w:tcPr>
            <w:tcW w:w="3033" w:type="dxa"/>
          </w:tcPr>
          <w:p w14:paraId="59DCC7B7" w14:textId="77777777" w:rsidR="00712309" w:rsidRPr="00D93FF9" w:rsidRDefault="00E811B8" w:rsidP="00632CE7">
            <w:pPr>
              <w:pStyle w:val="TableParagraph"/>
              <w:spacing w:before="0" w:after="0"/>
              <w:rPr>
                <w:i/>
                <w:sz w:val="16"/>
                <w:lang w:val="en-GB"/>
              </w:rPr>
            </w:pPr>
            <w:r w:rsidRPr="00D93FF9">
              <w:rPr>
                <w:i/>
                <w:sz w:val="16"/>
                <w:lang w:val="en-GB"/>
              </w:rPr>
              <w:t>Saccharum officinarum</w:t>
            </w:r>
          </w:p>
        </w:tc>
        <w:tc>
          <w:tcPr>
            <w:tcW w:w="1867" w:type="dxa"/>
          </w:tcPr>
          <w:p w14:paraId="59DCC7B8" w14:textId="77777777" w:rsidR="00712309" w:rsidRPr="00D93FF9" w:rsidRDefault="00E811B8" w:rsidP="002F55F0">
            <w:pPr>
              <w:pStyle w:val="TableParagraph"/>
              <w:spacing w:before="0" w:after="0"/>
              <w:jc w:val="center"/>
              <w:rPr>
                <w:sz w:val="16"/>
                <w:lang w:val="en-GB"/>
              </w:rPr>
            </w:pPr>
            <w:r w:rsidRPr="00D93FF9">
              <w:rPr>
                <w:sz w:val="16"/>
                <w:lang w:val="en-GB"/>
              </w:rPr>
              <w:t>1.7</w:t>
            </w:r>
          </w:p>
          <w:p w14:paraId="59DCC7B9" w14:textId="77777777" w:rsidR="000B2D70" w:rsidRPr="00D93FF9" w:rsidRDefault="000B2D70" w:rsidP="002F55F0">
            <w:pPr>
              <w:pStyle w:val="TableParagraph"/>
              <w:spacing w:before="0" w:after="0"/>
              <w:jc w:val="center"/>
              <w:rPr>
                <w:sz w:val="16"/>
                <w:lang w:val="en-GB"/>
              </w:rPr>
            </w:pPr>
          </w:p>
        </w:tc>
        <w:tc>
          <w:tcPr>
            <w:tcW w:w="2100" w:type="dxa"/>
          </w:tcPr>
          <w:p w14:paraId="59DCC7BA" w14:textId="77777777" w:rsidR="00712309" w:rsidRPr="00D93FF9" w:rsidRDefault="00E811B8" w:rsidP="002F55F0">
            <w:pPr>
              <w:pStyle w:val="TableParagraph"/>
              <w:spacing w:before="0" w:after="0"/>
              <w:jc w:val="center"/>
              <w:rPr>
                <w:sz w:val="16"/>
                <w:lang w:val="en-GB"/>
              </w:rPr>
            </w:pPr>
            <w:r w:rsidRPr="00D93FF9">
              <w:rPr>
                <w:sz w:val="16"/>
                <w:lang w:val="en-GB"/>
              </w:rPr>
              <w:t>5.9</w:t>
            </w:r>
          </w:p>
          <w:p w14:paraId="59DCC7BB" w14:textId="77777777" w:rsidR="000B2D70" w:rsidRPr="00D93FF9" w:rsidRDefault="00E811B8" w:rsidP="002F55F0">
            <w:pPr>
              <w:pStyle w:val="TableParagraph"/>
              <w:spacing w:before="0" w:after="0"/>
              <w:jc w:val="center"/>
              <w:rPr>
                <w:sz w:val="16"/>
                <w:lang w:val="en-GB"/>
              </w:rPr>
            </w:pPr>
            <w:r w:rsidRPr="00D93FF9">
              <w:rPr>
                <w:sz w:val="16"/>
                <w:lang w:val="en-GB"/>
              </w:rPr>
              <w:t>7.5</w:t>
            </w:r>
          </w:p>
          <w:p w14:paraId="59DCC7BC" w14:textId="77777777" w:rsidR="000B2D70" w:rsidRPr="00D93FF9" w:rsidRDefault="00E811B8" w:rsidP="002F55F0">
            <w:pPr>
              <w:pStyle w:val="TableParagraph"/>
              <w:spacing w:before="0" w:after="0"/>
              <w:jc w:val="center"/>
              <w:rPr>
                <w:sz w:val="16"/>
                <w:lang w:val="en-GB"/>
              </w:rPr>
            </w:pPr>
            <w:r w:rsidRPr="00D93FF9">
              <w:rPr>
                <w:sz w:val="16"/>
                <w:lang w:val="en-GB"/>
              </w:rPr>
              <w:t>11.8-16.9</w:t>
            </w:r>
          </w:p>
        </w:tc>
        <w:tc>
          <w:tcPr>
            <w:tcW w:w="986" w:type="dxa"/>
          </w:tcPr>
          <w:p w14:paraId="59DCC7BD" w14:textId="77777777" w:rsidR="00712309" w:rsidRPr="00D93FF9" w:rsidRDefault="00E811B8" w:rsidP="002F55F0">
            <w:pPr>
              <w:pStyle w:val="TableParagraph"/>
              <w:spacing w:before="0" w:after="0"/>
              <w:jc w:val="center"/>
              <w:rPr>
                <w:sz w:val="16"/>
                <w:lang w:val="en-GB"/>
              </w:rPr>
            </w:pPr>
            <w:r w:rsidRPr="00D93FF9">
              <w:rPr>
                <w:sz w:val="16"/>
                <w:lang w:val="en-GB"/>
              </w:rPr>
              <w:t>3.4</w:t>
            </w:r>
          </w:p>
        </w:tc>
        <w:tc>
          <w:tcPr>
            <w:tcW w:w="1042" w:type="dxa"/>
          </w:tcPr>
          <w:p w14:paraId="59DCC7BE" w14:textId="77777777" w:rsidR="00712309" w:rsidRPr="00D93FF9" w:rsidRDefault="00E811B8" w:rsidP="002F55F0">
            <w:pPr>
              <w:pStyle w:val="TableParagraph"/>
              <w:spacing w:before="0" w:after="0"/>
              <w:jc w:val="center"/>
              <w:rPr>
                <w:sz w:val="16"/>
                <w:lang w:val="en-GB"/>
              </w:rPr>
            </w:pPr>
            <w:r w:rsidRPr="00D93FF9">
              <w:rPr>
                <w:sz w:val="16"/>
                <w:lang w:val="en-GB"/>
              </w:rPr>
              <w:t>5.9</w:t>
            </w:r>
          </w:p>
        </w:tc>
        <w:tc>
          <w:tcPr>
            <w:tcW w:w="1136" w:type="dxa"/>
          </w:tcPr>
          <w:p w14:paraId="59DCC7BF" w14:textId="77777777" w:rsidR="00712309" w:rsidRPr="00D93FF9" w:rsidRDefault="00E811B8" w:rsidP="002F55F0">
            <w:pPr>
              <w:pStyle w:val="TableParagraph"/>
              <w:spacing w:before="0" w:after="0"/>
              <w:jc w:val="center"/>
              <w:rPr>
                <w:sz w:val="16"/>
                <w:lang w:val="en-GB"/>
              </w:rPr>
            </w:pPr>
            <w:r w:rsidRPr="00D93FF9">
              <w:rPr>
                <w:sz w:val="16"/>
                <w:lang w:val="en-GB"/>
              </w:rPr>
              <w:t>10.2</w:t>
            </w:r>
          </w:p>
        </w:tc>
        <w:tc>
          <w:tcPr>
            <w:tcW w:w="1166" w:type="dxa"/>
          </w:tcPr>
          <w:p w14:paraId="59DCC7C0" w14:textId="77777777" w:rsidR="00712309" w:rsidRPr="00D93FF9" w:rsidRDefault="00E811B8" w:rsidP="002F55F0">
            <w:pPr>
              <w:pStyle w:val="TableParagraph"/>
              <w:spacing w:before="0" w:after="0"/>
              <w:jc w:val="center"/>
              <w:rPr>
                <w:sz w:val="16"/>
                <w:lang w:val="en-GB"/>
              </w:rPr>
            </w:pPr>
            <w:r w:rsidRPr="00D93FF9">
              <w:rPr>
                <w:sz w:val="16"/>
                <w:lang w:val="en-GB"/>
              </w:rPr>
              <w:t>1</w:t>
            </w:r>
          </w:p>
          <w:p w14:paraId="59DCC7C1" w14:textId="77777777" w:rsidR="000B2D70" w:rsidRPr="00D93FF9" w:rsidRDefault="00E811B8" w:rsidP="002F55F0">
            <w:pPr>
              <w:pStyle w:val="TableParagraph"/>
              <w:spacing w:before="0" w:after="0"/>
              <w:jc w:val="center"/>
              <w:rPr>
                <w:sz w:val="16"/>
                <w:lang w:val="en-GB"/>
              </w:rPr>
            </w:pPr>
            <w:r w:rsidRPr="00D93FF9">
              <w:rPr>
                <w:sz w:val="16"/>
                <w:lang w:val="en-GB"/>
              </w:rPr>
              <w:t>18</w:t>
            </w:r>
          </w:p>
          <w:p w14:paraId="59DCC7C2" w14:textId="77777777" w:rsidR="000B2D70" w:rsidRPr="00D93FF9" w:rsidRDefault="00E811B8" w:rsidP="002F55F0">
            <w:pPr>
              <w:pStyle w:val="TableParagraph"/>
              <w:spacing w:before="0" w:after="0"/>
              <w:jc w:val="center"/>
              <w:rPr>
                <w:sz w:val="16"/>
                <w:lang w:val="en-GB"/>
              </w:rPr>
            </w:pPr>
            <w:r w:rsidRPr="00D93FF9">
              <w:rPr>
                <w:sz w:val="16"/>
                <w:lang w:val="en-GB"/>
              </w:rPr>
              <w:t>18</w:t>
            </w:r>
          </w:p>
        </w:tc>
      </w:tr>
      <w:tr w:rsidR="00BE3AA8" w:rsidRPr="00D93FF9" w14:paraId="59DCC7CC" w14:textId="77777777" w:rsidTr="002F55F0">
        <w:trPr>
          <w:trHeight w:val="227"/>
        </w:trPr>
        <w:tc>
          <w:tcPr>
            <w:tcW w:w="2135" w:type="dxa"/>
          </w:tcPr>
          <w:p w14:paraId="59DCC7C4" w14:textId="77777777" w:rsidR="00712309" w:rsidRPr="00D93FF9" w:rsidRDefault="00E811B8" w:rsidP="00632CE7">
            <w:pPr>
              <w:pStyle w:val="TableParagraph"/>
              <w:spacing w:before="0" w:after="0"/>
              <w:rPr>
                <w:sz w:val="16"/>
                <w:lang w:val="en-GB"/>
              </w:rPr>
            </w:pPr>
            <w:r w:rsidRPr="00D93FF9">
              <w:rPr>
                <w:sz w:val="16"/>
                <w:lang w:val="en-GB"/>
              </w:rPr>
              <w:t>Sunflower</w:t>
            </w:r>
          </w:p>
        </w:tc>
        <w:tc>
          <w:tcPr>
            <w:tcW w:w="3033" w:type="dxa"/>
          </w:tcPr>
          <w:p w14:paraId="59DCC7C5" w14:textId="77777777" w:rsidR="00712309" w:rsidRPr="00D93FF9" w:rsidRDefault="00E811B8" w:rsidP="00632CE7">
            <w:pPr>
              <w:pStyle w:val="TableParagraph"/>
              <w:spacing w:before="0" w:after="0"/>
              <w:rPr>
                <w:i/>
                <w:sz w:val="16"/>
                <w:lang w:val="en-GB"/>
              </w:rPr>
            </w:pPr>
            <w:r w:rsidRPr="00D93FF9">
              <w:rPr>
                <w:i/>
                <w:sz w:val="16"/>
                <w:lang w:val="en-GB"/>
              </w:rPr>
              <w:t>Helianthus annuus</w:t>
            </w:r>
          </w:p>
        </w:tc>
        <w:tc>
          <w:tcPr>
            <w:tcW w:w="1867" w:type="dxa"/>
          </w:tcPr>
          <w:p w14:paraId="59DCC7C6" w14:textId="77777777" w:rsidR="00712309" w:rsidRPr="00D93FF9" w:rsidRDefault="00E811B8" w:rsidP="002F55F0">
            <w:pPr>
              <w:pStyle w:val="TableParagraph"/>
              <w:spacing w:before="0" w:after="0"/>
              <w:jc w:val="center"/>
              <w:rPr>
                <w:sz w:val="16"/>
                <w:lang w:val="en-GB"/>
              </w:rPr>
            </w:pPr>
            <w:r w:rsidRPr="00D93FF9">
              <w:rPr>
                <w:sz w:val="16"/>
                <w:lang w:val="en-GB"/>
              </w:rPr>
              <w:t>5.5</w:t>
            </w:r>
          </w:p>
        </w:tc>
        <w:tc>
          <w:tcPr>
            <w:tcW w:w="2100" w:type="dxa"/>
          </w:tcPr>
          <w:p w14:paraId="59DCC7C7" w14:textId="77777777" w:rsidR="00712309" w:rsidRPr="00D93FF9" w:rsidRDefault="00E811B8" w:rsidP="002F55F0">
            <w:pPr>
              <w:pStyle w:val="TableParagraph"/>
              <w:spacing w:before="0" w:after="0"/>
              <w:jc w:val="center"/>
              <w:rPr>
                <w:sz w:val="16"/>
                <w:lang w:val="en-GB"/>
              </w:rPr>
            </w:pPr>
            <w:r w:rsidRPr="00D93FF9">
              <w:rPr>
                <w:sz w:val="16"/>
                <w:lang w:val="en-GB"/>
              </w:rPr>
              <w:t>25.0</w:t>
            </w:r>
          </w:p>
        </w:tc>
        <w:tc>
          <w:tcPr>
            <w:tcW w:w="986" w:type="dxa"/>
          </w:tcPr>
          <w:p w14:paraId="59DCC7C8" w14:textId="77777777" w:rsidR="00712309" w:rsidRPr="00D93FF9" w:rsidRDefault="00E811B8" w:rsidP="002F55F0">
            <w:pPr>
              <w:pStyle w:val="TableParagraph"/>
              <w:spacing w:before="0" w:after="0"/>
              <w:jc w:val="center"/>
              <w:rPr>
                <w:sz w:val="16"/>
                <w:lang w:val="en-GB"/>
              </w:rPr>
            </w:pPr>
            <w:r w:rsidRPr="00D93FF9">
              <w:rPr>
                <w:sz w:val="16"/>
                <w:lang w:val="en-GB"/>
              </w:rPr>
              <w:t>5.9</w:t>
            </w:r>
          </w:p>
        </w:tc>
        <w:tc>
          <w:tcPr>
            <w:tcW w:w="1042" w:type="dxa"/>
          </w:tcPr>
          <w:p w14:paraId="59DCC7C9" w14:textId="77777777" w:rsidR="00712309" w:rsidRPr="00D93FF9" w:rsidRDefault="00E811B8" w:rsidP="002F55F0">
            <w:pPr>
              <w:pStyle w:val="TableParagraph"/>
              <w:spacing w:before="0" w:after="0"/>
              <w:jc w:val="center"/>
              <w:rPr>
                <w:sz w:val="16"/>
                <w:lang w:val="en-GB"/>
              </w:rPr>
            </w:pPr>
            <w:r w:rsidRPr="00D93FF9">
              <w:rPr>
                <w:sz w:val="16"/>
                <w:lang w:val="en-GB"/>
              </w:rPr>
              <w:t>6.5</w:t>
            </w:r>
          </w:p>
        </w:tc>
        <w:tc>
          <w:tcPr>
            <w:tcW w:w="1136" w:type="dxa"/>
          </w:tcPr>
          <w:p w14:paraId="59DCC7CA" w14:textId="77777777" w:rsidR="00712309" w:rsidRPr="00D93FF9" w:rsidRDefault="00E811B8" w:rsidP="002F55F0">
            <w:pPr>
              <w:pStyle w:val="TableParagraph"/>
              <w:spacing w:before="0" w:after="0"/>
              <w:jc w:val="center"/>
              <w:rPr>
                <w:sz w:val="16"/>
                <w:lang w:val="en-GB"/>
              </w:rPr>
            </w:pPr>
            <w:r w:rsidRPr="00D93FF9">
              <w:rPr>
                <w:sz w:val="16"/>
                <w:lang w:val="en-GB"/>
              </w:rPr>
              <w:t>7.5</w:t>
            </w:r>
          </w:p>
        </w:tc>
        <w:tc>
          <w:tcPr>
            <w:tcW w:w="1166" w:type="dxa"/>
          </w:tcPr>
          <w:p w14:paraId="59DCC7CB" w14:textId="77777777" w:rsidR="00712309" w:rsidRPr="00D93FF9" w:rsidRDefault="00E811B8" w:rsidP="002F55F0">
            <w:pPr>
              <w:pStyle w:val="TableParagraph"/>
              <w:spacing w:before="0" w:after="0"/>
              <w:jc w:val="center"/>
              <w:rPr>
                <w:sz w:val="16"/>
                <w:lang w:val="en-GB"/>
              </w:rPr>
            </w:pPr>
            <w:r w:rsidRPr="00D93FF9">
              <w:rPr>
                <w:sz w:val="16"/>
                <w:lang w:val="en-GB"/>
              </w:rPr>
              <w:t>9</w:t>
            </w:r>
          </w:p>
        </w:tc>
      </w:tr>
      <w:tr w:rsidR="00BE3AA8" w:rsidRPr="00D93FF9" w14:paraId="59DCC7D5" w14:textId="77777777" w:rsidTr="002F55F0">
        <w:trPr>
          <w:trHeight w:val="228"/>
        </w:trPr>
        <w:tc>
          <w:tcPr>
            <w:tcW w:w="2135" w:type="dxa"/>
          </w:tcPr>
          <w:p w14:paraId="59DCC7CD" w14:textId="77777777" w:rsidR="00712309" w:rsidRPr="00D93FF9" w:rsidRDefault="00E811B8" w:rsidP="00632CE7">
            <w:pPr>
              <w:pStyle w:val="TableParagraph"/>
              <w:spacing w:before="0" w:after="0"/>
              <w:rPr>
                <w:sz w:val="16"/>
                <w:lang w:val="en-GB"/>
              </w:rPr>
            </w:pPr>
            <w:r w:rsidRPr="00D93FF9">
              <w:rPr>
                <w:sz w:val="16"/>
                <w:lang w:val="en-GB"/>
              </w:rPr>
              <w:t>Wheat</w:t>
            </w:r>
          </w:p>
        </w:tc>
        <w:tc>
          <w:tcPr>
            <w:tcW w:w="3033" w:type="dxa"/>
          </w:tcPr>
          <w:p w14:paraId="59DCC7CE" w14:textId="77777777" w:rsidR="00712309" w:rsidRPr="00D93FF9" w:rsidRDefault="00E811B8" w:rsidP="00632CE7">
            <w:pPr>
              <w:pStyle w:val="TableParagraph"/>
              <w:spacing w:before="0" w:after="0"/>
              <w:rPr>
                <w:i/>
                <w:sz w:val="16"/>
                <w:lang w:val="en-GB"/>
              </w:rPr>
            </w:pPr>
            <w:r w:rsidRPr="00D93FF9">
              <w:rPr>
                <w:i/>
                <w:sz w:val="16"/>
                <w:lang w:val="en-GB"/>
              </w:rPr>
              <w:t>Triticum aestivum</w:t>
            </w:r>
          </w:p>
        </w:tc>
        <w:tc>
          <w:tcPr>
            <w:tcW w:w="1867" w:type="dxa"/>
          </w:tcPr>
          <w:p w14:paraId="59DCC7CF" w14:textId="77777777" w:rsidR="00712309" w:rsidRPr="00D93FF9" w:rsidRDefault="00E811B8" w:rsidP="002F55F0">
            <w:pPr>
              <w:pStyle w:val="TableParagraph"/>
              <w:spacing w:before="0" w:after="0"/>
              <w:jc w:val="center"/>
              <w:rPr>
                <w:sz w:val="16"/>
                <w:lang w:val="en-GB"/>
              </w:rPr>
            </w:pPr>
            <w:r w:rsidRPr="00D93FF9">
              <w:rPr>
                <w:sz w:val="16"/>
                <w:lang w:val="en-GB"/>
              </w:rPr>
              <w:t>6.0</w:t>
            </w:r>
          </w:p>
        </w:tc>
        <w:tc>
          <w:tcPr>
            <w:tcW w:w="2100" w:type="dxa"/>
          </w:tcPr>
          <w:p w14:paraId="59DCC7D0" w14:textId="77777777" w:rsidR="00712309" w:rsidRPr="00D93FF9" w:rsidRDefault="00E811B8" w:rsidP="002F55F0">
            <w:pPr>
              <w:pStyle w:val="TableParagraph"/>
              <w:spacing w:before="0" w:after="0"/>
              <w:jc w:val="center"/>
              <w:rPr>
                <w:sz w:val="16"/>
                <w:lang w:val="en-GB"/>
              </w:rPr>
            </w:pPr>
            <w:r w:rsidRPr="00D93FF9">
              <w:rPr>
                <w:sz w:val="16"/>
                <w:lang w:val="en-GB"/>
              </w:rPr>
              <w:t>7.1</w:t>
            </w:r>
          </w:p>
        </w:tc>
        <w:tc>
          <w:tcPr>
            <w:tcW w:w="986" w:type="dxa"/>
          </w:tcPr>
          <w:p w14:paraId="59DCC7D1" w14:textId="77777777" w:rsidR="00712309" w:rsidRPr="00D93FF9" w:rsidRDefault="00E811B8" w:rsidP="002F55F0">
            <w:pPr>
              <w:pStyle w:val="TableParagraph"/>
              <w:spacing w:before="0" w:after="0"/>
              <w:jc w:val="center"/>
              <w:rPr>
                <w:sz w:val="16"/>
                <w:lang w:val="en-GB"/>
              </w:rPr>
            </w:pPr>
            <w:r w:rsidRPr="00D93FF9">
              <w:rPr>
                <w:sz w:val="16"/>
                <w:lang w:val="en-GB"/>
              </w:rPr>
              <w:t>7.4</w:t>
            </w:r>
          </w:p>
        </w:tc>
        <w:tc>
          <w:tcPr>
            <w:tcW w:w="1042" w:type="dxa"/>
          </w:tcPr>
          <w:p w14:paraId="59DCC7D2" w14:textId="77777777" w:rsidR="00712309" w:rsidRPr="00D93FF9" w:rsidRDefault="00E811B8" w:rsidP="002F55F0">
            <w:pPr>
              <w:pStyle w:val="TableParagraph"/>
              <w:spacing w:before="0" w:after="0"/>
              <w:jc w:val="center"/>
              <w:rPr>
                <w:sz w:val="16"/>
                <w:lang w:val="en-GB"/>
              </w:rPr>
            </w:pPr>
            <w:r w:rsidRPr="00D93FF9">
              <w:rPr>
                <w:sz w:val="16"/>
                <w:lang w:val="en-GB"/>
              </w:rPr>
              <w:t>9.5</w:t>
            </w:r>
          </w:p>
        </w:tc>
        <w:tc>
          <w:tcPr>
            <w:tcW w:w="1136" w:type="dxa"/>
          </w:tcPr>
          <w:p w14:paraId="59DCC7D3" w14:textId="77777777" w:rsidR="00712309" w:rsidRPr="00D93FF9" w:rsidRDefault="00E811B8" w:rsidP="002F55F0">
            <w:pPr>
              <w:pStyle w:val="TableParagraph"/>
              <w:spacing w:before="0" w:after="0"/>
              <w:jc w:val="center"/>
              <w:rPr>
                <w:sz w:val="16"/>
                <w:lang w:val="en-GB"/>
              </w:rPr>
            </w:pPr>
            <w:r w:rsidRPr="00D93FF9">
              <w:rPr>
                <w:sz w:val="16"/>
                <w:lang w:val="en-GB"/>
              </w:rPr>
              <w:t>13.0</w:t>
            </w:r>
          </w:p>
        </w:tc>
        <w:tc>
          <w:tcPr>
            <w:tcW w:w="1166" w:type="dxa"/>
          </w:tcPr>
          <w:p w14:paraId="59DCC7D4"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7DE" w14:textId="77777777" w:rsidTr="002F55F0">
        <w:trPr>
          <w:trHeight w:val="257"/>
        </w:trPr>
        <w:tc>
          <w:tcPr>
            <w:tcW w:w="2135" w:type="dxa"/>
          </w:tcPr>
          <w:p w14:paraId="59DCC7D6" w14:textId="77777777" w:rsidR="00712309" w:rsidRPr="00D93FF9" w:rsidRDefault="00E811B8" w:rsidP="00632CE7">
            <w:pPr>
              <w:pStyle w:val="TableParagraph"/>
              <w:spacing w:before="0" w:after="0"/>
              <w:rPr>
                <w:sz w:val="16"/>
                <w:lang w:val="en-GB"/>
              </w:rPr>
            </w:pPr>
            <w:r w:rsidRPr="00D93FF9">
              <w:rPr>
                <w:sz w:val="16"/>
                <w:lang w:val="en-GB"/>
              </w:rPr>
              <w:t>Wheat, durum</w:t>
            </w:r>
          </w:p>
        </w:tc>
        <w:tc>
          <w:tcPr>
            <w:tcW w:w="3033" w:type="dxa"/>
          </w:tcPr>
          <w:p w14:paraId="59DCC7D7" w14:textId="77777777" w:rsidR="00712309" w:rsidRPr="00D93FF9" w:rsidRDefault="00E811B8" w:rsidP="00632CE7">
            <w:pPr>
              <w:pStyle w:val="TableParagraph"/>
              <w:spacing w:before="0" w:after="0"/>
              <w:rPr>
                <w:i/>
                <w:sz w:val="16"/>
                <w:lang w:val="en-GB"/>
              </w:rPr>
            </w:pPr>
            <w:r w:rsidRPr="00D93FF9">
              <w:rPr>
                <w:i/>
                <w:sz w:val="16"/>
                <w:lang w:val="en-GB"/>
              </w:rPr>
              <w:t>Triticum turgidum</w:t>
            </w:r>
          </w:p>
        </w:tc>
        <w:tc>
          <w:tcPr>
            <w:tcW w:w="1867" w:type="dxa"/>
          </w:tcPr>
          <w:p w14:paraId="59DCC7D8" w14:textId="77777777" w:rsidR="00712309" w:rsidRPr="00D93FF9" w:rsidRDefault="00E811B8" w:rsidP="002F55F0">
            <w:pPr>
              <w:pStyle w:val="TableParagraph"/>
              <w:spacing w:before="0" w:after="0"/>
              <w:jc w:val="center"/>
              <w:rPr>
                <w:sz w:val="16"/>
                <w:lang w:val="en-GB"/>
              </w:rPr>
            </w:pPr>
            <w:r w:rsidRPr="00D93FF9">
              <w:rPr>
                <w:sz w:val="16"/>
                <w:lang w:val="en-GB"/>
              </w:rPr>
              <w:t>5.7</w:t>
            </w:r>
          </w:p>
        </w:tc>
        <w:tc>
          <w:tcPr>
            <w:tcW w:w="2100" w:type="dxa"/>
          </w:tcPr>
          <w:p w14:paraId="59DCC7D9" w14:textId="77777777" w:rsidR="00712309" w:rsidRPr="00D93FF9" w:rsidRDefault="00E811B8" w:rsidP="002F55F0">
            <w:pPr>
              <w:pStyle w:val="TableParagraph"/>
              <w:spacing w:before="0" w:after="0"/>
              <w:jc w:val="center"/>
              <w:rPr>
                <w:sz w:val="16"/>
                <w:lang w:val="en-GB"/>
              </w:rPr>
            </w:pPr>
            <w:r w:rsidRPr="00D93FF9">
              <w:rPr>
                <w:sz w:val="16"/>
                <w:lang w:val="en-GB"/>
              </w:rPr>
              <w:t>5.4</w:t>
            </w:r>
          </w:p>
        </w:tc>
        <w:tc>
          <w:tcPr>
            <w:tcW w:w="986" w:type="dxa"/>
          </w:tcPr>
          <w:p w14:paraId="59DCC7DA" w14:textId="77777777" w:rsidR="00712309" w:rsidRPr="00D93FF9" w:rsidRDefault="00E811B8" w:rsidP="002F55F0">
            <w:pPr>
              <w:pStyle w:val="TableParagraph"/>
              <w:spacing w:before="0" w:after="0"/>
              <w:jc w:val="center"/>
              <w:rPr>
                <w:sz w:val="16"/>
                <w:lang w:val="en-GB"/>
              </w:rPr>
            </w:pPr>
            <w:r w:rsidRPr="00D93FF9">
              <w:rPr>
                <w:sz w:val="16"/>
                <w:lang w:val="en-GB"/>
              </w:rPr>
              <w:t>7.6</w:t>
            </w:r>
          </w:p>
        </w:tc>
        <w:tc>
          <w:tcPr>
            <w:tcW w:w="1042" w:type="dxa"/>
          </w:tcPr>
          <w:p w14:paraId="59DCC7DB" w14:textId="77777777" w:rsidR="00712309" w:rsidRPr="00D93FF9" w:rsidRDefault="00E811B8" w:rsidP="002F55F0">
            <w:pPr>
              <w:pStyle w:val="TableParagraph"/>
              <w:spacing w:before="0" w:after="0"/>
              <w:jc w:val="center"/>
              <w:rPr>
                <w:sz w:val="16"/>
                <w:lang w:val="en-GB"/>
              </w:rPr>
            </w:pPr>
            <w:r w:rsidRPr="00D93FF9">
              <w:rPr>
                <w:sz w:val="16"/>
                <w:lang w:val="en-GB"/>
              </w:rPr>
              <w:t>10.3</w:t>
            </w:r>
          </w:p>
        </w:tc>
        <w:tc>
          <w:tcPr>
            <w:tcW w:w="1136" w:type="dxa"/>
          </w:tcPr>
          <w:p w14:paraId="59DCC7DC" w14:textId="77777777" w:rsidR="00712309" w:rsidRPr="00D93FF9" w:rsidRDefault="00E811B8" w:rsidP="002F55F0">
            <w:pPr>
              <w:pStyle w:val="TableParagraph"/>
              <w:spacing w:before="0" w:after="0"/>
              <w:jc w:val="center"/>
              <w:rPr>
                <w:sz w:val="16"/>
                <w:lang w:val="en-GB"/>
              </w:rPr>
            </w:pPr>
            <w:r w:rsidRPr="00D93FF9">
              <w:rPr>
                <w:sz w:val="16"/>
                <w:lang w:val="en-GB"/>
              </w:rPr>
              <w:t>15.0</w:t>
            </w:r>
          </w:p>
        </w:tc>
        <w:tc>
          <w:tcPr>
            <w:tcW w:w="1166" w:type="dxa"/>
          </w:tcPr>
          <w:p w14:paraId="59DCC7DD" w14:textId="77777777" w:rsidR="00712309" w:rsidRPr="00D93FF9" w:rsidRDefault="00E811B8" w:rsidP="002F55F0">
            <w:pPr>
              <w:pStyle w:val="TableParagraph"/>
              <w:spacing w:before="0" w:after="0"/>
              <w:jc w:val="center"/>
              <w:rPr>
                <w:sz w:val="16"/>
                <w:lang w:val="en-GB"/>
              </w:rPr>
            </w:pPr>
            <w:r w:rsidRPr="00D93FF9">
              <w:rPr>
                <w:sz w:val="16"/>
                <w:lang w:val="en-GB"/>
              </w:rPr>
              <w:t>4</w:t>
            </w:r>
          </w:p>
        </w:tc>
      </w:tr>
      <w:tr w:rsidR="00BE3AA8" w:rsidRPr="00D93FF9" w14:paraId="59DCC7E7" w14:textId="77777777" w:rsidTr="002F55F0">
        <w:trPr>
          <w:trHeight w:val="281"/>
        </w:trPr>
        <w:tc>
          <w:tcPr>
            <w:tcW w:w="2135" w:type="dxa"/>
          </w:tcPr>
          <w:p w14:paraId="59DCC7DF" w14:textId="77777777" w:rsidR="00712309" w:rsidRPr="00D93FF9" w:rsidRDefault="00E811B8" w:rsidP="00632CE7">
            <w:pPr>
              <w:pStyle w:val="TableParagraph"/>
              <w:spacing w:before="0" w:after="0"/>
              <w:rPr>
                <w:b/>
                <w:sz w:val="16"/>
                <w:lang w:val="en-GB"/>
              </w:rPr>
            </w:pPr>
            <w:r w:rsidRPr="00D93FF9">
              <w:rPr>
                <w:b/>
                <w:sz w:val="16"/>
                <w:lang w:val="en-GB"/>
              </w:rPr>
              <w:t>Fruits</w:t>
            </w:r>
          </w:p>
        </w:tc>
        <w:tc>
          <w:tcPr>
            <w:tcW w:w="3033" w:type="dxa"/>
          </w:tcPr>
          <w:p w14:paraId="59DCC7E0" w14:textId="77777777" w:rsidR="00712309" w:rsidRPr="00D93FF9" w:rsidRDefault="00712309" w:rsidP="00632CE7">
            <w:pPr>
              <w:pStyle w:val="TableParagraph"/>
              <w:spacing w:before="0" w:after="0"/>
              <w:rPr>
                <w:rFonts w:ascii="Times New Roman"/>
                <w:sz w:val="14"/>
                <w:lang w:val="en-GB"/>
              </w:rPr>
            </w:pPr>
          </w:p>
        </w:tc>
        <w:tc>
          <w:tcPr>
            <w:tcW w:w="1867" w:type="dxa"/>
          </w:tcPr>
          <w:p w14:paraId="59DCC7E1" w14:textId="77777777" w:rsidR="00712309" w:rsidRPr="00D93FF9" w:rsidRDefault="00712309" w:rsidP="002F55F0">
            <w:pPr>
              <w:pStyle w:val="TableParagraph"/>
              <w:spacing w:before="0" w:after="0"/>
              <w:jc w:val="center"/>
              <w:rPr>
                <w:rFonts w:ascii="Times New Roman"/>
                <w:sz w:val="14"/>
                <w:lang w:val="en-GB"/>
              </w:rPr>
            </w:pPr>
          </w:p>
        </w:tc>
        <w:tc>
          <w:tcPr>
            <w:tcW w:w="2100" w:type="dxa"/>
          </w:tcPr>
          <w:p w14:paraId="59DCC7E2" w14:textId="77777777" w:rsidR="00712309" w:rsidRPr="00D93FF9" w:rsidRDefault="00712309" w:rsidP="002F55F0">
            <w:pPr>
              <w:pStyle w:val="TableParagraph"/>
              <w:spacing w:before="0" w:after="0"/>
              <w:jc w:val="center"/>
              <w:rPr>
                <w:rFonts w:ascii="Times New Roman"/>
                <w:sz w:val="14"/>
                <w:lang w:val="en-GB"/>
              </w:rPr>
            </w:pPr>
          </w:p>
        </w:tc>
        <w:tc>
          <w:tcPr>
            <w:tcW w:w="986" w:type="dxa"/>
          </w:tcPr>
          <w:p w14:paraId="59DCC7E3" w14:textId="77777777" w:rsidR="00712309" w:rsidRPr="00D93FF9" w:rsidRDefault="00712309" w:rsidP="002F55F0">
            <w:pPr>
              <w:pStyle w:val="TableParagraph"/>
              <w:spacing w:before="0" w:after="0"/>
              <w:jc w:val="center"/>
              <w:rPr>
                <w:rFonts w:ascii="Times New Roman"/>
                <w:sz w:val="14"/>
                <w:lang w:val="en-GB"/>
              </w:rPr>
            </w:pPr>
          </w:p>
        </w:tc>
        <w:tc>
          <w:tcPr>
            <w:tcW w:w="1042" w:type="dxa"/>
          </w:tcPr>
          <w:p w14:paraId="59DCC7E4" w14:textId="77777777" w:rsidR="00712309" w:rsidRPr="00D93FF9" w:rsidRDefault="00712309" w:rsidP="002F55F0">
            <w:pPr>
              <w:pStyle w:val="TableParagraph"/>
              <w:spacing w:before="0" w:after="0"/>
              <w:jc w:val="center"/>
              <w:rPr>
                <w:rFonts w:ascii="Times New Roman"/>
                <w:sz w:val="14"/>
                <w:lang w:val="en-GB"/>
              </w:rPr>
            </w:pPr>
          </w:p>
        </w:tc>
        <w:tc>
          <w:tcPr>
            <w:tcW w:w="1136" w:type="dxa"/>
          </w:tcPr>
          <w:p w14:paraId="59DCC7E5" w14:textId="77777777" w:rsidR="00712309" w:rsidRPr="00D93FF9" w:rsidRDefault="00712309" w:rsidP="002F55F0">
            <w:pPr>
              <w:pStyle w:val="TableParagraph"/>
              <w:spacing w:before="0" w:after="0"/>
              <w:jc w:val="center"/>
              <w:rPr>
                <w:rFonts w:ascii="Times New Roman"/>
                <w:sz w:val="14"/>
                <w:lang w:val="en-GB"/>
              </w:rPr>
            </w:pPr>
          </w:p>
        </w:tc>
        <w:tc>
          <w:tcPr>
            <w:tcW w:w="1166" w:type="dxa"/>
          </w:tcPr>
          <w:p w14:paraId="59DCC7E6" w14:textId="77777777" w:rsidR="00712309" w:rsidRPr="00D93FF9" w:rsidRDefault="00712309" w:rsidP="002F55F0">
            <w:pPr>
              <w:pStyle w:val="TableParagraph"/>
              <w:spacing w:before="0" w:after="0"/>
              <w:jc w:val="center"/>
              <w:rPr>
                <w:rFonts w:ascii="Times New Roman"/>
                <w:sz w:val="14"/>
                <w:lang w:val="en-GB"/>
              </w:rPr>
            </w:pPr>
          </w:p>
        </w:tc>
      </w:tr>
      <w:tr w:rsidR="00BE3AA8" w:rsidRPr="00D93FF9" w14:paraId="59DCC7F0" w14:textId="77777777" w:rsidTr="002F55F0">
        <w:trPr>
          <w:trHeight w:val="255"/>
        </w:trPr>
        <w:tc>
          <w:tcPr>
            <w:tcW w:w="2135" w:type="dxa"/>
          </w:tcPr>
          <w:p w14:paraId="59DCC7E8" w14:textId="77777777" w:rsidR="00712309" w:rsidRPr="00D93FF9" w:rsidRDefault="00E811B8" w:rsidP="00632CE7">
            <w:pPr>
              <w:pStyle w:val="TableParagraph"/>
              <w:spacing w:before="0" w:after="0"/>
              <w:rPr>
                <w:sz w:val="16"/>
                <w:lang w:val="en-GB"/>
              </w:rPr>
            </w:pPr>
            <w:r w:rsidRPr="00D93FF9">
              <w:rPr>
                <w:sz w:val="16"/>
                <w:lang w:val="en-GB"/>
              </w:rPr>
              <w:t>Almond</w:t>
            </w:r>
          </w:p>
        </w:tc>
        <w:tc>
          <w:tcPr>
            <w:tcW w:w="3033" w:type="dxa"/>
          </w:tcPr>
          <w:p w14:paraId="59DCC7E9" w14:textId="77777777" w:rsidR="00712309" w:rsidRPr="00D93FF9" w:rsidRDefault="00E811B8" w:rsidP="00632CE7">
            <w:pPr>
              <w:pStyle w:val="TableParagraph"/>
              <w:spacing w:before="0" w:after="0"/>
              <w:rPr>
                <w:i/>
                <w:sz w:val="16"/>
                <w:lang w:val="en-GB"/>
              </w:rPr>
            </w:pPr>
            <w:r w:rsidRPr="00D93FF9">
              <w:rPr>
                <w:i/>
                <w:sz w:val="16"/>
                <w:lang w:val="en-GB"/>
              </w:rPr>
              <w:t>Prunus dulcis</w:t>
            </w:r>
          </w:p>
        </w:tc>
        <w:tc>
          <w:tcPr>
            <w:tcW w:w="1867" w:type="dxa"/>
          </w:tcPr>
          <w:p w14:paraId="59DCC7EA" w14:textId="77777777" w:rsidR="00712309" w:rsidRPr="00D93FF9" w:rsidRDefault="00E811B8" w:rsidP="002F55F0">
            <w:pPr>
              <w:pStyle w:val="TableParagraph"/>
              <w:spacing w:before="0" w:after="0"/>
              <w:jc w:val="center"/>
              <w:rPr>
                <w:sz w:val="16"/>
                <w:lang w:val="en-GB"/>
              </w:rPr>
            </w:pPr>
            <w:r w:rsidRPr="00D93FF9">
              <w:rPr>
                <w:sz w:val="16"/>
                <w:lang w:val="en-GB"/>
              </w:rPr>
              <w:t>1.5</w:t>
            </w:r>
          </w:p>
        </w:tc>
        <w:tc>
          <w:tcPr>
            <w:tcW w:w="2100" w:type="dxa"/>
          </w:tcPr>
          <w:p w14:paraId="59DCC7EB" w14:textId="77777777" w:rsidR="00712309" w:rsidRPr="00D93FF9" w:rsidRDefault="00E811B8" w:rsidP="002F55F0">
            <w:pPr>
              <w:pStyle w:val="TableParagraph"/>
              <w:spacing w:before="0" w:after="0"/>
              <w:jc w:val="center"/>
              <w:rPr>
                <w:sz w:val="16"/>
                <w:lang w:val="en-GB"/>
              </w:rPr>
            </w:pPr>
            <w:r w:rsidRPr="00D93FF9">
              <w:rPr>
                <w:sz w:val="16"/>
                <w:lang w:val="en-GB"/>
              </w:rPr>
              <w:t>18.0-19.0</w:t>
            </w:r>
          </w:p>
        </w:tc>
        <w:tc>
          <w:tcPr>
            <w:tcW w:w="986" w:type="dxa"/>
          </w:tcPr>
          <w:p w14:paraId="59DCC7EC" w14:textId="77777777" w:rsidR="00712309" w:rsidRPr="00D93FF9" w:rsidRDefault="00E811B8" w:rsidP="002F55F0">
            <w:pPr>
              <w:pStyle w:val="TableParagraph"/>
              <w:spacing w:before="0" w:after="0"/>
              <w:jc w:val="center"/>
              <w:rPr>
                <w:sz w:val="16"/>
                <w:lang w:val="en-GB"/>
              </w:rPr>
            </w:pPr>
            <w:r w:rsidRPr="00D93FF9">
              <w:rPr>
                <w:sz w:val="16"/>
                <w:lang w:val="en-GB"/>
              </w:rPr>
              <w:t>2.1</w:t>
            </w:r>
          </w:p>
        </w:tc>
        <w:tc>
          <w:tcPr>
            <w:tcW w:w="1042" w:type="dxa"/>
          </w:tcPr>
          <w:p w14:paraId="59DCC7ED" w14:textId="77777777" w:rsidR="00712309" w:rsidRPr="00D93FF9" w:rsidRDefault="00E811B8" w:rsidP="002F55F0">
            <w:pPr>
              <w:pStyle w:val="TableParagraph"/>
              <w:spacing w:before="0" w:after="0"/>
              <w:jc w:val="center"/>
              <w:rPr>
                <w:sz w:val="16"/>
                <w:lang w:val="en-GB"/>
              </w:rPr>
            </w:pPr>
            <w:r w:rsidRPr="00D93FF9">
              <w:rPr>
                <w:sz w:val="16"/>
                <w:lang w:val="en-GB"/>
              </w:rPr>
              <w:t>2.9</w:t>
            </w:r>
          </w:p>
        </w:tc>
        <w:tc>
          <w:tcPr>
            <w:tcW w:w="1136" w:type="dxa"/>
          </w:tcPr>
          <w:p w14:paraId="59DCC7EE" w14:textId="77777777" w:rsidR="00712309" w:rsidRPr="00D93FF9" w:rsidRDefault="00E811B8" w:rsidP="002F55F0">
            <w:pPr>
              <w:pStyle w:val="TableParagraph"/>
              <w:spacing w:before="0" w:after="0"/>
              <w:jc w:val="center"/>
              <w:rPr>
                <w:sz w:val="16"/>
                <w:lang w:val="en-GB"/>
              </w:rPr>
            </w:pPr>
            <w:r w:rsidRPr="00D93FF9">
              <w:rPr>
                <w:sz w:val="16"/>
                <w:lang w:val="en-GB"/>
              </w:rPr>
              <w:t>4.3</w:t>
            </w:r>
          </w:p>
        </w:tc>
        <w:tc>
          <w:tcPr>
            <w:tcW w:w="1166" w:type="dxa"/>
          </w:tcPr>
          <w:p w14:paraId="59DCC7EF"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7F9" w14:textId="77777777" w:rsidTr="002F55F0">
        <w:trPr>
          <w:trHeight w:val="227"/>
        </w:trPr>
        <w:tc>
          <w:tcPr>
            <w:tcW w:w="2135" w:type="dxa"/>
          </w:tcPr>
          <w:p w14:paraId="59DCC7F1" w14:textId="77777777" w:rsidR="00712309" w:rsidRPr="00D93FF9" w:rsidRDefault="00E811B8" w:rsidP="00632CE7">
            <w:pPr>
              <w:pStyle w:val="TableParagraph"/>
              <w:spacing w:before="0" w:after="0"/>
              <w:rPr>
                <w:sz w:val="16"/>
                <w:lang w:val="en-GB"/>
              </w:rPr>
            </w:pPr>
            <w:r w:rsidRPr="00D93FF9">
              <w:rPr>
                <w:sz w:val="16"/>
                <w:lang w:val="en-GB"/>
              </w:rPr>
              <w:t>Apple</w:t>
            </w:r>
          </w:p>
        </w:tc>
        <w:tc>
          <w:tcPr>
            <w:tcW w:w="3033" w:type="dxa"/>
          </w:tcPr>
          <w:p w14:paraId="59DCC7F2" w14:textId="77777777" w:rsidR="00712309" w:rsidRPr="00D93FF9" w:rsidRDefault="00E811B8" w:rsidP="00632CE7">
            <w:pPr>
              <w:pStyle w:val="TableParagraph"/>
              <w:spacing w:before="0" w:after="0"/>
              <w:rPr>
                <w:i/>
                <w:sz w:val="16"/>
                <w:lang w:val="en-GB"/>
              </w:rPr>
            </w:pPr>
            <w:r w:rsidRPr="00D93FF9">
              <w:rPr>
                <w:i/>
                <w:sz w:val="16"/>
                <w:lang w:val="en-GB"/>
              </w:rPr>
              <w:t>Malus sylvestris</w:t>
            </w:r>
          </w:p>
        </w:tc>
        <w:tc>
          <w:tcPr>
            <w:tcW w:w="1867" w:type="dxa"/>
          </w:tcPr>
          <w:p w14:paraId="59DCC7F3" w14:textId="77777777" w:rsidR="00712309" w:rsidRPr="00D93FF9" w:rsidRDefault="00E811B8" w:rsidP="002F55F0">
            <w:pPr>
              <w:pStyle w:val="TableParagraph"/>
              <w:spacing w:before="0" w:after="0"/>
              <w:jc w:val="center"/>
              <w:rPr>
                <w:sz w:val="16"/>
                <w:lang w:val="en-GB"/>
              </w:rPr>
            </w:pPr>
            <w:r w:rsidRPr="00D93FF9">
              <w:rPr>
                <w:sz w:val="16"/>
                <w:lang w:val="en-GB"/>
              </w:rPr>
              <w:t>1.0</w:t>
            </w:r>
          </w:p>
        </w:tc>
        <w:tc>
          <w:tcPr>
            <w:tcW w:w="2100" w:type="dxa"/>
          </w:tcPr>
          <w:p w14:paraId="59DCC7F4" w14:textId="77777777" w:rsidR="00712309" w:rsidRPr="00D93FF9" w:rsidRDefault="00E811B8" w:rsidP="002F55F0">
            <w:pPr>
              <w:pStyle w:val="TableParagraph"/>
              <w:spacing w:before="0" w:after="0"/>
              <w:jc w:val="center"/>
              <w:rPr>
                <w:sz w:val="16"/>
                <w:lang w:val="en-GB"/>
              </w:rPr>
            </w:pPr>
            <w:r w:rsidRPr="00D93FF9">
              <w:rPr>
                <w:sz w:val="16"/>
                <w:lang w:val="en-GB"/>
              </w:rPr>
              <w:t>18.0</w:t>
            </w:r>
          </w:p>
        </w:tc>
        <w:tc>
          <w:tcPr>
            <w:tcW w:w="986" w:type="dxa"/>
          </w:tcPr>
          <w:p w14:paraId="59DCC7F5" w14:textId="77777777" w:rsidR="00712309" w:rsidRPr="00D93FF9" w:rsidRDefault="00E811B8" w:rsidP="002F55F0">
            <w:pPr>
              <w:pStyle w:val="TableParagraph"/>
              <w:spacing w:before="0" w:after="0"/>
              <w:jc w:val="center"/>
              <w:rPr>
                <w:sz w:val="16"/>
                <w:lang w:val="en-GB"/>
              </w:rPr>
            </w:pPr>
            <w:r w:rsidRPr="00D93FF9">
              <w:rPr>
                <w:sz w:val="16"/>
                <w:lang w:val="en-GB"/>
              </w:rPr>
              <w:t>1.6</w:t>
            </w:r>
          </w:p>
        </w:tc>
        <w:tc>
          <w:tcPr>
            <w:tcW w:w="1042" w:type="dxa"/>
          </w:tcPr>
          <w:p w14:paraId="59DCC7F6" w14:textId="77777777" w:rsidR="00712309" w:rsidRPr="00D93FF9" w:rsidRDefault="00E811B8" w:rsidP="002F55F0">
            <w:pPr>
              <w:pStyle w:val="TableParagraph"/>
              <w:spacing w:before="0" w:after="0"/>
              <w:jc w:val="center"/>
              <w:rPr>
                <w:sz w:val="16"/>
                <w:lang w:val="en-GB"/>
              </w:rPr>
            </w:pPr>
            <w:r w:rsidRPr="00D93FF9">
              <w:rPr>
                <w:sz w:val="16"/>
                <w:lang w:val="en-GB"/>
              </w:rPr>
              <w:t>2.4</w:t>
            </w:r>
          </w:p>
        </w:tc>
        <w:tc>
          <w:tcPr>
            <w:tcW w:w="1136" w:type="dxa"/>
          </w:tcPr>
          <w:p w14:paraId="59DCC7F7" w14:textId="77777777" w:rsidR="00712309" w:rsidRPr="00D93FF9" w:rsidRDefault="00E811B8" w:rsidP="002F55F0">
            <w:pPr>
              <w:pStyle w:val="TableParagraph"/>
              <w:spacing w:before="0" w:after="0"/>
              <w:jc w:val="center"/>
              <w:rPr>
                <w:sz w:val="16"/>
                <w:lang w:val="en-GB"/>
              </w:rPr>
            </w:pPr>
            <w:r w:rsidRPr="00D93FF9">
              <w:rPr>
                <w:sz w:val="16"/>
                <w:lang w:val="en-GB"/>
              </w:rPr>
              <w:t>3.8</w:t>
            </w:r>
          </w:p>
        </w:tc>
        <w:tc>
          <w:tcPr>
            <w:tcW w:w="1166" w:type="dxa"/>
          </w:tcPr>
          <w:p w14:paraId="59DCC7F8"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02" w14:textId="77777777" w:rsidTr="002F55F0">
        <w:trPr>
          <w:trHeight w:val="227"/>
        </w:trPr>
        <w:tc>
          <w:tcPr>
            <w:tcW w:w="2135" w:type="dxa"/>
          </w:tcPr>
          <w:p w14:paraId="59DCC7FA" w14:textId="77777777" w:rsidR="00712309" w:rsidRPr="00D93FF9" w:rsidRDefault="00E811B8" w:rsidP="00632CE7">
            <w:pPr>
              <w:pStyle w:val="TableParagraph"/>
              <w:spacing w:before="0" w:after="0"/>
              <w:rPr>
                <w:sz w:val="16"/>
                <w:lang w:val="en-GB"/>
              </w:rPr>
            </w:pPr>
            <w:r w:rsidRPr="00D93FF9">
              <w:rPr>
                <w:sz w:val="16"/>
                <w:lang w:val="en-GB"/>
              </w:rPr>
              <w:t>Apricot</w:t>
            </w:r>
          </w:p>
        </w:tc>
        <w:tc>
          <w:tcPr>
            <w:tcW w:w="3033" w:type="dxa"/>
          </w:tcPr>
          <w:p w14:paraId="59DCC7FB" w14:textId="77777777" w:rsidR="00712309" w:rsidRPr="00D93FF9" w:rsidRDefault="00E811B8" w:rsidP="00632CE7">
            <w:pPr>
              <w:pStyle w:val="TableParagraph"/>
              <w:spacing w:before="0" w:after="0"/>
              <w:rPr>
                <w:i/>
                <w:sz w:val="16"/>
                <w:lang w:val="en-GB"/>
              </w:rPr>
            </w:pPr>
            <w:r w:rsidRPr="00D93FF9">
              <w:rPr>
                <w:i/>
                <w:sz w:val="16"/>
                <w:lang w:val="en-GB"/>
              </w:rPr>
              <w:t>Prunus armeniaca</w:t>
            </w:r>
          </w:p>
        </w:tc>
        <w:tc>
          <w:tcPr>
            <w:tcW w:w="1867" w:type="dxa"/>
          </w:tcPr>
          <w:p w14:paraId="59DCC7FC" w14:textId="77777777" w:rsidR="00712309" w:rsidRPr="00D93FF9" w:rsidRDefault="00E811B8" w:rsidP="002F55F0">
            <w:pPr>
              <w:pStyle w:val="TableParagraph"/>
              <w:spacing w:before="0" w:after="0"/>
              <w:jc w:val="center"/>
              <w:rPr>
                <w:sz w:val="16"/>
                <w:lang w:val="en-GB"/>
              </w:rPr>
            </w:pPr>
            <w:r w:rsidRPr="00D93FF9">
              <w:rPr>
                <w:sz w:val="16"/>
                <w:lang w:val="en-GB"/>
              </w:rPr>
              <w:t>1.6</w:t>
            </w:r>
          </w:p>
        </w:tc>
        <w:tc>
          <w:tcPr>
            <w:tcW w:w="2100" w:type="dxa"/>
          </w:tcPr>
          <w:p w14:paraId="59DCC7FD" w14:textId="77777777" w:rsidR="00712309" w:rsidRPr="00D93FF9" w:rsidRDefault="00E811B8" w:rsidP="002F55F0">
            <w:pPr>
              <w:pStyle w:val="TableParagraph"/>
              <w:spacing w:before="0" w:after="0"/>
              <w:jc w:val="center"/>
              <w:rPr>
                <w:sz w:val="16"/>
                <w:lang w:val="en-GB"/>
              </w:rPr>
            </w:pPr>
            <w:r w:rsidRPr="00D93FF9">
              <w:rPr>
                <w:sz w:val="16"/>
                <w:lang w:val="en-GB"/>
              </w:rPr>
              <w:t>23.0</w:t>
            </w:r>
          </w:p>
        </w:tc>
        <w:tc>
          <w:tcPr>
            <w:tcW w:w="986" w:type="dxa"/>
          </w:tcPr>
          <w:p w14:paraId="59DCC7FE" w14:textId="77777777" w:rsidR="00712309" w:rsidRPr="00D93FF9" w:rsidRDefault="00E811B8" w:rsidP="002F55F0">
            <w:pPr>
              <w:pStyle w:val="TableParagraph"/>
              <w:spacing w:before="0" w:after="0"/>
              <w:jc w:val="center"/>
              <w:rPr>
                <w:sz w:val="16"/>
                <w:lang w:val="en-GB"/>
              </w:rPr>
            </w:pPr>
            <w:r w:rsidRPr="00D93FF9">
              <w:rPr>
                <w:sz w:val="16"/>
                <w:lang w:val="en-GB"/>
              </w:rPr>
              <w:t>2.0</w:t>
            </w:r>
          </w:p>
        </w:tc>
        <w:tc>
          <w:tcPr>
            <w:tcW w:w="1042" w:type="dxa"/>
          </w:tcPr>
          <w:p w14:paraId="59DCC7FF" w14:textId="77777777" w:rsidR="00712309" w:rsidRPr="00D93FF9" w:rsidRDefault="00E811B8" w:rsidP="002F55F0">
            <w:pPr>
              <w:pStyle w:val="TableParagraph"/>
              <w:spacing w:before="0" w:after="0"/>
              <w:jc w:val="center"/>
              <w:rPr>
                <w:sz w:val="16"/>
                <w:lang w:val="en-GB"/>
              </w:rPr>
            </w:pPr>
            <w:r w:rsidRPr="00D93FF9">
              <w:rPr>
                <w:sz w:val="16"/>
                <w:lang w:val="en-GB"/>
              </w:rPr>
              <w:t>2.7</w:t>
            </w:r>
          </w:p>
        </w:tc>
        <w:tc>
          <w:tcPr>
            <w:tcW w:w="1136" w:type="dxa"/>
          </w:tcPr>
          <w:p w14:paraId="59DCC800" w14:textId="77777777" w:rsidR="00712309" w:rsidRPr="00D93FF9" w:rsidRDefault="00E811B8" w:rsidP="002F55F0">
            <w:pPr>
              <w:pStyle w:val="TableParagraph"/>
              <w:spacing w:before="0" w:after="0"/>
              <w:jc w:val="center"/>
              <w:rPr>
                <w:sz w:val="16"/>
                <w:lang w:val="en-GB"/>
              </w:rPr>
            </w:pPr>
            <w:r w:rsidRPr="00D93FF9">
              <w:rPr>
                <w:sz w:val="16"/>
                <w:lang w:val="en-GB"/>
              </w:rPr>
              <w:t>3.8</w:t>
            </w:r>
          </w:p>
        </w:tc>
        <w:tc>
          <w:tcPr>
            <w:tcW w:w="1166" w:type="dxa"/>
          </w:tcPr>
          <w:p w14:paraId="59DCC801"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0B" w14:textId="77777777" w:rsidTr="002F55F0">
        <w:trPr>
          <w:trHeight w:val="228"/>
        </w:trPr>
        <w:tc>
          <w:tcPr>
            <w:tcW w:w="2135" w:type="dxa"/>
          </w:tcPr>
          <w:p w14:paraId="59DCC803" w14:textId="77777777" w:rsidR="00712309" w:rsidRPr="00D93FF9" w:rsidRDefault="00E811B8" w:rsidP="00632CE7">
            <w:pPr>
              <w:pStyle w:val="TableParagraph"/>
              <w:spacing w:before="0" w:after="0"/>
              <w:rPr>
                <w:sz w:val="16"/>
                <w:lang w:val="en-GB"/>
              </w:rPr>
            </w:pPr>
            <w:r w:rsidRPr="00D93FF9">
              <w:rPr>
                <w:sz w:val="16"/>
                <w:lang w:val="en-GB"/>
              </w:rPr>
              <w:t>Avocado</w:t>
            </w:r>
          </w:p>
        </w:tc>
        <w:tc>
          <w:tcPr>
            <w:tcW w:w="3033" w:type="dxa"/>
          </w:tcPr>
          <w:p w14:paraId="59DCC804" w14:textId="77777777" w:rsidR="00712309" w:rsidRPr="00D93FF9" w:rsidRDefault="00E811B8" w:rsidP="00632CE7">
            <w:pPr>
              <w:pStyle w:val="TableParagraph"/>
              <w:spacing w:before="0" w:after="0"/>
              <w:rPr>
                <w:i/>
                <w:sz w:val="16"/>
                <w:lang w:val="en-GB"/>
              </w:rPr>
            </w:pPr>
            <w:r w:rsidRPr="00D93FF9">
              <w:rPr>
                <w:i/>
                <w:sz w:val="16"/>
                <w:lang w:val="en-GB"/>
              </w:rPr>
              <w:t>Persea americana</w:t>
            </w:r>
          </w:p>
        </w:tc>
        <w:tc>
          <w:tcPr>
            <w:tcW w:w="1867" w:type="dxa"/>
          </w:tcPr>
          <w:p w14:paraId="59DCC805" w14:textId="77777777" w:rsidR="00712309" w:rsidRPr="00D93FF9" w:rsidRDefault="00E811B8" w:rsidP="002F55F0">
            <w:pPr>
              <w:pStyle w:val="TableParagraph"/>
              <w:spacing w:before="0" w:after="0"/>
              <w:jc w:val="center"/>
              <w:rPr>
                <w:sz w:val="16"/>
                <w:lang w:val="en-GB"/>
              </w:rPr>
            </w:pPr>
            <w:r w:rsidRPr="00D93FF9">
              <w:rPr>
                <w:sz w:val="16"/>
                <w:lang w:val="en-GB"/>
              </w:rPr>
              <w:t>1.3</w:t>
            </w:r>
          </w:p>
        </w:tc>
        <w:tc>
          <w:tcPr>
            <w:tcW w:w="2100" w:type="dxa"/>
          </w:tcPr>
          <w:p w14:paraId="59DCC806" w14:textId="77777777" w:rsidR="00712309" w:rsidRPr="00D93FF9" w:rsidRDefault="00E811B8" w:rsidP="002F55F0">
            <w:pPr>
              <w:pStyle w:val="TableParagraph"/>
              <w:spacing w:before="0" w:after="0"/>
              <w:jc w:val="center"/>
              <w:rPr>
                <w:sz w:val="16"/>
                <w:lang w:val="en-GB"/>
              </w:rPr>
            </w:pPr>
            <w:r w:rsidRPr="00D93FF9">
              <w:rPr>
                <w:sz w:val="16"/>
                <w:lang w:val="en-GB"/>
              </w:rPr>
              <w:t>21.0</w:t>
            </w:r>
          </w:p>
        </w:tc>
        <w:tc>
          <w:tcPr>
            <w:tcW w:w="986" w:type="dxa"/>
          </w:tcPr>
          <w:p w14:paraId="59DCC807" w14:textId="77777777" w:rsidR="00712309" w:rsidRPr="00D93FF9" w:rsidRDefault="00E811B8" w:rsidP="002F55F0">
            <w:pPr>
              <w:pStyle w:val="TableParagraph"/>
              <w:spacing w:before="0" w:after="0"/>
              <w:jc w:val="center"/>
              <w:rPr>
                <w:sz w:val="16"/>
                <w:lang w:val="en-GB"/>
              </w:rPr>
            </w:pPr>
            <w:r w:rsidRPr="00D93FF9">
              <w:rPr>
                <w:sz w:val="16"/>
                <w:lang w:val="en-GB"/>
              </w:rPr>
              <w:t>1.8</w:t>
            </w:r>
          </w:p>
        </w:tc>
        <w:tc>
          <w:tcPr>
            <w:tcW w:w="1042" w:type="dxa"/>
          </w:tcPr>
          <w:p w14:paraId="59DCC808" w14:textId="77777777" w:rsidR="00712309" w:rsidRPr="00D93FF9" w:rsidRDefault="00E811B8" w:rsidP="002F55F0">
            <w:pPr>
              <w:pStyle w:val="TableParagraph"/>
              <w:spacing w:before="0" w:after="0"/>
              <w:jc w:val="center"/>
              <w:rPr>
                <w:sz w:val="16"/>
                <w:lang w:val="en-GB"/>
              </w:rPr>
            </w:pPr>
            <w:r w:rsidRPr="00D93FF9">
              <w:rPr>
                <w:sz w:val="16"/>
                <w:lang w:val="en-GB"/>
              </w:rPr>
              <w:t>2.5</w:t>
            </w:r>
          </w:p>
        </w:tc>
        <w:tc>
          <w:tcPr>
            <w:tcW w:w="1136" w:type="dxa"/>
          </w:tcPr>
          <w:p w14:paraId="59DCC809" w14:textId="77777777" w:rsidR="00712309" w:rsidRPr="00D93FF9" w:rsidRDefault="00E811B8" w:rsidP="002F55F0">
            <w:pPr>
              <w:pStyle w:val="TableParagraph"/>
              <w:spacing w:before="0" w:after="0"/>
              <w:jc w:val="center"/>
              <w:rPr>
                <w:sz w:val="16"/>
                <w:lang w:val="en-GB"/>
              </w:rPr>
            </w:pPr>
            <w:r w:rsidRPr="00D93FF9">
              <w:rPr>
                <w:sz w:val="16"/>
                <w:lang w:val="en-GB"/>
              </w:rPr>
              <w:t>3.7</w:t>
            </w:r>
          </w:p>
        </w:tc>
        <w:tc>
          <w:tcPr>
            <w:tcW w:w="1166" w:type="dxa"/>
          </w:tcPr>
          <w:p w14:paraId="59DCC80A" w14:textId="77777777" w:rsidR="00712309" w:rsidRPr="00D93FF9" w:rsidRDefault="00E811B8" w:rsidP="002F55F0">
            <w:pPr>
              <w:pStyle w:val="TableParagraph"/>
              <w:spacing w:before="0" w:after="0"/>
              <w:jc w:val="center"/>
              <w:rPr>
                <w:sz w:val="16"/>
                <w:lang w:val="en-GB"/>
              </w:rPr>
            </w:pPr>
            <w:r w:rsidRPr="00D93FF9">
              <w:rPr>
                <w:sz w:val="16"/>
                <w:lang w:val="en-GB"/>
              </w:rPr>
              <w:t>7</w:t>
            </w:r>
          </w:p>
        </w:tc>
      </w:tr>
      <w:tr w:rsidR="00BE3AA8" w:rsidRPr="00D93FF9" w14:paraId="59DCC814" w14:textId="77777777" w:rsidTr="002F55F0">
        <w:trPr>
          <w:trHeight w:val="228"/>
        </w:trPr>
        <w:tc>
          <w:tcPr>
            <w:tcW w:w="2135" w:type="dxa"/>
          </w:tcPr>
          <w:p w14:paraId="59DCC80C" w14:textId="77777777" w:rsidR="00712309" w:rsidRPr="00D93FF9" w:rsidRDefault="00E811B8" w:rsidP="00632CE7">
            <w:pPr>
              <w:pStyle w:val="TableParagraph"/>
              <w:spacing w:before="0" w:after="0"/>
              <w:rPr>
                <w:sz w:val="16"/>
                <w:lang w:val="en-GB"/>
              </w:rPr>
            </w:pPr>
            <w:r w:rsidRPr="00D93FF9">
              <w:rPr>
                <w:sz w:val="16"/>
                <w:lang w:val="en-GB"/>
              </w:rPr>
              <w:lastRenderedPageBreak/>
              <w:t>Blackberry</w:t>
            </w:r>
          </w:p>
        </w:tc>
        <w:tc>
          <w:tcPr>
            <w:tcW w:w="3033" w:type="dxa"/>
          </w:tcPr>
          <w:p w14:paraId="59DCC80D" w14:textId="77777777" w:rsidR="00712309" w:rsidRPr="00D93FF9" w:rsidRDefault="00E811B8" w:rsidP="00632CE7">
            <w:pPr>
              <w:pStyle w:val="TableParagraph"/>
              <w:spacing w:before="0" w:after="0"/>
              <w:rPr>
                <w:sz w:val="16"/>
                <w:lang w:val="en-GB"/>
              </w:rPr>
            </w:pPr>
            <w:r w:rsidRPr="00D93FF9">
              <w:rPr>
                <w:i/>
                <w:sz w:val="16"/>
                <w:lang w:val="en-GB"/>
              </w:rPr>
              <w:t xml:space="preserve">Rubus </w:t>
            </w:r>
            <w:r w:rsidRPr="00D93FF9">
              <w:rPr>
                <w:sz w:val="16"/>
                <w:lang w:val="en-GB"/>
              </w:rPr>
              <w:t>spp</w:t>
            </w:r>
          </w:p>
        </w:tc>
        <w:tc>
          <w:tcPr>
            <w:tcW w:w="1867" w:type="dxa"/>
          </w:tcPr>
          <w:p w14:paraId="59DCC80E" w14:textId="77777777" w:rsidR="00712309" w:rsidRPr="00D93FF9" w:rsidRDefault="00E811B8" w:rsidP="002F55F0">
            <w:pPr>
              <w:pStyle w:val="TableParagraph"/>
              <w:spacing w:before="0" w:after="0"/>
              <w:jc w:val="center"/>
              <w:rPr>
                <w:sz w:val="16"/>
                <w:lang w:val="en-GB"/>
              </w:rPr>
            </w:pPr>
            <w:r w:rsidRPr="00D93FF9">
              <w:rPr>
                <w:sz w:val="16"/>
                <w:lang w:val="en-GB"/>
              </w:rPr>
              <w:t>1.5</w:t>
            </w:r>
          </w:p>
        </w:tc>
        <w:tc>
          <w:tcPr>
            <w:tcW w:w="2100" w:type="dxa"/>
          </w:tcPr>
          <w:p w14:paraId="59DCC80F" w14:textId="77777777" w:rsidR="00712309" w:rsidRPr="00D93FF9" w:rsidRDefault="00E811B8" w:rsidP="002F55F0">
            <w:pPr>
              <w:pStyle w:val="TableParagraph"/>
              <w:spacing w:before="0" w:after="0"/>
              <w:jc w:val="center"/>
              <w:rPr>
                <w:sz w:val="16"/>
                <w:lang w:val="en-GB"/>
              </w:rPr>
            </w:pPr>
            <w:r w:rsidRPr="00D93FF9">
              <w:rPr>
                <w:sz w:val="16"/>
                <w:lang w:val="en-GB"/>
              </w:rPr>
              <w:t>22.2</w:t>
            </w:r>
          </w:p>
        </w:tc>
        <w:tc>
          <w:tcPr>
            <w:tcW w:w="986" w:type="dxa"/>
          </w:tcPr>
          <w:p w14:paraId="59DCC810" w14:textId="77777777" w:rsidR="00712309" w:rsidRPr="00D93FF9" w:rsidRDefault="00E811B8" w:rsidP="002F55F0">
            <w:pPr>
              <w:pStyle w:val="TableParagraph"/>
              <w:spacing w:before="0" w:after="0"/>
              <w:jc w:val="center"/>
              <w:rPr>
                <w:sz w:val="16"/>
                <w:lang w:val="en-GB"/>
              </w:rPr>
            </w:pPr>
            <w:r w:rsidRPr="00D93FF9">
              <w:rPr>
                <w:sz w:val="16"/>
                <w:lang w:val="en-GB"/>
              </w:rPr>
              <w:t>2.0</w:t>
            </w:r>
          </w:p>
        </w:tc>
        <w:tc>
          <w:tcPr>
            <w:tcW w:w="1042" w:type="dxa"/>
          </w:tcPr>
          <w:p w14:paraId="59DCC811" w14:textId="77777777" w:rsidR="00712309" w:rsidRPr="00D93FF9" w:rsidRDefault="00E811B8" w:rsidP="002F55F0">
            <w:pPr>
              <w:pStyle w:val="TableParagraph"/>
              <w:spacing w:before="0" w:after="0"/>
              <w:jc w:val="center"/>
              <w:rPr>
                <w:sz w:val="16"/>
                <w:lang w:val="en-GB"/>
              </w:rPr>
            </w:pPr>
            <w:r w:rsidRPr="00D93FF9">
              <w:rPr>
                <w:sz w:val="16"/>
                <w:lang w:val="en-GB"/>
              </w:rPr>
              <w:t>2.6</w:t>
            </w:r>
          </w:p>
        </w:tc>
        <w:tc>
          <w:tcPr>
            <w:tcW w:w="1136" w:type="dxa"/>
          </w:tcPr>
          <w:p w14:paraId="59DCC812" w14:textId="77777777" w:rsidR="00712309" w:rsidRPr="00D93FF9" w:rsidRDefault="00E811B8" w:rsidP="002F55F0">
            <w:pPr>
              <w:pStyle w:val="TableParagraph"/>
              <w:spacing w:before="0" w:after="0"/>
              <w:jc w:val="center"/>
              <w:rPr>
                <w:sz w:val="16"/>
                <w:lang w:val="en-GB"/>
              </w:rPr>
            </w:pPr>
            <w:r w:rsidRPr="00D93FF9">
              <w:rPr>
                <w:sz w:val="16"/>
                <w:lang w:val="en-GB"/>
              </w:rPr>
              <w:t>3.8</w:t>
            </w:r>
          </w:p>
        </w:tc>
        <w:tc>
          <w:tcPr>
            <w:tcW w:w="1166" w:type="dxa"/>
          </w:tcPr>
          <w:p w14:paraId="59DCC813"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1D" w14:textId="77777777" w:rsidTr="002F55F0">
        <w:trPr>
          <w:trHeight w:val="227"/>
        </w:trPr>
        <w:tc>
          <w:tcPr>
            <w:tcW w:w="2135" w:type="dxa"/>
          </w:tcPr>
          <w:p w14:paraId="59DCC815" w14:textId="77777777" w:rsidR="00712309" w:rsidRPr="00D93FF9" w:rsidRDefault="00E811B8" w:rsidP="00632CE7">
            <w:pPr>
              <w:pStyle w:val="TableParagraph"/>
              <w:spacing w:before="0" w:after="0"/>
              <w:rPr>
                <w:sz w:val="16"/>
                <w:lang w:val="en-GB"/>
              </w:rPr>
            </w:pPr>
            <w:r w:rsidRPr="00D93FF9">
              <w:rPr>
                <w:sz w:val="16"/>
                <w:lang w:val="en-GB"/>
              </w:rPr>
              <w:t>Boysenberry</w:t>
            </w:r>
          </w:p>
        </w:tc>
        <w:tc>
          <w:tcPr>
            <w:tcW w:w="3033" w:type="dxa"/>
          </w:tcPr>
          <w:p w14:paraId="59DCC816" w14:textId="77777777" w:rsidR="00712309" w:rsidRPr="00D93FF9" w:rsidRDefault="00E811B8" w:rsidP="00632CE7">
            <w:pPr>
              <w:pStyle w:val="TableParagraph"/>
              <w:spacing w:before="0" w:after="0"/>
              <w:rPr>
                <w:i/>
                <w:sz w:val="16"/>
                <w:lang w:val="en-GB"/>
              </w:rPr>
            </w:pPr>
            <w:r w:rsidRPr="00D93FF9">
              <w:rPr>
                <w:i/>
                <w:sz w:val="16"/>
                <w:lang w:val="en-GB"/>
              </w:rPr>
              <w:t>Rubus ursinus</w:t>
            </w:r>
          </w:p>
        </w:tc>
        <w:tc>
          <w:tcPr>
            <w:tcW w:w="1867" w:type="dxa"/>
          </w:tcPr>
          <w:p w14:paraId="59DCC817" w14:textId="77777777" w:rsidR="00712309" w:rsidRPr="00D93FF9" w:rsidRDefault="00E811B8" w:rsidP="002F55F0">
            <w:pPr>
              <w:pStyle w:val="TableParagraph"/>
              <w:spacing w:before="0" w:after="0"/>
              <w:jc w:val="center"/>
              <w:rPr>
                <w:sz w:val="16"/>
                <w:lang w:val="en-GB"/>
              </w:rPr>
            </w:pPr>
            <w:r w:rsidRPr="00D93FF9">
              <w:rPr>
                <w:sz w:val="16"/>
                <w:lang w:val="en-GB"/>
              </w:rPr>
              <w:t>1.5</w:t>
            </w:r>
          </w:p>
        </w:tc>
        <w:tc>
          <w:tcPr>
            <w:tcW w:w="2100" w:type="dxa"/>
          </w:tcPr>
          <w:p w14:paraId="59DCC818" w14:textId="77777777" w:rsidR="00712309" w:rsidRPr="00D93FF9" w:rsidRDefault="00E811B8" w:rsidP="002F55F0">
            <w:pPr>
              <w:pStyle w:val="TableParagraph"/>
              <w:spacing w:before="0" w:after="0"/>
              <w:jc w:val="center"/>
              <w:rPr>
                <w:sz w:val="16"/>
                <w:lang w:val="en-GB"/>
              </w:rPr>
            </w:pPr>
            <w:r w:rsidRPr="00D93FF9">
              <w:rPr>
                <w:sz w:val="16"/>
                <w:lang w:val="en-GB"/>
              </w:rPr>
              <w:t>22.2</w:t>
            </w:r>
          </w:p>
        </w:tc>
        <w:tc>
          <w:tcPr>
            <w:tcW w:w="986" w:type="dxa"/>
          </w:tcPr>
          <w:p w14:paraId="59DCC819" w14:textId="77777777" w:rsidR="00712309" w:rsidRPr="00D93FF9" w:rsidRDefault="00E811B8" w:rsidP="002F55F0">
            <w:pPr>
              <w:pStyle w:val="TableParagraph"/>
              <w:spacing w:before="0" w:after="0"/>
              <w:jc w:val="center"/>
              <w:rPr>
                <w:sz w:val="16"/>
                <w:lang w:val="en-GB"/>
              </w:rPr>
            </w:pPr>
            <w:r w:rsidRPr="00D93FF9">
              <w:rPr>
                <w:sz w:val="16"/>
                <w:lang w:val="en-GB"/>
              </w:rPr>
              <w:t>2.0</w:t>
            </w:r>
          </w:p>
        </w:tc>
        <w:tc>
          <w:tcPr>
            <w:tcW w:w="1042" w:type="dxa"/>
          </w:tcPr>
          <w:p w14:paraId="59DCC81A" w14:textId="77777777" w:rsidR="00712309" w:rsidRPr="00D93FF9" w:rsidRDefault="00E811B8" w:rsidP="002F55F0">
            <w:pPr>
              <w:pStyle w:val="TableParagraph"/>
              <w:spacing w:before="0" w:after="0"/>
              <w:jc w:val="center"/>
              <w:rPr>
                <w:sz w:val="16"/>
                <w:lang w:val="en-GB"/>
              </w:rPr>
            </w:pPr>
            <w:r w:rsidRPr="00D93FF9">
              <w:rPr>
                <w:sz w:val="16"/>
                <w:lang w:val="en-GB"/>
              </w:rPr>
              <w:t>2.6</w:t>
            </w:r>
          </w:p>
        </w:tc>
        <w:tc>
          <w:tcPr>
            <w:tcW w:w="1136" w:type="dxa"/>
          </w:tcPr>
          <w:p w14:paraId="59DCC81B" w14:textId="77777777" w:rsidR="00712309" w:rsidRPr="00D93FF9" w:rsidRDefault="00E811B8" w:rsidP="002F55F0">
            <w:pPr>
              <w:pStyle w:val="TableParagraph"/>
              <w:spacing w:before="0" w:after="0"/>
              <w:jc w:val="center"/>
              <w:rPr>
                <w:sz w:val="16"/>
                <w:lang w:val="en-GB"/>
              </w:rPr>
            </w:pPr>
            <w:r w:rsidRPr="00D93FF9">
              <w:rPr>
                <w:sz w:val="16"/>
                <w:lang w:val="en-GB"/>
              </w:rPr>
              <w:t>3.8</w:t>
            </w:r>
          </w:p>
        </w:tc>
        <w:tc>
          <w:tcPr>
            <w:tcW w:w="1166" w:type="dxa"/>
          </w:tcPr>
          <w:p w14:paraId="59DCC81C"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26" w14:textId="77777777" w:rsidTr="002F55F0">
        <w:trPr>
          <w:trHeight w:val="227"/>
        </w:trPr>
        <w:tc>
          <w:tcPr>
            <w:tcW w:w="2135" w:type="dxa"/>
          </w:tcPr>
          <w:p w14:paraId="59DCC81E" w14:textId="77777777" w:rsidR="00712309" w:rsidRPr="00D93FF9" w:rsidRDefault="00E811B8" w:rsidP="00632CE7">
            <w:pPr>
              <w:pStyle w:val="TableParagraph"/>
              <w:spacing w:before="0" w:after="0"/>
              <w:rPr>
                <w:sz w:val="16"/>
                <w:lang w:val="en-GB"/>
              </w:rPr>
            </w:pPr>
            <w:r w:rsidRPr="00D93FF9">
              <w:rPr>
                <w:sz w:val="16"/>
                <w:lang w:val="en-GB"/>
              </w:rPr>
              <w:t>Date</w:t>
            </w:r>
          </w:p>
        </w:tc>
        <w:tc>
          <w:tcPr>
            <w:tcW w:w="3033" w:type="dxa"/>
          </w:tcPr>
          <w:p w14:paraId="59DCC81F" w14:textId="77777777" w:rsidR="00712309" w:rsidRPr="00D93FF9" w:rsidRDefault="00E811B8" w:rsidP="00632CE7">
            <w:pPr>
              <w:pStyle w:val="TableParagraph"/>
              <w:spacing w:before="0" w:after="0"/>
              <w:rPr>
                <w:i/>
                <w:sz w:val="16"/>
                <w:lang w:val="en-GB"/>
              </w:rPr>
            </w:pPr>
            <w:r w:rsidRPr="00D93FF9">
              <w:rPr>
                <w:i/>
                <w:sz w:val="16"/>
                <w:lang w:val="en-GB"/>
              </w:rPr>
              <w:t>Phoenix dactylifera</w:t>
            </w:r>
          </w:p>
        </w:tc>
        <w:tc>
          <w:tcPr>
            <w:tcW w:w="1867" w:type="dxa"/>
          </w:tcPr>
          <w:p w14:paraId="59DCC820" w14:textId="77777777" w:rsidR="00712309" w:rsidRPr="00D93FF9" w:rsidRDefault="00E811B8" w:rsidP="002F55F0">
            <w:pPr>
              <w:pStyle w:val="TableParagraph"/>
              <w:spacing w:before="0" w:after="0"/>
              <w:jc w:val="center"/>
              <w:rPr>
                <w:sz w:val="16"/>
                <w:lang w:val="en-GB"/>
              </w:rPr>
            </w:pPr>
            <w:r w:rsidRPr="00D93FF9">
              <w:rPr>
                <w:sz w:val="16"/>
                <w:lang w:val="en-GB"/>
              </w:rPr>
              <w:t>4.0</w:t>
            </w:r>
          </w:p>
        </w:tc>
        <w:tc>
          <w:tcPr>
            <w:tcW w:w="2100" w:type="dxa"/>
          </w:tcPr>
          <w:p w14:paraId="59DCC821" w14:textId="77777777" w:rsidR="00712309" w:rsidRPr="00D93FF9" w:rsidRDefault="00E811B8" w:rsidP="002F55F0">
            <w:pPr>
              <w:pStyle w:val="TableParagraph"/>
              <w:spacing w:before="0" w:after="0"/>
              <w:jc w:val="center"/>
              <w:rPr>
                <w:sz w:val="16"/>
                <w:lang w:val="en-GB"/>
              </w:rPr>
            </w:pPr>
            <w:r w:rsidRPr="00D93FF9">
              <w:rPr>
                <w:sz w:val="16"/>
                <w:lang w:val="en-GB"/>
              </w:rPr>
              <w:t>3.4</w:t>
            </w:r>
          </w:p>
        </w:tc>
        <w:tc>
          <w:tcPr>
            <w:tcW w:w="986" w:type="dxa"/>
          </w:tcPr>
          <w:p w14:paraId="59DCC822" w14:textId="77777777" w:rsidR="00712309" w:rsidRPr="00D93FF9" w:rsidRDefault="00E811B8" w:rsidP="002F55F0">
            <w:pPr>
              <w:pStyle w:val="TableParagraph"/>
              <w:spacing w:before="0" w:after="0"/>
              <w:jc w:val="center"/>
              <w:rPr>
                <w:sz w:val="16"/>
                <w:lang w:val="en-GB"/>
              </w:rPr>
            </w:pPr>
            <w:r w:rsidRPr="00D93FF9">
              <w:rPr>
                <w:sz w:val="16"/>
                <w:lang w:val="en-GB"/>
              </w:rPr>
              <w:t>6.9</w:t>
            </w:r>
          </w:p>
        </w:tc>
        <w:tc>
          <w:tcPr>
            <w:tcW w:w="1042" w:type="dxa"/>
          </w:tcPr>
          <w:p w14:paraId="59DCC823" w14:textId="77777777" w:rsidR="00712309" w:rsidRPr="00D93FF9" w:rsidRDefault="00E811B8" w:rsidP="002F55F0">
            <w:pPr>
              <w:pStyle w:val="TableParagraph"/>
              <w:spacing w:before="0" w:after="0"/>
              <w:jc w:val="center"/>
              <w:rPr>
                <w:sz w:val="16"/>
                <w:lang w:val="en-GB"/>
              </w:rPr>
            </w:pPr>
            <w:r w:rsidRPr="00D93FF9">
              <w:rPr>
                <w:sz w:val="16"/>
                <w:lang w:val="en-GB"/>
              </w:rPr>
              <w:t>11.4</w:t>
            </w:r>
          </w:p>
        </w:tc>
        <w:tc>
          <w:tcPr>
            <w:tcW w:w="1136" w:type="dxa"/>
          </w:tcPr>
          <w:p w14:paraId="59DCC824" w14:textId="77777777" w:rsidR="00712309" w:rsidRPr="00D93FF9" w:rsidRDefault="00E811B8" w:rsidP="002F55F0">
            <w:pPr>
              <w:pStyle w:val="TableParagraph"/>
              <w:spacing w:before="0" w:after="0"/>
              <w:jc w:val="center"/>
              <w:rPr>
                <w:sz w:val="16"/>
                <w:lang w:val="en-GB"/>
              </w:rPr>
            </w:pPr>
            <w:r w:rsidRPr="00D93FF9">
              <w:rPr>
                <w:sz w:val="16"/>
                <w:lang w:val="en-GB"/>
              </w:rPr>
              <w:t>18.7</w:t>
            </w:r>
          </w:p>
        </w:tc>
        <w:tc>
          <w:tcPr>
            <w:tcW w:w="1166" w:type="dxa"/>
          </w:tcPr>
          <w:p w14:paraId="59DCC825" w14:textId="77777777" w:rsidR="00712309"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2F" w14:textId="77777777" w:rsidTr="002F55F0">
        <w:trPr>
          <w:trHeight w:val="227"/>
        </w:trPr>
        <w:tc>
          <w:tcPr>
            <w:tcW w:w="2135" w:type="dxa"/>
          </w:tcPr>
          <w:p w14:paraId="59DCC827" w14:textId="77777777" w:rsidR="00712309" w:rsidRPr="00D93FF9" w:rsidRDefault="00E811B8" w:rsidP="00632CE7">
            <w:pPr>
              <w:pStyle w:val="TableParagraph"/>
              <w:spacing w:before="0" w:after="0"/>
              <w:rPr>
                <w:sz w:val="16"/>
                <w:lang w:val="en-GB"/>
              </w:rPr>
            </w:pPr>
            <w:r w:rsidRPr="00D93FF9">
              <w:rPr>
                <w:sz w:val="16"/>
                <w:lang w:val="en-GB"/>
              </w:rPr>
              <w:t>Fig</w:t>
            </w:r>
          </w:p>
        </w:tc>
        <w:tc>
          <w:tcPr>
            <w:tcW w:w="3033" w:type="dxa"/>
          </w:tcPr>
          <w:p w14:paraId="59DCC828" w14:textId="77777777" w:rsidR="00712309" w:rsidRPr="00D93FF9" w:rsidRDefault="00E811B8" w:rsidP="00632CE7">
            <w:pPr>
              <w:pStyle w:val="TableParagraph"/>
              <w:spacing w:before="0" w:after="0"/>
              <w:rPr>
                <w:i/>
                <w:sz w:val="16"/>
                <w:lang w:val="en-GB"/>
              </w:rPr>
            </w:pPr>
            <w:r w:rsidRPr="00D93FF9">
              <w:rPr>
                <w:i/>
                <w:sz w:val="16"/>
                <w:lang w:val="en-GB"/>
              </w:rPr>
              <w:t>Ficus carica</w:t>
            </w:r>
          </w:p>
        </w:tc>
        <w:tc>
          <w:tcPr>
            <w:tcW w:w="1867" w:type="dxa"/>
          </w:tcPr>
          <w:p w14:paraId="59DCC829" w14:textId="77777777" w:rsidR="00712309" w:rsidRPr="00D93FF9" w:rsidRDefault="00E811B8" w:rsidP="002F55F0">
            <w:pPr>
              <w:pStyle w:val="TableParagraph"/>
              <w:spacing w:before="0" w:after="0"/>
              <w:jc w:val="center"/>
              <w:rPr>
                <w:sz w:val="16"/>
                <w:lang w:val="en-GB"/>
              </w:rPr>
            </w:pPr>
            <w:r w:rsidRPr="00D93FF9">
              <w:rPr>
                <w:sz w:val="16"/>
                <w:lang w:val="en-GB"/>
              </w:rPr>
              <w:t>4.2</w:t>
            </w:r>
          </w:p>
        </w:tc>
        <w:tc>
          <w:tcPr>
            <w:tcW w:w="2100" w:type="dxa"/>
          </w:tcPr>
          <w:p w14:paraId="59DCC82A" w14:textId="77777777" w:rsidR="00712309" w:rsidRPr="00D93FF9" w:rsidRDefault="00712309" w:rsidP="002F55F0">
            <w:pPr>
              <w:pStyle w:val="TableParagraph"/>
              <w:spacing w:before="0" w:after="0"/>
              <w:jc w:val="center"/>
              <w:rPr>
                <w:rFonts w:ascii="Times New Roman"/>
                <w:sz w:val="14"/>
                <w:lang w:val="en-GB"/>
              </w:rPr>
            </w:pPr>
          </w:p>
        </w:tc>
        <w:tc>
          <w:tcPr>
            <w:tcW w:w="986" w:type="dxa"/>
          </w:tcPr>
          <w:p w14:paraId="59DCC82B" w14:textId="77777777" w:rsidR="00712309" w:rsidRPr="00D93FF9" w:rsidRDefault="00712309" w:rsidP="002F55F0">
            <w:pPr>
              <w:pStyle w:val="TableParagraph"/>
              <w:spacing w:before="0" w:after="0"/>
              <w:jc w:val="center"/>
              <w:rPr>
                <w:rFonts w:ascii="Times New Roman"/>
                <w:sz w:val="14"/>
                <w:lang w:val="en-GB"/>
              </w:rPr>
            </w:pPr>
          </w:p>
        </w:tc>
        <w:tc>
          <w:tcPr>
            <w:tcW w:w="1042" w:type="dxa"/>
          </w:tcPr>
          <w:p w14:paraId="59DCC82C" w14:textId="77777777" w:rsidR="00712309" w:rsidRPr="00D93FF9" w:rsidRDefault="00712309" w:rsidP="002F55F0">
            <w:pPr>
              <w:pStyle w:val="TableParagraph"/>
              <w:spacing w:before="0" w:after="0"/>
              <w:jc w:val="center"/>
              <w:rPr>
                <w:rFonts w:ascii="Times New Roman"/>
                <w:sz w:val="14"/>
                <w:lang w:val="en-GB"/>
              </w:rPr>
            </w:pPr>
          </w:p>
        </w:tc>
        <w:tc>
          <w:tcPr>
            <w:tcW w:w="1136" w:type="dxa"/>
          </w:tcPr>
          <w:p w14:paraId="59DCC82D" w14:textId="77777777" w:rsidR="00712309" w:rsidRPr="00D93FF9" w:rsidRDefault="00712309" w:rsidP="002F55F0">
            <w:pPr>
              <w:pStyle w:val="TableParagraph"/>
              <w:spacing w:before="0" w:after="0"/>
              <w:jc w:val="center"/>
              <w:rPr>
                <w:rFonts w:ascii="Times New Roman"/>
                <w:sz w:val="14"/>
                <w:lang w:val="en-GB"/>
              </w:rPr>
            </w:pPr>
          </w:p>
        </w:tc>
        <w:tc>
          <w:tcPr>
            <w:tcW w:w="1166" w:type="dxa"/>
          </w:tcPr>
          <w:p w14:paraId="59DCC82E" w14:textId="77777777" w:rsidR="00712309"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843" w14:textId="77777777" w:rsidTr="002F55F0">
        <w:trPr>
          <w:trHeight w:val="227"/>
        </w:trPr>
        <w:tc>
          <w:tcPr>
            <w:tcW w:w="2135" w:type="dxa"/>
          </w:tcPr>
          <w:p w14:paraId="59DCC830" w14:textId="77777777" w:rsidR="00931CA6" w:rsidRPr="00D93FF9" w:rsidRDefault="00E811B8" w:rsidP="00632CE7">
            <w:pPr>
              <w:pStyle w:val="TableParagraph"/>
              <w:spacing w:before="0" w:after="0"/>
              <w:rPr>
                <w:sz w:val="16"/>
                <w:lang w:val="en-GB"/>
              </w:rPr>
            </w:pPr>
            <w:r w:rsidRPr="00D93FF9">
              <w:rPr>
                <w:sz w:val="16"/>
                <w:lang w:val="en-GB"/>
              </w:rPr>
              <w:t>Grape</w:t>
            </w:r>
          </w:p>
          <w:p w14:paraId="59DCC831" w14:textId="77777777" w:rsidR="00AF686F" w:rsidRPr="00D93FF9" w:rsidRDefault="00E811B8" w:rsidP="00C55FB1">
            <w:pPr>
              <w:pStyle w:val="TableParagraph"/>
              <w:numPr>
                <w:ilvl w:val="0"/>
                <w:numId w:val="13"/>
              </w:numPr>
              <w:spacing w:before="0" w:after="0"/>
              <w:ind w:left="447"/>
              <w:rPr>
                <w:sz w:val="16"/>
                <w:lang w:val="en-GB"/>
              </w:rPr>
            </w:pPr>
            <w:r w:rsidRPr="00D93FF9">
              <w:rPr>
                <w:sz w:val="16"/>
                <w:lang w:val="en-GB"/>
              </w:rPr>
              <w:t>Own roots: Sultana vines, Shiraz, Chardonnay</w:t>
            </w:r>
          </w:p>
          <w:p w14:paraId="59DCC832" w14:textId="77777777" w:rsidR="00AF686F" w:rsidRPr="00D93FF9" w:rsidRDefault="00E811B8" w:rsidP="00C55FB1">
            <w:pPr>
              <w:pStyle w:val="TableParagraph"/>
              <w:numPr>
                <w:ilvl w:val="0"/>
                <w:numId w:val="13"/>
              </w:numPr>
              <w:spacing w:before="0" w:after="0"/>
              <w:ind w:left="447"/>
              <w:rPr>
                <w:sz w:val="16"/>
                <w:lang w:val="en-GB"/>
              </w:rPr>
            </w:pPr>
            <w:r w:rsidRPr="00D93FF9">
              <w:rPr>
                <w:sz w:val="16"/>
                <w:lang w:val="en-GB"/>
              </w:rPr>
              <w:t>Rootstocks</w:t>
            </w:r>
          </w:p>
        </w:tc>
        <w:tc>
          <w:tcPr>
            <w:tcW w:w="3033" w:type="dxa"/>
          </w:tcPr>
          <w:p w14:paraId="59DCC833" w14:textId="77777777" w:rsidR="00931CA6" w:rsidRPr="00D93FF9" w:rsidRDefault="00E811B8" w:rsidP="00632CE7">
            <w:pPr>
              <w:pStyle w:val="TableParagraph"/>
              <w:spacing w:before="0" w:after="0"/>
              <w:rPr>
                <w:i/>
                <w:sz w:val="16"/>
                <w:lang w:val="en-GB"/>
              </w:rPr>
            </w:pPr>
            <w:r w:rsidRPr="00D93FF9">
              <w:rPr>
                <w:i/>
                <w:sz w:val="16"/>
                <w:lang w:val="en-GB"/>
              </w:rPr>
              <w:t xml:space="preserve">Vitis </w:t>
            </w:r>
            <w:r w:rsidRPr="00D93FF9">
              <w:rPr>
                <w:sz w:val="16"/>
                <w:lang w:val="en-GB"/>
              </w:rPr>
              <w:t>spp</w:t>
            </w:r>
          </w:p>
        </w:tc>
        <w:tc>
          <w:tcPr>
            <w:tcW w:w="1867" w:type="dxa"/>
          </w:tcPr>
          <w:p w14:paraId="59DCC834" w14:textId="77777777" w:rsidR="00931CA6" w:rsidRPr="00D93FF9" w:rsidRDefault="00E811B8" w:rsidP="002F55F0">
            <w:pPr>
              <w:pStyle w:val="TableParagraph"/>
              <w:spacing w:before="0" w:after="0"/>
              <w:jc w:val="center"/>
              <w:rPr>
                <w:sz w:val="16"/>
                <w:lang w:val="en-GB"/>
              </w:rPr>
            </w:pPr>
            <w:r w:rsidRPr="00D93FF9">
              <w:rPr>
                <w:sz w:val="16"/>
                <w:lang w:val="en-GB"/>
              </w:rPr>
              <w:t>1.5</w:t>
            </w:r>
          </w:p>
          <w:p w14:paraId="59DCC835" w14:textId="77777777" w:rsidR="00AF686F" w:rsidRPr="00D93FF9" w:rsidRDefault="00E811B8" w:rsidP="002F55F0">
            <w:pPr>
              <w:pStyle w:val="TableParagraph"/>
              <w:spacing w:before="0" w:after="0"/>
              <w:jc w:val="center"/>
              <w:rPr>
                <w:sz w:val="16"/>
                <w:lang w:val="en-GB"/>
              </w:rPr>
            </w:pPr>
            <w:r w:rsidRPr="00D93FF9">
              <w:rPr>
                <w:sz w:val="16"/>
                <w:lang w:val="en-GB"/>
              </w:rPr>
              <w:t>1.8</w:t>
            </w:r>
          </w:p>
          <w:p w14:paraId="59DCC836" w14:textId="77777777" w:rsidR="00F709E5" w:rsidRPr="00D93FF9" w:rsidRDefault="00F709E5" w:rsidP="002F55F0">
            <w:pPr>
              <w:pStyle w:val="TableParagraph"/>
              <w:spacing w:before="0" w:after="0"/>
              <w:jc w:val="center"/>
              <w:rPr>
                <w:sz w:val="16"/>
                <w:lang w:val="en-GB"/>
              </w:rPr>
            </w:pPr>
          </w:p>
          <w:p w14:paraId="59DCC837" w14:textId="77777777" w:rsidR="00F709E5" w:rsidRPr="00D93FF9" w:rsidRDefault="00F709E5" w:rsidP="002F55F0">
            <w:pPr>
              <w:pStyle w:val="TableParagraph"/>
              <w:spacing w:before="0" w:after="0"/>
              <w:jc w:val="center"/>
              <w:rPr>
                <w:sz w:val="16"/>
                <w:lang w:val="en-GB"/>
              </w:rPr>
            </w:pPr>
          </w:p>
          <w:p w14:paraId="59DCC838" w14:textId="77777777" w:rsidR="00F709E5" w:rsidRPr="00D93FF9" w:rsidRDefault="00E811B8" w:rsidP="002F55F0">
            <w:pPr>
              <w:pStyle w:val="TableParagraph"/>
              <w:spacing w:before="0" w:after="0"/>
              <w:jc w:val="center"/>
              <w:rPr>
                <w:sz w:val="16"/>
                <w:lang w:val="en-GB"/>
              </w:rPr>
            </w:pPr>
            <w:r w:rsidRPr="00D93FF9">
              <w:rPr>
                <w:sz w:val="16"/>
                <w:lang w:val="en-GB"/>
              </w:rPr>
              <w:t>1.8-3.3</w:t>
            </w:r>
          </w:p>
        </w:tc>
        <w:tc>
          <w:tcPr>
            <w:tcW w:w="2100" w:type="dxa"/>
          </w:tcPr>
          <w:p w14:paraId="59DCC839" w14:textId="77777777" w:rsidR="00931CA6" w:rsidRPr="00D93FF9" w:rsidRDefault="00E811B8" w:rsidP="002F55F0">
            <w:pPr>
              <w:pStyle w:val="TableParagraph"/>
              <w:spacing w:before="0" w:after="0"/>
              <w:jc w:val="center"/>
              <w:rPr>
                <w:sz w:val="16"/>
                <w:lang w:val="en-GB"/>
              </w:rPr>
            </w:pPr>
            <w:r w:rsidRPr="00D93FF9">
              <w:rPr>
                <w:sz w:val="16"/>
                <w:lang w:val="en-GB"/>
              </w:rPr>
              <w:t>9.5</w:t>
            </w:r>
          </w:p>
          <w:p w14:paraId="59DCC83A" w14:textId="77777777" w:rsidR="00224DA9" w:rsidRPr="00D93FF9" w:rsidRDefault="00E811B8" w:rsidP="002F55F0">
            <w:pPr>
              <w:pStyle w:val="TableParagraph"/>
              <w:spacing w:before="0" w:after="0"/>
              <w:jc w:val="center"/>
              <w:rPr>
                <w:sz w:val="16"/>
                <w:lang w:val="en-GB"/>
              </w:rPr>
            </w:pPr>
            <w:r w:rsidRPr="00D93FF9">
              <w:rPr>
                <w:sz w:val="16"/>
                <w:lang w:val="en-GB"/>
              </w:rPr>
              <w:t>9-15 (sultana on own roots</w:t>
            </w:r>
          </w:p>
          <w:p w14:paraId="59DCC83B" w14:textId="77777777" w:rsidR="00224DA9" w:rsidRPr="00D93FF9" w:rsidRDefault="00224DA9" w:rsidP="002F55F0">
            <w:pPr>
              <w:pStyle w:val="TableParagraph"/>
              <w:spacing w:before="0" w:after="0"/>
              <w:jc w:val="center"/>
              <w:rPr>
                <w:sz w:val="16"/>
                <w:lang w:val="en-GB"/>
              </w:rPr>
            </w:pPr>
          </w:p>
          <w:p w14:paraId="59DCC83C" w14:textId="77777777" w:rsidR="00224DA9" w:rsidRPr="00D93FF9" w:rsidRDefault="00224DA9" w:rsidP="002F55F0">
            <w:pPr>
              <w:pStyle w:val="TableParagraph"/>
              <w:spacing w:before="0" w:after="0"/>
              <w:jc w:val="center"/>
              <w:rPr>
                <w:sz w:val="16"/>
                <w:lang w:val="en-GB"/>
              </w:rPr>
            </w:pPr>
          </w:p>
          <w:p w14:paraId="59DCC83D" w14:textId="77777777" w:rsidR="00224DA9" w:rsidRPr="00D93FF9" w:rsidRDefault="00E811B8" w:rsidP="002F55F0">
            <w:pPr>
              <w:pStyle w:val="TableParagraph"/>
              <w:spacing w:before="0" w:after="0"/>
              <w:jc w:val="center"/>
              <w:rPr>
                <w:sz w:val="16"/>
                <w:lang w:val="en-GB"/>
              </w:rPr>
            </w:pPr>
            <w:r w:rsidRPr="00D93FF9">
              <w:rPr>
                <w:sz w:val="16"/>
                <w:lang w:val="en-GB"/>
              </w:rPr>
              <w:t>6 (Sultana on rootstock)</w:t>
            </w:r>
          </w:p>
        </w:tc>
        <w:tc>
          <w:tcPr>
            <w:tcW w:w="986" w:type="dxa"/>
          </w:tcPr>
          <w:p w14:paraId="59DCC83E" w14:textId="77777777" w:rsidR="00931CA6" w:rsidRPr="00D93FF9" w:rsidRDefault="00E811B8" w:rsidP="002F55F0">
            <w:pPr>
              <w:pStyle w:val="TableParagraph"/>
              <w:spacing w:before="0" w:after="0"/>
              <w:jc w:val="center"/>
              <w:rPr>
                <w:rFonts w:ascii="Times New Roman"/>
                <w:sz w:val="14"/>
                <w:lang w:val="en-GB"/>
              </w:rPr>
            </w:pPr>
            <w:r w:rsidRPr="00D93FF9">
              <w:rPr>
                <w:sz w:val="16"/>
                <w:lang w:val="en-GB"/>
              </w:rPr>
              <w:t>2.6</w:t>
            </w:r>
          </w:p>
        </w:tc>
        <w:tc>
          <w:tcPr>
            <w:tcW w:w="1042" w:type="dxa"/>
          </w:tcPr>
          <w:p w14:paraId="59DCC83F" w14:textId="77777777" w:rsidR="00931CA6" w:rsidRPr="00D93FF9" w:rsidRDefault="00E811B8" w:rsidP="002F55F0">
            <w:pPr>
              <w:pStyle w:val="TableParagraph"/>
              <w:spacing w:before="0" w:after="0"/>
              <w:jc w:val="center"/>
              <w:rPr>
                <w:rFonts w:ascii="Times New Roman"/>
                <w:sz w:val="14"/>
                <w:lang w:val="en-GB"/>
              </w:rPr>
            </w:pPr>
            <w:r w:rsidRPr="00D93FF9">
              <w:rPr>
                <w:sz w:val="16"/>
                <w:lang w:val="en-GB"/>
              </w:rPr>
              <w:t>4.1</w:t>
            </w:r>
          </w:p>
        </w:tc>
        <w:tc>
          <w:tcPr>
            <w:tcW w:w="1136" w:type="dxa"/>
          </w:tcPr>
          <w:p w14:paraId="59DCC840" w14:textId="77777777" w:rsidR="00931CA6" w:rsidRPr="00D93FF9" w:rsidRDefault="00E811B8" w:rsidP="002F55F0">
            <w:pPr>
              <w:pStyle w:val="TableParagraph"/>
              <w:spacing w:before="0" w:after="0"/>
              <w:jc w:val="center"/>
              <w:rPr>
                <w:rFonts w:ascii="Times New Roman"/>
                <w:sz w:val="14"/>
                <w:lang w:val="en-GB"/>
              </w:rPr>
            </w:pPr>
            <w:r w:rsidRPr="00D93FF9">
              <w:rPr>
                <w:sz w:val="16"/>
                <w:lang w:val="en-GB"/>
              </w:rPr>
              <w:t>6.8</w:t>
            </w:r>
          </w:p>
        </w:tc>
        <w:tc>
          <w:tcPr>
            <w:tcW w:w="1166" w:type="dxa"/>
          </w:tcPr>
          <w:p w14:paraId="59DCC841" w14:textId="77777777" w:rsidR="00931CA6" w:rsidRPr="00D93FF9" w:rsidRDefault="00E811B8" w:rsidP="002F55F0">
            <w:pPr>
              <w:pStyle w:val="TableParagraph"/>
              <w:spacing w:before="0" w:after="0"/>
              <w:jc w:val="center"/>
              <w:rPr>
                <w:sz w:val="16"/>
                <w:lang w:val="en-GB"/>
              </w:rPr>
            </w:pPr>
            <w:r w:rsidRPr="00D93FF9">
              <w:rPr>
                <w:sz w:val="16"/>
                <w:lang w:val="en-GB"/>
              </w:rPr>
              <w:t>1</w:t>
            </w:r>
          </w:p>
          <w:p w14:paraId="59DCC842" w14:textId="77777777" w:rsidR="00F709E5" w:rsidRPr="00D93FF9" w:rsidRDefault="00E811B8" w:rsidP="002F55F0">
            <w:pPr>
              <w:pStyle w:val="TableParagraph"/>
              <w:spacing w:before="0" w:after="0"/>
              <w:jc w:val="center"/>
              <w:rPr>
                <w:sz w:val="16"/>
                <w:lang w:val="en-GB"/>
              </w:rPr>
            </w:pPr>
            <w:r w:rsidRPr="00D93FF9">
              <w:rPr>
                <w:sz w:val="16"/>
                <w:lang w:val="en-GB"/>
              </w:rPr>
              <w:t>12, 13, 14, 15, 16, 17</w:t>
            </w:r>
          </w:p>
        </w:tc>
      </w:tr>
    </w:tbl>
    <w:p w14:paraId="59DCC844" w14:textId="77777777" w:rsidR="00C46175" w:rsidRPr="00D93FF9" w:rsidRDefault="00C46175" w:rsidP="003807A1">
      <w:pPr>
        <w:pStyle w:val="BodyText"/>
        <w:spacing w:after="0" w:line="20" w:lineRule="exact"/>
        <w:rPr>
          <w:rFonts w:ascii="Arial"/>
          <w:sz w:val="2"/>
          <w:lang w:val="en-GB"/>
        </w:rPr>
      </w:pPr>
    </w:p>
    <w:tbl>
      <w:tblPr>
        <w:tblW w:w="0" w:type="auto"/>
        <w:tblInd w:w="121" w:type="dxa"/>
        <w:tblLayout w:type="fixed"/>
        <w:tblCellMar>
          <w:left w:w="0" w:type="dxa"/>
          <w:right w:w="0" w:type="dxa"/>
        </w:tblCellMar>
        <w:tblLook w:val="01E0" w:firstRow="1" w:lastRow="1" w:firstColumn="1" w:lastColumn="1" w:noHBand="0" w:noVBand="0"/>
      </w:tblPr>
      <w:tblGrid>
        <w:gridCol w:w="2147"/>
        <w:gridCol w:w="2980"/>
        <w:gridCol w:w="1901"/>
        <w:gridCol w:w="2097"/>
        <w:gridCol w:w="985"/>
        <w:gridCol w:w="1041"/>
        <w:gridCol w:w="1135"/>
        <w:gridCol w:w="1177"/>
      </w:tblGrid>
      <w:tr w:rsidR="00BE3AA8" w:rsidRPr="00D93FF9" w14:paraId="59DCC84D" w14:textId="77777777" w:rsidTr="002F55F0">
        <w:trPr>
          <w:trHeight w:val="224"/>
        </w:trPr>
        <w:tc>
          <w:tcPr>
            <w:tcW w:w="2147" w:type="dxa"/>
          </w:tcPr>
          <w:p w14:paraId="59DCC845" w14:textId="77777777" w:rsidR="00C46175" w:rsidRPr="00D93FF9" w:rsidRDefault="00E811B8" w:rsidP="003807A1">
            <w:pPr>
              <w:pStyle w:val="TableParagraph"/>
              <w:spacing w:before="0" w:after="0"/>
              <w:rPr>
                <w:sz w:val="16"/>
                <w:lang w:val="en-GB"/>
              </w:rPr>
            </w:pPr>
            <w:r w:rsidRPr="00D93FF9">
              <w:rPr>
                <w:sz w:val="16"/>
                <w:lang w:val="en-GB"/>
              </w:rPr>
              <w:t>Grapefruit</w:t>
            </w:r>
          </w:p>
        </w:tc>
        <w:tc>
          <w:tcPr>
            <w:tcW w:w="2980" w:type="dxa"/>
          </w:tcPr>
          <w:p w14:paraId="59DCC846" w14:textId="77777777" w:rsidR="00C46175" w:rsidRPr="00D93FF9" w:rsidRDefault="00E811B8" w:rsidP="003807A1">
            <w:pPr>
              <w:pStyle w:val="TableParagraph"/>
              <w:spacing w:before="0" w:after="0"/>
              <w:rPr>
                <w:i/>
                <w:sz w:val="16"/>
                <w:lang w:val="en-GB"/>
              </w:rPr>
            </w:pPr>
            <w:r w:rsidRPr="00D93FF9">
              <w:rPr>
                <w:i/>
                <w:sz w:val="16"/>
                <w:lang w:val="en-GB"/>
              </w:rPr>
              <w:t>Citrus paradisi</w:t>
            </w:r>
          </w:p>
        </w:tc>
        <w:tc>
          <w:tcPr>
            <w:tcW w:w="1898" w:type="dxa"/>
          </w:tcPr>
          <w:p w14:paraId="59DCC847" w14:textId="77777777" w:rsidR="00C46175" w:rsidRPr="00D93FF9" w:rsidRDefault="00E811B8" w:rsidP="002F55F0">
            <w:pPr>
              <w:pStyle w:val="TableParagraph"/>
              <w:spacing w:before="0" w:after="0"/>
              <w:jc w:val="center"/>
              <w:rPr>
                <w:sz w:val="16"/>
                <w:lang w:val="en-GB"/>
              </w:rPr>
            </w:pPr>
            <w:r w:rsidRPr="00D93FF9">
              <w:rPr>
                <w:sz w:val="16"/>
                <w:lang w:val="en-GB"/>
              </w:rPr>
              <w:t>1.8</w:t>
            </w:r>
          </w:p>
        </w:tc>
        <w:tc>
          <w:tcPr>
            <w:tcW w:w="2097" w:type="dxa"/>
          </w:tcPr>
          <w:p w14:paraId="59DCC848" w14:textId="77777777" w:rsidR="00C46175" w:rsidRPr="00D93FF9" w:rsidRDefault="00E811B8" w:rsidP="002F55F0">
            <w:pPr>
              <w:pStyle w:val="TableParagraph"/>
              <w:spacing w:before="0" w:after="0"/>
              <w:jc w:val="center"/>
              <w:rPr>
                <w:sz w:val="16"/>
                <w:lang w:val="en-GB"/>
              </w:rPr>
            </w:pPr>
            <w:r w:rsidRPr="00D93FF9">
              <w:rPr>
                <w:sz w:val="16"/>
                <w:lang w:val="en-GB"/>
              </w:rPr>
              <w:t>16.1</w:t>
            </w:r>
          </w:p>
        </w:tc>
        <w:tc>
          <w:tcPr>
            <w:tcW w:w="985" w:type="dxa"/>
          </w:tcPr>
          <w:p w14:paraId="59DCC849" w14:textId="77777777" w:rsidR="00C46175" w:rsidRPr="00D93FF9" w:rsidRDefault="00E811B8" w:rsidP="002F55F0">
            <w:pPr>
              <w:pStyle w:val="TableParagraph"/>
              <w:spacing w:before="0" w:after="0"/>
              <w:jc w:val="center"/>
              <w:rPr>
                <w:sz w:val="16"/>
                <w:lang w:val="en-GB"/>
              </w:rPr>
            </w:pPr>
            <w:r w:rsidRPr="00D93FF9">
              <w:rPr>
                <w:sz w:val="16"/>
                <w:lang w:val="en-GB"/>
              </w:rPr>
              <w:t>2.4</w:t>
            </w:r>
          </w:p>
        </w:tc>
        <w:tc>
          <w:tcPr>
            <w:tcW w:w="1041" w:type="dxa"/>
          </w:tcPr>
          <w:p w14:paraId="59DCC84A" w14:textId="77777777" w:rsidR="00C46175" w:rsidRPr="00D93FF9" w:rsidRDefault="00E811B8" w:rsidP="002F55F0">
            <w:pPr>
              <w:pStyle w:val="TableParagraph"/>
              <w:spacing w:before="0" w:after="0"/>
              <w:jc w:val="center"/>
              <w:rPr>
                <w:sz w:val="16"/>
                <w:lang w:val="en-GB"/>
              </w:rPr>
            </w:pPr>
            <w:r w:rsidRPr="00D93FF9">
              <w:rPr>
                <w:sz w:val="16"/>
                <w:lang w:val="en-GB"/>
              </w:rPr>
              <w:t>3.4</w:t>
            </w:r>
          </w:p>
        </w:tc>
        <w:tc>
          <w:tcPr>
            <w:tcW w:w="1135" w:type="dxa"/>
          </w:tcPr>
          <w:p w14:paraId="59DCC84B" w14:textId="77777777" w:rsidR="00C46175" w:rsidRPr="00D93FF9" w:rsidRDefault="00E811B8" w:rsidP="002F55F0">
            <w:pPr>
              <w:pStyle w:val="TableParagraph"/>
              <w:spacing w:before="0" w:after="0"/>
              <w:jc w:val="center"/>
              <w:rPr>
                <w:sz w:val="16"/>
                <w:lang w:val="en-GB"/>
              </w:rPr>
            </w:pPr>
            <w:r w:rsidRPr="00D93FF9">
              <w:rPr>
                <w:sz w:val="16"/>
                <w:lang w:val="en-GB"/>
              </w:rPr>
              <w:t>4.9</w:t>
            </w:r>
          </w:p>
        </w:tc>
        <w:tc>
          <w:tcPr>
            <w:tcW w:w="1168" w:type="dxa"/>
          </w:tcPr>
          <w:p w14:paraId="59DCC84C"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56" w14:textId="77777777" w:rsidTr="002F55F0">
        <w:trPr>
          <w:trHeight w:val="228"/>
        </w:trPr>
        <w:tc>
          <w:tcPr>
            <w:tcW w:w="2147" w:type="dxa"/>
          </w:tcPr>
          <w:p w14:paraId="59DCC84E" w14:textId="77777777" w:rsidR="00C46175" w:rsidRPr="00D93FF9" w:rsidRDefault="00E811B8" w:rsidP="003807A1">
            <w:pPr>
              <w:pStyle w:val="TableParagraph"/>
              <w:spacing w:before="0" w:after="0"/>
              <w:rPr>
                <w:sz w:val="16"/>
                <w:lang w:val="en-GB"/>
              </w:rPr>
            </w:pPr>
            <w:r w:rsidRPr="00D93FF9">
              <w:rPr>
                <w:sz w:val="16"/>
                <w:lang w:val="en-GB"/>
              </w:rPr>
              <w:t>Guava, pineapple</w:t>
            </w:r>
          </w:p>
        </w:tc>
        <w:tc>
          <w:tcPr>
            <w:tcW w:w="2980" w:type="dxa"/>
          </w:tcPr>
          <w:p w14:paraId="59DCC84F" w14:textId="77777777" w:rsidR="00C46175" w:rsidRPr="00D93FF9" w:rsidRDefault="00E811B8" w:rsidP="003807A1">
            <w:pPr>
              <w:pStyle w:val="TableParagraph"/>
              <w:spacing w:before="0" w:after="0"/>
              <w:rPr>
                <w:i/>
                <w:sz w:val="16"/>
                <w:lang w:val="en-GB"/>
              </w:rPr>
            </w:pPr>
            <w:r w:rsidRPr="00D93FF9">
              <w:rPr>
                <w:i/>
                <w:sz w:val="16"/>
                <w:lang w:val="en-GB"/>
              </w:rPr>
              <w:t>Feijoa sellowiana</w:t>
            </w:r>
          </w:p>
        </w:tc>
        <w:tc>
          <w:tcPr>
            <w:tcW w:w="1898" w:type="dxa"/>
          </w:tcPr>
          <w:p w14:paraId="59DCC850" w14:textId="77777777" w:rsidR="00C46175" w:rsidRPr="00D93FF9" w:rsidRDefault="00E811B8" w:rsidP="002F55F0">
            <w:pPr>
              <w:pStyle w:val="TableParagraph"/>
              <w:spacing w:before="0" w:after="0"/>
              <w:jc w:val="center"/>
              <w:rPr>
                <w:sz w:val="16"/>
                <w:lang w:val="en-GB"/>
              </w:rPr>
            </w:pPr>
            <w:r w:rsidRPr="00D93FF9">
              <w:rPr>
                <w:sz w:val="16"/>
                <w:lang w:val="en-GB"/>
              </w:rPr>
              <w:t>1.2</w:t>
            </w:r>
          </w:p>
        </w:tc>
        <w:tc>
          <w:tcPr>
            <w:tcW w:w="2097" w:type="dxa"/>
          </w:tcPr>
          <w:p w14:paraId="59DCC851"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852"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853"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854"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855"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85F" w14:textId="77777777" w:rsidTr="002F55F0">
        <w:trPr>
          <w:trHeight w:val="228"/>
        </w:trPr>
        <w:tc>
          <w:tcPr>
            <w:tcW w:w="2147" w:type="dxa"/>
          </w:tcPr>
          <w:p w14:paraId="59DCC857" w14:textId="77777777" w:rsidR="00C46175" w:rsidRPr="00D93FF9" w:rsidRDefault="00E811B8" w:rsidP="003807A1">
            <w:pPr>
              <w:pStyle w:val="TableParagraph"/>
              <w:spacing w:before="0" w:after="0"/>
              <w:rPr>
                <w:sz w:val="16"/>
                <w:lang w:val="en-GB"/>
              </w:rPr>
            </w:pPr>
            <w:r w:rsidRPr="00D93FF9">
              <w:rPr>
                <w:sz w:val="16"/>
                <w:lang w:val="en-GB"/>
              </w:rPr>
              <w:t>Lemon</w:t>
            </w:r>
          </w:p>
        </w:tc>
        <w:tc>
          <w:tcPr>
            <w:tcW w:w="2980" w:type="dxa"/>
          </w:tcPr>
          <w:p w14:paraId="59DCC858" w14:textId="77777777" w:rsidR="00C46175" w:rsidRPr="00D93FF9" w:rsidRDefault="00E811B8" w:rsidP="003807A1">
            <w:pPr>
              <w:pStyle w:val="TableParagraph"/>
              <w:spacing w:before="0" w:after="0"/>
              <w:rPr>
                <w:i/>
                <w:sz w:val="16"/>
                <w:lang w:val="en-GB"/>
              </w:rPr>
            </w:pPr>
            <w:r w:rsidRPr="00D93FF9">
              <w:rPr>
                <w:i/>
                <w:sz w:val="16"/>
                <w:lang w:val="en-GB"/>
              </w:rPr>
              <w:t>Citrus limon</w:t>
            </w:r>
          </w:p>
        </w:tc>
        <w:tc>
          <w:tcPr>
            <w:tcW w:w="1898" w:type="dxa"/>
          </w:tcPr>
          <w:p w14:paraId="59DCC859" w14:textId="77777777" w:rsidR="00C46175" w:rsidRPr="00D93FF9" w:rsidRDefault="00E811B8" w:rsidP="002F55F0">
            <w:pPr>
              <w:pStyle w:val="TableParagraph"/>
              <w:spacing w:before="0" w:after="0"/>
              <w:jc w:val="center"/>
              <w:rPr>
                <w:sz w:val="16"/>
                <w:lang w:val="en-GB"/>
              </w:rPr>
            </w:pPr>
            <w:r w:rsidRPr="00D93FF9">
              <w:rPr>
                <w:sz w:val="16"/>
                <w:lang w:val="en-GB"/>
              </w:rPr>
              <w:t>1.0</w:t>
            </w:r>
          </w:p>
        </w:tc>
        <w:tc>
          <w:tcPr>
            <w:tcW w:w="2097" w:type="dxa"/>
          </w:tcPr>
          <w:p w14:paraId="59DCC85A"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85B"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85C"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85D"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85E"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868" w14:textId="77777777" w:rsidTr="002F55F0">
        <w:trPr>
          <w:trHeight w:val="227"/>
        </w:trPr>
        <w:tc>
          <w:tcPr>
            <w:tcW w:w="2147" w:type="dxa"/>
          </w:tcPr>
          <w:p w14:paraId="59DCC860" w14:textId="77777777" w:rsidR="00C46175" w:rsidRPr="00D93FF9" w:rsidRDefault="00E811B8" w:rsidP="003807A1">
            <w:pPr>
              <w:pStyle w:val="TableParagraph"/>
              <w:spacing w:before="0" w:after="0"/>
              <w:rPr>
                <w:sz w:val="16"/>
                <w:lang w:val="en-GB"/>
              </w:rPr>
            </w:pPr>
            <w:r w:rsidRPr="00D93FF9">
              <w:rPr>
                <w:sz w:val="16"/>
                <w:lang w:val="en-GB"/>
              </w:rPr>
              <w:t>Natal plum</w:t>
            </w:r>
          </w:p>
        </w:tc>
        <w:tc>
          <w:tcPr>
            <w:tcW w:w="2980" w:type="dxa"/>
          </w:tcPr>
          <w:p w14:paraId="59DCC861" w14:textId="77777777" w:rsidR="00C46175" w:rsidRPr="00D93FF9" w:rsidRDefault="00E811B8" w:rsidP="003807A1">
            <w:pPr>
              <w:pStyle w:val="TableParagraph"/>
              <w:spacing w:before="0" w:after="0"/>
              <w:rPr>
                <w:i/>
                <w:sz w:val="16"/>
                <w:lang w:val="en-GB"/>
              </w:rPr>
            </w:pPr>
            <w:r w:rsidRPr="00D93FF9">
              <w:rPr>
                <w:i/>
                <w:sz w:val="16"/>
                <w:lang w:val="en-GB"/>
              </w:rPr>
              <w:t>Carissa grandiflora</w:t>
            </w:r>
          </w:p>
        </w:tc>
        <w:tc>
          <w:tcPr>
            <w:tcW w:w="1898" w:type="dxa"/>
          </w:tcPr>
          <w:p w14:paraId="59DCC862" w14:textId="77777777" w:rsidR="00C46175" w:rsidRPr="00D93FF9" w:rsidRDefault="00E811B8" w:rsidP="002F55F0">
            <w:pPr>
              <w:pStyle w:val="TableParagraph"/>
              <w:spacing w:before="0" w:after="0"/>
              <w:jc w:val="center"/>
              <w:rPr>
                <w:sz w:val="16"/>
                <w:lang w:val="en-GB"/>
              </w:rPr>
            </w:pPr>
            <w:r w:rsidRPr="00D93FF9">
              <w:rPr>
                <w:sz w:val="16"/>
                <w:lang w:val="en-GB"/>
              </w:rPr>
              <w:t>6.0</w:t>
            </w:r>
          </w:p>
        </w:tc>
        <w:tc>
          <w:tcPr>
            <w:tcW w:w="2097" w:type="dxa"/>
          </w:tcPr>
          <w:p w14:paraId="59DCC863"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864"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865"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866"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867"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871" w14:textId="77777777" w:rsidTr="002F55F0">
        <w:trPr>
          <w:trHeight w:val="227"/>
        </w:trPr>
        <w:tc>
          <w:tcPr>
            <w:tcW w:w="2147" w:type="dxa"/>
          </w:tcPr>
          <w:p w14:paraId="59DCC869" w14:textId="77777777" w:rsidR="00C46175" w:rsidRPr="00D93FF9" w:rsidRDefault="00E811B8" w:rsidP="003807A1">
            <w:pPr>
              <w:pStyle w:val="TableParagraph"/>
              <w:spacing w:before="0" w:after="0"/>
              <w:rPr>
                <w:sz w:val="16"/>
                <w:lang w:val="en-GB"/>
              </w:rPr>
            </w:pPr>
            <w:r w:rsidRPr="00D93FF9">
              <w:rPr>
                <w:sz w:val="16"/>
                <w:lang w:val="en-GB"/>
              </w:rPr>
              <w:t>Olive</w:t>
            </w:r>
          </w:p>
        </w:tc>
        <w:tc>
          <w:tcPr>
            <w:tcW w:w="2980" w:type="dxa"/>
          </w:tcPr>
          <w:p w14:paraId="59DCC86A" w14:textId="77777777" w:rsidR="00C46175" w:rsidRPr="00D93FF9" w:rsidRDefault="00E811B8" w:rsidP="003807A1">
            <w:pPr>
              <w:pStyle w:val="TableParagraph"/>
              <w:spacing w:before="0" w:after="0"/>
              <w:rPr>
                <w:i/>
                <w:sz w:val="16"/>
                <w:lang w:val="en-GB"/>
              </w:rPr>
            </w:pPr>
            <w:r w:rsidRPr="00D93FF9">
              <w:rPr>
                <w:i/>
                <w:sz w:val="16"/>
                <w:lang w:val="en-GB"/>
              </w:rPr>
              <w:t>Olea europaea</w:t>
            </w:r>
          </w:p>
        </w:tc>
        <w:tc>
          <w:tcPr>
            <w:tcW w:w="1898" w:type="dxa"/>
          </w:tcPr>
          <w:p w14:paraId="59DCC86B" w14:textId="77777777" w:rsidR="00C46175" w:rsidRPr="00D93FF9" w:rsidRDefault="00E811B8" w:rsidP="002F55F0">
            <w:pPr>
              <w:pStyle w:val="TableParagraph"/>
              <w:spacing w:before="0" w:after="0"/>
              <w:jc w:val="center"/>
              <w:rPr>
                <w:sz w:val="16"/>
                <w:lang w:val="en-GB"/>
              </w:rPr>
            </w:pPr>
            <w:r w:rsidRPr="00D93FF9">
              <w:rPr>
                <w:sz w:val="16"/>
                <w:lang w:val="en-GB"/>
              </w:rPr>
              <w:t>4.0</w:t>
            </w:r>
          </w:p>
        </w:tc>
        <w:tc>
          <w:tcPr>
            <w:tcW w:w="2097" w:type="dxa"/>
          </w:tcPr>
          <w:p w14:paraId="59DCC86C"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86D"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86E"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86F"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870"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87A" w14:textId="77777777" w:rsidTr="002F55F0">
        <w:trPr>
          <w:trHeight w:val="227"/>
        </w:trPr>
        <w:tc>
          <w:tcPr>
            <w:tcW w:w="2147" w:type="dxa"/>
          </w:tcPr>
          <w:p w14:paraId="59DCC872" w14:textId="77777777" w:rsidR="00C46175" w:rsidRPr="00D93FF9" w:rsidRDefault="00E811B8" w:rsidP="003807A1">
            <w:pPr>
              <w:pStyle w:val="TableParagraph"/>
              <w:spacing w:before="0" w:after="0"/>
              <w:rPr>
                <w:sz w:val="16"/>
                <w:lang w:val="en-GB"/>
              </w:rPr>
            </w:pPr>
            <w:r w:rsidRPr="00D93FF9">
              <w:rPr>
                <w:sz w:val="16"/>
                <w:lang w:val="en-GB"/>
              </w:rPr>
              <w:t>Orange</w:t>
            </w:r>
          </w:p>
        </w:tc>
        <w:tc>
          <w:tcPr>
            <w:tcW w:w="2980" w:type="dxa"/>
          </w:tcPr>
          <w:p w14:paraId="59DCC873" w14:textId="77777777" w:rsidR="00C46175" w:rsidRPr="00D93FF9" w:rsidRDefault="00E811B8" w:rsidP="003807A1">
            <w:pPr>
              <w:pStyle w:val="TableParagraph"/>
              <w:spacing w:before="0" w:after="0"/>
              <w:rPr>
                <w:i/>
                <w:sz w:val="16"/>
                <w:lang w:val="en-GB"/>
              </w:rPr>
            </w:pPr>
            <w:r w:rsidRPr="00D93FF9">
              <w:rPr>
                <w:i/>
                <w:sz w:val="16"/>
                <w:lang w:val="en-GB"/>
              </w:rPr>
              <w:t>Citrus sinensis</w:t>
            </w:r>
          </w:p>
        </w:tc>
        <w:tc>
          <w:tcPr>
            <w:tcW w:w="1898" w:type="dxa"/>
          </w:tcPr>
          <w:p w14:paraId="59DCC874" w14:textId="77777777" w:rsidR="00C46175" w:rsidRPr="00D93FF9" w:rsidRDefault="00E811B8" w:rsidP="002F55F0">
            <w:pPr>
              <w:pStyle w:val="TableParagraph"/>
              <w:spacing w:before="0" w:after="0"/>
              <w:jc w:val="center"/>
              <w:rPr>
                <w:sz w:val="16"/>
                <w:lang w:val="en-GB"/>
              </w:rPr>
            </w:pPr>
            <w:r w:rsidRPr="00D93FF9">
              <w:rPr>
                <w:sz w:val="16"/>
                <w:lang w:val="en-GB"/>
              </w:rPr>
              <w:t>1.7</w:t>
            </w:r>
          </w:p>
        </w:tc>
        <w:tc>
          <w:tcPr>
            <w:tcW w:w="2097" w:type="dxa"/>
          </w:tcPr>
          <w:p w14:paraId="59DCC875" w14:textId="77777777" w:rsidR="00C46175" w:rsidRPr="00D93FF9" w:rsidRDefault="00E811B8" w:rsidP="002F55F0">
            <w:pPr>
              <w:pStyle w:val="TableParagraph"/>
              <w:spacing w:before="0" w:after="0"/>
              <w:jc w:val="center"/>
              <w:rPr>
                <w:sz w:val="16"/>
                <w:lang w:val="en-GB"/>
              </w:rPr>
            </w:pPr>
            <w:r w:rsidRPr="00D93FF9">
              <w:rPr>
                <w:sz w:val="16"/>
                <w:lang w:val="en-GB"/>
              </w:rPr>
              <w:t>15.9</w:t>
            </w:r>
          </w:p>
        </w:tc>
        <w:tc>
          <w:tcPr>
            <w:tcW w:w="985" w:type="dxa"/>
          </w:tcPr>
          <w:p w14:paraId="59DCC876" w14:textId="77777777" w:rsidR="00C46175" w:rsidRPr="00D93FF9" w:rsidRDefault="00E811B8" w:rsidP="002F55F0">
            <w:pPr>
              <w:pStyle w:val="TableParagraph"/>
              <w:spacing w:before="0" w:after="0"/>
              <w:jc w:val="center"/>
              <w:rPr>
                <w:sz w:val="16"/>
                <w:lang w:val="en-GB"/>
              </w:rPr>
            </w:pPr>
            <w:r w:rsidRPr="00D93FF9">
              <w:rPr>
                <w:sz w:val="16"/>
                <w:lang w:val="en-GB"/>
              </w:rPr>
              <w:t>2.3</w:t>
            </w:r>
          </w:p>
        </w:tc>
        <w:tc>
          <w:tcPr>
            <w:tcW w:w="1041" w:type="dxa"/>
          </w:tcPr>
          <w:p w14:paraId="59DCC877" w14:textId="77777777" w:rsidR="00C46175" w:rsidRPr="00D93FF9" w:rsidRDefault="00E811B8" w:rsidP="002F55F0">
            <w:pPr>
              <w:pStyle w:val="TableParagraph"/>
              <w:spacing w:before="0" w:after="0"/>
              <w:jc w:val="center"/>
              <w:rPr>
                <w:sz w:val="16"/>
                <w:lang w:val="en-GB"/>
              </w:rPr>
            </w:pPr>
            <w:r w:rsidRPr="00D93FF9">
              <w:rPr>
                <w:sz w:val="16"/>
                <w:lang w:val="en-GB"/>
              </w:rPr>
              <w:t>3.3</w:t>
            </w:r>
          </w:p>
        </w:tc>
        <w:tc>
          <w:tcPr>
            <w:tcW w:w="1135" w:type="dxa"/>
          </w:tcPr>
          <w:p w14:paraId="59DCC878" w14:textId="77777777" w:rsidR="00C46175" w:rsidRPr="00D93FF9" w:rsidRDefault="00E811B8" w:rsidP="002F55F0">
            <w:pPr>
              <w:pStyle w:val="TableParagraph"/>
              <w:spacing w:before="0" w:after="0"/>
              <w:jc w:val="center"/>
              <w:rPr>
                <w:sz w:val="16"/>
                <w:lang w:val="en-GB"/>
              </w:rPr>
            </w:pPr>
            <w:r w:rsidRPr="00D93FF9">
              <w:rPr>
                <w:sz w:val="16"/>
                <w:lang w:val="en-GB"/>
              </w:rPr>
              <w:t>4.8</w:t>
            </w:r>
          </w:p>
        </w:tc>
        <w:tc>
          <w:tcPr>
            <w:tcW w:w="1168" w:type="dxa"/>
          </w:tcPr>
          <w:p w14:paraId="59DCC879"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83" w14:textId="77777777" w:rsidTr="002F55F0">
        <w:trPr>
          <w:trHeight w:val="228"/>
        </w:trPr>
        <w:tc>
          <w:tcPr>
            <w:tcW w:w="2147" w:type="dxa"/>
          </w:tcPr>
          <w:p w14:paraId="59DCC87B" w14:textId="77777777" w:rsidR="00C46175" w:rsidRPr="00D93FF9" w:rsidRDefault="00E811B8" w:rsidP="003807A1">
            <w:pPr>
              <w:pStyle w:val="TableParagraph"/>
              <w:spacing w:before="0" w:after="0"/>
              <w:rPr>
                <w:sz w:val="16"/>
                <w:lang w:val="en-GB"/>
              </w:rPr>
            </w:pPr>
            <w:r w:rsidRPr="00D93FF9">
              <w:rPr>
                <w:sz w:val="16"/>
                <w:lang w:val="en-GB"/>
              </w:rPr>
              <w:t>Peach</w:t>
            </w:r>
          </w:p>
        </w:tc>
        <w:tc>
          <w:tcPr>
            <w:tcW w:w="2980" w:type="dxa"/>
          </w:tcPr>
          <w:p w14:paraId="59DCC87C" w14:textId="77777777" w:rsidR="00C46175" w:rsidRPr="00D93FF9" w:rsidRDefault="00E811B8" w:rsidP="003807A1">
            <w:pPr>
              <w:pStyle w:val="TableParagraph"/>
              <w:spacing w:before="0" w:after="0"/>
              <w:rPr>
                <w:i/>
                <w:sz w:val="16"/>
                <w:lang w:val="en-GB"/>
              </w:rPr>
            </w:pPr>
            <w:r w:rsidRPr="00D93FF9">
              <w:rPr>
                <w:i/>
                <w:sz w:val="16"/>
                <w:lang w:val="en-GB"/>
              </w:rPr>
              <w:t>Prunus persica</w:t>
            </w:r>
          </w:p>
        </w:tc>
        <w:tc>
          <w:tcPr>
            <w:tcW w:w="1898" w:type="dxa"/>
          </w:tcPr>
          <w:p w14:paraId="59DCC87D" w14:textId="77777777" w:rsidR="00C46175" w:rsidRPr="00D93FF9" w:rsidRDefault="00E811B8" w:rsidP="002F55F0">
            <w:pPr>
              <w:pStyle w:val="TableParagraph"/>
              <w:spacing w:before="0" w:after="0"/>
              <w:jc w:val="center"/>
              <w:rPr>
                <w:sz w:val="16"/>
                <w:lang w:val="en-GB"/>
              </w:rPr>
            </w:pPr>
            <w:r w:rsidRPr="00D93FF9">
              <w:rPr>
                <w:sz w:val="16"/>
                <w:lang w:val="en-GB"/>
              </w:rPr>
              <w:t>3.2</w:t>
            </w:r>
          </w:p>
        </w:tc>
        <w:tc>
          <w:tcPr>
            <w:tcW w:w="2097" w:type="dxa"/>
          </w:tcPr>
          <w:p w14:paraId="59DCC87E" w14:textId="77777777" w:rsidR="00C46175" w:rsidRPr="00D93FF9" w:rsidRDefault="00E811B8" w:rsidP="002F55F0">
            <w:pPr>
              <w:pStyle w:val="TableParagraph"/>
              <w:spacing w:before="0" w:after="0"/>
              <w:jc w:val="center"/>
              <w:rPr>
                <w:sz w:val="16"/>
                <w:lang w:val="en-GB"/>
              </w:rPr>
            </w:pPr>
            <w:r w:rsidRPr="00D93FF9">
              <w:rPr>
                <w:sz w:val="16"/>
                <w:lang w:val="en-GB"/>
              </w:rPr>
              <w:t>18.8</w:t>
            </w:r>
          </w:p>
        </w:tc>
        <w:tc>
          <w:tcPr>
            <w:tcW w:w="985" w:type="dxa"/>
          </w:tcPr>
          <w:p w14:paraId="59DCC87F" w14:textId="77777777" w:rsidR="00C46175" w:rsidRPr="00D93FF9" w:rsidRDefault="00E811B8" w:rsidP="002F55F0">
            <w:pPr>
              <w:pStyle w:val="TableParagraph"/>
              <w:spacing w:before="0" w:after="0"/>
              <w:jc w:val="center"/>
              <w:rPr>
                <w:sz w:val="16"/>
                <w:lang w:val="en-GB"/>
              </w:rPr>
            </w:pPr>
            <w:r w:rsidRPr="00D93FF9">
              <w:rPr>
                <w:sz w:val="16"/>
                <w:lang w:val="en-GB"/>
              </w:rPr>
              <w:t>3.7</w:t>
            </w:r>
          </w:p>
        </w:tc>
        <w:tc>
          <w:tcPr>
            <w:tcW w:w="1041" w:type="dxa"/>
          </w:tcPr>
          <w:p w14:paraId="59DCC880" w14:textId="77777777" w:rsidR="00C46175" w:rsidRPr="00D93FF9" w:rsidRDefault="00E811B8" w:rsidP="002F55F0">
            <w:pPr>
              <w:pStyle w:val="TableParagraph"/>
              <w:spacing w:before="0" w:after="0"/>
              <w:jc w:val="center"/>
              <w:rPr>
                <w:sz w:val="16"/>
                <w:lang w:val="en-GB"/>
              </w:rPr>
            </w:pPr>
            <w:r w:rsidRPr="00D93FF9">
              <w:rPr>
                <w:sz w:val="16"/>
                <w:lang w:val="en-GB"/>
              </w:rPr>
              <w:t>4.5</w:t>
            </w:r>
          </w:p>
        </w:tc>
        <w:tc>
          <w:tcPr>
            <w:tcW w:w="1135" w:type="dxa"/>
          </w:tcPr>
          <w:p w14:paraId="59DCC881" w14:textId="77777777" w:rsidR="00C46175" w:rsidRPr="00D93FF9" w:rsidRDefault="00E811B8" w:rsidP="002F55F0">
            <w:pPr>
              <w:pStyle w:val="TableParagraph"/>
              <w:spacing w:before="0" w:after="0"/>
              <w:jc w:val="center"/>
              <w:rPr>
                <w:sz w:val="16"/>
                <w:lang w:val="en-GB"/>
              </w:rPr>
            </w:pPr>
            <w:r w:rsidRPr="00D93FF9">
              <w:rPr>
                <w:sz w:val="16"/>
                <w:lang w:val="en-GB"/>
              </w:rPr>
              <w:t>5.9</w:t>
            </w:r>
          </w:p>
        </w:tc>
        <w:tc>
          <w:tcPr>
            <w:tcW w:w="1168" w:type="dxa"/>
          </w:tcPr>
          <w:p w14:paraId="59DCC882"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8C" w14:textId="77777777" w:rsidTr="002F55F0">
        <w:trPr>
          <w:trHeight w:val="228"/>
        </w:trPr>
        <w:tc>
          <w:tcPr>
            <w:tcW w:w="2147" w:type="dxa"/>
          </w:tcPr>
          <w:p w14:paraId="59DCC884" w14:textId="77777777" w:rsidR="00C46175" w:rsidRPr="00D93FF9" w:rsidRDefault="00E811B8" w:rsidP="003807A1">
            <w:pPr>
              <w:pStyle w:val="TableParagraph"/>
              <w:spacing w:before="0" w:after="0"/>
              <w:rPr>
                <w:sz w:val="16"/>
                <w:lang w:val="en-GB"/>
              </w:rPr>
            </w:pPr>
            <w:r w:rsidRPr="00D93FF9">
              <w:rPr>
                <w:sz w:val="16"/>
                <w:lang w:val="en-GB"/>
              </w:rPr>
              <w:t>Pear</w:t>
            </w:r>
          </w:p>
        </w:tc>
        <w:tc>
          <w:tcPr>
            <w:tcW w:w="2980" w:type="dxa"/>
          </w:tcPr>
          <w:p w14:paraId="59DCC885" w14:textId="77777777" w:rsidR="00C46175" w:rsidRPr="00D93FF9" w:rsidRDefault="00E811B8" w:rsidP="003807A1">
            <w:pPr>
              <w:pStyle w:val="TableParagraph"/>
              <w:spacing w:before="0" w:after="0"/>
              <w:rPr>
                <w:sz w:val="16"/>
                <w:lang w:val="en-GB"/>
              </w:rPr>
            </w:pPr>
            <w:r w:rsidRPr="00D93FF9">
              <w:rPr>
                <w:i/>
                <w:sz w:val="16"/>
                <w:lang w:val="en-GB"/>
              </w:rPr>
              <w:t xml:space="preserve">Pyrus </w:t>
            </w:r>
            <w:r w:rsidRPr="00D93FF9">
              <w:rPr>
                <w:sz w:val="16"/>
                <w:lang w:val="en-GB"/>
              </w:rPr>
              <w:t>spp</w:t>
            </w:r>
          </w:p>
        </w:tc>
        <w:tc>
          <w:tcPr>
            <w:tcW w:w="1898" w:type="dxa"/>
          </w:tcPr>
          <w:p w14:paraId="59DCC886" w14:textId="77777777" w:rsidR="00C46175" w:rsidRPr="00D93FF9" w:rsidRDefault="00E811B8" w:rsidP="002F55F0">
            <w:pPr>
              <w:pStyle w:val="TableParagraph"/>
              <w:spacing w:before="0" w:after="0"/>
              <w:jc w:val="center"/>
              <w:rPr>
                <w:sz w:val="16"/>
                <w:lang w:val="en-GB"/>
              </w:rPr>
            </w:pPr>
            <w:r w:rsidRPr="00D93FF9">
              <w:rPr>
                <w:sz w:val="16"/>
                <w:lang w:val="en-GB"/>
              </w:rPr>
              <w:t>1.0</w:t>
            </w:r>
          </w:p>
        </w:tc>
        <w:tc>
          <w:tcPr>
            <w:tcW w:w="2097" w:type="dxa"/>
          </w:tcPr>
          <w:p w14:paraId="59DCC887"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888"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889"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88A"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88B"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895" w14:textId="77777777" w:rsidTr="002F55F0">
        <w:trPr>
          <w:trHeight w:val="227"/>
        </w:trPr>
        <w:tc>
          <w:tcPr>
            <w:tcW w:w="2147" w:type="dxa"/>
          </w:tcPr>
          <w:p w14:paraId="59DCC88D" w14:textId="77777777" w:rsidR="004A7F90" w:rsidRPr="00D93FF9" w:rsidRDefault="00E811B8" w:rsidP="003807A1">
            <w:pPr>
              <w:pStyle w:val="TableParagraph"/>
              <w:spacing w:before="0" w:after="0"/>
              <w:rPr>
                <w:sz w:val="16"/>
                <w:lang w:val="en-GB"/>
              </w:rPr>
            </w:pPr>
            <w:r w:rsidRPr="00D93FF9">
              <w:rPr>
                <w:sz w:val="16"/>
                <w:lang w:val="en-GB"/>
              </w:rPr>
              <w:t>Pistachio</w:t>
            </w:r>
          </w:p>
        </w:tc>
        <w:tc>
          <w:tcPr>
            <w:tcW w:w="2980" w:type="dxa"/>
          </w:tcPr>
          <w:p w14:paraId="59DCC88E" w14:textId="77777777" w:rsidR="004A7F90" w:rsidRPr="00D93FF9" w:rsidRDefault="004A7F90" w:rsidP="003807A1">
            <w:pPr>
              <w:pStyle w:val="TableParagraph"/>
              <w:spacing w:before="0" w:after="0"/>
              <w:rPr>
                <w:i/>
                <w:sz w:val="16"/>
                <w:lang w:val="en-GB"/>
              </w:rPr>
            </w:pPr>
          </w:p>
        </w:tc>
        <w:tc>
          <w:tcPr>
            <w:tcW w:w="1898" w:type="dxa"/>
          </w:tcPr>
          <w:p w14:paraId="59DCC88F" w14:textId="77777777" w:rsidR="004A7F90" w:rsidRPr="00D93FF9" w:rsidRDefault="00E811B8" w:rsidP="002F55F0">
            <w:pPr>
              <w:pStyle w:val="TableParagraph"/>
              <w:spacing w:before="0" w:after="0"/>
              <w:jc w:val="center"/>
              <w:rPr>
                <w:sz w:val="16"/>
                <w:lang w:val="en-GB"/>
              </w:rPr>
            </w:pPr>
            <w:r w:rsidRPr="00D93FF9">
              <w:rPr>
                <w:sz w:val="16"/>
                <w:lang w:val="en-GB"/>
              </w:rPr>
              <w:t>9.4</w:t>
            </w:r>
          </w:p>
        </w:tc>
        <w:tc>
          <w:tcPr>
            <w:tcW w:w="2097" w:type="dxa"/>
          </w:tcPr>
          <w:p w14:paraId="59DCC890" w14:textId="77777777" w:rsidR="004A7F90" w:rsidRPr="00D93FF9" w:rsidRDefault="00E811B8" w:rsidP="002F55F0">
            <w:pPr>
              <w:pStyle w:val="TableParagraph"/>
              <w:spacing w:before="0" w:after="0"/>
              <w:jc w:val="center"/>
              <w:rPr>
                <w:sz w:val="16"/>
                <w:lang w:val="en-GB"/>
              </w:rPr>
            </w:pPr>
            <w:r w:rsidRPr="00D93FF9">
              <w:rPr>
                <w:sz w:val="16"/>
                <w:lang w:val="en-GB"/>
              </w:rPr>
              <w:t>8.4</w:t>
            </w:r>
          </w:p>
        </w:tc>
        <w:tc>
          <w:tcPr>
            <w:tcW w:w="985" w:type="dxa"/>
          </w:tcPr>
          <w:p w14:paraId="59DCC891" w14:textId="77777777" w:rsidR="004A7F90" w:rsidRPr="00D93FF9" w:rsidRDefault="004A7F90" w:rsidP="002F55F0">
            <w:pPr>
              <w:pStyle w:val="TableParagraph"/>
              <w:spacing w:before="0" w:after="0"/>
              <w:jc w:val="center"/>
              <w:rPr>
                <w:sz w:val="16"/>
                <w:lang w:val="en-GB"/>
              </w:rPr>
            </w:pPr>
          </w:p>
        </w:tc>
        <w:tc>
          <w:tcPr>
            <w:tcW w:w="1041" w:type="dxa"/>
          </w:tcPr>
          <w:p w14:paraId="59DCC892" w14:textId="77777777" w:rsidR="004A7F90" w:rsidRPr="00D93FF9" w:rsidRDefault="004A7F90" w:rsidP="002F55F0">
            <w:pPr>
              <w:pStyle w:val="TableParagraph"/>
              <w:spacing w:before="0" w:after="0"/>
              <w:jc w:val="center"/>
              <w:rPr>
                <w:sz w:val="16"/>
                <w:lang w:val="en-GB"/>
              </w:rPr>
            </w:pPr>
          </w:p>
        </w:tc>
        <w:tc>
          <w:tcPr>
            <w:tcW w:w="1135" w:type="dxa"/>
          </w:tcPr>
          <w:p w14:paraId="59DCC893" w14:textId="77777777" w:rsidR="004A7F90" w:rsidRPr="00D93FF9" w:rsidRDefault="004A7F90" w:rsidP="002F55F0">
            <w:pPr>
              <w:pStyle w:val="TableParagraph"/>
              <w:spacing w:before="0" w:after="0"/>
              <w:jc w:val="center"/>
              <w:rPr>
                <w:sz w:val="16"/>
                <w:lang w:val="en-GB"/>
              </w:rPr>
            </w:pPr>
          </w:p>
        </w:tc>
        <w:tc>
          <w:tcPr>
            <w:tcW w:w="1168" w:type="dxa"/>
          </w:tcPr>
          <w:p w14:paraId="59DCC894" w14:textId="77777777" w:rsidR="004A7F90" w:rsidRPr="00D93FF9" w:rsidRDefault="00E811B8" w:rsidP="002F55F0">
            <w:pPr>
              <w:pStyle w:val="TableParagraph"/>
              <w:spacing w:before="0" w:after="0"/>
              <w:jc w:val="center"/>
              <w:rPr>
                <w:sz w:val="16"/>
                <w:lang w:val="en-GB"/>
              </w:rPr>
            </w:pPr>
            <w:r w:rsidRPr="00D93FF9">
              <w:rPr>
                <w:sz w:val="16"/>
                <w:lang w:val="en-GB"/>
              </w:rPr>
              <w:t>19</w:t>
            </w:r>
          </w:p>
        </w:tc>
      </w:tr>
      <w:tr w:rsidR="00BE3AA8" w:rsidRPr="00D93FF9" w14:paraId="59DCC89E" w14:textId="77777777" w:rsidTr="002F55F0">
        <w:trPr>
          <w:trHeight w:val="227"/>
        </w:trPr>
        <w:tc>
          <w:tcPr>
            <w:tcW w:w="2147" w:type="dxa"/>
          </w:tcPr>
          <w:p w14:paraId="59DCC896" w14:textId="77777777" w:rsidR="00C46175" w:rsidRPr="00D93FF9" w:rsidRDefault="00E811B8" w:rsidP="003807A1">
            <w:pPr>
              <w:pStyle w:val="TableParagraph"/>
              <w:spacing w:before="0" w:after="0"/>
              <w:rPr>
                <w:sz w:val="16"/>
                <w:lang w:val="en-GB"/>
              </w:rPr>
            </w:pPr>
            <w:r w:rsidRPr="00D93FF9">
              <w:rPr>
                <w:sz w:val="16"/>
                <w:lang w:val="en-GB"/>
              </w:rPr>
              <w:t>Plum</w:t>
            </w:r>
          </w:p>
        </w:tc>
        <w:tc>
          <w:tcPr>
            <w:tcW w:w="2980" w:type="dxa"/>
          </w:tcPr>
          <w:p w14:paraId="59DCC897" w14:textId="77777777" w:rsidR="00C46175" w:rsidRPr="00D93FF9" w:rsidRDefault="00E811B8" w:rsidP="003807A1">
            <w:pPr>
              <w:pStyle w:val="TableParagraph"/>
              <w:spacing w:before="0" w:after="0"/>
              <w:rPr>
                <w:i/>
                <w:sz w:val="16"/>
                <w:lang w:val="en-GB"/>
              </w:rPr>
            </w:pPr>
            <w:r w:rsidRPr="00D93FF9">
              <w:rPr>
                <w:i/>
                <w:sz w:val="16"/>
                <w:lang w:val="en-GB"/>
              </w:rPr>
              <w:t>Prunus domestica</w:t>
            </w:r>
          </w:p>
        </w:tc>
        <w:tc>
          <w:tcPr>
            <w:tcW w:w="1898" w:type="dxa"/>
          </w:tcPr>
          <w:p w14:paraId="59DCC898" w14:textId="77777777" w:rsidR="00C46175" w:rsidRPr="00D93FF9" w:rsidRDefault="00E811B8" w:rsidP="002F55F0">
            <w:pPr>
              <w:pStyle w:val="TableParagraph"/>
              <w:spacing w:before="0" w:after="0"/>
              <w:jc w:val="center"/>
              <w:rPr>
                <w:sz w:val="16"/>
                <w:lang w:val="en-GB"/>
              </w:rPr>
            </w:pPr>
            <w:r w:rsidRPr="00D93FF9">
              <w:rPr>
                <w:sz w:val="16"/>
                <w:lang w:val="en-GB"/>
              </w:rPr>
              <w:t>1.5</w:t>
            </w:r>
          </w:p>
        </w:tc>
        <w:tc>
          <w:tcPr>
            <w:tcW w:w="2097" w:type="dxa"/>
          </w:tcPr>
          <w:p w14:paraId="59DCC899" w14:textId="77777777" w:rsidR="00C46175" w:rsidRPr="00D93FF9" w:rsidRDefault="00E811B8" w:rsidP="002F55F0">
            <w:pPr>
              <w:pStyle w:val="TableParagraph"/>
              <w:spacing w:before="0" w:after="0"/>
              <w:jc w:val="center"/>
              <w:rPr>
                <w:sz w:val="16"/>
                <w:lang w:val="en-GB"/>
              </w:rPr>
            </w:pPr>
            <w:r w:rsidRPr="00D93FF9">
              <w:rPr>
                <w:sz w:val="16"/>
                <w:lang w:val="en-GB"/>
              </w:rPr>
              <w:t>18.2</w:t>
            </w:r>
          </w:p>
        </w:tc>
        <w:tc>
          <w:tcPr>
            <w:tcW w:w="985" w:type="dxa"/>
          </w:tcPr>
          <w:p w14:paraId="59DCC89A" w14:textId="77777777" w:rsidR="00C46175" w:rsidRPr="00D93FF9" w:rsidRDefault="00E811B8" w:rsidP="002F55F0">
            <w:pPr>
              <w:pStyle w:val="TableParagraph"/>
              <w:spacing w:before="0" w:after="0"/>
              <w:jc w:val="center"/>
              <w:rPr>
                <w:sz w:val="16"/>
                <w:lang w:val="en-GB"/>
              </w:rPr>
            </w:pPr>
            <w:r w:rsidRPr="00D93FF9">
              <w:rPr>
                <w:sz w:val="16"/>
                <w:lang w:val="en-GB"/>
              </w:rPr>
              <w:t>2.0</w:t>
            </w:r>
          </w:p>
        </w:tc>
        <w:tc>
          <w:tcPr>
            <w:tcW w:w="1041" w:type="dxa"/>
          </w:tcPr>
          <w:p w14:paraId="59DCC89B" w14:textId="77777777" w:rsidR="00C46175" w:rsidRPr="00D93FF9" w:rsidRDefault="00E811B8" w:rsidP="002F55F0">
            <w:pPr>
              <w:pStyle w:val="TableParagraph"/>
              <w:spacing w:before="0" w:after="0"/>
              <w:jc w:val="center"/>
              <w:rPr>
                <w:sz w:val="16"/>
                <w:lang w:val="en-GB"/>
              </w:rPr>
            </w:pPr>
            <w:r w:rsidRPr="00D93FF9">
              <w:rPr>
                <w:sz w:val="16"/>
                <w:lang w:val="en-GB"/>
              </w:rPr>
              <w:t>2.9</w:t>
            </w:r>
          </w:p>
        </w:tc>
        <w:tc>
          <w:tcPr>
            <w:tcW w:w="1135" w:type="dxa"/>
          </w:tcPr>
          <w:p w14:paraId="59DCC89C" w14:textId="77777777" w:rsidR="00C46175" w:rsidRPr="00D93FF9" w:rsidRDefault="00E811B8" w:rsidP="002F55F0">
            <w:pPr>
              <w:pStyle w:val="TableParagraph"/>
              <w:spacing w:before="0" w:after="0"/>
              <w:jc w:val="center"/>
              <w:rPr>
                <w:sz w:val="16"/>
                <w:lang w:val="en-GB"/>
              </w:rPr>
            </w:pPr>
            <w:r w:rsidRPr="00D93FF9">
              <w:rPr>
                <w:sz w:val="16"/>
                <w:lang w:val="en-GB"/>
              </w:rPr>
              <w:t>4.2</w:t>
            </w:r>
          </w:p>
        </w:tc>
        <w:tc>
          <w:tcPr>
            <w:tcW w:w="1168" w:type="dxa"/>
          </w:tcPr>
          <w:p w14:paraId="59DCC89D"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A7" w14:textId="77777777" w:rsidTr="002F55F0">
        <w:trPr>
          <w:trHeight w:val="227"/>
        </w:trPr>
        <w:tc>
          <w:tcPr>
            <w:tcW w:w="2147" w:type="dxa"/>
          </w:tcPr>
          <w:p w14:paraId="59DCC89F" w14:textId="77777777" w:rsidR="00C46175" w:rsidRPr="00D93FF9" w:rsidRDefault="00E811B8" w:rsidP="003807A1">
            <w:pPr>
              <w:pStyle w:val="TableParagraph"/>
              <w:spacing w:before="0" w:after="0"/>
              <w:rPr>
                <w:sz w:val="16"/>
                <w:lang w:val="en-GB"/>
              </w:rPr>
            </w:pPr>
            <w:r w:rsidRPr="00D93FF9">
              <w:rPr>
                <w:sz w:val="16"/>
                <w:lang w:val="en-GB"/>
              </w:rPr>
              <w:t>Prune</w:t>
            </w:r>
          </w:p>
        </w:tc>
        <w:tc>
          <w:tcPr>
            <w:tcW w:w="2980" w:type="dxa"/>
          </w:tcPr>
          <w:p w14:paraId="59DCC8A0" w14:textId="77777777" w:rsidR="00C46175" w:rsidRPr="00D93FF9" w:rsidRDefault="00E811B8" w:rsidP="003807A1">
            <w:pPr>
              <w:pStyle w:val="TableParagraph"/>
              <w:spacing w:before="0" w:after="0"/>
              <w:rPr>
                <w:i/>
                <w:sz w:val="16"/>
                <w:lang w:val="en-GB"/>
              </w:rPr>
            </w:pPr>
            <w:r w:rsidRPr="00D93FF9">
              <w:rPr>
                <w:i/>
                <w:sz w:val="16"/>
                <w:lang w:val="en-GB"/>
              </w:rPr>
              <w:t>Prunus domestsica</w:t>
            </w:r>
          </w:p>
        </w:tc>
        <w:tc>
          <w:tcPr>
            <w:tcW w:w="1898" w:type="dxa"/>
          </w:tcPr>
          <w:p w14:paraId="59DCC8A1" w14:textId="77777777" w:rsidR="00C46175" w:rsidRPr="00D93FF9" w:rsidRDefault="00E811B8" w:rsidP="002F55F0">
            <w:pPr>
              <w:pStyle w:val="TableParagraph"/>
              <w:spacing w:before="0" w:after="0"/>
              <w:jc w:val="center"/>
              <w:rPr>
                <w:sz w:val="16"/>
                <w:lang w:val="en-GB"/>
              </w:rPr>
            </w:pPr>
            <w:r w:rsidRPr="00D93FF9">
              <w:rPr>
                <w:sz w:val="16"/>
                <w:lang w:val="en-GB"/>
              </w:rPr>
              <w:t>1.0</w:t>
            </w:r>
          </w:p>
        </w:tc>
        <w:tc>
          <w:tcPr>
            <w:tcW w:w="2097" w:type="dxa"/>
          </w:tcPr>
          <w:p w14:paraId="59DCC8A2"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8A3"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8A4"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8A5"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8A6"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8B0" w14:textId="77777777" w:rsidTr="002F55F0">
        <w:trPr>
          <w:trHeight w:val="227"/>
        </w:trPr>
        <w:tc>
          <w:tcPr>
            <w:tcW w:w="2147" w:type="dxa"/>
          </w:tcPr>
          <w:p w14:paraId="59DCC8A8" w14:textId="77777777" w:rsidR="00C46175" w:rsidRPr="00D93FF9" w:rsidRDefault="00E811B8" w:rsidP="003807A1">
            <w:pPr>
              <w:pStyle w:val="TableParagraph"/>
              <w:spacing w:before="0" w:after="0"/>
              <w:rPr>
                <w:sz w:val="16"/>
                <w:lang w:val="en-GB"/>
              </w:rPr>
            </w:pPr>
            <w:r w:rsidRPr="00D93FF9">
              <w:rPr>
                <w:sz w:val="16"/>
                <w:lang w:val="en-GB"/>
              </w:rPr>
              <w:t>Pomegranate</w:t>
            </w:r>
          </w:p>
        </w:tc>
        <w:tc>
          <w:tcPr>
            <w:tcW w:w="2980" w:type="dxa"/>
          </w:tcPr>
          <w:p w14:paraId="59DCC8A9" w14:textId="77777777" w:rsidR="00C46175" w:rsidRPr="00D93FF9" w:rsidRDefault="00E811B8" w:rsidP="003807A1">
            <w:pPr>
              <w:pStyle w:val="TableParagraph"/>
              <w:spacing w:before="0" w:after="0"/>
              <w:rPr>
                <w:i/>
                <w:sz w:val="16"/>
                <w:lang w:val="en-GB"/>
              </w:rPr>
            </w:pPr>
            <w:r w:rsidRPr="00D93FF9">
              <w:rPr>
                <w:i/>
                <w:sz w:val="16"/>
                <w:lang w:val="en-GB"/>
              </w:rPr>
              <w:t>Punica granatum</w:t>
            </w:r>
          </w:p>
        </w:tc>
        <w:tc>
          <w:tcPr>
            <w:tcW w:w="1898" w:type="dxa"/>
          </w:tcPr>
          <w:p w14:paraId="59DCC8AA" w14:textId="77777777" w:rsidR="00C46175" w:rsidRPr="00D93FF9" w:rsidRDefault="00E811B8" w:rsidP="002F55F0">
            <w:pPr>
              <w:pStyle w:val="TableParagraph"/>
              <w:spacing w:before="0" w:after="0"/>
              <w:jc w:val="center"/>
              <w:rPr>
                <w:sz w:val="16"/>
                <w:lang w:val="en-GB"/>
              </w:rPr>
            </w:pPr>
            <w:r w:rsidRPr="00D93FF9">
              <w:rPr>
                <w:sz w:val="16"/>
                <w:lang w:val="en-GB"/>
              </w:rPr>
              <w:t>4.0</w:t>
            </w:r>
          </w:p>
        </w:tc>
        <w:tc>
          <w:tcPr>
            <w:tcW w:w="2097" w:type="dxa"/>
          </w:tcPr>
          <w:p w14:paraId="59DCC8AB"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8AC"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8AD"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8AE"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8AF"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8B9" w14:textId="77777777" w:rsidTr="002F55F0">
        <w:trPr>
          <w:trHeight w:val="228"/>
        </w:trPr>
        <w:tc>
          <w:tcPr>
            <w:tcW w:w="2147" w:type="dxa"/>
          </w:tcPr>
          <w:p w14:paraId="59DCC8B1" w14:textId="77777777" w:rsidR="00C46175" w:rsidRPr="00D93FF9" w:rsidRDefault="00E811B8" w:rsidP="003807A1">
            <w:pPr>
              <w:pStyle w:val="TableParagraph"/>
              <w:spacing w:before="0" w:after="0"/>
              <w:rPr>
                <w:sz w:val="16"/>
                <w:lang w:val="en-GB"/>
              </w:rPr>
            </w:pPr>
            <w:r w:rsidRPr="00D93FF9">
              <w:rPr>
                <w:sz w:val="16"/>
                <w:lang w:val="en-GB"/>
              </w:rPr>
              <w:t>Raspberry</w:t>
            </w:r>
          </w:p>
        </w:tc>
        <w:tc>
          <w:tcPr>
            <w:tcW w:w="2980" w:type="dxa"/>
          </w:tcPr>
          <w:p w14:paraId="59DCC8B2" w14:textId="77777777" w:rsidR="00C46175" w:rsidRPr="00D93FF9" w:rsidRDefault="00E811B8" w:rsidP="003807A1">
            <w:pPr>
              <w:pStyle w:val="TableParagraph"/>
              <w:spacing w:before="0" w:after="0"/>
              <w:rPr>
                <w:i/>
                <w:sz w:val="16"/>
                <w:lang w:val="en-GB"/>
              </w:rPr>
            </w:pPr>
            <w:r w:rsidRPr="00D93FF9">
              <w:rPr>
                <w:i/>
                <w:sz w:val="16"/>
                <w:lang w:val="en-GB"/>
              </w:rPr>
              <w:t>Rubus ideaeus</w:t>
            </w:r>
          </w:p>
        </w:tc>
        <w:tc>
          <w:tcPr>
            <w:tcW w:w="1898" w:type="dxa"/>
          </w:tcPr>
          <w:p w14:paraId="59DCC8B3" w14:textId="77777777" w:rsidR="00C46175" w:rsidRPr="00D93FF9" w:rsidRDefault="00E811B8" w:rsidP="002F55F0">
            <w:pPr>
              <w:pStyle w:val="TableParagraph"/>
              <w:spacing w:before="0" w:after="0"/>
              <w:jc w:val="center"/>
              <w:rPr>
                <w:sz w:val="16"/>
                <w:lang w:val="en-GB"/>
              </w:rPr>
            </w:pPr>
            <w:r w:rsidRPr="00D93FF9">
              <w:rPr>
                <w:sz w:val="16"/>
                <w:lang w:val="en-GB"/>
              </w:rPr>
              <w:t>1.0</w:t>
            </w:r>
          </w:p>
        </w:tc>
        <w:tc>
          <w:tcPr>
            <w:tcW w:w="2097" w:type="dxa"/>
          </w:tcPr>
          <w:p w14:paraId="59DCC8B4"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8B5"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8B6"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8B7"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8B8"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8C2" w14:textId="77777777" w:rsidTr="002F55F0">
        <w:trPr>
          <w:trHeight w:val="227"/>
        </w:trPr>
        <w:tc>
          <w:tcPr>
            <w:tcW w:w="2147" w:type="dxa"/>
          </w:tcPr>
          <w:p w14:paraId="59DCC8BA" w14:textId="77777777" w:rsidR="00C46175" w:rsidRPr="00D93FF9" w:rsidRDefault="00E811B8" w:rsidP="003807A1">
            <w:pPr>
              <w:pStyle w:val="TableParagraph"/>
              <w:spacing w:before="0" w:after="0"/>
              <w:rPr>
                <w:sz w:val="16"/>
                <w:lang w:val="en-GB"/>
              </w:rPr>
            </w:pPr>
            <w:r w:rsidRPr="00D93FF9">
              <w:rPr>
                <w:sz w:val="16"/>
                <w:lang w:val="en-GB"/>
              </w:rPr>
              <w:t>Rockmelon</w:t>
            </w:r>
          </w:p>
        </w:tc>
        <w:tc>
          <w:tcPr>
            <w:tcW w:w="2980" w:type="dxa"/>
          </w:tcPr>
          <w:p w14:paraId="59DCC8BB" w14:textId="77777777" w:rsidR="00C46175" w:rsidRPr="00D93FF9" w:rsidRDefault="00E811B8" w:rsidP="003807A1">
            <w:pPr>
              <w:pStyle w:val="TableParagraph"/>
              <w:spacing w:before="0" w:after="0"/>
              <w:rPr>
                <w:i/>
                <w:sz w:val="16"/>
                <w:lang w:val="en-GB"/>
              </w:rPr>
            </w:pPr>
            <w:r w:rsidRPr="00D93FF9">
              <w:rPr>
                <w:i/>
                <w:sz w:val="16"/>
                <w:lang w:val="en-GB"/>
              </w:rPr>
              <w:t>Cucumis melo</w:t>
            </w:r>
          </w:p>
        </w:tc>
        <w:tc>
          <w:tcPr>
            <w:tcW w:w="1898" w:type="dxa"/>
          </w:tcPr>
          <w:p w14:paraId="59DCC8BC" w14:textId="77777777" w:rsidR="00C46175" w:rsidRPr="00D93FF9" w:rsidRDefault="00E811B8" w:rsidP="002F55F0">
            <w:pPr>
              <w:pStyle w:val="TableParagraph"/>
              <w:spacing w:before="0" w:after="0"/>
              <w:jc w:val="center"/>
              <w:rPr>
                <w:sz w:val="16"/>
                <w:lang w:val="en-GB"/>
              </w:rPr>
            </w:pPr>
            <w:r w:rsidRPr="00D93FF9">
              <w:rPr>
                <w:sz w:val="16"/>
                <w:lang w:val="en-GB"/>
              </w:rPr>
              <w:t>2.2</w:t>
            </w:r>
          </w:p>
        </w:tc>
        <w:tc>
          <w:tcPr>
            <w:tcW w:w="2097" w:type="dxa"/>
          </w:tcPr>
          <w:p w14:paraId="59DCC8BD" w14:textId="77777777" w:rsidR="00C46175" w:rsidRPr="00D93FF9" w:rsidRDefault="00E811B8" w:rsidP="002F55F0">
            <w:pPr>
              <w:pStyle w:val="TableParagraph"/>
              <w:spacing w:before="0" w:after="0"/>
              <w:jc w:val="center"/>
              <w:rPr>
                <w:sz w:val="16"/>
                <w:lang w:val="en-GB"/>
              </w:rPr>
            </w:pPr>
            <w:r w:rsidRPr="00D93FF9">
              <w:rPr>
                <w:sz w:val="16"/>
                <w:lang w:val="en-GB"/>
              </w:rPr>
              <w:t>7.3</w:t>
            </w:r>
          </w:p>
        </w:tc>
        <w:tc>
          <w:tcPr>
            <w:tcW w:w="985" w:type="dxa"/>
          </w:tcPr>
          <w:p w14:paraId="59DCC8BE" w14:textId="77777777" w:rsidR="00C46175" w:rsidRPr="00D93FF9" w:rsidRDefault="00E811B8" w:rsidP="002F55F0">
            <w:pPr>
              <w:pStyle w:val="TableParagraph"/>
              <w:spacing w:before="0" w:after="0"/>
              <w:jc w:val="center"/>
              <w:rPr>
                <w:sz w:val="16"/>
                <w:lang w:val="en-GB"/>
              </w:rPr>
            </w:pPr>
            <w:r w:rsidRPr="00D93FF9">
              <w:rPr>
                <w:sz w:val="16"/>
                <w:lang w:val="en-GB"/>
              </w:rPr>
              <w:t>3.6</w:t>
            </w:r>
          </w:p>
        </w:tc>
        <w:tc>
          <w:tcPr>
            <w:tcW w:w="1041" w:type="dxa"/>
          </w:tcPr>
          <w:p w14:paraId="59DCC8BF" w14:textId="77777777" w:rsidR="00C46175" w:rsidRPr="00D93FF9" w:rsidRDefault="00E811B8" w:rsidP="002F55F0">
            <w:pPr>
              <w:pStyle w:val="TableParagraph"/>
              <w:spacing w:before="0" w:after="0"/>
              <w:jc w:val="center"/>
              <w:rPr>
                <w:sz w:val="16"/>
                <w:lang w:val="en-GB"/>
              </w:rPr>
            </w:pPr>
            <w:r w:rsidRPr="00D93FF9">
              <w:rPr>
                <w:sz w:val="16"/>
                <w:lang w:val="en-GB"/>
              </w:rPr>
              <w:t>5.6</w:t>
            </w:r>
          </w:p>
        </w:tc>
        <w:tc>
          <w:tcPr>
            <w:tcW w:w="1135" w:type="dxa"/>
          </w:tcPr>
          <w:p w14:paraId="59DCC8C0" w14:textId="77777777" w:rsidR="00C46175" w:rsidRPr="00D93FF9" w:rsidRDefault="00E811B8" w:rsidP="002F55F0">
            <w:pPr>
              <w:pStyle w:val="TableParagraph"/>
              <w:spacing w:before="0" w:after="0"/>
              <w:jc w:val="center"/>
              <w:rPr>
                <w:sz w:val="16"/>
                <w:lang w:val="en-GB"/>
              </w:rPr>
            </w:pPr>
            <w:r w:rsidRPr="00D93FF9">
              <w:rPr>
                <w:sz w:val="16"/>
                <w:lang w:val="en-GB"/>
              </w:rPr>
              <w:t>9.0</w:t>
            </w:r>
          </w:p>
        </w:tc>
        <w:tc>
          <w:tcPr>
            <w:tcW w:w="1168" w:type="dxa"/>
          </w:tcPr>
          <w:p w14:paraId="59DCC8C1" w14:textId="77777777" w:rsidR="00C46175" w:rsidRPr="00D93FF9" w:rsidRDefault="00E811B8" w:rsidP="002F55F0">
            <w:pPr>
              <w:pStyle w:val="TableParagraph"/>
              <w:spacing w:before="0" w:after="0"/>
              <w:jc w:val="center"/>
              <w:rPr>
                <w:sz w:val="16"/>
                <w:lang w:val="en-GB"/>
              </w:rPr>
            </w:pPr>
            <w:r w:rsidRPr="00D93FF9">
              <w:rPr>
                <w:sz w:val="16"/>
                <w:lang w:val="en-GB"/>
              </w:rPr>
              <w:t>7</w:t>
            </w:r>
          </w:p>
        </w:tc>
      </w:tr>
      <w:tr w:rsidR="00BE3AA8" w:rsidRPr="00D93FF9" w14:paraId="59DCC8CB" w14:textId="77777777" w:rsidTr="002F55F0">
        <w:trPr>
          <w:trHeight w:val="256"/>
        </w:trPr>
        <w:tc>
          <w:tcPr>
            <w:tcW w:w="2147" w:type="dxa"/>
          </w:tcPr>
          <w:p w14:paraId="59DCC8C3" w14:textId="77777777" w:rsidR="00C46175" w:rsidRPr="00D93FF9" w:rsidRDefault="00E811B8" w:rsidP="003807A1">
            <w:pPr>
              <w:pStyle w:val="TableParagraph"/>
              <w:spacing w:before="0" w:after="0"/>
              <w:rPr>
                <w:sz w:val="16"/>
                <w:lang w:val="en-GB"/>
              </w:rPr>
            </w:pPr>
            <w:r w:rsidRPr="00D93FF9">
              <w:rPr>
                <w:sz w:val="16"/>
                <w:lang w:val="en-GB"/>
              </w:rPr>
              <w:t>Strawberry</w:t>
            </w:r>
          </w:p>
        </w:tc>
        <w:tc>
          <w:tcPr>
            <w:tcW w:w="2980" w:type="dxa"/>
          </w:tcPr>
          <w:p w14:paraId="59DCC8C4" w14:textId="77777777" w:rsidR="00C46175" w:rsidRPr="00D93FF9" w:rsidRDefault="00E811B8" w:rsidP="003807A1">
            <w:pPr>
              <w:pStyle w:val="TableParagraph"/>
              <w:spacing w:before="0" w:after="0"/>
              <w:rPr>
                <w:i/>
                <w:sz w:val="16"/>
                <w:lang w:val="en-GB"/>
              </w:rPr>
            </w:pPr>
            <w:r w:rsidRPr="00D93FF9">
              <w:rPr>
                <w:i/>
                <w:sz w:val="16"/>
                <w:lang w:val="en-GB"/>
              </w:rPr>
              <w:t>Fragaria</w:t>
            </w:r>
          </w:p>
        </w:tc>
        <w:tc>
          <w:tcPr>
            <w:tcW w:w="1898" w:type="dxa"/>
          </w:tcPr>
          <w:p w14:paraId="59DCC8C5" w14:textId="77777777" w:rsidR="00C46175" w:rsidRPr="00D93FF9" w:rsidRDefault="00E811B8" w:rsidP="002F55F0">
            <w:pPr>
              <w:pStyle w:val="TableParagraph"/>
              <w:spacing w:before="0" w:after="0"/>
              <w:jc w:val="center"/>
              <w:rPr>
                <w:sz w:val="16"/>
                <w:lang w:val="en-GB"/>
              </w:rPr>
            </w:pPr>
            <w:r w:rsidRPr="00D93FF9">
              <w:rPr>
                <w:sz w:val="16"/>
                <w:lang w:val="en-GB"/>
              </w:rPr>
              <w:t>1.0</w:t>
            </w:r>
          </w:p>
        </w:tc>
        <w:tc>
          <w:tcPr>
            <w:tcW w:w="2097" w:type="dxa"/>
          </w:tcPr>
          <w:p w14:paraId="59DCC8C6" w14:textId="77777777" w:rsidR="00C46175" w:rsidRPr="00D93FF9" w:rsidRDefault="00E811B8" w:rsidP="002F55F0">
            <w:pPr>
              <w:pStyle w:val="TableParagraph"/>
              <w:spacing w:before="0" w:after="0"/>
              <w:jc w:val="center"/>
              <w:rPr>
                <w:sz w:val="16"/>
                <w:lang w:val="en-GB"/>
              </w:rPr>
            </w:pPr>
            <w:r w:rsidRPr="00D93FF9">
              <w:rPr>
                <w:sz w:val="16"/>
                <w:lang w:val="en-GB"/>
              </w:rPr>
              <w:t>33.3</w:t>
            </w:r>
          </w:p>
        </w:tc>
        <w:tc>
          <w:tcPr>
            <w:tcW w:w="985" w:type="dxa"/>
          </w:tcPr>
          <w:p w14:paraId="59DCC8C7" w14:textId="77777777" w:rsidR="00C46175" w:rsidRPr="00D93FF9" w:rsidRDefault="00E811B8" w:rsidP="002F55F0">
            <w:pPr>
              <w:pStyle w:val="TableParagraph"/>
              <w:spacing w:before="0" w:after="0"/>
              <w:jc w:val="center"/>
              <w:rPr>
                <w:sz w:val="16"/>
                <w:lang w:val="en-GB"/>
              </w:rPr>
            </w:pPr>
            <w:r w:rsidRPr="00D93FF9">
              <w:rPr>
                <w:sz w:val="16"/>
                <w:lang w:val="en-GB"/>
              </w:rPr>
              <w:t>1.3</w:t>
            </w:r>
          </w:p>
        </w:tc>
        <w:tc>
          <w:tcPr>
            <w:tcW w:w="1041" w:type="dxa"/>
          </w:tcPr>
          <w:p w14:paraId="59DCC8C8" w14:textId="77777777" w:rsidR="00C46175" w:rsidRPr="00D93FF9" w:rsidRDefault="00E811B8" w:rsidP="002F55F0">
            <w:pPr>
              <w:pStyle w:val="TableParagraph"/>
              <w:spacing w:before="0" w:after="0"/>
              <w:jc w:val="center"/>
              <w:rPr>
                <w:sz w:val="16"/>
                <w:lang w:val="en-GB"/>
              </w:rPr>
            </w:pPr>
            <w:r w:rsidRPr="00D93FF9">
              <w:rPr>
                <w:sz w:val="16"/>
                <w:lang w:val="en-GB"/>
              </w:rPr>
              <w:t>1.8</w:t>
            </w:r>
          </w:p>
        </w:tc>
        <w:tc>
          <w:tcPr>
            <w:tcW w:w="1135" w:type="dxa"/>
          </w:tcPr>
          <w:p w14:paraId="59DCC8C9" w14:textId="77777777" w:rsidR="00C46175" w:rsidRPr="00D93FF9" w:rsidRDefault="00E811B8" w:rsidP="002F55F0">
            <w:pPr>
              <w:pStyle w:val="TableParagraph"/>
              <w:spacing w:before="0" w:after="0"/>
              <w:jc w:val="center"/>
              <w:rPr>
                <w:sz w:val="16"/>
                <w:lang w:val="en-GB"/>
              </w:rPr>
            </w:pPr>
            <w:r w:rsidRPr="00D93FF9">
              <w:rPr>
                <w:sz w:val="16"/>
                <w:lang w:val="en-GB"/>
              </w:rPr>
              <w:t>2.5</w:t>
            </w:r>
          </w:p>
        </w:tc>
        <w:tc>
          <w:tcPr>
            <w:tcW w:w="1168" w:type="dxa"/>
          </w:tcPr>
          <w:p w14:paraId="59DCC8CA"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D4" w14:textId="77777777" w:rsidTr="002F55F0">
        <w:trPr>
          <w:trHeight w:val="280"/>
        </w:trPr>
        <w:tc>
          <w:tcPr>
            <w:tcW w:w="2147" w:type="dxa"/>
          </w:tcPr>
          <w:p w14:paraId="59DCC8CC" w14:textId="77777777" w:rsidR="00C46175" w:rsidRPr="00D93FF9" w:rsidRDefault="00E811B8" w:rsidP="003807A1">
            <w:pPr>
              <w:pStyle w:val="TableParagraph"/>
              <w:spacing w:before="0" w:after="0"/>
              <w:rPr>
                <w:b/>
                <w:sz w:val="16"/>
                <w:lang w:val="en-GB"/>
              </w:rPr>
            </w:pPr>
            <w:r w:rsidRPr="00D93FF9">
              <w:rPr>
                <w:b/>
                <w:sz w:val="16"/>
                <w:lang w:val="en-GB"/>
              </w:rPr>
              <w:t>Heavy vegetables</w:t>
            </w:r>
          </w:p>
        </w:tc>
        <w:tc>
          <w:tcPr>
            <w:tcW w:w="2980" w:type="dxa"/>
          </w:tcPr>
          <w:p w14:paraId="59DCC8CD" w14:textId="77777777" w:rsidR="00C46175" w:rsidRPr="00D93FF9" w:rsidRDefault="00C46175" w:rsidP="003807A1">
            <w:pPr>
              <w:pStyle w:val="TableParagraph"/>
              <w:spacing w:before="0" w:after="0"/>
              <w:rPr>
                <w:rFonts w:ascii="Times New Roman"/>
                <w:sz w:val="14"/>
                <w:lang w:val="en-GB"/>
              </w:rPr>
            </w:pPr>
          </w:p>
        </w:tc>
        <w:tc>
          <w:tcPr>
            <w:tcW w:w="1898" w:type="dxa"/>
          </w:tcPr>
          <w:p w14:paraId="59DCC8CE" w14:textId="77777777" w:rsidR="00C46175" w:rsidRPr="00D93FF9" w:rsidRDefault="00C46175" w:rsidP="002F55F0">
            <w:pPr>
              <w:pStyle w:val="TableParagraph"/>
              <w:spacing w:before="0" w:after="0"/>
              <w:jc w:val="center"/>
              <w:rPr>
                <w:rFonts w:ascii="Times New Roman"/>
                <w:sz w:val="14"/>
                <w:lang w:val="en-GB"/>
              </w:rPr>
            </w:pPr>
          </w:p>
        </w:tc>
        <w:tc>
          <w:tcPr>
            <w:tcW w:w="2097" w:type="dxa"/>
          </w:tcPr>
          <w:p w14:paraId="59DCC8CF"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8D0"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8D1"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8D2"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8D3" w14:textId="77777777" w:rsidR="00C46175" w:rsidRPr="00D93FF9" w:rsidRDefault="00C46175" w:rsidP="002F55F0">
            <w:pPr>
              <w:pStyle w:val="TableParagraph"/>
              <w:spacing w:before="0" w:after="0"/>
              <w:jc w:val="center"/>
              <w:rPr>
                <w:rFonts w:ascii="Times New Roman"/>
                <w:sz w:val="14"/>
                <w:lang w:val="en-GB"/>
              </w:rPr>
            </w:pPr>
          </w:p>
        </w:tc>
      </w:tr>
      <w:tr w:rsidR="00BE3AA8" w:rsidRPr="00D93FF9" w14:paraId="59DCC8DD" w14:textId="77777777" w:rsidTr="002F55F0">
        <w:trPr>
          <w:trHeight w:val="254"/>
        </w:trPr>
        <w:tc>
          <w:tcPr>
            <w:tcW w:w="2147" w:type="dxa"/>
          </w:tcPr>
          <w:p w14:paraId="59DCC8D5" w14:textId="77777777" w:rsidR="00C46175" w:rsidRPr="00D93FF9" w:rsidRDefault="00E811B8" w:rsidP="003807A1">
            <w:pPr>
              <w:pStyle w:val="TableParagraph"/>
              <w:spacing w:before="0" w:after="0"/>
              <w:rPr>
                <w:sz w:val="16"/>
                <w:lang w:val="en-GB"/>
              </w:rPr>
            </w:pPr>
            <w:r w:rsidRPr="00D93FF9">
              <w:rPr>
                <w:sz w:val="16"/>
                <w:lang w:val="en-GB"/>
              </w:rPr>
              <w:t>Beet, garden</w:t>
            </w:r>
          </w:p>
        </w:tc>
        <w:tc>
          <w:tcPr>
            <w:tcW w:w="2980" w:type="dxa"/>
          </w:tcPr>
          <w:p w14:paraId="59DCC8D6" w14:textId="77777777" w:rsidR="00C46175" w:rsidRPr="00D93FF9" w:rsidRDefault="00E811B8" w:rsidP="003807A1">
            <w:pPr>
              <w:pStyle w:val="TableParagraph"/>
              <w:spacing w:before="0" w:after="0"/>
              <w:rPr>
                <w:i/>
                <w:sz w:val="16"/>
                <w:lang w:val="en-GB"/>
              </w:rPr>
            </w:pPr>
            <w:r w:rsidRPr="00D93FF9">
              <w:rPr>
                <w:i/>
                <w:sz w:val="16"/>
                <w:lang w:val="en-GB"/>
              </w:rPr>
              <w:t>Beta vulgaris</w:t>
            </w:r>
          </w:p>
        </w:tc>
        <w:tc>
          <w:tcPr>
            <w:tcW w:w="1898" w:type="dxa"/>
          </w:tcPr>
          <w:p w14:paraId="59DCC8D7" w14:textId="77777777" w:rsidR="00C46175" w:rsidRPr="00D93FF9" w:rsidRDefault="00E811B8" w:rsidP="002F55F0">
            <w:pPr>
              <w:pStyle w:val="TableParagraph"/>
              <w:spacing w:before="0" w:after="0"/>
              <w:jc w:val="center"/>
              <w:rPr>
                <w:sz w:val="16"/>
                <w:lang w:val="en-GB"/>
              </w:rPr>
            </w:pPr>
            <w:r w:rsidRPr="00D93FF9">
              <w:rPr>
                <w:sz w:val="16"/>
                <w:lang w:val="en-GB"/>
              </w:rPr>
              <w:t>4.0</w:t>
            </w:r>
          </w:p>
        </w:tc>
        <w:tc>
          <w:tcPr>
            <w:tcW w:w="2097" w:type="dxa"/>
          </w:tcPr>
          <w:p w14:paraId="59DCC8D8" w14:textId="77777777" w:rsidR="00C46175" w:rsidRPr="00D93FF9" w:rsidRDefault="00E811B8" w:rsidP="002F55F0">
            <w:pPr>
              <w:pStyle w:val="TableParagraph"/>
              <w:spacing w:before="0" w:after="0"/>
              <w:jc w:val="center"/>
              <w:rPr>
                <w:sz w:val="16"/>
                <w:lang w:val="en-GB"/>
              </w:rPr>
            </w:pPr>
            <w:r w:rsidRPr="00D93FF9">
              <w:rPr>
                <w:sz w:val="16"/>
                <w:lang w:val="en-GB"/>
              </w:rPr>
              <w:t>9.0</w:t>
            </w:r>
          </w:p>
        </w:tc>
        <w:tc>
          <w:tcPr>
            <w:tcW w:w="985" w:type="dxa"/>
          </w:tcPr>
          <w:p w14:paraId="59DCC8D9" w14:textId="77777777" w:rsidR="00C46175" w:rsidRPr="00D93FF9" w:rsidRDefault="00E811B8" w:rsidP="002F55F0">
            <w:pPr>
              <w:pStyle w:val="TableParagraph"/>
              <w:spacing w:before="0" w:after="0"/>
              <w:jc w:val="center"/>
              <w:rPr>
                <w:sz w:val="16"/>
                <w:lang w:val="en-GB"/>
              </w:rPr>
            </w:pPr>
            <w:r w:rsidRPr="00D93FF9">
              <w:rPr>
                <w:sz w:val="16"/>
                <w:lang w:val="en-GB"/>
              </w:rPr>
              <w:t>5.1</w:t>
            </w:r>
          </w:p>
        </w:tc>
        <w:tc>
          <w:tcPr>
            <w:tcW w:w="1041" w:type="dxa"/>
          </w:tcPr>
          <w:p w14:paraId="59DCC8DA" w14:textId="77777777" w:rsidR="00C46175" w:rsidRPr="00D93FF9" w:rsidRDefault="00E811B8" w:rsidP="002F55F0">
            <w:pPr>
              <w:pStyle w:val="TableParagraph"/>
              <w:spacing w:before="0" w:after="0"/>
              <w:jc w:val="center"/>
              <w:rPr>
                <w:sz w:val="16"/>
                <w:lang w:val="en-GB"/>
              </w:rPr>
            </w:pPr>
            <w:r w:rsidRPr="00D93FF9">
              <w:rPr>
                <w:sz w:val="16"/>
                <w:lang w:val="en-GB"/>
              </w:rPr>
              <w:t>6.8</w:t>
            </w:r>
          </w:p>
        </w:tc>
        <w:tc>
          <w:tcPr>
            <w:tcW w:w="1135" w:type="dxa"/>
          </w:tcPr>
          <w:p w14:paraId="59DCC8DB" w14:textId="77777777" w:rsidR="00C46175" w:rsidRPr="00D93FF9" w:rsidRDefault="00E811B8" w:rsidP="002F55F0">
            <w:pPr>
              <w:pStyle w:val="TableParagraph"/>
              <w:spacing w:before="0" w:after="0"/>
              <w:jc w:val="center"/>
              <w:rPr>
                <w:sz w:val="16"/>
                <w:lang w:val="en-GB"/>
              </w:rPr>
            </w:pPr>
            <w:r w:rsidRPr="00D93FF9">
              <w:rPr>
                <w:sz w:val="16"/>
                <w:lang w:val="en-GB"/>
              </w:rPr>
              <w:t>9.6</w:t>
            </w:r>
          </w:p>
        </w:tc>
        <w:tc>
          <w:tcPr>
            <w:tcW w:w="1168" w:type="dxa"/>
          </w:tcPr>
          <w:p w14:paraId="59DCC8DC"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E6" w14:textId="77777777" w:rsidTr="002F55F0">
        <w:trPr>
          <w:trHeight w:val="228"/>
        </w:trPr>
        <w:tc>
          <w:tcPr>
            <w:tcW w:w="2147" w:type="dxa"/>
          </w:tcPr>
          <w:p w14:paraId="59DCC8DE" w14:textId="77777777" w:rsidR="00C46175" w:rsidRPr="00D93FF9" w:rsidRDefault="00E811B8" w:rsidP="003807A1">
            <w:pPr>
              <w:pStyle w:val="TableParagraph"/>
              <w:spacing w:before="0" w:after="0"/>
              <w:rPr>
                <w:sz w:val="16"/>
                <w:lang w:val="en-GB"/>
              </w:rPr>
            </w:pPr>
            <w:r w:rsidRPr="00D93FF9">
              <w:rPr>
                <w:sz w:val="16"/>
                <w:lang w:val="en-GB"/>
              </w:rPr>
              <w:t>Beet, sugar</w:t>
            </w:r>
          </w:p>
        </w:tc>
        <w:tc>
          <w:tcPr>
            <w:tcW w:w="2980" w:type="dxa"/>
          </w:tcPr>
          <w:p w14:paraId="59DCC8DF" w14:textId="77777777" w:rsidR="00C46175" w:rsidRPr="00D93FF9" w:rsidRDefault="00E811B8" w:rsidP="003807A1">
            <w:pPr>
              <w:pStyle w:val="TableParagraph"/>
              <w:spacing w:before="0" w:after="0"/>
              <w:rPr>
                <w:i/>
                <w:sz w:val="16"/>
                <w:lang w:val="en-GB"/>
              </w:rPr>
            </w:pPr>
            <w:r w:rsidRPr="00D93FF9">
              <w:rPr>
                <w:i/>
                <w:sz w:val="16"/>
                <w:lang w:val="en-GB"/>
              </w:rPr>
              <w:t>Beta vulgaris</w:t>
            </w:r>
          </w:p>
        </w:tc>
        <w:tc>
          <w:tcPr>
            <w:tcW w:w="1898" w:type="dxa"/>
          </w:tcPr>
          <w:p w14:paraId="59DCC8E0" w14:textId="77777777" w:rsidR="00C46175" w:rsidRPr="00D93FF9" w:rsidRDefault="00E811B8" w:rsidP="002F55F0">
            <w:pPr>
              <w:pStyle w:val="TableParagraph"/>
              <w:spacing w:before="0" w:after="0"/>
              <w:jc w:val="center"/>
              <w:rPr>
                <w:sz w:val="16"/>
                <w:lang w:val="en-GB"/>
              </w:rPr>
            </w:pPr>
            <w:r w:rsidRPr="00D93FF9">
              <w:rPr>
                <w:sz w:val="16"/>
                <w:lang w:val="en-GB"/>
              </w:rPr>
              <w:t>7.0</w:t>
            </w:r>
          </w:p>
        </w:tc>
        <w:tc>
          <w:tcPr>
            <w:tcW w:w="2097" w:type="dxa"/>
          </w:tcPr>
          <w:p w14:paraId="59DCC8E1" w14:textId="77777777" w:rsidR="00C46175" w:rsidRPr="00D93FF9" w:rsidRDefault="00E811B8" w:rsidP="002F55F0">
            <w:pPr>
              <w:pStyle w:val="TableParagraph"/>
              <w:spacing w:before="0" w:after="0"/>
              <w:jc w:val="center"/>
              <w:rPr>
                <w:sz w:val="16"/>
                <w:lang w:val="en-GB"/>
              </w:rPr>
            </w:pPr>
            <w:r w:rsidRPr="00D93FF9">
              <w:rPr>
                <w:sz w:val="16"/>
                <w:lang w:val="en-GB"/>
              </w:rPr>
              <w:t>5.9</w:t>
            </w:r>
          </w:p>
        </w:tc>
        <w:tc>
          <w:tcPr>
            <w:tcW w:w="985" w:type="dxa"/>
          </w:tcPr>
          <w:p w14:paraId="59DCC8E2" w14:textId="77777777" w:rsidR="00C46175" w:rsidRPr="00D93FF9" w:rsidRDefault="00E811B8" w:rsidP="002F55F0">
            <w:pPr>
              <w:pStyle w:val="TableParagraph"/>
              <w:spacing w:before="0" w:after="0"/>
              <w:jc w:val="center"/>
              <w:rPr>
                <w:sz w:val="16"/>
                <w:lang w:val="en-GB"/>
              </w:rPr>
            </w:pPr>
            <w:r w:rsidRPr="00D93FF9">
              <w:rPr>
                <w:sz w:val="16"/>
                <w:lang w:val="en-GB"/>
              </w:rPr>
              <w:t>8.7</w:t>
            </w:r>
          </w:p>
        </w:tc>
        <w:tc>
          <w:tcPr>
            <w:tcW w:w="1041" w:type="dxa"/>
          </w:tcPr>
          <w:p w14:paraId="59DCC8E3" w14:textId="77777777" w:rsidR="00C46175" w:rsidRPr="00D93FF9" w:rsidRDefault="00E811B8" w:rsidP="002F55F0">
            <w:pPr>
              <w:pStyle w:val="TableParagraph"/>
              <w:spacing w:before="0" w:after="0"/>
              <w:jc w:val="center"/>
              <w:rPr>
                <w:sz w:val="16"/>
                <w:lang w:val="en-GB"/>
              </w:rPr>
            </w:pPr>
            <w:r w:rsidRPr="00D93FF9">
              <w:rPr>
                <w:sz w:val="16"/>
                <w:lang w:val="en-GB"/>
              </w:rPr>
              <w:t>11.2</w:t>
            </w:r>
          </w:p>
        </w:tc>
        <w:tc>
          <w:tcPr>
            <w:tcW w:w="1135" w:type="dxa"/>
          </w:tcPr>
          <w:p w14:paraId="59DCC8E4" w14:textId="77777777" w:rsidR="00C46175" w:rsidRPr="00D93FF9" w:rsidRDefault="00E811B8" w:rsidP="002F55F0">
            <w:pPr>
              <w:pStyle w:val="TableParagraph"/>
              <w:spacing w:before="0" w:after="0"/>
              <w:jc w:val="center"/>
              <w:rPr>
                <w:sz w:val="16"/>
                <w:lang w:val="en-GB"/>
              </w:rPr>
            </w:pPr>
            <w:r w:rsidRPr="00D93FF9">
              <w:rPr>
                <w:sz w:val="16"/>
                <w:lang w:val="en-GB"/>
              </w:rPr>
              <w:t>15.5</w:t>
            </w:r>
          </w:p>
        </w:tc>
        <w:tc>
          <w:tcPr>
            <w:tcW w:w="1168" w:type="dxa"/>
          </w:tcPr>
          <w:p w14:paraId="59DCC8E5"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EF" w14:textId="77777777" w:rsidTr="002F55F0">
        <w:trPr>
          <w:trHeight w:val="227"/>
        </w:trPr>
        <w:tc>
          <w:tcPr>
            <w:tcW w:w="2147" w:type="dxa"/>
          </w:tcPr>
          <w:p w14:paraId="59DCC8E7" w14:textId="77777777" w:rsidR="00C46175" w:rsidRPr="00D93FF9" w:rsidRDefault="00E811B8" w:rsidP="003807A1">
            <w:pPr>
              <w:pStyle w:val="TableParagraph"/>
              <w:spacing w:before="0" w:after="0"/>
              <w:rPr>
                <w:sz w:val="16"/>
                <w:lang w:val="en-GB"/>
              </w:rPr>
            </w:pPr>
            <w:r w:rsidRPr="00D93FF9">
              <w:rPr>
                <w:sz w:val="16"/>
                <w:lang w:val="en-GB"/>
              </w:rPr>
              <w:t>Onion</w:t>
            </w:r>
          </w:p>
        </w:tc>
        <w:tc>
          <w:tcPr>
            <w:tcW w:w="2980" w:type="dxa"/>
          </w:tcPr>
          <w:p w14:paraId="59DCC8E8" w14:textId="77777777" w:rsidR="00C46175" w:rsidRPr="00D93FF9" w:rsidRDefault="00E811B8" w:rsidP="003807A1">
            <w:pPr>
              <w:pStyle w:val="TableParagraph"/>
              <w:spacing w:before="0" w:after="0"/>
              <w:rPr>
                <w:i/>
                <w:sz w:val="16"/>
                <w:lang w:val="en-GB"/>
              </w:rPr>
            </w:pPr>
            <w:r w:rsidRPr="00D93FF9">
              <w:rPr>
                <w:i/>
                <w:sz w:val="16"/>
                <w:lang w:val="en-GB"/>
              </w:rPr>
              <w:t>Allium cepa</w:t>
            </w:r>
          </w:p>
        </w:tc>
        <w:tc>
          <w:tcPr>
            <w:tcW w:w="1898" w:type="dxa"/>
          </w:tcPr>
          <w:p w14:paraId="59DCC8E9" w14:textId="77777777" w:rsidR="00C46175" w:rsidRPr="00D93FF9" w:rsidRDefault="00E811B8" w:rsidP="002F55F0">
            <w:pPr>
              <w:pStyle w:val="TableParagraph"/>
              <w:spacing w:before="0" w:after="0"/>
              <w:jc w:val="center"/>
              <w:rPr>
                <w:sz w:val="16"/>
                <w:lang w:val="en-GB"/>
              </w:rPr>
            </w:pPr>
            <w:r w:rsidRPr="00D93FF9">
              <w:rPr>
                <w:sz w:val="16"/>
                <w:lang w:val="en-GB"/>
              </w:rPr>
              <w:t>1.2</w:t>
            </w:r>
          </w:p>
        </w:tc>
        <w:tc>
          <w:tcPr>
            <w:tcW w:w="2097" w:type="dxa"/>
          </w:tcPr>
          <w:p w14:paraId="59DCC8EA" w14:textId="77777777" w:rsidR="00C46175" w:rsidRPr="00D93FF9" w:rsidRDefault="00E811B8" w:rsidP="002F55F0">
            <w:pPr>
              <w:pStyle w:val="TableParagraph"/>
              <w:spacing w:before="0" w:after="0"/>
              <w:jc w:val="center"/>
              <w:rPr>
                <w:sz w:val="16"/>
                <w:lang w:val="en-GB"/>
              </w:rPr>
            </w:pPr>
            <w:r w:rsidRPr="00D93FF9">
              <w:rPr>
                <w:sz w:val="16"/>
                <w:lang w:val="en-GB"/>
              </w:rPr>
              <w:t>16.1</w:t>
            </w:r>
          </w:p>
        </w:tc>
        <w:tc>
          <w:tcPr>
            <w:tcW w:w="985" w:type="dxa"/>
          </w:tcPr>
          <w:p w14:paraId="59DCC8EB" w14:textId="77777777" w:rsidR="00C46175" w:rsidRPr="00D93FF9" w:rsidRDefault="00E811B8" w:rsidP="002F55F0">
            <w:pPr>
              <w:pStyle w:val="TableParagraph"/>
              <w:spacing w:before="0" w:after="0"/>
              <w:jc w:val="center"/>
              <w:rPr>
                <w:sz w:val="16"/>
                <w:lang w:val="en-GB"/>
              </w:rPr>
            </w:pPr>
            <w:r w:rsidRPr="00D93FF9">
              <w:rPr>
                <w:sz w:val="16"/>
                <w:lang w:val="en-GB"/>
              </w:rPr>
              <w:t>1.8</w:t>
            </w:r>
          </w:p>
        </w:tc>
        <w:tc>
          <w:tcPr>
            <w:tcW w:w="1041" w:type="dxa"/>
          </w:tcPr>
          <w:p w14:paraId="59DCC8EC" w14:textId="77777777" w:rsidR="00C46175" w:rsidRPr="00D93FF9" w:rsidRDefault="00E811B8" w:rsidP="002F55F0">
            <w:pPr>
              <w:pStyle w:val="TableParagraph"/>
              <w:spacing w:before="0" w:after="0"/>
              <w:jc w:val="center"/>
              <w:rPr>
                <w:sz w:val="16"/>
                <w:lang w:val="en-GB"/>
              </w:rPr>
            </w:pPr>
            <w:r w:rsidRPr="00D93FF9">
              <w:rPr>
                <w:sz w:val="16"/>
                <w:lang w:val="en-GB"/>
              </w:rPr>
              <w:t>2.8</w:t>
            </w:r>
          </w:p>
        </w:tc>
        <w:tc>
          <w:tcPr>
            <w:tcW w:w="1135" w:type="dxa"/>
          </w:tcPr>
          <w:p w14:paraId="59DCC8ED" w14:textId="77777777" w:rsidR="00C46175" w:rsidRPr="00D93FF9" w:rsidRDefault="00E811B8" w:rsidP="002F55F0">
            <w:pPr>
              <w:pStyle w:val="TableParagraph"/>
              <w:spacing w:before="0" w:after="0"/>
              <w:jc w:val="center"/>
              <w:rPr>
                <w:sz w:val="16"/>
                <w:lang w:val="en-GB"/>
              </w:rPr>
            </w:pPr>
            <w:r w:rsidRPr="00D93FF9">
              <w:rPr>
                <w:sz w:val="16"/>
                <w:lang w:val="en-GB"/>
              </w:rPr>
              <w:t>4.3</w:t>
            </w:r>
          </w:p>
        </w:tc>
        <w:tc>
          <w:tcPr>
            <w:tcW w:w="1168" w:type="dxa"/>
          </w:tcPr>
          <w:p w14:paraId="59DCC8EE"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8F8" w14:textId="77777777" w:rsidTr="002F55F0">
        <w:trPr>
          <w:trHeight w:val="227"/>
        </w:trPr>
        <w:tc>
          <w:tcPr>
            <w:tcW w:w="2147" w:type="dxa"/>
          </w:tcPr>
          <w:p w14:paraId="59DCC8F0" w14:textId="77777777" w:rsidR="00C46175" w:rsidRPr="00D93FF9" w:rsidRDefault="00E811B8" w:rsidP="003807A1">
            <w:pPr>
              <w:pStyle w:val="TableParagraph"/>
              <w:spacing w:before="0" w:after="0"/>
              <w:rPr>
                <w:sz w:val="16"/>
                <w:lang w:val="en-GB"/>
              </w:rPr>
            </w:pPr>
            <w:r w:rsidRPr="00D93FF9">
              <w:rPr>
                <w:sz w:val="16"/>
                <w:lang w:val="en-GB"/>
              </w:rPr>
              <w:t>Potato</w:t>
            </w:r>
          </w:p>
        </w:tc>
        <w:tc>
          <w:tcPr>
            <w:tcW w:w="2980" w:type="dxa"/>
          </w:tcPr>
          <w:p w14:paraId="59DCC8F1" w14:textId="77777777" w:rsidR="00C46175" w:rsidRPr="00D93FF9" w:rsidRDefault="00E811B8" w:rsidP="003807A1">
            <w:pPr>
              <w:pStyle w:val="TableParagraph"/>
              <w:spacing w:before="0" w:after="0"/>
              <w:rPr>
                <w:i/>
                <w:sz w:val="16"/>
                <w:lang w:val="en-GB"/>
              </w:rPr>
            </w:pPr>
            <w:r w:rsidRPr="00D93FF9">
              <w:rPr>
                <w:i/>
                <w:sz w:val="16"/>
                <w:lang w:val="en-GB"/>
              </w:rPr>
              <w:t>Solanum tuberosum</w:t>
            </w:r>
          </w:p>
        </w:tc>
        <w:tc>
          <w:tcPr>
            <w:tcW w:w="1898" w:type="dxa"/>
          </w:tcPr>
          <w:p w14:paraId="59DCC8F2" w14:textId="77777777" w:rsidR="00C46175" w:rsidRPr="00D93FF9" w:rsidRDefault="00E811B8" w:rsidP="002F55F0">
            <w:pPr>
              <w:pStyle w:val="TableParagraph"/>
              <w:spacing w:before="0" w:after="0"/>
              <w:jc w:val="center"/>
              <w:rPr>
                <w:sz w:val="16"/>
                <w:lang w:val="en-GB"/>
              </w:rPr>
            </w:pPr>
            <w:r w:rsidRPr="00D93FF9">
              <w:rPr>
                <w:sz w:val="16"/>
                <w:lang w:val="en-GB"/>
              </w:rPr>
              <w:t>1.7</w:t>
            </w:r>
          </w:p>
        </w:tc>
        <w:tc>
          <w:tcPr>
            <w:tcW w:w="2097" w:type="dxa"/>
          </w:tcPr>
          <w:p w14:paraId="59DCC8F3" w14:textId="77777777" w:rsidR="00C46175" w:rsidRPr="00D93FF9" w:rsidRDefault="00E811B8" w:rsidP="002F55F0">
            <w:pPr>
              <w:pStyle w:val="TableParagraph"/>
              <w:spacing w:before="0" w:after="0"/>
              <w:jc w:val="center"/>
              <w:rPr>
                <w:sz w:val="16"/>
                <w:lang w:val="en-GB"/>
              </w:rPr>
            </w:pPr>
            <w:r w:rsidRPr="00D93FF9">
              <w:rPr>
                <w:sz w:val="16"/>
                <w:lang w:val="en-GB"/>
              </w:rPr>
              <w:t>12.0</w:t>
            </w:r>
          </w:p>
        </w:tc>
        <w:tc>
          <w:tcPr>
            <w:tcW w:w="985" w:type="dxa"/>
          </w:tcPr>
          <w:p w14:paraId="59DCC8F4" w14:textId="77777777" w:rsidR="00C46175" w:rsidRPr="00D93FF9" w:rsidRDefault="00E811B8" w:rsidP="002F55F0">
            <w:pPr>
              <w:pStyle w:val="TableParagraph"/>
              <w:spacing w:before="0" w:after="0"/>
              <w:jc w:val="center"/>
              <w:rPr>
                <w:sz w:val="16"/>
                <w:lang w:val="en-GB"/>
              </w:rPr>
            </w:pPr>
            <w:r w:rsidRPr="00D93FF9">
              <w:rPr>
                <w:sz w:val="16"/>
                <w:lang w:val="en-GB"/>
              </w:rPr>
              <w:t>2.5</w:t>
            </w:r>
          </w:p>
        </w:tc>
        <w:tc>
          <w:tcPr>
            <w:tcW w:w="1041" w:type="dxa"/>
          </w:tcPr>
          <w:p w14:paraId="59DCC8F5" w14:textId="77777777" w:rsidR="00C46175" w:rsidRPr="00D93FF9" w:rsidRDefault="00E811B8" w:rsidP="002F55F0">
            <w:pPr>
              <w:pStyle w:val="TableParagraph"/>
              <w:spacing w:before="0" w:after="0"/>
              <w:jc w:val="center"/>
              <w:rPr>
                <w:sz w:val="16"/>
                <w:lang w:val="en-GB"/>
              </w:rPr>
            </w:pPr>
            <w:r w:rsidRPr="00D93FF9">
              <w:rPr>
                <w:sz w:val="16"/>
                <w:lang w:val="en-GB"/>
              </w:rPr>
              <w:t>3.8</w:t>
            </w:r>
          </w:p>
        </w:tc>
        <w:tc>
          <w:tcPr>
            <w:tcW w:w="1135" w:type="dxa"/>
          </w:tcPr>
          <w:p w14:paraId="59DCC8F6" w14:textId="77777777" w:rsidR="00C46175" w:rsidRPr="00D93FF9" w:rsidRDefault="00E811B8" w:rsidP="002F55F0">
            <w:pPr>
              <w:pStyle w:val="TableParagraph"/>
              <w:spacing w:before="0" w:after="0"/>
              <w:jc w:val="center"/>
              <w:rPr>
                <w:sz w:val="16"/>
                <w:lang w:val="en-GB"/>
              </w:rPr>
            </w:pPr>
            <w:r w:rsidRPr="00D93FF9">
              <w:rPr>
                <w:sz w:val="16"/>
                <w:lang w:val="en-GB"/>
              </w:rPr>
              <w:t>5.9</w:t>
            </w:r>
          </w:p>
        </w:tc>
        <w:tc>
          <w:tcPr>
            <w:tcW w:w="1168" w:type="dxa"/>
          </w:tcPr>
          <w:p w14:paraId="59DCC8F7"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901" w14:textId="77777777" w:rsidTr="002F55F0">
        <w:trPr>
          <w:trHeight w:val="225"/>
        </w:trPr>
        <w:tc>
          <w:tcPr>
            <w:tcW w:w="2147" w:type="dxa"/>
          </w:tcPr>
          <w:p w14:paraId="59DCC8F9" w14:textId="77777777" w:rsidR="00C46175" w:rsidRPr="00D93FF9" w:rsidRDefault="00E811B8" w:rsidP="003807A1">
            <w:pPr>
              <w:pStyle w:val="TableParagraph"/>
              <w:spacing w:before="0" w:after="0"/>
              <w:rPr>
                <w:sz w:val="16"/>
                <w:lang w:val="en-GB"/>
              </w:rPr>
            </w:pPr>
            <w:r w:rsidRPr="00D93FF9">
              <w:rPr>
                <w:sz w:val="16"/>
                <w:lang w:val="en-GB"/>
              </w:rPr>
              <w:t>Sweet potato</w:t>
            </w:r>
          </w:p>
        </w:tc>
        <w:tc>
          <w:tcPr>
            <w:tcW w:w="2980" w:type="dxa"/>
          </w:tcPr>
          <w:p w14:paraId="59DCC8FA" w14:textId="77777777" w:rsidR="00C46175" w:rsidRPr="00D93FF9" w:rsidRDefault="00E811B8" w:rsidP="003807A1">
            <w:pPr>
              <w:pStyle w:val="TableParagraph"/>
              <w:spacing w:before="0" w:after="0"/>
              <w:rPr>
                <w:i/>
                <w:sz w:val="16"/>
                <w:lang w:val="en-GB"/>
              </w:rPr>
            </w:pPr>
            <w:r w:rsidRPr="00D93FF9">
              <w:rPr>
                <w:i/>
                <w:sz w:val="16"/>
                <w:lang w:val="en-GB"/>
              </w:rPr>
              <w:t>Ipomoea batatas</w:t>
            </w:r>
          </w:p>
        </w:tc>
        <w:tc>
          <w:tcPr>
            <w:tcW w:w="1898" w:type="dxa"/>
          </w:tcPr>
          <w:p w14:paraId="59DCC8FB" w14:textId="77777777" w:rsidR="00C46175" w:rsidRPr="00D93FF9" w:rsidRDefault="00E811B8" w:rsidP="002F55F0">
            <w:pPr>
              <w:pStyle w:val="TableParagraph"/>
              <w:spacing w:before="0" w:after="0"/>
              <w:jc w:val="center"/>
              <w:rPr>
                <w:sz w:val="16"/>
                <w:lang w:val="en-GB"/>
              </w:rPr>
            </w:pPr>
            <w:r w:rsidRPr="00D93FF9">
              <w:rPr>
                <w:sz w:val="16"/>
                <w:lang w:val="en-GB"/>
              </w:rPr>
              <w:t>1.5</w:t>
            </w:r>
          </w:p>
        </w:tc>
        <w:tc>
          <w:tcPr>
            <w:tcW w:w="2097" w:type="dxa"/>
          </w:tcPr>
          <w:p w14:paraId="59DCC8FC" w14:textId="77777777" w:rsidR="00C46175" w:rsidRPr="00D93FF9" w:rsidRDefault="00E811B8" w:rsidP="002F55F0">
            <w:pPr>
              <w:pStyle w:val="TableParagraph"/>
              <w:spacing w:before="0" w:after="0"/>
              <w:jc w:val="center"/>
              <w:rPr>
                <w:sz w:val="16"/>
                <w:lang w:val="en-GB"/>
              </w:rPr>
            </w:pPr>
            <w:r w:rsidRPr="00D93FF9">
              <w:rPr>
                <w:sz w:val="16"/>
                <w:lang w:val="en-GB"/>
              </w:rPr>
              <w:t>11.0</w:t>
            </w:r>
          </w:p>
        </w:tc>
        <w:tc>
          <w:tcPr>
            <w:tcW w:w="985" w:type="dxa"/>
          </w:tcPr>
          <w:p w14:paraId="59DCC8FD" w14:textId="77777777" w:rsidR="00C46175" w:rsidRPr="00D93FF9" w:rsidRDefault="00E811B8" w:rsidP="002F55F0">
            <w:pPr>
              <w:pStyle w:val="TableParagraph"/>
              <w:spacing w:before="0" w:after="0"/>
              <w:jc w:val="center"/>
              <w:rPr>
                <w:sz w:val="16"/>
                <w:lang w:val="en-GB"/>
              </w:rPr>
            </w:pPr>
            <w:r w:rsidRPr="00D93FF9">
              <w:rPr>
                <w:sz w:val="16"/>
                <w:lang w:val="en-GB"/>
              </w:rPr>
              <w:t>2.4</w:t>
            </w:r>
          </w:p>
        </w:tc>
        <w:tc>
          <w:tcPr>
            <w:tcW w:w="1041" w:type="dxa"/>
          </w:tcPr>
          <w:p w14:paraId="59DCC8FE" w14:textId="77777777" w:rsidR="00C46175" w:rsidRPr="00D93FF9" w:rsidRDefault="00E811B8" w:rsidP="002F55F0">
            <w:pPr>
              <w:pStyle w:val="TableParagraph"/>
              <w:spacing w:before="0" w:after="0"/>
              <w:jc w:val="center"/>
              <w:rPr>
                <w:sz w:val="16"/>
                <w:lang w:val="en-GB"/>
              </w:rPr>
            </w:pPr>
            <w:r w:rsidRPr="00D93FF9">
              <w:rPr>
                <w:sz w:val="16"/>
                <w:lang w:val="en-GB"/>
              </w:rPr>
              <w:t>3.8</w:t>
            </w:r>
          </w:p>
        </w:tc>
        <w:tc>
          <w:tcPr>
            <w:tcW w:w="1135" w:type="dxa"/>
          </w:tcPr>
          <w:p w14:paraId="59DCC8FF" w14:textId="77777777" w:rsidR="00C46175" w:rsidRPr="00D93FF9" w:rsidRDefault="00E811B8" w:rsidP="002F55F0">
            <w:pPr>
              <w:pStyle w:val="TableParagraph"/>
              <w:spacing w:before="0" w:after="0"/>
              <w:jc w:val="center"/>
              <w:rPr>
                <w:sz w:val="16"/>
                <w:lang w:val="en-GB"/>
              </w:rPr>
            </w:pPr>
            <w:r w:rsidRPr="00D93FF9">
              <w:rPr>
                <w:sz w:val="16"/>
                <w:lang w:val="en-GB"/>
              </w:rPr>
              <w:t>6.0</w:t>
            </w:r>
          </w:p>
        </w:tc>
        <w:tc>
          <w:tcPr>
            <w:tcW w:w="1168" w:type="dxa"/>
          </w:tcPr>
          <w:p w14:paraId="59DCC900" w14:textId="77777777" w:rsidR="00C46175" w:rsidRPr="00D93FF9" w:rsidRDefault="00E811B8" w:rsidP="002F55F0">
            <w:pPr>
              <w:pStyle w:val="TableParagraph"/>
              <w:spacing w:before="0" w:after="0"/>
              <w:jc w:val="center"/>
              <w:rPr>
                <w:sz w:val="16"/>
                <w:lang w:val="en-GB"/>
              </w:rPr>
            </w:pPr>
            <w:r w:rsidRPr="00D93FF9">
              <w:rPr>
                <w:sz w:val="16"/>
                <w:lang w:val="en-GB"/>
              </w:rPr>
              <w:t>7</w:t>
            </w:r>
          </w:p>
        </w:tc>
      </w:tr>
      <w:tr w:rsidR="00BE3AA8" w:rsidRPr="00D93FF9" w14:paraId="59DCC90A" w14:textId="77777777" w:rsidTr="002F55F0">
        <w:trPr>
          <w:trHeight w:val="219"/>
        </w:trPr>
        <w:tc>
          <w:tcPr>
            <w:tcW w:w="2147" w:type="dxa"/>
          </w:tcPr>
          <w:p w14:paraId="59DCC902" w14:textId="77777777" w:rsidR="00C46175" w:rsidRPr="00D93FF9" w:rsidRDefault="00C46175" w:rsidP="003807A1">
            <w:pPr>
              <w:pStyle w:val="TableParagraph"/>
              <w:spacing w:before="0" w:after="0"/>
              <w:rPr>
                <w:rFonts w:ascii="Times New Roman"/>
                <w:sz w:val="14"/>
                <w:lang w:val="en-GB"/>
              </w:rPr>
            </w:pPr>
          </w:p>
        </w:tc>
        <w:tc>
          <w:tcPr>
            <w:tcW w:w="2980" w:type="dxa"/>
          </w:tcPr>
          <w:p w14:paraId="59DCC903" w14:textId="77777777" w:rsidR="00C46175" w:rsidRPr="00D93FF9" w:rsidRDefault="00C46175" w:rsidP="003807A1">
            <w:pPr>
              <w:pStyle w:val="TableParagraph"/>
              <w:spacing w:before="0" w:after="0"/>
              <w:rPr>
                <w:rFonts w:ascii="Times New Roman"/>
                <w:sz w:val="14"/>
                <w:lang w:val="en-GB"/>
              </w:rPr>
            </w:pPr>
          </w:p>
        </w:tc>
        <w:tc>
          <w:tcPr>
            <w:tcW w:w="1898" w:type="dxa"/>
          </w:tcPr>
          <w:p w14:paraId="59DCC904" w14:textId="77777777" w:rsidR="00C46175" w:rsidRPr="00D93FF9" w:rsidRDefault="00E811B8" w:rsidP="002F55F0">
            <w:pPr>
              <w:pStyle w:val="TableParagraph"/>
              <w:spacing w:before="0" w:after="0" w:line="184" w:lineRule="exact"/>
              <w:jc w:val="center"/>
              <w:rPr>
                <w:sz w:val="16"/>
                <w:lang w:val="en-GB"/>
              </w:rPr>
            </w:pPr>
            <w:r w:rsidRPr="00D93FF9">
              <w:rPr>
                <w:sz w:val="16"/>
                <w:lang w:val="en-GB"/>
              </w:rPr>
              <w:t>1.5</w:t>
            </w:r>
          </w:p>
        </w:tc>
        <w:tc>
          <w:tcPr>
            <w:tcW w:w="2097" w:type="dxa"/>
          </w:tcPr>
          <w:p w14:paraId="59DCC905" w14:textId="77777777" w:rsidR="00C46175" w:rsidRPr="00D93FF9" w:rsidRDefault="00E811B8" w:rsidP="002F55F0">
            <w:pPr>
              <w:pStyle w:val="TableParagraph"/>
              <w:spacing w:before="0" w:after="0" w:line="184" w:lineRule="exact"/>
              <w:jc w:val="center"/>
              <w:rPr>
                <w:sz w:val="16"/>
                <w:lang w:val="en-GB"/>
              </w:rPr>
            </w:pPr>
            <w:r w:rsidRPr="00D93FF9">
              <w:rPr>
                <w:sz w:val="16"/>
                <w:lang w:val="en-GB"/>
              </w:rPr>
              <w:t>11.1</w:t>
            </w:r>
          </w:p>
        </w:tc>
        <w:tc>
          <w:tcPr>
            <w:tcW w:w="985" w:type="dxa"/>
          </w:tcPr>
          <w:p w14:paraId="59DCC906" w14:textId="77777777" w:rsidR="00C46175" w:rsidRPr="00D93FF9" w:rsidRDefault="00E811B8" w:rsidP="002F55F0">
            <w:pPr>
              <w:pStyle w:val="TableParagraph"/>
              <w:spacing w:before="0" w:after="0" w:line="184" w:lineRule="exact"/>
              <w:jc w:val="center"/>
              <w:rPr>
                <w:sz w:val="16"/>
                <w:lang w:val="en-GB"/>
              </w:rPr>
            </w:pPr>
            <w:r w:rsidRPr="00D93FF9">
              <w:rPr>
                <w:sz w:val="16"/>
                <w:lang w:val="en-GB"/>
              </w:rPr>
              <w:t>2.4</w:t>
            </w:r>
          </w:p>
        </w:tc>
        <w:tc>
          <w:tcPr>
            <w:tcW w:w="1041" w:type="dxa"/>
          </w:tcPr>
          <w:p w14:paraId="59DCC907" w14:textId="77777777" w:rsidR="00C46175" w:rsidRPr="00D93FF9" w:rsidRDefault="00E811B8" w:rsidP="002F55F0">
            <w:pPr>
              <w:pStyle w:val="TableParagraph"/>
              <w:spacing w:before="0" w:after="0" w:line="184" w:lineRule="exact"/>
              <w:jc w:val="center"/>
              <w:rPr>
                <w:sz w:val="16"/>
                <w:lang w:val="en-GB"/>
              </w:rPr>
            </w:pPr>
            <w:r w:rsidRPr="00D93FF9">
              <w:rPr>
                <w:sz w:val="16"/>
                <w:lang w:val="en-GB"/>
              </w:rPr>
              <w:t>3.8</w:t>
            </w:r>
          </w:p>
        </w:tc>
        <w:tc>
          <w:tcPr>
            <w:tcW w:w="1135" w:type="dxa"/>
          </w:tcPr>
          <w:p w14:paraId="59DCC908" w14:textId="77777777" w:rsidR="00C46175" w:rsidRPr="00D93FF9" w:rsidRDefault="00E811B8" w:rsidP="002F55F0">
            <w:pPr>
              <w:pStyle w:val="TableParagraph"/>
              <w:spacing w:before="0" w:after="0" w:line="184" w:lineRule="exact"/>
              <w:jc w:val="center"/>
              <w:rPr>
                <w:sz w:val="16"/>
                <w:lang w:val="en-GB"/>
              </w:rPr>
            </w:pPr>
            <w:r w:rsidRPr="00D93FF9">
              <w:rPr>
                <w:sz w:val="16"/>
                <w:lang w:val="en-GB"/>
              </w:rPr>
              <w:t>6.0</w:t>
            </w:r>
          </w:p>
        </w:tc>
        <w:tc>
          <w:tcPr>
            <w:tcW w:w="1168" w:type="dxa"/>
          </w:tcPr>
          <w:p w14:paraId="59DCC909" w14:textId="77777777" w:rsidR="00C46175" w:rsidRPr="00D93FF9" w:rsidRDefault="00E811B8" w:rsidP="002F55F0">
            <w:pPr>
              <w:pStyle w:val="TableParagraph"/>
              <w:spacing w:before="0" w:after="0" w:line="184" w:lineRule="exact"/>
              <w:jc w:val="center"/>
              <w:rPr>
                <w:sz w:val="16"/>
                <w:lang w:val="en-GB"/>
              </w:rPr>
            </w:pPr>
            <w:r w:rsidRPr="00D93FF9">
              <w:rPr>
                <w:sz w:val="16"/>
                <w:lang w:val="en-GB"/>
              </w:rPr>
              <w:t>1</w:t>
            </w:r>
          </w:p>
        </w:tc>
      </w:tr>
      <w:tr w:rsidR="00BE3AA8" w:rsidRPr="00D93FF9" w14:paraId="59DCC917" w14:textId="77777777" w:rsidTr="002F55F0">
        <w:trPr>
          <w:trHeight w:val="430"/>
        </w:trPr>
        <w:tc>
          <w:tcPr>
            <w:tcW w:w="2147" w:type="dxa"/>
          </w:tcPr>
          <w:p w14:paraId="59DCC90B" w14:textId="77777777" w:rsidR="00C46175" w:rsidRPr="00D93FF9" w:rsidRDefault="00E811B8" w:rsidP="003807A1">
            <w:pPr>
              <w:pStyle w:val="TableParagraph"/>
              <w:spacing w:before="0" w:after="0"/>
              <w:rPr>
                <w:b/>
                <w:sz w:val="16"/>
                <w:lang w:val="en-GB"/>
              </w:rPr>
            </w:pPr>
            <w:r w:rsidRPr="00D93FF9">
              <w:rPr>
                <w:b/>
                <w:sz w:val="16"/>
                <w:lang w:val="en-GB"/>
              </w:rPr>
              <w:t>Ornamentals</w:t>
            </w:r>
          </w:p>
          <w:p w14:paraId="59DCC90C" w14:textId="77777777" w:rsidR="00C46175" w:rsidRPr="00D93FF9" w:rsidRDefault="00E811B8" w:rsidP="003807A1">
            <w:pPr>
              <w:pStyle w:val="TableParagraph"/>
              <w:spacing w:before="0" w:after="0"/>
              <w:rPr>
                <w:sz w:val="16"/>
                <w:lang w:val="en-GB"/>
              </w:rPr>
            </w:pPr>
            <w:r w:rsidRPr="00D93FF9">
              <w:rPr>
                <w:sz w:val="16"/>
                <w:lang w:val="en-GB"/>
              </w:rPr>
              <w:t>Aborvitae</w:t>
            </w:r>
          </w:p>
        </w:tc>
        <w:tc>
          <w:tcPr>
            <w:tcW w:w="2980" w:type="dxa"/>
          </w:tcPr>
          <w:p w14:paraId="59DCC90D" w14:textId="77777777" w:rsidR="00C46175" w:rsidRPr="00D93FF9" w:rsidRDefault="00C46175" w:rsidP="003807A1">
            <w:pPr>
              <w:pStyle w:val="TableParagraph"/>
              <w:spacing w:before="0" w:after="0"/>
              <w:rPr>
                <w:b/>
                <w:sz w:val="19"/>
                <w:lang w:val="en-GB"/>
              </w:rPr>
            </w:pPr>
          </w:p>
          <w:p w14:paraId="59DCC90E" w14:textId="77777777" w:rsidR="00C46175" w:rsidRPr="00D93FF9" w:rsidRDefault="00E811B8" w:rsidP="003807A1">
            <w:pPr>
              <w:pStyle w:val="TableParagraph"/>
              <w:spacing w:before="0" w:after="0"/>
              <w:rPr>
                <w:i/>
                <w:sz w:val="16"/>
                <w:lang w:val="en-GB"/>
              </w:rPr>
            </w:pPr>
            <w:r w:rsidRPr="00D93FF9">
              <w:rPr>
                <w:i/>
                <w:sz w:val="16"/>
                <w:lang w:val="en-GB"/>
              </w:rPr>
              <w:t>Thuja orientalus</w:t>
            </w:r>
          </w:p>
        </w:tc>
        <w:tc>
          <w:tcPr>
            <w:tcW w:w="1898" w:type="dxa"/>
          </w:tcPr>
          <w:p w14:paraId="59DCC90F" w14:textId="77777777" w:rsidR="00C46175" w:rsidRPr="00D93FF9" w:rsidRDefault="00C46175" w:rsidP="002F55F0">
            <w:pPr>
              <w:pStyle w:val="TableParagraph"/>
              <w:spacing w:before="0" w:after="0"/>
              <w:jc w:val="center"/>
              <w:rPr>
                <w:b/>
                <w:sz w:val="19"/>
                <w:lang w:val="en-GB"/>
              </w:rPr>
            </w:pPr>
          </w:p>
          <w:p w14:paraId="59DCC910" w14:textId="77777777" w:rsidR="00C46175" w:rsidRPr="00D93FF9" w:rsidRDefault="00E811B8" w:rsidP="002F55F0">
            <w:pPr>
              <w:pStyle w:val="TableParagraph"/>
              <w:spacing w:before="0" w:after="0"/>
              <w:jc w:val="center"/>
              <w:rPr>
                <w:sz w:val="16"/>
                <w:lang w:val="en-GB"/>
              </w:rPr>
            </w:pPr>
            <w:r w:rsidRPr="00D93FF9">
              <w:rPr>
                <w:sz w:val="16"/>
                <w:lang w:val="en-GB"/>
              </w:rPr>
              <w:t>2.0</w:t>
            </w:r>
          </w:p>
        </w:tc>
        <w:tc>
          <w:tcPr>
            <w:tcW w:w="2097" w:type="dxa"/>
          </w:tcPr>
          <w:p w14:paraId="59DCC911"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912"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913"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914"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915" w14:textId="77777777" w:rsidR="00C46175" w:rsidRPr="00D93FF9" w:rsidRDefault="00C46175" w:rsidP="002F55F0">
            <w:pPr>
              <w:pStyle w:val="TableParagraph"/>
              <w:spacing w:before="0" w:after="0"/>
              <w:jc w:val="center"/>
              <w:rPr>
                <w:b/>
                <w:sz w:val="19"/>
                <w:lang w:val="en-GB"/>
              </w:rPr>
            </w:pPr>
          </w:p>
          <w:p w14:paraId="59DCC916"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920" w14:textId="77777777" w:rsidTr="002F55F0">
        <w:trPr>
          <w:trHeight w:val="228"/>
        </w:trPr>
        <w:tc>
          <w:tcPr>
            <w:tcW w:w="2147" w:type="dxa"/>
          </w:tcPr>
          <w:p w14:paraId="59DCC918" w14:textId="77777777" w:rsidR="00C46175" w:rsidRPr="00D93FF9" w:rsidRDefault="00E811B8" w:rsidP="003807A1">
            <w:pPr>
              <w:pStyle w:val="TableParagraph"/>
              <w:spacing w:before="0" w:after="0"/>
              <w:rPr>
                <w:sz w:val="16"/>
                <w:lang w:val="en-GB"/>
              </w:rPr>
            </w:pPr>
            <w:r w:rsidRPr="00D93FF9">
              <w:rPr>
                <w:sz w:val="16"/>
                <w:lang w:val="en-GB"/>
              </w:rPr>
              <w:t>Algerian ivy</w:t>
            </w:r>
          </w:p>
        </w:tc>
        <w:tc>
          <w:tcPr>
            <w:tcW w:w="2980" w:type="dxa"/>
          </w:tcPr>
          <w:p w14:paraId="59DCC919" w14:textId="77777777" w:rsidR="00C46175" w:rsidRPr="00D93FF9" w:rsidRDefault="00E811B8" w:rsidP="003807A1">
            <w:pPr>
              <w:pStyle w:val="TableParagraph"/>
              <w:spacing w:before="0" w:after="0"/>
              <w:rPr>
                <w:i/>
                <w:sz w:val="16"/>
                <w:lang w:val="en-GB"/>
              </w:rPr>
            </w:pPr>
            <w:r w:rsidRPr="00D93FF9">
              <w:rPr>
                <w:i/>
                <w:sz w:val="16"/>
                <w:lang w:val="en-GB"/>
              </w:rPr>
              <w:t>Hedera camariensis</w:t>
            </w:r>
          </w:p>
        </w:tc>
        <w:tc>
          <w:tcPr>
            <w:tcW w:w="1898" w:type="dxa"/>
          </w:tcPr>
          <w:p w14:paraId="59DCC91A" w14:textId="77777777" w:rsidR="00C46175" w:rsidRPr="00D93FF9" w:rsidRDefault="00E811B8" w:rsidP="002F55F0">
            <w:pPr>
              <w:pStyle w:val="TableParagraph"/>
              <w:spacing w:before="0" w:after="0"/>
              <w:jc w:val="center"/>
              <w:rPr>
                <w:sz w:val="16"/>
                <w:lang w:val="en-GB"/>
              </w:rPr>
            </w:pPr>
            <w:r w:rsidRPr="00D93FF9">
              <w:rPr>
                <w:sz w:val="16"/>
                <w:lang w:val="en-GB"/>
              </w:rPr>
              <w:t>1.0</w:t>
            </w:r>
          </w:p>
        </w:tc>
        <w:tc>
          <w:tcPr>
            <w:tcW w:w="2097" w:type="dxa"/>
          </w:tcPr>
          <w:p w14:paraId="59DCC91B"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91C"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91D"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91E"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91F"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929" w14:textId="77777777" w:rsidTr="002F55F0">
        <w:trPr>
          <w:trHeight w:val="227"/>
        </w:trPr>
        <w:tc>
          <w:tcPr>
            <w:tcW w:w="2147" w:type="dxa"/>
          </w:tcPr>
          <w:p w14:paraId="59DCC921" w14:textId="77777777" w:rsidR="00C46175" w:rsidRPr="00D93FF9" w:rsidRDefault="00E811B8" w:rsidP="003807A1">
            <w:pPr>
              <w:pStyle w:val="TableParagraph"/>
              <w:spacing w:before="0" w:after="0"/>
              <w:rPr>
                <w:sz w:val="16"/>
                <w:lang w:val="en-GB"/>
              </w:rPr>
            </w:pPr>
            <w:r w:rsidRPr="00D93FF9">
              <w:rPr>
                <w:sz w:val="16"/>
                <w:lang w:val="en-GB"/>
              </w:rPr>
              <w:t>Bambatsi</w:t>
            </w:r>
          </w:p>
        </w:tc>
        <w:tc>
          <w:tcPr>
            <w:tcW w:w="2980" w:type="dxa"/>
          </w:tcPr>
          <w:p w14:paraId="59DCC922" w14:textId="77777777" w:rsidR="00C46175" w:rsidRPr="00D93FF9" w:rsidRDefault="00E811B8" w:rsidP="003807A1">
            <w:pPr>
              <w:pStyle w:val="TableParagraph"/>
              <w:spacing w:before="0" w:after="0"/>
              <w:rPr>
                <w:i/>
                <w:sz w:val="16"/>
                <w:lang w:val="en-GB"/>
              </w:rPr>
            </w:pPr>
            <w:r w:rsidRPr="00D93FF9">
              <w:rPr>
                <w:i/>
                <w:sz w:val="16"/>
                <w:lang w:val="en-GB"/>
              </w:rPr>
              <w:t>Panicum coloratum</w:t>
            </w:r>
          </w:p>
        </w:tc>
        <w:tc>
          <w:tcPr>
            <w:tcW w:w="1898" w:type="dxa"/>
          </w:tcPr>
          <w:p w14:paraId="59DCC923" w14:textId="77777777" w:rsidR="00C46175" w:rsidRPr="00D93FF9" w:rsidRDefault="00E811B8" w:rsidP="002F55F0">
            <w:pPr>
              <w:pStyle w:val="TableParagraph"/>
              <w:spacing w:before="0" w:after="0"/>
              <w:jc w:val="center"/>
              <w:rPr>
                <w:sz w:val="16"/>
                <w:lang w:val="en-GB"/>
              </w:rPr>
            </w:pPr>
            <w:r w:rsidRPr="00D93FF9">
              <w:rPr>
                <w:sz w:val="16"/>
                <w:lang w:val="en-GB"/>
              </w:rPr>
              <w:t>1.5</w:t>
            </w:r>
          </w:p>
        </w:tc>
        <w:tc>
          <w:tcPr>
            <w:tcW w:w="2097" w:type="dxa"/>
          </w:tcPr>
          <w:p w14:paraId="59DCC924" w14:textId="77777777" w:rsidR="00C46175" w:rsidRPr="00D93FF9" w:rsidRDefault="00E811B8" w:rsidP="002F55F0">
            <w:pPr>
              <w:pStyle w:val="TableParagraph"/>
              <w:spacing w:before="0" w:after="0"/>
              <w:jc w:val="center"/>
              <w:rPr>
                <w:sz w:val="16"/>
                <w:lang w:val="en-GB"/>
              </w:rPr>
            </w:pPr>
            <w:r w:rsidRPr="00D93FF9">
              <w:rPr>
                <w:sz w:val="16"/>
                <w:lang w:val="en-GB"/>
              </w:rPr>
              <w:t>3.2</w:t>
            </w:r>
          </w:p>
        </w:tc>
        <w:tc>
          <w:tcPr>
            <w:tcW w:w="985" w:type="dxa"/>
          </w:tcPr>
          <w:p w14:paraId="59DCC925" w14:textId="77777777" w:rsidR="00C46175" w:rsidRPr="00D93FF9" w:rsidRDefault="00E811B8" w:rsidP="002F55F0">
            <w:pPr>
              <w:pStyle w:val="TableParagraph"/>
              <w:spacing w:before="0" w:after="0"/>
              <w:jc w:val="center"/>
              <w:rPr>
                <w:sz w:val="16"/>
                <w:lang w:val="en-GB"/>
              </w:rPr>
            </w:pPr>
            <w:r w:rsidRPr="00D93FF9">
              <w:rPr>
                <w:sz w:val="16"/>
                <w:lang w:val="en-GB"/>
              </w:rPr>
              <w:t>4.6</w:t>
            </w:r>
          </w:p>
        </w:tc>
        <w:tc>
          <w:tcPr>
            <w:tcW w:w="1041" w:type="dxa"/>
          </w:tcPr>
          <w:p w14:paraId="59DCC926" w14:textId="77777777" w:rsidR="00C46175" w:rsidRPr="00D93FF9" w:rsidRDefault="00E811B8" w:rsidP="002F55F0">
            <w:pPr>
              <w:pStyle w:val="TableParagraph"/>
              <w:spacing w:before="0" w:after="0"/>
              <w:jc w:val="center"/>
              <w:rPr>
                <w:sz w:val="16"/>
                <w:lang w:val="en-GB"/>
              </w:rPr>
            </w:pPr>
            <w:r w:rsidRPr="00D93FF9">
              <w:rPr>
                <w:sz w:val="16"/>
                <w:lang w:val="en-GB"/>
              </w:rPr>
              <w:t>9.3</w:t>
            </w:r>
          </w:p>
        </w:tc>
        <w:tc>
          <w:tcPr>
            <w:tcW w:w="1135" w:type="dxa"/>
          </w:tcPr>
          <w:p w14:paraId="59DCC927" w14:textId="77777777" w:rsidR="00C46175" w:rsidRPr="00D93FF9" w:rsidRDefault="00E811B8" w:rsidP="002F55F0">
            <w:pPr>
              <w:pStyle w:val="TableParagraph"/>
              <w:spacing w:before="0" w:after="0"/>
              <w:jc w:val="center"/>
              <w:rPr>
                <w:sz w:val="16"/>
                <w:lang w:val="en-GB"/>
              </w:rPr>
            </w:pPr>
            <w:r w:rsidRPr="00D93FF9">
              <w:rPr>
                <w:sz w:val="16"/>
                <w:lang w:val="en-GB"/>
              </w:rPr>
              <w:t>17.1</w:t>
            </w:r>
          </w:p>
        </w:tc>
        <w:tc>
          <w:tcPr>
            <w:tcW w:w="1168" w:type="dxa"/>
          </w:tcPr>
          <w:p w14:paraId="59DCC928" w14:textId="77777777" w:rsidR="00C46175" w:rsidRPr="00D93FF9" w:rsidRDefault="00E811B8" w:rsidP="002F55F0">
            <w:pPr>
              <w:pStyle w:val="TableParagraph"/>
              <w:spacing w:before="0" w:after="0"/>
              <w:jc w:val="center"/>
              <w:rPr>
                <w:sz w:val="16"/>
                <w:lang w:val="en-GB"/>
              </w:rPr>
            </w:pPr>
            <w:r w:rsidRPr="00D93FF9">
              <w:rPr>
                <w:sz w:val="16"/>
                <w:lang w:val="en-GB"/>
              </w:rPr>
              <w:t>3</w:t>
            </w:r>
          </w:p>
        </w:tc>
      </w:tr>
      <w:tr w:rsidR="00BE3AA8" w:rsidRPr="00D93FF9" w14:paraId="59DCC932" w14:textId="77777777" w:rsidTr="002F55F0">
        <w:trPr>
          <w:trHeight w:val="227"/>
        </w:trPr>
        <w:tc>
          <w:tcPr>
            <w:tcW w:w="2147" w:type="dxa"/>
          </w:tcPr>
          <w:p w14:paraId="59DCC92A" w14:textId="77777777" w:rsidR="00C46175" w:rsidRPr="00D93FF9" w:rsidRDefault="00E811B8" w:rsidP="003807A1">
            <w:pPr>
              <w:pStyle w:val="TableParagraph"/>
              <w:spacing w:before="0" w:after="0"/>
              <w:rPr>
                <w:sz w:val="16"/>
                <w:lang w:val="en-GB"/>
              </w:rPr>
            </w:pPr>
            <w:r w:rsidRPr="00D93FF9">
              <w:rPr>
                <w:sz w:val="16"/>
                <w:lang w:val="en-GB"/>
              </w:rPr>
              <w:t>Bottlebrush</w:t>
            </w:r>
          </w:p>
        </w:tc>
        <w:tc>
          <w:tcPr>
            <w:tcW w:w="2980" w:type="dxa"/>
          </w:tcPr>
          <w:p w14:paraId="59DCC92B" w14:textId="77777777" w:rsidR="00C46175" w:rsidRPr="00D93FF9" w:rsidRDefault="00E811B8" w:rsidP="003807A1">
            <w:pPr>
              <w:pStyle w:val="TableParagraph"/>
              <w:spacing w:before="0" w:after="0"/>
              <w:rPr>
                <w:i/>
                <w:sz w:val="16"/>
                <w:lang w:val="en-GB"/>
              </w:rPr>
            </w:pPr>
            <w:r w:rsidRPr="00D93FF9">
              <w:rPr>
                <w:i/>
                <w:sz w:val="16"/>
                <w:lang w:val="en-GB"/>
              </w:rPr>
              <w:t>Callistemon viminalis</w:t>
            </w:r>
          </w:p>
        </w:tc>
        <w:tc>
          <w:tcPr>
            <w:tcW w:w="1898" w:type="dxa"/>
          </w:tcPr>
          <w:p w14:paraId="59DCC92C" w14:textId="77777777" w:rsidR="00C46175" w:rsidRPr="00D93FF9" w:rsidRDefault="00E811B8" w:rsidP="002F55F0">
            <w:pPr>
              <w:pStyle w:val="TableParagraph"/>
              <w:spacing w:before="0" w:after="0"/>
              <w:jc w:val="center"/>
              <w:rPr>
                <w:sz w:val="16"/>
                <w:lang w:val="en-GB"/>
              </w:rPr>
            </w:pPr>
            <w:r w:rsidRPr="00D93FF9">
              <w:rPr>
                <w:sz w:val="16"/>
                <w:lang w:val="en-GB"/>
              </w:rPr>
              <w:t>1.5</w:t>
            </w:r>
          </w:p>
        </w:tc>
        <w:tc>
          <w:tcPr>
            <w:tcW w:w="2097" w:type="dxa"/>
          </w:tcPr>
          <w:p w14:paraId="59DCC92D"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92E"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92F"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930"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931"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93B" w14:textId="77777777" w:rsidTr="002F55F0">
        <w:trPr>
          <w:trHeight w:val="228"/>
        </w:trPr>
        <w:tc>
          <w:tcPr>
            <w:tcW w:w="2147" w:type="dxa"/>
          </w:tcPr>
          <w:p w14:paraId="59DCC933" w14:textId="77777777" w:rsidR="00C46175" w:rsidRPr="00D93FF9" w:rsidRDefault="00E811B8" w:rsidP="003807A1">
            <w:pPr>
              <w:pStyle w:val="TableParagraph"/>
              <w:spacing w:before="0" w:after="0"/>
              <w:rPr>
                <w:sz w:val="16"/>
                <w:lang w:val="en-GB"/>
              </w:rPr>
            </w:pPr>
            <w:r w:rsidRPr="00D93FF9">
              <w:rPr>
                <w:sz w:val="16"/>
                <w:lang w:val="en-GB"/>
              </w:rPr>
              <w:t>Bougainvillea</w:t>
            </w:r>
          </w:p>
        </w:tc>
        <w:tc>
          <w:tcPr>
            <w:tcW w:w="2980" w:type="dxa"/>
          </w:tcPr>
          <w:p w14:paraId="59DCC934" w14:textId="77777777" w:rsidR="00C46175" w:rsidRPr="00D93FF9" w:rsidRDefault="00E811B8" w:rsidP="003807A1">
            <w:pPr>
              <w:pStyle w:val="TableParagraph"/>
              <w:spacing w:before="0" w:after="0"/>
              <w:rPr>
                <w:i/>
                <w:sz w:val="16"/>
                <w:lang w:val="en-GB"/>
              </w:rPr>
            </w:pPr>
            <w:r w:rsidRPr="00D93FF9">
              <w:rPr>
                <w:i/>
                <w:sz w:val="16"/>
                <w:lang w:val="en-GB"/>
              </w:rPr>
              <w:t>Bougainvillea spectabilis</w:t>
            </w:r>
          </w:p>
        </w:tc>
        <w:tc>
          <w:tcPr>
            <w:tcW w:w="1898" w:type="dxa"/>
          </w:tcPr>
          <w:p w14:paraId="59DCC935" w14:textId="77777777" w:rsidR="00C46175" w:rsidRPr="00D93FF9" w:rsidRDefault="00E811B8" w:rsidP="002F55F0">
            <w:pPr>
              <w:pStyle w:val="TableParagraph"/>
              <w:spacing w:before="0" w:after="0"/>
              <w:jc w:val="center"/>
              <w:rPr>
                <w:sz w:val="16"/>
                <w:lang w:val="en-GB"/>
              </w:rPr>
            </w:pPr>
            <w:r w:rsidRPr="00D93FF9">
              <w:rPr>
                <w:sz w:val="16"/>
                <w:lang w:val="en-GB"/>
              </w:rPr>
              <w:t>8.5</w:t>
            </w:r>
          </w:p>
        </w:tc>
        <w:tc>
          <w:tcPr>
            <w:tcW w:w="2097" w:type="dxa"/>
          </w:tcPr>
          <w:p w14:paraId="59DCC936"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937"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938"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939"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93A"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944" w14:textId="77777777" w:rsidTr="002F55F0">
        <w:trPr>
          <w:trHeight w:val="228"/>
        </w:trPr>
        <w:tc>
          <w:tcPr>
            <w:tcW w:w="2147" w:type="dxa"/>
          </w:tcPr>
          <w:p w14:paraId="59DCC93C" w14:textId="77777777" w:rsidR="00C46175" w:rsidRPr="00D93FF9" w:rsidRDefault="00E811B8" w:rsidP="003807A1">
            <w:pPr>
              <w:pStyle w:val="TableParagraph"/>
              <w:spacing w:before="0" w:after="0"/>
              <w:rPr>
                <w:sz w:val="16"/>
                <w:lang w:val="en-GB"/>
              </w:rPr>
            </w:pPr>
            <w:r w:rsidRPr="00D93FF9">
              <w:rPr>
                <w:sz w:val="16"/>
                <w:lang w:val="en-GB"/>
              </w:rPr>
              <w:t>Boxwood</w:t>
            </w:r>
          </w:p>
        </w:tc>
        <w:tc>
          <w:tcPr>
            <w:tcW w:w="2980" w:type="dxa"/>
          </w:tcPr>
          <w:p w14:paraId="59DCC93D" w14:textId="77777777" w:rsidR="00C46175" w:rsidRPr="00D93FF9" w:rsidRDefault="00E811B8" w:rsidP="003807A1">
            <w:pPr>
              <w:pStyle w:val="TableParagraph"/>
              <w:spacing w:before="0" w:after="0"/>
              <w:rPr>
                <w:i/>
                <w:sz w:val="16"/>
                <w:lang w:val="en-GB"/>
              </w:rPr>
            </w:pPr>
            <w:r w:rsidRPr="00D93FF9">
              <w:rPr>
                <w:i/>
                <w:sz w:val="16"/>
                <w:lang w:val="en-GB"/>
              </w:rPr>
              <w:t xml:space="preserve">Buxus microphylla </w:t>
            </w:r>
            <w:r w:rsidRPr="00D93FF9">
              <w:rPr>
                <w:sz w:val="16"/>
                <w:lang w:val="en-GB"/>
              </w:rPr>
              <w:t xml:space="preserve">var </w:t>
            </w:r>
            <w:r w:rsidRPr="00D93FF9">
              <w:rPr>
                <w:i/>
                <w:sz w:val="16"/>
                <w:lang w:val="en-GB"/>
              </w:rPr>
              <w:t>Japonica</w:t>
            </w:r>
          </w:p>
        </w:tc>
        <w:tc>
          <w:tcPr>
            <w:tcW w:w="1898" w:type="dxa"/>
          </w:tcPr>
          <w:p w14:paraId="59DCC93E" w14:textId="77777777" w:rsidR="00C46175" w:rsidRPr="00D93FF9" w:rsidRDefault="00E811B8" w:rsidP="002F55F0">
            <w:pPr>
              <w:pStyle w:val="TableParagraph"/>
              <w:spacing w:before="0" w:after="0"/>
              <w:jc w:val="center"/>
              <w:rPr>
                <w:sz w:val="16"/>
                <w:lang w:val="en-GB"/>
              </w:rPr>
            </w:pPr>
            <w:r w:rsidRPr="00D93FF9">
              <w:rPr>
                <w:sz w:val="16"/>
                <w:lang w:val="en-GB"/>
              </w:rPr>
              <w:t>1.7</w:t>
            </w:r>
          </w:p>
        </w:tc>
        <w:tc>
          <w:tcPr>
            <w:tcW w:w="2097" w:type="dxa"/>
          </w:tcPr>
          <w:p w14:paraId="59DCC93F" w14:textId="77777777" w:rsidR="00C46175" w:rsidRPr="00D93FF9" w:rsidRDefault="00E811B8" w:rsidP="002F55F0">
            <w:pPr>
              <w:pStyle w:val="TableParagraph"/>
              <w:spacing w:before="0" w:after="0"/>
              <w:jc w:val="center"/>
              <w:rPr>
                <w:sz w:val="16"/>
                <w:lang w:val="en-GB"/>
              </w:rPr>
            </w:pPr>
            <w:r w:rsidRPr="00D93FF9">
              <w:rPr>
                <w:sz w:val="16"/>
                <w:lang w:val="en-GB"/>
              </w:rPr>
              <w:t>10.8</w:t>
            </w:r>
          </w:p>
        </w:tc>
        <w:tc>
          <w:tcPr>
            <w:tcW w:w="985" w:type="dxa"/>
          </w:tcPr>
          <w:p w14:paraId="59DCC940" w14:textId="77777777" w:rsidR="00C46175" w:rsidRPr="00D93FF9" w:rsidRDefault="00E811B8" w:rsidP="002F55F0">
            <w:pPr>
              <w:pStyle w:val="TableParagraph"/>
              <w:spacing w:before="0" w:after="0"/>
              <w:jc w:val="center"/>
              <w:rPr>
                <w:sz w:val="16"/>
                <w:lang w:val="en-GB"/>
              </w:rPr>
            </w:pPr>
            <w:r w:rsidRPr="00D93FF9">
              <w:rPr>
                <w:sz w:val="16"/>
                <w:lang w:val="en-GB"/>
              </w:rPr>
              <w:t>2.6</w:t>
            </w:r>
          </w:p>
        </w:tc>
        <w:tc>
          <w:tcPr>
            <w:tcW w:w="1041" w:type="dxa"/>
          </w:tcPr>
          <w:p w14:paraId="59DCC941" w14:textId="77777777" w:rsidR="00C46175" w:rsidRPr="00D93FF9" w:rsidRDefault="00E811B8" w:rsidP="002F55F0">
            <w:pPr>
              <w:pStyle w:val="TableParagraph"/>
              <w:spacing w:before="0" w:after="0"/>
              <w:jc w:val="center"/>
              <w:rPr>
                <w:sz w:val="16"/>
                <w:lang w:val="en-GB"/>
              </w:rPr>
            </w:pPr>
            <w:r w:rsidRPr="00D93FF9">
              <w:rPr>
                <w:sz w:val="16"/>
                <w:lang w:val="en-GB"/>
              </w:rPr>
              <w:t>4.0</w:t>
            </w:r>
          </w:p>
        </w:tc>
        <w:tc>
          <w:tcPr>
            <w:tcW w:w="1135" w:type="dxa"/>
          </w:tcPr>
          <w:p w14:paraId="59DCC942" w14:textId="77777777" w:rsidR="00C46175" w:rsidRPr="00D93FF9" w:rsidRDefault="00E811B8" w:rsidP="002F55F0">
            <w:pPr>
              <w:pStyle w:val="TableParagraph"/>
              <w:spacing w:before="0" w:after="0"/>
              <w:jc w:val="center"/>
              <w:rPr>
                <w:sz w:val="16"/>
                <w:lang w:val="en-GB"/>
              </w:rPr>
            </w:pPr>
            <w:r w:rsidRPr="00D93FF9">
              <w:rPr>
                <w:sz w:val="16"/>
                <w:lang w:val="en-GB"/>
              </w:rPr>
              <w:t>6.3</w:t>
            </w:r>
          </w:p>
        </w:tc>
        <w:tc>
          <w:tcPr>
            <w:tcW w:w="1168" w:type="dxa"/>
          </w:tcPr>
          <w:p w14:paraId="59DCC943"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94D" w14:textId="77777777" w:rsidTr="002F55F0">
        <w:trPr>
          <w:trHeight w:val="227"/>
        </w:trPr>
        <w:tc>
          <w:tcPr>
            <w:tcW w:w="2147" w:type="dxa"/>
          </w:tcPr>
          <w:p w14:paraId="59DCC945" w14:textId="77777777" w:rsidR="00C46175" w:rsidRPr="00D93FF9" w:rsidRDefault="00E811B8" w:rsidP="003807A1">
            <w:pPr>
              <w:pStyle w:val="TableParagraph"/>
              <w:spacing w:before="0" w:after="0"/>
              <w:rPr>
                <w:sz w:val="16"/>
                <w:lang w:val="en-GB"/>
              </w:rPr>
            </w:pPr>
            <w:r w:rsidRPr="00D93FF9">
              <w:rPr>
                <w:sz w:val="16"/>
                <w:lang w:val="en-GB"/>
              </w:rPr>
              <w:t>Chinese holly</w:t>
            </w:r>
          </w:p>
        </w:tc>
        <w:tc>
          <w:tcPr>
            <w:tcW w:w="2980" w:type="dxa"/>
          </w:tcPr>
          <w:p w14:paraId="59DCC946" w14:textId="77777777" w:rsidR="00C46175" w:rsidRPr="00D93FF9" w:rsidRDefault="00E811B8" w:rsidP="003807A1">
            <w:pPr>
              <w:pStyle w:val="TableParagraph"/>
              <w:spacing w:before="0" w:after="0"/>
              <w:rPr>
                <w:i/>
                <w:sz w:val="16"/>
                <w:lang w:val="en-GB"/>
              </w:rPr>
            </w:pPr>
            <w:r w:rsidRPr="00D93FF9">
              <w:rPr>
                <w:i/>
                <w:sz w:val="16"/>
                <w:lang w:val="en-GB"/>
              </w:rPr>
              <w:t>Ilex cornuta</w:t>
            </w:r>
          </w:p>
        </w:tc>
        <w:tc>
          <w:tcPr>
            <w:tcW w:w="1898" w:type="dxa"/>
          </w:tcPr>
          <w:p w14:paraId="59DCC947" w14:textId="77777777" w:rsidR="00C46175" w:rsidRPr="00D93FF9" w:rsidRDefault="00E811B8" w:rsidP="002F55F0">
            <w:pPr>
              <w:pStyle w:val="TableParagraph"/>
              <w:spacing w:before="0" w:after="0"/>
              <w:jc w:val="center"/>
              <w:rPr>
                <w:sz w:val="16"/>
                <w:lang w:val="en-GB"/>
              </w:rPr>
            </w:pPr>
            <w:r w:rsidRPr="00D93FF9">
              <w:rPr>
                <w:sz w:val="16"/>
                <w:lang w:val="en-GB"/>
              </w:rPr>
              <w:t>1.0</w:t>
            </w:r>
          </w:p>
        </w:tc>
        <w:tc>
          <w:tcPr>
            <w:tcW w:w="2097" w:type="dxa"/>
          </w:tcPr>
          <w:p w14:paraId="59DCC948"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949"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94A"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94B"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94C"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956" w14:textId="77777777" w:rsidTr="002F55F0">
        <w:trPr>
          <w:trHeight w:val="227"/>
        </w:trPr>
        <w:tc>
          <w:tcPr>
            <w:tcW w:w="2147" w:type="dxa"/>
          </w:tcPr>
          <w:p w14:paraId="59DCC94E" w14:textId="77777777" w:rsidR="00C46175" w:rsidRPr="00D93FF9" w:rsidRDefault="00E811B8" w:rsidP="003807A1">
            <w:pPr>
              <w:pStyle w:val="TableParagraph"/>
              <w:spacing w:before="0" w:after="0"/>
              <w:rPr>
                <w:sz w:val="16"/>
                <w:lang w:val="en-GB"/>
              </w:rPr>
            </w:pPr>
            <w:r w:rsidRPr="00D93FF9">
              <w:rPr>
                <w:sz w:val="16"/>
                <w:lang w:val="en-GB"/>
              </w:rPr>
              <w:lastRenderedPageBreak/>
              <w:t>Dracaena</w:t>
            </w:r>
          </w:p>
        </w:tc>
        <w:tc>
          <w:tcPr>
            <w:tcW w:w="2980" w:type="dxa"/>
          </w:tcPr>
          <w:p w14:paraId="59DCC94F" w14:textId="77777777" w:rsidR="00C46175" w:rsidRPr="00D93FF9" w:rsidRDefault="00E811B8" w:rsidP="003807A1">
            <w:pPr>
              <w:pStyle w:val="TableParagraph"/>
              <w:spacing w:before="0" w:after="0"/>
              <w:rPr>
                <w:i/>
                <w:sz w:val="16"/>
                <w:lang w:val="en-GB"/>
              </w:rPr>
            </w:pPr>
            <w:r w:rsidRPr="00D93FF9">
              <w:rPr>
                <w:i/>
                <w:sz w:val="16"/>
                <w:lang w:val="en-GB"/>
              </w:rPr>
              <w:t>Dracaena endivisa</w:t>
            </w:r>
          </w:p>
        </w:tc>
        <w:tc>
          <w:tcPr>
            <w:tcW w:w="1898" w:type="dxa"/>
          </w:tcPr>
          <w:p w14:paraId="59DCC950" w14:textId="77777777" w:rsidR="00C46175" w:rsidRPr="00D93FF9" w:rsidRDefault="00E811B8" w:rsidP="002F55F0">
            <w:pPr>
              <w:pStyle w:val="TableParagraph"/>
              <w:spacing w:before="0" w:after="0"/>
              <w:jc w:val="center"/>
              <w:rPr>
                <w:sz w:val="16"/>
                <w:lang w:val="en-GB"/>
              </w:rPr>
            </w:pPr>
            <w:r w:rsidRPr="00D93FF9">
              <w:rPr>
                <w:sz w:val="16"/>
                <w:lang w:val="en-GB"/>
              </w:rPr>
              <w:t>4.0</w:t>
            </w:r>
          </w:p>
        </w:tc>
        <w:tc>
          <w:tcPr>
            <w:tcW w:w="2097" w:type="dxa"/>
          </w:tcPr>
          <w:p w14:paraId="59DCC951" w14:textId="77777777" w:rsidR="00C46175" w:rsidRPr="00D93FF9" w:rsidRDefault="00E811B8" w:rsidP="002F55F0">
            <w:pPr>
              <w:pStyle w:val="TableParagraph"/>
              <w:spacing w:before="0" w:after="0"/>
              <w:jc w:val="center"/>
              <w:rPr>
                <w:sz w:val="16"/>
                <w:lang w:val="en-GB"/>
              </w:rPr>
            </w:pPr>
            <w:r w:rsidRPr="00D93FF9">
              <w:rPr>
                <w:sz w:val="16"/>
                <w:lang w:val="en-GB"/>
              </w:rPr>
              <w:t>9.1</w:t>
            </w:r>
          </w:p>
        </w:tc>
        <w:tc>
          <w:tcPr>
            <w:tcW w:w="985" w:type="dxa"/>
          </w:tcPr>
          <w:p w14:paraId="59DCC952" w14:textId="77777777" w:rsidR="00C46175" w:rsidRPr="00D93FF9" w:rsidRDefault="00E811B8" w:rsidP="002F55F0">
            <w:pPr>
              <w:pStyle w:val="TableParagraph"/>
              <w:spacing w:before="0" w:after="0"/>
              <w:jc w:val="center"/>
              <w:rPr>
                <w:sz w:val="16"/>
                <w:lang w:val="en-GB"/>
              </w:rPr>
            </w:pPr>
            <w:r w:rsidRPr="00D93FF9">
              <w:rPr>
                <w:sz w:val="16"/>
                <w:lang w:val="en-GB"/>
              </w:rPr>
              <w:t>5.1</w:t>
            </w:r>
          </w:p>
        </w:tc>
        <w:tc>
          <w:tcPr>
            <w:tcW w:w="1041" w:type="dxa"/>
          </w:tcPr>
          <w:p w14:paraId="59DCC953" w14:textId="77777777" w:rsidR="00C46175" w:rsidRPr="00D93FF9" w:rsidRDefault="00E811B8" w:rsidP="002F55F0">
            <w:pPr>
              <w:pStyle w:val="TableParagraph"/>
              <w:spacing w:before="0" w:after="0"/>
              <w:jc w:val="center"/>
              <w:rPr>
                <w:sz w:val="16"/>
                <w:lang w:val="en-GB"/>
              </w:rPr>
            </w:pPr>
            <w:r w:rsidRPr="00D93FF9">
              <w:rPr>
                <w:sz w:val="16"/>
                <w:lang w:val="en-GB"/>
              </w:rPr>
              <w:t>6.7</w:t>
            </w:r>
          </w:p>
        </w:tc>
        <w:tc>
          <w:tcPr>
            <w:tcW w:w="1135" w:type="dxa"/>
          </w:tcPr>
          <w:p w14:paraId="59DCC954" w14:textId="77777777" w:rsidR="00C46175" w:rsidRPr="00D93FF9" w:rsidRDefault="00E811B8" w:rsidP="002F55F0">
            <w:pPr>
              <w:pStyle w:val="TableParagraph"/>
              <w:spacing w:before="0" w:after="0"/>
              <w:jc w:val="center"/>
              <w:rPr>
                <w:sz w:val="16"/>
                <w:lang w:val="en-GB"/>
              </w:rPr>
            </w:pPr>
            <w:r w:rsidRPr="00D93FF9">
              <w:rPr>
                <w:sz w:val="16"/>
                <w:lang w:val="en-GB"/>
              </w:rPr>
              <w:t>9.5</w:t>
            </w:r>
          </w:p>
        </w:tc>
        <w:tc>
          <w:tcPr>
            <w:tcW w:w="1168" w:type="dxa"/>
          </w:tcPr>
          <w:p w14:paraId="59DCC955"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95F" w14:textId="77777777" w:rsidTr="002F55F0">
        <w:trPr>
          <w:trHeight w:val="228"/>
        </w:trPr>
        <w:tc>
          <w:tcPr>
            <w:tcW w:w="2147" w:type="dxa"/>
          </w:tcPr>
          <w:p w14:paraId="59DCC957" w14:textId="77777777" w:rsidR="00C46175" w:rsidRPr="00D93FF9" w:rsidRDefault="00E811B8" w:rsidP="003807A1">
            <w:pPr>
              <w:pStyle w:val="TableParagraph"/>
              <w:spacing w:before="0" w:after="0"/>
              <w:rPr>
                <w:sz w:val="16"/>
                <w:lang w:val="en-GB"/>
              </w:rPr>
            </w:pPr>
            <w:r w:rsidRPr="00D93FF9">
              <w:rPr>
                <w:sz w:val="16"/>
                <w:lang w:val="en-GB"/>
              </w:rPr>
              <w:t>Euonymus</w:t>
            </w:r>
          </w:p>
        </w:tc>
        <w:tc>
          <w:tcPr>
            <w:tcW w:w="2980" w:type="dxa"/>
          </w:tcPr>
          <w:p w14:paraId="59DCC958" w14:textId="77777777" w:rsidR="00C46175" w:rsidRPr="00D93FF9" w:rsidRDefault="00E811B8" w:rsidP="003807A1">
            <w:pPr>
              <w:pStyle w:val="TableParagraph"/>
              <w:spacing w:before="0" w:after="0"/>
              <w:rPr>
                <w:i/>
                <w:sz w:val="16"/>
                <w:lang w:val="en-GB"/>
              </w:rPr>
            </w:pPr>
            <w:r w:rsidRPr="00D93FF9">
              <w:rPr>
                <w:i/>
                <w:sz w:val="16"/>
                <w:lang w:val="en-GB"/>
              </w:rPr>
              <w:t xml:space="preserve">Euonymus japonica </w:t>
            </w:r>
            <w:r w:rsidRPr="00D93FF9">
              <w:rPr>
                <w:sz w:val="16"/>
                <w:lang w:val="en-GB"/>
              </w:rPr>
              <w:t xml:space="preserve">var </w:t>
            </w:r>
            <w:r w:rsidRPr="00D93FF9">
              <w:rPr>
                <w:i/>
                <w:sz w:val="16"/>
                <w:lang w:val="en-GB"/>
              </w:rPr>
              <w:t>Grandiflora</w:t>
            </w:r>
          </w:p>
        </w:tc>
        <w:tc>
          <w:tcPr>
            <w:tcW w:w="1898" w:type="dxa"/>
          </w:tcPr>
          <w:p w14:paraId="59DCC959" w14:textId="77777777" w:rsidR="00C46175" w:rsidRPr="00D93FF9" w:rsidRDefault="00E811B8" w:rsidP="002F55F0">
            <w:pPr>
              <w:pStyle w:val="TableParagraph"/>
              <w:spacing w:before="0" w:after="0"/>
              <w:jc w:val="center"/>
              <w:rPr>
                <w:sz w:val="16"/>
                <w:lang w:val="en-GB"/>
              </w:rPr>
            </w:pPr>
            <w:r w:rsidRPr="00D93FF9">
              <w:rPr>
                <w:sz w:val="16"/>
                <w:lang w:val="en-GB"/>
              </w:rPr>
              <w:t>7.0</w:t>
            </w:r>
          </w:p>
        </w:tc>
        <w:tc>
          <w:tcPr>
            <w:tcW w:w="2097" w:type="dxa"/>
          </w:tcPr>
          <w:p w14:paraId="59DCC95A"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95B"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95C"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95D"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95E"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968" w14:textId="77777777" w:rsidTr="002F55F0">
        <w:trPr>
          <w:trHeight w:val="228"/>
        </w:trPr>
        <w:tc>
          <w:tcPr>
            <w:tcW w:w="2147" w:type="dxa"/>
          </w:tcPr>
          <w:p w14:paraId="59DCC960" w14:textId="77777777" w:rsidR="00712309" w:rsidRPr="00D93FF9" w:rsidRDefault="00E811B8" w:rsidP="00712309">
            <w:pPr>
              <w:pStyle w:val="TableParagraph"/>
              <w:spacing w:before="0" w:after="0"/>
              <w:rPr>
                <w:sz w:val="16"/>
                <w:lang w:val="en-GB"/>
              </w:rPr>
            </w:pPr>
            <w:r w:rsidRPr="00D93FF9">
              <w:rPr>
                <w:sz w:val="16"/>
              </w:rPr>
              <w:t>Heavenly bamboo</w:t>
            </w:r>
          </w:p>
        </w:tc>
        <w:tc>
          <w:tcPr>
            <w:tcW w:w="2980" w:type="dxa"/>
          </w:tcPr>
          <w:p w14:paraId="59DCC961" w14:textId="77777777" w:rsidR="00712309" w:rsidRPr="00D93FF9" w:rsidRDefault="00E811B8" w:rsidP="00712309">
            <w:pPr>
              <w:pStyle w:val="TableParagraph"/>
              <w:spacing w:before="0" w:after="0"/>
              <w:rPr>
                <w:i/>
                <w:sz w:val="16"/>
                <w:lang w:val="en-GB"/>
              </w:rPr>
            </w:pPr>
            <w:r w:rsidRPr="00D93FF9">
              <w:rPr>
                <w:i/>
                <w:sz w:val="16"/>
              </w:rPr>
              <w:t>Handina domestica</w:t>
            </w:r>
          </w:p>
        </w:tc>
        <w:tc>
          <w:tcPr>
            <w:tcW w:w="1898" w:type="dxa"/>
          </w:tcPr>
          <w:p w14:paraId="59DCC962" w14:textId="77777777" w:rsidR="00712309" w:rsidRPr="00D93FF9" w:rsidRDefault="00E811B8" w:rsidP="002F55F0">
            <w:pPr>
              <w:pStyle w:val="TableParagraph"/>
              <w:spacing w:before="0" w:after="0"/>
              <w:jc w:val="center"/>
              <w:rPr>
                <w:sz w:val="16"/>
                <w:lang w:val="en-GB"/>
              </w:rPr>
            </w:pPr>
            <w:r w:rsidRPr="00D93FF9">
              <w:rPr>
                <w:sz w:val="16"/>
              </w:rPr>
              <w:t>1.0</w:t>
            </w:r>
          </w:p>
        </w:tc>
        <w:tc>
          <w:tcPr>
            <w:tcW w:w="2097" w:type="dxa"/>
          </w:tcPr>
          <w:p w14:paraId="59DCC963" w14:textId="77777777" w:rsidR="00712309" w:rsidRPr="00D93FF9" w:rsidRDefault="00712309" w:rsidP="002F55F0">
            <w:pPr>
              <w:pStyle w:val="TableParagraph"/>
              <w:spacing w:before="0" w:after="0"/>
              <w:jc w:val="center"/>
              <w:rPr>
                <w:rFonts w:ascii="Times New Roman"/>
                <w:sz w:val="14"/>
                <w:lang w:val="en-GB"/>
              </w:rPr>
            </w:pPr>
          </w:p>
        </w:tc>
        <w:tc>
          <w:tcPr>
            <w:tcW w:w="985" w:type="dxa"/>
          </w:tcPr>
          <w:p w14:paraId="59DCC964" w14:textId="77777777" w:rsidR="00712309" w:rsidRPr="00D93FF9" w:rsidRDefault="00712309" w:rsidP="002F55F0">
            <w:pPr>
              <w:pStyle w:val="TableParagraph"/>
              <w:spacing w:before="0" w:after="0"/>
              <w:jc w:val="center"/>
              <w:rPr>
                <w:rFonts w:ascii="Times New Roman"/>
                <w:sz w:val="14"/>
                <w:lang w:val="en-GB"/>
              </w:rPr>
            </w:pPr>
          </w:p>
        </w:tc>
        <w:tc>
          <w:tcPr>
            <w:tcW w:w="1041" w:type="dxa"/>
          </w:tcPr>
          <w:p w14:paraId="59DCC965" w14:textId="77777777" w:rsidR="00712309" w:rsidRPr="00D93FF9" w:rsidRDefault="00712309" w:rsidP="002F55F0">
            <w:pPr>
              <w:pStyle w:val="TableParagraph"/>
              <w:spacing w:before="0" w:after="0"/>
              <w:jc w:val="center"/>
              <w:rPr>
                <w:rFonts w:ascii="Times New Roman"/>
                <w:sz w:val="14"/>
                <w:lang w:val="en-GB"/>
              </w:rPr>
            </w:pPr>
          </w:p>
        </w:tc>
        <w:tc>
          <w:tcPr>
            <w:tcW w:w="1135" w:type="dxa"/>
          </w:tcPr>
          <w:p w14:paraId="59DCC966" w14:textId="77777777" w:rsidR="00712309" w:rsidRPr="00D93FF9" w:rsidRDefault="00712309" w:rsidP="002F55F0">
            <w:pPr>
              <w:pStyle w:val="TableParagraph"/>
              <w:spacing w:before="0" w:after="0"/>
              <w:jc w:val="center"/>
              <w:rPr>
                <w:rFonts w:ascii="Times New Roman"/>
                <w:sz w:val="14"/>
                <w:lang w:val="en-GB"/>
              </w:rPr>
            </w:pPr>
          </w:p>
        </w:tc>
        <w:tc>
          <w:tcPr>
            <w:tcW w:w="1168" w:type="dxa"/>
          </w:tcPr>
          <w:p w14:paraId="59DCC967" w14:textId="77777777" w:rsidR="00712309" w:rsidRPr="00D93FF9" w:rsidRDefault="00E811B8" w:rsidP="002F55F0">
            <w:pPr>
              <w:pStyle w:val="TableParagraph"/>
              <w:spacing w:before="0" w:after="0"/>
              <w:jc w:val="center"/>
              <w:rPr>
                <w:sz w:val="16"/>
                <w:lang w:val="en-GB"/>
              </w:rPr>
            </w:pPr>
            <w:r w:rsidRPr="00D93FF9">
              <w:rPr>
                <w:sz w:val="16"/>
              </w:rPr>
              <w:t>6</w:t>
            </w:r>
          </w:p>
        </w:tc>
      </w:tr>
      <w:tr w:rsidR="00BE3AA8" w:rsidRPr="00D93FF9" w14:paraId="59DCC971" w14:textId="77777777" w:rsidTr="002F55F0">
        <w:trPr>
          <w:trHeight w:val="228"/>
        </w:trPr>
        <w:tc>
          <w:tcPr>
            <w:tcW w:w="2147" w:type="dxa"/>
          </w:tcPr>
          <w:p w14:paraId="59DCC969" w14:textId="77777777" w:rsidR="00712309" w:rsidRPr="00D93FF9" w:rsidRDefault="00E811B8" w:rsidP="00712309">
            <w:pPr>
              <w:pStyle w:val="TableParagraph"/>
              <w:spacing w:before="0" w:after="0"/>
              <w:rPr>
                <w:sz w:val="16"/>
                <w:lang w:val="en-GB"/>
              </w:rPr>
            </w:pPr>
            <w:r w:rsidRPr="00D93FF9">
              <w:rPr>
                <w:sz w:val="16"/>
              </w:rPr>
              <w:t>Hibiscus</w:t>
            </w:r>
          </w:p>
        </w:tc>
        <w:tc>
          <w:tcPr>
            <w:tcW w:w="2980" w:type="dxa"/>
          </w:tcPr>
          <w:p w14:paraId="59DCC96A" w14:textId="77777777" w:rsidR="00712309" w:rsidRPr="00D93FF9" w:rsidRDefault="00E811B8" w:rsidP="00712309">
            <w:pPr>
              <w:pStyle w:val="TableParagraph"/>
              <w:spacing w:before="0" w:after="0"/>
              <w:rPr>
                <w:i/>
                <w:sz w:val="16"/>
                <w:lang w:val="en-GB"/>
              </w:rPr>
            </w:pPr>
            <w:r w:rsidRPr="00D93FF9">
              <w:rPr>
                <w:i/>
                <w:sz w:val="16"/>
              </w:rPr>
              <w:t xml:space="preserve">Hibiscus rosa-sinensis </w:t>
            </w:r>
            <w:r w:rsidRPr="00D93FF9">
              <w:rPr>
                <w:sz w:val="16"/>
              </w:rPr>
              <w:t xml:space="preserve">cv. </w:t>
            </w:r>
            <w:r w:rsidRPr="00D93FF9">
              <w:rPr>
                <w:i/>
                <w:sz w:val="16"/>
              </w:rPr>
              <w:t>Brilliante</w:t>
            </w:r>
          </w:p>
        </w:tc>
        <w:tc>
          <w:tcPr>
            <w:tcW w:w="1898" w:type="dxa"/>
          </w:tcPr>
          <w:p w14:paraId="59DCC96B" w14:textId="77777777" w:rsidR="00712309" w:rsidRPr="00D93FF9" w:rsidRDefault="00E811B8" w:rsidP="002F55F0">
            <w:pPr>
              <w:pStyle w:val="TableParagraph"/>
              <w:spacing w:before="0" w:after="0"/>
              <w:jc w:val="center"/>
              <w:rPr>
                <w:sz w:val="16"/>
                <w:lang w:val="en-GB"/>
              </w:rPr>
            </w:pPr>
            <w:r w:rsidRPr="00D93FF9">
              <w:rPr>
                <w:sz w:val="16"/>
              </w:rPr>
              <w:t>1.0</w:t>
            </w:r>
          </w:p>
        </w:tc>
        <w:tc>
          <w:tcPr>
            <w:tcW w:w="2097" w:type="dxa"/>
          </w:tcPr>
          <w:p w14:paraId="59DCC96C" w14:textId="77777777" w:rsidR="00712309" w:rsidRPr="00D93FF9" w:rsidRDefault="00712309" w:rsidP="002F55F0">
            <w:pPr>
              <w:pStyle w:val="TableParagraph"/>
              <w:spacing w:before="0" w:after="0"/>
              <w:jc w:val="center"/>
              <w:rPr>
                <w:rFonts w:ascii="Times New Roman"/>
                <w:sz w:val="14"/>
                <w:lang w:val="en-GB"/>
              </w:rPr>
            </w:pPr>
          </w:p>
        </w:tc>
        <w:tc>
          <w:tcPr>
            <w:tcW w:w="985" w:type="dxa"/>
          </w:tcPr>
          <w:p w14:paraId="59DCC96D" w14:textId="77777777" w:rsidR="00712309" w:rsidRPr="00D93FF9" w:rsidRDefault="00712309" w:rsidP="002F55F0">
            <w:pPr>
              <w:pStyle w:val="TableParagraph"/>
              <w:spacing w:before="0" w:after="0"/>
              <w:jc w:val="center"/>
              <w:rPr>
                <w:rFonts w:ascii="Times New Roman"/>
                <w:sz w:val="14"/>
                <w:lang w:val="en-GB"/>
              </w:rPr>
            </w:pPr>
          </w:p>
        </w:tc>
        <w:tc>
          <w:tcPr>
            <w:tcW w:w="1041" w:type="dxa"/>
          </w:tcPr>
          <w:p w14:paraId="59DCC96E" w14:textId="77777777" w:rsidR="00712309" w:rsidRPr="00D93FF9" w:rsidRDefault="00712309" w:rsidP="002F55F0">
            <w:pPr>
              <w:pStyle w:val="TableParagraph"/>
              <w:spacing w:before="0" w:after="0"/>
              <w:jc w:val="center"/>
              <w:rPr>
                <w:rFonts w:ascii="Times New Roman"/>
                <w:sz w:val="14"/>
                <w:lang w:val="en-GB"/>
              </w:rPr>
            </w:pPr>
          </w:p>
        </w:tc>
        <w:tc>
          <w:tcPr>
            <w:tcW w:w="1135" w:type="dxa"/>
          </w:tcPr>
          <w:p w14:paraId="59DCC96F" w14:textId="77777777" w:rsidR="00712309" w:rsidRPr="00D93FF9" w:rsidRDefault="00712309" w:rsidP="002F55F0">
            <w:pPr>
              <w:pStyle w:val="TableParagraph"/>
              <w:spacing w:before="0" w:after="0"/>
              <w:jc w:val="center"/>
              <w:rPr>
                <w:rFonts w:ascii="Times New Roman"/>
                <w:sz w:val="14"/>
                <w:lang w:val="en-GB"/>
              </w:rPr>
            </w:pPr>
          </w:p>
        </w:tc>
        <w:tc>
          <w:tcPr>
            <w:tcW w:w="1168" w:type="dxa"/>
          </w:tcPr>
          <w:p w14:paraId="59DCC970" w14:textId="77777777" w:rsidR="00712309" w:rsidRPr="00D93FF9" w:rsidRDefault="00E811B8" w:rsidP="002F55F0">
            <w:pPr>
              <w:pStyle w:val="TableParagraph"/>
              <w:spacing w:before="0" w:after="0"/>
              <w:jc w:val="center"/>
              <w:rPr>
                <w:sz w:val="16"/>
                <w:lang w:val="en-GB"/>
              </w:rPr>
            </w:pPr>
            <w:r w:rsidRPr="00D93FF9">
              <w:rPr>
                <w:sz w:val="16"/>
              </w:rPr>
              <w:t>6</w:t>
            </w:r>
          </w:p>
        </w:tc>
      </w:tr>
      <w:tr w:rsidR="00BE3AA8" w:rsidRPr="00D93FF9" w14:paraId="59DCC97A" w14:textId="77777777" w:rsidTr="002F55F0">
        <w:trPr>
          <w:trHeight w:val="228"/>
        </w:trPr>
        <w:tc>
          <w:tcPr>
            <w:tcW w:w="2147" w:type="dxa"/>
          </w:tcPr>
          <w:p w14:paraId="59DCC972" w14:textId="77777777" w:rsidR="00712309" w:rsidRPr="00D93FF9" w:rsidRDefault="00E811B8" w:rsidP="00712309">
            <w:pPr>
              <w:pStyle w:val="TableParagraph"/>
              <w:spacing w:before="0" w:after="0"/>
              <w:rPr>
                <w:sz w:val="16"/>
                <w:lang w:val="en-GB"/>
              </w:rPr>
            </w:pPr>
            <w:r w:rsidRPr="00D93FF9">
              <w:rPr>
                <w:sz w:val="16"/>
              </w:rPr>
              <w:t>Juniper</w:t>
            </w:r>
          </w:p>
        </w:tc>
        <w:tc>
          <w:tcPr>
            <w:tcW w:w="2980" w:type="dxa"/>
          </w:tcPr>
          <w:p w14:paraId="59DCC973" w14:textId="77777777" w:rsidR="00712309" w:rsidRPr="00D93FF9" w:rsidRDefault="00E811B8" w:rsidP="00712309">
            <w:pPr>
              <w:pStyle w:val="TableParagraph"/>
              <w:spacing w:before="0" w:after="0"/>
              <w:rPr>
                <w:i/>
                <w:sz w:val="16"/>
                <w:lang w:val="en-GB"/>
              </w:rPr>
            </w:pPr>
            <w:r w:rsidRPr="00D93FF9">
              <w:rPr>
                <w:i/>
                <w:sz w:val="16"/>
              </w:rPr>
              <w:t>Juniperus chinensis</w:t>
            </w:r>
          </w:p>
        </w:tc>
        <w:tc>
          <w:tcPr>
            <w:tcW w:w="1898" w:type="dxa"/>
          </w:tcPr>
          <w:p w14:paraId="59DCC974" w14:textId="77777777" w:rsidR="00712309" w:rsidRPr="00D93FF9" w:rsidRDefault="00E811B8" w:rsidP="002F55F0">
            <w:pPr>
              <w:pStyle w:val="TableParagraph"/>
              <w:spacing w:before="0" w:after="0"/>
              <w:jc w:val="center"/>
              <w:rPr>
                <w:sz w:val="16"/>
                <w:lang w:val="en-GB"/>
              </w:rPr>
            </w:pPr>
            <w:r w:rsidRPr="00D93FF9">
              <w:rPr>
                <w:sz w:val="16"/>
              </w:rPr>
              <w:t>1.5</w:t>
            </w:r>
          </w:p>
        </w:tc>
        <w:tc>
          <w:tcPr>
            <w:tcW w:w="2097" w:type="dxa"/>
          </w:tcPr>
          <w:p w14:paraId="59DCC975" w14:textId="77777777" w:rsidR="00712309" w:rsidRPr="00D93FF9" w:rsidRDefault="00E811B8" w:rsidP="002F55F0">
            <w:pPr>
              <w:pStyle w:val="TableParagraph"/>
              <w:spacing w:before="0" w:after="0"/>
              <w:jc w:val="center"/>
              <w:rPr>
                <w:rFonts w:ascii="Times New Roman"/>
                <w:sz w:val="14"/>
                <w:lang w:val="en-GB"/>
              </w:rPr>
            </w:pPr>
            <w:r w:rsidRPr="00D93FF9">
              <w:rPr>
                <w:sz w:val="16"/>
              </w:rPr>
              <w:t>9.5</w:t>
            </w:r>
          </w:p>
        </w:tc>
        <w:tc>
          <w:tcPr>
            <w:tcW w:w="985" w:type="dxa"/>
          </w:tcPr>
          <w:p w14:paraId="59DCC976" w14:textId="77777777" w:rsidR="00712309" w:rsidRPr="00D93FF9" w:rsidRDefault="00E811B8" w:rsidP="002F55F0">
            <w:pPr>
              <w:pStyle w:val="TableParagraph"/>
              <w:spacing w:before="0" w:after="0"/>
              <w:jc w:val="center"/>
              <w:rPr>
                <w:rFonts w:ascii="Times New Roman"/>
                <w:sz w:val="14"/>
                <w:lang w:val="en-GB"/>
              </w:rPr>
            </w:pPr>
            <w:r w:rsidRPr="00D93FF9">
              <w:rPr>
                <w:sz w:val="16"/>
              </w:rPr>
              <w:t>2.6</w:t>
            </w:r>
          </w:p>
        </w:tc>
        <w:tc>
          <w:tcPr>
            <w:tcW w:w="1041" w:type="dxa"/>
          </w:tcPr>
          <w:p w14:paraId="59DCC977" w14:textId="77777777" w:rsidR="00712309" w:rsidRPr="00D93FF9" w:rsidRDefault="00E811B8" w:rsidP="002F55F0">
            <w:pPr>
              <w:pStyle w:val="TableParagraph"/>
              <w:spacing w:before="0" w:after="0"/>
              <w:jc w:val="center"/>
              <w:rPr>
                <w:rFonts w:ascii="Times New Roman"/>
                <w:sz w:val="14"/>
                <w:lang w:val="en-GB"/>
              </w:rPr>
            </w:pPr>
            <w:r w:rsidRPr="00D93FF9">
              <w:rPr>
                <w:sz w:val="16"/>
              </w:rPr>
              <w:t>4.1</w:t>
            </w:r>
          </w:p>
        </w:tc>
        <w:tc>
          <w:tcPr>
            <w:tcW w:w="1135" w:type="dxa"/>
          </w:tcPr>
          <w:p w14:paraId="59DCC978" w14:textId="77777777" w:rsidR="00712309" w:rsidRPr="00D93FF9" w:rsidRDefault="00E811B8" w:rsidP="002F55F0">
            <w:pPr>
              <w:pStyle w:val="TableParagraph"/>
              <w:spacing w:before="0" w:after="0"/>
              <w:jc w:val="center"/>
              <w:rPr>
                <w:rFonts w:ascii="Times New Roman"/>
                <w:sz w:val="14"/>
                <w:lang w:val="en-GB"/>
              </w:rPr>
            </w:pPr>
            <w:r w:rsidRPr="00D93FF9">
              <w:rPr>
                <w:sz w:val="16"/>
              </w:rPr>
              <w:t>6.8</w:t>
            </w:r>
          </w:p>
        </w:tc>
        <w:tc>
          <w:tcPr>
            <w:tcW w:w="1168" w:type="dxa"/>
          </w:tcPr>
          <w:p w14:paraId="59DCC979" w14:textId="77777777" w:rsidR="00712309" w:rsidRPr="00D93FF9" w:rsidRDefault="00E811B8" w:rsidP="002F55F0">
            <w:pPr>
              <w:pStyle w:val="TableParagraph"/>
              <w:spacing w:before="0" w:after="0"/>
              <w:jc w:val="center"/>
              <w:rPr>
                <w:sz w:val="16"/>
                <w:lang w:val="en-GB"/>
              </w:rPr>
            </w:pPr>
            <w:r w:rsidRPr="00D93FF9">
              <w:rPr>
                <w:sz w:val="16"/>
              </w:rPr>
              <w:t>1</w:t>
            </w:r>
          </w:p>
        </w:tc>
      </w:tr>
      <w:tr w:rsidR="00BE3AA8" w:rsidRPr="00D93FF9" w14:paraId="59DCC983" w14:textId="77777777" w:rsidTr="002F55F0">
        <w:trPr>
          <w:trHeight w:val="228"/>
        </w:trPr>
        <w:tc>
          <w:tcPr>
            <w:tcW w:w="2147" w:type="dxa"/>
          </w:tcPr>
          <w:p w14:paraId="59DCC97B" w14:textId="77777777" w:rsidR="00712309" w:rsidRPr="00D93FF9" w:rsidRDefault="00E811B8" w:rsidP="00712309">
            <w:pPr>
              <w:pStyle w:val="TableParagraph"/>
              <w:spacing w:before="0" w:after="0"/>
              <w:rPr>
                <w:sz w:val="16"/>
                <w:lang w:val="en-GB"/>
              </w:rPr>
            </w:pPr>
            <w:r w:rsidRPr="00D93FF9">
              <w:rPr>
                <w:sz w:val="16"/>
              </w:rPr>
              <w:t>Lantana</w:t>
            </w:r>
          </w:p>
        </w:tc>
        <w:tc>
          <w:tcPr>
            <w:tcW w:w="2980" w:type="dxa"/>
          </w:tcPr>
          <w:p w14:paraId="59DCC97C" w14:textId="77777777" w:rsidR="00712309" w:rsidRPr="00D93FF9" w:rsidRDefault="00E811B8" w:rsidP="00712309">
            <w:pPr>
              <w:pStyle w:val="TableParagraph"/>
              <w:spacing w:before="0" w:after="0"/>
              <w:rPr>
                <w:i/>
                <w:sz w:val="16"/>
                <w:lang w:val="en-GB"/>
              </w:rPr>
            </w:pPr>
            <w:r w:rsidRPr="00D93FF9">
              <w:rPr>
                <w:i/>
                <w:sz w:val="16"/>
              </w:rPr>
              <w:t>Lantana camera</w:t>
            </w:r>
          </w:p>
        </w:tc>
        <w:tc>
          <w:tcPr>
            <w:tcW w:w="1898" w:type="dxa"/>
          </w:tcPr>
          <w:p w14:paraId="59DCC97D" w14:textId="77777777" w:rsidR="00712309" w:rsidRPr="00D93FF9" w:rsidRDefault="00E811B8" w:rsidP="002F55F0">
            <w:pPr>
              <w:pStyle w:val="TableParagraph"/>
              <w:spacing w:before="0" w:after="0"/>
              <w:jc w:val="center"/>
              <w:rPr>
                <w:sz w:val="16"/>
                <w:lang w:val="en-GB"/>
              </w:rPr>
            </w:pPr>
            <w:r w:rsidRPr="00D93FF9">
              <w:rPr>
                <w:sz w:val="16"/>
              </w:rPr>
              <w:t>1.8</w:t>
            </w:r>
          </w:p>
        </w:tc>
        <w:tc>
          <w:tcPr>
            <w:tcW w:w="2097" w:type="dxa"/>
          </w:tcPr>
          <w:p w14:paraId="59DCC97E" w14:textId="77777777" w:rsidR="00712309" w:rsidRPr="00D93FF9" w:rsidRDefault="00712309" w:rsidP="002F55F0">
            <w:pPr>
              <w:pStyle w:val="TableParagraph"/>
              <w:spacing w:before="0" w:after="0"/>
              <w:jc w:val="center"/>
              <w:rPr>
                <w:rFonts w:ascii="Times New Roman"/>
                <w:sz w:val="14"/>
                <w:lang w:val="en-GB"/>
              </w:rPr>
            </w:pPr>
          </w:p>
        </w:tc>
        <w:tc>
          <w:tcPr>
            <w:tcW w:w="985" w:type="dxa"/>
          </w:tcPr>
          <w:p w14:paraId="59DCC97F" w14:textId="77777777" w:rsidR="00712309" w:rsidRPr="00D93FF9" w:rsidRDefault="00712309" w:rsidP="002F55F0">
            <w:pPr>
              <w:pStyle w:val="TableParagraph"/>
              <w:spacing w:before="0" w:after="0"/>
              <w:jc w:val="center"/>
              <w:rPr>
                <w:rFonts w:ascii="Times New Roman"/>
                <w:sz w:val="14"/>
                <w:lang w:val="en-GB"/>
              </w:rPr>
            </w:pPr>
          </w:p>
        </w:tc>
        <w:tc>
          <w:tcPr>
            <w:tcW w:w="1041" w:type="dxa"/>
          </w:tcPr>
          <w:p w14:paraId="59DCC980" w14:textId="77777777" w:rsidR="00712309" w:rsidRPr="00D93FF9" w:rsidRDefault="00712309" w:rsidP="002F55F0">
            <w:pPr>
              <w:pStyle w:val="TableParagraph"/>
              <w:spacing w:before="0" w:after="0"/>
              <w:jc w:val="center"/>
              <w:rPr>
                <w:rFonts w:ascii="Times New Roman"/>
                <w:sz w:val="14"/>
                <w:lang w:val="en-GB"/>
              </w:rPr>
            </w:pPr>
          </w:p>
        </w:tc>
        <w:tc>
          <w:tcPr>
            <w:tcW w:w="1135" w:type="dxa"/>
          </w:tcPr>
          <w:p w14:paraId="59DCC981" w14:textId="77777777" w:rsidR="00712309" w:rsidRPr="00D93FF9" w:rsidRDefault="00712309" w:rsidP="002F55F0">
            <w:pPr>
              <w:pStyle w:val="TableParagraph"/>
              <w:spacing w:before="0" w:after="0"/>
              <w:jc w:val="center"/>
              <w:rPr>
                <w:rFonts w:ascii="Times New Roman"/>
                <w:sz w:val="14"/>
                <w:lang w:val="en-GB"/>
              </w:rPr>
            </w:pPr>
          </w:p>
        </w:tc>
        <w:tc>
          <w:tcPr>
            <w:tcW w:w="1168" w:type="dxa"/>
          </w:tcPr>
          <w:p w14:paraId="59DCC982" w14:textId="77777777" w:rsidR="00712309" w:rsidRPr="00D93FF9" w:rsidRDefault="00E811B8" w:rsidP="002F55F0">
            <w:pPr>
              <w:pStyle w:val="TableParagraph"/>
              <w:spacing w:before="0" w:after="0"/>
              <w:jc w:val="center"/>
              <w:rPr>
                <w:sz w:val="16"/>
                <w:lang w:val="en-GB"/>
              </w:rPr>
            </w:pPr>
            <w:r w:rsidRPr="00D93FF9">
              <w:rPr>
                <w:sz w:val="16"/>
              </w:rPr>
              <w:t>1</w:t>
            </w:r>
          </w:p>
        </w:tc>
      </w:tr>
      <w:tr w:rsidR="00BE3AA8" w:rsidRPr="00D93FF9" w14:paraId="59DCC98C" w14:textId="77777777" w:rsidTr="002F55F0">
        <w:trPr>
          <w:trHeight w:val="228"/>
        </w:trPr>
        <w:tc>
          <w:tcPr>
            <w:tcW w:w="2147" w:type="dxa"/>
          </w:tcPr>
          <w:p w14:paraId="59DCC984" w14:textId="77777777" w:rsidR="00712309" w:rsidRPr="00D93FF9" w:rsidRDefault="00E811B8" w:rsidP="00712309">
            <w:pPr>
              <w:pStyle w:val="TableParagraph"/>
              <w:spacing w:before="0" w:after="0"/>
              <w:rPr>
                <w:sz w:val="16"/>
                <w:lang w:val="en-GB"/>
              </w:rPr>
            </w:pPr>
            <w:r w:rsidRPr="00D93FF9">
              <w:rPr>
                <w:sz w:val="16"/>
              </w:rPr>
              <w:t>Oleander</w:t>
            </w:r>
          </w:p>
        </w:tc>
        <w:tc>
          <w:tcPr>
            <w:tcW w:w="2980" w:type="dxa"/>
          </w:tcPr>
          <w:p w14:paraId="59DCC985" w14:textId="77777777" w:rsidR="00712309" w:rsidRPr="00D93FF9" w:rsidRDefault="00E811B8" w:rsidP="00712309">
            <w:pPr>
              <w:pStyle w:val="TableParagraph"/>
              <w:spacing w:before="0" w:after="0"/>
              <w:rPr>
                <w:i/>
                <w:sz w:val="16"/>
                <w:lang w:val="en-GB"/>
              </w:rPr>
            </w:pPr>
            <w:r w:rsidRPr="00D93FF9">
              <w:rPr>
                <w:i/>
                <w:sz w:val="16"/>
              </w:rPr>
              <w:t>Nerium oleander</w:t>
            </w:r>
          </w:p>
        </w:tc>
        <w:tc>
          <w:tcPr>
            <w:tcW w:w="1898" w:type="dxa"/>
          </w:tcPr>
          <w:p w14:paraId="59DCC986" w14:textId="77777777" w:rsidR="00712309" w:rsidRPr="00D93FF9" w:rsidRDefault="00E811B8" w:rsidP="002F55F0">
            <w:pPr>
              <w:pStyle w:val="TableParagraph"/>
              <w:spacing w:before="0" w:after="0"/>
              <w:jc w:val="center"/>
              <w:rPr>
                <w:sz w:val="16"/>
                <w:lang w:val="en-GB"/>
              </w:rPr>
            </w:pPr>
            <w:r w:rsidRPr="00D93FF9">
              <w:rPr>
                <w:sz w:val="16"/>
              </w:rPr>
              <w:t>2.0</w:t>
            </w:r>
          </w:p>
        </w:tc>
        <w:tc>
          <w:tcPr>
            <w:tcW w:w="2097" w:type="dxa"/>
          </w:tcPr>
          <w:p w14:paraId="59DCC987" w14:textId="77777777" w:rsidR="00712309" w:rsidRPr="00D93FF9" w:rsidRDefault="00E811B8" w:rsidP="002F55F0">
            <w:pPr>
              <w:pStyle w:val="TableParagraph"/>
              <w:spacing w:before="0" w:after="0"/>
              <w:jc w:val="center"/>
              <w:rPr>
                <w:rFonts w:ascii="Times New Roman"/>
                <w:sz w:val="14"/>
                <w:lang w:val="en-GB"/>
              </w:rPr>
            </w:pPr>
            <w:r w:rsidRPr="00D93FF9">
              <w:rPr>
                <w:sz w:val="16"/>
              </w:rPr>
              <w:t>21.0</w:t>
            </w:r>
          </w:p>
        </w:tc>
        <w:tc>
          <w:tcPr>
            <w:tcW w:w="985" w:type="dxa"/>
          </w:tcPr>
          <w:p w14:paraId="59DCC988" w14:textId="77777777" w:rsidR="00712309" w:rsidRPr="00D93FF9" w:rsidRDefault="00E811B8" w:rsidP="002F55F0">
            <w:pPr>
              <w:pStyle w:val="TableParagraph"/>
              <w:spacing w:before="0" w:after="0"/>
              <w:jc w:val="center"/>
              <w:rPr>
                <w:rFonts w:ascii="Times New Roman"/>
                <w:sz w:val="14"/>
                <w:lang w:val="en-GB"/>
              </w:rPr>
            </w:pPr>
            <w:r w:rsidRPr="00D93FF9">
              <w:rPr>
                <w:sz w:val="16"/>
              </w:rPr>
              <w:t>2.5</w:t>
            </w:r>
          </w:p>
        </w:tc>
        <w:tc>
          <w:tcPr>
            <w:tcW w:w="1041" w:type="dxa"/>
          </w:tcPr>
          <w:p w14:paraId="59DCC989" w14:textId="77777777" w:rsidR="00712309" w:rsidRPr="00D93FF9" w:rsidRDefault="00E811B8" w:rsidP="002F55F0">
            <w:pPr>
              <w:pStyle w:val="TableParagraph"/>
              <w:spacing w:before="0" w:after="0"/>
              <w:jc w:val="center"/>
              <w:rPr>
                <w:rFonts w:ascii="Times New Roman"/>
                <w:sz w:val="14"/>
                <w:lang w:val="en-GB"/>
              </w:rPr>
            </w:pPr>
            <w:r w:rsidRPr="00D93FF9">
              <w:rPr>
                <w:sz w:val="16"/>
              </w:rPr>
              <w:t>3.2</w:t>
            </w:r>
          </w:p>
        </w:tc>
        <w:tc>
          <w:tcPr>
            <w:tcW w:w="1135" w:type="dxa"/>
          </w:tcPr>
          <w:p w14:paraId="59DCC98A" w14:textId="77777777" w:rsidR="00712309" w:rsidRPr="00D93FF9" w:rsidRDefault="00E811B8" w:rsidP="002F55F0">
            <w:pPr>
              <w:pStyle w:val="TableParagraph"/>
              <w:spacing w:before="0" w:after="0"/>
              <w:jc w:val="center"/>
              <w:rPr>
                <w:rFonts w:ascii="Times New Roman"/>
                <w:sz w:val="14"/>
                <w:lang w:val="en-GB"/>
              </w:rPr>
            </w:pPr>
            <w:r w:rsidRPr="00D93FF9">
              <w:rPr>
                <w:sz w:val="16"/>
              </w:rPr>
              <w:t>4.4</w:t>
            </w:r>
          </w:p>
        </w:tc>
        <w:tc>
          <w:tcPr>
            <w:tcW w:w="1168" w:type="dxa"/>
          </w:tcPr>
          <w:p w14:paraId="59DCC98B" w14:textId="77777777" w:rsidR="00712309" w:rsidRPr="00D93FF9" w:rsidRDefault="00E811B8" w:rsidP="002F55F0">
            <w:pPr>
              <w:pStyle w:val="TableParagraph"/>
              <w:spacing w:before="0" w:after="0"/>
              <w:jc w:val="center"/>
              <w:rPr>
                <w:sz w:val="16"/>
                <w:lang w:val="en-GB"/>
              </w:rPr>
            </w:pPr>
            <w:r w:rsidRPr="00D93FF9">
              <w:rPr>
                <w:sz w:val="16"/>
              </w:rPr>
              <w:t>1</w:t>
            </w:r>
          </w:p>
        </w:tc>
      </w:tr>
      <w:tr w:rsidR="00BE3AA8" w:rsidRPr="00D93FF9" w14:paraId="59DCC995" w14:textId="77777777" w:rsidTr="002F55F0">
        <w:trPr>
          <w:trHeight w:val="228"/>
        </w:trPr>
        <w:tc>
          <w:tcPr>
            <w:tcW w:w="2147" w:type="dxa"/>
          </w:tcPr>
          <w:p w14:paraId="59DCC98D" w14:textId="77777777" w:rsidR="00712309" w:rsidRPr="00D93FF9" w:rsidRDefault="00E811B8" w:rsidP="00712309">
            <w:pPr>
              <w:pStyle w:val="TableParagraph"/>
              <w:spacing w:before="0" w:after="0"/>
              <w:rPr>
                <w:sz w:val="16"/>
                <w:lang w:val="en-GB"/>
              </w:rPr>
            </w:pPr>
            <w:r w:rsidRPr="00D93FF9">
              <w:rPr>
                <w:sz w:val="16"/>
              </w:rPr>
              <w:t>Pittosporum</w:t>
            </w:r>
          </w:p>
        </w:tc>
        <w:tc>
          <w:tcPr>
            <w:tcW w:w="2980" w:type="dxa"/>
          </w:tcPr>
          <w:p w14:paraId="59DCC98E" w14:textId="77777777" w:rsidR="00712309" w:rsidRPr="00D93FF9" w:rsidRDefault="00E811B8" w:rsidP="00712309">
            <w:pPr>
              <w:pStyle w:val="TableParagraph"/>
              <w:spacing w:before="0" w:after="0"/>
              <w:rPr>
                <w:i/>
                <w:sz w:val="16"/>
                <w:lang w:val="en-GB"/>
              </w:rPr>
            </w:pPr>
            <w:r w:rsidRPr="00D93FF9">
              <w:rPr>
                <w:i/>
                <w:sz w:val="16"/>
              </w:rPr>
              <w:t>Pittosporum tobira</w:t>
            </w:r>
          </w:p>
        </w:tc>
        <w:tc>
          <w:tcPr>
            <w:tcW w:w="1898" w:type="dxa"/>
          </w:tcPr>
          <w:p w14:paraId="59DCC98F" w14:textId="77777777" w:rsidR="00712309" w:rsidRPr="00D93FF9" w:rsidRDefault="00E811B8" w:rsidP="002F55F0">
            <w:pPr>
              <w:pStyle w:val="TableParagraph"/>
              <w:spacing w:before="0" w:after="0"/>
              <w:jc w:val="center"/>
              <w:rPr>
                <w:sz w:val="16"/>
                <w:lang w:val="en-GB"/>
              </w:rPr>
            </w:pPr>
            <w:r w:rsidRPr="00D93FF9">
              <w:rPr>
                <w:sz w:val="16"/>
              </w:rPr>
              <w:t>1.0</w:t>
            </w:r>
          </w:p>
        </w:tc>
        <w:tc>
          <w:tcPr>
            <w:tcW w:w="2097" w:type="dxa"/>
          </w:tcPr>
          <w:p w14:paraId="59DCC990" w14:textId="77777777" w:rsidR="00712309" w:rsidRPr="00D93FF9" w:rsidRDefault="00712309" w:rsidP="002F55F0">
            <w:pPr>
              <w:pStyle w:val="TableParagraph"/>
              <w:spacing w:before="0" w:after="0"/>
              <w:jc w:val="center"/>
              <w:rPr>
                <w:rFonts w:ascii="Times New Roman"/>
                <w:sz w:val="14"/>
                <w:lang w:val="en-GB"/>
              </w:rPr>
            </w:pPr>
          </w:p>
        </w:tc>
        <w:tc>
          <w:tcPr>
            <w:tcW w:w="985" w:type="dxa"/>
          </w:tcPr>
          <w:p w14:paraId="59DCC991" w14:textId="77777777" w:rsidR="00712309" w:rsidRPr="00D93FF9" w:rsidRDefault="00712309" w:rsidP="002F55F0">
            <w:pPr>
              <w:pStyle w:val="TableParagraph"/>
              <w:spacing w:before="0" w:after="0"/>
              <w:jc w:val="center"/>
              <w:rPr>
                <w:rFonts w:ascii="Times New Roman"/>
                <w:sz w:val="14"/>
                <w:lang w:val="en-GB"/>
              </w:rPr>
            </w:pPr>
          </w:p>
        </w:tc>
        <w:tc>
          <w:tcPr>
            <w:tcW w:w="1041" w:type="dxa"/>
          </w:tcPr>
          <w:p w14:paraId="59DCC992" w14:textId="77777777" w:rsidR="00712309" w:rsidRPr="00D93FF9" w:rsidRDefault="00712309" w:rsidP="002F55F0">
            <w:pPr>
              <w:pStyle w:val="TableParagraph"/>
              <w:spacing w:before="0" w:after="0"/>
              <w:jc w:val="center"/>
              <w:rPr>
                <w:rFonts w:ascii="Times New Roman"/>
                <w:sz w:val="14"/>
                <w:lang w:val="en-GB"/>
              </w:rPr>
            </w:pPr>
          </w:p>
        </w:tc>
        <w:tc>
          <w:tcPr>
            <w:tcW w:w="1135" w:type="dxa"/>
          </w:tcPr>
          <w:p w14:paraId="59DCC993" w14:textId="77777777" w:rsidR="00712309" w:rsidRPr="00D93FF9" w:rsidRDefault="00712309" w:rsidP="002F55F0">
            <w:pPr>
              <w:pStyle w:val="TableParagraph"/>
              <w:spacing w:before="0" w:after="0"/>
              <w:jc w:val="center"/>
              <w:rPr>
                <w:rFonts w:ascii="Times New Roman"/>
                <w:sz w:val="14"/>
                <w:lang w:val="en-GB"/>
              </w:rPr>
            </w:pPr>
          </w:p>
        </w:tc>
        <w:tc>
          <w:tcPr>
            <w:tcW w:w="1168" w:type="dxa"/>
          </w:tcPr>
          <w:p w14:paraId="59DCC994" w14:textId="77777777" w:rsidR="00712309" w:rsidRPr="00D93FF9" w:rsidRDefault="00E811B8" w:rsidP="002F55F0">
            <w:pPr>
              <w:pStyle w:val="TableParagraph"/>
              <w:spacing w:before="0" w:after="0"/>
              <w:jc w:val="center"/>
              <w:rPr>
                <w:sz w:val="16"/>
                <w:lang w:val="en-GB"/>
              </w:rPr>
            </w:pPr>
            <w:r w:rsidRPr="00D93FF9">
              <w:rPr>
                <w:sz w:val="16"/>
              </w:rPr>
              <w:t>6</w:t>
            </w:r>
          </w:p>
        </w:tc>
      </w:tr>
      <w:tr w:rsidR="00BE3AA8" w:rsidRPr="00D93FF9" w14:paraId="59DCC99E" w14:textId="77777777" w:rsidTr="002F55F0">
        <w:trPr>
          <w:trHeight w:val="228"/>
        </w:trPr>
        <w:tc>
          <w:tcPr>
            <w:tcW w:w="2147" w:type="dxa"/>
          </w:tcPr>
          <w:p w14:paraId="59DCC996" w14:textId="77777777" w:rsidR="00712309" w:rsidRPr="00D93FF9" w:rsidRDefault="00E811B8" w:rsidP="00712309">
            <w:pPr>
              <w:pStyle w:val="TableParagraph"/>
              <w:spacing w:before="0" w:after="0"/>
              <w:rPr>
                <w:sz w:val="16"/>
                <w:lang w:val="en-GB"/>
              </w:rPr>
            </w:pPr>
            <w:r w:rsidRPr="00D93FF9">
              <w:rPr>
                <w:sz w:val="16"/>
              </w:rPr>
              <w:t>Privet</w:t>
            </w:r>
          </w:p>
        </w:tc>
        <w:tc>
          <w:tcPr>
            <w:tcW w:w="2980" w:type="dxa"/>
          </w:tcPr>
          <w:p w14:paraId="59DCC997" w14:textId="77777777" w:rsidR="00712309" w:rsidRPr="00D93FF9" w:rsidRDefault="00E811B8" w:rsidP="00712309">
            <w:pPr>
              <w:pStyle w:val="TableParagraph"/>
              <w:spacing w:before="0" w:after="0"/>
              <w:rPr>
                <w:i/>
                <w:sz w:val="16"/>
                <w:lang w:val="en-GB"/>
              </w:rPr>
            </w:pPr>
            <w:r w:rsidRPr="00D93FF9">
              <w:rPr>
                <w:i/>
                <w:sz w:val="16"/>
              </w:rPr>
              <w:t>Ligustrum lucidum</w:t>
            </w:r>
          </w:p>
        </w:tc>
        <w:tc>
          <w:tcPr>
            <w:tcW w:w="1898" w:type="dxa"/>
          </w:tcPr>
          <w:p w14:paraId="59DCC998" w14:textId="77777777" w:rsidR="00712309" w:rsidRPr="00D93FF9" w:rsidRDefault="00E811B8" w:rsidP="002F55F0">
            <w:pPr>
              <w:pStyle w:val="TableParagraph"/>
              <w:spacing w:before="0" w:after="0"/>
              <w:jc w:val="center"/>
              <w:rPr>
                <w:sz w:val="16"/>
                <w:lang w:val="en-GB"/>
              </w:rPr>
            </w:pPr>
            <w:r w:rsidRPr="00D93FF9">
              <w:rPr>
                <w:sz w:val="16"/>
              </w:rPr>
              <w:t>2.0</w:t>
            </w:r>
          </w:p>
        </w:tc>
        <w:tc>
          <w:tcPr>
            <w:tcW w:w="2097" w:type="dxa"/>
          </w:tcPr>
          <w:p w14:paraId="59DCC999" w14:textId="77777777" w:rsidR="00712309" w:rsidRPr="00D93FF9" w:rsidRDefault="00E811B8" w:rsidP="002F55F0">
            <w:pPr>
              <w:pStyle w:val="TableParagraph"/>
              <w:spacing w:before="0" w:after="0"/>
              <w:jc w:val="center"/>
              <w:rPr>
                <w:rFonts w:ascii="Times New Roman"/>
                <w:sz w:val="14"/>
                <w:lang w:val="en-GB"/>
              </w:rPr>
            </w:pPr>
            <w:r w:rsidRPr="00D93FF9">
              <w:rPr>
                <w:sz w:val="16"/>
              </w:rPr>
              <w:t>9.1</w:t>
            </w:r>
          </w:p>
        </w:tc>
        <w:tc>
          <w:tcPr>
            <w:tcW w:w="985" w:type="dxa"/>
          </w:tcPr>
          <w:p w14:paraId="59DCC99A" w14:textId="77777777" w:rsidR="00712309" w:rsidRPr="00D93FF9" w:rsidRDefault="00E811B8" w:rsidP="002F55F0">
            <w:pPr>
              <w:pStyle w:val="TableParagraph"/>
              <w:spacing w:before="0" w:after="0"/>
              <w:jc w:val="center"/>
              <w:rPr>
                <w:rFonts w:ascii="Times New Roman"/>
                <w:sz w:val="14"/>
                <w:lang w:val="en-GB"/>
              </w:rPr>
            </w:pPr>
            <w:r w:rsidRPr="00D93FF9">
              <w:rPr>
                <w:sz w:val="16"/>
              </w:rPr>
              <w:t>3.1</w:t>
            </w:r>
          </w:p>
        </w:tc>
        <w:tc>
          <w:tcPr>
            <w:tcW w:w="1041" w:type="dxa"/>
          </w:tcPr>
          <w:p w14:paraId="59DCC99B" w14:textId="77777777" w:rsidR="00712309" w:rsidRPr="00D93FF9" w:rsidRDefault="00E811B8" w:rsidP="002F55F0">
            <w:pPr>
              <w:pStyle w:val="TableParagraph"/>
              <w:spacing w:before="0" w:after="0"/>
              <w:jc w:val="center"/>
              <w:rPr>
                <w:rFonts w:ascii="Times New Roman"/>
                <w:sz w:val="14"/>
                <w:lang w:val="en-GB"/>
              </w:rPr>
            </w:pPr>
            <w:r w:rsidRPr="00D93FF9">
              <w:rPr>
                <w:sz w:val="16"/>
              </w:rPr>
              <w:t>4.7</w:t>
            </w:r>
          </w:p>
        </w:tc>
        <w:tc>
          <w:tcPr>
            <w:tcW w:w="1135" w:type="dxa"/>
          </w:tcPr>
          <w:p w14:paraId="59DCC99C" w14:textId="77777777" w:rsidR="00712309" w:rsidRPr="00D93FF9" w:rsidRDefault="00E811B8" w:rsidP="002F55F0">
            <w:pPr>
              <w:pStyle w:val="TableParagraph"/>
              <w:spacing w:before="0" w:after="0"/>
              <w:jc w:val="center"/>
              <w:rPr>
                <w:rFonts w:ascii="Times New Roman"/>
                <w:sz w:val="14"/>
                <w:lang w:val="en-GB"/>
              </w:rPr>
            </w:pPr>
            <w:r w:rsidRPr="00D93FF9">
              <w:rPr>
                <w:sz w:val="16"/>
              </w:rPr>
              <w:t>7.5</w:t>
            </w:r>
          </w:p>
        </w:tc>
        <w:tc>
          <w:tcPr>
            <w:tcW w:w="1168" w:type="dxa"/>
          </w:tcPr>
          <w:p w14:paraId="59DCC99D" w14:textId="77777777" w:rsidR="00712309" w:rsidRPr="00D93FF9" w:rsidRDefault="00E811B8" w:rsidP="002F55F0">
            <w:pPr>
              <w:pStyle w:val="TableParagraph"/>
              <w:spacing w:before="0" w:after="0"/>
              <w:jc w:val="center"/>
              <w:rPr>
                <w:sz w:val="16"/>
                <w:lang w:val="en-GB"/>
              </w:rPr>
            </w:pPr>
            <w:r w:rsidRPr="00D93FF9">
              <w:rPr>
                <w:sz w:val="16"/>
              </w:rPr>
              <w:t>1</w:t>
            </w:r>
          </w:p>
        </w:tc>
      </w:tr>
      <w:tr w:rsidR="00BE3AA8" w:rsidRPr="00D93FF9" w14:paraId="59DCC9A7" w14:textId="77777777" w:rsidTr="002F55F0">
        <w:trPr>
          <w:trHeight w:val="228"/>
        </w:trPr>
        <w:tc>
          <w:tcPr>
            <w:tcW w:w="2147" w:type="dxa"/>
          </w:tcPr>
          <w:p w14:paraId="59DCC99F" w14:textId="77777777" w:rsidR="00712309" w:rsidRPr="00D93FF9" w:rsidRDefault="00E811B8" w:rsidP="00712309">
            <w:pPr>
              <w:pStyle w:val="TableParagraph"/>
              <w:spacing w:before="0" w:after="0"/>
              <w:rPr>
                <w:sz w:val="16"/>
                <w:lang w:val="en-GB"/>
              </w:rPr>
            </w:pPr>
            <w:r w:rsidRPr="00D93FF9">
              <w:rPr>
                <w:sz w:val="16"/>
              </w:rPr>
              <w:t>Pyracantha</w:t>
            </w:r>
          </w:p>
        </w:tc>
        <w:tc>
          <w:tcPr>
            <w:tcW w:w="2980" w:type="dxa"/>
          </w:tcPr>
          <w:p w14:paraId="59DCC9A0" w14:textId="77777777" w:rsidR="00712309" w:rsidRPr="00D93FF9" w:rsidRDefault="00E811B8" w:rsidP="00712309">
            <w:pPr>
              <w:pStyle w:val="TableParagraph"/>
              <w:spacing w:before="0" w:after="0"/>
              <w:rPr>
                <w:i/>
                <w:sz w:val="16"/>
                <w:lang w:val="en-GB"/>
              </w:rPr>
            </w:pPr>
            <w:r w:rsidRPr="00D93FF9">
              <w:rPr>
                <w:i/>
                <w:sz w:val="16"/>
              </w:rPr>
              <w:t>Pyracantha braperi</w:t>
            </w:r>
          </w:p>
        </w:tc>
        <w:tc>
          <w:tcPr>
            <w:tcW w:w="1898" w:type="dxa"/>
          </w:tcPr>
          <w:p w14:paraId="59DCC9A1" w14:textId="77777777" w:rsidR="00712309" w:rsidRPr="00D93FF9" w:rsidRDefault="00E811B8" w:rsidP="002F55F0">
            <w:pPr>
              <w:pStyle w:val="TableParagraph"/>
              <w:spacing w:before="0" w:after="0"/>
              <w:jc w:val="center"/>
              <w:rPr>
                <w:sz w:val="16"/>
                <w:lang w:val="en-GB"/>
              </w:rPr>
            </w:pPr>
            <w:r w:rsidRPr="00D93FF9">
              <w:rPr>
                <w:sz w:val="16"/>
              </w:rPr>
              <w:t>2.0</w:t>
            </w:r>
          </w:p>
        </w:tc>
        <w:tc>
          <w:tcPr>
            <w:tcW w:w="2097" w:type="dxa"/>
          </w:tcPr>
          <w:p w14:paraId="59DCC9A2" w14:textId="77777777" w:rsidR="00712309" w:rsidRPr="00D93FF9" w:rsidRDefault="00E811B8" w:rsidP="002F55F0">
            <w:pPr>
              <w:pStyle w:val="TableParagraph"/>
              <w:spacing w:before="0" w:after="0"/>
              <w:jc w:val="center"/>
              <w:rPr>
                <w:rFonts w:ascii="Times New Roman"/>
                <w:sz w:val="14"/>
                <w:lang w:val="en-GB"/>
              </w:rPr>
            </w:pPr>
            <w:r w:rsidRPr="00D93FF9">
              <w:rPr>
                <w:sz w:val="16"/>
              </w:rPr>
              <w:t>9.1</w:t>
            </w:r>
          </w:p>
        </w:tc>
        <w:tc>
          <w:tcPr>
            <w:tcW w:w="985" w:type="dxa"/>
          </w:tcPr>
          <w:p w14:paraId="59DCC9A3" w14:textId="77777777" w:rsidR="00712309" w:rsidRPr="00D93FF9" w:rsidRDefault="00E811B8" w:rsidP="002F55F0">
            <w:pPr>
              <w:pStyle w:val="TableParagraph"/>
              <w:spacing w:before="0" w:after="0"/>
              <w:jc w:val="center"/>
              <w:rPr>
                <w:rFonts w:ascii="Times New Roman"/>
                <w:sz w:val="14"/>
                <w:lang w:val="en-GB"/>
              </w:rPr>
            </w:pPr>
            <w:r w:rsidRPr="00D93FF9">
              <w:rPr>
                <w:sz w:val="16"/>
              </w:rPr>
              <w:t>3.1</w:t>
            </w:r>
          </w:p>
        </w:tc>
        <w:tc>
          <w:tcPr>
            <w:tcW w:w="1041" w:type="dxa"/>
          </w:tcPr>
          <w:p w14:paraId="59DCC9A4" w14:textId="77777777" w:rsidR="00712309" w:rsidRPr="00D93FF9" w:rsidRDefault="00E811B8" w:rsidP="002F55F0">
            <w:pPr>
              <w:pStyle w:val="TableParagraph"/>
              <w:spacing w:before="0" w:after="0"/>
              <w:jc w:val="center"/>
              <w:rPr>
                <w:rFonts w:ascii="Times New Roman"/>
                <w:sz w:val="14"/>
                <w:lang w:val="en-GB"/>
              </w:rPr>
            </w:pPr>
            <w:r w:rsidRPr="00D93FF9">
              <w:rPr>
                <w:sz w:val="16"/>
              </w:rPr>
              <w:t>4.7</w:t>
            </w:r>
          </w:p>
        </w:tc>
        <w:tc>
          <w:tcPr>
            <w:tcW w:w="1135" w:type="dxa"/>
          </w:tcPr>
          <w:p w14:paraId="59DCC9A5" w14:textId="77777777" w:rsidR="00712309" w:rsidRPr="00D93FF9" w:rsidRDefault="00E811B8" w:rsidP="002F55F0">
            <w:pPr>
              <w:pStyle w:val="TableParagraph"/>
              <w:spacing w:before="0" w:after="0"/>
              <w:jc w:val="center"/>
              <w:rPr>
                <w:rFonts w:ascii="Times New Roman"/>
                <w:sz w:val="14"/>
                <w:lang w:val="en-GB"/>
              </w:rPr>
            </w:pPr>
            <w:r w:rsidRPr="00D93FF9">
              <w:rPr>
                <w:sz w:val="16"/>
              </w:rPr>
              <w:t>7.5</w:t>
            </w:r>
          </w:p>
        </w:tc>
        <w:tc>
          <w:tcPr>
            <w:tcW w:w="1168" w:type="dxa"/>
          </w:tcPr>
          <w:p w14:paraId="59DCC9A6" w14:textId="77777777" w:rsidR="00712309" w:rsidRPr="00D93FF9" w:rsidRDefault="00E811B8" w:rsidP="002F55F0">
            <w:pPr>
              <w:pStyle w:val="TableParagraph"/>
              <w:spacing w:before="0" w:after="0"/>
              <w:jc w:val="center"/>
              <w:rPr>
                <w:sz w:val="16"/>
                <w:lang w:val="en-GB"/>
              </w:rPr>
            </w:pPr>
            <w:r w:rsidRPr="00D93FF9">
              <w:rPr>
                <w:sz w:val="16"/>
              </w:rPr>
              <w:t>1</w:t>
            </w:r>
          </w:p>
        </w:tc>
      </w:tr>
      <w:tr w:rsidR="00BE3AA8" w:rsidRPr="00D93FF9" w14:paraId="59DCC9B0" w14:textId="77777777" w:rsidTr="002F55F0">
        <w:trPr>
          <w:trHeight w:val="228"/>
        </w:trPr>
        <w:tc>
          <w:tcPr>
            <w:tcW w:w="2147" w:type="dxa"/>
          </w:tcPr>
          <w:p w14:paraId="59DCC9A8" w14:textId="77777777" w:rsidR="00712309" w:rsidRPr="00D93FF9" w:rsidRDefault="00E811B8" w:rsidP="00712309">
            <w:pPr>
              <w:pStyle w:val="TableParagraph"/>
              <w:spacing w:before="0" w:after="0"/>
              <w:rPr>
                <w:sz w:val="16"/>
                <w:lang w:val="en-GB"/>
              </w:rPr>
            </w:pPr>
            <w:r w:rsidRPr="00D93FF9">
              <w:rPr>
                <w:sz w:val="16"/>
              </w:rPr>
              <w:t>Rose</w:t>
            </w:r>
          </w:p>
        </w:tc>
        <w:tc>
          <w:tcPr>
            <w:tcW w:w="2980" w:type="dxa"/>
          </w:tcPr>
          <w:p w14:paraId="59DCC9A9" w14:textId="77777777" w:rsidR="00712309" w:rsidRPr="00D93FF9" w:rsidRDefault="00E811B8" w:rsidP="00712309">
            <w:pPr>
              <w:pStyle w:val="TableParagraph"/>
              <w:spacing w:before="0" w:after="0"/>
              <w:rPr>
                <w:i/>
                <w:sz w:val="16"/>
                <w:lang w:val="en-GB"/>
              </w:rPr>
            </w:pPr>
            <w:r w:rsidRPr="00D93FF9">
              <w:rPr>
                <w:i/>
                <w:sz w:val="16"/>
              </w:rPr>
              <w:t xml:space="preserve">Rosa </w:t>
            </w:r>
            <w:r w:rsidRPr="00D93FF9">
              <w:rPr>
                <w:sz w:val="16"/>
              </w:rPr>
              <w:t>spp</w:t>
            </w:r>
          </w:p>
        </w:tc>
        <w:tc>
          <w:tcPr>
            <w:tcW w:w="1898" w:type="dxa"/>
          </w:tcPr>
          <w:p w14:paraId="59DCC9AA" w14:textId="77777777" w:rsidR="00712309" w:rsidRPr="00D93FF9" w:rsidRDefault="00E811B8" w:rsidP="002F55F0">
            <w:pPr>
              <w:pStyle w:val="TableParagraph"/>
              <w:spacing w:before="0" w:after="0"/>
              <w:jc w:val="center"/>
              <w:rPr>
                <w:sz w:val="16"/>
                <w:lang w:val="en-GB"/>
              </w:rPr>
            </w:pPr>
            <w:r w:rsidRPr="00D93FF9">
              <w:rPr>
                <w:sz w:val="16"/>
              </w:rPr>
              <w:t>1.0</w:t>
            </w:r>
          </w:p>
        </w:tc>
        <w:tc>
          <w:tcPr>
            <w:tcW w:w="2097" w:type="dxa"/>
          </w:tcPr>
          <w:p w14:paraId="59DCC9AB" w14:textId="77777777" w:rsidR="00712309" w:rsidRPr="00D93FF9" w:rsidRDefault="00712309" w:rsidP="002F55F0">
            <w:pPr>
              <w:pStyle w:val="TableParagraph"/>
              <w:spacing w:before="0" w:after="0"/>
              <w:jc w:val="center"/>
              <w:rPr>
                <w:rFonts w:ascii="Times New Roman"/>
                <w:sz w:val="14"/>
                <w:lang w:val="en-GB"/>
              </w:rPr>
            </w:pPr>
          </w:p>
        </w:tc>
        <w:tc>
          <w:tcPr>
            <w:tcW w:w="985" w:type="dxa"/>
          </w:tcPr>
          <w:p w14:paraId="59DCC9AC" w14:textId="77777777" w:rsidR="00712309" w:rsidRPr="00D93FF9" w:rsidRDefault="00712309" w:rsidP="002F55F0">
            <w:pPr>
              <w:pStyle w:val="TableParagraph"/>
              <w:spacing w:before="0" w:after="0"/>
              <w:jc w:val="center"/>
              <w:rPr>
                <w:rFonts w:ascii="Times New Roman"/>
                <w:sz w:val="14"/>
                <w:lang w:val="en-GB"/>
              </w:rPr>
            </w:pPr>
          </w:p>
        </w:tc>
        <w:tc>
          <w:tcPr>
            <w:tcW w:w="1041" w:type="dxa"/>
          </w:tcPr>
          <w:p w14:paraId="59DCC9AD" w14:textId="77777777" w:rsidR="00712309" w:rsidRPr="00D93FF9" w:rsidRDefault="00712309" w:rsidP="002F55F0">
            <w:pPr>
              <w:pStyle w:val="TableParagraph"/>
              <w:spacing w:before="0" w:after="0"/>
              <w:jc w:val="center"/>
              <w:rPr>
                <w:rFonts w:ascii="Times New Roman"/>
                <w:sz w:val="14"/>
                <w:lang w:val="en-GB"/>
              </w:rPr>
            </w:pPr>
          </w:p>
        </w:tc>
        <w:tc>
          <w:tcPr>
            <w:tcW w:w="1135" w:type="dxa"/>
          </w:tcPr>
          <w:p w14:paraId="59DCC9AE" w14:textId="77777777" w:rsidR="00712309" w:rsidRPr="00D93FF9" w:rsidRDefault="00712309" w:rsidP="002F55F0">
            <w:pPr>
              <w:pStyle w:val="TableParagraph"/>
              <w:spacing w:before="0" w:after="0"/>
              <w:jc w:val="center"/>
              <w:rPr>
                <w:rFonts w:ascii="Times New Roman"/>
                <w:sz w:val="14"/>
                <w:lang w:val="en-GB"/>
              </w:rPr>
            </w:pPr>
          </w:p>
        </w:tc>
        <w:tc>
          <w:tcPr>
            <w:tcW w:w="1168" w:type="dxa"/>
          </w:tcPr>
          <w:p w14:paraId="59DCC9AF" w14:textId="77777777" w:rsidR="00712309" w:rsidRPr="00D93FF9" w:rsidRDefault="00E811B8" w:rsidP="002F55F0">
            <w:pPr>
              <w:pStyle w:val="TableParagraph"/>
              <w:spacing w:before="0" w:after="0"/>
              <w:jc w:val="center"/>
              <w:rPr>
                <w:sz w:val="16"/>
                <w:lang w:val="en-GB"/>
              </w:rPr>
            </w:pPr>
            <w:r w:rsidRPr="00D93FF9">
              <w:rPr>
                <w:sz w:val="16"/>
              </w:rPr>
              <w:t>6</w:t>
            </w:r>
          </w:p>
        </w:tc>
      </w:tr>
      <w:tr w:rsidR="00BE3AA8" w:rsidRPr="00D93FF9" w14:paraId="59DCC9B9" w14:textId="77777777" w:rsidTr="002F55F0">
        <w:trPr>
          <w:trHeight w:val="228"/>
        </w:trPr>
        <w:tc>
          <w:tcPr>
            <w:tcW w:w="2147" w:type="dxa"/>
          </w:tcPr>
          <w:p w14:paraId="59DCC9B1" w14:textId="77777777" w:rsidR="00712309" w:rsidRPr="00D93FF9" w:rsidRDefault="00E811B8" w:rsidP="00712309">
            <w:pPr>
              <w:pStyle w:val="TableParagraph"/>
              <w:spacing w:before="0" w:after="0"/>
              <w:rPr>
                <w:sz w:val="16"/>
                <w:lang w:val="en-GB"/>
              </w:rPr>
            </w:pPr>
            <w:r w:rsidRPr="00D93FF9">
              <w:rPr>
                <w:sz w:val="16"/>
              </w:rPr>
              <w:t>Star jasmine</w:t>
            </w:r>
          </w:p>
        </w:tc>
        <w:tc>
          <w:tcPr>
            <w:tcW w:w="2980" w:type="dxa"/>
          </w:tcPr>
          <w:p w14:paraId="59DCC9B2" w14:textId="77777777" w:rsidR="00712309" w:rsidRPr="00D93FF9" w:rsidRDefault="00E811B8" w:rsidP="00712309">
            <w:pPr>
              <w:pStyle w:val="TableParagraph"/>
              <w:spacing w:before="0" w:after="0"/>
              <w:rPr>
                <w:i/>
                <w:sz w:val="16"/>
                <w:lang w:val="en-GB"/>
              </w:rPr>
            </w:pPr>
            <w:r w:rsidRPr="00D93FF9">
              <w:rPr>
                <w:i/>
                <w:sz w:val="16"/>
              </w:rPr>
              <w:t>Trachelosperumum jasminoides</w:t>
            </w:r>
          </w:p>
        </w:tc>
        <w:tc>
          <w:tcPr>
            <w:tcW w:w="1898" w:type="dxa"/>
          </w:tcPr>
          <w:p w14:paraId="59DCC9B3" w14:textId="77777777" w:rsidR="00712309" w:rsidRPr="00D93FF9" w:rsidRDefault="00E811B8" w:rsidP="002F55F0">
            <w:pPr>
              <w:pStyle w:val="TableParagraph"/>
              <w:spacing w:before="0" w:after="0"/>
              <w:jc w:val="center"/>
              <w:rPr>
                <w:sz w:val="16"/>
                <w:lang w:val="en-GB"/>
              </w:rPr>
            </w:pPr>
            <w:r w:rsidRPr="00D93FF9">
              <w:rPr>
                <w:sz w:val="16"/>
              </w:rPr>
              <w:t>1.6</w:t>
            </w:r>
          </w:p>
        </w:tc>
        <w:tc>
          <w:tcPr>
            <w:tcW w:w="2097" w:type="dxa"/>
          </w:tcPr>
          <w:p w14:paraId="59DCC9B4" w14:textId="77777777" w:rsidR="00712309" w:rsidRPr="00D93FF9" w:rsidRDefault="00712309" w:rsidP="002F55F0">
            <w:pPr>
              <w:pStyle w:val="TableParagraph"/>
              <w:spacing w:before="0" w:after="0"/>
              <w:jc w:val="center"/>
              <w:rPr>
                <w:rFonts w:ascii="Times New Roman"/>
                <w:sz w:val="14"/>
                <w:lang w:val="en-GB"/>
              </w:rPr>
            </w:pPr>
          </w:p>
        </w:tc>
        <w:tc>
          <w:tcPr>
            <w:tcW w:w="985" w:type="dxa"/>
          </w:tcPr>
          <w:p w14:paraId="59DCC9B5" w14:textId="77777777" w:rsidR="00712309" w:rsidRPr="00D93FF9" w:rsidRDefault="00712309" w:rsidP="002F55F0">
            <w:pPr>
              <w:pStyle w:val="TableParagraph"/>
              <w:spacing w:before="0" w:after="0"/>
              <w:jc w:val="center"/>
              <w:rPr>
                <w:rFonts w:ascii="Times New Roman"/>
                <w:sz w:val="14"/>
                <w:lang w:val="en-GB"/>
              </w:rPr>
            </w:pPr>
          </w:p>
        </w:tc>
        <w:tc>
          <w:tcPr>
            <w:tcW w:w="1041" w:type="dxa"/>
          </w:tcPr>
          <w:p w14:paraId="59DCC9B6" w14:textId="77777777" w:rsidR="00712309" w:rsidRPr="00D93FF9" w:rsidRDefault="00712309" w:rsidP="002F55F0">
            <w:pPr>
              <w:pStyle w:val="TableParagraph"/>
              <w:spacing w:before="0" w:after="0"/>
              <w:jc w:val="center"/>
              <w:rPr>
                <w:rFonts w:ascii="Times New Roman"/>
                <w:sz w:val="14"/>
                <w:lang w:val="en-GB"/>
              </w:rPr>
            </w:pPr>
          </w:p>
        </w:tc>
        <w:tc>
          <w:tcPr>
            <w:tcW w:w="1135" w:type="dxa"/>
          </w:tcPr>
          <w:p w14:paraId="59DCC9B7" w14:textId="77777777" w:rsidR="00712309" w:rsidRPr="00D93FF9" w:rsidRDefault="00712309" w:rsidP="002F55F0">
            <w:pPr>
              <w:pStyle w:val="TableParagraph"/>
              <w:spacing w:before="0" w:after="0"/>
              <w:jc w:val="center"/>
              <w:rPr>
                <w:rFonts w:ascii="Times New Roman"/>
                <w:sz w:val="14"/>
                <w:lang w:val="en-GB"/>
              </w:rPr>
            </w:pPr>
          </w:p>
        </w:tc>
        <w:tc>
          <w:tcPr>
            <w:tcW w:w="1168" w:type="dxa"/>
          </w:tcPr>
          <w:p w14:paraId="59DCC9B8" w14:textId="77777777" w:rsidR="00712309" w:rsidRPr="00D93FF9" w:rsidRDefault="00E811B8" w:rsidP="002F55F0">
            <w:pPr>
              <w:pStyle w:val="TableParagraph"/>
              <w:spacing w:before="0" w:after="0"/>
              <w:jc w:val="center"/>
              <w:rPr>
                <w:sz w:val="16"/>
                <w:lang w:val="en-GB"/>
              </w:rPr>
            </w:pPr>
            <w:r w:rsidRPr="00D93FF9">
              <w:rPr>
                <w:sz w:val="16"/>
              </w:rPr>
              <w:t>6</w:t>
            </w:r>
          </w:p>
        </w:tc>
      </w:tr>
      <w:tr w:rsidR="00BE3AA8" w:rsidRPr="00D93FF9" w14:paraId="59DCC9C2" w14:textId="77777777" w:rsidTr="002F55F0">
        <w:trPr>
          <w:trHeight w:val="228"/>
        </w:trPr>
        <w:tc>
          <w:tcPr>
            <w:tcW w:w="2147" w:type="dxa"/>
          </w:tcPr>
          <w:p w14:paraId="59DCC9BA" w14:textId="77777777" w:rsidR="00712309" w:rsidRPr="00D93FF9" w:rsidRDefault="00E811B8" w:rsidP="00712309">
            <w:pPr>
              <w:pStyle w:val="TableParagraph"/>
              <w:spacing w:before="0" w:after="0"/>
              <w:rPr>
                <w:sz w:val="16"/>
                <w:lang w:val="en-GB"/>
              </w:rPr>
            </w:pPr>
            <w:r w:rsidRPr="00D93FF9">
              <w:rPr>
                <w:sz w:val="16"/>
              </w:rPr>
              <w:t>Viburnum</w:t>
            </w:r>
          </w:p>
        </w:tc>
        <w:tc>
          <w:tcPr>
            <w:tcW w:w="2980" w:type="dxa"/>
          </w:tcPr>
          <w:p w14:paraId="59DCC9BB" w14:textId="77777777" w:rsidR="00712309" w:rsidRPr="00D93FF9" w:rsidRDefault="00E811B8" w:rsidP="00712309">
            <w:pPr>
              <w:pStyle w:val="TableParagraph"/>
              <w:spacing w:before="0" w:after="0"/>
              <w:rPr>
                <w:i/>
                <w:sz w:val="16"/>
                <w:lang w:val="en-GB"/>
              </w:rPr>
            </w:pPr>
            <w:r w:rsidRPr="00D93FF9">
              <w:rPr>
                <w:i/>
                <w:sz w:val="16"/>
              </w:rPr>
              <w:t xml:space="preserve">Viburnum </w:t>
            </w:r>
            <w:r w:rsidRPr="00D93FF9">
              <w:rPr>
                <w:sz w:val="16"/>
              </w:rPr>
              <w:t>spp</w:t>
            </w:r>
          </w:p>
        </w:tc>
        <w:tc>
          <w:tcPr>
            <w:tcW w:w="1898" w:type="dxa"/>
          </w:tcPr>
          <w:p w14:paraId="59DCC9BC" w14:textId="77777777" w:rsidR="00712309" w:rsidRPr="00D93FF9" w:rsidRDefault="00E811B8" w:rsidP="002F55F0">
            <w:pPr>
              <w:pStyle w:val="TableParagraph"/>
              <w:spacing w:before="0" w:after="0"/>
              <w:jc w:val="center"/>
              <w:rPr>
                <w:sz w:val="16"/>
                <w:lang w:val="en-GB"/>
              </w:rPr>
            </w:pPr>
            <w:r w:rsidRPr="00D93FF9">
              <w:rPr>
                <w:sz w:val="16"/>
              </w:rPr>
              <w:t>1.4</w:t>
            </w:r>
          </w:p>
        </w:tc>
        <w:tc>
          <w:tcPr>
            <w:tcW w:w="2097" w:type="dxa"/>
          </w:tcPr>
          <w:p w14:paraId="59DCC9BD" w14:textId="77777777" w:rsidR="00712309" w:rsidRPr="00D93FF9" w:rsidRDefault="00E811B8" w:rsidP="002F55F0">
            <w:pPr>
              <w:pStyle w:val="TableParagraph"/>
              <w:spacing w:before="0" w:after="0"/>
              <w:jc w:val="center"/>
              <w:rPr>
                <w:rFonts w:ascii="Times New Roman"/>
                <w:sz w:val="14"/>
                <w:lang w:val="en-GB"/>
              </w:rPr>
            </w:pPr>
            <w:r w:rsidRPr="00D93FF9">
              <w:rPr>
                <w:sz w:val="16"/>
              </w:rPr>
              <w:t>13.2</w:t>
            </w:r>
          </w:p>
        </w:tc>
        <w:tc>
          <w:tcPr>
            <w:tcW w:w="985" w:type="dxa"/>
          </w:tcPr>
          <w:p w14:paraId="59DCC9BE" w14:textId="77777777" w:rsidR="00712309" w:rsidRPr="00D93FF9" w:rsidRDefault="00E811B8" w:rsidP="002F55F0">
            <w:pPr>
              <w:pStyle w:val="TableParagraph"/>
              <w:spacing w:before="0" w:after="0"/>
              <w:jc w:val="center"/>
              <w:rPr>
                <w:rFonts w:ascii="Times New Roman"/>
                <w:sz w:val="14"/>
                <w:lang w:val="en-GB"/>
              </w:rPr>
            </w:pPr>
            <w:r w:rsidRPr="00D93FF9">
              <w:rPr>
                <w:sz w:val="16"/>
              </w:rPr>
              <w:t>2.2</w:t>
            </w:r>
          </w:p>
        </w:tc>
        <w:tc>
          <w:tcPr>
            <w:tcW w:w="1041" w:type="dxa"/>
          </w:tcPr>
          <w:p w14:paraId="59DCC9BF" w14:textId="77777777" w:rsidR="00712309" w:rsidRPr="00D93FF9" w:rsidRDefault="00E811B8" w:rsidP="002F55F0">
            <w:pPr>
              <w:pStyle w:val="TableParagraph"/>
              <w:spacing w:before="0" w:after="0"/>
              <w:jc w:val="center"/>
              <w:rPr>
                <w:rFonts w:ascii="Times New Roman"/>
                <w:sz w:val="14"/>
                <w:lang w:val="en-GB"/>
              </w:rPr>
            </w:pPr>
            <w:r w:rsidRPr="00D93FF9">
              <w:rPr>
                <w:sz w:val="16"/>
              </w:rPr>
              <w:t>3.3</w:t>
            </w:r>
          </w:p>
        </w:tc>
        <w:tc>
          <w:tcPr>
            <w:tcW w:w="1135" w:type="dxa"/>
          </w:tcPr>
          <w:p w14:paraId="59DCC9C0" w14:textId="77777777" w:rsidR="00712309" w:rsidRPr="00D93FF9" w:rsidRDefault="00E811B8" w:rsidP="002F55F0">
            <w:pPr>
              <w:pStyle w:val="TableParagraph"/>
              <w:spacing w:before="0" w:after="0"/>
              <w:jc w:val="center"/>
              <w:rPr>
                <w:rFonts w:ascii="Times New Roman"/>
                <w:sz w:val="14"/>
                <w:lang w:val="en-GB"/>
              </w:rPr>
            </w:pPr>
            <w:r w:rsidRPr="00D93FF9">
              <w:rPr>
                <w:sz w:val="16"/>
              </w:rPr>
              <w:t>5.2</w:t>
            </w:r>
          </w:p>
        </w:tc>
        <w:tc>
          <w:tcPr>
            <w:tcW w:w="1168" w:type="dxa"/>
          </w:tcPr>
          <w:p w14:paraId="59DCC9C1" w14:textId="77777777" w:rsidR="00712309" w:rsidRPr="00D93FF9" w:rsidRDefault="00E811B8" w:rsidP="002F55F0">
            <w:pPr>
              <w:pStyle w:val="TableParagraph"/>
              <w:spacing w:before="0" w:after="0"/>
              <w:jc w:val="center"/>
              <w:rPr>
                <w:sz w:val="16"/>
                <w:lang w:val="en-GB"/>
              </w:rPr>
            </w:pPr>
            <w:r w:rsidRPr="00D93FF9">
              <w:rPr>
                <w:sz w:val="16"/>
              </w:rPr>
              <w:t>1</w:t>
            </w:r>
          </w:p>
        </w:tc>
      </w:tr>
      <w:tr w:rsidR="00BE3AA8" w:rsidRPr="00D93FF9" w14:paraId="59DCC9CB" w14:textId="77777777" w:rsidTr="002F55F0">
        <w:trPr>
          <w:trHeight w:val="228"/>
        </w:trPr>
        <w:tc>
          <w:tcPr>
            <w:tcW w:w="2147" w:type="dxa"/>
          </w:tcPr>
          <w:p w14:paraId="59DCC9C3" w14:textId="77777777" w:rsidR="00712309" w:rsidRPr="00D93FF9" w:rsidRDefault="00E811B8" w:rsidP="00712309">
            <w:pPr>
              <w:pStyle w:val="TableParagraph"/>
              <w:spacing w:before="0" w:after="0"/>
              <w:rPr>
                <w:sz w:val="16"/>
                <w:lang w:val="en-GB"/>
              </w:rPr>
            </w:pPr>
            <w:r w:rsidRPr="00D93FF9">
              <w:rPr>
                <w:sz w:val="16"/>
              </w:rPr>
              <w:t>Xylosma</w:t>
            </w:r>
          </w:p>
        </w:tc>
        <w:tc>
          <w:tcPr>
            <w:tcW w:w="2980" w:type="dxa"/>
          </w:tcPr>
          <w:p w14:paraId="59DCC9C4" w14:textId="77777777" w:rsidR="00712309" w:rsidRPr="00D93FF9" w:rsidRDefault="00E811B8" w:rsidP="00712309">
            <w:pPr>
              <w:pStyle w:val="TableParagraph"/>
              <w:spacing w:before="0" w:after="0"/>
              <w:rPr>
                <w:i/>
                <w:sz w:val="16"/>
                <w:lang w:val="en-GB"/>
              </w:rPr>
            </w:pPr>
            <w:r w:rsidRPr="00D93FF9">
              <w:rPr>
                <w:i/>
                <w:sz w:val="16"/>
              </w:rPr>
              <w:t>Xylosma senticosa</w:t>
            </w:r>
          </w:p>
        </w:tc>
        <w:tc>
          <w:tcPr>
            <w:tcW w:w="1898" w:type="dxa"/>
          </w:tcPr>
          <w:p w14:paraId="59DCC9C5" w14:textId="77777777" w:rsidR="00712309" w:rsidRPr="00D93FF9" w:rsidRDefault="00E811B8" w:rsidP="002F55F0">
            <w:pPr>
              <w:pStyle w:val="TableParagraph"/>
              <w:spacing w:before="0" w:after="0"/>
              <w:jc w:val="center"/>
              <w:rPr>
                <w:sz w:val="16"/>
                <w:lang w:val="en-GB"/>
              </w:rPr>
            </w:pPr>
            <w:r w:rsidRPr="00D93FF9">
              <w:rPr>
                <w:sz w:val="16"/>
              </w:rPr>
              <w:t>1.5</w:t>
            </w:r>
          </w:p>
        </w:tc>
        <w:tc>
          <w:tcPr>
            <w:tcW w:w="2097" w:type="dxa"/>
          </w:tcPr>
          <w:p w14:paraId="59DCC9C6" w14:textId="77777777" w:rsidR="00712309" w:rsidRPr="00D93FF9" w:rsidRDefault="00E811B8" w:rsidP="002F55F0">
            <w:pPr>
              <w:pStyle w:val="TableParagraph"/>
              <w:spacing w:before="0" w:after="0"/>
              <w:jc w:val="center"/>
              <w:rPr>
                <w:rFonts w:ascii="Times New Roman"/>
                <w:sz w:val="14"/>
                <w:lang w:val="en-GB"/>
              </w:rPr>
            </w:pPr>
            <w:r w:rsidRPr="00D93FF9">
              <w:rPr>
                <w:sz w:val="16"/>
              </w:rPr>
              <w:t>13.3</w:t>
            </w:r>
          </w:p>
        </w:tc>
        <w:tc>
          <w:tcPr>
            <w:tcW w:w="985" w:type="dxa"/>
          </w:tcPr>
          <w:p w14:paraId="59DCC9C7" w14:textId="77777777" w:rsidR="00712309" w:rsidRPr="00D93FF9" w:rsidRDefault="00E811B8" w:rsidP="002F55F0">
            <w:pPr>
              <w:pStyle w:val="TableParagraph"/>
              <w:spacing w:before="0" w:after="0"/>
              <w:jc w:val="center"/>
              <w:rPr>
                <w:rFonts w:ascii="Times New Roman"/>
                <w:sz w:val="14"/>
                <w:lang w:val="en-GB"/>
              </w:rPr>
            </w:pPr>
            <w:r w:rsidRPr="00D93FF9">
              <w:rPr>
                <w:sz w:val="16"/>
              </w:rPr>
              <w:t>2.3</w:t>
            </w:r>
          </w:p>
        </w:tc>
        <w:tc>
          <w:tcPr>
            <w:tcW w:w="1041" w:type="dxa"/>
          </w:tcPr>
          <w:p w14:paraId="59DCC9C8" w14:textId="77777777" w:rsidR="00712309" w:rsidRPr="00D93FF9" w:rsidRDefault="00E811B8" w:rsidP="002F55F0">
            <w:pPr>
              <w:pStyle w:val="TableParagraph"/>
              <w:spacing w:before="0" w:after="0"/>
              <w:jc w:val="center"/>
              <w:rPr>
                <w:rFonts w:ascii="Times New Roman"/>
                <w:sz w:val="14"/>
                <w:lang w:val="en-GB"/>
              </w:rPr>
            </w:pPr>
            <w:r w:rsidRPr="00D93FF9">
              <w:rPr>
                <w:sz w:val="16"/>
              </w:rPr>
              <w:t>3.4</w:t>
            </w:r>
          </w:p>
        </w:tc>
        <w:tc>
          <w:tcPr>
            <w:tcW w:w="1135" w:type="dxa"/>
          </w:tcPr>
          <w:p w14:paraId="59DCC9C9" w14:textId="77777777" w:rsidR="00712309" w:rsidRPr="00D93FF9" w:rsidRDefault="00E811B8" w:rsidP="002F55F0">
            <w:pPr>
              <w:pStyle w:val="TableParagraph"/>
              <w:spacing w:before="0" w:after="0"/>
              <w:jc w:val="center"/>
              <w:rPr>
                <w:rFonts w:ascii="Times New Roman"/>
                <w:sz w:val="14"/>
                <w:lang w:val="en-GB"/>
              </w:rPr>
            </w:pPr>
            <w:r w:rsidRPr="00D93FF9">
              <w:rPr>
                <w:sz w:val="16"/>
              </w:rPr>
              <w:t>5.3</w:t>
            </w:r>
          </w:p>
        </w:tc>
        <w:tc>
          <w:tcPr>
            <w:tcW w:w="1168" w:type="dxa"/>
          </w:tcPr>
          <w:p w14:paraId="59DCC9CA" w14:textId="77777777" w:rsidR="00712309" w:rsidRPr="00D93FF9" w:rsidRDefault="00E811B8" w:rsidP="002F55F0">
            <w:pPr>
              <w:pStyle w:val="TableParagraph"/>
              <w:spacing w:before="0" w:after="0"/>
              <w:jc w:val="center"/>
              <w:rPr>
                <w:sz w:val="16"/>
                <w:lang w:val="en-GB"/>
              </w:rPr>
            </w:pPr>
            <w:r w:rsidRPr="00D93FF9">
              <w:rPr>
                <w:sz w:val="16"/>
              </w:rPr>
              <w:t>1</w:t>
            </w:r>
          </w:p>
        </w:tc>
      </w:tr>
      <w:tr w:rsidR="00BE3AA8" w:rsidRPr="00D93FF9" w14:paraId="59DCC9D4" w14:textId="77777777" w:rsidTr="002F55F0">
        <w:trPr>
          <w:trHeight w:val="228"/>
        </w:trPr>
        <w:tc>
          <w:tcPr>
            <w:tcW w:w="2147" w:type="dxa"/>
          </w:tcPr>
          <w:p w14:paraId="59DCC9CC" w14:textId="77777777" w:rsidR="00712309" w:rsidRPr="00D93FF9" w:rsidRDefault="00E811B8" w:rsidP="00712309">
            <w:pPr>
              <w:pStyle w:val="TableParagraph"/>
              <w:spacing w:before="0" w:after="0"/>
              <w:rPr>
                <w:sz w:val="16"/>
                <w:lang w:val="en-GB"/>
              </w:rPr>
            </w:pPr>
            <w:r w:rsidRPr="00D93FF9">
              <w:rPr>
                <w:b/>
                <w:sz w:val="16"/>
              </w:rPr>
              <w:t>Pastures</w:t>
            </w:r>
          </w:p>
        </w:tc>
        <w:tc>
          <w:tcPr>
            <w:tcW w:w="2980" w:type="dxa"/>
          </w:tcPr>
          <w:p w14:paraId="59DCC9CD" w14:textId="77777777" w:rsidR="00712309" w:rsidRPr="00D93FF9" w:rsidRDefault="00712309" w:rsidP="00712309">
            <w:pPr>
              <w:pStyle w:val="TableParagraph"/>
              <w:spacing w:before="0" w:after="0"/>
              <w:rPr>
                <w:i/>
                <w:sz w:val="16"/>
                <w:lang w:val="en-GB"/>
              </w:rPr>
            </w:pPr>
          </w:p>
        </w:tc>
        <w:tc>
          <w:tcPr>
            <w:tcW w:w="1898" w:type="dxa"/>
          </w:tcPr>
          <w:p w14:paraId="59DCC9CE" w14:textId="77777777" w:rsidR="00712309" w:rsidRPr="00D93FF9" w:rsidRDefault="00712309" w:rsidP="002F55F0">
            <w:pPr>
              <w:pStyle w:val="TableParagraph"/>
              <w:spacing w:before="0" w:after="0"/>
              <w:jc w:val="center"/>
              <w:rPr>
                <w:sz w:val="16"/>
                <w:lang w:val="en-GB"/>
              </w:rPr>
            </w:pPr>
          </w:p>
        </w:tc>
        <w:tc>
          <w:tcPr>
            <w:tcW w:w="2097" w:type="dxa"/>
          </w:tcPr>
          <w:p w14:paraId="59DCC9CF" w14:textId="77777777" w:rsidR="00712309" w:rsidRPr="00D93FF9" w:rsidRDefault="00712309" w:rsidP="002F55F0">
            <w:pPr>
              <w:pStyle w:val="TableParagraph"/>
              <w:spacing w:before="0" w:after="0"/>
              <w:jc w:val="center"/>
              <w:rPr>
                <w:rFonts w:ascii="Times New Roman"/>
                <w:sz w:val="14"/>
                <w:lang w:val="en-GB"/>
              </w:rPr>
            </w:pPr>
          </w:p>
        </w:tc>
        <w:tc>
          <w:tcPr>
            <w:tcW w:w="985" w:type="dxa"/>
          </w:tcPr>
          <w:p w14:paraId="59DCC9D0" w14:textId="77777777" w:rsidR="00712309" w:rsidRPr="00D93FF9" w:rsidRDefault="00712309" w:rsidP="002F55F0">
            <w:pPr>
              <w:pStyle w:val="TableParagraph"/>
              <w:spacing w:before="0" w:after="0"/>
              <w:jc w:val="center"/>
              <w:rPr>
                <w:rFonts w:ascii="Times New Roman"/>
                <w:sz w:val="14"/>
                <w:lang w:val="en-GB"/>
              </w:rPr>
            </w:pPr>
          </w:p>
        </w:tc>
        <w:tc>
          <w:tcPr>
            <w:tcW w:w="1041" w:type="dxa"/>
          </w:tcPr>
          <w:p w14:paraId="59DCC9D1" w14:textId="77777777" w:rsidR="00712309" w:rsidRPr="00D93FF9" w:rsidRDefault="00712309" w:rsidP="002F55F0">
            <w:pPr>
              <w:pStyle w:val="TableParagraph"/>
              <w:spacing w:before="0" w:after="0"/>
              <w:jc w:val="center"/>
              <w:rPr>
                <w:rFonts w:ascii="Times New Roman"/>
                <w:sz w:val="14"/>
                <w:lang w:val="en-GB"/>
              </w:rPr>
            </w:pPr>
          </w:p>
        </w:tc>
        <w:tc>
          <w:tcPr>
            <w:tcW w:w="1135" w:type="dxa"/>
          </w:tcPr>
          <w:p w14:paraId="59DCC9D2" w14:textId="77777777" w:rsidR="00712309" w:rsidRPr="00D93FF9" w:rsidRDefault="00712309" w:rsidP="002F55F0">
            <w:pPr>
              <w:pStyle w:val="TableParagraph"/>
              <w:spacing w:before="0" w:after="0"/>
              <w:jc w:val="center"/>
              <w:rPr>
                <w:rFonts w:ascii="Times New Roman"/>
                <w:sz w:val="14"/>
                <w:lang w:val="en-GB"/>
              </w:rPr>
            </w:pPr>
          </w:p>
        </w:tc>
        <w:tc>
          <w:tcPr>
            <w:tcW w:w="1168" w:type="dxa"/>
          </w:tcPr>
          <w:p w14:paraId="59DCC9D3" w14:textId="77777777" w:rsidR="00712309" w:rsidRPr="00D93FF9" w:rsidRDefault="00712309" w:rsidP="002F55F0">
            <w:pPr>
              <w:pStyle w:val="TableParagraph"/>
              <w:spacing w:before="0" w:after="0"/>
              <w:jc w:val="center"/>
              <w:rPr>
                <w:sz w:val="16"/>
                <w:lang w:val="en-GB"/>
              </w:rPr>
            </w:pPr>
          </w:p>
        </w:tc>
      </w:tr>
      <w:tr w:rsidR="00BE3AA8" w:rsidRPr="00D93FF9" w14:paraId="59DCC9DD" w14:textId="77777777" w:rsidTr="002F55F0">
        <w:trPr>
          <w:trHeight w:val="228"/>
        </w:trPr>
        <w:tc>
          <w:tcPr>
            <w:tcW w:w="2147" w:type="dxa"/>
          </w:tcPr>
          <w:p w14:paraId="59DCC9D5" w14:textId="77777777" w:rsidR="00712309" w:rsidRPr="00D93FF9" w:rsidRDefault="00E811B8" w:rsidP="00712309">
            <w:pPr>
              <w:pStyle w:val="TableParagraph"/>
              <w:spacing w:before="0" w:after="0"/>
              <w:rPr>
                <w:sz w:val="16"/>
                <w:lang w:val="en-GB"/>
              </w:rPr>
            </w:pPr>
            <w:r w:rsidRPr="00D93FF9">
              <w:rPr>
                <w:sz w:val="16"/>
              </w:rPr>
              <w:t>Barley, forage</w:t>
            </w:r>
          </w:p>
        </w:tc>
        <w:tc>
          <w:tcPr>
            <w:tcW w:w="2980" w:type="dxa"/>
          </w:tcPr>
          <w:p w14:paraId="59DCC9D6" w14:textId="77777777" w:rsidR="00712309" w:rsidRPr="00D93FF9" w:rsidRDefault="00E811B8" w:rsidP="00712309">
            <w:pPr>
              <w:pStyle w:val="TableParagraph"/>
              <w:spacing w:before="0" w:after="0"/>
              <w:rPr>
                <w:i/>
                <w:sz w:val="16"/>
                <w:lang w:val="en-GB"/>
              </w:rPr>
            </w:pPr>
            <w:r w:rsidRPr="00D93FF9">
              <w:rPr>
                <w:i/>
                <w:sz w:val="16"/>
              </w:rPr>
              <w:t>Hordeum vulgare</w:t>
            </w:r>
          </w:p>
        </w:tc>
        <w:tc>
          <w:tcPr>
            <w:tcW w:w="1898" w:type="dxa"/>
          </w:tcPr>
          <w:p w14:paraId="59DCC9D7" w14:textId="77777777" w:rsidR="00712309" w:rsidRPr="00D93FF9" w:rsidRDefault="00E811B8" w:rsidP="002F55F0">
            <w:pPr>
              <w:pStyle w:val="TableParagraph"/>
              <w:spacing w:before="0" w:after="0"/>
              <w:jc w:val="center"/>
              <w:rPr>
                <w:sz w:val="16"/>
                <w:lang w:val="en-GB"/>
              </w:rPr>
            </w:pPr>
            <w:r w:rsidRPr="00D93FF9">
              <w:rPr>
                <w:sz w:val="16"/>
              </w:rPr>
              <w:t>6.0</w:t>
            </w:r>
          </w:p>
        </w:tc>
        <w:tc>
          <w:tcPr>
            <w:tcW w:w="2097" w:type="dxa"/>
          </w:tcPr>
          <w:p w14:paraId="59DCC9D8" w14:textId="77777777" w:rsidR="00712309" w:rsidRPr="00D93FF9" w:rsidRDefault="00E811B8" w:rsidP="002F55F0">
            <w:pPr>
              <w:pStyle w:val="TableParagraph"/>
              <w:spacing w:before="0" w:after="0"/>
              <w:jc w:val="center"/>
              <w:rPr>
                <w:rFonts w:ascii="Times New Roman"/>
                <w:sz w:val="14"/>
                <w:lang w:val="en-GB"/>
              </w:rPr>
            </w:pPr>
            <w:r w:rsidRPr="00D93FF9">
              <w:rPr>
                <w:sz w:val="16"/>
              </w:rPr>
              <w:t>7.0</w:t>
            </w:r>
          </w:p>
        </w:tc>
        <w:tc>
          <w:tcPr>
            <w:tcW w:w="985" w:type="dxa"/>
          </w:tcPr>
          <w:p w14:paraId="59DCC9D9" w14:textId="77777777" w:rsidR="00712309" w:rsidRPr="00D93FF9" w:rsidRDefault="00E811B8" w:rsidP="002F55F0">
            <w:pPr>
              <w:pStyle w:val="TableParagraph"/>
              <w:spacing w:before="0" w:after="0"/>
              <w:jc w:val="center"/>
              <w:rPr>
                <w:rFonts w:ascii="Times New Roman"/>
                <w:sz w:val="14"/>
                <w:lang w:val="en-GB"/>
              </w:rPr>
            </w:pPr>
            <w:r w:rsidRPr="00D93FF9">
              <w:rPr>
                <w:sz w:val="16"/>
              </w:rPr>
              <w:t>7.4</w:t>
            </w:r>
          </w:p>
        </w:tc>
        <w:tc>
          <w:tcPr>
            <w:tcW w:w="1041" w:type="dxa"/>
          </w:tcPr>
          <w:p w14:paraId="59DCC9DA" w14:textId="77777777" w:rsidR="00712309" w:rsidRPr="00D93FF9" w:rsidRDefault="00E811B8" w:rsidP="002F55F0">
            <w:pPr>
              <w:pStyle w:val="TableParagraph"/>
              <w:spacing w:before="0" w:after="0"/>
              <w:jc w:val="center"/>
              <w:rPr>
                <w:rFonts w:ascii="Times New Roman"/>
                <w:sz w:val="14"/>
                <w:lang w:val="en-GB"/>
              </w:rPr>
            </w:pPr>
            <w:r w:rsidRPr="00D93FF9">
              <w:rPr>
                <w:sz w:val="16"/>
              </w:rPr>
              <w:t>9.6</w:t>
            </w:r>
          </w:p>
        </w:tc>
        <w:tc>
          <w:tcPr>
            <w:tcW w:w="1135" w:type="dxa"/>
          </w:tcPr>
          <w:p w14:paraId="59DCC9DB" w14:textId="77777777" w:rsidR="00712309" w:rsidRPr="00D93FF9" w:rsidRDefault="00E811B8" w:rsidP="002F55F0">
            <w:pPr>
              <w:pStyle w:val="TableParagraph"/>
              <w:spacing w:before="0" w:after="0"/>
              <w:jc w:val="center"/>
              <w:rPr>
                <w:rFonts w:ascii="Times New Roman"/>
                <w:sz w:val="14"/>
                <w:lang w:val="en-GB"/>
              </w:rPr>
            </w:pPr>
            <w:r w:rsidRPr="00D93FF9">
              <w:rPr>
                <w:sz w:val="16"/>
              </w:rPr>
              <w:t>13.1</w:t>
            </w:r>
          </w:p>
        </w:tc>
        <w:tc>
          <w:tcPr>
            <w:tcW w:w="1168" w:type="dxa"/>
          </w:tcPr>
          <w:p w14:paraId="59DCC9DC" w14:textId="77777777" w:rsidR="00712309" w:rsidRPr="00D93FF9" w:rsidRDefault="00E811B8" w:rsidP="002F55F0">
            <w:pPr>
              <w:pStyle w:val="TableParagraph"/>
              <w:spacing w:before="0" w:after="0"/>
              <w:jc w:val="center"/>
              <w:rPr>
                <w:sz w:val="16"/>
                <w:lang w:val="en-GB"/>
              </w:rPr>
            </w:pPr>
            <w:r w:rsidRPr="00D93FF9">
              <w:rPr>
                <w:sz w:val="16"/>
              </w:rPr>
              <w:t>1</w:t>
            </w:r>
          </w:p>
        </w:tc>
      </w:tr>
      <w:tr w:rsidR="00BE3AA8" w:rsidRPr="00D93FF9" w14:paraId="59DCC9E6" w14:textId="77777777" w:rsidTr="002F55F0">
        <w:trPr>
          <w:trHeight w:val="228"/>
        </w:trPr>
        <w:tc>
          <w:tcPr>
            <w:tcW w:w="2147" w:type="dxa"/>
          </w:tcPr>
          <w:p w14:paraId="59DCC9DE" w14:textId="77777777" w:rsidR="00712309" w:rsidRPr="00D93FF9" w:rsidRDefault="00E811B8" w:rsidP="00712309">
            <w:pPr>
              <w:pStyle w:val="TableParagraph"/>
              <w:spacing w:before="0" w:after="0"/>
              <w:rPr>
                <w:sz w:val="16"/>
                <w:lang w:val="en-GB"/>
              </w:rPr>
            </w:pPr>
            <w:r w:rsidRPr="00D93FF9">
              <w:rPr>
                <w:sz w:val="16"/>
              </w:rPr>
              <w:t>Barley, hay</w:t>
            </w:r>
          </w:p>
        </w:tc>
        <w:tc>
          <w:tcPr>
            <w:tcW w:w="2980" w:type="dxa"/>
          </w:tcPr>
          <w:p w14:paraId="59DCC9DF" w14:textId="77777777" w:rsidR="00712309" w:rsidRPr="00D93FF9" w:rsidRDefault="00E811B8" w:rsidP="00712309">
            <w:pPr>
              <w:pStyle w:val="TableParagraph"/>
              <w:spacing w:before="0" w:after="0"/>
              <w:rPr>
                <w:i/>
                <w:sz w:val="16"/>
                <w:lang w:val="en-GB"/>
              </w:rPr>
            </w:pPr>
            <w:r w:rsidRPr="00D93FF9">
              <w:rPr>
                <w:i/>
                <w:sz w:val="16"/>
              </w:rPr>
              <w:t>Hordeum vulgare</w:t>
            </w:r>
          </w:p>
        </w:tc>
        <w:tc>
          <w:tcPr>
            <w:tcW w:w="1898" w:type="dxa"/>
          </w:tcPr>
          <w:p w14:paraId="59DCC9E0" w14:textId="77777777" w:rsidR="00712309" w:rsidRPr="00D93FF9" w:rsidRDefault="00E811B8" w:rsidP="002F55F0">
            <w:pPr>
              <w:pStyle w:val="TableParagraph"/>
              <w:spacing w:before="0" w:after="0"/>
              <w:jc w:val="center"/>
              <w:rPr>
                <w:sz w:val="16"/>
                <w:lang w:val="en-GB"/>
              </w:rPr>
            </w:pPr>
            <w:r w:rsidRPr="00D93FF9">
              <w:rPr>
                <w:sz w:val="16"/>
              </w:rPr>
              <w:t>6.0</w:t>
            </w:r>
          </w:p>
        </w:tc>
        <w:tc>
          <w:tcPr>
            <w:tcW w:w="2097" w:type="dxa"/>
          </w:tcPr>
          <w:p w14:paraId="59DCC9E1" w14:textId="77777777" w:rsidR="00712309" w:rsidRPr="00D93FF9" w:rsidRDefault="00E811B8" w:rsidP="002F55F0">
            <w:pPr>
              <w:pStyle w:val="TableParagraph"/>
              <w:spacing w:before="0" w:after="0"/>
              <w:jc w:val="center"/>
              <w:rPr>
                <w:rFonts w:ascii="Times New Roman"/>
                <w:sz w:val="14"/>
                <w:lang w:val="en-GB"/>
              </w:rPr>
            </w:pPr>
            <w:r w:rsidRPr="00D93FF9">
              <w:rPr>
                <w:sz w:val="16"/>
              </w:rPr>
              <w:t>7.1</w:t>
            </w:r>
          </w:p>
        </w:tc>
        <w:tc>
          <w:tcPr>
            <w:tcW w:w="985" w:type="dxa"/>
          </w:tcPr>
          <w:p w14:paraId="59DCC9E2" w14:textId="77777777" w:rsidR="00712309" w:rsidRPr="00D93FF9" w:rsidRDefault="00E811B8" w:rsidP="002F55F0">
            <w:pPr>
              <w:pStyle w:val="TableParagraph"/>
              <w:spacing w:before="0" w:after="0"/>
              <w:jc w:val="center"/>
              <w:rPr>
                <w:rFonts w:ascii="Times New Roman"/>
                <w:sz w:val="14"/>
                <w:lang w:val="en-GB"/>
              </w:rPr>
            </w:pPr>
            <w:r w:rsidRPr="00D93FF9">
              <w:rPr>
                <w:sz w:val="16"/>
              </w:rPr>
              <w:t>7.4</w:t>
            </w:r>
          </w:p>
        </w:tc>
        <w:tc>
          <w:tcPr>
            <w:tcW w:w="1041" w:type="dxa"/>
          </w:tcPr>
          <w:p w14:paraId="59DCC9E3" w14:textId="77777777" w:rsidR="00712309" w:rsidRPr="00D93FF9" w:rsidRDefault="00E811B8" w:rsidP="002F55F0">
            <w:pPr>
              <w:pStyle w:val="TableParagraph"/>
              <w:spacing w:before="0" w:after="0"/>
              <w:jc w:val="center"/>
              <w:rPr>
                <w:rFonts w:ascii="Times New Roman"/>
                <w:sz w:val="14"/>
                <w:lang w:val="en-GB"/>
              </w:rPr>
            </w:pPr>
            <w:r w:rsidRPr="00D93FF9">
              <w:rPr>
                <w:sz w:val="16"/>
              </w:rPr>
              <w:t>9.5</w:t>
            </w:r>
          </w:p>
        </w:tc>
        <w:tc>
          <w:tcPr>
            <w:tcW w:w="1135" w:type="dxa"/>
          </w:tcPr>
          <w:p w14:paraId="59DCC9E4" w14:textId="77777777" w:rsidR="00712309" w:rsidRPr="00D93FF9" w:rsidRDefault="00E811B8" w:rsidP="002F55F0">
            <w:pPr>
              <w:pStyle w:val="TableParagraph"/>
              <w:spacing w:before="0" w:after="0"/>
              <w:jc w:val="center"/>
              <w:rPr>
                <w:rFonts w:ascii="Times New Roman"/>
                <w:sz w:val="14"/>
                <w:lang w:val="en-GB"/>
              </w:rPr>
            </w:pPr>
            <w:r w:rsidRPr="00D93FF9">
              <w:rPr>
                <w:sz w:val="16"/>
              </w:rPr>
              <w:t>13.0</w:t>
            </w:r>
          </w:p>
        </w:tc>
        <w:tc>
          <w:tcPr>
            <w:tcW w:w="1168" w:type="dxa"/>
          </w:tcPr>
          <w:p w14:paraId="59DCC9E5" w14:textId="77777777" w:rsidR="00712309" w:rsidRPr="00D93FF9" w:rsidRDefault="00E811B8" w:rsidP="002F55F0">
            <w:pPr>
              <w:pStyle w:val="TableParagraph"/>
              <w:spacing w:before="0" w:after="0"/>
              <w:jc w:val="center"/>
              <w:rPr>
                <w:sz w:val="16"/>
                <w:lang w:val="en-GB"/>
              </w:rPr>
            </w:pPr>
            <w:r w:rsidRPr="00D93FF9">
              <w:rPr>
                <w:sz w:val="16"/>
              </w:rPr>
              <w:t>2</w:t>
            </w:r>
          </w:p>
        </w:tc>
      </w:tr>
      <w:tr w:rsidR="00BE3AA8" w:rsidRPr="00D93FF9" w14:paraId="59DCC9EF" w14:textId="77777777" w:rsidTr="002F55F0">
        <w:trPr>
          <w:trHeight w:val="228"/>
        </w:trPr>
        <w:tc>
          <w:tcPr>
            <w:tcW w:w="2147" w:type="dxa"/>
          </w:tcPr>
          <w:p w14:paraId="59DCC9E7" w14:textId="77777777" w:rsidR="00712309" w:rsidRPr="00D93FF9" w:rsidRDefault="00E811B8" w:rsidP="00712309">
            <w:pPr>
              <w:pStyle w:val="TableParagraph"/>
              <w:spacing w:before="0" w:after="0"/>
              <w:rPr>
                <w:sz w:val="16"/>
                <w:lang w:val="en-GB"/>
              </w:rPr>
            </w:pPr>
            <w:r w:rsidRPr="00D93FF9">
              <w:rPr>
                <w:sz w:val="16"/>
              </w:rPr>
              <w:t>Barrel medic, Cyprus</w:t>
            </w:r>
          </w:p>
        </w:tc>
        <w:tc>
          <w:tcPr>
            <w:tcW w:w="2980" w:type="dxa"/>
          </w:tcPr>
          <w:p w14:paraId="59DCC9E8" w14:textId="77777777" w:rsidR="00712309" w:rsidRPr="00D93FF9" w:rsidRDefault="00E811B8" w:rsidP="00712309">
            <w:pPr>
              <w:pStyle w:val="TableParagraph"/>
              <w:spacing w:before="0" w:after="0"/>
              <w:rPr>
                <w:i/>
                <w:sz w:val="16"/>
                <w:lang w:val="en-GB"/>
              </w:rPr>
            </w:pPr>
            <w:r w:rsidRPr="00D93FF9">
              <w:rPr>
                <w:i/>
                <w:sz w:val="16"/>
              </w:rPr>
              <w:t>Medicago truncatula</w:t>
            </w:r>
          </w:p>
        </w:tc>
        <w:tc>
          <w:tcPr>
            <w:tcW w:w="1898" w:type="dxa"/>
          </w:tcPr>
          <w:p w14:paraId="59DCC9E9" w14:textId="77777777" w:rsidR="00712309" w:rsidRPr="00D93FF9" w:rsidRDefault="00E811B8" w:rsidP="002F55F0">
            <w:pPr>
              <w:pStyle w:val="TableParagraph"/>
              <w:spacing w:before="0" w:after="0"/>
              <w:jc w:val="center"/>
              <w:rPr>
                <w:sz w:val="16"/>
                <w:lang w:val="en-GB"/>
              </w:rPr>
            </w:pPr>
            <w:r w:rsidRPr="00D93FF9">
              <w:rPr>
                <w:sz w:val="16"/>
              </w:rPr>
              <w:t>3.0</w:t>
            </w:r>
          </w:p>
        </w:tc>
        <w:tc>
          <w:tcPr>
            <w:tcW w:w="2097" w:type="dxa"/>
          </w:tcPr>
          <w:p w14:paraId="59DCC9EA" w14:textId="77777777" w:rsidR="00712309" w:rsidRPr="00D93FF9" w:rsidRDefault="00E811B8" w:rsidP="002F55F0">
            <w:pPr>
              <w:pStyle w:val="TableParagraph"/>
              <w:spacing w:before="0" w:after="0"/>
              <w:jc w:val="center"/>
              <w:rPr>
                <w:rFonts w:ascii="Times New Roman"/>
                <w:sz w:val="14"/>
                <w:lang w:val="en-GB"/>
              </w:rPr>
            </w:pPr>
            <w:r w:rsidRPr="00D93FF9">
              <w:rPr>
                <w:sz w:val="16"/>
              </w:rPr>
              <w:t>14.6</w:t>
            </w:r>
          </w:p>
        </w:tc>
        <w:tc>
          <w:tcPr>
            <w:tcW w:w="985" w:type="dxa"/>
          </w:tcPr>
          <w:p w14:paraId="59DCC9EB" w14:textId="77777777" w:rsidR="00712309" w:rsidRPr="00D93FF9" w:rsidRDefault="00E811B8" w:rsidP="002F55F0">
            <w:pPr>
              <w:pStyle w:val="TableParagraph"/>
              <w:spacing w:before="0" w:after="0"/>
              <w:jc w:val="center"/>
              <w:rPr>
                <w:rFonts w:ascii="Times New Roman"/>
                <w:sz w:val="14"/>
                <w:lang w:val="en-GB"/>
              </w:rPr>
            </w:pPr>
            <w:r w:rsidRPr="00D93FF9">
              <w:rPr>
                <w:sz w:val="16"/>
              </w:rPr>
              <w:t>3.7</w:t>
            </w:r>
          </w:p>
        </w:tc>
        <w:tc>
          <w:tcPr>
            <w:tcW w:w="1041" w:type="dxa"/>
          </w:tcPr>
          <w:p w14:paraId="59DCC9EC" w14:textId="77777777" w:rsidR="00712309" w:rsidRPr="00D93FF9" w:rsidRDefault="00E811B8" w:rsidP="002F55F0">
            <w:pPr>
              <w:pStyle w:val="TableParagraph"/>
              <w:spacing w:before="0" w:after="0"/>
              <w:jc w:val="center"/>
              <w:rPr>
                <w:rFonts w:ascii="Times New Roman"/>
                <w:sz w:val="14"/>
                <w:lang w:val="en-GB"/>
              </w:rPr>
            </w:pPr>
            <w:r w:rsidRPr="00D93FF9">
              <w:rPr>
                <w:sz w:val="16"/>
              </w:rPr>
              <w:t>4.7</w:t>
            </w:r>
          </w:p>
        </w:tc>
        <w:tc>
          <w:tcPr>
            <w:tcW w:w="1135" w:type="dxa"/>
          </w:tcPr>
          <w:p w14:paraId="59DCC9ED" w14:textId="77777777" w:rsidR="00712309" w:rsidRPr="00D93FF9" w:rsidRDefault="00E811B8" w:rsidP="002F55F0">
            <w:pPr>
              <w:pStyle w:val="TableParagraph"/>
              <w:spacing w:before="0" w:after="0"/>
              <w:jc w:val="center"/>
              <w:rPr>
                <w:rFonts w:ascii="Times New Roman"/>
                <w:sz w:val="14"/>
                <w:lang w:val="en-GB"/>
              </w:rPr>
            </w:pPr>
            <w:r w:rsidRPr="00D93FF9">
              <w:rPr>
                <w:sz w:val="16"/>
              </w:rPr>
              <w:t>6.4</w:t>
            </w:r>
          </w:p>
        </w:tc>
        <w:tc>
          <w:tcPr>
            <w:tcW w:w="1168" w:type="dxa"/>
          </w:tcPr>
          <w:p w14:paraId="59DCC9EE" w14:textId="77777777" w:rsidR="00712309" w:rsidRPr="00D93FF9" w:rsidRDefault="00E811B8" w:rsidP="002F55F0">
            <w:pPr>
              <w:pStyle w:val="TableParagraph"/>
              <w:spacing w:before="0" w:after="0"/>
              <w:jc w:val="center"/>
              <w:rPr>
                <w:sz w:val="16"/>
                <w:lang w:val="en-GB"/>
              </w:rPr>
            </w:pPr>
            <w:r w:rsidRPr="00D93FF9">
              <w:rPr>
                <w:sz w:val="16"/>
              </w:rPr>
              <w:t>3</w:t>
            </w:r>
          </w:p>
        </w:tc>
      </w:tr>
      <w:tr w:rsidR="00BE3AA8" w:rsidRPr="00D93FF9" w14:paraId="59DCC9F8" w14:textId="77777777" w:rsidTr="002F55F0">
        <w:trPr>
          <w:trHeight w:val="228"/>
        </w:trPr>
        <w:tc>
          <w:tcPr>
            <w:tcW w:w="2147" w:type="dxa"/>
          </w:tcPr>
          <w:p w14:paraId="59DCC9F0" w14:textId="77777777" w:rsidR="00712309" w:rsidRPr="00D93FF9" w:rsidRDefault="00E811B8" w:rsidP="00712309">
            <w:pPr>
              <w:pStyle w:val="TableParagraph"/>
              <w:spacing w:before="0" w:after="0"/>
              <w:rPr>
                <w:sz w:val="16"/>
                <w:lang w:val="en-GB"/>
              </w:rPr>
            </w:pPr>
            <w:r w:rsidRPr="00D93FF9">
              <w:rPr>
                <w:sz w:val="16"/>
              </w:rPr>
              <w:t>Barrel medic, Jemalong</w:t>
            </w:r>
          </w:p>
        </w:tc>
        <w:tc>
          <w:tcPr>
            <w:tcW w:w="2980" w:type="dxa"/>
          </w:tcPr>
          <w:p w14:paraId="59DCC9F1" w14:textId="77777777" w:rsidR="00712309" w:rsidRPr="00D93FF9" w:rsidRDefault="00E811B8" w:rsidP="00712309">
            <w:pPr>
              <w:pStyle w:val="TableParagraph"/>
              <w:spacing w:before="0" w:after="0"/>
              <w:rPr>
                <w:i/>
                <w:sz w:val="16"/>
                <w:lang w:val="en-GB"/>
              </w:rPr>
            </w:pPr>
            <w:r w:rsidRPr="00D93FF9">
              <w:rPr>
                <w:i/>
                <w:sz w:val="16"/>
              </w:rPr>
              <w:t>Medicago truncatula</w:t>
            </w:r>
          </w:p>
        </w:tc>
        <w:tc>
          <w:tcPr>
            <w:tcW w:w="1898" w:type="dxa"/>
          </w:tcPr>
          <w:p w14:paraId="59DCC9F2" w14:textId="77777777" w:rsidR="00712309" w:rsidRPr="00D93FF9" w:rsidRDefault="00E811B8" w:rsidP="002F55F0">
            <w:pPr>
              <w:pStyle w:val="TableParagraph"/>
              <w:spacing w:before="0" w:after="0"/>
              <w:jc w:val="center"/>
              <w:rPr>
                <w:sz w:val="16"/>
                <w:lang w:val="en-GB"/>
              </w:rPr>
            </w:pPr>
            <w:r w:rsidRPr="00D93FF9">
              <w:rPr>
                <w:sz w:val="16"/>
              </w:rPr>
              <w:t>1.0</w:t>
            </w:r>
          </w:p>
        </w:tc>
        <w:tc>
          <w:tcPr>
            <w:tcW w:w="2097" w:type="dxa"/>
          </w:tcPr>
          <w:p w14:paraId="59DCC9F3" w14:textId="77777777" w:rsidR="00712309" w:rsidRPr="00D93FF9" w:rsidRDefault="00E811B8" w:rsidP="002F55F0">
            <w:pPr>
              <w:pStyle w:val="TableParagraph"/>
              <w:spacing w:before="0" w:after="0"/>
              <w:jc w:val="center"/>
              <w:rPr>
                <w:rFonts w:ascii="Times New Roman"/>
                <w:sz w:val="14"/>
                <w:lang w:val="en-GB"/>
              </w:rPr>
            </w:pPr>
            <w:r w:rsidRPr="00D93FF9">
              <w:rPr>
                <w:sz w:val="16"/>
              </w:rPr>
              <w:t>7.7</w:t>
            </w:r>
          </w:p>
        </w:tc>
        <w:tc>
          <w:tcPr>
            <w:tcW w:w="985" w:type="dxa"/>
          </w:tcPr>
          <w:p w14:paraId="59DCC9F4" w14:textId="77777777" w:rsidR="00712309" w:rsidRPr="00D93FF9" w:rsidRDefault="00E811B8" w:rsidP="002F55F0">
            <w:pPr>
              <w:pStyle w:val="TableParagraph"/>
              <w:spacing w:before="0" w:after="0"/>
              <w:jc w:val="center"/>
              <w:rPr>
                <w:rFonts w:ascii="Times New Roman"/>
                <w:sz w:val="14"/>
                <w:lang w:val="en-GB"/>
              </w:rPr>
            </w:pPr>
            <w:r w:rsidRPr="00D93FF9">
              <w:rPr>
                <w:sz w:val="16"/>
              </w:rPr>
              <w:t>2.3</w:t>
            </w:r>
          </w:p>
        </w:tc>
        <w:tc>
          <w:tcPr>
            <w:tcW w:w="1041" w:type="dxa"/>
          </w:tcPr>
          <w:p w14:paraId="59DCC9F5" w14:textId="77777777" w:rsidR="00712309" w:rsidRPr="00D93FF9" w:rsidRDefault="00E811B8" w:rsidP="002F55F0">
            <w:pPr>
              <w:pStyle w:val="TableParagraph"/>
              <w:spacing w:before="0" w:after="0"/>
              <w:jc w:val="center"/>
              <w:rPr>
                <w:rFonts w:ascii="Times New Roman"/>
                <w:sz w:val="14"/>
                <w:lang w:val="en-GB"/>
              </w:rPr>
            </w:pPr>
            <w:r w:rsidRPr="00D93FF9">
              <w:rPr>
                <w:sz w:val="16"/>
              </w:rPr>
              <w:t>4.2</w:t>
            </w:r>
          </w:p>
        </w:tc>
        <w:tc>
          <w:tcPr>
            <w:tcW w:w="1135" w:type="dxa"/>
          </w:tcPr>
          <w:p w14:paraId="59DCC9F6" w14:textId="77777777" w:rsidR="00712309" w:rsidRPr="00D93FF9" w:rsidRDefault="00E811B8" w:rsidP="002F55F0">
            <w:pPr>
              <w:pStyle w:val="TableParagraph"/>
              <w:spacing w:before="0" w:after="0"/>
              <w:jc w:val="center"/>
              <w:rPr>
                <w:rFonts w:ascii="Times New Roman"/>
                <w:sz w:val="14"/>
                <w:lang w:val="en-GB"/>
              </w:rPr>
            </w:pPr>
            <w:r w:rsidRPr="00D93FF9">
              <w:rPr>
                <w:sz w:val="16"/>
              </w:rPr>
              <w:t>7.5</w:t>
            </w:r>
          </w:p>
        </w:tc>
        <w:tc>
          <w:tcPr>
            <w:tcW w:w="1168" w:type="dxa"/>
          </w:tcPr>
          <w:p w14:paraId="59DCC9F7" w14:textId="77777777" w:rsidR="00712309" w:rsidRPr="00D93FF9" w:rsidRDefault="00E811B8" w:rsidP="002F55F0">
            <w:pPr>
              <w:pStyle w:val="TableParagraph"/>
              <w:spacing w:before="0" w:after="0"/>
              <w:jc w:val="center"/>
              <w:rPr>
                <w:sz w:val="16"/>
                <w:lang w:val="en-GB"/>
              </w:rPr>
            </w:pPr>
            <w:r w:rsidRPr="00D93FF9">
              <w:rPr>
                <w:sz w:val="16"/>
              </w:rPr>
              <w:t>3</w:t>
            </w:r>
          </w:p>
        </w:tc>
      </w:tr>
      <w:tr w:rsidR="00BE3AA8" w:rsidRPr="00D93FF9" w14:paraId="59DCCA01" w14:textId="77777777" w:rsidTr="002F55F0">
        <w:trPr>
          <w:trHeight w:val="228"/>
        </w:trPr>
        <w:tc>
          <w:tcPr>
            <w:tcW w:w="2147" w:type="dxa"/>
          </w:tcPr>
          <w:p w14:paraId="59DCC9F9" w14:textId="77777777" w:rsidR="00712309" w:rsidRPr="00D93FF9" w:rsidRDefault="00E811B8" w:rsidP="00712309">
            <w:pPr>
              <w:pStyle w:val="TableParagraph"/>
              <w:spacing w:before="0" w:after="0"/>
              <w:rPr>
                <w:sz w:val="16"/>
                <w:lang w:val="en-GB"/>
              </w:rPr>
            </w:pPr>
            <w:r w:rsidRPr="00D93FF9">
              <w:rPr>
                <w:sz w:val="16"/>
              </w:rPr>
              <w:t>Buffel grass, Gayndah</w:t>
            </w:r>
          </w:p>
        </w:tc>
        <w:tc>
          <w:tcPr>
            <w:tcW w:w="2980" w:type="dxa"/>
          </w:tcPr>
          <w:p w14:paraId="59DCC9FA" w14:textId="77777777" w:rsidR="00712309" w:rsidRPr="00D93FF9" w:rsidRDefault="00E811B8" w:rsidP="00712309">
            <w:pPr>
              <w:pStyle w:val="TableParagraph"/>
              <w:spacing w:before="0" w:after="0"/>
              <w:rPr>
                <w:i/>
                <w:sz w:val="16"/>
                <w:lang w:val="en-GB"/>
              </w:rPr>
            </w:pPr>
            <w:r w:rsidRPr="00D93FF9">
              <w:rPr>
                <w:i/>
                <w:sz w:val="16"/>
              </w:rPr>
              <w:t xml:space="preserve">Cenchrus ciliaris </w:t>
            </w:r>
            <w:r w:rsidRPr="00D93FF9">
              <w:rPr>
                <w:sz w:val="16"/>
              </w:rPr>
              <w:t xml:space="preserve">var </w:t>
            </w:r>
            <w:r w:rsidRPr="00D93FF9">
              <w:rPr>
                <w:i/>
                <w:sz w:val="16"/>
              </w:rPr>
              <w:t>Gayndah</w:t>
            </w:r>
          </w:p>
        </w:tc>
        <w:tc>
          <w:tcPr>
            <w:tcW w:w="1898" w:type="dxa"/>
          </w:tcPr>
          <w:p w14:paraId="59DCC9FB" w14:textId="77777777" w:rsidR="00712309" w:rsidRPr="00D93FF9" w:rsidRDefault="00E811B8" w:rsidP="002F55F0">
            <w:pPr>
              <w:pStyle w:val="TableParagraph"/>
              <w:spacing w:before="0" w:after="0"/>
              <w:jc w:val="center"/>
              <w:rPr>
                <w:sz w:val="16"/>
                <w:lang w:val="en-GB"/>
              </w:rPr>
            </w:pPr>
            <w:r w:rsidRPr="00D93FF9">
              <w:rPr>
                <w:sz w:val="16"/>
              </w:rPr>
              <w:t>5.5</w:t>
            </w:r>
          </w:p>
        </w:tc>
        <w:tc>
          <w:tcPr>
            <w:tcW w:w="2097" w:type="dxa"/>
          </w:tcPr>
          <w:p w14:paraId="59DCC9FC" w14:textId="77777777" w:rsidR="00712309" w:rsidRPr="00D93FF9" w:rsidRDefault="00E811B8" w:rsidP="002F55F0">
            <w:pPr>
              <w:pStyle w:val="TableParagraph"/>
              <w:spacing w:before="0" w:after="0"/>
              <w:jc w:val="center"/>
              <w:rPr>
                <w:rFonts w:ascii="Times New Roman"/>
                <w:sz w:val="14"/>
                <w:lang w:val="en-GB"/>
              </w:rPr>
            </w:pPr>
            <w:r w:rsidRPr="00D93FF9">
              <w:rPr>
                <w:sz w:val="16"/>
              </w:rPr>
              <w:t>10.3</w:t>
            </w:r>
          </w:p>
        </w:tc>
        <w:tc>
          <w:tcPr>
            <w:tcW w:w="985" w:type="dxa"/>
          </w:tcPr>
          <w:p w14:paraId="59DCC9FD" w14:textId="77777777" w:rsidR="00712309" w:rsidRPr="00D93FF9" w:rsidRDefault="00E811B8" w:rsidP="002F55F0">
            <w:pPr>
              <w:pStyle w:val="TableParagraph"/>
              <w:spacing w:before="0" w:after="0"/>
              <w:jc w:val="center"/>
              <w:rPr>
                <w:rFonts w:ascii="Times New Roman"/>
                <w:sz w:val="14"/>
                <w:lang w:val="en-GB"/>
              </w:rPr>
            </w:pPr>
            <w:r w:rsidRPr="00D93FF9">
              <w:rPr>
                <w:sz w:val="16"/>
              </w:rPr>
              <w:t>6.5</w:t>
            </w:r>
          </w:p>
        </w:tc>
        <w:tc>
          <w:tcPr>
            <w:tcW w:w="1041" w:type="dxa"/>
          </w:tcPr>
          <w:p w14:paraId="59DCC9FE" w14:textId="77777777" w:rsidR="00712309" w:rsidRPr="00D93FF9" w:rsidRDefault="00E811B8" w:rsidP="002F55F0">
            <w:pPr>
              <w:pStyle w:val="TableParagraph"/>
              <w:spacing w:before="0" w:after="0"/>
              <w:jc w:val="center"/>
              <w:rPr>
                <w:rFonts w:ascii="Times New Roman"/>
                <w:sz w:val="14"/>
                <w:lang w:val="en-GB"/>
              </w:rPr>
            </w:pPr>
            <w:r w:rsidRPr="00D93FF9">
              <w:rPr>
                <w:sz w:val="16"/>
              </w:rPr>
              <w:t>7.9</w:t>
            </w:r>
          </w:p>
        </w:tc>
        <w:tc>
          <w:tcPr>
            <w:tcW w:w="1135" w:type="dxa"/>
          </w:tcPr>
          <w:p w14:paraId="59DCC9FF" w14:textId="77777777" w:rsidR="00712309" w:rsidRPr="00D93FF9" w:rsidRDefault="00E811B8" w:rsidP="002F55F0">
            <w:pPr>
              <w:pStyle w:val="TableParagraph"/>
              <w:spacing w:before="0" w:after="0"/>
              <w:jc w:val="center"/>
              <w:rPr>
                <w:rFonts w:ascii="Times New Roman"/>
                <w:sz w:val="14"/>
                <w:lang w:val="en-GB"/>
              </w:rPr>
            </w:pPr>
            <w:r w:rsidRPr="00D93FF9">
              <w:rPr>
                <w:sz w:val="16"/>
              </w:rPr>
              <w:t>10.4</w:t>
            </w:r>
          </w:p>
        </w:tc>
        <w:tc>
          <w:tcPr>
            <w:tcW w:w="1168" w:type="dxa"/>
          </w:tcPr>
          <w:p w14:paraId="59DCCA00" w14:textId="77777777" w:rsidR="00712309" w:rsidRPr="00D93FF9" w:rsidRDefault="00E811B8" w:rsidP="002F55F0">
            <w:pPr>
              <w:pStyle w:val="TableParagraph"/>
              <w:spacing w:before="0" w:after="0"/>
              <w:jc w:val="center"/>
              <w:rPr>
                <w:sz w:val="16"/>
                <w:lang w:val="en-GB"/>
              </w:rPr>
            </w:pPr>
            <w:r w:rsidRPr="00D93FF9">
              <w:rPr>
                <w:sz w:val="16"/>
              </w:rPr>
              <w:t>3</w:t>
            </w:r>
          </w:p>
        </w:tc>
      </w:tr>
      <w:tr w:rsidR="00BE3AA8" w:rsidRPr="00D93FF9" w14:paraId="59DCCA0A" w14:textId="77777777" w:rsidTr="002F55F0">
        <w:trPr>
          <w:trHeight w:val="228"/>
        </w:trPr>
        <w:tc>
          <w:tcPr>
            <w:tcW w:w="2147" w:type="dxa"/>
          </w:tcPr>
          <w:p w14:paraId="59DCCA02" w14:textId="77777777" w:rsidR="00712309" w:rsidRPr="00D93FF9" w:rsidRDefault="00E811B8" w:rsidP="00712309">
            <w:pPr>
              <w:pStyle w:val="TableParagraph"/>
              <w:spacing w:before="0" w:after="0"/>
              <w:rPr>
                <w:sz w:val="16"/>
                <w:lang w:val="en-GB"/>
              </w:rPr>
            </w:pPr>
            <w:r w:rsidRPr="00D93FF9">
              <w:rPr>
                <w:sz w:val="16"/>
              </w:rPr>
              <w:t>Buffel grass, Nunbank</w:t>
            </w:r>
          </w:p>
        </w:tc>
        <w:tc>
          <w:tcPr>
            <w:tcW w:w="2980" w:type="dxa"/>
          </w:tcPr>
          <w:p w14:paraId="59DCCA03" w14:textId="77777777" w:rsidR="00712309" w:rsidRPr="00D93FF9" w:rsidRDefault="00E811B8" w:rsidP="00712309">
            <w:pPr>
              <w:pStyle w:val="TableParagraph"/>
              <w:spacing w:before="0" w:after="0"/>
              <w:rPr>
                <w:i/>
                <w:sz w:val="16"/>
                <w:lang w:val="en-GB"/>
              </w:rPr>
            </w:pPr>
            <w:r w:rsidRPr="00D93FF9">
              <w:rPr>
                <w:i/>
                <w:sz w:val="16"/>
              </w:rPr>
              <w:t xml:space="preserve">Cenchrus ciliaris </w:t>
            </w:r>
            <w:r w:rsidRPr="00D93FF9">
              <w:rPr>
                <w:sz w:val="16"/>
              </w:rPr>
              <w:t xml:space="preserve">var </w:t>
            </w:r>
            <w:r w:rsidRPr="00D93FF9">
              <w:rPr>
                <w:i/>
                <w:sz w:val="16"/>
              </w:rPr>
              <w:t>Nunbank</w:t>
            </w:r>
          </w:p>
        </w:tc>
        <w:tc>
          <w:tcPr>
            <w:tcW w:w="1898" w:type="dxa"/>
          </w:tcPr>
          <w:p w14:paraId="59DCCA04" w14:textId="77777777" w:rsidR="00712309" w:rsidRPr="00D93FF9" w:rsidRDefault="00E811B8" w:rsidP="002F55F0">
            <w:pPr>
              <w:pStyle w:val="TableParagraph"/>
              <w:spacing w:before="0" w:after="0"/>
              <w:jc w:val="center"/>
              <w:rPr>
                <w:sz w:val="16"/>
                <w:lang w:val="en-GB"/>
              </w:rPr>
            </w:pPr>
            <w:r w:rsidRPr="00D93FF9">
              <w:rPr>
                <w:sz w:val="16"/>
              </w:rPr>
              <w:t>6.0</w:t>
            </w:r>
          </w:p>
        </w:tc>
        <w:tc>
          <w:tcPr>
            <w:tcW w:w="2097" w:type="dxa"/>
          </w:tcPr>
          <w:p w14:paraId="59DCCA05" w14:textId="77777777" w:rsidR="00712309" w:rsidRPr="00D93FF9" w:rsidRDefault="00E811B8" w:rsidP="002F55F0">
            <w:pPr>
              <w:pStyle w:val="TableParagraph"/>
              <w:spacing w:before="0" w:after="0"/>
              <w:jc w:val="center"/>
              <w:rPr>
                <w:rFonts w:ascii="Times New Roman"/>
                <w:sz w:val="14"/>
                <w:lang w:val="en-GB"/>
              </w:rPr>
            </w:pPr>
            <w:r w:rsidRPr="00D93FF9">
              <w:rPr>
                <w:sz w:val="16"/>
              </w:rPr>
              <w:t>6.8</w:t>
            </w:r>
          </w:p>
        </w:tc>
        <w:tc>
          <w:tcPr>
            <w:tcW w:w="985" w:type="dxa"/>
          </w:tcPr>
          <w:p w14:paraId="59DCCA06" w14:textId="77777777" w:rsidR="00712309" w:rsidRPr="00D93FF9" w:rsidRDefault="00E811B8" w:rsidP="002F55F0">
            <w:pPr>
              <w:pStyle w:val="TableParagraph"/>
              <w:spacing w:before="0" w:after="0"/>
              <w:jc w:val="center"/>
              <w:rPr>
                <w:rFonts w:ascii="Times New Roman"/>
                <w:sz w:val="14"/>
                <w:lang w:val="en-GB"/>
              </w:rPr>
            </w:pPr>
            <w:r w:rsidRPr="00D93FF9">
              <w:rPr>
                <w:sz w:val="16"/>
              </w:rPr>
              <w:t>7.5</w:t>
            </w:r>
          </w:p>
        </w:tc>
        <w:tc>
          <w:tcPr>
            <w:tcW w:w="1041" w:type="dxa"/>
          </w:tcPr>
          <w:p w14:paraId="59DCCA07" w14:textId="77777777" w:rsidR="00712309" w:rsidRPr="00D93FF9" w:rsidRDefault="00E811B8" w:rsidP="002F55F0">
            <w:pPr>
              <w:pStyle w:val="TableParagraph"/>
              <w:spacing w:before="0" w:after="0"/>
              <w:jc w:val="center"/>
              <w:rPr>
                <w:rFonts w:ascii="Times New Roman"/>
                <w:sz w:val="14"/>
                <w:lang w:val="en-GB"/>
              </w:rPr>
            </w:pPr>
            <w:r w:rsidRPr="00D93FF9">
              <w:rPr>
                <w:sz w:val="16"/>
              </w:rPr>
              <w:t>9.7</w:t>
            </w:r>
          </w:p>
        </w:tc>
        <w:tc>
          <w:tcPr>
            <w:tcW w:w="1135" w:type="dxa"/>
          </w:tcPr>
          <w:p w14:paraId="59DCCA08" w14:textId="77777777" w:rsidR="00712309" w:rsidRPr="00D93FF9" w:rsidRDefault="00E811B8" w:rsidP="002F55F0">
            <w:pPr>
              <w:pStyle w:val="TableParagraph"/>
              <w:spacing w:before="0" w:after="0"/>
              <w:jc w:val="center"/>
              <w:rPr>
                <w:rFonts w:ascii="Times New Roman"/>
                <w:sz w:val="14"/>
                <w:lang w:val="en-GB"/>
              </w:rPr>
            </w:pPr>
            <w:r w:rsidRPr="00D93FF9">
              <w:rPr>
                <w:sz w:val="16"/>
              </w:rPr>
              <w:t>13.4</w:t>
            </w:r>
          </w:p>
        </w:tc>
        <w:tc>
          <w:tcPr>
            <w:tcW w:w="1168" w:type="dxa"/>
          </w:tcPr>
          <w:p w14:paraId="59DCCA09" w14:textId="77777777" w:rsidR="00712309" w:rsidRPr="00D93FF9" w:rsidRDefault="00E811B8" w:rsidP="002F55F0">
            <w:pPr>
              <w:pStyle w:val="TableParagraph"/>
              <w:spacing w:before="0" w:after="0"/>
              <w:jc w:val="center"/>
              <w:rPr>
                <w:sz w:val="16"/>
                <w:lang w:val="en-GB"/>
              </w:rPr>
            </w:pPr>
            <w:r w:rsidRPr="00D93FF9">
              <w:rPr>
                <w:sz w:val="16"/>
              </w:rPr>
              <w:t>3</w:t>
            </w:r>
          </w:p>
        </w:tc>
      </w:tr>
      <w:tr w:rsidR="00BE3AA8" w:rsidRPr="00D93FF9" w14:paraId="59DCCA13" w14:textId="77777777" w:rsidTr="002F55F0">
        <w:trPr>
          <w:trHeight w:val="228"/>
        </w:trPr>
        <w:tc>
          <w:tcPr>
            <w:tcW w:w="2147" w:type="dxa"/>
          </w:tcPr>
          <w:p w14:paraId="59DCCA0B" w14:textId="77777777" w:rsidR="00F84765" w:rsidRPr="00D93FF9" w:rsidRDefault="00E811B8" w:rsidP="00F84765">
            <w:pPr>
              <w:pStyle w:val="TableParagraph"/>
              <w:spacing w:before="0" w:after="0"/>
              <w:rPr>
                <w:sz w:val="16"/>
              </w:rPr>
            </w:pPr>
            <w:r w:rsidRPr="00D93FF9">
              <w:rPr>
                <w:sz w:val="16"/>
              </w:rPr>
              <w:t>Couch grass</w:t>
            </w:r>
          </w:p>
        </w:tc>
        <w:tc>
          <w:tcPr>
            <w:tcW w:w="2980" w:type="dxa"/>
          </w:tcPr>
          <w:p w14:paraId="59DCCA0C" w14:textId="77777777" w:rsidR="00F84765" w:rsidRPr="00D93FF9" w:rsidRDefault="00E811B8" w:rsidP="00F84765">
            <w:pPr>
              <w:pStyle w:val="TableParagraph"/>
              <w:spacing w:before="0" w:after="0"/>
              <w:rPr>
                <w:i/>
                <w:sz w:val="16"/>
              </w:rPr>
            </w:pPr>
            <w:r w:rsidRPr="00D93FF9">
              <w:rPr>
                <w:i/>
                <w:sz w:val="16"/>
              </w:rPr>
              <w:t>Cynodon dactylon</w:t>
            </w:r>
          </w:p>
        </w:tc>
        <w:tc>
          <w:tcPr>
            <w:tcW w:w="1898" w:type="dxa"/>
          </w:tcPr>
          <w:p w14:paraId="59DCCA0D" w14:textId="77777777" w:rsidR="00F84765" w:rsidRPr="00D93FF9" w:rsidRDefault="00E811B8" w:rsidP="002F55F0">
            <w:pPr>
              <w:pStyle w:val="TableParagraph"/>
              <w:spacing w:before="0" w:after="0"/>
              <w:jc w:val="center"/>
              <w:rPr>
                <w:sz w:val="16"/>
              </w:rPr>
            </w:pPr>
            <w:r w:rsidRPr="00D93FF9">
              <w:rPr>
                <w:sz w:val="16"/>
              </w:rPr>
              <w:t>6.9</w:t>
            </w:r>
          </w:p>
        </w:tc>
        <w:tc>
          <w:tcPr>
            <w:tcW w:w="2097" w:type="dxa"/>
          </w:tcPr>
          <w:p w14:paraId="59DCCA0E" w14:textId="77777777" w:rsidR="00F84765" w:rsidRPr="00D93FF9" w:rsidRDefault="00E811B8" w:rsidP="002F55F0">
            <w:pPr>
              <w:pStyle w:val="TableParagraph"/>
              <w:spacing w:before="0" w:after="0"/>
              <w:jc w:val="center"/>
              <w:rPr>
                <w:sz w:val="16"/>
              </w:rPr>
            </w:pPr>
            <w:r w:rsidRPr="00D93FF9">
              <w:rPr>
                <w:sz w:val="16"/>
              </w:rPr>
              <w:t>6.4</w:t>
            </w:r>
          </w:p>
        </w:tc>
        <w:tc>
          <w:tcPr>
            <w:tcW w:w="985" w:type="dxa"/>
          </w:tcPr>
          <w:p w14:paraId="59DCCA0F" w14:textId="77777777" w:rsidR="00F84765" w:rsidRPr="00D93FF9" w:rsidRDefault="00E811B8" w:rsidP="002F55F0">
            <w:pPr>
              <w:pStyle w:val="TableParagraph"/>
              <w:spacing w:before="0" w:after="0"/>
              <w:jc w:val="center"/>
              <w:rPr>
                <w:sz w:val="16"/>
              </w:rPr>
            </w:pPr>
            <w:r w:rsidRPr="00D93FF9">
              <w:rPr>
                <w:sz w:val="16"/>
              </w:rPr>
              <w:t>8.5</w:t>
            </w:r>
          </w:p>
        </w:tc>
        <w:tc>
          <w:tcPr>
            <w:tcW w:w="1041" w:type="dxa"/>
          </w:tcPr>
          <w:p w14:paraId="59DCCA10" w14:textId="77777777" w:rsidR="00F84765" w:rsidRPr="00D93FF9" w:rsidRDefault="00E811B8" w:rsidP="002F55F0">
            <w:pPr>
              <w:pStyle w:val="TableParagraph"/>
              <w:spacing w:before="0" w:after="0"/>
              <w:jc w:val="center"/>
              <w:rPr>
                <w:sz w:val="16"/>
              </w:rPr>
            </w:pPr>
            <w:r w:rsidRPr="00D93FF9">
              <w:rPr>
                <w:sz w:val="16"/>
              </w:rPr>
              <w:t>10.8</w:t>
            </w:r>
          </w:p>
        </w:tc>
        <w:tc>
          <w:tcPr>
            <w:tcW w:w="1135" w:type="dxa"/>
          </w:tcPr>
          <w:p w14:paraId="59DCCA11" w14:textId="77777777" w:rsidR="00F84765" w:rsidRPr="00D93FF9" w:rsidRDefault="00E811B8" w:rsidP="002F55F0">
            <w:pPr>
              <w:pStyle w:val="TableParagraph"/>
              <w:spacing w:before="0" w:after="0"/>
              <w:jc w:val="center"/>
              <w:rPr>
                <w:sz w:val="16"/>
              </w:rPr>
            </w:pPr>
            <w:r w:rsidRPr="00D93FF9">
              <w:rPr>
                <w:sz w:val="16"/>
              </w:rPr>
              <w:t>14.7</w:t>
            </w:r>
          </w:p>
        </w:tc>
        <w:tc>
          <w:tcPr>
            <w:tcW w:w="1168" w:type="dxa"/>
          </w:tcPr>
          <w:p w14:paraId="59DCCA12" w14:textId="77777777" w:rsidR="00F84765" w:rsidRPr="00D93FF9" w:rsidRDefault="00E811B8" w:rsidP="002F55F0">
            <w:pPr>
              <w:pStyle w:val="TableParagraph"/>
              <w:spacing w:before="0" w:after="0"/>
              <w:jc w:val="center"/>
              <w:rPr>
                <w:sz w:val="16"/>
              </w:rPr>
            </w:pPr>
            <w:r w:rsidRPr="00D93FF9">
              <w:rPr>
                <w:sz w:val="16"/>
              </w:rPr>
              <w:t>1</w:t>
            </w:r>
          </w:p>
        </w:tc>
      </w:tr>
      <w:tr w:rsidR="00BE3AA8" w:rsidRPr="00D93FF9" w14:paraId="59DCCA1C" w14:textId="77777777" w:rsidTr="002F55F0">
        <w:trPr>
          <w:trHeight w:val="228"/>
        </w:trPr>
        <w:tc>
          <w:tcPr>
            <w:tcW w:w="2147" w:type="dxa"/>
          </w:tcPr>
          <w:p w14:paraId="59DCCA14" w14:textId="77777777" w:rsidR="00F84765" w:rsidRPr="00D93FF9" w:rsidRDefault="00E811B8" w:rsidP="00F84765">
            <w:pPr>
              <w:pStyle w:val="TableParagraph"/>
              <w:spacing w:before="0" w:after="0"/>
              <w:rPr>
                <w:sz w:val="16"/>
              </w:rPr>
            </w:pPr>
            <w:r w:rsidRPr="00D93FF9">
              <w:rPr>
                <w:sz w:val="16"/>
              </w:rPr>
              <w:t>Cowpea (vegetative)</w:t>
            </w:r>
          </w:p>
        </w:tc>
        <w:tc>
          <w:tcPr>
            <w:tcW w:w="2980" w:type="dxa"/>
          </w:tcPr>
          <w:p w14:paraId="59DCCA15" w14:textId="77777777" w:rsidR="00F84765" w:rsidRPr="00D93FF9" w:rsidRDefault="00E811B8" w:rsidP="00F84765">
            <w:pPr>
              <w:pStyle w:val="TableParagraph"/>
              <w:spacing w:before="0" w:after="0"/>
              <w:rPr>
                <w:i/>
                <w:sz w:val="16"/>
              </w:rPr>
            </w:pPr>
            <w:r w:rsidRPr="00D93FF9">
              <w:rPr>
                <w:i/>
                <w:sz w:val="16"/>
              </w:rPr>
              <w:t>Vigna unguiculata</w:t>
            </w:r>
          </w:p>
        </w:tc>
        <w:tc>
          <w:tcPr>
            <w:tcW w:w="1898" w:type="dxa"/>
          </w:tcPr>
          <w:p w14:paraId="59DCCA16" w14:textId="77777777" w:rsidR="00F84765" w:rsidRPr="00D93FF9" w:rsidRDefault="00E811B8" w:rsidP="002F55F0">
            <w:pPr>
              <w:pStyle w:val="TableParagraph"/>
              <w:spacing w:before="0" w:after="0"/>
              <w:jc w:val="center"/>
              <w:rPr>
                <w:sz w:val="16"/>
              </w:rPr>
            </w:pPr>
            <w:r w:rsidRPr="00D93FF9">
              <w:rPr>
                <w:sz w:val="16"/>
              </w:rPr>
              <w:t>1.3</w:t>
            </w:r>
          </w:p>
        </w:tc>
        <w:tc>
          <w:tcPr>
            <w:tcW w:w="2097" w:type="dxa"/>
          </w:tcPr>
          <w:p w14:paraId="59DCCA17" w14:textId="77777777" w:rsidR="00F84765" w:rsidRPr="00D93FF9" w:rsidRDefault="00E811B8" w:rsidP="002F55F0">
            <w:pPr>
              <w:pStyle w:val="TableParagraph"/>
              <w:spacing w:before="0" w:after="0"/>
              <w:jc w:val="center"/>
              <w:rPr>
                <w:sz w:val="16"/>
              </w:rPr>
            </w:pPr>
            <w:r w:rsidRPr="00D93FF9">
              <w:rPr>
                <w:sz w:val="16"/>
              </w:rPr>
              <w:t>14.3</w:t>
            </w:r>
          </w:p>
        </w:tc>
        <w:tc>
          <w:tcPr>
            <w:tcW w:w="985" w:type="dxa"/>
          </w:tcPr>
          <w:p w14:paraId="59DCCA18" w14:textId="77777777" w:rsidR="00F84765" w:rsidRPr="00D93FF9" w:rsidRDefault="00E811B8" w:rsidP="002F55F0">
            <w:pPr>
              <w:pStyle w:val="TableParagraph"/>
              <w:spacing w:before="0" w:after="0"/>
              <w:jc w:val="center"/>
              <w:rPr>
                <w:sz w:val="16"/>
              </w:rPr>
            </w:pPr>
            <w:r w:rsidRPr="00D93FF9">
              <w:rPr>
                <w:sz w:val="16"/>
              </w:rPr>
              <w:t>2.0</w:t>
            </w:r>
          </w:p>
        </w:tc>
        <w:tc>
          <w:tcPr>
            <w:tcW w:w="1041" w:type="dxa"/>
          </w:tcPr>
          <w:p w14:paraId="59DCCA19" w14:textId="77777777" w:rsidR="00F84765" w:rsidRPr="00D93FF9" w:rsidRDefault="00E811B8" w:rsidP="002F55F0">
            <w:pPr>
              <w:pStyle w:val="TableParagraph"/>
              <w:spacing w:before="0" w:after="0"/>
              <w:jc w:val="center"/>
              <w:rPr>
                <w:sz w:val="16"/>
              </w:rPr>
            </w:pPr>
            <w:r w:rsidRPr="00D93FF9">
              <w:rPr>
                <w:sz w:val="16"/>
              </w:rPr>
              <w:t>3.0</w:t>
            </w:r>
          </w:p>
        </w:tc>
        <w:tc>
          <w:tcPr>
            <w:tcW w:w="1135" w:type="dxa"/>
          </w:tcPr>
          <w:p w14:paraId="59DCCA1A" w14:textId="77777777" w:rsidR="00F84765" w:rsidRPr="00D93FF9" w:rsidRDefault="00E811B8" w:rsidP="002F55F0">
            <w:pPr>
              <w:pStyle w:val="TableParagraph"/>
              <w:spacing w:before="0" w:after="0"/>
              <w:jc w:val="center"/>
              <w:rPr>
                <w:sz w:val="16"/>
              </w:rPr>
            </w:pPr>
            <w:r w:rsidRPr="00D93FF9">
              <w:rPr>
                <w:sz w:val="16"/>
              </w:rPr>
              <w:t>4.8</w:t>
            </w:r>
          </w:p>
        </w:tc>
        <w:tc>
          <w:tcPr>
            <w:tcW w:w="1168" w:type="dxa"/>
          </w:tcPr>
          <w:p w14:paraId="59DCCA1B" w14:textId="77777777" w:rsidR="00F84765" w:rsidRPr="00D93FF9" w:rsidRDefault="00E811B8" w:rsidP="002F55F0">
            <w:pPr>
              <w:pStyle w:val="TableParagraph"/>
              <w:spacing w:before="0" w:after="0"/>
              <w:jc w:val="center"/>
              <w:rPr>
                <w:sz w:val="16"/>
              </w:rPr>
            </w:pPr>
            <w:r w:rsidRPr="00D93FF9">
              <w:rPr>
                <w:sz w:val="16"/>
              </w:rPr>
              <w:t>1</w:t>
            </w:r>
          </w:p>
        </w:tc>
      </w:tr>
      <w:tr w:rsidR="00BE3AA8" w:rsidRPr="00D93FF9" w14:paraId="59DCCA25" w14:textId="77777777" w:rsidTr="002F55F0">
        <w:trPr>
          <w:trHeight w:val="228"/>
        </w:trPr>
        <w:tc>
          <w:tcPr>
            <w:tcW w:w="2147" w:type="dxa"/>
          </w:tcPr>
          <w:p w14:paraId="59DCCA1D" w14:textId="77777777" w:rsidR="00F84765" w:rsidRPr="00D93FF9" w:rsidRDefault="00E811B8" w:rsidP="00F84765">
            <w:pPr>
              <w:pStyle w:val="TableParagraph"/>
              <w:spacing w:before="0" w:after="0"/>
              <w:rPr>
                <w:sz w:val="16"/>
              </w:rPr>
            </w:pPr>
            <w:r w:rsidRPr="00D93FF9">
              <w:rPr>
                <w:sz w:val="16"/>
              </w:rPr>
              <w:t>Desmodium, green leaf</w:t>
            </w:r>
          </w:p>
        </w:tc>
        <w:tc>
          <w:tcPr>
            <w:tcW w:w="2980" w:type="dxa"/>
          </w:tcPr>
          <w:p w14:paraId="59DCCA1E" w14:textId="77777777" w:rsidR="00F84765" w:rsidRPr="00D93FF9" w:rsidRDefault="00E811B8" w:rsidP="00F84765">
            <w:pPr>
              <w:pStyle w:val="TableParagraph"/>
              <w:spacing w:before="0" w:after="0"/>
              <w:rPr>
                <w:i/>
                <w:sz w:val="16"/>
              </w:rPr>
            </w:pPr>
            <w:r w:rsidRPr="00D93FF9">
              <w:rPr>
                <w:i/>
                <w:sz w:val="16"/>
              </w:rPr>
              <w:t>Desmodiuim intortum</w:t>
            </w:r>
          </w:p>
        </w:tc>
        <w:tc>
          <w:tcPr>
            <w:tcW w:w="1898" w:type="dxa"/>
          </w:tcPr>
          <w:p w14:paraId="59DCCA1F" w14:textId="77777777" w:rsidR="00F84765" w:rsidRPr="00D93FF9" w:rsidRDefault="00E811B8" w:rsidP="002F55F0">
            <w:pPr>
              <w:pStyle w:val="TableParagraph"/>
              <w:spacing w:before="0" w:after="0"/>
              <w:jc w:val="center"/>
              <w:rPr>
                <w:sz w:val="16"/>
              </w:rPr>
            </w:pPr>
            <w:r w:rsidRPr="00D93FF9">
              <w:rPr>
                <w:sz w:val="16"/>
              </w:rPr>
              <w:t>2.1</w:t>
            </w:r>
          </w:p>
        </w:tc>
        <w:tc>
          <w:tcPr>
            <w:tcW w:w="2097" w:type="dxa"/>
          </w:tcPr>
          <w:p w14:paraId="59DCCA20" w14:textId="77777777" w:rsidR="00F84765" w:rsidRPr="00D93FF9" w:rsidRDefault="00E811B8" w:rsidP="002F55F0">
            <w:pPr>
              <w:pStyle w:val="TableParagraph"/>
              <w:spacing w:before="0" w:after="0"/>
              <w:jc w:val="center"/>
              <w:rPr>
                <w:sz w:val="16"/>
              </w:rPr>
            </w:pPr>
            <w:r w:rsidRPr="00D93FF9">
              <w:rPr>
                <w:sz w:val="16"/>
              </w:rPr>
              <w:t>14.9</w:t>
            </w:r>
          </w:p>
        </w:tc>
        <w:tc>
          <w:tcPr>
            <w:tcW w:w="985" w:type="dxa"/>
          </w:tcPr>
          <w:p w14:paraId="59DCCA21" w14:textId="77777777" w:rsidR="00F84765" w:rsidRPr="00D93FF9" w:rsidRDefault="00E811B8" w:rsidP="002F55F0">
            <w:pPr>
              <w:pStyle w:val="TableParagraph"/>
              <w:spacing w:before="0" w:after="0"/>
              <w:jc w:val="center"/>
              <w:rPr>
                <w:sz w:val="16"/>
              </w:rPr>
            </w:pPr>
            <w:r w:rsidRPr="00D93FF9">
              <w:rPr>
                <w:sz w:val="16"/>
              </w:rPr>
              <w:t>2.8</w:t>
            </w:r>
          </w:p>
        </w:tc>
        <w:tc>
          <w:tcPr>
            <w:tcW w:w="1041" w:type="dxa"/>
          </w:tcPr>
          <w:p w14:paraId="59DCCA22" w14:textId="77777777" w:rsidR="00F84765" w:rsidRPr="00D93FF9" w:rsidRDefault="00E811B8" w:rsidP="002F55F0">
            <w:pPr>
              <w:pStyle w:val="TableParagraph"/>
              <w:spacing w:before="0" w:after="0"/>
              <w:jc w:val="center"/>
              <w:rPr>
                <w:sz w:val="16"/>
              </w:rPr>
            </w:pPr>
            <w:r w:rsidRPr="00D93FF9">
              <w:rPr>
                <w:sz w:val="16"/>
              </w:rPr>
              <w:t>3.8</w:t>
            </w:r>
          </w:p>
        </w:tc>
        <w:tc>
          <w:tcPr>
            <w:tcW w:w="1135" w:type="dxa"/>
          </w:tcPr>
          <w:p w14:paraId="59DCCA23" w14:textId="77777777" w:rsidR="00F84765" w:rsidRPr="00D93FF9" w:rsidRDefault="00E811B8" w:rsidP="002F55F0">
            <w:pPr>
              <w:pStyle w:val="TableParagraph"/>
              <w:spacing w:before="0" w:after="0"/>
              <w:jc w:val="center"/>
              <w:rPr>
                <w:sz w:val="16"/>
              </w:rPr>
            </w:pPr>
            <w:r w:rsidRPr="00D93FF9">
              <w:rPr>
                <w:sz w:val="16"/>
              </w:rPr>
              <w:t>5.5</w:t>
            </w:r>
          </w:p>
        </w:tc>
        <w:tc>
          <w:tcPr>
            <w:tcW w:w="1168" w:type="dxa"/>
          </w:tcPr>
          <w:p w14:paraId="59DCCA24" w14:textId="77777777" w:rsidR="00F84765" w:rsidRPr="00D93FF9" w:rsidRDefault="00E811B8" w:rsidP="002F55F0">
            <w:pPr>
              <w:pStyle w:val="TableParagraph"/>
              <w:spacing w:before="0" w:after="0"/>
              <w:jc w:val="center"/>
              <w:rPr>
                <w:sz w:val="16"/>
              </w:rPr>
            </w:pPr>
            <w:r w:rsidRPr="00D93FF9">
              <w:rPr>
                <w:sz w:val="16"/>
              </w:rPr>
              <w:t>3</w:t>
            </w:r>
          </w:p>
        </w:tc>
      </w:tr>
      <w:tr w:rsidR="00BE3AA8" w:rsidRPr="00D93FF9" w14:paraId="59DCCA2E" w14:textId="77777777" w:rsidTr="002F55F0">
        <w:trPr>
          <w:trHeight w:val="228"/>
        </w:trPr>
        <w:tc>
          <w:tcPr>
            <w:tcW w:w="2147" w:type="dxa"/>
          </w:tcPr>
          <w:p w14:paraId="59DCCA26" w14:textId="77777777" w:rsidR="00F84765" w:rsidRPr="00D93FF9" w:rsidRDefault="00E811B8" w:rsidP="00F84765">
            <w:pPr>
              <w:pStyle w:val="TableParagraph"/>
              <w:spacing w:before="0" w:after="0"/>
              <w:rPr>
                <w:sz w:val="16"/>
              </w:rPr>
            </w:pPr>
            <w:r w:rsidRPr="00D93FF9">
              <w:rPr>
                <w:sz w:val="16"/>
              </w:rPr>
              <w:t>Desmodium, silverleaf</w:t>
            </w:r>
          </w:p>
        </w:tc>
        <w:tc>
          <w:tcPr>
            <w:tcW w:w="2980" w:type="dxa"/>
          </w:tcPr>
          <w:p w14:paraId="59DCCA27" w14:textId="77777777" w:rsidR="00F84765" w:rsidRPr="00D93FF9" w:rsidRDefault="00E811B8" w:rsidP="00F84765">
            <w:pPr>
              <w:pStyle w:val="TableParagraph"/>
              <w:spacing w:before="0" w:after="0"/>
              <w:rPr>
                <w:i/>
                <w:sz w:val="16"/>
              </w:rPr>
            </w:pPr>
            <w:r w:rsidRPr="00D93FF9">
              <w:rPr>
                <w:i/>
                <w:sz w:val="16"/>
              </w:rPr>
              <w:t>Desmodium uncinatum</w:t>
            </w:r>
          </w:p>
        </w:tc>
        <w:tc>
          <w:tcPr>
            <w:tcW w:w="1898" w:type="dxa"/>
          </w:tcPr>
          <w:p w14:paraId="59DCCA28" w14:textId="77777777" w:rsidR="00F84765" w:rsidRPr="00D93FF9" w:rsidRDefault="00E811B8" w:rsidP="002F55F0">
            <w:pPr>
              <w:pStyle w:val="TableParagraph"/>
              <w:spacing w:before="0" w:after="0"/>
              <w:jc w:val="center"/>
              <w:rPr>
                <w:sz w:val="16"/>
              </w:rPr>
            </w:pPr>
            <w:r w:rsidRPr="00D93FF9">
              <w:rPr>
                <w:sz w:val="16"/>
              </w:rPr>
              <w:t>1.0</w:t>
            </w:r>
          </w:p>
        </w:tc>
        <w:tc>
          <w:tcPr>
            <w:tcW w:w="2097" w:type="dxa"/>
          </w:tcPr>
          <w:p w14:paraId="59DCCA29" w14:textId="77777777" w:rsidR="00F84765" w:rsidRPr="00D93FF9" w:rsidRDefault="00E811B8" w:rsidP="002F55F0">
            <w:pPr>
              <w:pStyle w:val="TableParagraph"/>
              <w:spacing w:before="0" w:after="0"/>
              <w:jc w:val="center"/>
              <w:rPr>
                <w:sz w:val="16"/>
              </w:rPr>
            </w:pPr>
            <w:r w:rsidRPr="00D93FF9">
              <w:rPr>
                <w:sz w:val="16"/>
              </w:rPr>
              <w:t>22.7</w:t>
            </w:r>
          </w:p>
        </w:tc>
        <w:tc>
          <w:tcPr>
            <w:tcW w:w="985" w:type="dxa"/>
          </w:tcPr>
          <w:p w14:paraId="59DCCA2A" w14:textId="77777777" w:rsidR="00F84765" w:rsidRPr="00D93FF9" w:rsidRDefault="00E811B8" w:rsidP="002F55F0">
            <w:pPr>
              <w:pStyle w:val="TableParagraph"/>
              <w:spacing w:before="0" w:after="0"/>
              <w:jc w:val="center"/>
              <w:rPr>
                <w:sz w:val="16"/>
              </w:rPr>
            </w:pPr>
            <w:r w:rsidRPr="00D93FF9">
              <w:rPr>
                <w:sz w:val="16"/>
              </w:rPr>
              <w:t>1.4</w:t>
            </w:r>
          </w:p>
        </w:tc>
        <w:tc>
          <w:tcPr>
            <w:tcW w:w="1041" w:type="dxa"/>
          </w:tcPr>
          <w:p w14:paraId="59DCCA2B" w14:textId="77777777" w:rsidR="00F84765" w:rsidRPr="00D93FF9" w:rsidRDefault="00E811B8" w:rsidP="002F55F0">
            <w:pPr>
              <w:pStyle w:val="TableParagraph"/>
              <w:spacing w:before="0" w:after="0"/>
              <w:jc w:val="center"/>
              <w:rPr>
                <w:sz w:val="16"/>
              </w:rPr>
            </w:pPr>
            <w:r w:rsidRPr="00D93FF9">
              <w:rPr>
                <w:sz w:val="16"/>
              </w:rPr>
              <w:t>2.1</w:t>
            </w:r>
          </w:p>
        </w:tc>
        <w:tc>
          <w:tcPr>
            <w:tcW w:w="1135" w:type="dxa"/>
          </w:tcPr>
          <w:p w14:paraId="59DCCA2C" w14:textId="77777777" w:rsidR="00F84765" w:rsidRPr="00D93FF9" w:rsidRDefault="00E811B8" w:rsidP="002F55F0">
            <w:pPr>
              <w:pStyle w:val="TableParagraph"/>
              <w:spacing w:before="0" w:after="0"/>
              <w:jc w:val="center"/>
              <w:rPr>
                <w:sz w:val="16"/>
              </w:rPr>
            </w:pPr>
            <w:r w:rsidRPr="00D93FF9">
              <w:rPr>
                <w:sz w:val="16"/>
              </w:rPr>
              <w:t>3.2</w:t>
            </w:r>
          </w:p>
        </w:tc>
        <w:tc>
          <w:tcPr>
            <w:tcW w:w="1168" w:type="dxa"/>
          </w:tcPr>
          <w:p w14:paraId="59DCCA2D" w14:textId="77777777" w:rsidR="00F84765" w:rsidRPr="00D93FF9" w:rsidRDefault="00E811B8" w:rsidP="002F55F0">
            <w:pPr>
              <w:pStyle w:val="TableParagraph"/>
              <w:spacing w:before="0" w:after="0"/>
              <w:jc w:val="center"/>
              <w:rPr>
                <w:sz w:val="16"/>
              </w:rPr>
            </w:pPr>
            <w:r w:rsidRPr="00D93FF9">
              <w:rPr>
                <w:sz w:val="16"/>
              </w:rPr>
              <w:t>3</w:t>
            </w:r>
          </w:p>
        </w:tc>
      </w:tr>
      <w:tr w:rsidR="00BE3AA8" w:rsidRPr="00D93FF9" w14:paraId="59DCCA37" w14:textId="77777777" w:rsidTr="002F55F0">
        <w:trPr>
          <w:trHeight w:val="228"/>
        </w:trPr>
        <w:tc>
          <w:tcPr>
            <w:tcW w:w="2147" w:type="dxa"/>
          </w:tcPr>
          <w:p w14:paraId="59DCCA2F" w14:textId="77777777" w:rsidR="00F84765" w:rsidRPr="00D93FF9" w:rsidRDefault="00E811B8" w:rsidP="00F84765">
            <w:pPr>
              <w:pStyle w:val="TableParagraph"/>
              <w:spacing w:before="0" w:after="0"/>
              <w:rPr>
                <w:sz w:val="16"/>
              </w:rPr>
            </w:pPr>
            <w:r w:rsidRPr="00D93FF9">
              <w:rPr>
                <w:sz w:val="16"/>
                <w:lang w:val="en-GB"/>
              </w:rPr>
              <w:t>Dodonea</w:t>
            </w:r>
          </w:p>
        </w:tc>
        <w:tc>
          <w:tcPr>
            <w:tcW w:w="2980" w:type="dxa"/>
          </w:tcPr>
          <w:p w14:paraId="59DCCA30" w14:textId="77777777" w:rsidR="00F84765" w:rsidRPr="00D93FF9" w:rsidRDefault="00E811B8" w:rsidP="00F84765">
            <w:pPr>
              <w:pStyle w:val="TableParagraph"/>
              <w:spacing w:before="0" w:after="0"/>
              <w:rPr>
                <w:i/>
                <w:sz w:val="16"/>
              </w:rPr>
            </w:pPr>
            <w:r w:rsidRPr="00D93FF9">
              <w:rPr>
                <w:i/>
                <w:sz w:val="16"/>
                <w:lang w:val="en-GB"/>
              </w:rPr>
              <w:t>Dodonea viscosa</w:t>
            </w:r>
          </w:p>
        </w:tc>
        <w:tc>
          <w:tcPr>
            <w:tcW w:w="1898" w:type="dxa"/>
          </w:tcPr>
          <w:p w14:paraId="59DCCA31" w14:textId="77777777" w:rsidR="00F84765" w:rsidRPr="00D93FF9" w:rsidRDefault="00E811B8" w:rsidP="002F55F0">
            <w:pPr>
              <w:pStyle w:val="TableParagraph"/>
              <w:spacing w:before="0" w:after="0"/>
              <w:jc w:val="center"/>
              <w:rPr>
                <w:sz w:val="16"/>
              </w:rPr>
            </w:pPr>
            <w:r w:rsidRPr="00D93FF9">
              <w:rPr>
                <w:sz w:val="16"/>
                <w:lang w:val="en-GB"/>
              </w:rPr>
              <w:t>1.0</w:t>
            </w:r>
          </w:p>
        </w:tc>
        <w:tc>
          <w:tcPr>
            <w:tcW w:w="2097" w:type="dxa"/>
          </w:tcPr>
          <w:p w14:paraId="59DCCA32" w14:textId="77777777" w:rsidR="00F84765" w:rsidRPr="00D93FF9" w:rsidRDefault="00E811B8" w:rsidP="002F55F0">
            <w:pPr>
              <w:pStyle w:val="TableParagraph"/>
              <w:spacing w:before="0" w:after="0"/>
              <w:jc w:val="center"/>
              <w:rPr>
                <w:sz w:val="16"/>
              </w:rPr>
            </w:pPr>
            <w:r w:rsidRPr="00D93FF9">
              <w:rPr>
                <w:sz w:val="16"/>
                <w:lang w:val="en-GB"/>
              </w:rPr>
              <w:t>7.8</w:t>
            </w:r>
          </w:p>
        </w:tc>
        <w:tc>
          <w:tcPr>
            <w:tcW w:w="985" w:type="dxa"/>
          </w:tcPr>
          <w:p w14:paraId="59DCCA33" w14:textId="77777777" w:rsidR="00F84765" w:rsidRPr="00D93FF9" w:rsidRDefault="00E811B8" w:rsidP="002F55F0">
            <w:pPr>
              <w:pStyle w:val="TableParagraph"/>
              <w:spacing w:before="0" w:after="0"/>
              <w:jc w:val="center"/>
              <w:rPr>
                <w:sz w:val="16"/>
              </w:rPr>
            </w:pPr>
            <w:r w:rsidRPr="00D93FF9">
              <w:rPr>
                <w:sz w:val="16"/>
                <w:lang w:val="en-GB"/>
              </w:rPr>
              <w:t>2.3</w:t>
            </w:r>
          </w:p>
        </w:tc>
        <w:tc>
          <w:tcPr>
            <w:tcW w:w="1041" w:type="dxa"/>
          </w:tcPr>
          <w:p w14:paraId="59DCCA34" w14:textId="77777777" w:rsidR="00F84765" w:rsidRPr="00D93FF9" w:rsidRDefault="00E811B8" w:rsidP="002F55F0">
            <w:pPr>
              <w:pStyle w:val="TableParagraph"/>
              <w:spacing w:before="0" w:after="0"/>
              <w:jc w:val="center"/>
              <w:rPr>
                <w:sz w:val="16"/>
              </w:rPr>
            </w:pPr>
            <w:r w:rsidRPr="00D93FF9">
              <w:rPr>
                <w:sz w:val="16"/>
                <w:lang w:val="en-GB"/>
              </w:rPr>
              <w:t>4.2</w:t>
            </w:r>
          </w:p>
        </w:tc>
        <w:tc>
          <w:tcPr>
            <w:tcW w:w="1135" w:type="dxa"/>
          </w:tcPr>
          <w:p w14:paraId="59DCCA35" w14:textId="77777777" w:rsidR="00F84765" w:rsidRPr="00D93FF9" w:rsidRDefault="00E811B8" w:rsidP="002F55F0">
            <w:pPr>
              <w:pStyle w:val="TableParagraph"/>
              <w:spacing w:before="0" w:after="0"/>
              <w:jc w:val="center"/>
              <w:rPr>
                <w:sz w:val="16"/>
              </w:rPr>
            </w:pPr>
            <w:r w:rsidRPr="00D93FF9">
              <w:rPr>
                <w:sz w:val="16"/>
                <w:lang w:val="en-GB"/>
              </w:rPr>
              <w:t>7.4</w:t>
            </w:r>
          </w:p>
        </w:tc>
        <w:tc>
          <w:tcPr>
            <w:tcW w:w="1168" w:type="dxa"/>
          </w:tcPr>
          <w:p w14:paraId="59DCCA36" w14:textId="77777777" w:rsidR="00F84765" w:rsidRPr="00D93FF9" w:rsidRDefault="00E811B8" w:rsidP="002F55F0">
            <w:pPr>
              <w:pStyle w:val="TableParagraph"/>
              <w:spacing w:before="0" w:after="0"/>
              <w:jc w:val="center"/>
              <w:rPr>
                <w:sz w:val="16"/>
              </w:rPr>
            </w:pPr>
            <w:r w:rsidRPr="00D93FF9">
              <w:rPr>
                <w:sz w:val="16"/>
                <w:lang w:val="en-GB"/>
              </w:rPr>
              <w:t>1</w:t>
            </w:r>
          </w:p>
        </w:tc>
      </w:tr>
      <w:tr w:rsidR="00BE3AA8" w:rsidRPr="00D93FF9" w14:paraId="59DCCA40" w14:textId="77777777" w:rsidTr="002F55F0">
        <w:trPr>
          <w:trHeight w:val="228"/>
        </w:trPr>
        <w:tc>
          <w:tcPr>
            <w:tcW w:w="2147" w:type="dxa"/>
          </w:tcPr>
          <w:p w14:paraId="59DCCA38" w14:textId="77777777" w:rsidR="00F84765" w:rsidRPr="00D93FF9" w:rsidRDefault="00E811B8" w:rsidP="00F84765">
            <w:pPr>
              <w:pStyle w:val="TableParagraph"/>
              <w:spacing w:before="0" w:after="0"/>
              <w:rPr>
                <w:sz w:val="16"/>
              </w:rPr>
            </w:pPr>
            <w:r w:rsidRPr="00D93FF9">
              <w:rPr>
                <w:sz w:val="16"/>
                <w:lang w:val="en-GB"/>
              </w:rPr>
              <w:t>Dolichos Rongai</w:t>
            </w:r>
          </w:p>
        </w:tc>
        <w:tc>
          <w:tcPr>
            <w:tcW w:w="2980" w:type="dxa"/>
          </w:tcPr>
          <w:p w14:paraId="59DCCA39" w14:textId="77777777" w:rsidR="00F84765" w:rsidRPr="00D93FF9" w:rsidRDefault="00E811B8" w:rsidP="00F84765">
            <w:pPr>
              <w:pStyle w:val="TableParagraph"/>
              <w:spacing w:before="0" w:after="0"/>
              <w:rPr>
                <w:i/>
                <w:sz w:val="16"/>
              </w:rPr>
            </w:pPr>
            <w:r w:rsidRPr="00D93FF9">
              <w:rPr>
                <w:i/>
                <w:sz w:val="16"/>
                <w:lang w:val="en-GB"/>
              </w:rPr>
              <w:t>Lablab purpureus</w:t>
            </w:r>
          </w:p>
        </w:tc>
        <w:tc>
          <w:tcPr>
            <w:tcW w:w="1898" w:type="dxa"/>
          </w:tcPr>
          <w:p w14:paraId="59DCCA3A" w14:textId="77777777" w:rsidR="00F84765" w:rsidRPr="00D93FF9" w:rsidRDefault="00E811B8" w:rsidP="002F55F0">
            <w:pPr>
              <w:pStyle w:val="TableParagraph"/>
              <w:spacing w:before="0" w:after="0"/>
              <w:jc w:val="center"/>
              <w:rPr>
                <w:sz w:val="16"/>
              </w:rPr>
            </w:pPr>
            <w:r w:rsidRPr="00D93FF9">
              <w:rPr>
                <w:sz w:val="16"/>
                <w:lang w:val="en-GB"/>
              </w:rPr>
              <w:t>1.0</w:t>
            </w:r>
          </w:p>
        </w:tc>
        <w:tc>
          <w:tcPr>
            <w:tcW w:w="2097" w:type="dxa"/>
          </w:tcPr>
          <w:p w14:paraId="59DCCA3B" w14:textId="77777777" w:rsidR="00F84765" w:rsidRPr="00D93FF9" w:rsidRDefault="00E811B8" w:rsidP="002F55F0">
            <w:pPr>
              <w:pStyle w:val="TableParagraph"/>
              <w:spacing w:before="0" w:after="0"/>
              <w:jc w:val="center"/>
              <w:rPr>
                <w:sz w:val="16"/>
              </w:rPr>
            </w:pPr>
            <w:r w:rsidRPr="00D93FF9">
              <w:rPr>
                <w:sz w:val="16"/>
                <w:lang w:val="en-GB"/>
              </w:rPr>
              <w:t>15.6</w:t>
            </w:r>
          </w:p>
        </w:tc>
        <w:tc>
          <w:tcPr>
            <w:tcW w:w="985" w:type="dxa"/>
          </w:tcPr>
          <w:p w14:paraId="59DCCA3C" w14:textId="77777777" w:rsidR="00F84765" w:rsidRPr="00D93FF9" w:rsidRDefault="00E811B8" w:rsidP="002F55F0">
            <w:pPr>
              <w:pStyle w:val="TableParagraph"/>
              <w:spacing w:before="0" w:after="0"/>
              <w:jc w:val="center"/>
              <w:rPr>
                <w:sz w:val="16"/>
              </w:rPr>
            </w:pPr>
            <w:r w:rsidRPr="00D93FF9">
              <w:rPr>
                <w:sz w:val="16"/>
                <w:lang w:val="en-GB"/>
              </w:rPr>
              <w:t>1.6</w:t>
            </w:r>
          </w:p>
        </w:tc>
        <w:tc>
          <w:tcPr>
            <w:tcW w:w="1041" w:type="dxa"/>
          </w:tcPr>
          <w:p w14:paraId="59DCCA3D" w14:textId="77777777" w:rsidR="00F84765" w:rsidRPr="00D93FF9" w:rsidRDefault="00E811B8" w:rsidP="002F55F0">
            <w:pPr>
              <w:pStyle w:val="TableParagraph"/>
              <w:spacing w:before="0" w:after="0"/>
              <w:jc w:val="center"/>
              <w:rPr>
                <w:sz w:val="16"/>
              </w:rPr>
            </w:pPr>
            <w:r w:rsidRPr="00D93FF9">
              <w:rPr>
                <w:sz w:val="16"/>
                <w:lang w:val="en-GB"/>
              </w:rPr>
              <w:t>2.6</w:t>
            </w:r>
          </w:p>
        </w:tc>
        <w:tc>
          <w:tcPr>
            <w:tcW w:w="1135" w:type="dxa"/>
          </w:tcPr>
          <w:p w14:paraId="59DCCA3E" w14:textId="77777777" w:rsidR="00F84765" w:rsidRPr="00D93FF9" w:rsidRDefault="00E811B8" w:rsidP="002F55F0">
            <w:pPr>
              <w:pStyle w:val="TableParagraph"/>
              <w:spacing w:before="0" w:after="0"/>
              <w:jc w:val="center"/>
              <w:rPr>
                <w:sz w:val="16"/>
              </w:rPr>
            </w:pPr>
            <w:r w:rsidRPr="00D93FF9">
              <w:rPr>
                <w:sz w:val="16"/>
                <w:lang w:val="en-GB"/>
              </w:rPr>
              <w:t>4.2</w:t>
            </w:r>
          </w:p>
        </w:tc>
        <w:tc>
          <w:tcPr>
            <w:tcW w:w="1168" w:type="dxa"/>
          </w:tcPr>
          <w:p w14:paraId="59DCCA3F"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49" w14:textId="77777777" w:rsidTr="002F55F0">
        <w:trPr>
          <w:trHeight w:val="228"/>
        </w:trPr>
        <w:tc>
          <w:tcPr>
            <w:tcW w:w="2147" w:type="dxa"/>
          </w:tcPr>
          <w:p w14:paraId="59DCCA41" w14:textId="77777777" w:rsidR="00F84765" w:rsidRPr="00D93FF9" w:rsidRDefault="00E811B8" w:rsidP="00F84765">
            <w:pPr>
              <w:pStyle w:val="TableParagraph"/>
              <w:spacing w:before="0" w:after="0"/>
              <w:rPr>
                <w:sz w:val="16"/>
              </w:rPr>
            </w:pPr>
            <w:r w:rsidRPr="00D93FF9">
              <w:rPr>
                <w:sz w:val="16"/>
                <w:lang w:val="en-GB"/>
              </w:rPr>
              <w:t>Fescue</w:t>
            </w:r>
          </w:p>
        </w:tc>
        <w:tc>
          <w:tcPr>
            <w:tcW w:w="2980" w:type="dxa"/>
          </w:tcPr>
          <w:p w14:paraId="59DCCA42" w14:textId="77777777" w:rsidR="00F84765" w:rsidRPr="00D93FF9" w:rsidRDefault="00E811B8" w:rsidP="00F84765">
            <w:pPr>
              <w:pStyle w:val="TableParagraph"/>
              <w:spacing w:before="0" w:after="0"/>
              <w:rPr>
                <w:i/>
                <w:sz w:val="16"/>
              </w:rPr>
            </w:pPr>
            <w:r w:rsidRPr="00D93FF9">
              <w:rPr>
                <w:i/>
                <w:sz w:val="16"/>
                <w:lang w:val="en-GB"/>
              </w:rPr>
              <w:t>Festuca clatior</w:t>
            </w:r>
          </w:p>
        </w:tc>
        <w:tc>
          <w:tcPr>
            <w:tcW w:w="1898" w:type="dxa"/>
          </w:tcPr>
          <w:p w14:paraId="59DCCA43" w14:textId="77777777" w:rsidR="00F84765" w:rsidRPr="00D93FF9" w:rsidRDefault="00E811B8" w:rsidP="002F55F0">
            <w:pPr>
              <w:pStyle w:val="TableParagraph"/>
              <w:spacing w:before="0" w:after="0"/>
              <w:jc w:val="center"/>
              <w:rPr>
                <w:sz w:val="16"/>
              </w:rPr>
            </w:pPr>
            <w:r w:rsidRPr="00D93FF9">
              <w:rPr>
                <w:sz w:val="16"/>
                <w:lang w:val="en-GB"/>
              </w:rPr>
              <w:t>3.9</w:t>
            </w:r>
          </w:p>
        </w:tc>
        <w:tc>
          <w:tcPr>
            <w:tcW w:w="2097" w:type="dxa"/>
          </w:tcPr>
          <w:p w14:paraId="59DCCA44" w14:textId="77777777" w:rsidR="00F84765" w:rsidRPr="00D93FF9" w:rsidRDefault="00E811B8" w:rsidP="002F55F0">
            <w:pPr>
              <w:pStyle w:val="TableParagraph"/>
              <w:spacing w:before="0" w:after="0"/>
              <w:jc w:val="center"/>
              <w:rPr>
                <w:sz w:val="16"/>
              </w:rPr>
            </w:pPr>
            <w:r w:rsidRPr="00D93FF9">
              <w:rPr>
                <w:sz w:val="16"/>
                <w:lang w:val="en-GB"/>
              </w:rPr>
              <w:t>5.3</w:t>
            </w:r>
          </w:p>
        </w:tc>
        <w:tc>
          <w:tcPr>
            <w:tcW w:w="985" w:type="dxa"/>
          </w:tcPr>
          <w:p w14:paraId="59DCCA45" w14:textId="77777777" w:rsidR="00F84765" w:rsidRPr="00D93FF9" w:rsidRDefault="00E811B8" w:rsidP="002F55F0">
            <w:pPr>
              <w:pStyle w:val="TableParagraph"/>
              <w:spacing w:before="0" w:after="0"/>
              <w:jc w:val="center"/>
              <w:rPr>
                <w:sz w:val="16"/>
              </w:rPr>
            </w:pPr>
            <w:r w:rsidRPr="00D93FF9">
              <w:rPr>
                <w:sz w:val="16"/>
                <w:lang w:val="en-GB"/>
              </w:rPr>
              <w:t>5.8</w:t>
            </w:r>
          </w:p>
        </w:tc>
        <w:tc>
          <w:tcPr>
            <w:tcW w:w="1041" w:type="dxa"/>
          </w:tcPr>
          <w:p w14:paraId="59DCCA46" w14:textId="77777777" w:rsidR="00F84765" w:rsidRPr="00D93FF9" w:rsidRDefault="00E811B8" w:rsidP="002F55F0">
            <w:pPr>
              <w:pStyle w:val="TableParagraph"/>
              <w:spacing w:before="0" w:after="0"/>
              <w:jc w:val="center"/>
              <w:rPr>
                <w:sz w:val="16"/>
              </w:rPr>
            </w:pPr>
            <w:r w:rsidRPr="00D93FF9">
              <w:rPr>
                <w:sz w:val="16"/>
                <w:lang w:val="en-GB"/>
              </w:rPr>
              <w:t>8.6</w:t>
            </w:r>
          </w:p>
        </w:tc>
        <w:tc>
          <w:tcPr>
            <w:tcW w:w="1135" w:type="dxa"/>
          </w:tcPr>
          <w:p w14:paraId="59DCCA47" w14:textId="77777777" w:rsidR="00F84765" w:rsidRPr="00D93FF9" w:rsidRDefault="00E811B8" w:rsidP="002F55F0">
            <w:pPr>
              <w:pStyle w:val="TableParagraph"/>
              <w:spacing w:before="0" w:after="0"/>
              <w:jc w:val="center"/>
              <w:rPr>
                <w:sz w:val="16"/>
              </w:rPr>
            </w:pPr>
            <w:r w:rsidRPr="00D93FF9">
              <w:rPr>
                <w:sz w:val="16"/>
                <w:lang w:val="en-GB"/>
              </w:rPr>
              <w:t>13.3</w:t>
            </w:r>
          </w:p>
        </w:tc>
        <w:tc>
          <w:tcPr>
            <w:tcW w:w="1168" w:type="dxa"/>
          </w:tcPr>
          <w:p w14:paraId="59DCCA48" w14:textId="77777777" w:rsidR="00F84765" w:rsidRPr="00D93FF9" w:rsidRDefault="00E811B8" w:rsidP="002F55F0">
            <w:pPr>
              <w:pStyle w:val="TableParagraph"/>
              <w:spacing w:before="0" w:after="0"/>
              <w:jc w:val="center"/>
              <w:rPr>
                <w:sz w:val="16"/>
              </w:rPr>
            </w:pPr>
            <w:r w:rsidRPr="00D93FF9">
              <w:rPr>
                <w:sz w:val="16"/>
                <w:lang w:val="en-GB"/>
              </w:rPr>
              <w:t>1</w:t>
            </w:r>
          </w:p>
        </w:tc>
      </w:tr>
      <w:tr w:rsidR="00BE3AA8" w:rsidRPr="00D93FF9" w14:paraId="59DCCA52" w14:textId="77777777" w:rsidTr="002F55F0">
        <w:trPr>
          <w:trHeight w:val="228"/>
        </w:trPr>
        <w:tc>
          <w:tcPr>
            <w:tcW w:w="2147" w:type="dxa"/>
          </w:tcPr>
          <w:p w14:paraId="59DCCA4A" w14:textId="77777777" w:rsidR="00F84765" w:rsidRPr="00D93FF9" w:rsidRDefault="00E811B8" w:rsidP="00F84765">
            <w:pPr>
              <w:pStyle w:val="TableParagraph"/>
              <w:spacing w:before="0" w:after="0"/>
              <w:rPr>
                <w:sz w:val="16"/>
              </w:rPr>
            </w:pPr>
            <w:r w:rsidRPr="00D93FF9">
              <w:rPr>
                <w:sz w:val="16"/>
                <w:lang w:val="en-GB"/>
              </w:rPr>
              <w:t>Glycine tinaroo</w:t>
            </w:r>
          </w:p>
        </w:tc>
        <w:tc>
          <w:tcPr>
            <w:tcW w:w="2980" w:type="dxa"/>
          </w:tcPr>
          <w:p w14:paraId="59DCCA4B" w14:textId="77777777" w:rsidR="00F84765" w:rsidRPr="00D93FF9" w:rsidRDefault="00E811B8" w:rsidP="00F84765">
            <w:pPr>
              <w:pStyle w:val="TableParagraph"/>
              <w:spacing w:before="0" w:after="0"/>
              <w:rPr>
                <w:i/>
                <w:sz w:val="16"/>
              </w:rPr>
            </w:pPr>
            <w:r w:rsidRPr="00D93FF9">
              <w:rPr>
                <w:i/>
                <w:sz w:val="16"/>
                <w:lang w:val="en-GB"/>
              </w:rPr>
              <w:t>Glycine ughtii</w:t>
            </w:r>
          </w:p>
        </w:tc>
        <w:tc>
          <w:tcPr>
            <w:tcW w:w="1898" w:type="dxa"/>
          </w:tcPr>
          <w:p w14:paraId="59DCCA4C" w14:textId="77777777" w:rsidR="00F84765" w:rsidRPr="00D93FF9" w:rsidRDefault="00E811B8" w:rsidP="002F55F0">
            <w:pPr>
              <w:pStyle w:val="TableParagraph"/>
              <w:spacing w:before="0" w:after="0"/>
              <w:jc w:val="center"/>
              <w:rPr>
                <w:sz w:val="16"/>
              </w:rPr>
            </w:pPr>
            <w:r w:rsidRPr="00D93FF9">
              <w:rPr>
                <w:sz w:val="16"/>
                <w:lang w:val="en-GB"/>
              </w:rPr>
              <w:t>1.8</w:t>
            </w:r>
          </w:p>
        </w:tc>
        <w:tc>
          <w:tcPr>
            <w:tcW w:w="2097" w:type="dxa"/>
          </w:tcPr>
          <w:p w14:paraId="59DCCA4D" w14:textId="77777777" w:rsidR="00F84765" w:rsidRPr="00D93FF9" w:rsidRDefault="00E811B8" w:rsidP="002F55F0">
            <w:pPr>
              <w:pStyle w:val="TableParagraph"/>
              <w:spacing w:before="0" w:after="0"/>
              <w:jc w:val="center"/>
              <w:rPr>
                <w:sz w:val="16"/>
              </w:rPr>
            </w:pPr>
            <w:r w:rsidRPr="00D93FF9">
              <w:rPr>
                <w:sz w:val="16"/>
                <w:lang w:val="en-GB"/>
              </w:rPr>
              <w:t>9.9</w:t>
            </w:r>
          </w:p>
        </w:tc>
        <w:tc>
          <w:tcPr>
            <w:tcW w:w="985" w:type="dxa"/>
          </w:tcPr>
          <w:p w14:paraId="59DCCA4E" w14:textId="77777777" w:rsidR="00F84765" w:rsidRPr="00D93FF9" w:rsidRDefault="00E811B8" w:rsidP="002F55F0">
            <w:pPr>
              <w:pStyle w:val="TableParagraph"/>
              <w:spacing w:before="0" w:after="0"/>
              <w:jc w:val="center"/>
              <w:rPr>
                <w:sz w:val="16"/>
              </w:rPr>
            </w:pPr>
            <w:r w:rsidRPr="00D93FF9">
              <w:rPr>
                <w:sz w:val="16"/>
                <w:lang w:val="en-GB"/>
              </w:rPr>
              <w:t>2.8</w:t>
            </w:r>
          </w:p>
        </w:tc>
        <w:tc>
          <w:tcPr>
            <w:tcW w:w="1041" w:type="dxa"/>
          </w:tcPr>
          <w:p w14:paraId="59DCCA4F" w14:textId="77777777" w:rsidR="00F84765" w:rsidRPr="00D93FF9" w:rsidRDefault="00E811B8" w:rsidP="002F55F0">
            <w:pPr>
              <w:pStyle w:val="TableParagraph"/>
              <w:spacing w:before="0" w:after="0"/>
              <w:jc w:val="center"/>
              <w:rPr>
                <w:sz w:val="16"/>
              </w:rPr>
            </w:pPr>
            <w:r w:rsidRPr="00D93FF9">
              <w:rPr>
                <w:sz w:val="16"/>
                <w:lang w:val="en-GB"/>
              </w:rPr>
              <w:t>4.3</w:t>
            </w:r>
          </w:p>
        </w:tc>
        <w:tc>
          <w:tcPr>
            <w:tcW w:w="1135" w:type="dxa"/>
          </w:tcPr>
          <w:p w14:paraId="59DCCA50" w14:textId="77777777" w:rsidR="00F84765" w:rsidRPr="00D93FF9" w:rsidRDefault="00E811B8" w:rsidP="002F55F0">
            <w:pPr>
              <w:pStyle w:val="TableParagraph"/>
              <w:spacing w:before="0" w:after="0"/>
              <w:jc w:val="center"/>
              <w:rPr>
                <w:sz w:val="16"/>
              </w:rPr>
            </w:pPr>
            <w:r w:rsidRPr="00D93FF9">
              <w:rPr>
                <w:sz w:val="16"/>
                <w:lang w:val="en-GB"/>
              </w:rPr>
              <w:t>6.9</w:t>
            </w:r>
          </w:p>
        </w:tc>
        <w:tc>
          <w:tcPr>
            <w:tcW w:w="1168" w:type="dxa"/>
          </w:tcPr>
          <w:p w14:paraId="59DCCA51"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5B" w14:textId="77777777" w:rsidTr="002F55F0">
        <w:trPr>
          <w:trHeight w:val="228"/>
        </w:trPr>
        <w:tc>
          <w:tcPr>
            <w:tcW w:w="2147" w:type="dxa"/>
          </w:tcPr>
          <w:p w14:paraId="59DCCA53" w14:textId="77777777" w:rsidR="00F84765" w:rsidRPr="00D93FF9" w:rsidRDefault="00E811B8" w:rsidP="00F84765">
            <w:pPr>
              <w:pStyle w:val="TableParagraph"/>
              <w:spacing w:before="0" w:after="0"/>
              <w:rPr>
                <w:sz w:val="16"/>
              </w:rPr>
            </w:pPr>
            <w:r w:rsidRPr="00D93FF9">
              <w:rPr>
                <w:sz w:val="16"/>
                <w:lang w:val="en-GB"/>
              </w:rPr>
              <w:t>Green panic, Petri</w:t>
            </w:r>
          </w:p>
        </w:tc>
        <w:tc>
          <w:tcPr>
            <w:tcW w:w="2980" w:type="dxa"/>
          </w:tcPr>
          <w:p w14:paraId="59DCCA54" w14:textId="77777777" w:rsidR="00F84765" w:rsidRPr="00D93FF9" w:rsidRDefault="00E811B8" w:rsidP="00F84765">
            <w:pPr>
              <w:pStyle w:val="TableParagraph"/>
              <w:spacing w:before="0" w:after="0"/>
              <w:rPr>
                <w:i/>
                <w:sz w:val="16"/>
              </w:rPr>
            </w:pPr>
            <w:r w:rsidRPr="00D93FF9">
              <w:rPr>
                <w:i/>
                <w:sz w:val="16"/>
                <w:lang w:val="en-GB"/>
              </w:rPr>
              <w:t>Panicum maximum</w:t>
            </w:r>
          </w:p>
        </w:tc>
        <w:tc>
          <w:tcPr>
            <w:tcW w:w="1898" w:type="dxa"/>
          </w:tcPr>
          <w:p w14:paraId="59DCCA55" w14:textId="77777777" w:rsidR="00F84765" w:rsidRPr="00D93FF9" w:rsidRDefault="00E811B8" w:rsidP="002F55F0">
            <w:pPr>
              <w:pStyle w:val="TableParagraph"/>
              <w:spacing w:before="0" w:after="0"/>
              <w:jc w:val="center"/>
              <w:rPr>
                <w:sz w:val="16"/>
              </w:rPr>
            </w:pPr>
            <w:r w:rsidRPr="00D93FF9">
              <w:rPr>
                <w:sz w:val="16"/>
                <w:lang w:val="en-GB"/>
              </w:rPr>
              <w:t>3.0</w:t>
            </w:r>
          </w:p>
        </w:tc>
        <w:tc>
          <w:tcPr>
            <w:tcW w:w="2097" w:type="dxa"/>
          </w:tcPr>
          <w:p w14:paraId="59DCCA56" w14:textId="77777777" w:rsidR="00F84765" w:rsidRPr="00D93FF9" w:rsidRDefault="00E811B8" w:rsidP="002F55F0">
            <w:pPr>
              <w:pStyle w:val="TableParagraph"/>
              <w:spacing w:before="0" w:after="0"/>
              <w:jc w:val="center"/>
              <w:rPr>
                <w:sz w:val="16"/>
              </w:rPr>
            </w:pPr>
            <w:r w:rsidRPr="00D93FF9">
              <w:rPr>
                <w:sz w:val="16"/>
                <w:lang w:val="en-GB"/>
              </w:rPr>
              <w:t>6.9</w:t>
            </w:r>
          </w:p>
        </w:tc>
        <w:tc>
          <w:tcPr>
            <w:tcW w:w="985" w:type="dxa"/>
          </w:tcPr>
          <w:p w14:paraId="59DCCA57" w14:textId="77777777" w:rsidR="00F84765" w:rsidRPr="00D93FF9" w:rsidRDefault="00E811B8" w:rsidP="002F55F0">
            <w:pPr>
              <w:pStyle w:val="TableParagraph"/>
              <w:spacing w:before="0" w:after="0"/>
              <w:jc w:val="center"/>
              <w:rPr>
                <w:sz w:val="16"/>
              </w:rPr>
            </w:pPr>
            <w:r w:rsidRPr="00D93FF9">
              <w:rPr>
                <w:sz w:val="16"/>
                <w:lang w:val="en-GB"/>
              </w:rPr>
              <w:t>4.4</w:t>
            </w:r>
          </w:p>
        </w:tc>
        <w:tc>
          <w:tcPr>
            <w:tcW w:w="1041" w:type="dxa"/>
          </w:tcPr>
          <w:p w14:paraId="59DCCA58" w14:textId="77777777" w:rsidR="00F84765" w:rsidRPr="00D93FF9" w:rsidRDefault="00E811B8" w:rsidP="002F55F0">
            <w:pPr>
              <w:pStyle w:val="TableParagraph"/>
              <w:spacing w:before="0" w:after="0"/>
              <w:jc w:val="center"/>
              <w:rPr>
                <w:sz w:val="16"/>
              </w:rPr>
            </w:pPr>
            <w:r w:rsidRPr="00D93FF9">
              <w:rPr>
                <w:sz w:val="16"/>
                <w:lang w:val="en-GB"/>
              </w:rPr>
              <w:t>6.6</w:t>
            </w:r>
          </w:p>
        </w:tc>
        <w:tc>
          <w:tcPr>
            <w:tcW w:w="1135" w:type="dxa"/>
          </w:tcPr>
          <w:p w14:paraId="59DCCA59" w14:textId="77777777" w:rsidR="00F84765" w:rsidRPr="00D93FF9" w:rsidRDefault="00E811B8" w:rsidP="002F55F0">
            <w:pPr>
              <w:pStyle w:val="TableParagraph"/>
              <w:spacing w:before="0" w:after="0"/>
              <w:jc w:val="center"/>
              <w:rPr>
                <w:sz w:val="16"/>
              </w:rPr>
            </w:pPr>
            <w:r w:rsidRPr="00D93FF9">
              <w:rPr>
                <w:sz w:val="16"/>
                <w:lang w:val="en-GB"/>
              </w:rPr>
              <w:t>10.2</w:t>
            </w:r>
          </w:p>
        </w:tc>
        <w:tc>
          <w:tcPr>
            <w:tcW w:w="1168" w:type="dxa"/>
          </w:tcPr>
          <w:p w14:paraId="59DCCA5A"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64" w14:textId="77777777" w:rsidTr="002F55F0">
        <w:trPr>
          <w:trHeight w:val="228"/>
        </w:trPr>
        <w:tc>
          <w:tcPr>
            <w:tcW w:w="2147" w:type="dxa"/>
          </w:tcPr>
          <w:p w14:paraId="59DCCA5C" w14:textId="77777777" w:rsidR="00F84765" w:rsidRPr="00D93FF9" w:rsidRDefault="00E811B8" w:rsidP="00F84765">
            <w:pPr>
              <w:pStyle w:val="TableParagraph"/>
              <w:spacing w:before="0" w:after="0"/>
              <w:rPr>
                <w:sz w:val="16"/>
              </w:rPr>
            </w:pPr>
            <w:r w:rsidRPr="00D93FF9">
              <w:rPr>
                <w:sz w:val="16"/>
                <w:lang w:val="en-GB"/>
              </w:rPr>
              <w:t>Kikuyu grass, Whittet</w:t>
            </w:r>
          </w:p>
        </w:tc>
        <w:tc>
          <w:tcPr>
            <w:tcW w:w="2980" w:type="dxa"/>
          </w:tcPr>
          <w:p w14:paraId="59DCCA5D" w14:textId="77777777" w:rsidR="00F84765" w:rsidRPr="00D93FF9" w:rsidRDefault="00E811B8" w:rsidP="00F84765">
            <w:pPr>
              <w:pStyle w:val="TableParagraph"/>
              <w:spacing w:before="0" w:after="0"/>
              <w:rPr>
                <w:i/>
                <w:sz w:val="16"/>
              </w:rPr>
            </w:pPr>
            <w:r w:rsidRPr="00D93FF9">
              <w:rPr>
                <w:i/>
                <w:sz w:val="16"/>
                <w:lang w:val="en-GB"/>
              </w:rPr>
              <w:t>Pennisetum clandestinum</w:t>
            </w:r>
          </w:p>
        </w:tc>
        <w:tc>
          <w:tcPr>
            <w:tcW w:w="1898" w:type="dxa"/>
          </w:tcPr>
          <w:p w14:paraId="59DCCA5E" w14:textId="77777777" w:rsidR="00F84765" w:rsidRPr="00D93FF9" w:rsidRDefault="00E811B8" w:rsidP="002F55F0">
            <w:pPr>
              <w:pStyle w:val="TableParagraph"/>
              <w:spacing w:before="0" w:after="0"/>
              <w:jc w:val="center"/>
              <w:rPr>
                <w:sz w:val="16"/>
              </w:rPr>
            </w:pPr>
            <w:r w:rsidRPr="00D93FF9">
              <w:rPr>
                <w:sz w:val="16"/>
                <w:lang w:val="en-GB"/>
              </w:rPr>
              <w:t>3.0</w:t>
            </w:r>
          </w:p>
        </w:tc>
        <w:tc>
          <w:tcPr>
            <w:tcW w:w="2097" w:type="dxa"/>
          </w:tcPr>
          <w:p w14:paraId="59DCCA5F" w14:textId="77777777" w:rsidR="00F84765" w:rsidRPr="00D93FF9" w:rsidRDefault="00E811B8" w:rsidP="002F55F0">
            <w:pPr>
              <w:pStyle w:val="TableParagraph"/>
              <w:spacing w:before="0" w:after="0"/>
              <w:jc w:val="center"/>
              <w:rPr>
                <w:sz w:val="16"/>
              </w:rPr>
            </w:pPr>
            <w:r w:rsidRPr="00D93FF9">
              <w:rPr>
                <w:sz w:val="16"/>
                <w:lang w:val="en-GB"/>
              </w:rPr>
              <w:t>3.0</w:t>
            </w:r>
          </w:p>
        </w:tc>
        <w:tc>
          <w:tcPr>
            <w:tcW w:w="985" w:type="dxa"/>
          </w:tcPr>
          <w:p w14:paraId="59DCCA60" w14:textId="77777777" w:rsidR="00F84765" w:rsidRPr="00D93FF9" w:rsidRDefault="00E811B8" w:rsidP="002F55F0">
            <w:pPr>
              <w:pStyle w:val="TableParagraph"/>
              <w:spacing w:before="0" w:after="0"/>
              <w:jc w:val="center"/>
              <w:rPr>
                <w:sz w:val="16"/>
              </w:rPr>
            </w:pPr>
            <w:r w:rsidRPr="00D93FF9">
              <w:rPr>
                <w:sz w:val="16"/>
                <w:lang w:val="en-GB"/>
              </w:rPr>
              <w:t>6.3</w:t>
            </w:r>
          </w:p>
        </w:tc>
        <w:tc>
          <w:tcPr>
            <w:tcW w:w="1041" w:type="dxa"/>
          </w:tcPr>
          <w:p w14:paraId="59DCCA61" w14:textId="77777777" w:rsidR="00F84765" w:rsidRPr="00D93FF9" w:rsidRDefault="00E811B8" w:rsidP="002F55F0">
            <w:pPr>
              <w:pStyle w:val="TableParagraph"/>
              <w:spacing w:before="0" w:after="0"/>
              <w:jc w:val="center"/>
              <w:rPr>
                <w:sz w:val="16"/>
              </w:rPr>
            </w:pPr>
            <w:r w:rsidRPr="00D93FF9">
              <w:rPr>
                <w:sz w:val="16"/>
                <w:lang w:val="en-GB"/>
              </w:rPr>
              <w:t>11.3</w:t>
            </w:r>
          </w:p>
        </w:tc>
        <w:tc>
          <w:tcPr>
            <w:tcW w:w="1135" w:type="dxa"/>
          </w:tcPr>
          <w:p w14:paraId="59DCCA62" w14:textId="77777777" w:rsidR="00F84765" w:rsidRPr="00D93FF9" w:rsidRDefault="00E811B8" w:rsidP="002F55F0">
            <w:pPr>
              <w:pStyle w:val="TableParagraph"/>
              <w:spacing w:before="0" w:after="0"/>
              <w:jc w:val="center"/>
              <w:rPr>
                <w:sz w:val="16"/>
              </w:rPr>
            </w:pPr>
            <w:r w:rsidRPr="00D93FF9">
              <w:rPr>
                <w:sz w:val="16"/>
                <w:lang w:val="en-GB"/>
              </w:rPr>
              <w:t>19.7</w:t>
            </w:r>
          </w:p>
        </w:tc>
        <w:tc>
          <w:tcPr>
            <w:tcW w:w="1168" w:type="dxa"/>
          </w:tcPr>
          <w:p w14:paraId="59DCCA63"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6D" w14:textId="77777777" w:rsidTr="002F55F0">
        <w:trPr>
          <w:trHeight w:val="228"/>
        </w:trPr>
        <w:tc>
          <w:tcPr>
            <w:tcW w:w="2147" w:type="dxa"/>
          </w:tcPr>
          <w:p w14:paraId="59DCCA65" w14:textId="77777777" w:rsidR="00F84765" w:rsidRPr="00D93FF9" w:rsidRDefault="00E811B8" w:rsidP="00F84765">
            <w:pPr>
              <w:pStyle w:val="TableParagraph"/>
              <w:spacing w:before="0" w:after="0"/>
              <w:rPr>
                <w:sz w:val="16"/>
              </w:rPr>
            </w:pPr>
            <w:r w:rsidRPr="00D93FF9">
              <w:rPr>
                <w:sz w:val="16"/>
                <w:lang w:val="en-GB"/>
              </w:rPr>
              <w:t>Liechhardt</w:t>
            </w:r>
          </w:p>
        </w:tc>
        <w:tc>
          <w:tcPr>
            <w:tcW w:w="2980" w:type="dxa"/>
          </w:tcPr>
          <w:p w14:paraId="59DCCA66" w14:textId="77777777" w:rsidR="00F84765" w:rsidRPr="00D93FF9" w:rsidRDefault="00E811B8" w:rsidP="00F84765">
            <w:pPr>
              <w:pStyle w:val="TableParagraph"/>
              <w:spacing w:before="0" w:after="0"/>
              <w:rPr>
                <w:i/>
                <w:sz w:val="16"/>
              </w:rPr>
            </w:pPr>
            <w:r w:rsidRPr="00D93FF9">
              <w:rPr>
                <w:i/>
                <w:sz w:val="16"/>
                <w:lang w:val="en-GB"/>
              </w:rPr>
              <w:t>Macrotyloma uniflorum</w:t>
            </w:r>
          </w:p>
        </w:tc>
        <w:tc>
          <w:tcPr>
            <w:tcW w:w="1898" w:type="dxa"/>
          </w:tcPr>
          <w:p w14:paraId="59DCCA67" w14:textId="77777777" w:rsidR="00F84765" w:rsidRPr="00D93FF9" w:rsidRDefault="00E811B8" w:rsidP="002F55F0">
            <w:pPr>
              <w:pStyle w:val="TableParagraph"/>
              <w:spacing w:before="0" w:after="0"/>
              <w:jc w:val="center"/>
              <w:rPr>
                <w:sz w:val="16"/>
              </w:rPr>
            </w:pPr>
            <w:r w:rsidRPr="00D93FF9">
              <w:rPr>
                <w:sz w:val="16"/>
                <w:lang w:val="en-GB"/>
              </w:rPr>
              <w:t>3.0</w:t>
            </w:r>
          </w:p>
        </w:tc>
        <w:tc>
          <w:tcPr>
            <w:tcW w:w="2097" w:type="dxa"/>
          </w:tcPr>
          <w:p w14:paraId="59DCCA68" w14:textId="77777777" w:rsidR="00F84765" w:rsidRPr="00D93FF9" w:rsidRDefault="00E811B8" w:rsidP="002F55F0">
            <w:pPr>
              <w:pStyle w:val="TableParagraph"/>
              <w:spacing w:before="0" w:after="0"/>
              <w:jc w:val="center"/>
              <w:rPr>
                <w:sz w:val="16"/>
              </w:rPr>
            </w:pPr>
            <w:r w:rsidRPr="00D93FF9">
              <w:rPr>
                <w:sz w:val="16"/>
                <w:lang w:val="en-GB"/>
              </w:rPr>
              <w:t>15.6</w:t>
            </w:r>
          </w:p>
        </w:tc>
        <w:tc>
          <w:tcPr>
            <w:tcW w:w="985" w:type="dxa"/>
          </w:tcPr>
          <w:p w14:paraId="59DCCA69" w14:textId="77777777" w:rsidR="00F84765" w:rsidRPr="00D93FF9" w:rsidRDefault="00E811B8" w:rsidP="002F55F0">
            <w:pPr>
              <w:pStyle w:val="TableParagraph"/>
              <w:spacing w:before="0" w:after="0"/>
              <w:jc w:val="center"/>
              <w:rPr>
                <w:sz w:val="16"/>
              </w:rPr>
            </w:pPr>
            <w:r w:rsidRPr="00D93FF9">
              <w:rPr>
                <w:sz w:val="16"/>
                <w:lang w:val="en-GB"/>
              </w:rPr>
              <w:t>3.6</w:t>
            </w:r>
          </w:p>
        </w:tc>
        <w:tc>
          <w:tcPr>
            <w:tcW w:w="1041" w:type="dxa"/>
          </w:tcPr>
          <w:p w14:paraId="59DCCA6A" w14:textId="77777777" w:rsidR="00F84765" w:rsidRPr="00D93FF9" w:rsidRDefault="00E811B8" w:rsidP="002F55F0">
            <w:pPr>
              <w:pStyle w:val="TableParagraph"/>
              <w:spacing w:before="0" w:after="0"/>
              <w:jc w:val="center"/>
              <w:rPr>
                <w:sz w:val="16"/>
              </w:rPr>
            </w:pPr>
            <w:r w:rsidRPr="00D93FF9">
              <w:rPr>
                <w:sz w:val="16"/>
                <w:lang w:val="en-GB"/>
              </w:rPr>
              <w:t>4.6</w:t>
            </w:r>
          </w:p>
        </w:tc>
        <w:tc>
          <w:tcPr>
            <w:tcW w:w="1135" w:type="dxa"/>
          </w:tcPr>
          <w:p w14:paraId="59DCCA6B" w14:textId="77777777" w:rsidR="00F84765" w:rsidRPr="00D93FF9" w:rsidRDefault="00E811B8" w:rsidP="002F55F0">
            <w:pPr>
              <w:pStyle w:val="TableParagraph"/>
              <w:spacing w:before="0" w:after="0"/>
              <w:jc w:val="center"/>
              <w:rPr>
                <w:sz w:val="16"/>
              </w:rPr>
            </w:pPr>
            <w:r w:rsidRPr="00D93FF9">
              <w:rPr>
                <w:sz w:val="16"/>
                <w:lang w:val="en-GB"/>
              </w:rPr>
              <w:t>6.2</w:t>
            </w:r>
          </w:p>
        </w:tc>
        <w:tc>
          <w:tcPr>
            <w:tcW w:w="1168" w:type="dxa"/>
          </w:tcPr>
          <w:p w14:paraId="59DCCA6C"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76" w14:textId="77777777" w:rsidTr="002F55F0">
        <w:trPr>
          <w:trHeight w:val="228"/>
        </w:trPr>
        <w:tc>
          <w:tcPr>
            <w:tcW w:w="2147" w:type="dxa"/>
          </w:tcPr>
          <w:p w14:paraId="59DCCA6E" w14:textId="77777777" w:rsidR="00F84765" w:rsidRPr="00D93FF9" w:rsidRDefault="00E811B8" w:rsidP="00F84765">
            <w:pPr>
              <w:pStyle w:val="TableParagraph"/>
              <w:spacing w:before="0" w:after="0"/>
              <w:rPr>
                <w:sz w:val="16"/>
              </w:rPr>
            </w:pPr>
            <w:r w:rsidRPr="00D93FF9">
              <w:rPr>
                <w:sz w:val="16"/>
                <w:lang w:val="en-GB"/>
              </w:rPr>
              <w:t>Lotononis, Miles</w:t>
            </w:r>
          </w:p>
        </w:tc>
        <w:tc>
          <w:tcPr>
            <w:tcW w:w="2980" w:type="dxa"/>
          </w:tcPr>
          <w:p w14:paraId="59DCCA6F" w14:textId="77777777" w:rsidR="00F84765" w:rsidRPr="00D93FF9" w:rsidRDefault="00E811B8" w:rsidP="00F84765">
            <w:pPr>
              <w:pStyle w:val="TableParagraph"/>
              <w:spacing w:before="0" w:after="0"/>
              <w:rPr>
                <w:i/>
                <w:sz w:val="16"/>
              </w:rPr>
            </w:pPr>
            <w:r w:rsidRPr="00D93FF9">
              <w:rPr>
                <w:i/>
                <w:sz w:val="16"/>
                <w:lang w:val="en-GB"/>
              </w:rPr>
              <w:t>Lotononis bainesii</w:t>
            </w:r>
          </w:p>
        </w:tc>
        <w:tc>
          <w:tcPr>
            <w:tcW w:w="1898" w:type="dxa"/>
          </w:tcPr>
          <w:p w14:paraId="59DCCA70" w14:textId="77777777" w:rsidR="00F84765" w:rsidRPr="00D93FF9" w:rsidRDefault="00E811B8" w:rsidP="002F55F0">
            <w:pPr>
              <w:pStyle w:val="TableParagraph"/>
              <w:spacing w:before="0" w:after="0"/>
              <w:jc w:val="center"/>
              <w:rPr>
                <w:sz w:val="16"/>
              </w:rPr>
            </w:pPr>
            <w:r w:rsidRPr="00D93FF9">
              <w:rPr>
                <w:sz w:val="16"/>
                <w:lang w:val="en-GB"/>
              </w:rPr>
              <w:t>1.0</w:t>
            </w:r>
          </w:p>
        </w:tc>
        <w:tc>
          <w:tcPr>
            <w:tcW w:w="2097" w:type="dxa"/>
          </w:tcPr>
          <w:p w14:paraId="59DCCA71" w14:textId="77777777" w:rsidR="00F84765" w:rsidRPr="00D93FF9" w:rsidRDefault="00E811B8" w:rsidP="002F55F0">
            <w:pPr>
              <w:pStyle w:val="TableParagraph"/>
              <w:spacing w:before="0" w:after="0"/>
              <w:jc w:val="center"/>
              <w:rPr>
                <w:sz w:val="16"/>
              </w:rPr>
            </w:pPr>
            <w:r w:rsidRPr="00D93FF9">
              <w:rPr>
                <w:sz w:val="16"/>
                <w:lang w:val="en-GB"/>
              </w:rPr>
              <w:t>12.2</w:t>
            </w:r>
          </w:p>
        </w:tc>
        <w:tc>
          <w:tcPr>
            <w:tcW w:w="985" w:type="dxa"/>
          </w:tcPr>
          <w:p w14:paraId="59DCCA72" w14:textId="77777777" w:rsidR="00F84765" w:rsidRPr="00D93FF9" w:rsidRDefault="00E811B8" w:rsidP="002F55F0">
            <w:pPr>
              <w:pStyle w:val="TableParagraph"/>
              <w:spacing w:before="0" w:after="0"/>
              <w:jc w:val="center"/>
              <w:rPr>
                <w:sz w:val="16"/>
              </w:rPr>
            </w:pPr>
            <w:r w:rsidRPr="00D93FF9">
              <w:rPr>
                <w:sz w:val="16"/>
                <w:lang w:val="en-GB"/>
              </w:rPr>
              <w:t>1.8</w:t>
            </w:r>
          </w:p>
        </w:tc>
        <w:tc>
          <w:tcPr>
            <w:tcW w:w="1041" w:type="dxa"/>
          </w:tcPr>
          <w:p w14:paraId="59DCCA73" w14:textId="77777777" w:rsidR="00F84765" w:rsidRPr="00D93FF9" w:rsidRDefault="00E811B8" w:rsidP="002F55F0">
            <w:pPr>
              <w:pStyle w:val="TableParagraph"/>
              <w:spacing w:before="0" w:after="0"/>
              <w:jc w:val="center"/>
              <w:rPr>
                <w:sz w:val="16"/>
              </w:rPr>
            </w:pPr>
            <w:r w:rsidRPr="00D93FF9">
              <w:rPr>
                <w:sz w:val="16"/>
                <w:lang w:val="en-GB"/>
              </w:rPr>
              <w:t>3.1</w:t>
            </w:r>
          </w:p>
        </w:tc>
        <w:tc>
          <w:tcPr>
            <w:tcW w:w="1135" w:type="dxa"/>
          </w:tcPr>
          <w:p w14:paraId="59DCCA74" w14:textId="77777777" w:rsidR="00F84765" w:rsidRPr="00D93FF9" w:rsidRDefault="00E811B8" w:rsidP="002F55F0">
            <w:pPr>
              <w:pStyle w:val="TableParagraph"/>
              <w:spacing w:before="0" w:after="0"/>
              <w:jc w:val="center"/>
              <w:rPr>
                <w:sz w:val="16"/>
              </w:rPr>
            </w:pPr>
            <w:r w:rsidRPr="00D93FF9">
              <w:rPr>
                <w:sz w:val="16"/>
                <w:lang w:val="en-GB"/>
              </w:rPr>
              <w:t>5.1</w:t>
            </w:r>
          </w:p>
        </w:tc>
        <w:tc>
          <w:tcPr>
            <w:tcW w:w="1168" w:type="dxa"/>
          </w:tcPr>
          <w:p w14:paraId="59DCCA75"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7F" w14:textId="77777777" w:rsidTr="002F55F0">
        <w:trPr>
          <w:trHeight w:val="228"/>
        </w:trPr>
        <w:tc>
          <w:tcPr>
            <w:tcW w:w="2147" w:type="dxa"/>
          </w:tcPr>
          <w:p w14:paraId="59DCCA77" w14:textId="77777777" w:rsidR="00F84765" w:rsidRPr="00D93FF9" w:rsidRDefault="00E811B8" w:rsidP="00F84765">
            <w:pPr>
              <w:pStyle w:val="TableParagraph"/>
              <w:spacing w:before="0" w:after="0"/>
              <w:rPr>
                <w:sz w:val="16"/>
              </w:rPr>
            </w:pPr>
            <w:r w:rsidRPr="00D93FF9">
              <w:rPr>
                <w:sz w:val="16"/>
                <w:lang w:val="en-GB"/>
              </w:rPr>
              <w:t>Lovegrass</w:t>
            </w:r>
          </w:p>
        </w:tc>
        <w:tc>
          <w:tcPr>
            <w:tcW w:w="2980" w:type="dxa"/>
          </w:tcPr>
          <w:p w14:paraId="59DCCA78" w14:textId="77777777" w:rsidR="00F84765" w:rsidRPr="00D93FF9" w:rsidRDefault="00E811B8" w:rsidP="00F84765">
            <w:pPr>
              <w:pStyle w:val="TableParagraph"/>
              <w:spacing w:before="0" w:after="0"/>
              <w:rPr>
                <w:i/>
                <w:sz w:val="16"/>
              </w:rPr>
            </w:pPr>
            <w:r w:rsidRPr="00D93FF9">
              <w:rPr>
                <w:i/>
                <w:sz w:val="16"/>
                <w:lang w:val="en-GB"/>
              </w:rPr>
              <w:t xml:space="preserve">Eragrostis </w:t>
            </w:r>
            <w:r w:rsidRPr="00D93FF9">
              <w:rPr>
                <w:sz w:val="16"/>
                <w:lang w:val="en-GB"/>
              </w:rPr>
              <w:t>spp</w:t>
            </w:r>
          </w:p>
        </w:tc>
        <w:tc>
          <w:tcPr>
            <w:tcW w:w="1898" w:type="dxa"/>
          </w:tcPr>
          <w:p w14:paraId="59DCCA79" w14:textId="77777777" w:rsidR="00F84765" w:rsidRPr="00D93FF9" w:rsidRDefault="00E811B8" w:rsidP="002F55F0">
            <w:pPr>
              <w:pStyle w:val="TableParagraph"/>
              <w:spacing w:before="0" w:after="0"/>
              <w:jc w:val="center"/>
              <w:rPr>
                <w:sz w:val="16"/>
              </w:rPr>
            </w:pPr>
            <w:r w:rsidRPr="00D93FF9">
              <w:rPr>
                <w:sz w:val="16"/>
                <w:lang w:val="en-GB"/>
              </w:rPr>
              <w:t>2.0</w:t>
            </w:r>
          </w:p>
        </w:tc>
        <w:tc>
          <w:tcPr>
            <w:tcW w:w="2097" w:type="dxa"/>
          </w:tcPr>
          <w:p w14:paraId="59DCCA7A" w14:textId="77777777" w:rsidR="00F84765" w:rsidRPr="00D93FF9" w:rsidRDefault="00E811B8" w:rsidP="002F55F0">
            <w:pPr>
              <w:pStyle w:val="TableParagraph"/>
              <w:spacing w:before="0" w:after="0"/>
              <w:jc w:val="center"/>
              <w:rPr>
                <w:sz w:val="16"/>
              </w:rPr>
            </w:pPr>
            <w:r w:rsidRPr="00D93FF9">
              <w:rPr>
                <w:sz w:val="16"/>
                <w:lang w:val="en-GB"/>
              </w:rPr>
              <w:t>8.5</w:t>
            </w:r>
          </w:p>
        </w:tc>
        <w:tc>
          <w:tcPr>
            <w:tcW w:w="985" w:type="dxa"/>
          </w:tcPr>
          <w:p w14:paraId="59DCCA7B" w14:textId="77777777" w:rsidR="00F84765" w:rsidRPr="00D93FF9" w:rsidRDefault="00E811B8" w:rsidP="002F55F0">
            <w:pPr>
              <w:pStyle w:val="TableParagraph"/>
              <w:spacing w:before="0" w:after="0"/>
              <w:jc w:val="center"/>
              <w:rPr>
                <w:sz w:val="16"/>
              </w:rPr>
            </w:pPr>
            <w:r w:rsidRPr="00D93FF9">
              <w:rPr>
                <w:sz w:val="16"/>
                <w:lang w:val="en-GB"/>
              </w:rPr>
              <w:t>3.2</w:t>
            </w:r>
          </w:p>
        </w:tc>
        <w:tc>
          <w:tcPr>
            <w:tcW w:w="1041" w:type="dxa"/>
          </w:tcPr>
          <w:p w14:paraId="59DCCA7C" w14:textId="77777777" w:rsidR="00F84765" w:rsidRPr="00D93FF9" w:rsidRDefault="00E811B8" w:rsidP="002F55F0">
            <w:pPr>
              <w:pStyle w:val="TableParagraph"/>
              <w:spacing w:before="0" w:after="0"/>
              <w:jc w:val="center"/>
              <w:rPr>
                <w:sz w:val="16"/>
              </w:rPr>
            </w:pPr>
            <w:r w:rsidRPr="00D93FF9">
              <w:rPr>
                <w:sz w:val="16"/>
                <w:lang w:val="en-GB"/>
              </w:rPr>
              <w:t>4.9</w:t>
            </w:r>
          </w:p>
        </w:tc>
        <w:tc>
          <w:tcPr>
            <w:tcW w:w="1135" w:type="dxa"/>
          </w:tcPr>
          <w:p w14:paraId="59DCCA7D" w14:textId="77777777" w:rsidR="00F84765" w:rsidRPr="00D93FF9" w:rsidRDefault="00E811B8" w:rsidP="002F55F0">
            <w:pPr>
              <w:pStyle w:val="TableParagraph"/>
              <w:spacing w:before="0" w:after="0"/>
              <w:jc w:val="center"/>
              <w:rPr>
                <w:sz w:val="16"/>
              </w:rPr>
            </w:pPr>
            <w:r w:rsidRPr="00D93FF9">
              <w:rPr>
                <w:sz w:val="16"/>
                <w:lang w:val="en-GB"/>
              </w:rPr>
              <w:t>7.9</w:t>
            </w:r>
          </w:p>
        </w:tc>
        <w:tc>
          <w:tcPr>
            <w:tcW w:w="1168" w:type="dxa"/>
          </w:tcPr>
          <w:p w14:paraId="59DCCA7E" w14:textId="77777777" w:rsidR="00F84765" w:rsidRPr="00D93FF9" w:rsidRDefault="00E811B8" w:rsidP="002F55F0">
            <w:pPr>
              <w:pStyle w:val="TableParagraph"/>
              <w:spacing w:before="0" w:after="0"/>
              <w:jc w:val="center"/>
              <w:rPr>
                <w:sz w:val="16"/>
              </w:rPr>
            </w:pPr>
            <w:r w:rsidRPr="00D93FF9">
              <w:rPr>
                <w:sz w:val="16"/>
                <w:lang w:val="en-GB"/>
              </w:rPr>
              <w:t>1</w:t>
            </w:r>
          </w:p>
        </w:tc>
      </w:tr>
      <w:tr w:rsidR="00BE3AA8" w:rsidRPr="00D93FF9" w14:paraId="59DCCA88" w14:textId="77777777" w:rsidTr="002F55F0">
        <w:trPr>
          <w:trHeight w:val="228"/>
        </w:trPr>
        <w:tc>
          <w:tcPr>
            <w:tcW w:w="2147" w:type="dxa"/>
          </w:tcPr>
          <w:p w14:paraId="59DCCA80" w14:textId="77777777" w:rsidR="00F84765" w:rsidRPr="00D93FF9" w:rsidRDefault="00E811B8" w:rsidP="00F84765">
            <w:pPr>
              <w:pStyle w:val="TableParagraph"/>
              <w:spacing w:before="0" w:after="0"/>
              <w:rPr>
                <w:sz w:val="16"/>
              </w:rPr>
            </w:pPr>
            <w:r w:rsidRPr="00D93FF9">
              <w:rPr>
                <w:sz w:val="16"/>
                <w:lang w:val="en-GB"/>
              </w:rPr>
              <w:t>Lucerne, Hunter River</w:t>
            </w:r>
          </w:p>
        </w:tc>
        <w:tc>
          <w:tcPr>
            <w:tcW w:w="2980" w:type="dxa"/>
          </w:tcPr>
          <w:p w14:paraId="59DCCA81" w14:textId="77777777" w:rsidR="00F84765" w:rsidRPr="00D93FF9" w:rsidRDefault="00E811B8" w:rsidP="00F84765">
            <w:pPr>
              <w:pStyle w:val="TableParagraph"/>
              <w:spacing w:before="0" w:after="0"/>
              <w:rPr>
                <w:i/>
                <w:sz w:val="16"/>
              </w:rPr>
            </w:pPr>
            <w:r w:rsidRPr="00D93FF9">
              <w:rPr>
                <w:i/>
                <w:sz w:val="16"/>
                <w:lang w:val="en-GB"/>
              </w:rPr>
              <w:t>Medicago sativa</w:t>
            </w:r>
          </w:p>
        </w:tc>
        <w:tc>
          <w:tcPr>
            <w:tcW w:w="1898" w:type="dxa"/>
          </w:tcPr>
          <w:p w14:paraId="59DCCA82" w14:textId="77777777" w:rsidR="00F84765" w:rsidRPr="00D93FF9" w:rsidRDefault="00E811B8" w:rsidP="002F55F0">
            <w:pPr>
              <w:pStyle w:val="TableParagraph"/>
              <w:spacing w:before="0" w:after="0"/>
              <w:jc w:val="center"/>
              <w:rPr>
                <w:sz w:val="16"/>
              </w:rPr>
            </w:pPr>
            <w:r w:rsidRPr="00D93FF9">
              <w:rPr>
                <w:sz w:val="16"/>
                <w:lang w:val="en-GB"/>
              </w:rPr>
              <w:t>2.0</w:t>
            </w:r>
          </w:p>
        </w:tc>
        <w:tc>
          <w:tcPr>
            <w:tcW w:w="2097" w:type="dxa"/>
          </w:tcPr>
          <w:p w14:paraId="59DCCA83" w14:textId="77777777" w:rsidR="00F84765" w:rsidRPr="00D93FF9" w:rsidRDefault="00E811B8" w:rsidP="002F55F0">
            <w:pPr>
              <w:pStyle w:val="TableParagraph"/>
              <w:spacing w:before="0" w:after="0"/>
              <w:jc w:val="center"/>
              <w:rPr>
                <w:sz w:val="16"/>
              </w:rPr>
            </w:pPr>
            <w:r w:rsidRPr="00D93FF9">
              <w:rPr>
                <w:sz w:val="16"/>
                <w:lang w:val="en-GB"/>
              </w:rPr>
              <w:t>6.0</w:t>
            </w:r>
          </w:p>
        </w:tc>
        <w:tc>
          <w:tcPr>
            <w:tcW w:w="985" w:type="dxa"/>
          </w:tcPr>
          <w:p w14:paraId="59DCCA84" w14:textId="77777777" w:rsidR="00F84765" w:rsidRPr="00D93FF9" w:rsidRDefault="00E811B8" w:rsidP="002F55F0">
            <w:pPr>
              <w:pStyle w:val="TableParagraph"/>
              <w:spacing w:before="0" w:after="0"/>
              <w:jc w:val="center"/>
              <w:rPr>
                <w:sz w:val="16"/>
              </w:rPr>
            </w:pPr>
            <w:r w:rsidRPr="00D93FF9">
              <w:rPr>
                <w:sz w:val="16"/>
                <w:lang w:val="en-GB"/>
              </w:rPr>
              <w:t>3.7</w:t>
            </w:r>
          </w:p>
        </w:tc>
        <w:tc>
          <w:tcPr>
            <w:tcW w:w="1041" w:type="dxa"/>
          </w:tcPr>
          <w:p w14:paraId="59DCCA85" w14:textId="77777777" w:rsidR="00F84765" w:rsidRPr="00D93FF9" w:rsidRDefault="00E811B8" w:rsidP="002F55F0">
            <w:pPr>
              <w:pStyle w:val="TableParagraph"/>
              <w:spacing w:before="0" w:after="0"/>
              <w:jc w:val="center"/>
              <w:rPr>
                <w:sz w:val="16"/>
              </w:rPr>
            </w:pPr>
            <w:r w:rsidRPr="00D93FF9">
              <w:rPr>
                <w:sz w:val="16"/>
                <w:lang w:val="en-GB"/>
              </w:rPr>
              <w:t>6.2</w:t>
            </w:r>
          </w:p>
        </w:tc>
        <w:tc>
          <w:tcPr>
            <w:tcW w:w="1135" w:type="dxa"/>
          </w:tcPr>
          <w:p w14:paraId="59DCCA86" w14:textId="77777777" w:rsidR="00F84765" w:rsidRPr="00D93FF9" w:rsidRDefault="00E811B8" w:rsidP="002F55F0">
            <w:pPr>
              <w:pStyle w:val="TableParagraph"/>
              <w:spacing w:before="0" w:after="0"/>
              <w:jc w:val="center"/>
              <w:rPr>
                <w:sz w:val="16"/>
              </w:rPr>
            </w:pPr>
            <w:r w:rsidRPr="00D93FF9">
              <w:rPr>
                <w:sz w:val="16"/>
                <w:lang w:val="en-GB"/>
              </w:rPr>
              <w:t>10.3</w:t>
            </w:r>
          </w:p>
        </w:tc>
        <w:tc>
          <w:tcPr>
            <w:tcW w:w="1168" w:type="dxa"/>
          </w:tcPr>
          <w:p w14:paraId="59DCCA87"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91" w14:textId="77777777" w:rsidTr="002F55F0">
        <w:trPr>
          <w:trHeight w:val="228"/>
        </w:trPr>
        <w:tc>
          <w:tcPr>
            <w:tcW w:w="2147" w:type="dxa"/>
          </w:tcPr>
          <w:p w14:paraId="59DCCA89" w14:textId="77777777" w:rsidR="00F84765" w:rsidRPr="00D93FF9" w:rsidRDefault="00E811B8" w:rsidP="00F84765">
            <w:pPr>
              <w:pStyle w:val="TableParagraph"/>
              <w:spacing w:before="0" w:after="0"/>
              <w:rPr>
                <w:sz w:val="16"/>
              </w:rPr>
            </w:pPr>
            <w:r w:rsidRPr="00D93FF9">
              <w:rPr>
                <w:sz w:val="16"/>
                <w:lang w:val="en-GB"/>
              </w:rPr>
              <w:t>Lucerne, Hunter R. (temperate)</w:t>
            </w:r>
          </w:p>
        </w:tc>
        <w:tc>
          <w:tcPr>
            <w:tcW w:w="2980" w:type="dxa"/>
          </w:tcPr>
          <w:p w14:paraId="59DCCA8A" w14:textId="77777777" w:rsidR="00F84765" w:rsidRPr="00D93FF9" w:rsidRDefault="00F84765" w:rsidP="00F84765">
            <w:pPr>
              <w:pStyle w:val="TableParagraph"/>
              <w:spacing w:before="0" w:after="0"/>
              <w:rPr>
                <w:i/>
                <w:sz w:val="16"/>
              </w:rPr>
            </w:pPr>
          </w:p>
        </w:tc>
        <w:tc>
          <w:tcPr>
            <w:tcW w:w="1898" w:type="dxa"/>
          </w:tcPr>
          <w:p w14:paraId="59DCCA8B" w14:textId="77777777" w:rsidR="00F84765" w:rsidRPr="00D93FF9" w:rsidRDefault="00E811B8" w:rsidP="002F55F0">
            <w:pPr>
              <w:pStyle w:val="TableParagraph"/>
              <w:spacing w:before="0" w:after="0"/>
              <w:jc w:val="center"/>
              <w:rPr>
                <w:sz w:val="16"/>
              </w:rPr>
            </w:pPr>
            <w:r w:rsidRPr="00D93FF9">
              <w:rPr>
                <w:sz w:val="16"/>
                <w:lang w:val="en-GB"/>
              </w:rPr>
              <w:t>1.5</w:t>
            </w:r>
          </w:p>
        </w:tc>
        <w:tc>
          <w:tcPr>
            <w:tcW w:w="2097" w:type="dxa"/>
          </w:tcPr>
          <w:p w14:paraId="59DCCA8C" w14:textId="77777777" w:rsidR="00F84765" w:rsidRPr="00D93FF9" w:rsidRDefault="00E811B8" w:rsidP="002F55F0">
            <w:pPr>
              <w:pStyle w:val="TableParagraph"/>
              <w:spacing w:before="0" w:after="0"/>
              <w:jc w:val="center"/>
              <w:rPr>
                <w:sz w:val="16"/>
              </w:rPr>
            </w:pPr>
            <w:r w:rsidRPr="00D93FF9">
              <w:rPr>
                <w:sz w:val="16"/>
                <w:lang w:val="en-GB"/>
              </w:rPr>
              <w:t>6.9</w:t>
            </w:r>
          </w:p>
        </w:tc>
        <w:tc>
          <w:tcPr>
            <w:tcW w:w="985" w:type="dxa"/>
          </w:tcPr>
          <w:p w14:paraId="59DCCA8D" w14:textId="77777777" w:rsidR="00F84765" w:rsidRPr="00D93FF9" w:rsidRDefault="00E811B8" w:rsidP="002F55F0">
            <w:pPr>
              <w:pStyle w:val="TableParagraph"/>
              <w:spacing w:before="0" w:after="0"/>
              <w:jc w:val="center"/>
              <w:rPr>
                <w:sz w:val="16"/>
              </w:rPr>
            </w:pPr>
            <w:r w:rsidRPr="00D93FF9">
              <w:rPr>
                <w:sz w:val="16"/>
                <w:lang w:val="en-GB"/>
              </w:rPr>
              <w:t>2.9</w:t>
            </w:r>
          </w:p>
        </w:tc>
        <w:tc>
          <w:tcPr>
            <w:tcW w:w="1041" w:type="dxa"/>
          </w:tcPr>
          <w:p w14:paraId="59DCCA8E" w14:textId="77777777" w:rsidR="00F84765" w:rsidRPr="00D93FF9" w:rsidRDefault="00E811B8" w:rsidP="002F55F0">
            <w:pPr>
              <w:pStyle w:val="TableParagraph"/>
              <w:spacing w:before="0" w:after="0"/>
              <w:jc w:val="center"/>
              <w:rPr>
                <w:sz w:val="16"/>
              </w:rPr>
            </w:pPr>
            <w:r w:rsidRPr="00D93FF9">
              <w:rPr>
                <w:sz w:val="16"/>
                <w:lang w:val="en-GB"/>
              </w:rPr>
              <w:t>5.1</w:t>
            </w:r>
          </w:p>
        </w:tc>
        <w:tc>
          <w:tcPr>
            <w:tcW w:w="1135" w:type="dxa"/>
          </w:tcPr>
          <w:p w14:paraId="59DCCA8F" w14:textId="77777777" w:rsidR="00F84765" w:rsidRPr="00D93FF9" w:rsidRDefault="00E811B8" w:rsidP="002F55F0">
            <w:pPr>
              <w:pStyle w:val="TableParagraph"/>
              <w:spacing w:before="0" w:after="0"/>
              <w:jc w:val="center"/>
              <w:rPr>
                <w:sz w:val="16"/>
              </w:rPr>
            </w:pPr>
            <w:r w:rsidRPr="00D93FF9">
              <w:rPr>
                <w:sz w:val="16"/>
                <w:lang w:val="en-GB"/>
              </w:rPr>
              <w:t>8.7</w:t>
            </w:r>
          </w:p>
        </w:tc>
        <w:tc>
          <w:tcPr>
            <w:tcW w:w="1168" w:type="dxa"/>
          </w:tcPr>
          <w:p w14:paraId="59DCCA90"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9A" w14:textId="77777777" w:rsidTr="002F55F0">
        <w:trPr>
          <w:trHeight w:val="228"/>
        </w:trPr>
        <w:tc>
          <w:tcPr>
            <w:tcW w:w="2147" w:type="dxa"/>
          </w:tcPr>
          <w:p w14:paraId="59DCCA92" w14:textId="77777777" w:rsidR="00F84765" w:rsidRPr="00D93FF9" w:rsidRDefault="00E811B8" w:rsidP="00F84765">
            <w:pPr>
              <w:pStyle w:val="TableParagraph"/>
              <w:spacing w:before="0" w:after="0"/>
              <w:rPr>
                <w:sz w:val="16"/>
              </w:rPr>
            </w:pPr>
            <w:r w:rsidRPr="00D93FF9">
              <w:rPr>
                <w:sz w:val="16"/>
                <w:lang w:val="en-GB"/>
              </w:rPr>
              <w:t>Lucerne (USA)</w:t>
            </w:r>
          </w:p>
        </w:tc>
        <w:tc>
          <w:tcPr>
            <w:tcW w:w="2980" w:type="dxa"/>
          </w:tcPr>
          <w:p w14:paraId="59DCCA93" w14:textId="77777777" w:rsidR="00F84765" w:rsidRPr="00D93FF9" w:rsidRDefault="00E811B8" w:rsidP="00F84765">
            <w:pPr>
              <w:pStyle w:val="TableParagraph"/>
              <w:spacing w:before="0" w:after="0"/>
              <w:rPr>
                <w:i/>
                <w:sz w:val="16"/>
              </w:rPr>
            </w:pPr>
            <w:r w:rsidRPr="00D93FF9">
              <w:rPr>
                <w:i/>
                <w:sz w:val="16"/>
                <w:lang w:val="en-GB"/>
              </w:rPr>
              <w:t>Medicago sativa</w:t>
            </w:r>
          </w:p>
        </w:tc>
        <w:tc>
          <w:tcPr>
            <w:tcW w:w="1898" w:type="dxa"/>
          </w:tcPr>
          <w:p w14:paraId="59DCCA94" w14:textId="77777777" w:rsidR="00F84765" w:rsidRPr="00D93FF9" w:rsidRDefault="00E811B8" w:rsidP="002F55F0">
            <w:pPr>
              <w:pStyle w:val="TableParagraph"/>
              <w:spacing w:before="0" w:after="0"/>
              <w:jc w:val="center"/>
              <w:rPr>
                <w:sz w:val="16"/>
              </w:rPr>
            </w:pPr>
            <w:r w:rsidRPr="00D93FF9">
              <w:rPr>
                <w:sz w:val="16"/>
                <w:lang w:val="en-GB"/>
              </w:rPr>
              <w:t>2.0</w:t>
            </w:r>
          </w:p>
        </w:tc>
        <w:tc>
          <w:tcPr>
            <w:tcW w:w="2097" w:type="dxa"/>
          </w:tcPr>
          <w:p w14:paraId="59DCCA95" w14:textId="77777777" w:rsidR="00F84765" w:rsidRPr="00D93FF9" w:rsidRDefault="00E811B8" w:rsidP="002F55F0">
            <w:pPr>
              <w:pStyle w:val="TableParagraph"/>
              <w:spacing w:before="0" w:after="0"/>
              <w:jc w:val="center"/>
              <w:rPr>
                <w:sz w:val="16"/>
              </w:rPr>
            </w:pPr>
            <w:r w:rsidRPr="00D93FF9">
              <w:rPr>
                <w:sz w:val="16"/>
                <w:lang w:val="en-GB"/>
              </w:rPr>
              <w:t>7.3</w:t>
            </w:r>
          </w:p>
        </w:tc>
        <w:tc>
          <w:tcPr>
            <w:tcW w:w="985" w:type="dxa"/>
          </w:tcPr>
          <w:p w14:paraId="59DCCA96" w14:textId="77777777" w:rsidR="00F84765" w:rsidRPr="00D93FF9" w:rsidRDefault="00E811B8" w:rsidP="002F55F0">
            <w:pPr>
              <w:pStyle w:val="TableParagraph"/>
              <w:spacing w:before="0" w:after="0"/>
              <w:jc w:val="center"/>
              <w:rPr>
                <w:sz w:val="16"/>
              </w:rPr>
            </w:pPr>
            <w:r w:rsidRPr="00D93FF9">
              <w:rPr>
                <w:sz w:val="16"/>
                <w:lang w:val="en-GB"/>
              </w:rPr>
              <w:t>3.4</w:t>
            </w:r>
          </w:p>
        </w:tc>
        <w:tc>
          <w:tcPr>
            <w:tcW w:w="1041" w:type="dxa"/>
          </w:tcPr>
          <w:p w14:paraId="59DCCA97" w14:textId="77777777" w:rsidR="00F84765" w:rsidRPr="00D93FF9" w:rsidRDefault="00E811B8" w:rsidP="002F55F0">
            <w:pPr>
              <w:pStyle w:val="TableParagraph"/>
              <w:spacing w:before="0" w:after="0"/>
              <w:jc w:val="center"/>
              <w:rPr>
                <w:sz w:val="16"/>
              </w:rPr>
            </w:pPr>
            <w:r w:rsidRPr="00D93FF9">
              <w:rPr>
                <w:sz w:val="16"/>
                <w:lang w:val="en-GB"/>
              </w:rPr>
              <w:t>5.4</w:t>
            </w:r>
          </w:p>
        </w:tc>
        <w:tc>
          <w:tcPr>
            <w:tcW w:w="1135" w:type="dxa"/>
          </w:tcPr>
          <w:p w14:paraId="59DCCA98" w14:textId="77777777" w:rsidR="00F84765" w:rsidRPr="00D93FF9" w:rsidRDefault="00E811B8" w:rsidP="002F55F0">
            <w:pPr>
              <w:pStyle w:val="TableParagraph"/>
              <w:spacing w:before="0" w:after="0"/>
              <w:jc w:val="center"/>
              <w:rPr>
                <w:sz w:val="16"/>
              </w:rPr>
            </w:pPr>
            <w:r w:rsidRPr="00D93FF9">
              <w:rPr>
                <w:sz w:val="16"/>
                <w:lang w:val="en-GB"/>
              </w:rPr>
              <w:t>8.8</w:t>
            </w:r>
          </w:p>
        </w:tc>
        <w:tc>
          <w:tcPr>
            <w:tcW w:w="1168" w:type="dxa"/>
          </w:tcPr>
          <w:p w14:paraId="59DCCA99" w14:textId="77777777" w:rsidR="00F84765" w:rsidRPr="00D93FF9" w:rsidRDefault="00E811B8" w:rsidP="002F55F0">
            <w:pPr>
              <w:pStyle w:val="TableParagraph"/>
              <w:spacing w:before="0" w:after="0"/>
              <w:jc w:val="center"/>
              <w:rPr>
                <w:sz w:val="16"/>
              </w:rPr>
            </w:pPr>
            <w:r w:rsidRPr="00D93FF9">
              <w:rPr>
                <w:sz w:val="16"/>
                <w:lang w:val="en-GB"/>
              </w:rPr>
              <w:t>1</w:t>
            </w:r>
          </w:p>
        </w:tc>
      </w:tr>
      <w:tr w:rsidR="00BE3AA8" w:rsidRPr="00D93FF9" w14:paraId="59DCCAA3" w14:textId="77777777" w:rsidTr="002F55F0">
        <w:trPr>
          <w:trHeight w:val="228"/>
        </w:trPr>
        <w:tc>
          <w:tcPr>
            <w:tcW w:w="2147" w:type="dxa"/>
          </w:tcPr>
          <w:p w14:paraId="59DCCA9B" w14:textId="77777777" w:rsidR="00F84765" w:rsidRPr="00D93FF9" w:rsidRDefault="00E811B8" w:rsidP="00F84765">
            <w:pPr>
              <w:pStyle w:val="TableParagraph"/>
              <w:spacing w:before="0" w:after="0"/>
              <w:rPr>
                <w:sz w:val="16"/>
              </w:rPr>
            </w:pPr>
            <w:r w:rsidRPr="00D93FF9">
              <w:rPr>
                <w:sz w:val="16"/>
                <w:lang w:val="en-GB"/>
              </w:rPr>
              <w:t>Meadow foxtail</w:t>
            </w:r>
          </w:p>
        </w:tc>
        <w:tc>
          <w:tcPr>
            <w:tcW w:w="2980" w:type="dxa"/>
          </w:tcPr>
          <w:p w14:paraId="59DCCA9C" w14:textId="77777777" w:rsidR="00F84765" w:rsidRPr="00D93FF9" w:rsidRDefault="00E811B8" w:rsidP="00F84765">
            <w:pPr>
              <w:pStyle w:val="TableParagraph"/>
              <w:spacing w:before="0" w:after="0"/>
              <w:rPr>
                <w:i/>
                <w:sz w:val="16"/>
              </w:rPr>
            </w:pPr>
            <w:r w:rsidRPr="00D93FF9">
              <w:rPr>
                <w:i/>
                <w:sz w:val="16"/>
                <w:lang w:val="en-GB"/>
              </w:rPr>
              <w:t>Alopecurus pratensis</w:t>
            </w:r>
          </w:p>
        </w:tc>
        <w:tc>
          <w:tcPr>
            <w:tcW w:w="1898" w:type="dxa"/>
          </w:tcPr>
          <w:p w14:paraId="59DCCA9D" w14:textId="77777777" w:rsidR="00F84765" w:rsidRPr="00D93FF9" w:rsidRDefault="00E811B8" w:rsidP="002F55F0">
            <w:pPr>
              <w:pStyle w:val="TableParagraph"/>
              <w:spacing w:before="0" w:after="0"/>
              <w:jc w:val="center"/>
              <w:rPr>
                <w:sz w:val="16"/>
              </w:rPr>
            </w:pPr>
            <w:r w:rsidRPr="00D93FF9">
              <w:rPr>
                <w:sz w:val="16"/>
                <w:lang w:val="en-GB"/>
              </w:rPr>
              <w:t>1.5</w:t>
            </w:r>
          </w:p>
        </w:tc>
        <w:tc>
          <w:tcPr>
            <w:tcW w:w="2097" w:type="dxa"/>
          </w:tcPr>
          <w:p w14:paraId="59DCCA9E" w14:textId="77777777" w:rsidR="00F84765" w:rsidRPr="00D93FF9" w:rsidRDefault="00E811B8" w:rsidP="002F55F0">
            <w:pPr>
              <w:pStyle w:val="TableParagraph"/>
              <w:spacing w:before="0" w:after="0"/>
              <w:jc w:val="center"/>
              <w:rPr>
                <w:sz w:val="16"/>
              </w:rPr>
            </w:pPr>
            <w:r w:rsidRPr="00D93FF9">
              <w:rPr>
                <w:sz w:val="16"/>
                <w:lang w:val="en-GB"/>
              </w:rPr>
              <w:t>9.7</w:t>
            </w:r>
          </w:p>
        </w:tc>
        <w:tc>
          <w:tcPr>
            <w:tcW w:w="985" w:type="dxa"/>
          </w:tcPr>
          <w:p w14:paraId="59DCCA9F" w14:textId="77777777" w:rsidR="00F84765" w:rsidRPr="00D93FF9" w:rsidRDefault="00E811B8" w:rsidP="002F55F0">
            <w:pPr>
              <w:pStyle w:val="TableParagraph"/>
              <w:spacing w:before="0" w:after="0"/>
              <w:jc w:val="center"/>
              <w:rPr>
                <w:sz w:val="16"/>
              </w:rPr>
            </w:pPr>
            <w:r w:rsidRPr="00D93FF9">
              <w:rPr>
                <w:sz w:val="16"/>
                <w:lang w:val="en-GB"/>
              </w:rPr>
              <w:t>2.5</w:t>
            </w:r>
          </w:p>
        </w:tc>
        <w:tc>
          <w:tcPr>
            <w:tcW w:w="1041" w:type="dxa"/>
          </w:tcPr>
          <w:p w14:paraId="59DCCAA0" w14:textId="77777777" w:rsidR="00F84765" w:rsidRPr="00D93FF9" w:rsidRDefault="00E811B8" w:rsidP="002F55F0">
            <w:pPr>
              <w:pStyle w:val="TableParagraph"/>
              <w:spacing w:before="0" w:after="0"/>
              <w:jc w:val="center"/>
              <w:rPr>
                <w:sz w:val="16"/>
              </w:rPr>
            </w:pPr>
            <w:r w:rsidRPr="00D93FF9">
              <w:rPr>
                <w:sz w:val="16"/>
                <w:lang w:val="en-GB"/>
              </w:rPr>
              <w:t>4.1</w:t>
            </w:r>
          </w:p>
        </w:tc>
        <w:tc>
          <w:tcPr>
            <w:tcW w:w="1135" w:type="dxa"/>
          </w:tcPr>
          <w:p w14:paraId="59DCCAA1" w14:textId="77777777" w:rsidR="00F84765" w:rsidRPr="00D93FF9" w:rsidRDefault="00E811B8" w:rsidP="002F55F0">
            <w:pPr>
              <w:pStyle w:val="TableParagraph"/>
              <w:spacing w:before="0" w:after="0"/>
              <w:jc w:val="center"/>
              <w:rPr>
                <w:sz w:val="16"/>
              </w:rPr>
            </w:pPr>
            <w:r w:rsidRPr="00D93FF9">
              <w:rPr>
                <w:sz w:val="16"/>
                <w:lang w:val="en-GB"/>
              </w:rPr>
              <w:t>6.7</w:t>
            </w:r>
          </w:p>
        </w:tc>
        <w:tc>
          <w:tcPr>
            <w:tcW w:w="1168" w:type="dxa"/>
          </w:tcPr>
          <w:p w14:paraId="59DCCAA2" w14:textId="77777777" w:rsidR="00F84765" w:rsidRPr="00D93FF9" w:rsidRDefault="00E811B8" w:rsidP="002F55F0">
            <w:pPr>
              <w:pStyle w:val="TableParagraph"/>
              <w:spacing w:before="0" w:after="0"/>
              <w:jc w:val="center"/>
              <w:rPr>
                <w:sz w:val="16"/>
              </w:rPr>
            </w:pPr>
            <w:r w:rsidRPr="00D93FF9">
              <w:rPr>
                <w:sz w:val="16"/>
                <w:lang w:val="en-GB"/>
              </w:rPr>
              <w:t>1</w:t>
            </w:r>
          </w:p>
        </w:tc>
      </w:tr>
      <w:tr w:rsidR="00BE3AA8" w:rsidRPr="00D93FF9" w14:paraId="59DCCAAC" w14:textId="77777777" w:rsidTr="002F55F0">
        <w:trPr>
          <w:trHeight w:val="228"/>
        </w:trPr>
        <w:tc>
          <w:tcPr>
            <w:tcW w:w="2147" w:type="dxa"/>
          </w:tcPr>
          <w:p w14:paraId="59DCCAA4" w14:textId="77777777" w:rsidR="00F84765" w:rsidRPr="00D93FF9" w:rsidRDefault="00E811B8" w:rsidP="00F84765">
            <w:pPr>
              <w:pStyle w:val="TableParagraph"/>
              <w:spacing w:before="0" w:after="0"/>
              <w:rPr>
                <w:sz w:val="16"/>
              </w:rPr>
            </w:pPr>
            <w:r w:rsidRPr="00D93FF9">
              <w:rPr>
                <w:sz w:val="16"/>
                <w:lang w:val="en-GB"/>
              </w:rPr>
              <w:lastRenderedPageBreak/>
              <w:t>Orchard grass</w:t>
            </w:r>
          </w:p>
        </w:tc>
        <w:tc>
          <w:tcPr>
            <w:tcW w:w="2980" w:type="dxa"/>
          </w:tcPr>
          <w:p w14:paraId="59DCCAA5" w14:textId="77777777" w:rsidR="00F84765" w:rsidRPr="00D93FF9" w:rsidRDefault="00E811B8" w:rsidP="00F84765">
            <w:pPr>
              <w:pStyle w:val="TableParagraph"/>
              <w:spacing w:before="0" w:after="0"/>
              <w:rPr>
                <w:i/>
                <w:sz w:val="16"/>
              </w:rPr>
            </w:pPr>
            <w:r w:rsidRPr="00D93FF9">
              <w:rPr>
                <w:i/>
                <w:sz w:val="16"/>
                <w:lang w:val="en-GB"/>
              </w:rPr>
              <w:t>Dactylis glomerata</w:t>
            </w:r>
          </w:p>
        </w:tc>
        <w:tc>
          <w:tcPr>
            <w:tcW w:w="1898" w:type="dxa"/>
          </w:tcPr>
          <w:p w14:paraId="59DCCAA6" w14:textId="77777777" w:rsidR="00F84765" w:rsidRPr="00D93FF9" w:rsidRDefault="00E811B8" w:rsidP="002F55F0">
            <w:pPr>
              <w:pStyle w:val="TableParagraph"/>
              <w:spacing w:before="0" w:after="0"/>
              <w:jc w:val="center"/>
              <w:rPr>
                <w:sz w:val="16"/>
              </w:rPr>
            </w:pPr>
            <w:r w:rsidRPr="00D93FF9">
              <w:rPr>
                <w:sz w:val="16"/>
                <w:lang w:val="en-GB"/>
              </w:rPr>
              <w:t>1.5</w:t>
            </w:r>
          </w:p>
        </w:tc>
        <w:tc>
          <w:tcPr>
            <w:tcW w:w="2097" w:type="dxa"/>
          </w:tcPr>
          <w:p w14:paraId="59DCCAA7" w14:textId="77777777" w:rsidR="00F84765" w:rsidRPr="00D93FF9" w:rsidRDefault="00E811B8" w:rsidP="002F55F0">
            <w:pPr>
              <w:pStyle w:val="TableParagraph"/>
              <w:spacing w:before="0" w:after="0"/>
              <w:jc w:val="center"/>
              <w:rPr>
                <w:sz w:val="16"/>
              </w:rPr>
            </w:pPr>
            <w:r w:rsidRPr="00D93FF9">
              <w:rPr>
                <w:sz w:val="16"/>
                <w:lang w:val="en-GB"/>
              </w:rPr>
              <w:t>6.2</w:t>
            </w:r>
          </w:p>
        </w:tc>
        <w:tc>
          <w:tcPr>
            <w:tcW w:w="985" w:type="dxa"/>
          </w:tcPr>
          <w:p w14:paraId="59DCCAA8" w14:textId="77777777" w:rsidR="00F84765" w:rsidRPr="00D93FF9" w:rsidRDefault="00E811B8" w:rsidP="002F55F0">
            <w:pPr>
              <w:pStyle w:val="TableParagraph"/>
              <w:spacing w:before="0" w:after="0"/>
              <w:jc w:val="center"/>
              <w:rPr>
                <w:sz w:val="16"/>
              </w:rPr>
            </w:pPr>
            <w:r w:rsidRPr="00D93FF9">
              <w:rPr>
                <w:sz w:val="16"/>
                <w:lang w:val="en-GB"/>
              </w:rPr>
              <w:t>3.1</w:t>
            </w:r>
          </w:p>
        </w:tc>
        <w:tc>
          <w:tcPr>
            <w:tcW w:w="1041" w:type="dxa"/>
          </w:tcPr>
          <w:p w14:paraId="59DCCAA9" w14:textId="77777777" w:rsidR="00F84765" w:rsidRPr="00D93FF9" w:rsidRDefault="00E811B8" w:rsidP="002F55F0">
            <w:pPr>
              <w:pStyle w:val="TableParagraph"/>
              <w:spacing w:before="0" w:after="0"/>
              <w:jc w:val="center"/>
              <w:rPr>
                <w:sz w:val="16"/>
              </w:rPr>
            </w:pPr>
            <w:r w:rsidRPr="00D93FF9">
              <w:rPr>
                <w:sz w:val="16"/>
                <w:lang w:val="en-GB"/>
              </w:rPr>
              <w:t>5.5</w:t>
            </w:r>
          </w:p>
        </w:tc>
        <w:tc>
          <w:tcPr>
            <w:tcW w:w="1135" w:type="dxa"/>
          </w:tcPr>
          <w:p w14:paraId="59DCCAAA" w14:textId="77777777" w:rsidR="00F84765" w:rsidRPr="00D93FF9" w:rsidRDefault="00E811B8" w:rsidP="002F55F0">
            <w:pPr>
              <w:pStyle w:val="TableParagraph"/>
              <w:spacing w:before="0" w:after="0"/>
              <w:jc w:val="center"/>
              <w:rPr>
                <w:sz w:val="16"/>
              </w:rPr>
            </w:pPr>
            <w:r w:rsidRPr="00D93FF9">
              <w:rPr>
                <w:sz w:val="16"/>
                <w:lang w:val="en-GB"/>
              </w:rPr>
              <w:t>9.6</w:t>
            </w:r>
          </w:p>
        </w:tc>
        <w:tc>
          <w:tcPr>
            <w:tcW w:w="1168" w:type="dxa"/>
          </w:tcPr>
          <w:p w14:paraId="59DCCAAB" w14:textId="77777777" w:rsidR="00F84765" w:rsidRPr="00D93FF9" w:rsidRDefault="00E811B8" w:rsidP="002F55F0">
            <w:pPr>
              <w:pStyle w:val="TableParagraph"/>
              <w:spacing w:before="0" w:after="0"/>
              <w:jc w:val="center"/>
              <w:rPr>
                <w:sz w:val="16"/>
              </w:rPr>
            </w:pPr>
            <w:r w:rsidRPr="00D93FF9">
              <w:rPr>
                <w:sz w:val="16"/>
                <w:lang w:val="en-GB"/>
              </w:rPr>
              <w:t>1</w:t>
            </w:r>
          </w:p>
        </w:tc>
      </w:tr>
      <w:tr w:rsidR="00BE3AA8" w:rsidRPr="00D93FF9" w14:paraId="59DCCAB5" w14:textId="77777777" w:rsidTr="002F55F0">
        <w:trPr>
          <w:trHeight w:val="228"/>
        </w:trPr>
        <w:tc>
          <w:tcPr>
            <w:tcW w:w="2147" w:type="dxa"/>
          </w:tcPr>
          <w:p w14:paraId="59DCCAAD" w14:textId="77777777" w:rsidR="00F84765" w:rsidRPr="00D93FF9" w:rsidRDefault="00E811B8" w:rsidP="00F84765">
            <w:pPr>
              <w:pStyle w:val="TableParagraph"/>
              <w:spacing w:before="0" w:after="0"/>
              <w:rPr>
                <w:sz w:val="16"/>
              </w:rPr>
            </w:pPr>
            <w:r w:rsidRPr="00D93FF9">
              <w:rPr>
                <w:sz w:val="16"/>
                <w:lang w:val="en-GB"/>
              </w:rPr>
              <w:t>Pangola grass</w:t>
            </w:r>
          </w:p>
        </w:tc>
        <w:tc>
          <w:tcPr>
            <w:tcW w:w="2980" w:type="dxa"/>
          </w:tcPr>
          <w:p w14:paraId="59DCCAAE" w14:textId="77777777" w:rsidR="00F84765" w:rsidRPr="00D93FF9" w:rsidRDefault="00E811B8" w:rsidP="00F84765">
            <w:pPr>
              <w:pStyle w:val="TableParagraph"/>
              <w:spacing w:before="0" w:after="0"/>
              <w:rPr>
                <w:i/>
                <w:sz w:val="16"/>
              </w:rPr>
            </w:pPr>
            <w:r w:rsidRPr="00D93FF9">
              <w:rPr>
                <w:i/>
                <w:sz w:val="16"/>
                <w:lang w:val="en-GB"/>
              </w:rPr>
              <w:t>Digitaria decumbens (pentzii)</w:t>
            </w:r>
          </w:p>
        </w:tc>
        <w:tc>
          <w:tcPr>
            <w:tcW w:w="1898" w:type="dxa"/>
          </w:tcPr>
          <w:p w14:paraId="59DCCAAF" w14:textId="77777777" w:rsidR="00F84765" w:rsidRPr="00D93FF9" w:rsidRDefault="00E811B8" w:rsidP="002F55F0">
            <w:pPr>
              <w:pStyle w:val="TableParagraph"/>
              <w:spacing w:before="0" w:after="0"/>
              <w:jc w:val="center"/>
              <w:rPr>
                <w:sz w:val="16"/>
              </w:rPr>
            </w:pPr>
            <w:r w:rsidRPr="00D93FF9">
              <w:rPr>
                <w:sz w:val="16"/>
                <w:lang w:val="en-GB"/>
              </w:rPr>
              <w:t>2.0</w:t>
            </w:r>
          </w:p>
        </w:tc>
        <w:tc>
          <w:tcPr>
            <w:tcW w:w="2097" w:type="dxa"/>
          </w:tcPr>
          <w:p w14:paraId="59DCCAB0" w14:textId="77777777" w:rsidR="00F84765" w:rsidRPr="00D93FF9" w:rsidRDefault="00E811B8" w:rsidP="002F55F0">
            <w:pPr>
              <w:pStyle w:val="TableParagraph"/>
              <w:spacing w:before="0" w:after="0"/>
              <w:jc w:val="center"/>
              <w:rPr>
                <w:sz w:val="16"/>
              </w:rPr>
            </w:pPr>
            <w:r w:rsidRPr="00D93FF9">
              <w:rPr>
                <w:sz w:val="16"/>
                <w:lang w:val="en-GB"/>
              </w:rPr>
              <w:t>4.0</w:t>
            </w:r>
          </w:p>
        </w:tc>
        <w:tc>
          <w:tcPr>
            <w:tcW w:w="985" w:type="dxa"/>
          </w:tcPr>
          <w:p w14:paraId="59DCCAB1" w14:textId="77777777" w:rsidR="00F84765" w:rsidRPr="00D93FF9" w:rsidRDefault="00E811B8" w:rsidP="002F55F0">
            <w:pPr>
              <w:pStyle w:val="TableParagraph"/>
              <w:spacing w:before="0" w:after="0"/>
              <w:jc w:val="center"/>
              <w:rPr>
                <w:sz w:val="16"/>
              </w:rPr>
            </w:pPr>
            <w:r w:rsidRPr="00D93FF9">
              <w:rPr>
                <w:sz w:val="16"/>
                <w:lang w:val="en-GB"/>
              </w:rPr>
              <w:t>4.5</w:t>
            </w:r>
          </w:p>
        </w:tc>
        <w:tc>
          <w:tcPr>
            <w:tcW w:w="1041" w:type="dxa"/>
          </w:tcPr>
          <w:p w14:paraId="59DCCAB2" w14:textId="77777777" w:rsidR="00F84765" w:rsidRPr="00D93FF9" w:rsidRDefault="00E811B8" w:rsidP="002F55F0">
            <w:pPr>
              <w:pStyle w:val="TableParagraph"/>
              <w:spacing w:before="0" w:after="0"/>
              <w:jc w:val="center"/>
              <w:rPr>
                <w:sz w:val="16"/>
              </w:rPr>
            </w:pPr>
            <w:r w:rsidRPr="00D93FF9">
              <w:rPr>
                <w:sz w:val="16"/>
                <w:lang w:val="en-GB"/>
              </w:rPr>
              <w:t>8.3</w:t>
            </w:r>
          </w:p>
        </w:tc>
        <w:tc>
          <w:tcPr>
            <w:tcW w:w="1135" w:type="dxa"/>
          </w:tcPr>
          <w:p w14:paraId="59DCCAB3" w14:textId="77777777" w:rsidR="00F84765" w:rsidRPr="00D93FF9" w:rsidRDefault="00E811B8" w:rsidP="002F55F0">
            <w:pPr>
              <w:pStyle w:val="TableParagraph"/>
              <w:spacing w:before="0" w:after="0"/>
              <w:jc w:val="center"/>
              <w:rPr>
                <w:sz w:val="16"/>
              </w:rPr>
            </w:pPr>
            <w:r w:rsidRPr="00D93FF9">
              <w:rPr>
                <w:sz w:val="16"/>
                <w:lang w:val="en-GB"/>
              </w:rPr>
              <w:t>14.5</w:t>
            </w:r>
          </w:p>
        </w:tc>
        <w:tc>
          <w:tcPr>
            <w:tcW w:w="1168" w:type="dxa"/>
          </w:tcPr>
          <w:p w14:paraId="59DCCAB4"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BE" w14:textId="77777777" w:rsidTr="002F55F0">
        <w:trPr>
          <w:trHeight w:val="228"/>
        </w:trPr>
        <w:tc>
          <w:tcPr>
            <w:tcW w:w="2147" w:type="dxa"/>
          </w:tcPr>
          <w:p w14:paraId="59DCCAB6" w14:textId="77777777" w:rsidR="00F84765" w:rsidRPr="00D93FF9" w:rsidRDefault="00E811B8" w:rsidP="00F84765">
            <w:pPr>
              <w:pStyle w:val="TableParagraph"/>
              <w:spacing w:before="0" w:after="0"/>
              <w:rPr>
                <w:sz w:val="16"/>
              </w:rPr>
            </w:pPr>
            <w:r w:rsidRPr="00D93FF9">
              <w:rPr>
                <w:sz w:val="16"/>
                <w:lang w:val="en-GB"/>
              </w:rPr>
              <w:t>Paspalum</w:t>
            </w:r>
          </w:p>
        </w:tc>
        <w:tc>
          <w:tcPr>
            <w:tcW w:w="2980" w:type="dxa"/>
          </w:tcPr>
          <w:p w14:paraId="59DCCAB7" w14:textId="77777777" w:rsidR="00F84765" w:rsidRPr="00D93FF9" w:rsidRDefault="00E811B8" w:rsidP="00F84765">
            <w:pPr>
              <w:pStyle w:val="TableParagraph"/>
              <w:spacing w:before="0" w:after="0"/>
              <w:rPr>
                <w:i/>
                <w:sz w:val="16"/>
              </w:rPr>
            </w:pPr>
            <w:r w:rsidRPr="00D93FF9">
              <w:rPr>
                <w:i/>
                <w:sz w:val="16"/>
                <w:lang w:val="en-GB"/>
              </w:rPr>
              <w:t>Paspalum dilatatum</w:t>
            </w:r>
          </w:p>
        </w:tc>
        <w:tc>
          <w:tcPr>
            <w:tcW w:w="1898" w:type="dxa"/>
          </w:tcPr>
          <w:p w14:paraId="59DCCAB8" w14:textId="77777777" w:rsidR="00F84765" w:rsidRPr="00D93FF9" w:rsidRDefault="00E811B8" w:rsidP="002F55F0">
            <w:pPr>
              <w:pStyle w:val="TableParagraph"/>
              <w:spacing w:before="0" w:after="0"/>
              <w:jc w:val="center"/>
              <w:rPr>
                <w:sz w:val="16"/>
              </w:rPr>
            </w:pPr>
            <w:r w:rsidRPr="00D93FF9">
              <w:rPr>
                <w:sz w:val="16"/>
                <w:lang w:val="en-GB"/>
              </w:rPr>
              <w:t>1.8</w:t>
            </w:r>
          </w:p>
        </w:tc>
        <w:tc>
          <w:tcPr>
            <w:tcW w:w="2097" w:type="dxa"/>
          </w:tcPr>
          <w:p w14:paraId="59DCCAB9" w14:textId="77777777" w:rsidR="00F84765" w:rsidRPr="00D93FF9" w:rsidRDefault="00E811B8" w:rsidP="002F55F0">
            <w:pPr>
              <w:pStyle w:val="TableParagraph"/>
              <w:spacing w:before="0" w:after="0"/>
              <w:jc w:val="center"/>
              <w:rPr>
                <w:sz w:val="16"/>
              </w:rPr>
            </w:pPr>
            <w:r w:rsidRPr="00D93FF9">
              <w:rPr>
                <w:sz w:val="16"/>
                <w:lang w:val="en-GB"/>
              </w:rPr>
              <w:t>9.0</w:t>
            </w:r>
          </w:p>
        </w:tc>
        <w:tc>
          <w:tcPr>
            <w:tcW w:w="985" w:type="dxa"/>
          </w:tcPr>
          <w:p w14:paraId="59DCCABA" w14:textId="77777777" w:rsidR="00F84765" w:rsidRPr="00D93FF9" w:rsidRDefault="00E811B8" w:rsidP="002F55F0">
            <w:pPr>
              <w:pStyle w:val="TableParagraph"/>
              <w:spacing w:before="0" w:after="0"/>
              <w:jc w:val="center"/>
              <w:rPr>
                <w:sz w:val="16"/>
              </w:rPr>
            </w:pPr>
            <w:r w:rsidRPr="00D93FF9">
              <w:rPr>
                <w:sz w:val="16"/>
                <w:lang w:val="en-GB"/>
              </w:rPr>
              <w:t>2.9</w:t>
            </w:r>
          </w:p>
        </w:tc>
        <w:tc>
          <w:tcPr>
            <w:tcW w:w="1041" w:type="dxa"/>
          </w:tcPr>
          <w:p w14:paraId="59DCCABB" w14:textId="77777777" w:rsidR="00F84765" w:rsidRPr="00D93FF9" w:rsidRDefault="00E811B8" w:rsidP="002F55F0">
            <w:pPr>
              <w:pStyle w:val="TableParagraph"/>
              <w:spacing w:before="0" w:after="0"/>
              <w:jc w:val="center"/>
              <w:rPr>
                <w:sz w:val="16"/>
              </w:rPr>
            </w:pPr>
            <w:r w:rsidRPr="00D93FF9">
              <w:rPr>
                <w:sz w:val="16"/>
                <w:lang w:val="en-GB"/>
              </w:rPr>
              <w:t>4.6</w:t>
            </w:r>
          </w:p>
        </w:tc>
        <w:tc>
          <w:tcPr>
            <w:tcW w:w="1135" w:type="dxa"/>
          </w:tcPr>
          <w:p w14:paraId="59DCCABC" w14:textId="77777777" w:rsidR="00F84765" w:rsidRPr="00D93FF9" w:rsidRDefault="00E811B8" w:rsidP="002F55F0">
            <w:pPr>
              <w:pStyle w:val="TableParagraph"/>
              <w:spacing w:before="0" w:after="0"/>
              <w:jc w:val="center"/>
              <w:rPr>
                <w:sz w:val="16"/>
              </w:rPr>
            </w:pPr>
            <w:r w:rsidRPr="00D93FF9">
              <w:rPr>
                <w:sz w:val="16"/>
                <w:lang w:val="en-GB"/>
              </w:rPr>
              <w:t>7.4</w:t>
            </w:r>
          </w:p>
        </w:tc>
        <w:tc>
          <w:tcPr>
            <w:tcW w:w="1168" w:type="dxa"/>
          </w:tcPr>
          <w:p w14:paraId="59DCCABD"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C7" w14:textId="77777777" w:rsidTr="002F55F0">
        <w:trPr>
          <w:trHeight w:val="228"/>
        </w:trPr>
        <w:tc>
          <w:tcPr>
            <w:tcW w:w="2147" w:type="dxa"/>
          </w:tcPr>
          <w:p w14:paraId="59DCCABF" w14:textId="77777777" w:rsidR="00F84765" w:rsidRPr="00D93FF9" w:rsidRDefault="00E811B8" w:rsidP="00F84765">
            <w:pPr>
              <w:pStyle w:val="TableParagraph"/>
              <w:spacing w:before="0" w:after="0"/>
              <w:rPr>
                <w:sz w:val="16"/>
              </w:rPr>
            </w:pPr>
            <w:r w:rsidRPr="00D93FF9">
              <w:rPr>
                <w:sz w:val="16"/>
                <w:lang w:val="en-GB"/>
              </w:rPr>
              <w:t>Phalaris</w:t>
            </w:r>
          </w:p>
        </w:tc>
        <w:tc>
          <w:tcPr>
            <w:tcW w:w="2980" w:type="dxa"/>
          </w:tcPr>
          <w:p w14:paraId="59DCCAC0" w14:textId="77777777" w:rsidR="00F84765" w:rsidRPr="00D93FF9" w:rsidRDefault="00E811B8" w:rsidP="00F84765">
            <w:pPr>
              <w:pStyle w:val="TableParagraph"/>
              <w:spacing w:before="0" w:after="0"/>
              <w:rPr>
                <w:i/>
                <w:sz w:val="16"/>
              </w:rPr>
            </w:pPr>
            <w:r w:rsidRPr="00D93FF9">
              <w:rPr>
                <w:i/>
                <w:sz w:val="16"/>
                <w:lang w:val="en-GB"/>
              </w:rPr>
              <w:t>Phalaris tuberosa (aquatica)</w:t>
            </w:r>
          </w:p>
        </w:tc>
        <w:tc>
          <w:tcPr>
            <w:tcW w:w="1898" w:type="dxa"/>
          </w:tcPr>
          <w:p w14:paraId="59DCCAC1" w14:textId="77777777" w:rsidR="00F84765" w:rsidRPr="00D93FF9" w:rsidRDefault="00E811B8" w:rsidP="002F55F0">
            <w:pPr>
              <w:pStyle w:val="TableParagraph"/>
              <w:spacing w:before="0" w:after="0"/>
              <w:jc w:val="center"/>
              <w:rPr>
                <w:sz w:val="16"/>
              </w:rPr>
            </w:pPr>
            <w:r w:rsidRPr="00D93FF9">
              <w:rPr>
                <w:sz w:val="16"/>
                <w:lang w:val="en-GB"/>
              </w:rPr>
              <w:t>4.2</w:t>
            </w:r>
          </w:p>
        </w:tc>
        <w:tc>
          <w:tcPr>
            <w:tcW w:w="2097" w:type="dxa"/>
          </w:tcPr>
          <w:p w14:paraId="59DCCAC2" w14:textId="77777777" w:rsidR="00F84765" w:rsidRPr="00D93FF9" w:rsidRDefault="00F84765" w:rsidP="002F55F0">
            <w:pPr>
              <w:pStyle w:val="TableParagraph"/>
              <w:spacing w:before="0" w:after="0"/>
              <w:jc w:val="center"/>
              <w:rPr>
                <w:sz w:val="16"/>
              </w:rPr>
            </w:pPr>
          </w:p>
        </w:tc>
        <w:tc>
          <w:tcPr>
            <w:tcW w:w="985" w:type="dxa"/>
          </w:tcPr>
          <w:p w14:paraId="59DCCAC3" w14:textId="77777777" w:rsidR="00F84765" w:rsidRPr="00D93FF9" w:rsidRDefault="00F84765" w:rsidP="002F55F0">
            <w:pPr>
              <w:pStyle w:val="TableParagraph"/>
              <w:spacing w:before="0" w:after="0"/>
              <w:jc w:val="center"/>
              <w:rPr>
                <w:sz w:val="16"/>
              </w:rPr>
            </w:pPr>
          </w:p>
        </w:tc>
        <w:tc>
          <w:tcPr>
            <w:tcW w:w="1041" w:type="dxa"/>
          </w:tcPr>
          <w:p w14:paraId="59DCCAC4" w14:textId="77777777" w:rsidR="00F84765" w:rsidRPr="00D93FF9" w:rsidRDefault="00F84765" w:rsidP="002F55F0">
            <w:pPr>
              <w:pStyle w:val="TableParagraph"/>
              <w:spacing w:before="0" w:after="0"/>
              <w:jc w:val="center"/>
              <w:rPr>
                <w:sz w:val="16"/>
              </w:rPr>
            </w:pPr>
          </w:p>
        </w:tc>
        <w:tc>
          <w:tcPr>
            <w:tcW w:w="1135" w:type="dxa"/>
          </w:tcPr>
          <w:p w14:paraId="59DCCAC5" w14:textId="77777777" w:rsidR="00F84765" w:rsidRPr="00D93FF9" w:rsidRDefault="00F84765" w:rsidP="002F55F0">
            <w:pPr>
              <w:pStyle w:val="TableParagraph"/>
              <w:spacing w:before="0" w:after="0"/>
              <w:jc w:val="center"/>
              <w:rPr>
                <w:sz w:val="16"/>
              </w:rPr>
            </w:pPr>
          </w:p>
        </w:tc>
        <w:tc>
          <w:tcPr>
            <w:tcW w:w="1168" w:type="dxa"/>
          </w:tcPr>
          <w:p w14:paraId="59DCCAC6" w14:textId="77777777" w:rsidR="00F84765" w:rsidRPr="00D93FF9" w:rsidRDefault="00E811B8" w:rsidP="002F55F0">
            <w:pPr>
              <w:pStyle w:val="TableParagraph"/>
              <w:spacing w:before="0" w:after="0"/>
              <w:jc w:val="center"/>
              <w:rPr>
                <w:sz w:val="16"/>
              </w:rPr>
            </w:pPr>
            <w:r w:rsidRPr="00D93FF9">
              <w:rPr>
                <w:sz w:val="16"/>
                <w:lang w:val="en-GB"/>
              </w:rPr>
              <w:t>6</w:t>
            </w:r>
          </w:p>
        </w:tc>
      </w:tr>
      <w:tr w:rsidR="00BE3AA8" w:rsidRPr="00D93FF9" w14:paraId="59DCCAD0" w14:textId="77777777" w:rsidTr="002F55F0">
        <w:trPr>
          <w:trHeight w:val="228"/>
        </w:trPr>
        <w:tc>
          <w:tcPr>
            <w:tcW w:w="2147" w:type="dxa"/>
          </w:tcPr>
          <w:p w14:paraId="59DCCAC8" w14:textId="77777777" w:rsidR="00F84765" w:rsidRPr="00D93FF9" w:rsidRDefault="00E811B8" w:rsidP="00F84765">
            <w:pPr>
              <w:pStyle w:val="TableParagraph"/>
              <w:spacing w:before="0" w:after="0"/>
              <w:rPr>
                <w:sz w:val="16"/>
              </w:rPr>
            </w:pPr>
            <w:r w:rsidRPr="00D93FF9">
              <w:rPr>
                <w:sz w:val="16"/>
                <w:lang w:val="en-GB"/>
              </w:rPr>
              <w:t>Rhodes grass, Pioneer</w:t>
            </w:r>
          </w:p>
        </w:tc>
        <w:tc>
          <w:tcPr>
            <w:tcW w:w="2980" w:type="dxa"/>
          </w:tcPr>
          <w:p w14:paraId="59DCCAC9" w14:textId="77777777" w:rsidR="00F84765" w:rsidRPr="00D93FF9" w:rsidRDefault="00E811B8" w:rsidP="00F84765">
            <w:pPr>
              <w:pStyle w:val="TableParagraph"/>
              <w:spacing w:before="0" w:after="0"/>
              <w:rPr>
                <w:i/>
                <w:sz w:val="16"/>
              </w:rPr>
            </w:pPr>
            <w:r w:rsidRPr="00D93FF9">
              <w:rPr>
                <w:i/>
                <w:sz w:val="16"/>
                <w:lang w:val="en-GB"/>
              </w:rPr>
              <w:t>Chloris gayana</w:t>
            </w:r>
          </w:p>
        </w:tc>
        <w:tc>
          <w:tcPr>
            <w:tcW w:w="1898" w:type="dxa"/>
          </w:tcPr>
          <w:p w14:paraId="59DCCACA" w14:textId="77777777" w:rsidR="00F84765" w:rsidRPr="00D93FF9" w:rsidRDefault="00E811B8" w:rsidP="002F55F0">
            <w:pPr>
              <w:pStyle w:val="TableParagraph"/>
              <w:spacing w:before="0" w:after="0"/>
              <w:jc w:val="center"/>
              <w:rPr>
                <w:sz w:val="16"/>
              </w:rPr>
            </w:pPr>
            <w:r w:rsidRPr="00D93FF9">
              <w:rPr>
                <w:sz w:val="16"/>
                <w:lang w:val="en-GB"/>
              </w:rPr>
              <w:t>7.0</w:t>
            </w:r>
          </w:p>
        </w:tc>
        <w:tc>
          <w:tcPr>
            <w:tcW w:w="2097" w:type="dxa"/>
          </w:tcPr>
          <w:p w14:paraId="59DCCACB" w14:textId="77777777" w:rsidR="00F84765" w:rsidRPr="00D93FF9" w:rsidRDefault="00E811B8" w:rsidP="002F55F0">
            <w:pPr>
              <w:pStyle w:val="TableParagraph"/>
              <w:spacing w:before="0" w:after="0"/>
              <w:jc w:val="center"/>
              <w:rPr>
                <w:sz w:val="16"/>
              </w:rPr>
            </w:pPr>
            <w:r w:rsidRPr="00D93FF9">
              <w:rPr>
                <w:sz w:val="16"/>
                <w:lang w:val="en-GB"/>
              </w:rPr>
              <w:t>3.2</w:t>
            </w:r>
          </w:p>
        </w:tc>
        <w:tc>
          <w:tcPr>
            <w:tcW w:w="985" w:type="dxa"/>
          </w:tcPr>
          <w:p w14:paraId="59DCCACC" w14:textId="77777777" w:rsidR="00F84765" w:rsidRPr="00D93FF9" w:rsidRDefault="00E811B8" w:rsidP="002F55F0">
            <w:pPr>
              <w:pStyle w:val="TableParagraph"/>
              <w:spacing w:before="0" w:after="0"/>
              <w:jc w:val="center"/>
              <w:rPr>
                <w:sz w:val="16"/>
              </w:rPr>
            </w:pPr>
            <w:r w:rsidRPr="00D93FF9">
              <w:rPr>
                <w:sz w:val="16"/>
                <w:lang w:val="en-GB"/>
              </w:rPr>
              <w:t>10.1</w:t>
            </w:r>
          </w:p>
        </w:tc>
        <w:tc>
          <w:tcPr>
            <w:tcW w:w="1041" w:type="dxa"/>
          </w:tcPr>
          <w:p w14:paraId="59DCCACD" w14:textId="77777777" w:rsidR="00F84765" w:rsidRPr="00D93FF9" w:rsidRDefault="00E811B8" w:rsidP="002F55F0">
            <w:pPr>
              <w:pStyle w:val="TableParagraph"/>
              <w:spacing w:before="0" w:after="0"/>
              <w:jc w:val="center"/>
              <w:rPr>
                <w:sz w:val="16"/>
              </w:rPr>
            </w:pPr>
            <w:r w:rsidRPr="00D93FF9">
              <w:rPr>
                <w:sz w:val="16"/>
                <w:lang w:val="en-GB"/>
              </w:rPr>
              <w:t>14.8</w:t>
            </w:r>
          </w:p>
        </w:tc>
        <w:tc>
          <w:tcPr>
            <w:tcW w:w="1135" w:type="dxa"/>
          </w:tcPr>
          <w:p w14:paraId="59DCCACE" w14:textId="77777777" w:rsidR="00F84765" w:rsidRPr="00D93FF9" w:rsidRDefault="00E811B8" w:rsidP="002F55F0">
            <w:pPr>
              <w:pStyle w:val="TableParagraph"/>
              <w:spacing w:before="0" w:after="0"/>
              <w:jc w:val="center"/>
              <w:rPr>
                <w:sz w:val="16"/>
              </w:rPr>
            </w:pPr>
            <w:r w:rsidRPr="00D93FF9">
              <w:rPr>
                <w:sz w:val="16"/>
                <w:lang w:val="en-GB"/>
              </w:rPr>
              <w:t>22.6</w:t>
            </w:r>
          </w:p>
        </w:tc>
        <w:tc>
          <w:tcPr>
            <w:tcW w:w="1168" w:type="dxa"/>
          </w:tcPr>
          <w:p w14:paraId="59DCCACF"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D9" w14:textId="77777777" w:rsidTr="002F55F0">
        <w:trPr>
          <w:trHeight w:val="228"/>
        </w:trPr>
        <w:tc>
          <w:tcPr>
            <w:tcW w:w="2147" w:type="dxa"/>
          </w:tcPr>
          <w:p w14:paraId="59DCCAD1" w14:textId="77777777" w:rsidR="00F84765" w:rsidRPr="00D93FF9" w:rsidRDefault="00E811B8" w:rsidP="00F84765">
            <w:pPr>
              <w:pStyle w:val="TableParagraph"/>
              <w:spacing w:before="0" w:after="0"/>
              <w:rPr>
                <w:sz w:val="16"/>
              </w:rPr>
            </w:pPr>
            <w:r w:rsidRPr="00D93FF9">
              <w:rPr>
                <w:sz w:val="16"/>
                <w:lang w:val="en-GB"/>
              </w:rPr>
              <w:t>Sesbania</w:t>
            </w:r>
          </w:p>
        </w:tc>
        <w:tc>
          <w:tcPr>
            <w:tcW w:w="2980" w:type="dxa"/>
          </w:tcPr>
          <w:p w14:paraId="59DCCAD2" w14:textId="77777777" w:rsidR="00F84765" w:rsidRPr="00D93FF9" w:rsidRDefault="00E811B8" w:rsidP="00F84765">
            <w:pPr>
              <w:pStyle w:val="TableParagraph"/>
              <w:spacing w:before="0" w:after="0"/>
              <w:rPr>
                <w:i/>
                <w:sz w:val="16"/>
              </w:rPr>
            </w:pPr>
            <w:r w:rsidRPr="00D93FF9">
              <w:rPr>
                <w:i/>
                <w:sz w:val="16"/>
                <w:lang w:val="en-GB"/>
              </w:rPr>
              <w:t>Sesbania exaltata</w:t>
            </w:r>
          </w:p>
        </w:tc>
        <w:tc>
          <w:tcPr>
            <w:tcW w:w="1898" w:type="dxa"/>
          </w:tcPr>
          <w:p w14:paraId="59DCCAD3" w14:textId="77777777" w:rsidR="00F84765" w:rsidRPr="00D93FF9" w:rsidRDefault="00E811B8" w:rsidP="002F55F0">
            <w:pPr>
              <w:pStyle w:val="TableParagraph"/>
              <w:spacing w:before="0" w:after="0"/>
              <w:jc w:val="center"/>
              <w:rPr>
                <w:sz w:val="16"/>
              </w:rPr>
            </w:pPr>
            <w:r w:rsidRPr="00D93FF9">
              <w:rPr>
                <w:sz w:val="16"/>
                <w:lang w:val="en-GB"/>
              </w:rPr>
              <w:t>2.3</w:t>
            </w:r>
          </w:p>
        </w:tc>
        <w:tc>
          <w:tcPr>
            <w:tcW w:w="2097" w:type="dxa"/>
          </w:tcPr>
          <w:p w14:paraId="59DCCAD4" w14:textId="77777777" w:rsidR="00F84765" w:rsidRPr="00D93FF9" w:rsidRDefault="00E811B8" w:rsidP="002F55F0">
            <w:pPr>
              <w:pStyle w:val="TableParagraph"/>
              <w:spacing w:before="0" w:after="0"/>
              <w:jc w:val="center"/>
              <w:rPr>
                <w:sz w:val="16"/>
              </w:rPr>
            </w:pPr>
            <w:r w:rsidRPr="00D93FF9">
              <w:rPr>
                <w:sz w:val="16"/>
                <w:lang w:val="en-GB"/>
              </w:rPr>
              <w:t>7.0</w:t>
            </w:r>
          </w:p>
        </w:tc>
        <w:tc>
          <w:tcPr>
            <w:tcW w:w="985" w:type="dxa"/>
          </w:tcPr>
          <w:p w14:paraId="59DCCAD5" w14:textId="77777777" w:rsidR="00F84765" w:rsidRPr="00D93FF9" w:rsidRDefault="00E811B8" w:rsidP="002F55F0">
            <w:pPr>
              <w:pStyle w:val="TableParagraph"/>
              <w:spacing w:before="0" w:after="0"/>
              <w:jc w:val="center"/>
              <w:rPr>
                <w:sz w:val="16"/>
              </w:rPr>
            </w:pPr>
            <w:r w:rsidRPr="00D93FF9">
              <w:rPr>
                <w:sz w:val="16"/>
                <w:lang w:val="en-GB"/>
              </w:rPr>
              <w:t>3.7</w:t>
            </w:r>
          </w:p>
        </w:tc>
        <w:tc>
          <w:tcPr>
            <w:tcW w:w="1041" w:type="dxa"/>
          </w:tcPr>
          <w:p w14:paraId="59DCCAD6" w14:textId="77777777" w:rsidR="00F84765" w:rsidRPr="00D93FF9" w:rsidRDefault="00E811B8" w:rsidP="002F55F0">
            <w:pPr>
              <w:pStyle w:val="TableParagraph"/>
              <w:spacing w:before="0" w:after="0"/>
              <w:jc w:val="center"/>
              <w:rPr>
                <w:sz w:val="16"/>
              </w:rPr>
            </w:pPr>
            <w:r w:rsidRPr="00D93FF9">
              <w:rPr>
                <w:sz w:val="16"/>
                <w:lang w:val="en-GB"/>
              </w:rPr>
              <w:t>5.9</w:t>
            </w:r>
          </w:p>
        </w:tc>
        <w:tc>
          <w:tcPr>
            <w:tcW w:w="1135" w:type="dxa"/>
          </w:tcPr>
          <w:p w14:paraId="59DCCAD7" w14:textId="77777777" w:rsidR="00F84765" w:rsidRPr="00D93FF9" w:rsidRDefault="00E811B8" w:rsidP="002F55F0">
            <w:pPr>
              <w:pStyle w:val="TableParagraph"/>
              <w:spacing w:before="0" w:after="0"/>
              <w:jc w:val="center"/>
              <w:rPr>
                <w:sz w:val="16"/>
              </w:rPr>
            </w:pPr>
            <w:r w:rsidRPr="00D93FF9">
              <w:rPr>
                <w:sz w:val="16"/>
                <w:lang w:val="en-GB"/>
              </w:rPr>
              <w:t>9.4</w:t>
            </w:r>
          </w:p>
        </w:tc>
        <w:tc>
          <w:tcPr>
            <w:tcW w:w="1168" w:type="dxa"/>
          </w:tcPr>
          <w:p w14:paraId="59DCCAD8" w14:textId="77777777" w:rsidR="00F84765" w:rsidRPr="00D93FF9" w:rsidRDefault="00E811B8" w:rsidP="002F55F0">
            <w:pPr>
              <w:pStyle w:val="TableParagraph"/>
              <w:spacing w:before="0" w:after="0"/>
              <w:jc w:val="center"/>
              <w:rPr>
                <w:sz w:val="16"/>
              </w:rPr>
            </w:pPr>
            <w:r w:rsidRPr="00D93FF9">
              <w:rPr>
                <w:sz w:val="16"/>
                <w:lang w:val="en-GB"/>
              </w:rPr>
              <w:t>1</w:t>
            </w:r>
          </w:p>
        </w:tc>
      </w:tr>
      <w:tr w:rsidR="00BE3AA8" w:rsidRPr="00D93FF9" w14:paraId="59DCCAE2" w14:textId="77777777" w:rsidTr="002F55F0">
        <w:trPr>
          <w:trHeight w:val="228"/>
        </w:trPr>
        <w:tc>
          <w:tcPr>
            <w:tcW w:w="2147" w:type="dxa"/>
          </w:tcPr>
          <w:p w14:paraId="59DCCADA" w14:textId="77777777" w:rsidR="00F84765" w:rsidRPr="00D93FF9" w:rsidRDefault="00E811B8" w:rsidP="00F84765">
            <w:pPr>
              <w:pStyle w:val="TableParagraph"/>
              <w:spacing w:before="0" w:after="0"/>
              <w:rPr>
                <w:sz w:val="16"/>
              </w:rPr>
            </w:pPr>
            <w:r w:rsidRPr="00D93FF9">
              <w:rPr>
                <w:sz w:val="16"/>
                <w:lang w:val="en-GB"/>
              </w:rPr>
              <w:t>Setaria, Nandi</w:t>
            </w:r>
          </w:p>
        </w:tc>
        <w:tc>
          <w:tcPr>
            <w:tcW w:w="2980" w:type="dxa"/>
          </w:tcPr>
          <w:p w14:paraId="59DCCADB" w14:textId="77777777" w:rsidR="00F84765" w:rsidRPr="00D93FF9" w:rsidRDefault="00E811B8" w:rsidP="00F84765">
            <w:pPr>
              <w:pStyle w:val="TableParagraph"/>
              <w:spacing w:before="0" w:after="0"/>
              <w:rPr>
                <w:i/>
                <w:sz w:val="16"/>
              </w:rPr>
            </w:pPr>
            <w:r w:rsidRPr="00D93FF9">
              <w:rPr>
                <w:i/>
                <w:sz w:val="16"/>
                <w:lang w:val="en-GB"/>
              </w:rPr>
              <w:t xml:space="preserve">Setaria speculata </w:t>
            </w:r>
            <w:r w:rsidRPr="00D93FF9">
              <w:rPr>
                <w:sz w:val="16"/>
                <w:lang w:val="en-GB"/>
              </w:rPr>
              <w:t xml:space="preserve">var </w:t>
            </w:r>
            <w:r w:rsidRPr="00D93FF9">
              <w:rPr>
                <w:i/>
                <w:sz w:val="16"/>
                <w:lang w:val="en-GB"/>
              </w:rPr>
              <w:t>sericea</w:t>
            </w:r>
          </w:p>
        </w:tc>
        <w:tc>
          <w:tcPr>
            <w:tcW w:w="1898" w:type="dxa"/>
          </w:tcPr>
          <w:p w14:paraId="59DCCADC" w14:textId="77777777" w:rsidR="00F84765" w:rsidRPr="00D93FF9" w:rsidRDefault="00E811B8" w:rsidP="002F55F0">
            <w:pPr>
              <w:pStyle w:val="TableParagraph"/>
              <w:spacing w:before="0" w:after="0"/>
              <w:jc w:val="center"/>
              <w:rPr>
                <w:sz w:val="16"/>
              </w:rPr>
            </w:pPr>
            <w:r w:rsidRPr="00D93FF9">
              <w:rPr>
                <w:sz w:val="16"/>
                <w:lang w:val="en-GB"/>
              </w:rPr>
              <w:t>2.4</w:t>
            </w:r>
          </w:p>
        </w:tc>
        <w:tc>
          <w:tcPr>
            <w:tcW w:w="2097" w:type="dxa"/>
          </w:tcPr>
          <w:p w14:paraId="59DCCADD" w14:textId="77777777" w:rsidR="00F84765" w:rsidRPr="00D93FF9" w:rsidRDefault="00E811B8" w:rsidP="002F55F0">
            <w:pPr>
              <w:pStyle w:val="TableParagraph"/>
              <w:spacing w:before="0" w:after="0"/>
              <w:jc w:val="center"/>
              <w:rPr>
                <w:sz w:val="16"/>
              </w:rPr>
            </w:pPr>
            <w:r w:rsidRPr="00D93FF9">
              <w:rPr>
                <w:sz w:val="16"/>
                <w:lang w:val="en-GB"/>
              </w:rPr>
              <w:t>12.2</w:t>
            </w:r>
          </w:p>
        </w:tc>
        <w:tc>
          <w:tcPr>
            <w:tcW w:w="985" w:type="dxa"/>
          </w:tcPr>
          <w:p w14:paraId="59DCCADE" w14:textId="77777777" w:rsidR="00F84765" w:rsidRPr="00D93FF9" w:rsidRDefault="00E811B8" w:rsidP="002F55F0">
            <w:pPr>
              <w:pStyle w:val="TableParagraph"/>
              <w:spacing w:before="0" w:after="0"/>
              <w:jc w:val="center"/>
              <w:rPr>
                <w:sz w:val="16"/>
              </w:rPr>
            </w:pPr>
            <w:r w:rsidRPr="00D93FF9">
              <w:rPr>
                <w:sz w:val="16"/>
                <w:lang w:val="en-GB"/>
              </w:rPr>
              <w:t>3.2</w:t>
            </w:r>
          </w:p>
        </w:tc>
        <w:tc>
          <w:tcPr>
            <w:tcW w:w="1041" w:type="dxa"/>
          </w:tcPr>
          <w:p w14:paraId="59DCCADF" w14:textId="77777777" w:rsidR="00F84765" w:rsidRPr="00D93FF9" w:rsidRDefault="00E811B8" w:rsidP="002F55F0">
            <w:pPr>
              <w:pStyle w:val="TableParagraph"/>
              <w:spacing w:before="0" w:after="0"/>
              <w:jc w:val="center"/>
              <w:rPr>
                <w:sz w:val="16"/>
              </w:rPr>
            </w:pPr>
            <w:r w:rsidRPr="00D93FF9">
              <w:rPr>
                <w:sz w:val="16"/>
                <w:lang w:val="en-GB"/>
              </w:rPr>
              <w:t>4.5</w:t>
            </w:r>
          </w:p>
        </w:tc>
        <w:tc>
          <w:tcPr>
            <w:tcW w:w="1135" w:type="dxa"/>
          </w:tcPr>
          <w:p w14:paraId="59DCCAE0" w14:textId="77777777" w:rsidR="00F84765" w:rsidRPr="00D93FF9" w:rsidRDefault="00E811B8" w:rsidP="002F55F0">
            <w:pPr>
              <w:pStyle w:val="TableParagraph"/>
              <w:spacing w:before="0" w:after="0"/>
              <w:jc w:val="center"/>
              <w:rPr>
                <w:sz w:val="16"/>
              </w:rPr>
            </w:pPr>
            <w:r w:rsidRPr="00D93FF9">
              <w:rPr>
                <w:sz w:val="16"/>
                <w:lang w:val="en-GB"/>
              </w:rPr>
              <w:t>6.5</w:t>
            </w:r>
          </w:p>
        </w:tc>
        <w:tc>
          <w:tcPr>
            <w:tcW w:w="1168" w:type="dxa"/>
          </w:tcPr>
          <w:p w14:paraId="59DCCAE1"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EB" w14:textId="77777777" w:rsidTr="002F55F0">
        <w:trPr>
          <w:trHeight w:val="228"/>
        </w:trPr>
        <w:tc>
          <w:tcPr>
            <w:tcW w:w="2147" w:type="dxa"/>
          </w:tcPr>
          <w:p w14:paraId="59DCCAE3" w14:textId="77777777" w:rsidR="00F84765" w:rsidRPr="00D93FF9" w:rsidRDefault="00E811B8" w:rsidP="00F84765">
            <w:pPr>
              <w:pStyle w:val="TableParagraph"/>
              <w:spacing w:before="0" w:after="0"/>
              <w:rPr>
                <w:sz w:val="16"/>
              </w:rPr>
            </w:pPr>
            <w:r w:rsidRPr="00D93FF9">
              <w:rPr>
                <w:sz w:val="16"/>
                <w:lang w:val="en-GB"/>
              </w:rPr>
              <w:t>Siratro</w:t>
            </w:r>
          </w:p>
        </w:tc>
        <w:tc>
          <w:tcPr>
            <w:tcW w:w="2980" w:type="dxa"/>
          </w:tcPr>
          <w:p w14:paraId="59DCCAE4" w14:textId="77777777" w:rsidR="00F84765" w:rsidRPr="00D93FF9" w:rsidRDefault="00E811B8" w:rsidP="00F84765">
            <w:pPr>
              <w:pStyle w:val="TableParagraph"/>
              <w:spacing w:before="0" w:after="0"/>
              <w:rPr>
                <w:i/>
                <w:sz w:val="16"/>
              </w:rPr>
            </w:pPr>
            <w:r w:rsidRPr="00D93FF9">
              <w:rPr>
                <w:i/>
                <w:sz w:val="16"/>
                <w:lang w:val="en-GB"/>
              </w:rPr>
              <w:t>Macroptilium atropurpureum</w:t>
            </w:r>
          </w:p>
        </w:tc>
        <w:tc>
          <w:tcPr>
            <w:tcW w:w="1898" w:type="dxa"/>
          </w:tcPr>
          <w:p w14:paraId="59DCCAE5" w14:textId="77777777" w:rsidR="00F84765" w:rsidRPr="00D93FF9" w:rsidRDefault="00E811B8" w:rsidP="002F55F0">
            <w:pPr>
              <w:pStyle w:val="TableParagraph"/>
              <w:spacing w:before="0" w:after="0"/>
              <w:jc w:val="center"/>
              <w:rPr>
                <w:sz w:val="16"/>
              </w:rPr>
            </w:pPr>
            <w:r w:rsidRPr="00D93FF9">
              <w:rPr>
                <w:sz w:val="16"/>
                <w:lang w:val="en-GB"/>
              </w:rPr>
              <w:t>2.0</w:t>
            </w:r>
          </w:p>
        </w:tc>
        <w:tc>
          <w:tcPr>
            <w:tcW w:w="2097" w:type="dxa"/>
          </w:tcPr>
          <w:p w14:paraId="59DCCAE6" w14:textId="77777777" w:rsidR="00F84765" w:rsidRPr="00D93FF9" w:rsidRDefault="00E811B8" w:rsidP="002F55F0">
            <w:pPr>
              <w:pStyle w:val="TableParagraph"/>
              <w:spacing w:before="0" w:after="0"/>
              <w:jc w:val="center"/>
              <w:rPr>
                <w:sz w:val="16"/>
              </w:rPr>
            </w:pPr>
            <w:r w:rsidRPr="00D93FF9">
              <w:rPr>
                <w:sz w:val="16"/>
                <w:lang w:val="en-GB"/>
              </w:rPr>
              <w:t>7.9</w:t>
            </w:r>
          </w:p>
        </w:tc>
        <w:tc>
          <w:tcPr>
            <w:tcW w:w="985" w:type="dxa"/>
          </w:tcPr>
          <w:p w14:paraId="59DCCAE7" w14:textId="77777777" w:rsidR="00F84765" w:rsidRPr="00D93FF9" w:rsidRDefault="00E811B8" w:rsidP="002F55F0">
            <w:pPr>
              <w:pStyle w:val="TableParagraph"/>
              <w:spacing w:before="0" w:after="0"/>
              <w:jc w:val="center"/>
              <w:rPr>
                <w:sz w:val="16"/>
              </w:rPr>
            </w:pPr>
            <w:r w:rsidRPr="00D93FF9">
              <w:rPr>
                <w:sz w:val="16"/>
                <w:lang w:val="en-GB"/>
              </w:rPr>
              <w:t>3.3</w:t>
            </w:r>
          </w:p>
        </w:tc>
        <w:tc>
          <w:tcPr>
            <w:tcW w:w="1041" w:type="dxa"/>
          </w:tcPr>
          <w:p w14:paraId="59DCCAE8" w14:textId="77777777" w:rsidR="00F84765" w:rsidRPr="00D93FF9" w:rsidRDefault="00E811B8" w:rsidP="002F55F0">
            <w:pPr>
              <w:pStyle w:val="TableParagraph"/>
              <w:spacing w:before="0" w:after="0"/>
              <w:jc w:val="center"/>
              <w:rPr>
                <w:sz w:val="16"/>
              </w:rPr>
            </w:pPr>
            <w:r w:rsidRPr="00D93FF9">
              <w:rPr>
                <w:sz w:val="16"/>
                <w:lang w:val="en-GB"/>
              </w:rPr>
              <w:t>5.2</w:t>
            </w:r>
          </w:p>
        </w:tc>
        <w:tc>
          <w:tcPr>
            <w:tcW w:w="1135" w:type="dxa"/>
          </w:tcPr>
          <w:p w14:paraId="59DCCAE9" w14:textId="77777777" w:rsidR="00F84765" w:rsidRPr="00D93FF9" w:rsidRDefault="00E811B8" w:rsidP="002F55F0">
            <w:pPr>
              <w:pStyle w:val="TableParagraph"/>
              <w:spacing w:before="0" w:after="0"/>
              <w:jc w:val="center"/>
              <w:rPr>
                <w:sz w:val="16"/>
              </w:rPr>
            </w:pPr>
            <w:r w:rsidRPr="00D93FF9">
              <w:rPr>
                <w:sz w:val="16"/>
                <w:lang w:val="en-GB"/>
              </w:rPr>
              <w:t>8.3</w:t>
            </w:r>
          </w:p>
        </w:tc>
        <w:tc>
          <w:tcPr>
            <w:tcW w:w="1168" w:type="dxa"/>
          </w:tcPr>
          <w:p w14:paraId="59DCCAEA"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F4" w14:textId="77777777" w:rsidTr="002F55F0">
        <w:trPr>
          <w:trHeight w:val="228"/>
        </w:trPr>
        <w:tc>
          <w:tcPr>
            <w:tcW w:w="2147" w:type="dxa"/>
          </w:tcPr>
          <w:p w14:paraId="59DCCAEC" w14:textId="77777777" w:rsidR="00F84765" w:rsidRPr="00D93FF9" w:rsidRDefault="00E811B8" w:rsidP="00F84765">
            <w:pPr>
              <w:pStyle w:val="TableParagraph"/>
              <w:spacing w:before="0" w:after="0"/>
              <w:rPr>
                <w:sz w:val="16"/>
              </w:rPr>
            </w:pPr>
            <w:r w:rsidRPr="00D93FF9">
              <w:rPr>
                <w:sz w:val="16"/>
                <w:lang w:val="en-GB"/>
              </w:rPr>
              <w:t>Snail medic</w:t>
            </w:r>
          </w:p>
        </w:tc>
        <w:tc>
          <w:tcPr>
            <w:tcW w:w="2980" w:type="dxa"/>
          </w:tcPr>
          <w:p w14:paraId="59DCCAED" w14:textId="77777777" w:rsidR="00F84765" w:rsidRPr="00D93FF9" w:rsidRDefault="00E811B8" w:rsidP="00F84765">
            <w:pPr>
              <w:pStyle w:val="TableParagraph"/>
              <w:spacing w:before="0" w:after="0"/>
              <w:rPr>
                <w:i/>
                <w:sz w:val="16"/>
              </w:rPr>
            </w:pPr>
            <w:r w:rsidRPr="00D93FF9">
              <w:rPr>
                <w:i/>
                <w:sz w:val="16"/>
                <w:lang w:val="en-GB"/>
              </w:rPr>
              <w:t>Medicago scutellata</w:t>
            </w:r>
          </w:p>
        </w:tc>
        <w:tc>
          <w:tcPr>
            <w:tcW w:w="1898" w:type="dxa"/>
          </w:tcPr>
          <w:p w14:paraId="59DCCAEE" w14:textId="77777777" w:rsidR="00F84765" w:rsidRPr="00D93FF9" w:rsidRDefault="00E811B8" w:rsidP="002F55F0">
            <w:pPr>
              <w:pStyle w:val="TableParagraph"/>
              <w:spacing w:before="0" w:after="0"/>
              <w:jc w:val="center"/>
              <w:rPr>
                <w:sz w:val="16"/>
              </w:rPr>
            </w:pPr>
            <w:r w:rsidRPr="00D93FF9">
              <w:rPr>
                <w:sz w:val="16"/>
                <w:lang w:val="en-GB"/>
              </w:rPr>
              <w:t>1.5</w:t>
            </w:r>
          </w:p>
        </w:tc>
        <w:tc>
          <w:tcPr>
            <w:tcW w:w="2097" w:type="dxa"/>
          </w:tcPr>
          <w:p w14:paraId="59DCCAEF" w14:textId="77777777" w:rsidR="00F84765" w:rsidRPr="00D93FF9" w:rsidRDefault="00E811B8" w:rsidP="002F55F0">
            <w:pPr>
              <w:pStyle w:val="TableParagraph"/>
              <w:spacing w:before="0" w:after="0"/>
              <w:jc w:val="center"/>
              <w:rPr>
                <w:sz w:val="16"/>
              </w:rPr>
            </w:pPr>
            <w:r w:rsidRPr="00D93FF9">
              <w:rPr>
                <w:sz w:val="16"/>
                <w:lang w:val="en-GB"/>
              </w:rPr>
              <w:t>12.9</w:t>
            </w:r>
          </w:p>
        </w:tc>
        <w:tc>
          <w:tcPr>
            <w:tcW w:w="985" w:type="dxa"/>
          </w:tcPr>
          <w:p w14:paraId="59DCCAF0" w14:textId="77777777" w:rsidR="00F84765" w:rsidRPr="00D93FF9" w:rsidRDefault="00E811B8" w:rsidP="002F55F0">
            <w:pPr>
              <w:pStyle w:val="TableParagraph"/>
              <w:spacing w:before="0" w:after="0"/>
              <w:jc w:val="center"/>
              <w:rPr>
                <w:sz w:val="16"/>
              </w:rPr>
            </w:pPr>
            <w:r w:rsidRPr="00D93FF9">
              <w:rPr>
                <w:sz w:val="16"/>
                <w:lang w:val="en-GB"/>
              </w:rPr>
              <w:t>2.3</w:t>
            </w:r>
          </w:p>
        </w:tc>
        <w:tc>
          <w:tcPr>
            <w:tcW w:w="1041" w:type="dxa"/>
          </w:tcPr>
          <w:p w14:paraId="59DCCAF1" w14:textId="77777777" w:rsidR="00F84765" w:rsidRPr="00D93FF9" w:rsidRDefault="00E811B8" w:rsidP="002F55F0">
            <w:pPr>
              <w:pStyle w:val="TableParagraph"/>
              <w:spacing w:before="0" w:after="0"/>
              <w:jc w:val="center"/>
              <w:rPr>
                <w:sz w:val="16"/>
              </w:rPr>
            </w:pPr>
            <w:r w:rsidRPr="00D93FF9">
              <w:rPr>
                <w:sz w:val="16"/>
                <w:lang w:val="en-GB"/>
              </w:rPr>
              <w:t>3.4</w:t>
            </w:r>
          </w:p>
        </w:tc>
        <w:tc>
          <w:tcPr>
            <w:tcW w:w="1135" w:type="dxa"/>
          </w:tcPr>
          <w:p w14:paraId="59DCCAF2" w14:textId="77777777" w:rsidR="00F84765" w:rsidRPr="00D93FF9" w:rsidRDefault="00E811B8" w:rsidP="002F55F0">
            <w:pPr>
              <w:pStyle w:val="TableParagraph"/>
              <w:spacing w:before="0" w:after="0"/>
              <w:jc w:val="center"/>
              <w:rPr>
                <w:sz w:val="16"/>
              </w:rPr>
            </w:pPr>
            <w:r w:rsidRPr="00D93FF9">
              <w:rPr>
                <w:sz w:val="16"/>
                <w:lang w:val="en-GB"/>
              </w:rPr>
              <w:t>5.4</w:t>
            </w:r>
          </w:p>
        </w:tc>
        <w:tc>
          <w:tcPr>
            <w:tcW w:w="1168" w:type="dxa"/>
          </w:tcPr>
          <w:p w14:paraId="59DCCAF3" w14:textId="77777777" w:rsidR="00F84765" w:rsidRPr="00D93FF9" w:rsidRDefault="00E811B8" w:rsidP="002F55F0">
            <w:pPr>
              <w:pStyle w:val="TableParagraph"/>
              <w:spacing w:before="0" w:after="0"/>
              <w:jc w:val="center"/>
              <w:rPr>
                <w:sz w:val="16"/>
              </w:rPr>
            </w:pPr>
            <w:r w:rsidRPr="00D93FF9">
              <w:rPr>
                <w:sz w:val="16"/>
                <w:lang w:val="en-GB"/>
              </w:rPr>
              <w:t>3</w:t>
            </w:r>
          </w:p>
        </w:tc>
      </w:tr>
      <w:tr w:rsidR="00BE3AA8" w:rsidRPr="00D93FF9" w14:paraId="59DCCAFD" w14:textId="77777777" w:rsidTr="002F55F0">
        <w:trPr>
          <w:trHeight w:val="228"/>
        </w:trPr>
        <w:tc>
          <w:tcPr>
            <w:tcW w:w="2147" w:type="dxa"/>
          </w:tcPr>
          <w:p w14:paraId="59DCCAF5" w14:textId="77777777" w:rsidR="00F84765" w:rsidRPr="00D93FF9" w:rsidRDefault="00E811B8" w:rsidP="00F84765">
            <w:pPr>
              <w:pStyle w:val="TableParagraph"/>
              <w:spacing w:before="0" w:after="0"/>
              <w:rPr>
                <w:sz w:val="16"/>
                <w:lang w:val="en-GB"/>
              </w:rPr>
            </w:pPr>
            <w:r w:rsidRPr="00D93FF9">
              <w:rPr>
                <w:sz w:val="16"/>
                <w:lang w:val="en-GB"/>
              </w:rPr>
              <w:t>Strand medic</w:t>
            </w:r>
          </w:p>
        </w:tc>
        <w:tc>
          <w:tcPr>
            <w:tcW w:w="2980" w:type="dxa"/>
          </w:tcPr>
          <w:p w14:paraId="59DCCAF6" w14:textId="77777777" w:rsidR="00F84765" w:rsidRPr="00D93FF9" w:rsidRDefault="00E811B8" w:rsidP="00F84765">
            <w:pPr>
              <w:pStyle w:val="TableParagraph"/>
              <w:spacing w:before="0" w:after="0"/>
              <w:rPr>
                <w:i/>
                <w:sz w:val="16"/>
                <w:lang w:val="en-GB"/>
              </w:rPr>
            </w:pPr>
            <w:r w:rsidRPr="00D93FF9">
              <w:rPr>
                <w:i/>
                <w:sz w:val="16"/>
                <w:lang w:val="en-GB"/>
              </w:rPr>
              <w:t>Medicago littoralis</w:t>
            </w:r>
          </w:p>
        </w:tc>
        <w:tc>
          <w:tcPr>
            <w:tcW w:w="1898" w:type="dxa"/>
          </w:tcPr>
          <w:p w14:paraId="59DCCAF7" w14:textId="77777777" w:rsidR="00F84765" w:rsidRPr="00D93FF9" w:rsidRDefault="00E811B8" w:rsidP="002F55F0">
            <w:pPr>
              <w:pStyle w:val="TableParagraph"/>
              <w:spacing w:before="0" w:after="0"/>
              <w:jc w:val="center"/>
              <w:rPr>
                <w:sz w:val="16"/>
                <w:lang w:val="en-GB"/>
              </w:rPr>
            </w:pPr>
            <w:r w:rsidRPr="00D93FF9">
              <w:rPr>
                <w:sz w:val="16"/>
                <w:lang w:val="en-GB"/>
              </w:rPr>
              <w:t>1.5</w:t>
            </w:r>
          </w:p>
        </w:tc>
        <w:tc>
          <w:tcPr>
            <w:tcW w:w="2097" w:type="dxa"/>
          </w:tcPr>
          <w:p w14:paraId="59DCCAF8" w14:textId="77777777" w:rsidR="00F84765" w:rsidRPr="00D93FF9" w:rsidRDefault="00E811B8" w:rsidP="002F55F0">
            <w:pPr>
              <w:pStyle w:val="TableParagraph"/>
              <w:spacing w:before="0" w:after="0"/>
              <w:jc w:val="center"/>
              <w:rPr>
                <w:sz w:val="16"/>
                <w:lang w:val="en-GB"/>
              </w:rPr>
            </w:pPr>
            <w:r w:rsidRPr="00D93FF9">
              <w:rPr>
                <w:sz w:val="16"/>
                <w:lang w:val="en-GB"/>
              </w:rPr>
              <w:t>11.6</w:t>
            </w:r>
          </w:p>
        </w:tc>
        <w:tc>
          <w:tcPr>
            <w:tcW w:w="985" w:type="dxa"/>
          </w:tcPr>
          <w:p w14:paraId="59DCCAF9" w14:textId="77777777" w:rsidR="00F84765" w:rsidRPr="00D93FF9" w:rsidRDefault="00E811B8" w:rsidP="002F55F0">
            <w:pPr>
              <w:pStyle w:val="TableParagraph"/>
              <w:spacing w:before="0" w:after="0"/>
              <w:jc w:val="center"/>
              <w:rPr>
                <w:sz w:val="16"/>
                <w:lang w:val="en-GB"/>
              </w:rPr>
            </w:pPr>
            <w:r w:rsidRPr="00D93FF9">
              <w:rPr>
                <w:sz w:val="16"/>
                <w:lang w:val="en-GB"/>
              </w:rPr>
              <w:t>2.4</w:t>
            </w:r>
          </w:p>
        </w:tc>
        <w:tc>
          <w:tcPr>
            <w:tcW w:w="1041" w:type="dxa"/>
          </w:tcPr>
          <w:p w14:paraId="59DCCAFA" w14:textId="77777777" w:rsidR="00F84765" w:rsidRPr="00D93FF9" w:rsidRDefault="00E811B8" w:rsidP="002F55F0">
            <w:pPr>
              <w:pStyle w:val="TableParagraph"/>
              <w:spacing w:before="0" w:after="0"/>
              <w:jc w:val="center"/>
              <w:rPr>
                <w:sz w:val="16"/>
                <w:lang w:val="en-GB"/>
              </w:rPr>
            </w:pPr>
            <w:r w:rsidRPr="00D93FF9">
              <w:rPr>
                <w:sz w:val="16"/>
                <w:lang w:val="en-GB"/>
              </w:rPr>
              <w:t>3.7</w:t>
            </w:r>
          </w:p>
        </w:tc>
        <w:tc>
          <w:tcPr>
            <w:tcW w:w="1135" w:type="dxa"/>
          </w:tcPr>
          <w:p w14:paraId="59DCCAFB" w14:textId="77777777" w:rsidR="00F84765" w:rsidRPr="00D93FF9" w:rsidRDefault="00E811B8" w:rsidP="002F55F0">
            <w:pPr>
              <w:pStyle w:val="TableParagraph"/>
              <w:spacing w:before="0" w:after="0"/>
              <w:jc w:val="center"/>
              <w:rPr>
                <w:sz w:val="16"/>
                <w:lang w:val="en-GB"/>
              </w:rPr>
            </w:pPr>
            <w:r w:rsidRPr="00D93FF9">
              <w:rPr>
                <w:sz w:val="16"/>
                <w:lang w:val="en-GB"/>
              </w:rPr>
              <w:t>5.8</w:t>
            </w:r>
          </w:p>
        </w:tc>
        <w:tc>
          <w:tcPr>
            <w:tcW w:w="1168" w:type="dxa"/>
          </w:tcPr>
          <w:p w14:paraId="59DCCAFC" w14:textId="77777777" w:rsidR="00F84765" w:rsidRPr="00D93FF9" w:rsidRDefault="00E811B8" w:rsidP="002F55F0">
            <w:pPr>
              <w:pStyle w:val="TableParagraph"/>
              <w:spacing w:before="0" w:after="0"/>
              <w:jc w:val="center"/>
              <w:rPr>
                <w:sz w:val="16"/>
                <w:lang w:val="en-GB"/>
              </w:rPr>
            </w:pPr>
            <w:r w:rsidRPr="00D93FF9">
              <w:rPr>
                <w:sz w:val="16"/>
                <w:lang w:val="en-GB"/>
              </w:rPr>
              <w:t>3</w:t>
            </w:r>
          </w:p>
        </w:tc>
      </w:tr>
      <w:tr w:rsidR="00BE3AA8" w:rsidRPr="00D93FF9" w14:paraId="59DCCB06" w14:textId="77777777" w:rsidTr="002F55F0">
        <w:trPr>
          <w:trHeight w:val="228"/>
        </w:trPr>
        <w:tc>
          <w:tcPr>
            <w:tcW w:w="2147" w:type="dxa"/>
          </w:tcPr>
          <w:p w14:paraId="59DCCAFE" w14:textId="77777777" w:rsidR="00C46175" w:rsidRPr="00D93FF9" w:rsidRDefault="00E811B8" w:rsidP="003807A1">
            <w:pPr>
              <w:pStyle w:val="TableParagraph"/>
              <w:spacing w:before="0" w:after="0"/>
              <w:rPr>
                <w:sz w:val="16"/>
                <w:lang w:val="en-GB"/>
              </w:rPr>
            </w:pPr>
            <w:r w:rsidRPr="00D93FF9">
              <w:rPr>
                <w:sz w:val="16"/>
                <w:lang w:val="en-GB"/>
              </w:rPr>
              <w:t>Sudan grass</w:t>
            </w:r>
          </w:p>
        </w:tc>
        <w:tc>
          <w:tcPr>
            <w:tcW w:w="2980" w:type="dxa"/>
          </w:tcPr>
          <w:p w14:paraId="59DCCAFF" w14:textId="77777777" w:rsidR="00C46175" w:rsidRPr="00D93FF9" w:rsidRDefault="00E811B8" w:rsidP="003807A1">
            <w:pPr>
              <w:pStyle w:val="TableParagraph"/>
              <w:spacing w:before="0" w:after="0"/>
              <w:rPr>
                <w:i/>
                <w:sz w:val="16"/>
                <w:lang w:val="en-GB"/>
              </w:rPr>
            </w:pPr>
            <w:r w:rsidRPr="00D93FF9">
              <w:rPr>
                <w:i/>
                <w:sz w:val="16"/>
                <w:lang w:val="en-GB"/>
              </w:rPr>
              <w:t>Sorghum sudanense</w:t>
            </w:r>
          </w:p>
        </w:tc>
        <w:tc>
          <w:tcPr>
            <w:tcW w:w="1898" w:type="dxa"/>
          </w:tcPr>
          <w:p w14:paraId="59DCCB00" w14:textId="77777777" w:rsidR="00C46175" w:rsidRPr="00D93FF9" w:rsidRDefault="00E811B8" w:rsidP="002F55F0">
            <w:pPr>
              <w:pStyle w:val="TableParagraph"/>
              <w:spacing w:before="0" w:after="0"/>
              <w:jc w:val="center"/>
              <w:rPr>
                <w:sz w:val="16"/>
                <w:lang w:val="en-GB"/>
              </w:rPr>
            </w:pPr>
            <w:r w:rsidRPr="00D93FF9">
              <w:rPr>
                <w:sz w:val="16"/>
                <w:lang w:val="en-GB"/>
              </w:rPr>
              <w:t>2.8</w:t>
            </w:r>
          </w:p>
        </w:tc>
        <w:tc>
          <w:tcPr>
            <w:tcW w:w="2097" w:type="dxa"/>
          </w:tcPr>
          <w:p w14:paraId="59DCCB01" w14:textId="77777777" w:rsidR="00C46175" w:rsidRPr="00D93FF9" w:rsidRDefault="00E811B8" w:rsidP="002F55F0">
            <w:pPr>
              <w:pStyle w:val="TableParagraph"/>
              <w:spacing w:before="0" w:after="0"/>
              <w:jc w:val="center"/>
              <w:rPr>
                <w:sz w:val="16"/>
                <w:lang w:val="en-GB"/>
              </w:rPr>
            </w:pPr>
            <w:r w:rsidRPr="00D93FF9">
              <w:rPr>
                <w:sz w:val="16"/>
                <w:lang w:val="en-GB"/>
              </w:rPr>
              <w:t>4.3</w:t>
            </w:r>
          </w:p>
        </w:tc>
        <w:tc>
          <w:tcPr>
            <w:tcW w:w="985" w:type="dxa"/>
          </w:tcPr>
          <w:p w14:paraId="59DCCB02" w14:textId="77777777" w:rsidR="00C46175" w:rsidRPr="00D93FF9" w:rsidRDefault="00E811B8" w:rsidP="002F55F0">
            <w:pPr>
              <w:pStyle w:val="TableParagraph"/>
              <w:spacing w:before="0" w:after="0"/>
              <w:jc w:val="center"/>
              <w:rPr>
                <w:sz w:val="16"/>
                <w:lang w:val="en-GB"/>
              </w:rPr>
            </w:pPr>
            <w:r w:rsidRPr="00D93FF9">
              <w:rPr>
                <w:sz w:val="16"/>
                <w:lang w:val="en-GB"/>
              </w:rPr>
              <w:t>5.1</w:t>
            </w:r>
          </w:p>
        </w:tc>
        <w:tc>
          <w:tcPr>
            <w:tcW w:w="1041" w:type="dxa"/>
          </w:tcPr>
          <w:p w14:paraId="59DCCB03" w14:textId="77777777" w:rsidR="00C46175" w:rsidRPr="00D93FF9" w:rsidRDefault="00E811B8" w:rsidP="002F55F0">
            <w:pPr>
              <w:pStyle w:val="TableParagraph"/>
              <w:spacing w:before="0" w:after="0"/>
              <w:jc w:val="center"/>
              <w:rPr>
                <w:sz w:val="16"/>
                <w:lang w:val="en-GB"/>
              </w:rPr>
            </w:pPr>
            <w:r w:rsidRPr="00D93FF9">
              <w:rPr>
                <w:sz w:val="16"/>
                <w:lang w:val="en-GB"/>
              </w:rPr>
              <w:t>8.6</w:t>
            </w:r>
          </w:p>
        </w:tc>
        <w:tc>
          <w:tcPr>
            <w:tcW w:w="1118" w:type="dxa"/>
          </w:tcPr>
          <w:p w14:paraId="59DCCB04" w14:textId="77777777" w:rsidR="00C46175" w:rsidRPr="00D93FF9" w:rsidRDefault="00E811B8" w:rsidP="002F55F0">
            <w:pPr>
              <w:pStyle w:val="TableParagraph"/>
              <w:spacing w:before="0" w:after="0"/>
              <w:jc w:val="center"/>
              <w:rPr>
                <w:sz w:val="16"/>
                <w:lang w:val="en-GB"/>
              </w:rPr>
            </w:pPr>
            <w:r w:rsidRPr="00D93FF9">
              <w:rPr>
                <w:sz w:val="16"/>
                <w:lang w:val="en-GB"/>
              </w:rPr>
              <w:t>14.4</w:t>
            </w:r>
          </w:p>
        </w:tc>
        <w:tc>
          <w:tcPr>
            <w:tcW w:w="1177" w:type="dxa"/>
          </w:tcPr>
          <w:p w14:paraId="59DCCB05"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0F" w14:textId="77777777" w:rsidTr="002F55F0">
        <w:trPr>
          <w:trHeight w:val="227"/>
        </w:trPr>
        <w:tc>
          <w:tcPr>
            <w:tcW w:w="2147" w:type="dxa"/>
          </w:tcPr>
          <w:p w14:paraId="59DCCB07" w14:textId="77777777" w:rsidR="00C46175" w:rsidRPr="00D93FF9" w:rsidRDefault="00E811B8" w:rsidP="003807A1">
            <w:pPr>
              <w:pStyle w:val="TableParagraph"/>
              <w:spacing w:before="0" w:after="0"/>
              <w:rPr>
                <w:sz w:val="16"/>
                <w:lang w:val="en-GB"/>
              </w:rPr>
            </w:pPr>
            <w:r w:rsidRPr="00D93FF9">
              <w:rPr>
                <w:sz w:val="16"/>
                <w:lang w:val="en-GB"/>
              </w:rPr>
              <w:t>Townsville stylo</w:t>
            </w:r>
          </w:p>
        </w:tc>
        <w:tc>
          <w:tcPr>
            <w:tcW w:w="2980" w:type="dxa"/>
          </w:tcPr>
          <w:p w14:paraId="59DCCB08" w14:textId="77777777" w:rsidR="00C46175" w:rsidRPr="00D93FF9" w:rsidRDefault="00E811B8" w:rsidP="003807A1">
            <w:pPr>
              <w:pStyle w:val="TableParagraph"/>
              <w:spacing w:before="0" w:after="0"/>
              <w:rPr>
                <w:i/>
                <w:sz w:val="16"/>
                <w:lang w:val="en-GB"/>
              </w:rPr>
            </w:pPr>
            <w:r w:rsidRPr="00D93FF9">
              <w:rPr>
                <w:i/>
                <w:sz w:val="16"/>
                <w:lang w:val="en-GB"/>
              </w:rPr>
              <w:t>Stylosanthes humilis</w:t>
            </w:r>
          </w:p>
        </w:tc>
        <w:tc>
          <w:tcPr>
            <w:tcW w:w="1898" w:type="dxa"/>
          </w:tcPr>
          <w:p w14:paraId="59DCCB09" w14:textId="77777777" w:rsidR="00C46175" w:rsidRPr="00D93FF9" w:rsidRDefault="00E811B8" w:rsidP="002F55F0">
            <w:pPr>
              <w:pStyle w:val="TableParagraph"/>
              <w:spacing w:before="0" w:after="0"/>
              <w:jc w:val="center"/>
              <w:rPr>
                <w:sz w:val="16"/>
                <w:lang w:val="en-GB"/>
              </w:rPr>
            </w:pPr>
            <w:r w:rsidRPr="00D93FF9">
              <w:rPr>
                <w:sz w:val="16"/>
                <w:lang w:val="en-GB"/>
              </w:rPr>
              <w:t>2.4</w:t>
            </w:r>
          </w:p>
        </w:tc>
        <w:tc>
          <w:tcPr>
            <w:tcW w:w="2097" w:type="dxa"/>
          </w:tcPr>
          <w:p w14:paraId="59DCCB0A" w14:textId="77777777" w:rsidR="00C46175" w:rsidRPr="00D93FF9" w:rsidRDefault="00E811B8" w:rsidP="002F55F0">
            <w:pPr>
              <w:pStyle w:val="TableParagraph"/>
              <w:spacing w:before="0" w:after="0"/>
              <w:jc w:val="center"/>
              <w:rPr>
                <w:sz w:val="16"/>
                <w:lang w:val="en-GB"/>
              </w:rPr>
            </w:pPr>
            <w:r w:rsidRPr="00D93FF9">
              <w:rPr>
                <w:sz w:val="16"/>
                <w:lang w:val="en-GB"/>
              </w:rPr>
              <w:t>20.4</w:t>
            </w:r>
          </w:p>
        </w:tc>
        <w:tc>
          <w:tcPr>
            <w:tcW w:w="985" w:type="dxa"/>
          </w:tcPr>
          <w:p w14:paraId="59DCCB0B" w14:textId="77777777" w:rsidR="00C46175" w:rsidRPr="00D93FF9" w:rsidRDefault="00E811B8" w:rsidP="002F55F0">
            <w:pPr>
              <w:pStyle w:val="TableParagraph"/>
              <w:spacing w:before="0" w:after="0"/>
              <w:jc w:val="center"/>
              <w:rPr>
                <w:sz w:val="16"/>
                <w:lang w:val="en-GB"/>
              </w:rPr>
            </w:pPr>
            <w:r w:rsidRPr="00D93FF9">
              <w:rPr>
                <w:sz w:val="16"/>
                <w:lang w:val="en-GB"/>
              </w:rPr>
              <w:t>2.9</w:t>
            </w:r>
          </w:p>
        </w:tc>
        <w:tc>
          <w:tcPr>
            <w:tcW w:w="1041" w:type="dxa"/>
          </w:tcPr>
          <w:p w14:paraId="59DCCB0C" w14:textId="77777777" w:rsidR="00C46175" w:rsidRPr="00D93FF9" w:rsidRDefault="00E811B8" w:rsidP="002F55F0">
            <w:pPr>
              <w:pStyle w:val="TableParagraph"/>
              <w:spacing w:before="0" w:after="0"/>
              <w:jc w:val="center"/>
              <w:rPr>
                <w:sz w:val="16"/>
                <w:lang w:val="en-GB"/>
              </w:rPr>
            </w:pPr>
            <w:r w:rsidRPr="00D93FF9">
              <w:rPr>
                <w:sz w:val="16"/>
                <w:lang w:val="en-GB"/>
              </w:rPr>
              <w:t>3.6</w:t>
            </w:r>
          </w:p>
        </w:tc>
        <w:tc>
          <w:tcPr>
            <w:tcW w:w="1118" w:type="dxa"/>
          </w:tcPr>
          <w:p w14:paraId="59DCCB0D" w14:textId="77777777" w:rsidR="00C46175" w:rsidRPr="00D93FF9" w:rsidRDefault="00E811B8" w:rsidP="002F55F0">
            <w:pPr>
              <w:pStyle w:val="TableParagraph"/>
              <w:spacing w:before="0" w:after="0"/>
              <w:jc w:val="center"/>
              <w:rPr>
                <w:sz w:val="16"/>
                <w:lang w:val="en-GB"/>
              </w:rPr>
            </w:pPr>
            <w:r w:rsidRPr="00D93FF9">
              <w:rPr>
                <w:sz w:val="16"/>
                <w:lang w:val="en-GB"/>
              </w:rPr>
              <w:t>4.9</w:t>
            </w:r>
          </w:p>
        </w:tc>
        <w:tc>
          <w:tcPr>
            <w:tcW w:w="1177" w:type="dxa"/>
          </w:tcPr>
          <w:p w14:paraId="59DCCB0E" w14:textId="77777777" w:rsidR="00C46175" w:rsidRPr="00D93FF9" w:rsidRDefault="00E811B8" w:rsidP="002F55F0">
            <w:pPr>
              <w:pStyle w:val="TableParagraph"/>
              <w:spacing w:before="0" w:after="0"/>
              <w:jc w:val="center"/>
              <w:rPr>
                <w:sz w:val="16"/>
                <w:lang w:val="en-GB"/>
              </w:rPr>
            </w:pPr>
            <w:r w:rsidRPr="00D93FF9">
              <w:rPr>
                <w:sz w:val="16"/>
                <w:lang w:val="en-GB"/>
              </w:rPr>
              <w:t>3</w:t>
            </w:r>
          </w:p>
        </w:tc>
      </w:tr>
      <w:tr w:rsidR="00BE3AA8" w:rsidRPr="00D93FF9" w14:paraId="59DCCB18" w14:textId="77777777" w:rsidTr="002F55F0">
        <w:trPr>
          <w:trHeight w:val="228"/>
        </w:trPr>
        <w:tc>
          <w:tcPr>
            <w:tcW w:w="2147" w:type="dxa"/>
          </w:tcPr>
          <w:p w14:paraId="59DCCB10" w14:textId="77777777" w:rsidR="00C46175" w:rsidRPr="00D93FF9" w:rsidRDefault="00E811B8" w:rsidP="003807A1">
            <w:pPr>
              <w:pStyle w:val="TableParagraph"/>
              <w:spacing w:before="0" w:after="0"/>
              <w:rPr>
                <w:sz w:val="16"/>
                <w:lang w:val="en-GB"/>
              </w:rPr>
            </w:pPr>
            <w:r w:rsidRPr="00D93FF9">
              <w:rPr>
                <w:sz w:val="16"/>
                <w:lang w:val="en-GB"/>
              </w:rPr>
              <w:t>Trefoil, big</w:t>
            </w:r>
          </w:p>
        </w:tc>
        <w:tc>
          <w:tcPr>
            <w:tcW w:w="2980" w:type="dxa"/>
          </w:tcPr>
          <w:p w14:paraId="59DCCB11" w14:textId="77777777" w:rsidR="00C46175" w:rsidRPr="00D93FF9" w:rsidRDefault="00E811B8" w:rsidP="003807A1">
            <w:pPr>
              <w:pStyle w:val="TableParagraph"/>
              <w:spacing w:before="0" w:after="0"/>
              <w:rPr>
                <w:i/>
                <w:sz w:val="16"/>
                <w:lang w:val="en-GB"/>
              </w:rPr>
            </w:pPr>
            <w:r w:rsidRPr="00D93FF9">
              <w:rPr>
                <w:i/>
                <w:sz w:val="16"/>
                <w:lang w:val="en-GB"/>
              </w:rPr>
              <w:t>Lotus uliginosus</w:t>
            </w:r>
          </w:p>
        </w:tc>
        <w:tc>
          <w:tcPr>
            <w:tcW w:w="1898" w:type="dxa"/>
          </w:tcPr>
          <w:p w14:paraId="59DCCB12" w14:textId="77777777" w:rsidR="00C46175" w:rsidRPr="00D93FF9" w:rsidRDefault="00E811B8" w:rsidP="002F55F0">
            <w:pPr>
              <w:pStyle w:val="TableParagraph"/>
              <w:spacing w:before="0" w:after="0"/>
              <w:jc w:val="center"/>
              <w:rPr>
                <w:sz w:val="16"/>
                <w:lang w:val="en-GB"/>
              </w:rPr>
            </w:pPr>
            <w:r w:rsidRPr="00D93FF9">
              <w:rPr>
                <w:sz w:val="16"/>
                <w:lang w:val="en-GB"/>
              </w:rPr>
              <w:t>3.0</w:t>
            </w:r>
          </w:p>
        </w:tc>
        <w:tc>
          <w:tcPr>
            <w:tcW w:w="2097" w:type="dxa"/>
          </w:tcPr>
          <w:p w14:paraId="59DCCB13" w14:textId="77777777" w:rsidR="00C46175" w:rsidRPr="00D93FF9" w:rsidRDefault="00E811B8" w:rsidP="002F55F0">
            <w:pPr>
              <w:pStyle w:val="TableParagraph"/>
              <w:spacing w:before="0" w:after="0"/>
              <w:jc w:val="center"/>
              <w:rPr>
                <w:sz w:val="16"/>
                <w:lang w:val="en-GB"/>
              </w:rPr>
            </w:pPr>
            <w:r w:rsidRPr="00D93FF9">
              <w:rPr>
                <w:sz w:val="16"/>
                <w:lang w:val="en-GB"/>
              </w:rPr>
              <w:t>11.1</w:t>
            </w:r>
          </w:p>
        </w:tc>
        <w:tc>
          <w:tcPr>
            <w:tcW w:w="985" w:type="dxa"/>
          </w:tcPr>
          <w:p w14:paraId="59DCCB14" w14:textId="77777777" w:rsidR="00C46175" w:rsidRPr="00D93FF9" w:rsidRDefault="00E811B8" w:rsidP="002F55F0">
            <w:pPr>
              <w:pStyle w:val="TableParagraph"/>
              <w:spacing w:before="0" w:after="0"/>
              <w:jc w:val="center"/>
              <w:rPr>
                <w:sz w:val="16"/>
                <w:lang w:val="en-GB"/>
              </w:rPr>
            </w:pPr>
            <w:r w:rsidRPr="00D93FF9">
              <w:rPr>
                <w:sz w:val="16"/>
                <w:lang w:val="en-GB"/>
              </w:rPr>
              <w:t>3.9</w:t>
            </w:r>
          </w:p>
        </w:tc>
        <w:tc>
          <w:tcPr>
            <w:tcW w:w="1041" w:type="dxa"/>
          </w:tcPr>
          <w:p w14:paraId="59DCCB15" w14:textId="77777777" w:rsidR="00C46175" w:rsidRPr="00D93FF9" w:rsidRDefault="00E811B8" w:rsidP="002F55F0">
            <w:pPr>
              <w:pStyle w:val="TableParagraph"/>
              <w:spacing w:before="0" w:after="0"/>
              <w:jc w:val="center"/>
              <w:rPr>
                <w:sz w:val="16"/>
                <w:lang w:val="en-GB"/>
              </w:rPr>
            </w:pPr>
            <w:r w:rsidRPr="00D93FF9">
              <w:rPr>
                <w:sz w:val="16"/>
                <w:lang w:val="en-GB"/>
              </w:rPr>
              <w:t>5.3</w:t>
            </w:r>
          </w:p>
        </w:tc>
        <w:tc>
          <w:tcPr>
            <w:tcW w:w="1118" w:type="dxa"/>
          </w:tcPr>
          <w:p w14:paraId="59DCCB16" w14:textId="77777777" w:rsidR="00C46175" w:rsidRPr="00D93FF9" w:rsidRDefault="00E811B8" w:rsidP="002F55F0">
            <w:pPr>
              <w:pStyle w:val="TableParagraph"/>
              <w:spacing w:before="0" w:after="0"/>
              <w:jc w:val="center"/>
              <w:rPr>
                <w:sz w:val="16"/>
                <w:lang w:val="en-GB"/>
              </w:rPr>
            </w:pPr>
            <w:r w:rsidRPr="00D93FF9">
              <w:rPr>
                <w:sz w:val="16"/>
                <w:lang w:val="en-GB"/>
              </w:rPr>
              <w:t>7.5</w:t>
            </w:r>
          </w:p>
        </w:tc>
        <w:tc>
          <w:tcPr>
            <w:tcW w:w="1177" w:type="dxa"/>
          </w:tcPr>
          <w:p w14:paraId="59DCCB17"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21" w14:textId="77777777" w:rsidTr="002F55F0">
        <w:trPr>
          <w:trHeight w:val="227"/>
        </w:trPr>
        <w:tc>
          <w:tcPr>
            <w:tcW w:w="2147" w:type="dxa"/>
          </w:tcPr>
          <w:p w14:paraId="59DCCB19" w14:textId="77777777" w:rsidR="00C46175" w:rsidRPr="00D93FF9" w:rsidRDefault="00E811B8" w:rsidP="003807A1">
            <w:pPr>
              <w:pStyle w:val="TableParagraph"/>
              <w:spacing w:before="0" w:after="0"/>
              <w:rPr>
                <w:sz w:val="16"/>
                <w:lang w:val="en-GB"/>
              </w:rPr>
            </w:pPr>
            <w:r w:rsidRPr="00D93FF9">
              <w:rPr>
                <w:sz w:val="16"/>
                <w:lang w:val="en-GB"/>
              </w:rPr>
              <w:t>Trefoil, birdsfoot</w:t>
            </w:r>
          </w:p>
        </w:tc>
        <w:tc>
          <w:tcPr>
            <w:tcW w:w="2980" w:type="dxa"/>
          </w:tcPr>
          <w:p w14:paraId="59DCCB1A" w14:textId="77777777" w:rsidR="00C46175" w:rsidRPr="00D93FF9" w:rsidRDefault="00E811B8" w:rsidP="003807A1">
            <w:pPr>
              <w:pStyle w:val="TableParagraph"/>
              <w:spacing w:before="0" w:after="0"/>
              <w:rPr>
                <w:i/>
                <w:sz w:val="16"/>
                <w:lang w:val="en-GB"/>
              </w:rPr>
            </w:pPr>
            <w:r w:rsidRPr="00D93FF9">
              <w:rPr>
                <w:i/>
                <w:sz w:val="16"/>
                <w:lang w:val="en-GB"/>
              </w:rPr>
              <w:t>Lotus corniculatus tenuifolium</w:t>
            </w:r>
          </w:p>
        </w:tc>
        <w:tc>
          <w:tcPr>
            <w:tcW w:w="1898" w:type="dxa"/>
          </w:tcPr>
          <w:p w14:paraId="59DCCB1B" w14:textId="77777777" w:rsidR="00C46175" w:rsidRPr="00D93FF9" w:rsidRDefault="00E811B8" w:rsidP="002F55F0">
            <w:pPr>
              <w:pStyle w:val="TableParagraph"/>
              <w:spacing w:before="0" w:after="0"/>
              <w:jc w:val="center"/>
              <w:rPr>
                <w:sz w:val="16"/>
                <w:lang w:val="en-GB"/>
              </w:rPr>
            </w:pPr>
            <w:r w:rsidRPr="00D93FF9">
              <w:rPr>
                <w:sz w:val="16"/>
                <w:lang w:val="en-GB"/>
              </w:rPr>
              <w:t>5.0</w:t>
            </w:r>
          </w:p>
        </w:tc>
        <w:tc>
          <w:tcPr>
            <w:tcW w:w="2097" w:type="dxa"/>
          </w:tcPr>
          <w:p w14:paraId="59DCCB1C" w14:textId="77777777" w:rsidR="00C46175" w:rsidRPr="00D93FF9" w:rsidRDefault="00E811B8" w:rsidP="002F55F0">
            <w:pPr>
              <w:pStyle w:val="TableParagraph"/>
              <w:spacing w:before="0" w:after="0"/>
              <w:jc w:val="center"/>
              <w:rPr>
                <w:sz w:val="16"/>
                <w:lang w:val="en-GB"/>
              </w:rPr>
            </w:pPr>
            <w:r w:rsidRPr="00D93FF9">
              <w:rPr>
                <w:sz w:val="16"/>
                <w:lang w:val="en-GB"/>
              </w:rPr>
              <w:t>10.0</w:t>
            </w:r>
          </w:p>
        </w:tc>
        <w:tc>
          <w:tcPr>
            <w:tcW w:w="985" w:type="dxa"/>
          </w:tcPr>
          <w:p w14:paraId="59DCCB1D" w14:textId="77777777" w:rsidR="00C46175" w:rsidRPr="00D93FF9" w:rsidRDefault="00E811B8" w:rsidP="002F55F0">
            <w:pPr>
              <w:pStyle w:val="TableParagraph"/>
              <w:spacing w:before="0" w:after="0"/>
              <w:jc w:val="center"/>
              <w:rPr>
                <w:sz w:val="16"/>
                <w:lang w:val="en-GB"/>
              </w:rPr>
            </w:pPr>
            <w:r w:rsidRPr="00D93FF9">
              <w:rPr>
                <w:sz w:val="16"/>
                <w:lang w:val="en-GB"/>
              </w:rPr>
              <w:t>6.0</w:t>
            </w:r>
          </w:p>
        </w:tc>
        <w:tc>
          <w:tcPr>
            <w:tcW w:w="1041" w:type="dxa"/>
          </w:tcPr>
          <w:p w14:paraId="59DCCB1E" w14:textId="77777777" w:rsidR="00C46175" w:rsidRPr="00D93FF9" w:rsidRDefault="00E811B8" w:rsidP="002F55F0">
            <w:pPr>
              <w:pStyle w:val="TableParagraph"/>
              <w:spacing w:before="0" w:after="0"/>
              <w:jc w:val="center"/>
              <w:rPr>
                <w:sz w:val="16"/>
                <w:lang w:val="en-GB"/>
              </w:rPr>
            </w:pPr>
            <w:r w:rsidRPr="00D93FF9">
              <w:rPr>
                <w:sz w:val="16"/>
                <w:lang w:val="en-GB"/>
              </w:rPr>
              <w:t>7.5</w:t>
            </w:r>
          </w:p>
        </w:tc>
        <w:tc>
          <w:tcPr>
            <w:tcW w:w="1118" w:type="dxa"/>
          </w:tcPr>
          <w:p w14:paraId="59DCCB1F" w14:textId="77777777" w:rsidR="00C46175" w:rsidRPr="00D93FF9" w:rsidRDefault="00E811B8" w:rsidP="002F55F0">
            <w:pPr>
              <w:pStyle w:val="TableParagraph"/>
              <w:spacing w:before="0" w:after="0"/>
              <w:jc w:val="center"/>
              <w:rPr>
                <w:sz w:val="16"/>
                <w:lang w:val="en-GB"/>
              </w:rPr>
            </w:pPr>
            <w:r w:rsidRPr="00D93FF9">
              <w:rPr>
                <w:sz w:val="16"/>
                <w:lang w:val="en-GB"/>
              </w:rPr>
              <w:t>10.0</w:t>
            </w:r>
          </w:p>
        </w:tc>
        <w:tc>
          <w:tcPr>
            <w:tcW w:w="1177" w:type="dxa"/>
          </w:tcPr>
          <w:p w14:paraId="59DCCB20"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2A" w14:textId="77777777" w:rsidTr="002F55F0">
        <w:trPr>
          <w:trHeight w:val="227"/>
        </w:trPr>
        <w:tc>
          <w:tcPr>
            <w:tcW w:w="2147" w:type="dxa"/>
          </w:tcPr>
          <w:p w14:paraId="59DCCB22" w14:textId="77777777" w:rsidR="00C46175" w:rsidRPr="00D93FF9" w:rsidRDefault="00E811B8" w:rsidP="003807A1">
            <w:pPr>
              <w:pStyle w:val="TableParagraph"/>
              <w:spacing w:before="0" w:after="0"/>
              <w:rPr>
                <w:sz w:val="16"/>
                <w:lang w:val="en-GB"/>
              </w:rPr>
            </w:pPr>
            <w:r w:rsidRPr="00D93FF9">
              <w:rPr>
                <w:sz w:val="16"/>
                <w:lang w:val="en-GB"/>
              </w:rPr>
              <w:t>Urochloa</w:t>
            </w:r>
          </w:p>
        </w:tc>
        <w:tc>
          <w:tcPr>
            <w:tcW w:w="2980" w:type="dxa"/>
          </w:tcPr>
          <w:p w14:paraId="59DCCB23" w14:textId="77777777" w:rsidR="00C46175" w:rsidRPr="00D93FF9" w:rsidRDefault="00E811B8" w:rsidP="003807A1">
            <w:pPr>
              <w:pStyle w:val="TableParagraph"/>
              <w:spacing w:before="0" w:after="0"/>
              <w:rPr>
                <w:i/>
                <w:sz w:val="16"/>
                <w:lang w:val="en-GB"/>
              </w:rPr>
            </w:pPr>
            <w:r w:rsidRPr="00D93FF9">
              <w:rPr>
                <w:i/>
                <w:sz w:val="16"/>
                <w:lang w:val="en-GB"/>
              </w:rPr>
              <w:t>Urochloa mosambicensis</w:t>
            </w:r>
          </w:p>
        </w:tc>
        <w:tc>
          <w:tcPr>
            <w:tcW w:w="1898" w:type="dxa"/>
          </w:tcPr>
          <w:p w14:paraId="59DCCB24" w14:textId="77777777" w:rsidR="00C46175" w:rsidRPr="00D93FF9" w:rsidRDefault="00E811B8" w:rsidP="002F55F0">
            <w:pPr>
              <w:pStyle w:val="TableParagraph"/>
              <w:spacing w:before="0" w:after="0"/>
              <w:jc w:val="center"/>
              <w:rPr>
                <w:sz w:val="16"/>
                <w:lang w:val="en-GB"/>
              </w:rPr>
            </w:pPr>
            <w:r w:rsidRPr="00D93FF9">
              <w:rPr>
                <w:sz w:val="16"/>
                <w:lang w:val="en-GB"/>
              </w:rPr>
              <w:t>8.5</w:t>
            </w:r>
          </w:p>
        </w:tc>
        <w:tc>
          <w:tcPr>
            <w:tcW w:w="2097" w:type="dxa"/>
          </w:tcPr>
          <w:p w14:paraId="59DCCB25" w14:textId="77777777" w:rsidR="00C46175" w:rsidRPr="00D93FF9" w:rsidRDefault="00E811B8" w:rsidP="002F55F0">
            <w:pPr>
              <w:pStyle w:val="TableParagraph"/>
              <w:spacing w:before="0" w:after="0"/>
              <w:jc w:val="center"/>
              <w:rPr>
                <w:sz w:val="16"/>
                <w:lang w:val="en-GB"/>
              </w:rPr>
            </w:pPr>
            <w:r w:rsidRPr="00D93FF9">
              <w:rPr>
                <w:sz w:val="16"/>
                <w:lang w:val="en-GB"/>
              </w:rPr>
              <w:t>12.4</w:t>
            </w:r>
          </w:p>
        </w:tc>
        <w:tc>
          <w:tcPr>
            <w:tcW w:w="985" w:type="dxa"/>
          </w:tcPr>
          <w:p w14:paraId="59DCCB26" w14:textId="77777777" w:rsidR="00C46175" w:rsidRPr="00D93FF9" w:rsidRDefault="00E811B8" w:rsidP="002F55F0">
            <w:pPr>
              <w:pStyle w:val="TableParagraph"/>
              <w:spacing w:before="0" w:after="0"/>
              <w:jc w:val="center"/>
              <w:rPr>
                <w:sz w:val="16"/>
                <w:lang w:val="en-GB"/>
              </w:rPr>
            </w:pPr>
            <w:r w:rsidRPr="00D93FF9">
              <w:rPr>
                <w:sz w:val="16"/>
                <w:lang w:val="en-GB"/>
              </w:rPr>
              <w:t>9.3</w:t>
            </w:r>
          </w:p>
        </w:tc>
        <w:tc>
          <w:tcPr>
            <w:tcW w:w="1041" w:type="dxa"/>
          </w:tcPr>
          <w:p w14:paraId="59DCCB27" w14:textId="77777777" w:rsidR="00C46175" w:rsidRPr="00D93FF9" w:rsidRDefault="00E811B8" w:rsidP="002F55F0">
            <w:pPr>
              <w:pStyle w:val="TableParagraph"/>
              <w:spacing w:before="0" w:after="0"/>
              <w:jc w:val="center"/>
              <w:rPr>
                <w:sz w:val="16"/>
                <w:lang w:val="en-GB"/>
              </w:rPr>
            </w:pPr>
            <w:r w:rsidRPr="00D93FF9">
              <w:rPr>
                <w:sz w:val="16"/>
                <w:lang w:val="en-GB"/>
              </w:rPr>
              <w:t>10.5</w:t>
            </w:r>
          </w:p>
        </w:tc>
        <w:tc>
          <w:tcPr>
            <w:tcW w:w="1118" w:type="dxa"/>
          </w:tcPr>
          <w:p w14:paraId="59DCCB28" w14:textId="77777777" w:rsidR="00C46175" w:rsidRPr="00D93FF9" w:rsidRDefault="00E811B8" w:rsidP="002F55F0">
            <w:pPr>
              <w:pStyle w:val="TableParagraph"/>
              <w:spacing w:before="0" w:after="0"/>
              <w:jc w:val="center"/>
              <w:rPr>
                <w:sz w:val="16"/>
                <w:lang w:val="en-GB"/>
              </w:rPr>
            </w:pPr>
            <w:r w:rsidRPr="00D93FF9">
              <w:rPr>
                <w:sz w:val="16"/>
                <w:lang w:val="en-GB"/>
              </w:rPr>
              <w:t>12.5</w:t>
            </w:r>
          </w:p>
        </w:tc>
        <w:tc>
          <w:tcPr>
            <w:tcW w:w="1177" w:type="dxa"/>
          </w:tcPr>
          <w:p w14:paraId="59DCCB29" w14:textId="77777777" w:rsidR="00C46175" w:rsidRPr="00D93FF9" w:rsidRDefault="00E811B8" w:rsidP="002F55F0">
            <w:pPr>
              <w:pStyle w:val="TableParagraph"/>
              <w:spacing w:before="0" w:after="0"/>
              <w:jc w:val="center"/>
              <w:rPr>
                <w:sz w:val="16"/>
                <w:lang w:val="en-GB"/>
              </w:rPr>
            </w:pPr>
            <w:r w:rsidRPr="00D93FF9">
              <w:rPr>
                <w:sz w:val="16"/>
                <w:lang w:val="en-GB"/>
              </w:rPr>
              <w:t>3</w:t>
            </w:r>
          </w:p>
        </w:tc>
      </w:tr>
      <w:tr w:rsidR="00BE3AA8" w:rsidRPr="00D93FF9" w14:paraId="59DCCB33" w14:textId="77777777" w:rsidTr="002F55F0">
        <w:trPr>
          <w:trHeight w:val="228"/>
        </w:trPr>
        <w:tc>
          <w:tcPr>
            <w:tcW w:w="2147" w:type="dxa"/>
          </w:tcPr>
          <w:p w14:paraId="59DCCB2B" w14:textId="77777777" w:rsidR="00C46175" w:rsidRPr="00D93FF9" w:rsidRDefault="00E811B8" w:rsidP="003807A1">
            <w:pPr>
              <w:pStyle w:val="TableParagraph"/>
              <w:spacing w:before="0" w:after="0"/>
              <w:rPr>
                <w:sz w:val="16"/>
                <w:lang w:val="en-GB"/>
              </w:rPr>
            </w:pPr>
            <w:r w:rsidRPr="00D93FF9">
              <w:rPr>
                <w:sz w:val="16"/>
                <w:lang w:val="en-GB"/>
              </w:rPr>
              <w:t>Wheatgrass, crested</w:t>
            </w:r>
          </w:p>
        </w:tc>
        <w:tc>
          <w:tcPr>
            <w:tcW w:w="2980" w:type="dxa"/>
          </w:tcPr>
          <w:p w14:paraId="59DCCB2C" w14:textId="77777777" w:rsidR="00C46175" w:rsidRPr="00D93FF9" w:rsidRDefault="00E811B8" w:rsidP="003807A1">
            <w:pPr>
              <w:pStyle w:val="TableParagraph"/>
              <w:spacing w:before="0" w:after="0"/>
              <w:rPr>
                <w:i/>
                <w:sz w:val="16"/>
                <w:lang w:val="en-GB"/>
              </w:rPr>
            </w:pPr>
            <w:r w:rsidRPr="00D93FF9">
              <w:rPr>
                <w:i/>
                <w:sz w:val="16"/>
                <w:lang w:val="en-GB"/>
              </w:rPr>
              <w:t>Agropyron desertorum</w:t>
            </w:r>
          </w:p>
        </w:tc>
        <w:tc>
          <w:tcPr>
            <w:tcW w:w="1898" w:type="dxa"/>
          </w:tcPr>
          <w:p w14:paraId="59DCCB2D" w14:textId="77777777" w:rsidR="00C46175" w:rsidRPr="00D93FF9" w:rsidRDefault="00E811B8" w:rsidP="002F55F0">
            <w:pPr>
              <w:pStyle w:val="TableParagraph"/>
              <w:spacing w:before="0" w:after="0"/>
              <w:jc w:val="center"/>
              <w:rPr>
                <w:sz w:val="16"/>
                <w:lang w:val="en-GB"/>
              </w:rPr>
            </w:pPr>
            <w:r w:rsidRPr="00D93FF9">
              <w:rPr>
                <w:sz w:val="16"/>
                <w:lang w:val="en-GB"/>
              </w:rPr>
              <w:t>3.5</w:t>
            </w:r>
          </w:p>
        </w:tc>
        <w:tc>
          <w:tcPr>
            <w:tcW w:w="2097" w:type="dxa"/>
          </w:tcPr>
          <w:p w14:paraId="59DCCB2E" w14:textId="77777777" w:rsidR="00C46175" w:rsidRPr="00D93FF9" w:rsidRDefault="00E811B8" w:rsidP="002F55F0">
            <w:pPr>
              <w:pStyle w:val="TableParagraph"/>
              <w:spacing w:before="0" w:after="0"/>
              <w:jc w:val="center"/>
              <w:rPr>
                <w:sz w:val="16"/>
                <w:lang w:val="en-GB"/>
              </w:rPr>
            </w:pPr>
            <w:r w:rsidRPr="00D93FF9">
              <w:rPr>
                <w:sz w:val="16"/>
                <w:lang w:val="en-GB"/>
              </w:rPr>
              <w:t>4.0</w:t>
            </w:r>
          </w:p>
        </w:tc>
        <w:tc>
          <w:tcPr>
            <w:tcW w:w="985" w:type="dxa"/>
          </w:tcPr>
          <w:p w14:paraId="59DCCB2F" w14:textId="77777777" w:rsidR="00C46175" w:rsidRPr="00D93FF9" w:rsidRDefault="00E811B8" w:rsidP="002F55F0">
            <w:pPr>
              <w:pStyle w:val="TableParagraph"/>
              <w:spacing w:before="0" w:after="0"/>
              <w:jc w:val="center"/>
              <w:rPr>
                <w:sz w:val="16"/>
                <w:lang w:val="en-GB"/>
              </w:rPr>
            </w:pPr>
            <w:r w:rsidRPr="00D93FF9">
              <w:rPr>
                <w:sz w:val="16"/>
                <w:lang w:val="en-GB"/>
              </w:rPr>
              <w:t>6.0</w:t>
            </w:r>
          </w:p>
        </w:tc>
        <w:tc>
          <w:tcPr>
            <w:tcW w:w="1041" w:type="dxa"/>
          </w:tcPr>
          <w:p w14:paraId="59DCCB30" w14:textId="77777777" w:rsidR="00C46175" w:rsidRPr="00D93FF9" w:rsidRDefault="00E811B8" w:rsidP="002F55F0">
            <w:pPr>
              <w:pStyle w:val="TableParagraph"/>
              <w:spacing w:before="0" w:after="0"/>
              <w:jc w:val="center"/>
              <w:rPr>
                <w:sz w:val="16"/>
                <w:lang w:val="en-GB"/>
              </w:rPr>
            </w:pPr>
            <w:r w:rsidRPr="00D93FF9">
              <w:rPr>
                <w:sz w:val="16"/>
                <w:lang w:val="en-GB"/>
              </w:rPr>
              <w:t>9.8</w:t>
            </w:r>
          </w:p>
        </w:tc>
        <w:tc>
          <w:tcPr>
            <w:tcW w:w="1118" w:type="dxa"/>
          </w:tcPr>
          <w:p w14:paraId="59DCCB31" w14:textId="77777777" w:rsidR="00C46175" w:rsidRPr="00D93FF9" w:rsidRDefault="00E811B8" w:rsidP="002F55F0">
            <w:pPr>
              <w:pStyle w:val="TableParagraph"/>
              <w:spacing w:before="0" w:after="0"/>
              <w:jc w:val="center"/>
              <w:rPr>
                <w:sz w:val="16"/>
                <w:lang w:val="en-GB"/>
              </w:rPr>
            </w:pPr>
            <w:r w:rsidRPr="00D93FF9">
              <w:rPr>
                <w:sz w:val="16"/>
                <w:lang w:val="en-GB"/>
              </w:rPr>
              <w:t>16.0</w:t>
            </w:r>
          </w:p>
        </w:tc>
        <w:tc>
          <w:tcPr>
            <w:tcW w:w="1177" w:type="dxa"/>
          </w:tcPr>
          <w:p w14:paraId="59DCCB32"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3C" w14:textId="77777777" w:rsidTr="002F55F0">
        <w:trPr>
          <w:trHeight w:val="227"/>
        </w:trPr>
        <w:tc>
          <w:tcPr>
            <w:tcW w:w="2147" w:type="dxa"/>
          </w:tcPr>
          <w:p w14:paraId="59DCCB34" w14:textId="77777777" w:rsidR="00C46175" w:rsidRPr="00D93FF9" w:rsidRDefault="00E811B8" w:rsidP="003807A1">
            <w:pPr>
              <w:pStyle w:val="TableParagraph"/>
              <w:spacing w:before="0" w:after="0"/>
              <w:rPr>
                <w:sz w:val="16"/>
                <w:lang w:val="en-GB"/>
              </w:rPr>
            </w:pPr>
            <w:r w:rsidRPr="00D93FF9">
              <w:rPr>
                <w:sz w:val="16"/>
                <w:lang w:val="en-GB"/>
              </w:rPr>
              <w:t>Wheatgrass, fairway</w:t>
            </w:r>
          </w:p>
        </w:tc>
        <w:tc>
          <w:tcPr>
            <w:tcW w:w="2980" w:type="dxa"/>
          </w:tcPr>
          <w:p w14:paraId="59DCCB35" w14:textId="77777777" w:rsidR="00C46175" w:rsidRPr="00D93FF9" w:rsidRDefault="00E811B8" w:rsidP="003807A1">
            <w:pPr>
              <w:pStyle w:val="TableParagraph"/>
              <w:spacing w:before="0" w:after="0"/>
              <w:rPr>
                <w:i/>
                <w:sz w:val="16"/>
                <w:lang w:val="en-GB"/>
              </w:rPr>
            </w:pPr>
            <w:r w:rsidRPr="00D93FF9">
              <w:rPr>
                <w:i/>
                <w:sz w:val="16"/>
                <w:lang w:val="en-GB"/>
              </w:rPr>
              <w:t>Agropyron cristatum</w:t>
            </w:r>
          </w:p>
        </w:tc>
        <w:tc>
          <w:tcPr>
            <w:tcW w:w="1898" w:type="dxa"/>
          </w:tcPr>
          <w:p w14:paraId="59DCCB36" w14:textId="77777777" w:rsidR="00C46175" w:rsidRPr="00D93FF9" w:rsidRDefault="00E811B8" w:rsidP="002F55F0">
            <w:pPr>
              <w:pStyle w:val="TableParagraph"/>
              <w:spacing w:before="0" w:after="0"/>
              <w:jc w:val="center"/>
              <w:rPr>
                <w:sz w:val="16"/>
                <w:lang w:val="en-GB"/>
              </w:rPr>
            </w:pPr>
            <w:r w:rsidRPr="00D93FF9">
              <w:rPr>
                <w:sz w:val="16"/>
                <w:lang w:val="en-GB"/>
              </w:rPr>
              <w:t>7.5</w:t>
            </w:r>
          </w:p>
        </w:tc>
        <w:tc>
          <w:tcPr>
            <w:tcW w:w="2097" w:type="dxa"/>
          </w:tcPr>
          <w:p w14:paraId="59DCCB37" w14:textId="77777777" w:rsidR="00C46175" w:rsidRPr="00D93FF9" w:rsidRDefault="00E811B8" w:rsidP="002F55F0">
            <w:pPr>
              <w:pStyle w:val="TableParagraph"/>
              <w:spacing w:before="0" w:after="0"/>
              <w:jc w:val="center"/>
              <w:rPr>
                <w:sz w:val="16"/>
                <w:lang w:val="en-GB"/>
              </w:rPr>
            </w:pPr>
            <w:r w:rsidRPr="00D93FF9">
              <w:rPr>
                <w:sz w:val="16"/>
                <w:lang w:val="en-GB"/>
              </w:rPr>
              <w:t>6.9</w:t>
            </w:r>
          </w:p>
        </w:tc>
        <w:tc>
          <w:tcPr>
            <w:tcW w:w="985" w:type="dxa"/>
          </w:tcPr>
          <w:p w14:paraId="59DCCB38" w14:textId="77777777" w:rsidR="00C46175" w:rsidRPr="00D93FF9" w:rsidRDefault="00E811B8" w:rsidP="002F55F0">
            <w:pPr>
              <w:pStyle w:val="TableParagraph"/>
              <w:spacing w:before="0" w:after="0"/>
              <w:jc w:val="center"/>
              <w:rPr>
                <w:sz w:val="16"/>
                <w:lang w:val="en-GB"/>
              </w:rPr>
            </w:pPr>
            <w:r w:rsidRPr="00D93FF9">
              <w:rPr>
                <w:sz w:val="16"/>
                <w:lang w:val="en-GB"/>
              </w:rPr>
              <w:t>8.9</w:t>
            </w:r>
          </w:p>
        </w:tc>
        <w:tc>
          <w:tcPr>
            <w:tcW w:w="1041" w:type="dxa"/>
          </w:tcPr>
          <w:p w14:paraId="59DCCB39" w14:textId="77777777" w:rsidR="00C46175" w:rsidRPr="00D93FF9" w:rsidRDefault="00E811B8" w:rsidP="002F55F0">
            <w:pPr>
              <w:pStyle w:val="TableParagraph"/>
              <w:spacing w:before="0" w:after="0"/>
              <w:jc w:val="center"/>
              <w:rPr>
                <w:sz w:val="16"/>
                <w:lang w:val="en-GB"/>
              </w:rPr>
            </w:pPr>
            <w:r w:rsidRPr="00D93FF9">
              <w:rPr>
                <w:sz w:val="16"/>
                <w:lang w:val="en-GB"/>
              </w:rPr>
              <w:t>11.1</w:t>
            </w:r>
          </w:p>
        </w:tc>
        <w:tc>
          <w:tcPr>
            <w:tcW w:w="1118" w:type="dxa"/>
          </w:tcPr>
          <w:p w14:paraId="59DCCB3A" w14:textId="77777777" w:rsidR="00C46175" w:rsidRPr="00D93FF9" w:rsidRDefault="00E811B8" w:rsidP="002F55F0">
            <w:pPr>
              <w:pStyle w:val="TableParagraph"/>
              <w:spacing w:before="0" w:after="0"/>
              <w:jc w:val="center"/>
              <w:rPr>
                <w:sz w:val="16"/>
                <w:lang w:val="en-GB"/>
              </w:rPr>
            </w:pPr>
            <w:r w:rsidRPr="00D93FF9">
              <w:rPr>
                <w:sz w:val="16"/>
                <w:lang w:val="en-GB"/>
              </w:rPr>
              <w:t>14.7</w:t>
            </w:r>
          </w:p>
        </w:tc>
        <w:tc>
          <w:tcPr>
            <w:tcW w:w="1177" w:type="dxa"/>
          </w:tcPr>
          <w:p w14:paraId="59DCCB3B"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45" w14:textId="77777777" w:rsidTr="002F55F0">
        <w:trPr>
          <w:trHeight w:val="228"/>
        </w:trPr>
        <w:tc>
          <w:tcPr>
            <w:tcW w:w="2147" w:type="dxa"/>
            <w:tcBorders>
              <w:bottom w:val="single" w:sz="6" w:space="0" w:color="000000"/>
            </w:tcBorders>
          </w:tcPr>
          <w:p w14:paraId="59DCCB3D" w14:textId="77777777" w:rsidR="00C46175" w:rsidRPr="00D93FF9" w:rsidRDefault="00E811B8" w:rsidP="003807A1">
            <w:pPr>
              <w:pStyle w:val="TableParagraph"/>
              <w:spacing w:before="0" w:after="0"/>
              <w:rPr>
                <w:sz w:val="16"/>
                <w:lang w:val="en-GB"/>
              </w:rPr>
            </w:pPr>
            <w:r w:rsidRPr="00D93FF9">
              <w:rPr>
                <w:sz w:val="16"/>
                <w:lang w:val="en-GB"/>
              </w:rPr>
              <w:t>Wheatgrass, tall</w:t>
            </w:r>
          </w:p>
        </w:tc>
        <w:tc>
          <w:tcPr>
            <w:tcW w:w="2980" w:type="dxa"/>
            <w:tcBorders>
              <w:bottom w:val="single" w:sz="6" w:space="0" w:color="000000"/>
            </w:tcBorders>
          </w:tcPr>
          <w:p w14:paraId="59DCCB3E" w14:textId="77777777" w:rsidR="00C46175" w:rsidRPr="00D93FF9" w:rsidRDefault="00E811B8" w:rsidP="003807A1">
            <w:pPr>
              <w:pStyle w:val="TableParagraph"/>
              <w:spacing w:before="0" w:after="0"/>
              <w:rPr>
                <w:i/>
                <w:sz w:val="16"/>
                <w:lang w:val="en-GB"/>
              </w:rPr>
            </w:pPr>
            <w:r w:rsidRPr="00D93FF9">
              <w:rPr>
                <w:i/>
                <w:sz w:val="16"/>
                <w:lang w:val="en-GB"/>
              </w:rPr>
              <w:t>Agropyron elongatum</w:t>
            </w:r>
          </w:p>
        </w:tc>
        <w:tc>
          <w:tcPr>
            <w:tcW w:w="1898" w:type="dxa"/>
            <w:tcBorders>
              <w:bottom w:val="single" w:sz="6" w:space="0" w:color="000000"/>
            </w:tcBorders>
          </w:tcPr>
          <w:p w14:paraId="59DCCB3F" w14:textId="77777777" w:rsidR="00C46175" w:rsidRPr="00D93FF9" w:rsidRDefault="00E811B8" w:rsidP="002F55F0">
            <w:pPr>
              <w:pStyle w:val="TableParagraph"/>
              <w:spacing w:before="0" w:after="0"/>
              <w:jc w:val="center"/>
              <w:rPr>
                <w:sz w:val="16"/>
                <w:lang w:val="en-GB"/>
              </w:rPr>
            </w:pPr>
            <w:r w:rsidRPr="00D93FF9">
              <w:rPr>
                <w:sz w:val="16"/>
                <w:lang w:val="en-GB"/>
              </w:rPr>
              <w:t>7.5</w:t>
            </w:r>
          </w:p>
        </w:tc>
        <w:tc>
          <w:tcPr>
            <w:tcW w:w="2097" w:type="dxa"/>
            <w:tcBorders>
              <w:bottom w:val="single" w:sz="6" w:space="0" w:color="000000"/>
            </w:tcBorders>
          </w:tcPr>
          <w:p w14:paraId="59DCCB40" w14:textId="77777777" w:rsidR="00C46175" w:rsidRPr="00D93FF9" w:rsidRDefault="00E811B8" w:rsidP="002F55F0">
            <w:pPr>
              <w:pStyle w:val="TableParagraph"/>
              <w:spacing w:before="0" w:after="0"/>
              <w:jc w:val="center"/>
              <w:rPr>
                <w:sz w:val="16"/>
                <w:lang w:val="en-GB"/>
              </w:rPr>
            </w:pPr>
            <w:r w:rsidRPr="00D93FF9">
              <w:rPr>
                <w:sz w:val="16"/>
                <w:lang w:val="en-GB"/>
              </w:rPr>
              <w:t>4.2</w:t>
            </w:r>
          </w:p>
        </w:tc>
        <w:tc>
          <w:tcPr>
            <w:tcW w:w="985" w:type="dxa"/>
            <w:tcBorders>
              <w:bottom w:val="single" w:sz="6" w:space="0" w:color="000000"/>
            </w:tcBorders>
          </w:tcPr>
          <w:p w14:paraId="59DCCB41" w14:textId="77777777" w:rsidR="00C46175" w:rsidRPr="00D93FF9" w:rsidRDefault="00E811B8" w:rsidP="002F55F0">
            <w:pPr>
              <w:pStyle w:val="TableParagraph"/>
              <w:spacing w:before="0" w:after="0"/>
              <w:jc w:val="center"/>
              <w:rPr>
                <w:sz w:val="16"/>
                <w:lang w:val="en-GB"/>
              </w:rPr>
            </w:pPr>
            <w:r w:rsidRPr="00D93FF9">
              <w:rPr>
                <w:sz w:val="16"/>
                <w:lang w:val="en-GB"/>
              </w:rPr>
              <w:t>9.9</w:t>
            </w:r>
          </w:p>
        </w:tc>
        <w:tc>
          <w:tcPr>
            <w:tcW w:w="1041" w:type="dxa"/>
            <w:tcBorders>
              <w:bottom w:val="single" w:sz="6" w:space="0" w:color="000000"/>
            </w:tcBorders>
          </w:tcPr>
          <w:p w14:paraId="59DCCB42" w14:textId="77777777" w:rsidR="00C46175" w:rsidRPr="00D93FF9" w:rsidRDefault="00E811B8" w:rsidP="002F55F0">
            <w:pPr>
              <w:pStyle w:val="TableParagraph"/>
              <w:spacing w:before="0" w:after="0"/>
              <w:jc w:val="center"/>
              <w:rPr>
                <w:sz w:val="16"/>
                <w:lang w:val="en-GB"/>
              </w:rPr>
            </w:pPr>
            <w:r w:rsidRPr="00D93FF9">
              <w:rPr>
                <w:sz w:val="16"/>
                <w:lang w:val="en-GB"/>
              </w:rPr>
              <w:t>13.5</w:t>
            </w:r>
          </w:p>
        </w:tc>
        <w:tc>
          <w:tcPr>
            <w:tcW w:w="1118" w:type="dxa"/>
            <w:tcBorders>
              <w:bottom w:val="single" w:sz="6" w:space="0" w:color="000000"/>
            </w:tcBorders>
          </w:tcPr>
          <w:p w14:paraId="59DCCB43" w14:textId="77777777" w:rsidR="00C46175" w:rsidRPr="00D93FF9" w:rsidRDefault="00E811B8" w:rsidP="002F55F0">
            <w:pPr>
              <w:pStyle w:val="TableParagraph"/>
              <w:spacing w:before="0" w:after="0"/>
              <w:jc w:val="center"/>
              <w:rPr>
                <w:sz w:val="16"/>
                <w:lang w:val="en-GB"/>
              </w:rPr>
            </w:pPr>
            <w:r w:rsidRPr="00D93FF9">
              <w:rPr>
                <w:sz w:val="16"/>
                <w:lang w:val="en-GB"/>
              </w:rPr>
              <w:t>19.4</w:t>
            </w:r>
          </w:p>
        </w:tc>
        <w:tc>
          <w:tcPr>
            <w:tcW w:w="1177" w:type="dxa"/>
            <w:tcBorders>
              <w:bottom w:val="single" w:sz="6" w:space="0" w:color="000000"/>
            </w:tcBorders>
          </w:tcPr>
          <w:p w14:paraId="59DCCB44"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4E" w14:textId="77777777" w:rsidTr="002F55F0">
        <w:trPr>
          <w:trHeight w:val="243"/>
        </w:trPr>
        <w:tc>
          <w:tcPr>
            <w:tcW w:w="2147" w:type="dxa"/>
            <w:tcBorders>
              <w:top w:val="single" w:sz="6" w:space="0" w:color="000000"/>
            </w:tcBorders>
          </w:tcPr>
          <w:p w14:paraId="59DCCB46" w14:textId="77777777" w:rsidR="00C46175" w:rsidRPr="00D93FF9" w:rsidRDefault="00E811B8" w:rsidP="003807A1">
            <w:pPr>
              <w:pStyle w:val="TableParagraph"/>
              <w:spacing w:before="0" w:after="0"/>
              <w:rPr>
                <w:b/>
                <w:sz w:val="16"/>
                <w:lang w:val="en-GB"/>
              </w:rPr>
            </w:pPr>
            <w:r w:rsidRPr="00D93FF9">
              <w:rPr>
                <w:b/>
                <w:sz w:val="16"/>
                <w:lang w:val="en-GB"/>
              </w:rPr>
              <w:t>Vegetables</w:t>
            </w:r>
          </w:p>
        </w:tc>
        <w:tc>
          <w:tcPr>
            <w:tcW w:w="2977" w:type="dxa"/>
            <w:tcBorders>
              <w:top w:val="single" w:sz="6" w:space="0" w:color="000000"/>
            </w:tcBorders>
          </w:tcPr>
          <w:p w14:paraId="59DCCB47" w14:textId="77777777" w:rsidR="00C46175" w:rsidRPr="00D93FF9" w:rsidRDefault="00C46175" w:rsidP="003807A1">
            <w:pPr>
              <w:pStyle w:val="TableParagraph"/>
              <w:spacing w:before="0" w:after="0"/>
              <w:rPr>
                <w:rFonts w:ascii="Times New Roman"/>
                <w:sz w:val="14"/>
                <w:lang w:val="en-GB"/>
              </w:rPr>
            </w:pPr>
          </w:p>
        </w:tc>
        <w:tc>
          <w:tcPr>
            <w:tcW w:w="1901" w:type="dxa"/>
            <w:tcBorders>
              <w:top w:val="single" w:sz="6" w:space="0" w:color="000000"/>
            </w:tcBorders>
          </w:tcPr>
          <w:p w14:paraId="59DCCB48" w14:textId="77777777" w:rsidR="00C46175" w:rsidRPr="00D93FF9" w:rsidRDefault="00C46175" w:rsidP="002F55F0">
            <w:pPr>
              <w:pStyle w:val="TableParagraph"/>
              <w:spacing w:before="0" w:after="0"/>
              <w:jc w:val="center"/>
              <w:rPr>
                <w:rFonts w:ascii="Times New Roman"/>
                <w:sz w:val="14"/>
                <w:lang w:val="en-GB"/>
              </w:rPr>
            </w:pPr>
          </w:p>
        </w:tc>
        <w:tc>
          <w:tcPr>
            <w:tcW w:w="2097" w:type="dxa"/>
            <w:tcBorders>
              <w:top w:val="single" w:sz="6" w:space="0" w:color="000000"/>
            </w:tcBorders>
          </w:tcPr>
          <w:p w14:paraId="59DCCB49" w14:textId="77777777" w:rsidR="00C46175" w:rsidRPr="00D93FF9" w:rsidRDefault="00C46175" w:rsidP="002F55F0">
            <w:pPr>
              <w:pStyle w:val="TableParagraph"/>
              <w:spacing w:before="0" w:after="0"/>
              <w:jc w:val="center"/>
              <w:rPr>
                <w:rFonts w:ascii="Times New Roman"/>
                <w:sz w:val="14"/>
                <w:lang w:val="en-GB"/>
              </w:rPr>
            </w:pPr>
          </w:p>
        </w:tc>
        <w:tc>
          <w:tcPr>
            <w:tcW w:w="985" w:type="dxa"/>
            <w:tcBorders>
              <w:top w:val="single" w:sz="6" w:space="0" w:color="000000"/>
            </w:tcBorders>
          </w:tcPr>
          <w:p w14:paraId="59DCCB4A" w14:textId="77777777" w:rsidR="00C46175" w:rsidRPr="00D93FF9" w:rsidRDefault="00C46175" w:rsidP="002F55F0">
            <w:pPr>
              <w:pStyle w:val="TableParagraph"/>
              <w:spacing w:before="0" w:after="0"/>
              <w:jc w:val="center"/>
              <w:rPr>
                <w:rFonts w:ascii="Times New Roman"/>
                <w:sz w:val="14"/>
                <w:lang w:val="en-GB"/>
              </w:rPr>
            </w:pPr>
          </w:p>
        </w:tc>
        <w:tc>
          <w:tcPr>
            <w:tcW w:w="1041" w:type="dxa"/>
            <w:tcBorders>
              <w:top w:val="single" w:sz="6" w:space="0" w:color="000000"/>
            </w:tcBorders>
          </w:tcPr>
          <w:p w14:paraId="59DCCB4B" w14:textId="77777777" w:rsidR="00C46175" w:rsidRPr="00D93FF9" w:rsidRDefault="00C46175" w:rsidP="002F55F0">
            <w:pPr>
              <w:pStyle w:val="TableParagraph"/>
              <w:spacing w:before="0" w:after="0"/>
              <w:jc w:val="center"/>
              <w:rPr>
                <w:rFonts w:ascii="Times New Roman"/>
                <w:sz w:val="14"/>
                <w:lang w:val="en-GB"/>
              </w:rPr>
            </w:pPr>
          </w:p>
        </w:tc>
        <w:tc>
          <w:tcPr>
            <w:tcW w:w="1135" w:type="dxa"/>
            <w:tcBorders>
              <w:top w:val="single" w:sz="6" w:space="0" w:color="000000"/>
            </w:tcBorders>
          </w:tcPr>
          <w:p w14:paraId="59DCCB4C" w14:textId="77777777" w:rsidR="00C46175" w:rsidRPr="00D93FF9" w:rsidRDefault="00C46175" w:rsidP="002F55F0">
            <w:pPr>
              <w:pStyle w:val="TableParagraph"/>
              <w:spacing w:before="0" w:after="0"/>
              <w:jc w:val="center"/>
              <w:rPr>
                <w:rFonts w:ascii="Times New Roman"/>
                <w:sz w:val="14"/>
                <w:lang w:val="en-GB"/>
              </w:rPr>
            </w:pPr>
          </w:p>
        </w:tc>
        <w:tc>
          <w:tcPr>
            <w:tcW w:w="1168" w:type="dxa"/>
            <w:tcBorders>
              <w:top w:val="single" w:sz="6" w:space="0" w:color="000000"/>
            </w:tcBorders>
          </w:tcPr>
          <w:p w14:paraId="59DCCB4D" w14:textId="77777777" w:rsidR="00C46175" w:rsidRPr="00D93FF9" w:rsidRDefault="00C46175" w:rsidP="002F55F0">
            <w:pPr>
              <w:pStyle w:val="TableParagraph"/>
              <w:spacing w:before="0" w:after="0"/>
              <w:jc w:val="center"/>
              <w:rPr>
                <w:rFonts w:ascii="Times New Roman"/>
                <w:sz w:val="14"/>
                <w:lang w:val="en-GB"/>
              </w:rPr>
            </w:pPr>
          </w:p>
        </w:tc>
      </w:tr>
      <w:tr w:rsidR="00BE3AA8" w:rsidRPr="00D93FF9" w14:paraId="59DCCB57" w14:textId="77777777" w:rsidTr="002F55F0">
        <w:trPr>
          <w:trHeight w:val="264"/>
        </w:trPr>
        <w:tc>
          <w:tcPr>
            <w:tcW w:w="2147" w:type="dxa"/>
          </w:tcPr>
          <w:p w14:paraId="59DCCB4F" w14:textId="77777777" w:rsidR="00C46175" w:rsidRPr="00D93FF9" w:rsidRDefault="00E811B8" w:rsidP="003807A1">
            <w:pPr>
              <w:pStyle w:val="TableParagraph"/>
              <w:spacing w:before="0" w:after="0"/>
              <w:rPr>
                <w:sz w:val="16"/>
                <w:lang w:val="en-GB"/>
              </w:rPr>
            </w:pPr>
            <w:r w:rsidRPr="00D93FF9">
              <w:rPr>
                <w:sz w:val="16"/>
                <w:lang w:val="en-GB"/>
              </w:rPr>
              <w:t>Bean</w:t>
            </w:r>
          </w:p>
        </w:tc>
        <w:tc>
          <w:tcPr>
            <w:tcW w:w="2977" w:type="dxa"/>
          </w:tcPr>
          <w:p w14:paraId="59DCCB50" w14:textId="77777777" w:rsidR="00C46175" w:rsidRPr="00D93FF9" w:rsidRDefault="00E811B8" w:rsidP="003807A1">
            <w:pPr>
              <w:pStyle w:val="TableParagraph"/>
              <w:spacing w:before="0" w:after="0"/>
              <w:rPr>
                <w:i/>
                <w:sz w:val="16"/>
                <w:lang w:val="en-GB"/>
              </w:rPr>
            </w:pPr>
            <w:r w:rsidRPr="00D93FF9">
              <w:rPr>
                <w:i/>
                <w:sz w:val="16"/>
                <w:lang w:val="en-GB"/>
              </w:rPr>
              <w:t>Phaseolus vulgaris</w:t>
            </w:r>
          </w:p>
        </w:tc>
        <w:tc>
          <w:tcPr>
            <w:tcW w:w="1901" w:type="dxa"/>
          </w:tcPr>
          <w:p w14:paraId="59DCCB51" w14:textId="77777777" w:rsidR="00C46175" w:rsidRPr="00D93FF9" w:rsidRDefault="00E811B8" w:rsidP="002F55F0">
            <w:pPr>
              <w:pStyle w:val="TableParagraph"/>
              <w:spacing w:before="0" w:after="0"/>
              <w:jc w:val="center"/>
              <w:rPr>
                <w:sz w:val="16"/>
                <w:lang w:val="en-GB"/>
              </w:rPr>
            </w:pPr>
            <w:r w:rsidRPr="00D93FF9">
              <w:rPr>
                <w:sz w:val="16"/>
                <w:lang w:val="en-GB"/>
              </w:rPr>
              <w:t>1.0</w:t>
            </w:r>
          </w:p>
        </w:tc>
        <w:tc>
          <w:tcPr>
            <w:tcW w:w="2097" w:type="dxa"/>
          </w:tcPr>
          <w:p w14:paraId="59DCCB52" w14:textId="77777777" w:rsidR="00C46175" w:rsidRPr="00D93FF9" w:rsidRDefault="00E811B8" w:rsidP="002F55F0">
            <w:pPr>
              <w:pStyle w:val="TableParagraph"/>
              <w:spacing w:before="0" w:after="0"/>
              <w:jc w:val="center"/>
              <w:rPr>
                <w:sz w:val="16"/>
                <w:lang w:val="en-GB"/>
              </w:rPr>
            </w:pPr>
            <w:r w:rsidRPr="00D93FF9">
              <w:rPr>
                <w:sz w:val="16"/>
                <w:lang w:val="en-GB"/>
              </w:rPr>
              <w:t>18.9</w:t>
            </w:r>
          </w:p>
        </w:tc>
        <w:tc>
          <w:tcPr>
            <w:tcW w:w="985" w:type="dxa"/>
          </w:tcPr>
          <w:p w14:paraId="59DCCB53" w14:textId="77777777" w:rsidR="00C46175" w:rsidRPr="00D93FF9" w:rsidRDefault="00E811B8" w:rsidP="002F55F0">
            <w:pPr>
              <w:pStyle w:val="TableParagraph"/>
              <w:spacing w:before="0" w:after="0"/>
              <w:jc w:val="center"/>
              <w:rPr>
                <w:sz w:val="16"/>
                <w:lang w:val="en-GB"/>
              </w:rPr>
            </w:pPr>
            <w:r w:rsidRPr="00D93FF9">
              <w:rPr>
                <w:sz w:val="16"/>
                <w:lang w:val="en-GB"/>
              </w:rPr>
              <w:t>1.5</w:t>
            </w:r>
          </w:p>
        </w:tc>
        <w:tc>
          <w:tcPr>
            <w:tcW w:w="1041" w:type="dxa"/>
          </w:tcPr>
          <w:p w14:paraId="59DCCB54" w14:textId="77777777" w:rsidR="00C46175" w:rsidRPr="00D93FF9" w:rsidRDefault="00E811B8" w:rsidP="002F55F0">
            <w:pPr>
              <w:pStyle w:val="TableParagraph"/>
              <w:spacing w:before="0" w:after="0"/>
              <w:jc w:val="center"/>
              <w:rPr>
                <w:sz w:val="16"/>
                <w:lang w:val="en-GB"/>
              </w:rPr>
            </w:pPr>
            <w:r w:rsidRPr="00D93FF9">
              <w:rPr>
                <w:sz w:val="16"/>
                <w:lang w:val="en-GB"/>
              </w:rPr>
              <w:t>2.3</w:t>
            </w:r>
          </w:p>
        </w:tc>
        <w:tc>
          <w:tcPr>
            <w:tcW w:w="1135" w:type="dxa"/>
          </w:tcPr>
          <w:p w14:paraId="59DCCB55" w14:textId="77777777" w:rsidR="00C46175" w:rsidRPr="00D93FF9" w:rsidRDefault="00E811B8" w:rsidP="002F55F0">
            <w:pPr>
              <w:pStyle w:val="TableParagraph"/>
              <w:spacing w:before="0" w:after="0"/>
              <w:jc w:val="center"/>
              <w:rPr>
                <w:sz w:val="16"/>
                <w:lang w:val="en-GB"/>
              </w:rPr>
            </w:pPr>
            <w:r w:rsidRPr="00D93FF9">
              <w:rPr>
                <w:sz w:val="16"/>
                <w:lang w:val="en-GB"/>
              </w:rPr>
              <w:t>3.6</w:t>
            </w:r>
          </w:p>
        </w:tc>
        <w:tc>
          <w:tcPr>
            <w:tcW w:w="1168" w:type="dxa"/>
          </w:tcPr>
          <w:p w14:paraId="59DCCB56"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60" w14:textId="77777777" w:rsidTr="002F55F0">
        <w:trPr>
          <w:trHeight w:val="228"/>
        </w:trPr>
        <w:tc>
          <w:tcPr>
            <w:tcW w:w="2147" w:type="dxa"/>
          </w:tcPr>
          <w:p w14:paraId="59DCCB58" w14:textId="77777777" w:rsidR="00C46175" w:rsidRPr="00D93FF9" w:rsidRDefault="00E811B8" w:rsidP="003807A1">
            <w:pPr>
              <w:pStyle w:val="TableParagraph"/>
              <w:spacing w:before="0" w:after="0"/>
              <w:rPr>
                <w:sz w:val="16"/>
                <w:lang w:val="en-GB"/>
              </w:rPr>
            </w:pPr>
            <w:r w:rsidRPr="00D93FF9">
              <w:rPr>
                <w:sz w:val="16"/>
                <w:lang w:val="en-GB"/>
              </w:rPr>
              <w:t>Broadbean</w:t>
            </w:r>
          </w:p>
        </w:tc>
        <w:tc>
          <w:tcPr>
            <w:tcW w:w="2977" w:type="dxa"/>
          </w:tcPr>
          <w:p w14:paraId="59DCCB59" w14:textId="77777777" w:rsidR="00C46175" w:rsidRPr="00D93FF9" w:rsidRDefault="00E811B8" w:rsidP="003807A1">
            <w:pPr>
              <w:pStyle w:val="TableParagraph"/>
              <w:spacing w:before="0" w:after="0"/>
              <w:rPr>
                <w:i/>
                <w:sz w:val="16"/>
                <w:lang w:val="en-GB"/>
              </w:rPr>
            </w:pPr>
            <w:r w:rsidRPr="00D93FF9">
              <w:rPr>
                <w:i/>
                <w:sz w:val="16"/>
                <w:lang w:val="en-GB"/>
              </w:rPr>
              <w:t>Vicia faba</w:t>
            </w:r>
          </w:p>
        </w:tc>
        <w:tc>
          <w:tcPr>
            <w:tcW w:w="1901" w:type="dxa"/>
          </w:tcPr>
          <w:p w14:paraId="59DCCB5A" w14:textId="77777777" w:rsidR="00C46175" w:rsidRPr="00D93FF9" w:rsidRDefault="00E811B8" w:rsidP="002F55F0">
            <w:pPr>
              <w:pStyle w:val="TableParagraph"/>
              <w:spacing w:before="0" w:after="0"/>
              <w:jc w:val="center"/>
              <w:rPr>
                <w:sz w:val="16"/>
                <w:lang w:val="en-GB"/>
              </w:rPr>
            </w:pPr>
            <w:r w:rsidRPr="00D93FF9">
              <w:rPr>
                <w:sz w:val="16"/>
                <w:lang w:val="en-GB"/>
              </w:rPr>
              <w:t>1.6</w:t>
            </w:r>
          </w:p>
        </w:tc>
        <w:tc>
          <w:tcPr>
            <w:tcW w:w="2097" w:type="dxa"/>
          </w:tcPr>
          <w:p w14:paraId="59DCCB5B" w14:textId="77777777" w:rsidR="00C46175" w:rsidRPr="00D93FF9" w:rsidRDefault="00E811B8" w:rsidP="002F55F0">
            <w:pPr>
              <w:pStyle w:val="TableParagraph"/>
              <w:spacing w:before="0" w:after="0"/>
              <w:jc w:val="center"/>
              <w:rPr>
                <w:sz w:val="16"/>
                <w:lang w:val="en-GB"/>
              </w:rPr>
            </w:pPr>
            <w:r w:rsidRPr="00D93FF9">
              <w:rPr>
                <w:sz w:val="16"/>
                <w:lang w:val="en-GB"/>
              </w:rPr>
              <w:t>9.6</w:t>
            </w:r>
          </w:p>
        </w:tc>
        <w:tc>
          <w:tcPr>
            <w:tcW w:w="985" w:type="dxa"/>
          </w:tcPr>
          <w:p w14:paraId="59DCCB5C" w14:textId="77777777" w:rsidR="00C46175" w:rsidRPr="00D93FF9" w:rsidRDefault="00E811B8" w:rsidP="002F55F0">
            <w:pPr>
              <w:pStyle w:val="TableParagraph"/>
              <w:spacing w:before="0" w:after="0"/>
              <w:jc w:val="center"/>
              <w:rPr>
                <w:sz w:val="16"/>
                <w:lang w:val="en-GB"/>
              </w:rPr>
            </w:pPr>
            <w:r w:rsidRPr="00D93FF9">
              <w:rPr>
                <w:sz w:val="16"/>
                <w:lang w:val="en-GB"/>
              </w:rPr>
              <w:t>2.6</w:t>
            </w:r>
          </w:p>
        </w:tc>
        <w:tc>
          <w:tcPr>
            <w:tcW w:w="1041" w:type="dxa"/>
          </w:tcPr>
          <w:p w14:paraId="59DCCB5D" w14:textId="77777777" w:rsidR="00C46175" w:rsidRPr="00D93FF9" w:rsidRDefault="00E811B8" w:rsidP="002F55F0">
            <w:pPr>
              <w:pStyle w:val="TableParagraph"/>
              <w:spacing w:before="0" w:after="0"/>
              <w:jc w:val="center"/>
              <w:rPr>
                <w:sz w:val="16"/>
                <w:lang w:val="en-GB"/>
              </w:rPr>
            </w:pPr>
            <w:r w:rsidRPr="00D93FF9">
              <w:rPr>
                <w:sz w:val="16"/>
                <w:lang w:val="en-GB"/>
              </w:rPr>
              <w:t>4.2</w:t>
            </w:r>
          </w:p>
        </w:tc>
        <w:tc>
          <w:tcPr>
            <w:tcW w:w="1135" w:type="dxa"/>
          </w:tcPr>
          <w:p w14:paraId="59DCCB5E" w14:textId="77777777" w:rsidR="00C46175" w:rsidRPr="00D93FF9" w:rsidRDefault="00E811B8" w:rsidP="002F55F0">
            <w:pPr>
              <w:pStyle w:val="TableParagraph"/>
              <w:spacing w:before="0" w:after="0"/>
              <w:jc w:val="center"/>
              <w:rPr>
                <w:sz w:val="16"/>
                <w:lang w:val="en-GB"/>
              </w:rPr>
            </w:pPr>
            <w:r w:rsidRPr="00D93FF9">
              <w:rPr>
                <w:sz w:val="16"/>
                <w:lang w:val="en-GB"/>
              </w:rPr>
              <w:t>6.8</w:t>
            </w:r>
          </w:p>
        </w:tc>
        <w:tc>
          <w:tcPr>
            <w:tcW w:w="1168" w:type="dxa"/>
          </w:tcPr>
          <w:p w14:paraId="59DCCB5F"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69" w14:textId="77777777" w:rsidTr="002F55F0">
        <w:trPr>
          <w:trHeight w:val="227"/>
        </w:trPr>
        <w:tc>
          <w:tcPr>
            <w:tcW w:w="2147" w:type="dxa"/>
          </w:tcPr>
          <w:p w14:paraId="59DCCB61" w14:textId="77777777" w:rsidR="00C46175" w:rsidRPr="00D93FF9" w:rsidRDefault="00E811B8" w:rsidP="003807A1">
            <w:pPr>
              <w:pStyle w:val="TableParagraph"/>
              <w:spacing w:before="0" w:after="0"/>
              <w:rPr>
                <w:sz w:val="16"/>
                <w:lang w:val="en-GB"/>
              </w:rPr>
            </w:pPr>
            <w:r w:rsidRPr="00D93FF9">
              <w:rPr>
                <w:sz w:val="16"/>
                <w:lang w:val="en-GB"/>
              </w:rPr>
              <w:t>Broccoli</w:t>
            </w:r>
          </w:p>
        </w:tc>
        <w:tc>
          <w:tcPr>
            <w:tcW w:w="2977" w:type="dxa"/>
          </w:tcPr>
          <w:p w14:paraId="59DCCB62" w14:textId="77777777" w:rsidR="00C46175" w:rsidRPr="00D93FF9" w:rsidRDefault="00E811B8" w:rsidP="003807A1">
            <w:pPr>
              <w:pStyle w:val="TableParagraph"/>
              <w:spacing w:before="0" w:after="0"/>
              <w:rPr>
                <w:i/>
                <w:sz w:val="16"/>
                <w:lang w:val="en-GB"/>
              </w:rPr>
            </w:pPr>
            <w:r w:rsidRPr="00D93FF9">
              <w:rPr>
                <w:i/>
                <w:sz w:val="16"/>
                <w:lang w:val="en-GB"/>
              </w:rPr>
              <w:t>Brassica oleracea</w:t>
            </w:r>
          </w:p>
        </w:tc>
        <w:tc>
          <w:tcPr>
            <w:tcW w:w="1901" w:type="dxa"/>
          </w:tcPr>
          <w:p w14:paraId="59DCCB63" w14:textId="77777777" w:rsidR="00C46175" w:rsidRPr="00D93FF9" w:rsidRDefault="00E811B8" w:rsidP="002F55F0">
            <w:pPr>
              <w:pStyle w:val="TableParagraph"/>
              <w:spacing w:before="0" w:after="0"/>
              <w:jc w:val="center"/>
              <w:rPr>
                <w:sz w:val="16"/>
                <w:lang w:val="en-GB"/>
              </w:rPr>
            </w:pPr>
            <w:r w:rsidRPr="00D93FF9">
              <w:rPr>
                <w:sz w:val="16"/>
                <w:lang w:val="en-GB"/>
              </w:rPr>
              <w:t>2.8</w:t>
            </w:r>
          </w:p>
        </w:tc>
        <w:tc>
          <w:tcPr>
            <w:tcW w:w="2097" w:type="dxa"/>
          </w:tcPr>
          <w:p w14:paraId="59DCCB64" w14:textId="77777777" w:rsidR="00C46175" w:rsidRPr="00D93FF9" w:rsidRDefault="00E811B8" w:rsidP="002F55F0">
            <w:pPr>
              <w:pStyle w:val="TableParagraph"/>
              <w:spacing w:before="0" w:after="0"/>
              <w:jc w:val="center"/>
              <w:rPr>
                <w:sz w:val="16"/>
                <w:lang w:val="en-GB"/>
              </w:rPr>
            </w:pPr>
            <w:r w:rsidRPr="00D93FF9">
              <w:rPr>
                <w:sz w:val="16"/>
                <w:lang w:val="en-GB"/>
              </w:rPr>
              <w:t>9.1</w:t>
            </w:r>
          </w:p>
        </w:tc>
        <w:tc>
          <w:tcPr>
            <w:tcW w:w="985" w:type="dxa"/>
          </w:tcPr>
          <w:p w14:paraId="59DCCB65" w14:textId="77777777" w:rsidR="00C46175" w:rsidRPr="00D93FF9" w:rsidRDefault="00E811B8" w:rsidP="002F55F0">
            <w:pPr>
              <w:pStyle w:val="TableParagraph"/>
              <w:spacing w:before="0" w:after="0"/>
              <w:jc w:val="center"/>
              <w:rPr>
                <w:sz w:val="16"/>
                <w:lang w:val="en-GB"/>
              </w:rPr>
            </w:pPr>
            <w:r w:rsidRPr="00D93FF9">
              <w:rPr>
                <w:sz w:val="16"/>
                <w:lang w:val="en-GB"/>
              </w:rPr>
              <w:t>3.9</w:t>
            </w:r>
          </w:p>
        </w:tc>
        <w:tc>
          <w:tcPr>
            <w:tcW w:w="1041" w:type="dxa"/>
          </w:tcPr>
          <w:p w14:paraId="59DCCB66" w14:textId="77777777" w:rsidR="00C46175" w:rsidRPr="00D93FF9" w:rsidRDefault="00E811B8" w:rsidP="002F55F0">
            <w:pPr>
              <w:pStyle w:val="TableParagraph"/>
              <w:spacing w:before="0" w:after="0"/>
              <w:jc w:val="center"/>
              <w:rPr>
                <w:sz w:val="16"/>
                <w:lang w:val="en-GB"/>
              </w:rPr>
            </w:pPr>
            <w:r w:rsidRPr="00D93FF9">
              <w:rPr>
                <w:sz w:val="16"/>
                <w:lang w:val="en-GB"/>
              </w:rPr>
              <w:t>5.5</w:t>
            </w:r>
          </w:p>
        </w:tc>
        <w:tc>
          <w:tcPr>
            <w:tcW w:w="1135" w:type="dxa"/>
          </w:tcPr>
          <w:p w14:paraId="59DCCB67" w14:textId="77777777" w:rsidR="00C46175" w:rsidRPr="00D93FF9" w:rsidRDefault="00E811B8" w:rsidP="002F55F0">
            <w:pPr>
              <w:pStyle w:val="TableParagraph"/>
              <w:spacing w:before="0" w:after="0"/>
              <w:jc w:val="center"/>
              <w:rPr>
                <w:sz w:val="16"/>
                <w:lang w:val="en-GB"/>
              </w:rPr>
            </w:pPr>
            <w:r w:rsidRPr="00D93FF9">
              <w:rPr>
                <w:sz w:val="16"/>
                <w:lang w:val="en-GB"/>
              </w:rPr>
              <w:t>8.3</w:t>
            </w:r>
          </w:p>
        </w:tc>
        <w:tc>
          <w:tcPr>
            <w:tcW w:w="1168" w:type="dxa"/>
          </w:tcPr>
          <w:p w14:paraId="59DCCB68"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72" w14:textId="77777777" w:rsidTr="002F55F0">
        <w:trPr>
          <w:trHeight w:val="228"/>
        </w:trPr>
        <w:tc>
          <w:tcPr>
            <w:tcW w:w="2147" w:type="dxa"/>
          </w:tcPr>
          <w:p w14:paraId="59DCCB6A" w14:textId="77777777" w:rsidR="00C46175" w:rsidRPr="00D93FF9" w:rsidRDefault="00E811B8" w:rsidP="003807A1">
            <w:pPr>
              <w:pStyle w:val="TableParagraph"/>
              <w:spacing w:before="0" w:after="0"/>
              <w:rPr>
                <w:sz w:val="16"/>
                <w:lang w:val="en-GB"/>
              </w:rPr>
            </w:pPr>
            <w:r w:rsidRPr="00D93FF9">
              <w:rPr>
                <w:sz w:val="16"/>
                <w:lang w:val="en-GB"/>
              </w:rPr>
              <w:t>Cabbage</w:t>
            </w:r>
          </w:p>
        </w:tc>
        <w:tc>
          <w:tcPr>
            <w:tcW w:w="2977" w:type="dxa"/>
          </w:tcPr>
          <w:p w14:paraId="59DCCB6B" w14:textId="77777777" w:rsidR="00C46175" w:rsidRPr="00D93FF9" w:rsidRDefault="00E811B8" w:rsidP="003807A1">
            <w:pPr>
              <w:pStyle w:val="TableParagraph"/>
              <w:spacing w:before="0" w:after="0"/>
              <w:rPr>
                <w:i/>
                <w:sz w:val="16"/>
                <w:lang w:val="en-GB"/>
              </w:rPr>
            </w:pPr>
            <w:r w:rsidRPr="00D93FF9">
              <w:rPr>
                <w:i/>
                <w:sz w:val="16"/>
                <w:lang w:val="en-GB"/>
              </w:rPr>
              <w:t>Brassica oleracea (</w:t>
            </w:r>
            <w:r w:rsidRPr="00D93FF9">
              <w:rPr>
                <w:sz w:val="16"/>
                <w:lang w:val="en-GB"/>
              </w:rPr>
              <w:t xml:space="preserve">var </w:t>
            </w:r>
            <w:r w:rsidRPr="00D93FF9">
              <w:rPr>
                <w:i/>
                <w:sz w:val="16"/>
                <w:lang w:val="en-GB"/>
              </w:rPr>
              <w:t>Capitata)</w:t>
            </w:r>
          </w:p>
        </w:tc>
        <w:tc>
          <w:tcPr>
            <w:tcW w:w="1901" w:type="dxa"/>
          </w:tcPr>
          <w:p w14:paraId="59DCCB6C" w14:textId="77777777" w:rsidR="00C46175" w:rsidRPr="00D93FF9" w:rsidRDefault="00E811B8" w:rsidP="002F55F0">
            <w:pPr>
              <w:pStyle w:val="TableParagraph"/>
              <w:spacing w:before="0" w:after="0"/>
              <w:jc w:val="center"/>
              <w:rPr>
                <w:sz w:val="16"/>
                <w:lang w:val="en-GB"/>
              </w:rPr>
            </w:pPr>
            <w:r w:rsidRPr="00D93FF9">
              <w:rPr>
                <w:sz w:val="16"/>
                <w:lang w:val="en-GB"/>
              </w:rPr>
              <w:t>1.8</w:t>
            </w:r>
          </w:p>
        </w:tc>
        <w:tc>
          <w:tcPr>
            <w:tcW w:w="2097" w:type="dxa"/>
          </w:tcPr>
          <w:p w14:paraId="59DCCB6D" w14:textId="77777777" w:rsidR="00C46175" w:rsidRPr="00D93FF9" w:rsidRDefault="00E811B8" w:rsidP="002F55F0">
            <w:pPr>
              <w:pStyle w:val="TableParagraph"/>
              <w:spacing w:before="0" w:after="0"/>
              <w:jc w:val="center"/>
              <w:rPr>
                <w:sz w:val="16"/>
                <w:lang w:val="en-GB"/>
              </w:rPr>
            </w:pPr>
            <w:r w:rsidRPr="00D93FF9">
              <w:rPr>
                <w:sz w:val="16"/>
                <w:lang w:val="en-GB"/>
              </w:rPr>
              <w:t>9.7</w:t>
            </w:r>
          </w:p>
        </w:tc>
        <w:tc>
          <w:tcPr>
            <w:tcW w:w="985" w:type="dxa"/>
          </w:tcPr>
          <w:p w14:paraId="59DCCB6E" w14:textId="77777777" w:rsidR="00C46175" w:rsidRPr="00D93FF9" w:rsidRDefault="00E811B8" w:rsidP="002F55F0">
            <w:pPr>
              <w:pStyle w:val="TableParagraph"/>
              <w:spacing w:before="0" w:after="0"/>
              <w:jc w:val="center"/>
              <w:rPr>
                <w:sz w:val="16"/>
                <w:lang w:val="en-GB"/>
              </w:rPr>
            </w:pPr>
            <w:r w:rsidRPr="00D93FF9">
              <w:rPr>
                <w:sz w:val="16"/>
                <w:lang w:val="en-GB"/>
              </w:rPr>
              <w:t>2.8</w:t>
            </w:r>
          </w:p>
        </w:tc>
        <w:tc>
          <w:tcPr>
            <w:tcW w:w="1041" w:type="dxa"/>
          </w:tcPr>
          <w:p w14:paraId="59DCCB6F" w14:textId="77777777" w:rsidR="00C46175" w:rsidRPr="00D93FF9" w:rsidRDefault="00E811B8" w:rsidP="002F55F0">
            <w:pPr>
              <w:pStyle w:val="TableParagraph"/>
              <w:spacing w:before="0" w:after="0"/>
              <w:jc w:val="center"/>
              <w:rPr>
                <w:sz w:val="16"/>
                <w:lang w:val="en-GB"/>
              </w:rPr>
            </w:pPr>
            <w:r w:rsidRPr="00D93FF9">
              <w:rPr>
                <w:sz w:val="16"/>
                <w:lang w:val="en-GB"/>
              </w:rPr>
              <w:t>4.4</w:t>
            </w:r>
          </w:p>
        </w:tc>
        <w:tc>
          <w:tcPr>
            <w:tcW w:w="1135" w:type="dxa"/>
          </w:tcPr>
          <w:p w14:paraId="59DCCB70" w14:textId="77777777" w:rsidR="00C46175" w:rsidRPr="00D93FF9" w:rsidRDefault="00E811B8" w:rsidP="002F55F0">
            <w:pPr>
              <w:pStyle w:val="TableParagraph"/>
              <w:spacing w:before="0" w:after="0"/>
              <w:jc w:val="center"/>
              <w:rPr>
                <w:sz w:val="16"/>
                <w:lang w:val="en-GB"/>
              </w:rPr>
            </w:pPr>
            <w:r w:rsidRPr="00D93FF9">
              <w:rPr>
                <w:sz w:val="16"/>
                <w:lang w:val="en-GB"/>
              </w:rPr>
              <w:t>7.0</w:t>
            </w:r>
          </w:p>
        </w:tc>
        <w:tc>
          <w:tcPr>
            <w:tcW w:w="1168" w:type="dxa"/>
          </w:tcPr>
          <w:p w14:paraId="59DCCB71"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7B" w14:textId="77777777" w:rsidTr="002F55F0">
        <w:trPr>
          <w:trHeight w:val="227"/>
        </w:trPr>
        <w:tc>
          <w:tcPr>
            <w:tcW w:w="2147" w:type="dxa"/>
          </w:tcPr>
          <w:p w14:paraId="59DCCB73" w14:textId="77777777" w:rsidR="00C46175" w:rsidRPr="00D93FF9" w:rsidRDefault="00E811B8" w:rsidP="003807A1">
            <w:pPr>
              <w:pStyle w:val="TableParagraph"/>
              <w:spacing w:before="0" w:after="0"/>
              <w:rPr>
                <w:sz w:val="16"/>
                <w:lang w:val="en-GB"/>
              </w:rPr>
            </w:pPr>
            <w:r w:rsidRPr="00D93FF9">
              <w:rPr>
                <w:sz w:val="16"/>
                <w:lang w:val="en-GB"/>
              </w:rPr>
              <w:t>Carrot</w:t>
            </w:r>
          </w:p>
        </w:tc>
        <w:tc>
          <w:tcPr>
            <w:tcW w:w="2977" w:type="dxa"/>
          </w:tcPr>
          <w:p w14:paraId="59DCCB74" w14:textId="77777777" w:rsidR="00C46175" w:rsidRPr="00D93FF9" w:rsidRDefault="00E811B8" w:rsidP="003807A1">
            <w:pPr>
              <w:pStyle w:val="TableParagraph"/>
              <w:spacing w:before="0" w:after="0"/>
              <w:rPr>
                <w:i/>
                <w:sz w:val="16"/>
                <w:lang w:val="en-GB"/>
              </w:rPr>
            </w:pPr>
            <w:r w:rsidRPr="00D93FF9">
              <w:rPr>
                <w:i/>
                <w:sz w:val="16"/>
                <w:lang w:val="en-GB"/>
              </w:rPr>
              <w:t>Daucus carota</w:t>
            </w:r>
          </w:p>
        </w:tc>
        <w:tc>
          <w:tcPr>
            <w:tcW w:w="1901" w:type="dxa"/>
          </w:tcPr>
          <w:p w14:paraId="59DCCB75" w14:textId="77777777" w:rsidR="00C46175" w:rsidRPr="00D93FF9" w:rsidRDefault="00E811B8" w:rsidP="002F55F0">
            <w:pPr>
              <w:pStyle w:val="TableParagraph"/>
              <w:spacing w:before="0" w:after="0"/>
              <w:jc w:val="center"/>
              <w:rPr>
                <w:sz w:val="16"/>
                <w:lang w:val="en-GB"/>
              </w:rPr>
            </w:pPr>
            <w:r w:rsidRPr="00D93FF9">
              <w:rPr>
                <w:sz w:val="16"/>
                <w:lang w:val="en-GB"/>
              </w:rPr>
              <w:t>1.0</w:t>
            </w:r>
          </w:p>
        </w:tc>
        <w:tc>
          <w:tcPr>
            <w:tcW w:w="2097" w:type="dxa"/>
          </w:tcPr>
          <w:p w14:paraId="59DCCB76" w14:textId="77777777" w:rsidR="00C46175" w:rsidRPr="00D93FF9" w:rsidRDefault="00E811B8" w:rsidP="002F55F0">
            <w:pPr>
              <w:pStyle w:val="TableParagraph"/>
              <w:spacing w:before="0" w:after="0"/>
              <w:jc w:val="center"/>
              <w:rPr>
                <w:sz w:val="16"/>
                <w:lang w:val="en-GB"/>
              </w:rPr>
            </w:pPr>
            <w:r w:rsidRPr="00D93FF9">
              <w:rPr>
                <w:sz w:val="16"/>
                <w:lang w:val="en-GB"/>
              </w:rPr>
              <w:t>14.1</w:t>
            </w:r>
          </w:p>
        </w:tc>
        <w:tc>
          <w:tcPr>
            <w:tcW w:w="985" w:type="dxa"/>
          </w:tcPr>
          <w:p w14:paraId="59DCCB77" w14:textId="77777777" w:rsidR="00C46175" w:rsidRPr="00D93FF9" w:rsidRDefault="00E811B8" w:rsidP="002F55F0">
            <w:pPr>
              <w:pStyle w:val="TableParagraph"/>
              <w:spacing w:before="0" w:after="0"/>
              <w:jc w:val="center"/>
              <w:rPr>
                <w:sz w:val="16"/>
                <w:lang w:val="en-GB"/>
              </w:rPr>
            </w:pPr>
            <w:r w:rsidRPr="00D93FF9">
              <w:rPr>
                <w:sz w:val="16"/>
                <w:lang w:val="en-GB"/>
              </w:rPr>
              <w:t>1.7</w:t>
            </w:r>
          </w:p>
        </w:tc>
        <w:tc>
          <w:tcPr>
            <w:tcW w:w="1041" w:type="dxa"/>
          </w:tcPr>
          <w:p w14:paraId="59DCCB78" w14:textId="77777777" w:rsidR="00C46175" w:rsidRPr="00D93FF9" w:rsidRDefault="00E811B8" w:rsidP="002F55F0">
            <w:pPr>
              <w:pStyle w:val="TableParagraph"/>
              <w:spacing w:before="0" w:after="0"/>
              <w:jc w:val="center"/>
              <w:rPr>
                <w:sz w:val="16"/>
                <w:lang w:val="en-GB"/>
              </w:rPr>
            </w:pPr>
            <w:r w:rsidRPr="00D93FF9">
              <w:rPr>
                <w:sz w:val="16"/>
                <w:lang w:val="en-GB"/>
              </w:rPr>
              <w:t>2.8</w:t>
            </w:r>
          </w:p>
        </w:tc>
        <w:tc>
          <w:tcPr>
            <w:tcW w:w="1135" w:type="dxa"/>
          </w:tcPr>
          <w:p w14:paraId="59DCCB79" w14:textId="77777777" w:rsidR="00C46175" w:rsidRPr="00D93FF9" w:rsidRDefault="00E811B8" w:rsidP="002F55F0">
            <w:pPr>
              <w:pStyle w:val="TableParagraph"/>
              <w:spacing w:before="0" w:after="0"/>
              <w:jc w:val="center"/>
              <w:rPr>
                <w:sz w:val="16"/>
                <w:lang w:val="en-GB"/>
              </w:rPr>
            </w:pPr>
            <w:r w:rsidRPr="00D93FF9">
              <w:rPr>
                <w:sz w:val="16"/>
                <w:lang w:val="en-GB"/>
              </w:rPr>
              <w:t>4.5</w:t>
            </w:r>
          </w:p>
        </w:tc>
        <w:tc>
          <w:tcPr>
            <w:tcW w:w="1168" w:type="dxa"/>
          </w:tcPr>
          <w:p w14:paraId="59DCCB7A"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84" w14:textId="77777777" w:rsidTr="002F55F0">
        <w:trPr>
          <w:trHeight w:val="228"/>
        </w:trPr>
        <w:tc>
          <w:tcPr>
            <w:tcW w:w="2147" w:type="dxa"/>
          </w:tcPr>
          <w:p w14:paraId="59DCCB7C" w14:textId="77777777" w:rsidR="00C46175" w:rsidRPr="00D93FF9" w:rsidRDefault="00E811B8" w:rsidP="003807A1">
            <w:pPr>
              <w:pStyle w:val="TableParagraph"/>
              <w:spacing w:before="0" w:after="0"/>
              <w:rPr>
                <w:sz w:val="16"/>
                <w:lang w:val="en-GB"/>
              </w:rPr>
            </w:pPr>
            <w:r w:rsidRPr="00D93FF9">
              <w:rPr>
                <w:sz w:val="16"/>
                <w:lang w:val="en-GB"/>
              </w:rPr>
              <w:t>Cauliflower</w:t>
            </w:r>
          </w:p>
        </w:tc>
        <w:tc>
          <w:tcPr>
            <w:tcW w:w="2977" w:type="dxa"/>
          </w:tcPr>
          <w:p w14:paraId="59DCCB7D" w14:textId="77777777" w:rsidR="00C46175" w:rsidRPr="00D93FF9" w:rsidRDefault="00E811B8" w:rsidP="003807A1">
            <w:pPr>
              <w:pStyle w:val="TableParagraph"/>
              <w:spacing w:before="0" w:after="0"/>
              <w:rPr>
                <w:i/>
                <w:sz w:val="16"/>
                <w:lang w:val="en-GB"/>
              </w:rPr>
            </w:pPr>
            <w:r w:rsidRPr="00D93FF9">
              <w:rPr>
                <w:i/>
                <w:sz w:val="16"/>
                <w:lang w:val="en-GB"/>
              </w:rPr>
              <w:t>Brassica oleracea</w:t>
            </w:r>
          </w:p>
        </w:tc>
        <w:tc>
          <w:tcPr>
            <w:tcW w:w="1901" w:type="dxa"/>
          </w:tcPr>
          <w:p w14:paraId="59DCCB7E" w14:textId="77777777" w:rsidR="00C46175" w:rsidRPr="00D93FF9" w:rsidRDefault="00E811B8" w:rsidP="002F55F0">
            <w:pPr>
              <w:pStyle w:val="TableParagraph"/>
              <w:spacing w:before="0" w:after="0"/>
              <w:jc w:val="center"/>
              <w:rPr>
                <w:sz w:val="16"/>
                <w:lang w:val="en-GB"/>
              </w:rPr>
            </w:pPr>
            <w:r w:rsidRPr="00D93FF9">
              <w:rPr>
                <w:sz w:val="16"/>
                <w:lang w:val="en-GB"/>
              </w:rPr>
              <w:t>2.5</w:t>
            </w:r>
          </w:p>
        </w:tc>
        <w:tc>
          <w:tcPr>
            <w:tcW w:w="2097" w:type="dxa"/>
          </w:tcPr>
          <w:p w14:paraId="59DCCB7F"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B80"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B81"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B82"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B83"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B8D" w14:textId="77777777" w:rsidTr="002F55F0">
        <w:trPr>
          <w:trHeight w:val="228"/>
        </w:trPr>
        <w:tc>
          <w:tcPr>
            <w:tcW w:w="2147" w:type="dxa"/>
          </w:tcPr>
          <w:p w14:paraId="59DCCB85" w14:textId="77777777" w:rsidR="00C46175" w:rsidRPr="00D93FF9" w:rsidRDefault="00E811B8" w:rsidP="003807A1">
            <w:pPr>
              <w:pStyle w:val="TableParagraph"/>
              <w:spacing w:before="0" w:after="0"/>
              <w:rPr>
                <w:sz w:val="16"/>
                <w:lang w:val="en-GB"/>
              </w:rPr>
            </w:pPr>
            <w:r w:rsidRPr="00D93FF9">
              <w:rPr>
                <w:sz w:val="16"/>
                <w:lang w:val="en-GB"/>
              </w:rPr>
              <w:t>Celery</w:t>
            </w:r>
          </w:p>
        </w:tc>
        <w:tc>
          <w:tcPr>
            <w:tcW w:w="2977" w:type="dxa"/>
          </w:tcPr>
          <w:p w14:paraId="59DCCB86" w14:textId="77777777" w:rsidR="00C46175" w:rsidRPr="00D93FF9" w:rsidRDefault="00E811B8" w:rsidP="003807A1">
            <w:pPr>
              <w:pStyle w:val="TableParagraph"/>
              <w:spacing w:before="0" w:after="0"/>
              <w:rPr>
                <w:i/>
                <w:sz w:val="16"/>
                <w:lang w:val="en-GB"/>
              </w:rPr>
            </w:pPr>
            <w:r w:rsidRPr="00D93FF9">
              <w:rPr>
                <w:i/>
                <w:sz w:val="16"/>
                <w:lang w:val="en-GB"/>
              </w:rPr>
              <w:t>Apium graveolens</w:t>
            </w:r>
          </w:p>
        </w:tc>
        <w:tc>
          <w:tcPr>
            <w:tcW w:w="1901" w:type="dxa"/>
          </w:tcPr>
          <w:p w14:paraId="59DCCB87" w14:textId="77777777" w:rsidR="00C46175" w:rsidRPr="00D93FF9" w:rsidRDefault="00E811B8" w:rsidP="002F55F0">
            <w:pPr>
              <w:pStyle w:val="TableParagraph"/>
              <w:spacing w:before="0" w:after="0"/>
              <w:jc w:val="center"/>
              <w:rPr>
                <w:sz w:val="16"/>
                <w:lang w:val="en-GB"/>
              </w:rPr>
            </w:pPr>
            <w:r w:rsidRPr="00D93FF9">
              <w:rPr>
                <w:sz w:val="16"/>
                <w:lang w:val="en-GB"/>
              </w:rPr>
              <w:t>1.8</w:t>
            </w:r>
          </w:p>
        </w:tc>
        <w:tc>
          <w:tcPr>
            <w:tcW w:w="2097" w:type="dxa"/>
          </w:tcPr>
          <w:p w14:paraId="59DCCB88" w14:textId="77777777" w:rsidR="00C46175" w:rsidRPr="00D93FF9" w:rsidRDefault="00E811B8" w:rsidP="002F55F0">
            <w:pPr>
              <w:pStyle w:val="TableParagraph"/>
              <w:spacing w:before="0" w:after="0"/>
              <w:jc w:val="center"/>
              <w:rPr>
                <w:sz w:val="16"/>
                <w:lang w:val="en-GB"/>
              </w:rPr>
            </w:pPr>
            <w:r w:rsidRPr="00D93FF9">
              <w:rPr>
                <w:sz w:val="16"/>
                <w:lang w:val="en-GB"/>
              </w:rPr>
              <w:t>6.2</w:t>
            </w:r>
          </w:p>
        </w:tc>
        <w:tc>
          <w:tcPr>
            <w:tcW w:w="985" w:type="dxa"/>
          </w:tcPr>
          <w:p w14:paraId="59DCCB89" w14:textId="77777777" w:rsidR="00C46175" w:rsidRPr="00D93FF9" w:rsidRDefault="00E811B8" w:rsidP="002F55F0">
            <w:pPr>
              <w:pStyle w:val="TableParagraph"/>
              <w:spacing w:before="0" w:after="0"/>
              <w:jc w:val="center"/>
              <w:rPr>
                <w:sz w:val="16"/>
                <w:lang w:val="en-GB"/>
              </w:rPr>
            </w:pPr>
            <w:r w:rsidRPr="00D93FF9">
              <w:rPr>
                <w:sz w:val="16"/>
                <w:lang w:val="en-GB"/>
              </w:rPr>
              <w:t>3.4</w:t>
            </w:r>
          </w:p>
        </w:tc>
        <w:tc>
          <w:tcPr>
            <w:tcW w:w="1041" w:type="dxa"/>
          </w:tcPr>
          <w:p w14:paraId="59DCCB8A" w14:textId="77777777" w:rsidR="00C46175" w:rsidRPr="00D93FF9" w:rsidRDefault="00E811B8" w:rsidP="002F55F0">
            <w:pPr>
              <w:pStyle w:val="TableParagraph"/>
              <w:spacing w:before="0" w:after="0"/>
              <w:jc w:val="center"/>
              <w:rPr>
                <w:sz w:val="16"/>
                <w:lang w:val="en-GB"/>
              </w:rPr>
            </w:pPr>
            <w:r w:rsidRPr="00D93FF9">
              <w:rPr>
                <w:sz w:val="16"/>
                <w:lang w:val="en-GB"/>
              </w:rPr>
              <w:t>5.8</w:t>
            </w:r>
          </w:p>
        </w:tc>
        <w:tc>
          <w:tcPr>
            <w:tcW w:w="1135" w:type="dxa"/>
          </w:tcPr>
          <w:p w14:paraId="59DCCB8B" w14:textId="77777777" w:rsidR="00C46175" w:rsidRPr="00D93FF9" w:rsidRDefault="00E811B8" w:rsidP="002F55F0">
            <w:pPr>
              <w:pStyle w:val="TableParagraph"/>
              <w:spacing w:before="0" w:after="0"/>
              <w:jc w:val="center"/>
              <w:rPr>
                <w:sz w:val="16"/>
                <w:lang w:val="en-GB"/>
              </w:rPr>
            </w:pPr>
            <w:r w:rsidRPr="00D93FF9">
              <w:rPr>
                <w:sz w:val="16"/>
                <w:lang w:val="en-GB"/>
              </w:rPr>
              <w:t>9.9</w:t>
            </w:r>
          </w:p>
        </w:tc>
        <w:tc>
          <w:tcPr>
            <w:tcW w:w="1168" w:type="dxa"/>
          </w:tcPr>
          <w:p w14:paraId="59DCCB8C" w14:textId="77777777" w:rsidR="00C46175" w:rsidRPr="00D93FF9" w:rsidRDefault="00E811B8" w:rsidP="002F55F0">
            <w:pPr>
              <w:pStyle w:val="TableParagraph"/>
              <w:spacing w:before="0" w:after="0"/>
              <w:jc w:val="center"/>
              <w:rPr>
                <w:sz w:val="16"/>
                <w:lang w:val="en-GB"/>
              </w:rPr>
            </w:pPr>
            <w:r w:rsidRPr="00D93FF9">
              <w:rPr>
                <w:sz w:val="16"/>
                <w:lang w:val="en-GB"/>
              </w:rPr>
              <w:t>4</w:t>
            </w:r>
          </w:p>
        </w:tc>
      </w:tr>
      <w:tr w:rsidR="00BE3AA8" w:rsidRPr="00D93FF9" w14:paraId="59DCCB96" w14:textId="77777777" w:rsidTr="002F55F0">
        <w:trPr>
          <w:trHeight w:val="227"/>
        </w:trPr>
        <w:tc>
          <w:tcPr>
            <w:tcW w:w="2147" w:type="dxa"/>
          </w:tcPr>
          <w:p w14:paraId="59DCCB8E" w14:textId="77777777" w:rsidR="00C46175" w:rsidRPr="00D93FF9" w:rsidRDefault="00E811B8" w:rsidP="003807A1">
            <w:pPr>
              <w:pStyle w:val="TableParagraph"/>
              <w:spacing w:before="0" w:after="0"/>
              <w:rPr>
                <w:sz w:val="16"/>
                <w:lang w:val="en-GB"/>
              </w:rPr>
            </w:pPr>
            <w:r w:rsidRPr="00D93FF9">
              <w:rPr>
                <w:sz w:val="16"/>
                <w:lang w:val="en-GB"/>
              </w:rPr>
              <w:t>Cucumber</w:t>
            </w:r>
          </w:p>
        </w:tc>
        <w:tc>
          <w:tcPr>
            <w:tcW w:w="2977" w:type="dxa"/>
          </w:tcPr>
          <w:p w14:paraId="59DCCB8F" w14:textId="77777777" w:rsidR="00C46175" w:rsidRPr="00D93FF9" w:rsidRDefault="00E811B8" w:rsidP="003807A1">
            <w:pPr>
              <w:pStyle w:val="TableParagraph"/>
              <w:spacing w:before="0" w:after="0"/>
              <w:rPr>
                <w:i/>
                <w:sz w:val="16"/>
                <w:lang w:val="en-GB"/>
              </w:rPr>
            </w:pPr>
            <w:r w:rsidRPr="00D93FF9">
              <w:rPr>
                <w:i/>
                <w:sz w:val="16"/>
                <w:lang w:val="en-GB"/>
              </w:rPr>
              <w:t>Cucumis sativus</w:t>
            </w:r>
          </w:p>
        </w:tc>
        <w:tc>
          <w:tcPr>
            <w:tcW w:w="1901" w:type="dxa"/>
          </w:tcPr>
          <w:p w14:paraId="59DCCB90" w14:textId="77777777" w:rsidR="00C46175" w:rsidRPr="00D93FF9" w:rsidRDefault="00E811B8" w:rsidP="002F55F0">
            <w:pPr>
              <w:pStyle w:val="TableParagraph"/>
              <w:spacing w:before="0" w:after="0"/>
              <w:jc w:val="center"/>
              <w:rPr>
                <w:sz w:val="16"/>
                <w:lang w:val="en-GB"/>
              </w:rPr>
            </w:pPr>
            <w:r w:rsidRPr="00D93FF9">
              <w:rPr>
                <w:sz w:val="16"/>
                <w:lang w:val="en-GB"/>
              </w:rPr>
              <w:t>2.5</w:t>
            </w:r>
          </w:p>
        </w:tc>
        <w:tc>
          <w:tcPr>
            <w:tcW w:w="2097" w:type="dxa"/>
          </w:tcPr>
          <w:p w14:paraId="59DCCB91" w14:textId="77777777" w:rsidR="00C46175" w:rsidRPr="00D93FF9" w:rsidRDefault="00E811B8" w:rsidP="002F55F0">
            <w:pPr>
              <w:pStyle w:val="TableParagraph"/>
              <w:spacing w:before="0" w:after="0"/>
              <w:jc w:val="center"/>
              <w:rPr>
                <w:sz w:val="16"/>
                <w:lang w:val="en-GB"/>
              </w:rPr>
            </w:pPr>
            <w:r w:rsidRPr="00D93FF9">
              <w:rPr>
                <w:sz w:val="16"/>
                <w:lang w:val="en-GB"/>
              </w:rPr>
              <w:t>13.0</w:t>
            </w:r>
          </w:p>
        </w:tc>
        <w:tc>
          <w:tcPr>
            <w:tcW w:w="985" w:type="dxa"/>
          </w:tcPr>
          <w:p w14:paraId="59DCCB92" w14:textId="77777777" w:rsidR="00C46175" w:rsidRPr="00D93FF9" w:rsidRDefault="00E811B8" w:rsidP="002F55F0">
            <w:pPr>
              <w:pStyle w:val="TableParagraph"/>
              <w:spacing w:before="0" w:after="0"/>
              <w:jc w:val="center"/>
              <w:rPr>
                <w:sz w:val="16"/>
                <w:lang w:val="en-GB"/>
              </w:rPr>
            </w:pPr>
            <w:r w:rsidRPr="00D93FF9">
              <w:rPr>
                <w:sz w:val="16"/>
                <w:lang w:val="en-GB"/>
              </w:rPr>
              <w:t>3.3</w:t>
            </w:r>
          </w:p>
        </w:tc>
        <w:tc>
          <w:tcPr>
            <w:tcW w:w="1041" w:type="dxa"/>
          </w:tcPr>
          <w:p w14:paraId="59DCCB93" w14:textId="77777777" w:rsidR="00C46175" w:rsidRPr="00D93FF9" w:rsidRDefault="00E811B8" w:rsidP="002F55F0">
            <w:pPr>
              <w:pStyle w:val="TableParagraph"/>
              <w:spacing w:before="0" w:after="0"/>
              <w:jc w:val="center"/>
              <w:rPr>
                <w:sz w:val="16"/>
                <w:lang w:val="en-GB"/>
              </w:rPr>
            </w:pPr>
            <w:r w:rsidRPr="00D93FF9">
              <w:rPr>
                <w:sz w:val="16"/>
                <w:lang w:val="en-GB"/>
              </w:rPr>
              <w:t>4.4</w:t>
            </w:r>
          </w:p>
        </w:tc>
        <w:tc>
          <w:tcPr>
            <w:tcW w:w="1135" w:type="dxa"/>
          </w:tcPr>
          <w:p w14:paraId="59DCCB94" w14:textId="77777777" w:rsidR="00C46175" w:rsidRPr="00D93FF9" w:rsidRDefault="00E811B8" w:rsidP="002F55F0">
            <w:pPr>
              <w:pStyle w:val="TableParagraph"/>
              <w:spacing w:before="0" w:after="0"/>
              <w:jc w:val="center"/>
              <w:rPr>
                <w:sz w:val="16"/>
                <w:lang w:val="en-GB"/>
              </w:rPr>
            </w:pPr>
            <w:r w:rsidRPr="00D93FF9">
              <w:rPr>
                <w:sz w:val="16"/>
                <w:lang w:val="en-GB"/>
              </w:rPr>
              <w:t>6.3</w:t>
            </w:r>
          </w:p>
        </w:tc>
        <w:tc>
          <w:tcPr>
            <w:tcW w:w="1168" w:type="dxa"/>
          </w:tcPr>
          <w:p w14:paraId="59DCCB95"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9F" w14:textId="77777777" w:rsidTr="002F55F0">
        <w:trPr>
          <w:trHeight w:val="227"/>
        </w:trPr>
        <w:tc>
          <w:tcPr>
            <w:tcW w:w="2147" w:type="dxa"/>
          </w:tcPr>
          <w:p w14:paraId="59DCCB97" w14:textId="77777777" w:rsidR="00C46175" w:rsidRPr="00D93FF9" w:rsidRDefault="00E811B8" w:rsidP="003807A1">
            <w:pPr>
              <w:pStyle w:val="TableParagraph"/>
              <w:spacing w:before="0" w:after="0"/>
              <w:rPr>
                <w:sz w:val="16"/>
                <w:lang w:val="en-GB"/>
              </w:rPr>
            </w:pPr>
            <w:r w:rsidRPr="00D93FF9">
              <w:rPr>
                <w:sz w:val="16"/>
                <w:lang w:val="en-GB"/>
              </w:rPr>
              <w:t>Eggplant</w:t>
            </w:r>
          </w:p>
        </w:tc>
        <w:tc>
          <w:tcPr>
            <w:tcW w:w="2977" w:type="dxa"/>
          </w:tcPr>
          <w:p w14:paraId="59DCCB98" w14:textId="77777777" w:rsidR="00C46175" w:rsidRPr="00D93FF9" w:rsidRDefault="00E811B8" w:rsidP="003807A1">
            <w:pPr>
              <w:pStyle w:val="TableParagraph"/>
              <w:spacing w:before="0" w:after="0"/>
              <w:rPr>
                <w:i/>
                <w:sz w:val="16"/>
                <w:lang w:val="en-GB"/>
              </w:rPr>
            </w:pPr>
            <w:r w:rsidRPr="00D93FF9">
              <w:rPr>
                <w:i/>
                <w:sz w:val="16"/>
                <w:lang w:val="en-GB"/>
              </w:rPr>
              <w:t>Solanum melongena</w:t>
            </w:r>
          </w:p>
        </w:tc>
        <w:tc>
          <w:tcPr>
            <w:tcW w:w="1901" w:type="dxa"/>
          </w:tcPr>
          <w:p w14:paraId="59DCCB99" w14:textId="77777777" w:rsidR="00C46175" w:rsidRPr="00D93FF9" w:rsidRDefault="00E811B8" w:rsidP="002F55F0">
            <w:pPr>
              <w:pStyle w:val="TableParagraph"/>
              <w:spacing w:before="0" w:after="0"/>
              <w:jc w:val="center"/>
              <w:rPr>
                <w:sz w:val="16"/>
                <w:lang w:val="en-GB"/>
              </w:rPr>
            </w:pPr>
            <w:r w:rsidRPr="00D93FF9">
              <w:rPr>
                <w:sz w:val="16"/>
                <w:lang w:val="en-GB"/>
              </w:rPr>
              <w:t>1.1</w:t>
            </w:r>
          </w:p>
        </w:tc>
        <w:tc>
          <w:tcPr>
            <w:tcW w:w="2097" w:type="dxa"/>
          </w:tcPr>
          <w:p w14:paraId="59DCCB9A" w14:textId="77777777" w:rsidR="00C46175" w:rsidRPr="00D93FF9" w:rsidRDefault="00E811B8" w:rsidP="002F55F0">
            <w:pPr>
              <w:pStyle w:val="TableParagraph"/>
              <w:spacing w:before="0" w:after="0"/>
              <w:jc w:val="center"/>
              <w:rPr>
                <w:sz w:val="16"/>
                <w:lang w:val="en-GB"/>
              </w:rPr>
            </w:pPr>
            <w:r w:rsidRPr="00D93FF9">
              <w:rPr>
                <w:sz w:val="16"/>
                <w:lang w:val="en-GB"/>
              </w:rPr>
              <w:t>6.9</w:t>
            </w:r>
          </w:p>
        </w:tc>
        <w:tc>
          <w:tcPr>
            <w:tcW w:w="985" w:type="dxa"/>
          </w:tcPr>
          <w:p w14:paraId="59DCCB9B" w14:textId="77777777" w:rsidR="00C46175" w:rsidRPr="00D93FF9" w:rsidRDefault="00E811B8" w:rsidP="002F55F0">
            <w:pPr>
              <w:pStyle w:val="TableParagraph"/>
              <w:spacing w:before="0" w:after="0"/>
              <w:jc w:val="center"/>
              <w:rPr>
                <w:sz w:val="16"/>
                <w:lang w:val="en-GB"/>
              </w:rPr>
            </w:pPr>
            <w:r w:rsidRPr="00D93FF9">
              <w:rPr>
                <w:sz w:val="16"/>
                <w:lang w:val="en-GB"/>
              </w:rPr>
              <w:t>2.5</w:t>
            </w:r>
          </w:p>
        </w:tc>
        <w:tc>
          <w:tcPr>
            <w:tcW w:w="1041" w:type="dxa"/>
          </w:tcPr>
          <w:p w14:paraId="59DCCB9C" w14:textId="77777777" w:rsidR="00C46175" w:rsidRPr="00D93FF9" w:rsidRDefault="00E811B8" w:rsidP="002F55F0">
            <w:pPr>
              <w:pStyle w:val="TableParagraph"/>
              <w:spacing w:before="0" w:after="0"/>
              <w:jc w:val="center"/>
              <w:rPr>
                <w:sz w:val="16"/>
                <w:lang w:val="en-GB"/>
              </w:rPr>
            </w:pPr>
            <w:r w:rsidRPr="00D93FF9">
              <w:rPr>
                <w:sz w:val="16"/>
                <w:lang w:val="en-GB"/>
              </w:rPr>
              <w:t>4.7</w:t>
            </w:r>
          </w:p>
        </w:tc>
        <w:tc>
          <w:tcPr>
            <w:tcW w:w="1135" w:type="dxa"/>
          </w:tcPr>
          <w:p w14:paraId="59DCCB9D" w14:textId="77777777" w:rsidR="00C46175" w:rsidRPr="00D93FF9" w:rsidRDefault="00E811B8" w:rsidP="002F55F0">
            <w:pPr>
              <w:pStyle w:val="TableParagraph"/>
              <w:spacing w:before="0" w:after="0"/>
              <w:jc w:val="center"/>
              <w:rPr>
                <w:sz w:val="16"/>
                <w:lang w:val="en-GB"/>
              </w:rPr>
            </w:pPr>
            <w:r w:rsidRPr="00D93FF9">
              <w:rPr>
                <w:sz w:val="16"/>
                <w:lang w:val="en-GB"/>
              </w:rPr>
              <w:t>8.3</w:t>
            </w:r>
          </w:p>
        </w:tc>
        <w:tc>
          <w:tcPr>
            <w:tcW w:w="1168" w:type="dxa"/>
          </w:tcPr>
          <w:p w14:paraId="59DCCB9E" w14:textId="77777777" w:rsidR="00C46175" w:rsidRPr="00D93FF9" w:rsidRDefault="00E811B8" w:rsidP="002F55F0">
            <w:pPr>
              <w:pStyle w:val="TableParagraph"/>
              <w:spacing w:before="0" w:after="0"/>
              <w:jc w:val="center"/>
              <w:rPr>
                <w:sz w:val="16"/>
                <w:lang w:val="en-GB"/>
              </w:rPr>
            </w:pPr>
            <w:r w:rsidRPr="00D93FF9">
              <w:rPr>
                <w:sz w:val="16"/>
                <w:lang w:val="en-GB"/>
              </w:rPr>
              <w:t>8</w:t>
            </w:r>
          </w:p>
        </w:tc>
      </w:tr>
      <w:tr w:rsidR="00BE3AA8" w:rsidRPr="00D93FF9" w14:paraId="59DCCBA8" w14:textId="77777777" w:rsidTr="002F55F0">
        <w:trPr>
          <w:trHeight w:val="227"/>
        </w:trPr>
        <w:tc>
          <w:tcPr>
            <w:tcW w:w="2147" w:type="dxa"/>
          </w:tcPr>
          <w:p w14:paraId="59DCCBA0" w14:textId="77777777" w:rsidR="00C46175" w:rsidRPr="00D93FF9" w:rsidRDefault="00E811B8" w:rsidP="003807A1">
            <w:pPr>
              <w:pStyle w:val="TableParagraph"/>
              <w:spacing w:before="0" w:after="0"/>
              <w:rPr>
                <w:sz w:val="16"/>
                <w:lang w:val="en-GB"/>
              </w:rPr>
            </w:pPr>
            <w:r w:rsidRPr="00D93FF9">
              <w:rPr>
                <w:sz w:val="16"/>
                <w:lang w:val="en-GB"/>
              </w:rPr>
              <w:t>Kale</w:t>
            </w:r>
          </w:p>
        </w:tc>
        <w:tc>
          <w:tcPr>
            <w:tcW w:w="2977" w:type="dxa"/>
          </w:tcPr>
          <w:p w14:paraId="59DCCBA1" w14:textId="77777777" w:rsidR="00C46175" w:rsidRPr="00D93FF9" w:rsidRDefault="00E811B8" w:rsidP="003807A1">
            <w:pPr>
              <w:pStyle w:val="TableParagraph"/>
              <w:spacing w:before="0" w:after="0"/>
              <w:rPr>
                <w:i/>
                <w:sz w:val="16"/>
                <w:lang w:val="en-GB"/>
              </w:rPr>
            </w:pPr>
            <w:r w:rsidRPr="00D93FF9">
              <w:rPr>
                <w:i/>
                <w:sz w:val="16"/>
                <w:lang w:val="en-GB"/>
              </w:rPr>
              <w:t>Brassica campestris</w:t>
            </w:r>
          </w:p>
        </w:tc>
        <w:tc>
          <w:tcPr>
            <w:tcW w:w="1901" w:type="dxa"/>
          </w:tcPr>
          <w:p w14:paraId="59DCCBA2" w14:textId="77777777" w:rsidR="00C46175" w:rsidRPr="00D93FF9" w:rsidRDefault="00E811B8" w:rsidP="002F55F0">
            <w:pPr>
              <w:pStyle w:val="TableParagraph"/>
              <w:spacing w:before="0" w:after="0"/>
              <w:jc w:val="center"/>
              <w:rPr>
                <w:sz w:val="16"/>
                <w:lang w:val="en-GB"/>
              </w:rPr>
            </w:pPr>
            <w:r w:rsidRPr="00D93FF9">
              <w:rPr>
                <w:sz w:val="16"/>
                <w:lang w:val="en-GB"/>
              </w:rPr>
              <w:t>6.5</w:t>
            </w:r>
          </w:p>
        </w:tc>
        <w:tc>
          <w:tcPr>
            <w:tcW w:w="2097" w:type="dxa"/>
          </w:tcPr>
          <w:p w14:paraId="59DCCBA3"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BA4"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BA5"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BA6"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BA7"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BB1" w14:textId="77777777" w:rsidTr="002F55F0">
        <w:trPr>
          <w:trHeight w:val="228"/>
        </w:trPr>
        <w:tc>
          <w:tcPr>
            <w:tcW w:w="2147" w:type="dxa"/>
          </w:tcPr>
          <w:p w14:paraId="59DCCBA9" w14:textId="77777777" w:rsidR="00C46175" w:rsidRPr="00D93FF9" w:rsidRDefault="00E811B8" w:rsidP="003807A1">
            <w:pPr>
              <w:pStyle w:val="TableParagraph"/>
              <w:spacing w:before="0" w:after="0"/>
              <w:rPr>
                <w:sz w:val="16"/>
                <w:lang w:val="en-GB"/>
              </w:rPr>
            </w:pPr>
            <w:r w:rsidRPr="00D93FF9">
              <w:rPr>
                <w:sz w:val="16"/>
                <w:lang w:val="en-GB"/>
              </w:rPr>
              <w:t>Lettuce</w:t>
            </w:r>
          </w:p>
        </w:tc>
        <w:tc>
          <w:tcPr>
            <w:tcW w:w="2977" w:type="dxa"/>
          </w:tcPr>
          <w:p w14:paraId="59DCCBAA" w14:textId="77777777" w:rsidR="00C46175" w:rsidRPr="00D93FF9" w:rsidRDefault="00E811B8" w:rsidP="003807A1">
            <w:pPr>
              <w:pStyle w:val="TableParagraph"/>
              <w:spacing w:before="0" w:after="0"/>
              <w:rPr>
                <w:i/>
                <w:sz w:val="16"/>
                <w:lang w:val="en-GB"/>
              </w:rPr>
            </w:pPr>
            <w:r w:rsidRPr="00D93FF9">
              <w:rPr>
                <w:i/>
                <w:sz w:val="16"/>
                <w:lang w:val="en-GB"/>
              </w:rPr>
              <w:t>Latuca sativa</w:t>
            </w:r>
          </w:p>
        </w:tc>
        <w:tc>
          <w:tcPr>
            <w:tcW w:w="1901" w:type="dxa"/>
          </w:tcPr>
          <w:p w14:paraId="59DCCBAB" w14:textId="77777777" w:rsidR="00C46175" w:rsidRPr="00D93FF9" w:rsidRDefault="00E811B8" w:rsidP="002F55F0">
            <w:pPr>
              <w:pStyle w:val="TableParagraph"/>
              <w:spacing w:before="0" w:after="0"/>
              <w:jc w:val="center"/>
              <w:rPr>
                <w:sz w:val="16"/>
                <w:lang w:val="en-GB"/>
              </w:rPr>
            </w:pPr>
            <w:r w:rsidRPr="00D93FF9">
              <w:rPr>
                <w:sz w:val="16"/>
                <w:lang w:val="en-GB"/>
              </w:rPr>
              <w:t>1.3</w:t>
            </w:r>
          </w:p>
        </w:tc>
        <w:tc>
          <w:tcPr>
            <w:tcW w:w="2097" w:type="dxa"/>
          </w:tcPr>
          <w:p w14:paraId="59DCCBAC" w14:textId="77777777" w:rsidR="00C46175" w:rsidRPr="00D93FF9" w:rsidRDefault="00E811B8" w:rsidP="002F55F0">
            <w:pPr>
              <w:pStyle w:val="TableParagraph"/>
              <w:spacing w:before="0" w:after="0"/>
              <w:jc w:val="center"/>
              <w:rPr>
                <w:sz w:val="16"/>
                <w:lang w:val="en-GB"/>
              </w:rPr>
            </w:pPr>
            <w:r w:rsidRPr="00D93FF9">
              <w:rPr>
                <w:sz w:val="16"/>
                <w:lang w:val="en-GB"/>
              </w:rPr>
              <w:t>13.0</w:t>
            </w:r>
          </w:p>
        </w:tc>
        <w:tc>
          <w:tcPr>
            <w:tcW w:w="985" w:type="dxa"/>
          </w:tcPr>
          <w:p w14:paraId="59DCCBAD" w14:textId="77777777" w:rsidR="00C46175" w:rsidRPr="00D93FF9" w:rsidRDefault="00E811B8" w:rsidP="002F55F0">
            <w:pPr>
              <w:pStyle w:val="TableParagraph"/>
              <w:spacing w:before="0" w:after="0"/>
              <w:jc w:val="center"/>
              <w:rPr>
                <w:sz w:val="16"/>
                <w:lang w:val="en-GB"/>
              </w:rPr>
            </w:pPr>
            <w:r w:rsidRPr="00D93FF9">
              <w:rPr>
                <w:sz w:val="16"/>
                <w:lang w:val="en-GB"/>
              </w:rPr>
              <w:t>2.1</w:t>
            </w:r>
          </w:p>
        </w:tc>
        <w:tc>
          <w:tcPr>
            <w:tcW w:w="1041" w:type="dxa"/>
          </w:tcPr>
          <w:p w14:paraId="59DCCBAE" w14:textId="77777777" w:rsidR="00C46175" w:rsidRPr="00D93FF9" w:rsidRDefault="00E811B8" w:rsidP="002F55F0">
            <w:pPr>
              <w:pStyle w:val="TableParagraph"/>
              <w:spacing w:before="0" w:after="0"/>
              <w:jc w:val="center"/>
              <w:rPr>
                <w:sz w:val="16"/>
                <w:lang w:val="en-GB"/>
              </w:rPr>
            </w:pPr>
            <w:r w:rsidRPr="00D93FF9">
              <w:rPr>
                <w:sz w:val="16"/>
                <w:lang w:val="en-GB"/>
              </w:rPr>
              <w:t>3.2</w:t>
            </w:r>
          </w:p>
        </w:tc>
        <w:tc>
          <w:tcPr>
            <w:tcW w:w="1135" w:type="dxa"/>
          </w:tcPr>
          <w:p w14:paraId="59DCCBAF" w14:textId="77777777" w:rsidR="00C46175" w:rsidRPr="00D93FF9" w:rsidRDefault="00E811B8" w:rsidP="002F55F0">
            <w:pPr>
              <w:pStyle w:val="TableParagraph"/>
              <w:spacing w:before="0" w:after="0"/>
              <w:jc w:val="center"/>
              <w:rPr>
                <w:sz w:val="16"/>
                <w:lang w:val="en-GB"/>
              </w:rPr>
            </w:pPr>
            <w:r w:rsidRPr="00D93FF9">
              <w:rPr>
                <w:sz w:val="16"/>
                <w:lang w:val="en-GB"/>
              </w:rPr>
              <w:t>5.1</w:t>
            </w:r>
          </w:p>
        </w:tc>
        <w:tc>
          <w:tcPr>
            <w:tcW w:w="1168" w:type="dxa"/>
          </w:tcPr>
          <w:p w14:paraId="59DCCBB0"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BA" w14:textId="77777777" w:rsidTr="002F55F0">
        <w:trPr>
          <w:trHeight w:val="227"/>
        </w:trPr>
        <w:tc>
          <w:tcPr>
            <w:tcW w:w="2147" w:type="dxa"/>
          </w:tcPr>
          <w:p w14:paraId="59DCCBB2" w14:textId="77777777" w:rsidR="00C46175" w:rsidRPr="00D93FF9" w:rsidRDefault="00E811B8" w:rsidP="003807A1">
            <w:pPr>
              <w:pStyle w:val="TableParagraph"/>
              <w:spacing w:before="0" w:after="0"/>
              <w:rPr>
                <w:sz w:val="16"/>
                <w:lang w:val="en-GB"/>
              </w:rPr>
            </w:pPr>
            <w:r w:rsidRPr="00D93FF9">
              <w:rPr>
                <w:sz w:val="16"/>
                <w:lang w:val="en-GB"/>
              </w:rPr>
              <w:t>Pea</w:t>
            </w:r>
          </w:p>
        </w:tc>
        <w:tc>
          <w:tcPr>
            <w:tcW w:w="2977" w:type="dxa"/>
          </w:tcPr>
          <w:p w14:paraId="59DCCBB3" w14:textId="77777777" w:rsidR="00C46175" w:rsidRPr="00D93FF9" w:rsidRDefault="00E811B8" w:rsidP="003807A1">
            <w:pPr>
              <w:pStyle w:val="TableParagraph"/>
              <w:spacing w:before="0" w:after="0"/>
              <w:rPr>
                <w:i/>
                <w:sz w:val="16"/>
                <w:lang w:val="en-GB"/>
              </w:rPr>
            </w:pPr>
            <w:r w:rsidRPr="00D93FF9">
              <w:rPr>
                <w:i/>
                <w:sz w:val="16"/>
                <w:lang w:val="en-GB"/>
              </w:rPr>
              <w:t>Pisum sativum L.</w:t>
            </w:r>
          </w:p>
        </w:tc>
        <w:tc>
          <w:tcPr>
            <w:tcW w:w="1901" w:type="dxa"/>
          </w:tcPr>
          <w:p w14:paraId="59DCCBB4" w14:textId="77777777" w:rsidR="00C46175" w:rsidRPr="00D93FF9" w:rsidRDefault="00E811B8" w:rsidP="002F55F0">
            <w:pPr>
              <w:pStyle w:val="TableParagraph"/>
              <w:spacing w:before="0" w:after="0"/>
              <w:jc w:val="center"/>
              <w:rPr>
                <w:sz w:val="16"/>
                <w:lang w:val="en-GB"/>
              </w:rPr>
            </w:pPr>
            <w:r w:rsidRPr="00D93FF9">
              <w:rPr>
                <w:sz w:val="16"/>
                <w:lang w:val="en-GB"/>
              </w:rPr>
              <w:t>2.5</w:t>
            </w:r>
          </w:p>
        </w:tc>
        <w:tc>
          <w:tcPr>
            <w:tcW w:w="2097" w:type="dxa"/>
          </w:tcPr>
          <w:p w14:paraId="59DCCBB5"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BB6"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BB7"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BB8"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BB9"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BC3" w14:textId="77777777" w:rsidTr="002F55F0">
        <w:trPr>
          <w:trHeight w:val="228"/>
        </w:trPr>
        <w:tc>
          <w:tcPr>
            <w:tcW w:w="2147" w:type="dxa"/>
          </w:tcPr>
          <w:p w14:paraId="59DCCBBB" w14:textId="77777777" w:rsidR="00C46175" w:rsidRPr="00D93FF9" w:rsidRDefault="00E811B8" w:rsidP="003807A1">
            <w:pPr>
              <w:pStyle w:val="TableParagraph"/>
              <w:spacing w:before="0" w:after="0"/>
              <w:rPr>
                <w:sz w:val="16"/>
                <w:lang w:val="en-GB"/>
              </w:rPr>
            </w:pPr>
            <w:r w:rsidRPr="00D93FF9">
              <w:rPr>
                <w:sz w:val="16"/>
                <w:lang w:val="en-GB"/>
              </w:rPr>
              <w:t>Pepper</w:t>
            </w:r>
          </w:p>
        </w:tc>
        <w:tc>
          <w:tcPr>
            <w:tcW w:w="2977" w:type="dxa"/>
          </w:tcPr>
          <w:p w14:paraId="59DCCBBC" w14:textId="77777777" w:rsidR="00C46175" w:rsidRPr="00D93FF9" w:rsidRDefault="00E811B8" w:rsidP="003807A1">
            <w:pPr>
              <w:pStyle w:val="TableParagraph"/>
              <w:spacing w:before="0" w:after="0"/>
              <w:rPr>
                <w:i/>
                <w:sz w:val="16"/>
                <w:lang w:val="en-GB"/>
              </w:rPr>
            </w:pPr>
            <w:r w:rsidRPr="00D93FF9">
              <w:rPr>
                <w:i/>
                <w:sz w:val="16"/>
                <w:lang w:val="en-GB"/>
              </w:rPr>
              <w:t>Capsicum annum</w:t>
            </w:r>
          </w:p>
        </w:tc>
        <w:tc>
          <w:tcPr>
            <w:tcW w:w="1901" w:type="dxa"/>
          </w:tcPr>
          <w:p w14:paraId="59DCCBBD" w14:textId="77777777" w:rsidR="00C46175" w:rsidRPr="00D93FF9" w:rsidRDefault="00E811B8" w:rsidP="002F55F0">
            <w:pPr>
              <w:pStyle w:val="TableParagraph"/>
              <w:spacing w:before="0" w:after="0"/>
              <w:jc w:val="center"/>
              <w:rPr>
                <w:sz w:val="16"/>
                <w:lang w:val="en-GB"/>
              </w:rPr>
            </w:pPr>
            <w:r w:rsidRPr="00D93FF9">
              <w:rPr>
                <w:sz w:val="16"/>
                <w:lang w:val="en-GB"/>
              </w:rPr>
              <w:t>1.5</w:t>
            </w:r>
          </w:p>
        </w:tc>
        <w:tc>
          <w:tcPr>
            <w:tcW w:w="2097" w:type="dxa"/>
          </w:tcPr>
          <w:p w14:paraId="59DCCBBE" w14:textId="77777777" w:rsidR="00C46175" w:rsidRPr="00D93FF9" w:rsidRDefault="00E811B8" w:rsidP="002F55F0">
            <w:pPr>
              <w:pStyle w:val="TableParagraph"/>
              <w:spacing w:before="0" w:after="0"/>
              <w:jc w:val="center"/>
              <w:rPr>
                <w:sz w:val="16"/>
                <w:lang w:val="en-GB"/>
              </w:rPr>
            </w:pPr>
            <w:r w:rsidRPr="00D93FF9">
              <w:rPr>
                <w:sz w:val="16"/>
                <w:lang w:val="en-GB"/>
              </w:rPr>
              <w:t>14.1</w:t>
            </w:r>
          </w:p>
        </w:tc>
        <w:tc>
          <w:tcPr>
            <w:tcW w:w="985" w:type="dxa"/>
          </w:tcPr>
          <w:p w14:paraId="59DCCBBF" w14:textId="77777777" w:rsidR="00C46175" w:rsidRPr="00D93FF9" w:rsidRDefault="00E811B8" w:rsidP="002F55F0">
            <w:pPr>
              <w:pStyle w:val="TableParagraph"/>
              <w:spacing w:before="0" w:after="0"/>
              <w:jc w:val="center"/>
              <w:rPr>
                <w:sz w:val="16"/>
                <w:lang w:val="en-GB"/>
              </w:rPr>
            </w:pPr>
            <w:r w:rsidRPr="00D93FF9">
              <w:rPr>
                <w:sz w:val="16"/>
                <w:lang w:val="en-GB"/>
              </w:rPr>
              <w:t>2.2</w:t>
            </w:r>
          </w:p>
        </w:tc>
        <w:tc>
          <w:tcPr>
            <w:tcW w:w="1041" w:type="dxa"/>
          </w:tcPr>
          <w:p w14:paraId="59DCCBC0" w14:textId="77777777" w:rsidR="00C46175" w:rsidRPr="00D93FF9" w:rsidRDefault="00E811B8" w:rsidP="002F55F0">
            <w:pPr>
              <w:pStyle w:val="TableParagraph"/>
              <w:spacing w:before="0" w:after="0"/>
              <w:jc w:val="center"/>
              <w:rPr>
                <w:sz w:val="16"/>
                <w:lang w:val="en-GB"/>
              </w:rPr>
            </w:pPr>
            <w:r w:rsidRPr="00D93FF9">
              <w:rPr>
                <w:sz w:val="16"/>
                <w:lang w:val="en-GB"/>
              </w:rPr>
              <w:t>3.3</w:t>
            </w:r>
          </w:p>
        </w:tc>
        <w:tc>
          <w:tcPr>
            <w:tcW w:w="1135" w:type="dxa"/>
          </w:tcPr>
          <w:p w14:paraId="59DCCBC1" w14:textId="77777777" w:rsidR="00C46175" w:rsidRPr="00D93FF9" w:rsidRDefault="00E811B8" w:rsidP="002F55F0">
            <w:pPr>
              <w:pStyle w:val="TableParagraph"/>
              <w:spacing w:before="0" w:after="0"/>
              <w:jc w:val="center"/>
              <w:rPr>
                <w:sz w:val="16"/>
                <w:lang w:val="en-GB"/>
              </w:rPr>
            </w:pPr>
            <w:r w:rsidRPr="00D93FF9">
              <w:rPr>
                <w:sz w:val="16"/>
                <w:lang w:val="en-GB"/>
              </w:rPr>
              <w:t>5.0</w:t>
            </w:r>
          </w:p>
        </w:tc>
        <w:tc>
          <w:tcPr>
            <w:tcW w:w="1168" w:type="dxa"/>
          </w:tcPr>
          <w:p w14:paraId="59DCCBC2" w14:textId="77777777" w:rsidR="00C46175" w:rsidRPr="00D93FF9" w:rsidRDefault="00E811B8" w:rsidP="002F55F0">
            <w:pPr>
              <w:pStyle w:val="TableParagraph"/>
              <w:spacing w:before="0" w:after="0"/>
              <w:jc w:val="center"/>
              <w:rPr>
                <w:sz w:val="16"/>
                <w:lang w:val="en-GB"/>
              </w:rPr>
            </w:pPr>
            <w:r w:rsidRPr="00D93FF9">
              <w:rPr>
                <w:sz w:val="16"/>
                <w:lang w:val="en-GB"/>
              </w:rPr>
              <w:t>9</w:t>
            </w:r>
          </w:p>
        </w:tc>
      </w:tr>
      <w:tr w:rsidR="00BE3AA8" w:rsidRPr="00D93FF9" w14:paraId="59DCCBCC" w14:textId="77777777" w:rsidTr="002F55F0">
        <w:trPr>
          <w:trHeight w:val="227"/>
        </w:trPr>
        <w:tc>
          <w:tcPr>
            <w:tcW w:w="2147" w:type="dxa"/>
          </w:tcPr>
          <w:p w14:paraId="59DCCBC4" w14:textId="77777777" w:rsidR="00C46175" w:rsidRPr="00D93FF9" w:rsidRDefault="00E811B8" w:rsidP="003807A1">
            <w:pPr>
              <w:pStyle w:val="TableParagraph"/>
              <w:spacing w:before="0" w:after="0"/>
              <w:rPr>
                <w:sz w:val="16"/>
                <w:lang w:val="en-GB"/>
              </w:rPr>
            </w:pPr>
            <w:r w:rsidRPr="00D93FF9">
              <w:rPr>
                <w:sz w:val="16"/>
                <w:lang w:val="en-GB"/>
              </w:rPr>
              <w:t>Rosemary</w:t>
            </w:r>
          </w:p>
        </w:tc>
        <w:tc>
          <w:tcPr>
            <w:tcW w:w="2977" w:type="dxa"/>
          </w:tcPr>
          <w:p w14:paraId="59DCCBC5" w14:textId="77777777" w:rsidR="00C46175" w:rsidRPr="00D93FF9" w:rsidRDefault="00E811B8" w:rsidP="003807A1">
            <w:pPr>
              <w:pStyle w:val="TableParagraph"/>
              <w:spacing w:before="0" w:after="0"/>
              <w:rPr>
                <w:i/>
                <w:sz w:val="16"/>
                <w:lang w:val="en-GB"/>
              </w:rPr>
            </w:pPr>
            <w:r w:rsidRPr="00D93FF9">
              <w:rPr>
                <w:i/>
                <w:sz w:val="16"/>
                <w:lang w:val="en-GB"/>
              </w:rPr>
              <w:t>Rosmarinus lockwoodii</w:t>
            </w:r>
          </w:p>
        </w:tc>
        <w:tc>
          <w:tcPr>
            <w:tcW w:w="1901" w:type="dxa"/>
          </w:tcPr>
          <w:p w14:paraId="59DCCBC6" w14:textId="77777777" w:rsidR="00C46175" w:rsidRPr="00D93FF9" w:rsidRDefault="00E811B8" w:rsidP="002F55F0">
            <w:pPr>
              <w:pStyle w:val="TableParagraph"/>
              <w:spacing w:before="0" w:after="0"/>
              <w:jc w:val="center"/>
              <w:rPr>
                <w:sz w:val="16"/>
                <w:lang w:val="en-GB"/>
              </w:rPr>
            </w:pPr>
            <w:r w:rsidRPr="00D93FF9">
              <w:rPr>
                <w:sz w:val="16"/>
                <w:lang w:val="en-GB"/>
              </w:rPr>
              <w:t>4.5</w:t>
            </w:r>
          </w:p>
        </w:tc>
        <w:tc>
          <w:tcPr>
            <w:tcW w:w="2097" w:type="dxa"/>
          </w:tcPr>
          <w:p w14:paraId="59DCCBC7"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BC8"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BC9"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BCA"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BCB"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BD5" w14:textId="77777777" w:rsidTr="002F55F0">
        <w:trPr>
          <w:trHeight w:val="228"/>
        </w:trPr>
        <w:tc>
          <w:tcPr>
            <w:tcW w:w="2147" w:type="dxa"/>
          </w:tcPr>
          <w:p w14:paraId="59DCCBCD" w14:textId="77777777" w:rsidR="00C46175" w:rsidRPr="00D93FF9" w:rsidRDefault="00E811B8" w:rsidP="003807A1">
            <w:pPr>
              <w:pStyle w:val="TableParagraph"/>
              <w:spacing w:before="0" w:after="0"/>
              <w:rPr>
                <w:sz w:val="16"/>
                <w:lang w:val="en-GB"/>
              </w:rPr>
            </w:pPr>
            <w:r w:rsidRPr="00D93FF9">
              <w:rPr>
                <w:sz w:val="16"/>
                <w:lang w:val="en-GB"/>
              </w:rPr>
              <w:t>Spinach</w:t>
            </w:r>
          </w:p>
        </w:tc>
        <w:tc>
          <w:tcPr>
            <w:tcW w:w="2977" w:type="dxa"/>
          </w:tcPr>
          <w:p w14:paraId="59DCCBCE" w14:textId="77777777" w:rsidR="00C46175" w:rsidRPr="00D93FF9" w:rsidRDefault="00E811B8" w:rsidP="003807A1">
            <w:pPr>
              <w:pStyle w:val="TableParagraph"/>
              <w:spacing w:before="0" w:after="0"/>
              <w:rPr>
                <w:i/>
                <w:sz w:val="16"/>
                <w:lang w:val="en-GB"/>
              </w:rPr>
            </w:pPr>
            <w:r w:rsidRPr="00D93FF9">
              <w:rPr>
                <w:i/>
                <w:sz w:val="16"/>
                <w:lang w:val="en-GB"/>
              </w:rPr>
              <w:t>Spinacia oleracea</w:t>
            </w:r>
          </w:p>
        </w:tc>
        <w:tc>
          <w:tcPr>
            <w:tcW w:w="1901" w:type="dxa"/>
          </w:tcPr>
          <w:p w14:paraId="59DCCBCF" w14:textId="77777777" w:rsidR="00C46175" w:rsidRPr="00D93FF9" w:rsidRDefault="00E811B8" w:rsidP="002F55F0">
            <w:pPr>
              <w:pStyle w:val="TableParagraph"/>
              <w:spacing w:before="0" w:after="0"/>
              <w:jc w:val="center"/>
              <w:rPr>
                <w:sz w:val="16"/>
                <w:lang w:val="en-GB"/>
              </w:rPr>
            </w:pPr>
            <w:r w:rsidRPr="00D93FF9">
              <w:rPr>
                <w:sz w:val="16"/>
                <w:lang w:val="en-GB"/>
              </w:rPr>
              <w:t>2.0</w:t>
            </w:r>
          </w:p>
        </w:tc>
        <w:tc>
          <w:tcPr>
            <w:tcW w:w="2097" w:type="dxa"/>
          </w:tcPr>
          <w:p w14:paraId="59DCCBD0" w14:textId="77777777" w:rsidR="00C46175" w:rsidRPr="00D93FF9" w:rsidRDefault="00E811B8" w:rsidP="002F55F0">
            <w:pPr>
              <w:pStyle w:val="TableParagraph"/>
              <w:spacing w:before="0" w:after="0"/>
              <w:jc w:val="center"/>
              <w:rPr>
                <w:sz w:val="16"/>
                <w:lang w:val="en-GB"/>
              </w:rPr>
            </w:pPr>
            <w:r w:rsidRPr="00D93FF9">
              <w:rPr>
                <w:sz w:val="16"/>
                <w:lang w:val="en-GB"/>
              </w:rPr>
              <w:t>7.6</w:t>
            </w:r>
          </w:p>
        </w:tc>
        <w:tc>
          <w:tcPr>
            <w:tcW w:w="985" w:type="dxa"/>
          </w:tcPr>
          <w:p w14:paraId="59DCCBD1" w14:textId="77777777" w:rsidR="00C46175" w:rsidRPr="00D93FF9" w:rsidRDefault="00E811B8" w:rsidP="002F55F0">
            <w:pPr>
              <w:pStyle w:val="TableParagraph"/>
              <w:spacing w:before="0" w:after="0"/>
              <w:jc w:val="center"/>
              <w:rPr>
                <w:sz w:val="16"/>
                <w:lang w:val="en-GB"/>
              </w:rPr>
            </w:pPr>
            <w:r w:rsidRPr="00D93FF9">
              <w:rPr>
                <w:sz w:val="16"/>
                <w:lang w:val="en-GB"/>
              </w:rPr>
              <w:t>3.3</w:t>
            </w:r>
          </w:p>
        </w:tc>
        <w:tc>
          <w:tcPr>
            <w:tcW w:w="1041" w:type="dxa"/>
          </w:tcPr>
          <w:p w14:paraId="59DCCBD2" w14:textId="77777777" w:rsidR="00C46175" w:rsidRPr="00D93FF9" w:rsidRDefault="00E811B8" w:rsidP="002F55F0">
            <w:pPr>
              <w:pStyle w:val="TableParagraph"/>
              <w:spacing w:before="0" w:after="0"/>
              <w:jc w:val="center"/>
              <w:rPr>
                <w:sz w:val="16"/>
                <w:lang w:val="en-GB"/>
              </w:rPr>
            </w:pPr>
            <w:r w:rsidRPr="00D93FF9">
              <w:rPr>
                <w:sz w:val="16"/>
                <w:lang w:val="en-GB"/>
              </w:rPr>
              <w:t>5.3</w:t>
            </w:r>
          </w:p>
        </w:tc>
        <w:tc>
          <w:tcPr>
            <w:tcW w:w="1135" w:type="dxa"/>
          </w:tcPr>
          <w:p w14:paraId="59DCCBD3" w14:textId="77777777" w:rsidR="00C46175" w:rsidRPr="00D93FF9" w:rsidRDefault="00E811B8" w:rsidP="002F55F0">
            <w:pPr>
              <w:pStyle w:val="TableParagraph"/>
              <w:spacing w:before="0" w:after="0"/>
              <w:jc w:val="center"/>
              <w:rPr>
                <w:sz w:val="16"/>
                <w:lang w:val="en-GB"/>
              </w:rPr>
            </w:pPr>
            <w:r w:rsidRPr="00D93FF9">
              <w:rPr>
                <w:sz w:val="16"/>
                <w:lang w:val="en-GB"/>
              </w:rPr>
              <w:t>8.6</w:t>
            </w:r>
          </w:p>
        </w:tc>
        <w:tc>
          <w:tcPr>
            <w:tcW w:w="1168" w:type="dxa"/>
          </w:tcPr>
          <w:p w14:paraId="59DCCBD4"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DE" w14:textId="77777777" w:rsidTr="002F55F0">
        <w:trPr>
          <w:trHeight w:val="227"/>
        </w:trPr>
        <w:tc>
          <w:tcPr>
            <w:tcW w:w="2147" w:type="dxa"/>
          </w:tcPr>
          <w:p w14:paraId="59DCCBD6" w14:textId="77777777" w:rsidR="00C46175" w:rsidRPr="00D93FF9" w:rsidRDefault="00E811B8" w:rsidP="003807A1">
            <w:pPr>
              <w:pStyle w:val="TableParagraph"/>
              <w:spacing w:before="0" w:after="0"/>
              <w:rPr>
                <w:sz w:val="16"/>
                <w:lang w:val="en-GB"/>
              </w:rPr>
            </w:pPr>
            <w:r w:rsidRPr="00D93FF9">
              <w:rPr>
                <w:sz w:val="16"/>
                <w:lang w:val="en-GB"/>
              </w:rPr>
              <w:t>Squash</w:t>
            </w:r>
          </w:p>
        </w:tc>
        <w:tc>
          <w:tcPr>
            <w:tcW w:w="2977" w:type="dxa"/>
          </w:tcPr>
          <w:p w14:paraId="59DCCBD7" w14:textId="77777777" w:rsidR="00C46175" w:rsidRPr="00D93FF9" w:rsidRDefault="00E811B8" w:rsidP="003807A1">
            <w:pPr>
              <w:pStyle w:val="TableParagraph"/>
              <w:spacing w:before="0" w:after="0"/>
              <w:rPr>
                <w:i/>
                <w:sz w:val="16"/>
                <w:lang w:val="en-GB"/>
              </w:rPr>
            </w:pPr>
            <w:r w:rsidRPr="00D93FF9">
              <w:rPr>
                <w:i/>
                <w:sz w:val="16"/>
                <w:lang w:val="en-GB"/>
              </w:rPr>
              <w:t>Cucurbita maxima</w:t>
            </w:r>
          </w:p>
        </w:tc>
        <w:tc>
          <w:tcPr>
            <w:tcW w:w="1901" w:type="dxa"/>
          </w:tcPr>
          <w:p w14:paraId="59DCCBD8" w14:textId="77777777" w:rsidR="00C46175" w:rsidRPr="00D93FF9" w:rsidRDefault="00E811B8" w:rsidP="002F55F0">
            <w:pPr>
              <w:pStyle w:val="TableParagraph"/>
              <w:spacing w:before="0" w:after="0"/>
              <w:jc w:val="center"/>
              <w:rPr>
                <w:sz w:val="16"/>
                <w:lang w:val="en-GB"/>
              </w:rPr>
            </w:pPr>
            <w:r w:rsidRPr="00D93FF9">
              <w:rPr>
                <w:sz w:val="16"/>
                <w:lang w:val="en-GB"/>
              </w:rPr>
              <w:t>2.5</w:t>
            </w:r>
          </w:p>
        </w:tc>
        <w:tc>
          <w:tcPr>
            <w:tcW w:w="2097" w:type="dxa"/>
          </w:tcPr>
          <w:p w14:paraId="59DCCBD9" w14:textId="77777777" w:rsidR="00C46175" w:rsidRPr="00D93FF9" w:rsidRDefault="00C46175" w:rsidP="002F55F0">
            <w:pPr>
              <w:pStyle w:val="TableParagraph"/>
              <w:spacing w:before="0" w:after="0"/>
              <w:jc w:val="center"/>
              <w:rPr>
                <w:rFonts w:ascii="Times New Roman"/>
                <w:sz w:val="14"/>
                <w:lang w:val="en-GB"/>
              </w:rPr>
            </w:pPr>
          </w:p>
        </w:tc>
        <w:tc>
          <w:tcPr>
            <w:tcW w:w="985" w:type="dxa"/>
          </w:tcPr>
          <w:p w14:paraId="59DCCBDA" w14:textId="77777777" w:rsidR="00C46175" w:rsidRPr="00D93FF9" w:rsidRDefault="00C46175" w:rsidP="002F55F0">
            <w:pPr>
              <w:pStyle w:val="TableParagraph"/>
              <w:spacing w:before="0" w:after="0"/>
              <w:jc w:val="center"/>
              <w:rPr>
                <w:rFonts w:ascii="Times New Roman"/>
                <w:sz w:val="14"/>
                <w:lang w:val="en-GB"/>
              </w:rPr>
            </w:pPr>
          </w:p>
        </w:tc>
        <w:tc>
          <w:tcPr>
            <w:tcW w:w="1041" w:type="dxa"/>
          </w:tcPr>
          <w:p w14:paraId="59DCCBDB" w14:textId="77777777" w:rsidR="00C46175" w:rsidRPr="00D93FF9" w:rsidRDefault="00C46175" w:rsidP="002F55F0">
            <w:pPr>
              <w:pStyle w:val="TableParagraph"/>
              <w:spacing w:before="0" w:after="0"/>
              <w:jc w:val="center"/>
              <w:rPr>
                <w:rFonts w:ascii="Times New Roman"/>
                <w:sz w:val="14"/>
                <w:lang w:val="en-GB"/>
              </w:rPr>
            </w:pPr>
          </w:p>
        </w:tc>
        <w:tc>
          <w:tcPr>
            <w:tcW w:w="1135" w:type="dxa"/>
          </w:tcPr>
          <w:p w14:paraId="59DCCBDC" w14:textId="77777777" w:rsidR="00C46175" w:rsidRPr="00D93FF9" w:rsidRDefault="00C46175" w:rsidP="002F55F0">
            <w:pPr>
              <w:pStyle w:val="TableParagraph"/>
              <w:spacing w:before="0" w:after="0"/>
              <w:jc w:val="center"/>
              <w:rPr>
                <w:rFonts w:ascii="Times New Roman"/>
                <w:sz w:val="14"/>
                <w:lang w:val="en-GB"/>
              </w:rPr>
            </w:pPr>
          </w:p>
        </w:tc>
        <w:tc>
          <w:tcPr>
            <w:tcW w:w="1168" w:type="dxa"/>
          </w:tcPr>
          <w:p w14:paraId="59DCCBDD" w14:textId="77777777" w:rsidR="00C46175" w:rsidRPr="00D93FF9" w:rsidRDefault="00E811B8" w:rsidP="002F55F0">
            <w:pPr>
              <w:pStyle w:val="TableParagraph"/>
              <w:spacing w:before="0" w:after="0"/>
              <w:jc w:val="center"/>
              <w:rPr>
                <w:sz w:val="16"/>
                <w:lang w:val="en-GB"/>
              </w:rPr>
            </w:pPr>
            <w:r w:rsidRPr="00D93FF9">
              <w:rPr>
                <w:sz w:val="16"/>
                <w:lang w:val="en-GB"/>
              </w:rPr>
              <w:t>6</w:t>
            </w:r>
          </w:p>
        </w:tc>
      </w:tr>
      <w:tr w:rsidR="00BE3AA8" w:rsidRPr="00D93FF9" w14:paraId="59DCCBE7" w14:textId="77777777" w:rsidTr="002F55F0">
        <w:trPr>
          <w:trHeight w:val="228"/>
        </w:trPr>
        <w:tc>
          <w:tcPr>
            <w:tcW w:w="2147" w:type="dxa"/>
          </w:tcPr>
          <w:p w14:paraId="59DCCBDF" w14:textId="77777777" w:rsidR="00C46175" w:rsidRPr="00D93FF9" w:rsidRDefault="00E811B8" w:rsidP="003807A1">
            <w:pPr>
              <w:pStyle w:val="TableParagraph"/>
              <w:spacing w:before="0" w:after="0"/>
              <w:rPr>
                <w:sz w:val="16"/>
                <w:lang w:val="en-GB"/>
              </w:rPr>
            </w:pPr>
            <w:r w:rsidRPr="00D93FF9">
              <w:rPr>
                <w:sz w:val="16"/>
                <w:lang w:val="en-GB"/>
              </w:rPr>
              <w:t>Squash, scallop</w:t>
            </w:r>
          </w:p>
        </w:tc>
        <w:tc>
          <w:tcPr>
            <w:tcW w:w="2977" w:type="dxa"/>
          </w:tcPr>
          <w:p w14:paraId="59DCCBE0" w14:textId="77777777" w:rsidR="00C46175" w:rsidRPr="00D93FF9" w:rsidRDefault="00E811B8" w:rsidP="003807A1">
            <w:pPr>
              <w:pStyle w:val="TableParagraph"/>
              <w:spacing w:before="0" w:after="0"/>
              <w:rPr>
                <w:i/>
                <w:sz w:val="16"/>
                <w:lang w:val="en-GB"/>
              </w:rPr>
            </w:pPr>
            <w:r w:rsidRPr="00D93FF9">
              <w:rPr>
                <w:i/>
                <w:sz w:val="16"/>
                <w:lang w:val="en-GB"/>
              </w:rPr>
              <w:t>Cucurbita pepo melopepo</w:t>
            </w:r>
          </w:p>
        </w:tc>
        <w:tc>
          <w:tcPr>
            <w:tcW w:w="1901" w:type="dxa"/>
          </w:tcPr>
          <w:p w14:paraId="59DCCBE1" w14:textId="77777777" w:rsidR="00C46175" w:rsidRPr="00D93FF9" w:rsidRDefault="00E811B8" w:rsidP="002F55F0">
            <w:pPr>
              <w:pStyle w:val="TableParagraph"/>
              <w:spacing w:before="0" w:after="0"/>
              <w:jc w:val="center"/>
              <w:rPr>
                <w:sz w:val="16"/>
                <w:lang w:val="en-GB"/>
              </w:rPr>
            </w:pPr>
            <w:r w:rsidRPr="00D93FF9">
              <w:rPr>
                <w:sz w:val="16"/>
                <w:lang w:val="en-GB"/>
              </w:rPr>
              <w:t>3.2</w:t>
            </w:r>
          </w:p>
        </w:tc>
        <w:tc>
          <w:tcPr>
            <w:tcW w:w="2097" w:type="dxa"/>
          </w:tcPr>
          <w:p w14:paraId="59DCCBE2" w14:textId="77777777" w:rsidR="00C46175" w:rsidRPr="00D93FF9" w:rsidRDefault="00E811B8" w:rsidP="002F55F0">
            <w:pPr>
              <w:pStyle w:val="TableParagraph"/>
              <w:spacing w:before="0" w:after="0"/>
              <w:jc w:val="center"/>
              <w:rPr>
                <w:sz w:val="16"/>
                <w:lang w:val="en-GB"/>
              </w:rPr>
            </w:pPr>
            <w:r w:rsidRPr="00D93FF9">
              <w:rPr>
                <w:sz w:val="16"/>
                <w:lang w:val="en-GB"/>
              </w:rPr>
              <w:t>16.0</w:t>
            </w:r>
          </w:p>
        </w:tc>
        <w:tc>
          <w:tcPr>
            <w:tcW w:w="985" w:type="dxa"/>
          </w:tcPr>
          <w:p w14:paraId="59DCCBE3" w14:textId="77777777" w:rsidR="00C46175" w:rsidRPr="00D93FF9" w:rsidRDefault="00E811B8" w:rsidP="002F55F0">
            <w:pPr>
              <w:pStyle w:val="TableParagraph"/>
              <w:spacing w:before="0" w:after="0"/>
              <w:jc w:val="center"/>
              <w:rPr>
                <w:sz w:val="16"/>
                <w:lang w:val="en-GB"/>
              </w:rPr>
            </w:pPr>
            <w:r w:rsidRPr="00D93FF9">
              <w:rPr>
                <w:sz w:val="16"/>
                <w:lang w:val="en-GB"/>
              </w:rPr>
              <w:t>3.8</w:t>
            </w:r>
          </w:p>
        </w:tc>
        <w:tc>
          <w:tcPr>
            <w:tcW w:w="1041" w:type="dxa"/>
          </w:tcPr>
          <w:p w14:paraId="59DCCBE4" w14:textId="77777777" w:rsidR="00C46175" w:rsidRPr="00D93FF9" w:rsidRDefault="00E811B8" w:rsidP="002F55F0">
            <w:pPr>
              <w:pStyle w:val="TableParagraph"/>
              <w:spacing w:before="0" w:after="0"/>
              <w:jc w:val="center"/>
              <w:rPr>
                <w:sz w:val="16"/>
                <w:lang w:val="en-GB"/>
              </w:rPr>
            </w:pPr>
            <w:r w:rsidRPr="00D93FF9">
              <w:rPr>
                <w:sz w:val="16"/>
                <w:lang w:val="en-GB"/>
              </w:rPr>
              <w:t>4.8</w:t>
            </w:r>
          </w:p>
        </w:tc>
        <w:tc>
          <w:tcPr>
            <w:tcW w:w="1135" w:type="dxa"/>
          </w:tcPr>
          <w:p w14:paraId="59DCCBE5" w14:textId="77777777" w:rsidR="00C46175" w:rsidRPr="00D93FF9" w:rsidRDefault="00E811B8" w:rsidP="002F55F0">
            <w:pPr>
              <w:pStyle w:val="TableParagraph"/>
              <w:spacing w:before="0" w:after="0"/>
              <w:jc w:val="center"/>
              <w:rPr>
                <w:sz w:val="16"/>
                <w:lang w:val="en-GB"/>
              </w:rPr>
            </w:pPr>
            <w:r w:rsidRPr="00D93FF9">
              <w:rPr>
                <w:sz w:val="16"/>
                <w:lang w:val="en-GB"/>
              </w:rPr>
              <w:t>6.3</w:t>
            </w:r>
          </w:p>
        </w:tc>
        <w:tc>
          <w:tcPr>
            <w:tcW w:w="1168" w:type="dxa"/>
          </w:tcPr>
          <w:p w14:paraId="59DCCBE6" w14:textId="77777777" w:rsidR="00C46175" w:rsidRPr="00D93FF9" w:rsidRDefault="00E811B8" w:rsidP="002F55F0">
            <w:pPr>
              <w:pStyle w:val="TableParagraph"/>
              <w:spacing w:before="0" w:after="0"/>
              <w:jc w:val="center"/>
              <w:rPr>
                <w:sz w:val="16"/>
                <w:lang w:val="en-GB"/>
              </w:rPr>
            </w:pPr>
            <w:r w:rsidRPr="00D93FF9">
              <w:rPr>
                <w:sz w:val="16"/>
                <w:lang w:val="en-GB"/>
              </w:rPr>
              <w:t>4</w:t>
            </w:r>
          </w:p>
        </w:tc>
      </w:tr>
      <w:tr w:rsidR="00BE3AA8" w:rsidRPr="00D93FF9" w14:paraId="59DCCBF0" w14:textId="77777777" w:rsidTr="002F55F0">
        <w:trPr>
          <w:trHeight w:val="227"/>
        </w:trPr>
        <w:tc>
          <w:tcPr>
            <w:tcW w:w="2147" w:type="dxa"/>
          </w:tcPr>
          <w:p w14:paraId="59DCCBE8" w14:textId="77777777" w:rsidR="00C46175" w:rsidRPr="00D93FF9" w:rsidRDefault="00E811B8" w:rsidP="003807A1">
            <w:pPr>
              <w:pStyle w:val="TableParagraph"/>
              <w:spacing w:before="0" w:after="0"/>
              <w:rPr>
                <w:sz w:val="16"/>
                <w:lang w:val="en-GB"/>
              </w:rPr>
            </w:pPr>
            <w:r w:rsidRPr="00D93FF9">
              <w:rPr>
                <w:sz w:val="16"/>
                <w:lang w:val="en-GB"/>
              </w:rPr>
              <w:t>Tomato</w:t>
            </w:r>
          </w:p>
        </w:tc>
        <w:tc>
          <w:tcPr>
            <w:tcW w:w="2977" w:type="dxa"/>
          </w:tcPr>
          <w:p w14:paraId="59DCCBE9" w14:textId="77777777" w:rsidR="00C46175" w:rsidRPr="00D93FF9" w:rsidRDefault="00E811B8" w:rsidP="003807A1">
            <w:pPr>
              <w:pStyle w:val="TableParagraph"/>
              <w:spacing w:before="0" w:after="0"/>
              <w:rPr>
                <w:i/>
                <w:sz w:val="16"/>
                <w:lang w:val="en-GB"/>
              </w:rPr>
            </w:pPr>
            <w:r w:rsidRPr="00D93FF9">
              <w:rPr>
                <w:i/>
                <w:sz w:val="16"/>
                <w:lang w:val="en-GB"/>
              </w:rPr>
              <w:t>Lycopersicon esculentum</w:t>
            </w:r>
          </w:p>
        </w:tc>
        <w:tc>
          <w:tcPr>
            <w:tcW w:w="1901" w:type="dxa"/>
          </w:tcPr>
          <w:p w14:paraId="59DCCBEA" w14:textId="77777777" w:rsidR="00C46175" w:rsidRPr="00D93FF9" w:rsidRDefault="00E811B8" w:rsidP="002F55F0">
            <w:pPr>
              <w:pStyle w:val="TableParagraph"/>
              <w:spacing w:before="0" w:after="0"/>
              <w:jc w:val="center"/>
              <w:rPr>
                <w:sz w:val="16"/>
                <w:lang w:val="en-GB"/>
              </w:rPr>
            </w:pPr>
            <w:r w:rsidRPr="00D93FF9">
              <w:rPr>
                <w:sz w:val="16"/>
                <w:lang w:val="en-GB"/>
              </w:rPr>
              <w:t>2.3</w:t>
            </w:r>
          </w:p>
        </w:tc>
        <w:tc>
          <w:tcPr>
            <w:tcW w:w="2097" w:type="dxa"/>
          </w:tcPr>
          <w:p w14:paraId="59DCCBEB" w14:textId="77777777" w:rsidR="00C46175" w:rsidRPr="00D93FF9" w:rsidRDefault="00E811B8" w:rsidP="002F55F0">
            <w:pPr>
              <w:pStyle w:val="TableParagraph"/>
              <w:spacing w:before="0" w:after="0"/>
              <w:jc w:val="center"/>
              <w:rPr>
                <w:sz w:val="16"/>
                <w:lang w:val="en-GB"/>
              </w:rPr>
            </w:pPr>
            <w:r w:rsidRPr="00D93FF9">
              <w:rPr>
                <w:sz w:val="16"/>
                <w:lang w:val="en-GB"/>
              </w:rPr>
              <w:t>18.9</w:t>
            </w:r>
          </w:p>
        </w:tc>
        <w:tc>
          <w:tcPr>
            <w:tcW w:w="985" w:type="dxa"/>
          </w:tcPr>
          <w:p w14:paraId="59DCCBEC" w14:textId="77777777" w:rsidR="00C46175" w:rsidRPr="00D93FF9" w:rsidRDefault="00E811B8" w:rsidP="002F55F0">
            <w:pPr>
              <w:pStyle w:val="TableParagraph"/>
              <w:spacing w:before="0" w:after="0"/>
              <w:jc w:val="center"/>
              <w:rPr>
                <w:sz w:val="16"/>
                <w:lang w:val="en-GB"/>
              </w:rPr>
            </w:pPr>
            <w:r w:rsidRPr="00D93FF9">
              <w:rPr>
                <w:sz w:val="16"/>
                <w:lang w:val="en-GB"/>
              </w:rPr>
              <w:t>2.8</w:t>
            </w:r>
          </w:p>
        </w:tc>
        <w:tc>
          <w:tcPr>
            <w:tcW w:w="1041" w:type="dxa"/>
          </w:tcPr>
          <w:p w14:paraId="59DCCBED" w14:textId="77777777" w:rsidR="00C46175" w:rsidRPr="00D93FF9" w:rsidRDefault="00E811B8" w:rsidP="002F55F0">
            <w:pPr>
              <w:pStyle w:val="TableParagraph"/>
              <w:spacing w:before="0" w:after="0"/>
              <w:jc w:val="center"/>
              <w:rPr>
                <w:sz w:val="16"/>
                <w:lang w:val="en-GB"/>
              </w:rPr>
            </w:pPr>
            <w:r w:rsidRPr="00D93FF9">
              <w:rPr>
                <w:sz w:val="16"/>
                <w:lang w:val="en-GB"/>
              </w:rPr>
              <w:t>3.6</w:t>
            </w:r>
          </w:p>
        </w:tc>
        <w:tc>
          <w:tcPr>
            <w:tcW w:w="1135" w:type="dxa"/>
          </w:tcPr>
          <w:p w14:paraId="59DCCBEE" w14:textId="77777777" w:rsidR="00C46175" w:rsidRPr="00D93FF9" w:rsidRDefault="00E811B8" w:rsidP="002F55F0">
            <w:pPr>
              <w:pStyle w:val="TableParagraph"/>
              <w:spacing w:before="0" w:after="0"/>
              <w:jc w:val="center"/>
              <w:rPr>
                <w:sz w:val="16"/>
                <w:lang w:val="en-GB"/>
              </w:rPr>
            </w:pPr>
            <w:r w:rsidRPr="00D93FF9">
              <w:rPr>
                <w:sz w:val="16"/>
                <w:lang w:val="en-GB"/>
              </w:rPr>
              <w:t>4.9</w:t>
            </w:r>
          </w:p>
        </w:tc>
        <w:tc>
          <w:tcPr>
            <w:tcW w:w="1168" w:type="dxa"/>
          </w:tcPr>
          <w:p w14:paraId="59DCCBEF" w14:textId="77777777" w:rsidR="00C46175" w:rsidRPr="00D93FF9" w:rsidRDefault="00E811B8" w:rsidP="002F55F0">
            <w:pPr>
              <w:pStyle w:val="TableParagraph"/>
              <w:spacing w:before="0" w:after="0"/>
              <w:jc w:val="center"/>
              <w:rPr>
                <w:sz w:val="16"/>
                <w:lang w:val="en-GB"/>
              </w:rPr>
            </w:pPr>
            <w:r w:rsidRPr="00D93FF9">
              <w:rPr>
                <w:sz w:val="16"/>
                <w:lang w:val="en-GB"/>
              </w:rPr>
              <w:t>1</w:t>
            </w:r>
          </w:p>
        </w:tc>
      </w:tr>
      <w:tr w:rsidR="00BE3AA8" w:rsidRPr="00D93FF9" w14:paraId="59DCCBF9" w14:textId="77777777" w:rsidTr="002F55F0">
        <w:trPr>
          <w:trHeight w:val="227"/>
        </w:trPr>
        <w:tc>
          <w:tcPr>
            <w:tcW w:w="2147" w:type="dxa"/>
          </w:tcPr>
          <w:p w14:paraId="59DCCBF1" w14:textId="77777777" w:rsidR="00C46175" w:rsidRPr="00D93FF9" w:rsidRDefault="00E811B8" w:rsidP="003807A1">
            <w:pPr>
              <w:pStyle w:val="TableParagraph"/>
              <w:spacing w:before="0" w:after="0"/>
              <w:rPr>
                <w:sz w:val="16"/>
                <w:lang w:val="en-GB"/>
              </w:rPr>
            </w:pPr>
            <w:r w:rsidRPr="00D93FF9">
              <w:rPr>
                <w:sz w:val="16"/>
                <w:lang w:val="en-GB"/>
              </w:rPr>
              <w:t>Turnip</w:t>
            </w:r>
          </w:p>
        </w:tc>
        <w:tc>
          <w:tcPr>
            <w:tcW w:w="2977" w:type="dxa"/>
          </w:tcPr>
          <w:p w14:paraId="59DCCBF2" w14:textId="77777777" w:rsidR="00C46175" w:rsidRPr="00D93FF9" w:rsidRDefault="00E811B8" w:rsidP="003807A1">
            <w:pPr>
              <w:pStyle w:val="TableParagraph"/>
              <w:spacing w:before="0" w:after="0"/>
              <w:rPr>
                <w:i/>
                <w:sz w:val="16"/>
                <w:lang w:val="en-GB"/>
              </w:rPr>
            </w:pPr>
            <w:r w:rsidRPr="00D93FF9">
              <w:rPr>
                <w:i/>
                <w:sz w:val="16"/>
                <w:lang w:val="en-GB"/>
              </w:rPr>
              <w:t>Brassica rapu</w:t>
            </w:r>
          </w:p>
        </w:tc>
        <w:tc>
          <w:tcPr>
            <w:tcW w:w="1901" w:type="dxa"/>
          </w:tcPr>
          <w:p w14:paraId="59DCCBF3" w14:textId="77777777" w:rsidR="00C46175" w:rsidRPr="00D93FF9" w:rsidRDefault="00E811B8" w:rsidP="002F55F0">
            <w:pPr>
              <w:pStyle w:val="TableParagraph"/>
              <w:spacing w:before="0" w:after="0"/>
              <w:jc w:val="center"/>
              <w:rPr>
                <w:sz w:val="16"/>
                <w:lang w:val="en-GB"/>
              </w:rPr>
            </w:pPr>
            <w:r w:rsidRPr="00D93FF9">
              <w:rPr>
                <w:sz w:val="16"/>
                <w:lang w:val="en-GB"/>
              </w:rPr>
              <w:t>0.9</w:t>
            </w:r>
          </w:p>
        </w:tc>
        <w:tc>
          <w:tcPr>
            <w:tcW w:w="2097" w:type="dxa"/>
          </w:tcPr>
          <w:p w14:paraId="59DCCBF4" w14:textId="77777777" w:rsidR="00C46175" w:rsidRPr="00D93FF9" w:rsidRDefault="00E811B8" w:rsidP="002F55F0">
            <w:pPr>
              <w:pStyle w:val="TableParagraph"/>
              <w:spacing w:before="0" w:after="0"/>
              <w:jc w:val="center"/>
              <w:rPr>
                <w:sz w:val="16"/>
                <w:lang w:val="en-GB"/>
              </w:rPr>
            </w:pPr>
            <w:r w:rsidRPr="00D93FF9">
              <w:rPr>
                <w:sz w:val="16"/>
                <w:lang w:val="en-GB"/>
              </w:rPr>
              <w:t>9.0</w:t>
            </w:r>
          </w:p>
        </w:tc>
        <w:tc>
          <w:tcPr>
            <w:tcW w:w="985" w:type="dxa"/>
          </w:tcPr>
          <w:p w14:paraId="59DCCBF5" w14:textId="77777777" w:rsidR="00C46175" w:rsidRPr="00D93FF9" w:rsidRDefault="00E811B8" w:rsidP="002F55F0">
            <w:pPr>
              <w:pStyle w:val="TableParagraph"/>
              <w:spacing w:before="0" w:after="0"/>
              <w:jc w:val="center"/>
              <w:rPr>
                <w:sz w:val="16"/>
                <w:lang w:val="en-GB"/>
              </w:rPr>
            </w:pPr>
            <w:r w:rsidRPr="00D93FF9">
              <w:rPr>
                <w:sz w:val="16"/>
                <w:lang w:val="en-GB"/>
              </w:rPr>
              <w:t>2.0</w:t>
            </w:r>
          </w:p>
        </w:tc>
        <w:tc>
          <w:tcPr>
            <w:tcW w:w="1041" w:type="dxa"/>
          </w:tcPr>
          <w:p w14:paraId="59DCCBF6" w14:textId="77777777" w:rsidR="00C46175" w:rsidRPr="00D93FF9" w:rsidRDefault="00E811B8" w:rsidP="002F55F0">
            <w:pPr>
              <w:pStyle w:val="TableParagraph"/>
              <w:spacing w:before="0" w:after="0"/>
              <w:jc w:val="center"/>
              <w:rPr>
                <w:sz w:val="16"/>
                <w:lang w:val="en-GB"/>
              </w:rPr>
            </w:pPr>
            <w:r w:rsidRPr="00D93FF9">
              <w:rPr>
                <w:sz w:val="16"/>
                <w:lang w:val="en-GB"/>
              </w:rPr>
              <w:t>3.7</w:t>
            </w:r>
          </w:p>
        </w:tc>
        <w:tc>
          <w:tcPr>
            <w:tcW w:w="1135" w:type="dxa"/>
          </w:tcPr>
          <w:p w14:paraId="59DCCBF7" w14:textId="77777777" w:rsidR="00C46175" w:rsidRPr="00D93FF9" w:rsidRDefault="00E811B8" w:rsidP="002F55F0">
            <w:pPr>
              <w:pStyle w:val="TableParagraph"/>
              <w:spacing w:before="0" w:after="0"/>
              <w:jc w:val="center"/>
              <w:rPr>
                <w:sz w:val="16"/>
                <w:lang w:val="en-GB"/>
              </w:rPr>
            </w:pPr>
            <w:r w:rsidRPr="00D93FF9">
              <w:rPr>
                <w:sz w:val="16"/>
                <w:lang w:val="en-GB"/>
              </w:rPr>
              <w:t>6.5</w:t>
            </w:r>
          </w:p>
        </w:tc>
        <w:tc>
          <w:tcPr>
            <w:tcW w:w="1168" w:type="dxa"/>
          </w:tcPr>
          <w:p w14:paraId="59DCCBF8" w14:textId="77777777" w:rsidR="00C46175" w:rsidRPr="00D93FF9" w:rsidRDefault="00E811B8" w:rsidP="002F55F0">
            <w:pPr>
              <w:pStyle w:val="TableParagraph"/>
              <w:spacing w:before="0" w:after="0"/>
              <w:jc w:val="center"/>
              <w:rPr>
                <w:sz w:val="16"/>
                <w:lang w:val="en-GB"/>
              </w:rPr>
            </w:pPr>
            <w:r w:rsidRPr="00D93FF9">
              <w:rPr>
                <w:sz w:val="16"/>
                <w:lang w:val="en-GB"/>
              </w:rPr>
              <w:t>4</w:t>
            </w:r>
          </w:p>
        </w:tc>
      </w:tr>
      <w:tr w:rsidR="00BE3AA8" w:rsidRPr="00D93FF9" w14:paraId="59DCCC02" w14:textId="77777777" w:rsidTr="002F55F0">
        <w:trPr>
          <w:trHeight w:val="228"/>
        </w:trPr>
        <w:tc>
          <w:tcPr>
            <w:tcW w:w="2147" w:type="dxa"/>
            <w:tcBorders>
              <w:bottom w:val="single" w:sz="6" w:space="0" w:color="000000"/>
            </w:tcBorders>
          </w:tcPr>
          <w:p w14:paraId="59DCCBFA" w14:textId="77777777" w:rsidR="00C46175" w:rsidRPr="00D93FF9" w:rsidRDefault="00E811B8" w:rsidP="003807A1">
            <w:pPr>
              <w:pStyle w:val="TableParagraph"/>
              <w:spacing w:before="0" w:after="0"/>
              <w:rPr>
                <w:sz w:val="16"/>
                <w:lang w:val="en-GB"/>
              </w:rPr>
            </w:pPr>
            <w:r w:rsidRPr="00D93FF9">
              <w:rPr>
                <w:sz w:val="16"/>
                <w:lang w:val="en-GB"/>
              </w:rPr>
              <w:t>Zucchini</w:t>
            </w:r>
          </w:p>
        </w:tc>
        <w:tc>
          <w:tcPr>
            <w:tcW w:w="2977" w:type="dxa"/>
            <w:tcBorders>
              <w:bottom w:val="single" w:sz="6" w:space="0" w:color="000000"/>
            </w:tcBorders>
          </w:tcPr>
          <w:p w14:paraId="59DCCBFB" w14:textId="77777777" w:rsidR="00C46175" w:rsidRPr="00D93FF9" w:rsidRDefault="00E811B8" w:rsidP="003807A1">
            <w:pPr>
              <w:pStyle w:val="TableParagraph"/>
              <w:spacing w:before="0" w:after="0"/>
              <w:rPr>
                <w:i/>
                <w:sz w:val="16"/>
                <w:lang w:val="en-GB"/>
              </w:rPr>
            </w:pPr>
            <w:r w:rsidRPr="00D93FF9">
              <w:rPr>
                <w:i/>
                <w:sz w:val="16"/>
                <w:lang w:val="en-GB"/>
              </w:rPr>
              <w:t>Cucurbita peop melopepo</w:t>
            </w:r>
          </w:p>
        </w:tc>
        <w:tc>
          <w:tcPr>
            <w:tcW w:w="1901" w:type="dxa"/>
            <w:tcBorders>
              <w:bottom w:val="single" w:sz="6" w:space="0" w:color="000000"/>
            </w:tcBorders>
          </w:tcPr>
          <w:p w14:paraId="59DCCBFC" w14:textId="77777777" w:rsidR="00C46175" w:rsidRPr="00D93FF9" w:rsidRDefault="00E811B8" w:rsidP="002F55F0">
            <w:pPr>
              <w:pStyle w:val="TableParagraph"/>
              <w:spacing w:before="0" w:after="0"/>
              <w:jc w:val="center"/>
              <w:rPr>
                <w:sz w:val="16"/>
                <w:lang w:val="en-GB"/>
              </w:rPr>
            </w:pPr>
            <w:r w:rsidRPr="00D93FF9">
              <w:rPr>
                <w:sz w:val="16"/>
                <w:lang w:val="en-GB"/>
              </w:rPr>
              <w:t>4.7</w:t>
            </w:r>
          </w:p>
        </w:tc>
        <w:tc>
          <w:tcPr>
            <w:tcW w:w="2097" w:type="dxa"/>
            <w:tcBorders>
              <w:bottom w:val="single" w:sz="6" w:space="0" w:color="000000"/>
            </w:tcBorders>
          </w:tcPr>
          <w:p w14:paraId="59DCCBFD" w14:textId="77777777" w:rsidR="00C46175" w:rsidRPr="00D93FF9" w:rsidRDefault="00E811B8" w:rsidP="002F55F0">
            <w:pPr>
              <w:pStyle w:val="TableParagraph"/>
              <w:spacing w:before="0" w:after="0"/>
              <w:jc w:val="center"/>
              <w:rPr>
                <w:sz w:val="16"/>
                <w:lang w:val="en-GB"/>
              </w:rPr>
            </w:pPr>
            <w:r w:rsidRPr="00D93FF9">
              <w:rPr>
                <w:sz w:val="16"/>
                <w:lang w:val="en-GB"/>
              </w:rPr>
              <w:t>9.4</w:t>
            </w:r>
          </w:p>
        </w:tc>
        <w:tc>
          <w:tcPr>
            <w:tcW w:w="985" w:type="dxa"/>
            <w:tcBorders>
              <w:bottom w:val="single" w:sz="6" w:space="0" w:color="000000"/>
            </w:tcBorders>
          </w:tcPr>
          <w:p w14:paraId="59DCCBFE" w14:textId="77777777" w:rsidR="00C46175" w:rsidRPr="00D93FF9" w:rsidRDefault="00E811B8" w:rsidP="002F55F0">
            <w:pPr>
              <w:pStyle w:val="TableParagraph"/>
              <w:spacing w:before="0" w:after="0"/>
              <w:jc w:val="center"/>
              <w:rPr>
                <w:sz w:val="16"/>
                <w:lang w:val="en-GB"/>
              </w:rPr>
            </w:pPr>
            <w:r w:rsidRPr="00D93FF9">
              <w:rPr>
                <w:sz w:val="16"/>
                <w:lang w:val="en-GB"/>
              </w:rPr>
              <w:t>5.8</w:t>
            </w:r>
          </w:p>
        </w:tc>
        <w:tc>
          <w:tcPr>
            <w:tcW w:w="1041" w:type="dxa"/>
            <w:tcBorders>
              <w:bottom w:val="single" w:sz="6" w:space="0" w:color="000000"/>
            </w:tcBorders>
          </w:tcPr>
          <w:p w14:paraId="59DCCBFF" w14:textId="77777777" w:rsidR="00C46175" w:rsidRPr="00D93FF9" w:rsidRDefault="00E811B8" w:rsidP="002F55F0">
            <w:pPr>
              <w:pStyle w:val="TableParagraph"/>
              <w:spacing w:before="0" w:after="0"/>
              <w:jc w:val="center"/>
              <w:rPr>
                <w:sz w:val="16"/>
                <w:lang w:val="en-GB"/>
              </w:rPr>
            </w:pPr>
            <w:r w:rsidRPr="00D93FF9">
              <w:rPr>
                <w:sz w:val="16"/>
                <w:lang w:val="en-GB"/>
              </w:rPr>
              <w:t>7.4</w:t>
            </w:r>
          </w:p>
        </w:tc>
        <w:tc>
          <w:tcPr>
            <w:tcW w:w="1135" w:type="dxa"/>
            <w:tcBorders>
              <w:bottom w:val="single" w:sz="6" w:space="0" w:color="000000"/>
            </w:tcBorders>
          </w:tcPr>
          <w:p w14:paraId="59DCCC00" w14:textId="77777777" w:rsidR="00C46175" w:rsidRPr="00D93FF9" w:rsidRDefault="00E811B8" w:rsidP="002F55F0">
            <w:pPr>
              <w:pStyle w:val="TableParagraph"/>
              <w:spacing w:before="0" w:after="0"/>
              <w:jc w:val="center"/>
              <w:rPr>
                <w:sz w:val="16"/>
                <w:lang w:val="en-GB"/>
              </w:rPr>
            </w:pPr>
            <w:r w:rsidRPr="00D93FF9">
              <w:rPr>
                <w:sz w:val="16"/>
                <w:lang w:val="en-GB"/>
              </w:rPr>
              <w:t>10.0</w:t>
            </w:r>
          </w:p>
        </w:tc>
        <w:tc>
          <w:tcPr>
            <w:tcW w:w="1168" w:type="dxa"/>
            <w:tcBorders>
              <w:bottom w:val="single" w:sz="6" w:space="0" w:color="000000"/>
            </w:tcBorders>
          </w:tcPr>
          <w:p w14:paraId="59DCCC01" w14:textId="77777777" w:rsidR="00C46175" w:rsidRPr="00D93FF9" w:rsidRDefault="00E811B8" w:rsidP="002F55F0">
            <w:pPr>
              <w:pStyle w:val="TableParagraph"/>
              <w:spacing w:before="0" w:after="0"/>
              <w:jc w:val="center"/>
              <w:rPr>
                <w:sz w:val="16"/>
                <w:lang w:val="en-GB"/>
              </w:rPr>
            </w:pPr>
            <w:r w:rsidRPr="00D93FF9">
              <w:rPr>
                <w:sz w:val="16"/>
                <w:lang w:val="en-GB"/>
              </w:rPr>
              <w:t>4</w:t>
            </w:r>
          </w:p>
        </w:tc>
      </w:tr>
    </w:tbl>
    <w:p w14:paraId="59DCCC03" w14:textId="2B16BDC5" w:rsidR="00C46175" w:rsidRPr="00D93FF9" w:rsidRDefault="00E811B8" w:rsidP="003807A1">
      <w:pPr>
        <w:spacing w:after="0"/>
        <w:rPr>
          <w:rFonts w:ascii="Arial"/>
          <w:sz w:val="14"/>
          <w:lang w:val="en-GB"/>
        </w:rPr>
      </w:pPr>
      <w:r w:rsidRPr="00D93FF9">
        <w:rPr>
          <w:rFonts w:ascii="Arial"/>
          <w:sz w:val="14"/>
          <w:lang w:val="en-GB"/>
        </w:rPr>
        <w:lastRenderedPageBreak/>
        <w:t>a From</w:t>
      </w:r>
      <w:r w:rsidR="00E83807" w:rsidRPr="00D93FF9">
        <w:rPr>
          <w:rFonts w:ascii="Arial"/>
          <w:sz w:val="14"/>
          <w:lang w:val="en-GB"/>
        </w:rPr>
        <w:t xml:space="preserve"> </w:t>
      </w:r>
      <w:r w:rsidR="00E33DAA" w:rsidRPr="00D93FF9">
        <w:rPr>
          <w:rFonts w:ascii="Arial"/>
          <w:sz w:val="14"/>
          <w:lang w:val="en-GB"/>
        </w:rPr>
        <w:t>DERM (2011)</w:t>
      </w:r>
      <w:r w:rsidR="009108F4" w:rsidRPr="00D93FF9">
        <w:rPr>
          <w:rFonts w:ascii="Arial"/>
          <w:sz w:val="14"/>
          <w:lang w:val="en-GB"/>
        </w:rPr>
        <w:t xml:space="preserve">, </w:t>
      </w:r>
      <w:r w:rsidR="004A7F90" w:rsidRPr="00D93FF9">
        <w:rPr>
          <w:rFonts w:ascii="Arial"/>
          <w:sz w:val="14"/>
          <w:lang w:val="en-GB"/>
        </w:rPr>
        <w:t>b</w:t>
      </w:r>
      <w:r w:rsidRPr="00D93FF9">
        <w:rPr>
          <w:rFonts w:ascii="Arial"/>
          <w:sz w:val="14"/>
          <w:lang w:val="en-GB"/>
        </w:rPr>
        <w:t xml:space="preserve"> References: 1 Maas </w:t>
      </w:r>
      <w:r w:rsidR="00FA6E9E" w:rsidRPr="00D93FF9">
        <w:rPr>
          <w:rFonts w:ascii="Arial"/>
          <w:sz w:val="14"/>
          <w:lang w:val="en-GB"/>
        </w:rPr>
        <w:t>and</w:t>
      </w:r>
      <w:r w:rsidRPr="00D93FF9">
        <w:rPr>
          <w:rFonts w:ascii="Arial"/>
          <w:sz w:val="14"/>
          <w:lang w:val="en-GB"/>
        </w:rPr>
        <w:t xml:space="preserve"> Hoffman (1977); 2 Ayers </w:t>
      </w:r>
      <w:r w:rsidR="00FA6E9E" w:rsidRPr="00D93FF9">
        <w:rPr>
          <w:rFonts w:ascii="Arial"/>
          <w:sz w:val="14"/>
          <w:lang w:val="en-GB"/>
        </w:rPr>
        <w:t>and</w:t>
      </w:r>
      <w:r w:rsidRPr="00D93FF9">
        <w:rPr>
          <w:rFonts w:ascii="Arial"/>
          <w:sz w:val="14"/>
          <w:lang w:val="en-GB"/>
        </w:rPr>
        <w:t xml:space="preserve"> Westcot (1976); 3 Russell (1976); 4 Maas (1986); 5 West </w:t>
      </w:r>
      <w:r w:rsidR="00FA6E9E" w:rsidRPr="00D93FF9">
        <w:rPr>
          <w:rFonts w:ascii="Arial"/>
          <w:sz w:val="14"/>
          <w:lang w:val="en-GB"/>
        </w:rPr>
        <w:t>and</w:t>
      </w:r>
      <w:r w:rsidRPr="00D93FF9">
        <w:rPr>
          <w:rFonts w:ascii="Arial"/>
          <w:sz w:val="14"/>
          <w:lang w:val="en-GB"/>
        </w:rPr>
        <w:t xml:space="preserve"> Francois (1982); 6 Bresler et al. (1982); 7 Ayers (1977); Heuer et al. (1986); 9 Shaw et al. (1987)</w:t>
      </w:r>
      <w:r w:rsidR="00E9097E" w:rsidRPr="00D93FF9">
        <w:rPr>
          <w:rFonts w:ascii="Arial"/>
          <w:sz w:val="14"/>
          <w:lang w:val="en-GB"/>
        </w:rPr>
        <w:t>; 10</w:t>
      </w:r>
      <w:r w:rsidR="0010549F" w:rsidRPr="00D93FF9">
        <w:rPr>
          <w:rFonts w:ascii="Arial"/>
          <w:sz w:val="14"/>
          <w:lang w:val="en-GB"/>
        </w:rPr>
        <w:t xml:space="preserve"> Grattan et al. (2002); 11 Daniells et al. (2001)</w:t>
      </w:r>
      <w:r w:rsidR="00DD4FB0" w:rsidRPr="00D93FF9">
        <w:rPr>
          <w:rFonts w:ascii="Arial"/>
          <w:sz w:val="14"/>
          <w:lang w:val="en-GB"/>
        </w:rPr>
        <w:t>; 12 Biswas et al. (2009); 13 Walker et al. (2002); 14 Zhang et al. (2002); 15 Walker et al. (2004); 16 Walker (2010); 17 Tregeagle et al. (2006)</w:t>
      </w:r>
      <w:r w:rsidR="00C56F61" w:rsidRPr="00D93FF9">
        <w:rPr>
          <w:rFonts w:ascii="Arial"/>
          <w:sz w:val="14"/>
          <w:lang w:val="en-GB"/>
        </w:rPr>
        <w:t xml:space="preserve">; </w:t>
      </w:r>
      <w:r w:rsidR="00F51C69" w:rsidRPr="00D93FF9">
        <w:rPr>
          <w:rFonts w:ascii="Arial"/>
          <w:sz w:val="14"/>
          <w:lang w:val="en-GB"/>
        </w:rPr>
        <w:t xml:space="preserve">18 </w:t>
      </w:r>
      <w:r w:rsidR="00C56F61" w:rsidRPr="00D93FF9">
        <w:rPr>
          <w:rFonts w:ascii="Arial"/>
          <w:sz w:val="14"/>
          <w:lang w:val="en-GB"/>
        </w:rPr>
        <w:t>Kingston and Anink (2005)</w:t>
      </w:r>
      <w:r w:rsidR="004A7F90" w:rsidRPr="00D93FF9">
        <w:rPr>
          <w:rFonts w:ascii="Arial"/>
          <w:sz w:val="14"/>
          <w:lang w:val="en-GB"/>
        </w:rPr>
        <w:t>; 19 Sanden et al (20</w:t>
      </w:r>
      <w:r w:rsidR="00B55B75" w:rsidRPr="00D93FF9">
        <w:rPr>
          <w:rFonts w:ascii="Arial"/>
          <w:sz w:val="14"/>
          <w:lang w:val="en-GB"/>
        </w:rPr>
        <w:t>18</w:t>
      </w:r>
      <w:r w:rsidR="00F3114E" w:rsidRPr="00D93FF9">
        <w:rPr>
          <w:rFonts w:ascii="Arial"/>
          <w:sz w:val="14"/>
          <w:lang w:val="en-GB"/>
        </w:rPr>
        <w:t>)</w:t>
      </w:r>
    </w:p>
    <w:p w14:paraId="59DCCC04" w14:textId="77777777" w:rsidR="009108F4" w:rsidRPr="00D93FF9" w:rsidRDefault="009108F4" w:rsidP="003807A1">
      <w:pPr>
        <w:spacing w:after="0"/>
        <w:rPr>
          <w:rFonts w:ascii="Arial"/>
          <w:sz w:val="14"/>
          <w:lang w:val="en-GB"/>
        </w:rPr>
        <w:sectPr w:rsidR="009108F4" w:rsidRPr="00D93FF9" w:rsidSect="003807A1">
          <w:headerReference w:type="even" r:id="rId36"/>
          <w:headerReference w:type="default" r:id="rId37"/>
          <w:footerReference w:type="default" r:id="rId38"/>
          <w:headerReference w:type="first" r:id="rId39"/>
          <w:pgSz w:w="16840" w:h="11900" w:orient="landscape"/>
          <w:pgMar w:top="1440" w:right="1440" w:bottom="1440" w:left="1440" w:header="0" w:footer="0" w:gutter="0"/>
          <w:cols w:space="720"/>
        </w:sectPr>
      </w:pPr>
    </w:p>
    <w:p w14:paraId="59DCCC05" w14:textId="1052F55F" w:rsidR="006C14B9" w:rsidRPr="00D93FF9" w:rsidRDefault="00135A48" w:rsidP="00135A48">
      <w:pPr>
        <w:pStyle w:val="Caption"/>
        <w:rPr>
          <w:rFonts w:ascii="Arial"/>
          <w:position w:val="4"/>
          <w:szCs w:val="22"/>
          <w:lang w:val="en-GB"/>
        </w:rPr>
      </w:pPr>
      <w:bookmarkStart w:id="149" w:name="_Ref81391747"/>
      <w:bookmarkStart w:id="150" w:name="_Toc96518229"/>
      <w:r w:rsidRPr="00D93FF9">
        <w:lastRenderedPageBreak/>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15</w:t>
      </w:r>
      <w:r w:rsidR="00477102" w:rsidRPr="00D93FF9">
        <w:fldChar w:fldCharType="end"/>
      </w:r>
      <w:bookmarkEnd w:id="149"/>
      <w:r w:rsidRPr="00D93FF9">
        <w:t xml:space="preserve"> </w:t>
      </w:r>
      <w:bookmarkStart w:id="151" w:name="_Hlk153812613"/>
      <w:r w:rsidR="00E32587" w:rsidRPr="00D93FF9">
        <w:rPr>
          <w:szCs w:val="22"/>
        </w:rPr>
        <w:t>M</w:t>
      </w:r>
      <w:r w:rsidR="00213A93" w:rsidRPr="00D93FF9">
        <w:rPr>
          <w:szCs w:val="22"/>
        </w:rPr>
        <w:t>aximum irrigation water salinity (EC</w:t>
      </w:r>
      <w:r w:rsidR="00213A93" w:rsidRPr="00D93FF9">
        <w:rPr>
          <w:szCs w:val="22"/>
          <w:vertAlign w:val="subscript"/>
        </w:rPr>
        <w:t>i</w:t>
      </w:r>
      <w:r w:rsidR="00213A93" w:rsidRPr="00D93FF9">
        <w:rPr>
          <w:szCs w:val="22"/>
        </w:rPr>
        <w:t>) values that constrain the subsequent equilibrium soil salinity to the threshold value, for different Leaching Fractions</w:t>
      </w:r>
      <w:bookmarkEnd w:id="150"/>
      <w:bookmarkEnd w:id="151"/>
    </w:p>
    <w:p w14:paraId="59DCCC06" w14:textId="755D9393" w:rsidR="00327805" w:rsidRPr="00D93FF9" w:rsidRDefault="00E811B8" w:rsidP="00327805">
      <w:pPr>
        <w:rPr>
          <w:rFonts w:ascii="Arial"/>
          <w:position w:val="4"/>
          <w:sz w:val="18"/>
          <w:szCs w:val="18"/>
          <w:lang w:val="en-GB"/>
        </w:rPr>
      </w:pPr>
      <w:r w:rsidRPr="00D93FF9">
        <w:rPr>
          <w:sz w:val="18"/>
          <w:szCs w:val="18"/>
        </w:rPr>
        <w:t>Note: The smaller the LF, the lower the acceptable EC</w:t>
      </w:r>
      <w:r w:rsidRPr="00D93FF9">
        <w:rPr>
          <w:sz w:val="18"/>
          <w:szCs w:val="18"/>
          <w:vertAlign w:val="subscript"/>
        </w:rPr>
        <w:t>i</w:t>
      </w:r>
      <w:r w:rsidRPr="00D93FF9">
        <w:rPr>
          <w:sz w:val="18"/>
          <w:szCs w:val="18"/>
        </w:rPr>
        <w:t>.</w:t>
      </w:r>
      <w:r w:rsidRPr="00D93FF9">
        <w:rPr>
          <w:rFonts w:ascii="Arial"/>
          <w:sz w:val="18"/>
          <w:szCs w:val="18"/>
          <w:lang w:val="en-GB"/>
        </w:rPr>
        <w:t xml:space="preserve"> </w:t>
      </w:r>
    </w:p>
    <w:tbl>
      <w:tblPr>
        <w:tblW w:w="0" w:type="auto"/>
        <w:tblInd w:w="121" w:type="dxa"/>
        <w:tblLayout w:type="fixed"/>
        <w:tblCellMar>
          <w:left w:w="0" w:type="dxa"/>
          <w:right w:w="0" w:type="dxa"/>
        </w:tblCellMar>
        <w:tblLook w:val="01E0" w:firstRow="1" w:lastRow="1" w:firstColumn="1" w:lastColumn="1" w:noHBand="0" w:noVBand="0"/>
        <w:tblCaption w:val="Maximum irrigation water salinity values that constrain the subsequent equilibrium soil salinity to the threshold value, for different Leaching Fractions"/>
        <w:tblDescription w:val="A compilation of salinity threshold values as well as electrical conductivity at different leaching fractions. Values are given for a wide range of plants within categories including grains, pasture, fruits, and vegetables. "/>
      </w:tblPr>
      <w:tblGrid>
        <w:gridCol w:w="2131"/>
        <w:gridCol w:w="3027"/>
        <w:gridCol w:w="1863"/>
        <w:gridCol w:w="1080"/>
        <w:gridCol w:w="1417"/>
        <w:gridCol w:w="1276"/>
        <w:gridCol w:w="1276"/>
        <w:gridCol w:w="1417"/>
      </w:tblGrid>
      <w:tr w:rsidR="00BE3AA8" w:rsidRPr="00D93FF9" w14:paraId="59DCCC0B" w14:textId="77777777" w:rsidTr="00C00CD4">
        <w:trPr>
          <w:trHeight w:val="180"/>
        </w:trPr>
        <w:tc>
          <w:tcPr>
            <w:tcW w:w="2131" w:type="dxa"/>
            <w:tcBorders>
              <w:top w:val="single" w:sz="4" w:space="0" w:color="auto"/>
            </w:tcBorders>
          </w:tcPr>
          <w:p w14:paraId="59DCCC07" w14:textId="77777777" w:rsidR="006C14B9" w:rsidRPr="00D93FF9" w:rsidRDefault="00E811B8" w:rsidP="006C14B9">
            <w:pPr>
              <w:pStyle w:val="TableParagraph"/>
              <w:spacing w:before="0" w:after="0"/>
              <w:ind w:left="115"/>
              <w:rPr>
                <w:rFonts w:asciiTheme="minorHAnsi" w:hAnsiTheme="minorHAnsi"/>
                <w:b/>
                <w:sz w:val="16"/>
                <w:szCs w:val="16"/>
                <w:lang w:val="en-GB"/>
              </w:rPr>
            </w:pPr>
            <w:r w:rsidRPr="00D93FF9">
              <w:rPr>
                <w:rFonts w:asciiTheme="minorHAnsi" w:hAnsiTheme="minorHAnsi"/>
                <w:b/>
                <w:sz w:val="16"/>
                <w:szCs w:val="16"/>
                <w:lang w:val="en-GB"/>
              </w:rPr>
              <w:t>Common name</w:t>
            </w:r>
          </w:p>
        </w:tc>
        <w:tc>
          <w:tcPr>
            <w:tcW w:w="3027" w:type="dxa"/>
            <w:tcBorders>
              <w:top w:val="single" w:sz="4" w:space="0" w:color="auto"/>
            </w:tcBorders>
          </w:tcPr>
          <w:p w14:paraId="59DCCC08" w14:textId="77777777" w:rsidR="006C14B9" w:rsidRPr="00D93FF9" w:rsidRDefault="00E811B8" w:rsidP="006C14B9">
            <w:pPr>
              <w:pStyle w:val="TableParagraph"/>
              <w:spacing w:before="0" w:after="0"/>
              <w:ind w:left="494"/>
              <w:rPr>
                <w:rFonts w:asciiTheme="minorHAnsi" w:hAnsiTheme="minorHAnsi"/>
                <w:b/>
                <w:sz w:val="16"/>
                <w:szCs w:val="16"/>
                <w:lang w:val="en-GB"/>
              </w:rPr>
            </w:pPr>
            <w:r w:rsidRPr="00D93FF9">
              <w:rPr>
                <w:rFonts w:asciiTheme="minorHAnsi" w:hAnsiTheme="minorHAnsi"/>
                <w:b/>
                <w:sz w:val="16"/>
                <w:szCs w:val="16"/>
                <w:lang w:val="en-GB"/>
              </w:rPr>
              <w:t>Scientific name</w:t>
            </w:r>
          </w:p>
        </w:tc>
        <w:tc>
          <w:tcPr>
            <w:tcW w:w="6912" w:type="dxa"/>
            <w:gridSpan w:val="5"/>
            <w:tcBorders>
              <w:top w:val="single" w:sz="4" w:space="0" w:color="auto"/>
              <w:bottom w:val="single" w:sz="4" w:space="0" w:color="auto"/>
            </w:tcBorders>
          </w:tcPr>
          <w:p w14:paraId="59DCCC09" w14:textId="77777777" w:rsidR="006C14B9" w:rsidRPr="00D93FF9" w:rsidRDefault="00E811B8" w:rsidP="006C14B9">
            <w:pPr>
              <w:pStyle w:val="TableParagraph"/>
              <w:spacing w:before="0" w:after="0"/>
              <w:ind w:left="88" w:right="208"/>
              <w:jc w:val="center"/>
              <w:rPr>
                <w:rFonts w:asciiTheme="minorHAnsi" w:hAnsiTheme="minorHAnsi"/>
                <w:b/>
                <w:sz w:val="16"/>
                <w:szCs w:val="16"/>
                <w:lang w:val="en-GB"/>
              </w:rPr>
            </w:pPr>
            <w:r w:rsidRPr="00D93FF9">
              <w:rPr>
                <w:rFonts w:asciiTheme="minorHAnsi" w:hAnsiTheme="minorHAnsi"/>
                <w:b/>
                <w:position w:val="2"/>
                <w:sz w:val="16"/>
                <w:szCs w:val="16"/>
                <w:lang w:val="en-GB"/>
              </w:rPr>
              <w:t>EC</w:t>
            </w:r>
            <w:r w:rsidRPr="00D93FF9">
              <w:rPr>
                <w:rFonts w:asciiTheme="minorHAnsi" w:hAnsiTheme="minorHAnsi"/>
                <w:b/>
                <w:sz w:val="16"/>
                <w:szCs w:val="16"/>
                <w:lang w:val="en-GB"/>
              </w:rPr>
              <w:t xml:space="preserve">i </w:t>
            </w:r>
            <w:r w:rsidRPr="00D93FF9">
              <w:rPr>
                <w:rFonts w:asciiTheme="minorHAnsi" w:hAnsiTheme="minorHAnsi"/>
                <w:b/>
                <w:position w:val="2"/>
                <w:sz w:val="16"/>
                <w:szCs w:val="16"/>
                <w:lang w:val="en-GB"/>
              </w:rPr>
              <w:t>(dS/m) at</w:t>
            </w:r>
          </w:p>
        </w:tc>
        <w:tc>
          <w:tcPr>
            <w:tcW w:w="1417" w:type="dxa"/>
            <w:tcBorders>
              <w:top w:val="single" w:sz="4" w:space="0" w:color="auto"/>
            </w:tcBorders>
          </w:tcPr>
          <w:p w14:paraId="59DCCC0A" w14:textId="77777777" w:rsidR="006C14B9" w:rsidRPr="00D93FF9" w:rsidRDefault="00E811B8" w:rsidP="006C14B9">
            <w:pPr>
              <w:pStyle w:val="TableParagraph"/>
              <w:spacing w:before="0" w:after="0"/>
              <w:ind w:left="88" w:right="208"/>
              <w:jc w:val="center"/>
              <w:rPr>
                <w:rFonts w:asciiTheme="minorHAnsi" w:hAnsiTheme="minorHAnsi"/>
                <w:sz w:val="16"/>
                <w:szCs w:val="16"/>
                <w:lang w:val="en-GB"/>
              </w:rPr>
            </w:pPr>
            <w:r w:rsidRPr="00D93FF9">
              <w:rPr>
                <w:rFonts w:asciiTheme="minorHAnsi" w:hAnsiTheme="minorHAnsi"/>
                <w:b/>
                <w:sz w:val="16"/>
                <w:szCs w:val="16"/>
                <w:lang w:val="en-GB"/>
              </w:rPr>
              <w:t>Reference</w:t>
            </w:r>
          </w:p>
        </w:tc>
      </w:tr>
      <w:tr w:rsidR="00BE3AA8" w:rsidRPr="00D93FF9" w14:paraId="59DCCC14" w14:textId="77777777" w:rsidTr="00C00CD4">
        <w:trPr>
          <w:trHeight w:val="424"/>
        </w:trPr>
        <w:tc>
          <w:tcPr>
            <w:tcW w:w="2131" w:type="dxa"/>
            <w:tcBorders>
              <w:bottom w:val="single" w:sz="4" w:space="0" w:color="auto"/>
            </w:tcBorders>
          </w:tcPr>
          <w:p w14:paraId="59DCCC0C" w14:textId="77777777" w:rsidR="006C14B9" w:rsidRPr="00D93FF9" w:rsidRDefault="006C14B9" w:rsidP="006C14B9">
            <w:pPr>
              <w:pStyle w:val="TableParagraph"/>
              <w:spacing w:before="0" w:after="0"/>
              <w:ind w:left="115"/>
              <w:rPr>
                <w:rFonts w:asciiTheme="minorHAnsi" w:hAnsiTheme="minorHAnsi"/>
                <w:b/>
                <w:sz w:val="16"/>
                <w:szCs w:val="16"/>
                <w:lang w:val="en-GB"/>
              </w:rPr>
            </w:pPr>
          </w:p>
        </w:tc>
        <w:tc>
          <w:tcPr>
            <w:tcW w:w="3027" w:type="dxa"/>
            <w:tcBorders>
              <w:bottom w:val="single" w:sz="4" w:space="0" w:color="auto"/>
            </w:tcBorders>
          </w:tcPr>
          <w:p w14:paraId="59DCCC0D" w14:textId="77777777" w:rsidR="006C14B9" w:rsidRPr="00D93FF9" w:rsidRDefault="006C14B9" w:rsidP="006C14B9">
            <w:pPr>
              <w:pStyle w:val="TableParagraph"/>
              <w:spacing w:before="0" w:after="0"/>
              <w:ind w:left="494"/>
              <w:rPr>
                <w:rFonts w:asciiTheme="minorHAnsi" w:hAnsiTheme="minorHAnsi"/>
                <w:b/>
                <w:sz w:val="16"/>
                <w:szCs w:val="16"/>
                <w:lang w:val="en-GB"/>
              </w:rPr>
            </w:pPr>
          </w:p>
        </w:tc>
        <w:tc>
          <w:tcPr>
            <w:tcW w:w="1863" w:type="dxa"/>
            <w:tcBorders>
              <w:top w:val="single" w:sz="4" w:space="0" w:color="auto"/>
              <w:bottom w:val="single" w:sz="4" w:space="0" w:color="auto"/>
            </w:tcBorders>
          </w:tcPr>
          <w:p w14:paraId="59DCCC0E" w14:textId="77777777" w:rsidR="006C14B9" w:rsidRPr="00D93FF9" w:rsidRDefault="00E811B8" w:rsidP="006C14B9">
            <w:pPr>
              <w:pStyle w:val="TableParagraph"/>
              <w:spacing w:before="0" w:after="0" w:line="212" w:lineRule="exact"/>
              <w:ind w:left="350" w:right="150"/>
              <w:rPr>
                <w:rFonts w:asciiTheme="minorHAnsi" w:hAnsiTheme="minorHAnsi"/>
                <w:b/>
                <w:sz w:val="16"/>
                <w:szCs w:val="16"/>
                <w:lang w:val="en-GB"/>
              </w:rPr>
            </w:pPr>
            <w:r w:rsidRPr="00D93FF9">
              <w:rPr>
                <w:rFonts w:asciiTheme="minorHAnsi" w:hAnsiTheme="minorHAnsi"/>
                <w:b/>
                <w:sz w:val="16"/>
                <w:szCs w:val="16"/>
                <w:lang w:val="en-GB"/>
              </w:rPr>
              <w:t xml:space="preserve">Salinity threshold </w:t>
            </w:r>
            <w:r w:rsidRPr="00D93FF9">
              <w:rPr>
                <w:rFonts w:asciiTheme="minorHAnsi" w:hAnsiTheme="minorHAnsi"/>
                <w:b/>
                <w:position w:val="2"/>
                <w:sz w:val="16"/>
                <w:szCs w:val="16"/>
                <w:lang w:val="en-GB"/>
              </w:rPr>
              <w:t>(EC</w:t>
            </w:r>
            <w:r w:rsidRPr="00D93FF9">
              <w:rPr>
                <w:rFonts w:asciiTheme="minorHAnsi" w:hAnsiTheme="minorHAnsi"/>
                <w:b/>
                <w:sz w:val="16"/>
                <w:szCs w:val="16"/>
                <w:lang w:val="en-GB"/>
              </w:rPr>
              <w:t xml:space="preserve">se </w:t>
            </w:r>
            <w:r w:rsidRPr="00D93FF9">
              <w:rPr>
                <w:rFonts w:asciiTheme="minorHAnsi" w:hAnsiTheme="minorHAnsi"/>
                <w:b/>
                <w:position w:val="2"/>
                <w:sz w:val="16"/>
                <w:szCs w:val="16"/>
                <w:lang w:val="en-GB"/>
              </w:rPr>
              <w:t>dS/m)</w:t>
            </w:r>
          </w:p>
        </w:tc>
        <w:tc>
          <w:tcPr>
            <w:tcW w:w="1080" w:type="dxa"/>
            <w:tcBorders>
              <w:top w:val="single" w:sz="4" w:space="0" w:color="auto"/>
              <w:bottom w:val="single" w:sz="4" w:space="0" w:color="auto"/>
            </w:tcBorders>
          </w:tcPr>
          <w:p w14:paraId="59DCCC0F" w14:textId="77777777" w:rsidR="006C14B9" w:rsidRPr="00D93FF9" w:rsidRDefault="00E811B8" w:rsidP="006C14B9">
            <w:pPr>
              <w:pStyle w:val="TableParagraph"/>
              <w:spacing w:before="0" w:after="0"/>
              <w:ind w:left="-26" w:right="141"/>
              <w:jc w:val="right"/>
              <w:rPr>
                <w:rFonts w:asciiTheme="minorHAnsi" w:hAnsiTheme="minorHAnsi"/>
                <w:b/>
                <w:sz w:val="16"/>
                <w:szCs w:val="16"/>
                <w:lang w:val="en-GB"/>
              </w:rPr>
            </w:pPr>
            <w:r w:rsidRPr="00D93FF9">
              <w:rPr>
                <w:rFonts w:asciiTheme="minorHAnsi" w:hAnsiTheme="minorHAnsi"/>
                <w:b/>
                <w:sz w:val="16"/>
                <w:szCs w:val="16"/>
                <w:lang w:val="en-GB"/>
              </w:rPr>
              <w:t>25% LF (e.g., sand)</w:t>
            </w:r>
          </w:p>
        </w:tc>
        <w:tc>
          <w:tcPr>
            <w:tcW w:w="1417" w:type="dxa"/>
            <w:tcBorders>
              <w:top w:val="single" w:sz="4" w:space="0" w:color="auto"/>
              <w:bottom w:val="single" w:sz="4" w:space="0" w:color="auto"/>
            </w:tcBorders>
          </w:tcPr>
          <w:p w14:paraId="59DCCC10" w14:textId="77777777" w:rsidR="006C14B9" w:rsidRPr="00D93FF9" w:rsidRDefault="00E811B8" w:rsidP="006C14B9">
            <w:pPr>
              <w:pStyle w:val="TableParagraph"/>
              <w:spacing w:before="0" w:after="0"/>
              <w:ind w:left="-50" w:right="168" w:hanging="50"/>
              <w:jc w:val="right"/>
              <w:rPr>
                <w:rFonts w:asciiTheme="minorHAnsi" w:hAnsiTheme="minorHAnsi"/>
                <w:b/>
                <w:sz w:val="16"/>
                <w:szCs w:val="16"/>
                <w:lang w:val="en-GB"/>
              </w:rPr>
            </w:pPr>
            <w:r w:rsidRPr="00D93FF9">
              <w:rPr>
                <w:rFonts w:asciiTheme="minorHAnsi" w:hAnsiTheme="minorHAnsi"/>
                <w:b/>
                <w:sz w:val="16"/>
                <w:szCs w:val="16"/>
                <w:lang w:val="en-GB"/>
              </w:rPr>
              <w:t>20% LF (e.g., sandy loam)</w:t>
            </w:r>
          </w:p>
        </w:tc>
        <w:tc>
          <w:tcPr>
            <w:tcW w:w="1276" w:type="dxa"/>
            <w:tcBorders>
              <w:top w:val="single" w:sz="4" w:space="0" w:color="auto"/>
              <w:bottom w:val="single" w:sz="4" w:space="0" w:color="auto"/>
            </w:tcBorders>
          </w:tcPr>
          <w:p w14:paraId="59DCCC11" w14:textId="77777777" w:rsidR="006C14B9" w:rsidRPr="00D93FF9" w:rsidRDefault="00E811B8" w:rsidP="006C14B9">
            <w:pPr>
              <w:pStyle w:val="TableParagraph"/>
              <w:spacing w:before="0" w:after="0"/>
              <w:ind w:right="234"/>
              <w:jc w:val="right"/>
              <w:rPr>
                <w:rFonts w:asciiTheme="minorHAnsi" w:hAnsiTheme="minorHAnsi"/>
                <w:b/>
                <w:sz w:val="16"/>
                <w:szCs w:val="16"/>
                <w:lang w:val="en-GB"/>
              </w:rPr>
            </w:pPr>
            <w:r w:rsidRPr="00D93FF9">
              <w:rPr>
                <w:rFonts w:asciiTheme="minorHAnsi" w:hAnsiTheme="minorHAnsi"/>
                <w:b/>
                <w:sz w:val="16"/>
                <w:szCs w:val="16"/>
                <w:lang w:val="en-GB"/>
              </w:rPr>
              <w:t>17% LF (e.g., loam)</w:t>
            </w:r>
          </w:p>
        </w:tc>
        <w:tc>
          <w:tcPr>
            <w:tcW w:w="1276" w:type="dxa"/>
            <w:tcBorders>
              <w:top w:val="single" w:sz="4" w:space="0" w:color="auto"/>
              <w:bottom w:val="single" w:sz="4" w:space="0" w:color="auto"/>
            </w:tcBorders>
          </w:tcPr>
          <w:p w14:paraId="59DCCC12" w14:textId="77777777" w:rsidR="006C14B9" w:rsidRPr="00D93FF9" w:rsidRDefault="00E811B8" w:rsidP="006C14B9">
            <w:pPr>
              <w:pStyle w:val="TableParagraph"/>
              <w:spacing w:before="0" w:after="0"/>
              <w:ind w:left="88" w:right="208"/>
              <w:jc w:val="center"/>
              <w:rPr>
                <w:rFonts w:asciiTheme="minorHAnsi" w:hAnsiTheme="minorHAnsi"/>
                <w:b/>
                <w:sz w:val="16"/>
                <w:szCs w:val="16"/>
                <w:lang w:val="en-GB"/>
              </w:rPr>
            </w:pPr>
            <w:r w:rsidRPr="00D93FF9">
              <w:rPr>
                <w:rFonts w:asciiTheme="minorHAnsi" w:hAnsiTheme="minorHAnsi"/>
                <w:b/>
                <w:sz w:val="16"/>
                <w:szCs w:val="16"/>
                <w:lang w:val="en-GB"/>
              </w:rPr>
              <w:t>12% LF (e.g., light clay)</w:t>
            </w:r>
          </w:p>
        </w:tc>
        <w:tc>
          <w:tcPr>
            <w:tcW w:w="1417" w:type="dxa"/>
            <w:tcBorders>
              <w:bottom w:val="single" w:sz="4" w:space="0" w:color="auto"/>
            </w:tcBorders>
          </w:tcPr>
          <w:p w14:paraId="59DCCC13" w14:textId="77777777" w:rsidR="006C14B9" w:rsidRPr="00D93FF9" w:rsidRDefault="006C14B9" w:rsidP="006C14B9">
            <w:pPr>
              <w:pStyle w:val="TableParagraph"/>
              <w:spacing w:before="0" w:after="0"/>
              <w:ind w:left="88" w:right="208"/>
              <w:jc w:val="center"/>
              <w:rPr>
                <w:rFonts w:asciiTheme="minorHAnsi" w:hAnsiTheme="minorHAnsi"/>
                <w:b/>
                <w:sz w:val="16"/>
                <w:szCs w:val="16"/>
                <w:lang w:val="en-GB"/>
              </w:rPr>
            </w:pPr>
          </w:p>
        </w:tc>
      </w:tr>
      <w:tr w:rsidR="00BE3AA8" w:rsidRPr="00D93FF9" w14:paraId="59DCCC1D" w14:textId="77777777" w:rsidTr="00C00CD4">
        <w:trPr>
          <w:trHeight w:val="252"/>
        </w:trPr>
        <w:tc>
          <w:tcPr>
            <w:tcW w:w="2131" w:type="dxa"/>
            <w:tcBorders>
              <w:top w:val="single" w:sz="4" w:space="0" w:color="auto"/>
            </w:tcBorders>
          </w:tcPr>
          <w:p w14:paraId="59DCCC15" w14:textId="77777777" w:rsidR="006C14B9" w:rsidRPr="00D93FF9" w:rsidRDefault="00E811B8" w:rsidP="006C14B9">
            <w:pPr>
              <w:pStyle w:val="TableParagraph"/>
              <w:spacing w:before="0" w:after="0"/>
              <w:ind w:left="115"/>
              <w:rPr>
                <w:rFonts w:asciiTheme="minorHAnsi" w:hAnsiTheme="minorHAnsi"/>
                <w:b/>
                <w:sz w:val="16"/>
                <w:szCs w:val="16"/>
                <w:lang w:val="en-GB"/>
              </w:rPr>
            </w:pPr>
            <w:r w:rsidRPr="00D93FF9">
              <w:rPr>
                <w:rFonts w:asciiTheme="minorHAnsi" w:hAnsiTheme="minorHAnsi"/>
                <w:b/>
                <w:sz w:val="16"/>
                <w:szCs w:val="16"/>
                <w:lang w:val="en-GB"/>
              </w:rPr>
              <w:t>Grains</w:t>
            </w:r>
          </w:p>
        </w:tc>
        <w:tc>
          <w:tcPr>
            <w:tcW w:w="3027" w:type="dxa"/>
            <w:tcBorders>
              <w:top w:val="single" w:sz="4" w:space="0" w:color="auto"/>
            </w:tcBorders>
          </w:tcPr>
          <w:p w14:paraId="59DCCC16" w14:textId="77777777" w:rsidR="006C14B9" w:rsidRPr="00D93FF9" w:rsidRDefault="006C14B9" w:rsidP="006C14B9">
            <w:pPr>
              <w:pStyle w:val="TableParagraph"/>
              <w:spacing w:before="0" w:after="0"/>
              <w:rPr>
                <w:rFonts w:asciiTheme="minorHAnsi" w:hAnsiTheme="minorHAnsi"/>
                <w:sz w:val="16"/>
                <w:szCs w:val="16"/>
                <w:lang w:val="en-GB"/>
              </w:rPr>
            </w:pPr>
          </w:p>
        </w:tc>
        <w:tc>
          <w:tcPr>
            <w:tcW w:w="1863" w:type="dxa"/>
            <w:tcBorders>
              <w:top w:val="single" w:sz="4" w:space="0" w:color="auto"/>
            </w:tcBorders>
          </w:tcPr>
          <w:p w14:paraId="59DCCC17" w14:textId="77777777" w:rsidR="006C14B9" w:rsidRPr="00D93FF9" w:rsidRDefault="006C14B9" w:rsidP="006C14B9">
            <w:pPr>
              <w:pStyle w:val="TableParagraph"/>
              <w:spacing w:before="0" w:after="0"/>
              <w:rPr>
                <w:rFonts w:asciiTheme="minorHAnsi" w:hAnsiTheme="minorHAnsi"/>
                <w:sz w:val="16"/>
                <w:szCs w:val="16"/>
                <w:lang w:val="en-GB"/>
              </w:rPr>
            </w:pPr>
          </w:p>
        </w:tc>
        <w:tc>
          <w:tcPr>
            <w:tcW w:w="1080" w:type="dxa"/>
            <w:tcBorders>
              <w:top w:val="single" w:sz="4" w:space="0" w:color="auto"/>
            </w:tcBorders>
          </w:tcPr>
          <w:p w14:paraId="59DCCC18" w14:textId="77777777" w:rsidR="006C14B9" w:rsidRPr="00D93FF9" w:rsidRDefault="006C14B9" w:rsidP="006C14B9">
            <w:pPr>
              <w:pStyle w:val="TableParagraph"/>
              <w:spacing w:before="0" w:after="0"/>
              <w:rPr>
                <w:rFonts w:asciiTheme="minorHAnsi" w:hAnsiTheme="minorHAnsi"/>
                <w:sz w:val="16"/>
                <w:szCs w:val="16"/>
                <w:lang w:val="en-GB"/>
              </w:rPr>
            </w:pPr>
          </w:p>
        </w:tc>
        <w:tc>
          <w:tcPr>
            <w:tcW w:w="1417" w:type="dxa"/>
            <w:tcBorders>
              <w:top w:val="single" w:sz="4" w:space="0" w:color="auto"/>
            </w:tcBorders>
          </w:tcPr>
          <w:p w14:paraId="59DCCC19" w14:textId="77777777" w:rsidR="006C14B9" w:rsidRPr="00D93FF9" w:rsidRDefault="006C14B9" w:rsidP="006C14B9">
            <w:pPr>
              <w:pStyle w:val="TableParagraph"/>
              <w:spacing w:before="0" w:after="0"/>
              <w:rPr>
                <w:rFonts w:asciiTheme="minorHAnsi" w:hAnsiTheme="minorHAnsi"/>
                <w:sz w:val="16"/>
                <w:szCs w:val="16"/>
                <w:lang w:val="en-GB"/>
              </w:rPr>
            </w:pPr>
          </w:p>
        </w:tc>
        <w:tc>
          <w:tcPr>
            <w:tcW w:w="1276" w:type="dxa"/>
            <w:tcBorders>
              <w:top w:val="single" w:sz="4" w:space="0" w:color="auto"/>
            </w:tcBorders>
          </w:tcPr>
          <w:p w14:paraId="59DCCC1A" w14:textId="77777777" w:rsidR="006C14B9" w:rsidRPr="00D93FF9" w:rsidRDefault="006C14B9" w:rsidP="006C14B9">
            <w:pPr>
              <w:pStyle w:val="TableParagraph"/>
              <w:spacing w:before="0" w:after="0"/>
              <w:rPr>
                <w:rFonts w:asciiTheme="minorHAnsi" w:hAnsiTheme="minorHAnsi"/>
                <w:sz w:val="16"/>
                <w:szCs w:val="16"/>
                <w:lang w:val="en-GB"/>
              </w:rPr>
            </w:pPr>
          </w:p>
        </w:tc>
        <w:tc>
          <w:tcPr>
            <w:tcW w:w="1276" w:type="dxa"/>
            <w:tcBorders>
              <w:top w:val="single" w:sz="4" w:space="0" w:color="auto"/>
            </w:tcBorders>
          </w:tcPr>
          <w:p w14:paraId="59DCCC1B" w14:textId="77777777" w:rsidR="006C14B9" w:rsidRPr="00D93FF9" w:rsidRDefault="006C14B9" w:rsidP="006C14B9">
            <w:pPr>
              <w:pStyle w:val="TableParagraph"/>
              <w:spacing w:before="0" w:after="0"/>
              <w:rPr>
                <w:rFonts w:asciiTheme="minorHAnsi" w:hAnsiTheme="minorHAnsi"/>
                <w:sz w:val="16"/>
                <w:szCs w:val="16"/>
                <w:lang w:val="en-GB"/>
              </w:rPr>
            </w:pPr>
          </w:p>
        </w:tc>
        <w:tc>
          <w:tcPr>
            <w:tcW w:w="1417" w:type="dxa"/>
            <w:tcBorders>
              <w:top w:val="single" w:sz="4" w:space="0" w:color="auto"/>
            </w:tcBorders>
          </w:tcPr>
          <w:p w14:paraId="59DCCC1C" w14:textId="77777777" w:rsidR="006C14B9" w:rsidRPr="00D93FF9" w:rsidRDefault="006C14B9" w:rsidP="006C14B9">
            <w:pPr>
              <w:pStyle w:val="TableParagraph"/>
              <w:spacing w:before="0" w:after="0"/>
              <w:rPr>
                <w:rFonts w:asciiTheme="minorHAnsi" w:hAnsiTheme="minorHAnsi"/>
                <w:sz w:val="16"/>
                <w:szCs w:val="16"/>
                <w:lang w:val="en-GB"/>
              </w:rPr>
            </w:pPr>
          </w:p>
        </w:tc>
      </w:tr>
      <w:tr w:rsidR="00BE3AA8" w:rsidRPr="00D93FF9" w14:paraId="59DCCC26" w14:textId="77777777" w:rsidTr="00574F7D">
        <w:trPr>
          <w:trHeight w:val="254"/>
        </w:trPr>
        <w:tc>
          <w:tcPr>
            <w:tcW w:w="2131" w:type="dxa"/>
          </w:tcPr>
          <w:p w14:paraId="59DCCC1E"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Canola (oilseed rape)</w:t>
            </w:r>
          </w:p>
        </w:tc>
        <w:tc>
          <w:tcPr>
            <w:tcW w:w="3027" w:type="dxa"/>
          </w:tcPr>
          <w:p w14:paraId="59DCCC1F"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Brassica napus</w:t>
            </w:r>
          </w:p>
        </w:tc>
        <w:tc>
          <w:tcPr>
            <w:tcW w:w="1863" w:type="dxa"/>
          </w:tcPr>
          <w:p w14:paraId="59DCCC20" w14:textId="77777777" w:rsidR="006C14B9" w:rsidRPr="00D93FF9" w:rsidRDefault="00E811B8" w:rsidP="006C14B9">
            <w:pPr>
              <w:pStyle w:val="TableParagraph"/>
              <w:spacing w:before="0" w:after="0"/>
              <w:ind w:left="386" w:right="474"/>
              <w:jc w:val="center"/>
              <w:rPr>
                <w:rFonts w:asciiTheme="minorHAnsi" w:hAnsiTheme="minorHAnsi"/>
                <w:sz w:val="16"/>
                <w:szCs w:val="16"/>
                <w:lang w:val="en-GB"/>
              </w:rPr>
            </w:pPr>
            <w:r w:rsidRPr="00D93FF9">
              <w:rPr>
                <w:rFonts w:asciiTheme="minorHAnsi" w:hAnsiTheme="minorHAnsi"/>
                <w:sz w:val="16"/>
                <w:szCs w:val="16"/>
                <w:lang w:val="en-GB"/>
              </w:rPr>
              <w:t>2-4</w:t>
            </w:r>
          </w:p>
        </w:tc>
        <w:tc>
          <w:tcPr>
            <w:tcW w:w="1080" w:type="dxa"/>
          </w:tcPr>
          <w:p w14:paraId="59DCCC21"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3.0</w:t>
            </w:r>
          </w:p>
        </w:tc>
        <w:tc>
          <w:tcPr>
            <w:tcW w:w="1417" w:type="dxa"/>
          </w:tcPr>
          <w:p w14:paraId="59DCCC22"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2.6</w:t>
            </w:r>
          </w:p>
        </w:tc>
        <w:tc>
          <w:tcPr>
            <w:tcW w:w="1276" w:type="dxa"/>
          </w:tcPr>
          <w:p w14:paraId="59DCCC23" w14:textId="77777777" w:rsidR="006C14B9" w:rsidRPr="00D93FF9" w:rsidRDefault="00E811B8" w:rsidP="006C14B9">
            <w:pPr>
              <w:pStyle w:val="TableParagraph"/>
              <w:spacing w:before="0" w:after="0"/>
              <w:ind w:right="288"/>
              <w:jc w:val="center"/>
              <w:rPr>
                <w:rFonts w:asciiTheme="minorHAnsi" w:hAnsiTheme="minorHAnsi"/>
                <w:sz w:val="16"/>
                <w:szCs w:val="16"/>
                <w:lang w:val="en-GB"/>
              </w:rPr>
            </w:pPr>
            <w:r w:rsidRPr="00D93FF9">
              <w:rPr>
                <w:rFonts w:asciiTheme="minorHAnsi" w:hAnsiTheme="minorHAnsi"/>
                <w:sz w:val="16"/>
                <w:szCs w:val="16"/>
                <w:lang w:val="en-GB"/>
              </w:rPr>
              <w:t>2.2</w:t>
            </w:r>
          </w:p>
        </w:tc>
        <w:tc>
          <w:tcPr>
            <w:tcW w:w="1276" w:type="dxa"/>
          </w:tcPr>
          <w:p w14:paraId="59DCCC24" w14:textId="77777777" w:rsidR="006C14B9" w:rsidRPr="00D93FF9" w:rsidRDefault="00E811B8" w:rsidP="006C14B9">
            <w:pPr>
              <w:pStyle w:val="TableParagraph"/>
              <w:spacing w:before="0" w:after="0"/>
              <w:ind w:right="4"/>
              <w:jc w:val="center"/>
              <w:rPr>
                <w:rFonts w:asciiTheme="minorHAnsi" w:hAnsiTheme="minorHAnsi"/>
                <w:sz w:val="16"/>
                <w:szCs w:val="16"/>
                <w:lang w:val="en-GB"/>
              </w:rPr>
            </w:pPr>
            <w:r w:rsidRPr="00D93FF9">
              <w:rPr>
                <w:rFonts w:asciiTheme="minorHAnsi" w:hAnsiTheme="minorHAnsi"/>
                <w:sz w:val="16"/>
                <w:szCs w:val="16"/>
                <w:lang w:val="en-GB"/>
              </w:rPr>
              <w:t>1.7</w:t>
            </w:r>
          </w:p>
        </w:tc>
        <w:tc>
          <w:tcPr>
            <w:tcW w:w="1417" w:type="dxa"/>
          </w:tcPr>
          <w:p w14:paraId="59DCCC25" w14:textId="77777777" w:rsidR="006C14B9" w:rsidRPr="00D93FF9" w:rsidRDefault="00E811B8" w:rsidP="006C14B9">
            <w:pPr>
              <w:pStyle w:val="TableParagraph"/>
              <w:spacing w:before="0" w:after="0"/>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C2F" w14:textId="77777777" w:rsidTr="00574F7D">
        <w:trPr>
          <w:trHeight w:val="228"/>
        </w:trPr>
        <w:tc>
          <w:tcPr>
            <w:tcW w:w="2131" w:type="dxa"/>
          </w:tcPr>
          <w:p w14:paraId="59DCCC27"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Faba bean</w:t>
            </w:r>
          </w:p>
        </w:tc>
        <w:tc>
          <w:tcPr>
            <w:tcW w:w="3027" w:type="dxa"/>
          </w:tcPr>
          <w:p w14:paraId="59DCCC28"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Vicia faba</w:t>
            </w:r>
          </w:p>
        </w:tc>
        <w:tc>
          <w:tcPr>
            <w:tcW w:w="1863" w:type="dxa"/>
          </w:tcPr>
          <w:p w14:paraId="59DCCC29"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2-4</w:t>
            </w:r>
          </w:p>
        </w:tc>
        <w:tc>
          <w:tcPr>
            <w:tcW w:w="1080" w:type="dxa"/>
          </w:tcPr>
          <w:p w14:paraId="59DCCC2A"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3.0</w:t>
            </w:r>
          </w:p>
        </w:tc>
        <w:tc>
          <w:tcPr>
            <w:tcW w:w="1417" w:type="dxa"/>
          </w:tcPr>
          <w:p w14:paraId="59DCCC2B"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2.6</w:t>
            </w:r>
          </w:p>
        </w:tc>
        <w:tc>
          <w:tcPr>
            <w:tcW w:w="1276" w:type="dxa"/>
          </w:tcPr>
          <w:p w14:paraId="59DCCC2C" w14:textId="77777777" w:rsidR="006C14B9" w:rsidRPr="00D93FF9" w:rsidRDefault="00E811B8" w:rsidP="006C14B9">
            <w:pPr>
              <w:pStyle w:val="TableParagraph"/>
              <w:spacing w:before="0" w:after="0"/>
              <w:ind w:right="288"/>
              <w:jc w:val="center"/>
              <w:rPr>
                <w:rFonts w:asciiTheme="minorHAnsi" w:hAnsiTheme="minorHAnsi"/>
                <w:sz w:val="16"/>
                <w:szCs w:val="16"/>
                <w:lang w:val="en-GB"/>
              </w:rPr>
            </w:pPr>
            <w:r w:rsidRPr="00D93FF9">
              <w:rPr>
                <w:rFonts w:asciiTheme="minorHAnsi" w:hAnsiTheme="minorHAnsi"/>
                <w:sz w:val="16"/>
                <w:szCs w:val="16"/>
                <w:lang w:val="en-GB"/>
              </w:rPr>
              <w:t>2.2</w:t>
            </w:r>
          </w:p>
        </w:tc>
        <w:tc>
          <w:tcPr>
            <w:tcW w:w="1276" w:type="dxa"/>
          </w:tcPr>
          <w:p w14:paraId="59DCCC2D"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1.7</w:t>
            </w:r>
          </w:p>
        </w:tc>
        <w:tc>
          <w:tcPr>
            <w:tcW w:w="1417" w:type="dxa"/>
          </w:tcPr>
          <w:p w14:paraId="59DCCC2E"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C38" w14:textId="77777777" w:rsidTr="00574F7D">
        <w:trPr>
          <w:trHeight w:val="228"/>
        </w:trPr>
        <w:tc>
          <w:tcPr>
            <w:tcW w:w="2131" w:type="dxa"/>
          </w:tcPr>
          <w:p w14:paraId="59DCCC30"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Narrow-leaf lupin</w:t>
            </w:r>
          </w:p>
        </w:tc>
        <w:tc>
          <w:tcPr>
            <w:tcW w:w="3027" w:type="dxa"/>
          </w:tcPr>
          <w:p w14:paraId="59DCCC31"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Lupinus angustifolium</w:t>
            </w:r>
          </w:p>
        </w:tc>
        <w:tc>
          <w:tcPr>
            <w:tcW w:w="1863" w:type="dxa"/>
          </w:tcPr>
          <w:p w14:paraId="59DCCC32"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2-4</w:t>
            </w:r>
          </w:p>
        </w:tc>
        <w:tc>
          <w:tcPr>
            <w:tcW w:w="1080" w:type="dxa"/>
          </w:tcPr>
          <w:p w14:paraId="59DCCC33"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3.0</w:t>
            </w:r>
          </w:p>
        </w:tc>
        <w:tc>
          <w:tcPr>
            <w:tcW w:w="1417" w:type="dxa"/>
          </w:tcPr>
          <w:p w14:paraId="59DCCC34"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2.6</w:t>
            </w:r>
          </w:p>
        </w:tc>
        <w:tc>
          <w:tcPr>
            <w:tcW w:w="1276" w:type="dxa"/>
          </w:tcPr>
          <w:p w14:paraId="59DCCC35" w14:textId="77777777" w:rsidR="006C14B9" w:rsidRPr="00D93FF9" w:rsidRDefault="00E811B8" w:rsidP="006C14B9">
            <w:pPr>
              <w:pStyle w:val="TableParagraph"/>
              <w:spacing w:before="0" w:after="0"/>
              <w:ind w:right="288"/>
              <w:jc w:val="center"/>
              <w:rPr>
                <w:rFonts w:asciiTheme="minorHAnsi" w:hAnsiTheme="minorHAnsi"/>
                <w:sz w:val="16"/>
                <w:szCs w:val="16"/>
                <w:lang w:val="en-GB"/>
              </w:rPr>
            </w:pPr>
            <w:r w:rsidRPr="00D93FF9">
              <w:rPr>
                <w:rFonts w:asciiTheme="minorHAnsi" w:hAnsiTheme="minorHAnsi"/>
                <w:sz w:val="16"/>
                <w:szCs w:val="16"/>
                <w:lang w:val="en-GB"/>
              </w:rPr>
              <w:t>2.2</w:t>
            </w:r>
          </w:p>
        </w:tc>
        <w:tc>
          <w:tcPr>
            <w:tcW w:w="1276" w:type="dxa"/>
          </w:tcPr>
          <w:p w14:paraId="59DCCC36"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1.7</w:t>
            </w:r>
          </w:p>
        </w:tc>
        <w:tc>
          <w:tcPr>
            <w:tcW w:w="1417" w:type="dxa"/>
          </w:tcPr>
          <w:p w14:paraId="59DCCC37"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C41" w14:textId="77777777" w:rsidTr="00574F7D">
        <w:trPr>
          <w:trHeight w:val="227"/>
        </w:trPr>
        <w:tc>
          <w:tcPr>
            <w:tcW w:w="2131" w:type="dxa"/>
          </w:tcPr>
          <w:p w14:paraId="59DCCC39" w14:textId="77777777" w:rsidR="006C14B9" w:rsidRPr="00D93FF9" w:rsidRDefault="006C14B9" w:rsidP="006C14B9">
            <w:pPr>
              <w:pStyle w:val="TableParagraph"/>
              <w:spacing w:before="0" w:after="0"/>
              <w:ind w:left="115"/>
              <w:rPr>
                <w:rFonts w:asciiTheme="minorHAnsi" w:hAnsiTheme="minorHAnsi"/>
                <w:sz w:val="16"/>
                <w:szCs w:val="16"/>
                <w:lang w:val="en-GB"/>
              </w:rPr>
            </w:pPr>
          </w:p>
        </w:tc>
        <w:tc>
          <w:tcPr>
            <w:tcW w:w="3027" w:type="dxa"/>
          </w:tcPr>
          <w:p w14:paraId="59DCCC3A" w14:textId="77777777" w:rsidR="006C14B9" w:rsidRPr="00D93FF9" w:rsidRDefault="006C14B9" w:rsidP="006C14B9">
            <w:pPr>
              <w:pStyle w:val="TableParagraph"/>
              <w:spacing w:before="0" w:after="0"/>
              <w:ind w:left="494"/>
              <w:rPr>
                <w:rFonts w:asciiTheme="minorHAnsi" w:hAnsiTheme="minorHAnsi"/>
                <w:i/>
                <w:sz w:val="16"/>
                <w:szCs w:val="16"/>
                <w:lang w:val="en-GB"/>
              </w:rPr>
            </w:pPr>
          </w:p>
        </w:tc>
        <w:tc>
          <w:tcPr>
            <w:tcW w:w="1863" w:type="dxa"/>
          </w:tcPr>
          <w:p w14:paraId="59DCCC3B" w14:textId="77777777" w:rsidR="006C14B9" w:rsidRPr="00D93FF9" w:rsidRDefault="006C14B9" w:rsidP="006C14B9">
            <w:pPr>
              <w:pStyle w:val="TableParagraph"/>
              <w:spacing w:before="0" w:after="0"/>
              <w:ind w:left="766" w:right="834"/>
              <w:jc w:val="center"/>
              <w:rPr>
                <w:rFonts w:asciiTheme="minorHAnsi" w:hAnsiTheme="minorHAnsi"/>
                <w:sz w:val="16"/>
                <w:szCs w:val="16"/>
                <w:lang w:val="en-GB"/>
              </w:rPr>
            </w:pPr>
          </w:p>
        </w:tc>
        <w:tc>
          <w:tcPr>
            <w:tcW w:w="1080" w:type="dxa"/>
          </w:tcPr>
          <w:p w14:paraId="59DCCC3C" w14:textId="77777777" w:rsidR="006C14B9" w:rsidRPr="00D93FF9" w:rsidRDefault="006C14B9" w:rsidP="006C14B9">
            <w:pPr>
              <w:pStyle w:val="TableParagraph"/>
              <w:spacing w:before="0" w:after="0"/>
              <w:ind w:right="208"/>
              <w:jc w:val="center"/>
              <w:rPr>
                <w:rFonts w:asciiTheme="minorHAnsi" w:hAnsiTheme="minorHAnsi"/>
                <w:sz w:val="16"/>
                <w:szCs w:val="16"/>
                <w:lang w:val="en-GB"/>
              </w:rPr>
            </w:pPr>
          </w:p>
        </w:tc>
        <w:tc>
          <w:tcPr>
            <w:tcW w:w="1417" w:type="dxa"/>
          </w:tcPr>
          <w:p w14:paraId="59DCCC3D" w14:textId="77777777" w:rsidR="006C14B9" w:rsidRPr="00D93FF9" w:rsidRDefault="006C14B9" w:rsidP="006C14B9">
            <w:pPr>
              <w:pStyle w:val="TableParagraph"/>
              <w:spacing w:before="0" w:after="0"/>
              <w:ind w:right="235"/>
              <w:jc w:val="center"/>
              <w:rPr>
                <w:rFonts w:asciiTheme="minorHAnsi" w:hAnsiTheme="minorHAnsi"/>
                <w:sz w:val="16"/>
                <w:szCs w:val="16"/>
                <w:lang w:val="en-GB"/>
              </w:rPr>
            </w:pPr>
          </w:p>
        </w:tc>
        <w:tc>
          <w:tcPr>
            <w:tcW w:w="1276" w:type="dxa"/>
          </w:tcPr>
          <w:p w14:paraId="59DCCC3E" w14:textId="77777777" w:rsidR="006C14B9" w:rsidRPr="00D93FF9" w:rsidRDefault="006C14B9" w:rsidP="006C14B9">
            <w:pPr>
              <w:pStyle w:val="TableParagraph"/>
              <w:spacing w:before="0" w:after="0"/>
              <w:ind w:right="301"/>
              <w:jc w:val="center"/>
              <w:rPr>
                <w:rFonts w:asciiTheme="minorHAnsi" w:hAnsiTheme="minorHAnsi"/>
                <w:sz w:val="16"/>
                <w:szCs w:val="16"/>
                <w:lang w:val="en-GB"/>
              </w:rPr>
            </w:pPr>
          </w:p>
        </w:tc>
        <w:tc>
          <w:tcPr>
            <w:tcW w:w="1276" w:type="dxa"/>
          </w:tcPr>
          <w:p w14:paraId="59DCCC3F" w14:textId="77777777" w:rsidR="006C14B9" w:rsidRPr="00D93FF9" w:rsidRDefault="006C14B9" w:rsidP="006C14B9">
            <w:pPr>
              <w:pStyle w:val="TableParagraph"/>
              <w:spacing w:before="0" w:after="0"/>
              <w:ind w:left="7"/>
              <w:jc w:val="center"/>
              <w:rPr>
                <w:rFonts w:asciiTheme="minorHAnsi" w:hAnsiTheme="minorHAnsi"/>
                <w:sz w:val="16"/>
                <w:szCs w:val="16"/>
                <w:lang w:val="en-GB"/>
              </w:rPr>
            </w:pPr>
          </w:p>
        </w:tc>
        <w:tc>
          <w:tcPr>
            <w:tcW w:w="1417" w:type="dxa"/>
          </w:tcPr>
          <w:p w14:paraId="59DCCC40" w14:textId="77777777" w:rsidR="006C14B9" w:rsidRPr="00D93FF9" w:rsidRDefault="006C14B9" w:rsidP="006C14B9">
            <w:pPr>
              <w:pStyle w:val="TableParagraph"/>
              <w:spacing w:before="0" w:after="0"/>
              <w:ind w:left="7"/>
              <w:jc w:val="center"/>
              <w:rPr>
                <w:rFonts w:asciiTheme="minorHAnsi" w:hAnsiTheme="minorHAnsi"/>
                <w:sz w:val="16"/>
                <w:szCs w:val="16"/>
                <w:lang w:val="en-GB"/>
              </w:rPr>
            </w:pPr>
          </w:p>
        </w:tc>
      </w:tr>
      <w:tr w:rsidR="00BE3AA8" w:rsidRPr="00D93FF9" w14:paraId="59DCCC4A" w14:textId="77777777" w:rsidTr="00574F7D">
        <w:trPr>
          <w:trHeight w:val="228"/>
        </w:trPr>
        <w:tc>
          <w:tcPr>
            <w:tcW w:w="2131" w:type="dxa"/>
          </w:tcPr>
          <w:p w14:paraId="59DCCC42"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b/>
                <w:sz w:val="16"/>
                <w:szCs w:val="16"/>
                <w:lang w:val="en-GB"/>
              </w:rPr>
              <w:t>Pasture</w:t>
            </w:r>
          </w:p>
        </w:tc>
        <w:tc>
          <w:tcPr>
            <w:tcW w:w="3027" w:type="dxa"/>
          </w:tcPr>
          <w:p w14:paraId="59DCCC43" w14:textId="77777777" w:rsidR="006C14B9" w:rsidRPr="00D93FF9" w:rsidRDefault="006C14B9" w:rsidP="006C14B9">
            <w:pPr>
              <w:pStyle w:val="TableParagraph"/>
              <w:spacing w:before="0" w:after="0"/>
              <w:ind w:left="494"/>
              <w:rPr>
                <w:rFonts w:asciiTheme="minorHAnsi" w:hAnsiTheme="minorHAnsi"/>
                <w:i/>
                <w:sz w:val="16"/>
                <w:szCs w:val="16"/>
                <w:lang w:val="en-GB"/>
              </w:rPr>
            </w:pPr>
          </w:p>
        </w:tc>
        <w:tc>
          <w:tcPr>
            <w:tcW w:w="1863" w:type="dxa"/>
          </w:tcPr>
          <w:p w14:paraId="59DCCC44" w14:textId="77777777" w:rsidR="006C14B9" w:rsidRPr="00D93FF9" w:rsidRDefault="006C14B9" w:rsidP="006C14B9">
            <w:pPr>
              <w:pStyle w:val="TableParagraph"/>
              <w:spacing w:before="0" w:after="0"/>
              <w:ind w:left="766" w:right="834"/>
              <w:jc w:val="center"/>
              <w:rPr>
                <w:rFonts w:asciiTheme="minorHAnsi" w:hAnsiTheme="minorHAnsi"/>
                <w:sz w:val="16"/>
                <w:szCs w:val="16"/>
                <w:lang w:val="en-GB"/>
              </w:rPr>
            </w:pPr>
          </w:p>
        </w:tc>
        <w:tc>
          <w:tcPr>
            <w:tcW w:w="1080" w:type="dxa"/>
          </w:tcPr>
          <w:p w14:paraId="59DCCC45" w14:textId="77777777" w:rsidR="006C14B9" w:rsidRPr="00D93FF9" w:rsidRDefault="006C14B9" w:rsidP="006C14B9">
            <w:pPr>
              <w:pStyle w:val="TableParagraph"/>
              <w:spacing w:before="0" w:after="0"/>
              <w:ind w:right="208"/>
              <w:jc w:val="center"/>
              <w:rPr>
                <w:rFonts w:asciiTheme="minorHAnsi" w:hAnsiTheme="minorHAnsi"/>
                <w:sz w:val="16"/>
                <w:szCs w:val="16"/>
                <w:lang w:val="en-GB"/>
              </w:rPr>
            </w:pPr>
          </w:p>
        </w:tc>
        <w:tc>
          <w:tcPr>
            <w:tcW w:w="1417" w:type="dxa"/>
          </w:tcPr>
          <w:p w14:paraId="59DCCC46" w14:textId="77777777" w:rsidR="006C14B9" w:rsidRPr="00D93FF9" w:rsidRDefault="006C14B9" w:rsidP="006C14B9">
            <w:pPr>
              <w:pStyle w:val="TableParagraph"/>
              <w:spacing w:before="0" w:after="0"/>
              <w:ind w:right="235"/>
              <w:jc w:val="center"/>
              <w:rPr>
                <w:rFonts w:asciiTheme="minorHAnsi" w:hAnsiTheme="minorHAnsi"/>
                <w:sz w:val="16"/>
                <w:szCs w:val="16"/>
                <w:lang w:val="en-GB"/>
              </w:rPr>
            </w:pPr>
          </w:p>
        </w:tc>
        <w:tc>
          <w:tcPr>
            <w:tcW w:w="1276" w:type="dxa"/>
          </w:tcPr>
          <w:p w14:paraId="59DCCC47" w14:textId="77777777" w:rsidR="006C14B9" w:rsidRPr="00D93FF9" w:rsidRDefault="006C14B9" w:rsidP="006C14B9">
            <w:pPr>
              <w:pStyle w:val="TableParagraph"/>
              <w:spacing w:before="0" w:after="0"/>
              <w:ind w:right="301"/>
              <w:jc w:val="center"/>
              <w:rPr>
                <w:rFonts w:asciiTheme="minorHAnsi" w:hAnsiTheme="minorHAnsi"/>
                <w:sz w:val="16"/>
                <w:szCs w:val="16"/>
                <w:lang w:val="en-GB"/>
              </w:rPr>
            </w:pPr>
          </w:p>
        </w:tc>
        <w:tc>
          <w:tcPr>
            <w:tcW w:w="1276" w:type="dxa"/>
          </w:tcPr>
          <w:p w14:paraId="59DCCC48" w14:textId="77777777" w:rsidR="006C14B9" w:rsidRPr="00D93FF9" w:rsidRDefault="006C14B9" w:rsidP="006C14B9">
            <w:pPr>
              <w:pStyle w:val="TableParagraph"/>
              <w:spacing w:before="0" w:after="0"/>
              <w:ind w:left="7"/>
              <w:jc w:val="center"/>
              <w:rPr>
                <w:rFonts w:asciiTheme="minorHAnsi" w:hAnsiTheme="minorHAnsi"/>
                <w:sz w:val="16"/>
                <w:szCs w:val="16"/>
                <w:lang w:val="en-GB"/>
              </w:rPr>
            </w:pPr>
          </w:p>
        </w:tc>
        <w:tc>
          <w:tcPr>
            <w:tcW w:w="1417" w:type="dxa"/>
          </w:tcPr>
          <w:p w14:paraId="59DCCC49" w14:textId="77777777" w:rsidR="006C14B9" w:rsidRPr="00D93FF9" w:rsidRDefault="006C14B9" w:rsidP="006C14B9">
            <w:pPr>
              <w:pStyle w:val="TableParagraph"/>
              <w:spacing w:before="0" w:after="0"/>
              <w:ind w:left="7"/>
              <w:jc w:val="center"/>
              <w:rPr>
                <w:rFonts w:asciiTheme="minorHAnsi" w:hAnsiTheme="minorHAnsi"/>
                <w:sz w:val="16"/>
                <w:szCs w:val="16"/>
                <w:lang w:val="en-GB"/>
              </w:rPr>
            </w:pPr>
          </w:p>
        </w:tc>
      </w:tr>
      <w:tr w:rsidR="00BE3AA8" w:rsidRPr="00D93FF9" w14:paraId="59DCCC53" w14:textId="77777777" w:rsidTr="00574F7D">
        <w:trPr>
          <w:trHeight w:val="227"/>
        </w:trPr>
        <w:tc>
          <w:tcPr>
            <w:tcW w:w="2131" w:type="dxa"/>
          </w:tcPr>
          <w:p w14:paraId="59DCCC4B"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Balansa clover</w:t>
            </w:r>
          </w:p>
        </w:tc>
        <w:tc>
          <w:tcPr>
            <w:tcW w:w="3027" w:type="dxa"/>
          </w:tcPr>
          <w:p w14:paraId="59DCCC4C"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Trifolium michelianum</w:t>
            </w:r>
          </w:p>
        </w:tc>
        <w:tc>
          <w:tcPr>
            <w:tcW w:w="1863" w:type="dxa"/>
          </w:tcPr>
          <w:p w14:paraId="59DCCC4D"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4-8</w:t>
            </w:r>
          </w:p>
        </w:tc>
        <w:tc>
          <w:tcPr>
            <w:tcW w:w="1080" w:type="dxa"/>
          </w:tcPr>
          <w:p w14:paraId="59DCCC4E"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6.0</w:t>
            </w:r>
          </w:p>
        </w:tc>
        <w:tc>
          <w:tcPr>
            <w:tcW w:w="1417" w:type="dxa"/>
          </w:tcPr>
          <w:p w14:paraId="59DCCC4F"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5.2</w:t>
            </w:r>
          </w:p>
        </w:tc>
        <w:tc>
          <w:tcPr>
            <w:tcW w:w="1276" w:type="dxa"/>
          </w:tcPr>
          <w:p w14:paraId="59DCCC50"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4.4</w:t>
            </w:r>
          </w:p>
        </w:tc>
        <w:tc>
          <w:tcPr>
            <w:tcW w:w="1276" w:type="dxa"/>
          </w:tcPr>
          <w:p w14:paraId="59DCCC51"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3.4</w:t>
            </w:r>
          </w:p>
        </w:tc>
        <w:tc>
          <w:tcPr>
            <w:tcW w:w="1417" w:type="dxa"/>
          </w:tcPr>
          <w:p w14:paraId="59DCCC52"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C5C" w14:textId="77777777" w:rsidTr="00574F7D">
        <w:trPr>
          <w:trHeight w:val="228"/>
        </w:trPr>
        <w:tc>
          <w:tcPr>
            <w:tcW w:w="2131" w:type="dxa"/>
          </w:tcPr>
          <w:p w14:paraId="59DCCC54"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Bermuda grass</w:t>
            </w:r>
          </w:p>
        </w:tc>
        <w:tc>
          <w:tcPr>
            <w:tcW w:w="3027" w:type="dxa"/>
          </w:tcPr>
          <w:p w14:paraId="59DCCC55"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Cynodon dactylon</w:t>
            </w:r>
          </w:p>
        </w:tc>
        <w:tc>
          <w:tcPr>
            <w:tcW w:w="1863" w:type="dxa"/>
          </w:tcPr>
          <w:p w14:paraId="59DCCC56"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6.9</w:t>
            </w:r>
          </w:p>
        </w:tc>
        <w:tc>
          <w:tcPr>
            <w:tcW w:w="1080" w:type="dxa"/>
          </w:tcPr>
          <w:p w14:paraId="59DCCC57"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6.9</w:t>
            </w:r>
          </w:p>
        </w:tc>
        <w:tc>
          <w:tcPr>
            <w:tcW w:w="1417" w:type="dxa"/>
          </w:tcPr>
          <w:p w14:paraId="59DCCC58"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5.9</w:t>
            </w:r>
          </w:p>
        </w:tc>
        <w:tc>
          <w:tcPr>
            <w:tcW w:w="1276" w:type="dxa"/>
          </w:tcPr>
          <w:p w14:paraId="59DCCC59"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5.1</w:t>
            </w:r>
          </w:p>
        </w:tc>
        <w:tc>
          <w:tcPr>
            <w:tcW w:w="1276" w:type="dxa"/>
          </w:tcPr>
          <w:p w14:paraId="59DCCC5A"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3.9</w:t>
            </w:r>
          </w:p>
        </w:tc>
        <w:tc>
          <w:tcPr>
            <w:tcW w:w="1417" w:type="dxa"/>
          </w:tcPr>
          <w:p w14:paraId="59DCCC5B"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w:t>
            </w:r>
          </w:p>
        </w:tc>
      </w:tr>
      <w:tr w:rsidR="00BE3AA8" w:rsidRPr="00D93FF9" w14:paraId="59DCCC65" w14:textId="77777777" w:rsidTr="00574F7D">
        <w:trPr>
          <w:trHeight w:val="228"/>
        </w:trPr>
        <w:tc>
          <w:tcPr>
            <w:tcW w:w="2131" w:type="dxa"/>
          </w:tcPr>
          <w:p w14:paraId="59DCCC5D"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Brome. Meadow</w:t>
            </w:r>
          </w:p>
        </w:tc>
        <w:tc>
          <w:tcPr>
            <w:tcW w:w="3027" w:type="dxa"/>
          </w:tcPr>
          <w:p w14:paraId="59DCCC5E" w14:textId="77777777" w:rsidR="006C14B9" w:rsidRPr="00D93FF9" w:rsidRDefault="006C14B9" w:rsidP="006C14B9">
            <w:pPr>
              <w:pStyle w:val="TableParagraph"/>
              <w:spacing w:before="0" w:after="0"/>
              <w:ind w:left="494"/>
              <w:rPr>
                <w:rFonts w:asciiTheme="minorHAnsi" w:hAnsiTheme="minorHAnsi"/>
                <w:i/>
                <w:sz w:val="16"/>
                <w:szCs w:val="16"/>
                <w:lang w:val="en-GB"/>
              </w:rPr>
            </w:pPr>
          </w:p>
        </w:tc>
        <w:tc>
          <w:tcPr>
            <w:tcW w:w="1863" w:type="dxa"/>
          </w:tcPr>
          <w:p w14:paraId="59DCCC5F"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4.4</w:t>
            </w:r>
          </w:p>
        </w:tc>
        <w:tc>
          <w:tcPr>
            <w:tcW w:w="1080" w:type="dxa"/>
          </w:tcPr>
          <w:p w14:paraId="59DCCC60"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4.4</w:t>
            </w:r>
          </w:p>
        </w:tc>
        <w:tc>
          <w:tcPr>
            <w:tcW w:w="1417" w:type="dxa"/>
          </w:tcPr>
          <w:p w14:paraId="59DCCC61"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3.8</w:t>
            </w:r>
          </w:p>
        </w:tc>
        <w:tc>
          <w:tcPr>
            <w:tcW w:w="1276" w:type="dxa"/>
          </w:tcPr>
          <w:p w14:paraId="59DCCC62"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3.2</w:t>
            </w:r>
          </w:p>
        </w:tc>
        <w:tc>
          <w:tcPr>
            <w:tcW w:w="1276" w:type="dxa"/>
          </w:tcPr>
          <w:p w14:paraId="59DCCC63"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2.5</w:t>
            </w:r>
          </w:p>
        </w:tc>
        <w:tc>
          <w:tcPr>
            <w:tcW w:w="1417" w:type="dxa"/>
          </w:tcPr>
          <w:p w14:paraId="59DCCC64"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c</w:t>
            </w:r>
          </w:p>
        </w:tc>
      </w:tr>
      <w:tr w:rsidR="00BE3AA8" w:rsidRPr="00D93FF9" w14:paraId="59DCCC6E" w14:textId="77777777" w:rsidTr="00574F7D">
        <w:trPr>
          <w:trHeight w:val="227"/>
        </w:trPr>
        <w:tc>
          <w:tcPr>
            <w:tcW w:w="2131" w:type="dxa"/>
          </w:tcPr>
          <w:p w14:paraId="59DCCC66"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Brome,smooth</w:t>
            </w:r>
          </w:p>
        </w:tc>
        <w:tc>
          <w:tcPr>
            <w:tcW w:w="3027" w:type="dxa"/>
          </w:tcPr>
          <w:p w14:paraId="59DCCC67"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Bromus inermis</w:t>
            </w:r>
          </w:p>
        </w:tc>
        <w:tc>
          <w:tcPr>
            <w:tcW w:w="1863" w:type="dxa"/>
          </w:tcPr>
          <w:p w14:paraId="59DCCC68" w14:textId="77777777" w:rsidR="006C14B9" w:rsidRPr="00D93FF9" w:rsidRDefault="00E811B8" w:rsidP="006C14B9">
            <w:pPr>
              <w:pStyle w:val="TableParagraph"/>
              <w:spacing w:before="0" w:after="0"/>
              <w:ind w:left="528" w:right="616" w:firstLine="2"/>
              <w:jc w:val="center"/>
              <w:rPr>
                <w:rFonts w:asciiTheme="minorHAnsi" w:hAnsiTheme="minorHAnsi"/>
                <w:sz w:val="16"/>
                <w:szCs w:val="16"/>
                <w:lang w:val="en-GB"/>
              </w:rPr>
            </w:pPr>
            <w:r w:rsidRPr="00D93FF9">
              <w:rPr>
                <w:rFonts w:asciiTheme="minorHAnsi" w:hAnsiTheme="minorHAnsi"/>
                <w:sz w:val="16"/>
                <w:szCs w:val="16"/>
                <w:lang w:val="en-GB"/>
              </w:rPr>
              <w:t>1.5-3</w:t>
            </w:r>
          </w:p>
        </w:tc>
        <w:tc>
          <w:tcPr>
            <w:tcW w:w="1080" w:type="dxa"/>
          </w:tcPr>
          <w:p w14:paraId="59DCCC69"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2.3</w:t>
            </w:r>
          </w:p>
        </w:tc>
        <w:tc>
          <w:tcPr>
            <w:tcW w:w="1417" w:type="dxa"/>
          </w:tcPr>
          <w:p w14:paraId="59DCCC6A"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1.9</w:t>
            </w:r>
          </w:p>
        </w:tc>
        <w:tc>
          <w:tcPr>
            <w:tcW w:w="1276" w:type="dxa"/>
          </w:tcPr>
          <w:p w14:paraId="59DCCC6B"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1.7</w:t>
            </w:r>
          </w:p>
        </w:tc>
        <w:tc>
          <w:tcPr>
            <w:tcW w:w="1276" w:type="dxa"/>
          </w:tcPr>
          <w:p w14:paraId="59DCCC6C"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1.3</w:t>
            </w:r>
          </w:p>
        </w:tc>
        <w:tc>
          <w:tcPr>
            <w:tcW w:w="1417" w:type="dxa"/>
          </w:tcPr>
          <w:p w14:paraId="59DCCC6D"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w:t>
            </w:r>
          </w:p>
        </w:tc>
      </w:tr>
      <w:tr w:rsidR="00BE3AA8" w:rsidRPr="00D93FF9" w14:paraId="59DCCC77" w14:textId="77777777" w:rsidTr="00574F7D">
        <w:trPr>
          <w:trHeight w:val="227"/>
        </w:trPr>
        <w:tc>
          <w:tcPr>
            <w:tcW w:w="2131" w:type="dxa"/>
          </w:tcPr>
          <w:p w14:paraId="59DCCC6F"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Burr Medic</w:t>
            </w:r>
          </w:p>
        </w:tc>
        <w:tc>
          <w:tcPr>
            <w:tcW w:w="3027" w:type="dxa"/>
          </w:tcPr>
          <w:p w14:paraId="59DCCC70"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 xml:space="preserve">Medicago polymorpha </w:t>
            </w:r>
            <w:r w:rsidRPr="00D93FF9">
              <w:rPr>
                <w:rFonts w:asciiTheme="minorHAnsi" w:hAnsiTheme="minorHAnsi"/>
                <w:iCs/>
                <w:sz w:val="16"/>
                <w:szCs w:val="16"/>
                <w:lang w:val="en-GB"/>
              </w:rPr>
              <w:t>ssp</w:t>
            </w:r>
            <w:r w:rsidRPr="00D93FF9">
              <w:rPr>
                <w:rFonts w:asciiTheme="minorHAnsi" w:hAnsiTheme="minorHAnsi"/>
                <w:i/>
                <w:sz w:val="16"/>
                <w:szCs w:val="16"/>
                <w:lang w:val="en-GB"/>
              </w:rPr>
              <w:t xml:space="preserve"> brevispina</w:t>
            </w:r>
          </w:p>
        </w:tc>
        <w:tc>
          <w:tcPr>
            <w:tcW w:w="1863" w:type="dxa"/>
          </w:tcPr>
          <w:p w14:paraId="59DCCC71"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2-4</w:t>
            </w:r>
          </w:p>
        </w:tc>
        <w:tc>
          <w:tcPr>
            <w:tcW w:w="1080" w:type="dxa"/>
          </w:tcPr>
          <w:p w14:paraId="59DCCC72"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3.0</w:t>
            </w:r>
          </w:p>
        </w:tc>
        <w:tc>
          <w:tcPr>
            <w:tcW w:w="1417" w:type="dxa"/>
          </w:tcPr>
          <w:p w14:paraId="59DCCC73"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2.6</w:t>
            </w:r>
          </w:p>
        </w:tc>
        <w:tc>
          <w:tcPr>
            <w:tcW w:w="1276" w:type="dxa"/>
          </w:tcPr>
          <w:p w14:paraId="59DCCC74"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2.2</w:t>
            </w:r>
          </w:p>
        </w:tc>
        <w:tc>
          <w:tcPr>
            <w:tcW w:w="1276" w:type="dxa"/>
          </w:tcPr>
          <w:p w14:paraId="59DCCC75"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1.7</w:t>
            </w:r>
          </w:p>
        </w:tc>
        <w:tc>
          <w:tcPr>
            <w:tcW w:w="1417" w:type="dxa"/>
          </w:tcPr>
          <w:p w14:paraId="59DCCC76"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C80" w14:textId="77777777" w:rsidTr="00574F7D">
        <w:trPr>
          <w:trHeight w:val="227"/>
        </w:trPr>
        <w:tc>
          <w:tcPr>
            <w:tcW w:w="2131" w:type="dxa"/>
          </w:tcPr>
          <w:p w14:paraId="59DCCC78"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Cocksfoot</w:t>
            </w:r>
          </w:p>
        </w:tc>
        <w:tc>
          <w:tcPr>
            <w:tcW w:w="3027" w:type="dxa"/>
          </w:tcPr>
          <w:p w14:paraId="59DCCC79"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Dactylis glomerata</w:t>
            </w:r>
          </w:p>
        </w:tc>
        <w:tc>
          <w:tcPr>
            <w:tcW w:w="1863" w:type="dxa"/>
          </w:tcPr>
          <w:p w14:paraId="59DCCC7A"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&lt;2</w:t>
            </w:r>
          </w:p>
        </w:tc>
        <w:tc>
          <w:tcPr>
            <w:tcW w:w="1080" w:type="dxa"/>
          </w:tcPr>
          <w:p w14:paraId="59DCCC7B"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1.5</w:t>
            </w:r>
          </w:p>
        </w:tc>
        <w:tc>
          <w:tcPr>
            <w:tcW w:w="1417" w:type="dxa"/>
          </w:tcPr>
          <w:p w14:paraId="59DCCC7C"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1.3</w:t>
            </w:r>
          </w:p>
        </w:tc>
        <w:tc>
          <w:tcPr>
            <w:tcW w:w="1276" w:type="dxa"/>
          </w:tcPr>
          <w:p w14:paraId="59DCCC7D" w14:textId="77777777" w:rsidR="006C14B9" w:rsidRPr="00D93FF9" w:rsidRDefault="00E811B8" w:rsidP="006C14B9">
            <w:pPr>
              <w:pStyle w:val="TableParagraph"/>
              <w:spacing w:before="0" w:after="0"/>
              <w:ind w:right="288"/>
              <w:jc w:val="center"/>
              <w:rPr>
                <w:rFonts w:asciiTheme="minorHAnsi" w:hAnsiTheme="minorHAnsi"/>
                <w:sz w:val="16"/>
                <w:szCs w:val="16"/>
                <w:lang w:val="en-GB"/>
              </w:rPr>
            </w:pPr>
            <w:r w:rsidRPr="00D93FF9">
              <w:rPr>
                <w:rFonts w:asciiTheme="minorHAnsi" w:hAnsiTheme="minorHAnsi"/>
                <w:sz w:val="16"/>
                <w:szCs w:val="16"/>
                <w:lang w:val="en-GB"/>
              </w:rPr>
              <w:t>1.1</w:t>
            </w:r>
          </w:p>
        </w:tc>
        <w:tc>
          <w:tcPr>
            <w:tcW w:w="1276" w:type="dxa"/>
          </w:tcPr>
          <w:p w14:paraId="59DCCC7E"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0.8</w:t>
            </w:r>
          </w:p>
        </w:tc>
        <w:tc>
          <w:tcPr>
            <w:tcW w:w="1417" w:type="dxa"/>
          </w:tcPr>
          <w:p w14:paraId="59DCCC7F"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w:t>
            </w:r>
          </w:p>
        </w:tc>
      </w:tr>
      <w:tr w:rsidR="00BE3AA8" w:rsidRPr="00D93FF9" w14:paraId="59DCCC89" w14:textId="77777777" w:rsidTr="00574F7D">
        <w:trPr>
          <w:trHeight w:val="228"/>
        </w:trPr>
        <w:tc>
          <w:tcPr>
            <w:tcW w:w="2131" w:type="dxa"/>
          </w:tcPr>
          <w:p w14:paraId="59DCCC81"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Murex medic</w:t>
            </w:r>
          </w:p>
        </w:tc>
        <w:tc>
          <w:tcPr>
            <w:tcW w:w="3027" w:type="dxa"/>
          </w:tcPr>
          <w:p w14:paraId="59DCCC82"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Medicago murex</w:t>
            </w:r>
          </w:p>
        </w:tc>
        <w:tc>
          <w:tcPr>
            <w:tcW w:w="1863" w:type="dxa"/>
          </w:tcPr>
          <w:p w14:paraId="59DCCC83"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&lt;2</w:t>
            </w:r>
          </w:p>
        </w:tc>
        <w:tc>
          <w:tcPr>
            <w:tcW w:w="1080" w:type="dxa"/>
          </w:tcPr>
          <w:p w14:paraId="59DCCC84"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1.5</w:t>
            </w:r>
          </w:p>
        </w:tc>
        <w:tc>
          <w:tcPr>
            <w:tcW w:w="1417" w:type="dxa"/>
          </w:tcPr>
          <w:p w14:paraId="59DCCC85"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1.3</w:t>
            </w:r>
          </w:p>
        </w:tc>
        <w:tc>
          <w:tcPr>
            <w:tcW w:w="1276" w:type="dxa"/>
          </w:tcPr>
          <w:p w14:paraId="59DCCC86" w14:textId="77777777" w:rsidR="006C14B9" w:rsidRPr="00D93FF9" w:rsidRDefault="00E811B8" w:rsidP="006C14B9">
            <w:pPr>
              <w:pStyle w:val="TableParagraph"/>
              <w:spacing w:before="0" w:after="0"/>
              <w:ind w:right="288"/>
              <w:jc w:val="center"/>
              <w:rPr>
                <w:rFonts w:asciiTheme="minorHAnsi" w:hAnsiTheme="minorHAnsi"/>
                <w:sz w:val="16"/>
                <w:szCs w:val="16"/>
                <w:lang w:val="en-GB"/>
              </w:rPr>
            </w:pPr>
            <w:r w:rsidRPr="00D93FF9">
              <w:rPr>
                <w:rFonts w:asciiTheme="minorHAnsi" w:hAnsiTheme="minorHAnsi"/>
                <w:sz w:val="16"/>
                <w:szCs w:val="16"/>
                <w:lang w:val="en-GB"/>
              </w:rPr>
              <w:t>1.1</w:t>
            </w:r>
          </w:p>
        </w:tc>
        <w:tc>
          <w:tcPr>
            <w:tcW w:w="1276" w:type="dxa"/>
          </w:tcPr>
          <w:p w14:paraId="59DCCC87"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0.8</w:t>
            </w:r>
          </w:p>
        </w:tc>
        <w:tc>
          <w:tcPr>
            <w:tcW w:w="1417" w:type="dxa"/>
          </w:tcPr>
          <w:p w14:paraId="59DCCC88"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C92" w14:textId="77777777" w:rsidTr="00574F7D">
        <w:trPr>
          <w:trHeight w:val="228"/>
        </w:trPr>
        <w:tc>
          <w:tcPr>
            <w:tcW w:w="2131" w:type="dxa"/>
          </w:tcPr>
          <w:p w14:paraId="59DCCC8A"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Perennial ryegrass</w:t>
            </w:r>
          </w:p>
        </w:tc>
        <w:tc>
          <w:tcPr>
            <w:tcW w:w="3027" w:type="dxa"/>
          </w:tcPr>
          <w:p w14:paraId="59DCCC8B"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Lolium perenne</w:t>
            </w:r>
          </w:p>
        </w:tc>
        <w:tc>
          <w:tcPr>
            <w:tcW w:w="1863" w:type="dxa"/>
          </w:tcPr>
          <w:p w14:paraId="59DCCC8C"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5.6</w:t>
            </w:r>
          </w:p>
        </w:tc>
        <w:tc>
          <w:tcPr>
            <w:tcW w:w="1080" w:type="dxa"/>
          </w:tcPr>
          <w:p w14:paraId="59DCCC8D"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5.6</w:t>
            </w:r>
          </w:p>
        </w:tc>
        <w:tc>
          <w:tcPr>
            <w:tcW w:w="1417" w:type="dxa"/>
          </w:tcPr>
          <w:p w14:paraId="59DCCC8E"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4.8</w:t>
            </w:r>
          </w:p>
        </w:tc>
        <w:tc>
          <w:tcPr>
            <w:tcW w:w="1276" w:type="dxa"/>
          </w:tcPr>
          <w:p w14:paraId="59DCCC8F"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4.1</w:t>
            </w:r>
          </w:p>
        </w:tc>
        <w:tc>
          <w:tcPr>
            <w:tcW w:w="1276" w:type="dxa"/>
          </w:tcPr>
          <w:p w14:paraId="59DCCC90"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3.1</w:t>
            </w:r>
          </w:p>
        </w:tc>
        <w:tc>
          <w:tcPr>
            <w:tcW w:w="1417" w:type="dxa"/>
          </w:tcPr>
          <w:p w14:paraId="59DCCC91"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w:t>
            </w:r>
          </w:p>
        </w:tc>
      </w:tr>
      <w:tr w:rsidR="00BE3AA8" w:rsidRPr="00D93FF9" w14:paraId="59DCCC9B" w14:textId="77777777" w:rsidTr="00574F7D">
        <w:trPr>
          <w:trHeight w:val="227"/>
        </w:trPr>
        <w:tc>
          <w:tcPr>
            <w:tcW w:w="2131" w:type="dxa"/>
          </w:tcPr>
          <w:p w14:paraId="59DCCC93"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Persian clover</w:t>
            </w:r>
          </w:p>
        </w:tc>
        <w:tc>
          <w:tcPr>
            <w:tcW w:w="3027" w:type="dxa"/>
          </w:tcPr>
          <w:p w14:paraId="59DCCC94"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Trifolium resupinatum</w:t>
            </w:r>
          </w:p>
        </w:tc>
        <w:tc>
          <w:tcPr>
            <w:tcW w:w="1863" w:type="dxa"/>
          </w:tcPr>
          <w:p w14:paraId="59DCCC95"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4-8</w:t>
            </w:r>
          </w:p>
        </w:tc>
        <w:tc>
          <w:tcPr>
            <w:tcW w:w="1080" w:type="dxa"/>
          </w:tcPr>
          <w:p w14:paraId="59DCCC96"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6.0</w:t>
            </w:r>
          </w:p>
        </w:tc>
        <w:tc>
          <w:tcPr>
            <w:tcW w:w="1417" w:type="dxa"/>
          </w:tcPr>
          <w:p w14:paraId="59DCCC97"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5.2</w:t>
            </w:r>
          </w:p>
        </w:tc>
        <w:tc>
          <w:tcPr>
            <w:tcW w:w="1276" w:type="dxa"/>
          </w:tcPr>
          <w:p w14:paraId="59DCCC98"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4.4</w:t>
            </w:r>
          </w:p>
        </w:tc>
        <w:tc>
          <w:tcPr>
            <w:tcW w:w="1276" w:type="dxa"/>
          </w:tcPr>
          <w:p w14:paraId="59DCCC99"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3.4</w:t>
            </w:r>
          </w:p>
        </w:tc>
        <w:tc>
          <w:tcPr>
            <w:tcW w:w="1417" w:type="dxa"/>
          </w:tcPr>
          <w:p w14:paraId="59DCCC9A"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CA4" w14:textId="77777777" w:rsidTr="00574F7D">
        <w:trPr>
          <w:trHeight w:val="227"/>
        </w:trPr>
        <w:tc>
          <w:tcPr>
            <w:tcW w:w="2131" w:type="dxa"/>
          </w:tcPr>
          <w:p w14:paraId="59DCCC9C"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Rye (forage)</w:t>
            </w:r>
          </w:p>
        </w:tc>
        <w:tc>
          <w:tcPr>
            <w:tcW w:w="3027" w:type="dxa"/>
          </w:tcPr>
          <w:p w14:paraId="59DCCC9D"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Secale cereale</w:t>
            </w:r>
          </w:p>
        </w:tc>
        <w:tc>
          <w:tcPr>
            <w:tcW w:w="1863" w:type="dxa"/>
          </w:tcPr>
          <w:p w14:paraId="59DCCC9E"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2.5</w:t>
            </w:r>
          </w:p>
        </w:tc>
        <w:tc>
          <w:tcPr>
            <w:tcW w:w="1080" w:type="dxa"/>
          </w:tcPr>
          <w:p w14:paraId="59DCCC9F"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2.5</w:t>
            </w:r>
          </w:p>
        </w:tc>
        <w:tc>
          <w:tcPr>
            <w:tcW w:w="1417" w:type="dxa"/>
          </w:tcPr>
          <w:p w14:paraId="59DCCCA0"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2.2</w:t>
            </w:r>
          </w:p>
        </w:tc>
        <w:tc>
          <w:tcPr>
            <w:tcW w:w="1276" w:type="dxa"/>
          </w:tcPr>
          <w:p w14:paraId="59DCCCA1"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1.8</w:t>
            </w:r>
          </w:p>
        </w:tc>
        <w:tc>
          <w:tcPr>
            <w:tcW w:w="1276" w:type="dxa"/>
          </w:tcPr>
          <w:p w14:paraId="59DCCCA2"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1.4</w:t>
            </w:r>
          </w:p>
        </w:tc>
        <w:tc>
          <w:tcPr>
            <w:tcW w:w="1417" w:type="dxa"/>
          </w:tcPr>
          <w:p w14:paraId="59DCCCA3"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c</w:t>
            </w:r>
          </w:p>
        </w:tc>
      </w:tr>
      <w:tr w:rsidR="00BE3AA8" w:rsidRPr="00D93FF9" w14:paraId="59DCCCAD" w14:textId="77777777" w:rsidTr="00574F7D">
        <w:trPr>
          <w:trHeight w:val="228"/>
        </w:trPr>
        <w:tc>
          <w:tcPr>
            <w:tcW w:w="2131" w:type="dxa"/>
          </w:tcPr>
          <w:p w14:paraId="59DCCCA5"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Serradella</w:t>
            </w:r>
          </w:p>
        </w:tc>
        <w:tc>
          <w:tcPr>
            <w:tcW w:w="3027" w:type="dxa"/>
          </w:tcPr>
          <w:p w14:paraId="59DCCCA6"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 xml:space="preserve">Ornithopus </w:t>
            </w:r>
            <w:r w:rsidRPr="00D93FF9">
              <w:rPr>
                <w:rFonts w:asciiTheme="minorHAnsi" w:hAnsiTheme="minorHAnsi"/>
                <w:iCs/>
                <w:sz w:val="16"/>
                <w:szCs w:val="16"/>
                <w:lang w:val="en-GB"/>
              </w:rPr>
              <w:t>spp</w:t>
            </w:r>
          </w:p>
        </w:tc>
        <w:tc>
          <w:tcPr>
            <w:tcW w:w="1863" w:type="dxa"/>
          </w:tcPr>
          <w:p w14:paraId="59DCCCA7"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&lt;2</w:t>
            </w:r>
          </w:p>
        </w:tc>
        <w:tc>
          <w:tcPr>
            <w:tcW w:w="1080" w:type="dxa"/>
          </w:tcPr>
          <w:p w14:paraId="59DCCCA8"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1.5</w:t>
            </w:r>
          </w:p>
        </w:tc>
        <w:tc>
          <w:tcPr>
            <w:tcW w:w="1417" w:type="dxa"/>
          </w:tcPr>
          <w:p w14:paraId="59DCCCA9"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1.3</w:t>
            </w:r>
          </w:p>
        </w:tc>
        <w:tc>
          <w:tcPr>
            <w:tcW w:w="1276" w:type="dxa"/>
          </w:tcPr>
          <w:p w14:paraId="59DCCCAA"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1.1</w:t>
            </w:r>
          </w:p>
        </w:tc>
        <w:tc>
          <w:tcPr>
            <w:tcW w:w="1276" w:type="dxa"/>
          </w:tcPr>
          <w:p w14:paraId="59DCCCAB"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0.8</w:t>
            </w:r>
          </w:p>
        </w:tc>
        <w:tc>
          <w:tcPr>
            <w:tcW w:w="1417" w:type="dxa"/>
          </w:tcPr>
          <w:p w14:paraId="59DCCCAC"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CB6" w14:textId="77777777" w:rsidTr="00574F7D">
        <w:trPr>
          <w:trHeight w:val="256"/>
        </w:trPr>
        <w:tc>
          <w:tcPr>
            <w:tcW w:w="2131" w:type="dxa"/>
          </w:tcPr>
          <w:p w14:paraId="59DCCCAE"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Sorghum</w:t>
            </w:r>
          </w:p>
        </w:tc>
        <w:tc>
          <w:tcPr>
            <w:tcW w:w="3027" w:type="dxa"/>
          </w:tcPr>
          <w:p w14:paraId="59DCCCAF"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Sorghum bicolor</w:t>
            </w:r>
          </w:p>
        </w:tc>
        <w:tc>
          <w:tcPr>
            <w:tcW w:w="1863" w:type="dxa"/>
          </w:tcPr>
          <w:p w14:paraId="59DCCCB0"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4-8</w:t>
            </w:r>
          </w:p>
        </w:tc>
        <w:tc>
          <w:tcPr>
            <w:tcW w:w="1080" w:type="dxa"/>
          </w:tcPr>
          <w:p w14:paraId="59DCCCB1"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6.0</w:t>
            </w:r>
          </w:p>
        </w:tc>
        <w:tc>
          <w:tcPr>
            <w:tcW w:w="1417" w:type="dxa"/>
          </w:tcPr>
          <w:p w14:paraId="59DCCCB2" w14:textId="77777777" w:rsidR="006C14B9" w:rsidRPr="00D93FF9" w:rsidRDefault="00E811B8" w:rsidP="006C14B9">
            <w:pPr>
              <w:pStyle w:val="TableParagraph"/>
              <w:spacing w:before="0" w:after="0"/>
              <w:ind w:left="93" w:hanging="284"/>
              <w:jc w:val="center"/>
              <w:rPr>
                <w:rFonts w:asciiTheme="minorHAnsi" w:hAnsiTheme="minorHAnsi"/>
                <w:sz w:val="16"/>
                <w:szCs w:val="16"/>
                <w:lang w:val="en-GB"/>
              </w:rPr>
            </w:pPr>
            <w:r w:rsidRPr="00D93FF9">
              <w:rPr>
                <w:rFonts w:asciiTheme="minorHAnsi" w:hAnsiTheme="minorHAnsi"/>
                <w:sz w:val="16"/>
                <w:szCs w:val="16"/>
                <w:lang w:val="en-GB"/>
              </w:rPr>
              <w:t>5.2</w:t>
            </w:r>
          </w:p>
        </w:tc>
        <w:tc>
          <w:tcPr>
            <w:tcW w:w="1276" w:type="dxa"/>
          </w:tcPr>
          <w:p w14:paraId="59DCCCB3"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4.4</w:t>
            </w:r>
          </w:p>
        </w:tc>
        <w:tc>
          <w:tcPr>
            <w:tcW w:w="1276" w:type="dxa"/>
          </w:tcPr>
          <w:p w14:paraId="59DCCCB4"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3.4</w:t>
            </w:r>
          </w:p>
        </w:tc>
        <w:tc>
          <w:tcPr>
            <w:tcW w:w="1417" w:type="dxa"/>
          </w:tcPr>
          <w:p w14:paraId="59DCCCB5"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CBF" w14:textId="77777777" w:rsidTr="00574F7D">
        <w:trPr>
          <w:trHeight w:val="254"/>
        </w:trPr>
        <w:tc>
          <w:tcPr>
            <w:tcW w:w="2131" w:type="dxa"/>
          </w:tcPr>
          <w:p w14:paraId="59DCCCB7"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Subterraneum clover</w:t>
            </w:r>
          </w:p>
        </w:tc>
        <w:tc>
          <w:tcPr>
            <w:tcW w:w="3027" w:type="dxa"/>
          </w:tcPr>
          <w:p w14:paraId="59DCCCB8"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Trifolium subteranneum</w:t>
            </w:r>
          </w:p>
        </w:tc>
        <w:tc>
          <w:tcPr>
            <w:tcW w:w="1863" w:type="dxa"/>
          </w:tcPr>
          <w:p w14:paraId="59DCCCB9" w14:textId="77777777" w:rsidR="006C14B9" w:rsidRPr="00D93FF9" w:rsidRDefault="00E811B8" w:rsidP="006C14B9">
            <w:pPr>
              <w:pStyle w:val="TableParagraph"/>
              <w:spacing w:before="0" w:after="0"/>
              <w:ind w:left="528" w:right="616"/>
              <w:jc w:val="center"/>
              <w:rPr>
                <w:rFonts w:asciiTheme="minorHAnsi" w:hAnsiTheme="minorHAnsi"/>
                <w:sz w:val="16"/>
                <w:szCs w:val="16"/>
                <w:lang w:val="en-GB"/>
              </w:rPr>
            </w:pPr>
            <w:r w:rsidRPr="00D93FF9">
              <w:rPr>
                <w:rFonts w:asciiTheme="minorHAnsi" w:hAnsiTheme="minorHAnsi"/>
                <w:sz w:val="16"/>
                <w:szCs w:val="16"/>
                <w:lang w:val="en-GB"/>
              </w:rPr>
              <w:t>&lt;2</w:t>
            </w:r>
          </w:p>
        </w:tc>
        <w:tc>
          <w:tcPr>
            <w:tcW w:w="1080" w:type="dxa"/>
          </w:tcPr>
          <w:p w14:paraId="59DCCCBA"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1.5</w:t>
            </w:r>
          </w:p>
        </w:tc>
        <w:tc>
          <w:tcPr>
            <w:tcW w:w="1417" w:type="dxa"/>
          </w:tcPr>
          <w:p w14:paraId="59DCCCBB"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1.3</w:t>
            </w:r>
          </w:p>
        </w:tc>
        <w:tc>
          <w:tcPr>
            <w:tcW w:w="1276" w:type="dxa"/>
          </w:tcPr>
          <w:p w14:paraId="59DCCCBC"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1.1</w:t>
            </w:r>
          </w:p>
        </w:tc>
        <w:tc>
          <w:tcPr>
            <w:tcW w:w="1276" w:type="dxa"/>
          </w:tcPr>
          <w:p w14:paraId="59DCCCBD"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0.8</w:t>
            </w:r>
          </w:p>
        </w:tc>
        <w:tc>
          <w:tcPr>
            <w:tcW w:w="1417" w:type="dxa"/>
          </w:tcPr>
          <w:p w14:paraId="59DCCCBE"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CC8" w14:textId="77777777" w:rsidTr="00574F7D">
        <w:trPr>
          <w:trHeight w:val="227"/>
        </w:trPr>
        <w:tc>
          <w:tcPr>
            <w:tcW w:w="2131" w:type="dxa"/>
          </w:tcPr>
          <w:p w14:paraId="59DCCCC0"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Sweet clover</w:t>
            </w:r>
          </w:p>
        </w:tc>
        <w:tc>
          <w:tcPr>
            <w:tcW w:w="3027" w:type="dxa"/>
          </w:tcPr>
          <w:p w14:paraId="59DCCCC1"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Melilotus officinalis</w:t>
            </w:r>
          </w:p>
        </w:tc>
        <w:tc>
          <w:tcPr>
            <w:tcW w:w="1863" w:type="dxa"/>
          </w:tcPr>
          <w:p w14:paraId="59DCCCC2"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4</w:t>
            </w:r>
          </w:p>
        </w:tc>
        <w:tc>
          <w:tcPr>
            <w:tcW w:w="1080" w:type="dxa"/>
          </w:tcPr>
          <w:p w14:paraId="59DCCCC3"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4.0</w:t>
            </w:r>
          </w:p>
        </w:tc>
        <w:tc>
          <w:tcPr>
            <w:tcW w:w="1417" w:type="dxa"/>
          </w:tcPr>
          <w:p w14:paraId="59DCCCC4"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3.4</w:t>
            </w:r>
          </w:p>
        </w:tc>
        <w:tc>
          <w:tcPr>
            <w:tcW w:w="1276" w:type="dxa"/>
          </w:tcPr>
          <w:p w14:paraId="59DCCCC5"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2.9</w:t>
            </w:r>
          </w:p>
        </w:tc>
        <w:tc>
          <w:tcPr>
            <w:tcW w:w="1276" w:type="dxa"/>
          </w:tcPr>
          <w:p w14:paraId="59DCCCC6"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2.2</w:t>
            </w:r>
          </w:p>
        </w:tc>
        <w:tc>
          <w:tcPr>
            <w:tcW w:w="1417" w:type="dxa"/>
          </w:tcPr>
          <w:p w14:paraId="59DCCCC7"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c</w:t>
            </w:r>
          </w:p>
        </w:tc>
      </w:tr>
      <w:tr w:rsidR="00BE3AA8" w:rsidRPr="00D93FF9" w14:paraId="59DCCCD1" w14:textId="77777777" w:rsidTr="00574F7D">
        <w:trPr>
          <w:trHeight w:val="227"/>
        </w:trPr>
        <w:tc>
          <w:tcPr>
            <w:tcW w:w="2131" w:type="dxa"/>
          </w:tcPr>
          <w:p w14:paraId="59DCCCC9"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Tall fescue</w:t>
            </w:r>
          </w:p>
        </w:tc>
        <w:tc>
          <w:tcPr>
            <w:tcW w:w="3027" w:type="dxa"/>
          </w:tcPr>
          <w:p w14:paraId="59DCCCCA"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Festuca arundinacea</w:t>
            </w:r>
          </w:p>
        </w:tc>
        <w:tc>
          <w:tcPr>
            <w:tcW w:w="1863" w:type="dxa"/>
          </w:tcPr>
          <w:p w14:paraId="59DCCCCB" w14:textId="77777777" w:rsidR="006C14B9" w:rsidRPr="00D93FF9" w:rsidRDefault="00E811B8" w:rsidP="006C14B9">
            <w:pPr>
              <w:pStyle w:val="TableParagraph"/>
              <w:spacing w:before="0" w:after="0"/>
              <w:ind w:left="528" w:right="616"/>
              <w:jc w:val="center"/>
              <w:rPr>
                <w:rFonts w:asciiTheme="minorHAnsi" w:hAnsiTheme="minorHAnsi"/>
                <w:sz w:val="16"/>
                <w:szCs w:val="16"/>
                <w:lang w:val="en-GB"/>
              </w:rPr>
            </w:pPr>
            <w:r w:rsidRPr="00D93FF9">
              <w:rPr>
                <w:rFonts w:asciiTheme="minorHAnsi" w:hAnsiTheme="minorHAnsi"/>
                <w:sz w:val="16"/>
                <w:szCs w:val="16"/>
                <w:lang w:val="en-GB"/>
              </w:rPr>
              <w:t>3.9-8</w:t>
            </w:r>
          </w:p>
        </w:tc>
        <w:tc>
          <w:tcPr>
            <w:tcW w:w="1080" w:type="dxa"/>
          </w:tcPr>
          <w:p w14:paraId="59DCCCCC"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6.0</w:t>
            </w:r>
          </w:p>
        </w:tc>
        <w:tc>
          <w:tcPr>
            <w:tcW w:w="1417" w:type="dxa"/>
          </w:tcPr>
          <w:p w14:paraId="59DCCCCD"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5.1</w:t>
            </w:r>
          </w:p>
        </w:tc>
        <w:tc>
          <w:tcPr>
            <w:tcW w:w="1276" w:type="dxa"/>
          </w:tcPr>
          <w:p w14:paraId="59DCCCCE"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4.4</w:t>
            </w:r>
          </w:p>
        </w:tc>
        <w:tc>
          <w:tcPr>
            <w:tcW w:w="1276" w:type="dxa"/>
          </w:tcPr>
          <w:p w14:paraId="59DCCCCF"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3.3</w:t>
            </w:r>
          </w:p>
        </w:tc>
        <w:tc>
          <w:tcPr>
            <w:tcW w:w="1417" w:type="dxa"/>
          </w:tcPr>
          <w:p w14:paraId="59DCCCD0"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 b</w:t>
            </w:r>
          </w:p>
        </w:tc>
      </w:tr>
      <w:tr w:rsidR="00BE3AA8" w:rsidRPr="00D93FF9" w14:paraId="59DCCCDA" w14:textId="77777777" w:rsidTr="00574F7D">
        <w:trPr>
          <w:trHeight w:val="228"/>
        </w:trPr>
        <w:tc>
          <w:tcPr>
            <w:tcW w:w="2131" w:type="dxa"/>
          </w:tcPr>
          <w:p w14:paraId="59DCCCD2"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Tall wheat grass</w:t>
            </w:r>
          </w:p>
        </w:tc>
        <w:tc>
          <w:tcPr>
            <w:tcW w:w="3027" w:type="dxa"/>
          </w:tcPr>
          <w:p w14:paraId="59DCCCD3"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Thinopyrum elongatum</w:t>
            </w:r>
          </w:p>
        </w:tc>
        <w:tc>
          <w:tcPr>
            <w:tcW w:w="1863" w:type="dxa"/>
          </w:tcPr>
          <w:p w14:paraId="59DCCCD4"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4-8</w:t>
            </w:r>
          </w:p>
        </w:tc>
        <w:tc>
          <w:tcPr>
            <w:tcW w:w="1080" w:type="dxa"/>
          </w:tcPr>
          <w:p w14:paraId="59DCCCD5"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6.0</w:t>
            </w:r>
          </w:p>
        </w:tc>
        <w:tc>
          <w:tcPr>
            <w:tcW w:w="1417" w:type="dxa"/>
          </w:tcPr>
          <w:p w14:paraId="59DCCCD6"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5.2</w:t>
            </w:r>
          </w:p>
        </w:tc>
        <w:tc>
          <w:tcPr>
            <w:tcW w:w="1276" w:type="dxa"/>
          </w:tcPr>
          <w:p w14:paraId="59DCCCD7"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4.4</w:t>
            </w:r>
          </w:p>
        </w:tc>
        <w:tc>
          <w:tcPr>
            <w:tcW w:w="1276" w:type="dxa"/>
          </w:tcPr>
          <w:p w14:paraId="59DCCCD8"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3.4</w:t>
            </w:r>
          </w:p>
        </w:tc>
        <w:tc>
          <w:tcPr>
            <w:tcW w:w="1417" w:type="dxa"/>
          </w:tcPr>
          <w:p w14:paraId="59DCCCD9"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CE3" w14:textId="77777777" w:rsidTr="00574F7D">
        <w:trPr>
          <w:trHeight w:val="228"/>
        </w:trPr>
        <w:tc>
          <w:tcPr>
            <w:tcW w:w="2131" w:type="dxa"/>
          </w:tcPr>
          <w:p w14:paraId="59DCCCDB"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 xml:space="preserve">Timothy </w:t>
            </w:r>
          </w:p>
        </w:tc>
        <w:tc>
          <w:tcPr>
            <w:tcW w:w="3027" w:type="dxa"/>
          </w:tcPr>
          <w:p w14:paraId="59DCCCDC" w14:textId="77777777" w:rsidR="006C14B9" w:rsidRPr="00D93FF9" w:rsidRDefault="00E811B8" w:rsidP="006C14B9">
            <w:pPr>
              <w:pStyle w:val="TableParagraph"/>
              <w:spacing w:before="0" w:after="0"/>
              <w:ind w:left="494"/>
              <w:rPr>
                <w:rFonts w:asciiTheme="minorHAnsi" w:hAnsiTheme="minorHAnsi"/>
                <w:sz w:val="16"/>
                <w:szCs w:val="16"/>
                <w:lang w:val="en-GB"/>
              </w:rPr>
            </w:pPr>
            <w:r w:rsidRPr="00D93FF9">
              <w:rPr>
                <w:rFonts w:asciiTheme="minorHAnsi" w:hAnsiTheme="minorHAnsi"/>
                <w:i/>
                <w:sz w:val="16"/>
                <w:szCs w:val="16"/>
                <w:lang w:val="en-GB"/>
              </w:rPr>
              <w:t>Phleum pratense</w:t>
            </w:r>
          </w:p>
        </w:tc>
        <w:tc>
          <w:tcPr>
            <w:tcW w:w="1863" w:type="dxa"/>
          </w:tcPr>
          <w:p w14:paraId="59DCCCDD"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2</w:t>
            </w:r>
          </w:p>
        </w:tc>
        <w:tc>
          <w:tcPr>
            <w:tcW w:w="1080" w:type="dxa"/>
          </w:tcPr>
          <w:p w14:paraId="59DCCCDE"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2.0</w:t>
            </w:r>
          </w:p>
        </w:tc>
        <w:tc>
          <w:tcPr>
            <w:tcW w:w="1417" w:type="dxa"/>
          </w:tcPr>
          <w:p w14:paraId="59DCCCDF"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1.7</w:t>
            </w:r>
          </w:p>
        </w:tc>
        <w:tc>
          <w:tcPr>
            <w:tcW w:w="1276" w:type="dxa"/>
          </w:tcPr>
          <w:p w14:paraId="59DCCCE0"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1.5</w:t>
            </w:r>
          </w:p>
        </w:tc>
        <w:tc>
          <w:tcPr>
            <w:tcW w:w="1276" w:type="dxa"/>
          </w:tcPr>
          <w:p w14:paraId="59DCCCE1"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1.1</w:t>
            </w:r>
          </w:p>
        </w:tc>
        <w:tc>
          <w:tcPr>
            <w:tcW w:w="1417" w:type="dxa"/>
          </w:tcPr>
          <w:p w14:paraId="59DCCCE2"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c</w:t>
            </w:r>
          </w:p>
        </w:tc>
      </w:tr>
      <w:tr w:rsidR="00BE3AA8" w:rsidRPr="00D93FF9" w14:paraId="59DCCCEC" w14:textId="77777777" w:rsidTr="00574F7D">
        <w:trPr>
          <w:trHeight w:val="228"/>
        </w:trPr>
        <w:tc>
          <w:tcPr>
            <w:tcW w:w="2131" w:type="dxa"/>
          </w:tcPr>
          <w:p w14:paraId="59DCCCE4"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Triticale (forage)</w:t>
            </w:r>
          </w:p>
        </w:tc>
        <w:tc>
          <w:tcPr>
            <w:tcW w:w="3027" w:type="dxa"/>
          </w:tcPr>
          <w:p w14:paraId="59DCCCE5" w14:textId="77777777" w:rsidR="006C14B9" w:rsidRPr="00D93FF9" w:rsidRDefault="006C14B9" w:rsidP="006C14B9">
            <w:pPr>
              <w:pStyle w:val="TableParagraph"/>
              <w:spacing w:before="0" w:after="0"/>
              <w:ind w:left="494"/>
              <w:rPr>
                <w:rFonts w:asciiTheme="minorHAnsi" w:hAnsiTheme="minorHAnsi"/>
                <w:i/>
                <w:sz w:val="16"/>
                <w:szCs w:val="16"/>
                <w:lang w:val="en-GB"/>
              </w:rPr>
            </w:pPr>
          </w:p>
        </w:tc>
        <w:tc>
          <w:tcPr>
            <w:tcW w:w="1863" w:type="dxa"/>
          </w:tcPr>
          <w:p w14:paraId="59DCCCE6"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6.1</w:t>
            </w:r>
          </w:p>
        </w:tc>
        <w:tc>
          <w:tcPr>
            <w:tcW w:w="1080" w:type="dxa"/>
          </w:tcPr>
          <w:p w14:paraId="59DCCCE7"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6.1</w:t>
            </w:r>
          </w:p>
        </w:tc>
        <w:tc>
          <w:tcPr>
            <w:tcW w:w="1417" w:type="dxa"/>
          </w:tcPr>
          <w:p w14:paraId="59DCCCE8"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5.3</w:t>
            </w:r>
          </w:p>
        </w:tc>
        <w:tc>
          <w:tcPr>
            <w:tcW w:w="1276" w:type="dxa"/>
          </w:tcPr>
          <w:p w14:paraId="59DCCCE9"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4.5</w:t>
            </w:r>
          </w:p>
        </w:tc>
        <w:tc>
          <w:tcPr>
            <w:tcW w:w="1276" w:type="dxa"/>
          </w:tcPr>
          <w:p w14:paraId="59DCCCEA"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3.4</w:t>
            </w:r>
          </w:p>
        </w:tc>
        <w:tc>
          <w:tcPr>
            <w:tcW w:w="1417" w:type="dxa"/>
          </w:tcPr>
          <w:p w14:paraId="59DCCCEB"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c</w:t>
            </w:r>
          </w:p>
        </w:tc>
      </w:tr>
      <w:tr w:rsidR="00BE3AA8" w:rsidRPr="00D93FF9" w14:paraId="59DCCCF5" w14:textId="77777777" w:rsidTr="00574F7D">
        <w:trPr>
          <w:trHeight w:val="228"/>
        </w:trPr>
        <w:tc>
          <w:tcPr>
            <w:tcW w:w="2131" w:type="dxa"/>
          </w:tcPr>
          <w:p w14:paraId="59DCCCED"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Vetch (common or spring)</w:t>
            </w:r>
          </w:p>
        </w:tc>
        <w:tc>
          <w:tcPr>
            <w:tcW w:w="3027" w:type="dxa"/>
          </w:tcPr>
          <w:p w14:paraId="59DCCCEE"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Vicia angustifolia</w:t>
            </w:r>
          </w:p>
        </w:tc>
        <w:tc>
          <w:tcPr>
            <w:tcW w:w="1863" w:type="dxa"/>
          </w:tcPr>
          <w:p w14:paraId="59DCCCEF"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3</w:t>
            </w:r>
          </w:p>
        </w:tc>
        <w:tc>
          <w:tcPr>
            <w:tcW w:w="1080" w:type="dxa"/>
          </w:tcPr>
          <w:p w14:paraId="59DCCCF0"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3.0</w:t>
            </w:r>
          </w:p>
        </w:tc>
        <w:tc>
          <w:tcPr>
            <w:tcW w:w="1417" w:type="dxa"/>
          </w:tcPr>
          <w:p w14:paraId="59DCCCF1"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2.6</w:t>
            </w:r>
          </w:p>
        </w:tc>
        <w:tc>
          <w:tcPr>
            <w:tcW w:w="1276" w:type="dxa"/>
          </w:tcPr>
          <w:p w14:paraId="59DCCCF2"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2.2</w:t>
            </w:r>
          </w:p>
        </w:tc>
        <w:tc>
          <w:tcPr>
            <w:tcW w:w="1276" w:type="dxa"/>
          </w:tcPr>
          <w:p w14:paraId="59DCCCF3"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1.7</w:t>
            </w:r>
          </w:p>
        </w:tc>
        <w:tc>
          <w:tcPr>
            <w:tcW w:w="1417" w:type="dxa"/>
          </w:tcPr>
          <w:p w14:paraId="59DCCCF4"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a,c</w:t>
            </w:r>
          </w:p>
        </w:tc>
      </w:tr>
      <w:tr w:rsidR="00BE3AA8" w:rsidRPr="00D93FF9" w14:paraId="59DCCCFE" w14:textId="77777777" w:rsidTr="00574F7D">
        <w:trPr>
          <w:trHeight w:val="227"/>
        </w:trPr>
        <w:tc>
          <w:tcPr>
            <w:tcW w:w="2131" w:type="dxa"/>
          </w:tcPr>
          <w:p w14:paraId="59DCCCF6"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Wheatgrass, standard crested</w:t>
            </w:r>
          </w:p>
        </w:tc>
        <w:tc>
          <w:tcPr>
            <w:tcW w:w="3027" w:type="dxa"/>
          </w:tcPr>
          <w:p w14:paraId="59DCCCF7"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Agropyron sibiricum</w:t>
            </w:r>
          </w:p>
        </w:tc>
        <w:tc>
          <w:tcPr>
            <w:tcW w:w="1863" w:type="dxa"/>
          </w:tcPr>
          <w:p w14:paraId="59DCCCF8"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3.5</w:t>
            </w:r>
          </w:p>
        </w:tc>
        <w:tc>
          <w:tcPr>
            <w:tcW w:w="1080" w:type="dxa"/>
          </w:tcPr>
          <w:p w14:paraId="59DCCCF9"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3.5</w:t>
            </w:r>
          </w:p>
        </w:tc>
        <w:tc>
          <w:tcPr>
            <w:tcW w:w="1417" w:type="dxa"/>
          </w:tcPr>
          <w:p w14:paraId="59DCCCFA"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3.0</w:t>
            </w:r>
          </w:p>
        </w:tc>
        <w:tc>
          <w:tcPr>
            <w:tcW w:w="1276" w:type="dxa"/>
          </w:tcPr>
          <w:p w14:paraId="59DCCCFB"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2.6</w:t>
            </w:r>
          </w:p>
        </w:tc>
        <w:tc>
          <w:tcPr>
            <w:tcW w:w="1276" w:type="dxa"/>
          </w:tcPr>
          <w:p w14:paraId="59DCCCFC"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2.0</w:t>
            </w:r>
          </w:p>
        </w:tc>
        <w:tc>
          <w:tcPr>
            <w:tcW w:w="1417" w:type="dxa"/>
          </w:tcPr>
          <w:p w14:paraId="59DCCCFD"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w:t>
            </w:r>
          </w:p>
        </w:tc>
      </w:tr>
      <w:tr w:rsidR="00BE3AA8" w:rsidRPr="00D93FF9" w14:paraId="59DCCD07" w14:textId="77777777" w:rsidTr="00574F7D">
        <w:trPr>
          <w:trHeight w:val="228"/>
        </w:trPr>
        <w:tc>
          <w:tcPr>
            <w:tcW w:w="2131" w:type="dxa"/>
          </w:tcPr>
          <w:p w14:paraId="59DCCCFF"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Yellow serradella</w:t>
            </w:r>
          </w:p>
        </w:tc>
        <w:tc>
          <w:tcPr>
            <w:tcW w:w="3027" w:type="dxa"/>
          </w:tcPr>
          <w:p w14:paraId="59DCCD00" w14:textId="77777777" w:rsidR="006C14B9" w:rsidRPr="00D93FF9" w:rsidRDefault="00E811B8" w:rsidP="006C14B9">
            <w:pPr>
              <w:pStyle w:val="TableParagraph"/>
              <w:spacing w:before="0" w:after="0"/>
              <w:ind w:left="494"/>
              <w:rPr>
                <w:rFonts w:asciiTheme="minorHAnsi" w:hAnsiTheme="minorHAnsi"/>
                <w:sz w:val="16"/>
                <w:szCs w:val="16"/>
                <w:lang w:val="en-GB"/>
              </w:rPr>
            </w:pPr>
            <w:r w:rsidRPr="00D93FF9">
              <w:rPr>
                <w:rFonts w:asciiTheme="minorHAnsi" w:hAnsiTheme="minorHAnsi"/>
                <w:i/>
                <w:sz w:val="16"/>
                <w:szCs w:val="16"/>
                <w:lang w:val="en-GB"/>
              </w:rPr>
              <w:t>Ornithopus compressus</w:t>
            </w:r>
          </w:p>
        </w:tc>
        <w:tc>
          <w:tcPr>
            <w:tcW w:w="1863" w:type="dxa"/>
          </w:tcPr>
          <w:p w14:paraId="59DCCD01"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&lt;2</w:t>
            </w:r>
          </w:p>
        </w:tc>
        <w:tc>
          <w:tcPr>
            <w:tcW w:w="1080" w:type="dxa"/>
          </w:tcPr>
          <w:p w14:paraId="59DCCD02"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1.5</w:t>
            </w:r>
          </w:p>
        </w:tc>
        <w:tc>
          <w:tcPr>
            <w:tcW w:w="1417" w:type="dxa"/>
          </w:tcPr>
          <w:p w14:paraId="59DCCD03"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1.3</w:t>
            </w:r>
          </w:p>
        </w:tc>
        <w:tc>
          <w:tcPr>
            <w:tcW w:w="1276" w:type="dxa"/>
          </w:tcPr>
          <w:p w14:paraId="59DCCD04"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1.1</w:t>
            </w:r>
          </w:p>
        </w:tc>
        <w:tc>
          <w:tcPr>
            <w:tcW w:w="1276" w:type="dxa"/>
          </w:tcPr>
          <w:p w14:paraId="59DCCD05"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0.8</w:t>
            </w:r>
          </w:p>
        </w:tc>
        <w:tc>
          <w:tcPr>
            <w:tcW w:w="1417" w:type="dxa"/>
          </w:tcPr>
          <w:p w14:paraId="59DCCD06"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b</w:t>
            </w:r>
          </w:p>
        </w:tc>
      </w:tr>
      <w:tr w:rsidR="00BE3AA8" w:rsidRPr="00D93FF9" w14:paraId="59DCCD10" w14:textId="77777777" w:rsidTr="00574F7D">
        <w:trPr>
          <w:trHeight w:val="228"/>
        </w:trPr>
        <w:tc>
          <w:tcPr>
            <w:tcW w:w="2131" w:type="dxa"/>
          </w:tcPr>
          <w:p w14:paraId="59DCCD08"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b/>
                <w:sz w:val="16"/>
                <w:szCs w:val="16"/>
                <w:lang w:val="en-GB"/>
              </w:rPr>
              <w:t>Fruits</w:t>
            </w:r>
          </w:p>
        </w:tc>
        <w:tc>
          <w:tcPr>
            <w:tcW w:w="3027" w:type="dxa"/>
          </w:tcPr>
          <w:p w14:paraId="59DCCD09" w14:textId="77777777" w:rsidR="006C14B9" w:rsidRPr="00D93FF9" w:rsidRDefault="006C14B9" w:rsidP="006C14B9">
            <w:pPr>
              <w:pStyle w:val="TableParagraph"/>
              <w:spacing w:before="0" w:after="0"/>
              <w:ind w:left="494"/>
              <w:rPr>
                <w:rFonts w:asciiTheme="minorHAnsi" w:hAnsiTheme="minorHAnsi"/>
                <w:i/>
                <w:sz w:val="16"/>
                <w:szCs w:val="16"/>
                <w:lang w:val="en-GB"/>
              </w:rPr>
            </w:pPr>
          </w:p>
        </w:tc>
        <w:tc>
          <w:tcPr>
            <w:tcW w:w="1863" w:type="dxa"/>
          </w:tcPr>
          <w:p w14:paraId="59DCCD0A" w14:textId="77777777" w:rsidR="006C14B9" w:rsidRPr="00D93FF9" w:rsidRDefault="006C14B9" w:rsidP="006C14B9">
            <w:pPr>
              <w:pStyle w:val="TableParagraph"/>
              <w:spacing w:before="0" w:after="0"/>
              <w:ind w:left="766" w:right="834"/>
              <w:jc w:val="center"/>
              <w:rPr>
                <w:rFonts w:asciiTheme="minorHAnsi" w:hAnsiTheme="minorHAnsi"/>
                <w:sz w:val="16"/>
                <w:szCs w:val="16"/>
                <w:lang w:val="en-GB"/>
              </w:rPr>
            </w:pPr>
          </w:p>
        </w:tc>
        <w:tc>
          <w:tcPr>
            <w:tcW w:w="1080" w:type="dxa"/>
          </w:tcPr>
          <w:p w14:paraId="59DCCD0B" w14:textId="77777777" w:rsidR="006C14B9" w:rsidRPr="00D93FF9" w:rsidRDefault="006C14B9" w:rsidP="006C14B9">
            <w:pPr>
              <w:pStyle w:val="TableParagraph"/>
              <w:spacing w:before="0" w:after="0"/>
              <w:ind w:right="208"/>
              <w:jc w:val="center"/>
              <w:rPr>
                <w:rFonts w:asciiTheme="minorHAnsi" w:hAnsiTheme="minorHAnsi"/>
                <w:sz w:val="16"/>
                <w:szCs w:val="16"/>
                <w:lang w:val="en-GB"/>
              </w:rPr>
            </w:pPr>
          </w:p>
        </w:tc>
        <w:tc>
          <w:tcPr>
            <w:tcW w:w="1417" w:type="dxa"/>
          </w:tcPr>
          <w:p w14:paraId="59DCCD0C" w14:textId="77777777" w:rsidR="006C14B9" w:rsidRPr="00D93FF9" w:rsidRDefault="006C14B9" w:rsidP="006C14B9">
            <w:pPr>
              <w:pStyle w:val="TableParagraph"/>
              <w:spacing w:before="0" w:after="0"/>
              <w:ind w:right="235"/>
              <w:jc w:val="center"/>
              <w:rPr>
                <w:rFonts w:asciiTheme="minorHAnsi" w:hAnsiTheme="minorHAnsi"/>
                <w:sz w:val="16"/>
                <w:szCs w:val="16"/>
                <w:lang w:val="en-GB"/>
              </w:rPr>
            </w:pPr>
          </w:p>
        </w:tc>
        <w:tc>
          <w:tcPr>
            <w:tcW w:w="1276" w:type="dxa"/>
          </w:tcPr>
          <w:p w14:paraId="59DCCD0D" w14:textId="77777777" w:rsidR="006C14B9" w:rsidRPr="00D93FF9" w:rsidRDefault="006C14B9" w:rsidP="006C14B9">
            <w:pPr>
              <w:pStyle w:val="TableParagraph"/>
              <w:spacing w:before="0" w:after="0"/>
              <w:ind w:right="301"/>
              <w:jc w:val="center"/>
              <w:rPr>
                <w:rFonts w:asciiTheme="minorHAnsi" w:hAnsiTheme="minorHAnsi"/>
                <w:sz w:val="16"/>
                <w:szCs w:val="16"/>
                <w:lang w:val="en-GB"/>
              </w:rPr>
            </w:pPr>
          </w:p>
        </w:tc>
        <w:tc>
          <w:tcPr>
            <w:tcW w:w="1276" w:type="dxa"/>
          </w:tcPr>
          <w:p w14:paraId="59DCCD0E" w14:textId="77777777" w:rsidR="006C14B9" w:rsidRPr="00D93FF9" w:rsidRDefault="006C14B9" w:rsidP="006C14B9">
            <w:pPr>
              <w:pStyle w:val="TableParagraph"/>
              <w:spacing w:before="0" w:after="0"/>
              <w:ind w:left="7"/>
              <w:jc w:val="center"/>
              <w:rPr>
                <w:rFonts w:asciiTheme="minorHAnsi" w:hAnsiTheme="minorHAnsi"/>
                <w:sz w:val="16"/>
                <w:szCs w:val="16"/>
                <w:lang w:val="en-GB"/>
              </w:rPr>
            </w:pPr>
          </w:p>
        </w:tc>
        <w:tc>
          <w:tcPr>
            <w:tcW w:w="1417" w:type="dxa"/>
          </w:tcPr>
          <w:p w14:paraId="59DCCD0F" w14:textId="77777777" w:rsidR="006C14B9" w:rsidRPr="00D93FF9" w:rsidRDefault="006C14B9" w:rsidP="006C14B9">
            <w:pPr>
              <w:pStyle w:val="TableParagraph"/>
              <w:spacing w:before="0" w:after="0"/>
              <w:ind w:left="7"/>
              <w:jc w:val="center"/>
              <w:rPr>
                <w:rFonts w:asciiTheme="minorHAnsi" w:hAnsiTheme="minorHAnsi"/>
                <w:sz w:val="16"/>
                <w:szCs w:val="16"/>
                <w:lang w:val="en-GB"/>
              </w:rPr>
            </w:pPr>
          </w:p>
        </w:tc>
      </w:tr>
      <w:tr w:rsidR="00BE3AA8" w:rsidRPr="00D93FF9" w14:paraId="59DCCD19" w14:textId="77777777" w:rsidTr="00574F7D">
        <w:trPr>
          <w:trHeight w:val="295"/>
        </w:trPr>
        <w:tc>
          <w:tcPr>
            <w:tcW w:w="2131" w:type="dxa"/>
          </w:tcPr>
          <w:p w14:paraId="59DCCD11"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Pumpkin</w:t>
            </w:r>
          </w:p>
        </w:tc>
        <w:tc>
          <w:tcPr>
            <w:tcW w:w="3027" w:type="dxa"/>
          </w:tcPr>
          <w:p w14:paraId="59DCCD12"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Cucurbita pepo pepo</w:t>
            </w:r>
          </w:p>
        </w:tc>
        <w:tc>
          <w:tcPr>
            <w:tcW w:w="1863" w:type="dxa"/>
          </w:tcPr>
          <w:p w14:paraId="59DCCD13" w14:textId="77777777" w:rsidR="006C14B9" w:rsidRPr="00D93FF9" w:rsidRDefault="00E811B8" w:rsidP="006C14B9">
            <w:pPr>
              <w:pStyle w:val="TableParagraph"/>
              <w:spacing w:before="0" w:after="0"/>
              <w:ind w:left="766" w:right="477"/>
              <w:jc w:val="center"/>
              <w:rPr>
                <w:rFonts w:asciiTheme="minorHAnsi" w:hAnsiTheme="minorHAnsi"/>
                <w:sz w:val="16"/>
                <w:szCs w:val="16"/>
                <w:lang w:val="en-GB"/>
              </w:rPr>
            </w:pPr>
            <w:r w:rsidRPr="00D93FF9">
              <w:rPr>
                <w:rFonts w:asciiTheme="minorHAnsi" w:hAnsiTheme="minorHAnsi"/>
                <w:sz w:val="16"/>
                <w:szCs w:val="16"/>
                <w:lang w:val="en-GB"/>
              </w:rPr>
              <w:t>1.5-3</w:t>
            </w:r>
          </w:p>
        </w:tc>
        <w:tc>
          <w:tcPr>
            <w:tcW w:w="1080" w:type="dxa"/>
          </w:tcPr>
          <w:p w14:paraId="59DCCD14"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2.3</w:t>
            </w:r>
          </w:p>
        </w:tc>
        <w:tc>
          <w:tcPr>
            <w:tcW w:w="1417" w:type="dxa"/>
          </w:tcPr>
          <w:p w14:paraId="59DCCD15"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1.9</w:t>
            </w:r>
          </w:p>
        </w:tc>
        <w:tc>
          <w:tcPr>
            <w:tcW w:w="1276" w:type="dxa"/>
          </w:tcPr>
          <w:p w14:paraId="59DCCD16"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1.7</w:t>
            </w:r>
          </w:p>
        </w:tc>
        <w:tc>
          <w:tcPr>
            <w:tcW w:w="1276" w:type="dxa"/>
          </w:tcPr>
          <w:p w14:paraId="59DCCD17"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1.3</w:t>
            </w:r>
          </w:p>
        </w:tc>
        <w:tc>
          <w:tcPr>
            <w:tcW w:w="1417" w:type="dxa"/>
          </w:tcPr>
          <w:p w14:paraId="59DCCD18"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w:t>
            </w:r>
          </w:p>
        </w:tc>
      </w:tr>
      <w:tr w:rsidR="00BE3AA8" w:rsidRPr="00D93FF9" w14:paraId="59DCCD22" w14:textId="77777777" w:rsidTr="00574F7D">
        <w:trPr>
          <w:trHeight w:val="228"/>
        </w:trPr>
        <w:tc>
          <w:tcPr>
            <w:tcW w:w="2131" w:type="dxa"/>
          </w:tcPr>
          <w:p w14:paraId="59DCCD1A"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b/>
                <w:sz w:val="16"/>
                <w:szCs w:val="16"/>
                <w:lang w:val="en-GB"/>
              </w:rPr>
              <w:t>Vegetables</w:t>
            </w:r>
          </w:p>
        </w:tc>
        <w:tc>
          <w:tcPr>
            <w:tcW w:w="3027" w:type="dxa"/>
          </w:tcPr>
          <w:p w14:paraId="59DCCD1B" w14:textId="77777777" w:rsidR="006C14B9" w:rsidRPr="00D93FF9" w:rsidRDefault="006C14B9" w:rsidP="006C14B9">
            <w:pPr>
              <w:pStyle w:val="TableParagraph"/>
              <w:spacing w:before="0" w:after="0"/>
              <w:ind w:left="494"/>
              <w:rPr>
                <w:rFonts w:asciiTheme="minorHAnsi" w:hAnsiTheme="minorHAnsi"/>
                <w:i/>
                <w:sz w:val="16"/>
                <w:szCs w:val="16"/>
                <w:lang w:val="en-GB"/>
              </w:rPr>
            </w:pPr>
          </w:p>
        </w:tc>
        <w:tc>
          <w:tcPr>
            <w:tcW w:w="1863" w:type="dxa"/>
          </w:tcPr>
          <w:p w14:paraId="59DCCD1C" w14:textId="77777777" w:rsidR="006C14B9" w:rsidRPr="00D93FF9" w:rsidRDefault="006C14B9" w:rsidP="006C14B9">
            <w:pPr>
              <w:pStyle w:val="TableParagraph"/>
              <w:spacing w:before="0" w:after="0"/>
              <w:ind w:left="766" w:right="834"/>
              <w:jc w:val="center"/>
              <w:rPr>
                <w:rFonts w:asciiTheme="minorHAnsi" w:hAnsiTheme="minorHAnsi"/>
                <w:sz w:val="16"/>
                <w:szCs w:val="16"/>
                <w:lang w:val="en-GB"/>
              </w:rPr>
            </w:pPr>
          </w:p>
        </w:tc>
        <w:tc>
          <w:tcPr>
            <w:tcW w:w="1080" w:type="dxa"/>
          </w:tcPr>
          <w:p w14:paraId="59DCCD1D" w14:textId="77777777" w:rsidR="006C14B9" w:rsidRPr="00D93FF9" w:rsidRDefault="006C14B9" w:rsidP="006C14B9">
            <w:pPr>
              <w:pStyle w:val="TableParagraph"/>
              <w:spacing w:before="0" w:after="0"/>
              <w:ind w:right="208"/>
              <w:jc w:val="center"/>
              <w:rPr>
                <w:rFonts w:asciiTheme="minorHAnsi" w:hAnsiTheme="minorHAnsi"/>
                <w:sz w:val="16"/>
                <w:szCs w:val="16"/>
                <w:lang w:val="en-GB"/>
              </w:rPr>
            </w:pPr>
          </w:p>
        </w:tc>
        <w:tc>
          <w:tcPr>
            <w:tcW w:w="1417" w:type="dxa"/>
          </w:tcPr>
          <w:p w14:paraId="59DCCD1E" w14:textId="77777777" w:rsidR="006C14B9" w:rsidRPr="00D93FF9" w:rsidRDefault="006C14B9" w:rsidP="006C14B9">
            <w:pPr>
              <w:pStyle w:val="TableParagraph"/>
              <w:spacing w:before="0" w:after="0"/>
              <w:ind w:right="235"/>
              <w:jc w:val="center"/>
              <w:rPr>
                <w:rFonts w:asciiTheme="minorHAnsi" w:hAnsiTheme="minorHAnsi"/>
                <w:sz w:val="16"/>
                <w:szCs w:val="16"/>
                <w:lang w:val="en-GB"/>
              </w:rPr>
            </w:pPr>
          </w:p>
        </w:tc>
        <w:tc>
          <w:tcPr>
            <w:tcW w:w="1276" w:type="dxa"/>
          </w:tcPr>
          <w:p w14:paraId="59DCCD1F" w14:textId="77777777" w:rsidR="006C14B9" w:rsidRPr="00D93FF9" w:rsidRDefault="006C14B9" w:rsidP="006C14B9">
            <w:pPr>
              <w:pStyle w:val="TableParagraph"/>
              <w:spacing w:before="0" w:after="0"/>
              <w:ind w:right="301"/>
              <w:jc w:val="center"/>
              <w:rPr>
                <w:rFonts w:asciiTheme="minorHAnsi" w:hAnsiTheme="minorHAnsi"/>
                <w:sz w:val="16"/>
                <w:szCs w:val="16"/>
                <w:lang w:val="en-GB"/>
              </w:rPr>
            </w:pPr>
          </w:p>
        </w:tc>
        <w:tc>
          <w:tcPr>
            <w:tcW w:w="1276" w:type="dxa"/>
          </w:tcPr>
          <w:p w14:paraId="59DCCD20" w14:textId="77777777" w:rsidR="006C14B9" w:rsidRPr="00D93FF9" w:rsidRDefault="006C14B9" w:rsidP="006C14B9">
            <w:pPr>
              <w:pStyle w:val="TableParagraph"/>
              <w:spacing w:before="0" w:after="0"/>
              <w:ind w:left="7"/>
              <w:jc w:val="center"/>
              <w:rPr>
                <w:rFonts w:asciiTheme="minorHAnsi" w:hAnsiTheme="minorHAnsi"/>
                <w:sz w:val="16"/>
                <w:szCs w:val="16"/>
                <w:lang w:val="en-GB"/>
              </w:rPr>
            </w:pPr>
          </w:p>
        </w:tc>
        <w:tc>
          <w:tcPr>
            <w:tcW w:w="1417" w:type="dxa"/>
          </w:tcPr>
          <w:p w14:paraId="59DCCD21" w14:textId="77777777" w:rsidR="006C14B9" w:rsidRPr="00D93FF9" w:rsidRDefault="006C14B9" w:rsidP="006C14B9">
            <w:pPr>
              <w:pStyle w:val="TableParagraph"/>
              <w:spacing w:before="0" w:after="0"/>
              <w:ind w:left="7"/>
              <w:jc w:val="center"/>
              <w:rPr>
                <w:rFonts w:asciiTheme="minorHAnsi" w:hAnsiTheme="minorHAnsi"/>
                <w:sz w:val="16"/>
                <w:szCs w:val="16"/>
                <w:lang w:val="en-GB"/>
              </w:rPr>
            </w:pPr>
          </w:p>
        </w:tc>
      </w:tr>
      <w:tr w:rsidR="00BE3AA8" w:rsidRPr="00D93FF9" w14:paraId="59DCCD2B" w14:textId="77777777" w:rsidTr="00574F7D">
        <w:trPr>
          <w:trHeight w:val="228"/>
        </w:trPr>
        <w:tc>
          <w:tcPr>
            <w:tcW w:w="2131" w:type="dxa"/>
          </w:tcPr>
          <w:p w14:paraId="59DCCD23"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lastRenderedPageBreak/>
              <w:t>Asparagus</w:t>
            </w:r>
          </w:p>
        </w:tc>
        <w:tc>
          <w:tcPr>
            <w:tcW w:w="3027" w:type="dxa"/>
          </w:tcPr>
          <w:p w14:paraId="59DCCD24"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Asparagus officinalis</w:t>
            </w:r>
          </w:p>
        </w:tc>
        <w:tc>
          <w:tcPr>
            <w:tcW w:w="1863" w:type="dxa"/>
          </w:tcPr>
          <w:p w14:paraId="59DCCD25"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4.1</w:t>
            </w:r>
          </w:p>
        </w:tc>
        <w:tc>
          <w:tcPr>
            <w:tcW w:w="1080" w:type="dxa"/>
          </w:tcPr>
          <w:p w14:paraId="59DCCD26"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4.1</w:t>
            </w:r>
          </w:p>
        </w:tc>
        <w:tc>
          <w:tcPr>
            <w:tcW w:w="1417" w:type="dxa"/>
          </w:tcPr>
          <w:p w14:paraId="59DCCD27"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3.5</w:t>
            </w:r>
          </w:p>
        </w:tc>
        <w:tc>
          <w:tcPr>
            <w:tcW w:w="1276" w:type="dxa"/>
          </w:tcPr>
          <w:p w14:paraId="59DCCD28"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3.0</w:t>
            </w:r>
          </w:p>
        </w:tc>
        <w:tc>
          <w:tcPr>
            <w:tcW w:w="1276" w:type="dxa"/>
          </w:tcPr>
          <w:p w14:paraId="59DCCD29"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2.3</w:t>
            </w:r>
          </w:p>
        </w:tc>
        <w:tc>
          <w:tcPr>
            <w:tcW w:w="1417" w:type="dxa"/>
          </w:tcPr>
          <w:p w14:paraId="59DCCD2A"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w:t>
            </w:r>
          </w:p>
        </w:tc>
      </w:tr>
      <w:tr w:rsidR="00BE3AA8" w:rsidRPr="00D93FF9" w14:paraId="59DCCD34" w14:textId="77777777" w:rsidTr="00574F7D">
        <w:trPr>
          <w:trHeight w:val="228"/>
        </w:trPr>
        <w:tc>
          <w:tcPr>
            <w:tcW w:w="2131" w:type="dxa"/>
          </w:tcPr>
          <w:p w14:paraId="59DCCD2C"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Radish</w:t>
            </w:r>
          </w:p>
        </w:tc>
        <w:tc>
          <w:tcPr>
            <w:tcW w:w="3027" w:type="dxa"/>
          </w:tcPr>
          <w:p w14:paraId="59DCCD2D"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Raphanus sativus</w:t>
            </w:r>
          </w:p>
        </w:tc>
        <w:tc>
          <w:tcPr>
            <w:tcW w:w="1863" w:type="dxa"/>
          </w:tcPr>
          <w:p w14:paraId="59DCCD2E"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1.2</w:t>
            </w:r>
          </w:p>
        </w:tc>
        <w:tc>
          <w:tcPr>
            <w:tcW w:w="1080" w:type="dxa"/>
          </w:tcPr>
          <w:p w14:paraId="59DCCD2F"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1.2</w:t>
            </w:r>
          </w:p>
        </w:tc>
        <w:tc>
          <w:tcPr>
            <w:tcW w:w="1417" w:type="dxa"/>
          </w:tcPr>
          <w:p w14:paraId="59DCCD30"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1.0</w:t>
            </w:r>
          </w:p>
        </w:tc>
        <w:tc>
          <w:tcPr>
            <w:tcW w:w="1276" w:type="dxa"/>
          </w:tcPr>
          <w:p w14:paraId="59DCCD31"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0.9</w:t>
            </w:r>
          </w:p>
        </w:tc>
        <w:tc>
          <w:tcPr>
            <w:tcW w:w="1276" w:type="dxa"/>
          </w:tcPr>
          <w:p w14:paraId="59DCCD32"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0.7</w:t>
            </w:r>
          </w:p>
        </w:tc>
        <w:tc>
          <w:tcPr>
            <w:tcW w:w="1417" w:type="dxa"/>
          </w:tcPr>
          <w:p w14:paraId="59DCCD33"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w:t>
            </w:r>
          </w:p>
        </w:tc>
      </w:tr>
      <w:tr w:rsidR="00BE3AA8" w:rsidRPr="00D93FF9" w14:paraId="59DCCD3D" w14:textId="77777777" w:rsidTr="00C00CD4">
        <w:trPr>
          <w:trHeight w:val="228"/>
        </w:trPr>
        <w:tc>
          <w:tcPr>
            <w:tcW w:w="2131" w:type="dxa"/>
          </w:tcPr>
          <w:p w14:paraId="59DCCD35"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Rosemary</w:t>
            </w:r>
          </w:p>
        </w:tc>
        <w:tc>
          <w:tcPr>
            <w:tcW w:w="3027" w:type="dxa"/>
          </w:tcPr>
          <w:p w14:paraId="59DCCD36"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Rosmarinus officinalis</w:t>
            </w:r>
          </w:p>
        </w:tc>
        <w:tc>
          <w:tcPr>
            <w:tcW w:w="1863" w:type="dxa"/>
          </w:tcPr>
          <w:p w14:paraId="59DCCD37"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6-8</w:t>
            </w:r>
          </w:p>
        </w:tc>
        <w:tc>
          <w:tcPr>
            <w:tcW w:w="1080" w:type="dxa"/>
          </w:tcPr>
          <w:p w14:paraId="59DCCD38"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7.0</w:t>
            </w:r>
          </w:p>
        </w:tc>
        <w:tc>
          <w:tcPr>
            <w:tcW w:w="1417" w:type="dxa"/>
          </w:tcPr>
          <w:p w14:paraId="59DCCD39"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6.0</w:t>
            </w:r>
          </w:p>
        </w:tc>
        <w:tc>
          <w:tcPr>
            <w:tcW w:w="1276" w:type="dxa"/>
          </w:tcPr>
          <w:p w14:paraId="59DCCD3A"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5.1</w:t>
            </w:r>
          </w:p>
        </w:tc>
        <w:tc>
          <w:tcPr>
            <w:tcW w:w="1276" w:type="dxa"/>
          </w:tcPr>
          <w:p w14:paraId="59DCCD3B"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3.9</w:t>
            </w:r>
          </w:p>
        </w:tc>
        <w:tc>
          <w:tcPr>
            <w:tcW w:w="1417" w:type="dxa"/>
          </w:tcPr>
          <w:p w14:paraId="59DCCD3C"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w:t>
            </w:r>
          </w:p>
        </w:tc>
      </w:tr>
      <w:tr w:rsidR="00BE3AA8" w:rsidRPr="00D93FF9" w14:paraId="59DCCD46" w14:textId="77777777" w:rsidTr="00C00CD4">
        <w:trPr>
          <w:trHeight w:val="228"/>
        </w:trPr>
        <w:tc>
          <w:tcPr>
            <w:tcW w:w="2131" w:type="dxa"/>
            <w:tcBorders>
              <w:bottom w:val="single" w:sz="4" w:space="0" w:color="auto"/>
            </w:tcBorders>
          </w:tcPr>
          <w:p w14:paraId="59DCCD3E" w14:textId="77777777" w:rsidR="006C14B9" w:rsidRPr="00D93FF9" w:rsidRDefault="00E811B8" w:rsidP="006C14B9">
            <w:pPr>
              <w:pStyle w:val="TableParagraph"/>
              <w:spacing w:before="0" w:after="0"/>
              <w:ind w:left="115"/>
              <w:rPr>
                <w:rFonts w:asciiTheme="minorHAnsi" w:hAnsiTheme="minorHAnsi"/>
                <w:sz w:val="16"/>
                <w:szCs w:val="16"/>
                <w:lang w:val="en-GB"/>
              </w:rPr>
            </w:pPr>
            <w:r w:rsidRPr="00D93FF9">
              <w:rPr>
                <w:rFonts w:asciiTheme="minorHAnsi" w:hAnsiTheme="minorHAnsi"/>
                <w:sz w:val="16"/>
                <w:szCs w:val="16"/>
                <w:lang w:val="en-GB"/>
              </w:rPr>
              <w:t>Turnip</w:t>
            </w:r>
          </w:p>
        </w:tc>
        <w:tc>
          <w:tcPr>
            <w:tcW w:w="3027" w:type="dxa"/>
            <w:tcBorders>
              <w:bottom w:val="single" w:sz="4" w:space="0" w:color="auto"/>
            </w:tcBorders>
          </w:tcPr>
          <w:p w14:paraId="59DCCD3F" w14:textId="77777777" w:rsidR="006C14B9" w:rsidRPr="00D93FF9" w:rsidRDefault="00E811B8" w:rsidP="006C14B9">
            <w:pPr>
              <w:pStyle w:val="TableParagraph"/>
              <w:spacing w:before="0" w:after="0"/>
              <w:ind w:left="494"/>
              <w:rPr>
                <w:rFonts w:asciiTheme="minorHAnsi" w:hAnsiTheme="minorHAnsi"/>
                <w:i/>
                <w:sz w:val="16"/>
                <w:szCs w:val="16"/>
                <w:lang w:val="en-GB"/>
              </w:rPr>
            </w:pPr>
            <w:r w:rsidRPr="00D93FF9">
              <w:rPr>
                <w:rFonts w:asciiTheme="minorHAnsi" w:hAnsiTheme="minorHAnsi"/>
                <w:i/>
                <w:sz w:val="16"/>
                <w:szCs w:val="16"/>
                <w:lang w:val="en-GB"/>
              </w:rPr>
              <w:t>Brassica rapa</w:t>
            </w:r>
          </w:p>
        </w:tc>
        <w:tc>
          <w:tcPr>
            <w:tcW w:w="1863" w:type="dxa"/>
            <w:tcBorders>
              <w:bottom w:val="single" w:sz="4" w:space="0" w:color="auto"/>
            </w:tcBorders>
          </w:tcPr>
          <w:p w14:paraId="59DCCD40" w14:textId="77777777" w:rsidR="006C14B9" w:rsidRPr="00D93FF9" w:rsidRDefault="00E811B8" w:rsidP="006C14B9">
            <w:pPr>
              <w:pStyle w:val="TableParagraph"/>
              <w:spacing w:before="0" w:after="0"/>
              <w:ind w:left="766" w:right="834"/>
              <w:jc w:val="center"/>
              <w:rPr>
                <w:rFonts w:asciiTheme="minorHAnsi" w:hAnsiTheme="minorHAnsi"/>
                <w:sz w:val="16"/>
                <w:szCs w:val="16"/>
                <w:lang w:val="en-GB"/>
              </w:rPr>
            </w:pPr>
            <w:r w:rsidRPr="00D93FF9">
              <w:rPr>
                <w:rFonts w:asciiTheme="minorHAnsi" w:hAnsiTheme="minorHAnsi"/>
                <w:sz w:val="16"/>
                <w:szCs w:val="16"/>
                <w:lang w:val="en-GB"/>
              </w:rPr>
              <w:t>0.9</w:t>
            </w:r>
          </w:p>
        </w:tc>
        <w:tc>
          <w:tcPr>
            <w:tcW w:w="1080" w:type="dxa"/>
            <w:tcBorders>
              <w:bottom w:val="single" w:sz="4" w:space="0" w:color="auto"/>
            </w:tcBorders>
          </w:tcPr>
          <w:p w14:paraId="59DCCD41" w14:textId="77777777" w:rsidR="006C14B9" w:rsidRPr="00D93FF9" w:rsidRDefault="00E811B8" w:rsidP="006C14B9">
            <w:pPr>
              <w:pStyle w:val="TableParagraph"/>
              <w:spacing w:before="0" w:after="0"/>
              <w:ind w:right="208"/>
              <w:jc w:val="center"/>
              <w:rPr>
                <w:rFonts w:asciiTheme="minorHAnsi" w:hAnsiTheme="minorHAnsi"/>
                <w:sz w:val="16"/>
                <w:szCs w:val="16"/>
                <w:lang w:val="en-GB"/>
              </w:rPr>
            </w:pPr>
            <w:r w:rsidRPr="00D93FF9">
              <w:rPr>
                <w:rFonts w:asciiTheme="minorHAnsi" w:hAnsiTheme="minorHAnsi"/>
                <w:sz w:val="16"/>
                <w:szCs w:val="16"/>
                <w:lang w:val="en-GB"/>
              </w:rPr>
              <w:t>0.9</w:t>
            </w:r>
          </w:p>
        </w:tc>
        <w:tc>
          <w:tcPr>
            <w:tcW w:w="1417" w:type="dxa"/>
            <w:tcBorders>
              <w:bottom w:val="single" w:sz="4" w:space="0" w:color="auto"/>
            </w:tcBorders>
          </w:tcPr>
          <w:p w14:paraId="59DCCD42" w14:textId="77777777" w:rsidR="006C14B9" w:rsidRPr="00D93FF9" w:rsidRDefault="00E811B8" w:rsidP="006C14B9">
            <w:pPr>
              <w:pStyle w:val="TableParagraph"/>
              <w:spacing w:before="0" w:after="0"/>
              <w:ind w:right="235"/>
              <w:jc w:val="center"/>
              <w:rPr>
                <w:rFonts w:asciiTheme="minorHAnsi" w:hAnsiTheme="minorHAnsi"/>
                <w:sz w:val="16"/>
                <w:szCs w:val="16"/>
                <w:lang w:val="en-GB"/>
              </w:rPr>
            </w:pPr>
            <w:r w:rsidRPr="00D93FF9">
              <w:rPr>
                <w:rFonts w:asciiTheme="minorHAnsi" w:hAnsiTheme="minorHAnsi"/>
                <w:sz w:val="16"/>
                <w:szCs w:val="16"/>
                <w:lang w:val="en-GB"/>
              </w:rPr>
              <w:t>0.8</w:t>
            </w:r>
          </w:p>
        </w:tc>
        <w:tc>
          <w:tcPr>
            <w:tcW w:w="1276" w:type="dxa"/>
            <w:tcBorders>
              <w:bottom w:val="single" w:sz="4" w:space="0" w:color="auto"/>
            </w:tcBorders>
          </w:tcPr>
          <w:p w14:paraId="59DCCD43" w14:textId="77777777" w:rsidR="006C14B9" w:rsidRPr="00D93FF9" w:rsidRDefault="00E811B8" w:rsidP="006C14B9">
            <w:pPr>
              <w:pStyle w:val="TableParagraph"/>
              <w:spacing w:before="0" w:after="0"/>
              <w:ind w:right="301"/>
              <w:jc w:val="center"/>
              <w:rPr>
                <w:rFonts w:asciiTheme="minorHAnsi" w:hAnsiTheme="minorHAnsi"/>
                <w:sz w:val="16"/>
                <w:szCs w:val="16"/>
                <w:lang w:val="en-GB"/>
              </w:rPr>
            </w:pPr>
            <w:r w:rsidRPr="00D93FF9">
              <w:rPr>
                <w:rFonts w:asciiTheme="minorHAnsi" w:hAnsiTheme="minorHAnsi"/>
                <w:sz w:val="16"/>
                <w:szCs w:val="16"/>
                <w:lang w:val="en-GB"/>
              </w:rPr>
              <w:t>0.7</w:t>
            </w:r>
          </w:p>
        </w:tc>
        <w:tc>
          <w:tcPr>
            <w:tcW w:w="1276" w:type="dxa"/>
            <w:tcBorders>
              <w:bottom w:val="single" w:sz="4" w:space="0" w:color="auto"/>
            </w:tcBorders>
          </w:tcPr>
          <w:p w14:paraId="59DCCD44"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0.5</w:t>
            </w:r>
          </w:p>
        </w:tc>
        <w:tc>
          <w:tcPr>
            <w:tcW w:w="1417" w:type="dxa"/>
            <w:tcBorders>
              <w:bottom w:val="single" w:sz="4" w:space="0" w:color="auto"/>
            </w:tcBorders>
          </w:tcPr>
          <w:p w14:paraId="59DCCD45" w14:textId="77777777" w:rsidR="006C14B9" w:rsidRPr="00D93FF9" w:rsidRDefault="00E811B8" w:rsidP="006C14B9">
            <w:pPr>
              <w:pStyle w:val="TableParagraph"/>
              <w:spacing w:before="0" w:after="0"/>
              <w:ind w:left="7"/>
              <w:jc w:val="center"/>
              <w:rPr>
                <w:rFonts w:asciiTheme="minorHAnsi" w:hAnsiTheme="minorHAnsi"/>
                <w:sz w:val="16"/>
                <w:szCs w:val="16"/>
                <w:lang w:val="en-GB"/>
              </w:rPr>
            </w:pPr>
            <w:r w:rsidRPr="00D93FF9">
              <w:rPr>
                <w:rFonts w:asciiTheme="minorHAnsi" w:hAnsiTheme="minorHAnsi"/>
                <w:sz w:val="16"/>
                <w:szCs w:val="16"/>
                <w:lang w:val="en-GB"/>
              </w:rPr>
              <w:t>a</w:t>
            </w:r>
          </w:p>
        </w:tc>
      </w:tr>
    </w:tbl>
    <w:p w14:paraId="59DCCD47" w14:textId="77777777" w:rsidR="006C14B9" w:rsidRPr="00D93FF9" w:rsidRDefault="00E811B8" w:rsidP="006C14B9">
      <w:pPr>
        <w:spacing w:after="0" w:line="259" w:lineRule="auto"/>
        <w:rPr>
          <w:rFonts w:ascii="Arial" w:hAnsi="Arial"/>
          <w:sz w:val="14"/>
          <w:lang w:val="en-GB"/>
        </w:rPr>
      </w:pPr>
      <w:bookmarkStart w:id="152" w:name="_Hlk66361945"/>
      <w:r w:rsidRPr="00D93FF9">
        <w:rPr>
          <w:rFonts w:ascii="Arial" w:hAnsi="Arial"/>
          <w:sz w:val="14"/>
          <w:lang w:val="en-GB"/>
        </w:rPr>
        <w:t>Sources:</w:t>
      </w:r>
    </w:p>
    <w:p w14:paraId="59DCCD48" w14:textId="77777777" w:rsidR="006C14B9" w:rsidRPr="00D93FF9" w:rsidRDefault="00E811B8" w:rsidP="006C14B9">
      <w:pPr>
        <w:spacing w:after="0" w:line="259" w:lineRule="auto"/>
        <w:rPr>
          <w:rFonts w:ascii="Arial" w:hAnsi="Arial"/>
          <w:sz w:val="14"/>
          <w:lang w:val="en-GB"/>
        </w:rPr>
      </w:pPr>
      <w:r w:rsidRPr="00D93FF9">
        <w:rPr>
          <w:rFonts w:ascii="Arial" w:hAnsi="Arial"/>
          <w:sz w:val="14"/>
          <w:lang w:val="en-GB"/>
        </w:rPr>
        <w:t xml:space="preserve">a = Maas (1986) </w:t>
      </w:r>
    </w:p>
    <w:p w14:paraId="59DCCD49" w14:textId="77777777" w:rsidR="006C14B9" w:rsidRPr="00D93FF9" w:rsidRDefault="00E811B8" w:rsidP="006C14B9">
      <w:pPr>
        <w:spacing w:after="0" w:line="259" w:lineRule="auto"/>
        <w:rPr>
          <w:rFonts w:ascii="Arial" w:hAnsi="Arial"/>
          <w:sz w:val="14"/>
          <w:lang w:val="en-GB"/>
        </w:rPr>
      </w:pPr>
      <w:r w:rsidRPr="00D93FF9">
        <w:rPr>
          <w:rFonts w:ascii="Arial" w:hAnsi="Arial"/>
          <w:sz w:val="14"/>
          <w:lang w:val="en-GB"/>
        </w:rPr>
        <w:t>b = Agriculture WA (2003)</w:t>
      </w:r>
    </w:p>
    <w:p w14:paraId="59DCCD4A" w14:textId="4190088A" w:rsidR="006C14B9" w:rsidRPr="00D93FF9" w:rsidRDefault="00E811B8" w:rsidP="006C14B9">
      <w:pPr>
        <w:spacing w:after="0"/>
        <w:rPr>
          <w:rFonts w:ascii="Arial"/>
          <w:sz w:val="14"/>
          <w:lang w:val="en-GB"/>
        </w:rPr>
      </w:pPr>
      <w:r w:rsidRPr="00D93FF9">
        <w:rPr>
          <w:rFonts w:ascii="Arial" w:hAnsi="Arial"/>
          <w:sz w:val="14"/>
          <w:lang w:val="en-GB"/>
        </w:rPr>
        <w:t>c = Kotuby-Amacher et al</w:t>
      </w:r>
      <w:r w:rsidR="00CF45F1" w:rsidRPr="00D93FF9">
        <w:rPr>
          <w:rFonts w:ascii="Arial" w:hAnsi="Arial"/>
          <w:sz w:val="14"/>
          <w:lang w:val="en-GB"/>
        </w:rPr>
        <w:t>.</w:t>
      </w:r>
      <w:r w:rsidRPr="00D93FF9">
        <w:rPr>
          <w:rFonts w:ascii="Arial" w:hAnsi="Arial"/>
          <w:sz w:val="14"/>
          <w:lang w:val="en-GB"/>
        </w:rPr>
        <w:t xml:space="preserve"> (1987)</w:t>
      </w:r>
      <w:bookmarkEnd w:id="152"/>
    </w:p>
    <w:p w14:paraId="59DCCD4B" w14:textId="6BFADDAE" w:rsidR="006C14B9" w:rsidRPr="00D93FF9" w:rsidRDefault="006C14B9" w:rsidP="003807A1">
      <w:pPr>
        <w:spacing w:after="0"/>
        <w:rPr>
          <w:rFonts w:ascii="Arial"/>
          <w:sz w:val="14"/>
          <w:lang w:val="en-GB"/>
        </w:rPr>
      </w:pPr>
    </w:p>
    <w:p w14:paraId="121756A6" w14:textId="42A859C9" w:rsidR="00642014" w:rsidRPr="00D93FF9" w:rsidRDefault="00642014" w:rsidP="003807A1">
      <w:pPr>
        <w:spacing w:after="0"/>
        <w:rPr>
          <w:rFonts w:ascii="Arial" w:hAnsi="Arial" w:cs="Arial"/>
          <w:sz w:val="16"/>
          <w:szCs w:val="16"/>
          <w:lang w:val="en-GB"/>
        </w:rPr>
      </w:pPr>
      <w:r w:rsidRPr="00D93FF9">
        <w:rPr>
          <w:rFonts w:ascii="Arial" w:hAnsi="Arial" w:cs="Arial"/>
          <w:sz w:val="16"/>
          <w:szCs w:val="16"/>
          <w:lang w:val="en-GB"/>
        </w:rPr>
        <w:t>Adapted from AGWR (</w:t>
      </w:r>
      <w:r w:rsidRPr="00D93FF9">
        <w:rPr>
          <w:rFonts w:ascii="Arial" w:hAnsi="Arial" w:cs="Arial"/>
          <w:sz w:val="16"/>
          <w:szCs w:val="16"/>
        </w:rPr>
        <w:t xml:space="preserve">NRMMC, EPHC </w:t>
      </w:r>
      <w:r w:rsidR="00FA6E9E" w:rsidRPr="00D93FF9">
        <w:rPr>
          <w:rFonts w:ascii="Arial" w:hAnsi="Arial" w:cs="Arial"/>
          <w:sz w:val="16"/>
          <w:szCs w:val="16"/>
        </w:rPr>
        <w:t>and</w:t>
      </w:r>
      <w:r w:rsidRPr="00D93FF9">
        <w:rPr>
          <w:rFonts w:ascii="Arial" w:hAnsi="Arial" w:cs="Arial"/>
          <w:sz w:val="16"/>
          <w:szCs w:val="16"/>
        </w:rPr>
        <w:t xml:space="preserve"> AHMC, 2006)</w:t>
      </w:r>
    </w:p>
    <w:p w14:paraId="59DCCD4C" w14:textId="77777777" w:rsidR="006C14B9" w:rsidRPr="00D93FF9" w:rsidRDefault="006C14B9" w:rsidP="003807A1">
      <w:pPr>
        <w:spacing w:after="0"/>
        <w:rPr>
          <w:rFonts w:ascii="Arial"/>
          <w:sz w:val="14"/>
          <w:lang w:val="en-GB"/>
        </w:rPr>
      </w:pPr>
    </w:p>
    <w:p w14:paraId="59DCCD4D" w14:textId="77777777" w:rsidR="00C46175" w:rsidRPr="00D93FF9" w:rsidRDefault="00C46175" w:rsidP="003807A1">
      <w:pPr>
        <w:spacing w:after="0"/>
        <w:rPr>
          <w:rFonts w:ascii="Arial"/>
          <w:sz w:val="14"/>
          <w:lang w:val="en-GB"/>
        </w:rPr>
        <w:sectPr w:rsidR="00C46175" w:rsidRPr="00D93FF9" w:rsidSect="003807A1">
          <w:pgSz w:w="16840" w:h="11900" w:orient="landscape"/>
          <w:pgMar w:top="1440" w:right="1440" w:bottom="1440" w:left="1440" w:header="0" w:footer="0" w:gutter="0"/>
          <w:cols w:space="720"/>
        </w:sectPr>
      </w:pPr>
    </w:p>
    <w:p w14:paraId="59DCCD4E" w14:textId="77777777" w:rsidR="00C46175" w:rsidRPr="00D93FF9" w:rsidRDefault="00E811B8" w:rsidP="00405E68">
      <w:pPr>
        <w:pStyle w:val="Heading5"/>
        <w:rPr>
          <w:lang w:val="en-GB"/>
        </w:rPr>
      </w:pPr>
      <w:bookmarkStart w:id="153" w:name="Climate"/>
      <w:bookmarkStart w:id="154" w:name="Landscape"/>
      <w:bookmarkEnd w:id="153"/>
      <w:bookmarkEnd w:id="154"/>
      <w:r w:rsidRPr="00D93FF9">
        <w:rPr>
          <w:lang w:val="en-GB"/>
        </w:rPr>
        <w:lastRenderedPageBreak/>
        <w:t>Climate</w:t>
      </w:r>
    </w:p>
    <w:p w14:paraId="59DCCD4F" w14:textId="697100AA" w:rsidR="008025C1" w:rsidRPr="00D93FF9" w:rsidRDefault="00E811B8" w:rsidP="003807A1">
      <w:pPr>
        <w:pStyle w:val="BodyText"/>
        <w:spacing w:after="0" w:line="266" w:lineRule="auto"/>
        <w:jc w:val="both"/>
        <w:rPr>
          <w:lang w:val="en-GB"/>
        </w:rPr>
      </w:pPr>
      <w:r w:rsidRPr="00D93FF9">
        <w:rPr>
          <w:lang w:val="en-GB"/>
        </w:rPr>
        <w:t xml:space="preserve">The climate of a region contributes to salinity in the soil under irrigation. The two key processes of influence are evapotranspiration and rainfall within the water balance as described in </w:t>
      </w:r>
      <w:r w:rsidR="00910029" w:rsidRPr="00D93FF9">
        <w:rPr>
          <w:lang w:val="en-GB"/>
        </w:rPr>
        <w:fldChar w:fldCharType="begin"/>
      </w:r>
      <w:r w:rsidR="00910029" w:rsidRPr="00D93FF9">
        <w:rPr>
          <w:lang w:val="en-GB"/>
        </w:rPr>
        <w:instrText xml:space="preserve"> REF _Ref72939070 \h </w:instrText>
      </w:r>
      <w:r w:rsidR="003E5521" w:rsidRPr="00D93FF9">
        <w:rPr>
          <w:lang w:val="en-GB"/>
        </w:rPr>
        <w:instrText xml:space="preserve"> \* MERGEFORMAT </w:instrText>
      </w:r>
      <w:r w:rsidR="00910029" w:rsidRPr="00D93FF9">
        <w:rPr>
          <w:lang w:val="en-GB"/>
        </w:rPr>
      </w:r>
      <w:r w:rsidR="00910029" w:rsidRPr="00D93FF9">
        <w:rPr>
          <w:lang w:val="en-GB"/>
        </w:rPr>
        <w:fldChar w:fldCharType="separate"/>
      </w:r>
      <w:r w:rsidR="0069302C" w:rsidRPr="0069302C">
        <w:t xml:space="preserve">Equation </w:t>
      </w:r>
      <w:r w:rsidR="0069302C" w:rsidRPr="0069302C">
        <w:rPr>
          <w:noProof/>
        </w:rPr>
        <w:t>25</w:t>
      </w:r>
      <w:r w:rsidR="00910029" w:rsidRPr="00D93FF9">
        <w:rPr>
          <w:lang w:val="en-GB"/>
        </w:rPr>
        <w:fldChar w:fldCharType="end"/>
      </w:r>
    </w:p>
    <w:p w14:paraId="59DCCD50" w14:textId="77777777" w:rsidR="00910029" w:rsidRPr="00D93FF9" w:rsidRDefault="00910029" w:rsidP="00910029">
      <w:pPr>
        <w:pStyle w:val="Caption"/>
      </w:pPr>
    </w:p>
    <w:tbl>
      <w:tblPr>
        <w:tblStyle w:val="TableGrid"/>
        <w:tblW w:w="8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9"/>
        <w:gridCol w:w="2394"/>
      </w:tblGrid>
      <w:tr w:rsidR="00BE3AA8" w:rsidRPr="00D93FF9" w14:paraId="59DCCD53" w14:textId="77777777" w:rsidTr="00947542">
        <w:trPr>
          <w:trHeight w:val="834"/>
        </w:trPr>
        <w:tc>
          <w:tcPr>
            <w:tcW w:w="6599" w:type="dxa"/>
          </w:tcPr>
          <w:p w14:paraId="59DCCD51" w14:textId="77777777" w:rsidR="00910029" w:rsidRPr="00D93FF9" w:rsidRDefault="00E811B8" w:rsidP="00476D5A">
            <w:pPr>
              <w:pStyle w:val="BodyText"/>
              <w:spacing w:after="0" w:line="266" w:lineRule="auto"/>
              <w:jc w:val="both"/>
              <w:rPr>
                <w:rFonts w:asciiTheme="minorHAnsi" w:hAnsiTheme="minorHAnsi"/>
                <w:sz w:val="22"/>
                <w:szCs w:val="22"/>
                <w:lang w:val="en-GB"/>
              </w:rPr>
            </w:pPr>
            <m:oMathPara>
              <m:oMath>
                <m:r>
                  <m:rPr>
                    <m:sty m:val="p"/>
                  </m:rPr>
                  <w:rPr>
                    <w:rFonts w:ascii="Cambria Math" w:hAnsi="Cambria Math"/>
                    <w:sz w:val="22"/>
                    <w:szCs w:val="22"/>
                    <w:lang w:val="en-GB"/>
                  </w:rPr>
                  <m:t>Rainfall+Irrigation=Transpiration+Evaporation+Deep drainage+Runoff+Soil water storage</m:t>
                </m:r>
              </m:oMath>
            </m:oMathPara>
          </w:p>
        </w:tc>
        <w:tc>
          <w:tcPr>
            <w:tcW w:w="2394" w:type="dxa"/>
          </w:tcPr>
          <w:p w14:paraId="59DCCD52" w14:textId="3E9E957D" w:rsidR="00910029" w:rsidRPr="00D93FF9" w:rsidRDefault="00E811B8" w:rsidP="00910029">
            <w:pPr>
              <w:pStyle w:val="BodyText"/>
              <w:spacing w:after="0" w:line="266" w:lineRule="auto"/>
              <w:jc w:val="right"/>
              <w:rPr>
                <w:rFonts w:asciiTheme="minorHAnsi" w:hAnsiTheme="minorHAnsi"/>
                <w:b/>
                <w:bCs/>
                <w:sz w:val="22"/>
                <w:szCs w:val="22"/>
                <w:lang w:val="en-GB"/>
              </w:rPr>
            </w:pPr>
            <w:bookmarkStart w:id="155" w:name="_Ref72939070"/>
            <w:r w:rsidRPr="00D93FF9">
              <w:rPr>
                <w:rFonts w:asciiTheme="minorHAnsi" w:hAnsiTheme="minorHAnsi"/>
                <w:b/>
                <w:bCs/>
                <w:sz w:val="22"/>
                <w:szCs w:val="22"/>
              </w:rPr>
              <w:t xml:space="preserve">Equation </w:t>
            </w:r>
            <w:r w:rsidRPr="00D93FF9">
              <w:rPr>
                <w:b/>
                <w:bCs/>
              </w:rPr>
              <w:fldChar w:fldCharType="begin"/>
            </w:r>
            <w:r w:rsidRPr="00D93FF9">
              <w:rPr>
                <w:rFonts w:asciiTheme="minorHAnsi" w:hAnsiTheme="minorHAnsi"/>
                <w:b/>
                <w:bCs/>
                <w:sz w:val="22"/>
                <w:szCs w:val="22"/>
              </w:rPr>
              <w:instrText xml:space="preserve"> SEQ Equation \* ARABIC </w:instrText>
            </w:r>
            <w:r w:rsidRPr="00D93FF9">
              <w:rPr>
                <w:b/>
                <w:bCs/>
              </w:rPr>
              <w:fldChar w:fldCharType="separate"/>
            </w:r>
            <w:r w:rsidR="0069302C">
              <w:rPr>
                <w:rFonts w:asciiTheme="minorHAnsi" w:hAnsiTheme="minorHAnsi"/>
                <w:b/>
                <w:bCs/>
                <w:noProof/>
                <w:sz w:val="22"/>
                <w:szCs w:val="22"/>
              </w:rPr>
              <w:t>25</w:t>
            </w:r>
            <w:r w:rsidRPr="00D93FF9">
              <w:rPr>
                <w:b/>
                <w:bCs/>
              </w:rPr>
              <w:fldChar w:fldCharType="end"/>
            </w:r>
            <w:bookmarkEnd w:id="155"/>
          </w:p>
        </w:tc>
      </w:tr>
    </w:tbl>
    <w:p w14:paraId="59DCCD54" w14:textId="77777777" w:rsidR="00947542" w:rsidRPr="00D93FF9" w:rsidRDefault="00947542" w:rsidP="00947542">
      <w:pPr>
        <w:pStyle w:val="CommentText"/>
        <w:ind w:right="-52"/>
        <w:jc w:val="both"/>
        <w:rPr>
          <w:sz w:val="22"/>
          <w:szCs w:val="22"/>
        </w:rPr>
      </w:pPr>
    </w:p>
    <w:p w14:paraId="59DCCD55" w14:textId="6450B2B1" w:rsidR="00A97223" w:rsidRPr="00D93FF9" w:rsidRDefault="00E811B8" w:rsidP="00947542">
      <w:pPr>
        <w:pStyle w:val="CommentText"/>
        <w:ind w:right="-52"/>
        <w:jc w:val="both"/>
        <w:rPr>
          <w:sz w:val="22"/>
          <w:szCs w:val="22"/>
        </w:rPr>
      </w:pPr>
      <w:r w:rsidRPr="00D93FF9">
        <w:rPr>
          <w:sz w:val="22"/>
          <w:szCs w:val="22"/>
        </w:rPr>
        <w:t>Deep drainage (D</w:t>
      </w:r>
      <w:r w:rsidRPr="00D93FF9">
        <w:rPr>
          <w:sz w:val="22"/>
          <w:szCs w:val="22"/>
          <w:vertAlign w:val="subscript"/>
        </w:rPr>
        <w:t>d</w:t>
      </w:r>
      <w:r w:rsidRPr="00D93FF9">
        <w:rPr>
          <w:sz w:val="22"/>
          <w:szCs w:val="22"/>
        </w:rPr>
        <w:t xml:space="preserve">) via the leaching fraction is the driver for salinity control </w:t>
      </w:r>
      <w:r w:rsidR="0084659C" w:rsidRPr="00D93FF9">
        <w:rPr>
          <w:sz w:val="22"/>
          <w:szCs w:val="22"/>
        </w:rPr>
        <w:t xml:space="preserve">in </w:t>
      </w:r>
      <w:r w:rsidRPr="00D93FF9">
        <w:rPr>
          <w:sz w:val="22"/>
          <w:szCs w:val="22"/>
        </w:rPr>
        <w:t>irrigation paddocks as well as influencing the outbreak of secondary salinization in dryland landscapes after land use change. Under dryland conditions the quant</w:t>
      </w:r>
      <w:r w:rsidR="0084659C" w:rsidRPr="00D93FF9">
        <w:rPr>
          <w:sz w:val="22"/>
          <w:szCs w:val="22"/>
        </w:rPr>
        <w:t>ity</w:t>
      </w:r>
      <w:r w:rsidRPr="00D93FF9">
        <w:rPr>
          <w:sz w:val="22"/>
          <w:szCs w:val="22"/>
        </w:rPr>
        <w:t xml:space="preserve"> of D</w:t>
      </w:r>
      <w:r w:rsidR="0084659C" w:rsidRPr="00D93FF9">
        <w:rPr>
          <w:sz w:val="22"/>
          <w:szCs w:val="22"/>
          <w:vertAlign w:val="subscript"/>
        </w:rPr>
        <w:t>d</w:t>
      </w:r>
      <w:r w:rsidRPr="00D93FF9">
        <w:rPr>
          <w:sz w:val="22"/>
          <w:szCs w:val="22"/>
        </w:rPr>
        <w:t xml:space="preserve"> depends on the balance between </w:t>
      </w:r>
      <w:r w:rsidR="003D0257" w:rsidRPr="00D93FF9">
        <w:rPr>
          <w:sz w:val="22"/>
          <w:szCs w:val="22"/>
        </w:rPr>
        <w:t>the soil water deficit preceding rainfall (affected by crop type eg trees vs grasses), the amount of net rainfall (rainfall-runoff)</w:t>
      </w:r>
      <w:r w:rsidRPr="00D93FF9">
        <w:rPr>
          <w:sz w:val="22"/>
          <w:szCs w:val="22"/>
        </w:rPr>
        <w:t xml:space="preserve"> and </w:t>
      </w:r>
      <w:r w:rsidR="003D0257" w:rsidRPr="00D93FF9">
        <w:rPr>
          <w:sz w:val="22"/>
          <w:szCs w:val="22"/>
        </w:rPr>
        <w:t xml:space="preserve">the </w:t>
      </w:r>
      <w:r w:rsidRPr="00D93FF9">
        <w:rPr>
          <w:sz w:val="22"/>
          <w:szCs w:val="22"/>
        </w:rPr>
        <w:t xml:space="preserve">seasonality of </w:t>
      </w:r>
      <w:r w:rsidR="003D0257" w:rsidRPr="00D93FF9">
        <w:rPr>
          <w:sz w:val="22"/>
          <w:szCs w:val="22"/>
        </w:rPr>
        <w:t xml:space="preserve">the </w:t>
      </w:r>
      <w:r w:rsidRPr="00D93FF9">
        <w:rPr>
          <w:sz w:val="22"/>
          <w:szCs w:val="22"/>
        </w:rPr>
        <w:t xml:space="preserve">rainfall. For example, </w:t>
      </w:r>
      <w:r w:rsidR="003D0257" w:rsidRPr="00D93FF9">
        <w:rPr>
          <w:sz w:val="22"/>
          <w:szCs w:val="22"/>
        </w:rPr>
        <w:t xml:space="preserve">in </w:t>
      </w:r>
      <w:r w:rsidRPr="00D93FF9">
        <w:rPr>
          <w:sz w:val="22"/>
          <w:szCs w:val="22"/>
        </w:rPr>
        <w:t>Mediterranean climates</w:t>
      </w:r>
      <w:r w:rsidR="003D0257" w:rsidRPr="00D93FF9">
        <w:rPr>
          <w:sz w:val="22"/>
          <w:szCs w:val="22"/>
        </w:rPr>
        <w:t xml:space="preserve"> of southern Australia</w:t>
      </w:r>
      <w:r w:rsidRPr="00D93FF9">
        <w:rPr>
          <w:sz w:val="22"/>
          <w:szCs w:val="22"/>
        </w:rPr>
        <w:t xml:space="preserve">, </w:t>
      </w:r>
      <w:r w:rsidR="003D0257" w:rsidRPr="00D93FF9">
        <w:rPr>
          <w:sz w:val="22"/>
          <w:szCs w:val="22"/>
        </w:rPr>
        <w:t xml:space="preserve">hot dry summers promote large soil water deficits which are then followed by </w:t>
      </w:r>
      <w:r w:rsidRPr="00D93FF9">
        <w:rPr>
          <w:sz w:val="22"/>
          <w:szCs w:val="22"/>
        </w:rPr>
        <w:t>cold, wet winters</w:t>
      </w:r>
      <w:r w:rsidR="003D0257" w:rsidRPr="00D93FF9">
        <w:rPr>
          <w:sz w:val="22"/>
          <w:szCs w:val="22"/>
        </w:rPr>
        <w:t>. Infiltration in excess of the soil water deficit</w:t>
      </w:r>
      <w:r w:rsidRPr="00D93FF9">
        <w:rPr>
          <w:sz w:val="22"/>
          <w:szCs w:val="22"/>
        </w:rPr>
        <w:t xml:space="preserve"> promote</w:t>
      </w:r>
      <w:r w:rsidR="003D0257" w:rsidRPr="00D93FF9">
        <w:rPr>
          <w:sz w:val="22"/>
          <w:szCs w:val="22"/>
        </w:rPr>
        <w:t>s</w:t>
      </w:r>
      <w:r w:rsidRPr="00D93FF9">
        <w:rPr>
          <w:sz w:val="22"/>
          <w:szCs w:val="22"/>
        </w:rPr>
        <w:t xml:space="preserve"> D</w:t>
      </w:r>
      <w:r w:rsidRPr="00D93FF9">
        <w:rPr>
          <w:sz w:val="22"/>
          <w:szCs w:val="22"/>
          <w:vertAlign w:val="subscript"/>
        </w:rPr>
        <w:t>d</w:t>
      </w:r>
      <w:r w:rsidRPr="00D93FF9">
        <w:rPr>
          <w:sz w:val="22"/>
          <w:szCs w:val="22"/>
        </w:rPr>
        <w:t xml:space="preserve"> provided the soil </w:t>
      </w:r>
      <w:r w:rsidR="003D0257" w:rsidRPr="00D93FF9">
        <w:rPr>
          <w:sz w:val="22"/>
          <w:szCs w:val="22"/>
        </w:rPr>
        <w:t>permeability allows much of the rainfall to be routed</w:t>
      </w:r>
      <w:r w:rsidRPr="00D93FF9">
        <w:rPr>
          <w:sz w:val="22"/>
          <w:szCs w:val="22"/>
        </w:rPr>
        <w:t xml:space="preserve"> into infiltration. In northern Australia rainfall is summer dominant and often comes in big rainfall events. Hence even though evapotranspiration is </w:t>
      </w:r>
      <w:r w:rsidR="00E74414" w:rsidRPr="00D93FF9">
        <w:rPr>
          <w:sz w:val="22"/>
          <w:szCs w:val="22"/>
        </w:rPr>
        <w:t xml:space="preserve">higher </w:t>
      </w:r>
      <w:r w:rsidRPr="00D93FF9">
        <w:rPr>
          <w:sz w:val="22"/>
          <w:szCs w:val="22"/>
        </w:rPr>
        <w:t xml:space="preserve">during summer some of the storm events are sufficient to exceed </w:t>
      </w:r>
      <w:r w:rsidR="00E74414" w:rsidRPr="00D93FF9">
        <w:rPr>
          <w:sz w:val="22"/>
          <w:szCs w:val="22"/>
        </w:rPr>
        <w:t xml:space="preserve">water holding capacity of the soil </w:t>
      </w:r>
      <w:r w:rsidR="003D0257" w:rsidRPr="00D93FF9">
        <w:rPr>
          <w:sz w:val="22"/>
          <w:szCs w:val="22"/>
        </w:rPr>
        <w:t xml:space="preserve">(modified by the permeability of the soil profile) </w:t>
      </w:r>
      <w:r w:rsidR="00E74414" w:rsidRPr="00D93FF9">
        <w:rPr>
          <w:sz w:val="22"/>
          <w:szCs w:val="22"/>
        </w:rPr>
        <w:t>that</w:t>
      </w:r>
      <w:r w:rsidRPr="00D93FF9">
        <w:rPr>
          <w:sz w:val="22"/>
          <w:szCs w:val="22"/>
        </w:rPr>
        <w:t xml:space="preserve"> translate</w:t>
      </w:r>
      <w:r w:rsidR="00E74414" w:rsidRPr="00D93FF9">
        <w:rPr>
          <w:sz w:val="22"/>
          <w:szCs w:val="22"/>
        </w:rPr>
        <w:t>s</w:t>
      </w:r>
      <w:r w:rsidRPr="00D93FF9">
        <w:rPr>
          <w:sz w:val="22"/>
          <w:szCs w:val="22"/>
        </w:rPr>
        <w:t xml:space="preserve"> into </w:t>
      </w:r>
      <w:r w:rsidR="0084659C" w:rsidRPr="00D93FF9">
        <w:rPr>
          <w:sz w:val="22"/>
          <w:szCs w:val="22"/>
        </w:rPr>
        <w:t>D</w:t>
      </w:r>
      <w:r w:rsidR="0084659C" w:rsidRPr="00D93FF9">
        <w:rPr>
          <w:sz w:val="22"/>
          <w:szCs w:val="22"/>
          <w:vertAlign w:val="subscript"/>
        </w:rPr>
        <w:t>d</w:t>
      </w:r>
      <w:r w:rsidRPr="00D93FF9">
        <w:rPr>
          <w:sz w:val="22"/>
          <w:szCs w:val="22"/>
        </w:rPr>
        <w:t>.</w:t>
      </w:r>
    </w:p>
    <w:p w14:paraId="59DCCD56" w14:textId="7112EAB5" w:rsidR="003910D2" w:rsidRPr="00D93FF9" w:rsidRDefault="00E811B8" w:rsidP="003910D2">
      <w:pPr>
        <w:pStyle w:val="CommentText"/>
        <w:ind w:right="-52"/>
        <w:jc w:val="both"/>
        <w:rPr>
          <w:sz w:val="22"/>
          <w:szCs w:val="22"/>
        </w:rPr>
      </w:pPr>
      <w:r w:rsidRPr="00D93FF9">
        <w:rPr>
          <w:sz w:val="22"/>
          <w:szCs w:val="22"/>
        </w:rPr>
        <w:t xml:space="preserve">Such variability in is illustrated in </w:t>
      </w:r>
      <w:r w:rsidR="00B4557E" w:rsidRPr="00D93FF9">
        <w:rPr>
          <w:sz w:val="22"/>
          <w:szCs w:val="22"/>
        </w:rPr>
        <w:fldChar w:fldCharType="begin"/>
      </w:r>
      <w:r w:rsidR="00B4557E" w:rsidRPr="00D93FF9">
        <w:rPr>
          <w:sz w:val="22"/>
          <w:szCs w:val="22"/>
        </w:rPr>
        <w:instrText xml:space="preserve"> REF _Ref81393042 \h </w:instrText>
      </w:r>
      <w:r w:rsidR="00D93FF9">
        <w:rPr>
          <w:sz w:val="22"/>
          <w:szCs w:val="22"/>
        </w:rPr>
        <w:instrText xml:space="preserve"> \* MERGEFORMAT </w:instrText>
      </w:r>
      <w:r w:rsidR="00B4557E" w:rsidRPr="00D93FF9">
        <w:rPr>
          <w:sz w:val="22"/>
          <w:szCs w:val="22"/>
        </w:rPr>
      </w:r>
      <w:r w:rsidR="00B4557E" w:rsidRPr="00D93FF9">
        <w:rPr>
          <w:sz w:val="22"/>
          <w:szCs w:val="22"/>
        </w:rPr>
        <w:fldChar w:fldCharType="separate"/>
      </w:r>
      <w:r w:rsidR="0069302C" w:rsidRPr="00D93FF9">
        <w:t xml:space="preserve">Figure </w:t>
      </w:r>
      <w:r w:rsidR="0069302C">
        <w:rPr>
          <w:noProof/>
        </w:rPr>
        <w:t>12</w:t>
      </w:r>
      <w:r w:rsidR="00B4557E" w:rsidRPr="00D93FF9">
        <w:rPr>
          <w:sz w:val="22"/>
          <w:szCs w:val="22"/>
        </w:rPr>
        <w:fldChar w:fldCharType="end"/>
      </w:r>
      <w:r w:rsidR="00B4557E" w:rsidRPr="00D93FF9">
        <w:rPr>
          <w:sz w:val="22"/>
          <w:szCs w:val="22"/>
        </w:rPr>
        <w:t xml:space="preserve"> and </w:t>
      </w:r>
      <w:r w:rsidR="00B4557E" w:rsidRPr="00D93FF9">
        <w:rPr>
          <w:sz w:val="22"/>
          <w:szCs w:val="22"/>
        </w:rPr>
        <w:fldChar w:fldCharType="begin"/>
      </w:r>
      <w:r w:rsidR="00B4557E" w:rsidRPr="00D93FF9">
        <w:rPr>
          <w:sz w:val="22"/>
          <w:szCs w:val="22"/>
        </w:rPr>
        <w:instrText xml:space="preserve"> REF _Ref81393051 \h </w:instrText>
      </w:r>
      <w:r w:rsidR="00D93FF9">
        <w:rPr>
          <w:sz w:val="22"/>
          <w:szCs w:val="22"/>
        </w:rPr>
        <w:instrText xml:space="preserve"> \* MERGEFORMAT </w:instrText>
      </w:r>
      <w:r w:rsidR="00B4557E" w:rsidRPr="00D93FF9">
        <w:rPr>
          <w:sz w:val="22"/>
          <w:szCs w:val="22"/>
        </w:rPr>
      </w:r>
      <w:r w:rsidR="00B4557E" w:rsidRPr="00D93FF9">
        <w:rPr>
          <w:sz w:val="22"/>
          <w:szCs w:val="22"/>
        </w:rPr>
        <w:fldChar w:fldCharType="separate"/>
      </w:r>
      <w:r w:rsidR="0069302C" w:rsidRPr="00D93FF9">
        <w:t xml:space="preserve">Figure </w:t>
      </w:r>
      <w:r w:rsidR="0069302C">
        <w:rPr>
          <w:noProof/>
        </w:rPr>
        <w:t>13</w:t>
      </w:r>
      <w:r w:rsidR="00B4557E" w:rsidRPr="00D93FF9">
        <w:rPr>
          <w:sz w:val="22"/>
          <w:szCs w:val="22"/>
        </w:rPr>
        <w:fldChar w:fldCharType="end"/>
      </w:r>
      <w:r w:rsidR="00B4557E" w:rsidRPr="00D93FF9">
        <w:rPr>
          <w:sz w:val="22"/>
          <w:szCs w:val="22"/>
        </w:rPr>
        <w:t xml:space="preserve"> </w:t>
      </w:r>
      <w:r w:rsidRPr="00D93FF9">
        <w:rPr>
          <w:sz w:val="22"/>
          <w:szCs w:val="22"/>
        </w:rPr>
        <w:t xml:space="preserve">where </w:t>
      </w:r>
      <w:r w:rsidRPr="00D93FF9">
        <w:rPr>
          <w:rFonts w:cs="Times-Roman"/>
          <w:sz w:val="22"/>
          <w:szCs w:val="22"/>
        </w:rPr>
        <w:t>the strong seasonal effects on</w:t>
      </w:r>
      <w:r w:rsidR="00E74414" w:rsidRPr="00D93FF9">
        <w:rPr>
          <w:rFonts w:cs="Times-Roman"/>
          <w:sz w:val="22"/>
          <w:szCs w:val="22"/>
        </w:rPr>
        <w:t xml:space="preserve"> potential</w:t>
      </w:r>
      <w:r w:rsidRPr="00D93FF9">
        <w:rPr>
          <w:rFonts w:cs="Times-Roman"/>
          <w:sz w:val="22"/>
          <w:szCs w:val="22"/>
        </w:rPr>
        <w:t xml:space="preserve"> irrigation demand</w:t>
      </w:r>
      <w:r w:rsidR="004B5DED" w:rsidRPr="00D93FF9">
        <w:rPr>
          <w:sz w:val="22"/>
          <w:szCs w:val="22"/>
        </w:rPr>
        <w:t xml:space="preserve"> </w:t>
      </w:r>
      <w:r w:rsidRPr="00D93FF9">
        <w:rPr>
          <w:rFonts w:cs="Times-Roman"/>
          <w:sz w:val="22"/>
          <w:szCs w:val="22"/>
        </w:rPr>
        <w:t>can be seen for Cairns (</w:t>
      </w:r>
      <w:r w:rsidR="00186779" w:rsidRPr="00D93FF9">
        <w:rPr>
          <w:rFonts w:cs="Times-Roman"/>
          <w:sz w:val="22"/>
          <w:szCs w:val="22"/>
        </w:rPr>
        <w:t xml:space="preserve">with a </w:t>
      </w:r>
      <w:r w:rsidRPr="00D93FF9">
        <w:rPr>
          <w:rFonts w:cs="Times-Roman"/>
          <w:sz w:val="22"/>
          <w:szCs w:val="22"/>
        </w:rPr>
        <w:t>low summer demand) and Bendigo (low winter demand).</w:t>
      </w:r>
    </w:p>
    <w:p w14:paraId="66EA10E9" w14:textId="77777777" w:rsidR="00E32587" w:rsidRPr="00D93FF9" w:rsidRDefault="00E811B8" w:rsidP="00E32587">
      <w:pPr>
        <w:pStyle w:val="BodyText"/>
        <w:spacing w:after="0" w:line="264" w:lineRule="auto"/>
        <w:jc w:val="both"/>
        <w:rPr>
          <w:lang w:val="en-GB"/>
        </w:rPr>
      </w:pPr>
      <w:r w:rsidRPr="00D93FF9">
        <w:rPr>
          <w:lang w:val="en-GB"/>
        </w:rPr>
        <w:t xml:space="preserve">Seasonal patterns of rainfall </w:t>
      </w:r>
      <w:r w:rsidRPr="00D93FF9">
        <w:rPr>
          <w:spacing w:val="-3"/>
          <w:lang w:val="en-GB"/>
        </w:rPr>
        <w:t xml:space="preserve">have </w:t>
      </w:r>
      <w:r w:rsidRPr="00D93FF9">
        <w:rPr>
          <w:lang w:val="en-GB"/>
        </w:rPr>
        <w:t xml:space="preserve">been shown to </w:t>
      </w:r>
      <w:r w:rsidRPr="00D93FF9">
        <w:rPr>
          <w:spacing w:val="-4"/>
          <w:lang w:val="en-GB"/>
        </w:rPr>
        <w:t xml:space="preserve">make </w:t>
      </w:r>
      <w:r w:rsidRPr="00D93FF9">
        <w:rPr>
          <w:lang w:val="en-GB"/>
        </w:rPr>
        <w:t xml:space="preserve">a difference to natural soil salt </w:t>
      </w:r>
      <w:r w:rsidRPr="00D93FF9">
        <w:rPr>
          <w:spacing w:val="-3"/>
          <w:lang w:val="en-GB"/>
        </w:rPr>
        <w:t xml:space="preserve">levels (Shaw 1996). Shaw </w:t>
      </w:r>
      <w:r w:rsidRPr="00D93FF9">
        <w:rPr>
          <w:lang w:val="en-GB"/>
        </w:rPr>
        <w:t xml:space="preserve">et al. </w:t>
      </w:r>
      <w:r w:rsidRPr="00D93FF9">
        <w:rPr>
          <w:spacing w:val="-3"/>
          <w:lang w:val="en-GB"/>
        </w:rPr>
        <w:t xml:space="preserve">(1987) examined </w:t>
      </w:r>
      <w:r w:rsidRPr="00D93FF9">
        <w:rPr>
          <w:lang w:val="en-GB"/>
        </w:rPr>
        <w:t xml:space="preserve">the </w:t>
      </w:r>
      <w:r w:rsidRPr="00D93FF9">
        <w:rPr>
          <w:spacing w:val="-3"/>
          <w:lang w:val="en-GB"/>
        </w:rPr>
        <w:t xml:space="preserve">relative </w:t>
      </w:r>
      <w:r w:rsidRPr="00D93FF9">
        <w:rPr>
          <w:lang w:val="en-GB"/>
        </w:rPr>
        <w:t xml:space="preserve">distribution of the incidence of </w:t>
      </w:r>
      <w:r w:rsidRPr="00D93FF9">
        <w:rPr>
          <w:spacing w:val="-3"/>
          <w:lang w:val="en-GB"/>
        </w:rPr>
        <w:t xml:space="preserve">dryland </w:t>
      </w:r>
      <w:r w:rsidRPr="00D93FF9">
        <w:rPr>
          <w:lang w:val="en-GB"/>
        </w:rPr>
        <w:t xml:space="preserve">salting in </w:t>
      </w:r>
      <w:r w:rsidRPr="00D93FF9">
        <w:rPr>
          <w:spacing w:val="-3"/>
          <w:lang w:val="en-GB"/>
        </w:rPr>
        <w:t xml:space="preserve">Australia </w:t>
      </w:r>
      <w:r w:rsidRPr="00D93FF9">
        <w:rPr>
          <w:lang w:val="en-GB"/>
        </w:rPr>
        <w:t xml:space="preserve">in relation to </w:t>
      </w:r>
      <w:r w:rsidRPr="00D93FF9">
        <w:rPr>
          <w:spacing w:val="-3"/>
          <w:lang w:val="en-GB"/>
        </w:rPr>
        <w:t xml:space="preserve">climate </w:t>
      </w:r>
      <w:r w:rsidRPr="00D93FF9">
        <w:rPr>
          <w:lang w:val="en-GB"/>
        </w:rPr>
        <w:t xml:space="preserve">and rainfall pattern. There </w:t>
      </w:r>
      <w:r w:rsidRPr="00D93FF9">
        <w:rPr>
          <w:spacing w:val="-2"/>
          <w:lang w:val="en-GB"/>
        </w:rPr>
        <w:t xml:space="preserve">was </w:t>
      </w:r>
      <w:r w:rsidRPr="00D93FF9">
        <w:rPr>
          <w:lang w:val="en-GB"/>
        </w:rPr>
        <w:t xml:space="preserve">a consistent relationship between the </w:t>
      </w:r>
      <w:r w:rsidRPr="00D93FF9">
        <w:rPr>
          <w:spacing w:val="-3"/>
          <w:lang w:val="en-GB"/>
        </w:rPr>
        <w:t xml:space="preserve">degree </w:t>
      </w:r>
      <w:r w:rsidRPr="00D93FF9">
        <w:rPr>
          <w:lang w:val="en-GB"/>
        </w:rPr>
        <w:t xml:space="preserve">of </w:t>
      </w:r>
      <w:r w:rsidRPr="00D93FF9">
        <w:rPr>
          <w:spacing w:val="-2"/>
          <w:lang w:val="en-GB"/>
        </w:rPr>
        <w:t xml:space="preserve">winter </w:t>
      </w:r>
      <w:r w:rsidRPr="00D93FF9">
        <w:rPr>
          <w:lang w:val="en-GB"/>
        </w:rPr>
        <w:t xml:space="preserve">rainfall and the area affected by </w:t>
      </w:r>
      <w:r w:rsidRPr="00D93FF9">
        <w:rPr>
          <w:spacing w:val="-3"/>
          <w:lang w:val="en-GB"/>
        </w:rPr>
        <w:t>dryland</w:t>
      </w:r>
      <w:r w:rsidRPr="00D93FF9">
        <w:rPr>
          <w:spacing w:val="-6"/>
          <w:lang w:val="en-GB"/>
        </w:rPr>
        <w:t xml:space="preserve"> </w:t>
      </w:r>
      <w:r w:rsidRPr="00D93FF9">
        <w:rPr>
          <w:lang w:val="en-GB"/>
        </w:rPr>
        <w:t>salinity</w:t>
      </w:r>
      <w:r w:rsidRPr="00D93FF9">
        <w:rPr>
          <w:spacing w:val="-8"/>
          <w:lang w:val="en-GB"/>
        </w:rPr>
        <w:t xml:space="preserve"> </w:t>
      </w:r>
      <w:r w:rsidRPr="00D93FF9">
        <w:rPr>
          <w:spacing w:val="-3"/>
          <w:lang w:val="en-GB"/>
        </w:rPr>
        <w:t>which</w:t>
      </w:r>
      <w:r w:rsidRPr="00D93FF9">
        <w:rPr>
          <w:spacing w:val="-5"/>
          <w:lang w:val="en-GB"/>
        </w:rPr>
        <w:t xml:space="preserve"> </w:t>
      </w:r>
      <w:r w:rsidRPr="00D93FF9">
        <w:rPr>
          <w:lang w:val="en-GB"/>
        </w:rPr>
        <w:t>reflects</w:t>
      </w:r>
      <w:r w:rsidRPr="00D93FF9">
        <w:rPr>
          <w:spacing w:val="-5"/>
          <w:lang w:val="en-GB"/>
        </w:rPr>
        <w:t xml:space="preserve"> </w:t>
      </w:r>
      <w:r w:rsidRPr="00D93FF9">
        <w:rPr>
          <w:lang w:val="en-GB"/>
        </w:rPr>
        <w:t>a</w:t>
      </w:r>
      <w:r w:rsidRPr="00D93FF9">
        <w:rPr>
          <w:spacing w:val="-5"/>
          <w:lang w:val="en-GB"/>
        </w:rPr>
        <w:t xml:space="preserve"> </w:t>
      </w:r>
      <w:r w:rsidRPr="00D93FF9">
        <w:rPr>
          <w:spacing w:val="-3"/>
          <w:lang w:val="en-GB"/>
        </w:rPr>
        <w:t>greater</w:t>
      </w:r>
      <w:r w:rsidRPr="00D93FF9">
        <w:rPr>
          <w:spacing w:val="-5"/>
          <w:lang w:val="en-GB"/>
        </w:rPr>
        <w:t xml:space="preserve"> </w:t>
      </w:r>
      <w:r w:rsidRPr="00D93FF9">
        <w:rPr>
          <w:lang w:val="en-GB"/>
        </w:rPr>
        <w:t>opportunity</w:t>
      </w:r>
      <w:r w:rsidRPr="00D93FF9">
        <w:rPr>
          <w:spacing w:val="-7"/>
          <w:lang w:val="en-GB"/>
        </w:rPr>
        <w:t xml:space="preserve"> </w:t>
      </w:r>
      <w:r w:rsidRPr="00D93FF9">
        <w:rPr>
          <w:lang w:val="en-GB"/>
        </w:rPr>
        <w:t>for</w:t>
      </w:r>
      <w:r w:rsidRPr="00D93FF9">
        <w:rPr>
          <w:spacing w:val="-5"/>
          <w:lang w:val="en-GB"/>
        </w:rPr>
        <w:t xml:space="preserve"> </w:t>
      </w:r>
      <w:r w:rsidRPr="00D93FF9">
        <w:rPr>
          <w:spacing w:val="-3"/>
          <w:lang w:val="en-GB"/>
        </w:rPr>
        <w:t>recharge</w:t>
      </w:r>
      <w:r w:rsidRPr="00D93FF9">
        <w:rPr>
          <w:spacing w:val="-5"/>
          <w:lang w:val="en-GB"/>
        </w:rPr>
        <w:t xml:space="preserve"> </w:t>
      </w:r>
      <w:r w:rsidRPr="00D93FF9">
        <w:rPr>
          <w:lang w:val="en-GB"/>
        </w:rPr>
        <w:t>to</w:t>
      </w:r>
      <w:r w:rsidRPr="00D93FF9">
        <w:rPr>
          <w:spacing w:val="-5"/>
          <w:lang w:val="en-GB"/>
        </w:rPr>
        <w:t xml:space="preserve"> </w:t>
      </w:r>
      <w:r w:rsidRPr="00D93FF9">
        <w:rPr>
          <w:lang w:val="en-GB"/>
        </w:rPr>
        <w:t>the</w:t>
      </w:r>
      <w:r w:rsidRPr="00D93FF9">
        <w:rPr>
          <w:spacing w:val="-5"/>
          <w:lang w:val="en-GB"/>
        </w:rPr>
        <w:t xml:space="preserve"> </w:t>
      </w:r>
      <w:r w:rsidRPr="00D93FF9">
        <w:rPr>
          <w:spacing w:val="-3"/>
          <w:lang w:val="en-GB"/>
        </w:rPr>
        <w:t>groundwater.</w:t>
      </w:r>
      <w:r w:rsidR="00E32587" w:rsidRPr="00D93FF9">
        <w:rPr>
          <w:spacing w:val="-3"/>
          <w:lang w:val="en-GB"/>
        </w:rPr>
        <w:t xml:space="preserve"> Moreover Yaalon (1983) showed </w:t>
      </w:r>
      <w:r w:rsidR="00E32587" w:rsidRPr="00D93FF9">
        <w:rPr>
          <w:lang w:val="en-GB"/>
        </w:rPr>
        <w:t xml:space="preserve">that </w:t>
      </w:r>
      <w:r w:rsidR="00E32587" w:rsidRPr="00D93FF9">
        <w:rPr>
          <w:spacing w:val="-3"/>
          <w:lang w:val="en-GB"/>
        </w:rPr>
        <w:t xml:space="preserve">winter rainfall regions, with </w:t>
      </w:r>
      <w:r w:rsidR="00E32587" w:rsidRPr="00D93FF9">
        <w:rPr>
          <w:lang w:val="en-GB"/>
        </w:rPr>
        <w:t xml:space="preserve">the </w:t>
      </w:r>
      <w:r w:rsidR="00E32587" w:rsidRPr="00D93FF9">
        <w:rPr>
          <w:spacing w:val="-4"/>
          <w:lang w:val="en-GB"/>
        </w:rPr>
        <w:t xml:space="preserve">same </w:t>
      </w:r>
      <w:r w:rsidR="00E32587" w:rsidRPr="00D93FF9">
        <w:rPr>
          <w:lang w:val="en-GB"/>
        </w:rPr>
        <w:t xml:space="preserve">annual </w:t>
      </w:r>
      <w:r w:rsidR="00E32587" w:rsidRPr="00D93FF9">
        <w:rPr>
          <w:spacing w:val="-3"/>
          <w:lang w:val="en-GB"/>
        </w:rPr>
        <w:t xml:space="preserve">rainfall </w:t>
      </w:r>
      <w:r w:rsidR="00E32587" w:rsidRPr="00D93FF9">
        <w:rPr>
          <w:lang w:val="en-GB"/>
        </w:rPr>
        <w:t xml:space="preserve">as a </w:t>
      </w:r>
      <w:r w:rsidR="00E32587" w:rsidRPr="00D93FF9">
        <w:rPr>
          <w:spacing w:val="-4"/>
          <w:lang w:val="en-GB"/>
        </w:rPr>
        <w:t xml:space="preserve">summer </w:t>
      </w:r>
      <w:r w:rsidR="00E32587" w:rsidRPr="00D93FF9">
        <w:rPr>
          <w:lang w:val="en-GB"/>
        </w:rPr>
        <w:t xml:space="preserve">rainfall </w:t>
      </w:r>
      <w:r w:rsidR="00E32587" w:rsidRPr="00D93FF9">
        <w:rPr>
          <w:spacing w:val="-3"/>
          <w:lang w:val="en-GB"/>
        </w:rPr>
        <w:t xml:space="preserve">region, have greater soil </w:t>
      </w:r>
      <w:r w:rsidR="00E32587" w:rsidRPr="00D93FF9">
        <w:rPr>
          <w:lang w:val="en-GB"/>
        </w:rPr>
        <w:t xml:space="preserve">leaching and </w:t>
      </w:r>
      <w:r w:rsidR="00E32587" w:rsidRPr="00D93FF9">
        <w:rPr>
          <w:spacing w:val="-3"/>
          <w:lang w:val="en-GB"/>
        </w:rPr>
        <w:t xml:space="preserve">recharge </w:t>
      </w:r>
      <w:r w:rsidR="00E32587" w:rsidRPr="00D93FF9">
        <w:rPr>
          <w:lang w:val="en-GB"/>
        </w:rPr>
        <w:t xml:space="preserve">to </w:t>
      </w:r>
      <w:r w:rsidR="00E32587" w:rsidRPr="00D93FF9">
        <w:rPr>
          <w:spacing w:val="-3"/>
          <w:lang w:val="en-GB"/>
        </w:rPr>
        <w:t xml:space="preserve">groundwater, </w:t>
      </w:r>
      <w:r w:rsidR="00E32587" w:rsidRPr="00D93FF9">
        <w:rPr>
          <w:lang w:val="en-GB"/>
        </w:rPr>
        <w:t xml:space="preserve">than an </w:t>
      </w:r>
      <w:r w:rsidR="00E32587" w:rsidRPr="00D93FF9">
        <w:rPr>
          <w:spacing w:val="-3"/>
          <w:lang w:val="en-GB"/>
        </w:rPr>
        <w:t xml:space="preserve">equivalent </w:t>
      </w:r>
      <w:r w:rsidR="00E32587" w:rsidRPr="00D93FF9">
        <w:rPr>
          <w:spacing w:val="-4"/>
          <w:lang w:val="en-GB"/>
        </w:rPr>
        <w:t xml:space="preserve">summer </w:t>
      </w:r>
      <w:r w:rsidR="00E32587" w:rsidRPr="00D93FF9">
        <w:rPr>
          <w:spacing w:val="-3"/>
          <w:lang w:val="en-GB"/>
        </w:rPr>
        <w:t>dominant rainfall.</w:t>
      </w:r>
    </w:p>
    <w:p w14:paraId="59DCCD58" w14:textId="3C97B66E" w:rsidR="00C46175" w:rsidRPr="00D93FF9" w:rsidRDefault="00C46175" w:rsidP="003807A1">
      <w:pPr>
        <w:pStyle w:val="BodyText"/>
        <w:spacing w:after="0" w:line="266" w:lineRule="auto"/>
        <w:jc w:val="both"/>
        <w:rPr>
          <w:lang w:val="en-GB"/>
        </w:rPr>
      </w:pPr>
    </w:p>
    <w:p w14:paraId="59DCCD59" w14:textId="37D2EA4F" w:rsidR="00C46175" w:rsidRPr="00D93FF9" w:rsidRDefault="00E811B8" w:rsidP="003807A1">
      <w:pPr>
        <w:pStyle w:val="BodyText"/>
        <w:spacing w:after="0" w:line="266" w:lineRule="auto"/>
        <w:jc w:val="both"/>
        <w:rPr>
          <w:lang w:val="en-GB"/>
        </w:rPr>
      </w:pPr>
      <w:r w:rsidRPr="00D93FF9">
        <w:rPr>
          <w:lang w:val="en-GB"/>
        </w:rPr>
        <w:t xml:space="preserve">Milly (1994) </w:t>
      </w:r>
      <w:r w:rsidR="00605971" w:rsidRPr="00D93FF9">
        <w:rPr>
          <w:lang w:val="en-GB"/>
        </w:rPr>
        <w:t>observed</w:t>
      </w:r>
      <w:r w:rsidRPr="00D93FF9">
        <w:rPr>
          <w:lang w:val="en-GB"/>
        </w:rPr>
        <w:t xml:space="preserve"> that the average annual water balance was controlled by rainfall as input, by potential evapotranspiration as demand, and by soil water storage as the buffer in the system. He summarised the three rainfall/evapotranspiration regimes in terms of energy and rainfall,</w:t>
      </w:r>
      <w:r w:rsidRPr="00D93FF9">
        <w:rPr>
          <w:spacing w:val="-1"/>
          <w:lang w:val="en-GB"/>
        </w:rPr>
        <w:t xml:space="preserve"> </w:t>
      </w:r>
      <w:r w:rsidRPr="00D93FF9">
        <w:rPr>
          <w:lang w:val="en-GB"/>
        </w:rPr>
        <w:t>as:</w:t>
      </w:r>
    </w:p>
    <w:p w14:paraId="59DCCD5A" w14:textId="77777777" w:rsidR="00C46175" w:rsidRPr="00D93FF9" w:rsidRDefault="00E811B8" w:rsidP="00840D10">
      <w:pPr>
        <w:pStyle w:val="ListBullet"/>
        <w:rPr>
          <w:lang w:val="en-GB"/>
        </w:rPr>
      </w:pPr>
      <w:r w:rsidRPr="00D93FF9">
        <w:rPr>
          <w:lang w:val="en-GB"/>
        </w:rPr>
        <w:t>energy limiting (rainfall &gt;</w:t>
      </w:r>
      <w:r w:rsidRPr="00D93FF9">
        <w:rPr>
          <w:spacing w:val="-14"/>
          <w:lang w:val="en-GB"/>
        </w:rPr>
        <w:t xml:space="preserve"> </w:t>
      </w:r>
      <w:r w:rsidRPr="00D93FF9">
        <w:rPr>
          <w:lang w:val="en-GB"/>
        </w:rPr>
        <w:t>evapotranspiration)</w:t>
      </w:r>
    </w:p>
    <w:p w14:paraId="59DCCD5B" w14:textId="77777777" w:rsidR="00C46175" w:rsidRPr="00D93FF9" w:rsidRDefault="00E811B8" w:rsidP="00840D10">
      <w:pPr>
        <w:pStyle w:val="ListBullet"/>
        <w:rPr>
          <w:lang w:val="en-GB"/>
        </w:rPr>
      </w:pPr>
      <w:r w:rsidRPr="00D93FF9">
        <w:rPr>
          <w:lang w:val="en-GB"/>
        </w:rPr>
        <w:t>rainfall limiting (evapotranspiration =</w:t>
      </w:r>
      <w:r w:rsidRPr="00D93FF9">
        <w:rPr>
          <w:spacing w:val="2"/>
          <w:lang w:val="en-GB"/>
        </w:rPr>
        <w:t xml:space="preserve"> </w:t>
      </w:r>
      <w:r w:rsidRPr="00D93FF9">
        <w:rPr>
          <w:lang w:val="en-GB"/>
        </w:rPr>
        <w:t>rainfall)</w:t>
      </w:r>
    </w:p>
    <w:p w14:paraId="59DCCD5C" w14:textId="77777777" w:rsidR="00C46175" w:rsidRPr="00D93FF9" w:rsidRDefault="00E811B8" w:rsidP="00840D10">
      <w:pPr>
        <w:pStyle w:val="ListBullet"/>
        <w:rPr>
          <w:lang w:val="en-GB"/>
        </w:rPr>
      </w:pPr>
      <w:r w:rsidRPr="00D93FF9">
        <w:rPr>
          <w:lang w:val="en-GB"/>
        </w:rPr>
        <w:t>rainfall nonlimiting (evapotranspiration &lt;</w:t>
      </w:r>
      <w:r w:rsidRPr="00D93FF9">
        <w:rPr>
          <w:spacing w:val="-33"/>
          <w:lang w:val="en-GB"/>
        </w:rPr>
        <w:t xml:space="preserve"> </w:t>
      </w:r>
      <w:r w:rsidRPr="00D93FF9">
        <w:rPr>
          <w:lang w:val="en-GB"/>
        </w:rPr>
        <w:t>rainfall)</w:t>
      </w:r>
    </w:p>
    <w:p w14:paraId="49C8917A" w14:textId="706BF36E" w:rsidR="00186779" w:rsidRPr="00D93FF9" w:rsidRDefault="00E811B8" w:rsidP="00186779">
      <w:pPr>
        <w:pStyle w:val="BodyText"/>
        <w:spacing w:after="0" w:line="264" w:lineRule="auto"/>
        <w:jc w:val="both"/>
        <w:rPr>
          <w:lang w:val="en-GB"/>
        </w:rPr>
      </w:pPr>
      <w:r w:rsidRPr="00D93FF9">
        <w:rPr>
          <w:lang w:val="en-GB"/>
        </w:rPr>
        <w:t xml:space="preserve">Thus, a </w:t>
      </w:r>
      <w:r w:rsidR="00186779" w:rsidRPr="00D93FF9">
        <w:rPr>
          <w:lang w:val="en-GB"/>
        </w:rPr>
        <w:t>high</w:t>
      </w:r>
      <w:r w:rsidRPr="00D93FF9">
        <w:rPr>
          <w:lang w:val="en-GB"/>
        </w:rPr>
        <w:t xml:space="preserve"> rainfall </w:t>
      </w:r>
      <w:r w:rsidR="00186779" w:rsidRPr="00D93FF9">
        <w:rPr>
          <w:lang w:val="en-GB"/>
        </w:rPr>
        <w:t xml:space="preserve">summer </w:t>
      </w:r>
      <w:r w:rsidRPr="00D93FF9">
        <w:rPr>
          <w:lang w:val="en-GB"/>
        </w:rPr>
        <w:t>environment</w:t>
      </w:r>
      <w:r w:rsidR="00186779" w:rsidRPr="00D93FF9">
        <w:rPr>
          <w:lang w:val="en-GB"/>
        </w:rPr>
        <w:t xml:space="preserve"> where rainfall is not limiting</w:t>
      </w:r>
      <w:r w:rsidRPr="00D93FF9">
        <w:rPr>
          <w:lang w:val="en-GB"/>
        </w:rPr>
        <w:t xml:space="preserve"> would be expected to give a similar </w:t>
      </w:r>
      <w:r w:rsidR="00186779" w:rsidRPr="00D93FF9">
        <w:rPr>
          <w:lang w:val="en-GB"/>
        </w:rPr>
        <w:t xml:space="preserve">deep drainage </w:t>
      </w:r>
      <w:r w:rsidRPr="00D93FF9">
        <w:rPr>
          <w:lang w:val="en-GB"/>
        </w:rPr>
        <w:t>response a</w:t>
      </w:r>
      <w:r w:rsidR="00186779" w:rsidRPr="00D93FF9">
        <w:rPr>
          <w:lang w:val="en-GB"/>
        </w:rPr>
        <w:t>s a</w:t>
      </w:r>
      <w:r w:rsidRPr="00D93FF9">
        <w:rPr>
          <w:lang w:val="en-GB"/>
        </w:rPr>
        <w:t xml:space="preserve"> </w:t>
      </w:r>
      <w:r w:rsidR="00186779" w:rsidRPr="00D93FF9">
        <w:rPr>
          <w:lang w:val="en-GB"/>
        </w:rPr>
        <w:t xml:space="preserve">winter </w:t>
      </w:r>
      <w:r w:rsidRPr="00D93FF9">
        <w:rPr>
          <w:lang w:val="en-GB"/>
        </w:rPr>
        <w:t>rainfall</w:t>
      </w:r>
      <w:r w:rsidR="00186779" w:rsidRPr="00D93FF9">
        <w:rPr>
          <w:lang w:val="en-GB"/>
        </w:rPr>
        <w:t xml:space="preserve"> environment </w:t>
      </w:r>
      <w:r w:rsidRPr="00D93FF9">
        <w:rPr>
          <w:lang w:val="en-GB"/>
        </w:rPr>
        <w:t>where e</w:t>
      </w:r>
      <w:r w:rsidR="00186779" w:rsidRPr="00D93FF9">
        <w:rPr>
          <w:lang w:val="en-GB"/>
        </w:rPr>
        <w:t>vapotranspiration</w:t>
      </w:r>
      <w:r w:rsidRPr="00D93FF9">
        <w:rPr>
          <w:lang w:val="en-GB"/>
        </w:rPr>
        <w:t xml:space="preserve"> is limiting. Different situations will occur at intermediate annual</w:t>
      </w:r>
      <w:r w:rsidRPr="00D93FF9">
        <w:rPr>
          <w:spacing w:val="1"/>
          <w:lang w:val="en-GB"/>
        </w:rPr>
        <w:t xml:space="preserve"> </w:t>
      </w:r>
      <w:r w:rsidRPr="00D93FF9">
        <w:rPr>
          <w:lang w:val="en-GB"/>
        </w:rPr>
        <w:t>rainfalls</w:t>
      </w:r>
      <w:r w:rsidR="00186779" w:rsidRPr="00D93FF9">
        <w:rPr>
          <w:lang w:val="en-GB"/>
        </w:rPr>
        <w:t xml:space="preserve"> and are best explored using daily water balance models such as HowLeaky, APSIM or MEDLI.</w:t>
      </w:r>
    </w:p>
    <w:p w14:paraId="59DCCD5D" w14:textId="343F033C" w:rsidR="00C46175" w:rsidRPr="00D93FF9" w:rsidRDefault="00C46175" w:rsidP="003807A1">
      <w:pPr>
        <w:pStyle w:val="BodyText"/>
        <w:spacing w:after="0" w:line="266" w:lineRule="auto"/>
        <w:jc w:val="both"/>
        <w:rPr>
          <w:lang w:val="en-GB"/>
        </w:rPr>
      </w:pPr>
    </w:p>
    <w:p w14:paraId="59DCCD5E" w14:textId="77777777" w:rsidR="00605971" w:rsidRPr="00D93FF9" w:rsidRDefault="00605971" w:rsidP="003807A1">
      <w:pPr>
        <w:pStyle w:val="BodyText"/>
        <w:spacing w:after="0" w:line="266" w:lineRule="auto"/>
        <w:jc w:val="both"/>
        <w:rPr>
          <w:lang w:val="en-GB"/>
        </w:rPr>
      </w:pPr>
    </w:p>
    <w:p w14:paraId="59DCCD5F" w14:textId="77777777" w:rsidR="00074D6E" w:rsidRPr="00D93FF9" w:rsidRDefault="00E811B8" w:rsidP="00605971">
      <w:pPr>
        <w:pStyle w:val="BodyText"/>
        <w:spacing w:after="0" w:line="264" w:lineRule="auto"/>
        <w:jc w:val="both"/>
        <w:rPr>
          <w:lang w:val="en-GB"/>
        </w:rPr>
      </w:pPr>
      <w:r w:rsidRPr="00D93FF9">
        <w:rPr>
          <w:noProof/>
        </w:rPr>
        <w:lastRenderedPageBreak/>
        <w:drawing>
          <wp:inline distT="0" distB="0" distL="0" distR="0" wp14:anchorId="59DCDC61" wp14:editId="2D621251">
            <wp:extent cx="3609975" cy="4215676"/>
            <wp:effectExtent l="0" t="0" r="0" b="0"/>
            <wp:docPr id="850343459" name="Picture 850343459" descr="Measured long term average monthly rainfall in millimetres per month and Class A Pan evaporation for a range of climatic zones in Australia, including Cairns, Coffs Harbour, Bendigo, and Armi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43459" name="Picture 850343459" descr="Measured long term average monthly rainfall in millimetres per month and Class A Pan evaporation for a range of climatic zones in Australia, including Cairns, Coffs Harbour, Bendigo, and Armidale."/>
                    <pic:cNvPicPr/>
                  </pic:nvPicPr>
                  <pic:blipFill>
                    <a:blip r:embed="rId40"/>
                    <a:stretch>
                      <a:fillRect/>
                    </a:stretch>
                  </pic:blipFill>
                  <pic:spPr>
                    <a:xfrm>
                      <a:off x="0" y="0"/>
                      <a:ext cx="3617743" cy="4224747"/>
                    </a:xfrm>
                    <a:prstGeom prst="rect">
                      <a:avLst/>
                    </a:prstGeom>
                  </pic:spPr>
                </pic:pic>
              </a:graphicData>
            </a:graphic>
          </wp:inline>
        </w:drawing>
      </w:r>
    </w:p>
    <w:p w14:paraId="59DCCD61" w14:textId="306FC1A2" w:rsidR="003910D2" w:rsidRPr="00D93FF9" w:rsidRDefault="00B4557E" w:rsidP="00B4557E">
      <w:pPr>
        <w:pStyle w:val="Caption"/>
        <w:rPr>
          <w:rFonts w:cs="Times-Roman"/>
          <w:szCs w:val="22"/>
        </w:rPr>
      </w:pPr>
      <w:bookmarkStart w:id="156" w:name="_Ref81393042"/>
      <w:bookmarkStart w:id="157" w:name="_Toc96518212"/>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12</w:t>
      </w:r>
      <w:r w:rsidR="007B28AC" w:rsidRPr="00D93FF9">
        <w:fldChar w:fldCharType="end"/>
      </w:r>
      <w:bookmarkEnd w:id="156"/>
      <w:r w:rsidRPr="00D93FF9">
        <w:t xml:space="preserve"> </w:t>
      </w:r>
      <w:bookmarkStart w:id="158" w:name="_Hlk153812621"/>
      <w:r w:rsidR="00E811B8" w:rsidRPr="00D93FF9">
        <w:rPr>
          <w:rFonts w:cs="Times-Roman"/>
          <w:szCs w:val="22"/>
        </w:rPr>
        <w:t>Measured long term average monthly rainfall and Class A Pan evaporation for a range of climatic zones in Australia</w:t>
      </w:r>
      <w:bookmarkEnd w:id="157"/>
      <w:bookmarkEnd w:id="158"/>
    </w:p>
    <w:p w14:paraId="59DCCD62" w14:textId="1830E2B8" w:rsidR="003910D2" w:rsidRPr="00D93FF9" w:rsidRDefault="00E811B8" w:rsidP="003910D2">
      <w:pPr>
        <w:rPr>
          <w:sz w:val="18"/>
          <w:szCs w:val="18"/>
          <w:lang w:bidi="en-US"/>
        </w:rPr>
      </w:pPr>
      <w:r w:rsidRPr="00D93FF9">
        <w:rPr>
          <w:sz w:val="18"/>
          <w:szCs w:val="18"/>
          <w:lang w:bidi="en-US"/>
        </w:rPr>
        <w:t xml:space="preserve">Source: Gardner et al. </w:t>
      </w:r>
      <w:r w:rsidR="009154BE" w:rsidRPr="00D93FF9">
        <w:rPr>
          <w:sz w:val="18"/>
          <w:szCs w:val="18"/>
          <w:lang w:bidi="en-US"/>
        </w:rPr>
        <w:t>(</w:t>
      </w:r>
      <w:r w:rsidRPr="00D93FF9">
        <w:rPr>
          <w:sz w:val="18"/>
          <w:szCs w:val="18"/>
          <w:lang w:bidi="en-US"/>
        </w:rPr>
        <w:t>1995</w:t>
      </w:r>
      <w:r w:rsidR="009154BE" w:rsidRPr="00D93FF9">
        <w:rPr>
          <w:sz w:val="18"/>
          <w:szCs w:val="18"/>
          <w:lang w:bidi="en-US"/>
        </w:rPr>
        <w:t>)</w:t>
      </w:r>
    </w:p>
    <w:p w14:paraId="59DCCD63" w14:textId="77777777" w:rsidR="003910D2" w:rsidRPr="00D93FF9" w:rsidRDefault="003910D2" w:rsidP="003910D2">
      <w:pPr>
        <w:rPr>
          <w:lang w:bidi="en-US"/>
        </w:rPr>
      </w:pPr>
    </w:p>
    <w:p w14:paraId="59DCCD64" w14:textId="77777777" w:rsidR="003910D2" w:rsidRPr="00D93FF9" w:rsidRDefault="00E811B8" w:rsidP="003910D2">
      <w:pPr>
        <w:rPr>
          <w:lang w:bidi="en-US"/>
        </w:rPr>
      </w:pPr>
      <w:r w:rsidRPr="00D93FF9">
        <w:rPr>
          <w:rFonts w:eastAsia="Times New Roman"/>
          <w:noProof/>
        </w:rPr>
        <w:drawing>
          <wp:inline distT="0" distB="0" distL="0" distR="0" wp14:anchorId="59DCDC65" wp14:editId="203B2E9D">
            <wp:extent cx="5727700" cy="2114550"/>
            <wp:effectExtent l="0" t="0" r="6350" b="0"/>
            <wp:docPr id="850343460" name="Picture 850343460" descr="Monthly distribution of the potential irrigation demand for a pasture in millimetres per month at three locations in Australia: Cairns, Coffs Harbour, and Ben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43460" name="Picture 850343460" descr="Monthly distribution of the potential irrigation demand for a pasture in millimetres per month at three locations in Australia: Cairns, Coffs Harbour, and Bendigo."/>
                    <pic:cNvPicPr>
                      <a:picLocks noChangeAspect="1" noChangeArrowheads="1"/>
                    </pic:cNvPicPr>
                  </pic:nvPicPr>
                  <pic:blipFill>
                    <a:blip r:embed="rId41" cstate="print">
                      <a:extLst>
                        <a:ext uri="{28A0092B-C50C-407E-A947-70E740481C1C}">
                          <a14:useLocalDpi xmlns:a14="http://schemas.microsoft.com/office/drawing/2010/main" val="0"/>
                        </a:ext>
                      </a:extLst>
                    </a:blip>
                    <a:srcRect t="9421" b="20853"/>
                    <a:stretch>
                      <a:fillRect/>
                    </a:stretch>
                  </pic:blipFill>
                  <pic:spPr bwMode="auto">
                    <a:xfrm>
                      <a:off x="0" y="0"/>
                      <a:ext cx="5727700"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59DCCD66" w14:textId="16AD8AB0" w:rsidR="003910D2" w:rsidRPr="00D93FF9" w:rsidRDefault="00B4557E" w:rsidP="00B4557E">
      <w:pPr>
        <w:pStyle w:val="Caption"/>
      </w:pPr>
      <w:bookmarkStart w:id="159" w:name="_Ref81393051"/>
      <w:bookmarkStart w:id="160" w:name="_Toc96518213"/>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13</w:t>
      </w:r>
      <w:r w:rsidR="007B28AC" w:rsidRPr="00D93FF9">
        <w:fldChar w:fldCharType="end"/>
      </w:r>
      <w:bookmarkEnd w:id="159"/>
      <w:r w:rsidRPr="00D93FF9">
        <w:t xml:space="preserve"> </w:t>
      </w:r>
      <w:bookmarkStart w:id="161" w:name="_Hlk153812629"/>
      <w:r w:rsidR="00E811B8" w:rsidRPr="00D93FF9">
        <w:t>Monthly distribution of the</w:t>
      </w:r>
      <w:r w:rsidR="009573FB" w:rsidRPr="00D93FF9">
        <w:t xml:space="preserve"> potential</w:t>
      </w:r>
      <w:r w:rsidR="00E811B8" w:rsidRPr="00D93FF9">
        <w:t xml:space="preserve"> irrigation demand for a pasture (mm/month) at three locations in Australia</w:t>
      </w:r>
      <w:bookmarkEnd w:id="160"/>
      <w:bookmarkEnd w:id="161"/>
    </w:p>
    <w:p w14:paraId="59DCCD67" w14:textId="2E2CA18B" w:rsidR="003910D2" w:rsidRPr="00D93FF9" w:rsidRDefault="00E811B8" w:rsidP="003910D2">
      <w:pPr>
        <w:rPr>
          <w:sz w:val="18"/>
          <w:szCs w:val="18"/>
          <w:lang w:bidi="en-US"/>
        </w:rPr>
      </w:pPr>
      <w:r w:rsidRPr="00D93FF9">
        <w:rPr>
          <w:sz w:val="18"/>
          <w:szCs w:val="18"/>
          <w:lang w:bidi="en-US"/>
        </w:rPr>
        <w:t xml:space="preserve">Source: Gardner et al. </w:t>
      </w:r>
      <w:r w:rsidR="009154BE" w:rsidRPr="00D93FF9">
        <w:rPr>
          <w:sz w:val="18"/>
          <w:szCs w:val="18"/>
          <w:lang w:bidi="en-US"/>
        </w:rPr>
        <w:t>(</w:t>
      </w:r>
      <w:r w:rsidRPr="00D93FF9">
        <w:rPr>
          <w:sz w:val="18"/>
          <w:szCs w:val="18"/>
          <w:lang w:bidi="en-US"/>
        </w:rPr>
        <w:t>1995</w:t>
      </w:r>
      <w:r w:rsidR="009154BE" w:rsidRPr="00D93FF9">
        <w:rPr>
          <w:sz w:val="18"/>
          <w:szCs w:val="18"/>
          <w:lang w:bidi="en-US"/>
        </w:rPr>
        <w:t>)</w:t>
      </w:r>
    </w:p>
    <w:p w14:paraId="59DCCD68" w14:textId="77777777" w:rsidR="00605971" w:rsidRPr="00D93FF9" w:rsidRDefault="00E811B8" w:rsidP="00605971">
      <w:pPr>
        <w:pStyle w:val="BodyText"/>
        <w:spacing w:after="0" w:line="264" w:lineRule="auto"/>
        <w:jc w:val="both"/>
        <w:rPr>
          <w:lang w:val="en-GB"/>
        </w:rPr>
      </w:pPr>
      <w:r w:rsidRPr="00D93FF9">
        <w:rPr>
          <w:lang w:val="en-GB"/>
        </w:rPr>
        <w:t xml:space="preserve">It must be noted that the empirical deep drainage predictions presented in this section are based on Queensland climate and soil data and may not be predictive of the different soils and climates of </w:t>
      </w:r>
      <w:r w:rsidRPr="00D93FF9">
        <w:rPr>
          <w:lang w:val="en-GB"/>
        </w:rPr>
        <w:lastRenderedPageBreak/>
        <w:t>southern Australia. More research is needed to validate and/or adapt these equations to a wider of soil/climate conditions across Australia.</w:t>
      </w:r>
    </w:p>
    <w:p w14:paraId="59DCCD69" w14:textId="77777777" w:rsidR="00F905AD" w:rsidRPr="00D93FF9" w:rsidRDefault="00F905AD" w:rsidP="003807A1">
      <w:pPr>
        <w:pStyle w:val="BodyText"/>
        <w:spacing w:after="0" w:line="266" w:lineRule="auto"/>
        <w:jc w:val="both"/>
        <w:rPr>
          <w:lang w:val="en-GB"/>
        </w:rPr>
      </w:pPr>
    </w:p>
    <w:p w14:paraId="59DCCD6A" w14:textId="77777777" w:rsidR="00C46175" w:rsidRPr="00D93FF9" w:rsidRDefault="00E811B8" w:rsidP="00405E68">
      <w:pPr>
        <w:pStyle w:val="Heading5"/>
        <w:rPr>
          <w:lang w:val="en-GB"/>
        </w:rPr>
      </w:pPr>
      <w:r w:rsidRPr="00D93FF9">
        <w:t>Landscape</w:t>
      </w:r>
    </w:p>
    <w:p w14:paraId="59DCCD6B" w14:textId="1009A9B4" w:rsidR="00C14D00" w:rsidRPr="00D93FF9" w:rsidRDefault="00E811B8" w:rsidP="00C14D00">
      <w:pPr>
        <w:pStyle w:val="BodyText"/>
        <w:spacing w:after="0" w:line="264" w:lineRule="auto"/>
        <w:jc w:val="both"/>
        <w:rPr>
          <w:lang w:val="en-GB"/>
        </w:rPr>
      </w:pPr>
      <w:bookmarkStart w:id="162" w:name="Managing_salinity_at_the_catchment_scale"/>
      <w:bookmarkEnd w:id="162"/>
      <w:r w:rsidRPr="00D93FF9">
        <w:rPr>
          <w:spacing w:val="-3"/>
          <w:lang w:val="en-GB"/>
        </w:rPr>
        <w:t xml:space="preserve">Geological </w:t>
      </w:r>
      <w:r w:rsidRPr="00D93FF9">
        <w:rPr>
          <w:lang w:val="en-GB"/>
        </w:rPr>
        <w:t xml:space="preserve">features and past patterns of </w:t>
      </w:r>
      <w:r w:rsidRPr="00D93FF9">
        <w:rPr>
          <w:spacing w:val="-3"/>
          <w:lang w:val="en-GB"/>
        </w:rPr>
        <w:t xml:space="preserve">weathering </w:t>
      </w:r>
      <w:r w:rsidRPr="00D93FF9">
        <w:rPr>
          <w:spacing w:val="-4"/>
          <w:lang w:val="en-GB"/>
        </w:rPr>
        <w:t xml:space="preserve">make some </w:t>
      </w:r>
      <w:r w:rsidRPr="00D93FF9">
        <w:rPr>
          <w:spacing w:val="-3"/>
          <w:lang w:val="en-GB"/>
        </w:rPr>
        <w:t xml:space="preserve">landforms more hydrologically sensitive </w:t>
      </w:r>
      <w:r w:rsidRPr="00D93FF9">
        <w:rPr>
          <w:lang w:val="en-GB"/>
        </w:rPr>
        <w:t xml:space="preserve">and susceptible to salting than others. The </w:t>
      </w:r>
      <w:r w:rsidRPr="00D93FF9">
        <w:rPr>
          <w:spacing w:val="-3"/>
          <w:lang w:val="en-GB"/>
        </w:rPr>
        <w:t xml:space="preserve">important </w:t>
      </w:r>
      <w:r w:rsidRPr="00D93FF9">
        <w:rPr>
          <w:lang w:val="en-GB"/>
        </w:rPr>
        <w:t xml:space="preserve">feature of </w:t>
      </w:r>
      <w:r w:rsidRPr="00D93FF9">
        <w:rPr>
          <w:spacing w:val="-3"/>
          <w:lang w:val="en-GB"/>
        </w:rPr>
        <w:t xml:space="preserve">sensitive landforms </w:t>
      </w:r>
      <w:r w:rsidRPr="00D93FF9">
        <w:rPr>
          <w:lang w:val="en-GB"/>
        </w:rPr>
        <w:t xml:space="preserve">is the presence of </w:t>
      </w:r>
      <w:r w:rsidRPr="00D93FF9">
        <w:rPr>
          <w:spacing w:val="-3"/>
          <w:lang w:val="en-GB"/>
        </w:rPr>
        <w:t xml:space="preserve">some </w:t>
      </w:r>
      <w:r w:rsidRPr="00D93FF9">
        <w:rPr>
          <w:lang w:val="en-GB"/>
        </w:rPr>
        <w:t xml:space="preserve">restriction to </w:t>
      </w:r>
      <w:r w:rsidRPr="00D93FF9">
        <w:rPr>
          <w:spacing w:val="-3"/>
          <w:lang w:val="en-GB"/>
        </w:rPr>
        <w:t xml:space="preserve">groundwater </w:t>
      </w:r>
      <w:r w:rsidRPr="00D93FF9">
        <w:rPr>
          <w:lang w:val="en-GB"/>
        </w:rPr>
        <w:t xml:space="preserve">flow that allows the </w:t>
      </w:r>
      <w:r w:rsidRPr="00D93FF9">
        <w:rPr>
          <w:spacing w:val="-3"/>
          <w:lang w:val="en-GB"/>
        </w:rPr>
        <w:t xml:space="preserve">watertable </w:t>
      </w:r>
      <w:r w:rsidRPr="00D93FF9">
        <w:rPr>
          <w:lang w:val="en-GB"/>
        </w:rPr>
        <w:t xml:space="preserve">to rise to near the soil surface, thereby creating a </w:t>
      </w:r>
      <w:r w:rsidRPr="00D93FF9">
        <w:rPr>
          <w:spacing w:val="-3"/>
          <w:lang w:val="en-GB"/>
        </w:rPr>
        <w:t xml:space="preserve">discharge </w:t>
      </w:r>
      <w:r w:rsidRPr="00D93FF9">
        <w:rPr>
          <w:lang w:val="en-GB"/>
        </w:rPr>
        <w:t xml:space="preserve">area with </w:t>
      </w:r>
      <w:r w:rsidRPr="00D93FF9">
        <w:rPr>
          <w:spacing w:val="-3"/>
          <w:lang w:val="en-GB"/>
        </w:rPr>
        <w:t xml:space="preserve">evaporative </w:t>
      </w:r>
      <w:r w:rsidRPr="00D93FF9">
        <w:rPr>
          <w:lang w:val="en-GB"/>
        </w:rPr>
        <w:t xml:space="preserve">concentration of </w:t>
      </w:r>
      <w:r w:rsidRPr="00D93FF9">
        <w:rPr>
          <w:spacing w:val="-2"/>
          <w:lang w:val="en-GB"/>
        </w:rPr>
        <w:t xml:space="preserve">salts. </w:t>
      </w:r>
      <w:r w:rsidRPr="00D93FF9">
        <w:rPr>
          <w:spacing w:val="-3"/>
          <w:lang w:val="en-GB"/>
        </w:rPr>
        <w:t xml:space="preserve">Hydrologically sensitive </w:t>
      </w:r>
      <w:r w:rsidRPr="00D93FF9">
        <w:rPr>
          <w:lang w:val="en-GB"/>
        </w:rPr>
        <w:t xml:space="preserve">landscapes often show </w:t>
      </w:r>
      <w:r w:rsidRPr="00D93FF9">
        <w:rPr>
          <w:spacing w:val="-3"/>
          <w:lang w:val="en-GB"/>
        </w:rPr>
        <w:t xml:space="preserve">evidence </w:t>
      </w:r>
      <w:r w:rsidRPr="00D93FF9">
        <w:rPr>
          <w:lang w:val="en-GB"/>
        </w:rPr>
        <w:t xml:space="preserve">of past </w:t>
      </w:r>
      <w:r w:rsidRPr="00D93FF9">
        <w:rPr>
          <w:spacing w:val="-3"/>
          <w:lang w:val="en-GB"/>
        </w:rPr>
        <w:t xml:space="preserve">seepages </w:t>
      </w:r>
      <w:r w:rsidRPr="00D93FF9">
        <w:rPr>
          <w:lang w:val="en-GB"/>
        </w:rPr>
        <w:t xml:space="preserve">or shallow watertables. </w:t>
      </w:r>
      <w:r w:rsidRPr="00D93FF9">
        <w:rPr>
          <w:spacing w:val="-4"/>
          <w:lang w:val="en-GB"/>
        </w:rPr>
        <w:t>If land use change occurs in</w:t>
      </w:r>
      <w:r w:rsidRPr="00D93FF9">
        <w:rPr>
          <w:lang w:val="en-GB"/>
        </w:rPr>
        <w:t xml:space="preserve"> these </w:t>
      </w:r>
      <w:r w:rsidRPr="00D93FF9">
        <w:rPr>
          <w:spacing w:val="-3"/>
          <w:lang w:val="en-GB"/>
        </w:rPr>
        <w:t xml:space="preserve">types </w:t>
      </w:r>
      <w:r w:rsidRPr="00D93FF9">
        <w:rPr>
          <w:lang w:val="en-GB"/>
        </w:rPr>
        <w:t xml:space="preserve">of landscapes, thereby </w:t>
      </w:r>
      <w:r w:rsidRPr="00D93FF9">
        <w:rPr>
          <w:spacing w:val="-3"/>
          <w:lang w:val="en-GB"/>
        </w:rPr>
        <w:t xml:space="preserve">changing </w:t>
      </w:r>
      <w:r w:rsidRPr="00D93FF9">
        <w:rPr>
          <w:lang w:val="en-GB"/>
        </w:rPr>
        <w:t xml:space="preserve">the </w:t>
      </w:r>
      <w:r w:rsidRPr="00D93FF9">
        <w:rPr>
          <w:spacing w:val="-3"/>
          <w:lang w:val="en-GB"/>
        </w:rPr>
        <w:t xml:space="preserve">hydrological </w:t>
      </w:r>
      <w:r w:rsidRPr="00D93FF9">
        <w:rPr>
          <w:lang w:val="en-GB"/>
        </w:rPr>
        <w:t xml:space="preserve">balance, dryland </w:t>
      </w:r>
      <w:r w:rsidR="005843BA" w:rsidRPr="00D93FF9">
        <w:rPr>
          <w:lang w:val="en-GB"/>
        </w:rPr>
        <w:t>salinity</w:t>
      </w:r>
      <w:r w:rsidRPr="00D93FF9">
        <w:rPr>
          <w:lang w:val="en-GB"/>
        </w:rPr>
        <w:t xml:space="preserve"> </w:t>
      </w:r>
      <w:r w:rsidRPr="00D93FF9">
        <w:rPr>
          <w:spacing w:val="-3"/>
          <w:lang w:val="en-GB"/>
        </w:rPr>
        <w:t xml:space="preserve">may </w:t>
      </w:r>
      <w:r w:rsidRPr="00D93FF9">
        <w:rPr>
          <w:lang w:val="en-GB"/>
        </w:rPr>
        <w:t>occur as a result.</w:t>
      </w:r>
    </w:p>
    <w:p w14:paraId="59DCCD6C" w14:textId="77777777" w:rsidR="00C14D00" w:rsidRPr="00D93FF9" w:rsidRDefault="00E811B8" w:rsidP="00C14D00">
      <w:pPr>
        <w:pStyle w:val="BodyText"/>
        <w:spacing w:after="0" w:line="264" w:lineRule="auto"/>
        <w:jc w:val="both"/>
        <w:rPr>
          <w:lang w:val="en-GB"/>
        </w:rPr>
      </w:pPr>
      <w:r w:rsidRPr="00D93FF9">
        <w:rPr>
          <w:lang w:val="en-GB"/>
        </w:rPr>
        <w:t>Watertable salting commonly occurs upslope of landscape features that restrict or inhibit groundwater movement or that provide preferential flow paths to the ground surface. For instance:</w:t>
      </w:r>
    </w:p>
    <w:p w14:paraId="59DCCD6D" w14:textId="6280C4C7" w:rsidR="00C14D00" w:rsidRPr="00D93FF9" w:rsidRDefault="00E811B8" w:rsidP="00171D0C">
      <w:pPr>
        <w:pStyle w:val="ListBullet"/>
        <w:jc w:val="both"/>
        <w:rPr>
          <w:lang w:val="en-GB"/>
        </w:rPr>
      </w:pPr>
      <w:r w:rsidRPr="00D93FF9">
        <w:rPr>
          <w:lang w:val="en-GB"/>
        </w:rPr>
        <w:t xml:space="preserve">Geological features, such as faults or dykes, create barriers to water flow so that water flow is restricted </w:t>
      </w:r>
      <w:r w:rsidR="00DF5A44" w:rsidRPr="00D93FF9">
        <w:rPr>
          <w:lang w:val="en-GB"/>
        </w:rPr>
        <w:t>down</w:t>
      </w:r>
      <w:r w:rsidRPr="00D93FF9">
        <w:rPr>
          <w:lang w:val="en-GB"/>
        </w:rPr>
        <w:t>slope of these barriers.</w:t>
      </w:r>
    </w:p>
    <w:p w14:paraId="59DCCD6E" w14:textId="561BBC4E" w:rsidR="00475F1D" w:rsidRPr="00D93FF9" w:rsidRDefault="00E811B8" w:rsidP="00171D0C">
      <w:pPr>
        <w:pStyle w:val="ListBullet"/>
        <w:jc w:val="both"/>
        <w:rPr>
          <w:lang w:val="en-GB"/>
        </w:rPr>
      </w:pPr>
      <w:r w:rsidRPr="00D93FF9">
        <w:rPr>
          <w:lang w:val="en-GB"/>
        </w:rPr>
        <w:t xml:space="preserve">Heavy soils </w:t>
      </w:r>
      <w:r w:rsidR="005E326F" w:rsidRPr="00D93FF9">
        <w:rPr>
          <w:lang w:val="en-GB"/>
        </w:rPr>
        <w:t xml:space="preserve">or soil compaction </w:t>
      </w:r>
      <w:r w:rsidRPr="00D93FF9">
        <w:rPr>
          <w:lang w:val="en-GB"/>
        </w:rPr>
        <w:t>at the base of slopes or clays deposited at the confluence of streams slow the movement of water through the soil, so that the groundwater flow is restricted and the watertable rises.</w:t>
      </w:r>
    </w:p>
    <w:p w14:paraId="59DCCD6F" w14:textId="77777777" w:rsidR="00475F1D" w:rsidRPr="00D93FF9" w:rsidRDefault="00E811B8" w:rsidP="00171D0C">
      <w:pPr>
        <w:pStyle w:val="ListBullet"/>
        <w:jc w:val="both"/>
        <w:rPr>
          <w:lang w:val="en-GB"/>
        </w:rPr>
      </w:pPr>
      <w:r w:rsidRPr="00D93FF9">
        <w:rPr>
          <w:lang w:val="en-GB"/>
        </w:rPr>
        <w:t>When water flowing through relatively permeable rock types or sediments encounters less permeable underlying materials, the water flows along the line of the</w:t>
      </w:r>
      <w:r w:rsidRPr="00D93FF9">
        <w:rPr>
          <w:spacing w:val="-1"/>
          <w:lang w:val="en-GB"/>
        </w:rPr>
        <w:t xml:space="preserve"> </w:t>
      </w:r>
      <w:r w:rsidRPr="00D93FF9">
        <w:rPr>
          <w:lang w:val="en-GB"/>
        </w:rPr>
        <w:t>strata.</w:t>
      </w:r>
    </w:p>
    <w:p w14:paraId="59DCCD70" w14:textId="77777777" w:rsidR="00475F1D" w:rsidRPr="00D93FF9" w:rsidRDefault="00E811B8" w:rsidP="00171D0C">
      <w:pPr>
        <w:pStyle w:val="ListBullet"/>
        <w:jc w:val="both"/>
        <w:rPr>
          <w:lang w:val="en-GB"/>
        </w:rPr>
      </w:pPr>
      <w:r w:rsidRPr="00D93FF9">
        <w:rPr>
          <w:lang w:val="en-GB"/>
        </w:rPr>
        <w:t>Where rock bars or other barriers constrict the outlet of a catchment, the rate of groundwater flow is reduced and water pools upslope of this point. Human-constructed barriers to water flow, such as roads or dams, have a similar</w:t>
      </w:r>
      <w:r w:rsidRPr="00D93FF9">
        <w:rPr>
          <w:spacing w:val="1"/>
          <w:lang w:val="en-GB"/>
        </w:rPr>
        <w:t xml:space="preserve"> </w:t>
      </w:r>
      <w:r w:rsidRPr="00D93FF9">
        <w:rPr>
          <w:lang w:val="en-GB"/>
        </w:rPr>
        <w:t>effect.</w:t>
      </w:r>
    </w:p>
    <w:p w14:paraId="59DCCD71" w14:textId="77777777" w:rsidR="00475F1D" w:rsidRPr="00D93FF9" w:rsidRDefault="00E811B8" w:rsidP="00475F1D">
      <w:pPr>
        <w:pStyle w:val="BodyText"/>
        <w:spacing w:after="0" w:line="264" w:lineRule="auto"/>
        <w:jc w:val="both"/>
        <w:rPr>
          <w:lang w:val="en-GB"/>
        </w:rPr>
      </w:pPr>
      <w:r w:rsidRPr="00D93FF9">
        <w:rPr>
          <w:lang w:val="en-GB"/>
        </w:rPr>
        <w:t>During the period of landscape and soil formation, salinity processes caused salt to accumulate in areas where internal drainage was poor or where watertables were close to the soil surface. As more recent climates have been drier than past climates, and watertables deeper, these historic salt loads are now generally at some depth in undisturbed</w:t>
      </w:r>
      <w:r w:rsidRPr="00D93FF9">
        <w:rPr>
          <w:spacing w:val="4"/>
          <w:lang w:val="en-GB"/>
        </w:rPr>
        <w:t xml:space="preserve"> </w:t>
      </w:r>
      <w:r w:rsidRPr="00D93FF9">
        <w:rPr>
          <w:lang w:val="en-GB"/>
        </w:rPr>
        <w:t>landscapes.</w:t>
      </w:r>
    </w:p>
    <w:p w14:paraId="59DCCD72" w14:textId="77777777" w:rsidR="00475F1D" w:rsidRPr="00D93FF9" w:rsidRDefault="00E811B8" w:rsidP="00475F1D">
      <w:pPr>
        <w:pStyle w:val="BodyText"/>
        <w:spacing w:after="0" w:line="264" w:lineRule="auto"/>
        <w:jc w:val="both"/>
        <w:rPr>
          <w:lang w:val="en-GB"/>
        </w:rPr>
      </w:pPr>
      <w:r w:rsidRPr="00D93FF9">
        <w:rPr>
          <w:lang w:val="en-GB"/>
        </w:rPr>
        <w:t>When the hydrologic balance of a landscape is changed through land use change a new and wetter hydrologic equilibrium is established, and rising watertables can move salt from these historic salt stores closer to the soil surface. Human activities can disturb the hydrologic balance by increasing water inputs to the catchment, or by introducing barriers to groundwater water movement within the</w:t>
      </w:r>
      <w:r w:rsidRPr="00D93FF9">
        <w:rPr>
          <w:spacing w:val="-1"/>
          <w:lang w:val="en-GB"/>
        </w:rPr>
        <w:t xml:space="preserve"> </w:t>
      </w:r>
      <w:r w:rsidRPr="00D93FF9">
        <w:rPr>
          <w:lang w:val="en-GB"/>
        </w:rPr>
        <w:t>catchment.</w:t>
      </w:r>
    </w:p>
    <w:p w14:paraId="59DCCD73" w14:textId="2171B2D6" w:rsidR="00475F1D" w:rsidRPr="00D93FF9" w:rsidRDefault="00E811B8" w:rsidP="00475F1D">
      <w:pPr>
        <w:pStyle w:val="BodyText"/>
        <w:spacing w:after="0" w:line="264" w:lineRule="auto"/>
        <w:jc w:val="both"/>
        <w:rPr>
          <w:lang w:val="en-GB"/>
        </w:rPr>
      </w:pPr>
      <w:r w:rsidRPr="00D93FF9">
        <w:rPr>
          <w:lang w:val="en-GB"/>
        </w:rPr>
        <w:t xml:space="preserve">There is a marked association between land clearing and outbreaks of watertable salting in hydrologically restricted catchments, although there can be long </w:t>
      </w:r>
      <w:r w:rsidR="00DF5A44" w:rsidRPr="00D93FF9">
        <w:rPr>
          <w:lang w:val="en-GB"/>
        </w:rPr>
        <w:t xml:space="preserve">lag </w:t>
      </w:r>
      <w:r w:rsidRPr="00D93FF9">
        <w:rPr>
          <w:lang w:val="en-GB"/>
        </w:rPr>
        <w:t>time (20 to 50 years or more) between clearing and salting. This delay depends on the degree of hydrologic change (due to clearing, irrigation, climatic variation)</w:t>
      </w:r>
      <w:r w:rsidR="00DF5A44" w:rsidRPr="00D93FF9">
        <w:rPr>
          <w:lang w:val="en-GB"/>
        </w:rPr>
        <w:t>,</w:t>
      </w:r>
      <w:r w:rsidRPr="00D93FF9">
        <w:rPr>
          <w:lang w:val="en-GB"/>
        </w:rPr>
        <w:t xml:space="preserve"> the buffering storage </w:t>
      </w:r>
      <w:r w:rsidR="00DF5A44" w:rsidRPr="00D93FF9">
        <w:rPr>
          <w:lang w:val="en-GB"/>
        </w:rPr>
        <w:t>of the regolith, the</w:t>
      </w:r>
      <w:r w:rsidRPr="00D93FF9">
        <w:rPr>
          <w:lang w:val="en-GB"/>
        </w:rPr>
        <w:t xml:space="preserve"> outflow capacities of the catchment</w:t>
      </w:r>
      <w:r w:rsidR="00DF5A44" w:rsidRPr="00D93FF9">
        <w:rPr>
          <w:lang w:val="en-GB"/>
        </w:rPr>
        <w:t xml:space="preserve"> and the length of the catchment</w:t>
      </w:r>
      <w:r w:rsidRPr="00D93FF9">
        <w:rPr>
          <w:lang w:val="en-GB"/>
        </w:rPr>
        <w:t xml:space="preserve">. Finely balanced catchment systems with low storage and </w:t>
      </w:r>
      <w:r w:rsidR="00AE3E49" w:rsidRPr="00D93FF9">
        <w:rPr>
          <w:lang w:val="en-GB"/>
        </w:rPr>
        <w:t xml:space="preserve">low </w:t>
      </w:r>
      <w:r w:rsidRPr="00D93FF9">
        <w:rPr>
          <w:lang w:val="en-GB"/>
        </w:rPr>
        <w:t xml:space="preserve">subsurface outflow capacities will experience salting in perhaps a few years compared with </w:t>
      </w:r>
      <w:r w:rsidR="00AE3E49" w:rsidRPr="00D93FF9">
        <w:rPr>
          <w:lang w:val="en-GB"/>
        </w:rPr>
        <w:t xml:space="preserve">a decade </w:t>
      </w:r>
      <w:r w:rsidRPr="00D93FF9">
        <w:rPr>
          <w:lang w:val="en-GB"/>
        </w:rPr>
        <w:t xml:space="preserve">in systems with greater capacities. When </w:t>
      </w:r>
      <w:r w:rsidR="00AE3E49" w:rsidRPr="00D93FF9">
        <w:rPr>
          <w:lang w:val="en-GB"/>
        </w:rPr>
        <w:t xml:space="preserve">deep rooted perennial </w:t>
      </w:r>
      <w:r w:rsidRPr="00D93FF9">
        <w:rPr>
          <w:lang w:val="en-GB"/>
        </w:rPr>
        <w:t xml:space="preserve">native vegetation is </w:t>
      </w:r>
      <w:r w:rsidR="00AE3E49" w:rsidRPr="00D93FF9">
        <w:rPr>
          <w:lang w:val="en-GB"/>
        </w:rPr>
        <w:t xml:space="preserve">replaced by shallow rooted, seasonal growing agriculture crops, the frequency and value of the maximum soil water deficit preceding rainfall is reduced, thereby promoting the opportunity for deep drainage from similar amounts of seasonal infiltration. </w:t>
      </w:r>
      <w:r w:rsidR="000F1F8C" w:rsidRPr="00D93FF9">
        <w:t xml:space="preserve">This happens with irrigation and irrigation induced dep drainage contributes to watertable rise. </w:t>
      </w:r>
      <w:r w:rsidR="00AE3E49" w:rsidRPr="00D93FF9">
        <w:rPr>
          <w:lang w:val="en-GB"/>
        </w:rPr>
        <w:t xml:space="preserve">During these periods, extra water moves below the root zone to the groundwater, increasing the likelihood of watertable rise. </w:t>
      </w:r>
    </w:p>
    <w:p w14:paraId="59DCCD74" w14:textId="77777777" w:rsidR="00C46175" w:rsidRPr="00D93FF9" w:rsidRDefault="00C46175" w:rsidP="003807A1">
      <w:pPr>
        <w:pStyle w:val="BodyText"/>
        <w:spacing w:after="0" w:line="266" w:lineRule="auto"/>
        <w:jc w:val="both"/>
        <w:rPr>
          <w:lang w:val="en-GB"/>
        </w:rPr>
      </w:pPr>
    </w:p>
    <w:p w14:paraId="59DCCD75" w14:textId="77777777" w:rsidR="00C46175" w:rsidRPr="00D93FF9" w:rsidRDefault="00E811B8" w:rsidP="00840D10">
      <w:pPr>
        <w:pStyle w:val="Heading4"/>
        <w:rPr>
          <w:lang w:val="en-GB"/>
        </w:rPr>
      </w:pPr>
      <w:bookmarkStart w:id="163" w:name="Irrigation_management_for_salinity_contr"/>
      <w:bookmarkStart w:id="164" w:name="High_watertables"/>
      <w:bookmarkStart w:id="165" w:name="Saline_and_sodic_irrigation_waters"/>
      <w:bookmarkStart w:id="166" w:name="9.2.3.3__Worked_examples"/>
      <w:bookmarkStart w:id="167" w:name="Scenario_1"/>
      <w:bookmarkEnd w:id="163"/>
      <w:bookmarkEnd w:id="164"/>
      <w:bookmarkEnd w:id="165"/>
      <w:bookmarkEnd w:id="166"/>
      <w:bookmarkEnd w:id="167"/>
      <w:r w:rsidRPr="00D93FF9">
        <w:rPr>
          <w:lang w:val="en-GB"/>
        </w:rPr>
        <w:lastRenderedPageBreak/>
        <w:t xml:space="preserve">Irrigation </w:t>
      </w:r>
      <w:r w:rsidRPr="00D93FF9">
        <w:t>management</w:t>
      </w:r>
      <w:r w:rsidRPr="00D93FF9">
        <w:rPr>
          <w:lang w:val="en-GB"/>
        </w:rPr>
        <w:t xml:space="preserve"> for salinity control</w:t>
      </w:r>
    </w:p>
    <w:p w14:paraId="59DCCD76" w14:textId="6FE00D50" w:rsidR="00C46175" w:rsidRPr="00D93FF9" w:rsidRDefault="00AE3E49" w:rsidP="003807A1">
      <w:pPr>
        <w:pStyle w:val="BodyText"/>
        <w:spacing w:after="0" w:line="266" w:lineRule="auto"/>
        <w:jc w:val="both"/>
        <w:rPr>
          <w:lang w:val="en-GB"/>
        </w:rPr>
      </w:pPr>
      <w:r w:rsidRPr="00D93FF9">
        <w:rPr>
          <w:lang w:val="en-GB"/>
        </w:rPr>
        <w:t>Specific</w:t>
      </w:r>
      <w:r w:rsidR="00E811B8" w:rsidRPr="00D93FF9">
        <w:rPr>
          <w:lang w:val="en-GB"/>
        </w:rPr>
        <w:t xml:space="preserve"> management options for the prevention or amelioration of salinity in irrigation areas are listed below.</w:t>
      </w:r>
    </w:p>
    <w:p w14:paraId="59DCCD77" w14:textId="77777777" w:rsidR="00C46175" w:rsidRPr="00D93FF9" w:rsidRDefault="00E811B8" w:rsidP="00840D10">
      <w:pPr>
        <w:pStyle w:val="Heading5"/>
        <w:rPr>
          <w:lang w:val="en-GB"/>
        </w:rPr>
      </w:pPr>
      <w:r w:rsidRPr="00D93FF9">
        <w:rPr>
          <w:lang w:val="en-GB"/>
        </w:rPr>
        <w:t>High watertables</w:t>
      </w:r>
    </w:p>
    <w:p w14:paraId="59DCCD78" w14:textId="53DA1298" w:rsidR="00C46175" w:rsidRPr="00D93FF9" w:rsidRDefault="00E811B8" w:rsidP="003807A1">
      <w:pPr>
        <w:pStyle w:val="BodyText"/>
        <w:spacing w:after="0" w:line="266" w:lineRule="auto"/>
        <w:jc w:val="both"/>
        <w:rPr>
          <w:lang w:val="en-GB"/>
        </w:rPr>
      </w:pPr>
      <w:r w:rsidRPr="00D93FF9">
        <w:rPr>
          <w:lang w:val="en-GB"/>
        </w:rPr>
        <w:t>Efficient water management is required to prevent rises in watertable levels, especially in surface water irrigation systems. Watertables should be kept below</w:t>
      </w:r>
      <w:r w:rsidR="00AE3E49" w:rsidRPr="00D93FF9">
        <w:rPr>
          <w:lang w:val="en-GB"/>
        </w:rPr>
        <w:t xml:space="preserve"> about</w:t>
      </w:r>
      <w:r w:rsidRPr="00D93FF9">
        <w:rPr>
          <w:lang w:val="en-GB"/>
        </w:rPr>
        <w:t xml:space="preserve"> 2 m</w:t>
      </w:r>
      <w:r w:rsidR="005843BA" w:rsidRPr="00D93FF9">
        <w:rPr>
          <w:lang w:val="en-GB"/>
        </w:rPr>
        <w:t xml:space="preserve"> or preferably below the root zone</w:t>
      </w:r>
      <w:r w:rsidRPr="00D93FF9">
        <w:rPr>
          <w:lang w:val="en-GB"/>
        </w:rPr>
        <w:t xml:space="preserve">. </w:t>
      </w:r>
      <w:r w:rsidR="00AE3E49" w:rsidRPr="00D93FF9">
        <w:rPr>
          <w:lang w:val="en-GB"/>
        </w:rPr>
        <w:t>M</w:t>
      </w:r>
      <w:r w:rsidRPr="00D93FF9">
        <w:rPr>
          <w:lang w:val="en-GB"/>
        </w:rPr>
        <w:t xml:space="preserve">ethods </w:t>
      </w:r>
      <w:r w:rsidR="00AE3E49" w:rsidRPr="00D93FF9">
        <w:rPr>
          <w:lang w:val="en-GB"/>
        </w:rPr>
        <w:t>to prevent/control shallow watertables include</w:t>
      </w:r>
      <w:r w:rsidRPr="00D93FF9">
        <w:rPr>
          <w:lang w:val="en-GB"/>
        </w:rPr>
        <w:t>:</w:t>
      </w:r>
    </w:p>
    <w:p w14:paraId="59DCCD79" w14:textId="77777777" w:rsidR="006A1748" w:rsidRPr="00D93FF9" w:rsidRDefault="00E811B8" w:rsidP="006A1748">
      <w:pPr>
        <w:pStyle w:val="ListBullet"/>
        <w:jc w:val="both"/>
        <w:rPr>
          <w:lang w:val="en-GB"/>
        </w:rPr>
      </w:pPr>
      <w:r w:rsidRPr="00D93FF9">
        <w:rPr>
          <w:lang w:val="en-GB"/>
        </w:rPr>
        <w:t>identify restrictions to groundwater flow in the landscape and delineate appropriate controls of watertables;</w:t>
      </w:r>
    </w:p>
    <w:p w14:paraId="59DCCD7A" w14:textId="77777777" w:rsidR="006A1748" w:rsidRPr="00D93FF9" w:rsidRDefault="00E811B8" w:rsidP="006A1748">
      <w:pPr>
        <w:pStyle w:val="ListBullet"/>
        <w:jc w:val="both"/>
        <w:rPr>
          <w:lang w:val="en-GB"/>
        </w:rPr>
      </w:pPr>
      <w:r w:rsidRPr="00D93FF9">
        <w:rPr>
          <w:lang w:val="en-GB"/>
        </w:rPr>
        <w:t>reducing accessions to watertables by surface levelling and selection of water application systems according to soil</w:t>
      </w:r>
      <w:r w:rsidRPr="00D93FF9">
        <w:rPr>
          <w:spacing w:val="-4"/>
          <w:lang w:val="en-GB"/>
        </w:rPr>
        <w:t xml:space="preserve"> </w:t>
      </w:r>
      <w:r w:rsidRPr="00D93FF9">
        <w:rPr>
          <w:lang w:val="en-GB"/>
        </w:rPr>
        <w:t>permeability;</w:t>
      </w:r>
    </w:p>
    <w:p w14:paraId="59DCCD7B" w14:textId="063B893A" w:rsidR="006A1748" w:rsidRPr="00D93FF9" w:rsidRDefault="00E811B8" w:rsidP="006A1748">
      <w:pPr>
        <w:pStyle w:val="ListBullet"/>
        <w:jc w:val="both"/>
        <w:rPr>
          <w:lang w:val="en-GB"/>
        </w:rPr>
      </w:pPr>
      <w:r w:rsidRPr="00D93FF9">
        <w:rPr>
          <w:lang w:val="en-GB"/>
        </w:rPr>
        <w:t xml:space="preserve">ensure flood irrigation layout and water application rates are optimised to </w:t>
      </w:r>
      <w:r w:rsidR="00A314C8" w:rsidRPr="00D93FF9">
        <w:rPr>
          <w:lang w:val="en-GB"/>
        </w:rPr>
        <w:t xml:space="preserve">achieve high irrigation distribution </w:t>
      </w:r>
      <w:r w:rsidR="00ED3319" w:rsidRPr="00D93FF9">
        <w:rPr>
          <w:lang w:val="en-GB"/>
        </w:rPr>
        <w:t xml:space="preserve">efficiency </w:t>
      </w:r>
      <w:r w:rsidR="00A314C8" w:rsidRPr="00D93FF9">
        <w:rPr>
          <w:lang w:val="en-GB"/>
        </w:rPr>
        <w:t>and reduce deep drainage</w:t>
      </w:r>
      <w:r w:rsidRPr="00D93FF9">
        <w:rPr>
          <w:lang w:val="en-GB"/>
        </w:rPr>
        <w:t xml:space="preserve">; </w:t>
      </w:r>
    </w:p>
    <w:p w14:paraId="59DCCD7C" w14:textId="77777777" w:rsidR="006A1748" w:rsidRPr="00D93FF9" w:rsidRDefault="00E811B8" w:rsidP="006A1748">
      <w:pPr>
        <w:pStyle w:val="ListBullet"/>
        <w:jc w:val="both"/>
        <w:rPr>
          <w:lang w:val="en-GB"/>
        </w:rPr>
      </w:pPr>
      <w:r w:rsidRPr="00D93FF9">
        <w:rPr>
          <w:lang w:val="en-GB"/>
        </w:rPr>
        <w:t>lining of irrigation channels and/or use of pipes for on-farm distribution to minimise seepage from</w:t>
      </w:r>
      <w:r w:rsidRPr="00D93FF9">
        <w:rPr>
          <w:spacing w:val="-4"/>
          <w:lang w:val="en-GB"/>
        </w:rPr>
        <w:t xml:space="preserve"> </w:t>
      </w:r>
      <w:r w:rsidRPr="00D93FF9">
        <w:rPr>
          <w:lang w:val="en-GB"/>
        </w:rPr>
        <w:t>channels;</w:t>
      </w:r>
    </w:p>
    <w:p w14:paraId="59DCCD7D" w14:textId="5A80C275" w:rsidR="00C46175" w:rsidRPr="00D93FF9" w:rsidRDefault="00E811B8" w:rsidP="006A1748">
      <w:pPr>
        <w:pStyle w:val="ListBullet"/>
        <w:jc w:val="both"/>
        <w:rPr>
          <w:lang w:val="en-GB"/>
        </w:rPr>
      </w:pPr>
      <w:r w:rsidRPr="00D93FF9">
        <w:rPr>
          <w:lang w:val="en-GB"/>
        </w:rPr>
        <w:t>incorporating sub surface drainage infrastructure where it is both economically and environmentally</w:t>
      </w:r>
      <w:r w:rsidRPr="00D93FF9">
        <w:rPr>
          <w:spacing w:val="-4"/>
          <w:lang w:val="en-GB"/>
        </w:rPr>
        <w:t xml:space="preserve"> </w:t>
      </w:r>
      <w:r w:rsidRPr="00D93FF9">
        <w:rPr>
          <w:lang w:val="en-GB"/>
        </w:rPr>
        <w:t>sustainable.</w:t>
      </w:r>
    </w:p>
    <w:p w14:paraId="18B0E244" w14:textId="70E92883" w:rsidR="00ED3319" w:rsidRPr="00D93FF9" w:rsidRDefault="00ED3319" w:rsidP="00ED3319">
      <w:pPr>
        <w:pStyle w:val="ListBullet"/>
        <w:jc w:val="both"/>
        <w:rPr>
          <w:lang w:val="en-GB"/>
        </w:rPr>
      </w:pPr>
      <w:r w:rsidRPr="00D93FF9">
        <w:rPr>
          <w:lang w:val="en-GB"/>
        </w:rPr>
        <w:t xml:space="preserve">Appropriate irrigation scheduling to prevent over irrigation </w:t>
      </w:r>
    </w:p>
    <w:p w14:paraId="59DCCD7E" w14:textId="77777777" w:rsidR="00C46175" w:rsidRPr="00D93FF9" w:rsidRDefault="00C46175" w:rsidP="003807A1">
      <w:pPr>
        <w:pStyle w:val="BodyText"/>
        <w:spacing w:after="0"/>
        <w:rPr>
          <w:sz w:val="20"/>
          <w:lang w:val="en-GB"/>
        </w:rPr>
      </w:pPr>
    </w:p>
    <w:p w14:paraId="59DCCD7F" w14:textId="77777777" w:rsidR="00C46175" w:rsidRPr="00D93FF9" w:rsidRDefault="00E811B8" w:rsidP="00840D10">
      <w:pPr>
        <w:pStyle w:val="Heading5"/>
        <w:rPr>
          <w:lang w:val="en-GB"/>
        </w:rPr>
      </w:pPr>
      <w:r w:rsidRPr="00D93FF9">
        <w:rPr>
          <w:lang w:val="en-GB"/>
        </w:rPr>
        <w:t>Saline and sodic irrigation waters</w:t>
      </w:r>
    </w:p>
    <w:p w14:paraId="59DCCD80" w14:textId="4243CC65" w:rsidR="00C46175" w:rsidRPr="00D93FF9" w:rsidRDefault="00E811B8" w:rsidP="003807A1">
      <w:pPr>
        <w:pStyle w:val="BodyText"/>
        <w:spacing w:after="0" w:line="266" w:lineRule="auto"/>
        <w:jc w:val="both"/>
        <w:rPr>
          <w:lang w:val="en-GB"/>
        </w:rPr>
      </w:pPr>
      <w:r w:rsidRPr="00D93FF9">
        <w:rPr>
          <w:lang w:val="en-GB"/>
        </w:rPr>
        <w:t xml:space="preserve">Accurate irrigation water quality assessment is the best preventive measure to reduce salinity and sodicity effects, since water is matched to the soil properties and crops. However, a number of management alternatives are available to minimise the effects of marginal-quality irrigation waters on soils and crops. These management options include changing the frequency, duration and method of irrigation; judicious timing of leaching irrigations; mixing of irrigation water supplies; and </w:t>
      </w:r>
      <w:r w:rsidR="006A1748" w:rsidRPr="00D93FF9">
        <w:rPr>
          <w:lang w:val="en-GB"/>
        </w:rPr>
        <w:t>soil husbandry</w:t>
      </w:r>
      <w:r w:rsidRPr="00D93FF9">
        <w:rPr>
          <w:lang w:val="en-GB"/>
        </w:rPr>
        <w:t xml:space="preserve"> practices, including soil amendments. These are described in detail by Ayers and Westcot (1976)</w:t>
      </w:r>
      <w:r w:rsidR="00BC02B7" w:rsidRPr="00D93FF9">
        <w:rPr>
          <w:lang w:val="en-GB"/>
        </w:rPr>
        <w:t xml:space="preserve"> and </w:t>
      </w:r>
      <w:r w:rsidR="00BC02B7" w:rsidRPr="00D93FF9">
        <w:t>Salinity management handbook - Datasets | Publications | Queensland Government</w:t>
      </w:r>
      <w:r w:rsidRPr="00D93FF9">
        <w:rPr>
          <w:lang w:val="en-GB"/>
        </w:rPr>
        <w:t>.</w:t>
      </w:r>
    </w:p>
    <w:p w14:paraId="59DCCD81" w14:textId="77777777" w:rsidR="00C46175" w:rsidRPr="00D93FF9" w:rsidRDefault="00C46175" w:rsidP="003807A1">
      <w:pPr>
        <w:pStyle w:val="BodyText"/>
        <w:spacing w:after="0"/>
        <w:rPr>
          <w:sz w:val="25"/>
          <w:lang w:val="en-GB"/>
        </w:rPr>
      </w:pPr>
    </w:p>
    <w:p w14:paraId="59DCCD82" w14:textId="77777777" w:rsidR="00C46175" w:rsidRPr="00D93FF9" w:rsidRDefault="00E811B8" w:rsidP="00840D10">
      <w:pPr>
        <w:pStyle w:val="Heading3"/>
        <w:rPr>
          <w:lang w:val="en-GB"/>
        </w:rPr>
      </w:pPr>
      <w:bookmarkStart w:id="168" w:name="_Ref70415504"/>
      <w:bookmarkStart w:id="169" w:name="_Toc96693573"/>
      <w:r w:rsidRPr="00D93FF9">
        <w:t>Worked</w:t>
      </w:r>
      <w:r w:rsidRPr="00D93FF9">
        <w:rPr>
          <w:spacing w:val="1"/>
          <w:lang w:val="en-GB"/>
        </w:rPr>
        <w:t xml:space="preserve"> </w:t>
      </w:r>
      <w:r w:rsidRPr="00D93FF9">
        <w:rPr>
          <w:lang w:val="en-GB"/>
        </w:rPr>
        <w:t>examples</w:t>
      </w:r>
      <w:bookmarkEnd w:id="168"/>
      <w:bookmarkEnd w:id="169"/>
    </w:p>
    <w:p w14:paraId="59DCCD83" w14:textId="471FBB46" w:rsidR="00C46175" w:rsidRPr="00D93FF9" w:rsidRDefault="00E811B8" w:rsidP="003807A1">
      <w:pPr>
        <w:pStyle w:val="BodyText"/>
        <w:spacing w:after="0" w:line="259" w:lineRule="auto"/>
        <w:jc w:val="both"/>
        <w:rPr>
          <w:lang w:val="en-GB"/>
        </w:rPr>
      </w:pPr>
      <w:r w:rsidRPr="00D93FF9">
        <w:rPr>
          <w:lang w:val="en-GB"/>
        </w:rPr>
        <w:t xml:space="preserve">Worked examples are given in this Section to provide a practical guide to salinity management in a number of situations using soil and water quality data. Note that EC is expressed as dS/m </w:t>
      </w:r>
    </w:p>
    <w:p w14:paraId="59DCCD84" w14:textId="77777777" w:rsidR="00C46175" w:rsidRPr="00D93FF9" w:rsidRDefault="00E811B8" w:rsidP="00840D10">
      <w:pPr>
        <w:pStyle w:val="Heading4"/>
        <w:rPr>
          <w:lang w:val="en-GB"/>
        </w:rPr>
      </w:pPr>
      <w:r w:rsidRPr="00D93FF9">
        <w:t>Scenario</w:t>
      </w:r>
      <w:r w:rsidRPr="00D93FF9">
        <w:rPr>
          <w:lang w:val="en-GB"/>
        </w:rPr>
        <w:t xml:space="preserve"> 1</w:t>
      </w:r>
    </w:p>
    <w:p w14:paraId="59DCCD85" w14:textId="77777777" w:rsidR="006A1748" w:rsidRPr="00D93FF9" w:rsidRDefault="00E811B8" w:rsidP="006A1748">
      <w:pPr>
        <w:pStyle w:val="BodyText"/>
        <w:spacing w:after="0" w:line="264" w:lineRule="auto"/>
        <w:rPr>
          <w:lang w:val="en-GB"/>
        </w:rPr>
      </w:pPr>
      <w:r w:rsidRPr="00D93FF9">
        <w:rPr>
          <w:lang w:val="en-GB"/>
        </w:rPr>
        <w:t xml:space="preserve">A farmer has been irrigating for 10 years from a local bore and is concerned soil salinity build up may be affecting </w:t>
      </w:r>
      <w:r w:rsidR="00DA61EE" w:rsidRPr="00D93FF9">
        <w:rPr>
          <w:lang w:val="en-GB"/>
        </w:rPr>
        <w:t xml:space="preserve">the </w:t>
      </w:r>
      <w:r w:rsidRPr="00D93FF9">
        <w:rPr>
          <w:lang w:val="en-GB"/>
        </w:rPr>
        <w:t xml:space="preserve">yield of </w:t>
      </w:r>
      <w:r w:rsidR="00DA61EE" w:rsidRPr="00D93FF9">
        <w:rPr>
          <w:lang w:val="en-GB"/>
        </w:rPr>
        <w:t>his crop</w:t>
      </w:r>
      <w:r w:rsidRPr="00D93FF9">
        <w:rPr>
          <w:lang w:val="en-GB"/>
        </w:rPr>
        <w:t>. He is also interested in changing to more salt tolerant crops that are more suited for his water quality and soil type.</w:t>
      </w:r>
    </w:p>
    <w:p w14:paraId="59DCCD86" w14:textId="77777777" w:rsidR="00C46175" w:rsidRPr="00D93FF9" w:rsidRDefault="00E811B8" w:rsidP="003807A1">
      <w:pPr>
        <w:pStyle w:val="BodyText"/>
        <w:spacing w:after="0" w:line="266" w:lineRule="auto"/>
        <w:rPr>
          <w:lang w:val="en-GB"/>
        </w:rPr>
      </w:pPr>
      <w:r w:rsidRPr="00D93FF9">
        <w:rPr>
          <w:lang w:val="en-GB"/>
        </w:rPr>
        <w:t>.</w:t>
      </w:r>
    </w:p>
    <w:p w14:paraId="59DCCD87" w14:textId="0E373C48" w:rsidR="00002DC3" w:rsidRPr="00D93FF9" w:rsidRDefault="00E811B8" w:rsidP="00840D10">
      <w:pPr>
        <w:pStyle w:val="Heading5"/>
        <w:rPr>
          <w:lang w:val="en-GB"/>
        </w:rPr>
      </w:pPr>
      <w:r w:rsidRPr="00D93FF9">
        <w:rPr>
          <w:lang w:val="en-GB"/>
        </w:rPr>
        <w:t>Available data</w:t>
      </w:r>
    </w:p>
    <w:p w14:paraId="59DCCD88" w14:textId="77777777" w:rsidR="00C46175" w:rsidRPr="00D93FF9" w:rsidRDefault="00E811B8" w:rsidP="00840D10">
      <w:pPr>
        <w:pStyle w:val="Heading5"/>
        <w:rPr>
          <w:lang w:val="en-GB"/>
        </w:rPr>
      </w:pPr>
      <w:r w:rsidRPr="00D93FF9">
        <w:rPr>
          <w:lang w:val="en-GB"/>
        </w:rPr>
        <w:t>Soil</w:t>
      </w:r>
    </w:p>
    <w:p w14:paraId="59DCCD89" w14:textId="77777777" w:rsidR="00C46175" w:rsidRPr="00D93FF9" w:rsidRDefault="00E811B8" w:rsidP="003807A1">
      <w:pPr>
        <w:pStyle w:val="BodyText"/>
        <w:spacing w:after="0"/>
        <w:rPr>
          <w:lang w:val="en-GB"/>
        </w:rPr>
      </w:pPr>
      <w:r w:rsidRPr="00D93FF9">
        <w:rPr>
          <w:lang w:val="en-GB"/>
        </w:rPr>
        <w:t>EC</w:t>
      </w:r>
      <w:r w:rsidRPr="00D93FF9">
        <w:rPr>
          <w:position w:val="-4"/>
          <w:sz w:val="15"/>
          <w:lang w:val="en-GB"/>
        </w:rPr>
        <w:t xml:space="preserve">1:5 </w:t>
      </w:r>
      <w:r w:rsidRPr="00D93FF9">
        <w:rPr>
          <w:lang w:val="en-GB"/>
        </w:rPr>
        <w:t>at 0.9 m = 0.9 dS/m</w:t>
      </w:r>
    </w:p>
    <w:p w14:paraId="59DCCD8A" w14:textId="77777777" w:rsidR="002E1998" w:rsidRPr="00D93FF9" w:rsidRDefault="00E811B8" w:rsidP="003807A1">
      <w:pPr>
        <w:pStyle w:val="BodyText"/>
        <w:spacing w:after="0" w:line="343" w:lineRule="auto"/>
        <w:ind w:hanging="3"/>
        <w:rPr>
          <w:lang w:val="en-GB"/>
        </w:rPr>
      </w:pPr>
      <w:r w:rsidRPr="00D93FF9">
        <w:rPr>
          <w:lang w:val="en-GB"/>
        </w:rPr>
        <w:t xml:space="preserve">Air dry moisture content = ADMC = 5% </w:t>
      </w:r>
    </w:p>
    <w:p w14:paraId="59DCCD8B" w14:textId="77777777" w:rsidR="00C46175" w:rsidRPr="00D93FF9" w:rsidRDefault="00E811B8" w:rsidP="003807A1">
      <w:pPr>
        <w:pStyle w:val="BodyText"/>
        <w:spacing w:after="0" w:line="343" w:lineRule="auto"/>
        <w:ind w:hanging="3"/>
        <w:rPr>
          <w:lang w:val="en-GB"/>
        </w:rPr>
      </w:pPr>
      <w:r w:rsidRPr="00D93FF9">
        <w:rPr>
          <w:lang w:val="en-GB"/>
        </w:rPr>
        <w:lastRenderedPageBreak/>
        <w:t>Saturation percentage = SP = 60%</w:t>
      </w:r>
    </w:p>
    <w:p w14:paraId="59DCCD8C" w14:textId="77777777" w:rsidR="00C46175" w:rsidRPr="00D93FF9" w:rsidRDefault="00E811B8" w:rsidP="00840D10">
      <w:pPr>
        <w:pStyle w:val="Heading5"/>
        <w:rPr>
          <w:lang w:val="en-GB"/>
        </w:rPr>
      </w:pPr>
      <w:bookmarkStart w:id="170" w:name="Scenario_2"/>
      <w:bookmarkEnd w:id="170"/>
      <w:r w:rsidRPr="00D93FF9">
        <w:rPr>
          <w:lang w:val="en-GB"/>
        </w:rPr>
        <w:t>Water</w:t>
      </w:r>
    </w:p>
    <w:p w14:paraId="59DCCD8D" w14:textId="3A195053" w:rsidR="00DA61EE" w:rsidRPr="00D93FF9" w:rsidRDefault="00E811B8" w:rsidP="00DA61EE">
      <w:pPr>
        <w:pStyle w:val="BodyText"/>
        <w:spacing w:after="0" w:line="307" w:lineRule="auto"/>
        <w:rPr>
          <w:lang w:val="en-GB"/>
        </w:rPr>
      </w:pPr>
      <w:r w:rsidRPr="00D93FF9">
        <w:rPr>
          <w:lang w:val="en-GB"/>
        </w:rPr>
        <w:t>irrigation applied = D</w:t>
      </w:r>
      <w:r w:rsidRPr="00D93FF9">
        <w:rPr>
          <w:position w:val="-4"/>
          <w:sz w:val="15"/>
          <w:lang w:val="en-GB"/>
        </w:rPr>
        <w:t xml:space="preserve">i </w:t>
      </w:r>
      <w:r w:rsidRPr="00D93FF9">
        <w:rPr>
          <w:lang w:val="en-GB"/>
        </w:rPr>
        <w:t>= 600 mm /yr</w:t>
      </w:r>
    </w:p>
    <w:p w14:paraId="59DCCD8E" w14:textId="77777777" w:rsidR="00DA61EE" w:rsidRPr="00D93FF9" w:rsidRDefault="00E811B8" w:rsidP="00DA61EE">
      <w:pPr>
        <w:pStyle w:val="BodyText"/>
        <w:spacing w:after="0" w:line="307" w:lineRule="auto"/>
        <w:rPr>
          <w:lang w:val="en-GB"/>
        </w:rPr>
      </w:pPr>
      <w:r w:rsidRPr="00D93FF9">
        <w:rPr>
          <w:lang w:val="en-GB"/>
        </w:rPr>
        <w:t>EC of irrigation = EC</w:t>
      </w:r>
      <w:r w:rsidRPr="00D93FF9">
        <w:rPr>
          <w:position w:val="-4"/>
          <w:sz w:val="15"/>
          <w:lang w:val="en-GB"/>
        </w:rPr>
        <w:t xml:space="preserve">iw </w:t>
      </w:r>
      <w:r w:rsidRPr="00D93FF9">
        <w:rPr>
          <w:lang w:val="en-GB"/>
        </w:rPr>
        <w:t xml:space="preserve">= 1.7 dS/m </w:t>
      </w:r>
    </w:p>
    <w:p w14:paraId="59DCCD8F" w14:textId="77777777" w:rsidR="00DA61EE" w:rsidRPr="00D93FF9" w:rsidRDefault="00E811B8" w:rsidP="00DA61EE">
      <w:pPr>
        <w:pStyle w:val="BodyText"/>
        <w:spacing w:after="0" w:line="307" w:lineRule="auto"/>
        <w:rPr>
          <w:lang w:val="en-GB"/>
        </w:rPr>
      </w:pPr>
      <w:r w:rsidRPr="00D93FF9">
        <w:rPr>
          <w:lang w:val="en-GB"/>
        </w:rPr>
        <w:t>Annual rainfall = D</w:t>
      </w:r>
      <w:r w:rsidRPr="00D93FF9">
        <w:rPr>
          <w:position w:val="-4"/>
          <w:sz w:val="15"/>
          <w:lang w:val="en-GB"/>
        </w:rPr>
        <w:t xml:space="preserve">r </w:t>
      </w:r>
      <w:r w:rsidRPr="00D93FF9">
        <w:rPr>
          <w:lang w:val="en-GB"/>
        </w:rPr>
        <w:t>= 650 mm /yr</w:t>
      </w:r>
    </w:p>
    <w:p w14:paraId="59DCCD90" w14:textId="77777777" w:rsidR="00C46175" w:rsidRPr="00D93FF9" w:rsidRDefault="00E811B8" w:rsidP="003807A1">
      <w:pPr>
        <w:pStyle w:val="BodyText"/>
        <w:spacing w:after="0" w:line="309" w:lineRule="auto"/>
        <w:rPr>
          <w:lang w:val="en-GB"/>
        </w:rPr>
      </w:pPr>
      <w:r w:rsidRPr="00D93FF9">
        <w:rPr>
          <w:lang w:val="en-GB"/>
        </w:rPr>
        <w:t>EC of rainfall = EC</w:t>
      </w:r>
      <w:r w:rsidRPr="00D93FF9">
        <w:rPr>
          <w:position w:val="-4"/>
          <w:sz w:val="15"/>
          <w:lang w:val="en-GB"/>
        </w:rPr>
        <w:t xml:space="preserve">r </w:t>
      </w:r>
      <w:r w:rsidRPr="00D93FF9">
        <w:rPr>
          <w:lang w:val="en-GB"/>
        </w:rPr>
        <w:t>= 0.03 dS/m</w:t>
      </w:r>
    </w:p>
    <w:p w14:paraId="59DCCD91" w14:textId="77777777" w:rsidR="00C46175" w:rsidRPr="00D93FF9" w:rsidRDefault="00E811B8" w:rsidP="003807A1">
      <w:pPr>
        <w:spacing w:after="0"/>
        <w:rPr>
          <w:b/>
          <w:position w:val="-4"/>
          <w:sz w:val="15"/>
          <w:lang w:val="en-GB"/>
        </w:rPr>
      </w:pPr>
      <w:r w:rsidRPr="00D93FF9">
        <w:rPr>
          <w:b/>
          <w:lang w:val="en-GB"/>
        </w:rPr>
        <w:t>Convert EC</w:t>
      </w:r>
      <w:r w:rsidRPr="00D93FF9">
        <w:rPr>
          <w:b/>
          <w:position w:val="-4"/>
          <w:sz w:val="15"/>
          <w:lang w:val="en-GB"/>
        </w:rPr>
        <w:t xml:space="preserve">1:5 </w:t>
      </w:r>
      <w:r w:rsidRPr="00D93FF9">
        <w:rPr>
          <w:b/>
          <w:lang w:val="en-GB"/>
        </w:rPr>
        <w:t>to EC</w:t>
      </w:r>
      <w:r w:rsidRPr="00D93FF9">
        <w:rPr>
          <w:b/>
          <w:position w:val="-4"/>
          <w:sz w:val="15"/>
          <w:lang w:val="en-GB"/>
        </w:rPr>
        <w:t>s</w:t>
      </w:r>
    </w:p>
    <w:p w14:paraId="59DCCD92" w14:textId="77777777" w:rsidR="00A07B6A" w:rsidRPr="00D93FF9" w:rsidRDefault="00A07B6A" w:rsidP="003807A1">
      <w:pPr>
        <w:spacing w:after="0"/>
        <w:rPr>
          <w:b/>
          <w:position w:val="-4"/>
          <w:lang w:val="en-GB"/>
        </w:rPr>
      </w:pPr>
    </w:p>
    <w:tbl>
      <w:tblPr>
        <w:tblStyle w:val="TableGrid"/>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610"/>
      </w:tblGrid>
      <w:tr w:rsidR="00BE3AA8" w:rsidRPr="00D93FF9" w14:paraId="59DCCD95" w14:textId="77777777" w:rsidTr="00C00CD4">
        <w:trPr>
          <w:trHeight w:val="918"/>
        </w:trPr>
        <w:tc>
          <w:tcPr>
            <w:tcW w:w="4610" w:type="dxa"/>
          </w:tcPr>
          <w:p w14:paraId="59DCCD93" w14:textId="77777777" w:rsidR="00A07B6A" w:rsidRPr="00D93FF9" w:rsidRDefault="00735642" w:rsidP="003807A1">
            <w:pPr>
              <w:spacing w:after="0"/>
              <w:rPr>
                <w:b/>
                <w:position w:val="-4"/>
                <w:lang w:val="en-GB"/>
              </w:rPr>
            </w:pPr>
            <m:oMathPara>
              <m:oMathParaPr>
                <m:jc m:val="left"/>
              </m:oMathParaPr>
              <m:oMath>
                <m:sSub>
                  <m:sSubPr>
                    <m:ctrlPr>
                      <w:rPr>
                        <w:rFonts w:ascii="Cambria Math" w:hAnsi="Cambria Math"/>
                        <w:bCs/>
                        <w:iCs/>
                        <w:sz w:val="24"/>
                        <w:lang w:val="en-GB"/>
                      </w:rPr>
                    </m:ctrlPr>
                  </m:sSubPr>
                  <m:e>
                    <m:r>
                      <m:rPr>
                        <m:sty m:val="p"/>
                      </m:rPr>
                      <w:rPr>
                        <w:rFonts w:ascii="Cambria Math" w:hAnsi="Cambria Math"/>
                        <w:sz w:val="24"/>
                        <w:lang w:val="en-GB"/>
                      </w:rPr>
                      <m:t>EC</m:t>
                    </m:r>
                  </m:e>
                  <m:sub>
                    <m:r>
                      <m:rPr>
                        <m:sty m:val="p"/>
                      </m:rPr>
                      <w:rPr>
                        <w:rFonts w:ascii="Cambria Math" w:hAnsi="Cambria Math"/>
                        <w:sz w:val="24"/>
                        <w:lang w:val="en-GB"/>
                      </w:rPr>
                      <m:t>s</m:t>
                    </m:r>
                  </m:sub>
                </m:sSub>
                <m:r>
                  <m:rPr>
                    <m:sty m:val="p"/>
                  </m:rPr>
                  <w:rPr>
                    <w:rFonts w:ascii="Cambria Math" w:hAnsi="Cambria Math"/>
                    <w:sz w:val="24"/>
                    <w:lang w:val="en-GB"/>
                  </w:rPr>
                  <m:t>=2.2×</m:t>
                </m:r>
                <m:sSub>
                  <m:sSubPr>
                    <m:ctrlPr>
                      <w:rPr>
                        <w:rFonts w:ascii="Cambria Math" w:hAnsi="Cambria Math"/>
                        <w:bCs/>
                        <w:iCs/>
                        <w:sz w:val="24"/>
                        <w:lang w:val="en-GB"/>
                      </w:rPr>
                    </m:ctrlPr>
                  </m:sSubPr>
                  <m:e>
                    <m:r>
                      <m:rPr>
                        <m:sty m:val="p"/>
                      </m:rPr>
                      <w:rPr>
                        <w:rFonts w:ascii="Cambria Math" w:hAnsi="Cambria Math"/>
                        <w:sz w:val="24"/>
                        <w:lang w:val="en-GB"/>
                      </w:rPr>
                      <m:t>EC</m:t>
                    </m:r>
                  </m:e>
                  <m:sub>
                    <m:r>
                      <m:rPr>
                        <m:sty m:val="p"/>
                      </m:rPr>
                      <w:rPr>
                        <w:rFonts w:ascii="Cambria Math" w:hAnsi="Cambria Math"/>
                        <w:sz w:val="24"/>
                        <w:lang w:val="en-GB"/>
                      </w:rPr>
                      <m:t>1:5</m:t>
                    </m:r>
                  </m:sub>
                </m:sSub>
                <m:d>
                  <m:dPr>
                    <m:begChr m:val="["/>
                    <m:endChr m:val="]"/>
                    <m:ctrlPr>
                      <w:rPr>
                        <w:rFonts w:ascii="Cambria Math" w:hAnsi="Cambria Math"/>
                        <w:bCs/>
                        <w:iCs/>
                        <w:sz w:val="24"/>
                        <w:lang w:val="en-GB"/>
                      </w:rPr>
                    </m:ctrlPr>
                  </m:dPr>
                  <m:e>
                    <m:f>
                      <m:fPr>
                        <m:ctrlPr>
                          <w:rPr>
                            <w:rFonts w:ascii="Cambria Math" w:hAnsi="Cambria Math"/>
                            <w:bCs/>
                            <w:iCs/>
                            <w:sz w:val="24"/>
                            <w:lang w:val="en-GB"/>
                          </w:rPr>
                        </m:ctrlPr>
                      </m:fPr>
                      <m:num>
                        <m:d>
                          <m:dPr>
                            <m:ctrlPr>
                              <w:rPr>
                                <w:rFonts w:ascii="Cambria Math" w:hAnsi="Cambria Math"/>
                                <w:bCs/>
                                <w:iCs/>
                                <w:sz w:val="24"/>
                                <w:lang w:val="en-GB"/>
                              </w:rPr>
                            </m:ctrlPr>
                          </m:dPr>
                          <m:e>
                            <m:r>
                              <m:rPr>
                                <m:sty m:val="p"/>
                              </m:rPr>
                              <w:rPr>
                                <w:rFonts w:ascii="Cambria Math" w:hAnsi="Cambria Math"/>
                                <w:sz w:val="24"/>
                                <w:lang w:val="en-GB"/>
                              </w:rPr>
                              <m:t>500+6ADMC</m:t>
                            </m:r>
                          </m:e>
                        </m:d>
                      </m:num>
                      <m:den>
                        <m:r>
                          <m:rPr>
                            <m:sty m:val="p"/>
                          </m:rPr>
                          <w:rPr>
                            <w:rFonts w:ascii="Cambria Math" w:hAnsi="Cambria Math"/>
                            <w:sz w:val="24"/>
                            <w:lang w:val="en-GB"/>
                          </w:rPr>
                          <m:t>SP</m:t>
                        </m:r>
                      </m:den>
                    </m:f>
                  </m:e>
                </m:d>
              </m:oMath>
            </m:oMathPara>
          </w:p>
        </w:tc>
        <w:tc>
          <w:tcPr>
            <w:tcW w:w="4610" w:type="dxa"/>
          </w:tcPr>
          <w:p w14:paraId="59DCCD94" w14:textId="38FF32AA" w:rsidR="00A07B6A" w:rsidRPr="00D93FF9" w:rsidRDefault="00E811B8" w:rsidP="00A07B6A">
            <w:pPr>
              <w:jc w:val="right"/>
              <w:rPr>
                <w:rFonts w:ascii="Calibri" w:hAnsi="Calibri"/>
                <w:sz w:val="22"/>
                <w:szCs w:val="22"/>
                <w:lang w:val="en-GB"/>
              </w:rPr>
            </w:pPr>
            <w:r w:rsidRPr="00D93FF9">
              <w:rPr>
                <w:rFonts w:ascii="Calibri" w:hAnsi="Calibri"/>
                <w:sz w:val="22"/>
                <w:szCs w:val="22"/>
                <w:lang w:val="en-GB"/>
              </w:rPr>
              <w:t xml:space="preserve">Derived from </w:t>
            </w:r>
            <w:r w:rsidRPr="00D93FF9">
              <w:rPr>
                <w:rFonts w:ascii="Calibri" w:hAnsi="Calibri"/>
                <w:lang w:val="en-GB"/>
              </w:rPr>
              <w:fldChar w:fldCharType="begin"/>
            </w:r>
            <w:r w:rsidRPr="00D93FF9">
              <w:rPr>
                <w:rFonts w:ascii="Calibri" w:hAnsi="Calibri"/>
                <w:sz w:val="22"/>
                <w:szCs w:val="22"/>
                <w:lang w:val="en-GB"/>
              </w:rPr>
              <w:instrText xml:space="preserve"> REF _Ref71621190 \h  \* MERGEFORMAT </w:instrText>
            </w:r>
            <w:r w:rsidRPr="00D93FF9">
              <w:rPr>
                <w:rFonts w:ascii="Calibri" w:hAnsi="Calibri"/>
                <w:lang w:val="en-GB"/>
              </w:rPr>
            </w:r>
            <w:r w:rsidRPr="00D93FF9">
              <w:rPr>
                <w:rFonts w:ascii="Calibri" w:hAnsi="Calibri"/>
                <w:lang w:val="en-GB"/>
              </w:rPr>
              <w:fldChar w:fldCharType="separate"/>
            </w:r>
            <w:r w:rsidR="0069302C" w:rsidRPr="0069302C">
              <w:rPr>
                <w:rFonts w:ascii="Calibri" w:hAnsi="Calibri"/>
                <w:sz w:val="22"/>
                <w:szCs w:val="22"/>
              </w:rPr>
              <w:t xml:space="preserve">Equation </w:t>
            </w:r>
            <w:r w:rsidR="0069302C" w:rsidRPr="0069302C">
              <w:rPr>
                <w:rFonts w:ascii="Calibri" w:hAnsi="Calibri"/>
                <w:noProof/>
                <w:sz w:val="22"/>
                <w:szCs w:val="22"/>
              </w:rPr>
              <w:t>15</w:t>
            </w:r>
            <w:r w:rsidRPr="00D93FF9">
              <w:rPr>
                <w:rFonts w:ascii="Calibri" w:hAnsi="Calibri"/>
                <w:lang w:val="en-GB"/>
              </w:rPr>
              <w:fldChar w:fldCharType="end"/>
            </w:r>
            <w:r w:rsidRPr="00D93FF9">
              <w:rPr>
                <w:rFonts w:ascii="Calibri" w:hAnsi="Calibri"/>
                <w:sz w:val="22"/>
                <w:szCs w:val="22"/>
                <w:lang w:val="en-GB"/>
              </w:rPr>
              <w:t xml:space="preserve"> and </w:t>
            </w:r>
            <w:r w:rsidRPr="00D93FF9">
              <w:rPr>
                <w:rFonts w:ascii="Calibri" w:hAnsi="Calibri"/>
                <w:lang w:val="en-GB"/>
              </w:rPr>
              <w:fldChar w:fldCharType="begin"/>
            </w:r>
            <w:r w:rsidRPr="00D93FF9">
              <w:rPr>
                <w:rFonts w:ascii="Calibri" w:hAnsi="Calibri"/>
                <w:sz w:val="22"/>
                <w:szCs w:val="22"/>
                <w:lang w:val="en-GB"/>
              </w:rPr>
              <w:instrText xml:space="preserve"> REF _Ref71621207 \h  \* MERGEFORMAT </w:instrText>
            </w:r>
            <w:r w:rsidRPr="00D93FF9">
              <w:rPr>
                <w:rFonts w:ascii="Calibri" w:hAnsi="Calibri"/>
                <w:lang w:val="en-GB"/>
              </w:rPr>
            </w:r>
            <w:r w:rsidRPr="00D93FF9">
              <w:rPr>
                <w:rFonts w:ascii="Calibri" w:hAnsi="Calibri"/>
                <w:lang w:val="en-GB"/>
              </w:rPr>
              <w:fldChar w:fldCharType="separate"/>
            </w:r>
            <w:r w:rsidR="0069302C" w:rsidRPr="0069302C">
              <w:rPr>
                <w:rFonts w:ascii="Calibri" w:hAnsi="Calibri"/>
                <w:sz w:val="22"/>
                <w:szCs w:val="22"/>
              </w:rPr>
              <w:t xml:space="preserve">Equation </w:t>
            </w:r>
            <w:r w:rsidR="0069302C" w:rsidRPr="0069302C">
              <w:rPr>
                <w:rFonts w:ascii="Calibri" w:hAnsi="Calibri"/>
                <w:noProof/>
                <w:sz w:val="22"/>
                <w:szCs w:val="22"/>
              </w:rPr>
              <w:t>18</w:t>
            </w:r>
            <w:r w:rsidRPr="00D93FF9">
              <w:rPr>
                <w:rFonts w:ascii="Calibri" w:hAnsi="Calibri"/>
                <w:lang w:val="en-GB"/>
              </w:rPr>
              <w:fldChar w:fldCharType="end"/>
            </w:r>
          </w:p>
        </w:tc>
      </w:tr>
    </w:tbl>
    <w:p w14:paraId="59DCCD96" w14:textId="77777777" w:rsidR="004666E2" w:rsidRPr="00D93FF9" w:rsidRDefault="004666E2" w:rsidP="003807A1">
      <w:pPr>
        <w:spacing w:after="0"/>
        <w:rPr>
          <w:b/>
          <w:position w:val="-4"/>
          <w:lang w:val="en-GB"/>
        </w:rPr>
      </w:pPr>
    </w:p>
    <w:p w14:paraId="59DCCD97" w14:textId="77777777" w:rsidR="00A07B6A" w:rsidRPr="00D93FF9" w:rsidRDefault="00735642" w:rsidP="00A07B6A">
      <w:pPr>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EC</m:t>
              </m:r>
            </m:e>
            <m:sub>
              <m:r>
                <m:rPr>
                  <m:sty m:val="p"/>
                </m:rPr>
                <w:rPr>
                  <w:rFonts w:ascii="Cambria Math" w:hAnsi="Cambria Math"/>
                  <w:lang w:val="en-GB"/>
                </w:rPr>
                <m:t>s</m:t>
              </m:r>
            </m:sub>
          </m:sSub>
          <m:r>
            <m:rPr>
              <m:sty m:val="p"/>
            </m:rPr>
            <w:rPr>
              <w:rFonts w:ascii="Cambria Math" w:hAnsi="Cambria Math"/>
              <w:lang w:val="en-GB"/>
            </w:rPr>
            <m:t>=</m:t>
          </m:r>
          <m:r>
            <m:rPr>
              <m:sty m:val="p"/>
            </m:rPr>
            <w:rPr>
              <w:rFonts w:ascii="Cambria Math" w:hAnsi="Cambria Math"/>
            </w:rPr>
            <m:t>2.2</m:t>
          </m:r>
          <m:r>
            <m:rPr>
              <m:sty m:val="p"/>
            </m:rPr>
            <w:rPr>
              <w:rFonts w:ascii="Cambria Math" w:hAnsi="Cambria Math"/>
              <w:lang w:val="en-GB"/>
            </w:rPr>
            <m:t>×0.9×8.83=17.7 dS/m</m:t>
          </m:r>
        </m:oMath>
      </m:oMathPara>
    </w:p>
    <w:p w14:paraId="59DCCD98" w14:textId="77777777" w:rsidR="00DA61EE" w:rsidRPr="00D93FF9" w:rsidRDefault="00E811B8" w:rsidP="00DA61EE">
      <w:pPr>
        <w:pStyle w:val="Heading5"/>
        <w:rPr>
          <w:lang w:val="en-GB"/>
        </w:rPr>
      </w:pPr>
      <w:r w:rsidRPr="00D93FF9">
        <w:rPr>
          <w:lang w:val="en-GB"/>
        </w:rPr>
        <w:t>Calculate weighted EC of input water EC</w:t>
      </w:r>
      <w:r w:rsidRPr="00D93FF9">
        <w:rPr>
          <w:vertAlign w:val="subscript"/>
          <w:lang w:val="en-GB"/>
        </w:rPr>
        <w:t>i</w:t>
      </w:r>
    </w:p>
    <w:p w14:paraId="59DCCD99" w14:textId="77777777" w:rsidR="00BF4A1D" w:rsidRPr="00D93FF9" w:rsidRDefault="00BF4A1D" w:rsidP="003807A1">
      <w:pPr>
        <w:pStyle w:val="BodyText"/>
        <w:spacing w:after="0"/>
        <w:rPr>
          <w:lang w:val="en-GB"/>
        </w:rPr>
      </w:pPr>
    </w:p>
    <w:tbl>
      <w:tblPr>
        <w:tblStyle w:val="TableGrid"/>
        <w:tblW w:w="9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632"/>
      </w:tblGrid>
      <w:tr w:rsidR="00BE3AA8" w:rsidRPr="00D93FF9" w14:paraId="59DCCD9C" w14:textId="77777777" w:rsidTr="00C00CD4">
        <w:trPr>
          <w:trHeight w:val="859"/>
        </w:trPr>
        <w:tc>
          <w:tcPr>
            <w:tcW w:w="4632" w:type="dxa"/>
          </w:tcPr>
          <w:p w14:paraId="59DCCD9A" w14:textId="77777777" w:rsidR="003C4936" w:rsidRPr="00D93FF9" w:rsidRDefault="00735642" w:rsidP="003807A1">
            <w:pPr>
              <w:pStyle w:val="BodyText"/>
              <w:spacing w:after="0"/>
              <w:rPr>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i</m:t>
                    </m:r>
                  </m:sub>
                </m:sSub>
                <m:r>
                  <m:rPr>
                    <m:sty m:val="p"/>
                  </m:rPr>
                  <w:rPr>
                    <w:rFonts w:ascii="Cambria Math" w:hAnsi="Cambria Math"/>
                    <w:sz w:val="22"/>
                    <w:szCs w:val="22"/>
                    <w:lang w:val="en-GB"/>
                  </w:rPr>
                  <m:t>=</m:t>
                </m:r>
                <m:f>
                  <m:fPr>
                    <m:ctrlPr>
                      <w:rPr>
                        <w:rFonts w:ascii="Cambria Math" w:hAnsi="Cambria Math"/>
                        <w:iCs/>
                        <w:sz w:val="22"/>
                        <w:szCs w:val="22"/>
                        <w:lang w:val="en-GB"/>
                      </w:rPr>
                    </m:ctrlPr>
                  </m:fPr>
                  <m:num>
                    <m:d>
                      <m:dPr>
                        <m:begChr m:val="["/>
                        <m:endChr m:val="]"/>
                        <m:ctrlPr>
                          <w:rPr>
                            <w:rFonts w:ascii="Cambria Math" w:hAnsi="Cambria Math"/>
                            <w:iCs/>
                            <w:sz w:val="22"/>
                            <w:szCs w:val="22"/>
                            <w:lang w:val="en-GB"/>
                          </w:rPr>
                        </m:ctrlPr>
                      </m:dPr>
                      <m:e>
                        <m:d>
                          <m:dPr>
                            <m:ctrlPr>
                              <w:rPr>
                                <w:rFonts w:ascii="Cambria Math" w:hAnsi="Cambria Math"/>
                                <w:iCs/>
                                <w:sz w:val="22"/>
                                <w:szCs w:val="22"/>
                                <w:lang w:val="en-GB"/>
                              </w:rPr>
                            </m:ctrlPr>
                          </m:dPr>
                          <m:e>
                            <m:sSub>
                              <m:sSubPr>
                                <m:ctrlPr>
                                  <w:rPr>
                                    <w:rFonts w:ascii="Cambria Math" w:hAnsi="Cambria Math"/>
                                    <w:iCs/>
                                    <w:sz w:val="22"/>
                                    <w:szCs w:val="22"/>
                                    <w:lang w:val="en-GB"/>
                                  </w:rPr>
                                </m:ctrlPr>
                              </m:sSubPr>
                              <m:e>
                                <m:r>
                                  <m:rPr>
                                    <m:sty m:val="p"/>
                                  </m:rPr>
                                  <w:rPr>
                                    <w:rFonts w:ascii="Cambria Math" w:hAnsi="Cambria Math"/>
                                    <w:sz w:val="22"/>
                                    <w:szCs w:val="22"/>
                                    <w:lang w:val="en-GB"/>
                                  </w:rPr>
                                  <m:t>D</m:t>
                                </m:r>
                              </m:e>
                              <m:sub>
                                <m:r>
                                  <m:rPr>
                                    <m:sty m:val="p"/>
                                  </m:rPr>
                                  <w:rPr>
                                    <w:rFonts w:ascii="Cambria Math" w:hAnsi="Cambria Math"/>
                                    <w:sz w:val="22"/>
                                    <w:szCs w:val="22"/>
                                    <w:lang w:val="en-GB"/>
                                  </w:rPr>
                                  <m:t>iw</m:t>
                                </m:r>
                              </m:sub>
                            </m:sSub>
                            <m:r>
                              <m:rPr>
                                <m:sty m:val="p"/>
                              </m:rPr>
                              <w:rPr>
                                <w:rFonts w:ascii="Cambria Math" w:hAnsi="Cambria Math"/>
                                <w:sz w:val="22"/>
                                <w:szCs w:val="22"/>
                                <w:lang w:val="en-GB"/>
                              </w:rPr>
                              <m:t>×</m:t>
                            </m:r>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iw</m:t>
                                </m:r>
                              </m:sub>
                            </m:sSub>
                          </m:e>
                        </m:d>
                        <m:r>
                          <m:rPr>
                            <m:sty m:val="p"/>
                          </m:rPr>
                          <w:rPr>
                            <w:rFonts w:ascii="Cambria Math" w:hAnsi="Cambria Math"/>
                            <w:sz w:val="22"/>
                            <w:szCs w:val="22"/>
                            <w:lang w:val="en-GB"/>
                          </w:rPr>
                          <m:t>+</m:t>
                        </m:r>
                        <m:d>
                          <m:dPr>
                            <m:ctrlPr>
                              <w:rPr>
                                <w:rFonts w:ascii="Cambria Math" w:hAnsi="Cambria Math"/>
                                <w:iCs/>
                                <w:sz w:val="22"/>
                                <w:szCs w:val="22"/>
                                <w:lang w:val="en-GB"/>
                              </w:rPr>
                            </m:ctrlPr>
                          </m:dPr>
                          <m:e>
                            <m:sSub>
                              <m:sSubPr>
                                <m:ctrlPr>
                                  <w:rPr>
                                    <w:rFonts w:ascii="Cambria Math" w:hAnsi="Cambria Math"/>
                                    <w:iCs/>
                                    <w:sz w:val="22"/>
                                    <w:szCs w:val="22"/>
                                    <w:lang w:val="en-GB"/>
                                  </w:rPr>
                                </m:ctrlPr>
                              </m:sSubPr>
                              <m:e>
                                <m:r>
                                  <m:rPr>
                                    <m:sty m:val="p"/>
                                  </m:rPr>
                                  <w:rPr>
                                    <w:rFonts w:ascii="Cambria Math" w:hAnsi="Cambria Math"/>
                                    <w:sz w:val="22"/>
                                    <w:szCs w:val="22"/>
                                    <w:lang w:val="en-GB"/>
                                  </w:rPr>
                                  <m:t>D</m:t>
                                </m:r>
                              </m:e>
                              <m:sub>
                                <m:r>
                                  <m:rPr>
                                    <m:sty m:val="p"/>
                                  </m:rPr>
                                  <w:rPr>
                                    <w:rFonts w:ascii="Cambria Math" w:hAnsi="Cambria Math"/>
                                    <w:sz w:val="22"/>
                                    <w:szCs w:val="22"/>
                                    <w:lang w:val="en-GB"/>
                                  </w:rPr>
                                  <m:t>r</m:t>
                                </m:r>
                              </m:sub>
                            </m:sSub>
                            <m:r>
                              <m:rPr>
                                <m:sty m:val="p"/>
                              </m:rPr>
                              <w:rPr>
                                <w:rFonts w:ascii="Cambria Math" w:hAnsi="Cambria Math"/>
                                <w:sz w:val="22"/>
                                <w:szCs w:val="22"/>
                                <w:lang w:val="en-GB"/>
                              </w:rPr>
                              <m:t>×</m:t>
                            </m:r>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r</m:t>
                                </m:r>
                              </m:sub>
                            </m:sSub>
                          </m:e>
                        </m:d>
                      </m:e>
                    </m:d>
                  </m:num>
                  <m:den>
                    <m:sSub>
                      <m:sSubPr>
                        <m:ctrlPr>
                          <w:rPr>
                            <w:rFonts w:ascii="Cambria Math" w:hAnsi="Cambria Math"/>
                            <w:iCs/>
                            <w:sz w:val="22"/>
                            <w:szCs w:val="22"/>
                            <w:lang w:val="en-GB"/>
                          </w:rPr>
                        </m:ctrlPr>
                      </m:sSubPr>
                      <m:e>
                        <m:r>
                          <m:rPr>
                            <m:sty m:val="p"/>
                          </m:rPr>
                          <w:rPr>
                            <w:rFonts w:ascii="Cambria Math" w:hAnsi="Cambria Math"/>
                            <w:sz w:val="22"/>
                            <w:szCs w:val="22"/>
                            <w:lang w:val="en-GB"/>
                          </w:rPr>
                          <m:t>D</m:t>
                        </m:r>
                      </m:e>
                      <m:sub>
                        <m:r>
                          <m:rPr>
                            <m:sty m:val="p"/>
                          </m:rPr>
                          <w:rPr>
                            <w:rFonts w:ascii="Cambria Math" w:hAnsi="Cambria Math"/>
                            <w:sz w:val="22"/>
                            <w:szCs w:val="22"/>
                            <w:lang w:val="en-GB"/>
                          </w:rPr>
                          <m:t>i</m:t>
                        </m:r>
                      </m:sub>
                    </m:sSub>
                  </m:den>
                </m:f>
              </m:oMath>
            </m:oMathPara>
          </w:p>
        </w:tc>
        <w:tc>
          <w:tcPr>
            <w:tcW w:w="4632" w:type="dxa"/>
          </w:tcPr>
          <w:p w14:paraId="59DCCD9B" w14:textId="0B809B33" w:rsidR="003C4936" w:rsidRPr="00D93FF9" w:rsidRDefault="00E811B8" w:rsidP="003C4936">
            <w:pPr>
              <w:pStyle w:val="BodyText"/>
              <w:spacing w:after="0"/>
              <w:jc w:val="right"/>
              <w:rPr>
                <w:rFonts w:asciiTheme="minorHAnsi" w:hAnsiTheme="minorHAnsi"/>
                <w:sz w:val="22"/>
                <w:szCs w:val="22"/>
                <w:lang w:val="en-GB"/>
              </w:rPr>
            </w:pPr>
            <w:r w:rsidRPr="00D93FF9">
              <w:rPr>
                <w:rFonts w:asciiTheme="minorHAnsi" w:hAnsiTheme="minorHAnsi"/>
                <w:sz w:val="22"/>
                <w:szCs w:val="22"/>
                <w:lang w:val="en-GB"/>
              </w:rPr>
              <w:t xml:space="preserve">From </w:t>
            </w:r>
            <w:r w:rsidRPr="00D93FF9">
              <w:rPr>
                <w:lang w:val="en-GB"/>
              </w:rPr>
              <w:fldChar w:fldCharType="begin"/>
            </w:r>
            <w:r w:rsidRPr="00D93FF9">
              <w:rPr>
                <w:rFonts w:asciiTheme="minorHAnsi" w:hAnsiTheme="minorHAnsi"/>
                <w:sz w:val="22"/>
                <w:szCs w:val="22"/>
                <w:lang w:val="en-GB"/>
              </w:rPr>
              <w:instrText xml:space="preserve"> REF _Ref70605126 \h  \* MERGEFORMAT </w:instrText>
            </w:r>
            <w:r w:rsidRPr="00D93FF9">
              <w:rPr>
                <w:lang w:val="en-GB"/>
              </w:rPr>
            </w:r>
            <w:r w:rsidRPr="00D93FF9">
              <w:rPr>
                <w:lang w:val="en-GB"/>
              </w:rPr>
              <w:fldChar w:fldCharType="separate"/>
            </w:r>
            <w:r w:rsidR="0069302C" w:rsidRPr="0069302C">
              <w:rPr>
                <w:rFonts w:asciiTheme="minorHAnsi" w:hAnsiTheme="minorHAnsi"/>
                <w:sz w:val="22"/>
                <w:szCs w:val="22"/>
              </w:rPr>
              <w:t xml:space="preserve">Equation </w:t>
            </w:r>
            <w:r w:rsidR="0069302C" w:rsidRPr="0069302C">
              <w:rPr>
                <w:rFonts w:asciiTheme="minorHAnsi" w:hAnsiTheme="minorHAnsi"/>
                <w:noProof/>
                <w:sz w:val="22"/>
                <w:szCs w:val="22"/>
              </w:rPr>
              <w:t>5</w:t>
            </w:r>
            <w:r w:rsidRPr="00D93FF9">
              <w:rPr>
                <w:lang w:val="en-GB"/>
              </w:rPr>
              <w:fldChar w:fldCharType="end"/>
            </w:r>
          </w:p>
        </w:tc>
      </w:tr>
    </w:tbl>
    <w:p w14:paraId="59DCCD9D" w14:textId="77777777" w:rsidR="00A07B6A" w:rsidRPr="00D93FF9" w:rsidRDefault="00A07B6A" w:rsidP="003807A1">
      <w:pPr>
        <w:pStyle w:val="BodyText"/>
        <w:spacing w:after="0"/>
        <w:rPr>
          <w:lang w:val="en-GB"/>
        </w:rPr>
      </w:pPr>
    </w:p>
    <w:p w14:paraId="59DCCD9E" w14:textId="77777777" w:rsidR="00A07B6A" w:rsidRPr="00D93FF9" w:rsidRDefault="00735642" w:rsidP="003807A1">
      <w:pPr>
        <w:pStyle w:val="BodyText"/>
        <w:spacing w:after="0"/>
        <w:rPr>
          <w:lang w:val="en-GB"/>
        </w:rPr>
      </w:pPr>
      <m:oMathPara>
        <m:oMathParaPr>
          <m:jc m:val="left"/>
        </m:oMathParaPr>
        <m:oMath>
          <m:sSub>
            <m:sSubPr>
              <m:ctrlPr>
                <w:rPr>
                  <w:rFonts w:ascii="Cambria Math" w:hAnsi="Cambria Math"/>
                  <w:iCs/>
                  <w:lang w:val="en-GB"/>
                </w:rPr>
              </m:ctrlPr>
            </m:sSubPr>
            <m:e>
              <m:r>
                <m:rPr>
                  <m:sty m:val="p"/>
                </m:rPr>
                <w:rPr>
                  <w:rFonts w:ascii="Cambria Math" w:hAnsi="Cambria Math"/>
                  <w:lang w:val="en-GB"/>
                </w:rPr>
                <m:t>EC</m:t>
              </m:r>
            </m:e>
            <m:sub>
              <m:r>
                <m:rPr>
                  <m:sty m:val="p"/>
                </m:rPr>
                <w:rPr>
                  <w:rFonts w:ascii="Cambria Math" w:hAnsi="Cambria Math"/>
                  <w:lang w:val="en-GB"/>
                </w:rPr>
                <m:t>i</m:t>
              </m:r>
            </m:sub>
          </m:sSub>
          <m:r>
            <m:rPr>
              <m:sty m:val="p"/>
            </m:rPr>
            <w:rPr>
              <w:rFonts w:ascii="Cambria Math" w:hAnsi="Cambria Math"/>
              <w:lang w:val="en-GB"/>
            </w:rPr>
            <m:t>=</m:t>
          </m:r>
          <m:f>
            <m:fPr>
              <m:ctrlPr>
                <w:rPr>
                  <w:rFonts w:ascii="Cambria Math" w:hAnsi="Cambria Math"/>
                  <w:iCs/>
                  <w:lang w:val="en-GB"/>
                </w:rPr>
              </m:ctrlPr>
            </m:fPr>
            <m:num>
              <m:d>
                <m:dPr>
                  <m:begChr m:val="["/>
                  <m:endChr m:val="]"/>
                  <m:ctrlPr>
                    <w:rPr>
                      <w:rFonts w:ascii="Cambria Math" w:hAnsi="Cambria Math"/>
                      <w:iCs/>
                      <w:lang w:val="en-GB"/>
                    </w:rPr>
                  </m:ctrlPr>
                </m:dPr>
                <m:e>
                  <m:d>
                    <m:dPr>
                      <m:ctrlPr>
                        <w:rPr>
                          <w:rFonts w:ascii="Cambria Math" w:hAnsi="Cambria Math"/>
                          <w:iCs/>
                          <w:lang w:val="en-GB"/>
                        </w:rPr>
                      </m:ctrlPr>
                    </m:dPr>
                    <m:e>
                      <m:r>
                        <m:rPr>
                          <m:sty m:val="p"/>
                        </m:rPr>
                        <w:rPr>
                          <w:rFonts w:ascii="Cambria Math" w:hAnsi="Cambria Math"/>
                          <w:lang w:val="en-GB"/>
                        </w:rPr>
                        <m:t>600×1.7</m:t>
                      </m:r>
                    </m:e>
                  </m:d>
                  <m:r>
                    <m:rPr>
                      <m:sty m:val="p"/>
                    </m:rPr>
                    <w:rPr>
                      <w:rFonts w:ascii="Cambria Math" w:hAnsi="Cambria Math"/>
                      <w:lang w:val="en-GB"/>
                    </w:rPr>
                    <m:t>+</m:t>
                  </m:r>
                  <m:d>
                    <m:dPr>
                      <m:ctrlPr>
                        <w:rPr>
                          <w:rFonts w:ascii="Cambria Math" w:hAnsi="Cambria Math"/>
                          <w:iCs/>
                          <w:lang w:val="en-GB"/>
                        </w:rPr>
                      </m:ctrlPr>
                    </m:dPr>
                    <m:e>
                      <m:r>
                        <m:rPr>
                          <m:sty m:val="p"/>
                        </m:rPr>
                        <w:rPr>
                          <w:rFonts w:ascii="Cambria Math" w:hAnsi="Cambria Math"/>
                          <w:lang w:val="en-GB"/>
                        </w:rPr>
                        <m:t>650×0.03</m:t>
                      </m:r>
                    </m:e>
                  </m:d>
                </m:e>
              </m:d>
            </m:num>
            <m:den>
              <m:r>
                <m:rPr>
                  <m:sty m:val="p"/>
                </m:rPr>
                <w:rPr>
                  <w:rFonts w:ascii="Cambria Math" w:hAnsi="Cambria Math"/>
                  <w:lang w:val="en-GB"/>
                </w:rPr>
                <m:t>1250</m:t>
              </m:r>
            </m:den>
          </m:f>
          <m:r>
            <w:rPr>
              <w:rFonts w:ascii="Cambria Math" w:hAnsi="Cambria Math"/>
              <w:lang w:val="en-GB"/>
            </w:rPr>
            <m:t>=0.83</m:t>
          </m:r>
        </m:oMath>
      </m:oMathPara>
    </w:p>
    <w:p w14:paraId="59DCCD9F" w14:textId="77777777" w:rsidR="00C46175" w:rsidRPr="00D93FF9" w:rsidRDefault="00E811B8" w:rsidP="00D20FA2">
      <w:pPr>
        <w:pStyle w:val="Heading5"/>
        <w:rPr>
          <w:lang w:val="en-GB"/>
        </w:rPr>
      </w:pPr>
      <w:r w:rsidRPr="00D93FF9">
        <w:rPr>
          <w:lang w:val="en-GB"/>
        </w:rPr>
        <w:t>Calculate leaching fraction (bottom of root zone)</w:t>
      </w:r>
    </w:p>
    <w:p w14:paraId="59DCCDA0" w14:textId="77777777" w:rsidR="00D20FA2" w:rsidRPr="00D93FF9" w:rsidRDefault="00D20FA2" w:rsidP="003807A1">
      <w:pPr>
        <w:spacing w:after="0"/>
        <w:rPr>
          <w:sz w:val="17"/>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DA3" w14:textId="77777777" w:rsidTr="00AC0D86">
        <w:tc>
          <w:tcPr>
            <w:tcW w:w="4505" w:type="dxa"/>
          </w:tcPr>
          <w:p w14:paraId="59DCCDA1" w14:textId="77777777" w:rsidR="00973919" w:rsidRPr="00D93FF9" w:rsidRDefault="00E811B8" w:rsidP="003807A1">
            <w:pPr>
              <w:spacing w:after="0"/>
              <w:rPr>
                <w:sz w:val="22"/>
                <w:szCs w:val="22"/>
                <w:lang w:val="en-GB"/>
              </w:rPr>
            </w:pPr>
            <m:oMathPara>
              <m:oMathParaPr>
                <m:jc m:val="left"/>
              </m:oMathParaPr>
              <m:oMath>
                <m:r>
                  <m:rPr>
                    <m:sty m:val="p"/>
                  </m:rPr>
                  <w:rPr>
                    <w:rFonts w:ascii="Cambria Math" w:hAnsi="Cambria Math"/>
                    <w:sz w:val="22"/>
                    <w:szCs w:val="22"/>
                    <w:lang w:val="en-GB"/>
                  </w:rPr>
                  <m:t>LF=</m:t>
                </m:r>
                <m:f>
                  <m:fPr>
                    <m:ctrlPr>
                      <w:rPr>
                        <w:rFonts w:ascii="Cambria Math" w:hAnsi="Cambria Math"/>
                        <w:iCs/>
                        <w:sz w:val="22"/>
                        <w:szCs w:val="22"/>
                        <w:lang w:val="en-GB"/>
                      </w:rPr>
                    </m:ctrlPr>
                  </m:fPr>
                  <m:num>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i</m:t>
                        </m:r>
                      </m:sub>
                    </m:sSub>
                  </m:num>
                  <m:den>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s</m:t>
                        </m:r>
                      </m:sub>
                    </m:sSub>
                  </m:den>
                </m:f>
                <m:r>
                  <m:rPr>
                    <m:sty m:val="p"/>
                  </m:rPr>
                  <w:rPr>
                    <w:rFonts w:ascii="Cambria Math" w:hAnsi="Cambria Math"/>
                    <w:sz w:val="22"/>
                    <w:szCs w:val="22"/>
                    <w:lang w:val="en-GB"/>
                  </w:rPr>
                  <m:t>=0.047~5%</m:t>
                </m:r>
              </m:oMath>
            </m:oMathPara>
          </w:p>
        </w:tc>
        <w:tc>
          <w:tcPr>
            <w:tcW w:w="4505" w:type="dxa"/>
          </w:tcPr>
          <w:p w14:paraId="59DCCDA2" w14:textId="5317D7DF" w:rsidR="00973919" w:rsidRPr="00D93FF9" w:rsidRDefault="00E811B8" w:rsidP="00973919">
            <w:pPr>
              <w:spacing w:after="0"/>
              <w:jc w:val="right"/>
              <w:rPr>
                <w:rFonts w:asciiTheme="minorHAnsi" w:hAnsiTheme="minorHAnsi"/>
                <w:sz w:val="22"/>
                <w:szCs w:val="22"/>
                <w:lang w:val="en-GB"/>
              </w:rPr>
            </w:pPr>
            <w:r w:rsidRPr="00D93FF9">
              <w:rPr>
                <w:rFonts w:asciiTheme="minorHAnsi" w:hAnsiTheme="minorHAnsi"/>
                <w:sz w:val="22"/>
                <w:szCs w:val="22"/>
                <w:lang w:val="en-GB"/>
              </w:rPr>
              <w:t xml:space="preserve">From </w:t>
            </w:r>
            <w:r w:rsidRPr="00D93FF9">
              <w:rPr>
                <w:lang w:val="en-GB"/>
              </w:rPr>
              <w:fldChar w:fldCharType="begin"/>
            </w:r>
            <w:r w:rsidRPr="00D93FF9">
              <w:rPr>
                <w:rFonts w:asciiTheme="minorHAnsi" w:hAnsiTheme="minorHAnsi"/>
                <w:sz w:val="22"/>
                <w:szCs w:val="22"/>
                <w:lang w:val="en-GB"/>
              </w:rPr>
              <w:instrText xml:space="preserve"> REF _Ref71187988 \h  \* MERGEFORMAT </w:instrText>
            </w:r>
            <w:r w:rsidRPr="00D93FF9">
              <w:rPr>
                <w:lang w:val="en-GB"/>
              </w:rPr>
            </w:r>
            <w:r w:rsidRPr="00D93FF9">
              <w:rPr>
                <w:lang w:val="en-GB"/>
              </w:rPr>
              <w:fldChar w:fldCharType="separate"/>
            </w:r>
            <w:r w:rsidR="0069302C" w:rsidRPr="0069302C">
              <w:rPr>
                <w:rFonts w:asciiTheme="minorHAnsi" w:hAnsiTheme="minorHAnsi"/>
                <w:sz w:val="22"/>
                <w:szCs w:val="22"/>
              </w:rPr>
              <w:t xml:space="preserve">Equation </w:t>
            </w:r>
            <w:r w:rsidR="0069302C" w:rsidRPr="0069302C">
              <w:rPr>
                <w:rFonts w:asciiTheme="minorHAnsi" w:hAnsiTheme="minorHAnsi"/>
                <w:noProof/>
                <w:sz w:val="22"/>
                <w:szCs w:val="22"/>
              </w:rPr>
              <w:t>10</w:t>
            </w:r>
            <w:r w:rsidRPr="00D93FF9">
              <w:rPr>
                <w:lang w:val="en-GB"/>
              </w:rPr>
              <w:fldChar w:fldCharType="end"/>
            </w:r>
          </w:p>
        </w:tc>
      </w:tr>
    </w:tbl>
    <w:p w14:paraId="59DCCDA4" w14:textId="77777777" w:rsidR="003C4936" w:rsidRPr="00D93FF9" w:rsidRDefault="003C4936" w:rsidP="003807A1">
      <w:pPr>
        <w:spacing w:after="0"/>
        <w:rPr>
          <w:sz w:val="17"/>
          <w:lang w:val="en-GB"/>
        </w:rPr>
      </w:pPr>
    </w:p>
    <w:p w14:paraId="59DCCDA5" w14:textId="77777777" w:rsidR="00C46175" w:rsidRPr="00D93FF9" w:rsidRDefault="00E811B8" w:rsidP="007B0818">
      <w:pPr>
        <w:pStyle w:val="Heading5"/>
        <w:rPr>
          <w:lang w:val="en-GB"/>
        </w:rPr>
      </w:pPr>
      <w:r w:rsidRPr="00D93FF9">
        <w:rPr>
          <w:lang w:val="en-GB"/>
        </w:rPr>
        <w:t xml:space="preserve">Calculate </w:t>
      </w:r>
      <w:r w:rsidR="004B6606" w:rsidRPr="00D93FF9">
        <w:rPr>
          <w:lang w:val="en-GB"/>
        </w:rPr>
        <w:t xml:space="preserve">average root zone </w:t>
      </w:r>
      <w:r w:rsidRPr="00D93FF9">
        <w:rPr>
          <w:lang w:val="en-GB"/>
        </w:rPr>
        <w:t>leaching fraction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DA8" w14:textId="77777777" w:rsidTr="00AC0D86">
        <w:tc>
          <w:tcPr>
            <w:tcW w:w="4505" w:type="dxa"/>
          </w:tcPr>
          <w:p w14:paraId="59DCCDA6" w14:textId="77777777" w:rsidR="00973919" w:rsidRPr="00D93FF9" w:rsidRDefault="00735642" w:rsidP="00973919">
            <w:pPr>
              <w:rPr>
                <w:sz w:val="22"/>
                <w:szCs w:val="22"/>
                <w:lang w:val="en-GB"/>
              </w:rPr>
            </w:pPr>
            <m:oMathPara>
              <m:oMath>
                <m:sSub>
                  <m:sSubPr>
                    <m:ctrlPr>
                      <w:rPr>
                        <w:rFonts w:ascii="Cambria Math" w:hAnsi="Cambria Math"/>
                        <w:iCs/>
                        <w:sz w:val="22"/>
                        <w:szCs w:val="22"/>
                        <w:lang w:val="en-GB"/>
                      </w:rPr>
                    </m:ctrlPr>
                  </m:sSubPr>
                  <m:e>
                    <m:r>
                      <m:rPr>
                        <m:sty m:val="p"/>
                      </m:rPr>
                      <w:rPr>
                        <w:rFonts w:ascii="Cambria Math" w:hAnsi="Cambria Math"/>
                        <w:sz w:val="22"/>
                        <w:szCs w:val="22"/>
                        <w:lang w:val="en-GB"/>
                      </w:rPr>
                      <m:t>LF</m:t>
                    </m:r>
                  </m:e>
                  <m:sub>
                    <m:r>
                      <m:rPr>
                        <m:sty m:val="p"/>
                      </m:rPr>
                      <w:rPr>
                        <w:rFonts w:ascii="Cambria Math" w:hAnsi="Cambria Math"/>
                        <w:sz w:val="22"/>
                        <w:szCs w:val="22"/>
                        <w:lang w:val="en-GB"/>
                      </w:rPr>
                      <m:t>av</m:t>
                    </m:r>
                  </m:sub>
                </m:sSub>
                <m:r>
                  <m:rPr>
                    <m:sty m:val="p"/>
                  </m:rPr>
                  <w:rPr>
                    <w:rFonts w:ascii="Cambria Math" w:hAnsi="Cambria Math"/>
                    <w:sz w:val="22"/>
                    <w:szCs w:val="22"/>
                    <w:lang w:val="en-GB"/>
                  </w:rPr>
                  <m:t>=</m:t>
                </m:r>
                <m:sSup>
                  <m:sSupPr>
                    <m:ctrlPr>
                      <w:rPr>
                        <w:rFonts w:ascii="Cambria Math" w:hAnsi="Cambria Math"/>
                        <w:iCs/>
                        <w:sz w:val="22"/>
                        <w:szCs w:val="22"/>
                        <w:lang w:val="en-GB"/>
                      </w:rPr>
                    </m:ctrlPr>
                  </m:sSupPr>
                  <m:e>
                    <m:d>
                      <m:dPr>
                        <m:ctrlPr>
                          <w:rPr>
                            <w:rFonts w:ascii="Cambria Math" w:hAnsi="Cambria Math"/>
                            <w:iCs/>
                            <w:sz w:val="22"/>
                            <w:szCs w:val="22"/>
                            <w:lang w:val="en-GB"/>
                          </w:rPr>
                        </m:ctrlPr>
                      </m:dPr>
                      <m:e>
                        <m:r>
                          <m:rPr>
                            <m:sty m:val="p"/>
                          </m:rPr>
                          <w:rPr>
                            <w:rFonts w:ascii="Cambria Math" w:hAnsi="Cambria Math"/>
                            <w:sz w:val="22"/>
                            <w:szCs w:val="22"/>
                            <w:lang w:val="en-GB"/>
                          </w:rPr>
                          <m:t>0.976×LF+0.022</m:t>
                        </m:r>
                      </m:e>
                    </m:d>
                  </m:e>
                  <m:sup>
                    <m:r>
                      <m:rPr>
                        <m:sty m:val="p"/>
                      </m:rPr>
                      <w:rPr>
                        <w:rFonts w:ascii="Cambria Math" w:hAnsi="Cambria Math"/>
                        <w:sz w:val="22"/>
                        <w:szCs w:val="22"/>
                        <w:lang w:val="en-GB"/>
                      </w:rPr>
                      <m:t>0.625</m:t>
                    </m:r>
                  </m:sup>
                </m:sSup>
                <m:r>
                  <m:rPr>
                    <m:sty m:val="p"/>
                  </m:rPr>
                  <w:rPr>
                    <w:rFonts w:ascii="Cambria Math" w:hAnsi="Cambria Math"/>
                    <w:sz w:val="22"/>
                    <w:szCs w:val="22"/>
                    <w:lang w:val="en-GB"/>
                  </w:rPr>
                  <m:t>=0.19=19%</m:t>
                </m:r>
              </m:oMath>
            </m:oMathPara>
          </w:p>
        </w:tc>
        <w:tc>
          <w:tcPr>
            <w:tcW w:w="4505" w:type="dxa"/>
          </w:tcPr>
          <w:p w14:paraId="59DCCDA7" w14:textId="58698F12" w:rsidR="00973919" w:rsidRPr="00D93FF9" w:rsidRDefault="00E811B8" w:rsidP="00973919">
            <w:pPr>
              <w:jc w:val="right"/>
              <w:rPr>
                <w:rFonts w:asciiTheme="minorHAnsi" w:hAnsiTheme="minorHAnsi"/>
                <w:sz w:val="22"/>
                <w:szCs w:val="22"/>
                <w:lang w:val="en-GB"/>
              </w:rPr>
            </w:pPr>
            <w:r w:rsidRPr="00D93FF9">
              <w:rPr>
                <w:rFonts w:asciiTheme="minorHAnsi" w:hAnsiTheme="minorHAnsi"/>
                <w:sz w:val="22"/>
                <w:szCs w:val="22"/>
                <w:lang w:val="en-GB"/>
              </w:rPr>
              <w:t xml:space="preserve">From </w:t>
            </w:r>
            <w:r w:rsidRPr="00D93FF9">
              <w:rPr>
                <w:lang w:val="en-GB"/>
              </w:rPr>
              <w:fldChar w:fldCharType="begin"/>
            </w:r>
            <w:r w:rsidRPr="00D93FF9">
              <w:rPr>
                <w:rFonts w:asciiTheme="minorHAnsi" w:hAnsiTheme="minorHAnsi"/>
                <w:sz w:val="22"/>
                <w:szCs w:val="22"/>
                <w:lang w:val="en-GB"/>
              </w:rPr>
              <w:instrText xml:space="preserve"> REF _Ref71621708 \h  \* MERGEFORMAT </w:instrText>
            </w:r>
            <w:r w:rsidRPr="00D93FF9">
              <w:rPr>
                <w:lang w:val="en-GB"/>
              </w:rPr>
            </w:r>
            <w:r w:rsidRPr="00D93FF9">
              <w:rPr>
                <w:lang w:val="en-GB"/>
              </w:rPr>
              <w:fldChar w:fldCharType="separate"/>
            </w:r>
            <w:r w:rsidR="0069302C" w:rsidRPr="0069302C">
              <w:rPr>
                <w:rFonts w:asciiTheme="minorHAnsi" w:hAnsiTheme="minorHAnsi"/>
                <w:sz w:val="22"/>
                <w:szCs w:val="22"/>
              </w:rPr>
              <w:t xml:space="preserve">Equation </w:t>
            </w:r>
            <w:r w:rsidR="0069302C" w:rsidRPr="0069302C">
              <w:rPr>
                <w:rFonts w:asciiTheme="minorHAnsi" w:hAnsiTheme="minorHAnsi"/>
                <w:noProof/>
                <w:sz w:val="22"/>
                <w:szCs w:val="22"/>
              </w:rPr>
              <w:t>13</w:t>
            </w:r>
            <w:r w:rsidRPr="00D93FF9">
              <w:rPr>
                <w:lang w:val="en-GB"/>
              </w:rPr>
              <w:fldChar w:fldCharType="end"/>
            </w:r>
          </w:p>
        </w:tc>
      </w:tr>
    </w:tbl>
    <w:p w14:paraId="59DCCDA9" w14:textId="77777777" w:rsidR="004B6606" w:rsidRPr="00D93FF9" w:rsidRDefault="00E811B8" w:rsidP="004B6606">
      <w:pPr>
        <w:pStyle w:val="Heading5"/>
        <w:rPr>
          <w:lang w:val="en-GB"/>
        </w:rPr>
      </w:pPr>
      <w:r w:rsidRPr="00D93FF9">
        <w:rPr>
          <w:lang w:val="en-GB"/>
        </w:rPr>
        <w:t>Predicted average root zone salinity as Saturation Extract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DAC" w14:textId="77777777" w:rsidTr="00AC0D86">
        <w:tc>
          <w:tcPr>
            <w:tcW w:w="4505" w:type="dxa"/>
          </w:tcPr>
          <w:p w14:paraId="59DCCDAA" w14:textId="77777777" w:rsidR="00D04679" w:rsidRPr="00D93FF9" w:rsidRDefault="00735642" w:rsidP="00D04679">
            <w:pPr>
              <w:rPr>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se</m:t>
                    </m:r>
                  </m:sub>
                </m:sSub>
                <m:r>
                  <m:rPr>
                    <m:sty m:val="p"/>
                  </m:rPr>
                  <w:rPr>
                    <w:rFonts w:ascii="Cambria Math" w:hAnsi="Cambria Math"/>
                    <w:sz w:val="22"/>
                    <w:szCs w:val="22"/>
                    <w:lang w:val="en-GB"/>
                  </w:rPr>
                  <m:t>=</m:t>
                </m:r>
                <m:f>
                  <m:fPr>
                    <m:ctrlPr>
                      <w:rPr>
                        <w:rFonts w:ascii="Cambria Math" w:hAnsi="Cambria Math"/>
                        <w:iCs/>
                        <w:sz w:val="22"/>
                        <w:szCs w:val="22"/>
                        <w:lang w:val="en-GB"/>
                      </w:rPr>
                    </m:ctrlPr>
                  </m:fPr>
                  <m:num>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i</m:t>
                        </m:r>
                      </m:sub>
                    </m:sSub>
                  </m:num>
                  <m:den>
                    <m:d>
                      <m:dPr>
                        <m:ctrlPr>
                          <w:rPr>
                            <w:rFonts w:ascii="Cambria Math" w:hAnsi="Cambria Math"/>
                            <w:iCs/>
                            <w:sz w:val="22"/>
                            <w:szCs w:val="22"/>
                            <w:lang w:val="en-GB"/>
                          </w:rPr>
                        </m:ctrlPr>
                      </m:dPr>
                      <m:e>
                        <m:r>
                          <m:rPr>
                            <m:sty m:val="p"/>
                          </m:rPr>
                          <w:rPr>
                            <w:rFonts w:ascii="Cambria Math" w:hAnsi="Cambria Math"/>
                            <w:sz w:val="22"/>
                            <w:szCs w:val="22"/>
                            <w:lang w:val="en-GB"/>
                          </w:rPr>
                          <m:t>2.2×</m:t>
                        </m:r>
                        <m:sSub>
                          <m:sSubPr>
                            <m:ctrlPr>
                              <w:rPr>
                                <w:rFonts w:ascii="Cambria Math" w:hAnsi="Cambria Math"/>
                                <w:iCs/>
                                <w:sz w:val="22"/>
                                <w:szCs w:val="22"/>
                                <w:lang w:val="en-GB"/>
                              </w:rPr>
                            </m:ctrlPr>
                          </m:sSubPr>
                          <m:e>
                            <m:r>
                              <m:rPr>
                                <m:sty m:val="p"/>
                              </m:rPr>
                              <w:rPr>
                                <w:rFonts w:ascii="Cambria Math" w:hAnsi="Cambria Math"/>
                                <w:sz w:val="22"/>
                                <w:szCs w:val="22"/>
                                <w:lang w:val="en-GB"/>
                              </w:rPr>
                              <m:t>LF</m:t>
                            </m:r>
                          </m:e>
                          <m:sub>
                            <m:r>
                              <m:rPr>
                                <m:sty m:val="p"/>
                              </m:rPr>
                              <w:rPr>
                                <w:rFonts w:ascii="Cambria Math" w:hAnsi="Cambria Math"/>
                                <w:sz w:val="22"/>
                                <w:szCs w:val="22"/>
                                <w:lang w:val="en-GB"/>
                              </w:rPr>
                              <m:t>av</m:t>
                            </m:r>
                          </m:sub>
                        </m:sSub>
                      </m:e>
                    </m:d>
                  </m:den>
                </m:f>
                <m:r>
                  <m:rPr>
                    <m:sty m:val="p"/>
                  </m:rPr>
                  <w:rPr>
                    <w:rFonts w:ascii="Cambria Math" w:hAnsi="Cambria Math"/>
                    <w:sz w:val="22"/>
                    <w:szCs w:val="22"/>
                    <w:lang w:val="en-GB"/>
                  </w:rPr>
                  <m:t>=2.0 dS/m</m:t>
                </m:r>
              </m:oMath>
            </m:oMathPara>
          </w:p>
        </w:tc>
        <w:tc>
          <w:tcPr>
            <w:tcW w:w="4505" w:type="dxa"/>
          </w:tcPr>
          <w:p w14:paraId="59DCCDAB" w14:textId="03647D6E" w:rsidR="00D04679" w:rsidRPr="00D93FF9" w:rsidRDefault="00E811B8" w:rsidP="00D04679">
            <w:pPr>
              <w:jc w:val="right"/>
              <w:rPr>
                <w:rFonts w:ascii="Calibri" w:hAnsi="Calibri"/>
                <w:sz w:val="22"/>
                <w:szCs w:val="22"/>
                <w:lang w:val="en-GB"/>
              </w:rPr>
            </w:pPr>
            <w:r w:rsidRPr="00D93FF9">
              <w:rPr>
                <w:rFonts w:ascii="Calibri" w:hAnsi="Calibri"/>
                <w:sz w:val="22"/>
                <w:szCs w:val="22"/>
                <w:lang w:val="en-GB"/>
              </w:rPr>
              <w:t xml:space="preserve">From </w:t>
            </w:r>
            <w:r w:rsidRPr="00D93FF9">
              <w:rPr>
                <w:rFonts w:ascii="Calibri" w:hAnsi="Calibri"/>
                <w:lang w:val="en-GB"/>
              </w:rPr>
              <w:fldChar w:fldCharType="begin"/>
            </w:r>
            <w:r w:rsidRPr="00D93FF9">
              <w:rPr>
                <w:rFonts w:ascii="Calibri" w:hAnsi="Calibri"/>
                <w:sz w:val="22"/>
                <w:szCs w:val="22"/>
                <w:lang w:val="en-GB"/>
              </w:rPr>
              <w:instrText xml:space="preserve"> REF _Ref71622697 \h  \* MERGEFORMAT </w:instrText>
            </w:r>
            <w:r w:rsidRPr="00D93FF9">
              <w:rPr>
                <w:rFonts w:ascii="Calibri" w:hAnsi="Calibri"/>
                <w:lang w:val="en-GB"/>
              </w:rPr>
            </w:r>
            <w:r w:rsidRPr="00D93FF9">
              <w:rPr>
                <w:rFonts w:ascii="Calibri" w:hAnsi="Calibri"/>
                <w:lang w:val="en-GB"/>
              </w:rPr>
              <w:fldChar w:fldCharType="separate"/>
            </w:r>
            <w:r w:rsidR="0069302C" w:rsidRPr="0069302C">
              <w:rPr>
                <w:rFonts w:ascii="Calibri" w:hAnsi="Calibri"/>
              </w:rPr>
              <w:t xml:space="preserve">Equation </w:t>
            </w:r>
            <w:r w:rsidR="0069302C" w:rsidRPr="0069302C">
              <w:rPr>
                <w:rFonts w:ascii="Calibri" w:hAnsi="Calibri"/>
                <w:noProof/>
              </w:rPr>
              <w:t>12</w:t>
            </w:r>
            <w:r w:rsidRPr="00D93FF9">
              <w:rPr>
                <w:rFonts w:ascii="Calibri" w:hAnsi="Calibri"/>
                <w:lang w:val="en-GB"/>
              </w:rPr>
              <w:fldChar w:fldCharType="end"/>
            </w:r>
          </w:p>
        </w:tc>
      </w:tr>
    </w:tbl>
    <w:p w14:paraId="59DCCDAD" w14:textId="77777777" w:rsidR="00D04679" w:rsidRPr="00D93FF9" w:rsidRDefault="00D04679" w:rsidP="003807A1">
      <w:pPr>
        <w:pStyle w:val="BodyText"/>
        <w:spacing w:after="0" w:line="284" w:lineRule="exact"/>
        <w:rPr>
          <w:lang w:val="en-GB"/>
        </w:rPr>
      </w:pPr>
    </w:p>
    <w:p w14:paraId="59DCCDAE" w14:textId="06D8AC5F" w:rsidR="00C46175" w:rsidRPr="00D93FF9" w:rsidRDefault="00E811B8" w:rsidP="004B6606">
      <w:pPr>
        <w:pStyle w:val="BodyText"/>
        <w:spacing w:after="0" w:line="284" w:lineRule="exact"/>
        <w:rPr>
          <w:lang w:val="en-GB"/>
        </w:rPr>
      </w:pPr>
      <w:r w:rsidRPr="00D93FF9">
        <w:rPr>
          <w:lang w:val="en-GB"/>
        </w:rPr>
        <w:t>The predicted EC</w:t>
      </w:r>
      <w:r w:rsidRPr="00D93FF9">
        <w:rPr>
          <w:position w:val="-4"/>
          <w:sz w:val="15"/>
          <w:lang w:val="en-GB"/>
        </w:rPr>
        <w:t xml:space="preserve">se </w:t>
      </w:r>
      <w:r w:rsidRPr="00D93FF9">
        <w:rPr>
          <w:lang w:val="en-GB"/>
        </w:rPr>
        <w:t xml:space="preserve">can then be compared with plant salt tolerance data provided in </w:t>
      </w:r>
      <w:r w:rsidR="005E46B1" w:rsidRPr="00D93FF9">
        <w:rPr>
          <w:lang w:val="en-GB"/>
        </w:rPr>
        <w:fldChar w:fldCharType="begin"/>
      </w:r>
      <w:r w:rsidR="005E46B1" w:rsidRPr="00D93FF9">
        <w:rPr>
          <w:lang w:val="en-GB"/>
        </w:rPr>
        <w:instrText xml:space="preserve"> REF _Ref81391734 \h </w:instrText>
      </w:r>
      <w:r w:rsidR="00D93FF9">
        <w:rPr>
          <w:lang w:val="en-GB"/>
        </w:rPr>
        <w:instrText xml:space="preserve"> \* MERGEFORMAT </w:instrText>
      </w:r>
      <w:r w:rsidR="005E46B1" w:rsidRPr="00D93FF9">
        <w:rPr>
          <w:lang w:val="en-GB"/>
        </w:rPr>
      </w:r>
      <w:r w:rsidR="005E46B1" w:rsidRPr="00D93FF9">
        <w:rPr>
          <w:lang w:val="en-GB"/>
        </w:rPr>
        <w:fldChar w:fldCharType="separate"/>
      </w:r>
      <w:r w:rsidR="0069302C" w:rsidRPr="00D93FF9">
        <w:t xml:space="preserve">Table </w:t>
      </w:r>
      <w:r w:rsidR="0069302C">
        <w:rPr>
          <w:noProof/>
        </w:rPr>
        <w:t>14</w:t>
      </w:r>
      <w:r w:rsidR="005E46B1" w:rsidRPr="00D93FF9">
        <w:rPr>
          <w:lang w:val="en-GB"/>
        </w:rPr>
        <w:fldChar w:fldCharType="end"/>
      </w:r>
      <w:r w:rsidR="005E46B1" w:rsidRPr="00D93FF9">
        <w:rPr>
          <w:lang w:val="en-GB"/>
        </w:rPr>
        <w:t xml:space="preserve"> </w:t>
      </w:r>
      <w:r w:rsidRPr="00D93FF9">
        <w:rPr>
          <w:lang w:val="en-GB"/>
        </w:rPr>
        <w:t xml:space="preserve">or </w:t>
      </w:r>
      <w:r w:rsidR="005E46B1" w:rsidRPr="00D93FF9">
        <w:rPr>
          <w:lang w:val="en-GB"/>
        </w:rPr>
        <w:fldChar w:fldCharType="begin"/>
      </w:r>
      <w:r w:rsidR="005E46B1" w:rsidRPr="00D93FF9">
        <w:rPr>
          <w:lang w:val="en-GB"/>
        </w:rPr>
        <w:instrText xml:space="preserve"> REF _Ref81391747 \h </w:instrText>
      </w:r>
      <w:r w:rsidR="00D93FF9">
        <w:rPr>
          <w:lang w:val="en-GB"/>
        </w:rPr>
        <w:instrText xml:space="preserve"> \* MERGEFORMAT </w:instrText>
      </w:r>
      <w:r w:rsidR="005E46B1" w:rsidRPr="00D93FF9">
        <w:rPr>
          <w:lang w:val="en-GB"/>
        </w:rPr>
      </w:r>
      <w:r w:rsidR="005E46B1" w:rsidRPr="00D93FF9">
        <w:rPr>
          <w:lang w:val="en-GB"/>
        </w:rPr>
        <w:fldChar w:fldCharType="separate"/>
      </w:r>
      <w:r w:rsidR="0069302C" w:rsidRPr="00D93FF9">
        <w:t xml:space="preserve">Table </w:t>
      </w:r>
      <w:r w:rsidR="0069302C">
        <w:rPr>
          <w:noProof/>
        </w:rPr>
        <w:t>15</w:t>
      </w:r>
      <w:r w:rsidR="005E46B1" w:rsidRPr="00D93FF9">
        <w:rPr>
          <w:lang w:val="en-GB"/>
        </w:rPr>
        <w:fldChar w:fldCharType="end"/>
      </w:r>
      <w:r w:rsidR="005E46B1" w:rsidRPr="00D93FF9">
        <w:rPr>
          <w:lang w:val="en-GB"/>
        </w:rPr>
        <w:t xml:space="preserve"> </w:t>
      </w:r>
      <w:r w:rsidRPr="00D93FF9">
        <w:rPr>
          <w:lang w:val="en-GB"/>
        </w:rPr>
        <w:t>to estimate the severity of potential yield reduction of the crop</w:t>
      </w:r>
      <w:r w:rsidR="00E90CE0" w:rsidRPr="00D93FF9">
        <w:rPr>
          <w:lang w:val="en-GB"/>
        </w:rPr>
        <w:t>.</w:t>
      </w:r>
    </w:p>
    <w:p w14:paraId="59DCCDAF" w14:textId="77777777" w:rsidR="00C46175" w:rsidRPr="00D93FF9" w:rsidRDefault="00C46175" w:rsidP="003807A1">
      <w:pPr>
        <w:pStyle w:val="BodyText"/>
        <w:spacing w:after="0"/>
        <w:rPr>
          <w:sz w:val="19"/>
          <w:lang w:val="en-GB"/>
        </w:rPr>
      </w:pPr>
    </w:p>
    <w:p w14:paraId="59DCCDB0" w14:textId="77777777" w:rsidR="00C46175" w:rsidRPr="00D93FF9" w:rsidRDefault="00E811B8" w:rsidP="00840D10">
      <w:pPr>
        <w:pStyle w:val="Heading4"/>
        <w:rPr>
          <w:lang w:val="en-GB"/>
        </w:rPr>
      </w:pPr>
      <w:r w:rsidRPr="00D93FF9">
        <w:t>Scenario</w:t>
      </w:r>
      <w:r w:rsidRPr="00D93FF9">
        <w:rPr>
          <w:lang w:val="en-GB"/>
        </w:rPr>
        <w:t xml:space="preserve"> 2</w:t>
      </w:r>
    </w:p>
    <w:p w14:paraId="59DCCDB1" w14:textId="77777777" w:rsidR="00C46175" w:rsidRPr="00D93FF9" w:rsidRDefault="00E811B8" w:rsidP="003807A1">
      <w:pPr>
        <w:pStyle w:val="BodyText"/>
        <w:spacing w:after="0" w:line="266" w:lineRule="auto"/>
        <w:rPr>
          <w:lang w:val="en-GB"/>
        </w:rPr>
      </w:pPr>
      <w:r w:rsidRPr="00D93FF9">
        <w:rPr>
          <w:lang w:val="en-GB"/>
        </w:rPr>
        <w:t>A farmer has installed a new bore as an alternative source for irrigation water supply and is interested in possible limitations to its use.</w:t>
      </w:r>
    </w:p>
    <w:p w14:paraId="59DCCDB2" w14:textId="08DBB892" w:rsidR="008B6A25" w:rsidRPr="00D93FF9" w:rsidRDefault="00E811B8" w:rsidP="00840D10">
      <w:pPr>
        <w:pStyle w:val="Heading5"/>
        <w:rPr>
          <w:lang w:val="en-GB"/>
        </w:rPr>
      </w:pPr>
      <w:r w:rsidRPr="00D93FF9">
        <w:rPr>
          <w:lang w:val="en-GB"/>
        </w:rPr>
        <w:lastRenderedPageBreak/>
        <w:t>Available data</w:t>
      </w:r>
    </w:p>
    <w:p w14:paraId="59DCCDB3" w14:textId="77777777" w:rsidR="00C46175" w:rsidRPr="00D93FF9" w:rsidRDefault="00E811B8" w:rsidP="00840D10">
      <w:pPr>
        <w:pStyle w:val="Heading5"/>
        <w:rPr>
          <w:lang w:val="en-GB"/>
        </w:rPr>
      </w:pPr>
      <w:r w:rsidRPr="00D93FF9">
        <w:rPr>
          <w:lang w:val="en-GB"/>
        </w:rPr>
        <w:t>Soil</w:t>
      </w:r>
    </w:p>
    <w:p w14:paraId="59DCCDB4" w14:textId="77777777" w:rsidR="00C46175" w:rsidRPr="00D93FF9" w:rsidRDefault="00E811B8" w:rsidP="00735059">
      <w:pPr>
        <w:pStyle w:val="BodyText"/>
        <w:spacing w:after="0" w:line="266" w:lineRule="auto"/>
        <w:rPr>
          <w:lang w:val="en-GB"/>
        </w:rPr>
      </w:pPr>
      <w:r w:rsidRPr="00D93FF9">
        <w:rPr>
          <w:lang w:val="en-GB"/>
        </w:rPr>
        <w:t>Average clay % to 0.9 m = 55%</w:t>
      </w:r>
    </w:p>
    <w:p w14:paraId="59DCCDB5" w14:textId="77777777" w:rsidR="00735059" w:rsidRPr="00D93FF9" w:rsidRDefault="00E811B8" w:rsidP="00735059">
      <w:pPr>
        <w:pStyle w:val="BodyText"/>
        <w:spacing w:after="0" w:line="266" w:lineRule="auto"/>
        <w:rPr>
          <w:lang w:val="en-GB"/>
        </w:rPr>
      </w:pPr>
      <w:r w:rsidRPr="00D93FF9">
        <w:rPr>
          <w:lang w:val="en-GB"/>
        </w:rPr>
        <w:t>Average CEC to 0.9 m = 45 mmole</w:t>
      </w:r>
      <w:r w:rsidRPr="00D93FF9">
        <w:rPr>
          <w:position w:val="-4"/>
          <w:sz w:val="15"/>
          <w:lang w:val="en-GB"/>
        </w:rPr>
        <w:t xml:space="preserve">c </w:t>
      </w:r>
      <w:r w:rsidRPr="00D93FF9">
        <w:rPr>
          <w:lang w:val="en-GB"/>
        </w:rPr>
        <w:t xml:space="preserve">/100 g </w:t>
      </w:r>
    </w:p>
    <w:p w14:paraId="59DCCDB6" w14:textId="77777777" w:rsidR="004B6606" w:rsidRPr="00D93FF9" w:rsidRDefault="00E811B8" w:rsidP="004B6606">
      <w:pPr>
        <w:pStyle w:val="BodyText"/>
        <w:spacing w:after="0" w:line="264" w:lineRule="auto"/>
        <w:rPr>
          <w:lang w:val="en-GB"/>
        </w:rPr>
      </w:pPr>
      <w:r w:rsidRPr="00D93FF9">
        <w:rPr>
          <w:lang w:val="en-GB"/>
        </w:rPr>
        <w:t>Average CCR= 0.81</w:t>
      </w:r>
    </w:p>
    <w:p w14:paraId="59DCCDB7" w14:textId="77777777" w:rsidR="00C46175" w:rsidRPr="00D93FF9" w:rsidRDefault="00E811B8" w:rsidP="00735059">
      <w:pPr>
        <w:pStyle w:val="BodyText"/>
        <w:spacing w:after="0" w:line="266" w:lineRule="auto"/>
        <w:rPr>
          <w:rFonts w:ascii="Arial"/>
          <w:sz w:val="20"/>
          <w:lang w:val="en-GB"/>
        </w:rPr>
      </w:pPr>
      <w:r w:rsidRPr="00D93FF9">
        <w:rPr>
          <w:lang w:val="en-GB"/>
        </w:rPr>
        <w:t>ESP at 0.9 m = 4.5%</w:t>
      </w:r>
      <w:r w:rsidR="0073376E" w:rsidRPr="00D93FF9">
        <w:rPr>
          <w:rFonts w:ascii="Arial"/>
          <w:sz w:val="20"/>
          <w:lang w:val="en-GB"/>
        </w:rPr>
        <w:t xml:space="preserve"> </w:t>
      </w:r>
    </w:p>
    <w:p w14:paraId="59DCCDB8" w14:textId="77777777" w:rsidR="00C46175" w:rsidRPr="00D93FF9" w:rsidRDefault="00C46175" w:rsidP="003807A1">
      <w:pPr>
        <w:pStyle w:val="BodyText"/>
        <w:spacing w:after="0"/>
        <w:rPr>
          <w:rFonts w:ascii="Arial"/>
          <w:sz w:val="16"/>
          <w:lang w:val="en-GB"/>
        </w:rPr>
      </w:pPr>
    </w:p>
    <w:p w14:paraId="59DCCDB9" w14:textId="77777777" w:rsidR="00C46175" w:rsidRPr="00D93FF9" w:rsidRDefault="00E811B8" w:rsidP="00840D10">
      <w:pPr>
        <w:pStyle w:val="Heading5"/>
        <w:rPr>
          <w:lang w:val="en-GB"/>
        </w:rPr>
      </w:pPr>
      <w:r w:rsidRPr="00D93FF9">
        <w:rPr>
          <w:lang w:val="en-GB"/>
        </w:rPr>
        <w:t>Water</w:t>
      </w:r>
    </w:p>
    <w:p w14:paraId="59DCCDBA" w14:textId="77777777" w:rsidR="00C46175" w:rsidRPr="00D93FF9" w:rsidRDefault="00E811B8" w:rsidP="00735059">
      <w:pPr>
        <w:pStyle w:val="BodyText"/>
        <w:spacing w:after="0" w:line="22" w:lineRule="atLeast"/>
        <w:rPr>
          <w:lang w:val="en-GB"/>
        </w:rPr>
      </w:pPr>
      <w:r w:rsidRPr="00D93FF9">
        <w:rPr>
          <w:lang w:val="en-GB"/>
        </w:rPr>
        <w:t>SAR = 5</w:t>
      </w:r>
    </w:p>
    <w:p w14:paraId="59DCCDBB" w14:textId="77777777" w:rsidR="00C46175" w:rsidRPr="00D93FF9" w:rsidRDefault="00E811B8" w:rsidP="00735059">
      <w:pPr>
        <w:pStyle w:val="BodyText"/>
        <w:spacing w:after="0" w:line="22" w:lineRule="atLeast"/>
        <w:rPr>
          <w:lang w:val="en-GB"/>
        </w:rPr>
      </w:pPr>
      <w:r w:rsidRPr="00D93FF9">
        <w:rPr>
          <w:lang w:val="en-GB"/>
        </w:rPr>
        <w:t>EC</w:t>
      </w:r>
      <w:r w:rsidRPr="00D93FF9">
        <w:rPr>
          <w:position w:val="-4"/>
          <w:sz w:val="15"/>
          <w:lang w:val="en-GB"/>
        </w:rPr>
        <w:t xml:space="preserve">i </w:t>
      </w:r>
      <w:r w:rsidRPr="00D93FF9">
        <w:rPr>
          <w:lang w:val="en-GB"/>
        </w:rPr>
        <w:t>= 1.7 dS/m</w:t>
      </w:r>
    </w:p>
    <w:p w14:paraId="59DCCDBC" w14:textId="77777777" w:rsidR="004B6606" w:rsidRPr="00D93FF9" w:rsidRDefault="00E811B8" w:rsidP="004B6606">
      <w:pPr>
        <w:pStyle w:val="BodyText"/>
        <w:spacing w:after="0" w:line="22" w:lineRule="atLeast"/>
        <w:rPr>
          <w:lang w:val="en-GB"/>
        </w:rPr>
      </w:pPr>
      <w:r w:rsidRPr="00D93FF9">
        <w:rPr>
          <w:lang w:val="en-GB"/>
        </w:rPr>
        <w:t>Salinity of Rainfall= ECr =0.03 dS/m</w:t>
      </w:r>
    </w:p>
    <w:p w14:paraId="59DCCDBD" w14:textId="77777777" w:rsidR="00735059" w:rsidRPr="00D93FF9" w:rsidRDefault="00E811B8" w:rsidP="00735059">
      <w:pPr>
        <w:pStyle w:val="BodyText"/>
        <w:spacing w:after="0" w:line="22" w:lineRule="atLeast"/>
        <w:rPr>
          <w:lang w:val="en-GB"/>
        </w:rPr>
      </w:pPr>
      <w:r w:rsidRPr="00D93FF9">
        <w:rPr>
          <w:lang w:val="en-GB"/>
        </w:rPr>
        <w:t>Depth irrigation = D</w:t>
      </w:r>
      <w:r w:rsidRPr="00D93FF9">
        <w:rPr>
          <w:position w:val="-4"/>
          <w:sz w:val="15"/>
          <w:lang w:val="en-GB"/>
        </w:rPr>
        <w:t xml:space="preserve">i </w:t>
      </w:r>
      <w:r w:rsidRPr="00D93FF9">
        <w:rPr>
          <w:lang w:val="en-GB"/>
        </w:rPr>
        <w:t xml:space="preserve">= 700 mm </w:t>
      </w:r>
    </w:p>
    <w:p w14:paraId="59DCCDBE" w14:textId="77777777" w:rsidR="00735059" w:rsidRPr="00D93FF9" w:rsidRDefault="00E811B8" w:rsidP="00735059">
      <w:pPr>
        <w:pStyle w:val="BodyText"/>
        <w:spacing w:after="0" w:line="22" w:lineRule="atLeast"/>
        <w:rPr>
          <w:lang w:val="en-GB"/>
        </w:rPr>
      </w:pPr>
      <w:r w:rsidRPr="00D93FF9">
        <w:rPr>
          <w:lang w:val="en-GB"/>
        </w:rPr>
        <w:t>Depth rainfall = D</w:t>
      </w:r>
      <w:r w:rsidRPr="00D93FF9">
        <w:rPr>
          <w:position w:val="-4"/>
          <w:sz w:val="15"/>
          <w:lang w:val="en-GB"/>
        </w:rPr>
        <w:t xml:space="preserve">r </w:t>
      </w:r>
      <w:r w:rsidRPr="00D93FF9">
        <w:rPr>
          <w:lang w:val="en-GB"/>
        </w:rPr>
        <w:t xml:space="preserve">= 550 mm </w:t>
      </w:r>
    </w:p>
    <w:p w14:paraId="59DCCDBF" w14:textId="77777777" w:rsidR="00C46175" w:rsidRPr="00D93FF9" w:rsidRDefault="00E811B8" w:rsidP="00735059">
      <w:pPr>
        <w:pStyle w:val="BodyText"/>
        <w:spacing w:after="0" w:line="22" w:lineRule="atLeast"/>
        <w:rPr>
          <w:sz w:val="15"/>
          <w:lang w:val="en-GB"/>
        </w:rPr>
      </w:pPr>
      <w:r w:rsidRPr="00D93FF9">
        <w:rPr>
          <w:lang w:val="en-GB"/>
        </w:rPr>
        <w:t>Total depth = D</w:t>
      </w:r>
      <w:r w:rsidRPr="00D93FF9">
        <w:rPr>
          <w:position w:val="-4"/>
          <w:sz w:val="15"/>
          <w:lang w:val="en-GB"/>
        </w:rPr>
        <w:t xml:space="preserve">t </w:t>
      </w:r>
      <w:r w:rsidRPr="00D93FF9">
        <w:rPr>
          <w:lang w:val="en-GB"/>
        </w:rPr>
        <w:t>= D</w:t>
      </w:r>
      <w:r w:rsidRPr="00D93FF9">
        <w:rPr>
          <w:position w:val="-4"/>
          <w:sz w:val="15"/>
          <w:lang w:val="en-GB"/>
        </w:rPr>
        <w:t xml:space="preserve">i </w:t>
      </w:r>
      <w:r w:rsidRPr="00D93FF9">
        <w:rPr>
          <w:lang w:val="en-GB"/>
        </w:rPr>
        <w:t>+ D</w:t>
      </w:r>
      <w:r w:rsidRPr="00D93FF9">
        <w:rPr>
          <w:position w:val="-4"/>
          <w:sz w:val="15"/>
          <w:lang w:val="en-GB"/>
        </w:rPr>
        <w:t>r</w:t>
      </w:r>
    </w:p>
    <w:p w14:paraId="59DCCDC0" w14:textId="77777777" w:rsidR="000B61E9" w:rsidRPr="00D93FF9" w:rsidRDefault="00E811B8" w:rsidP="000B61E9">
      <w:pPr>
        <w:pStyle w:val="Heading5"/>
        <w:rPr>
          <w:lang w:val="en-GB"/>
        </w:rPr>
      </w:pPr>
      <w:r w:rsidRPr="00D93FF9">
        <w:rPr>
          <w:lang w:val="en-GB"/>
        </w:rPr>
        <w:t>Calculate the Leaching Fraction under rainfall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DC3" w14:textId="77777777" w:rsidTr="00AC0D86">
        <w:tc>
          <w:tcPr>
            <w:tcW w:w="4505" w:type="dxa"/>
          </w:tcPr>
          <w:p w14:paraId="59DCCDC1" w14:textId="77777777" w:rsidR="00D04679" w:rsidRPr="00D93FF9" w:rsidRDefault="00E811B8" w:rsidP="00D04679">
            <w:pPr>
              <w:rPr>
                <w:sz w:val="22"/>
                <w:szCs w:val="22"/>
                <w:lang w:val="en-GB"/>
              </w:rPr>
            </w:pPr>
            <m:oMathPara>
              <m:oMathParaPr>
                <m:jc m:val="left"/>
              </m:oMathParaPr>
              <m:oMath>
                <m:r>
                  <m:rPr>
                    <m:sty m:val="p"/>
                  </m:rPr>
                  <w:rPr>
                    <w:rFonts w:ascii="Cambria Math" w:hAnsi="Cambria Math"/>
                    <w:sz w:val="22"/>
                    <w:szCs w:val="22"/>
                    <w:lang w:val="en-GB"/>
                  </w:rPr>
                  <m:t>LFr=</m:t>
                </m:r>
                <m:f>
                  <m:fPr>
                    <m:ctrlPr>
                      <w:rPr>
                        <w:rFonts w:ascii="Cambria Math" w:hAnsi="Cambria Math"/>
                        <w:iCs/>
                        <w:sz w:val="22"/>
                        <w:szCs w:val="22"/>
                        <w:lang w:val="en-GB"/>
                      </w:rPr>
                    </m:ctrlPr>
                  </m:fPr>
                  <m:num>
                    <m:r>
                      <m:rPr>
                        <m:sty m:val="p"/>
                      </m:rPr>
                      <w:rPr>
                        <w:rFonts w:ascii="Cambria Math" w:hAnsi="Cambria Math"/>
                        <w:sz w:val="22"/>
                        <w:szCs w:val="22"/>
                        <w:lang w:val="en-GB"/>
                      </w:rPr>
                      <m:t>ECr</m:t>
                    </m:r>
                  </m:num>
                  <m:den>
                    <m:r>
                      <m:rPr>
                        <m:sty m:val="p"/>
                      </m:rPr>
                      <w:rPr>
                        <w:rFonts w:ascii="Cambria Math" w:hAnsi="Cambria Math"/>
                        <w:sz w:val="22"/>
                        <w:szCs w:val="22"/>
                        <w:lang w:val="en-GB"/>
                      </w:rPr>
                      <m:t>2.2×</m:t>
                    </m:r>
                    <m:sSup>
                      <m:sSupPr>
                        <m:ctrlPr>
                          <w:rPr>
                            <w:rFonts w:ascii="Cambria Math" w:hAnsi="Cambria Math"/>
                            <w:iCs/>
                            <w:sz w:val="22"/>
                            <w:szCs w:val="22"/>
                            <w:lang w:val="en-GB"/>
                          </w:rPr>
                        </m:ctrlPr>
                      </m:sSupPr>
                      <m:e>
                        <m:r>
                          <m:rPr>
                            <m:sty m:val="p"/>
                          </m:rPr>
                          <w:rPr>
                            <w:rFonts w:ascii="Cambria Math" w:hAnsi="Cambria Math"/>
                            <w:sz w:val="22"/>
                            <w:szCs w:val="22"/>
                            <w:lang w:val="en-GB"/>
                          </w:rPr>
                          <m:t>10</m:t>
                        </m:r>
                      </m:e>
                      <m:sup>
                        <m:d>
                          <m:dPr>
                            <m:begChr m:val="["/>
                            <m:endChr m:val="]"/>
                            <m:ctrlPr>
                              <w:rPr>
                                <w:rFonts w:ascii="Cambria Math" w:hAnsi="Cambria Math"/>
                                <w:iCs/>
                                <w:sz w:val="22"/>
                                <w:szCs w:val="22"/>
                                <w:lang w:val="en-GB"/>
                              </w:rPr>
                            </m:ctrlPr>
                          </m:dPr>
                          <m:e>
                            <m:r>
                              <m:rPr>
                                <m:sty m:val="p"/>
                              </m:rPr>
                              <w:rPr>
                                <w:rFonts w:ascii="Cambria Math" w:hAnsi="Cambria Math"/>
                                <w:sz w:val="22"/>
                                <w:szCs w:val="22"/>
                                <w:lang w:val="en-GB"/>
                              </w:rPr>
                              <m:t>a+blog</m:t>
                            </m:r>
                            <m:d>
                              <m:dPr>
                                <m:ctrlPr>
                                  <w:rPr>
                                    <w:rFonts w:ascii="Cambria Math" w:hAnsi="Cambria Math"/>
                                    <w:iCs/>
                                    <w:sz w:val="22"/>
                                    <w:szCs w:val="22"/>
                                    <w:lang w:val="en-GB"/>
                                  </w:rPr>
                                </m:ctrlPr>
                              </m:dPr>
                              <m:e>
                                <m:f>
                                  <m:fPr>
                                    <m:ctrlPr>
                                      <w:rPr>
                                        <w:rFonts w:ascii="Cambria Math" w:hAnsi="Cambria Math"/>
                                        <w:iCs/>
                                        <w:sz w:val="22"/>
                                        <w:szCs w:val="22"/>
                                        <w:lang w:val="en-GB"/>
                                      </w:rPr>
                                    </m:ctrlPr>
                                  </m:fPr>
                                  <m:num>
                                    <m:r>
                                      <m:rPr>
                                        <m:sty m:val="p"/>
                                      </m:rPr>
                                      <w:rPr>
                                        <w:rFonts w:ascii="Cambria Math" w:hAnsi="Cambria Math"/>
                                        <w:sz w:val="22"/>
                                        <w:szCs w:val="22"/>
                                        <w:lang w:val="en-GB"/>
                                      </w:rPr>
                                      <m:t>0.03×rainfall</m:t>
                                    </m:r>
                                  </m:num>
                                  <m:den>
                                    <m:r>
                                      <m:rPr>
                                        <m:sty m:val="p"/>
                                      </m:rPr>
                                      <w:rPr>
                                        <w:rFonts w:ascii="Cambria Math" w:hAnsi="Cambria Math"/>
                                        <w:sz w:val="22"/>
                                        <w:szCs w:val="22"/>
                                        <w:lang w:val="en-GB"/>
                                      </w:rPr>
                                      <m:t>ESP</m:t>
                                    </m:r>
                                  </m:den>
                                </m:f>
                              </m:e>
                            </m:d>
                          </m:e>
                        </m:d>
                      </m:sup>
                    </m:sSup>
                  </m:den>
                </m:f>
              </m:oMath>
            </m:oMathPara>
          </w:p>
        </w:tc>
        <w:tc>
          <w:tcPr>
            <w:tcW w:w="4505" w:type="dxa"/>
          </w:tcPr>
          <w:p w14:paraId="59DCCDC2" w14:textId="4D01C5DA" w:rsidR="00D04679" w:rsidRPr="00D93FF9" w:rsidRDefault="00E811B8" w:rsidP="00D04679">
            <w:pPr>
              <w:jc w:val="right"/>
              <w:rPr>
                <w:rFonts w:ascii="Calibri" w:hAnsi="Calibri"/>
                <w:sz w:val="22"/>
                <w:szCs w:val="22"/>
                <w:lang w:val="en-GB"/>
              </w:rPr>
            </w:pPr>
            <w:r w:rsidRPr="00D93FF9">
              <w:rPr>
                <w:rFonts w:ascii="Calibri" w:hAnsi="Calibri"/>
                <w:sz w:val="22"/>
                <w:szCs w:val="22"/>
                <w:lang w:val="en-GB"/>
              </w:rPr>
              <w:t xml:space="preserve">From </w:t>
            </w:r>
            <w:r w:rsidRPr="00D93FF9">
              <w:rPr>
                <w:rFonts w:ascii="Calibri" w:hAnsi="Calibri"/>
                <w:lang w:val="en-GB"/>
              </w:rPr>
              <w:fldChar w:fldCharType="begin"/>
            </w:r>
            <w:r w:rsidRPr="00D93FF9">
              <w:rPr>
                <w:rFonts w:ascii="Calibri" w:hAnsi="Calibri"/>
                <w:sz w:val="22"/>
                <w:szCs w:val="22"/>
                <w:lang w:val="en-GB"/>
              </w:rPr>
              <w:instrText xml:space="preserve"> REF _Ref70423377 \h  \* MERGEFORMAT </w:instrText>
            </w:r>
            <w:r w:rsidRPr="00D93FF9">
              <w:rPr>
                <w:rFonts w:ascii="Calibri" w:hAnsi="Calibri"/>
                <w:lang w:val="en-GB"/>
              </w:rPr>
            </w:r>
            <w:r w:rsidRPr="00D93FF9">
              <w:rPr>
                <w:rFonts w:ascii="Calibri" w:hAnsi="Calibri"/>
                <w:lang w:val="en-GB"/>
              </w:rPr>
              <w:fldChar w:fldCharType="separate"/>
            </w:r>
            <w:r w:rsidR="0069302C" w:rsidRPr="0069302C">
              <w:rPr>
                <w:rFonts w:ascii="Calibri" w:hAnsi="Calibri"/>
              </w:rPr>
              <w:t xml:space="preserve">Equation </w:t>
            </w:r>
            <w:r w:rsidR="0069302C" w:rsidRPr="0069302C">
              <w:rPr>
                <w:rFonts w:ascii="Calibri" w:hAnsi="Calibri"/>
                <w:noProof/>
              </w:rPr>
              <w:t>7</w:t>
            </w:r>
            <w:r w:rsidRPr="00D93FF9">
              <w:rPr>
                <w:rFonts w:ascii="Calibri" w:hAnsi="Calibri"/>
                <w:lang w:val="en-GB"/>
              </w:rPr>
              <w:fldChar w:fldCharType="end"/>
            </w:r>
          </w:p>
        </w:tc>
      </w:tr>
    </w:tbl>
    <w:p w14:paraId="59DCCDC4" w14:textId="77777777" w:rsidR="00B21FE8" w:rsidRPr="00D93FF9" w:rsidRDefault="00E811B8" w:rsidP="003807A1">
      <w:pPr>
        <w:pStyle w:val="BodyText"/>
        <w:tabs>
          <w:tab w:val="left" w:pos="1128"/>
        </w:tabs>
        <w:spacing w:after="0"/>
        <w:rPr>
          <w:lang w:val="en-GB"/>
        </w:rPr>
      </w:pPr>
      <w:r w:rsidRPr="00D93FF9">
        <w:rPr>
          <w:lang w:val="en-GB"/>
        </w:rPr>
        <w:t>where:</w:t>
      </w:r>
    </w:p>
    <w:p w14:paraId="59DCCDC5" w14:textId="77777777" w:rsidR="00C46175" w:rsidRPr="00D93FF9" w:rsidRDefault="00E811B8" w:rsidP="003807A1">
      <w:pPr>
        <w:pStyle w:val="BodyText"/>
        <w:tabs>
          <w:tab w:val="left" w:pos="1128"/>
        </w:tabs>
        <w:spacing w:after="0"/>
        <w:rPr>
          <w:lang w:val="en-GB"/>
        </w:rPr>
      </w:pPr>
      <w:r w:rsidRPr="00D93FF9">
        <w:rPr>
          <w:lang w:val="en-GB"/>
        </w:rPr>
        <w:t>a</w:t>
      </w:r>
      <w:r w:rsidR="00AC0D86" w:rsidRPr="00D93FF9">
        <w:rPr>
          <w:lang w:val="en-GB"/>
        </w:rPr>
        <w:t xml:space="preserve"> </w:t>
      </w:r>
      <w:r w:rsidRPr="00D93FF9">
        <w:rPr>
          <w:lang w:val="en-GB"/>
        </w:rPr>
        <w:t>= 0.794</w:t>
      </w:r>
    </w:p>
    <w:p w14:paraId="59DCCDC6" w14:textId="77777777" w:rsidR="00C46175" w:rsidRPr="00D93FF9" w:rsidRDefault="00E811B8" w:rsidP="003807A1">
      <w:pPr>
        <w:pStyle w:val="BodyText"/>
        <w:tabs>
          <w:tab w:val="left" w:pos="1128"/>
        </w:tabs>
        <w:spacing w:after="0"/>
        <w:rPr>
          <w:lang w:val="en-GB"/>
        </w:rPr>
      </w:pPr>
      <w:r w:rsidRPr="00D93FF9">
        <w:rPr>
          <w:lang w:val="en-GB"/>
        </w:rPr>
        <w:t>b</w:t>
      </w:r>
      <w:r w:rsidR="00AC0D86" w:rsidRPr="00D93FF9">
        <w:rPr>
          <w:lang w:val="en-GB"/>
        </w:rPr>
        <w:t xml:space="preserve"> </w:t>
      </w:r>
      <w:r w:rsidRPr="00D93FF9">
        <w:rPr>
          <w:lang w:val="en-GB"/>
        </w:rPr>
        <w:t>= –1.105</w:t>
      </w:r>
      <w:r w:rsidR="00F33454" w:rsidRPr="00D93FF9">
        <w:rPr>
          <w:lang w:val="en-GB"/>
        </w:rPr>
        <w:t xml:space="preserve"> </w:t>
      </w:r>
    </w:p>
    <w:p w14:paraId="59DCCDC7" w14:textId="43521514" w:rsidR="003215BE" w:rsidRPr="00D93FF9" w:rsidRDefault="00E811B8" w:rsidP="003215BE">
      <w:pPr>
        <w:pStyle w:val="BodyText"/>
        <w:spacing w:after="0"/>
        <w:rPr>
          <w:lang w:val="en-GB"/>
        </w:rPr>
      </w:pPr>
      <w:r w:rsidRPr="00D93FF9">
        <w:rPr>
          <w:lang w:val="en-GB"/>
        </w:rPr>
        <w:t>noting the coefficients a and b are obtained from</w:t>
      </w:r>
      <w:r w:rsidR="001E33AE" w:rsidRPr="00D93FF9">
        <w:rPr>
          <w:lang w:val="en-GB"/>
        </w:rPr>
        <w:t xml:space="preserve"> </w:t>
      </w:r>
      <w:r w:rsidR="001E33AE" w:rsidRPr="00D93FF9">
        <w:rPr>
          <w:lang w:val="en-GB"/>
        </w:rPr>
        <w:fldChar w:fldCharType="begin"/>
      </w:r>
      <w:r w:rsidR="001E33AE" w:rsidRPr="00D93FF9">
        <w:rPr>
          <w:lang w:val="en-GB"/>
        </w:rPr>
        <w:instrText xml:space="preserve"> REF _Ref81391049 \h </w:instrText>
      </w:r>
      <w:r w:rsidR="00D93FF9">
        <w:rPr>
          <w:lang w:val="en-GB"/>
        </w:rPr>
        <w:instrText xml:space="preserve"> \* MERGEFORMAT </w:instrText>
      </w:r>
      <w:r w:rsidR="001E33AE" w:rsidRPr="00D93FF9">
        <w:rPr>
          <w:lang w:val="en-GB"/>
        </w:rPr>
      </w:r>
      <w:r w:rsidR="001E33AE" w:rsidRPr="00D93FF9">
        <w:rPr>
          <w:lang w:val="en-GB"/>
        </w:rPr>
        <w:fldChar w:fldCharType="separate"/>
      </w:r>
      <w:r w:rsidR="0069302C" w:rsidRPr="00D93FF9">
        <w:t xml:space="preserve">Table </w:t>
      </w:r>
      <w:r w:rsidR="0069302C">
        <w:rPr>
          <w:noProof/>
        </w:rPr>
        <w:t>11</w:t>
      </w:r>
      <w:r w:rsidR="001E33AE" w:rsidRPr="00D93FF9">
        <w:rPr>
          <w:lang w:val="en-GB"/>
        </w:rPr>
        <w:fldChar w:fldCharType="end"/>
      </w:r>
      <w:r w:rsidRPr="00D93FF9">
        <w:rPr>
          <w:lang w:val="en-GB"/>
        </w:rPr>
        <w:t xml:space="preserve">. </w:t>
      </w:r>
    </w:p>
    <w:p w14:paraId="59DCCDC8" w14:textId="77777777" w:rsidR="003215BE" w:rsidRPr="00D93FF9" w:rsidRDefault="003215BE" w:rsidP="003807A1">
      <w:pPr>
        <w:pStyle w:val="BodyText"/>
        <w:tabs>
          <w:tab w:val="left" w:pos="1128"/>
        </w:tabs>
        <w:spacing w:after="0"/>
        <w:rPr>
          <w:lang w:val="en-GB"/>
        </w:rPr>
      </w:pPr>
    </w:p>
    <w:p w14:paraId="59DCCDC9" w14:textId="77777777" w:rsidR="003215BE" w:rsidRPr="00D93FF9" w:rsidRDefault="00E811B8" w:rsidP="003215BE">
      <w:pPr>
        <w:pStyle w:val="BodyText"/>
        <w:spacing w:after="0"/>
        <w:rPr>
          <w:lang w:val="en-GB"/>
        </w:rPr>
      </w:pPr>
      <w:r w:rsidRPr="00D93FF9">
        <w:rPr>
          <w:lang w:val="en-GB"/>
        </w:rPr>
        <w:t>Therefore:</w:t>
      </w:r>
    </w:p>
    <w:p w14:paraId="59DCCDCA" w14:textId="77777777" w:rsidR="003215BE" w:rsidRPr="00D93FF9" w:rsidRDefault="00E811B8" w:rsidP="003215BE">
      <w:pPr>
        <w:pStyle w:val="BodyText"/>
        <w:spacing w:after="0"/>
        <w:rPr>
          <w:iCs/>
          <w:lang w:val="en-GB"/>
        </w:rPr>
      </w:pPr>
      <m:oMathPara>
        <m:oMathParaPr>
          <m:jc m:val="left"/>
        </m:oMathParaPr>
        <m:oMath>
          <m:r>
            <m:rPr>
              <m:sty m:val="p"/>
            </m:rPr>
            <w:rPr>
              <w:rFonts w:ascii="Cambria Math" w:hAnsi="Cambria Math"/>
              <w:lang w:val="en-GB"/>
            </w:rPr>
            <m:t>LFr=</m:t>
          </m:r>
          <m:f>
            <m:fPr>
              <m:ctrlPr>
                <w:rPr>
                  <w:rFonts w:ascii="Cambria Math" w:hAnsi="Cambria Math"/>
                  <w:iCs/>
                  <w:lang w:val="en-GB"/>
                </w:rPr>
              </m:ctrlPr>
            </m:fPr>
            <m:num>
              <m:r>
                <m:rPr>
                  <m:sty m:val="p"/>
                </m:rPr>
                <w:rPr>
                  <w:rFonts w:ascii="Cambria Math" w:hAnsi="Cambria Math"/>
                  <w:lang w:val="en-GB"/>
                </w:rPr>
                <m:t>0.03</m:t>
              </m:r>
            </m:num>
            <m:den>
              <m:r>
                <m:rPr>
                  <m:sty m:val="p"/>
                </m:rPr>
                <w:rPr>
                  <w:rFonts w:ascii="Cambria Math" w:hAnsi="Cambria Math"/>
                  <w:lang w:val="en-GB"/>
                </w:rPr>
                <m:t>2.2×</m:t>
              </m:r>
              <m:sSup>
                <m:sSupPr>
                  <m:ctrlPr>
                    <w:rPr>
                      <w:rFonts w:ascii="Cambria Math" w:hAnsi="Cambria Math"/>
                      <w:iCs/>
                      <w:lang w:val="en-GB"/>
                    </w:rPr>
                  </m:ctrlPr>
                </m:sSupPr>
                <m:e>
                  <m:r>
                    <m:rPr>
                      <m:sty m:val="p"/>
                    </m:rPr>
                    <w:rPr>
                      <w:rFonts w:ascii="Cambria Math" w:hAnsi="Cambria Math"/>
                      <w:lang w:val="en-GB"/>
                    </w:rPr>
                    <m:t>10</m:t>
                  </m:r>
                </m:e>
                <m:sup>
                  <m:d>
                    <m:dPr>
                      <m:begChr m:val="["/>
                      <m:endChr m:val="]"/>
                      <m:ctrlPr>
                        <w:rPr>
                          <w:rFonts w:ascii="Cambria Math" w:hAnsi="Cambria Math"/>
                          <w:iCs/>
                          <w:lang w:val="en-GB"/>
                        </w:rPr>
                      </m:ctrlPr>
                    </m:dPr>
                    <m:e>
                      <m:r>
                        <m:rPr>
                          <m:sty m:val="p"/>
                        </m:rPr>
                        <w:rPr>
                          <w:rFonts w:ascii="Cambria Math" w:hAnsi="Cambria Math"/>
                          <w:lang w:val="en-GB"/>
                        </w:rPr>
                        <m:t>0.794-1.105log</m:t>
                      </m:r>
                      <m:d>
                        <m:dPr>
                          <m:ctrlPr>
                            <w:rPr>
                              <w:rFonts w:ascii="Cambria Math" w:hAnsi="Cambria Math"/>
                              <w:iCs/>
                              <w:lang w:val="en-GB"/>
                            </w:rPr>
                          </m:ctrlPr>
                        </m:dPr>
                        <m:e>
                          <m:f>
                            <m:fPr>
                              <m:ctrlPr>
                                <w:rPr>
                                  <w:rFonts w:ascii="Cambria Math" w:hAnsi="Cambria Math"/>
                                  <w:iCs/>
                                  <w:lang w:val="en-GB"/>
                                </w:rPr>
                              </m:ctrlPr>
                            </m:fPr>
                            <m:num>
                              <m:r>
                                <m:rPr>
                                  <m:sty m:val="p"/>
                                </m:rPr>
                                <w:rPr>
                                  <w:rFonts w:ascii="Cambria Math" w:hAnsi="Cambria Math"/>
                                  <w:lang w:val="en-GB"/>
                                </w:rPr>
                                <m:t>0.03×550</m:t>
                              </m:r>
                            </m:num>
                            <m:den>
                              <m:r>
                                <m:rPr>
                                  <m:sty m:val="p"/>
                                </m:rPr>
                                <w:rPr>
                                  <w:rFonts w:ascii="Cambria Math" w:hAnsi="Cambria Math"/>
                                  <w:lang w:val="en-GB"/>
                                </w:rPr>
                                <m:t>4.5</m:t>
                              </m:r>
                            </m:den>
                          </m:f>
                        </m:e>
                      </m:d>
                    </m:e>
                  </m:d>
                </m:sup>
              </m:sSup>
            </m:den>
          </m:f>
          <m:r>
            <m:rPr>
              <m:sty m:val="p"/>
            </m:rPr>
            <w:rPr>
              <w:rFonts w:ascii="Cambria Math" w:hAnsi="Cambria Math"/>
              <w:lang w:val="en-GB"/>
            </w:rPr>
            <m:t>=0.009=1%</m:t>
          </m:r>
        </m:oMath>
      </m:oMathPara>
    </w:p>
    <w:p w14:paraId="59DCCDCB" w14:textId="77777777" w:rsidR="003215BE" w:rsidRPr="00D93FF9" w:rsidRDefault="003215BE" w:rsidP="003807A1">
      <w:pPr>
        <w:pStyle w:val="BodyText"/>
        <w:tabs>
          <w:tab w:val="left" w:pos="1128"/>
        </w:tabs>
        <w:spacing w:after="0"/>
        <w:rPr>
          <w:lang w:val="en-GB"/>
        </w:rPr>
      </w:pPr>
    </w:p>
    <w:p w14:paraId="59DCCDCC" w14:textId="77777777" w:rsidR="001D1DC7" w:rsidRPr="00D93FF9" w:rsidRDefault="001D1DC7" w:rsidP="003807A1">
      <w:pPr>
        <w:pStyle w:val="BodyText"/>
        <w:spacing w:after="0"/>
        <w:rPr>
          <w:lang w:val="en-GB"/>
        </w:rPr>
      </w:pPr>
    </w:p>
    <w:p w14:paraId="59DCCDCD" w14:textId="77777777" w:rsidR="005E299F" w:rsidRPr="00D93FF9" w:rsidRDefault="00E811B8" w:rsidP="005E299F">
      <w:pPr>
        <w:pStyle w:val="Heading5"/>
        <w:rPr>
          <w:lang w:val="en-GB"/>
        </w:rPr>
      </w:pPr>
      <w:r w:rsidRPr="00D93FF9">
        <w:rPr>
          <w:lang w:val="en-GB"/>
        </w:rPr>
        <w:t xml:space="preserve">Calculate </w:t>
      </w:r>
      <w:r w:rsidR="000B61E9" w:rsidRPr="00D93FF9">
        <w:rPr>
          <w:lang w:val="en-GB"/>
        </w:rPr>
        <w:t>L</w:t>
      </w:r>
      <w:r w:rsidRPr="00D93FF9">
        <w:rPr>
          <w:lang w:val="en-GB"/>
        </w:rPr>
        <w:t xml:space="preserve">eaching </w:t>
      </w:r>
      <w:r w:rsidR="000B61E9" w:rsidRPr="00D93FF9">
        <w:t>F</w:t>
      </w:r>
      <w:r w:rsidRPr="00D93FF9">
        <w:t>raction</w:t>
      </w:r>
      <w:r w:rsidRPr="00D93FF9">
        <w:rPr>
          <w:lang w:val="en-GB"/>
        </w:rPr>
        <w:t xml:space="preserve"> under new irrigation water quality: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DD0" w14:textId="77777777" w:rsidTr="00AC0D86">
        <w:tc>
          <w:tcPr>
            <w:tcW w:w="4505" w:type="dxa"/>
          </w:tcPr>
          <w:p w14:paraId="59DCCDCE" w14:textId="77777777" w:rsidR="00380752" w:rsidRPr="00D93FF9" w:rsidRDefault="00E811B8" w:rsidP="00256F06">
            <w:pPr>
              <w:rPr>
                <w:sz w:val="22"/>
                <w:szCs w:val="22"/>
                <w:lang w:val="en-GB"/>
              </w:rPr>
            </w:pPr>
            <m:oMathPara>
              <m:oMathParaPr>
                <m:jc m:val="left"/>
              </m:oMathParaPr>
              <m:oMath>
                <m:r>
                  <m:rPr>
                    <m:sty m:val="p"/>
                  </m:rPr>
                  <w:rPr>
                    <w:rFonts w:ascii="Cambria Math" w:hAnsi="Cambria Math"/>
                    <w:sz w:val="22"/>
                    <w:szCs w:val="22"/>
                    <w:lang w:val="en-GB"/>
                  </w:rPr>
                  <m:t>L</m:t>
                </m:r>
                <m:sSub>
                  <m:sSubPr>
                    <m:ctrlPr>
                      <w:rPr>
                        <w:rFonts w:ascii="Cambria Math" w:hAnsi="Cambria Math"/>
                        <w:iCs/>
                        <w:sz w:val="22"/>
                        <w:szCs w:val="22"/>
                        <w:lang w:val="en-GB"/>
                      </w:rPr>
                    </m:ctrlPr>
                  </m:sSubPr>
                  <m:e>
                    <m:r>
                      <m:rPr>
                        <m:sty m:val="p"/>
                      </m:rPr>
                      <w:rPr>
                        <w:rFonts w:ascii="Cambria Math" w:hAnsi="Cambria Math"/>
                        <w:sz w:val="22"/>
                        <w:szCs w:val="22"/>
                        <w:lang w:val="en-GB"/>
                      </w:rPr>
                      <m:t>F</m:t>
                    </m:r>
                  </m:e>
                  <m:sub>
                    <m:r>
                      <m:rPr>
                        <m:sty m:val="p"/>
                      </m:rPr>
                      <w:rPr>
                        <w:rFonts w:ascii="Cambria Math" w:hAnsi="Cambria Math"/>
                        <w:sz w:val="22"/>
                        <w:szCs w:val="22"/>
                        <w:lang w:val="en-GB"/>
                      </w:rPr>
                      <m:t>f</m:t>
                    </m:r>
                  </m:sub>
                </m:sSub>
                <m:r>
                  <m:rPr>
                    <m:sty m:val="p"/>
                  </m:rPr>
                  <w:rPr>
                    <w:rFonts w:ascii="Cambria Math" w:hAnsi="Cambria Math"/>
                    <w:sz w:val="22"/>
                    <w:szCs w:val="22"/>
                    <w:lang w:val="en-GB"/>
                  </w:rPr>
                  <m:t>=L</m:t>
                </m:r>
                <m:sSub>
                  <m:sSubPr>
                    <m:ctrlPr>
                      <w:rPr>
                        <w:rFonts w:ascii="Cambria Math" w:hAnsi="Cambria Math"/>
                        <w:iCs/>
                        <w:sz w:val="22"/>
                        <w:szCs w:val="22"/>
                        <w:lang w:val="en-GB"/>
                      </w:rPr>
                    </m:ctrlPr>
                  </m:sSubPr>
                  <m:e>
                    <m:r>
                      <m:rPr>
                        <m:sty m:val="p"/>
                      </m:rPr>
                      <w:rPr>
                        <w:rFonts w:ascii="Cambria Math" w:hAnsi="Cambria Math"/>
                        <w:sz w:val="22"/>
                        <w:szCs w:val="22"/>
                        <w:lang w:val="en-GB"/>
                      </w:rPr>
                      <m:t>f</m:t>
                    </m:r>
                  </m:e>
                  <m:sub>
                    <m:r>
                      <m:rPr>
                        <m:sty m:val="p"/>
                      </m:rPr>
                      <w:rPr>
                        <w:rFonts w:ascii="Cambria Math" w:hAnsi="Cambria Math"/>
                        <w:sz w:val="22"/>
                        <w:szCs w:val="22"/>
                        <w:lang w:val="en-GB"/>
                      </w:rPr>
                      <m:t>i</m:t>
                    </m:r>
                  </m:sub>
                </m:sSub>
                <m:d>
                  <m:dPr>
                    <m:begChr m:val="["/>
                    <m:endChr m:val="]"/>
                    <m:ctrlPr>
                      <w:rPr>
                        <w:rFonts w:ascii="Cambria Math" w:hAnsi="Cambria Math"/>
                        <w:iCs/>
                        <w:sz w:val="22"/>
                        <w:szCs w:val="22"/>
                        <w:lang w:val="en-GB"/>
                      </w:rPr>
                    </m:ctrlPr>
                  </m:dPr>
                  <m:e>
                    <m:r>
                      <m:rPr>
                        <m:sty m:val="p"/>
                      </m:rPr>
                      <w:rPr>
                        <w:rFonts w:ascii="Cambria Math" w:hAnsi="Cambria Math"/>
                        <w:sz w:val="22"/>
                        <w:szCs w:val="22"/>
                        <w:lang w:val="en-GB"/>
                      </w:rPr>
                      <m:t>2.65</m:t>
                    </m:r>
                    <m:sSubSup>
                      <m:sSubSupPr>
                        <m:ctrlPr>
                          <w:rPr>
                            <w:rFonts w:ascii="Cambria Math" w:hAnsi="Cambria Math"/>
                            <w:iCs/>
                            <w:sz w:val="22"/>
                            <w:szCs w:val="22"/>
                            <w:lang w:val="en-GB"/>
                          </w:rPr>
                        </m:ctrlPr>
                      </m:sSubSupPr>
                      <m:e>
                        <m:d>
                          <m:dPr>
                            <m:ctrlPr>
                              <w:rPr>
                                <w:rFonts w:ascii="Cambria Math" w:hAnsi="Cambria Math"/>
                                <w:iCs/>
                                <w:sz w:val="22"/>
                                <w:szCs w:val="22"/>
                                <w:lang w:val="en-GB"/>
                              </w:rPr>
                            </m:ctrlPr>
                          </m:dPr>
                          <m:e>
                            <m:f>
                              <m:fPr>
                                <m:ctrlPr>
                                  <w:rPr>
                                    <w:rFonts w:ascii="Cambria Math" w:hAnsi="Cambria Math"/>
                                    <w:iCs/>
                                    <w:sz w:val="22"/>
                                    <w:szCs w:val="22"/>
                                    <w:lang w:val="en-GB"/>
                                  </w:rPr>
                                </m:ctrlPr>
                              </m:fPr>
                              <m:num>
                                <m:r>
                                  <m:rPr>
                                    <m:sty m:val="p"/>
                                  </m:rPr>
                                  <w:rPr>
                                    <w:rFonts w:ascii="Cambria Math" w:hAnsi="Cambria Math"/>
                                    <w:sz w:val="22"/>
                                    <w:szCs w:val="22"/>
                                    <w:lang w:val="en-GB"/>
                                  </w:rPr>
                                  <m:t>E</m:t>
                                </m:r>
                                <m:sSub>
                                  <m:sSubPr>
                                    <m:ctrlPr>
                                      <w:rPr>
                                        <w:rFonts w:ascii="Cambria Math" w:hAnsi="Cambria Math"/>
                                        <w:iCs/>
                                        <w:sz w:val="22"/>
                                        <w:szCs w:val="22"/>
                                        <w:lang w:val="en-GB"/>
                                      </w:rPr>
                                    </m:ctrlPr>
                                  </m:sSubPr>
                                  <m:e>
                                    <m:r>
                                      <m:rPr>
                                        <m:sty m:val="p"/>
                                      </m:rPr>
                                      <w:rPr>
                                        <w:rFonts w:ascii="Cambria Math" w:hAnsi="Cambria Math"/>
                                        <w:sz w:val="22"/>
                                        <w:szCs w:val="22"/>
                                        <w:lang w:val="en-GB"/>
                                      </w:rPr>
                                      <m:t>C</m:t>
                                    </m:r>
                                  </m:e>
                                  <m:sub>
                                    <m:r>
                                      <m:rPr>
                                        <m:sty m:val="p"/>
                                      </m:rPr>
                                      <w:rPr>
                                        <w:rFonts w:ascii="Cambria Math" w:hAnsi="Cambria Math"/>
                                        <w:sz w:val="22"/>
                                        <w:szCs w:val="22"/>
                                        <w:lang w:val="en-GB"/>
                                      </w:rPr>
                                      <m:t>i</m:t>
                                    </m:r>
                                  </m:sub>
                                </m:sSub>
                              </m:num>
                              <m:den>
                                <m:r>
                                  <m:rPr>
                                    <m:sty m:val="p"/>
                                  </m:rPr>
                                  <w:rPr>
                                    <w:rFonts w:ascii="Cambria Math" w:hAnsi="Cambria Math"/>
                                    <w:sz w:val="22"/>
                                    <w:szCs w:val="22"/>
                                    <w:lang w:val="en-GB"/>
                                  </w:rPr>
                                  <m:t>E</m:t>
                                </m:r>
                                <m:sSub>
                                  <m:sSubPr>
                                    <m:ctrlPr>
                                      <w:rPr>
                                        <w:rFonts w:ascii="Cambria Math" w:hAnsi="Cambria Math"/>
                                        <w:iCs/>
                                        <w:sz w:val="22"/>
                                        <w:szCs w:val="22"/>
                                        <w:lang w:val="en-GB"/>
                                      </w:rPr>
                                    </m:ctrlPr>
                                  </m:sSubPr>
                                  <m:e>
                                    <m:r>
                                      <m:rPr>
                                        <m:sty m:val="p"/>
                                      </m:rPr>
                                      <w:rPr>
                                        <w:rFonts w:ascii="Cambria Math" w:hAnsi="Cambria Math"/>
                                        <w:sz w:val="22"/>
                                        <w:szCs w:val="22"/>
                                        <w:lang w:val="en-GB"/>
                                      </w:rPr>
                                      <m:t>c</m:t>
                                    </m:r>
                                  </m:e>
                                  <m:sub>
                                    <m:r>
                                      <m:rPr>
                                        <m:sty m:val="p"/>
                                      </m:rPr>
                                      <w:rPr>
                                        <w:rFonts w:ascii="Cambria Math" w:hAnsi="Cambria Math"/>
                                        <w:sz w:val="22"/>
                                        <w:szCs w:val="22"/>
                                        <w:lang w:val="en-GB"/>
                                      </w:rPr>
                                      <m:t>r</m:t>
                                    </m:r>
                                  </m:sub>
                                </m:sSub>
                              </m:den>
                            </m:f>
                          </m:e>
                        </m:d>
                      </m:e>
                      <m:sub/>
                      <m:sup>
                        <m:r>
                          <m:rPr>
                            <m:sty m:val="p"/>
                          </m:rPr>
                          <w:rPr>
                            <w:rFonts w:ascii="Cambria Math" w:hAnsi="Cambria Math"/>
                            <w:sz w:val="22"/>
                            <w:szCs w:val="22"/>
                            <w:lang w:val="en-GB"/>
                          </w:rPr>
                          <m:t>0.5</m:t>
                        </m:r>
                      </m:sup>
                    </m:sSubSup>
                    <m:r>
                      <m:rPr>
                        <m:sty m:val="p"/>
                      </m:rPr>
                      <w:rPr>
                        <w:rFonts w:ascii="Cambria Math" w:hAnsi="Cambria Math"/>
                        <w:sz w:val="22"/>
                        <w:szCs w:val="22"/>
                        <w:lang w:val="en-GB"/>
                      </w:rPr>
                      <m:t>-1.35</m:t>
                    </m:r>
                  </m:e>
                </m:d>
              </m:oMath>
            </m:oMathPara>
          </w:p>
        </w:tc>
        <w:tc>
          <w:tcPr>
            <w:tcW w:w="4505" w:type="dxa"/>
          </w:tcPr>
          <w:p w14:paraId="59DCCDCF" w14:textId="4A972300" w:rsidR="00380752" w:rsidRPr="00D93FF9" w:rsidRDefault="00E811B8" w:rsidP="00FE7BBD">
            <w:pPr>
              <w:jc w:val="right"/>
              <w:rPr>
                <w:rFonts w:asciiTheme="minorHAnsi" w:hAnsiTheme="minorHAnsi"/>
                <w:sz w:val="22"/>
                <w:szCs w:val="22"/>
                <w:lang w:val="en-GB"/>
              </w:rPr>
            </w:pPr>
            <w:r w:rsidRPr="00D93FF9">
              <w:rPr>
                <w:sz w:val="22"/>
                <w:szCs w:val="22"/>
                <w:lang w:val="en-GB"/>
              </w:rPr>
              <w:t xml:space="preserve">From </w:t>
            </w:r>
            <w:r w:rsidRPr="00D93FF9">
              <w:rPr>
                <w:lang w:val="en-GB"/>
              </w:rPr>
              <w:fldChar w:fldCharType="begin"/>
            </w:r>
            <w:r w:rsidRPr="00D93FF9">
              <w:rPr>
                <w:sz w:val="22"/>
                <w:szCs w:val="22"/>
                <w:lang w:val="en-GB"/>
              </w:rPr>
              <w:instrText xml:space="preserve"> REF _Ref71624236 \h </w:instrText>
            </w:r>
            <w:r w:rsidR="00FE7BBD" w:rsidRPr="00D93FF9">
              <w:rPr>
                <w:sz w:val="22"/>
                <w:szCs w:val="22"/>
                <w:lang w:val="en-GB"/>
              </w:rPr>
              <w:instrText xml:space="preserve"> \* MERGEFORMAT </w:instrText>
            </w:r>
            <w:r w:rsidRPr="00D93FF9">
              <w:rPr>
                <w:lang w:val="en-GB"/>
              </w:rPr>
            </w:r>
            <w:r w:rsidRPr="00D93FF9">
              <w:rPr>
                <w:lang w:val="en-GB"/>
              </w:rPr>
              <w:fldChar w:fldCharType="separate"/>
            </w:r>
            <w:r w:rsidR="0069302C" w:rsidRPr="00D93FF9">
              <w:rPr>
                <w:sz w:val="22"/>
                <w:szCs w:val="22"/>
              </w:rPr>
              <w:t xml:space="preserve">Equation </w:t>
            </w:r>
            <w:r w:rsidR="0069302C">
              <w:rPr>
                <w:noProof/>
                <w:sz w:val="22"/>
                <w:szCs w:val="22"/>
              </w:rPr>
              <w:t>9</w:t>
            </w:r>
            <w:r w:rsidRPr="00D93FF9">
              <w:rPr>
                <w:lang w:val="en-GB"/>
              </w:rPr>
              <w:fldChar w:fldCharType="end"/>
            </w:r>
          </w:p>
        </w:tc>
      </w:tr>
    </w:tbl>
    <w:p w14:paraId="59DCCDD1" w14:textId="77777777" w:rsidR="0090467F" w:rsidRPr="00D93FF9" w:rsidRDefault="00E811B8" w:rsidP="0090467F">
      <w:pPr>
        <w:spacing w:after="0" w:line="240" w:lineRule="auto"/>
        <w:rPr>
          <w:rFonts w:ascii="Times New Roman" w:hAnsi="Times New Roman" w:cs="Times New Roman"/>
          <w:sz w:val="24"/>
          <w:szCs w:val="24"/>
          <w:lang w:eastAsia="en-AU"/>
        </w:rPr>
      </w:pPr>
      <w:r w:rsidRPr="00D93FF9">
        <w:rPr>
          <w:lang w:val="en-GB"/>
        </w:rPr>
        <w:t xml:space="preserve">This relationship accounts for an increase in LF due to increased solute concentration of the soil solution from the added salt in the irrigation water </w:t>
      </w:r>
    </w:p>
    <w:p w14:paraId="59DCCDD2" w14:textId="77777777" w:rsidR="00404B72" w:rsidRPr="00D93FF9" w:rsidRDefault="00404B72" w:rsidP="003807A1">
      <w:pPr>
        <w:pStyle w:val="BodyText"/>
        <w:spacing w:after="0" w:line="266" w:lineRule="auto"/>
        <w:rPr>
          <w:lang w:val="en-GB"/>
        </w:rPr>
      </w:pPr>
    </w:p>
    <w:p w14:paraId="59DCCDD3" w14:textId="77777777" w:rsidR="00C46175" w:rsidRPr="00D93FF9" w:rsidRDefault="00735642" w:rsidP="003807A1">
      <w:pPr>
        <w:pStyle w:val="BodyText"/>
        <w:spacing w:after="0"/>
        <w:rPr>
          <w:lang w:val="en-GB"/>
        </w:rPr>
      </w:pPr>
      <m:oMathPara>
        <m:oMathParaPr>
          <m:jc m:val="left"/>
        </m:oMathParaPr>
        <m:oMath>
          <m:sSub>
            <m:sSubPr>
              <m:ctrlPr>
                <w:rPr>
                  <w:rFonts w:ascii="Cambria Math" w:hAnsi="Cambria Math"/>
                  <w:iCs/>
                  <w:lang w:val="en-GB"/>
                </w:rPr>
              </m:ctrlPr>
            </m:sSubPr>
            <m:e>
              <m:r>
                <m:rPr>
                  <m:sty m:val="p"/>
                </m:rPr>
                <w:rPr>
                  <w:rFonts w:ascii="Cambria Math" w:hAnsi="Cambria Math"/>
                  <w:lang w:val="en-GB"/>
                </w:rPr>
                <m:t>LF</m:t>
              </m:r>
            </m:e>
            <m:sub>
              <m:r>
                <m:rPr>
                  <m:sty m:val="p"/>
                </m:rPr>
                <w:rPr>
                  <w:rFonts w:ascii="Cambria Math" w:hAnsi="Cambria Math"/>
                  <w:lang w:val="en-GB"/>
                </w:rPr>
                <m:t>f</m:t>
              </m:r>
            </m:sub>
          </m:sSub>
          <m:r>
            <w:rPr>
              <w:rFonts w:ascii="Cambria Math" w:hAnsi="Cambria Math"/>
              <w:lang w:val="en-GB"/>
            </w:rPr>
            <m:t>=0.0948=9.5%</m:t>
          </m:r>
        </m:oMath>
      </m:oMathPara>
    </w:p>
    <w:p w14:paraId="59DCCDD4" w14:textId="77777777" w:rsidR="00C46175" w:rsidRPr="00D93FF9" w:rsidRDefault="00E811B8" w:rsidP="00840D10">
      <w:pPr>
        <w:pStyle w:val="Heading5"/>
        <w:rPr>
          <w:lang w:val="en-GB"/>
        </w:rPr>
      </w:pPr>
      <w:r w:rsidRPr="00D93FF9">
        <w:rPr>
          <w:lang w:val="en-GB"/>
        </w:rPr>
        <w:t xml:space="preserve">Calculate </w:t>
      </w:r>
      <w:r w:rsidR="005A4243" w:rsidRPr="00D93FF9">
        <w:rPr>
          <w:lang w:val="en-GB"/>
        </w:rPr>
        <w:t>average root zone L</w:t>
      </w:r>
      <w:r w:rsidRPr="00D93FF9">
        <w:rPr>
          <w:lang w:val="en-GB"/>
        </w:rPr>
        <w:t xml:space="preserve">eaching </w:t>
      </w:r>
      <w:r w:rsidR="005A4243" w:rsidRPr="00D93FF9">
        <w:rPr>
          <w:lang w:val="en-GB"/>
        </w:rPr>
        <w:t>F</w:t>
      </w:r>
      <w:r w:rsidRPr="00D93FF9">
        <w:rPr>
          <w:lang w:val="en-GB"/>
        </w:rPr>
        <w:t>raction</w:t>
      </w:r>
    </w:p>
    <w:p w14:paraId="59DCCDD5" w14:textId="77777777" w:rsidR="00C46175" w:rsidRPr="00D93FF9" w:rsidRDefault="00C46175" w:rsidP="003807A1">
      <w:pPr>
        <w:pStyle w:val="BodyText"/>
        <w:spacing w:after="0"/>
        <w:rPr>
          <w:b/>
          <w:sz w:val="2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DD8" w14:textId="77777777" w:rsidTr="00AC0D86">
        <w:tc>
          <w:tcPr>
            <w:tcW w:w="4505" w:type="dxa"/>
          </w:tcPr>
          <w:p w14:paraId="59DCCDD6" w14:textId="77777777" w:rsidR="002C70CE" w:rsidRPr="00D93FF9" w:rsidRDefault="00735642" w:rsidP="003807A1">
            <w:pPr>
              <w:pStyle w:val="BodyText"/>
              <w:tabs>
                <w:tab w:val="left" w:pos="6932"/>
              </w:tabs>
              <w:spacing w:after="0"/>
              <w:rPr>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LF</m:t>
                    </m:r>
                  </m:e>
                  <m:sub>
                    <m:r>
                      <m:rPr>
                        <m:sty m:val="p"/>
                      </m:rPr>
                      <w:rPr>
                        <w:rFonts w:ascii="Cambria Math" w:hAnsi="Cambria Math"/>
                        <w:sz w:val="22"/>
                        <w:szCs w:val="22"/>
                        <w:lang w:val="en-GB"/>
                      </w:rPr>
                      <m:t>av</m:t>
                    </m:r>
                  </m:sub>
                </m:sSub>
                <m:d>
                  <m:dPr>
                    <m:ctrlPr>
                      <w:rPr>
                        <w:rFonts w:ascii="Cambria Math" w:hAnsi="Cambria Math"/>
                        <w:iCs/>
                        <w:lang w:val="en-GB"/>
                      </w:rPr>
                    </m:ctrlPr>
                  </m:dPr>
                  <m:e>
                    <m:r>
                      <m:rPr>
                        <m:sty m:val="p"/>
                      </m:rPr>
                      <w:rPr>
                        <w:rFonts w:ascii="Cambria Math" w:hAnsi="Cambria Math"/>
                        <w:sz w:val="22"/>
                        <w:szCs w:val="22"/>
                        <w:lang w:val="en-GB"/>
                      </w:rPr>
                      <m:t>%</m:t>
                    </m:r>
                  </m:e>
                </m:d>
                <m:r>
                  <m:rPr>
                    <m:sty m:val="p"/>
                  </m:rPr>
                  <w:rPr>
                    <w:rFonts w:ascii="Cambria Math" w:hAnsi="Cambria Math"/>
                    <w:sz w:val="22"/>
                    <w:szCs w:val="22"/>
                    <w:lang w:val="en-GB"/>
                  </w:rPr>
                  <m:t>=</m:t>
                </m:r>
                <m:sSup>
                  <m:sSupPr>
                    <m:ctrlPr>
                      <w:rPr>
                        <w:rFonts w:ascii="Cambria Math" w:hAnsi="Cambria Math"/>
                        <w:iCs/>
                        <w:sz w:val="22"/>
                        <w:szCs w:val="22"/>
                        <w:lang w:val="en-GB"/>
                      </w:rPr>
                    </m:ctrlPr>
                  </m:sSupPr>
                  <m:e>
                    <m:d>
                      <m:dPr>
                        <m:ctrlPr>
                          <w:rPr>
                            <w:rFonts w:ascii="Cambria Math" w:hAnsi="Cambria Math"/>
                            <w:iCs/>
                            <w:sz w:val="22"/>
                            <w:szCs w:val="22"/>
                            <w:lang w:val="en-GB"/>
                          </w:rPr>
                        </m:ctrlPr>
                      </m:dPr>
                      <m:e>
                        <m:r>
                          <m:rPr>
                            <m:sty m:val="p"/>
                          </m:rPr>
                          <w:rPr>
                            <w:rFonts w:ascii="Cambria Math" w:hAnsi="Cambria Math"/>
                            <w:sz w:val="22"/>
                            <w:szCs w:val="22"/>
                            <w:lang w:val="en-GB"/>
                          </w:rPr>
                          <m:t>0.976×</m:t>
                        </m:r>
                        <m:sSub>
                          <m:sSubPr>
                            <m:ctrlPr>
                              <w:rPr>
                                <w:rFonts w:ascii="Cambria Math" w:hAnsi="Cambria Math"/>
                                <w:iCs/>
                                <w:sz w:val="22"/>
                                <w:szCs w:val="22"/>
                                <w:lang w:val="en-GB"/>
                              </w:rPr>
                            </m:ctrlPr>
                          </m:sSubPr>
                          <m:e>
                            <m:r>
                              <m:rPr>
                                <m:sty m:val="p"/>
                              </m:rPr>
                              <w:rPr>
                                <w:rFonts w:ascii="Cambria Math" w:hAnsi="Cambria Math"/>
                                <w:sz w:val="22"/>
                                <w:szCs w:val="22"/>
                                <w:lang w:val="en-GB"/>
                              </w:rPr>
                              <m:t>LF</m:t>
                            </m:r>
                          </m:e>
                          <m:sub>
                            <m:r>
                              <m:rPr>
                                <m:sty m:val="p"/>
                              </m:rPr>
                              <w:rPr>
                                <w:rFonts w:ascii="Cambria Math" w:hAnsi="Cambria Math"/>
                                <w:sz w:val="22"/>
                                <w:szCs w:val="22"/>
                                <w:lang w:val="en-GB"/>
                              </w:rPr>
                              <m:t>f</m:t>
                            </m:r>
                          </m:sub>
                        </m:sSub>
                        <m:r>
                          <m:rPr>
                            <m:sty m:val="p"/>
                          </m:rPr>
                          <w:rPr>
                            <w:rFonts w:ascii="Cambria Math" w:hAnsi="Cambria Math"/>
                            <w:sz w:val="22"/>
                            <w:szCs w:val="22"/>
                            <w:lang w:val="en-GB"/>
                          </w:rPr>
                          <m:t>×0.282</m:t>
                        </m:r>
                      </m:e>
                    </m:d>
                  </m:e>
                  <m:sup>
                    <m:r>
                      <m:rPr>
                        <m:sty m:val="p"/>
                      </m:rPr>
                      <w:rPr>
                        <w:rFonts w:ascii="Cambria Math" w:hAnsi="Cambria Math"/>
                        <w:sz w:val="22"/>
                        <w:szCs w:val="22"/>
                        <w:lang w:val="en-GB"/>
                      </w:rPr>
                      <m:t>0.625</m:t>
                    </m:r>
                  </m:sup>
                </m:sSup>
                <m:r>
                  <w:rPr>
                    <w:rFonts w:ascii="Cambria Math" w:hAnsi="Cambria Math"/>
                    <w:sz w:val="22"/>
                    <w:szCs w:val="22"/>
                    <w:lang w:val="en-GB"/>
                  </w:rPr>
                  <m:t>=0.26=26%</m:t>
                </m:r>
              </m:oMath>
            </m:oMathPara>
          </w:p>
        </w:tc>
        <w:tc>
          <w:tcPr>
            <w:tcW w:w="4505" w:type="dxa"/>
          </w:tcPr>
          <w:p w14:paraId="59DCCDD7" w14:textId="399BB900" w:rsidR="002C70CE" w:rsidRPr="00D93FF9" w:rsidRDefault="00E811B8" w:rsidP="002C70CE">
            <w:pPr>
              <w:pStyle w:val="BodyText"/>
              <w:tabs>
                <w:tab w:val="left" w:pos="6932"/>
              </w:tabs>
              <w:spacing w:after="0"/>
              <w:jc w:val="right"/>
              <w:rPr>
                <w:rFonts w:asciiTheme="minorHAnsi" w:hAnsiTheme="minorHAnsi"/>
                <w:sz w:val="22"/>
                <w:szCs w:val="22"/>
                <w:lang w:val="en-GB"/>
              </w:rPr>
            </w:pPr>
            <w:r w:rsidRPr="00D93FF9">
              <w:rPr>
                <w:sz w:val="22"/>
                <w:szCs w:val="22"/>
                <w:lang w:val="en-GB"/>
              </w:rPr>
              <w:t xml:space="preserve">From </w:t>
            </w:r>
            <w:r w:rsidRPr="00D93FF9">
              <w:rPr>
                <w:lang w:val="en-GB"/>
              </w:rPr>
              <w:fldChar w:fldCharType="begin"/>
            </w:r>
            <w:r w:rsidRPr="00D93FF9">
              <w:rPr>
                <w:sz w:val="22"/>
                <w:szCs w:val="22"/>
                <w:lang w:val="en-GB"/>
              </w:rPr>
              <w:instrText xml:space="preserve"> REF _Ref71621708 \h  \* MERGEFORMAT </w:instrText>
            </w:r>
            <w:r w:rsidRPr="00D93FF9">
              <w:rPr>
                <w:lang w:val="en-GB"/>
              </w:rPr>
            </w:r>
            <w:r w:rsidRPr="00D93FF9">
              <w:rPr>
                <w:lang w:val="en-GB"/>
              </w:rPr>
              <w:fldChar w:fldCharType="separate"/>
            </w:r>
            <w:r w:rsidR="0069302C" w:rsidRPr="0069302C">
              <w:t xml:space="preserve">Equation </w:t>
            </w:r>
            <w:r w:rsidR="0069302C" w:rsidRPr="0069302C">
              <w:rPr>
                <w:noProof/>
              </w:rPr>
              <w:t>13</w:t>
            </w:r>
            <w:r w:rsidRPr="00D93FF9">
              <w:rPr>
                <w:lang w:val="en-GB"/>
              </w:rPr>
              <w:fldChar w:fldCharType="end"/>
            </w:r>
          </w:p>
        </w:tc>
      </w:tr>
    </w:tbl>
    <w:p w14:paraId="59DCCDD9" w14:textId="77777777" w:rsidR="002C70CE" w:rsidRPr="00D93FF9" w:rsidRDefault="002C70CE" w:rsidP="003807A1">
      <w:pPr>
        <w:pStyle w:val="BodyText"/>
        <w:tabs>
          <w:tab w:val="left" w:pos="6932"/>
        </w:tabs>
        <w:spacing w:after="0"/>
        <w:rPr>
          <w:lang w:val="en-GB"/>
        </w:rPr>
      </w:pPr>
    </w:p>
    <w:p w14:paraId="59DCCDDA" w14:textId="77777777" w:rsidR="00C46175" w:rsidRPr="00D93FF9" w:rsidRDefault="00E811B8" w:rsidP="00840D10">
      <w:pPr>
        <w:pStyle w:val="Heading5"/>
        <w:rPr>
          <w:lang w:val="en-GB"/>
        </w:rPr>
      </w:pPr>
      <w:r w:rsidRPr="00D93FF9">
        <w:rPr>
          <w:lang w:val="en-GB"/>
        </w:rPr>
        <w:lastRenderedPageBreak/>
        <w:t xml:space="preserve">Predicted </w:t>
      </w:r>
      <w:r w:rsidR="005A4243" w:rsidRPr="00D93FF9">
        <w:rPr>
          <w:lang w:val="en-GB"/>
        </w:rPr>
        <w:t xml:space="preserve">average </w:t>
      </w:r>
      <w:r w:rsidRPr="00D93FF9">
        <w:rPr>
          <w:lang w:val="en-GB"/>
        </w:rPr>
        <w:t>root zone salinity: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E3AA8" w:rsidRPr="00D93FF9" w14:paraId="59DCCDDD" w14:textId="77777777" w:rsidTr="00AC0D86">
        <w:tc>
          <w:tcPr>
            <w:tcW w:w="4505" w:type="dxa"/>
          </w:tcPr>
          <w:p w14:paraId="59DCCDDB" w14:textId="77777777" w:rsidR="001E57AF" w:rsidRPr="00D93FF9" w:rsidRDefault="00735642" w:rsidP="002C70CE">
            <w:pPr>
              <w:rPr>
                <w:sz w:val="22"/>
                <w:szCs w:val="22"/>
                <w:lang w:val="en-GB"/>
              </w:rPr>
            </w:pPr>
            <m:oMathPara>
              <m:oMathParaPr>
                <m:jc m:val="left"/>
              </m:oMathParaPr>
              <m:oMath>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se</m:t>
                    </m:r>
                  </m:sub>
                </m:sSub>
                <m:r>
                  <m:rPr>
                    <m:sty m:val="p"/>
                  </m:rPr>
                  <w:rPr>
                    <w:rFonts w:ascii="Cambria Math" w:hAnsi="Cambria Math"/>
                    <w:sz w:val="22"/>
                    <w:szCs w:val="22"/>
                    <w:lang w:val="en-GB"/>
                  </w:rPr>
                  <m:t>=</m:t>
                </m:r>
                <m:f>
                  <m:fPr>
                    <m:ctrlPr>
                      <w:rPr>
                        <w:rFonts w:ascii="Cambria Math" w:hAnsi="Cambria Math"/>
                        <w:iCs/>
                        <w:sz w:val="22"/>
                        <w:szCs w:val="22"/>
                        <w:lang w:val="en-GB"/>
                      </w:rPr>
                    </m:ctrlPr>
                  </m:fPr>
                  <m:num>
                    <m:sSub>
                      <m:sSubPr>
                        <m:ctrlPr>
                          <w:rPr>
                            <w:rFonts w:ascii="Cambria Math" w:hAnsi="Cambria Math"/>
                            <w:iCs/>
                            <w:sz w:val="22"/>
                            <w:szCs w:val="22"/>
                            <w:lang w:val="en-GB"/>
                          </w:rPr>
                        </m:ctrlPr>
                      </m:sSubPr>
                      <m:e>
                        <m:r>
                          <m:rPr>
                            <m:sty m:val="p"/>
                          </m:rPr>
                          <w:rPr>
                            <w:rFonts w:ascii="Cambria Math" w:hAnsi="Cambria Math"/>
                            <w:sz w:val="22"/>
                            <w:szCs w:val="22"/>
                            <w:lang w:val="en-GB"/>
                          </w:rPr>
                          <m:t>EC</m:t>
                        </m:r>
                      </m:e>
                      <m:sub>
                        <m:r>
                          <m:rPr>
                            <m:sty m:val="p"/>
                          </m:rPr>
                          <w:rPr>
                            <w:rFonts w:ascii="Cambria Math" w:hAnsi="Cambria Math"/>
                            <w:sz w:val="22"/>
                            <w:szCs w:val="22"/>
                            <w:lang w:val="en-GB"/>
                          </w:rPr>
                          <m:t>i</m:t>
                        </m:r>
                      </m:sub>
                    </m:sSub>
                  </m:num>
                  <m:den>
                    <m:r>
                      <m:rPr>
                        <m:sty m:val="p"/>
                      </m:rPr>
                      <w:rPr>
                        <w:rFonts w:ascii="Cambria Math" w:hAnsi="Cambria Math"/>
                        <w:sz w:val="22"/>
                        <w:szCs w:val="22"/>
                        <w:lang w:val="en-GB"/>
                      </w:rPr>
                      <m:t>(2.2×</m:t>
                    </m:r>
                    <m:sSub>
                      <m:sSubPr>
                        <m:ctrlPr>
                          <w:rPr>
                            <w:rFonts w:ascii="Cambria Math" w:hAnsi="Cambria Math"/>
                            <w:iCs/>
                            <w:sz w:val="22"/>
                            <w:szCs w:val="22"/>
                            <w:lang w:val="en-GB"/>
                          </w:rPr>
                        </m:ctrlPr>
                      </m:sSubPr>
                      <m:e>
                        <m:r>
                          <m:rPr>
                            <m:sty m:val="p"/>
                          </m:rPr>
                          <w:rPr>
                            <w:rFonts w:ascii="Cambria Math" w:hAnsi="Cambria Math"/>
                            <w:sz w:val="22"/>
                            <w:szCs w:val="22"/>
                            <w:lang w:val="en-GB"/>
                          </w:rPr>
                          <m:t>LF</m:t>
                        </m:r>
                      </m:e>
                      <m:sub>
                        <m:r>
                          <m:rPr>
                            <m:sty m:val="p"/>
                          </m:rPr>
                          <w:rPr>
                            <w:rFonts w:ascii="Cambria Math" w:hAnsi="Cambria Math"/>
                            <w:sz w:val="22"/>
                            <w:szCs w:val="22"/>
                            <w:lang w:val="en-GB"/>
                          </w:rPr>
                          <m:t>av</m:t>
                        </m:r>
                      </m:sub>
                    </m:sSub>
                    <m:r>
                      <m:rPr>
                        <m:sty m:val="p"/>
                      </m:rPr>
                      <w:rPr>
                        <w:rFonts w:ascii="Cambria Math" w:hAnsi="Cambria Math"/>
                        <w:sz w:val="22"/>
                        <w:szCs w:val="22"/>
                        <w:lang w:val="en-GB"/>
                      </w:rPr>
                      <m:t>)</m:t>
                    </m:r>
                  </m:den>
                </m:f>
                <m:r>
                  <m:rPr>
                    <m:sty m:val="p"/>
                  </m:rPr>
                  <w:rPr>
                    <w:rFonts w:ascii="Cambria Math" w:hAnsi="Cambria Math"/>
                    <w:sz w:val="22"/>
                    <w:szCs w:val="22"/>
                    <w:lang w:val="en-GB"/>
                  </w:rPr>
                  <m:t>=3 dS/m</m:t>
                </m:r>
              </m:oMath>
            </m:oMathPara>
          </w:p>
        </w:tc>
        <w:tc>
          <w:tcPr>
            <w:tcW w:w="4505" w:type="dxa"/>
          </w:tcPr>
          <w:p w14:paraId="59DCCDDC" w14:textId="11AD0776" w:rsidR="001E57AF" w:rsidRPr="00D93FF9" w:rsidRDefault="00E811B8" w:rsidP="001E57AF">
            <w:pPr>
              <w:jc w:val="right"/>
              <w:rPr>
                <w:rFonts w:asciiTheme="minorHAnsi" w:hAnsiTheme="minorHAnsi"/>
                <w:sz w:val="22"/>
                <w:szCs w:val="22"/>
                <w:lang w:val="en-GB"/>
              </w:rPr>
            </w:pPr>
            <w:r w:rsidRPr="00D93FF9">
              <w:rPr>
                <w:sz w:val="22"/>
                <w:szCs w:val="22"/>
                <w:lang w:val="en-GB"/>
              </w:rPr>
              <w:t xml:space="preserve">From </w:t>
            </w:r>
            <w:r w:rsidRPr="00D93FF9">
              <w:rPr>
                <w:lang w:val="en-GB"/>
              </w:rPr>
              <w:fldChar w:fldCharType="begin"/>
            </w:r>
            <w:r w:rsidRPr="00D93FF9">
              <w:rPr>
                <w:sz w:val="22"/>
                <w:szCs w:val="22"/>
                <w:lang w:val="en-GB"/>
              </w:rPr>
              <w:instrText xml:space="preserve"> REF _Ref71622697 \h  \* MERGEFORMAT </w:instrText>
            </w:r>
            <w:r w:rsidRPr="00D93FF9">
              <w:rPr>
                <w:lang w:val="en-GB"/>
              </w:rPr>
            </w:r>
            <w:r w:rsidRPr="00D93FF9">
              <w:rPr>
                <w:lang w:val="en-GB"/>
              </w:rPr>
              <w:fldChar w:fldCharType="separate"/>
            </w:r>
            <w:r w:rsidR="0069302C" w:rsidRPr="0069302C">
              <w:t xml:space="preserve">Equation </w:t>
            </w:r>
            <w:r w:rsidR="0069302C" w:rsidRPr="0069302C">
              <w:rPr>
                <w:noProof/>
              </w:rPr>
              <w:t>12</w:t>
            </w:r>
            <w:r w:rsidRPr="00D93FF9">
              <w:rPr>
                <w:lang w:val="en-GB"/>
              </w:rPr>
              <w:fldChar w:fldCharType="end"/>
            </w:r>
          </w:p>
        </w:tc>
      </w:tr>
    </w:tbl>
    <w:p w14:paraId="59DCCDDE" w14:textId="77777777" w:rsidR="00840D10" w:rsidRPr="00D93FF9" w:rsidRDefault="00840D10" w:rsidP="003807A1">
      <w:pPr>
        <w:pStyle w:val="BodyText"/>
        <w:spacing w:after="0" w:line="284" w:lineRule="exact"/>
        <w:rPr>
          <w:lang w:val="en-GB"/>
        </w:rPr>
      </w:pPr>
    </w:p>
    <w:p w14:paraId="59DCCDDF" w14:textId="4622CF4A" w:rsidR="00C46175" w:rsidRPr="00D93FF9" w:rsidRDefault="00E811B8" w:rsidP="001E57AF">
      <w:pPr>
        <w:pStyle w:val="BodyText"/>
        <w:spacing w:after="0" w:line="284" w:lineRule="exact"/>
        <w:rPr>
          <w:lang w:val="en-GB"/>
        </w:rPr>
      </w:pPr>
      <w:r w:rsidRPr="00D93FF9">
        <w:rPr>
          <w:lang w:val="en-GB"/>
        </w:rPr>
        <w:t>T</w:t>
      </w:r>
      <w:r w:rsidR="00E90CE0" w:rsidRPr="00D93FF9">
        <w:rPr>
          <w:lang w:val="en-GB"/>
        </w:rPr>
        <w:t>he predicted EC</w:t>
      </w:r>
      <w:r w:rsidR="00E90CE0" w:rsidRPr="00D93FF9">
        <w:rPr>
          <w:position w:val="-4"/>
          <w:sz w:val="15"/>
          <w:lang w:val="en-GB"/>
        </w:rPr>
        <w:t xml:space="preserve">se </w:t>
      </w:r>
      <w:r w:rsidR="00E90CE0" w:rsidRPr="00D93FF9">
        <w:rPr>
          <w:lang w:val="en-GB"/>
        </w:rPr>
        <w:t xml:space="preserve">can then be compared with plant salt tolerance data provided in </w:t>
      </w:r>
      <w:r w:rsidR="00B4557E" w:rsidRPr="00D93FF9">
        <w:rPr>
          <w:lang w:val="en-GB"/>
        </w:rPr>
        <w:fldChar w:fldCharType="begin"/>
      </w:r>
      <w:r w:rsidR="00B4557E" w:rsidRPr="00D93FF9">
        <w:rPr>
          <w:lang w:val="en-GB"/>
        </w:rPr>
        <w:instrText xml:space="preserve"> REF _Ref81391734 \h </w:instrText>
      </w:r>
      <w:r w:rsidR="00D93FF9">
        <w:rPr>
          <w:lang w:val="en-GB"/>
        </w:rPr>
        <w:instrText xml:space="preserve"> \* MERGEFORMAT </w:instrText>
      </w:r>
      <w:r w:rsidR="00B4557E" w:rsidRPr="00D93FF9">
        <w:rPr>
          <w:lang w:val="en-GB"/>
        </w:rPr>
      </w:r>
      <w:r w:rsidR="00B4557E" w:rsidRPr="00D93FF9">
        <w:rPr>
          <w:lang w:val="en-GB"/>
        </w:rPr>
        <w:fldChar w:fldCharType="separate"/>
      </w:r>
      <w:r w:rsidR="0069302C" w:rsidRPr="00D93FF9">
        <w:t xml:space="preserve">Table </w:t>
      </w:r>
      <w:r w:rsidR="0069302C">
        <w:rPr>
          <w:noProof/>
        </w:rPr>
        <w:t>14</w:t>
      </w:r>
      <w:r w:rsidR="00B4557E" w:rsidRPr="00D93FF9">
        <w:rPr>
          <w:lang w:val="en-GB"/>
        </w:rPr>
        <w:fldChar w:fldCharType="end"/>
      </w:r>
      <w:r w:rsidR="00B4557E" w:rsidRPr="00D93FF9">
        <w:rPr>
          <w:lang w:val="en-GB"/>
        </w:rPr>
        <w:t xml:space="preserve"> and </w:t>
      </w:r>
      <w:r w:rsidR="00B4557E" w:rsidRPr="00D93FF9">
        <w:rPr>
          <w:lang w:val="en-GB"/>
        </w:rPr>
        <w:fldChar w:fldCharType="begin"/>
      </w:r>
      <w:r w:rsidR="00B4557E" w:rsidRPr="00D93FF9">
        <w:rPr>
          <w:lang w:val="en-GB"/>
        </w:rPr>
        <w:instrText xml:space="preserve"> REF _Ref81391747 \h </w:instrText>
      </w:r>
      <w:r w:rsidR="00D93FF9">
        <w:rPr>
          <w:lang w:val="en-GB"/>
        </w:rPr>
        <w:instrText xml:space="preserve"> \* MERGEFORMAT </w:instrText>
      </w:r>
      <w:r w:rsidR="00B4557E" w:rsidRPr="00D93FF9">
        <w:rPr>
          <w:lang w:val="en-GB"/>
        </w:rPr>
      </w:r>
      <w:r w:rsidR="00B4557E" w:rsidRPr="00D93FF9">
        <w:rPr>
          <w:lang w:val="en-GB"/>
        </w:rPr>
        <w:fldChar w:fldCharType="separate"/>
      </w:r>
      <w:r w:rsidR="0069302C" w:rsidRPr="00D93FF9">
        <w:t xml:space="preserve">Table </w:t>
      </w:r>
      <w:r w:rsidR="0069302C">
        <w:rPr>
          <w:noProof/>
        </w:rPr>
        <w:t>15</w:t>
      </w:r>
      <w:r w:rsidR="00B4557E" w:rsidRPr="00D93FF9">
        <w:rPr>
          <w:lang w:val="en-GB"/>
        </w:rPr>
        <w:fldChar w:fldCharType="end"/>
      </w:r>
      <w:r w:rsidR="00B4557E" w:rsidRPr="00D93FF9">
        <w:rPr>
          <w:lang w:val="en-GB"/>
        </w:rPr>
        <w:t xml:space="preserve"> </w:t>
      </w:r>
      <w:r w:rsidR="00E90CE0" w:rsidRPr="00D93FF9">
        <w:rPr>
          <w:lang w:val="en-GB"/>
        </w:rPr>
        <w:t>to determine likely crop response to this irrigation regime.</w:t>
      </w:r>
    </w:p>
    <w:p w14:paraId="59DCCE0A" w14:textId="77777777" w:rsidR="00C46175" w:rsidRPr="00D93FF9" w:rsidRDefault="00C46175" w:rsidP="003807A1">
      <w:pPr>
        <w:pStyle w:val="BodyText"/>
        <w:spacing w:after="0"/>
        <w:rPr>
          <w:sz w:val="30"/>
          <w:lang w:val="en-GB"/>
        </w:rPr>
      </w:pPr>
      <w:bookmarkStart w:id="171" w:name="United_States_of_America_irrigation_wate"/>
      <w:bookmarkStart w:id="172" w:name="Schofield_(1936)"/>
      <w:bookmarkStart w:id="173" w:name="United_States_Salinity_Laboratory_Staff_"/>
      <w:bookmarkStart w:id="174" w:name="Doneen_(1954;_1966)"/>
      <w:bookmarkStart w:id="175" w:name="Williams_and_Gostrik_(1981)"/>
      <w:bookmarkStart w:id="176" w:name="Australian_schemes"/>
      <w:bookmarkStart w:id="177" w:name="Queensland_Department_of_Primary_Industr"/>
      <w:bookmarkStart w:id="178" w:name="VIRASC_(1980)_and_Hart_(1974)"/>
      <w:bookmarkStart w:id="179" w:name="Rhoades_(1983)"/>
      <w:bookmarkStart w:id="180" w:name="Cass_and_Sumner_(1982_a,b,c)"/>
      <w:bookmarkStart w:id="181" w:name="9.2.4__Major_ions_of_concern_for_irrigat"/>
      <w:bookmarkStart w:id="182" w:name="9.2.4.1__Bicarbonate"/>
      <w:bookmarkStart w:id="183" w:name="Effects_on_agriculture"/>
      <w:bookmarkStart w:id="184" w:name="9.2.4.2__Chloride"/>
      <w:bookmarkStart w:id="185" w:name="_Hlk66096153"/>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59DCCE0B" w14:textId="77777777" w:rsidR="005B6699" w:rsidRPr="00D93FF9" w:rsidRDefault="00E811B8" w:rsidP="00DC2523">
      <w:pPr>
        <w:pStyle w:val="Heading4"/>
        <w:rPr>
          <w:lang w:val="en-GB"/>
        </w:rPr>
      </w:pPr>
      <w:r w:rsidRPr="00D93FF9">
        <w:rPr>
          <w:lang w:val="en-GB"/>
        </w:rPr>
        <w:t>International guidelines</w:t>
      </w:r>
    </w:p>
    <w:p w14:paraId="59DCCE0C" w14:textId="782F909F" w:rsidR="005B6699" w:rsidRPr="00D93FF9" w:rsidRDefault="00E811B8" w:rsidP="009E5764">
      <w:pPr>
        <w:pStyle w:val="BodyText"/>
        <w:spacing w:after="0" w:line="266" w:lineRule="auto"/>
        <w:jc w:val="both"/>
        <w:rPr>
          <w:lang w:val="en-GB"/>
        </w:rPr>
      </w:pPr>
      <w:r w:rsidRPr="00D93FF9">
        <w:rPr>
          <w:lang w:val="en-GB"/>
        </w:rPr>
        <w:t>In the past, to overcome the complexity of the many interactive factors that determine leaching, guidelines were developed based on water composition alone, under assumed ‘average’ conditions of use. The result has been guidelines that are too conservative, particularly for ‘above average’ conditions of use.</w:t>
      </w:r>
      <w:r w:rsidR="009E5764" w:rsidRPr="00D93FF9">
        <w:rPr>
          <w:lang w:val="en-GB"/>
        </w:rPr>
        <w:t xml:space="preserve"> </w:t>
      </w:r>
      <w:r w:rsidRPr="00D93FF9">
        <w:rPr>
          <w:lang w:val="en-GB"/>
        </w:rPr>
        <w:t xml:space="preserve">However, guidelines developed on water composition alone are still being used, especially in the field of recycled water use. </w:t>
      </w:r>
      <w:r w:rsidRPr="00D93FF9">
        <w:t>Usually</w:t>
      </w:r>
      <w:r w:rsidR="00234618" w:rsidRPr="00D93FF9">
        <w:t>,</w:t>
      </w:r>
      <w:r w:rsidRPr="00D93FF9">
        <w:t xml:space="preserve"> three categories for EC and </w:t>
      </w:r>
      <w:r w:rsidR="005843BA" w:rsidRPr="00D93FF9">
        <w:t>Total Dissolved Salts (</w:t>
      </w:r>
      <w:r w:rsidRPr="00D93FF9">
        <w:t>TDS</w:t>
      </w:r>
      <w:r w:rsidR="005843BA" w:rsidRPr="00D93FF9">
        <w:t>)</w:t>
      </w:r>
      <w:r w:rsidRPr="00D93FF9">
        <w:t xml:space="preserve"> thresholds are being presented in Guidelines and regulations based on wastewater use restriction as none, slight to moderate and severe with respect to salinity. The summary of EC and TDS thresholds are presented in</w:t>
      </w:r>
      <w:r w:rsidR="00B4557E" w:rsidRPr="00D93FF9">
        <w:t xml:space="preserve"> </w:t>
      </w:r>
      <w:r w:rsidR="00B4557E" w:rsidRPr="00D93FF9">
        <w:fldChar w:fldCharType="begin"/>
      </w:r>
      <w:r w:rsidR="00B4557E" w:rsidRPr="00D93FF9">
        <w:instrText xml:space="preserve"> REF _Ref81393197 \h </w:instrText>
      </w:r>
      <w:r w:rsidR="00D93FF9">
        <w:instrText xml:space="preserve"> \* MERGEFORMAT </w:instrText>
      </w:r>
      <w:r w:rsidR="00B4557E" w:rsidRPr="00D93FF9">
        <w:fldChar w:fldCharType="separate"/>
      </w:r>
      <w:r w:rsidR="0069302C" w:rsidRPr="00D93FF9">
        <w:t xml:space="preserve">Table </w:t>
      </w:r>
      <w:r w:rsidR="0069302C">
        <w:rPr>
          <w:noProof/>
        </w:rPr>
        <w:t>16</w:t>
      </w:r>
      <w:r w:rsidR="00B4557E" w:rsidRPr="00D93FF9">
        <w:fldChar w:fldCharType="end"/>
      </w:r>
      <w:r w:rsidR="007B54B3" w:rsidRPr="00D93FF9">
        <w:t>.</w:t>
      </w:r>
    </w:p>
    <w:p w14:paraId="59DCCE0D" w14:textId="77777777" w:rsidR="005B6699" w:rsidRPr="00D93FF9" w:rsidRDefault="005B6699" w:rsidP="005B6699">
      <w:pPr>
        <w:autoSpaceDE w:val="0"/>
        <w:autoSpaceDN w:val="0"/>
        <w:adjustRightInd w:val="0"/>
        <w:spacing w:after="10" w:line="240" w:lineRule="auto"/>
        <w:rPr>
          <w:rFonts w:ascii="URWPalladioL-Roma" w:hAnsi="URWPalladioL-Roma" w:cs="URWPalladioL-Roma"/>
          <w:sz w:val="18"/>
          <w:szCs w:val="18"/>
        </w:rPr>
      </w:pPr>
    </w:p>
    <w:p w14:paraId="59DCCE0E" w14:textId="1092B2F4" w:rsidR="005B6699" w:rsidRPr="00D93FF9" w:rsidRDefault="00B4557E" w:rsidP="00B4557E">
      <w:pPr>
        <w:pStyle w:val="Caption"/>
      </w:pPr>
      <w:bookmarkStart w:id="186" w:name="_Ref81393197"/>
      <w:bookmarkStart w:id="187" w:name="_Toc96518230"/>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16</w:t>
      </w:r>
      <w:r w:rsidR="00477102" w:rsidRPr="00D93FF9">
        <w:fldChar w:fldCharType="end"/>
      </w:r>
      <w:bookmarkEnd w:id="186"/>
      <w:r w:rsidRPr="00D93FF9">
        <w:t xml:space="preserve"> </w:t>
      </w:r>
      <w:bookmarkStart w:id="188" w:name="_Hlk153812641"/>
      <w:r w:rsidR="00E811B8" w:rsidRPr="00D93FF9">
        <w:rPr>
          <w:rFonts w:ascii="URWPalladioL-Roma" w:hAnsi="URWPalladioL-Roma" w:cs="URWPalladioL-Roma"/>
          <w:szCs w:val="22"/>
        </w:rPr>
        <w:t>Salinity (electric conductivity (EC) thresholds in agricultural water reuse regulations and guidelines</w:t>
      </w:r>
      <w:bookmarkEnd w:id="187"/>
      <w:bookmarkEnd w:id="18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Salinity thresholds in agricultural water reuse regulations and guidelines"/>
        <w:tblDescription w:val="A summary of electrical conductivity and total dissolved salts thresholds. The regulation or guideline for a range of countries is shown in the table, along with the reference details."/>
      </w:tblPr>
      <w:tblGrid>
        <w:gridCol w:w="2980"/>
        <w:gridCol w:w="3031"/>
        <w:gridCol w:w="2999"/>
      </w:tblGrid>
      <w:tr w:rsidR="00BE3AA8" w:rsidRPr="00D93FF9" w14:paraId="59DCCE12" w14:textId="77777777" w:rsidTr="00506AF4">
        <w:tc>
          <w:tcPr>
            <w:tcW w:w="2980" w:type="dxa"/>
            <w:tcBorders>
              <w:top w:val="single" w:sz="4" w:space="0" w:color="auto"/>
              <w:bottom w:val="single" w:sz="4" w:space="0" w:color="auto"/>
            </w:tcBorders>
            <w:hideMark/>
          </w:tcPr>
          <w:p w14:paraId="59DCCE0F" w14:textId="77777777" w:rsidR="00FE7AD8" w:rsidRPr="00D93FF9" w:rsidRDefault="00E811B8" w:rsidP="00396426">
            <w:pPr>
              <w:spacing w:after="10" w:line="240" w:lineRule="auto"/>
              <w:rPr>
                <w:rFonts w:asciiTheme="minorHAnsi" w:hAnsiTheme="minorHAnsi"/>
                <w:b/>
                <w:bCs/>
                <w:szCs w:val="18"/>
              </w:rPr>
            </w:pPr>
            <w:r w:rsidRPr="00D93FF9">
              <w:rPr>
                <w:b/>
                <w:bCs/>
                <w:szCs w:val="18"/>
              </w:rPr>
              <w:t>Regulation/Guideline</w:t>
            </w:r>
          </w:p>
        </w:tc>
        <w:tc>
          <w:tcPr>
            <w:tcW w:w="3031" w:type="dxa"/>
            <w:tcBorders>
              <w:top w:val="single" w:sz="4" w:space="0" w:color="auto"/>
              <w:bottom w:val="single" w:sz="4" w:space="0" w:color="auto"/>
            </w:tcBorders>
            <w:hideMark/>
          </w:tcPr>
          <w:p w14:paraId="59DCCE10" w14:textId="77777777" w:rsidR="00FE7AD8" w:rsidRPr="00D93FF9" w:rsidRDefault="00E811B8" w:rsidP="00396426">
            <w:pPr>
              <w:spacing w:after="10" w:line="240" w:lineRule="auto"/>
              <w:rPr>
                <w:rFonts w:asciiTheme="minorHAnsi" w:hAnsiTheme="minorHAnsi"/>
                <w:b/>
                <w:bCs/>
                <w:szCs w:val="18"/>
              </w:rPr>
            </w:pPr>
            <w:r w:rsidRPr="00D93FF9">
              <w:rPr>
                <w:b/>
                <w:bCs/>
                <w:szCs w:val="18"/>
              </w:rPr>
              <w:t>EC (dS/m)</w:t>
            </w:r>
          </w:p>
        </w:tc>
        <w:tc>
          <w:tcPr>
            <w:tcW w:w="2999" w:type="dxa"/>
            <w:tcBorders>
              <w:top w:val="single" w:sz="4" w:space="0" w:color="auto"/>
              <w:bottom w:val="single" w:sz="4" w:space="0" w:color="auto"/>
            </w:tcBorders>
          </w:tcPr>
          <w:p w14:paraId="59DCCE11" w14:textId="77777777" w:rsidR="00FE7AD8" w:rsidRPr="00D93FF9" w:rsidRDefault="00E811B8" w:rsidP="00396426">
            <w:pPr>
              <w:spacing w:after="10" w:line="240" w:lineRule="auto"/>
              <w:rPr>
                <w:rFonts w:asciiTheme="minorHAnsi" w:hAnsiTheme="minorHAnsi"/>
                <w:b/>
                <w:bCs/>
                <w:szCs w:val="18"/>
              </w:rPr>
            </w:pPr>
            <w:r w:rsidRPr="00D93FF9">
              <w:rPr>
                <w:rFonts w:asciiTheme="minorHAnsi" w:hAnsiTheme="minorHAnsi"/>
                <w:b/>
                <w:bCs/>
                <w:szCs w:val="18"/>
              </w:rPr>
              <w:t>Reference</w:t>
            </w:r>
          </w:p>
        </w:tc>
      </w:tr>
      <w:tr w:rsidR="00BE3AA8" w:rsidRPr="00D93FF9" w14:paraId="59DCCE1D" w14:textId="77777777" w:rsidTr="00506AF4">
        <w:tc>
          <w:tcPr>
            <w:tcW w:w="2980" w:type="dxa"/>
            <w:tcBorders>
              <w:top w:val="single" w:sz="4" w:space="0" w:color="auto"/>
            </w:tcBorders>
            <w:hideMark/>
          </w:tcPr>
          <w:p w14:paraId="59DCCE13"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FAO</w:t>
            </w:r>
          </w:p>
          <w:p w14:paraId="59DCCE14"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 Saskatchewan</w:t>
            </w:r>
          </w:p>
          <w:p w14:paraId="59DCCE15"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 US-EPA</w:t>
            </w:r>
          </w:p>
        </w:tc>
        <w:tc>
          <w:tcPr>
            <w:tcW w:w="3031" w:type="dxa"/>
            <w:tcBorders>
              <w:top w:val="single" w:sz="4" w:space="0" w:color="auto"/>
            </w:tcBorders>
            <w:hideMark/>
          </w:tcPr>
          <w:p w14:paraId="59DCCE16"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None: &lt;0.7</w:t>
            </w:r>
          </w:p>
          <w:p w14:paraId="59DCCE17"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Slight to moderate :0.7-3.0</w:t>
            </w:r>
          </w:p>
          <w:p w14:paraId="59DCCE18"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Severe: &gt;3</w:t>
            </w:r>
          </w:p>
        </w:tc>
        <w:tc>
          <w:tcPr>
            <w:tcW w:w="2999" w:type="dxa"/>
            <w:tcBorders>
              <w:top w:val="single" w:sz="4" w:space="0" w:color="auto"/>
            </w:tcBorders>
          </w:tcPr>
          <w:p w14:paraId="59DCCE19" w14:textId="710516A4" w:rsidR="00FE7AD8" w:rsidRPr="00D93FF9" w:rsidRDefault="00E811B8" w:rsidP="00396426">
            <w:pPr>
              <w:spacing w:after="10" w:line="240" w:lineRule="auto"/>
              <w:rPr>
                <w:rFonts w:asciiTheme="minorHAnsi" w:hAnsiTheme="minorHAnsi"/>
                <w:szCs w:val="18"/>
              </w:rPr>
            </w:pPr>
            <w:r w:rsidRPr="00D93FF9">
              <w:rPr>
                <w:szCs w:val="18"/>
              </w:rPr>
              <w:t xml:space="preserve">Ayers and Westcot </w:t>
            </w:r>
            <w:r w:rsidR="00CF45F1" w:rsidRPr="00D93FF9">
              <w:rPr>
                <w:szCs w:val="18"/>
              </w:rPr>
              <w:t>(</w:t>
            </w:r>
            <w:r w:rsidRPr="00D93FF9">
              <w:rPr>
                <w:szCs w:val="18"/>
              </w:rPr>
              <w:t>1985</w:t>
            </w:r>
            <w:r w:rsidR="00CF45F1" w:rsidRPr="00D93FF9">
              <w:rPr>
                <w:szCs w:val="18"/>
              </w:rPr>
              <w:t>)</w:t>
            </w:r>
          </w:p>
          <w:p w14:paraId="59DCCE1A" w14:textId="77777777" w:rsidR="00507E82" w:rsidRPr="00D93FF9" w:rsidRDefault="00E811B8" w:rsidP="00396426">
            <w:pPr>
              <w:spacing w:after="10" w:line="240" w:lineRule="auto"/>
              <w:rPr>
                <w:rFonts w:asciiTheme="minorHAnsi" w:hAnsiTheme="minorHAnsi"/>
                <w:szCs w:val="18"/>
              </w:rPr>
            </w:pPr>
            <w:r w:rsidRPr="00D93FF9">
              <w:rPr>
                <w:szCs w:val="18"/>
              </w:rPr>
              <w:t>Water Security Agency</w:t>
            </w:r>
            <w:r w:rsidRPr="00D93FF9">
              <w:rPr>
                <w:rFonts w:asciiTheme="minorHAnsi" w:hAnsiTheme="minorHAnsi"/>
                <w:szCs w:val="18"/>
              </w:rPr>
              <w:t xml:space="preserve"> </w:t>
            </w:r>
            <w:r w:rsidRPr="00D93FF9">
              <w:rPr>
                <w:szCs w:val="18"/>
              </w:rPr>
              <w:t>treated municipal wastewater irrigation guideline</w:t>
            </w:r>
            <w:r w:rsidRPr="00D93FF9">
              <w:rPr>
                <w:rFonts w:asciiTheme="minorHAnsi" w:hAnsiTheme="minorHAnsi"/>
                <w:szCs w:val="18"/>
              </w:rPr>
              <w:t xml:space="preserve"> </w:t>
            </w:r>
            <w:r w:rsidRPr="00D93FF9">
              <w:rPr>
                <w:szCs w:val="18"/>
              </w:rPr>
              <w:t>(2014)</w:t>
            </w:r>
          </w:p>
          <w:p w14:paraId="59DCCE1B" w14:textId="72A1607D" w:rsidR="00507E82" w:rsidRPr="00D93FF9" w:rsidRDefault="00E811B8" w:rsidP="00396426">
            <w:pPr>
              <w:spacing w:after="10" w:line="240" w:lineRule="auto"/>
              <w:rPr>
                <w:rFonts w:asciiTheme="minorHAnsi" w:hAnsiTheme="minorHAnsi"/>
                <w:szCs w:val="18"/>
              </w:rPr>
            </w:pPr>
            <w:r w:rsidRPr="00D93FF9">
              <w:rPr>
                <w:rFonts w:asciiTheme="minorHAnsi" w:hAnsiTheme="minorHAnsi"/>
                <w:szCs w:val="18"/>
              </w:rPr>
              <w:t xml:space="preserve">USEPA </w:t>
            </w:r>
            <w:r w:rsidR="00CF45F1" w:rsidRPr="00D93FF9">
              <w:rPr>
                <w:rFonts w:asciiTheme="minorHAnsi" w:hAnsiTheme="minorHAnsi"/>
                <w:szCs w:val="18"/>
              </w:rPr>
              <w:t>(</w:t>
            </w:r>
            <w:r w:rsidRPr="00D93FF9">
              <w:rPr>
                <w:rFonts w:asciiTheme="minorHAnsi" w:hAnsiTheme="minorHAnsi"/>
                <w:szCs w:val="18"/>
              </w:rPr>
              <w:t>2012</w:t>
            </w:r>
            <w:r w:rsidR="00CF45F1" w:rsidRPr="00D93FF9">
              <w:rPr>
                <w:rFonts w:asciiTheme="minorHAnsi" w:hAnsiTheme="minorHAnsi"/>
                <w:szCs w:val="18"/>
              </w:rPr>
              <w:t>)</w:t>
            </w:r>
          </w:p>
          <w:p w14:paraId="59DCCE1C" w14:textId="77777777" w:rsidR="00507E82" w:rsidRPr="00D93FF9" w:rsidRDefault="00507E82" w:rsidP="00396426">
            <w:pPr>
              <w:spacing w:after="10" w:line="240" w:lineRule="auto"/>
              <w:rPr>
                <w:rFonts w:asciiTheme="minorHAnsi" w:hAnsiTheme="minorHAnsi"/>
                <w:szCs w:val="18"/>
              </w:rPr>
            </w:pPr>
          </w:p>
        </w:tc>
      </w:tr>
      <w:tr w:rsidR="00BE3AA8" w:rsidRPr="00D93FF9" w14:paraId="59DCCE24" w14:textId="77777777" w:rsidTr="00506AF4">
        <w:tc>
          <w:tcPr>
            <w:tcW w:w="2980" w:type="dxa"/>
            <w:hideMark/>
          </w:tcPr>
          <w:p w14:paraId="59DCCE1E"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Alberta and Atlantic Canada</w:t>
            </w:r>
          </w:p>
        </w:tc>
        <w:tc>
          <w:tcPr>
            <w:tcW w:w="3031" w:type="dxa"/>
            <w:hideMark/>
          </w:tcPr>
          <w:p w14:paraId="59DCCE1F"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Unrestricted: &lt;1.0</w:t>
            </w:r>
          </w:p>
          <w:p w14:paraId="59DCCE20"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Restricted: 1.0-2.5</w:t>
            </w:r>
          </w:p>
          <w:p w14:paraId="59DCCE21"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Unacceptable: &gt;2.5</w:t>
            </w:r>
          </w:p>
        </w:tc>
        <w:tc>
          <w:tcPr>
            <w:tcW w:w="2999" w:type="dxa"/>
          </w:tcPr>
          <w:p w14:paraId="59DCCE22" w14:textId="77777777" w:rsidR="00507E82" w:rsidRPr="00D93FF9" w:rsidRDefault="00E811B8" w:rsidP="00396426">
            <w:pPr>
              <w:spacing w:after="10" w:line="240" w:lineRule="auto"/>
              <w:rPr>
                <w:rFonts w:asciiTheme="minorHAnsi" w:hAnsiTheme="minorHAnsi"/>
                <w:szCs w:val="18"/>
              </w:rPr>
            </w:pPr>
            <w:r w:rsidRPr="00D93FF9">
              <w:rPr>
                <w:szCs w:val="18"/>
              </w:rPr>
              <w:t>Alberta Environment (2000)</w:t>
            </w:r>
          </w:p>
          <w:p w14:paraId="59DCCE23" w14:textId="445F91E1"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Atlantic Canada Wastewater Gu</w:t>
            </w:r>
            <w:r w:rsidR="00B6483B" w:rsidRPr="00D93FF9">
              <w:rPr>
                <w:rFonts w:asciiTheme="minorHAnsi" w:hAnsiTheme="minorHAnsi"/>
                <w:szCs w:val="18"/>
              </w:rPr>
              <w:t>i</w:t>
            </w:r>
            <w:r w:rsidRPr="00D93FF9">
              <w:rPr>
                <w:rFonts w:asciiTheme="minorHAnsi" w:hAnsiTheme="minorHAnsi"/>
                <w:szCs w:val="18"/>
              </w:rPr>
              <w:t>delines Manual</w:t>
            </w:r>
            <w:r w:rsidR="00B6483B" w:rsidRPr="00D93FF9">
              <w:rPr>
                <w:rFonts w:asciiTheme="minorHAnsi" w:hAnsiTheme="minorHAnsi"/>
                <w:szCs w:val="18"/>
              </w:rPr>
              <w:t xml:space="preserve"> </w:t>
            </w:r>
            <w:r w:rsidR="00B6483B" w:rsidRPr="00D93FF9">
              <w:rPr>
                <w:szCs w:val="18"/>
              </w:rPr>
              <w:t>(</w:t>
            </w:r>
            <w:r w:rsidR="00E43A05" w:rsidRPr="00D93FF9">
              <w:rPr>
                <w:szCs w:val="18"/>
              </w:rPr>
              <w:t xml:space="preserve">Environment Canada </w:t>
            </w:r>
            <w:r w:rsidR="00B6483B" w:rsidRPr="00D93FF9">
              <w:rPr>
                <w:szCs w:val="18"/>
              </w:rPr>
              <w:t>2006)</w:t>
            </w:r>
          </w:p>
        </w:tc>
      </w:tr>
      <w:tr w:rsidR="00BE3AA8" w:rsidRPr="00D93FF9" w14:paraId="59DCCE28" w14:textId="77777777" w:rsidTr="00506AF4">
        <w:tc>
          <w:tcPr>
            <w:tcW w:w="2980" w:type="dxa"/>
          </w:tcPr>
          <w:p w14:paraId="59DCCE25" w14:textId="1908E316" w:rsidR="00FE7AD8" w:rsidRPr="00D93FF9" w:rsidRDefault="00FE7AD8" w:rsidP="00396426">
            <w:pPr>
              <w:spacing w:after="10" w:line="240" w:lineRule="auto"/>
              <w:rPr>
                <w:rFonts w:asciiTheme="minorHAnsi" w:hAnsiTheme="minorHAnsi"/>
                <w:szCs w:val="18"/>
              </w:rPr>
            </w:pPr>
          </w:p>
        </w:tc>
        <w:tc>
          <w:tcPr>
            <w:tcW w:w="3031" w:type="dxa"/>
          </w:tcPr>
          <w:p w14:paraId="59DCCE26" w14:textId="1772C2C5" w:rsidR="00FE7AD8" w:rsidRPr="00D93FF9" w:rsidRDefault="00FE7AD8" w:rsidP="00396426">
            <w:pPr>
              <w:spacing w:after="10" w:line="240" w:lineRule="auto"/>
              <w:rPr>
                <w:rFonts w:asciiTheme="minorHAnsi" w:hAnsiTheme="minorHAnsi"/>
                <w:szCs w:val="18"/>
              </w:rPr>
            </w:pPr>
          </w:p>
        </w:tc>
        <w:tc>
          <w:tcPr>
            <w:tcW w:w="2999" w:type="dxa"/>
          </w:tcPr>
          <w:p w14:paraId="59DCCE27" w14:textId="3B5F66F0" w:rsidR="00FE7AD8" w:rsidRPr="00D93FF9" w:rsidRDefault="00FE7AD8" w:rsidP="00396426">
            <w:pPr>
              <w:spacing w:after="10" w:line="240" w:lineRule="auto"/>
              <w:rPr>
                <w:rFonts w:asciiTheme="minorHAnsi" w:hAnsiTheme="minorHAnsi"/>
                <w:szCs w:val="18"/>
              </w:rPr>
            </w:pPr>
          </w:p>
        </w:tc>
      </w:tr>
      <w:tr w:rsidR="00BE3AA8" w:rsidRPr="00D93FF9" w14:paraId="59DCCE2C" w14:textId="77777777" w:rsidTr="00506AF4">
        <w:tc>
          <w:tcPr>
            <w:tcW w:w="2980" w:type="dxa"/>
          </w:tcPr>
          <w:p w14:paraId="59DCCE29"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Italy</w:t>
            </w:r>
          </w:p>
        </w:tc>
        <w:tc>
          <w:tcPr>
            <w:tcW w:w="3031" w:type="dxa"/>
          </w:tcPr>
          <w:p w14:paraId="59DCCE2A"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3</w:t>
            </w:r>
          </w:p>
        </w:tc>
        <w:tc>
          <w:tcPr>
            <w:tcW w:w="2999" w:type="dxa"/>
          </w:tcPr>
          <w:p w14:paraId="59DCCE2B" w14:textId="16E20533" w:rsidR="00FE7AD8" w:rsidRPr="00D93FF9" w:rsidRDefault="00E811B8" w:rsidP="00396426">
            <w:pPr>
              <w:spacing w:after="10" w:line="240" w:lineRule="auto"/>
              <w:rPr>
                <w:rFonts w:asciiTheme="minorHAnsi" w:hAnsiTheme="minorHAnsi"/>
                <w:szCs w:val="18"/>
              </w:rPr>
            </w:pPr>
            <w:r w:rsidRPr="00D93FF9">
              <w:rPr>
                <w:szCs w:val="18"/>
              </w:rPr>
              <w:t xml:space="preserve">Barbagallo et al. </w:t>
            </w:r>
            <w:r w:rsidR="00CF45F1" w:rsidRPr="00D93FF9">
              <w:rPr>
                <w:szCs w:val="18"/>
              </w:rPr>
              <w:t>(</w:t>
            </w:r>
            <w:r w:rsidRPr="00D93FF9">
              <w:rPr>
                <w:szCs w:val="18"/>
              </w:rPr>
              <w:t>2001</w:t>
            </w:r>
            <w:r w:rsidR="00CF45F1" w:rsidRPr="00D93FF9">
              <w:rPr>
                <w:szCs w:val="18"/>
              </w:rPr>
              <w:t>)</w:t>
            </w:r>
          </w:p>
        </w:tc>
      </w:tr>
      <w:tr w:rsidR="00BE3AA8" w:rsidRPr="00D93FF9" w14:paraId="59DCCE30" w14:textId="77777777" w:rsidTr="00506AF4">
        <w:tc>
          <w:tcPr>
            <w:tcW w:w="2980" w:type="dxa"/>
          </w:tcPr>
          <w:p w14:paraId="59DCCE2D"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Israel</w:t>
            </w:r>
          </w:p>
        </w:tc>
        <w:tc>
          <w:tcPr>
            <w:tcW w:w="3031" w:type="dxa"/>
          </w:tcPr>
          <w:p w14:paraId="59DCCE2E"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1.4</w:t>
            </w:r>
          </w:p>
        </w:tc>
        <w:tc>
          <w:tcPr>
            <w:tcW w:w="2999" w:type="dxa"/>
          </w:tcPr>
          <w:p w14:paraId="59DCCE2F" w14:textId="0C4F096F"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 xml:space="preserve">Inbar </w:t>
            </w:r>
            <w:r w:rsidR="00CF45F1" w:rsidRPr="00D93FF9">
              <w:rPr>
                <w:rFonts w:asciiTheme="minorHAnsi" w:hAnsiTheme="minorHAnsi"/>
                <w:szCs w:val="18"/>
              </w:rPr>
              <w:t>(</w:t>
            </w:r>
            <w:r w:rsidRPr="00D93FF9">
              <w:rPr>
                <w:rFonts w:asciiTheme="minorHAnsi" w:hAnsiTheme="minorHAnsi"/>
                <w:szCs w:val="18"/>
              </w:rPr>
              <w:t>2007</w:t>
            </w:r>
            <w:r w:rsidR="00CF45F1" w:rsidRPr="00D93FF9">
              <w:rPr>
                <w:rFonts w:asciiTheme="minorHAnsi" w:hAnsiTheme="minorHAnsi"/>
                <w:szCs w:val="18"/>
              </w:rPr>
              <w:t>)</w:t>
            </w:r>
          </w:p>
        </w:tc>
      </w:tr>
      <w:tr w:rsidR="00BE3AA8" w:rsidRPr="00D93FF9" w14:paraId="59DCCE34" w14:textId="77777777" w:rsidTr="00506AF4">
        <w:tc>
          <w:tcPr>
            <w:tcW w:w="2980" w:type="dxa"/>
          </w:tcPr>
          <w:p w14:paraId="59DCCE31"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AGWR</w:t>
            </w:r>
          </w:p>
        </w:tc>
        <w:tc>
          <w:tcPr>
            <w:tcW w:w="3031" w:type="dxa"/>
          </w:tcPr>
          <w:p w14:paraId="59DCCE32"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0.2-2.9</w:t>
            </w:r>
          </w:p>
        </w:tc>
        <w:tc>
          <w:tcPr>
            <w:tcW w:w="2999" w:type="dxa"/>
          </w:tcPr>
          <w:p w14:paraId="59DCCE33" w14:textId="53461709" w:rsidR="00FE7AD8" w:rsidRPr="00D93FF9" w:rsidRDefault="00DB0B5D" w:rsidP="00396426">
            <w:pPr>
              <w:spacing w:after="10" w:line="240" w:lineRule="auto"/>
              <w:rPr>
                <w:rFonts w:asciiTheme="minorHAnsi" w:hAnsiTheme="minorHAnsi"/>
                <w:szCs w:val="18"/>
              </w:rPr>
            </w:pPr>
            <w:r w:rsidRPr="00D93FF9">
              <w:rPr>
                <w:rFonts w:ascii="Calibri" w:hAnsi="Calibri" w:cs="Calibri"/>
                <w:szCs w:val="18"/>
              </w:rPr>
              <w:t xml:space="preserve">NRMMC, EPHC </w:t>
            </w:r>
            <w:r w:rsidR="00FA6E9E" w:rsidRPr="00D93FF9">
              <w:rPr>
                <w:rFonts w:ascii="Calibri" w:hAnsi="Calibri" w:cs="Calibri"/>
                <w:szCs w:val="18"/>
              </w:rPr>
              <w:t>and</w:t>
            </w:r>
            <w:r w:rsidRPr="00D93FF9">
              <w:rPr>
                <w:rFonts w:ascii="Calibri" w:hAnsi="Calibri" w:cs="Calibri"/>
                <w:szCs w:val="18"/>
              </w:rPr>
              <w:t xml:space="preserve"> AHMC </w:t>
            </w:r>
            <w:r w:rsidR="00CF45F1" w:rsidRPr="00D93FF9">
              <w:rPr>
                <w:rFonts w:ascii="Calibri" w:hAnsi="Calibri" w:cs="Calibri"/>
                <w:szCs w:val="18"/>
              </w:rPr>
              <w:t>(</w:t>
            </w:r>
            <w:r w:rsidRPr="00D93FF9">
              <w:rPr>
                <w:rFonts w:ascii="Calibri" w:hAnsi="Calibri" w:cs="Calibri"/>
                <w:szCs w:val="18"/>
              </w:rPr>
              <w:t>2006</w:t>
            </w:r>
            <w:r w:rsidR="00CF45F1" w:rsidRPr="00D93FF9">
              <w:rPr>
                <w:rFonts w:ascii="Calibri" w:hAnsi="Calibri" w:cs="Calibri"/>
                <w:szCs w:val="18"/>
              </w:rPr>
              <w:t>)</w:t>
            </w:r>
          </w:p>
        </w:tc>
      </w:tr>
      <w:tr w:rsidR="00BE3AA8" w:rsidRPr="00D93FF9" w14:paraId="59DCCE38" w14:textId="77777777" w:rsidTr="00506AF4">
        <w:tc>
          <w:tcPr>
            <w:tcW w:w="2980" w:type="dxa"/>
          </w:tcPr>
          <w:p w14:paraId="59DCCE35"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Portugal</w:t>
            </w:r>
          </w:p>
        </w:tc>
        <w:tc>
          <w:tcPr>
            <w:tcW w:w="3031" w:type="dxa"/>
          </w:tcPr>
          <w:p w14:paraId="59DCCE36" w14:textId="7777777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&lt;1</w:t>
            </w:r>
          </w:p>
        </w:tc>
        <w:tc>
          <w:tcPr>
            <w:tcW w:w="2999" w:type="dxa"/>
          </w:tcPr>
          <w:p w14:paraId="59DCCE37" w14:textId="4E82E157" w:rsidR="00FE7AD8" w:rsidRPr="00D93FF9" w:rsidRDefault="00E811B8" w:rsidP="00396426">
            <w:pPr>
              <w:spacing w:after="10" w:line="240" w:lineRule="auto"/>
              <w:rPr>
                <w:rFonts w:asciiTheme="minorHAnsi" w:hAnsiTheme="minorHAnsi"/>
                <w:szCs w:val="18"/>
              </w:rPr>
            </w:pPr>
            <w:r w:rsidRPr="00D93FF9">
              <w:rPr>
                <w:rFonts w:asciiTheme="minorHAnsi" w:hAnsiTheme="minorHAnsi"/>
                <w:szCs w:val="18"/>
              </w:rPr>
              <w:t xml:space="preserve">Marecos do Monte </w:t>
            </w:r>
            <w:r w:rsidR="00CF45F1" w:rsidRPr="00D93FF9">
              <w:rPr>
                <w:rFonts w:asciiTheme="minorHAnsi" w:hAnsiTheme="minorHAnsi"/>
                <w:szCs w:val="18"/>
              </w:rPr>
              <w:t>(</w:t>
            </w:r>
            <w:r w:rsidRPr="00D93FF9">
              <w:rPr>
                <w:rFonts w:asciiTheme="minorHAnsi" w:hAnsiTheme="minorHAnsi"/>
                <w:szCs w:val="18"/>
              </w:rPr>
              <w:t>2007</w:t>
            </w:r>
            <w:r w:rsidR="00CF45F1" w:rsidRPr="00D93FF9">
              <w:rPr>
                <w:rFonts w:asciiTheme="minorHAnsi" w:hAnsiTheme="minorHAnsi"/>
                <w:szCs w:val="18"/>
              </w:rPr>
              <w:t>)</w:t>
            </w:r>
          </w:p>
        </w:tc>
      </w:tr>
    </w:tbl>
    <w:p w14:paraId="59DCCE39" w14:textId="278539A7" w:rsidR="005B6699" w:rsidRPr="00D93FF9" w:rsidRDefault="005B6699" w:rsidP="005B6699">
      <w:pPr>
        <w:pStyle w:val="BodyText"/>
        <w:spacing w:after="0" w:line="266" w:lineRule="auto"/>
        <w:rPr>
          <w:lang w:val="en-GB"/>
        </w:rPr>
      </w:pPr>
    </w:p>
    <w:p w14:paraId="3D01871F" w14:textId="77777777" w:rsidR="00592B13" w:rsidRDefault="00592B13" w:rsidP="005B6699">
      <w:pPr>
        <w:pStyle w:val="BodyText"/>
        <w:spacing w:after="0" w:line="266" w:lineRule="auto"/>
        <w:rPr>
          <w:lang w:val="en-GB"/>
        </w:rPr>
      </w:pPr>
    </w:p>
    <w:p w14:paraId="136FF643" w14:textId="77777777" w:rsidR="006975D0" w:rsidRDefault="006975D0" w:rsidP="005B6699">
      <w:pPr>
        <w:pStyle w:val="BodyText"/>
        <w:spacing w:after="0" w:line="266" w:lineRule="auto"/>
        <w:rPr>
          <w:lang w:val="en-GB"/>
        </w:rPr>
      </w:pPr>
    </w:p>
    <w:p w14:paraId="46B2A1BB" w14:textId="77777777" w:rsidR="006975D0" w:rsidRDefault="006975D0" w:rsidP="005B6699">
      <w:pPr>
        <w:pStyle w:val="BodyText"/>
        <w:spacing w:after="0" w:line="266" w:lineRule="auto"/>
        <w:rPr>
          <w:lang w:val="en-GB"/>
        </w:rPr>
      </w:pPr>
    </w:p>
    <w:p w14:paraId="5977BD96" w14:textId="77777777" w:rsidR="006975D0" w:rsidRPr="00D93FF9" w:rsidRDefault="006975D0" w:rsidP="005B6699">
      <w:pPr>
        <w:pStyle w:val="BodyText"/>
        <w:spacing w:after="0" w:line="266" w:lineRule="auto"/>
        <w:rPr>
          <w:lang w:val="en-GB"/>
        </w:rPr>
      </w:pPr>
    </w:p>
    <w:p w14:paraId="59DCCE3A" w14:textId="77777777" w:rsidR="00C46175" w:rsidRPr="00D93FF9" w:rsidRDefault="00E811B8" w:rsidP="008C6714">
      <w:pPr>
        <w:pStyle w:val="Heading2"/>
        <w:rPr>
          <w:lang w:val="en-GB"/>
        </w:rPr>
      </w:pPr>
      <w:bookmarkStart w:id="189" w:name="_Toc96693574"/>
      <w:r w:rsidRPr="00D93FF9">
        <w:rPr>
          <w:lang w:val="en-GB"/>
        </w:rPr>
        <w:lastRenderedPageBreak/>
        <w:t xml:space="preserve">Major ions of concern for </w:t>
      </w:r>
      <w:r w:rsidRPr="00D93FF9">
        <w:t>irrigation</w:t>
      </w:r>
      <w:r w:rsidRPr="00D93FF9">
        <w:rPr>
          <w:lang w:val="en-GB"/>
        </w:rPr>
        <w:t xml:space="preserve"> water</w:t>
      </w:r>
      <w:r w:rsidRPr="00D93FF9">
        <w:rPr>
          <w:spacing w:val="14"/>
          <w:lang w:val="en-GB"/>
        </w:rPr>
        <w:t xml:space="preserve"> </w:t>
      </w:r>
      <w:r w:rsidRPr="00D93FF9">
        <w:rPr>
          <w:lang w:val="en-GB"/>
        </w:rPr>
        <w:t>quality</w:t>
      </w:r>
      <w:bookmarkEnd w:id="189"/>
    </w:p>
    <w:p w14:paraId="59DCCE3B" w14:textId="77777777" w:rsidR="00C46175" w:rsidRPr="00D93FF9" w:rsidRDefault="00E811B8" w:rsidP="008C6714">
      <w:pPr>
        <w:pStyle w:val="Heading3"/>
        <w:rPr>
          <w:lang w:val="en-GB"/>
        </w:rPr>
      </w:pPr>
      <w:bookmarkStart w:id="190" w:name="_Ref70500637"/>
      <w:bookmarkStart w:id="191" w:name="_Toc96693575"/>
      <w:r w:rsidRPr="00D93FF9">
        <w:t>Bicarbonate</w:t>
      </w:r>
      <w:bookmarkEnd w:id="190"/>
      <w:bookmarkEnd w:id="191"/>
      <w:r w:rsidR="007640E9" w:rsidRPr="00D93FF9">
        <w:t xml:space="preserve"> </w:t>
      </w:r>
    </w:p>
    <w:p w14:paraId="59DCCE3C" w14:textId="38F0FB90" w:rsidR="00C46175" w:rsidRPr="00D93FF9" w:rsidRDefault="00E811B8" w:rsidP="00B839E2">
      <w:pPr>
        <w:pStyle w:val="BodyText"/>
        <w:spacing w:before="200"/>
        <w:ind w:left="284"/>
        <w:rPr>
          <w:b/>
          <w:bCs/>
          <w:i/>
          <w:iCs/>
          <w:lang w:val="en-GB"/>
        </w:rPr>
      </w:pPr>
      <w:r w:rsidRPr="00D93FF9">
        <w:rPr>
          <w:b/>
          <w:bCs/>
          <w:i/>
          <w:iCs/>
          <w:lang w:val="en-GB"/>
        </w:rPr>
        <w:t xml:space="preserve">No </w:t>
      </w:r>
      <w:r w:rsidR="00855C80" w:rsidRPr="00D93FF9">
        <w:rPr>
          <w:b/>
          <w:bCs/>
          <w:i/>
          <w:iCs/>
          <w:lang w:val="en-GB"/>
        </w:rPr>
        <w:t>guideline value</w:t>
      </w:r>
      <w:r w:rsidRPr="00D93FF9">
        <w:rPr>
          <w:b/>
          <w:bCs/>
          <w:i/>
          <w:iCs/>
          <w:lang w:val="en-GB"/>
        </w:rPr>
        <w:t xml:space="preserve"> is recommended for bicarbonate in irrigation waters.</w:t>
      </w:r>
    </w:p>
    <w:p w14:paraId="59DCCE3D" w14:textId="6A066406" w:rsidR="00FE5C45" w:rsidRPr="00D93FF9" w:rsidRDefault="00E811B8" w:rsidP="00D918AB">
      <w:pPr>
        <w:pStyle w:val="BodyText"/>
        <w:spacing w:after="0" w:line="266" w:lineRule="auto"/>
        <w:jc w:val="both"/>
        <w:rPr>
          <w:lang w:val="en-GB"/>
        </w:rPr>
      </w:pPr>
      <w:r w:rsidRPr="00D93FF9">
        <w:rPr>
          <w:lang w:val="en-GB"/>
        </w:rPr>
        <w:t xml:space="preserve">The FAO </w:t>
      </w:r>
      <w:r w:rsidR="0007629D" w:rsidRPr="00D93FF9">
        <w:rPr>
          <w:lang w:val="en-GB"/>
        </w:rPr>
        <w:t>(</w:t>
      </w:r>
      <w:r w:rsidR="0031037F" w:rsidRPr="00D93FF9">
        <w:rPr>
          <w:lang w:val="en-GB"/>
        </w:rPr>
        <w:t xml:space="preserve">Ayers </w:t>
      </w:r>
      <w:r w:rsidR="00FA6E9E" w:rsidRPr="00D93FF9">
        <w:rPr>
          <w:lang w:val="en-GB"/>
        </w:rPr>
        <w:t>and</w:t>
      </w:r>
      <w:r w:rsidR="0031037F" w:rsidRPr="00D93FF9">
        <w:rPr>
          <w:lang w:val="en-GB"/>
        </w:rPr>
        <w:t xml:space="preserve"> Westcot </w:t>
      </w:r>
      <w:r w:rsidR="0007629D" w:rsidRPr="00D93FF9">
        <w:rPr>
          <w:lang w:val="en-GB"/>
        </w:rPr>
        <w:t xml:space="preserve">1985) </w:t>
      </w:r>
      <w:r w:rsidRPr="00D93FF9">
        <w:rPr>
          <w:lang w:val="en-GB"/>
        </w:rPr>
        <w:t>recommends a maximum concentration of 91.5 mg/L of bicarbonates without restrictions in use of irrigated water</w:t>
      </w:r>
      <w:r w:rsidR="0007629D" w:rsidRPr="00D93FF9">
        <w:rPr>
          <w:lang w:val="en-GB"/>
        </w:rPr>
        <w:t xml:space="preserve">. </w:t>
      </w:r>
      <w:r w:rsidRPr="00D93FF9">
        <w:rPr>
          <w:lang w:val="en-GB"/>
        </w:rPr>
        <w:t>Iran recommends 90mg/L</w:t>
      </w:r>
      <w:r w:rsidR="002F2F1E" w:rsidRPr="00D93FF9">
        <w:rPr>
          <w:lang w:val="en-GB"/>
        </w:rPr>
        <w:t xml:space="preserve"> </w:t>
      </w:r>
      <w:r w:rsidR="006B4531" w:rsidRPr="00D93FF9">
        <w:rPr>
          <w:lang w:val="en-GB"/>
        </w:rPr>
        <w:t>(</w:t>
      </w:r>
      <w:r w:rsidR="002502A7" w:rsidRPr="00D93FF9">
        <w:rPr>
          <w:lang w:val="en-GB"/>
        </w:rPr>
        <w:t>M</w:t>
      </w:r>
      <w:r w:rsidR="006B4531" w:rsidRPr="00D93FF9">
        <w:rPr>
          <w:lang w:val="en-GB"/>
        </w:rPr>
        <w:t xml:space="preserve">inistry of energy Iran 2010) </w:t>
      </w:r>
      <w:r w:rsidRPr="00D93FF9">
        <w:rPr>
          <w:lang w:val="en-GB"/>
        </w:rPr>
        <w:t>and Jordan</w:t>
      </w:r>
      <w:r w:rsidR="002F2F1E" w:rsidRPr="00D93FF9">
        <w:rPr>
          <w:lang w:val="en-GB"/>
        </w:rPr>
        <w:t xml:space="preserve"> </w:t>
      </w:r>
      <w:r w:rsidRPr="00D93FF9">
        <w:rPr>
          <w:lang w:val="en-GB"/>
        </w:rPr>
        <w:t>up to 400mg/L</w:t>
      </w:r>
      <w:r w:rsidR="00005F10" w:rsidRPr="00D93FF9">
        <w:rPr>
          <w:lang w:val="en-GB"/>
        </w:rPr>
        <w:t xml:space="preserve"> (Government of Jordan 2006)</w:t>
      </w:r>
      <w:r w:rsidRPr="00D93FF9">
        <w:rPr>
          <w:lang w:val="en-GB"/>
        </w:rPr>
        <w:t xml:space="preserve">. </w:t>
      </w:r>
      <w:r w:rsidR="001B00EC" w:rsidRPr="00D93FF9">
        <w:rPr>
          <w:lang w:val="en-GB"/>
        </w:rPr>
        <w:t xml:space="preserve">Bicarbonates guideline values in irrigated waters are not mentioned in other regulations internationally. </w:t>
      </w:r>
    </w:p>
    <w:p w14:paraId="59DCCE3E" w14:textId="77777777" w:rsidR="001375BE" w:rsidRPr="00D93FF9" w:rsidRDefault="001375BE" w:rsidP="003807A1">
      <w:pPr>
        <w:pStyle w:val="BodyText"/>
        <w:spacing w:after="0"/>
        <w:rPr>
          <w:b/>
          <w:iCs/>
          <w:sz w:val="18"/>
          <w:lang w:val="en-GB"/>
        </w:rPr>
      </w:pPr>
    </w:p>
    <w:p w14:paraId="59DCCE3F" w14:textId="77777777" w:rsidR="00C46175" w:rsidRPr="00D93FF9" w:rsidRDefault="00E811B8" w:rsidP="008C6714">
      <w:pPr>
        <w:pStyle w:val="Heading4"/>
        <w:rPr>
          <w:lang w:val="en-GB"/>
        </w:rPr>
      </w:pPr>
      <w:r w:rsidRPr="00D93FF9">
        <w:rPr>
          <w:lang w:val="en-GB"/>
        </w:rPr>
        <w:t>Description</w:t>
      </w:r>
    </w:p>
    <w:p w14:paraId="59DCCE40" w14:textId="77777777" w:rsidR="00C46175" w:rsidRPr="00D93FF9" w:rsidRDefault="00E811B8" w:rsidP="00D918AB">
      <w:pPr>
        <w:pStyle w:val="BodyText"/>
        <w:spacing w:after="0" w:line="254" w:lineRule="auto"/>
        <w:jc w:val="both"/>
        <w:rPr>
          <w:lang w:val="en-GB"/>
        </w:rPr>
      </w:pPr>
      <w:r w:rsidRPr="00D93FF9">
        <w:rPr>
          <w:lang w:val="en-GB"/>
        </w:rPr>
        <w:t>The bicarbonate (HCO</w:t>
      </w:r>
      <w:r w:rsidRPr="00D93FF9">
        <w:rPr>
          <w:position w:val="-4"/>
          <w:sz w:val="15"/>
          <w:lang w:val="en-GB"/>
        </w:rPr>
        <w:t>3</w:t>
      </w:r>
      <w:r w:rsidRPr="00D93FF9">
        <w:rPr>
          <w:position w:val="5"/>
          <w:sz w:val="15"/>
          <w:lang w:val="en-GB"/>
        </w:rPr>
        <w:t>-</w:t>
      </w:r>
      <w:r w:rsidRPr="00D93FF9">
        <w:rPr>
          <w:lang w:val="en-GB"/>
        </w:rPr>
        <w:t>) ion is one of the major contributors to alkalinity in irrigation waters and soil. It is formed through the reaction of carbon dioxide with various components in the water source (or, in the case of groundwater, the soil or geological strata through which it percolates).</w:t>
      </w:r>
    </w:p>
    <w:p w14:paraId="59DCCE41" w14:textId="77777777" w:rsidR="00B83C87" w:rsidRPr="00D93FF9" w:rsidRDefault="00E811B8" w:rsidP="00D918AB">
      <w:pPr>
        <w:pStyle w:val="BodyText"/>
        <w:tabs>
          <w:tab w:val="left" w:pos="7824"/>
        </w:tabs>
        <w:spacing w:after="0" w:line="403" w:lineRule="auto"/>
        <w:jc w:val="both"/>
        <w:rPr>
          <w:lang w:val="en-GB"/>
        </w:rPr>
      </w:pPr>
      <w:r w:rsidRPr="00D93FF9">
        <w:rPr>
          <w:lang w:val="en-GB"/>
        </w:rPr>
        <w:t xml:space="preserve">An example of the chemical reactions involved in bicarbonate formation is given below: </w:t>
      </w:r>
    </w:p>
    <w:p w14:paraId="59DCCE42" w14:textId="14BD14FD" w:rsidR="00C46175" w:rsidRPr="00D93FF9" w:rsidRDefault="00E811B8" w:rsidP="00663581">
      <w:pPr>
        <w:pStyle w:val="BodyText"/>
        <w:tabs>
          <w:tab w:val="left" w:pos="7824"/>
        </w:tabs>
        <w:spacing w:after="0" w:line="403" w:lineRule="auto"/>
        <w:jc w:val="both"/>
        <w:rPr>
          <w:lang w:val="en-GB"/>
        </w:rPr>
      </w:pPr>
      <w:r w:rsidRPr="00D93FF9">
        <w:rPr>
          <w:lang w:val="en-GB"/>
        </w:rPr>
        <w:t>CO</w:t>
      </w:r>
      <w:r w:rsidRPr="00D93FF9">
        <w:rPr>
          <w:position w:val="-4"/>
          <w:sz w:val="15"/>
          <w:lang w:val="en-GB"/>
        </w:rPr>
        <w:t xml:space="preserve">2 </w:t>
      </w:r>
      <w:r w:rsidRPr="00D93FF9">
        <w:rPr>
          <w:lang w:val="en-GB"/>
        </w:rPr>
        <w:t>+ CaCO</w:t>
      </w:r>
      <w:r w:rsidRPr="00D93FF9">
        <w:rPr>
          <w:position w:val="-4"/>
          <w:sz w:val="15"/>
          <w:lang w:val="en-GB"/>
        </w:rPr>
        <w:t xml:space="preserve">3 </w:t>
      </w:r>
      <w:r w:rsidRPr="00D93FF9">
        <w:rPr>
          <w:lang w:val="en-GB"/>
        </w:rPr>
        <w:t>+ H</w:t>
      </w:r>
      <w:r w:rsidRPr="00D93FF9">
        <w:rPr>
          <w:position w:val="-4"/>
          <w:sz w:val="15"/>
          <w:lang w:val="en-GB"/>
        </w:rPr>
        <w:t>2</w:t>
      </w:r>
      <w:r w:rsidRPr="00D93FF9">
        <w:rPr>
          <w:lang w:val="en-GB"/>
        </w:rPr>
        <w:t xml:space="preserve">O </w:t>
      </w:r>
      <w:r w:rsidR="00962EA1" w:rsidRPr="00D93FF9">
        <w:rPr>
          <w:rFonts w:ascii="Symbol" w:hAnsi="Symbol"/>
          <w:lang w:val="en-GB"/>
        </w:rPr>
        <w:sym w:font="Symbol" w:char="F0AB"/>
      </w:r>
      <w:r w:rsidRPr="00D93FF9">
        <w:rPr>
          <w:lang w:val="en-GB"/>
        </w:rPr>
        <w:t xml:space="preserve"> Ca</w:t>
      </w:r>
      <w:r w:rsidRPr="00D93FF9">
        <w:rPr>
          <w:position w:val="5"/>
          <w:sz w:val="15"/>
          <w:lang w:val="en-GB"/>
        </w:rPr>
        <w:t>2+</w:t>
      </w:r>
      <w:r w:rsidRPr="00D93FF9">
        <w:rPr>
          <w:spacing w:val="-19"/>
          <w:position w:val="5"/>
          <w:sz w:val="15"/>
          <w:lang w:val="en-GB"/>
        </w:rPr>
        <w:t xml:space="preserve"> </w:t>
      </w:r>
      <w:r w:rsidRPr="00D93FF9">
        <w:rPr>
          <w:lang w:val="en-GB"/>
        </w:rPr>
        <w:t>+ 2</w:t>
      </w:r>
      <w:r w:rsidRPr="00D93FF9">
        <w:rPr>
          <w:spacing w:val="1"/>
          <w:lang w:val="en-GB"/>
        </w:rPr>
        <w:t xml:space="preserve"> </w:t>
      </w:r>
      <w:r w:rsidRPr="00D93FF9">
        <w:rPr>
          <w:lang w:val="en-GB"/>
        </w:rPr>
        <w:t>HCO</w:t>
      </w:r>
      <w:r w:rsidRPr="00D93FF9">
        <w:rPr>
          <w:position w:val="-4"/>
          <w:sz w:val="15"/>
          <w:lang w:val="en-GB"/>
        </w:rPr>
        <w:t>3</w:t>
      </w:r>
      <w:r w:rsidRPr="00D93FF9">
        <w:rPr>
          <w:vertAlign w:val="superscript"/>
          <w:lang w:val="en-GB"/>
        </w:rPr>
        <w:t>-</w:t>
      </w:r>
    </w:p>
    <w:p w14:paraId="59DCCE43" w14:textId="77777777" w:rsidR="00C46175" w:rsidRPr="00D93FF9" w:rsidRDefault="00E811B8" w:rsidP="008C6714">
      <w:pPr>
        <w:pStyle w:val="Heading4"/>
        <w:rPr>
          <w:lang w:val="en-GB"/>
        </w:rPr>
      </w:pPr>
      <w:r w:rsidRPr="00D93FF9">
        <w:rPr>
          <w:lang w:val="en-GB"/>
        </w:rPr>
        <w:t>Effects on agriculture</w:t>
      </w:r>
    </w:p>
    <w:p w14:paraId="59DCCE44" w14:textId="59C8E9AF" w:rsidR="00C46175" w:rsidRPr="00D93FF9" w:rsidRDefault="00E811B8" w:rsidP="003807A1">
      <w:pPr>
        <w:pStyle w:val="BodyText"/>
        <w:spacing w:after="0" w:line="266" w:lineRule="auto"/>
        <w:jc w:val="both"/>
        <w:rPr>
          <w:lang w:val="en-GB"/>
        </w:rPr>
      </w:pPr>
      <w:r w:rsidRPr="00D93FF9">
        <w:rPr>
          <w:lang w:val="en-GB"/>
        </w:rPr>
        <w:t xml:space="preserve">Elevated levels of bicarbonate in irrigation waters can adversely affect irrigation equipment, soil structure and crop foliage. In arid and semi-arid regions of Australia, irrigation water containing elevated concentrations of bicarbonate is frequently used. Prolonged use of such irrigation water can lead to a high concentration of bicarbonate in the soil water due to evapotranspiration, and there is an increasing tendency for calcium and magnesium to precipitate as insoluble carbonates. Over time, this reduction of calcium and magnesium concentration can result in an increased sodium adsorption ratio (SAR), which may impact adversely on soil structure </w:t>
      </w:r>
      <w:r w:rsidR="001375BE" w:rsidRPr="00D93FF9">
        <w:rPr>
          <w:lang w:val="en-GB"/>
        </w:rPr>
        <w:t xml:space="preserve">and permeability </w:t>
      </w:r>
      <w:r w:rsidRPr="00D93FF9">
        <w:rPr>
          <w:lang w:val="en-GB"/>
        </w:rPr>
        <w:t>(discussed in Section</w:t>
      </w:r>
      <w:r w:rsidR="00B839E2" w:rsidRPr="00D93FF9">
        <w:rPr>
          <w:lang w:val="en-GB"/>
        </w:rPr>
        <w:t xml:space="preserve"> </w:t>
      </w:r>
      <w:r w:rsidR="00B839E2" w:rsidRPr="00D93FF9">
        <w:rPr>
          <w:lang w:val="en-GB"/>
        </w:rPr>
        <w:fldChar w:fldCharType="begin"/>
      </w:r>
      <w:r w:rsidR="00B839E2" w:rsidRPr="00D93FF9">
        <w:rPr>
          <w:lang w:val="en-GB"/>
        </w:rPr>
        <w:instrText xml:space="preserve"> REF _Ref71706927 \r \h </w:instrText>
      </w:r>
      <w:r w:rsidR="00D93FF9">
        <w:rPr>
          <w:lang w:val="en-GB"/>
        </w:rPr>
        <w:instrText xml:space="preserve"> \* MERGEFORMAT </w:instrText>
      </w:r>
      <w:r w:rsidR="00B839E2" w:rsidRPr="00D93FF9">
        <w:rPr>
          <w:lang w:val="en-GB"/>
        </w:rPr>
      </w:r>
      <w:r w:rsidR="00B839E2" w:rsidRPr="00D93FF9">
        <w:rPr>
          <w:lang w:val="en-GB"/>
        </w:rPr>
        <w:fldChar w:fldCharType="separate"/>
      </w:r>
      <w:r w:rsidR="0069302C">
        <w:rPr>
          <w:lang w:val="en-GB"/>
        </w:rPr>
        <w:t>3</w:t>
      </w:r>
      <w:r w:rsidR="00B839E2" w:rsidRPr="00D93FF9">
        <w:rPr>
          <w:lang w:val="en-GB"/>
        </w:rPr>
        <w:fldChar w:fldCharType="end"/>
      </w:r>
      <w:r w:rsidRPr="00D93FF9">
        <w:rPr>
          <w:lang w:val="en-GB"/>
        </w:rPr>
        <w:t>).</w:t>
      </w:r>
    </w:p>
    <w:p w14:paraId="59DCCE45" w14:textId="597B5919" w:rsidR="00C46175" w:rsidRPr="00D93FF9" w:rsidRDefault="00E811B8" w:rsidP="007B54B3">
      <w:pPr>
        <w:pStyle w:val="BodyText"/>
        <w:spacing w:after="0" w:line="266" w:lineRule="auto"/>
        <w:jc w:val="both"/>
        <w:rPr>
          <w:lang w:val="en-GB"/>
        </w:rPr>
      </w:pPr>
      <w:r w:rsidRPr="00D93FF9">
        <w:rPr>
          <w:lang w:val="en-GB"/>
        </w:rPr>
        <w:t>Crops such as ornamentals, fruit and flowers which are marketed on the basis of aesthetic value, can be affected by white scale formation on visible surfaces. This occurs as a result of spray irrigation, when a white precipitate of carbonates is deposited following evaporation of residual water droplets on the plant. The process continues to occur with further build-up of material due to the low solubility of these carbonate compounds, which do not redissolve when wetted but tend to accumulate.</w:t>
      </w:r>
      <w:r w:rsidR="00E600C6" w:rsidRPr="00D93FF9">
        <w:rPr>
          <w:lang w:val="en-GB"/>
        </w:rPr>
        <w:t xml:space="preserve"> The process might also be due to the chlorophyll formation in leaves being impacted by bicarbonate. In an experiment using various levels of ammonium bicarbonate in irrigation water, Shahabi et al</w:t>
      </w:r>
      <w:r w:rsidR="00AD764F" w:rsidRPr="00D93FF9">
        <w:rPr>
          <w:lang w:val="en-GB"/>
        </w:rPr>
        <w:t>.</w:t>
      </w:r>
      <w:r w:rsidR="00E600C6" w:rsidRPr="00D93FF9">
        <w:rPr>
          <w:lang w:val="en-GB"/>
        </w:rPr>
        <w:t xml:space="preserve"> (2005) showed that high levels of bicarbonate (30 meq/L and above) caused a significant reduction in chlorophyll development in apple leaves after 40 days of irrigation. In the longer-term, after 120d of irrigation, chlorophyll development was affected in all treatments (except at 5 meq/L of bicarbonate). Similarly, certain cultivars of pomegranates showed a reduced chlorophyll index, performance index and translocation of Fe</w:t>
      </w:r>
      <w:r w:rsidR="00E600C6" w:rsidRPr="00D93FF9">
        <w:rPr>
          <w:vertAlign w:val="superscript"/>
          <w:lang w:val="en-GB"/>
        </w:rPr>
        <w:t>+</w:t>
      </w:r>
      <w:r w:rsidR="00E600C6" w:rsidRPr="00D93FF9">
        <w:rPr>
          <w:lang w:val="en-GB"/>
        </w:rPr>
        <w:t xml:space="preserve"> and Na</w:t>
      </w:r>
      <w:r w:rsidR="00E600C6" w:rsidRPr="00D93FF9">
        <w:rPr>
          <w:vertAlign w:val="superscript"/>
          <w:lang w:val="en-GB"/>
        </w:rPr>
        <w:t>+</w:t>
      </w:r>
      <w:r w:rsidR="00E600C6" w:rsidRPr="00D93FF9">
        <w:rPr>
          <w:lang w:val="en-GB"/>
        </w:rPr>
        <w:t xml:space="preserve"> (from roots to shoots) as the concentrations of NaHCO</w:t>
      </w:r>
      <w:r w:rsidR="00E600C6" w:rsidRPr="00D93FF9">
        <w:rPr>
          <w:vertAlign w:val="subscript"/>
          <w:lang w:val="en-GB"/>
        </w:rPr>
        <w:t>3</w:t>
      </w:r>
      <w:r w:rsidR="00E600C6" w:rsidRPr="00D93FF9">
        <w:rPr>
          <w:lang w:val="en-GB"/>
        </w:rPr>
        <w:t xml:space="preserve"> in the irrigation water increased (up to 15mM). The hypothesis is that decrease of the chlorophyll index is due to a Fe </w:t>
      </w:r>
      <w:r w:rsidR="00DA50F7" w:rsidRPr="00D93FF9">
        <w:rPr>
          <w:lang w:val="en-GB"/>
        </w:rPr>
        <w:t xml:space="preserve">deficiency </w:t>
      </w:r>
      <w:r w:rsidR="00E600C6" w:rsidRPr="00D93FF9">
        <w:rPr>
          <w:lang w:val="en-GB"/>
        </w:rPr>
        <w:t xml:space="preserve">caused by </w:t>
      </w:r>
      <w:r w:rsidR="00DA50F7" w:rsidRPr="00D93FF9">
        <w:rPr>
          <w:lang w:val="en-GB"/>
        </w:rPr>
        <w:t xml:space="preserve">an excess of </w:t>
      </w:r>
      <w:r w:rsidR="00E600C6" w:rsidRPr="00D93FF9">
        <w:rPr>
          <w:lang w:val="en-GB"/>
        </w:rPr>
        <w:t>NaHCO</w:t>
      </w:r>
      <w:r w:rsidR="00E600C6" w:rsidRPr="00D93FF9">
        <w:rPr>
          <w:vertAlign w:val="subscript"/>
          <w:lang w:val="en-GB"/>
        </w:rPr>
        <w:t>3</w:t>
      </w:r>
      <w:r w:rsidR="00E600C6" w:rsidRPr="00D93FF9">
        <w:rPr>
          <w:lang w:val="en-GB"/>
        </w:rPr>
        <w:t xml:space="preserve">, leading to foliar chlorosis (Karimi </w:t>
      </w:r>
      <w:r w:rsidR="00FA6E9E" w:rsidRPr="00D93FF9">
        <w:rPr>
          <w:lang w:val="en-GB"/>
        </w:rPr>
        <w:t>and</w:t>
      </w:r>
      <w:r w:rsidR="00E600C6" w:rsidRPr="00D93FF9">
        <w:rPr>
          <w:lang w:val="en-GB"/>
        </w:rPr>
        <w:t xml:space="preserve"> Eini-Tari 2017). </w:t>
      </w:r>
      <w:r w:rsidR="00067527" w:rsidRPr="00D93FF9">
        <w:rPr>
          <w:lang w:val="en-GB"/>
        </w:rPr>
        <w:t>In other studies, photosynthetic parameters decreased in chlorotic leaves induced by high bicarbonate</w:t>
      </w:r>
      <w:r w:rsidR="00CB7C54" w:rsidRPr="00D93FF9">
        <w:rPr>
          <w:lang w:val="en-GB"/>
        </w:rPr>
        <w:t xml:space="preserve"> concentrations</w:t>
      </w:r>
      <w:r w:rsidR="00067527" w:rsidRPr="00D93FF9">
        <w:rPr>
          <w:lang w:val="en-GB"/>
        </w:rPr>
        <w:t xml:space="preserve"> in citrus (Pestana et al. 2005), peach rootstocks (Molassiotis et al. 2006) </w:t>
      </w:r>
      <w:r w:rsidR="00067527" w:rsidRPr="00D93FF9">
        <w:rPr>
          <w:lang w:val="en-GB"/>
        </w:rPr>
        <w:lastRenderedPageBreak/>
        <w:t xml:space="preserve">and peas (Jelali et al. 2011). </w:t>
      </w:r>
      <w:r w:rsidRPr="00D93FF9">
        <w:rPr>
          <w:lang w:val="en-GB"/>
        </w:rPr>
        <w:t>White scale accumulation can occur with relatively low concentrations of bicarbonate and appears to be more prevalent in periods of low humidity and high evaporation (Gill 1986). High pH, which can occur when excessive amounts of bicarbonate are present in irrigation waters, can also be detrimental to plant growth by limiting uptake of certain ions</w:t>
      </w:r>
      <w:r w:rsidR="005C652D" w:rsidRPr="00D93FF9">
        <w:rPr>
          <w:lang w:val="en-GB"/>
        </w:rPr>
        <w:t xml:space="preserve"> (Phosphorus (Jones  2001); Iron (Karimi </w:t>
      </w:r>
      <w:r w:rsidR="00FA6E9E" w:rsidRPr="00D93FF9">
        <w:rPr>
          <w:lang w:val="en-GB"/>
        </w:rPr>
        <w:t>and</w:t>
      </w:r>
      <w:r w:rsidR="005C652D" w:rsidRPr="00D93FF9">
        <w:rPr>
          <w:lang w:val="en-GB"/>
        </w:rPr>
        <w:t xml:space="preserve"> Eini-Tari 2017; Deng et al. 2010)</w:t>
      </w:r>
      <w:r w:rsidR="007B54B3" w:rsidRPr="00D93FF9">
        <w:rPr>
          <w:lang w:val="en-GB"/>
        </w:rPr>
        <w:t>.</w:t>
      </w:r>
    </w:p>
    <w:p w14:paraId="59DCCE46" w14:textId="77777777" w:rsidR="00C46175" w:rsidRPr="00D93FF9" w:rsidRDefault="00C46175" w:rsidP="003807A1">
      <w:pPr>
        <w:pStyle w:val="BodyText"/>
        <w:spacing w:after="0"/>
        <w:rPr>
          <w:sz w:val="25"/>
          <w:lang w:val="en-GB"/>
        </w:rPr>
      </w:pPr>
    </w:p>
    <w:p w14:paraId="59DCCE47" w14:textId="77777777" w:rsidR="00C46175" w:rsidRPr="00D93FF9" w:rsidRDefault="00E811B8" w:rsidP="008C6714">
      <w:pPr>
        <w:pStyle w:val="Heading3"/>
        <w:rPr>
          <w:lang w:val="en-GB"/>
        </w:rPr>
      </w:pPr>
      <w:bookmarkStart w:id="192" w:name="_Ref70410001"/>
      <w:bookmarkStart w:id="193" w:name="_Toc96693576"/>
      <w:r w:rsidRPr="00D93FF9">
        <w:t>Chloride</w:t>
      </w:r>
      <w:bookmarkEnd w:id="192"/>
      <w:bookmarkEnd w:id="193"/>
    </w:p>
    <w:p w14:paraId="59DCCE48" w14:textId="77777777" w:rsidR="00D06870" w:rsidRPr="00D93FF9" w:rsidRDefault="00E811B8" w:rsidP="00663581">
      <w:pPr>
        <w:pStyle w:val="Heading5"/>
        <w:rPr>
          <w:lang w:val="en-GB"/>
        </w:rPr>
      </w:pPr>
      <w:r w:rsidRPr="00D93FF9">
        <w:rPr>
          <w:lang w:val="en-GB"/>
        </w:rPr>
        <w:t>There are t</w:t>
      </w:r>
      <w:r w:rsidR="00EA0E06" w:rsidRPr="00D93FF9">
        <w:rPr>
          <w:lang w:val="en-GB"/>
        </w:rPr>
        <w:t>hree</w:t>
      </w:r>
      <w:r w:rsidRPr="00D93FF9">
        <w:rPr>
          <w:lang w:val="en-GB"/>
        </w:rPr>
        <w:t xml:space="preserve"> distinct issues concerning chloride concentrations in irrigation waters: relating to the risk of (1) foliar injury to crops; (2) </w:t>
      </w:r>
      <w:r w:rsidR="00EA0E06" w:rsidRPr="00D93FF9">
        <w:rPr>
          <w:lang w:val="en-GB"/>
        </w:rPr>
        <w:t xml:space="preserve">salty taste in the crop/fruit and (3) </w:t>
      </w:r>
      <w:r w:rsidRPr="00D93FF9">
        <w:rPr>
          <w:lang w:val="en-GB"/>
        </w:rPr>
        <w:t>increased uptake by plants of cadmium from soil.</w:t>
      </w:r>
      <w:bookmarkStart w:id="194" w:name="1__Foliar_injury"/>
      <w:bookmarkStart w:id="195" w:name="2__Interaction_between_chloride_in_irrig"/>
      <w:bookmarkEnd w:id="194"/>
      <w:bookmarkEnd w:id="195"/>
    </w:p>
    <w:p w14:paraId="59DCCE49" w14:textId="77777777" w:rsidR="00C46175" w:rsidRPr="00D93FF9" w:rsidRDefault="00E811B8" w:rsidP="008C6714">
      <w:pPr>
        <w:pStyle w:val="Heading4"/>
        <w:rPr>
          <w:lang w:val="en-GB"/>
        </w:rPr>
      </w:pPr>
      <w:r w:rsidRPr="00D93FF9">
        <w:t>Foliar</w:t>
      </w:r>
      <w:r w:rsidRPr="00D93FF9">
        <w:rPr>
          <w:spacing w:val="-2"/>
          <w:lang w:val="en-GB"/>
        </w:rPr>
        <w:t xml:space="preserve"> </w:t>
      </w:r>
      <w:r w:rsidRPr="00D93FF9">
        <w:t>injury</w:t>
      </w:r>
    </w:p>
    <w:p w14:paraId="59DCCE4A" w14:textId="7421593B" w:rsidR="00C46175" w:rsidRPr="00D93FF9" w:rsidRDefault="00E811B8" w:rsidP="00B839E2">
      <w:pPr>
        <w:pStyle w:val="BodyText"/>
        <w:spacing w:before="200"/>
        <w:ind w:left="284"/>
        <w:rPr>
          <w:lang w:val="en-GB"/>
        </w:rPr>
      </w:pPr>
      <w:r w:rsidRPr="00D93FF9">
        <w:rPr>
          <w:b/>
          <w:bCs/>
          <w:i/>
          <w:iCs/>
          <w:lang w:val="en-GB"/>
        </w:rPr>
        <w:t>Guideline</w:t>
      </w:r>
      <w:r w:rsidR="00E90CE0" w:rsidRPr="00D93FF9">
        <w:rPr>
          <w:b/>
          <w:bCs/>
          <w:i/>
          <w:iCs/>
          <w:lang w:val="en-GB"/>
        </w:rPr>
        <w:t xml:space="preserve"> values for prevention of foliar injury due to chloride in irrigation water from sprinkler application are provided in</w:t>
      </w:r>
      <w:r w:rsidR="003546C8" w:rsidRPr="00D93FF9">
        <w:rPr>
          <w:b/>
          <w:bCs/>
          <w:i/>
          <w:iCs/>
          <w:lang w:val="en-GB"/>
        </w:rPr>
        <w:t xml:space="preserve"> </w:t>
      </w:r>
      <w:r w:rsidR="003546C8" w:rsidRPr="00D93FF9">
        <w:rPr>
          <w:b/>
          <w:bCs/>
          <w:i/>
          <w:iCs/>
          <w:lang w:val="en-GB"/>
        </w:rPr>
        <w:fldChar w:fldCharType="begin"/>
      </w:r>
      <w:r w:rsidR="003546C8" w:rsidRPr="00D93FF9">
        <w:rPr>
          <w:b/>
          <w:bCs/>
          <w:i/>
          <w:iCs/>
          <w:lang w:val="en-GB"/>
        </w:rPr>
        <w:instrText xml:space="preserve"> REF _Ref81393233 \h </w:instrText>
      </w:r>
      <w:r w:rsidR="006C3E2A" w:rsidRPr="00D93FF9">
        <w:rPr>
          <w:b/>
          <w:bCs/>
          <w:i/>
          <w:iCs/>
          <w:lang w:val="en-GB"/>
        </w:rPr>
        <w:instrText xml:space="preserve"> \* MERGEFORMAT </w:instrText>
      </w:r>
      <w:r w:rsidR="003546C8" w:rsidRPr="00D93FF9">
        <w:rPr>
          <w:b/>
          <w:bCs/>
          <w:i/>
          <w:iCs/>
          <w:lang w:val="en-GB"/>
        </w:rPr>
      </w:r>
      <w:r w:rsidR="003546C8" w:rsidRPr="00D93FF9">
        <w:rPr>
          <w:b/>
          <w:bCs/>
          <w:i/>
          <w:iCs/>
          <w:lang w:val="en-GB"/>
        </w:rPr>
        <w:fldChar w:fldCharType="separate"/>
      </w:r>
      <w:r w:rsidR="0069302C" w:rsidRPr="0069302C">
        <w:rPr>
          <w:b/>
          <w:bCs/>
          <w:i/>
          <w:iCs/>
        </w:rPr>
        <w:t xml:space="preserve">Table </w:t>
      </w:r>
      <w:r w:rsidR="0069302C" w:rsidRPr="0069302C">
        <w:rPr>
          <w:b/>
          <w:bCs/>
          <w:i/>
          <w:iCs/>
          <w:noProof/>
        </w:rPr>
        <w:t>17</w:t>
      </w:r>
      <w:r w:rsidR="003546C8" w:rsidRPr="00D93FF9">
        <w:rPr>
          <w:b/>
          <w:bCs/>
          <w:i/>
          <w:iCs/>
          <w:lang w:val="en-GB"/>
        </w:rPr>
        <w:fldChar w:fldCharType="end"/>
      </w:r>
      <w:r w:rsidR="00B839E2" w:rsidRPr="00D93FF9">
        <w:rPr>
          <w:b/>
          <w:bCs/>
          <w:i/>
          <w:iCs/>
          <w:lang w:val="en-GB"/>
        </w:rPr>
        <w:t xml:space="preserve">. </w:t>
      </w:r>
    </w:p>
    <w:p w14:paraId="59DCCE4B" w14:textId="602AC5B1" w:rsidR="00C46175" w:rsidRPr="00D93FF9" w:rsidRDefault="00E811B8" w:rsidP="003807A1">
      <w:pPr>
        <w:pStyle w:val="BodyText"/>
        <w:spacing w:after="0" w:line="266" w:lineRule="auto"/>
        <w:jc w:val="both"/>
        <w:rPr>
          <w:lang w:val="en-GB"/>
        </w:rPr>
      </w:pPr>
      <w:r w:rsidRPr="00D93FF9">
        <w:rPr>
          <w:lang w:val="en-GB"/>
        </w:rPr>
        <w:t xml:space="preserve">The chlorides of sodium, potassium, calcium and magnesium are highly soluble in water. Chloride </w:t>
      </w:r>
      <w:r w:rsidR="006A33E4" w:rsidRPr="00D93FF9">
        <w:rPr>
          <w:lang w:val="en-GB"/>
        </w:rPr>
        <w:t>is an essential nutrient for plants and plays many regulatory roles in their physiology, being involved in photosynthesis, transpiration and plant growth. However, it can accumulate to toxic levels in leaves</w:t>
      </w:r>
      <w:r w:rsidR="00B248A1" w:rsidRPr="00D93FF9">
        <w:rPr>
          <w:lang w:val="en-GB"/>
        </w:rPr>
        <w:t>, leading to leaf tip burn (Niu et al. 2008) or leaf abscission and reduction of yield or aesthetic value</w:t>
      </w:r>
      <w:r w:rsidR="005D5268" w:rsidRPr="00D93FF9">
        <w:rPr>
          <w:lang w:val="en-GB"/>
        </w:rPr>
        <w:t xml:space="preserve"> in the case or ornamental plants</w:t>
      </w:r>
      <w:r w:rsidR="006A33E4" w:rsidRPr="00D93FF9">
        <w:rPr>
          <w:lang w:val="en-GB"/>
        </w:rPr>
        <w:t xml:space="preserve">. Chloride </w:t>
      </w:r>
      <w:r w:rsidRPr="00D93FF9">
        <w:rPr>
          <w:lang w:val="en-GB"/>
        </w:rPr>
        <w:t>behaves similarly to sodium with similar foliar symptoms. High levels of chloride in the soil solution will lead to yield decline due to an osmotic</w:t>
      </w:r>
      <w:r w:rsidR="00B248A1" w:rsidRPr="00D93FF9">
        <w:rPr>
          <w:lang w:val="en-GB"/>
        </w:rPr>
        <w:t xml:space="preserve"> and turgor</w:t>
      </w:r>
      <w:r w:rsidRPr="00D93FF9">
        <w:rPr>
          <w:lang w:val="en-GB"/>
        </w:rPr>
        <w:t xml:space="preserve"> effect, hence threshold values for salinity (expressed as EC) should be used as a guide to water quality (Section</w:t>
      </w:r>
      <w:r w:rsidR="0009350B" w:rsidRPr="00D93FF9">
        <w:rPr>
          <w:lang w:val="en-GB"/>
        </w:rPr>
        <w:t xml:space="preserve"> </w:t>
      </w:r>
      <w:r w:rsidR="0009350B" w:rsidRPr="00D93FF9">
        <w:rPr>
          <w:lang w:val="en-GB"/>
        </w:rPr>
        <w:fldChar w:fldCharType="begin"/>
      </w:r>
      <w:r w:rsidR="0009350B" w:rsidRPr="00D93FF9">
        <w:rPr>
          <w:lang w:val="en-GB"/>
        </w:rPr>
        <w:instrText xml:space="preserve"> REF _Ref71707055 \r \h </w:instrText>
      </w:r>
      <w:r w:rsidR="00D93FF9">
        <w:rPr>
          <w:lang w:val="en-GB"/>
        </w:rPr>
        <w:instrText xml:space="preserve"> \* MERGEFORMAT </w:instrText>
      </w:r>
      <w:r w:rsidR="0009350B" w:rsidRPr="00D93FF9">
        <w:rPr>
          <w:lang w:val="en-GB"/>
        </w:rPr>
      </w:r>
      <w:r w:rsidR="0009350B" w:rsidRPr="00D93FF9">
        <w:rPr>
          <w:lang w:val="en-GB"/>
        </w:rPr>
        <w:fldChar w:fldCharType="separate"/>
      </w:r>
      <w:r w:rsidR="0069302C">
        <w:rPr>
          <w:lang w:val="en-GB"/>
        </w:rPr>
        <w:t>3</w:t>
      </w:r>
      <w:r w:rsidR="0009350B" w:rsidRPr="00D93FF9">
        <w:rPr>
          <w:lang w:val="en-GB"/>
        </w:rPr>
        <w:fldChar w:fldCharType="end"/>
      </w:r>
      <w:r w:rsidRPr="00D93FF9">
        <w:rPr>
          <w:lang w:val="en-GB"/>
        </w:rPr>
        <w:t>).</w:t>
      </w:r>
    </w:p>
    <w:p w14:paraId="59DCCE4C" w14:textId="4C9299C5" w:rsidR="00DF4486" w:rsidRPr="00D93FF9" w:rsidRDefault="00E811B8" w:rsidP="003807A1">
      <w:pPr>
        <w:pStyle w:val="BodyText"/>
        <w:spacing w:after="0" w:line="266" w:lineRule="auto"/>
        <w:jc w:val="both"/>
        <w:rPr>
          <w:lang w:val="en-GB"/>
        </w:rPr>
      </w:pPr>
      <w:r w:rsidRPr="00D93FF9">
        <w:rPr>
          <w:lang w:val="en-GB"/>
        </w:rPr>
        <w:t>Plant sensi</w:t>
      </w:r>
      <w:r w:rsidR="004C3ECB" w:rsidRPr="00D93FF9">
        <w:rPr>
          <w:lang w:val="en-GB"/>
        </w:rPr>
        <w:t>tivi</w:t>
      </w:r>
      <w:r w:rsidRPr="00D93FF9">
        <w:rPr>
          <w:lang w:val="en-GB"/>
        </w:rPr>
        <w:t>ty to chloride is presented in</w:t>
      </w:r>
      <w:r w:rsidR="00B4557E" w:rsidRPr="00D93FF9">
        <w:rPr>
          <w:lang w:val="en-GB"/>
        </w:rPr>
        <w:t xml:space="preserve"> </w:t>
      </w:r>
      <w:r w:rsidR="00B4557E" w:rsidRPr="00D93FF9">
        <w:rPr>
          <w:lang w:val="en-GB"/>
        </w:rPr>
        <w:fldChar w:fldCharType="begin"/>
      </w:r>
      <w:r w:rsidR="00B4557E" w:rsidRPr="00D93FF9">
        <w:rPr>
          <w:lang w:val="en-GB"/>
        </w:rPr>
        <w:instrText xml:space="preserve"> REF _Ref81393233 \h </w:instrText>
      </w:r>
      <w:r w:rsidR="00D93FF9">
        <w:rPr>
          <w:lang w:val="en-GB"/>
        </w:rPr>
        <w:instrText xml:space="preserve"> \* MERGEFORMAT </w:instrText>
      </w:r>
      <w:r w:rsidR="00B4557E" w:rsidRPr="00D93FF9">
        <w:rPr>
          <w:lang w:val="en-GB"/>
        </w:rPr>
      </w:r>
      <w:r w:rsidR="00B4557E" w:rsidRPr="00D93FF9">
        <w:rPr>
          <w:lang w:val="en-GB"/>
        </w:rPr>
        <w:fldChar w:fldCharType="separate"/>
      </w:r>
      <w:r w:rsidR="0069302C" w:rsidRPr="00D93FF9">
        <w:t xml:space="preserve">Table </w:t>
      </w:r>
      <w:r w:rsidR="0069302C">
        <w:rPr>
          <w:noProof/>
        </w:rPr>
        <w:t>17</w:t>
      </w:r>
      <w:r w:rsidR="00B4557E" w:rsidRPr="00D93FF9">
        <w:rPr>
          <w:lang w:val="en-GB"/>
        </w:rPr>
        <w:fldChar w:fldCharType="end"/>
      </w:r>
      <w:r w:rsidRPr="00D93FF9">
        <w:rPr>
          <w:lang w:val="en-GB"/>
        </w:rPr>
        <w:t xml:space="preserve">. </w:t>
      </w:r>
    </w:p>
    <w:p w14:paraId="59DCCE4D" w14:textId="77777777" w:rsidR="00A80B67" w:rsidRPr="00D93FF9" w:rsidRDefault="00A80B67" w:rsidP="003807A1">
      <w:pPr>
        <w:pStyle w:val="BodyText"/>
        <w:spacing w:after="0" w:line="266" w:lineRule="auto"/>
        <w:jc w:val="both"/>
        <w:rPr>
          <w:lang w:val="en-GB"/>
        </w:rPr>
      </w:pPr>
    </w:p>
    <w:p w14:paraId="59DCCE4E" w14:textId="750821B4" w:rsidR="00C46175" w:rsidRPr="00D93FF9" w:rsidRDefault="00B4557E" w:rsidP="00B4557E">
      <w:pPr>
        <w:pStyle w:val="Caption"/>
        <w:rPr>
          <w:rFonts w:ascii="Arial"/>
          <w:sz w:val="14"/>
          <w:lang w:val="en-GB"/>
        </w:rPr>
      </w:pPr>
      <w:bookmarkStart w:id="196" w:name="_Ref81393233"/>
      <w:bookmarkStart w:id="197" w:name="_Toc96518231"/>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17</w:t>
      </w:r>
      <w:r w:rsidR="00477102" w:rsidRPr="00D93FF9">
        <w:fldChar w:fldCharType="end"/>
      </w:r>
      <w:bookmarkEnd w:id="196"/>
      <w:r w:rsidRPr="00D93FF9">
        <w:t xml:space="preserve"> </w:t>
      </w:r>
      <w:bookmarkStart w:id="198" w:name="_Hlk153812649"/>
      <w:r w:rsidR="00E90CE0" w:rsidRPr="00D93FF9">
        <w:rPr>
          <w:rFonts w:ascii="Arial"/>
          <w:sz w:val="18"/>
          <w:lang w:val="en-GB"/>
        </w:rPr>
        <w:t>Chloride concentrations in irrigation water (mg/L) causing foliar injury in crops of varying sensitivity</w:t>
      </w:r>
      <w:r w:rsidR="00E90CE0" w:rsidRPr="00D93FF9">
        <w:rPr>
          <w:rFonts w:ascii="Arial"/>
          <w:position w:val="4"/>
          <w:sz w:val="14"/>
          <w:lang w:val="en-GB"/>
        </w:rPr>
        <w:t>a</w:t>
      </w:r>
      <w:bookmarkEnd w:id="197"/>
      <w:bookmarkEnd w:id="198"/>
    </w:p>
    <w:tbl>
      <w:tblPr>
        <w:tblW w:w="8389" w:type="dxa"/>
        <w:tblLayout w:type="fixed"/>
        <w:tblCellMar>
          <w:left w:w="0" w:type="dxa"/>
          <w:right w:w="0" w:type="dxa"/>
        </w:tblCellMar>
        <w:tblLook w:val="01E0" w:firstRow="1" w:lastRow="1" w:firstColumn="1" w:lastColumn="1" w:noHBand="0" w:noVBand="0"/>
        <w:tblCaption w:val="Chloride concentrations in milligrams per litre in irrigation water, causing foliar injury in crops of varying sensitivity"/>
        <w:tblDescription w:val="The table shows four ranges of plant sensitivity to chloride: sensitive is below 175, moderately sensitive ranges from 175 to 350, moderately tolerant ranges from 350 to 700, and tolerant is above 700. Examples of different plants are listed under each category."/>
      </w:tblPr>
      <w:tblGrid>
        <w:gridCol w:w="973"/>
        <w:gridCol w:w="1677"/>
        <w:gridCol w:w="3267"/>
        <w:gridCol w:w="2472"/>
      </w:tblGrid>
      <w:tr w:rsidR="00BE3AA8" w:rsidRPr="00D93FF9" w14:paraId="59DCCE57" w14:textId="77777777" w:rsidTr="00517E92">
        <w:trPr>
          <w:trHeight w:val="288"/>
        </w:trPr>
        <w:tc>
          <w:tcPr>
            <w:tcW w:w="973" w:type="dxa"/>
            <w:tcBorders>
              <w:top w:val="single" w:sz="6" w:space="0" w:color="000000"/>
              <w:left w:val="nil"/>
              <w:bottom w:val="single" w:sz="6" w:space="0" w:color="000000"/>
              <w:right w:val="nil"/>
            </w:tcBorders>
            <w:hideMark/>
          </w:tcPr>
          <w:p w14:paraId="59DCCE4F" w14:textId="77777777" w:rsidR="00BC5D11" w:rsidRPr="00D93FF9" w:rsidRDefault="00E811B8" w:rsidP="00BC5D11">
            <w:pPr>
              <w:pStyle w:val="TableParagraph"/>
              <w:spacing w:before="0" w:after="0"/>
              <w:ind w:left="115"/>
              <w:rPr>
                <w:rFonts w:asciiTheme="minorHAnsi" w:hAnsiTheme="minorHAnsi"/>
                <w:b/>
                <w:sz w:val="18"/>
                <w:szCs w:val="18"/>
                <w:lang w:val="en-GB"/>
              </w:rPr>
            </w:pPr>
            <w:r w:rsidRPr="00D93FF9">
              <w:rPr>
                <w:rFonts w:asciiTheme="minorHAnsi" w:hAnsiTheme="minorHAnsi"/>
                <w:b/>
                <w:sz w:val="18"/>
                <w:szCs w:val="18"/>
                <w:lang w:val="en-GB"/>
              </w:rPr>
              <w:t>Sensitive</w:t>
            </w:r>
          </w:p>
          <w:p w14:paraId="59DCCE50" w14:textId="77777777" w:rsidR="00BC5D11" w:rsidRPr="00D93FF9" w:rsidRDefault="00E811B8" w:rsidP="00BC5D11">
            <w:pPr>
              <w:pStyle w:val="TableParagraph"/>
              <w:spacing w:before="0" w:after="0"/>
              <w:ind w:left="115"/>
              <w:rPr>
                <w:rFonts w:asciiTheme="minorHAnsi" w:hAnsiTheme="minorHAnsi"/>
                <w:b/>
                <w:sz w:val="18"/>
                <w:szCs w:val="18"/>
                <w:lang w:val="en-GB"/>
              </w:rPr>
            </w:pPr>
            <w:r w:rsidRPr="00D93FF9">
              <w:rPr>
                <w:rFonts w:asciiTheme="minorHAnsi" w:hAnsiTheme="minorHAnsi"/>
                <w:b/>
                <w:sz w:val="18"/>
                <w:szCs w:val="18"/>
                <w:lang w:val="en-GB"/>
              </w:rPr>
              <w:t>&lt;175</w:t>
            </w:r>
          </w:p>
        </w:tc>
        <w:tc>
          <w:tcPr>
            <w:tcW w:w="1677" w:type="dxa"/>
            <w:tcBorders>
              <w:top w:val="single" w:sz="6" w:space="0" w:color="000000"/>
              <w:left w:val="nil"/>
              <w:bottom w:val="single" w:sz="6" w:space="0" w:color="000000"/>
              <w:right w:val="nil"/>
            </w:tcBorders>
            <w:hideMark/>
          </w:tcPr>
          <w:p w14:paraId="59DCCE51" w14:textId="77777777" w:rsidR="00BC5D11" w:rsidRPr="00D93FF9" w:rsidRDefault="00E811B8" w:rsidP="00BC5D11">
            <w:pPr>
              <w:pStyle w:val="TableParagraph"/>
              <w:spacing w:before="0" w:after="0"/>
              <w:ind w:left="159"/>
              <w:rPr>
                <w:rFonts w:asciiTheme="minorHAnsi" w:hAnsiTheme="minorHAnsi"/>
                <w:b/>
                <w:sz w:val="18"/>
                <w:szCs w:val="18"/>
                <w:lang w:val="en-GB"/>
              </w:rPr>
            </w:pPr>
            <w:r w:rsidRPr="00D93FF9">
              <w:rPr>
                <w:rFonts w:asciiTheme="minorHAnsi" w:hAnsiTheme="minorHAnsi"/>
                <w:b/>
                <w:sz w:val="18"/>
                <w:szCs w:val="18"/>
                <w:lang w:val="en-GB"/>
              </w:rPr>
              <w:t>Moderately sensitive</w:t>
            </w:r>
          </w:p>
          <w:p w14:paraId="59DCCE52" w14:textId="77777777" w:rsidR="00BC5D11" w:rsidRPr="00D93FF9" w:rsidRDefault="00E811B8" w:rsidP="00BC5D11">
            <w:pPr>
              <w:pStyle w:val="TableParagraph"/>
              <w:spacing w:before="0" w:after="0"/>
              <w:ind w:left="159"/>
              <w:rPr>
                <w:rFonts w:asciiTheme="minorHAnsi" w:hAnsiTheme="minorHAnsi"/>
                <w:b/>
                <w:sz w:val="18"/>
                <w:szCs w:val="18"/>
                <w:lang w:val="en-GB"/>
              </w:rPr>
            </w:pPr>
            <w:r w:rsidRPr="00D93FF9">
              <w:rPr>
                <w:rFonts w:asciiTheme="minorHAnsi" w:hAnsiTheme="minorHAnsi"/>
                <w:b/>
                <w:sz w:val="18"/>
                <w:szCs w:val="18"/>
                <w:lang w:val="en-GB"/>
              </w:rPr>
              <w:t>175-350</w:t>
            </w:r>
          </w:p>
        </w:tc>
        <w:tc>
          <w:tcPr>
            <w:tcW w:w="3267" w:type="dxa"/>
            <w:tcBorders>
              <w:top w:val="single" w:sz="6" w:space="0" w:color="000000"/>
              <w:left w:val="nil"/>
              <w:bottom w:val="single" w:sz="6" w:space="0" w:color="000000"/>
              <w:right w:val="nil"/>
            </w:tcBorders>
          </w:tcPr>
          <w:p w14:paraId="59DCCE53" w14:textId="77777777" w:rsidR="00BC5D11" w:rsidRPr="00D93FF9" w:rsidRDefault="00E811B8" w:rsidP="00BC5D11">
            <w:pPr>
              <w:pStyle w:val="TableParagraph"/>
              <w:spacing w:before="0" w:after="0"/>
              <w:ind w:left="1183"/>
              <w:rPr>
                <w:rFonts w:asciiTheme="minorHAnsi" w:hAnsiTheme="minorHAnsi"/>
                <w:b/>
                <w:sz w:val="18"/>
                <w:szCs w:val="18"/>
                <w:lang w:val="en-GB"/>
              </w:rPr>
            </w:pPr>
            <w:r w:rsidRPr="00D93FF9">
              <w:rPr>
                <w:rFonts w:asciiTheme="minorHAnsi" w:hAnsiTheme="minorHAnsi"/>
                <w:b/>
                <w:sz w:val="18"/>
                <w:szCs w:val="18"/>
                <w:lang w:val="en-GB"/>
              </w:rPr>
              <w:t>Moderately tolerant</w:t>
            </w:r>
          </w:p>
          <w:p w14:paraId="59DCCE54" w14:textId="77777777" w:rsidR="00BC5D11" w:rsidRPr="00D93FF9" w:rsidRDefault="00E811B8" w:rsidP="00BC5D11">
            <w:pPr>
              <w:pStyle w:val="TableParagraph"/>
              <w:spacing w:before="0" w:after="0"/>
              <w:ind w:left="1183"/>
              <w:rPr>
                <w:rFonts w:asciiTheme="minorHAnsi" w:hAnsiTheme="minorHAnsi"/>
                <w:b/>
                <w:sz w:val="18"/>
                <w:szCs w:val="18"/>
                <w:lang w:val="en-GB"/>
              </w:rPr>
            </w:pPr>
            <w:r w:rsidRPr="00D93FF9">
              <w:rPr>
                <w:rFonts w:asciiTheme="minorHAnsi" w:hAnsiTheme="minorHAnsi"/>
                <w:b/>
                <w:sz w:val="18"/>
                <w:szCs w:val="18"/>
                <w:lang w:val="en-GB"/>
              </w:rPr>
              <w:t>350-700</w:t>
            </w:r>
          </w:p>
        </w:tc>
        <w:tc>
          <w:tcPr>
            <w:tcW w:w="2472" w:type="dxa"/>
            <w:tcBorders>
              <w:top w:val="single" w:sz="6" w:space="0" w:color="000000"/>
              <w:left w:val="nil"/>
              <w:bottom w:val="single" w:sz="6" w:space="0" w:color="000000"/>
              <w:right w:val="nil"/>
            </w:tcBorders>
          </w:tcPr>
          <w:p w14:paraId="59DCCE55" w14:textId="77777777" w:rsidR="00BC5D11" w:rsidRPr="00D93FF9" w:rsidRDefault="00E811B8" w:rsidP="00BC5D11">
            <w:pPr>
              <w:pStyle w:val="TableParagraph"/>
              <w:spacing w:before="0" w:after="0"/>
              <w:ind w:left="1183"/>
              <w:rPr>
                <w:rFonts w:asciiTheme="minorHAnsi" w:hAnsiTheme="minorHAnsi"/>
                <w:b/>
                <w:sz w:val="18"/>
                <w:szCs w:val="18"/>
                <w:lang w:val="en-GB"/>
              </w:rPr>
            </w:pPr>
            <w:r w:rsidRPr="00D93FF9">
              <w:rPr>
                <w:rFonts w:asciiTheme="minorHAnsi" w:hAnsiTheme="minorHAnsi"/>
                <w:b/>
                <w:sz w:val="18"/>
                <w:szCs w:val="18"/>
                <w:lang w:val="en-GB"/>
              </w:rPr>
              <w:t>Tolerant</w:t>
            </w:r>
          </w:p>
          <w:p w14:paraId="59DCCE56" w14:textId="77777777" w:rsidR="00BC5D11" w:rsidRPr="00D93FF9" w:rsidRDefault="00E811B8" w:rsidP="00BC5D11">
            <w:pPr>
              <w:pStyle w:val="TableParagraph"/>
              <w:spacing w:before="0" w:after="0"/>
              <w:ind w:left="1183"/>
              <w:rPr>
                <w:rFonts w:asciiTheme="minorHAnsi" w:hAnsiTheme="minorHAnsi"/>
                <w:b/>
                <w:sz w:val="18"/>
                <w:szCs w:val="18"/>
                <w:lang w:val="en-GB"/>
              </w:rPr>
            </w:pPr>
            <w:r w:rsidRPr="00D93FF9">
              <w:rPr>
                <w:rFonts w:asciiTheme="minorHAnsi" w:hAnsiTheme="minorHAnsi"/>
                <w:b/>
                <w:sz w:val="18"/>
                <w:szCs w:val="18"/>
                <w:lang w:val="en-GB"/>
              </w:rPr>
              <w:t>&gt;700</w:t>
            </w:r>
          </w:p>
        </w:tc>
      </w:tr>
      <w:tr w:rsidR="00BE3AA8" w:rsidRPr="00D93FF9" w14:paraId="59DCCE5C" w14:textId="77777777" w:rsidTr="00517E92">
        <w:trPr>
          <w:trHeight w:val="258"/>
        </w:trPr>
        <w:tc>
          <w:tcPr>
            <w:tcW w:w="973" w:type="dxa"/>
            <w:tcBorders>
              <w:top w:val="single" w:sz="6" w:space="0" w:color="000000"/>
              <w:left w:val="nil"/>
              <w:bottom w:val="nil"/>
              <w:right w:val="nil"/>
            </w:tcBorders>
          </w:tcPr>
          <w:p w14:paraId="59DCCE58" w14:textId="77777777" w:rsidR="00BC5D11" w:rsidRPr="00D93FF9" w:rsidRDefault="00E811B8" w:rsidP="00BC5D11">
            <w:pPr>
              <w:pStyle w:val="TableParagraph"/>
              <w:spacing w:before="0" w:after="0"/>
              <w:ind w:left="115"/>
              <w:rPr>
                <w:rFonts w:asciiTheme="minorHAnsi" w:hAnsiTheme="minorHAnsi"/>
                <w:sz w:val="18"/>
                <w:szCs w:val="18"/>
                <w:lang w:val="en-GB"/>
              </w:rPr>
            </w:pPr>
            <w:r w:rsidRPr="00D93FF9">
              <w:rPr>
                <w:rFonts w:asciiTheme="minorHAnsi" w:hAnsiTheme="minorHAnsi"/>
                <w:sz w:val="18"/>
                <w:szCs w:val="18"/>
                <w:lang w:val="en-GB"/>
              </w:rPr>
              <w:t>Almond</w:t>
            </w:r>
          </w:p>
        </w:tc>
        <w:tc>
          <w:tcPr>
            <w:tcW w:w="1677" w:type="dxa"/>
            <w:tcBorders>
              <w:top w:val="single" w:sz="6" w:space="0" w:color="000000"/>
              <w:left w:val="nil"/>
              <w:bottom w:val="nil"/>
              <w:right w:val="nil"/>
            </w:tcBorders>
          </w:tcPr>
          <w:p w14:paraId="59DCCE59" w14:textId="77777777" w:rsidR="00BC5D11" w:rsidRPr="00D93FF9" w:rsidRDefault="00E811B8" w:rsidP="00BC5D11">
            <w:pPr>
              <w:pStyle w:val="TableParagraph"/>
              <w:spacing w:before="0" w:after="0"/>
              <w:ind w:left="301"/>
              <w:rPr>
                <w:rFonts w:asciiTheme="minorHAnsi" w:hAnsiTheme="minorHAnsi"/>
                <w:sz w:val="18"/>
                <w:szCs w:val="18"/>
                <w:lang w:val="en-GB"/>
              </w:rPr>
            </w:pPr>
            <w:r w:rsidRPr="00D93FF9">
              <w:rPr>
                <w:rFonts w:asciiTheme="minorHAnsi" w:hAnsiTheme="minorHAnsi"/>
                <w:sz w:val="18"/>
                <w:szCs w:val="18"/>
                <w:lang w:val="en-GB"/>
              </w:rPr>
              <w:t>Pepper</w:t>
            </w:r>
          </w:p>
        </w:tc>
        <w:tc>
          <w:tcPr>
            <w:tcW w:w="3267" w:type="dxa"/>
            <w:tcBorders>
              <w:top w:val="single" w:sz="6" w:space="0" w:color="000000"/>
              <w:left w:val="nil"/>
              <w:bottom w:val="nil"/>
              <w:right w:val="nil"/>
            </w:tcBorders>
          </w:tcPr>
          <w:p w14:paraId="59DCCE5A" w14:textId="77777777" w:rsidR="00BC5D11" w:rsidRPr="00D93FF9" w:rsidRDefault="00E811B8" w:rsidP="00BC5D11">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Barley</w:t>
            </w:r>
          </w:p>
        </w:tc>
        <w:tc>
          <w:tcPr>
            <w:tcW w:w="2472" w:type="dxa"/>
            <w:tcBorders>
              <w:top w:val="single" w:sz="6" w:space="0" w:color="000000"/>
              <w:left w:val="nil"/>
              <w:bottom w:val="nil"/>
              <w:right w:val="nil"/>
            </w:tcBorders>
          </w:tcPr>
          <w:p w14:paraId="59DCCE5B" w14:textId="77777777" w:rsidR="00BC5D11" w:rsidRPr="00D93FF9" w:rsidRDefault="00E811B8" w:rsidP="00BC5D11">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Cauliflower</w:t>
            </w:r>
          </w:p>
        </w:tc>
      </w:tr>
      <w:tr w:rsidR="00BE3AA8" w:rsidRPr="00D93FF9" w14:paraId="59DCCE61" w14:textId="77777777" w:rsidTr="00517E92">
        <w:trPr>
          <w:trHeight w:val="258"/>
        </w:trPr>
        <w:tc>
          <w:tcPr>
            <w:tcW w:w="973" w:type="dxa"/>
          </w:tcPr>
          <w:p w14:paraId="59DCCE5D" w14:textId="77777777" w:rsidR="00BC5D11" w:rsidRPr="00D93FF9" w:rsidRDefault="00E811B8" w:rsidP="00BC5D11">
            <w:pPr>
              <w:pStyle w:val="TableParagraph"/>
              <w:spacing w:before="0" w:after="0"/>
              <w:ind w:left="115"/>
              <w:rPr>
                <w:rFonts w:asciiTheme="minorHAnsi" w:hAnsiTheme="minorHAnsi"/>
                <w:sz w:val="18"/>
                <w:szCs w:val="18"/>
                <w:lang w:val="en-GB"/>
              </w:rPr>
            </w:pPr>
            <w:r w:rsidRPr="00D93FF9">
              <w:rPr>
                <w:rFonts w:asciiTheme="minorHAnsi" w:hAnsiTheme="minorHAnsi"/>
                <w:sz w:val="18"/>
                <w:szCs w:val="18"/>
                <w:lang w:val="en-GB"/>
              </w:rPr>
              <w:t>Apricot</w:t>
            </w:r>
          </w:p>
        </w:tc>
        <w:tc>
          <w:tcPr>
            <w:tcW w:w="1677" w:type="dxa"/>
          </w:tcPr>
          <w:p w14:paraId="59DCCE5E" w14:textId="77777777" w:rsidR="00BC5D11" w:rsidRPr="00D93FF9" w:rsidRDefault="00E811B8" w:rsidP="00BC5D11">
            <w:pPr>
              <w:pStyle w:val="TableParagraph"/>
              <w:spacing w:before="0" w:after="0"/>
              <w:ind w:left="301"/>
              <w:rPr>
                <w:rFonts w:asciiTheme="minorHAnsi" w:hAnsiTheme="minorHAnsi"/>
                <w:sz w:val="18"/>
                <w:szCs w:val="18"/>
                <w:lang w:val="en-GB"/>
              </w:rPr>
            </w:pPr>
            <w:r w:rsidRPr="00D93FF9">
              <w:rPr>
                <w:rFonts w:asciiTheme="minorHAnsi" w:hAnsiTheme="minorHAnsi"/>
                <w:sz w:val="18"/>
                <w:szCs w:val="18"/>
                <w:lang w:val="en-GB"/>
              </w:rPr>
              <w:t>Potato</w:t>
            </w:r>
          </w:p>
        </w:tc>
        <w:tc>
          <w:tcPr>
            <w:tcW w:w="3267" w:type="dxa"/>
          </w:tcPr>
          <w:p w14:paraId="59DCCE5F" w14:textId="77777777" w:rsidR="00BC5D11" w:rsidRPr="00D93FF9" w:rsidRDefault="00E811B8" w:rsidP="00BC5D11">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Maize</w:t>
            </w:r>
          </w:p>
        </w:tc>
        <w:tc>
          <w:tcPr>
            <w:tcW w:w="2472" w:type="dxa"/>
          </w:tcPr>
          <w:p w14:paraId="59DCCE60" w14:textId="77777777" w:rsidR="00BC5D11" w:rsidRPr="00D93FF9" w:rsidRDefault="00E811B8" w:rsidP="00BC5D11">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Cotton</w:t>
            </w:r>
          </w:p>
        </w:tc>
      </w:tr>
      <w:tr w:rsidR="00BE3AA8" w:rsidRPr="00D93FF9" w14:paraId="59DCCE66" w14:textId="77777777" w:rsidTr="00517E92">
        <w:trPr>
          <w:trHeight w:val="258"/>
        </w:trPr>
        <w:tc>
          <w:tcPr>
            <w:tcW w:w="973" w:type="dxa"/>
          </w:tcPr>
          <w:p w14:paraId="59DCCE62" w14:textId="77777777" w:rsidR="00BC5D11" w:rsidRPr="00D93FF9" w:rsidRDefault="00E811B8" w:rsidP="00BC5D11">
            <w:pPr>
              <w:pStyle w:val="TableParagraph"/>
              <w:spacing w:before="0" w:after="0"/>
              <w:ind w:left="115"/>
              <w:rPr>
                <w:rFonts w:asciiTheme="minorHAnsi" w:hAnsiTheme="minorHAnsi"/>
                <w:sz w:val="18"/>
                <w:szCs w:val="18"/>
                <w:lang w:val="en-GB"/>
              </w:rPr>
            </w:pPr>
            <w:r w:rsidRPr="00D93FF9">
              <w:rPr>
                <w:rFonts w:asciiTheme="minorHAnsi" w:hAnsiTheme="minorHAnsi"/>
                <w:sz w:val="18"/>
                <w:szCs w:val="18"/>
                <w:lang w:val="en-GB"/>
              </w:rPr>
              <w:t>Citrus</w:t>
            </w:r>
          </w:p>
        </w:tc>
        <w:tc>
          <w:tcPr>
            <w:tcW w:w="1677" w:type="dxa"/>
          </w:tcPr>
          <w:p w14:paraId="59DCCE63" w14:textId="77777777" w:rsidR="00BC5D11" w:rsidRPr="00D93FF9" w:rsidRDefault="00E811B8" w:rsidP="00BC5D11">
            <w:pPr>
              <w:pStyle w:val="TableParagraph"/>
              <w:spacing w:before="0" w:after="0"/>
              <w:ind w:left="301"/>
              <w:rPr>
                <w:rFonts w:asciiTheme="minorHAnsi" w:hAnsiTheme="minorHAnsi"/>
                <w:sz w:val="18"/>
                <w:szCs w:val="18"/>
                <w:lang w:val="en-GB"/>
              </w:rPr>
            </w:pPr>
            <w:r w:rsidRPr="00D93FF9">
              <w:rPr>
                <w:rFonts w:asciiTheme="minorHAnsi" w:hAnsiTheme="minorHAnsi"/>
                <w:sz w:val="18"/>
                <w:szCs w:val="18"/>
                <w:lang w:val="en-GB"/>
              </w:rPr>
              <w:t>Tomato</w:t>
            </w:r>
          </w:p>
        </w:tc>
        <w:tc>
          <w:tcPr>
            <w:tcW w:w="3267" w:type="dxa"/>
          </w:tcPr>
          <w:p w14:paraId="59DCCE64" w14:textId="77777777" w:rsidR="00BC5D11" w:rsidRPr="00D93FF9" w:rsidRDefault="00E811B8" w:rsidP="00BC5D11">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Cucumber</w:t>
            </w:r>
          </w:p>
        </w:tc>
        <w:tc>
          <w:tcPr>
            <w:tcW w:w="2472" w:type="dxa"/>
          </w:tcPr>
          <w:p w14:paraId="59DCCE65" w14:textId="77777777" w:rsidR="00BC5D11" w:rsidRPr="00D93FF9" w:rsidRDefault="00E811B8" w:rsidP="00BC5D11">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Sugarbeet</w:t>
            </w:r>
          </w:p>
        </w:tc>
      </w:tr>
      <w:tr w:rsidR="00BE3AA8" w:rsidRPr="00D93FF9" w14:paraId="59DCCE6B" w14:textId="77777777" w:rsidTr="00517E92">
        <w:trPr>
          <w:trHeight w:val="258"/>
        </w:trPr>
        <w:tc>
          <w:tcPr>
            <w:tcW w:w="973" w:type="dxa"/>
          </w:tcPr>
          <w:p w14:paraId="59DCCE67" w14:textId="77777777" w:rsidR="00BC5D11" w:rsidRPr="00D93FF9" w:rsidRDefault="00E811B8" w:rsidP="00BC5D11">
            <w:pPr>
              <w:pStyle w:val="TableParagraph"/>
              <w:spacing w:before="0" w:after="0"/>
              <w:ind w:left="115"/>
              <w:rPr>
                <w:rFonts w:asciiTheme="minorHAnsi" w:hAnsiTheme="minorHAnsi"/>
                <w:sz w:val="18"/>
                <w:szCs w:val="18"/>
                <w:lang w:val="en-GB"/>
              </w:rPr>
            </w:pPr>
            <w:r w:rsidRPr="00D93FF9">
              <w:rPr>
                <w:rFonts w:asciiTheme="minorHAnsi" w:hAnsiTheme="minorHAnsi"/>
                <w:sz w:val="18"/>
                <w:szCs w:val="18"/>
                <w:lang w:val="en-GB"/>
              </w:rPr>
              <w:t>Plum</w:t>
            </w:r>
          </w:p>
        </w:tc>
        <w:tc>
          <w:tcPr>
            <w:tcW w:w="1677" w:type="dxa"/>
          </w:tcPr>
          <w:p w14:paraId="59DCCE68" w14:textId="77777777" w:rsidR="00BC5D11" w:rsidRPr="00D93FF9" w:rsidRDefault="00BC5D11" w:rsidP="00BC5D11">
            <w:pPr>
              <w:pStyle w:val="TableParagraph"/>
              <w:spacing w:before="0" w:after="0"/>
              <w:ind w:left="301"/>
              <w:rPr>
                <w:rFonts w:asciiTheme="minorHAnsi" w:hAnsiTheme="minorHAnsi"/>
                <w:sz w:val="18"/>
                <w:szCs w:val="18"/>
                <w:lang w:val="en-GB"/>
              </w:rPr>
            </w:pPr>
          </w:p>
        </w:tc>
        <w:tc>
          <w:tcPr>
            <w:tcW w:w="3267" w:type="dxa"/>
          </w:tcPr>
          <w:p w14:paraId="59DCCE69" w14:textId="77777777" w:rsidR="00BC5D11" w:rsidRPr="00D93FF9" w:rsidRDefault="00E811B8" w:rsidP="00BC5D11">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Lucerne</w:t>
            </w:r>
          </w:p>
        </w:tc>
        <w:tc>
          <w:tcPr>
            <w:tcW w:w="2472" w:type="dxa"/>
          </w:tcPr>
          <w:p w14:paraId="59DCCE6A" w14:textId="77777777" w:rsidR="00BC5D11" w:rsidRPr="00D93FF9" w:rsidRDefault="00E811B8" w:rsidP="00BC5D11">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Sunflower</w:t>
            </w:r>
          </w:p>
        </w:tc>
      </w:tr>
      <w:tr w:rsidR="00BE3AA8" w:rsidRPr="00D93FF9" w14:paraId="59DCCE70" w14:textId="77777777" w:rsidTr="00517E92">
        <w:trPr>
          <w:trHeight w:val="258"/>
        </w:trPr>
        <w:tc>
          <w:tcPr>
            <w:tcW w:w="973" w:type="dxa"/>
          </w:tcPr>
          <w:p w14:paraId="59DCCE6C" w14:textId="77777777" w:rsidR="00BC5D11" w:rsidRPr="00D93FF9" w:rsidRDefault="00E811B8" w:rsidP="00BC5D11">
            <w:pPr>
              <w:pStyle w:val="TableParagraph"/>
              <w:spacing w:before="0" w:after="0"/>
              <w:ind w:left="115"/>
              <w:rPr>
                <w:rFonts w:asciiTheme="minorHAnsi" w:hAnsiTheme="minorHAnsi"/>
                <w:sz w:val="18"/>
                <w:szCs w:val="18"/>
                <w:lang w:val="en-GB"/>
              </w:rPr>
            </w:pPr>
            <w:r w:rsidRPr="00D93FF9">
              <w:rPr>
                <w:rFonts w:asciiTheme="minorHAnsi" w:hAnsiTheme="minorHAnsi"/>
                <w:sz w:val="18"/>
                <w:szCs w:val="18"/>
                <w:lang w:val="en-GB"/>
              </w:rPr>
              <w:t>Grape</w:t>
            </w:r>
          </w:p>
        </w:tc>
        <w:tc>
          <w:tcPr>
            <w:tcW w:w="1677" w:type="dxa"/>
          </w:tcPr>
          <w:p w14:paraId="59DCCE6D" w14:textId="77777777" w:rsidR="00BC5D11" w:rsidRPr="00D93FF9" w:rsidRDefault="00BC5D11" w:rsidP="00BC5D11">
            <w:pPr>
              <w:pStyle w:val="TableParagraph"/>
              <w:spacing w:before="0" w:after="0"/>
              <w:ind w:left="301"/>
              <w:rPr>
                <w:rFonts w:asciiTheme="minorHAnsi" w:hAnsiTheme="minorHAnsi"/>
                <w:sz w:val="18"/>
                <w:szCs w:val="18"/>
                <w:lang w:val="en-GB"/>
              </w:rPr>
            </w:pPr>
          </w:p>
        </w:tc>
        <w:tc>
          <w:tcPr>
            <w:tcW w:w="3267" w:type="dxa"/>
          </w:tcPr>
          <w:p w14:paraId="59DCCE6E" w14:textId="77777777" w:rsidR="00BC5D11" w:rsidRPr="00D93FF9" w:rsidRDefault="00E811B8" w:rsidP="00BC5D11">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Safflower</w:t>
            </w:r>
          </w:p>
        </w:tc>
        <w:tc>
          <w:tcPr>
            <w:tcW w:w="2472" w:type="dxa"/>
          </w:tcPr>
          <w:p w14:paraId="59DCCE6F" w14:textId="77777777" w:rsidR="00BC5D11" w:rsidRPr="00D93FF9" w:rsidRDefault="00BC5D11" w:rsidP="00BC5D11">
            <w:pPr>
              <w:pStyle w:val="TableParagraph"/>
              <w:spacing w:before="0" w:after="0"/>
              <w:ind w:left="1184"/>
              <w:rPr>
                <w:rFonts w:asciiTheme="minorHAnsi" w:hAnsiTheme="minorHAnsi"/>
                <w:sz w:val="18"/>
                <w:szCs w:val="18"/>
                <w:lang w:val="en-GB"/>
              </w:rPr>
            </w:pPr>
          </w:p>
        </w:tc>
      </w:tr>
      <w:tr w:rsidR="00BE3AA8" w:rsidRPr="00D93FF9" w14:paraId="59DCCE75" w14:textId="77777777" w:rsidTr="00517E92">
        <w:trPr>
          <w:trHeight w:val="258"/>
        </w:trPr>
        <w:tc>
          <w:tcPr>
            <w:tcW w:w="973" w:type="dxa"/>
            <w:tcBorders>
              <w:top w:val="nil"/>
              <w:left w:val="nil"/>
              <w:bottom w:val="single" w:sz="6" w:space="0" w:color="000000"/>
              <w:right w:val="nil"/>
            </w:tcBorders>
          </w:tcPr>
          <w:p w14:paraId="59DCCE71" w14:textId="77777777" w:rsidR="00BC5D11" w:rsidRPr="00D93FF9" w:rsidRDefault="00BC5D11" w:rsidP="00BC5D11">
            <w:pPr>
              <w:pStyle w:val="TableParagraph"/>
              <w:spacing w:before="0" w:after="0"/>
              <w:ind w:left="115"/>
              <w:rPr>
                <w:rFonts w:asciiTheme="minorHAnsi" w:hAnsiTheme="minorHAnsi"/>
                <w:sz w:val="18"/>
                <w:szCs w:val="18"/>
                <w:lang w:val="en-GB"/>
              </w:rPr>
            </w:pPr>
          </w:p>
        </w:tc>
        <w:tc>
          <w:tcPr>
            <w:tcW w:w="1677" w:type="dxa"/>
            <w:tcBorders>
              <w:top w:val="nil"/>
              <w:left w:val="nil"/>
              <w:bottom w:val="single" w:sz="6" w:space="0" w:color="000000"/>
              <w:right w:val="nil"/>
            </w:tcBorders>
          </w:tcPr>
          <w:p w14:paraId="59DCCE72" w14:textId="77777777" w:rsidR="00BC5D11" w:rsidRPr="00D93FF9" w:rsidRDefault="00BC5D11" w:rsidP="00BC5D11">
            <w:pPr>
              <w:pStyle w:val="TableParagraph"/>
              <w:spacing w:before="0" w:after="0"/>
              <w:ind w:left="301"/>
              <w:rPr>
                <w:rFonts w:asciiTheme="minorHAnsi" w:hAnsiTheme="minorHAnsi"/>
                <w:sz w:val="18"/>
                <w:szCs w:val="18"/>
                <w:lang w:val="en-GB"/>
              </w:rPr>
            </w:pPr>
          </w:p>
        </w:tc>
        <w:tc>
          <w:tcPr>
            <w:tcW w:w="3267" w:type="dxa"/>
            <w:tcBorders>
              <w:top w:val="nil"/>
              <w:left w:val="nil"/>
              <w:bottom w:val="single" w:sz="6" w:space="0" w:color="000000"/>
              <w:right w:val="nil"/>
            </w:tcBorders>
          </w:tcPr>
          <w:p w14:paraId="59DCCE73" w14:textId="77777777" w:rsidR="00BC5D11" w:rsidRPr="00D93FF9" w:rsidRDefault="00E811B8" w:rsidP="00BC5D11">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Sorghum</w:t>
            </w:r>
          </w:p>
        </w:tc>
        <w:tc>
          <w:tcPr>
            <w:tcW w:w="2472" w:type="dxa"/>
            <w:tcBorders>
              <w:top w:val="nil"/>
              <w:left w:val="nil"/>
              <w:bottom w:val="single" w:sz="6" w:space="0" w:color="000000"/>
              <w:right w:val="nil"/>
            </w:tcBorders>
          </w:tcPr>
          <w:p w14:paraId="59DCCE74" w14:textId="77777777" w:rsidR="00BC5D11" w:rsidRPr="00D93FF9" w:rsidRDefault="00BC5D11" w:rsidP="00BC5D11">
            <w:pPr>
              <w:pStyle w:val="TableParagraph"/>
              <w:spacing w:before="0" w:after="0"/>
              <w:ind w:left="1184"/>
              <w:rPr>
                <w:rFonts w:asciiTheme="minorHAnsi" w:hAnsiTheme="minorHAnsi"/>
                <w:sz w:val="18"/>
                <w:szCs w:val="18"/>
                <w:lang w:val="en-GB"/>
              </w:rPr>
            </w:pPr>
          </w:p>
        </w:tc>
      </w:tr>
    </w:tbl>
    <w:p w14:paraId="59DCCE76" w14:textId="77777777" w:rsidR="00BC5D11" w:rsidRPr="00D93FF9" w:rsidRDefault="00E811B8" w:rsidP="00BC5D11">
      <w:r w:rsidRPr="00D93FF9">
        <w:rPr>
          <w:rFonts w:ascii="Arial"/>
          <w:sz w:val="14"/>
          <w:lang w:val="en-GB"/>
        </w:rPr>
        <w:t>a After Maas (1990</w:t>
      </w:r>
      <w:r w:rsidR="00460A29" w:rsidRPr="00D93FF9">
        <w:rPr>
          <w:rFonts w:ascii="Arial"/>
          <w:sz w:val="14"/>
          <w:lang w:val="en-GB"/>
        </w:rPr>
        <w:t>)</w:t>
      </w:r>
    </w:p>
    <w:p w14:paraId="59DCCE77" w14:textId="77777777" w:rsidR="007A1AE5" w:rsidRPr="00D93FF9" w:rsidRDefault="00E811B8" w:rsidP="008C6714">
      <w:pPr>
        <w:pStyle w:val="Heading4"/>
        <w:rPr>
          <w:lang w:val="en-GB"/>
        </w:rPr>
      </w:pPr>
      <w:r w:rsidRPr="00D93FF9">
        <w:t>Salty</w:t>
      </w:r>
      <w:r w:rsidRPr="00D93FF9">
        <w:rPr>
          <w:lang w:val="en-GB"/>
        </w:rPr>
        <w:t xml:space="preserve"> taste</w:t>
      </w:r>
    </w:p>
    <w:p w14:paraId="59DCCE78" w14:textId="3FFD7E0A" w:rsidR="007A1AE5" w:rsidRPr="00D93FF9" w:rsidRDefault="00E811B8" w:rsidP="003807A1">
      <w:pPr>
        <w:pStyle w:val="BodyText"/>
        <w:spacing w:after="0" w:line="266" w:lineRule="auto"/>
        <w:jc w:val="both"/>
        <w:rPr>
          <w:lang w:val="en-GB"/>
        </w:rPr>
      </w:pPr>
      <w:bookmarkStart w:id="199" w:name="_Hlk73387608"/>
      <w:r w:rsidRPr="00D93FF9">
        <w:rPr>
          <w:lang w:val="en-GB"/>
        </w:rPr>
        <w:t xml:space="preserve">Chloride accumulation in the plant can also result in a salty taste, which affects crop markets negatively. Chloride accumulation in berries in the case of grape juice or wine, is detrimental, conferring the product a salty taste and in some cases, leading to its impossibility to sell (Coli et al. 2015; Leske et al. 1997). </w:t>
      </w:r>
      <w:bookmarkEnd w:id="199"/>
      <w:r w:rsidRPr="00D93FF9">
        <w:rPr>
          <w:lang w:eastAsia="en-AU"/>
        </w:rPr>
        <w:t xml:space="preserve">Studies investigating the sensory impacts from chloride in wine indicated a threshold for white and red wine juices and wine product of 133 mg/L of chloride </w:t>
      </w:r>
      <w:r w:rsidRPr="00D93FF9">
        <w:rPr>
          <w:lang w:eastAsia="en-AU"/>
        </w:rPr>
        <w:fldChar w:fldCharType="begin"/>
      </w:r>
      <w:r w:rsidR="00BE6DF0" w:rsidRPr="00D93FF9">
        <w:rPr>
          <w:lang w:eastAsia="en-AU"/>
        </w:rPr>
        <w:instrText xml:space="preserve"> ADDIN ZOTERO_ITEM CSL_CITATION {"citationID":"xsn1jYp5","properties":{"formattedCitation":"(Loryn et al., 2014)","plainCitation":"(Loryn et al., 2014)","noteIndex":0},"citationItems":[{"id":32670,"uris":["http://zotero.org/users/1938757/items/SLVMPHIS"],"uri":["http://zotero.org/users/1938757/items/SLVMPHIS"],"itemData":{"id":32670,"type":"article-journal","abstract":"Poor water quality and lack of rainfall can lead to higher salt loads in vineyard soil and the production of wine with sodium chloride (NaCl) concentrations that may affect wine quality or exceed regulatory limits. Here, study 1 aimed to determine NaCl sensory thresholds in grape juice and wine so that better harvest and processing decisions could be made regarding salt-affected fruit. A whole-mouth gustatory method was used to determine detection and recognition thresholds of NaCl in water, red and white juices, and wines. The NaCl sensory thresholds were often within legal boundaries; thus, a significant proportion of wine consumers may detect salt in wines at concentrations below the legal NaCl limits. The detection and recognition thresholds of NaCl in grape juice and wine increased with panelist age. Study 2 investigated how NaCl affects wine sensory properties. Sensory evaluation using a trained descriptive analysis panel (n = 9) and chemical and elemental analyses were conducted on four Chardonnay wines made from separate vineyards where the fruit was perceived to contain varying degrees of saltiness and results were compared to Chardonnay wine samples spiked with 0.5 or 1 g/L NaCl. Wines made from fruit grown on salt-affected vines and wines spiked with NaCl had similar sensory characteristics. Salty and soapy attributes were correlated and associated with higher Na and Cl concentrations. Fruit expression was associated with wines containing less Na and Cl. When determining acceptable salt concentrations in juice and wines, winemakers need to consider sensory impacts, legal requirements, and who conducts the sensory assessment.","container-title":"American Journal of Enology and Viticulture","DOI":"10.5344/ajev.2013.13088","ISSN":"0002-9254","issue":"1","journalAbbreviation":"Am J Enol Vitic.","language":"en","note":"publisher: American Journal of Enology and Viticulture\nsection: Research Article","page":"124-133","source":"www.ajevonline.org","title":"Evaluation of Sensory Thresholds and Perception of Sodium Chloride in Grape Juice and Wine","volume":"65","author":[{"family":"Loryn","given":"Levi C.","dropping-particle":"de"},{"family":"Petrie","given":"Paul R."},{"family":"Hasted","given":"Anne M."},{"family":"Johnson","given":"Trent E."},{"family":"Collins","given":"Cassandra"},{"family":"Bastian","given":"Susan E. P."}],"issued":{"date-parts":[["2014",3,1]]}}}],"schema":"https://github.com/citation-style-language/schema/raw/master/csl-citation.json"} </w:instrText>
      </w:r>
      <w:r w:rsidRPr="00D93FF9">
        <w:rPr>
          <w:lang w:eastAsia="en-AU"/>
        </w:rPr>
        <w:fldChar w:fldCharType="separate"/>
      </w:r>
      <w:r w:rsidRPr="00D93FF9">
        <w:rPr>
          <w:rFonts w:ascii="Calibri" w:hAnsi="Calibri" w:cs="Calibri"/>
        </w:rPr>
        <w:t>(</w:t>
      </w:r>
      <w:r w:rsidR="006B56D4" w:rsidRPr="00D93FF9">
        <w:rPr>
          <w:rFonts w:ascii="Calibri" w:hAnsi="Calibri" w:cs="Calibri"/>
        </w:rPr>
        <w:t xml:space="preserve">de </w:t>
      </w:r>
      <w:r w:rsidRPr="00D93FF9">
        <w:rPr>
          <w:rFonts w:ascii="Calibri" w:hAnsi="Calibri" w:cs="Calibri"/>
        </w:rPr>
        <w:t>Loryn et al. 2014)</w:t>
      </w:r>
      <w:r w:rsidRPr="00D93FF9">
        <w:rPr>
          <w:lang w:eastAsia="en-AU"/>
        </w:rPr>
        <w:fldChar w:fldCharType="end"/>
      </w:r>
      <w:r w:rsidRPr="00D93FF9">
        <w:rPr>
          <w:lang w:eastAsia="en-AU"/>
        </w:rPr>
        <w:t>.</w:t>
      </w:r>
    </w:p>
    <w:p w14:paraId="59DCCE79" w14:textId="01714010" w:rsidR="007A1AE5" w:rsidRPr="00D93FF9" w:rsidRDefault="00E811B8" w:rsidP="003807A1">
      <w:pPr>
        <w:pStyle w:val="BodyText"/>
        <w:spacing w:after="0" w:line="266" w:lineRule="auto"/>
        <w:jc w:val="both"/>
        <w:rPr>
          <w:lang w:val="en-GB"/>
        </w:rPr>
      </w:pPr>
      <w:r w:rsidRPr="00D93FF9">
        <w:lastRenderedPageBreak/>
        <w:t xml:space="preserve">Australia is recognised for a high concentration of chloride in wines, which is influenced by the variety, root stock, scion, soils, irrigation water and methodology </w:t>
      </w:r>
      <w:r w:rsidRPr="00D93FF9">
        <w:fldChar w:fldCharType="begin"/>
      </w:r>
      <w:r w:rsidR="00BE6DF0" w:rsidRPr="00D93FF9">
        <w:instrText xml:space="preserve"> ADDIN ZOTERO_ITEM CSL_CITATION {"citationID":"mCBPvR5Y","properties":{"formattedCitation":"(Walker et al., 2010; Stevens and Pitt, 2011; Coli et al., 2015)","plainCitation":"(Walker et al., 2010; Stevens and Pitt, 2011; Coli et al., 2015)","noteIndex":0},"citationItems":[{"id":32662,"uris":["http://zotero.org/users/1938757/items/AMH6V8ST"],"uri":["http://zotero.org/users/1938757/items/AMH6V8ST"],"itemData":{"id":32662,"type":"article-journal","abstract":"Background and Aims: Within-site comparisons were made of rootstock effects on yield, and chloride and sodium concentrations in petioles, juice and wine of Shiraz and Chardonnay vines at sites with irrigation water salinities (ECiw) ranging from low (0.4 dS/m) to moderate-high (1.8 to 3.3 dS/m). It also compared consistency of yield performance of the various rootstocks with both scions over 8 years at one site with an ECiw of 2.1 dS/m. Methods and Results: Chardonnay and Shiraz on own roots and on Ramsey, 1103 Paulsen, 140 Ruggeri, K51-40, Schwarzmann, 101-14, Rupestris St. George and 1202 Couderc were compared. Ramsey resulted in better yields relative to most of the other rootstocks at three of the four sites for each scion. Exceptions were the low salinity site where Schwarzmann was best with Chardonnay, and Padthaway where 140 Ruggeri was best with Shiraz. Chardonnay wine chloride concentrations were similar to grape juice chloride concentrations, but Shiraz wine chloride concentrations were on average 1.7-fold higher than grape juice chloride. Conclusions: Shiraz on own roots, K51-40 and 1202C rootstocks carry some risk of accumulating unacceptable levels of chloride in grape juice and wine when the salinity of the irrigation water is at moderate to high levels. Rootstocks K51-40 (with Chardonnay and Shiraz) and potentially 101-14 (with Shiraz) should be avoided in situations of long term irrigation with moderate to high salinity water. Significance of the Study: The study identifies rootstocks with acceptable yields and grape juice chloride concentrations for potential use in regions affected by salinity.","container-title":"Australian Journal of Grape and Wine Research","DOI":"https://doi.org/10.1111/j.1755-0238.2009.00081.x","ISSN":"1755-0238","issue":"1","language":"en","note":"_eprint: https://onlinelibrary.wiley.com/doi/pdf/10.1111/j.1755-0238.2009.00081.x","page":"243-257","source":"Wiley Online Library","title":"Impact of rootstock on yield and ion concentrations in petioles, juice and wine of Shiraz and Chardonnay in different viticultural environments with different irrigation water salinity","volume":"16","author":[{"family":"Walker","given":"R. R."},{"family":"Blackmore","given":"D. H."},{"family":"Clingeleffer","given":"P. R."}],"issued":{"date-parts":[["2010"]]}}},{"id":32661,"uris":["http://zotero.org/users/1938757/items/Z4NMXCJC"],"uri":["http://zotero.org/users/1938757/items/Z4NMXCJC"],"itemData":{"id":32661,"type":"report","event-place":"SARDI","publisher":"South Australian Research and Development Institute","publisher-place":"SARDI","title":"Salt tolerant rootstocks for long-term sustainability in the Limestone Coast FINAL REPORT to GRAPE AND WINE RESEARCH &amp; DEVELOPMENT CORPORATION Date: 7 October 2011","URL":"https://www.wineaustralia.com/getmedia/0d007827-b32d-45bf-98d7-896a88f0ed2e/SAR0903_Final-Report_Tbl17_correct","author":[{"family":"Stevens","given":"Rob"},{"family":"Pitt","given":"Tim"}],"issued":{"date-parts":[["2011"]]}}},{"id":32660,"uris":["http://zotero.org/users/1938757/items/M7UCRJBN"],"uri":["http://zotero.org/users/1938757/items/M7UCRJBN"],"itemData":{"id":32660,"type":"article-journal","container-title":"Food Science and Technology","DOI":"10.1590/1678-457X.6493","ISSN":"0101-2061","issue":"1","language":"en","note":"publisher: SBCTA","page":"95-99","source":"SciELO","title":"Chloride concentration in red wines: influence of terroir and grape type","title-short":"Chloride concentration in red wines","volume":"35","author":[{"family":"Coli","given":"Marina Sonegheti"},{"family":"Rangel","given":"Angelo Gil Pezzini"},{"family":"Souza","given":"Elizangela Silva"},{"family":"Oliveira","given":"Margareth Ferraro"},{"family":"Chiaradia","given":"Ana Cristina Nascimento"},{"family":"Coli","given":"Marina Sonegheti"},{"family":"Rangel","given":"Angelo Gil Pezzini"},{"family":"Souza","given":"Elizangela Silva"},{"family":"Oliveira","given":"Margareth Ferraro"},{"family":"Chiaradia","given":"Ana Cristina Nascimento"}],"issued":{"date-parts":[["2015",3]]}}}],"schema":"https://github.com/citation-style-language/schema/raw/master/csl-citation.json"} </w:instrText>
      </w:r>
      <w:r w:rsidRPr="00D93FF9">
        <w:fldChar w:fldCharType="separate"/>
      </w:r>
      <w:r w:rsidRPr="00D93FF9">
        <w:rPr>
          <w:rFonts w:ascii="Calibri" w:hAnsi="Calibri" w:cs="Calibri"/>
        </w:rPr>
        <w:t>(Walker et al. 2010; Stevens and Pitt 2011; Coli et al. 2015)</w:t>
      </w:r>
      <w:r w:rsidRPr="00D93FF9">
        <w:fldChar w:fldCharType="end"/>
      </w:r>
      <w:r w:rsidRPr="00D93FF9">
        <w:t xml:space="preserve">. A recent study has benchmarked soil sodium and chloride concentrations and indicated that some wine districts in Australia need to manage these hazards </w:t>
      </w:r>
      <w:r w:rsidRPr="00D93FF9">
        <w:fldChar w:fldCharType="begin"/>
      </w:r>
      <w:r w:rsidR="00BE6DF0" w:rsidRPr="00D93FF9">
        <w:instrText xml:space="preserve"> ADDIN ZOTERO_ITEM CSL_CITATION {"citationID":"pT9QJtGh","properties":{"formattedCitation":"(Edwards, 2014)","plainCitation":"(Edwards, 2014)","noteIndex":0},"citationItems":[{"id":32642,"uris":["http://zotero.org/users/1938757/items/AS6K75UY"],"uri":["http://zotero.org/users/1938757/items/AS6K75UY"],"itemData":{"id":32642,"type":"report","event-place":"AgriBio, La Trobe University, Bundoora, Vic 3083","number":"DPI 1101","publisher":"Department of Environment and Primary Industries, Victoria","publisher-place":"AgriBio, La Trobe University, Bundoora, Vic 3083","title":"Setting benchmarks and recommendations for management of soil health in Australian viticulture. Final report to Australian Grape and Wine Authority","author":[{"family":"Edwards","given":"Jacqueline"}],"issued":{"date-parts":[["2014"]]}}}],"schema":"https://github.com/citation-style-language/schema/raw/master/csl-citation.json"} </w:instrText>
      </w:r>
      <w:r w:rsidRPr="00D93FF9">
        <w:fldChar w:fldCharType="separate"/>
      </w:r>
      <w:r w:rsidRPr="00D93FF9">
        <w:rPr>
          <w:rFonts w:ascii="Calibri" w:hAnsi="Calibri" w:cs="Calibri"/>
        </w:rPr>
        <w:t>(Edwards 2014)</w:t>
      </w:r>
      <w:r w:rsidRPr="00D93FF9">
        <w:fldChar w:fldCharType="end"/>
      </w:r>
      <w:r w:rsidRPr="00D93FF9">
        <w:t>.</w:t>
      </w:r>
    </w:p>
    <w:p w14:paraId="59DCCE7A" w14:textId="77777777" w:rsidR="007A1AE5" w:rsidRPr="00D93FF9" w:rsidRDefault="007A1AE5" w:rsidP="003807A1">
      <w:pPr>
        <w:pStyle w:val="BodyText"/>
        <w:spacing w:after="0"/>
        <w:rPr>
          <w:rFonts w:ascii="Arial"/>
          <w:lang w:val="en-GB"/>
        </w:rPr>
      </w:pPr>
    </w:p>
    <w:p w14:paraId="59DCCE7B" w14:textId="77777777" w:rsidR="00C46175" w:rsidRPr="00D93FF9" w:rsidRDefault="00E811B8" w:rsidP="008C6714">
      <w:pPr>
        <w:pStyle w:val="Heading4"/>
        <w:rPr>
          <w:lang w:val="en-GB"/>
        </w:rPr>
      </w:pPr>
      <w:r w:rsidRPr="00D93FF9">
        <w:rPr>
          <w:lang w:val="en-GB"/>
        </w:rPr>
        <w:t xml:space="preserve">Interaction between </w:t>
      </w:r>
      <w:r w:rsidRPr="00D93FF9">
        <w:t>chloride</w:t>
      </w:r>
      <w:r w:rsidRPr="00D93FF9">
        <w:rPr>
          <w:lang w:val="en-GB"/>
        </w:rPr>
        <w:t xml:space="preserve"> in irrigation water and cadmium in</w:t>
      </w:r>
      <w:r w:rsidRPr="00D93FF9">
        <w:rPr>
          <w:spacing w:val="-14"/>
          <w:lang w:val="en-GB"/>
        </w:rPr>
        <w:t xml:space="preserve"> </w:t>
      </w:r>
      <w:r w:rsidRPr="00D93FF9">
        <w:rPr>
          <w:lang w:val="en-GB"/>
        </w:rPr>
        <w:t>soil</w:t>
      </w:r>
    </w:p>
    <w:p w14:paraId="59DCCE7C" w14:textId="7EFAF605" w:rsidR="00C46175" w:rsidRPr="00D93FF9" w:rsidRDefault="00E811B8" w:rsidP="0009350B">
      <w:pPr>
        <w:pStyle w:val="BodyText"/>
        <w:spacing w:before="200"/>
        <w:ind w:left="284"/>
        <w:rPr>
          <w:b/>
          <w:bCs/>
          <w:i/>
          <w:iCs/>
          <w:lang w:val="en-GB"/>
        </w:rPr>
      </w:pPr>
      <w:r w:rsidRPr="00D93FF9">
        <w:rPr>
          <w:b/>
          <w:bCs/>
          <w:i/>
          <w:iCs/>
          <w:lang w:val="en-GB"/>
        </w:rPr>
        <w:t>Guideline</w:t>
      </w:r>
      <w:r w:rsidR="00E90CE0" w:rsidRPr="00D93FF9">
        <w:rPr>
          <w:b/>
          <w:bCs/>
          <w:i/>
          <w:iCs/>
          <w:lang w:val="en-GB"/>
        </w:rPr>
        <w:t xml:space="preserve"> values for assessing chloride levels in irrigation water with respect to increased cadmium uptake by crops are provided in</w:t>
      </w:r>
      <w:r w:rsidR="003546C8" w:rsidRPr="00D93FF9">
        <w:rPr>
          <w:b/>
          <w:bCs/>
          <w:i/>
          <w:iCs/>
          <w:lang w:val="en-GB"/>
        </w:rPr>
        <w:t xml:space="preserve"> </w:t>
      </w:r>
      <w:r w:rsidR="003546C8" w:rsidRPr="00D93FF9">
        <w:rPr>
          <w:b/>
          <w:bCs/>
          <w:i/>
          <w:iCs/>
          <w:lang w:val="en-GB"/>
        </w:rPr>
        <w:fldChar w:fldCharType="begin"/>
      </w:r>
      <w:r w:rsidR="003546C8" w:rsidRPr="00D93FF9">
        <w:rPr>
          <w:b/>
          <w:bCs/>
          <w:i/>
          <w:iCs/>
          <w:lang w:val="en-GB"/>
        </w:rPr>
        <w:instrText xml:space="preserve"> REF _Ref81393513 \h  \* MERGEFORMAT </w:instrText>
      </w:r>
      <w:r w:rsidR="003546C8" w:rsidRPr="00D93FF9">
        <w:rPr>
          <w:b/>
          <w:bCs/>
          <w:i/>
          <w:iCs/>
          <w:lang w:val="en-GB"/>
        </w:rPr>
      </w:r>
      <w:r w:rsidR="003546C8" w:rsidRPr="00D93FF9">
        <w:rPr>
          <w:b/>
          <w:bCs/>
          <w:i/>
          <w:iCs/>
          <w:lang w:val="en-GB"/>
        </w:rPr>
        <w:fldChar w:fldCharType="separate"/>
      </w:r>
      <w:r w:rsidR="0069302C" w:rsidRPr="0069302C">
        <w:rPr>
          <w:b/>
          <w:bCs/>
          <w:i/>
          <w:iCs/>
        </w:rPr>
        <w:t xml:space="preserve">Table </w:t>
      </w:r>
      <w:r w:rsidR="0069302C" w:rsidRPr="0069302C">
        <w:rPr>
          <w:b/>
          <w:bCs/>
          <w:i/>
          <w:iCs/>
          <w:noProof/>
        </w:rPr>
        <w:t>18</w:t>
      </w:r>
      <w:r w:rsidR="003546C8" w:rsidRPr="00D93FF9">
        <w:rPr>
          <w:b/>
          <w:bCs/>
          <w:i/>
          <w:iCs/>
          <w:lang w:val="en-GB"/>
        </w:rPr>
        <w:fldChar w:fldCharType="end"/>
      </w:r>
      <w:r w:rsidR="00E90CE0" w:rsidRPr="00D93FF9">
        <w:rPr>
          <w:b/>
          <w:bCs/>
          <w:i/>
          <w:iCs/>
          <w:lang w:val="en-GB"/>
        </w:rPr>
        <w:t>.</w:t>
      </w:r>
    </w:p>
    <w:p w14:paraId="59DCCE7D" w14:textId="25D0DAB9" w:rsidR="00BC5D11" w:rsidRPr="00D93FF9" w:rsidRDefault="003546C8" w:rsidP="003546C8">
      <w:pPr>
        <w:pStyle w:val="Caption"/>
        <w:rPr>
          <w:b w:val="0"/>
          <w:i/>
          <w:lang w:val="en-GB"/>
        </w:rPr>
      </w:pPr>
      <w:bookmarkStart w:id="200" w:name="_Ref81393513"/>
      <w:bookmarkStart w:id="201" w:name="_Toc96518232"/>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18</w:t>
      </w:r>
      <w:r w:rsidR="00477102" w:rsidRPr="00D93FF9">
        <w:fldChar w:fldCharType="end"/>
      </w:r>
      <w:bookmarkEnd w:id="200"/>
      <w:r w:rsidRPr="00D93FF9">
        <w:t xml:space="preserve"> </w:t>
      </w:r>
      <w:bookmarkStart w:id="202" w:name="_Hlk153812656"/>
      <w:r w:rsidR="00517E92" w:rsidRPr="00D93FF9">
        <w:rPr>
          <w:rFonts w:ascii="Arial" w:hAnsi="Arial"/>
          <w:sz w:val="18"/>
          <w:lang w:val="en-GB"/>
        </w:rPr>
        <w:t>Risks of increasing cadmium concentrations in crops due to chloride in irrigation waters</w:t>
      </w:r>
      <w:r w:rsidR="00517E92" w:rsidRPr="00D93FF9">
        <w:rPr>
          <w:rFonts w:ascii="Arial" w:hAnsi="Arial"/>
          <w:position w:val="4"/>
          <w:sz w:val="14"/>
          <w:lang w:val="en-GB"/>
        </w:rPr>
        <w:t>a</w:t>
      </w:r>
      <w:bookmarkEnd w:id="201"/>
      <w:bookmarkEnd w:id="202"/>
    </w:p>
    <w:tbl>
      <w:tblPr>
        <w:tblW w:w="6521" w:type="dxa"/>
        <w:tblLayout w:type="fixed"/>
        <w:tblCellMar>
          <w:left w:w="0" w:type="dxa"/>
          <w:right w:w="0" w:type="dxa"/>
        </w:tblCellMar>
        <w:tblLook w:val="01E0" w:firstRow="1" w:lastRow="1" w:firstColumn="1" w:lastColumn="1" w:noHBand="0" w:noVBand="0"/>
        <w:tblCaption w:val="Risks of increasing cadmium concentrations in crops due to chloride in irrigation waters"/>
        <w:tblDescription w:val="This table lists the guideline values for assessing chloride levels in irrigation water with respect to increased cadmium uptake by crops. For chloride concentrations from 0 to 350 milligrams per litre, the risk is considered low. For chloride concentrations from 350 to 750 milligrams per litre, the risk is considered medium. For chloride concentrations over 750 milligrams per litre, the risk is considered high.  "/>
      </w:tblPr>
      <w:tblGrid>
        <w:gridCol w:w="3267"/>
        <w:gridCol w:w="3254"/>
      </w:tblGrid>
      <w:tr w:rsidR="00BE3AA8" w:rsidRPr="00D93FF9" w14:paraId="59DCCE80" w14:textId="77777777" w:rsidTr="00517E92">
        <w:trPr>
          <w:trHeight w:val="288"/>
        </w:trPr>
        <w:tc>
          <w:tcPr>
            <w:tcW w:w="3267" w:type="dxa"/>
            <w:tcBorders>
              <w:top w:val="single" w:sz="6" w:space="0" w:color="000000"/>
              <w:left w:val="nil"/>
              <w:bottom w:val="single" w:sz="6" w:space="0" w:color="000000"/>
              <w:right w:val="nil"/>
            </w:tcBorders>
          </w:tcPr>
          <w:p w14:paraId="59DCCE7E" w14:textId="4F389FC7" w:rsidR="00517E92" w:rsidRPr="00D93FF9" w:rsidRDefault="00E811B8" w:rsidP="00517E92">
            <w:pPr>
              <w:pStyle w:val="TableParagraph"/>
              <w:spacing w:before="0" w:after="0"/>
              <w:ind w:left="1183"/>
              <w:rPr>
                <w:b/>
                <w:sz w:val="16"/>
                <w:lang w:val="en-GB"/>
              </w:rPr>
            </w:pPr>
            <w:r w:rsidRPr="00D93FF9">
              <w:rPr>
                <w:b/>
                <w:sz w:val="16"/>
                <w:lang w:val="en-GB"/>
              </w:rPr>
              <w:t>Irrigation water chloride (mg/L)</w:t>
            </w:r>
          </w:p>
        </w:tc>
        <w:tc>
          <w:tcPr>
            <w:tcW w:w="3254" w:type="dxa"/>
            <w:tcBorders>
              <w:top w:val="single" w:sz="6" w:space="0" w:color="000000"/>
              <w:left w:val="nil"/>
              <w:bottom w:val="single" w:sz="6" w:space="0" w:color="000000"/>
              <w:right w:val="nil"/>
            </w:tcBorders>
          </w:tcPr>
          <w:p w14:paraId="59DCCE7F" w14:textId="77777777" w:rsidR="00517E92" w:rsidRPr="00D93FF9" w:rsidRDefault="00E811B8" w:rsidP="00517E92">
            <w:pPr>
              <w:pStyle w:val="TableParagraph"/>
              <w:spacing w:before="0" w:after="0"/>
              <w:ind w:left="1183"/>
              <w:rPr>
                <w:b/>
                <w:sz w:val="16"/>
                <w:lang w:val="en-GB"/>
              </w:rPr>
            </w:pPr>
            <w:r w:rsidRPr="00D93FF9">
              <w:rPr>
                <w:b/>
                <w:sz w:val="16"/>
                <w:lang w:val="en-GB"/>
              </w:rPr>
              <w:t>Risk of increasing crop cadmium concentrations</w:t>
            </w:r>
          </w:p>
        </w:tc>
      </w:tr>
      <w:tr w:rsidR="00BE3AA8" w:rsidRPr="00D93FF9" w14:paraId="59DCCE83" w14:textId="77777777" w:rsidTr="00517E92">
        <w:trPr>
          <w:trHeight w:val="258"/>
        </w:trPr>
        <w:tc>
          <w:tcPr>
            <w:tcW w:w="3267" w:type="dxa"/>
            <w:tcBorders>
              <w:top w:val="single" w:sz="6" w:space="0" w:color="000000"/>
              <w:left w:val="nil"/>
              <w:bottom w:val="nil"/>
              <w:right w:val="nil"/>
            </w:tcBorders>
          </w:tcPr>
          <w:p w14:paraId="59DCCE81" w14:textId="77777777" w:rsidR="00517E92" w:rsidRPr="00D93FF9" w:rsidRDefault="00E811B8" w:rsidP="00517E92">
            <w:pPr>
              <w:pStyle w:val="TableParagraph"/>
              <w:spacing w:before="0" w:after="0"/>
              <w:ind w:left="1184"/>
              <w:rPr>
                <w:sz w:val="16"/>
                <w:lang w:val="en-GB"/>
              </w:rPr>
            </w:pPr>
            <w:r w:rsidRPr="00D93FF9">
              <w:rPr>
                <w:sz w:val="16"/>
                <w:lang w:val="en-GB"/>
              </w:rPr>
              <w:t>0-350</w:t>
            </w:r>
          </w:p>
        </w:tc>
        <w:tc>
          <w:tcPr>
            <w:tcW w:w="3254" w:type="dxa"/>
            <w:tcBorders>
              <w:top w:val="single" w:sz="6" w:space="0" w:color="000000"/>
              <w:left w:val="nil"/>
              <w:bottom w:val="nil"/>
              <w:right w:val="nil"/>
            </w:tcBorders>
          </w:tcPr>
          <w:p w14:paraId="59DCCE82" w14:textId="77777777" w:rsidR="00517E92" w:rsidRPr="00D93FF9" w:rsidRDefault="00E811B8" w:rsidP="00517E92">
            <w:pPr>
              <w:pStyle w:val="TableParagraph"/>
              <w:spacing w:before="0" w:after="0"/>
              <w:ind w:left="1184"/>
              <w:rPr>
                <w:sz w:val="16"/>
                <w:lang w:val="en-GB"/>
              </w:rPr>
            </w:pPr>
            <w:r w:rsidRPr="00D93FF9">
              <w:rPr>
                <w:sz w:val="16"/>
                <w:lang w:val="en-GB"/>
              </w:rPr>
              <w:t>Low</w:t>
            </w:r>
          </w:p>
        </w:tc>
      </w:tr>
      <w:tr w:rsidR="00BE3AA8" w:rsidRPr="00D93FF9" w14:paraId="59DCCE86" w14:textId="77777777" w:rsidTr="00517E92">
        <w:trPr>
          <w:trHeight w:val="258"/>
        </w:trPr>
        <w:tc>
          <w:tcPr>
            <w:tcW w:w="3267" w:type="dxa"/>
          </w:tcPr>
          <w:p w14:paraId="59DCCE84" w14:textId="77777777" w:rsidR="00517E92" w:rsidRPr="00D93FF9" w:rsidRDefault="00E811B8" w:rsidP="00517E92">
            <w:pPr>
              <w:pStyle w:val="TableParagraph"/>
              <w:spacing w:before="0" w:after="0"/>
              <w:ind w:left="1184"/>
              <w:rPr>
                <w:sz w:val="16"/>
                <w:lang w:val="en-GB"/>
              </w:rPr>
            </w:pPr>
            <w:r w:rsidRPr="00D93FF9">
              <w:rPr>
                <w:sz w:val="16"/>
                <w:lang w:val="en-GB"/>
              </w:rPr>
              <w:t>350-750</w:t>
            </w:r>
          </w:p>
        </w:tc>
        <w:tc>
          <w:tcPr>
            <w:tcW w:w="3254" w:type="dxa"/>
          </w:tcPr>
          <w:p w14:paraId="59DCCE85" w14:textId="77777777" w:rsidR="00517E92" w:rsidRPr="00D93FF9" w:rsidRDefault="00E811B8" w:rsidP="00517E92">
            <w:pPr>
              <w:pStyle w:val="TableParagraph"/>
              <w:spacing w:before="0" w:after="0"/>
              <w:ind w:left="1184"/>
              <w:rPr>
                <w:sz w:val="16"/>
                <w:lang w:val="en-GB"/>
              </w:rPr>
            </w:pPr>
            <w:r w:rsidRPr="00D93FF9">
              <w:rPr>
                <w:sz w:val="16"/>
                <w:lang w:val="en-GB"/>
              </w:rPr>
              <w:t>Medium</w:t>
            </w:r>
          </w:p>
        </w:tc>
      </w:tr>
      <w:tr w:rsidR="00BE3AA8" w:rsidRPr="00D93FF9" w14:paraId="59DCCE89" w14:textId="77777777" w:rsidTr="00517E92">
        <w:trPr>
          <w:trHeight w:val="258"/>
        </w:trPr>
        <w:tc>
          <w:tcPr>
            <w:tcW w:w="3267" w:type="dxa"/>
          </w:tcPr>
          <w:p w14:paraId="59DCCE87" w14:textId="77777777" w:rsidR="00517E92" w:rsidRPr="00D93FF9" w:rsidRDefault="00E811B8" w:rsidP="00517E92">
            <w:pPr>
              <w:pStyle w:val="TableParagraph"/>
              <w:spacing w:before="0" w:after="0"/>
              <w:ind w:left="1184"/>
              <w:rPr>
                <w:sz w:val="16"/>
                <w:lang w:val="en-GB"/>
              </w:rPr>
            </w:pPr>
            <w:r w:rsidRPr="00D93FF9">
              <w:rPr>
                <w:sz w:val="16"/>
                <w:lang w:val="en-GB"/>
              </w:rPr>
              <w:t>&gt;750</w:t>
            </w:r>
          </w:p>
        </w:tc>
        <w:tc>
          <w:tcPr>
            <w:tcW w:w="3254" w:type="dxa"/>
          </w:tcPr>
          <w:p w14:paraId="59DCCE88" w14:textId="77777777" w:rsidR="00517E92" w:rsidRPr="00D93FF9" w:rsidRDefault="00E811B8" w:rsidP="00517E92">
            <w:pPr>
              <w:pStyle w:val="TableParagraph"/>
              <w:spacing w:before="0" w:after="0"/>
              <w:ind w:left="1184"/>
              <w:rPr>
                <w:sz w:val="16"/>
                <w:lang w:val="en-GB"/>
              </w:rPr>
            </w:pPr>
            <w:r w:rsidRPr="00D93FF9">
              <w:rPr>
                <w:sz w:val="16"/>
                <w:lang w:val="en-GB"/>
              </w:rPr>
              <w:t>High</w:t>
            </w:r>
          </w:p>
        </w:tc>
      </w:tr>
    </w:tbl>
    <w:p w14:paraId="59DCCE8A" w14:textId="77777777" w:rsidR="00517E92" w:rsidRPr="00D93FF9" w:rsidRDefault="00E811B8" w:rsidP="00517E92">
      <w:pPr>
        <w:ind w:left="284"/>
        <w:rPr>
          <w:rFonts w:ascii="Times New Roman"/>
          <w:b/>
          <w:bCs/>
          <w:i/>
          <w:iCs/>
          <w:lang w:val="en-GB"/>
        </w:rPr>
      </w:pPr>
      <w:r w:rsidRPr="00D93FF9">
        <w:rPr>
          <w:rFonts w:ascii="Arial"/>
          <w:sz w:val="14"/>
          <w:lang w:val="en-GB"/>
        </w:rPr>
        <w:t>a McLaughlin et al. (1999</w:t>
      </w:r>
      <w:r w:rsidR="00CB3A3A" w:rsidRPr="00D93FF9">
        <w:rPr>
          <w:rFonts w:ascii="Arial"/>
          <w:sz w:val="14"/>
          <w:lang w:val="en-GB"/>
        </w:rPr>
        <w:t>)</w:t>
      </w:r>
    </w:p>
    <w:p w14:paraId="59DCCE8B" w14:textId="77777777" w:rsidR="00BC5D11" w:rsidRPr="00D93FF9" w:rsidRDefault="00BC5D11" w:rsidP="00BC5D11">
      <w:pPr>
        <w:tabs>
          <w:tab w:val="left" w:pos="4205"/>
        </w:tabs>
        <w:spacing w:after="0" w:line="460" w:lineRule="auto"/>
        <w:ind w:hanging="108"/>
        <w:rPr>
          <w:rFonts w:ascii="Arial" w:hAnsi="Arial"/>
          <w:position w:val="4"/>
          <w:sz w:val="14"/>
          <w:lang w:val="en-GB"/>
        </w:rPr>
      </w:pPr>
    </w:p>
    <w:p w14:paraId="59DCCE8C" w14:textId="51969CD6" w:rsidR="00C46175" w:rsidRPr="00D93FF9" w:rsidRDefault="00E811B8" w:rsidP="003807A1">
      <w:pPr>
        <w:pStyle w:val="BodyText"/>
        <w:spacing w:after="0" w:line="266" w:lineRule="auto"/>
        <w:rPr>
          <w:lang w:val="en-GB"/>
        </w:rPr>
      </w:pPr>
      <w:r w:rsidRPr="00D93FF9">
        <w:rPr>
          <w:lang w:val="en-GB"/>
        </w:rPr>
        <w:t xml:space="preserve">Chloride (Cl) forms a series of complexes with cadmium (Cd) depending on solution chloride concentration (Hahne </w:t>
      </w:r>
      <w:r w:rsidR="00FA6E9E" w:rsidRPr="00D93FF9">
        <w:rPr>
          <w:lang w:val="en-GB"/>
        </w:rPr>
        <w:t>and</w:t>
      </w:r>
      <w:r w:rsidRPr="00D93FF9">
        <w:rPr>
          <w:lang w:val="en-GB"/>
        </w:rPr>
        <w:t xml:space="preserve"> Kroontje 1973):</w:t>
      </w:r>
    </w:p>
    <w:p w14:paraId="59DCCE8D" w14:textId="77777777" w:rsidR="00C46175" w:rsidRPr="00D93FF9" w:rsidRDefault="00C46175" w:rsidP="003807A1">
      <w:pPr>
        <w:spacing w:after="0" w:line="266" w:lineRule="auto"/>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2498"/>
      </w:tblGrid>
      <w:tr w:rsidR="00BE3AA8" w:rsidRPr="00D93FF9" w14:paraId="59DCCE90" w14:textId="77777777" w:rsidTr="00187AD8">
        <w:trPr>
          <w:trHeight w:val="327"/>
        </w:trPr>
        <w:tc>
          <w:tcPr>
            <w:tcW w:w="2498" w:type="dxa"/>
          </w:tcPr>
          <w:p w14:paraId="59DCCE8E" w14:textId="77777777" w:rsidR="00D842D6" w:rsidRPr="00D93FF9" w:rsidRDefault="00735642" w:rsidP="003807A1">
            <w:pPr>
              <w:spacing w:after="0" w:line="266" w:lineRule="auto"/>
              <w:rPr>
                <w:rFonts w:asciiTheme="minorHAnsi" w:hAnsiTheme="minorHAnsi"/>
                <w:iCs/>
                <w:sz w:val="22"/>
                <w:szCs w:val="22"/>
                <w:lang w:val="en-GB"/>
              </w:rPr>
            </w:pPr>
            <m:oMathPara>
              <m:oMath>
                <m:sSup>
                  <m:sSupPr>
                    <m:ctrlPr>
                      <w:rPr>
                        <w:rFonts w:ascii="Cambria Math" w:hAnsi="Cambria Math"/>
                        <w:iCs/>
                        <w:sz w:val="22"/>
                        <w:szCs w:val="22"/>
                        <w:lang w:val="en-GB"/>
                      </w:rPr>
                    </m:ctrlPr>
                  </m:sSupPr>
                  <m:e>
                    <m:r>
                      <m:rPr>
                        <m:sty m:val="p"/>
                      </m:rPr>
                      <w:rPr>
                        <w:rFonts w:ascii="Cambria Math" w:hAnsi="Cambria Math"/>
                        <w:sz w:val="22"/>
                        <w:szCs w:val="22"/>
                        <w:lang w:val="en-GB"/>
                      </w:rPr>
                      <m:t>Cd</m:t>
                    </m:r>
                  </m:e>
                  <m:sup>
                    <m:r>
                      <m:rPr>
                        <m:sty m:val="p"/>
                      </m:rPr>
                      <w:rPr>
                        <w:rFonts w:ascii="Cambria Math" w:hAnsi="Cambria Math"/>
                        <w:sz w:val="22"/>
                        <w:szCs w:val="22"/>
                        <w:lang w:val="en-GB"/>
                      </w:rPr>
                      <m:t>2+</m:t>
                    </m:r>
                  </m:sup>
                </m:sSup>
                <m:r>
                  <m:rPr>
                    <m:sty m:val="p"/>
                  </m:rPr>
                  <w:rPr>
                    <w:rFonts w:ascii="Cambria Math" w:hAnsi="Cambria Math"/>
                    <w:sz w:val="22"/>
                    <w:szCs w:val="22"/>
                    <w:lang w:val="en-GB"/>
                  </w:rPr>
                  <m:t>+</m:t>
                </m:r>
                <m:sSup>
                  <m:sSupPr>
                    <m:ctrlPr>
                      <w:rPr>
                        <w:rFonts w:ascii="Cambria Math" w:hAnsi="Cambria Math"/>
                        <w:iCs/>
                        <w:sz w:val="22"/>
                        <w:szCs w:val="22"/>
                        <w:lang w:val="en-GB"/>
                      </w:rPr>
                    </m:ctrlPr>
                  </m:sSupPr>
                  <m:e>
                    <m:r>
                      <m:rPr>
                        <m:sty m:val="p"/>
                      </m:rPr>
                      <w:rPr>
                        <w:rFonts w:ascii="Cambria Math" w:hAnsi="Cambria Math"/>
                        <w:sz w:val="22"/>
                        <w:szCs w:val="22"/>
                        <w:lang w:val="en-GB"/>
                      </w:rPr>
                      <m:t>Cl</m:t>
                    </m:r>
                  </m:e>
                  <m:sup>
                    <m:r>
                      <m:rPr>
                        <m:sty m:val="p"/>
                      </m:rPr>
                      <w:rPr>
                        <w:rFonts w:ascii="Cambria Math" w:hAnsi="Cambria Math"/>
                        <w:sz w:val="22"/>
                        <w:szCs w:val="22"/>
                        <w:lang w:val="en-GB"/>
                      </w:rPr>
                      <m:t>-</m:t>
                    </m:r>
                  </m:sup>
                </m:sSup>
                <m:r>
                  <m:rPr>
                    <m:sty m:val="p"/>
                  </m:rPr>
                  <w:rPr>
                    <w:rFonts w:ascii="Cambria Math" w:hAnsi="Cambria Math"/>
                    <w:sz w:val="22"/>
                    <w:szCs w:val="22"/>
                    <w:lang w:val="en-GB"/>
                  </w:rPr>
                  <m:t>→</m:t>
                </m:r>
                <m:sSup>
                  <m:sSupPr>
                    <m:ctrlPr>
                      <w:rPr>
                        <w:rFonts w:ascii="Cambria Math" w:hAnsi="Cambria Math"/>
                        <w:iCs/>
                        <w:sz w:val="22"/>
                        <w:szCs w:val="22"/>
                        <w:lang w:val="en-GB"/>
                      </w:rPr>
                    </m:ctrlPr>
                  </m:sSupPr>
                  <m:e>
                    <m:r>
                      <m:rPr>
                        <m:sty m:val="p"/>
                      </m:rPr>
                      <w:rPr>
                        <w:rFonts w:ascii="Cambria Math" w:hAnsi="Cambria Math"/>
                        <w:sz w:val="22"/>
                        <w:szCs w:val="22"/>
                        <w:lang w:val="en-GB"/>
                      </w:rPr>
                      <m:t>CdCl</m:t>
                    </m:r>
                  </m:e>
                  <m:sup>
                    <m:r>
                      <m:rPr>
                        <m:sty m:val="p"/>
                      </m:rPr>
                      <w:rPr>
                        <w:rFonts w:ascii="Cambria Math" w:hAnsi="Cambria Math"/>
                        <w:sz w:val="22"/>
                        <w:szCs w:val="22"/>
                        <w:lang w:val="en-GB"/>
                      </w:rPr>
                      <m:t>+</m:t>
                    </m:r>
                  </m:sup>
                </m:sSup>
              </m:oMath>
            </m:oMathPara>
          </w:p>
        </w:tc>
        <w:tc>
          <w:tcPr>
            <w:tcW w:w="2498" w:type="dxa"/>
          </w:tcPr>
          <w:p w14:paraId="59DCCE8F" w14:textId="77777777" w:rsidR="00D842D6" w:rsidRPr="00D93FF9" w:rsidRDefault="00E811B8" w:rsidP="003807A1">
            <w:pPr>
              <w:spacing w:after="0" w:line="266" w:lineRule="auto"/>
              <w:rPr>
                <w:rFonts w:asciiTheme="minorHAnsi" w:hAnsiTheme="minorHAnsi"/>
                <w:iCs/>
                <w:sz w:val="22"/>
                <w:szCs w:val="22"/>
                <w:lang w:val="en-GB"/>
              </w:rPr>
            </w:pPr>
            <m:oMathPara>
              <m:oMath>
                <m:r>
                  <m:rPr>
                    <m:sty m:val="p"/>
                  </m:rPr>
                  <w:rPr>
                    <w:rFonts w:ascii="Cambria Math" w:hAnsi="Cambria Math"/>
                    <w:sz w:val="22"/>
                    <w:szCs w:val="22"/>
                    <w:lang w:val="en-GB"/>
                  </w:rPr>
                  <m:t>Log K=2.0</m:t>
                </m:r>
              </m:oMath>
            </m:oMathPara>
          </w:p>
        </w:tc>
      </w:tr>
      <w:tr w:rsidR="00BE3AA8" w:rsidRPr="00D93FF9" w14:paraId="59DCCE93" w14:textId="77777777" w:rsidTr="00187AD8">
        <w:trPr>
          <w:trHeight w:val="319"/>
        </w:trPr>
        <w:tc>
          <w:tcPr>
            <w:tcW w:w="2498" w:type="dxa"/>
          </w:tcPr>
          <w:p w14:paraId="59DCCE91" w14:textId="77777777" w:rsidR="00D842D6" w:rsidRPr="00D93FF9" w:rsidRDefault="00735642" w:rsidP="003807A1">
            <w:pPr>
              <w:spacing w:after="0" w:line="266" w:lineRule="auto"/>
              <w:rPr>
                <w:rFonts w:asciiTheme="minorHAnsi" w:hAnsiTheme="minorHAnsi"/>
                <w:iCs/>
                <w:sz w:val="22"/>
                <w:szCs w:val="22"/>
                <w:lang w:val="en-GB"/>
              </w:rPr>
            </w:pPr>
            <m:oMathPara>
              <m:oMath>
                <m:sSup>
                  <m:sSupPr>
                    <m:ctrlPr>
                      <w:rPr>
                        <w:rFonts w:ascii="Cambria Math" w:hAnsi="Cambria Math"/>
                        <w:iCs/>
                        <w:sz w:val="22"/>
                        <w:szCs w:val="22"/>
                        <w:lang w:val="en-GB"/>
                      </w:rPr>
                    </m:ctrlPr>
                  </m:sSupPr>
                  <m:e>
                    <m:r>
                      <m:rPr>
                        <m:sty m:val="p"/>
                      </m:rPr>
                      <w:rPr>
                        <w:rFonts w:ascii="Cambria Math" w:hAnsi="Cambria Math"/>
                        <w:sz w:val="22"/>
                        <w:szCs w:val="22"/>
                        <w:lang w:val="en-GB"/>
                      </w:rPr>
                      <m:t>CdCl</m:t>
                    </m:r>
                  </m:e>
                  <m:sup>
                    <m:r>
                      <m:rPr>
                        <m:sty m:val="p"/>
                      </m:rPr>
                      <w:rPr>
                        <w:rFonts w:ascii="Cambria Math" w:hAnsi="Cambria Math"/>
                        <w:sz w:val="22"/>
                        <w:szCs w:val="22"/>
                        <w:lang w:val="en-GB"/>
                      </w:rPr>
                      <m:t>+</m:t>
                    </m:r>
                  </m:sup>
                </m:sSup>
                <m:r>
                  <m:rPr>
                    <m:sty m:val="p"/>
                  </m:rPr>
                  <w:rPr>
                    <w:rFonts w:ascii="Cambria Math" w:hAnsi="Cambria Math"/>
                    <w:sz w:val="22"/>
                    <w:szCs w:val="22"/>
                    <w:lang w:val="en-GB"/>
                  </w:rPr>
                  <m:t>+</m:t>
                </m:r>
                <m:sSup>
                  <m:sSupPr>
                    <m:ctrlPr>
                      <w:rPr>
                        <w:rFonts w:ascii="Cambria Math" w:hAnsi="Cambria Math"/>
                        <w:iCs/>
                        <w:sz w:val="22"/>
                        <w:szCs w:val="22"/>
                        <w:lang w:val="en-GB"/>
                      </w:rPr>
                    </m:ctrlPr>
                  </m:sSupPr>
                  <m:e>
                    <m:r>
                      <m:rPr>
                        <m:sty m:val="p"/>
                      </m:rPr>
                      <w:rPr>
                        <w:rFonts w:ascii="Cambria Math" w:hAnsi="Cambria Math"/>
                        <w:sz w:val="22"/>
                        <w:szCs w:val="22"/>
                        <w:lang w:val="en-GB"/>
                      </w:rPr>
                      <m:t>Cl</m:t>
                    </m:r>
                  </m:e>
                  <m:sup>
                    <m:r>
                      <m:rPr>
                        <m:sty m:val="p"/>
                      </m:rPr>
                      <w:rPr>
                        <w:rFonts w:ascii="Cambria Math" w:hAnsi="Cambria Math"/>
                        <w:sz w:val="22"/>
                        <w:szCs w:val="22"/>
                        <w:lang w:val="en-GB"/>
                      </w:rPr>
                      <m:t>-</m:t>
                    </m:r>
                  </m:sup>
                </m:sSup>
                <m:r>
                  <m:rPr>
                    <m:sty m:val="p"/>
                  </m:rPr>
                  <w:rPr>
                    <w:rFonts w:ascii="Cambria Math" w:hAnsi="Cambria Math"/>
                    <w:sz w:val="22"/>
                    <w:szCs w:val="22"/>
                    <w:lang w:val="en-GB"/>
                  </w:rPr>
                  <m:t>→</m:t>
                </m:r>
                <m:sSubSup>
                  <m:sSubSupPr>
                    <m:ctrlPr>
                      <w:rPr>
                        <w:rFonts w:ascii="Cambria Math" w:hAnsi="Cambria Math"/>
                        <w:iCs/>
                        <w:sz w:val="22"/>
                        <w:szCs w:val="22"/>
                        <w:lang w:val="en-GB"/>
                      </w:rPr>
                    </m:ctrlPr>
                  </m:sSubSupPr>
                  <m:e>
                    <m:r>
                      <m:rPr>
                        <m:sty m:val="p"/>
                      </m:rPr>
                      <w:rPr>
                        <w:rFonts w:ascii="Cambria Math" w:hAnsi="Cambria Math"/>
                        <w:sz w:val="22"/>
                        <w:szCs w:val="22"/>
                        <w:lang w:val="en-GB"/>
                      </w:rPr>
                      <m:t>CdCl</m:t>
                    </m:r>
                  </m:e>
                  <m:sub>
                    <m:r>
                      <m:rPr>
                        <m:sty m:val="p"/>
                      </m:rPr>
                      <w:rPr>
                        <w:rFonts w:ascii="Cambria Math" w:hAnsi="Cambria Math"/>
                        <w:sz w:val="22"/>
                        <w:szCs w:val="22"/>
                        <w:lang w:val="en-GB"/>
                      </w:rPr>
                      <m:t>2</m:t>
                    </m:r>
                  </m:sub>
                  <m:sup>
                    <m:r>
                      <m:rPr>
                        <m:sty m:val="p"/>
                      </m:rPr>
                      <w:rPr>
                        <w:rFonts w:ascii="Cambria Math" w:hAnsi="Cambria Math"/>
                        <w:sz w:val="22"/>
                        <w:szCs w:val="22"/>
                        <w:lang w:val="en-GB"/>
                      </w:rPr>
                      <m:t>0</m:t>
                    </m:r>
                  </m:sup>
                </m:sSubSup>
              </m:oMath>
            </m:oMathPara>
          </w:p>
        </w:tc>
        <w:tc>
          <w:tcPr>
            <w:tcW w:w="2498" w:type="dxa"/>
          </w:tcPr>
          <w:p w14:paraId="59DCCE92" w14:textId="77777777" w:rsidR="00D842D6" w:rsidRPr="00D93FF9" w:rsidRDefault="00E811B8" w:rsidP="003807A1">
            <w:pPr>
              <w:spacing w:after="0" w:line="266" w:lineRule="auto"/>
              <w:rPr>
                <w:rFonts w:asciiTheme="minorHAnsi" w:hAnsiTheme="minorHAnsi"/>
                <w:iCs/>
                <w:sz w:val="22"/>
                <w:szCs w:val="22"/>
                <w:lang w:val="en-GB"/>
              </w:rPr>
            </w:pPr>
            <m:oMathPara>
              <m:oMath>
                <m:r>
                  <m:rPr>
                    <m:sty m:val="p"/>
                  </m:rPr>
                  <w:rPr>
                    <w:rFonts w:ascii="Cambria Math" w:hAnsi="Cambria Math"/>
                    <w:sz w:val="22"/>
                    <w:szCs w:val="22"/>
                    <w:lang w:val="en-GB"/>
                  </w:rPr>
                  <m:t>Log K=2.6</m:t>
                </m:r>
              </m:oMath>
            </m:oMathPara>
          </w:p>
        </w:tc>
      </w:tr>
      <w:tr w:rsidR="00BE3AA8" w:rsidRPr="00D93FF9" w14:paraId="59DCCE96" w14:textId="77777777" w:rsidTr="00187AD8">
        <w:trPr>
          <w:trHeight w:val="336"/>
        </w:trPr>
        <w:tc>
          <w:tcPr>
            <w:tcW w:w="2498" w:type="dxa"/>
          </w:tcPr>
          <w:p w14:paraId="59DCCE94" w14:textId="77777777" w:rsidR="00D842D6" w:rsidRPr="00D93FF9" w:rsidRDefault="00735642" w:rsidP="003807A1">
            <w:pPr>
              <w:spacing w:after="0" w:line="266" w:lineRule="auto"/>
              <w:rPr>
                <w:rFonts w:asciiTheme="minorHAnsi" w:hAnsiTheme="minorHAnsi"/>
                <w:iCs/>
                <w:sz w:val="22"/>
                <w:szCs w:val="22"/>
                <w:lang w:val="en-GB"/>
              </w:rPr>
            </w:pPr>
            <m:oMathPara>
              <m:oMath>
                <m:sSubSup>
                  <m:sSubSupPr>
                    <m:ctrlPr>
                      <w:rPr>
                        <w:rFonts w:ascii="Cambria Math" w:hAnsi="Cambria Math"/>
                        <w:iCs/>
                        <w:sz w:val="22"/>
                        <w:szCs w:val="22"/>
                        <w:lang w:val="en-GB"/>
                      </w:rPr>
                    </m:ctrlPr>
                  </m:sSubSupPr>
                  <m:e>
                    <m:r>
                      <m:rPr>
                        <m:sty m:val="p"/>
                      </m:rPr>
                      <w:rPr>
                        <w:rFonts w:ascii="Cambria Math" w:hAnsi="Cambria Math"/>
                        <w:sz w:val="22"/>
                        <w:szCs w:val="22"/>
                        <w:lang w:val="en-GB"/>
                      </w:rPr>
                      <m:t>CdCl</m:t>
                    </m:r>
                  </m:e>
                  <m:sub>
                    <m:r>
                      <m:rPr>
                        <m:sty m:val="p"/>
                      </m:rPr>
                      <w:rPr>
                        <w:rFonts w:ascii="Cambria Math" w:hAnsi="Cambria Math"/>
                        <w:sz w:val="22"/>
                        <w:szCs w:val="22"/>
                        <w:lang w:val="en-GB"/>
                      </w:rPr>
                      <m:t>2</m:t>
                    </m:r>
                  </m:sub>
                  <m:sup>
                    <m:r>
                      <m:rPr>
                        <m:sty m:val="p"/>
                      </m:rPr>
                      <w:rPr>
                        <w:rFonts w:ascii="Cambria Math" w:hAnsi="Cambria Math"/>
                        <w:sz w:val="22"/>
                        <w:szCs w:val="22"/>
                        <w:lang w:val="en-GB"/>
                      </w:rPr>
                      <m:t>0</m:t>
                    </m:r>
                  </m:sup>
                </m:sSubSup>
                <m:r>
                  <m:rPr>
                    <m:sty m:val="p"/>
                  </m:rPr>
                  <w:rPr>
                    <w:rFonts w:ascii="Cambria Math" w:hAnsi="Cambria Math"/>
                    <w:sz w:val="22"/>
                    <w:szCs w:val="22"/>
                    <w:lang w:val="en-GB"/>
                  </w:rPr>
                  <m:t>+</m:t>
                </m:r>
                <m:sSup>
                  <m:sSupPr>
                    <m:ctrlPr>
                      <w:rPr>
                        <w:rFonts w:ascii="Cambria Math" w:hAnsi="Cambria Math"/>
                        <w:iCs/>
                        <w:sz w:val="22"/>
                        <w:szCs w:val="22"/>
                        <w:lang w:val="en-GB"/>
                      </w:rPr>
                    </m:ctrlPr>
                  </m:sSupPr>
                  <m:e>
                    <m:r>
                      <m:rPr>
                        <m:sty m:val="p"/>
                      </m:rPr>
                      <w:rPr>
                        <w:rFonts w:ascii="Cambria Math" w:hAnsi="Cambria Math"/>
                        <w:sz w:val="22"/>
                        <w:szCs w:val="22"/>
                        <w:lang w:val="en-GB"/>
                      </w:rPr>
                      <m:t>Cl</m:t>
                    </m:r>
                  </m:e>
                  <m:sup>
                    <m:r>
                      <m:rPr>
                        <m:sty m:val="p"/>
                      </m:rPr>
                      <w:rPr>
                        <w:rFonts w:ascii="Cambria Math" w:hAnsi="Cambria Math"/>
                        <w:sz w:val="22"/>
                        <w:szCs w:val="22"/>
                        <w:lang w:val="en-GB"/>
                      </w:rPr>
                      <m:t>-</m:t>
                    </m:r>
                  </m:sup>
                </m:sSup>
                <m:r>
                  <m:rPr>
                    <m:sty m:val="p"/>
                  </m:rPr>
                  <w:rPr>
                    <w:rFonts w:ascii="Cambria Math" w:hAnsi="Cambria Math"/>
                    <w:sz w:val="22"/>
                    <w:szCs w:val="22"/>
                    <w:lang w:val="en-GB"/>
                  </w:rPr>
                  <m:t>→</m:t>
                </m:r>
                <m:sSubSup>
                  <m:sSubSupPr>
                    <m:ctrlPr>
                      <w:rPr>
                        <w:rFonts w:ascii="Cambria Math" w:hAnsi="Cambria Math"/>
                        <w:iCs/>
                        <w:sz w:val="22"/>
                        <w:szCs w:val="22"/>
                        <w:lang w:val="en-GB"/>
                      </w:rPr>
                    </m:ctrlPr>
                  </m:sSubSupPr>
                  <m:e>
                    <m:r>
                      <m:rPr>
                        <m:sty m:val="p"/>
                      </m:rPr>
                      <w:rPr>
                        <w:rFonts w:ascii="Cambria Math" w:hAnsi="Cambria Math"/>
                        <w:sz w:val="22"/>
                        <w:szCs w:val="22"/>
                        <w:lang w:val="en-GB"/>
                      </w:rPr>
                      <m:t>CdCl</m:t>
                    </m:r>
                  </m:e>
                  <m:sub>
                    <m:r>
                      <m:rPr>
                        <m:sty m:val="p"/>
                      </m:rPr>
                      <w:rPr>
                        <w:rFonts w:ascii="Cambria Math" w:hAnsi="Cambria Math"/>
                        <w:sz w:val="22"/>
                        <w:szCs w:val="22"/>
                        <w:lang w:val="en-GB"/>
                      </w:rPr>
                      <m:t>3</m:t>
                    </m:r>
                  </m:sub>
                  <m:sup>
                    <m:r>
                      <m:rPr>
                        <m:sty m:val="p"/>
                      </m:rPr>
                      <w:rPr>
                        <w:rFonts w:ascii="Cambria Math" w:hAnsi="Cambria Math"/>
                        <w:sz w:val="22"/>
                        <w:szCs w:val="22"/>
                        <w:lang w:val="en-GB"/>
                      </w:rPr>
                      <m:t>-</m:t>
                    </m:r>
                  </m:sup>
                </m:sSubSup>
              </m:oMath>
            </m:oMathPara>
          </w:p>
        </w:tc>
        <w:tc>
          <w:tcPr>
            <w:tcW w:w="2498" w:type="dxa"/>
          </w:tcPr>
          <w:p w14:paraId="59DCCE95" w14:textId="77777777" w:rsidR="00D842D6" w:rsidRPr="00D93FF9" w:rsidRDefault="00E811B8" w:rsidP="003807A1">
            <w:pPr>
              <w:spacing w:after="0" w:line="266" w:lineRule="auto"/>
              <w:rPr>
                <w:rFonts w:asciiTheme="minorHAnsi" w:hAnsiTheme="minorHAnsi"/>
                <w:iCs/>
                <w:sz w:val="22"/>
                <w:szCs w:val="22"/>
                <w:lang w:val="en-GB"/>
              </w:rPr>
            </w:pPr>
            <m:oMathPara>
              <m:oMath>
                <m:r>
                  <m:rPr>
                    <m:sty m:val="p"/>
                  </m:rPr>
                  <w:rPr>
                    <w:rFonts w:ascii="Cambria Math" w:hAnsi="Cambria Math"/>
                    <w:sz w:val="22"/>
                    <w:szCs w:val="22"/>
                    <w:lang w:val="en-GB"/>
                  </w:rPr>
                  <m:t>Log K=2.4</m:t>
                </m:r>
              </m:oMath>
            </m:oMathPara>
          </w:p>
        </w:tc>
      </w:tr>
      <w:tr w:rsidR="00BE3AA8" w:rsidRPr="00D93FF9" w14:paraId="59DCCE99" w14:textId="77777777" w:rsidTr="00187AD8">
        <w:trPr>
          <w:trHeight w:val="327"/>
        </w:trPr>
        <w:tc>
          <w:tcPr>
            <w:tcW w:w="2498" w:type="dxa"/>
          </w:tcPr>
          <w:p w14:paraId="59DCCE97" w14:textId="77777777" w:rsidR="00D842D6" w:rsidRPr="00D93FF9" w:rsidRDefault="00735642" w:rsidP="003807A1">
            <w:pPr>
              <w:spacing w:after="0" w:line="266" w:lineRule="auto"/>
              <w:rPr>
                <w:rFonts w:asciiTheme="minorHAnsi" w:hAnsiTheme="minorHAnsi"/>
                <w:iCs/>
                <w:sz w:val="22"/>
                <w:szCs w:val="22"/>
                <w:lang w:val="en-GB"/>
              </w:rPr>
            </w:pPr>
            <m:oMathPara>
              <m:oMath>
                <m:sSubSup>
                  <m:sSubSupPr>
                    <m:ctrlPr>
                      <w:rPr>
                        <w:rFonts w:ascii="Cambria Math" w:hAnsi="Cambria Math"/>
                        <w:iCs/>
                        <w:sz w:val="22"/>
                        <w:szCs w:val="22"/>
                        <w:lang w:val="en-GB"/>
                      </w:rPr>
                    </m:ctrlPr>
                  </m:sSubSupPr>
                  <m:e>
                    <m:r>
                      <m:rPr>
                        <m:sty m:val="p"/>
                      </m:rPr>
                      <w:rPr>
                        <w:rFonts w:ascii="Cambria Math" w:hAnsi="Cambria Math"/>
                        <w:sz w:val="22"/>
                        <w:szCs w:val="22"/>
                        <w:lang w:val="en-GB"/>
                      </w:rPr>
                      <m:t>CdCl</m:t>
                    </m:r>
                  </m:e>
                  <m:sub>
                    <m:r>
                      <m:rPr>
                        <m:sty m:val="p"/>
                      </m:rPr>
                      <w:rPr>
                        <w:rFonts w:ascii="Cambria Math" w:hAnsi="Cambria Math"/>
                        <w:sz w:val="22"/>
                        <w:szCs w:val="22"/>
                        <w:lang w:val="en-GB"/>
                      </w:rPr>
                      <m:t>3</m:t>
                    </m:r>
                  </m:sub>
                  <m:sup>
                    <m:r>
                      <m:rPr>
                        <m:sty m:val="p"/>
                      </m:rPr>
                      <w:rPr>
                        <w:rFonts w:ascii="Cambria Math" w:hAnsi="Cambria Math"/>
                        <w:sz w:val="22"/>
                        <w:szCs w:val="22"/>
                        <w:lang w:val="en-GB"/>
                      </w:rPr>
                      <m:t>-</m:t>
                    </m:r>
                  </m:sup>
                </m:sSubSup>
                <m:r>
                  <m:rPr>
                    <m:sty m:val="p"/>
                  </m:rPr>
                  <w:rPr>
                    <w:rFonts w:ascii="Cambria Math" w:hAnsi="Cambria Math"/>
                    <w:sz w:val="22"/>
                    <w:szCs w:val="22"/>
                    <w:lang w:val="en-GB"/>
                  </w:rPr>
                  <m:t>+</m:t>
                </m:r>
                <m:sSup>
                  <m:sSupPr>
                    <m:ctrlPr>
                      <w:rPr>
                        <w:rFonts w:ascii="Cambria Math" w:hAnsi="Cambria Math"/>
                        <w:iCs/>
                        <w:sz w:val="22"/>
                        <w:szCs w:val="22"/>
                        <w:lang w:val="en-GB"/>
                      </w:rPr>
                    </m:ctrlPr>
                  </m:sSupPr>
                  <m:e>
                    <m:r>
                      <m:rPr>
                        <m:sty m:val="p"/>
                      </m:rPr>
                      <w:rPr>
                        <w:rFonts w:ascii="Cambria Math" w:hAnsi="Cambria Math"/>
                        <w:sz w:val="22"/>
                        <w:szCs w:val="22"/>
                        <w:lang w:val="en-GB"/>
                      </w:rPr>
                      <m:t>Cl</m:t>
                    </m:r>
                  </m:e>
                  <m:sup>
                    <m:r>
                      <m:rPr>
                        <m:sty m:val="p"/>
                      </m:rPr>
                      <w:rPr>
                        <w:rFonts w:ascii="Cambria Math" w:hAnsi="Cambria Math"/>
                        <w:sz w:val="22"/>
                        <w:szCs w:val="22"/>
                        <w:lang w:val="en-GB"/>
                      </w:rPr>
                      <m:t>-</m:t>
                    </m:r>
                  </m:sup>
                </m:sSup>
                <m:r>
                  <m:rPr>
                    <m:sty m:val="p"/>
                  </m:rPr>
                  <w:rPr>
                    <w:rFonts w:ascii="Cambria Math" w:hAnsi="Cambria Math"/>
                    <w:sz w:val="22"/>
                    <w:szCs w:val="22"/>
                    <w:lang w:val="en-GB"/>
                  </w:rPr>
                  <m:t>→</m:t>
                </m:r>
                <m:sSubSup>
                  <m:sSubSupPr>
                    <m:ctrlPr>
                      <w:rPr>
                        <w:rFonts w:ascii="Cambria Math" w:hAnsi="Cambria Math"/>
                        <w:iCs/>
                        <w:sz w:val="22"/>
                        <w:szCs w:val="22"/>
                        <w:lang w:val="en-GB"/>
                      </w:rPr>
                    </m:ctrlPr>
                  </m:sSubSupPr>
                  <m:e>
                    <m:r>
                      <m:rPr>
                        <m:sty m:val="p"/>
                      </m:rPr>
                      <w:rPr>
                        <w:rFonts w:ascii="Cambria Math" w:hAnsi="Cambria Math"/>
                        <w:sz w:val="22"/>
                        <w:szCs w:val="22"/>
                        <w:lang w:val="en-GB"/>
                      </w:rPr>
                      <m:t>CdCl</m:t>
                    </m:r>
                  </m:e>
                  <m:sub>
                    <m:r>
                      <m:rPr>
                        <m:sty m:val="p"/>
                      </m:rPr>
                      <w:rPr>
                        <w:rFonts w:ascii="Cambria Math" w:hAnsi="Cambria Math"/>
                        <w:sz w:val="22"/>
                        <w:szCs w:val="22"/>
                        <w:lang w:val="en-GB"/>
                      </w:rPr>
                      <m:t>4</m:t>
                    </m:r>
                  </m:sub>
                  <m:sup>
                    <m:r>
                      <m:rPr>
                        <m:sty m:val="p"/>
                      </m:rPr>
                      <w:rPr>
                        <w:rFonts w:ascii="Cambria Math" w:hAnsi="Cambria Math"/>
                        <w:sz w:val="22"/>
                        <w:szCs w:val="22"/>
                        <w:lang w:val="en-GB"/>
                      </w:rPr>
                      <m:t>2-</m:t>
                    </m:r>
                  </m:sup>
                </m:sSubSup>
              </m:oMath>
            </m:oMathPara>
          </w:p>
        </w:tc>
        <w:tc>
          <w:tcPr>
            <w:tcW w:w="2498" w:type="dxa"/>
          </w:tcPr>
          <w:p w14:paraId="59DCCE98" w14:textId="77777777" w:rsidR="00D842D6" w:rsidRPr="00D93FF9" w:rsidRDefault="00E811B8" w:rsidP="003807A1">
            <w:pPr>
              <w:spacing w:after="0" w:line="266" w:lineRule="auto"/>
              <w:rPr>
                <w:rFonts w:asciiTheme="minorHAnsi" w:hAnsiTheme="minorHAnsi"/>
                <w:iCs/>
                <w:sz w:val="22"/>
                <w:szCs w:val="22"/>
                <w:lang w:val="en-GB"/>
              </w:rPr>
            </w:pPr>
            <m:oMathPara>
              <m:oMath>
                <m:r>
                  <m:rPr>
                    <m:sty m:val="p"/>
                  </m:rPr>
                  <w:rPr>
                    <w:rFonts w:ascii="Cambria Math" w:hAnsi="Cambria Math"/>
                    <w:sz w:val="22"/>
                    <w:szCs w:val="22"/>
                    <w:lang w:val="en-GB"/>
                  </w:rPr>
                  <m:t>Log K=2.5</m:t>
                </m:r>
              </m:oMath>
            </m:oMathPara>
          </w:p>
        </w:tc>
      </w:tr>
    </w:tbl>
    <w:p w14:paraId="59DCCE9A" w14:textId="77777777" w:rsidR="00517E92" w:rsidRPr="00D93FF9" w:rsidRDefault="00517E92" w:rsidP="003807A1">
      <w:pPr>
        <w:spacing w:after="0" w:line="266" w:lineRule="auto"/>
        <w:rPr>
          <w:lang w:val="en-GB"/>
        </w:rPr>
      </w:pPr>
    </w:p>
    <w:p w14:paraId="59DCCE9B" w14:textId="77777777" w:rsidR="00C46175" w:rsidRPr="00D93FF9" w:rsidRDefault="00C46175" w:rsidP="003807A1">
      <w:pPr>
        <w:pStyle w:val="BodyText"/>
        <w:spacing w:after="0" w:line="20" w:lineRule="exact"/>
        <w:rPr>
          <w:rFonts w:ascii="Arial"/>
          <w:sz w:val="2"/>
          <w:lang w:val="en-GB"/>
        </w:rPr>
      </w:pPr>
      <w:bookmarkStart w:id="203" w:name="9.2.4.3__Sodium"/>
      <w:bookmarkEnd w:id="203"/>
    </w:p>
    <w:p w14:paraId="59DCCE9C" w14:textId="0BF2E2A0" w:rsidR="00C46175" w:rsidRPr="00D93FF9" w:rsidRDefault="00E811B8" w:rsidP="008413C9">
      <w:pPr>
        <w:pStyle w:val="BodyText"/>
        <w:spacing w:after="0" w:line="264" w:lineRule="auto"/>
        <w:jc w:val="both"/>
        <w:rPr>
          <w:lang w:val="en-GB"/>
        </w:rPr>
      </w:pPr>
      <w:r w:rsidRPr="00D93FF9">
        <w:rPr>
          <w:lang w:val="en-GB"/>
        </w:rPr>
        <w:t>Thus, as solution chloride concentrations increase above approximately 400 mg/L, CdCl</w:t>
      </w:r>
      <w:r w:rsidRPr="00D93FF9">
        <w:rPr>
          <w:position w:val="5"/>
          <w:sz w:val="15"/>
          <w:lang w:val="en-GB"/>
        </w:rPr>
        <w:t xml:space="preserve">+ </w:t>
      </w:r>
      <w:r w:rsidRPr="00D93FF9">
        <w:rPr>
          <w:lang w:val="en-GB"/>
        </w:rPr>
        <w:t>will be more abundant in solution than Cd</w:t>
      </w:r>
      <w:r w:rsidRPr="00D93FF9">
        <w:rPr>
          <w:position w:val="5"/>
          <w:sz w:val="15"/>
          <w:lang w:val="en-GB"/>
        </w:rPr>
        <w:t>2+</w:t>
      </w:r>
      <w:r w:rsidRPr="00D93FF9">
        <w:rPr>
          <w:lang w:val="en-GB"/>
        </w:rPr>
        <w:t>. Such chloride concentrations are common in irrigation waters, and soil solutions may contain much higher chloride concentrations due to evapotranspiration, so that CdCl</w:t>
      </w:r>
      <w:r w:rsidRPr="00D93FF9">
        <w:rPr>
          <w:position w:val="-4"/>
          <w:sz w:val="15"/>
          <w:lang w:val="en-GB"/>
        </w:rPr>
        <w:t>n</w:t>
      </w:r>
      <w:r w:rsidRPr="00D93FF9">
        <w:rPr>
          <w:position w:val="5"/>
          <w:sz w:val="15"/>
          <w:lang w:val="en-GB"/>
        </w:rPr>
        <w:t xml:space="preserve">2-n </w:t>
      </w:r>
      <w:r w:rsidRPr="00D93FF9">
        <w:rPr>
          <w:lang w:val="en-GB"/>
        </w:rPr>
        <w:t xml:space="preserve">complexes dominate cadmium solution chemistry in saline irrigated soils in Australia (McLaughlin et al. 1997). Due to the increased mobility of cadmium in the soil-plant system conferred by chloride, particularly at the root surface (Smolders </w:t>
      </w:r>
      <w:r w:rsidR="00FA6E9E" w:rsidRPr="00D93FF9">
        <w:rPr>
          <w:lang w:val="en-GB"/>
        </w:rPr>
        <w:t>and</w:t>
      </w:r>
      <w:r w:rsidRPr="00D93FF9">
        <w:rPr>
          <w:lang w:val="en-GB"/>
        </w:rPr>
        <w:t xml:space="preserve"> McLaughlin 1996), cadmium concentrations in crops are</w:t>
      </w:r>
      <w:r w:rsidRPr="00D93FF9">
        <w:rPr>
          <w:spacing w:val="-2"/>
          <w:lang w:val="en-GB"/>
        </w:rPr>
        <w:t xml:space="preserve"> </w:t>
      </w:r>
      <w:r w:rsidRPr="00D93FF9">
        <w:rPr>
          <w:lang w:val="en-GB"/>
        </w:rPr>
        <w:t>increased</w:t>
      </w:r>
      <w:r w:rsidR="0096325C" w:rsidRPr="00D93FF9">
        <w:rPr>
          <w:lang w:val="en-GB"/>
        </w:rPr>
        <w:t>.</w:t>
      </w:r>
    </w:p>
    <w:p w14:paraId="59DCCE9D" w14:textId="7D3375D8" w:rsidR="00EA561B" w:rsidRPr="00D93FF9" w:rsidRDefault="00E811B8" w:rsidP="008413C9">
      <w:pPr>
        <w:pStyle w:val="BodyText"/>
        <w:spacing w:after="0" w:line="266" w:lineRule="auto"/>
        <w:jc w:val="both"/>
        <w:rPr>
          <w:lang w:val="en-GB"/>
        </w:rPr>
      </w:pPr>
      <w:r w:rsidRPr="00D93FF9">
        <w:rPr>
          <w:lang w:val="en-GB"/>
        </w:rPr>
        <w:t>In brown mustard (Brassica juncea), high Cl</w:t>
      </w:r>
      <w:r w:rsidRPr="00D93FF9">
        <w:rPr>
          <w:vertAlign w:val="superscript"/>
          <w:lang w:val="en-GB"/>
        </w:rPr>
        <w:t>-</w:t>
      </w:r>
      <w:r w:rsidRPr="00D93FF9">
        <w:rPr>
          <w:lang w:val="en-GB"/>
        </w:rPr>
        <w:t xml:space="preserve"> in the soil solution (up to 200mM NaCl) caused an enhanced accumulation of cadmium (Lopez-Chuken et al. 2010). Similar results were also observed for wheat (Dahlin et al. 2016), maize or tobacco (Lopez-chucken 2012)</w:t>
      </w:r>
      <w:r w:rsidR="00A46E46" w:rsidRPr="00D93FF9">
        <w:rPr>
          <w:lang w:val="en-GB"/>
        </w:rPr>
        <w:t>.</w:t>
      </w:r>
    </w:p>
    <w:p w14:paraId="59DCCE9E" w14:textId="03F001E1" w:rsidR="00DE6306" w:rsidRDefault="00E811B8" w:rsidP="008413C9">
      <w:pPr>
        <w:pStyle w:val="BodyText"/>
        <w:spacing w:after="0" w:line="266" w:lineRule="auto"/>
        <w:jc w:val="both"/>
        <w:rPr>
          <w:lang w:val="en-GB"/>
        </w:rPr>
      </w:pPr>
      <w:r w:rsidRPr="00D93FF9">
        <w:rPr>
          <w:lang w:val="en-GB"/>
        </w:rPr>
        <w:t>I</w:t>
      </w:r>
      <w:r w:rsidR="00E90CE0" w:rsidRPr="00D93FF9">
        <w:rPr>
          <w:lang w:val="en-GB"/>
        </w:rPr>
        <w:t xml:space="preserve">t has been clearly demonstrated that for commercial crops, </w:t>
      </w:r>
      <w:r w:rsidR="00E97CDE" w:rsidRPr="00D93FF9">
        <w:rPr>
          <w:lang w:val="en-GB"/>
        </w:rPr>
        <w:t>the presence of high concentrations of Cl</w:t>
      </w:r>
      <w:r w:rsidR="00E97CDE" w:rsidRPr="00D93FF9">
        <w:rPr>
          <w:vertAlign w:val="superscript"/>
          <w:lang w:val="en-GB"/>
        </w:rPr>
        <w:t>-</w:t>
      </w:r>
      <w:r w:rsidR="00E97CDE" w:rsidRPr="00D93FF9">
        <w:rPr>
          <w:lang w:val="en-GB"/>
        </w:rPr>
        <w:t xml:space="preserve"> in the soil solution</w:t>
      </w:r>
      <w:r w:rsidR="00E90CE0" w:rsidRPr="00D93FF9">
        <w:rPr>
          <w:lang w:val="en-GB"/>
        </w:rPr>
        <w:t xml:space="preserve"> significantly increases crop Cd concentrations (McLaughlin et al. 1994</w:t>
      </w:r>
      <w:r w:rsidR="00C5439C" w:rsidRPr="00D93FF9">
        <w:rPr>
          <w:lang w:val="en-GB"/>
        </w:rPr>
        <w:t>;</w:t>
      </w:r>
      <w:r w:rsidR="0096325C" w:rsidRPr="00D93FF9">
        <w:rPr>
          <w:lang w:val="en-GB"/>
        </w:rPr>
        <w:t xml:space="preserve"> Weggler-Beaton et al. 2000; Weggler et al. 2004;</w:t>
      </w:r>
      <w:r w:rsidR="00C5439C" w:rsidRPr="00D93FF9">
        <w:rPr>
          <w:lang w:val="en-GB"/>
        </w:rPr>
        <w:t xml:space="preserve"> </w:t>
      </w:r>
      <w:r w:rsidRPr="00D93FF9">
        <w:rPr>
          <w:lang w:val="en-GB"/>
        </w:rPr>
        <w:t>Ozkutlu et al. 2007; Ishikawa et al. 2015</w:t>
      </w:r>
      <w:r w:rsidR="00E90CE0" w:rsidRPr="00D93FF9">
        <w:rPr>
          <w:lang w:val="en-GB"/>
        </w:rPr>
        <w:t>). If high chloride concentrations are present in the irrigation water, it is recommended that produce irrigated with the water is tested for cadmium concentration in the edible portions (e.g. potato tubers, leafy vegetables, cereal grains, etc)</w:t>
      </w:r>
      <w:r w:rsidR="00F94772" w:rsidRPr="00D93FF9">
        <w:rPr>
          <w:lang w:val="en-GB"/>
        </w:rPr>
        <w:t xml:space="preserve">. </w:t>
      </w:r>
    </w:p>
    <w:p w14:paraId="0B0627B9" w14:textId="77777777" w:rsidR="006975D0" w:rsidRPr="00D93FF9" w:rsidRDefault="006975D0" w:rsidP="008413C9">
      <w:pPr>
        <w:pStyle w:val="BodyText"/>
        <w:spacing w:after="0" w:line="266" w:lineRule="auto"/>
        <w:jc w:val="both"/>
        <w:rPr>
          <w:b/>
          <w:bCs/>
          <w:lang w:val="en-GB"/>
        </w:rPr>
      </w:pPr>
    </w:p>
    <w:p w14:paraId="59DCCE9F" w14:textId="77777777" w:rsidR="008413C9" w:rsidRPr="00D93FF9" w:rsidRDefault="00E811B8" w:rsidP="00527187">
      <w:pPr>
        <w:pStyle w:val="Heading4"/>
        <w:rPr>
          <w:lang w:val="en-GB"/>
        </w:rPr>
      </w:pPr>
      <w:r w:rsidRPr="00D93FF9">
        <w:lastRenderedPageBreak/>
        <w:t>Guideline</w:t>
      </w:r>
      <w:r w:rsidRPr="00D93FF9">
        <w:rPr>
          <w:lang w:val="en-GB"/>
        </w:rPr>
        <w:t xml:space="preserve"> values in other regulations</w:t>
      </w:r>
    </w:p>
    <w:p w14:paraId="59DCCEA0" w14:textId="389D3447" w:rsidR="007A1AE5" w:rsidRPr="00D93FF9" w:rsidRDefault="00E811B8" w:rsidP="008413C9">
      <w:pPr>
        <w:pStyle w:val="BodyText"/>
        <w:spacing w:after="0" w:line="266" w:lineRule="auto"/>
        <w:jc w:val="both"/>
        <w:rPr>
          <w:rFonts w:cstheme="minorHAnsi"/>
          <w:lang w:val="en-GB"/>
        </w:rPr>
      </w:pPr>
      <w:r w:rsidRPr="00D93FF9">
        <w:rPr>
          <w:rFonts w:cstheme="minorHAnsi"/>
          <w:lang w:val="en-GB"/>
        </w:rPr>
        <w:t xml:space="preserve">In </w:t>
      </w:r>
      <w:r w:rsidR="0037733E" w:rsidRPr="00D93FF9">
        <w:rPr>
          <w:rFonts w:cstheme="minorHAnsi"/>
          <w:lang w:val="en-GB"/>
        </w:rPr>
        <w:t>some regulations internationally</w:t>
      </w:r>
      <w:r w:rsidRPr="00D93FF9">
        <w:rPr>
          <w:rFonts w:cstheme="minorHAnsi"/>
          <w:lang w:val="en-GB"/>
        </w:rPr>
        <w:t xml:space="preserve">, chloride concentrations are provided </w:t>
      </w:r>
      <w:r w:rsidR="00EF20B6" w:rsidRPr="00D93FF9">
        <w:rPr>
          <w:rFonts w:cstheme="minorHAnsi"/>
          <w:lang w:val="en-GB"/>
        </w:rPr>
        <w:t xml:space="preserve">as a single </w:t>
      </w:r>
      <w:r w:rsidR="00253D22" w:rsidRPr="00D93FF9">
        <w:rPr>
          <w:rFonts w:cstheme="minorHAnsi"/>
          <w:lang w:val="en-GB"/>
        </w:rPr>
        <w:t xml:space="preserve">value </w:t>
      </w:r>
      <w:r w:rsidR="00EF20B6" w:rsidRPr="00D93FF9">
        <w:rPr>
          <w:rFonts w:cstheme="minorHAnsi"/>
          <w:lang w:val="en-GB"/>
        </w:rPr>
        <w:t xml:space="preserve">and </w:t>
      </w:r>
      <w:r w:rsidR="002C5E33" w:rsidRPr="00D93FF9">
        <w:rPr>
          <w:rFonts w:cstheme="minorHAnsi"/>
          <w:lang w:val="en-GB"/>
        </w:rPr>
        <w:t>do not take into account</w:t>
      </w:r>
      <w:r w:rsidRPr="00D93FF9">
        <w:rPr>
          <w:rFonts w:cstheme="minorHAnsi"/>
          <w:lang w:val="en-GB"/>
        </w:rPr>
        <w:t xml:space="preserve"> crop sensitivity</w:t>
      </w:r>
      <w:r w:rsidR="00EF20B6" w:rsidRPr="00D93FF9">
        <w:rPr>
          <w:rFonts w:cstheme="minorHAnsi"/>
          <w:lang w:val="en-GB"/>
        </w:rPr>
        <w:t xml:space="preserve">: </w:t>
      </w:r>
      <w:r w:rsidR="00F6373F" w:rsidRPr="00D93FF9">
        <w:rPr>
          <w:rFonts w:cstheme="minorHAnsi"/>
          <w:lang w:val="en-GB"/>
        </w:rPr>
        <w:t xml:space="preserve">Amongst the most restrictive are Saudi Arabia </w:t>
      </w:r>
      <w:r w:rsidR="00253D22" w:rsidRPr="00D93FF9">
        <w:rPr>
          <w:rFonts w:cstheme="minorHAnsi"/>
          <w:lang w:val="en-GB"/>
        </w:rPr>
        <w:t xml:space="preserve">and Iran </w:t>
      </w:r>
      <w:r w:rsidR="00F6373F" w:rsidRPr="00D93FF9">
        <w:rPr>
          <w:rFonts w:cstheme="minorHAnsi"/>
          <w:lang w:val="en-GB"/>
        </w:rPr>
        <w:t>(100mg/L)</w:t>
      </w:r>
      <w:r w:rsidR="00253D22" w:rsidRPr="00D93FF9">
        <w:rPr>
          <w:rFonts w:cstheme="minorHAnsi"/>
          <w:lang w:val="en-GB"/>
        </w:rPr>
        <w:t xml:space="preserve">. Italy and Iran both recommend irrigating with a maximum Cl concentration </w:t>
      </w:r>
      <w:r w:rsidR="002C5E33" w:rsidRPr="00D93FF9">
        <w:rPr>
          <w:rFonts w:cstheme="minorHAnsi"/>
          <w:lang w:val="en-GB"/>
        </w:rPr>
        <w:t xml:space="preserve">in water </w:t>
      </w:r>
      <w:r w:rsidR="00253D22" w:rsidRPr="00D93FF9">
        <w:rPr>
          <w:rFonts w:cstheme="minorHAnsi"/>
          <w:lang w:val="en-GB"/>
        </w:rPr>
        <w:t>of 250mg/L</w:t>
      </w:r>
      <w:r w:rsidR="00F6373F" w:rsidRPr="00D93FF9">
        <w:rPr>
          <w:rFonts w:cstheme="minorHAnsi"/>
          <w:lang w:val="en-GB"/>
        </w:rPr>
        <w:t xml:space="preserve">, </w:t>
      </w:r>
      <w:r w:rsidR="00EF20B6" w:rsidRPr="00D93FF9">
        <w:rPr>
          <w:rFonts w:cstheme="minorHAnsi"/>
          <w:lang w:val="en-GB"/>
        </w:rPr>
        <w:t>China (</w:t>
      </w:r>
      <w:r w:rsidR="00482E40" w:rsidRPr="00D93FF9">
        <w:rPr>
          <w:rFonts w:cstheme="minorHAnsi"/>
          <w:lang w:val="en-GB"/>
        </w:rPr>
        <w:t xml:space="preserve">Ministry of Agriculture </w:t>
      </w:r>
      <w:r w:rsidR="00867DA3" w:rsidRPr="00D93FF9">
        <w:rPr>
          <w:rFonts w:cstheme="minorHAnsi"/>
          <w:lang w:val="en-GB"/>
        </w:rPr>
        <w:t>200</w:t>
      </w:r>
      <w:r w:rsidR="00482E40" w:rsidRPr="00D93FF9">
        <w:rPr>
          <w:rFonts w:cstheme="minorHAnsi"/>
          <w:lang w:val="en-GB"/>
        </w:rPr>
        <w:t>7</w:t>
      </w:r>
      <w:r w:rsidR="00EF20B6" w:rsidRPr="00D93FF9">
        <w:rPr>
          <w:rFonts w:cstheme="minorHAnsi"/>
          <w:lang w:val="en-GB"/>
        </w:rPr>
        <w:t xml:space="preserve">) recommends </w:t>
      </w:r>
      <w:r w:rsidR="00D10FF8" w:rsidRPr="00D93FF9">
        <w:rPr>
          <w:rFonts w:cstheme="minorHAnsi"/>
          <w:lang w:val="en-GB"/>
        </w:rPr>
        <w:t>350</w:t>
      </w:r>
      <w:r w:rsidR="00EF20B6" w:rsidRPr="00D93FF9">
        <w:rPr>
          <w:rFonts w:cstheme="minorHAnsi"/>
          <w:lang w:val="en-GB"/>
        </w:rPr>
        <w:t xml:space="preserve">mg/L, the </w:t>
      </w:r>
      <w:r w:rsidR="0060085C" w:rsidRPr="00D93FF9">
        <w:rPr>
          <w:rFonts w:cstheme="minorHAnsi"/>
          <w:lang w:val="en-GB"/>
        </w:rPr>
        <w:t xml:space="preserve">AGWR </w:t>
      </w:r>
      <w:r w:rsidR="00EC7C59" w:rsidRPr="00D93FF9">
        <w:rPr>
          <w:rFonts w:cstheme="minorHAnsi"/>
          <w:lang w:val="en-GB"/>
        </w:rPr>
        <w:t xml:space="preserve"> (</w:t>
      </w:r>
      <w:r w:rsidR="005D0C34" w:rsidRPr="00D93FF9">
        <w:rPr>
          <w:rFonts w:cs="Arial"/>
        </w:rPr>
        <w:t xml:space="preserve">NRMMC, EPHC </w:t>
      </w:r>
      <w:r w:rsidR="00FA6E9E" w:rsidRPr="00D93FF9">
        <w:rPr>
          <w:rFonts w:cs="Arial"/>
        </w:rPr>
        <w:t>and</w:t>
      </w:r>
      <w:r w:rsidR="005D0C34" w:rsidRPr="00D93FF9">
        <w:rPr>
          <w:rFonts w:cs="Arial"/>
        </w:rPr>
        <w:t xml:space="preserve"> AHMC </w:t>
      </w:r>
      <w:r w:rsidR="00EC7C59" w:rsidRPr="00D93FF9">
        <w:rPr>
          <w:rFonts w:cstheme="minorHAnsi"/>
          <w:lang w:val="en-GB"/>
        </w:rPr>
        <w:t>2006)</w:t>
      </w:r>
      <w:r w:rsidR="00EF20B6" w:rsidRPr="00D93FF9">
        <w:rPr>
          <w:rFonts w:cstheme="minorHAnsi"/>
          <w:lang w:val="en-GB"/>
        </w:rPr>
        <w:t xml:space="preserve"> recommend 340mg/L</w:t>
      </w:r>
      <w:r w:rsidR="00D10FF8" w:rsidRPr="00D93FF9">
        <w:rPr>
          <w:rFonts w:cstheme="minorHAnsi"/>
          <w:lang w:val="en-GB"/>
        </w:rPr>
        <w:t>. Italy specifies a Cl threshold of 250 mg/L in irrigation water (</w:t>
      </w:r>
      <w:r w:rsidR="00867DA3" w:rsidRPr="00D93FF9">
        <w:rPr>
          <w:rFonts w:cstheme="minorHAnsi"/>
          <w:lang w:val="en-GB"/>
        </w:rPr>
        <w:t>Bar</w:t>
      </w:r>
      <w:r w:rsidR="00762BFE" w:rsidRPr="00D93FF9">
        <w:rPr>
          <w:rFonts w:cstheme="minorHAnsi"/>
          <w:lang w:val="en-GB"/>
        </w:rPr>
        <w:t>ba</w:t>
      </w:r>
      <w:r w:rsidR="00867DA3" w:rsidRPr="00D93FF9">
        <w:rPr>
          <w:rFonts w:cstheme="minorHAnsi"/>
          <w:lang w:val="en-GB"/>
        </w:rPr>
        <w:t>gallo et al. 2001</w:t>
      </w:r>
      <w:r w:rsidR="00D10FF8" w:rsidRPr="00D93FF9">
        <w:rPr>
          <w:rFonts w:cstheme="minorHAnsi"/>
          <w:lang w:val="en-GB"/>
        </w:rPr>
        <w:t>)</w:t>
      </w:r>
      <w:r w:rsidR="00EF20B6" w:rsidRPr="00D93FF9">
        <w:rPr>
          <w:rFonts w:cstheme="minorHAnsi"/>
          <w:lang w:val="en-GB"/>
        </w:rPr>
        <w:t xml:space="preserve"> Other regulation</w:t>
      </w:r>
      <w:r w:rsidR="00F94772" w:rsidRPr="00D93FF9">
        <w:rPr>
          <w:rFonts w:cstheme="minorHAnsi"/>
          <w:lang w:val="en-GB"/>
        </w:rPr>
        <w:t>s are based on the restriction on use</w:t>
      </w:r>
      <w:r w:rsidR="00DB517A" w:rsidRPr="00D93FF9">
        <w:rPr>
          <w:rFonts w:cstheme="minorHAnsi"/>
          <w:lang w:val="en-GB"/>
        </w:rPr>
        <w:t xml:space="preserve"> (FAO</w:t>
      </w:r>
      <w:r w:rsidR="00F94772" w:rsidRPr="00D93FF9">
        <w:rPr>
          <w:rFonts w:cstheme="minorHAnsi"/>
          <w:lang w:val="en-GB"/>
        </w:rPr>
        <w:t xml:space="preserve"> </w:t>
      </w:r>
      <w:r w:rsidR="00DB517A" w:rsidRPr="00D93FF9">
        <w:rPr>
          <w:rFonts w:cstheme="minorHAnsi"/>
          <w:lang w:val="en-GB"/>
        </w:rPr>
        <w:t>(</w:t>
      </w:r>
      <w:r w:rsidR="006E4DD8" w:rsidRPr="00D93FF9">
        <w:rPr>
          <w:rFonts w:cstheme="minorHAnsi"/>
          <w:lang w:val="en-GB"/>
        </w:rPr>
        <w:t xml:space="preserve">Ayers </w:t>
      </w:r>
      <w:r w:rsidR="00FA6E9E" w:rsidRPr="00D93FF9">
        <w:rPr>
          <w:rFonts w:cstheme="minorHAnsi"/>
          <w:lang w:val="en-GB"/>
        </w:rPr>
        <w:t>and</w:t>
      </w:r>
      <w:r w:rsidR="006E4DD8" w:rsidRPr="00D93FF9">
        <w:rPr>
          <w:rFonts w:cstheme="minorHAnsi"/>
          <w:lang w:val="en-GB"/>
        </w:rPr>
        <w:t xml:space="preserve"> Westcot</w:t>
      </w:r>
      <w:r w:rsidR="00F94772" w:rsidRPr="00D93FF9">
        <w:rPr>
          <w:rFonts w:cstheme="minorHAnsi"/>
          <w:lang w:val="en-GB"/>
        </w:rPr>
        <w:t xml:space="preserve"> 1985</w:t>
      </w:r>
      <w:r w:rsidR="00DB517A" w:rsidRPr="00D93FF9">
        <w:rPr>
          <w:rFonts w:cstheme="minorHAnsi"/>
          <w:lang w:val="en-GB"/>
        </w:rPr>
        <w:t>)</w:t>
      </w:r>
      <w:r w:rsidR="00EC7C59" w:rsidRPr="00D93FF9">
        <w:rPr>
          <w:rFonts w:cstheme="minorHAnsi"/>
          <w:lang w:val="en-GB"/>
        </w:rPr>
        <w:t>;</w:t>
      </w:r>
      <w:r w:rsidR="00D10FF8" w:rsidRPr="00D93FF9">
        <w:rPr>
          <w:rFonts w:cstheme="minorHAnsi"/>
          <w:lang w:val="en-GB"/>
        </w:rPr>
        <w:t xml:space="preserve"> see</w:t>
      </w:r>
      <w:r w:rsidR="003546C8" w:rsidRPr="00D93FF9">
        <w:rPr>
          <w:rFonts w:cstheme="minorHAnsi"/>
          <w:lang w:val="en-GB"/>
        </w:rPr>
        <w:t xml:space="preserve"> </w:t>
      </w:r>
      <w:r w:rsidR="003546C8" w:rsidRPr="00D93FF9">
        <w:rPr>
          <w:rFonts w:cstheme="minorHAnsi"/>
          <w:lang w:val="en-GB"/>
        </w:rPr>
        <w:fldChar w:fldCharType="begin"/>
      </w:r>
      <w:r w:rsidR="003546C8" w:rsidRPr="00D93FF9">
        <w:rPr>
          <w:rFonts w:cstheme="minorHAnsi"/>
          <w:lang w:val="en-GB"/>
        </w:rPr>
        <w:instrText xml:space="preserve"> REF _Ref81393562 \h </w:instrText>
      </w:r>
      <w:r w:rsidR="005C5683" w:rsidRPr="00D93FF9">
        <w:rPr>
          <w:rFonts w:cstheme="minorHAnsi"/>
          <w:lang w:val="en-GB"/>
        </w:rPr>
        <w:instrText xml:space="preserve"> \* MERGEFORMAT </w:instrText>
      </w:r>
      <w:r w:rsidR="003546C8" w:rsidRPr="00D93FF9">
        <w:rPr>
          <w:rFonts w:cstheme="minorHAnsi"/>
          <w:lang w:val="en-GB"/>
        </w:rPr>
      </w:r>
      <w:r w:rsidR="003546C8" w:rsidRPr="00D93FF9">
        <w:rPr>
          <w:rFonts w:cstheme="minorHAnsi"/>
          <w:lang w:val="en-GB"/>
        </w:rPr>
        <w:fldChar w:fldCharType="separate"/>
      </w:r>
      <w:r w:rsidR="0069302C" w:rsidRPr="0069302C">
        <w:rPr>
          <w:rFonts w:cstheme="minorHAnsi"/>
          <w:lang w:val="en-GB"/>
        </w:rPr>
        <w:t>Table 19</w:t>
      </w:r>
      <w:r w:rsidR="003546C8" w:rsidRPr="00D93FF9">
        <w:rPr>
          <w:rFonts w:cstheme="minorHAnsi"/>
          <w:lang w:val="en-GB"/>
        </w:rPr>
        <w:fldChar w:fldCharType="end"/>
      </w:r>
      <w:r w:rsidR="00D10FF8" w:rsidRPr="00D93FF9">
        <w:rPr>
          <w:rFonts w:cstheme="minorHAnsi"/>
          <w:lang w:val="en-GB"/>
        </w:rPr>
        <w:t>;</w:t>
      </w:r>
      <w:r w:rsidR="00EC7C59" w:rsidRPr="00D93FF9">
        <w:rPr>
          <w:rFonts w:cstheme="minorHAnsi"/>
          <w:lang w:val="en-GB"/>
        </w:rPr>
        <w:t xml:space="preserve"> Oman</w:t>
      </w:r>
      <w:r w:rsidR="006E4DD8" w:rsidRPr="00D93FF9">
        <w:rPr>
          <w:rFonts w:cstheme="minorHAnsi"/>
          <w:lang w:val="en-GB"/>
        </w:rPr>
        <w:t xml:space="preserve"> (</w:t>
      </w:r>
      <w:r w:rsidR="0006749F" w:rsidRPr="00D93FF9">
        <w:rPr>
          <w:rFonts w:cstheme="minorHAnsi"/>
          <w:lang w:val="en-GB"/>
        </w:rPr>
        <w:t xml:space="preserve">Oman’s </w:t>
      </w:r>
      <w:r w:rsidR="006E4DD8" w:rsidRPr="00D93FF9">
        <w:rPr>
          <w:rFonts w:cstheme="minorHAnsi"/>
          <w:lang w:val="en-GB"/>
        </w:rPr>
        <w:t xml:space="preserve">Ministerial Decision No </w:t>
      </w:r>
      <w:r w:rsidR="0006749F" w:rsidRPr="00D93FF9">
        <w:rPr>
          <w:rFonts w:cstheme="minorHAnsi"/>
          <w:lang w:val="en-GB"/>
        </w:rPr>
        <w:t>1</w:t>
      </w:r>
      <w:r w:rsidR="006E4DD8" w:rsidRPr="00D93FF9">
        <w:rPr>
          <w:rFonts w:cstheme="minorHAnsi"/>
          <w:lang w:val="en-GB"/>
        </w:rPr>
        <w:t>45 of</w:t>
      </w:r>
      <w:r w:rsidR="00EC7C59" w:rsidRPr="00D93FF9">
        <w:rPr>
          <w:rFonts w:cstheme="minorHAnsi"/>
          <w:lang w:val="en-GB"/>
        </w:rPr>
        <w:t xml:space="preserve"> </w:t>
      </w:r>
      <w:r w:rsidR="00867DA3" w:rsidRPr="00D93FF9">
        <w:rPr>
          <w:rFonts w:cstheme="minorHAnsi"/>
          <w:lang w:val="en-GB"/>
        </w:rPr>
        <w:t>1993</w:t>
      </w:r>
      <w:r w:rsidR="00F94772" w:rsidRPr="00D93FF9">
        <w:rPr>
          <w:rFonts w:cstheme="minorHAnsi"/>
          <w:lang w:val="en-GB"/>
        </w:rPr>
        <w:t>)</w:t>
      </w:r>
      <w:r w:rsidR="006E4DD8" w:rsidRPr="00D93FF9">
        <w:rPr>
          <w:rFonts w:cstheme="minorHAnsi"/>
          <w:lang w:val="en-GB"/>
        </w:rPr>
        <w:t>)</w:t>
      </w:r>
      <w:r w:rsidR="00F94772" w:rsidRPr="00D93FF9">
        <w:rPr>
          <w:rFonts w:cstheme="minorHAnsi"/>
          <w:lang w:val="en-GB"/>
        </w:rPr>
        <w:t>.</w:t>
      </w:r>
    </w:p>
    <w:p w14:paraId="59DCCEA1" w14:textId="77777777" w:rsidR="008413C9" w:rsidRPr="00D93FF9" w:rsidRDefault="008413C9" w:rsidP="008413C9">
      <w:pPr>
        <w:pStyle w:val="BodyText"/>
        <w:spacing w:after="0" w:line="266" w:lineRule="auto"/>
        <w:jc w:val="both"/>
        <w:rPr>
          <w:lang w:val="en-GB"/>
        </w:rPr>
      </w:pPr>
    </w:p>
    <w:p w14:paraId="59DCCEA2" w14:textId="5CA1A555" w:rsidR="00CA151E" w:rsidRPr="00D93FF9" w:rsidRDefault="003546C8" w:rsidP="003546C8">
      <w:pPr>
        <w:pStyle w:val="Caption"/>
        <w:rPr>
          <w:bCs w:val="0"/>
          <w:iCs/>
          <w:lang w:val="en-GB"/>
        </w:rPr>
      </w:pPr>
      <w:bookmarkStart w:id="204" w:name="_Ref81393562"/>
      <w:bookmarkStart w:id="205" w:name="_Toc96518233"/>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19</w:t>
      </w:r>
      <w:r w:rsidR="00477102" w:rsidRPr="00D93FF9">
        <w:fldChar w:fldCharType="end"/>
      </w:r>
      <w:bookmarkEnd w:id="204"/>
      <w:r w:rsidRPr="00D93FF9">
        <w:t xml:space="preserve"> </w:t>
      </w:r>
      <w:bookmarkStart w:id="206" w:name="_Hlk153812666"/>
      <w:r w:rsidR="00E811B8" w:rsidRPr="00D93FF9">
        <w:rPr>
          <w:rFonts w:ascii="Calibri" w:hAnsi="Calibri"/>
          <w:iCs/>
          <w:lang w:val="en-GB"/>
        </w:rPr>
        <w:t>Chloride concentration thresholds in agricultural water reuse as recommended by the FAO</w:t>
      </w:r>
      <w:bookmarkEnd w:id="205"/>
      <w:bookmarkEnd w:id="20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Chloride concentration thresholds in agricultural water reuse as recommended by the FAO"/>
        <w:tblDescription w:val="A table of chloride concentrations based on the degree of restriction on irrigation use. For surface irrigation, no restriction use is below 142 milligrams per litre, while restricted use thresholds range from 142 to 355 milligrams per litre. For sprinkler irrigation, no restriction use is below 142 milligrams per litre, while restricted use threshold is greater than 142 milligrams per litre."/>
      </w:tblPr>
      <w:tblGrid>
        <w:gridCol w:w="2689"/>
        <w:gridCol w:w="1417"/>
        <w:gridCol w:w="1276"/>
        <w:gridCol w:w="1984"/>
      </w:tblGrid>
      <w:tr w:rsidR="00BE3AA8" w:rsidRPr="00D93FF9" w14:paraId="59DCCEA6" w14:textId="77777777" w:rsidTr="009A320C">
        <w:tc>
          <w:tcPr>
            <w:tcW w:w="2689" w:type="dxa"/>
            <w:tcBorders>
              <w:bottom w:val="nil"/>
            </w:tcBorders>
          </w:tcPr>
          <w:p w14:paraId="59DCCEA3" w14:textId="77777777" w:rsidR="001830E6" w:rsidRPr="00D93FF9" w:rsidRDefault="00E811B8" w:rsidP="008413C9">
            <w:pPr>
              <w:pStyle w:val="BodyText"/>
              <w:spacing w:before="0" w:after="0" w:line="266" w:lineRule="auto"/>
              <w:rPr>
                <w:rFonts w:asciiTheme="minorHAnsi" w:hAnsiTheme="minorHAnsi"/>
                <w:bCs/>
                <w:iCs/>
                <w:lang w:val="en-GB"/>
              </w:rPr>
            </w:pPr>
            <w:r w:rsidRPr="00D93FF9">
              <w:rPr>
                <w:rFonts w:asciiTheme="minorHAnsi" w:hAnsiTheme="minorHAnsi"/>
                <w:bCs/>
                <w:iCs/>
                <w:lang w:val="en-GB"/>
              </w:rPr>
              <w:t xml:space="preserve"> </w:t>
            </w:r>
            <w:r w:rsidR="008413C9" w:rsidRPr="00D93FF9">
              <w:rPr>
                <w:rFonts w:asciiTheme="minorHAnsi" w:hAnsiTheme="minorHAnsi"/>
                <w:bCs/>
                <w:iCs/>
                <w:lang w:val="en-GB"/>
              </w:rPr>
              <w:t xml:space="preserve">Chloride </w:t>
            </w:r>
            <w:r w:rsidRPr="00D93FF9">
              <w:rPr>
                <w:rFonts w:asciiTheme="minorHAnsi" w:hAnsiTheme="minorHAnsi"/>
                <w:bCs/>
                <w:iCs/>
                <w:lang w:val="en-GB"/>
              </w:rPr>
              <w:t>(Cl</w:t>
            </w:r>
            <w:r w:rsidRPr="00D93FF9">
              <w:rPr>
                <w:rFonts w:asciiTheme="minorHAnsi" w:hAnsiTheme="minorHAnsi"/>
                <w:bCs/>
                <w:iCs/>
                <w:vertAlign w:val="superscript"/>
                <w:lang w:val="en-GB"/>
              </w:rPr>
              <w:t>-</w:t>
            </w:r>
            <w:r w:rsidRPr="00D93FF9">
              <w:rPr>
                <w:rFonts w:asciiTheme="minorHAnsi" w:hAnsiTheme="minorHAnsi"/>
                <w:bCs/>
                <w:iCs/>
                <w:lang w:val="en-GB"/>
              </w:rPr>
              <w:t>)</w:t>
            </w:r>
          </w:p>
        </w:tc>
        <w:tc>
          <w:tcPr>
            <w:tcW w:w="1417" w:type="dxa"/>
            <w:tcBorders>
              <w:bottom w:val="nil"/>
            </w:tcBorders>
          </w:tcPr>
          <w:p w14:paraId="59DCCEA4" w14:textId="77777777" w:rsidR="001830E6" w:rsidRPr="00D93FF9" w:rsidRDefault="001830E6" w:rsidP="008413C9">
            <w:pPr>
              <w:pStyle w:val="BodyText"/>
              <w:spacing w:before="0" w:after="0" w:line="266" w:lineRule="auto"/>
              <w:rPr>
                <w:rFonts w:asciiTheme="minorHAnsi" w:hAnsiTheme="minorHAnsi"/>
                <w:bCs/>
                <w:iCs/>
                <w:lang w:val="en-GB"/>
              </w:rPr>
            </w:pPr>
          </w:p>
        </w:tc>
        <w:tc>
          <w:tcPr>
            <w:tcW w:w="3260" w:type="dxa"/>
            <w:gridSpan w:val="2"/>
            <w:tcBorders>
              <w:bottom w:val="nil"/>
            </w:tcBorders>
          </w:tcPr>
          <w:p w14:paraId="59DCCEA5" w14:textId="77777777" w:rsidR="001830E6" w:rsidRPr="00D93FF9" w:rsidRDefault="00E811B8" w:rsidP="008413C9">
            <w:pPr>
              <w:pStyle w:val="BodyText"/>
              <w:spacing w:before="0" w:after="0" w:line="266" w:lineRule="auto"/>
              <w:rPr>
                <w:rFonts w:asciiTheme="minorHAnsi" w:hAnsiTheme="minorHAnsi"/>
                <w:bCs/>
                <w:iCs/>
                <w:lang w:val="en-GB"/>
              </w:rPr>
            </w:pPr>
            <w:r w:rsidRPr="00D93FF9">
              <w:rPr>
                <w:rFonts w:asciiTheme="minorHAnsi" w:hAnsiTheme="minorHAnsi"/>
                <w:bCs/>
                <w:iCs/>
                <w:lang w:val="en-GB"/>
              </w:rPr>
              <w:t>Degree of restriction on irrigation</w:t>
            </w:r>
          </w:p>
        </w:tc>
      </w:tr>
      <w:tr w:rsidR="00BE3AA8" w:rsidRPr="00D93FF9" w14:paraId="59DCCEAB" w14:textId="77777777" w:rsidTr="009A320C">
        <w:tc>
          <w:tcPr>
            <w:tcW w:w="2689" w:type="dxa"/>
            <w:tcBorders>
              <w:top w:val="nil"/>
              <w:bottom w:val="single" w:sz="4" w:space="0" w:color="auto"/>
            </w:tcBorders>
          </w:tcPr>
          <w:p w14:paraId="59DCCEA7" w14:textId="77777777" w:rsidR="001830E6" w:rsidRPr="00D93FF9" w:rsidRDefault="001830E6" w:rsidP="003807A1">
            <w:pPr>
              <w:pStyle w:val="BodyText"/>
              <w:spacing w:before="0" w:after="0"/>
              <w:rPr>
                <w:rFonts w:asciiTheme="minorHAnsi" w:hAnsiTheme="minorHAnsi"/>
                <w:bCs/>
                <w:iCs/>
                <w:lang w:val="en-GB"/>
              </w:rPr>
            </w:pPr>
          </w:p>
        </w:tc>
        <w:tc>
          <w:tcPr>
            <w:tcW w:w="1417" w:type="dxa"/>
            <w:tcBorders>
              <w:top w:val="nil"/>
              <w:bottom w:val="single" w:sz="4" w:space="0" w:color="auto"/>
            </w:tcBorders>
          </w:tcPr>
          <w:p w14:paraId="59DCCEA8" w14:textId="77777777" w:rsidR="001830E6" w:rsidRPr="00D93FF9" w:rsidRDefault="001830E6" w:rsidP="003807A1">
            <w:pPr>
              <w:pStyle w:val="BodyText"/>
              <w:spacing w:before="0" w:after="0"/>
              <w:rPr>
                <w:rFonts w:asciiTheme="minorHAnsi" w:hAnsiTheme="minorHAnsi"/>
                <w:bCs/>
                <w:iCs/>
                <w:lang w:val="en-GB"/>
              </w:rPr>
            </w:pPr>
          </w:p>
        </w:tc>
        <w:tc>
          <w:tcPr>
            <w:tcW w:w="1276" w:type="dxa"/>
            <w:tcBorders>
              <w:top w:val="nil"/>
              <w:bottom w:val="single" w:sz="4" w:space="0" w:color="auto"/>
            </w:tcBorders>
          </w:tcPr>
          <w:p w14:paraId="59DCCEA9" w14:textId="77777777" w:rsidR="001830E6" w:rsidRPr="00D93FF9" w:rsidRDefault="00E811B8" w:rsidP="003807A1">
            <w:pPr>
              <w:pStyle w:val="BodyText"/>
              <w:spacing w:before="0" w:after="0"/>
              <w:rPr>
                <w:rFonts w:asciiTheme="minorHAnsi" w:hAnsiTheme="minorHAnsi"/>
                <w:bCs/>
                <w:iCs/>
                <w:lang w:val="en-GB"/>
              </w:rPr>
            </w:pPr>
            <w:r w:rsidRPr="00D93FF9">
              <w:rPr>
                <w:rFonts w:asciiTheme="minorHAnsi" w:hAnsiTheme="minorHAnsi"/>
                <w:bCs/>
                <w:iCs/>
                <w:lang w:val="en-GB"/>
              </w:rPr>
              <w:t>none</w:t>
            </w:r>
          </w:p>
        </w:tc>
        <w:tc>
          <w:tcPr>
            <w:tcW w:w="1984" w:type="dxa"/>
            <w:tcBorders>
              <w:top w:val="nil"/>
              <w:bottom w:val="single" w:sz="4" w:space="0" w:color="auto"/>
            </w:tcBorders>
          </w:tcPr>
          <w:p w14:paraId="59DCCEAA" w14:textId="77777777" w:rsidR="001830E6" w:rsidRPr="00D93FF9" w:rsidRDefault="00E811B8" w:rsidP="003807A1">
            <w:pPr>
              <w:pStyle w:val="BodyText"/>
              <w:spacing w:before="0" w:after="0"/>
              <w:rPr>
                <w:rFonts w:asciiTheme="minorHAnsi" w:hAnsiTheme="minorHAnsi"/>
                <w:bCs/>
                <w:iCs/>
                <w:lang w:val="en-GB"/>
              </w:rPr>
            </w:pPr>
            <w:r w:rsidRPr="00D93FF9">
              <w:rPr>
                <w:rFonts w:asciiTheme="minorHAnsi" w:hAnsiTheme="minorHAnsi"/>
                <w:bCs/>
                <w:iCs/>
                <w:lang w:val="en-GB"/>
              </w:rPr>
              <w:t>Restricted use</w:t>
            </w:r>
          </w:p>
        </w:tc>
      </w:tr>
      <w:tr w:rsidR="00BE3AA8" w:rsidRPr="00D93FF9" w14:paraId="59DCCEB0" w14:textId="77777777" w:rsidTr="009A320C">
        <w:tc>
          <w:tcPr>
            <w:tcW w:w="2689" w:type="dxa"/>
            <w:tcBorders>
              <w:top w:val="single" w:sz="4" w:space="0" w:color="auto"/>
            </w:tcBorders>
          </w:tcPr>
          <w:p w14:paraId="59DCCEAC" w14:textId="77777777" w:rsidR="001830E6" w:rsidRPr="00D93FF9" w:rsidRDefault="001830E6" w:rsidP="003807A1">
            <w:pPr>
              <w:pStyle w:val="BodyText"/>
              <w:spacing w:before="0" w:after="0"/>
              <w:rPr>
                <w:rFonts w:asciiTheme="minorHAnsi" w:hAnsiTheme="minorHAnsi"/>
                <w:bCs/>
                <w:iCs/>
                <w:lang w:val="en-GB"/>
              </w:rPr>
            </w:pPr>
          </w:p>
        </w:tc>
        <w:tc>
          <w:tcPr>
            <w:tcW w:w="1417" w:type="dxa"/>
            <w:tcBorders>
              <w:top w:val="single" w:sz="4" w:space="0" w:color="auto"/>
            </w:tcBorders>
          </w:tcPr>
          <w:p w14:paraId="59DCCEAD" w14:textId="77777777" w:rsidR="001830E6" w:rsidRPr="00D93FF9" w:rsidRDefault="001830E6" w:rsidP="003807A1">
            <w:pPr>
              <w:pStyle w:val="BodyText"/>
              <w:spacing w:before="0" w:after="0"/>
              <w:rPr>
                <w:rFonts w:asciiTheme="minorHAnsi" w:hAnsiTheme="minorHAnsi"/>
                <w:bCs/>
                <w:iCs/>
                <w:lang w:val="en-GB"/>
              </w:rPr>
            </w:pPr>
          </w:p>
        </w:tc>
        <w:tc>
          <w:tcPr>
            <w:tcW w:w="1276" w:type="dxa"/>
            <w:tcBorders>
              <w:top w:val="single" w:sz="4" w:space="0" w:color="auto"/>
            </w:tcBorders>
          </w:tcPr>
          <w:p w14:paraId="59DCCEAE" w14:textId="77777777" w:rsidR="001830E6" w:rsidRPr="00D93FF9" w:rsidRDefault="001830E6" w:rsidP="003807A1">
            <w:pPr>
              <w:pStyle w:val="BodyText"/>
              <w:spacing w:before="0" w:after="0"/>
              <w:rPr>
                <w:rFonts w:asciiTheme="minorHAnsi" w:hAnsiTheme="minorHAnsi"/>
                <w:bCs/>
                <w:iCs/>
                <w:lang w:val="en-GB"/>
              </w:rPr>
            </w:pPr>
          </w:p>
        </w:tc>
        <w:tc>
          <w:tcPr>
            <w:tcW w:w="1984" w:type="dxa"/>
            <w:tcBorders>
              <w:top w:val="single" w:sz="4" w:space="0" w:color="auto"/>
            </w:tcBorders>
          </w:tcPr>
          <w:p w14:paraId="59DCCEAF" w14:textId="77777777" w:rsidR="001830E6" w:rsidRPr="00D93FF9" w:rsidRDefault="001830E6" w:rsidP="003807A1">
            <w:pPr>
              <w:pStyle w:val="BodyText"/>
              <w:spacing w:before="0" w:after="0"/>
              <w:rPr>
                <w:rFonts w:asciiTheme="minorHAnsi" w:hAnsiTheme="minorHAnsi"/>
                <w:bCs/>
                <w:iCs/>
                <w:lang w:val="en-GB"/>
              </w:rPr>
            </w:pPr>
          </w:p>
        </w:tc>
      </w:tr>
      <w:tr w:rsidR="00BE3AA8" w:rsidRPr="00D93FF9" w14:paraId="59DCCEB5" w14:textId="77777777" w:rsidTr="009A320C">
        <w:tc>
          <w:tcPr>
            <w:tcW w:w="2689" w:type="dxa"/>
          </w:tcPr>
          <w:p w14:paraId="59DCCEB1" w14:textId="77777777" w:rsidR="001830E6" w:rsidRPr="00D93FF9" w:rsidRDefault="00E811B8" w:rsidP="003807A1">
            <w:pPr>
              <w:pStyle w:val="BodyText"/>
              <w:spacing w:before="0" w:after="0"/>
              <w:rPr>
                <w:rFonts w:asciiTheme="minorHAnsi" w:hAnsiTheme="minorHAnsi"/>
                <w:bCs/>
                <w:iCs/>
                <w:lang w:val="en-GB"/>
              </w:rPr>
            </w:pPr>
            <w:r w:rsidRPr="00D93FF9">
              <w:rPr>
                <w:rFonts w:asciiTheme="minorHAnsi" w:hAnsiTheme="minorHAnsi"/>
                <w:bCs/>
                <w:iCs/>
                <w:lang w:val="en-GB"/>
              </w:rPr>
              <w:t xml:space="preserve">    Surface irrigation</w:t>
            </w:r>
          </w:p>
        </w:tc>
        <w:tc>
          <w:tcPr>
            <w:tcW w:w="1417" w:type="dxa"/>
          </w:tcPr>
          <w:p w14:paraId="59DCCEB2" w14:textId="77777777" w:rsidR="001830E6" w:rsidRPr="00D93FF9" w:rsidRDefault="00E811B8" w:rsidP="003807A1">
            <w:pPr>
              <w:pStyle w:val="BodyText"/>
              <w:spacing w:before="0" w:after="0"/>
              <w:rPr>
                <w:rFonts w:asciiTheme="minorHAnsi" w:hAnsiTheme="minorHAnsi"/>
                <w:bCs/>
                <w:iCs/>
                <w:lang w:val="en-GB"/>
              </w:rPr>
            </w:pPr>
            <w:r w:rsidRPr="00D93FF9">
              <w:rPr>
                <w:rFonts w:asciiTheme="minorHAnsi" w:hAnsiTheme="minorHAnsi"/>
                <w:bCs/>
                <w:iCs/>
                <w:lang w:val="en-GB"/>
              </w:rPr>
              <w:t>mg/L</w:t>
            </w:r>
          </w:p>
        </w:tc>
        <w:tc>
          <w:tcPr>
            <w:tcW w:w="1276" w:type="dxa"/>
          </w:tcPr>
          <w:p w14:paraId="59DCCEB3" w14:textId="77777777" w:rsidR="001830E6" w:rsidRPr="00D93FF9" w:rsidRDefault="00E811B8" w:rsidP="003807A1">
            <w:pPr>
              <w:pStyle w:val="BodyText"/>
              <w:spacing w:before="0" w:after="0"/>
              <w:rPr>
                <w:rFonts w:asciiTheme="minorHAnsi" w:hAnsiTheme="minorHAnsi"/>
                <w:bCs/>
                <w:iCs/>
                <w:lang w:val="en-GB"/>
              </w:rPr>
            </w:pPr>
            <w:r w:rsidRPr="00D93FF9">
              <w:rPr>
                <w:rFonts w:asciiTheme="minorHAnsi" w:hAnsiTheme="minorHAnsi"/>
                <w:bCs/>
                <w:iCs/>
                <w:lang w:val="en-GB"/>
              </w:rPr>
              <w:t>&lt;142</w:t>
            </w:r>
          </w:p>
        </w:tc>
        <w:tc>
          <w:tcPr>
            <w:tcW w:w="1984" w:type="dxa"/>
          </w:tcPr>
          <w:p w14:paraId="59DCCEB4" w14:textId="77777777" w:rsidR="001830E6" w:rsidRPr="00D93FF9" w:rsidRDefault="00E811B8" w:rsidP="003807A1">
            <w:pPr>
              <w:pStyle w:val="BodyText"/>
              <w:spacing w:before="0" w:after="0"/>
              <w:rPr>
                <w:rFonts w:asciiTheme="minorHAnsi" w:hAnsiTheme="minorHAnsi"/>
                <w:bCs/>
                <w:iCs/>
                <w:lang w:val="en-GB"/>
              </w:rPr>
            </w:pPr>
            <w:r w:rsidRPr="00D93FF9">
              <w:rPr>
                <w:rFonts w:asciiTheme="minorHAnsi" w:hAnsiTheme="minorHAnsi"/>
                <w:bCs/>
                <w:iCs/>
                <w:lang w:val="en-GB"/>
              </w:rPr>
              <w:t>142-355</w:t>
            </w:r>
          </w:p>
        </w:tc>
      </w:tr>
      <w:tr w:rsidR="00BE3AA8" w:rsidRPr="00D93FF9" w14:paraId="59DCCEBA" w14:textId="77777777" w:rsidTr="009A320C">
        <w:tc>
          <w:tcPr>
            <w:tcW w:w="2689" w:type="dxa"/>
          </w:tcPr>
          <w:p w14:paraId="59DCCEB6" w14:textId="77777777" w:rsidR="001830E6" w:rsidRPr="00D93FF9" w:rsidRDefault="00E811B8" w:rsidP="003807A1">
            <w:pPr>
              <w:pStyle w:val="BodyText"/>
              <w:spacing w:before="0" w:after="0"/>
              <w:rPr>
                <w:rFonts w:asciiTheme="minorHAnsi" w:hAnsiTheme="minorHAnsi"/>
                <w:bCs/>
                <w:iCs/>
                <w:lang w:val="en-GB"/>
              </w:rPr>
            </w:pPr>
            <w:r w:rsidRPr="00D93FF9">
              <w:rPr>
                <w:rFonts w:asciiTheme="minorHAnsi" w:hAnsiTheme="minorHAnsi"/>
                <w:bCs/>
                <w:iCs/>
                <w:lang w:val="en-GB"/>
              </w:rPr>
              <w:t xml:space="preserve">    Sprinkler irrigation</w:t>
            </w:r>
          </w:p>
        </w:tc>
        <w:tc>
          <w:tcPr>
            <w:tcW w:w="1417" w:type="dxa"/>
          </w:tcPr>
          <w:p w14:paraId="59DCCEB7" w14:textId="77777777" w:rsidR="001830E6" w:rsidRPr="00D93FF9" w:rsidRDefault="00E811B8" w:rsidP="003807A1">
            <w:pPr>
              <w:pStyle w:val="BodyText"/>
              <w:spacing w:before="0" w:after="0"/>
              <w:rPr>
                <w:rFonts w:asciiTheme="minorHAnsi" w:hAnsiTheme="minorHAnsi"/>
                <w:bCs/>
                <w:iCs/>
                <w:lang w:val="en-GB"/>
              </w:rPr>
            </w:pPr>
            <w:r w:rsidRPr="00D93FF9">
              <w:rPr>
                <w:rFonts w:asciiTheme="minorHAnsi" w:hAnsiTheme="minorHAnsi"/>
                <w:bCs/>
                <w:iCs/>
                <w:lang w:val="en-GB"/>
              </w:rPr>
              <w:t>m</w:t>
            </w:r>
            <w:r w:rsidR="00E6728E" w:rsidRPr="00D93FF9">
              <w:rPr>
                <w:rFonts w:asciiTheme="minorHAnsi" w:hAnsiTheme="minorHAnsi"/>
                <w:bCs/>
                <w:iCs/>
                <w:lang w:val="en-GB"/>
              </w:rPr>
              <w:t>g</w:t>
            </w:r>
            <w:r w:rsidRPr="00D93FF9">
              <w:rPr>
                <w:rFonts w:asciiTheme="minorHAnsi" w:hAnsiTheme="minorHAnsi"/>
                <w:bCs/>
                <w:iCs/>
                <w:lang w:val="en-GB"/>
              </w:rPr>
              <w:t>/L</w:t>
            </w:r>
          </w:p>
        </w:tc>
        <w:tc>
          <w:tcPr>
            <w:tcW w:w="1276" w:type="dxa"/>
          </w:tcPr>
          <w:p w14:paraId="59DCCEB8" w14:textId="77777777" w:rsidR="001830E6" w:rsidRPr="00D93FF9" w:rsidRDefault="00E811B8" w:rsidP="003807A1">
            <w:pPr>
              <w:pStyle w:val="BodyText"/>
              <w:spacing w:before="0" w:after="0"/>
              <w:rPr>
                <w:rFonts w:asciiTheme="minorHAnsi" w:hAnsiTheme="minorHAnsi"/>
                <w:bCs/>
                <w:iCs/>
                <w:lang w:val="en-GB"/>
              </w:rPr>
            </w:pPr>
            <w:r w:rsidRPr="00D93FF9">
              <w:rPr>
                <w:rFonts w:asciiTheme="minorHAnsi" w:hAnsiTheme="minorHAnsi"/>
                <w:bCs/>
                <w:iCs/>
                <w:lang w:val="en-GB"/>
              </w:rPr>
              <w:t>&lt;</w:t>
            </w:r>
            <w:r w:rsidR="00E6728E" w:rsidRPr="00D93FF9">
              <w:rPr>
                <w:rFonts w:asciiTheme="minorHAnsi" w:hAnsiTheme="minorHAnsi"/>
                <w:bCs/>
                <w:iCs/>
                <w:lang w:val="en-GB"/>
              </w:rPr>
              <w:t>142</w:t>
            </w:r>
          </w:p>
        </w:tc>
        <w:tc>
          <w:tcPr>
            <w:tcW w:w="1984" w:type="dxa"/>
          </w:tcPr>
          <w:p w14:paraId="59DCCEB9" w14:textId="77777777" w:rsidR="001830E6" w:rsidRPr="00D93FF9" w:rsidRDefault="00E811B8" w:rsidP="003807A1">
            <w:pPr>
              <w:pStyle w:val="BodyText"/>
              <w:spacing w:before="0" w:after="0"/>
              <w:rPr>
                <w:rFonts w:asciiTheme="minorHAnsi" w:hAnsiTheme="minorHAnsi"/>
                <w:bCs/>
                <w:iCs/>
                <w:lang w:val="en-GB"/>
              </w:rPr>
            </w:pPr>
            <w:r w:rsidRPr="00D93FF9">
              <w:rPr>
                <w:rFonts w:asciiTheme="minorHAnsi" w:hAnsiTheme="minorHAnsi"/>
                <w:bCs/>
                <w:iCs/>
                <w:lang w:val="en-GB"/>
              </w:rPr>
              <w:t>&gt;</w:t>
            </w:r>
            <w:r w:rsidR="00E6728E" w:rsidRPr="00D93FF9">
              <w:rPr>
                <w:rFonts w:asciiTheme="minorHAnsi" w:hAnsiTheme="minorHAnsi"/>
                <w:bCs/>
                <w:iCs/>
                <w:lang w:val="en-GB"/>
              </w:rPr>
              <w:t>142</w:t>
            </w:r>
          </w:p>
        </w:tc>
      </w:tr>
    </w:tbl>
    <w:p w14:paraId="59DCCEBB" w14:textId="77777777" w:rsidR="009B47E9" w:rsidRPr="00D93FF9" w:rsidRDefault="00E811B8" w:rsidP="003807A1">
      <w:pPr>
        <w:pStyle w:val="BodyText"/>
        <w:spacing w:after="0" w:line="266" w:lineRule="auto"/>
        <w:jc w:val="both"/>
        <w:rPr>
          <w:sz w:val="18"/>
          <w:szCs w:val="18"/>
          <w:lang w:val="en-GB"/>
        </w:rPr>
      </w:pPr>
      <w:r w:rsidRPr="00D93FF9">
        <w:rPr>
          <w:sz w:val="18"/>
          <w:szCs w:val="18"/>
          <w:lang w:val="en-GB"/>
        </w:rPr>
        <w:t xml:space="preserve">Note: </w:t>
      </w:r>
      <w:r w:rsidRPr="00D93FF9">
        <w:rPr>
          <w:rFonts w:cs="Times New Roman"/>
          <w:color w:val="000000"/>
          <w:sz w:val="18"/>
          <w:szCs w:val="18"/>
          <w:shd w:val="clear" w:color="auto" w:fill="FFFFFF"/>
        </w:rPr>
        <w:t>A “restriction on use” indicates that there may be a limitation in choice of crop, or special management may be needed to maintain full production capability. A “restriction on use” does </w:t>
      </w:r>
      <w:r w:rsidRPr="00D93FF9">
        <w:rPr>
          <w:rFonts w:cs="Times New Roman"/>
          <w:color w:val="000000"/>
          <w:sz w:val="18"/>
          <w:szCs w:val="18"/>
          <w:u w:val="single"/>
          <w:shd w:val="clear" w:color="auto" w:fill="FFFFFF"/>
        </w:rPr>
        <w:t>not</w:t>
      </w:r>
      <w:r w:rsidRPr="00D93FF9">
        <w:rPr>
          <w:rFonts w:cs="Times New Roman"/>
          <w:color w:val="000000"/>
          <w:sz w:val="18"/>
          <w:szCs w:val="18"/>
          <w:shd w:val="clear" w:color="auto" w:fill="FFFFFF"/>
        </w:rPr>
        <w:t> indicate that the water is unsuitable for use</w:t>
      </w:r>
    </w:p>
    <w:p w14:paraId="59DCCEBC" w14:textId="77777777" w:rsidR="00C46175" w:rsidRPr="00D93FF9" w:rsidRDefault="00E811B8" w:rsidP="00527187">
      <w:pPr>
        <w:pStyle w:val="Heading3"/>
        <w:rPr>
          <w:lang w:val="en-GB"/>
        </w:rPr>
      </w:pPr>
      <w:bookmarkStart w:id="207" w:name="_Ref71721684"/>
      <w:bookmarkStart w:id="208" w:name="_Toc96693577"/>
      <w:r w:rsidRPr="00D93FF9">
        <w:rPr>
          <w:lang w:val="en-GB"/>
        </w:rPr>
        <w:t>Sodium</w:t>
      </w:r>
      <w:bookmarkEnd w:id="207"/>
      <w:bookmarkEnd w:id="208"/>
    </w:p>
    <w:p w14:paraId="59DCCEBD" w14:textId="08590FF4" w:rsidR="00C46175" w:rsidRPr="00D93FF9" w:rsidRDefault="00E811B8" w:rsidP="003807A1">
      <w:pPr>
        <w:pStyle w:val="Heading5"/>
        <w:spacing w:before="0" w:line="244" w:lineRule="auto"/>
        <w:jc w:val="both"/>
        <w:rPr>
          <w:lang w:val="en-GB"/>
        </w:rPr>
      </w:pPr>
      <w:r w:rsidRPr="00D93FF9">
        <w:t xml:space="preserve">Guideline </w:t>
      </w:r>
      <w:r w:rsidR="00E90CE0" w:rsidRPr="00D93FF9">
        <w:t>values for prevention of foliar injury due to sodium in irrigation water following sprinkler</w:t>
      </w:r>
      <w:r w:rsidR="00E90CE0" w:rsidRPr="00D93FF9">
        <w:rPr>
          <w:lang w:val="en-GB"/>
        </w:rPr>
        <w:t xml:space="preserve"> application are provided in</w:t>
      </w:r>
      <w:r w:rsidR="003546C8" w:rsidRPr="00D93FF9">
        <w:rPr>
          <w:lang w:val="en-GB"/>
        </w:rPr>
        <w:t xml:space="preserve"> </w:t>
      </w:r>
      <w:r w:rsidR="003546C8" w:rsidRPr="00D93FF9">
        <w:rPr>
          <w:lang w:val="en-GB"/>
        </w:rPr>
        <w:fldChar w:fldCharType="begin"/>
      </w:r>
      <w:r w:rsidR="003546C8" w:rsidRPr="00D93FF9">
        <w:rPr>
          <w:lang w:val="en-GB"/>
        </w:rPr>
        <w:instrText xml:space="preserve"> REF _Ref81393614 \h </w:instrText>
      </w:r>
      <w:r w:rsidR="00D93FF9">
        <w:rPr>
          <w:lang w:val="en-GB"/>
        </w:rPr>
        <w:instrText xml:space="preserve"> \* MERGEFORMAT </w:instrText>
      </w:r>
      <w:r w:rsidR="003546C8" w:rsidRPr="00D93FF9">
        <w:rPr>
          <w:lang w:val="en-GB"/>
        </w:rPr>
      </w:r>
      <w:r w:rsidR="003546C8" w:rsidRPr="00D93FF9">
        <w:rPr>
          <w:lang w:val="en-GB"/>
        </w:rPr>
        <w:fldChar w:fldCharType="separate"/>
      </w:r>
      <w:r w:rsidR="0069302C" w:rsidRPr="00D93FF9">
        <w:t xml:space="preserve">Table </w:t>
      </w:r>
      <w:r w:rsidR="0069302C">
        <w:rPr>
          <w:noProof/>
        </w:rPr>
        <w:t>20</w:t>
      </w:r>
      <w:r w:rsidR="003546C8" w:rsidRPr="00D93FF9">
        <w:rPr>
          <w:lang w:val="en-GB"/>
        </w:rPr>
        <w:fldChar w:fldCharType="end"/>
      </w:r>
      <w:r w:rsidR="00E90CE0" w:rsidRPr="00D93FF9">
        <w:rPr>
          <w:lang w:val="en-GB"/>
        </w:rPr>
        <w:t>. Values for specific toxicity effects are provided in</w:t>
      </w:r>
      <w:r w:rsidR="003546C8" w:rsidRPr="00D93FF9">
        <w:rPr>
          <w:lang w:val="en-GB"/>
        </w:rPr>
        <w:t xml:space="preserve"> </w:t>
      </w:r>
      <w:r w:rsidR="003546C8" w:rsidRPr="00D93FF9">
        <w:rPr>
          <w:lang w:val="en-GB"/>
        </w:rPr>
        <w:fldChar w:fldCharType="begin"/>
      </w:r>
      <w:r w:rsidR="003546C8" w:rsidRPr="00D93FF9">
        <w:rPr>
          <w:lang w:val="en-GB"/>
        </w:rPr>
        <w:instrText xml:space="preserve"> REF _Ref81393818 \h </w:instrText>
      </w:r>
      <w:r w:rsidR="00D93FF9">
        <w:rPr>
          <w:lang w:val="en-GB"/>
        </w:rPr>
        <w:instrText xml:space="preserve"> \* MERGEFORMAT </w:instrText>
      </w:r>
      <w:r w:rsidR="003546C8" w:rsidRPr="00D93FF9">
        <w:rPr>
          <w:lang w:val="en-GB"/>
        </w:rPr>
      </w:r>
      <w:r w:rsidR="003546C8" w:rsidRPr="00D93FF9">
        <w:rPr>
          <w:lang w:val="en-GB"/>
        </w:rPr>
        <w:fldChar w:fldCharType="separate"/>
      </w:r>
      <w:r w:rsidR="0069302C" w:rsidRPr="00D93FF9">
        <w:t xml:space="preserve">Table </w:t>
      </w:r>
      <w:r w:rsidR="0069302C">
        <w:rPr>
          <w:noProof/>
        </w:rPr>
        <w:t>21</w:t>
      </w:r>
      <w:r w:rsidR="003546C8" w:rsidRPr="00D93FF9">
        <w:rPr>
          <w:lang w:val="en-GB"/>
        </w:rPr>
        <w:fldChar w:fldCharType="end"/>
      </w:r>
      <w:r w:rsidR="00E90CE0" w:rsidRPr="00D93FF9">
        <w:rPr>
          <w:lang w:val="en-GB"/>
        </w:rPr>
        <w:t>.</w:t>
      </w:r>
    </w:p>
    <w:p w14:paraId="59DCCEBE" w14:textId="77777777" w:rsidR="00C46175" w:rsidRPr="00D93FF9" w:rsidRDefault="00C46175" w:rsidP="003807A1">
      <w:pPr>
        <w:pStyle w:val="BodyText"/>
        <w:spacing w:after="0"/>
        <w:rPr>
          <w:b/>
          <w:i/>
          <w:lang w:val="en-GB"/>
        </w:rPr>
      </w:pPr>
    </w:p>
    <w:p w14:paraId="59DCCEBF" w14:textId="35A0BFD2" w:rsidR="006D24AC" w:rsidRPr="00D93FF9" w:rsidRDefault="00E811B8" w:rsidP="00731328">
      <w:pPr>
        <w:pStyle w:val="BodyText"/>
        <w:spacing w:after="0" w:line="266" w:lineRule="auto"/>
        <w:jc w:val="both"/>
        <w:rPr>
          <w:bCs/>
          <w:iCs/>
          <w:lang w:val="en-GB"/>
        </w:rPr>
      </w:pPr>
      <w:r w:rsidRPr="00D93FF9">
        <w:rPr>
          <w:bCs/>
          <w:iCs/>
          <w:lang w:val="en-GB"/>
        </w:rPr>
        <w:t xml:space="preserve">Sodium, like </w:t>
      </w:r>
      <w:r w:rsidR="005C5B29" w:rsidRPr="00D93FF9">
        <w:rPr>
          <w:bCs/>
          <w:iCs/>
          <w:lang w:val="en-GB"/>
        </w:rPr>
        <w:t>c</w:t>
      </w:r>
      <w:r w:rsidRPr="00D93FF9">
        <w:rPr>
          <w:bCs/>
          <w:iCs/>
          <w:lang w:val="en-GB"/>
        </w:rPr>
        <w:t xml:space="preserve">hloride and </w:t>
      </w:r>
      <w:r w:rsidR="005C5B29" w:rsidRPr="00D93FF9">
        <w:rPr>
          <w:bCs/>
          <w:iCs/>
          <w:lang w:val="en-GB"/>
        </w:rPr>
        <w:t>b</w:t>
      </w:r>
      <w:r w:rsidRPr="00D93FF9">
        <w:rPr>
          <w:bCs/>
          <w:iCs/>
          <w:lang w:val="en-GB"/>
        </w:rPr>
        <w:t>oron, is of great importance for plant health, either directly by being part of the metabolic processes, or indirectly by interfering with other nutrients uptake. In regulations internationally, recommended Sodium concentration in irrigation water varies from as low as 69 mg/L (unrestricted use</w:t>
      </w:r>
      <w:r w:rsidR="0006749F" w:rsidRPr="00D93FF9">
        <w:rPr>
          <w:bCs/>
          <w:iCs/>
          <w:lang w:val="en-GB"/>
        </w:rPr>
        <w:t xml:space="preserve"> (</w:t>
      </w:r>
      <w:r w:rsidR="005D0C34" w:rsidRPr="00D93FF9">
        <w:rPr>
          <w:bCs/>
          <w:iCs/>
          <w:lang w:val="en-GB"/>
        </w:rPr>
        <w:t xml:space="preserve">Ayers </w:t>
      </w:r>
      <w:r w:rsidR="00FA6E9E" w:rsidRPr="00D93FF9">
        <w:rPr>
          <w:bCs/>
          <w:iCs/>
          <w:lang w:val="en-GB"/>
        </w:rPr>
        <w:t>and</w:t>
      </w:r>
      <w:r w:rsidR="005D0C34" w:rsidRPr="00D93FF9">
        <w:rPr>
          <w:bCs/>
          <w:iCs/>
          <w:lang w:val="en-GB"/>
        </w:rPr>
        <w:t xml:space="preserve"> Westcot</w:t>
      </w:r>
      <w:r w:rsidRPr="00D93FF9">
        <w:rPr>
          <w:bCs/>
          <w:iCs/>
          <w:lang w:val="en-GB"/>
        </w:rPr>
        <w:t xml:space="preserve"> 1985</w:t>
      </w:r>
      <w:r w:rsidR="0006749F" w:rsidRPr="00D93FF9">
        <w:rPr>
          <w:bCs/>
          <w:iCs/>
          <w:lang w:val="en-GB"/>
        </w:rPr>
        <w:t>)</w:t>
      </w:r>
      <w:r w:rsidRPr="00D93FF9">
        <w:rPr>
          <w:bCs/>
          <w:iCs/>
          <w:lang w:val="en-GB"/>
        </w:rPr>
        <w:t>, to as high as 312 mg/L in</w:t>
      </w:r>
      <w:r w:rsidR="0006749F" w:rsidRPr="00D93FF9">
        <w:rPr>
          <w:bCs/>
          <w:iCs/>
          <w:lang w:val="en-GB"/>
        </w:rPr>
        <w:t xml:space="preserve"> the</w:t>
      </w:r>
      <w:r w:rsidRPr="00D93FF9">
        <w:rPr>
          <w:bCs/>
          <w:iCs/>
          <w:lang w:val="en-GB"/>
        </w:rPr>
        <w:t xml:space="preserve"> </w:t>
      </w:r>
      <w:r w:rsidR="0060085C" w:rsidRPr="00D93FF9">
        <w:rPr>
          <w:bCs/>
          <w:iCs/>
          <w:lang w:val="en-GB"/>
        </w:rPr>
        <w:t>AGWR</w:t>
      </w:r>
      <w:r w:rsidR="00652D57" w:rsidRPr="00D93FF9">
        <w:rPr>
          <w:bCs/>
          <w:iCs/>
          <w:lang w:val="en-GB"/>
        </w:rPr>
        <w:t xml:space="preserve"> </w:t>
      </w:r>
      <w:r w:rsidRPr="00D93FF9">
        <w:rPr>
          <w:bCs/>
          <w:iCs/>
          <w:lang w:val="en-GB"/>
        </w:rPr>
        <w:t>(</w:t>
      </w:r>
      <w:r w:rsidR="005D0C34" w:rsidRPr="00D93FF9">
        <w:rPr>
          <w:rFonts w:cs="Arial"/>
        </w:rPr>
        <w:t xml:space="preserve">NRMMC, EPHC </w:t>
      </w:r>
      <w:r w:rsidR="00FA6E9E" w:rsidRPr="00D93FF9">
        <w:rPr>
          <w:rFonts w:cs="Arial"/>
        </w:rPr>
        <w:t>and</w:t>
      </w:r>
      <w:r w:rsidR="005D0C34" w:rsidRPr="00D93FF9">
        <w:rPr>
          <w:rFonts w:cs="Arial"/>
        </w:rPr>
        <w:t xml:space="preserve"> AHMC</w:t>
      </w:r>
      <w:r w:rsidRPr="00D93FF9">
        <w:rPr>
          <w:bCs/>
          <w:iCs/>
          <w:lang w:val="en-GB"/>
        </w:rPr>
        <w:t>, 2006).</w:t>
      </w:r>
      <w:r w:rsidR="003A7D50" w:rsidRPr="00D93FF9">
        <w:rPr>
          <w:bCs/>
          <w:iCs/>
          <w:lang w:val="en-GB"/>
        </w:rPr>
        <w:t xml:space="preserve"> </w:t>
      </w:r>
      <w:r w:rsidR="00AB6560" w:rsidRPr="00D93FF9">
        <w:rPr>
          <w:bCs/>
          <w:iCs/>
          <w:lang w:val="en-GB"/>
        </w:rPr>
        <w:t>In South Africa (DWAF 1996), the regulation mentions a target range (up to 70), a maximum range (mostly applicable to fine textured neutral to alkaline soils) of 70 to 460 depending on crop sensitivity, and a short-term use on site-specific basis with Na</w:t>
      </w:r>
      <w:r w:rsidR="00AB6560" w:rsidRPr="00D93FF9">
        <w:rPr>
          <w:bCs/>
          <w:iCs/>
          <w:vertAlign w:val="superscript"/>
          <w:lang w:val="en-GB"/>
        </w:rPr>
        <w:t>+</w:t>
      </w:r>
      <w:r w:rsidR="00AB6560" w:rsidRPr="00D93FF9">
        <w:rPr>
          <w:bCs/>
          <w:iCs/>
          <w:lang w:val="en-GB"/>
        </w:rPr>
        <w:t xml:space="preserve"> values higher than 460mg/L. </w:t>
      </w:r>
    </w:p>
    <w:p w14:paraId="59DCCEC0" w14:textId="77777777" w:rsidR="003A7D50" w:rsidRPr="00D93FF9" w:rsidRDefault="003A7D50" w:rsidP="00731328">
      <w:pPr>
        <w:pStyle w:val="BodyText"/>
        <w:spacing w:after="0" w:line="266" w:lineRule="auto"/>
        <w:rPr>
          <w:bCs/>
          <w:iCs/>
          <w:lang w:val="en-GB"/>
        </w:rPr>
      </w:pPr>
    </w:p>
    <w:p w14:paraId="59DCCEC1" w14:textId="49F62160" w:rsidR="00276074" w:rsidRPr="00D93FF9" w:rsidRDefault="00E811B8" w:rsidP="00731328">
      <w:pPr>
        <w:pStyle w:val="BodyText"/>
        <w:spacing w:after="0" w:line="266" w:lineRule="auto"/>
        <w:rPr>
          <w:bCs/>
          <w:iCs/>
          <w:lang w:val="en-GB"/>
        </w:rPr>
      </w:pPr>
      <w:r w:rsidRPr="00D93FF9">
        <w:rPr>
          <w:bCs/>
          <w:iCs/>
          <w:lang w:val="en-GB"/>
        </w:rPr>
        <w:t>In Oman</w:t>
      </w:r>
      <w:r w:rsidR="00D22A85" w:rsidRPr="00D93FF9">
        <w:rPr>
          <w:bCs/>
          <w:iCs/>
          <w:lang w:val="en-GB"/>
        </w:rPr>
        <w:t xml:space="preserve"> (</w:t>
      </w:r>
      <w:r w:rsidR="0029445A" w:rsidRPr="00D93FF9">
        <w:rPr>
          <w:bCs/>
          <w:iCs/>
          <w:lang w:val="en-GB"/>
        </w:rPr>
        <w:t xml:space="preserve">Oman’s </w:t>
      </w:r>
      <w:r w:rsidR="00D22A85" w:rsidRPr="00D93FF9">
        <w:rPr>
          <w:bCs/>
          <w:iCs/>
          <w:lang w:val="en-GB"/>
        </w:rPr>
        <w:t xml:space="preserve">Ministerial decision </w:t>
      </w:r>
      <w:r w:rsidR="0051721B" w:rsidRPr="00D93FF9">
        <w:rPr>
          <w:bCs/>
          <w:iCs/>
          <w:lang w:val="en-GB"/>
        </w:rPr>
        <w:t>No.</w:t>
      </w:r>
      <w:r w:rsidR="0029445A" w:rsidRPr="00D93FF9">
        <w:rPr>
          <w:bCs/>
          <w:iCs/>
          <w:lang w:val="en-GB"/>
        </w:rPr>
        <w:t>1</w:t>
      </w:r>
      <w:r w:rsidR="00D22A85" w:rsidRPr="00D93FF9">
        <w:rPr>
          <w:bCs/>
          <w:iCs/>
          <w:lang w:val="en-GB"/>
        </w:rPr>
        <w:t xml:space="preserve">45 of 1993), </w:t>
      </w:r>
      <w:r w:rsidR="005C5B29" w:rsidRPr="00D93FF9">
        <w:rPr>
          <w:bCs/>
          <w:iCs/>
          <w:lang w:val="en-GB"/>
        </w:rPr>
        <w:t>s</w:t>
      </w:r>
      <w:r w:rsidR="00DE3636" w:rsidRPr="00D93FF9">
        <w:rPr>
          <w:bCs/>
          <w:iCs/>
          <w:lang w:val="en-GB"/>
        </w:rPr>
        <w:t>odium</w:t>
      </w:r>
      <w:r w:rsidR="00D22A85" w:rsidRPr="00D93FF9">
        <w:rPr>
          <w:bCs/>
          <w:iCs/>
          <w:lang w:val="en-GB"/>
        </w:rPr>
        <w:t xml:space="preserve"> threshold value for water use for irrigation is set at 200mg/L for food crops and 300mg/L for non-food crops. </w:t>
      </w:r>
    </w:p>
    <w:p w14:paraId="59DCCEC2" w14:textId="77777777" w:rsidR="006D24AC" w:rsidRPr="00D93FF9" w:rsidRDefault="006D24AC" w:rsidP="003807A1">
      <w:pPr>
        <w:pStyle w:val="BodyText"/>
        <w:spacing w:after="0"/>
        <w:rPr>
          <w:b/>
          <w:i/>
          <w:lang w:val="en-GB"/>
        </w:rPr>
      </w:pPr>
    </w:p>
    <w:p w14:paraId="59DCCEC3" w14:textId="4D59F274" w:rsidR="00C46175" w:rsidRPr="00D93FF9" w:rsidRDefault="003546C8" w:rsidP="003546C8">
      <w:pPr>
        <w:pStyle w:val="Caption"/>
        <w:rPr>
          <w:rFonts w:ascii="Arial"/>
          <w:sz w:val="14"/>
          <w:lang w:val="en-GB"/>
        </w:rPr>
      </w:pPr>
      <w:bookmarkStart w:id="209" w:name="_Ref81393614"/>
      <w:bookmarkStart w:id="210" w:name="_Toc96518234"/>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20</w:t>
      </w:r>
      <w:r w:rsidR="00477102" w:rsidRPr="00D93FF9">
        <w:fldChar w:fldCharType="end"/>
      </w:r>
      <w:bookmarkEnd w:id="209"/>
      <w:r w:rsidRPr="00D93FF9">
        <w:t xml:space="preserve"> </w:t>
      </w:r>
      <w:bookmarkStart w:id="211" w:name="_Hlk153812676"/>
      <w:r w:rsidR="00E90CE0" w:rsidRPr="00D93FF9">
        <w:rPr>
          <w:rFonts w:ascii="Arial"/>
          <w:sz w:val="18"/>
          <w:lang w:val="en-GB"/>
        </w:rPr>
        <w:t>Sodium concentration (mg/L) causing foliar injury in crops of varying sensitivity</w:t>
      </w:r>
      <w:r w:rsidR="00E90CE0" w:rsidRPr="00D93FF9">
        <w:rPr>
          <w:rFonts w:ascii="Arial"/>
          <w:position w:val="4"/>
          <w:sz w:val="14"/>
          <w:lang w:val="en-GB"/>
        </w:rPr>
        <w:t>a</w:t>
      </w:r>
      <w:bookmarkEnd w:id="210"/>
      <w:bookmarkEnd w:id="211"/>
    </w:p>
    <w:tbl>
      <w:tblPr>
        <w:tblW w:w="8627" w:type="dxa"/>
        <w:tblLayout w:type="fixed"/>
        <w:tblCellMar>
          <w:left w:w="0" w:type="dxa"/>
          <w:right w:w="0" w:type="dxa"/>
        </w:tblCellMar>
        <w:tblLook w:val="01E0" w:firstRow="1" w:lastRow="1" w:firstColumn="1" w:lastColumn="1" w:noHBand="0" w:noVBand="0"/>
        <w:tblCaption w:val="Sodium concentration in milligrams per litre causing foliar injury in crops of varying sensitivity"/>
        <w:tblDescription w:val="The table shows four ranges of plant sensitivity to sodium. Sensitive is below 115, moderately sensitive ranges from 115 to 230, moderately tolerant ranges from 230 to 460, and tolerant is above 460. Examples of different plants are listed under each category."/>
      </w:tblPr>
      <w:tblGrid>
        <w:gridCol w:w="1000"/>
        <w:gridCol w:w="1725"/>
        <w:gridCol w:w="3360"/>
        <w:gridCol w:w="2542"/>
      </w:tblGrid>
      <w:tr w:rsidR="00BE3AA8" w:rsidRPr="00D93FF9" w14:paraId="59DCCECC" w14:textId="77777777" w:rsidTr="00EA3EAD">
        <w:trPr>
          <w:trHeight w:val="296"/>
        </w:trPr>
        <w:tc>
          <w:tcPr>
            <w:tcW w:w="1000" w:type="dxa"/>
            <w:tcBorders>
              <w:top w:val="single" w:sz="6" w:space="0" w:color="000000"/>
              <w:left w:val="nil"/>
              <w:bottom w:val="single" w:sz="6" w:space="0" w:color="000000"/>
              <w:right w:val="nil"/>
            </w:tcBorders>
            <w:hideMark/>
          </w:tcPr>
          <w:p w14:paraId="59DCCEC4" w14:textId="77777777" w:rsidR="007B1CAF" w:rsidRPr="00D93FF9" w:rsidRDefault="00E811B8" w:rsidP="007B1CAF">
            <w:pPr>
              <w:pStyle w:val="TableParagraph"/>
              <w:spacing w:before="0" w:after="0"/>
              <w:ind w:left="115"/>
              <w:rPr>
                <w:rFonts w:asciiTheme="minorHAnsi" w:hAnsiTheme="minorHAnsi"/>
                <w:b/>
                <w:sz w:val="18"/>
                <w:szCs w:val="18"/>
                <w:lang w:val="en-GB"/>
              </w:rPr>
            </w:pPr>
            <w:r w:rsidRPr="00D93FF9">
              <w:rPr>
                <w:rFonts w:asciiTheme="minorHAnsi" w:hAnsiTheme="minorHAnsi"/>
                <w:b/>
                <w:sz w:val="18"/>
                <w:szCs w:val="18"/>
                <w:lang w:val="en-GB"/>
              </w:rPr>
              <w:t>Sensitive</w:t>
            </w:r>
          </w:p>
          <w:p w14:paraId="59DCCEC5" w14:textId="77777777" w:rsidR="007B1CAF" w:rsidRPr="00D93FF9" w:rsidRDefault="00E811B8" w:rsidP="007B1CAF">
            <w:pPr>
              <w:pStyle w:val="TableParagraph"/>
              <w:spacing w:before="0" w:after="0"/>
              <w:ind w:left="115"/>
              <w:rPr>
                <w:rFonts w:asciiTheme="minorHAnsi" w:hAnsiTheme="minorHAnsi"/>
                <w:b/>
                <w:sz w:val="18"/>
                <w:szCs w:val="18"/>
                <w:lang w:val="en-GB"/>
              </w:rPr>
            </w:pPr>
            <w:r w:rsidRPr="00D93FF9">
              <w:rPr>
                <w:rFonts w:asciiTheme="minorHAnsi" w:hAnsiTheme="minorHAnsi"/>
                <w:b/>
                <w:sz w:val="18"/>
                <w:szCs w:val="18"/>
                <w:lang w:val="en-GB"/>
              </w:rPr>
              <w:t>&lt;115</w:t>
            </w:r>
          </w:p>
        </w:tc>
        <w:tc>
          <w:tcPr>
            <w:tcW w:w="1725" w:type="dxa"/>
            <w:tcBorders>
              <w:top w:val="single" w:sz="6" w:space="0" w:color="000000"/>
              <w:left w:val="nil"/>
              <w:bottom w:val="single" w:sz="6" w:space="0" w:color="000000"/>
              <w:right w:val="nil"/>
            </w:tcBorders>
            <w:hideMark/>
          </w:tcPr>
          <w:p w14:paraId="59DCCEC6" w14:textId="77777777" w:rsidR="007B1CAF" w:rsidRPr="00D93FF9" w:rsidRDefault="00E811B8" w:rsidP="007B1CAF">
            <w:pPr>
              <w:pStyle w:val="TableParagraph"/>
              <w:spacing w:before="0" w:after="0"/>
              <w:ind w:left="159"/>
              <w:rPr>
                <w:rFonts w:asciiTheme="minorHAnsi" w:hAnsiTheme="minorHAnsi"/>
                <w:b/>
                <w:sz w:val="18"/>
                <w:szCs w:val="18"/>
                <w:lang w:val="en-GB"/>
              </w:rPr>
            </w:pPr>
            <w:r w:rsidRPr="00D93FF9">
              <w:rPr>
                <w:rFonts w:asciiTheme="minorHAnsi" w:hAnsiTheme="minorHAnsi"/>
                <w:b/>
                <w:sz w:val="18"/>
                <w:szCs w:val="18"/>
                <w:lang w:val="en-GB"/>
              </w:rPr>
              <w:t>Moderately sensitive</w:t>
            </w:r>
          </w:p>
          <w:p w14:paraId="59DCCEC7" w14:textId="77777777" w:rsidR="007B1CAF" w:rsidRPr="00D93FF9" w:rsidRDefault="00E811B8" w:rsidP="007B1CAF">
            <w:pPr>
              <w:pStyle w:val="TableParagraph"/>
              <w:spacing w:before="0" w:after="0"/>
              <w:ind w:left="159"/>
              <w:rPr>
                <w:rFonts w:asciiTheme="minorHAnsi" w:hAnsiTheme="minorHAnsi"/>
                <w:b/>
                <w:sz w:val="18"/>
                <w:szCs w:val="18"/>
                <w:lang w:val="en-GB"/>
              </w:rPr>
            </w:pPr>
            <w:r w:rsidRPr="00D93FF9">
              <w:rPr>
                <w:rFonts w:asciiTheme="minorHAnsi" w:hAnsiTheme="minorHAnsi"/>
                <w:b/>
                <w:sz w:val="18"/>
                <w:szCs w:val="18"/>
                <w:lang w:val="en-GB"/>
              </w:rPr>
              <w:t>115-230</w:t>
            </w:r>
          </w:p>
        </w:tc>
        <w:tc>
          <w:tcPr>
            <w:tcW w:w="3360" w:type="dxa"/>
            <w:tcBorders>
              <w:top w:val="single" w:sz="6" w:space="0" w:color="000000"/>
              <w:left w:val="nil"/>
              <w:bottom w:val="single" w:sz="6" w:space="0" w:color="000000"/>
              <w:right w:val="nil"/>
            </w:tcBorders>
          </w:tcPr>
          <w:p w14:paraId="59DCCEC8" w14:textId="77777777" w:rsidR="007B1CAF" w:rsidRPr="00D93FF9" w:rsidRDefault="00E811B8" w:rsidP="007B1CAF">
            <w:pPr>
              <w:pStyle w:val="TableParagraph"/>
              <w:spacing w:before="0" w:after="0"/>
              <w:ind w:left="1183"/>
              <w:rPr>
                <w:rFonts w:asciiTheme="minorHAnsi" w:hAnsiTheme="minorHAnsi"/>
                <w:b/>
                <w:sz w:val="18"/>
                <w:szCs w:val="18"/>
                <w:lang w:val="en-GB"/>
              </w:rPr>
            </w:pPr>
            <w:r w:rsidRPr="00D93FF9">
              <w:rPr>
                <w:rFonts w:asciiTheme="minorHAnsi" w:hAnsiTheme="minorHAnsi"/>
                <w:b/>
                <w:sz w:val="18"/>
                <w:szCs w:val="18"/>
                <w:lang w:val="en-GB"/>
              </w:rPr>
              <w:t>Moderately tolerant</w:t>
            </w:r>
          </w:p>
          <w:p w14:paraId="59DCCEC9" w14:textId="77777777" w:rsidR="007B1CAF" w:rsidRPr="00D93FF9" w:rsidRDefault="00E811B8" w:rsidP="007B1CAF">
            <w:pPr>
              <w:pStyle w:val="TableParagraph"/>
              <w:spacing w:before="0" w:after="0"/>
              <w:ind w:left="1183"/>
              <w:rPr>
                <w:rFonts w:asciiTheme="minorHAnsi" w:hAnsiTheme="minorHAnsi"/>
                <w:b/>
                <w:sz w:val="18"/>
                <w:szCs w:val="18"/>
                <w:lang w:val="en-GB"/>
              </w:rPr>
            </w:pPr>
            <w:r w:rsidRPr="00D93FF9">
              <w:rPr>
                <w:rFonts w:asciiTheme="minorHAnsi" w:hAnsiTheme="minorHAnsi"/>
                <w:b/>
                <w:sz w:val="18"/>
                <w:szCs w:val="18"/>
                <w:lang w:val="en-GB"/>
              </w:rPr>
              <w:t>230-460</w:t>
            </w:r>
          </w:p>
        </w:tc>
        <w:tc>
          <w:tcPr>
            <w:tcW w:w="2542" w:type="dxa"/>
            <w:tcBorders>
              <w:top w:val="single" w:sz="6" w:space="0" w:color="000000"/>
              <w:left w:val="nil"/>
              <w:bottom w:val="single" w:sz="6" w:space="0" w:color="000000"/>
              <w:right w:val="nil"/>
            </w:tcBorders>
          </w:tcPr>
          <w:p w14:paraId="59DCCECA" w14:textId="77777777" w:rsidR="007B1CAF" w:rsidRPr="00D93FF9" w:rsidRDefault="00E811B8" w:rsidP="007B1CAF">
            <w:pPr>
              <w:pStyle w:val="TableParagraph"/>
              <w:spacing w:before="0" w:after="0"/>
              <w:ind w:left="1183"/>
              <w:rPr>
                <w:rFonts w:asciiTheme="minorHAnsi" w:hAnsiTheme="minorHAnsi"/>
                <w:b/>
                <w:sz w:val="18"/>
                <w:szCs w:val="18"/>
                <w:lang w:val="en-GB"/>
              </w:rPr>
            </w:pPr>
            <w:r w:rsidRPr="00D93FF9">
              <w:rPr>
                <w:rFonts w:asciiTheme="minorHAnsi" w:hAnsiTheme="minorHAnsi"/>
                <w:b/>
                <w:sz w:val="18"/>
                <w:szCs w:val="18"/>
                <w:lang w:val="en-GB"/>
              </w:rPr>
              <w:t>Tolerant</w:t>
            </w:r>
          </w:p>
          <w:p w14:paraId="59DCCECB" w14:textId="77777777" w:rsidR="007B1CAF" w:rsidRPr="00D93FF9" w:rsidRDefault="00E811B8" w:rsidP="007B1CAF">
            <w:pPr>
              <w:pStyle w:val="TableParagraph"/>
              <w:spacing w:before="0" w:after="0"/>
              <w:ind w:left="1183"/>
              <w:rPr>
                <w:rFonts w:asciiTheme="minorHAnsi" w:hAnsiTheme="minorHAnsi"/>
                <w:b/>
                <w:sz w:val="18"/>
                <w:szCs w:val="18"/>
                <w:lang w:val="en-GB"/>
              </w:rPr>
            </w:pPr>
            <w:r w:rsidRPr="00D93FF9">
              <w:rPr>
                <w:rFonts w:asciiTheme="minorHAnsi" w:hAnsiTheme="minorHAnsi"/>
                <w:b/>
                <w:sz w:val="18"/>
                <w:szCs w:val="18"/>
                <w:lang w:val="en-GB"/>
              </w:rPr>
              <w:t>&gt;460</w:t>
            </w:r>
          </w:p>
        </w:tc>
      </w:tr>
      <w:tr w:rsidR="00BE3AA8" w:rsidRPr="00D93FF9" w14:paraId="59DCCED1" w14:textId="77777777" w:rsidTr="00EA3EAD">
        <w:trPr>
          <w:trHeight w:val="265"/>
        </w:trPr>
        <w:tc>
          <w:tcPr>
            <w:tcW w:w="1000" w:type="dxa"/>
            <w:tcBorders>
              <w:top w:val="single" w:sz="6" w:space="0" w:color="000000"/>
              <w:left w:val="nil"/>
              <w:bottom w:val="nil"/>
              <w:right w:val="nil"/>
            </w:tcBorders>
          </w:tcPr>
          <w:p w14:paraId="59DCCECD" w14:textId="77777777" w:rsidR="007B1CAF" w:rsidRPr="00D93FF9" w:rsidRDefault="00E811B8" w:rsidP="007B1CAF">
            <w:pPr>
              <w:pStyle w:val="TableParagraph"/>
              <w:spacing w:before="0" w:after="0"/>
              <w:ind w:left="115"/>
              <w:rPr>
                <w:rFonts w:asciiTheme="minorHAnsi" w:hAnsiTheme="minorHAnsi"/>
                <w:sz w:val="18"/>
                <w:szCs w:val="18"/>
                <w:lang w:val="en-GB"/>
              </w:rPr>
            </w:pPr>
            <w:r w:rsidRPr="00D93FF9">
              <w:rPr>
                <w:rFonts w:asciiTheme="minorHAnsi" w:hAnsiTheme="minorHAnsi"/>
                <w:sz w:val="18"/>
                <w:szCs w:val="18"/>
                <w:lang w:val="en-GB"/>
              </w:rPr>
              <w:t>Almond</w:t>
            </w:r>
          </w:p>
        </w:tc>
        <w:tc>
          <w:tcPr>
            <w:tcW w:w="1725" w:type="dxa"/>
            <w:tcBorders>
              <w:top w:val="single" w:sz="6" w:space="0" w:color="000000"/>
              <w:left w:val="nil"/>
              <w:bottom w:val="nil"/>
              <w:right w:val="nil"/>
            </w:tcBorders>
          </w:tcPr>
          <w:p w14:paraId="59DCCECE" w14:textId="77777777" w:rsidR="007B1CAF" w:rsidRPr="00D93FF9" w:rsidRDefault="00E811B8" w:rsidP="007B1CAF">
            <w:pPr>
              <w:pStyle w:val="TableParagraph"/>
              <w:spacing w:before="0" w:after="0"/>
              <w:ind w:left="301"/>
              <w:rPr>
                <w:rFonts w:asciiTheme="minorHAnsi" w:hAnsiTheme="minorHAnsi"/>
                <w:sz w:val="18"/>
                <w:szCs w:val="18"/>
                <w:lang w:val="en-GB"/>
              </w:rPr>
            </w:pPr>
            <w:r w:rsidRPr="00D93FF9">
              <w:rPr>
                <w:rFonts w:asciiTheme="minorHAnsi" w:hAnsiTheme="minorHAnsi"/>
                <w:sz w:val="18"/>
                <w:szCs w:val="18"/>
                <w:lang w:val="en-GB"/>
              </w:rPr>
              <w:t>Pepper</w:t>
            </w:r>
          </w:p>
        </w:tc>
        <w:tc>
          <w:tcPr>
            <w:tcW w:w="3360" w:type="dxa"/>
            <w:tcBorders>
              <w:top w:val="single" w:sz="6" w:space="0" w:color="000000"/>
              <w:left w:val="nil"/>
              <w:bottom w:val="nil"/>
              <w:right w:val="nil"/>
            </w:tcBorders>
          </w:tcPr>
          <w:p w14:paraId="59DCCECF" w14:textId="77777777" w:rsidR="007B1CAF" w:rsidRPr="00D93FF9" w:rsidRDefault="00E811B8" w:rsidP="007B1CAF">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Barley</w:t>
            </w:r>
          </w:p>
        </w:tc>
        <w:tc>
          <w:tcPr>
            <w:tcW w:w="2542" w:type="dxa"/>
            <w:tcBorders>
              <w:top w:val="single" w:sz="6" w:space="0" w:color="000000"/>
              <w:left w:val="nil"/>
              <w:bottom w:val="nil"/>
              <w:right w:val="nil"/>
            </w:tcBorders>
          </w:tcPr>
          <w:p w14:paraId="59DCCED0" w14:textId="77777777" w:rsidR="007B1CAF" w:rsidRPr="00D93FF9" w:rsidRDefault="00E811B8" w:rsidP="007B1CAF">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Cauliflower</w:t>
            </w:r>
          </w:p>
        </w:tc>
      </w:tr>
      <w:tr w:rsidR="00BE3AA8" w:rsidRPr="00D93FF9" w14:paraId="59DCCED6" w14:textId="77777777" w:rsidTr="00EA3EAD">
        <w:trPr>
          <w:trHeight w:val="265"/>
        </w:trPr>
        <w:tc>
          <w:tcPr>
            <w:tcW w:w="1000" w:type="dxa"/>
          </w:tcPr>
          <w:p w14:paraId="59DCCED2" w14:textId="77777777" w:rsidR="007B1CAF" w:rsidRPr="00D93FF9" w:rsidRDefault="00E811B8" w:rsidP="007B1CAF">
            <w:pPr>
              <w:pStyle w:val="TableParagraph"/>
              <w:spacing w:before="0" w:after="0"/>
              <w:ind w:left="115"/>
              <w:rPr>
                <w:rFonts w:asciiTheme="minorHAnsi" w:hAnsiTheme="minorHAnsi"/>
                <w:sz w:val="18"/>
                <w:szCs w:val="18"/>
                <w:lang w:val="en-GB"/>
              </w:rPr>
            </w:pPr>
            <w:r w:rsidRPr="00D93FF9">
              <w:rPr>
                <w:rFonts w:asciiTheme="minorHAnsi" w:hAnsiTheme="minorHAnsi"/>
                <w:sz w:val="18"/>
                <w:szCs w:val="18"/>
                <w:lang w:val="en-GB"/>
              </w:rPr>
              <w:t>Apricot</w:t>
            </w:r>
          </w:p>
        </w:tc>
        <w:tc>
          <w:tcPr>
            <w:tcW w:w="1725" w:type="dxa"/>
          </w:tcPr>
          <w:p w14:paraId="59DCCED3" w14:textId="77777777" w:rsidR="007B1CAF" w:rsidRPr="00D93FF9" w:rsidRDefault="00E811B8" w:rsidP="007B1CAF">
            <w:pPr>
              <w:pStyle w:val="TableParagraph"/>
              <w:spacing w:before="0" w:after="0"/>
              <w:ind w:left="301"/>
              <w:rPr>
                <w:rFonts w:asciiTheme="minorHAnsi" w:hAnsiTheme="minorHAnsi"/>
                <w:sz w:val="18"/>
                <w:szCs w:val="18"/>
                <w:lang w:val="en-GB"/>
              </w:rPr>
            </w:pPr>
            <w:r w:rsidRPr="00D93FF9">
              <w:rPr>
                <w:rFonts w:asciiTheme="minorHAnsi" w:hAnsiTheme="minorHAnsi"/>
                <w:sz w:val="18"/>
                <w:szCs w:val="18"/>
                <w:lang w:val="en-GB"/>
              </w:rPr>
              <w:t>Potato</w:t>
            </w:r>
          </w:p>
        </w:tc>
        <w:tc>
          <w:tcPr>
            <w:tcW w:w="3360" w:type="dxa"/>
          </w:tcPr>
          <w:p w14:paraId="59DCCED4" w14:textId="77777777" w:rsidR="007B1CAF" w:rsidRPr="00D93FF9" w:rsidRDefault="00E811B8" w:rsidP="007B1CAF">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Maize</w:t>
            </w:r>
          </w:p>
        </w:tc>
        <w:tc>
          <w:tcPr>
            <w:tcW w:w="2542" w:type="dxa"/>
          </w:tcPr>
          <w:p w14:paraId="59DCCED5" w14:textId="77777777" w:rsidR="007B1CAF" w:rsidRPr="00D93FF9" w:rsidRDefault="00E811B8" w:rsidP="007B1CAF">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Cotton</w:t>
            </w:r>
          </w:p>
        </w:tc>
      </w:tr>
      <w:tr w:rsidR="00BE3AA8" w:rsidRPr="00D93FF9" w14:paraId="59DCCEDB" w14:textId="77777777" w:rsidTr="00EA3EAD">
        <w:trPr>
          <w:trHeight w:val="265"/>
        </w:trPr>
        <w:tc>
          <w:tcPr>
            <w:tcW w:w="1000" w:type="dxa"/>
          </w:tcPr>
          <w:p w14:paraId="59DCCED7" w14:textId="77777777" w:rsidR="007B1CAF" w:rsidRPr="00D93FF9" w:rsidRDefault="00E811B8" w:rsidP="007B1CAF">
            <w:pPr>
              <w:pStyle w:val="TableParagraph"/>
              <w:spacing w:before="0" w:after="0"/>
              <w:ind w:left="115"/>
              <w:rPr>
                <w:rFonts w:asciiTheme="minorHAnsi" w:hAnsiTheme="minorHAnsi"/>
                <w:sz w:val="18"/>
                <w:szCs w:val="18"/>
                <w:lang w:val="en-GB"/>
              </w:rPr>
            </w:pPr>
            <w:r w:rsidRPr="00D93FF9">
              <w:rPr>
                <w:rFonts w:asciiTheme="minorHAnsi" w:hAnsiTheme="minorHAnsi"/>
                <w:sz w:val="18"/>
                <w:szCs w:val="18"/>
                <w:lang w:val="en-GB"/>
              </w:rPr>
              <w:t>Citrus</w:t>
            </w:r>
          </w:p>
        </w:tc>
        <w:tc>
          <w:tcPr>
            <w:tcW w:w="1725" w:type="dxa"/>
          </w:tcPr>
          <w:p w14:paraId="59DCCED8" w14:textId="77777777" w:rsidR="007B1CAF" w:rsidRPr="00D93FF9" w:rsidRDefault="00E811B8" w:rsidP="007B1CAF">
            <w:pPr>
              <w:pStyle w:val="TableParagraph"/>
              <w:spacing w:before="0" w:after="0"/>
              <w:ind w:left="301"/>
              <w:rPr>
                <w:rFonts w:asciiTheme="minorHAnsi" w:hAnsiTheme="minorHAnsi"/>
                <w:sz w:val="18"/>
                <w:szCs w:val="18"/>
                <w:lang w:val="en-GB"/>
              </w:rPr>
            </w:pPr>
            <w:r w:rsidRPr="00D93FF9">
              <w:rPr>
                <w:rFonts w:asciiTheme="minorHAnsi" w:hAnsiTheme="minorHAnsi"/>
                <w:sz w:val="18"/>
                <w:szCs w:val="18"/>
                <w:lang w:val="en-GB"/>
              </w:rPr>
              <w:t>Tomato</w:t>
            </w:r>
          </w:p>
        </w:tc>
        <w:tc>
          <w:tcPr>
            <w:tcW w:w="3360" w:type="dxa"/>
          </w:tcPr>
          <w:p w14:paraId="59DCCED9" w14:textId="77777777" w:rsidR="007B1CAF" w:rsidRPr="00D93FF9" w:rsidRDefault="00E811B8" w:rsidP="007B1CAF">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Cucumber</w:t>
            </w:r>
          </w:p>
        </w:tc>
        <w:tc>
          <w:tcPr>
            <w:tcW w:w="2542" w:type="dxa"/>
          </w:tcPr>
          <w:p w14:paraId="59DCCEDA" w14:textId="77777777" w:rsidR="007B1CAF" w:rsidRPr="00D93FF9" w:rsidRDefault="00E811B8" w:rsidP="007B1CAF">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Sugarbeet</w:t>
            </w:r>
          </w:p>
        </w:tc>
      </w:tr>
      <w:tr w:rsidR="00BE3AA8" w:rsidRPr="00D93FF9" w14:paraId="59DCCEE0" w14:textId="77777777" w:rsidTr="00EA3EAD">
        <w:trPr>
          <w:trHeight w:val="265"/>
        </w:trPr>
        <w:tc>
          <w:tcPr>
            <w:tcW w:w="1000" w:type="dxa"/>
          </w:tcPr>
          <w:p w14:paraId="59DCCEDC" w14:textId="77777777" w:rsidR="007B1CAF" w:rsidRPr="00D93FF9" w:rsidRDefault="00E811B8" w:rsidP="007B1CAF">
            <w:pPr>
              <w:pStyle w:val="TableParagraph"/>
              <w:spacing w:before="0" w:after="0"/>
              <w:ind w:left="115"/>
              <w:rPr>
                <w:rFonts w:asciiTheme="minorHAnsi" w:hAnsiTheme="minorHAnsi"/>
                <w:sz w:val="18"/>
                <w:szCs w:val="18"/>
                <w:lang w:val="en-GB"/>
              </w:rPr>
            </w:pPr>
            <w:r w:rsidRPr="00D93FF9">
              <w:rPr>
                <w:rFonts w:asciiTheme="minorHAnsi" w:hAnsiTheme="minorHAnsi"/>
                <w:sz w:val="18"/>
                <w:szCs w:val="18"/>
                <w:lang w:val="en-GB"/>
              </w:rPr>
              <w:t>Plum</w:t>
            </w:r>
          </w:p>
        </w:tc>
        <w:tc>
          <w:tcPr>
            <w:tcW w:w="1725" w:type="dxa"/>
          </w:tcPr>
          <w:p w14:paraId="59DCCEDD" w14:textId="77777777" w:rsidR="007B1CAF" w:rsidRPr="00D93FF9" w:rsidRDefault="007B1CAF" w:rsidP="007B1CAF">
            <w:pPr>
              <w:pStyle w:val="TableParagraph"/>
              <w:spacing w:before="0" w:after="0"/>
              <w:ind w:left="301"/>
              <w:rPr>
                <w:rFonts w:asciiTheme="minorHAnsi" w:hAnsiTheme="minorHAnsi"/>
                <w:sz w:val="18"/>
                <w:szCs w:val="18"/>
                <w:lang w:val="en-GB"/>
              </w:rPr>
            </w:pPr>
          </w:p>
        </w:tc>
        <w:tc>
          <w:tcPr>
            <w:tcW w:w="3360" w:type="dxa"/>
          </w:tcPr>
          <w:p w14:paraId="59DCCEDE" w14:textId="77777777" w:rsidR="007B1CAF" w:rsidRPr="00D93FF9" w:rsidRDefault="00E811B8" w:rsidP="007B1CAF">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Lucerne</w:t>
            </w:r>
          </w:p>
        </w:tc>
        <w:tc>
          <w:tcPr>
            <w:tcW w:w="2542" w:type="dxa"/>
          </w:tcPr>
          <w:p w14:paraId="59DCCEDF" w14:textId="77777777" w:rsidR="007B1CAF" w:rsidRPr="00D93FF9" w:rsidRDefault="00E811B8" w:rsidP="007B1CAF">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Sunflower</w:t>
            </w:r>
          </w:p>
        </w:tc>
      </w:tr>
      <w:tr w:rsidR="00BE3AA8" w:rsidRPr="00D93FF9" w14:paraId="59DCCEE5" w14:textId="77777777" w:rsidTr="00EA3EAD">
        <w:trPr>
          <w:trHeight w:val="265"/>
        </w:trPr>
        <w:tc>
          <w:tcPr>
            <w:tcW w:w="1000" w:type="dxa"/>
          </w:tcPr>
          <w:p w14:paraId="59DCCEE1" w14:textId="77777777" w:rsidR="007B1CAF" w:rsidRPr="00D93FF9" w:rsidRDefault="00E811B8" w:rsidP="007B1CAF">
            <w:pPr>
              <w:pStyle w:val="TableParagraph"/>
              <w:spacing w:before="0" w:after="0"/>
              <w:ind w:left="115"/>
              <w:rPr>
                <w:rFonts w:asciiTheme="minorHAnsi" w:hAnsiTheme="minorHAnsi"/>
                <w:sz w:val="18"/>
                <w:szCs w:val="18"/>
                <w:lang w:val="en-GB"/>
              </w:rPr>
            </w:pPr>
            <w:r w:rsidRPr="00D93FF9">
              <w:rPr>
                <w:rFonts w:asciiTheme="minorHAnsi" w:hAnsiTheme="minorHAnsi"/>
                <w:sz w:val="18"/>
                <w:szCs w:val="18"/>
                <w:lang w:val="en-GB"/>
              </w:rPr>
              <w:t>Grape</w:t>
            </w:r>
          </w:p>
        </w:tc>
        <w:tc>
          <w:tcPr>
            <w:tcW w:w="1725" w:type="dxa"/>
          </w:tcPr>
          <w:p w14:paraId="59DCCEE2" w14:textId="77777777" w:rsidR="007B1CAF" w:rsidRPr="00D93FF9" w:rsidRDefault="007B1CAF" w:rsidP="007B1CAF">
            <w:pPr>
              <w:pStyle w:val="TableParagraph"/>
              <w:spacing w:before="0" w:after="0"/>
              <w:ind w:left="301"/>
              <w:rPr>
                <w:rFonts w:asciiTheme="minorHAnsi" w:hAnsiTheme="minorHAnsi"/>
                <w:sz w:val="18"/>
                <w:szCs w:val="18"/>
                <w:lang w:val="en-GB"/>
              </w:rPr>
            </w:pPr>
          </w:p>
        </w:tc>
        <w:tc>
          <w:tcPr>
            <w:tcW w:w="3360" w:type="dxa"/>
          </w:tcPr>
          <w:p w14:paraId="59DCCEE3" w14:textId="77777777" w:rsidR="007B1CAF" w:rsidRPr="00D93FF9" w:rsidRDefault="00E811B8" w:rsidP="007B1CAF">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Safflower</w:t>
            </w:r>
          </w:p>
        </w:tc>
        <w:tc>
          <w:tcPr>
            <w:tcW w:w="2542" w:type="dxa"/>
          </w:tcPr>
          <w:p w14:paraId="59DCCEE4" w14:textId="77777777" w:rsidR="007B1CAF" w:rsidRPr="00D93FF9" w:rsidRDefault="007B1CAF" w:rsidP="007B1CAF">
            <w:pPr>
              <w:pStyle w:val="TableParagraph"/>
              <w:spacing w:before="0" w:after="0"/>
              <w:ind w:left="1184"/>
              <w:rPr>
                <w:rFonts w:asciiTheme="minorHAnsi" w:hAnsiTheme="minorHAnsi"/>
                <w:sz w:val="18"/>
                <w:szCs w:val="18"/>
                <w:lang w:val="en-GB"/>
              </w:rPr>
            </w:pPr>
          </w:p>
        </w:tc>
      </w:tr>
      <w:tr w:rsidR="00BE3AA8" w:rsidRPr="00D93FF9" w14:paraId="59DCCEEA" w14:textId="77777777" w:rsidTr="00EA3EAD">
        <w:trPr>
          <w:trHeight w:val="265"/>
        </w:trPr>
        <w:tc>
          <w:tcPr>
            <w:tcW w:w="1000" w:type="dxa"/>
          </w:tcPr>
          <w:p w14:paraId="59DCCEE6" w14:textId="77777777" w:rsidR="007B1CAF" w:rsidRPr="00D93FF9" w:rsidRDefault="007B1CAF" w:rsidP="007B1CAF">
            <w:pPr>
              <w:pStyle w:val="TableParagraph"/>
              <w:spacing w:before="0" w:after="0"/>
              <w:ind w:left="115"/>
              <w:rPr>
                <w:rFonts w:asciiTheme="minorHAnsi" w:hAnsiTheme="minorHAnsi"/>
                <w:sz w:val="18"/>
                <w:szCs w:val="18"/>
                <w:lang w:val="en-GB"/>
              </w:rPr>
            </w:pPr>
          </w:p>
        </w:tc>
        <w:tc>
          <w:tcPr>
            <w:tcW w:w="1725" w:type="dxa"/>
          </w:tcPr>
          <w:p w14:paraId="59DCCEE7" w14:textId="77777777" w:rsidR="007B1CAF" w:rsidRPr="00D93FF9" w:rsidRDefault="007B1CAF" w:rsidP="007B1CAF">
            <w:pPr>
              <w:pStyle w:val="TableParagraph"/>
              <w:spacing w:before="0" w:after="0"/>
              <w:ind w:left="301"/>
              <w:rPr>
                <w:rFonts w:asciiTheme="minorHAnsi" w:hAnsiTheme="minorHAnsi"/>
                <w:sz w:val="18"/>
                <w:szCs w:val="18"/>
                <w:lang w:val="en-GB"/>
              </w:rPr>
            </w:pPr>
          </w:p>
        </w:tc>
        <w:tc>
          <w:tcPr>
            <w:tcW w:w="3360" w:type="dxa"/>
          </w:tcPr>
          <w:p w14:paraId="59DCCEE8" w14:textId="77777777" w:rsidR="007B1CAF" w:rsidRPr="00D93FF9" w:rsidRDefault="00E811B8" w:rsidP="007B1CAF">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Sesame</w:t>
            </w:r>
          </w:p>
        </w:tc>
        <w:tc>
          <w:tcPr>
            <w:tcW w:w="2542" w:type="dxa"/>
          </w:tcPr>
          <w:p w14:paraId="59DCCEE9" w14:textId="77777777" w:rsidR="007B1CAF" w:rsidRPr="00D93FF9" w:rsidRDefault="007B1CAF" w:rsidP="007B1CAF">
            <w:pPr>
              <w:pStyle w:val="TableParagraph"/>
              <w:spacing w:before="0" w:after="0"/>
              <w:ind w:left="1184"/>
              <w:rPr>
                <w:rFonts w:asciiTheme="minorHAnsi" w:hAnsiTheme="minorHAnsi"/>
                <w:sz w:val="18"/>
                <w:szCs w:val="18"/>
                <w:lang w:val="en-GB"/>
              </w:rPr>
            </w:pPr>
          </w:p>
        </w:tc>
      </w:tr>
      <w:tr w:rsidR="00BE3AA8" w:rsidRPr="00D93FF9" w14:paraId="59DCCEEF" w14:textId="77777777" w:rsidTr="00EA3EAD">
        <w:trPr>
          <w:trHeight w:val="265"/>
        </w:trPr>
        <w:tc>
          <w:tcPr>
            <w:tcW w:w="1000" w:type="dxa"/>
            <w:tcBorders>
              <w:top w:val="nil"/>
              <w:left w:val="nil"/>
              <w:bottom w:val="single" w:sz="6" w:space="0" w:color="000000"/>
              <w:right w:val="nil"/>
            </w:tcBorders>
          </w:tcPr>
          <w:p w14:paraId="59DCCEEB" w14:textId="77777777" w:rsidR="007B1CAF" w:rsidRPr="00D93FF9" w:rsidRDefault="007B1CAF" w:rsidP="007B1CAF">
            <w:pPr>
              <w:pStyle w:val="TableParagraph"/>
              <w:spacing w:before="0" w:after="0"/>
              <w:ind w:left="115"/>
              <w:rPr>
                <w:rFonts w:asciiTheme="minorHAnsi" w:hAnsiTheme="minorHAnsi"/>
                <w:sz w:val="18"/>
                <w:szCs w:val="18"/>
                <w:lang w:val="en-GB"/>
              </w:rPr>
            </w:pPr>
          </w:p>
        </w:tc>
        <w:tc>
          <w:tcPr>
            <w:tcW w:w="1725" w:type="dxa"/>
            <w:tcBorders>
              <w:top w:val="nil"/>
              <w:left w:val="nil"/>
              <w:bottom w:val="single" w:sz="6" w:space="0" w:color="000000"/>
              <w:right w:val="nil"/>
            </w:tcBorders>
          </w:tcPr>
          <w:p w14:paraId="59DCCEEC" w14:textId="77777777" w:rsidR="007B1CAF" w:rsidRPr="00D93FF9" w:rsidRDefault="007B1CAF" w:rsidP="007B1CAF">
            <w:pPr>
              <w:pStyle w:val="TableParagraph"/>
              <w:spacing w:before="0" w:after="0"/>
              <w:ind w:left="301"/>
              <w:rPr>
                <w:rFonts w:asciiTheme="minorHAnsi" w:hAnsiTheme="minorHAnsi"/>
                <w:sz w:val="18"/>
                <w:szCs w:val="18"/>
                <w:lang w:val="en-GB"/>
              </w:rPr>
            </w:pPr>
          </w:p>
        </w:tc>
        <w:tc>
          <w:tcPr>
            <w:tcW w:w="3360" w:type="dxa"/>
            <w:tcBorders>
              <w:top w:val="nil"/>
              <w:left w:val="nil"/>
              <w:bottom w:val="single" w:sz="6" w:space="0" w:color="000000"/>
              <w:right w:val="nil"/>
            </w:tcBorders>
          </w:tcPr>
          <w:p w14:paraId="59DCCEED" w14:textId="77777777" w:rsidR="007B1CAF" w:rsidRPr="00D93FF9" w:rsidRDefault="00E811B8" w:rsidP="007B1CAF">
            <w:pPr>
              <w:pStyle w:val="TableParagraph"/>
              <w:spacing w:before="0" w:after="0"/>
              <w:ind w:left="1184"/>
              <w:rPr>
                <w:rFonts w:asciiTheme="minorHAnsi" w:hAnsiTheme="minorHAnsi"/>
                <w:sz w:val="18"/>
                <w:szCs w:val="18"/>
                <w:lang w:val="en-GB"/>
              </w:rPr>
            </w:pPr>
            <w:r w:rsidRPr="00D93FF9">
              <w:rPr>
                <w:rFonts w:asciiTheme="minorHAnsi" w:hAnsiTheme="minorHAnsi"/>
                <w:sz w:val="18"/>
                <w:szCs w:val="18"/>
                <w:lang w:val="en-GB"/>
              </w:rPr>
              <w:t>Sorghum</w:t>
            </w:r>
          </w:p>
        </w:tc>
        <w:tc>
          <w:tcPr>
            <w:tcW w:w="2542" w:type="dxa"/>
            <w:tcBorders>
              <w:top w:val="nil"/>
              <w:left w:val="nil"/>
              <w:bottom w:val="single" w:sz="6" w:space="0" w:color="000000"/>
              <w:right w:val="nil"/>
            </w:tcBorders>
          </w:tcPr>
          <w:p w14:paraId="59DCCEEE" w14:textId="77777777" w:rsidR="007B1CAF" w:rsidRPr="00D93FF9" w:rsidRDefault="007B1CAF" w:rsidP="007B1CAF">
            <w:pPr>
              <w:pStyle w:val="TableParagraph"/>
              <w:spacing w:before="0" w:after="0"/>
              <w:ind w:left="1184"/>
              <w:rPr>
                <w:rFonts w:asciiTheme="minorHAnsi" w:hAnsiTheme="minorHAnsi"/>
                <w:sz w:val="18"/>
                <w:szCs w:val="18"/>
                <w:lang w:val="en-GB"/>
              </w:rPr>
            </w:pPr>
          </w:p>
        </w:tc>
      </w:tr>
    </w:tbl>
    <w:p w14:paraId="59DCCEF0" w14:textId="77777777" w:rsidR="005A6874" w:rsidRPr="00D93FF9" w:rsidRDefault="00E811B8" w:rsidP="00EA3EAD">
      <w:pPr>
        <w:spacing w:before="95" w:line="280" w:lineRule="auto"/>
        <w:rPr>
          <w:rFonts w:ascii="Arial"/>
          <w:sz w:val="12"/>
          <w:lang w:val="en-GB"/>
        </w:rPr>
      </w:pPr>
      <w:r w:rsidRPr="00D93FF9">
        <w:rPr>
          <w:rFonts w:ascii="Arial"/>
          <w:sz w:val="14"/>
          <w:lang w:val="en-GB"/>
        </w:rPr>
        <w:t>a After Maas (1990</w:t>
      </w:r>
      <w:r w:rsidR="008616FE" w:rsidRPr="00D93FF9">
        <w:rPr>
          <w:rFonts w:ascii="Arial"/>
          <w:sz w:val="14"/>
          <w:lang w:val="en-GB"/>
        </w:rPr>
        <w:t>)</w:t>
      </w:r>
    </w:p>
    <w:p w14:paraId="59DCCEF1" w14:textId="6141002B" w:rsidR="00C46175" w:rsidRPr="00D93FF9" w:rsidRDefault="003546C8" w:rsidP="003546C8">
      <w:pPr>
        <w:pStyle w:val="Caption"/>
        <w:rPr>
          <w:rFonts w:ascii="Arial"/>
          <w:sz w:val="12"/>
          <w:lang w:val="en-GB"/>
        </w:rPr>
      </w:pPr>
      <w:bookmarkStart w:id="212" w:name="_Ref81393818"/>
      <w:bookmarkStart w:id="213" w:name="_Toc96518235"/>
      <w:r w:rsidRPr="00D93FF9">
        <w:lastRenderedPageBreak/>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21</w:t>
      </w:r>
      <w:r w:rsidR="00477102" w:rsidRPr="00D93FF9">
        <w:fldChar w:fldCharType="end"/>
      </w:r>
      <w:bookmarkEnd w:id="212"/>
      <w:r w:rsidRPr="00D93FF9">
        <w:t xml:space="preserve"> </w:t>
      </w:r>
      <w:bookmarkStart w:id="214" w:name="_Hlk153812682"/>
      <w:r w:rsidR="00E90CE0" w:rsidRPr="00D93FF9">
        <w:rPr>
          <w:rFonts w:ascii="Arial"/>
          <w:sz w:val="18"/>
          <w:lang w:val="en-GB"/>
        </w:rPr>
        <w:t>Effect of sodium expressed as sodium adsorption ratio (SAR) on crop yield and quality under non-saline conditions</w:t>
      </w:r>
      <w:r w:rsidR="00E90CE0" w:rsidRPr="00D93FF9">
        <w:rPr>
          <w:rFonts w:ascii="Arial"/>
          <w:position w:val="4"/>
          <w:sz w:val="12"/>
          <w:lang w:val="en-GB"/>
        </w:rPr>
        <w:t>a</w:t>
      </w:r>
      <w:bookmarkEnd w:id="213"/>
      <w:bookmarkEnd w:id="214"/>
    </w:p>
    <w:p w14:paraId="59DCCEF2" w14:textId="77777777" w:rsidR="00C46175" w:rsidRPr="00D93FF9" w:rsidRDefault="00C46175" w:rsidP="003807A1">
      <w:pPr>
        <w:pStyle w:val="BodyText"/>
        <w:spacing w:after="0"/>
        <w:rPr>
          <w:rFonts w:ascii="Arial"/>
          <w:sz w:val="7"/>
          <w:lang w:val="en-GB"/>
        </w:rPr>
      </w:pPr>
    </w:p>
    <w:tbl>
      <w:tblPr>
        <w:tblW w:w="0" w:type="auto"/>
        <w:tblInd w:w="137" w:type="dxa"/>
        <w:tblLayout w:type="fixed"/>
        <w:tblCellMar>
          <w:left w:w="0" w:type="dxa"/>
          <w:right w:w="0" w:type="dxa"/>
        </w:tblCellMar>
        <w:tblLook w:val="01E0" w:firstRow="1" w:lastRow="1" w:firstColumn="1" w:lastColumn="1" w:noHBand="0" w:noVBand="0"/>
        <w:tblCaption w:val="Effect of sodium expressed as sodium adsorption ratio on crop yield and quality under non-saline conditions"/>
        <w:tblDescription w:val="The table categorises a range of crop plants into four categories of sodium adsorption ratios: extremely sensitive, sensitive, medium, and high, and lists examples of the growth response under field conditions for each."/>
      </w:tblPr>
      <w:tblGrid>
        <w:gridCol w:w="2828"/>
        <w:gridCol w:w="2173"/>
        <w:gridCol w:w="3689"/>
      </w:tblGrid>
      <w:tr w:rsidR="00BE3AA8" w:rsidRPr="00D93FF9" w14:paraId="59DCCEF6" w14:textId="77777777" w:rsidTr="00EA3EAD">
        <w:trPr>
          <w:trHeight w:val="284"/>
        </w:trPr>
        <w:tc>
          <w:tcPr>
            <w:tcW w:w="2828" w:type="dxa"/>
            <w:tcBorders>
              <w:top w:val="single" w:sz="6" w:space="0" w:color="000000"/>
              <w:bottom w:val="single" w:sz="6" w:space="0" w:color="000000"/>
            </w:tcBorders>
          </w:tcPr>
          <w:p w14:paraId="59DCCEF3" w14:textId="77777777" w:rsidR="00C46175" w:rsidRPr="00D93FF9" w:rsidRDefault="00E811B8" w:rsidP="00EA3EAD">
            <w:pPr>
              <w:pStyle w:val="TableParagraph"/>
              <w:spacing w:before="0" w:after="0" w:line="240" w:lineRule="auto"/>
              <w:rPr>
                <w:rFonts w:asciiTheme="minorHAnsi" w:hAnsiTheme="minorHAnsi"/>
                <w:b/>
                <w:sz w:val="18"/>
                <w:szCs w:val="18"/>
                <w:lang w:val="en-GB"/>
              </w:rPr>
            </w:pPr>
            <w:r w:rsidRPr="00D93FF9">
              <w:rPr>
                <w:rFonts w:asciiTheme="minorHAnsi" w:hAnsiTheme="minorHAnsi"/>
                <w:b/>
                <w:sz w:val="18"/>
                <w:szCs w:val="18"/>
                <w:lang w:val="en-GB"/>
              </w:rPr>
              <w:t>Tolerance to SAR and range at which affected</w:t>
            </w:r>
          </w:p>
        </w:tc>
        <w:tc>
          <w:tcPr>
            <w:tcW w:w="2173" w:type="dxa"/>
            <w:tcBorders>
              <w:top w:val="single" w:sz="6" w:space="0" w:color="000000"/>
              <w:bottom w:val="single" w:sz="6" w:space="0" w:color="000000"/>
            </w:tcBorders>
          </w:tcPr>
          <w:p w14:paraId="59DCCEF4" w14:textId="77777777" w:rsidR="00C46175" w:rsidRPr="00D93FF9" w:rsidRDefault="00E811B8" w:rsidP="00EA3EAD">
            <w:pPr>
              <w:pStyle w:val="TableParagraph"/>
              <w:spacing w:before="0" w:after="0" w:line="240" w:lineRule="auto"/>
              <w:rPr>
                <w:rFonts w:asciiTheme="minorHAnsi" w:hAnsiTheme="minorHAnsi"/>
                <w:b/>
                <w:sz w:val="18"/>
                <w:szCs w:val="18"/>
                <w:lang w:val="en-GB"/>
              </w:rPr>
            </w:pPr>
            <w:r w:rsidRPr="00D93FF9">
              <w:rPr>
                <w:rFonts w:asciiTheme="minorHAnsi" w:hAnsiTheme="minorHAnsi"/>
                <w:b/>
                <w:sz w:val="18"/>
                <w:szCs w:val="18"/>
                <w:lang w:val="en-GB"/>
              </w:rPr>
              <w:t>Crop</w:t>
            </w:r>
          </w:p>
        </w:tc>
        <w:tc>
          <w:tcPr>
            <w:tcW w:w="3689" w:type="dxa"/>
            <w:tcBorders>
              <w:top w:val="single" w:sz="6" w:space="0" w:color="000000"/>
              <w:bottom w:val="single" w:sz="6" w:space="0" w:color="000000"/>
            </w:tcBorders>
          </w:tcPr>
          <w:p w14:paraId="59DCCEF5" w14:textId="77777777" w:rsidR="00C46175" w:rsidRPr="00D93FF9" w:rsidRDefault="00E811B8" w:rsidP="00EA3EAD">
            <w:pPr>
              <w:pStyle w:val="TableParagraph"/>
              <w:spacing w:before="0" w:after="0" w:line="240" w:lineRule="auto"/>
              <w:ind w:hanging="1"/>
              <w:rPr>
                <w:rFonts w:asciiTheme="minorHAnsi" w:hAnsiTheme="minorHAnsi"/>
                <w:b/>
                <w:sz w:val="18"/>
                <w:szCs w:val="18"/>
                <w:lang w:val="en-GB"/>
              </w:rPr>
            </w:pPr>
            <w:r w:rsidRPr="00D93FF9">
              <w:rPr>
                <w:rFonts w:asciiTheme="minorHAnsi" w:hAnsiTheme="minorHAnsi"/>
                <w:b/>
                <w:sz w:val="18"/>
                <w:szCs w:val="18"/>
                <w:lang w:val="en-GB"/>
              </w:rPr>
              <w:t>Growth response under field conditions</w:t>
            </w:r>
          </w:p>
        </w:tc>
      </w:tr>
      <w:tr w:rsidR="00BE3AA8" w:rsidRPr="00D93FF9" w14:paraId="59DCCEFA" w14:textId="77777777" w:rsidTr="00EA3EAD">
        <w:trPr>
          <w:trHeight w:val="284"/>
        </w:trPr>
        <w:tc>
          <w:tcPr>
            <w:tcW w:w="2828" w:type="dxa"/>
            <w:tcBorders>
              <w:top w:val="single" w:sz="6" w:space="0" w:color="000000"/>
            </w:tcBorders>
          </w:tcPr>
          <w:p w14:paraId="59DCCEF7"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Extremely sensitive</w:t>
            </w:r>
          </w:p>
        </w:tc>
        <w:tc>
          <w:tcPr>
            <w:tcW w:w="2173" w:type="dxa"/>
            <w:tcBorders>
              <w:top w:val="single" w:sz="6" w:space="0" w:color="000000"/>
            </w:tcBorders>
          </w:tcPr>
          <w:p w14:paraId="59DCCEF8"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Avocado</w:t>
            </w:r>
          </w:p>
        </w:tc>
        <w:tc>
          <w:tcPr>
            <w:tcW w:w="3689" w:type="dxa"/>
            <w:tcBorders>
              <w:top w:val="single" w:sz="6" w:space="0" w:color="000000"/>
            </w:tcBorders>
          </w:tcPr>
          <w:p w14:paraId="59DCCEF9"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Leaf tip burn, leaf scorch</w:t>
            </w:r>
          </w:p>
        </w:tc>
      </w:tr>
      <w:tr w:rsidR="00BE3AA8" w:rsidRPr="00D93FF9" w14:paraId="59DCCEFE" w14:textId="77777777" w:rsidTr="00EA3EAD">
        <w:trPr>
          <w:trHeight w:val="284"/>
        </w:trPr>
        <w:tc>
          <w:tcPr>
            <w:tcW w:w="2828" w:type="dxa"/>
          </w:tcPr>
          <w:p w14:paraId="59DCCEFB"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SAR = 2–8</w:t>
            </w:r>
          </w:p>
        </w:tc>
        <w:tc>
          <w:tcPr>
            <w:tcW w:w="2173" w:type="dxa"/>
          </w:tcPr>
          <w:p w14:paraId="59DCCEFC"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Deciduous Fruits</w:t>
            </w:r>
          </w:p>
        </w:tc>
        <w:tc>
          <w:tcPr>
            <w:tcW w:w="3689" w:type="dxa"/>
          </w:tcPr>
          <w:p w14:paraId="59DCCEFD"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r>
      <w:tr w:rsidR="00BE3AA8" w:rsidRPr="00D93FF9" w14:paraId="59DCCF02" w14:textId="77777777" w:rsidTr="00EA3EAD">
        <w:trPr>
          <w:trHeight w:val="284"/>
        </w:trPr>
        <w:tc>
          <w:tcPr>
            <w:tcW w:w="2828" w:type="dxa"/>
          </w:tcPr>
          <w:p w14:paraId="59DCCEFF"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c>
          <w:tcPr>
            <w:tcW w:w="2173" w:type="dxa"/>
          </w:tcPr>
          <w:p w14:paraId="59DCCF00"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Nuts</w:t>
            </w:r>
          </w:p>
        </w:tc>
        <w:tc>
          <w:tcPr>
            <w:tcW w:w="3689" w:type="dxa"/>
          </w:tcPr>
          <w:p w14:paraId="59DCCF01"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r>
      <w:tr w:rsidR="00BE3AA8" w:rsidRPr="00D93FF9" w14:paraId="59DCCF06" w14:textId="77777777" w:rsidTr="00EA3EAD">
        <w:trPr>
          <w:trHeight w:val="284"/>
        </w:trPr>
        <w:tc>
          <w:tcPr>
            <w:tcW w:w="2828" w:type="dxa"/>
            <w:tcBorders>
              <w:bottom w:val="single" w:sz="6" w:space="0" w:color="000000"/>
            </w:tcBorders>
          </w:tcPr>
          <w:p w14:paraId="59DCCF03"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c>
          <w:tcPr>
            <w:tcW w:w="2173" w:type="dxa"/>
            <w:tcBorders>
              <w:bottom w:val="single" w:sz="6" w:space="0" w:color="000000"/>
            </w:tcBorders>
          </w:tcPr>
          <w:p w14:paraId="59DCCF04"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Citrus</w:t>
            </w:r>
          </w:p>
        </w:tc>
        <w:tc>
          <w:tcPr>
            <w:tcW w:w="3689" w:type="dxa"/>
            <w:tcBorders>
              <w:bottom w:val="single" w:sz="6" w:space="0" w:color="000000"/>
            </w:tcBorders>
          </w:tcPr>
          <w:p w14:paraId="59DCCF05"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r>
      <w:tr w:rsidR="00BE3AA8" w:rsidRPr="00D93FF9" w14:paraId="59DCCF0A" w14:textId="77777777" w:rsidTr="00EA3EAD">
        <w:trPr>
          <w:trHeight w:val="284"/>
        </w:trPr>
        <w:tc>
          <w:tcPr>
            <w:tcW w:w="2828" w:type="dxa"/>
            <w:tcBorders>
              <w:top w:val="single" w:sz="6" w:space="0" w:color="000000"/>
            </w:tcBorders>
          </w:tcPr>
          <w:p w14:paraId="59DCCF07"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Sensitive</w:t>
            </w:r>
          </w:p>
        </w:tc>
        <w:tc>
          <w:tcPr>
            <w:tcW w:w="2173" w:type="dxa"/>
            <w:tcBorders>
              <w:top w:val="single" w:sz="6" w:space="0" w:color="000000"/>
            </w:tcBorders>
          </w:tcPr>
          <w:p w14:paraId="59DCCF08"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Beans</w:t>
            </w:r>
          </w:p>
        </w:tc>
        <w:tc>
          <w:tcPr>
            <w:tcW w:w="3689" w:type="dxa"/>
            <w:tcBorders>
              <w:top w:val="single" w:sz="6" w:space="0" w:color="000000"/>
            </w:tcBorders>
          </w:tcPr>
          <w:p w14:paraId="59DCCF09"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Stunted growth</w:t>
            </w:r>
          </w:p>
        </w:tc>
      </w:tr>
      <w:tr w:rsidR="00BE3AA8" w:rsidRPr="00D93FF9" w14:paraId="59DCCF0E" w14:textId="77777777" w:rsidTr="00EA3EAD">
        <w:trPr>
          <w:trHeight w:val="284"/>
        </w:trPr>
        <w:tc>
          <w:tcPr>
            <w:tcW w:w="2828" w:type="dxa"/>
            <w:tcBorders>
              <w:bottom w:val="single" w:sz="6" w:space="0" w:color="000000"/>
            </w:tcBorders>
          </w:tcPr>
          <w:p w14:paraId="59DCCF0B"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SAR = 8–18</w:t>
            </w:r>
          </w:p>
        </w:tc>
        <w:tc>
          <w:tcPr>
            <w:tcW w:w="2173" w:type="dxa"/>
            <w:tcBorders>
              <w:bottom w:val="single" w:sz="6" w:space="0" w:color="000000"/>
            </w:tcBorders>
          </w:tcPr>
          <w:p w14:paraId="59DCCF0C"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c>
          <w:tcPr>
            <w:tcW w:w="3689" w:type="dxa"/>
            <w:tcBorders>
              <w:bottom w:val="single" w:sz="6" w:space="0" w:color="000000"/>
            </w:tcBorders>
          </w:tcPr>
          <w:p w14:paraId="59DCCF0D"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r>
      <w:tr w:rsidR="00BE3AA8" w:rsidRPr="00D93FF9" w14:paraId="59DCCF12" w14:textId="77777777" w:rsidTr="00EA3EAD">
        <w:trPr>
          <w:trHeight w:val="284"/>
        </w:trPr>
        <w:tc>
          <w:tcPr>
            <w:tcW w:w="2828" w:type="dxa"/>
            <w:tcBorders>
              <w:top w:val="single" w:sz="6" w:space="0" w:color="000000"/>
            </w:tcBorders>
          </w:tcPr>
          <w:p w14:paraId="59DCCF0F"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Medium</w:t>
            </w:r>
          </w:p>
        </w:tc>
        <w:tc>
          <w:tcPr>
            <w:tcW w:w="2173" w:type="dxa"/>
            <w:tcBorders>
              <w:top w:val="single" w:sz="6" w:space="0" w:color="000000"/>
            </w:tcBorders>
          </w:tcPr>
          <w:p w14:paraId="59DCCF10"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Clover</w:t>
            </w:r>
          </w:p>
        </w:tc>
        <w:tc>
          <w:tcPr>
            <w:tcW w:w="3689" w:type="dxa"/>
            <w:tcBorders>
              <w:top w:val="single" w:sz="6" w:space="0" w:color="000000"/>
            </w:tcBorders>
          </w:tcPr>
          <w:p w14:paraId="59DCCF11"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Stunted growth, possible sodium</w:t>
            </w:r>
          </w:p>
        </w:tc>
      </w:tr>
      <w:tr w:rsidR="00BE3AA8" w:rsidRPr="00D93FF9" w14:paraId="59DCCF16" w14:textId="77777777" w:rsidTr="00EA3EAD">
        <w:trPr>
          <w:trHeight w:val="284"/>
        </w:trPr>
        <w:tc>
          <w:tcPr>
            <w:tcW w:w="2828" w:type="dxa"/>
          </w:tcPr>
          <w:p w14:paraId="59DCCF13"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SAR = 18–46</w:t>
            </w:r>
          </w:p>
        </w:tc>
        <w:tc>
          <w:tcPr>
            <w:tcW w:w="2173" w:type="dxa"/>
          </w:tcPr>
          <w:p w14:paraId="59DCCF14"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Oats</w:t>
            </w:r>
          </w:p>
        </w:tc>
        <w:tc>
          <w:tcPr>
            <w:tcW w:w="3689" w:type="dxa"/>
          </w:tcPr>
          <w:p w14:paraId="59DCCF15"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toxicity, possible calcium or magnesium</w:t>
            </w:r>
          </w:p>
        </w:tc>
      </w:tr>
      <w:tr w:rsidR="00BE3AA8" w:rsidRPr="00D93FF9" w14:paraId="59DCCF1A" w14:textId="77777777" w:rsidTr="00EA3EAD">
        <w:trPr>
          <w:trHeight w:val="284"/>
        </w:trPr>
        <w:tc>
          <w:tcPr>
            <w:tcW w:w="2828" w:type="dxa"/>
          </w:tcPr>
          <w:p w14:paraId="59DCCF17"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c>
          <w:tcPr>
            <w:tcW w:w="2173" w:type="dxa"/>
          </w:tcPr>
          <w:p w14:paraId="59DCCF18"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Tall fescue</w:t>
            </w:r>
          </w:p>
        </w:tc>
        <w:tc>
          <w:tcPr>
            <w:tcW w:w="3689" w:type="dxa"/>
          </w:tcPr>
          <w:p w14:paraId="59DCCF19"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deficiency</w:t>
            </w:r>
          </w:p>
        </w:tc>
      </w:tr>
      <w:tr w:rsidR="00BE3AA8" w:rsidRPr="00D93FF9" w14:paraId="59DCCF1E" w14:textId="77777777" w:rsidTr="00EA3EAD">
        <w:trPr>
          <w:trHeight w:val="284"/>
        </w:trPr>
        <w:tc>
          <w:tcPr>
            <w:tcW w:w="2828" w:type="dxa"/>
          </w:tcPr>
          <w:p w14:paraId="59DCCF1B"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c>
          <w:tcPr>
            <w:tcW w:w="2173" w:type="dxa"/>
          </w:tcPr>
          <w:p w14:paraId="59DCCF1C"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Rice</w:t>
            </w:r>
          </w:p>
        </w:tc>
        <w:tc>
          <w:tcPr>
            <w:tcW w:w="3689" w:type="dxa"/>
          </w:tcPr>
          <w:p w14:paraId="59DCCF1D"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r>
      <w:tr w:rsidR="00BE3AA8" w:rsidRPr="00D93FF9" w14:paraId="59DCCF22" w14:textId="77777777" w:rsidTr="00EA3EAD">
        <w:trPr>
          <w:trHeight w:val="284"/>
        </w:trPr>
        <w:tc>
          <w:tcPr>
            <w:tcW w:w="2828" w:type="dxa"/>
            <w:tcBorders>
              <w:bottom w:val="single" w:sz="6" w:space="0" w:color="000000"/>
            </w:tcBorders>
          </w:tcPr>
          <w:p w14:paraId="59DCCF1F"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c>
          <w:tcPr>
            <w:tcW w:w="2173" w:type="dxa"/>
            <w:tcBorders>
              <w:bottom w:val="single" w:sz="6" w:space="0" w:color="000000"/>
            </w:tcBorders>
          </w:tcPr>
          <w:p w14:paraId="59DCCF20"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Dallis grass</w:t>
            </w:r>
          </w:p>
        </w:tc>
        <w:tc>
          <w:tcPr>
            <w:tcW w:w="3689" w:type="dxa"/>
            <w:tcBorders>
              <w:bottom w:val="single" w:sz="6" w:space="0" w:color="000000"/>
            </w:tcBorders>
          </w:tcPr>
          <w:p w14:paraId="59DCCF21"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r>
      <w:tr w:rsidR="00BE3AA8" w:rsidRPr="00D93FF9" w14:paraId="59DCCF26" w14:textId="77777777" w:rsidTr="00EA3EAD">
        <w:trPr>
          <w:trHeight w:val="284"/>
        </w:trPr>
        <w:tc>
          <w:tcPr>
            <w:tcW w:w="2828" w:type="dxa"/>
            <w:tcBorders>
              <w:top w:val="single" w:sz="6" w:space="0" w:color="000000"/>
            </w:tcBorders>
          </w:tcPr>
          <w:p w14:paraId="59DCCF23"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High</w:t>
            </w:r>
          </w:p>
        </w:tc>
        <w:tc>
          <w:tcPr>
            <w:tcW w:w="2173" w:type="dxa"/>
            <w:tcBorders>
              <w:top w:val="single" w:sz="6" w:space="0" w:color="000000"/>
            </w:tcBorders>
          </w:tcPr>
          <w:p w14:paraId="59DCCF24"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Wheat</w:t>
            </w:r>
          </w:p>
        </w:tc>
        <w:tc>
          <w:tcPr>
            <w:tcW w:w="3689" w:type="dxa"/>
            <w:tcBorders>
              <w:top w:val="single" w:sz="6" w:space="0" w:color="000000"/>
            </w:tcBorders>
          </w:tcPr>
          <w:p w14:paraId="59DCCF25"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Stunted growth</w:t>
            </w:r>
          </w:p>
        </w:tc>
      </w:tr>
      <w:tr w:rsidR="00BE3AA8" w:rsidRPr="00D93FF9" w14:paraId="59DCCF2A" w14:textId="77777777" w:rsidTr="00EA3EAD">
        <w:trPr>
          <w:trHeight w:val="284"/>
        </w:trPr>
        <w:tc>
          <w:tcPr>
            <w:tcW w:w="2828" w:type="dxa"/>
          </w:tcPr>
          <w:p w14:paraId="59DCCF27"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SAR = 46–102</w:t>
            </w:r>
          </w:p>
        </w:tc>
        <w:tc>
          <w:tcPr>
            <w:tcW w:w="2173" w:type="dxa"/>
          </w:tcPr>
          <w:p w14:paraId="59DCCF28"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Cotton</w:t>
            </w:r>
          </w:p>
        </w:tc>
        <w:tc>
          <w:tcPr>
            <w:tcW w:w="3689" w:type="dxa"/>
          </w:tcPr>
          <w:p w14:paraId="59DCCF29"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r>
      <w:tr w:rsidR="00BE3AA8" w:rsidRPr="00D93FF9" w14:paraId="59DCCF2E" w14:textId="77777777" w:rsidTr="00EA3EAD">
        <w:trPr>
          <w:trHeight w:val="284"/>
        </w:trPr>
        <w:tc>
          <w:tcPr>
            <w:tcW w:w="2828" w:type="dxa"/>
          </w:tcPr>
          <w:p w14:paraId="59DCCF2B"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c>
          <w:tcPr>
            <w:tcW w:w="2173" w:type="dxa"/>
          </w:tcPr>
          <w:p w14:paraId="59DCCF2C"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Lucerne</w:t>
            </w:r>
          </w:p>
        </w:tc>
        <w:tc>
          <w:tcPr>
            <w:tcW w:w="3689" w:type="dxa"/>
          </w:tcPr>
          <w:p w14:paraId="59DCCF2D"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r>
      <w:tr w:rsidR="00BE3AA8" w:rsidRPr="00D93FF9" w14:paraId="59DCCF32" w14:textId="77777777" w:rsidTr="00EA3EAD">
        <w:trPr>
          <w:trHeight w:val="284"/>
        </w:trPr>
        <w:tc>
          <w:tcPr>
            <w:tcW w:w="2828" w:type="dxa"/>
          </w:tcPr>
          <w:p w14:paraId="59DCCF2F"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c>
          <w:tcPr>
            <w:tcW w:w="2173" w:type="dxa"/>
          </w:tcPr>
          <w:p w14:paraId="59DCCF30"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Barley</w:t>
            </w:r>
          </w:p>
        </w:tc>
        <w:tc>
          <w:tcPr>
            <w:tcW w:w="3689" w:type="dxa"/>
          </w:tcPr>
          <w:p w14:paraId="59DCCF31"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r>
      <w:tr w:rsidR="00BE3AA8" w:rsidRPr="00D93FF9" w14:paraId="59DCCF36" w14:textId="77777777" w:rsidTr="00EA3EAD">
        <w:trPr>
          <w:trHeight w:val="284"/>
        </w:trPr>
        <w:tc>
          <w:tcPr>
            <w:tcW w:w="2828" w:type="dxa"/>
          </w:tcPr>
          <w:p w14:paraId="59DCCF33"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c>
          <w:tcPr>
            <w:tcW w:w="2173" w:type="dxa"/>
          </w:tcPr>
          <w:p w14:paraId="59DCCF34"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Beets</w:t>
            </w:r>
          </w:p>
        </w:tc>
        <w:tc>
          <w:tcPr>
            <w:tcW w:w="3689" w:type="dxa"/>
          </w:tcPr>
          <w:p w14:paraId="59DCCF35"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r>
      <w:tr w:rsidR="00BE3AA8" w:rsidRPr="00D93FF9" w14:paraId="59DCCF3A" w14:textId="77777777" w:rsidTr="00EA3EAD">
        <w:trPr>
          <w:trHeight w:val="284"/>
        </w:trPr>
        <w:tc>
          <w:tcPr>
            <w:tcW w:w="2828" w:type="dxa"/>
            <w:tcBorders>
              <w:bottom w:val="single" w:sz="6" w:space="0" w:color="000000"/>
            </w:tcBorders>
          </w:tcPr>
          <w:p w14:paraId="59DCCF37"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c>
          <w:tcPr>
            <w:tcW w:w="2173" w:type="dxa"/>
            <w:tcBorders>
              <w:bottom w:val="single" w:sz="6" w:space="0" w:color="000000"/>
            </w:tcBorders>
          </w:tcPr>
          <w:p w14:paraId="59DCCF38" w14:textId="77777777" w:rsidR="00C46175" w:rsidRPr="00D93FF9" w:rsidRDefault="00E811B8" w:rsidP="00EA3EAD">
            <w:pPr>
              <w:pStyle w:val="TableParagraph"/>
              <w:spacing w:before="0" w:after="0" w:line="240" w:lineRule="auto"/>
              <w:rPr>
                <w:rFonts w:asciiTheme="minorHAnsi" w:hAnsiTheme="minorHAnsi"/>
                <w:sz w:val="18"/>
                <w:szCs w:val="18"/>
                <w:lang w:val="en-GB"/>
              </w:rPr>
            </w:pPr>
            <w:r w:rsidRPr="00D93FF9">
              <w:rPr>
                <w:rFonts w:asciiTheme="minorHAnsi" w:hAnsiTheme="minorHAnsi"/>
                <w:sz w:val="18"/>
                <w:szCs w:val="18"/>
                <w:lang w:val="en-GB"/>
              </w:rPr>
              <w:t>Rhodes grass</w:t>
            </w:r>
          </w:p>
        </w:tc>
        <w:tc>
          <w:tcPr>
            <w:tcW w:w="3689" w:type="dxa"/>
            <w:tcBorders>
              <w:bottom w:val="single" w:sz="6" w:space="0" w:color="000000"/>
            </w:tcBorders>
          </w:tcPr>
          <w:p w14:paraId="59DCCF39" w14:textId="77777777" w:rsidR="00C46175" w:rsidRPr="00D93FF9" w:rsidRDefault="00C46175" w:rsidP="00EA3EAD">
            <w:pPr>
              <w:pStyle w:val="TableParagraph"/>
              <w:spacing w:before="0" w:after="0" w:line="240" w:lineRule="auto"/>
              <w:rPr>
                <w:rFonts w:asciiTheme="minorHAnsi" w:hAnsiTheme="minorHAnsi"/>
                <w:sz w:val="18"/>
                <w:szCs w:val="18"/>
                <w:lang w:val="en-GB"/>
              </w:rPr>
            </w:pPr>
          </w:p>
        </w:tc>
      </w:tr>
    </w:tbl>
    <w:p w14:paraId="59DCCF3B" w14:textId="49821D6B" w:rsidR="00C46175" w:rsidRPr="00D93FF9" w:rsidRDefault="00E811B8" w:rsidP="003807A1">
      <w:pPr>
        <w:spacing w:after="0"/>
        <w:rPr>
          <w:rFonts w:ascii="Arial"/>
          <w:sz w:val="20"/>
          <w:lang w:val="en-GB"/>
        </w:rPr>
      </w:pPr>
      <w:r w:rsidRPr="00D93FF9">
        <w:rPr>
          <w:rFonts w:ascii="Arial"/>
          <w:sz w:val="14"/>
          <w:lang w:val="en-GB"/>
        </w:rPr>
        <w:t>a After Pearson (1960); SAR Sodium Adsorption Ratio (see Section</w:t>
      </w:r>
      <w:r w:rsidR="008616FE" w:rsidRPr="00D93FF9">
        <w:rPr>
          <w:rFonts w:ascii="Arial"/>
          <w:sz w:val="14"/>
          <w:lang w:val="en-GB"/>
        </w:rPr>
        <w:t xml:space="preserve"> </w:t>
      </w:r>
      <w:r w:rsidR="008616FE" w:rsidRPr="00D93FF9">
        <w:rPr>
          <w:rFonts w:ascii="Arial"/>
          <w:sz w:val="14"/>
          <w:lang w:val="en-GB"/>
        </w:rPr>
        <w:fldChar w:fldCharType="begin"/>
      </w:r>
      <w:r w:rsidR="008616FE" w:rsidRPr="00D93FF9">
        <w:rPr>
          <w:rFonts w:ascii="Arial"/>
          <w:sz w:val="14"/>
          <w:lang w:val="en-GB"/>
        </w:rPr>
        <w:instrText xml:space="preserve"> REF _Ref71626844 \r \h </w:instrText>
      </w:r>
      <w:r w:rsidR="00D93FF9">
        <w:rPr>
          <w:rFonts w:ascii="Arial"/>
          <w:sz w:val="14"/>
          <w:lang w:val="en-GB"/>
        </w:rPr>
        <w:instrText xml:space="preserve"> \* MERGEFORMAT </w:instrText>
      </w:r>
      <w:r w:rsidR="008616FE" w:rsidRPr="00D93FF9">
        <w:rPr>
          <w:rFonts w:ascii="Arial"/>
          <w:sz w:val="14"/>
          <w:lang w:val="en-GB"/>
        </w:rPr>
      </w:r>
      <w:r w:rsidR="008616FE" w:rsidRPr="00D93FF9">
        <w:rPr>
          <w:rFonts w:ascii="Arial"/>
          <w:sz w:val="14"/>
          <w:lang w:val="en-GB"/>
        </w:rPr>
        <w:fldChar w:fldCharType="separate"/>
      </w:r>
      <w:r w:rsidR="0069302C">
        <w:rPr>
          <w:rFonts w:ascii="Arial"/>
          <w:sz w:val="14"/>
          <w:lang w:val="en-GB"/>
        </w:rPr>
        <w:t>3</w:t>
      </w:r>
      <w:r w:rsidR="008616FE" w:rsidRPr="00D93FF9">
        <w:rPr>
          <w:rFonts w:ascii="Arial"/>
          <w:sz w:val="14"/>
          <w:lang w:val="en-GB"/>
        </w:rPr>
        <w:fldChar w:fldCharType="end"/>
      </w:r>
      <w:r w:rsidRPr="00D93FF9">
        <w:rPr>
          <w:rFonts w:ascii="Arial"/>
          <w:sz w:val="14"/>
          <w:lang w:val="en-GB"/>
        </w:rPr>
        <w:t>)</w:t>
      </w:r>
      <w:bookmarkStart w:id="215" w:name="9.2.5__Heavy_metals_and_metalloids"/>
      <w:bookmarkStart w:id="216" w:name="9.2.5.1__Scope"/>
      <w:bookmarkStart w:id="217" w:name="9.2.5.2__Methodology_for_development_of_"/>
      <w:bookmarkStart w:id="218" w:name="Sources_of_irrigation_water"/>
      <w:bookmarkEnd w:id="215"/>
      <w:bookmarkEnd w:id="216"/>
      <w:bookmarkEnd w:id="217"/>
      <w:bookmarkEnd w:id="218"/>
      <w:r w:rsidR="004633E3" w:rsidRPr="00D93FF9">
        <w:rPr>
          <w:rFonts w:ascii="Arial"/>
          <w:sz w:val="20"/>
          <w:lang w:val="en-GB"/>
        </w:rPr>
        <w:t xml:space="preserve"> </w:t>
      </w:r>
    </w:p>
    <w:p w14:paraId="59DCCF3C" w14:textId="77777777" w:rsidR="00C46175" w:rsidRPr="00D93FF9" w:rsidRDefault="00C46175" w:rsidP="003807A1">
      <w:pPr>
        <w:pStyle w:val="BodyText"/>
        <w:spacing w:after="0"/>
        <w:rPr>
          <w:rFonts w:ascii="Arial"/>
          <w:sz w:val="16"/>
          <w:lang w:val="en-GB"/>
        </w:rPr>
      </w:pPr>
    </w:p>
    <w:p w14:paraId="59DCCF3D" w14:textId="26B00335" w:rsidR="00C46175" w:rsidRPr="00D93FF9" w:rsidRDefault="00E811B8" w:rsidP="003807A1">
      <w:pPr>
        <w:pStyle w:val="BodyText"/>
        <w:spacing w:after="0" w:line="266" w:lineRule="auto"/>
        <w:jc w:val="both"/>
        <w:rPr>
          <w:lang w:val="en-GB"/>
        </w:rPr>
      </w:pPr>
      <w:r w:rsidRPr="00D93FF9">
        <w:rPr>
          <w:lang w:val="en-GB"/>
        </w:rPr>
        <w:t xml:space="preserve">In minute quantities, sodium is beneficial to the growth of some plants. At higher concentrations it is toxic to many plants. High levels of sodium can cause three effects on plant growth: (1) excess sodium accumulates in leaves, causing leaf burn and possibly defoliation; (2) development of poor soil physical conditions which limit growth (see Section </w:t>
      </w:r>
      <w:r w:rsidR="008616FE" w:rsidRPr="00D93FF9">
        <w:rPr>
          <w:lang w:val="en-GB"/>
        </w:rPr>
        <w:fldChar w:fldCharType="begin"/>
      </w:r>
      <w:r w:rsidR="008616FE" w:rsidRPr="00D93FF9">
        <w:rPr>
          <w:lang w:val="en-GB"/>
        </w:rPr>
        <w:instrText xml:space="preserve"> REF _Ref71626859 \r \h </w:instrText>
      </w:r>
      <w:r w:rsidR="00D93FF9">
        <w:rPr>
          <w:lang w:val="en-GB"/>
        </w:rPr>
        <w:instrText xml:space="preserve"> \* MERGEFORMAT </w:instrText>
      </w:r>
      <w:r w:rsidR="008616FE" w:rsidRPr="00D93FF9">
        <w:rPr>
          <w:lang w:val="en-GB"/>
        </w:rPr>
      </w:r>
      <w:r w:rsidR="008616FE" w:rsidRPr="00D93FF9">
        <w:rPr>
          <w:lang w:val="en-GB"/>
        </w:rPr>
        <w:fldChar w:fldCharType="separate"/>
      </w:r>
      <w:r w:rsidR="0069302C">
        <w:rPr>
          <w:lang w:val="en-GB"/>
        </w:rPr>
        <w:t>3</w:t>
      </w:r>
      <w:r w:rsidR="008616FE" w:rsidRPr="00D93FF9">
        <w:rPr>
          <w:lang w:val="en-GB"/>
        </w:rPr>
        <w:fldChar w:fldCharType="end"/>
      </w:r>
      <w:r w:rsidRPr="00D93FF9">
        <w:rPr>
          <w:lang w:val="en-GB"/>
        </w:rPr>
        <w:t>); and (3) calcium and magnesium deficiency through reduced availability and imbalance with respect to sodium.</w:t>
      </w:r>
    </w:p>
    <w:p w14:paraId="59DCCF3E" w14:textId="77777777" w:rsidR="00C46175" w:rsidRPr="00D93FF9" w:rsidRDefault="00C46175" w:rsidP="003807A1">
      <w:pPr>
        <w:pStyle w:val="BodyText"/>
        <w:spacing w:after="0"/>
        <w:rPr>
          <w:sz w:val="30"/>
          <w:lang w:val="en-GB"/>
        </w:rPr>
      </w:pPr>
    </w:p>
    <w:p w14:paraId="59DCCF3F" w14:textId="77777777" w:rsidR="00C46175" w:rsidRPr="00D93FF9" w:rsidRDefault="00E811B8" w:rsidP="00527187">
      <w:pPr>
        <w:pStyle w:val="Heading2"/>
        <w:rPr>
          <w:lang w:val="en-GB"/>
        </w:rPr>
      </w:pPr>
      <w:bookmarkStart w:id="219" w:name="_Toc96693578"/>
      <w:bookmarkEnd w:id="185"/>
      <w:r w:rsidRPr="00D93FF9">
        <w:rPr>
          <w:lang w:val="en-GB"/>
        </w:rPr>
        <w:t>M</w:t>
      </w:r>
      <w:r w:rsidR="00E90CE0" w:rsidRPr="00D93FF9">
        <w:rPr>
          <w:lang w:val="en-GB"/>
        </w:rPr>
        <w:t xml:space="preserve">etals </w:t>
      </w:r>
      <w:r w:rsidR="00E90CE0" w:rsidRPr="00D93FF9">
        <w:t>and</w:t>
      </w:r>
      <w:r w:rsidR="00E90CE0" w:rsidRPr="00D93FF9">
        <w:rPr>
          <w:spacing w:val="-8"/>
          <w:lang w:val="en-GB"/>
        </w:rPr>
        <w:t xml:space="preserve"> </w:t>
      </w:r>
      <w:r w:rsidR="00E90CE0" w:rsidRPr="00D93FF9">
        <w:rPr>
          <w:lang w:val="en-GB"/>
        </w:rPr>
        <w:t>metalloids</w:t>
      </w:r>
      <w:bookmarkEnd w:id="219"/>
    </w:p>
    <w:p w14:paraId="59DCCF40" w14:textId="77777777" w:rsidR="00C46175" w:rsidRPr="00D93FF9" w:rsidRDefault="00E811B8" w:rsidP="00527187">
      <w:pPr>
        <w:pStyle w:val="Heading3"/>
        <w:rPr>
          <w:lang w:val="en-GB"/>
        </w:rPr>
      </w:pPr>
      <w:bookmarkStart w:id="220" w:name="_Toc96693579"/>
      <w:r w:rsidRPr="00D93FF9">
        <w:t>Scope</w:t>
      </w:r>
      <w:bookmarkEnd w:id="220"/>
    </w:p>
    <w:p w14:paraId="59DCCF41" w14:textId="77777777" w:rsidR="00C46175" w:rsidRPr="00D93FF9" w:rsidRDefault="00E811B8" w:rsidP="003807A1">
      <w:pPr>
        <w:pStyle w:val="BodyText"/>
        <w:spacing w:after="0" w:line="266" w:lineRule="auto"/>
        <w:rPr>
          <w:lang w:val="en-GB"/>
        </w:rPr>
      </w:pPr>
      <w:r w:rsidRPr="00D93FF9">
        <w:rPr>
          <w:lang w:val="en-GB"/>
        </w:rPr>
        <w:t>T</w:t>
      </w:r>
      <w:r w:rsidR="00E90CE0" w:rsidRPr="00D93FF9">
        <w:rPr>
          <w:lang w:val="en-GB"/>
        </w:rPr>
        <w:t>he irrigation water quality guidelines assessed the following criteria for each metal and metalloid:</w:t>
      </w:r>
    </w:p>
    <w:p w14:paraId="59DCCF42" w14:textId="77777777" w:rsidR="00C46175" w:rsidRPr="00D93FF9" w:rsidRDefault="00E811B8" w:rsidP="001B095D">
      <w:pPr>
        <w:pStyle w:val="ListBullet"/>
        <w:tabs>
          <w:tab w:val="clear" w:pos="567"/>
        </w:tabs>
        <w:rPr>
          <w:lang w:val="en-GB"/>
        </w:rPr>
      </w:pPr>
      <w:r w:rsidRPr="00D93FF9">
        <w:rPr>
          <w:lang w:val="en-GB"/>
        </w:rPr>
        <w:t>existing Australian,</w:t>
      </w:r>
      <w:r w:rsidR="001B095D" w:rsidRPr="00D93FF9">
        <w:rPr>
          <w:lang w:val="en-GB"/>
        </w:rPr>
        <w:t xml:space="preserve"> </w:t>
      </w:r>
      <w:r w:rsidRPr="00D93FF9">
        <w:rPr>
          <w:lang w:val="en-GB"/>
        </w:rPr>
        <w:t>New</w:t>
      </w:r>
      <w:r w:rsidR="001B095D" w:rsidRPr="00D93FF9">
        <w:rPr>
          <w:lang w:val="en-GB"/>
        </w:rPr>
        <w:t xml:space="preserve"> </w:t>
      </w:r>
      <w:r w:rsidRPr="00D93FF9">
        <w:rPr>
          <w:lang w:val="en-GB"/>
        </w:rPr>
        <w:t>Zealand</w:t>
      </w:r>
      <w:r w:rsidR="001B095D" w:rsidRPr="00D93FF9">
        <w:rPr>
          <w:lang w:val="en-GB"/>
        </w:rPr>
        <w:t xml:space="preserve"> </w:t>
      </w:r>
      <w:r w:rsidRPr="00D93FF9">
        <w:rPr>
          <w:lang w:val="en-GB"/>
        </w:rPr>
        <w:t>and</w:t>
      </w:r>
      <w:r w:rsidR="001B095D" w:rsidRPr="00D93FF9">
        <w:rPr>
          <w:lang w:val="en-GB"/>
        </w:rPr>
        <w:t xml:space="preserve"> </w:t>
      </w:r>
      <w:r w:rsidRPr="00D93FF9">
        <w:rPr>
          <w:lang w:val="en-GB"/>
        </w:rPr>
        <w:t>international</w:t>
      </w:r>
      <w:r w:rsidR="001B095D" w:rsidRPr="00D93FF9">
        <w:rPr>
          <w:lang w:val="en-GB"/>
        </w:rPr>
        <w:t xml:space="preserve"> </w:t>
      </w:r>
      <w:r w:rsidRPr="00D93FF9">
        <w:rPr>
          <w:lang w:val="en-GB"/>
        </w:rPr>
        <w:t>soil</w:t>
      </w:r>
      <w:r w:rsidR="001B095D" w:rsidRPr="00D93FF9">
        <w:rPr>
          <w:lang w:val="en-GB"/>
        </w:rPr>
        <w:t xml:space="preserve"> </w:t>
      </w:r>
      <w:r w:rsidRPr="00D93FF9">
        <w:rPr>
          <w:lang w:val="en-GB"/>
        </w:rPr>
        <w:t>quality criteria</w:t>
      </w:r>
      <w:r w:rsidR="001B095D" w:rsidRPr="00D93FF9">
        <w:rPr>
          <w:lang w:val="en-GB"/>
        </w:rPr>
        <w:t xml:space="preserve"> </w:t>
      </w:r>
      <w:r w:rsidRPr="00D93FF9">
        <w:rPr>
          <w:spacing w:val="-6"/>
          <w:lang w:val="en-GB"/>
        </w:rPr>
        <w:t xml:space="preserve">and </w:t>
      </w:r>
      <w:r w:rsidRPr="00D93FF9">
        <w:rPr>
          <w:lang w:val="en-GB"/>
        </w:rPr>
        <w:t>metal/metalloid</w:t>
      </w:r>
      <w:r w:rsidRPr="00D93FF9">
        <w:rPr>
          <w:spacing w:val="-1"/>
          <w:lang w:val="en-GB"/>
        </w:rPr>
        <w:t xml:space="preserve"> </w:t>
      </w:r>
      <w:r w:rsidRPr="00D93FF9">
        <w:rPr>
          <w:lang w:val="en-GB"/>
        </w:rPr>
        <w:t>guidelines;</w:t>
      </w:r>
    </w:p>
    <w:p w14:paraId="59DCCF43" w14:textId="77777777" w:rsidR="00C46175" w:rsidRPr="00D93FF9" w:rsidRDefault="00E811B8" w:rsidP="001B095D">
      <w:pPr>
        <w:pStyle w:val="ListBullet"/>
        <w:rPr>
          <w:lang w:val="en-GB"/>
        </w:rPr>
      </w:pPr>
      <w:r w:rsidRPr="00D93FF9">
        <w:rPr>
          <w:lang w:val="en-GB"/>
        </w:rPr>
        <w:t>plant phytotoxicity;</w:t>
      </w:r>
    </w:p>
    <w:p w14:paraId="59DCCF44" w14:textId="77777777" w:rsidR="00C46175" w:rsidRPr="00D93FF9" w:rsidRDefault="00E811B8" w:rsidP="001B095D">
      <w:pPr>
        <w:pStyle w:val="ListBullet"/>
        <w:rPr>
          <w:lang w:val="en-GB"/>
        </w:rPr>
      </w:pPr>
      <w:r w:rsidRPr="00D93FF9">
        <w:rPr>
          <w:lang w:val="en-GB"/>
        </w:rPr>
        <w:t>minimisation of toxic metal uptake into food crops (</w:t>
      </w:r>
      <w:r w:rsidR="00D41176" w:rsidRPr="00D93FF9">
        <w:rPr>
          <w:lang w:val="en-GB"/>
        </w:rPr>
        <w:t xml:space="preserve">crop or </w:t>
      </w:r>
      <w:r w:rsidRPr="00D93FF9">
        <w:rPr>
          <w:lang w:val="en-GB"/>
        </w:rPr>
        <w:t>food quality);</w:t>
      </w:r>
    </w:p>
    <w:p w14:paraId="59DCCF45" w14:textId="77777777" w:rsidR="00C46175" w:rsidRPr="00D93FF9" w:rsidRDefault="00E811B8" w:rsidP="001B095D">
      <w:pPr>
        <w:pStyle w:val="ListBullet"/>
        <w:rPr>
          <w:lang w:val="en-GB"/>
        </w:rPr>
      </w:pPr>
      <w:r w:rsidRPr="00D93FF9">
        <w:rPr>
          <w:spacing w:val="-3"/>
          <w:lang w:val="en-GB"/>
        </w:rPr>
        <w:t xml:space="preserve">impact </w:t>
      </w:r>
      <w:r w:rsidRPr="00D93FF9">
        <w:rPr>
          <w:lang w:val="en-GB"/>
        </w:rPr>
        <w:t xml:space="preserve">on farm infrastructure </w:t>
      </w:r>
      <w:r w:rsidRPr="00D93FF9">
        <w:rPr>
          <w:spacing w:val="-3"/>
          <w:lang w:val="en-GB"/>
        </w:rPr>
        <w:t xml:space="preserve">(e.g. bio-clogging </w:t>
      </w:r>
      <w:r w:rsidRPr="00D93FF9">
        <w:rPr>
          <w:lang w:val="en-GB"/>
        </w:rPr>
        <w:t xml:space="preserve">of </w:t>
      </w:r>
      <w:r w:rsidRPr="00D93FF9">
        <w:rPr>
          <w:spacing w:val="-3"/>
          <w:lang w:val="en-GB"/>
        </w:rPr>
        <w:t xml:space="preserve">irrigation </w:t>
      </w:r>
      <w:r w:rsidRPr="00D93FF9">
        <w:rPr>
          <w:lang w:val="en-GB"/>
        </w:rPr>
        <w:t xml:space="preserve">lines due to iron or </w:t>
      </w:r>
      <w:r w:rsidRPr="00D93FF9">
        <w:rPr>
          <w:spacing w:val="-4"/>
          <w:lang w:val="en-GB"/>
        </w:rPr>
        <w:t>manganese);</w:t>
      </w:r>
    </w:p>
    <w:p w14:paraId="59DCCF46" w14:textId="77777777" w:rsidR="00C46175" w:rsidRPr="00D93FF9" w:rsidRDefault="00E811B8" w:rsidP="001B095D">
      <w:pPr>
        <w:pStyle w:val="ListBullet"/>
        <w:rPr>
          <w:lang w:val="en-GB"/>
        </w:rPr>
      </w:pPr>
      <w:r w:rsidRPr="00D93FF9">
        <w:rPr>
          <w:lang w:val="en-GB"/>
        </w:rPr>
        <w:t>off site impacts;</w:t>
      </w:r>
    </w:p>
    <w:p w14:paraId="59DCCF47" w14:textId="77777777" w:rsidR="00C46175" w:rsidRPr="00D93FF9" w:rsidRDefault="00E811B8" w:rsidP="001B095D">
      <w:pPr>
        <w:pStyle w:val="ListBullet"/>
        <w:rPr>
          <w:lang w:val="en-GB"/>
        </w:rPr>
      </w:pPr>
      <w:r w:rsidRPr="00D93FF9">
        <w:rPr>
          <w:lang w:val="en-GB"/>
        </w:rPr>
        <w:t>impact on soil biota (ecotoxicity).</w:t>
      </w:r>
    </w:p>
    <w:p w14:paraId="59DCCF48" w14:textId="3EDBD310" w:rsidR="00C46175" w:rsidRPr="00D93FF9" w:rsidRDefault="00E811B8" w:rsidP="003807A1">
      <w:pPr>
        <w:pStyle w:val="BodyText"/>
        <w:spacing w:after="0" w:line="266" w:lineRule="auto"/>
        <w:jc w:val="both"/>
        <w:rPr>
          <w:lang w:val="en-GB"/>
        </w:rPr>
      </w:pPr>
      <w:r w:rsidRPr="00D93FF9">
        <w:rPr>
          <w:lang w:val="en-GB"/>
        </w:rPr>
        <w:t xml:space="preserve">Although </w:t>
      </w:r>
      <w:r w:rsidR="00D41176" w:rsidRPr="00D93FF9">
        <w:rPr>
          <w:lang w:val="en-GB"/>
        </w:rPr>
        <w:t xml:space="preserve"> metals and metalloids’ toxicity </w:t>
      </w:r>
      <w:r w:rsidRPr="00D93FF9">
        <w:rPr>
          <w:lang w:val="en-GB"/>
        </w:rPr>
        <w:t>to the soil biota (micro and macro flora and fauna) is an issue receiving international attention, ecotoxicity is generally observed at lower soil concentrations than phytotoxicity</w:t>
      </w:r>
      <w:r w:rsidR="00D41176" w:rsidRPr="00D93FF9">
        <w:rPr>
          <w:lang w:val="en-GB"/>
        </w:rPr>
        <w:t xml:space="preserve"> </w:t>
      </w:r>
      <w:r w:rsidR="00D41176" w:rsidRPr="00D93FF9">
        <w:fldChar w:fldCharType="begin"/>
      </w:r>
      <w:r w:rsidR="00BE6DF0" w:rsidRPr="00D93FF9">
        <w:instrText xml:space="preserve"> ADDIN ZOTERO_ITEM CSL_CITATION {"citationID":"HWj6bGeg","properties":{"formattedCitation":"(Efroymson et al., 1997b, 1997a)","plainCitation":"(Efroymson et al., 1997b, 1997a)","noteIndex":0},"citationItems":[{"id":33251,"uris":["http://zotero.org/users/1938757/items/IRVGAJHK"],"uri":["http://zotero.org/users/1938757/items/IRVGAJHK"],"itemData":{"id":33251,"type":"report","event-place":"Oak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II","given":"GW"},{"family":"Wooten","given":"A.C."}],"issued":{"date-parts":[["1997"]]}}},{"id":33252,"uris":["http://zotero.org/users/1938757/items/P5D2NYDT"],"uri":["http://zotero.org/users/1938757/items/P5D2NYDT"],"itemData":{"id":33252,"type":"report","event-place":"Oak Ridge, Tennessee.","number":"ES/ER/TM-126/R2","publisher":"Lockheed Martin Energy System Inc. for the United States Department of Energy","publisher-place":"Oak Ridge, Tennessee.","title":"Toxicological Benchmarks for Contaminants of Potential Concern for Effects on Soil and Litter Invertebrates and Heterotrophic Process: 1997 Revision","URL":"https://info.ornl.gov/sites/publications/Files/Pub57854.pdf","author":[{"family":"Efroymson","given":"R.A."},{"family":"Will","given":"M.E."},{"family":"Suter II","given":"GW"}],"issued":{"date-parts":[["1997"]]}}}],"schema":"https://github.com/citation-style-language/schema/raw/master/csl-citation.json"} </w:instrText>
      </w:r>
      <w:r w:rsidR="00D41176" w:rsidRPr="00D93FF9">
        <w:fldChar w:fldCharType="separate"/>
      </w:r>
      <w:r w:rsidR="007C2051" w:rsidRPr="00D93FF9">
        <w:rPr>
          <w:rFonts w:ascii="Calibri" w:hAnsi="Calibri" w:cs="Calibri"/>
        </w:rPr>
        <w:t>(Efroymson et al. 1997</w:t>
      </w:r>
      <w:r w:rsidR="00CF45F1" w:rsidRPr="00D93FF9">
        <w:rPr>
          <w:rFonts w:ascii="Calibri" w:hAnsi="Calibri" w:cs="Calibri"/>
        </w:rPr>
        <w:t>a</w:t>
      </w:r>
      <w:r w:rsidR="007C2051" w:rsidRPr="00D93FF9">
        <w:rPr>
          <w:rFonts w:ascii="Calibri" w:hAnsi="Calibri" w:cs="Calibri"/>
        </w:rPr>
        <w:t>, 1997</w:t>
      </w:r>
      <w:r w:rsidR="00CF45F1" w:rsidRPr="00D93FF9">
        <w:rPr>
          <w:rFonts w:ascii="Calibri" w:hAnsi="Calibri" w:cs="Calibri"/>
        </w:rPr>
        <w:t>b</w:t>
      </w:r>
      <w:r w:rsidR="007C2051" w:rsidRPr="00D93FF9">
        <w:rPr>
          <w:rFonts w:ascii="Calibri" w:hAnsi="Calibri" w:cs="Calibri"/>
        </w:rPr>
        <w:t>)</w:t>
      </w:r>
      <w:r w:rsidR="00D41176" w:rsidRPr="00D93FF9">
        <w:fldChar w:fldCharType="end"/>
      </w:r>
      <w:r w:rsidRPr="00D93FF9">
        <w:rPr>
          <w:lang w:val="en-GB"/>
        </w:rPr>
        <w:t xml:space="preserve">. While the guidelines have considered the potential environmental impacts of inorganic contaminants in irrigation water on soil biota, insufficient </w:t>
      </w:r>
      <w:r w:rsidRPr="00D93FF9">
        <w:rPr>
          <w:lang w:val="en-GB"/>
        </w:rPr>
        <w:lastRenderedPageBreak/>
        <w:t xml:space="preserve">information </w:t>
      </w:r>
      <w:r w:rsidR="00D41176" w:rsidRPr="00D93FF9">
        <w:rPr>
          <w:lang w:val="en-GB"/>
        </w:rPr>
        <w:t>wa</w:t>
      </w:r>
      <w:r w:rsidRPr="00D93FF9">
        <w:rPr>
          <w:lang w:val="en-GB"/>
        </w:rPr>
        <w:t xml:space="preserve">s available </w:t>
      </w:r>
      <w:r w:rsidR="00D41176" w:rsidRPr="00D93FF9">
        <w:rPr>
          <w:lang w:val="en-GB"/>
        </w:rPr>
        <w:t xml:space="preserve">in 2000 </w:t>
      </w:r>
      <w:r w:rsidRPr="00D93FF9">
        <w:rPr>
          <w:lang w:val="en-GB"/>
        </w:rPr>
        <w:t xml:space="preserve">to set water quality guideline values based </w:t>
      </w:r>
      <w:r w:rsidR="00D41176" w:rsidRPr="00D93FF9">
        <w:rPr>
          <w:lang w:val="en-GB"/>
        </w:rPr>
        <w:t xml:space="preserve">specifically </w:t>
      </w:r>
      <w:r w:rsidRPr="00D93FF9">
        <w:rPr>
          <w:lang w:val="en-GB"/>
        </w:rPr>
        <w:t>on ecotoxicity to soil</w:t>
      </w:r>
      <w:r w:rsidRPr="00D93FF9">
        <w:rPr>
          <w:spacing w:val="-3"/>
          <w:lang w:val="en-GB"/>
        </w:rPr>
        <w:t xml:space="preserve"> </w:t>
      </w:r>
      <w:r w:rsidRPr="00D93FF9">
        <w:rPr>
          <w:lang w:val="en-GB"/>
        </w:rPr>
        <w:t>biota</w:t>
      </w:r>
      <w:r w:rsidR="00D41176" w:rsidRPr="00D93FF9">
        <w:rPr>
          <w:lang w:val="en-GB"/>
        </w:rPr>
        <w:t xml:space="preserve"> and any additional data has not been reviewed for the 2020 update</w:t>
      </w:r>
      <w:r w:rsidRPr="00D93FF9">
        <w:rPr>
          <w:lang w:val="en-GB"/>
        </w:rPr>
        <w:t>.</w:t>
      </w:r>
    </w:p>
    <w:p w14:paraId="59DCCF49" w14:textId="478DB758" w:rsidR="00C46175" w:rsidRPr="00D93FF9" w:rsidRDefault="00E811B8" w:rsidP="003807A1">
      <w:pPr>
        <w:pStyle w:val="BodyText"/>
        <w:spacing w:after="0" w:line="266" w:lineRule="auto"/>
        <w:jc w:val="both"/>
        <w:rPr>
          <w:lang w:val="en-GB"/>
        </w:rPr>
      </w:pPr>
      <w:r w:rsidRPr="00D93FF9">
        <w:rPr>
          <w:lang w:val="en-GB"/>
        </w:rPr>
        <w:t xml:space="preserve">The metal guideline values for irrigation water use address the specific targets and environmental quality criteria listed above, and the potential for the transport of contaminants off-site. When compared to other </w:t>
      </w:r>
      <w:r w:rsidR="00841B8C" w:rsidRPr="00D93FF9">
        <w:rPr>
          <w:lang w:val="en-GB"/>
        </w:rPr>
        <w:t>Chapters</w:t>
      </w:r>
      <w:r w:rsidRPr="00D93FF9">
        <w:rPr>
          <w:lang w:val="en-GB"/>
        </w:rPr>
        <w:t xml:space="preserve"> of the Water Quality Guidelines, guideline values are different. For instance, the </w:t>
      </w:r>
      <w:r w:rsidR="00855C80" w:rsidRPr="00D93FF9">
        <w:rPr>
          <w:lang w:val="en-GB"/>
        </w:rPr>
        <w:t>guideline value</w:t>
      </w:r>
      <w:r w:rsidRPr="00D93FF9">
        <w:rPr>
          <w:lang w:val="en-GB"/>
        </w:rPr>
        <w:t xml:space="preserve"> for cadmium in aquatic systems ranges from</w:t>
      </w:r>
      <w:r w:rsidR="00D41176" w:rsidRPr="00D93FF9">
        <w:rPr>
          <w:lang w:val="en-GB"/>
        </w:rPr>
        <w:t xml:space="preserve"> 0.06 to 0.2 µg/L (99</w:t>
      </w:r>
      <w:r w:rsidR="00D41176" w:rsidRPr="00D93FF9">
        <w:rPr>
          <w:vertAlign w:val="superscript"/>
          <w:lang w:val="en-GB"/>
        </w:rPr>
        <w:t>th</w:t>
      </w:r>
      <w:r w:rsidR="00D41176" w:rsidRPr="00D93FF9">
        <w:rPr>
          <w:lang w:val="en-GB"/>
        </w:rPr>
        <w:t xml:space="preserve"> and 95</w:t>
      </w:r>
      <w:r w:rsidR="00D41176" w:rsidRPr="00D93FF9">
        <w:rPr>
          <w:vertAlign w:val="superscript"/>
          <w:lang w:val="en-GB"/>
        </w:rPr>
        <w:t>th</w:t>
      </w:r>
      <w:r w:rsidR="00D41176" w:rsidRPr="00D93FF9">
        <w:rPr>
          <w:lang w:val="en-GB"/>
        </w:rPr>
        <w:t xml:space="preserve"> percentile of protection) </w:t>
      </w:r>
      <w:r w:rsidR="00D41176" w:rsidRPr="00D93FF9">
        <w:rPr>
          <w:lang w:val="en-GB"/>
        </w:rPr>
        <w:fldChar w:fldCharType="begin"/>
      </w:r>
      <w:r w:rsidR="00BE6DF0" w:rsidRPr="00D93FF9">
        <w:rPr>
          <w:lang w:val="en-GB"/>
        </w:rPr>
        <w:instrText xml:space="preserve"> ADDIN ZOTERO_ITEM CSL_CITATION {"citationID":"PuS2Doq2","properties":{"formattedCitation":"(ANZG, 2021)","plainCitation":"(ANZG, 2021)","noteIndex":0},"citationItems":[{"id":32931,"uris":["http://zotero.org/users/1938757/items/25JWBDWJ"],"uri":["http://zotero.org/users/1938757/items/25JWBDWJ"],"itemData":{"id":32931,"type":"report","abstract":"ANZG 2021 Australian and New Zealand Guidelines for Fresh and Marine Water Quality. Australian and New Zealand Governments and Australian state and territory governments, Canberra ACT, Australia.  Available at www.waterquality.gov.au/anz-guidelines","event-place":"Canberra, Australia","note":"http://www.waterquality.gov.au/anz-guidelines/resources/key-concepts/indicators#ecosystem-receptors\nSearch...\nhttps://www.waterquality.gov.au/anz-guidelines/guideline-values/default/water-quality-toxicants/search\n\nwww.waterquality.gov.au/anz-guidelines","publisher":"Australian and New Zealand Governments and Australian state and territory governments,","publisher-place":"Canberra, Australia","title":"Australian and New Zealand Guidelines for Fresh and Marine Water Quality. Toxicant default guideline values for protecting aquatic ecosystems","URL":"http://www.waterquality.gov.au/anz-guidelines","author":[{"family":"ANZG","given":""}],"accessed":{"date-parts":[["2021",3,1]]},"issued":{"date-parts":[["2021"]]}}}],"schema":"https://github.com/citation-style-language/schema/raw/master/csl-citation.json"} </w:instrText>
      </w:r>
      <w:r w:rsidR="00D41176" w:rsidRPr="00D93FF9">
        <w:rPr>
          <w:lang w:val="en-GB"/>
        </w:rPr>
        <w:fldChar w:fldCharType="separate"/>
      </w:r>
      <w:r w:rsidR="007C2051" w:rsidRPr="00D93FF9">
        <w:rPr>
          <w:rFonts w:ascii="Calibri" w:hAnsi="Calibri" w:cs="Calibri"/>
        </w:rPr>
        <w:t>(ANZG 2021)</w:t>
      </w:r>
      <w:r w:rsidR="00D41176" w:rsidRPr="00D93FF9">
        <w:rPr>
          <w:lang w:val="en-GB"/>
        </w:rPr>
        <w:fldChar w:fldCharType="end"/>
      </w:r>
      <w:r w:rsidRPr="00D93FF9">
        <w:rPr>
          <w:lang w:val="en-GB"/>
        </w:rPr>
        <w:t xml:space="preserve">, whereas for irrigation water it ranges from </w:t>
      </w:r>
      <w:r w:rsidR="00D41176" w:rsidRPr="00D93FF9">
        <w:rPr>
          <w:lang w:val="en-GB"/>
        </w:rPr>
        <w:t>10 to 50 µg</w:t>
      </w:r>
      <w:r w:rsidRPr="00D93FF9">
        <w:rPr>
          <w:lang w:val="en-GB"/>
        </w:rPr>
        <w:t>/L. This</w:t>
      </w:r>
      <w:r w:rsidR="00D41176" w:rsidRPr="00D93FF9">
        <w:rPr>
          <w:lang w:val="en-GB"/>
        </w:rPr>
        <w:t xml:space="preserve"> </w:t>
      </w:r>
      <w:r w:rsidRPr="00D93FF9">
        <w:rPr>
          <w:lang w:val="en-GB"/>
        </w:rPr>
        <w:t xml:space="preserve">difference is partly due to the sensitivity of the target organisms, that is, native aquatic species in aquatic systems versus plants growing in soil in agricultural systems. However, the main difference between the irrigation water quality approach and the aquatic systems approach, is the attenuation of the potential adverse effects of metals when irrigation water is added to soils. The irrigation water guidelines work from a conservative and protective soil metal concentration (in line with existing soil metal guidelines), back to irrigation water concentrations. </w:t>
      </w:r>
    </w:p>
    <w:p w14:paraId="59DCCF4A" w14:textId="77777777" w:rsidR="00C46175" w:rsidRPr="00D93FF9" w:rsidRDefault="00C46175" w:rsidP="003807A1">
      <w:pPr>
        <w:pStyle w:val="BodyText"/>
        <w:spacing w:after="0"/>
        <w:rPr>
          <w:sz w:val="25"/>
          <w:lang w:val="en-GB"/>
        </w:rPr>
      </w:pPr>
    </w:p>
    <w:p w14:paraId="59DCCF4B" w14:textId="77777777" w:rsidR="00C46175" w:rsidRPr="00D93FF9" w:rsidRDefault="00E811B8" w:rsidP="00527187">
      <w:pPr>
        <w:pStyle w:val="Heading3"/>
        <w:rPr>
          <w:lang w:val="en-GB"/>
        </w:rPr>
      </w:pPr>
      <w:bookmarkStart w:id="221" w:name="_Toc96693580"/>
      <w:r w:rsidRPr="00D93FF9">
        <w:rPr>
          <w:lang w:val="en-GB"/>
        </w:rPr>
        <w:t xml:space="preserve">Methodology for development of </w:t>
      </w:r>
      <w:r w:rsidRPr="00D93FF9">
        <w:t>guideline</w:t>
      </w:r>
      <w:r w:rsidRPr="00D93FF9">
        <w:rPr>
          <w:spacing w:val="-8"/>
          <w:lang w:val="en-GB"/>
        </w:rPr>
        <w:t xml:space="preserve"> </w:t>
      </w:r>
      <w:r w:rsidRPr="00D93FF9">
        <w:rPr>
          <w:lang w:val="en-GB"/>
        </w:rPr>
        <w:t>values</w:t>
      </w:r>
      <w:bookmarkEnd w:id="221"/>
    </w:p>
    <w:p w14:paraId="59DCCF4C" w14:textId="77777777" w:rsidR="00C46175" w:rsidRPr="00D93FF9" w:rsidRDefault="00E811B8" w:rsidP="00527187">
      <w:pPr>
        <w:pStyle w:val="Heading4"/>
        <w:rPr>
          <w:lang w:val="en-GB"/>
        </w:rPr>
      </w:pPr>
      <w:r w:rsidRPr="00D93FF9">
        <w:rPr>
          <w:lang w:val="en-GB"/>
        </w:rPr>
        <w:t>Sources of irrigation water</w:t>
      </w:r>
    </w:p>
    <w:p w14:paraId="59DCCF4D" w14:textId="731EFC17" w:rsidR="00C46175" w:rsidRPr="00D93FF9" w:rsidRDefault="00E811B8" w:rsidP="006C3E2A">
      <w:pPr>
        <w:pStyle w:val="BodyText"/>
        <w:spacing w:after="0" w:line="266" w:lineRule="auto"/>
        <w:jc w:val="both"/>
        <w:rPr>
          <w:lang w:val="en-GB"/>
        </w:rPr>
      </w:pPr>
      <w:r w:rsidRPr="00D93FF9">
        <w:rPr>
          <w:lang w:val="en-GB"/>
        </w:rPr>
        <w:t>The guidelines for water quality with regard to inorganic contaminants have been developed with a range of different irrigation sources in mind. These include groundwater, rivers, farm</w:t>
      </w:r>
      <w:r w:rsidR="00880C7C" w:rsidRPr="00D93FF9">
        <w:rPr>
          <w:lang w:val="en-GB"/>
        </w:rPr>
        <w:t xml:space="preserve"> </w:t>
      </w:r>
      <w:r w:rsidRPr="00D93FF9">
        <w:rPr>
          <w:spacing w:val="-3"/>
          <w:lang w:val="en-GB"/>
        </w:rPr>
        <w:t xml:space="preserve">dams, </w:t>
      </w:r>
      <w:r w:rsidRPr="00D93FF9">
        <w:rPr>
          <w:lang w:val="en-GB"/>
        </w:rPr>
        <w:t xml:space="preserve">treated </w:t>
      </w:r>
      <w:r w:rsidRPr="00D93FF9">
        <w:rPr>
          <w:spacing w:val="-3"/>
          <w:lang w:val="en-GB"/>
        </w:rPr>
        <w:t xml:space="preserve">sewage </w:t>
      </w:r>
      <w:r w:rsidR="00D41176" w:rsidRPr="00D93FF9">
        <w:rPr>
          <w:spacing w:val="-3"/>
          <w:lang w:val="en-GB"/>
        </w:rPr>
        <w:t>(</w:t>
      </w:r>
      <w:r w:rsidR="00D41176" w:rsidRPr="00D93FF9">
        <w:t xml:space="preserve">recycled water) from domestic and industrial sewer catchments (if recycled water is used, the Australia Guideline for Water Recycling should also be referred to) </w:t>
      </w:r>
      <w:r w:rsidR="00D41176" w:rsidRPr="00D93FF9">
        <w:fldChar w:fldCharType="begin"/>
      </w:r>
      <w:r w:rsidR="007C2051" w:rsidRPr="00D93FF9">
        <w:instrText xml:space="preserve"> ADDIN ZOTERO_ITEM CSL_CITATION {"citationID":"yUss1Yty","properties":{"formattedCitation":"(NRMMC et al., 2006)","plainCitation":"(NRMMC et al., 2006)","noteIndex":0},"citationItems":[{"id":3886,"uris":["http://zotero.org/users/1938757/items/MHXN2WMQ"],"uri":["http://zotero.org/users/1938757/items/MHXN2WMQ"],"itemData":{"id":3886,"type":"book","event-place":"Canberra,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schema":"https://github.com/citation-style-language/schema/raw/master/csl-citation.json"} </w:instrText>
      </w:r>
      <w:r w:rsidR="00D41176" w:rsidRPr="00D93FF9">
        <w:fldChar w:fldCharType="separate"/>
      </w:r>
      <w:r w:rsidR="007C2051" w:rsidRPr="00D93FF9">
        <w:rPr>
          <w:rFonts w:ascii="Calibri" w:hAnsi="Calibri" w:cs="Calibri"/>
        </w:rPr>
        <w:t>(NRMMC et al. 2006)</w:t>
      </w:r>
      <w:r w:rsidR="00D41176" w:rsidRPr="00D93FF9">
        <w:fldChar w:fldCharType="end"/>
      </w:r>
      <w:r w:rsidRPr="00D93FF9">
        <w:rPr>
          <w:lang w:val="en-GB"/>
        </w:rPr>
        <w:t xml:space="preserve">. Water quality from these different sources will be </w:t>
      </w:r>
      <w:r w:rsidRPr="00D93FF9">
        <w:rPr>
          <w:spacing w:val="-3"/>
          <w:lang w:val="en-GB"/>
        </w:rPr>
        <w:t xml:space="preserve">highly variable. </w:t>
      </w:r>
      <w:r w:rsidRPr="00D93FF9">
        <w:rPr>
          <w:spacing w:val="-4"/>
          <w:lang w:val="en-GB"/>
        </w:rPr>
        <w:t xml:space="preserve">It </w:t>
      </w:r>
      <w:r w:rsidRPr="00D93FF9">
        <w:rPr>
          <w:lang w:val="en-GB"/>
        </w:rPr>
        <w:t xml:space="preserve">has also been </w:t>
      </w:r>
      <w:r w:rsidRPr="00D93FF9">
        <w:rPr>
          <w:spacing w:val="-3"/>
          <w:lang w:val="en-GB"/>
        </w:rPr>
        <w:t xml:space="preserve">assumed </w:t>
      </w:r>
      <w:r w:rsidRPr="00D93FF9">
        <w:rPr>
          <w:lang w:val="en-GB"/>
        </w:rPr>
        <w:t xml:space="preserve">that the concentrations of </w:t>
      </w:r>
      <w:r w:rsidRPr="00D93FF9">
        <w:rPr>
          <w:spacing w:val="-3"/>
          <w:lang w:val="en-GB"/>
        </w:rPr>
        <w:t xml:space="preserve">many </w:t>
      </w:r>
      <w:r w:rsidRPr="00D93FF9">
        <w:rPr>
          <w:lang w:val="en-GB"/>
        </w:rPr>
        <w:t xml:space="preserve">of the </w:t>
      </w:r>
      <w:r w:rsidRPr="00D93FF9">
        <w:rPr>
          <w:spacing w:val="-3"/>
          <w:lang w:val="en-GB"/>
        </w:rPr>
        <w:t xml:space="preserve">minor elements such </w:t>
      </w:r>
      <w:r w:rsidRPr="00D93FF9">
        <w:rPr>
          <w:lang w:val="en-GB"/>
        </w:rPr>
        <w:t xml:space="preserve">as </w:t>
      </w:r>
      <w:r w:rsidRPr="00D93FF9">
        <w:rPr>
          <w:spacing w:val="-3"/>
          <w:lang w:val="en-GB"/>
        </w:rPr>
        <w:t xml:space="preserve">lithium, </w:t>
      </w:r>
      <w:r w:rsidRPr="00D93FF9">
        <w:rPr>
          <w:spacing w:val="-4"/>
          <w:lang w:val="en-GB"/>
        </w:rPr>
        <w:t xml:space="preserve">selenium, </w:t>
      </w:r>
      <w:r w:rsidRPr="00D93FF9">
        <w:rPr>
          <w:spacing w:val="-3"/>
          <w:lang w:val="en-GB"/>
        </w:rPr>
        <w:t xml:space="preserve">uranium, vanadium, </w:t>
      </w:r>
      <w:r w:rsidRPr="00D93FF9">
        <w:rPr>
          <w:lang w:val="en-GB"/>
        </w:rPr>
        <w:t xml:space="preserve">etc, will be </w:t>
      </w:r>
      <w:r w:rsidRPr="00D93FF9">
        <w:rPr>
          <w:spacing w:val="-3"/>
          <w:lang w:val="en-GB"/>
        </w:rPr>
        <w:t xml:space="preserve">negligible even </w:t>
      </w:r>
      <w:r w:rsidRPr="00D93FF9">
        <w:rPr>
          <w:lang w:val="en-GB"/>
        </w:rPr>
        <w:t xml:space="preserve">in industrial effluents. </w:t>
      </w:r>
      <w:r w:rsidRPr="00D93FF9">
        <w:rPr>
          <w:spacing w:val="-3"/>
          <w:lang w:val="en-GB"/>
        </w:rPr>
        <w:t xml:space="preserve">However, some irrigation </w:t>
      </w:r>
      <w:r w:rsidRPr="00D93FF9">
        <w:rPr>
          <w:lang w:val="en-GB"/>
        </w:rPr>
        <w:t xml:space="preserve">waters </w:t>
      </w:r>
      <w:r w:rsidRPr="00D93FF9">
        <w:rPr>
          <w:spacing w:val="-3"/>
          <w:lang w:val="en-GB"/>
        </w:rPr>
        <w:t xml:space="preserve">may have high </w:t>
      </w:r>
      <w:r w:rsidRPr="00D93FF9">
        <w:rPr>
          <w:lang w:val="en-GB"/>
        </w:rPr>
        <w:t xml:space="preserve">concentrations of these </w:t>
      </w:r>
      <w:r w:rsidRPr="00D93FF9">
        <w:rPr>
          <w:spacing w:val="-3"/>
          <w:lang w:val="en-GB"/>
        </w:rPr>
        <w:t xml:space="preserve">elements </w:t>
      </w:r>
      <w:r w:rsidRPr="00D93FF9">
        <w:rPr>
          <w:lang w:val="en-GB"/>
        </w:rPr>
        <w:t xml:space="preserve">resulting, from natural </w:t>
      </w:r>
      <w:r w:rsidRPr="00D93FF9">
        <w:rPr>
          <w:spacing w:val="-3"/>
          <w:lang w:val="en-GB"/>
        </w:rPr>
        <w:t>geochemical enrichment</w:t>
      </w:r>
      <w:r w:rsidR="00D41176" w:rsidRPr="00D93FF9">
        <w:rPr>
          <w:spacing w:val="-3"/>
          <w:lang w:val="en-GB"/>
        </w:rPr>
        <w:t xml:space="preserve"> </w:t>
      </w:r>
      <w:r w:rsidR="00D41176" w:rsidRPr="00D93FF9">
        <w:rPr>
          <w:lang w:val="en-GB"/>
        </w:rPr>
        <w:t>for instance</w:t>
      </w:r>
      <w:r w:rsidRPr="00D93FF9">
        <w:rPr>
          <w:spacing w:val="-3"/>
          <w:lang w:val="en-GB"/>
        </w:rPr>
        <w:t>.</w:t>
      </w:r>
    </w:p>
    <w:p w14:paraId="59DCCF4E" w14:textId="77777777" w:rsidR="00C46175" w:rsidRPr="00D93FF9" w:rsidRDefault="00E811B8" w:rsidP="00527187">
      <w:pPr>
        <w:pStyle w:val="Heading4"/>
        <w:rPr>
          <w:lang w:val="en-GB"/>
        </w:rPr>
      </w:pPr>
      <w:r w:rsidRPr="00D93FF9">
        <w:t>Irrigation</w:t>
      </w:r>
      <w:r w:rsidRPr="00D93FF9">
        <w:rPr>
          <w:lang w:val="en-GB"/>
        </w:rPr>
        <w:t xml:space="preserve"> water use</w:t>
      </w:r>
    </w:p>
    <w:p w14:paraId="59DCCF4F" w14:textId="77777777" w:rsidR="00C46175" w:rsidRPr="00D93FF9" w:rsidRDefault="00E811B8" w:rsidP="003807A1">
      <w:pPr>
        <w:pStyle w:val="BodyText"/>
        <w:spacing w:after="0" w:line="266" w:lineRule="auto"/>
        <w:jc w:val="both"/>
        <w:rPr>
          <w:lang w:val="en-GB"/>
        </w:rPr>
      </w:pPr>
      <w:r w:rsidRPr="00D93FF9">
        <w:rPr>
          <w:lang w:val="en-GB"/>
        </w:rPr>
        <w:t xml:space="preserve">These guidelines assume that irrigation water is applied to soils and that soils may reduce contaminant bioavailability by binding contaminants and reducing the solution phase concentration. The values in these guidelines may not be suitable for plants grown in soil-less media (hydroponics or </w:t>
      </w:r>
      <w:r w:rsidR="00D41176" w:rsidRPr="00D93FF9">
        <w:rPr>
          <w:lang w:val="en-GB"/>
        </w:rPr>
        <w:t xml:space="preserve">plant growing </w:t>
      </w:r>
      <w:r w:rsidRPr="00D93FF9">
        <w:rPr>
          <w:lang w:val="en-GB"/>
        </w:rPr>
        <w:t>similar methods).</w:t>
      </w:r>
    </w:p>
    <w:p w14:paraId="59DCCF50" w14:textId="77777777" w:rsidR="00C46175" w:rsidRPr="00D93FF9" w:rsidRDefault="00E811B8" w:rsidP="00527187">
      <w:pPr>
        <w:pStyle w:val="Heading4"/>
        <w:rPr>
          <w:lang w:val="en-GB"/>
        </w:rPr>
      </w:pPr>
      <w:r w:rsidRPr="00D93FF9">
        <w:rPr>
          <w:lang w:val="en-GB"/>
        </w:rPr>
        <w:t>Toxicity of contaminants in irrigation waters to crops</w:t>
      </w:r>
    </w:p>
    <w:p w14:paraId="59DCCF51" w14:textId="77777777" w:rsidR="00C46175" w:rsidRPr="00D93FF9" w:rsidRDefault="00E811B8" w:rsidP="003807A1">
      <w:pPr>
        <w:pStyle w:val="BodyText"/>
        <w:spacing w:after="0" w:line="266" w:lineRule="auto"/>
        <w:jc w:val="both"/>
        <w:rPr>
          <w:lang w:val="en-GB"/>
        </w:rPr>
      </w:pPr>
      <w:r w:rsidRPr="00D93FF9">
        <w:rPr>
          <w:lang w:val="en-GB"/>
        </w:rPr>
        <w:t>There are two main ways in which the presence of inorganic contaminants in irrigation waters may have a negative impact on</w:t>
      </w:r>
      <w:r w:rsidRPr="00D93FF9">
        <w:rPr>
          <w:spacing w:val="-4"/>
          <w:lang w:val="en-GB"/>
        </w:rPr>
        <w:t xml:space="preserve"> </w:t>
      </w:r>
      <w:r w:rsidRPr="00D93FF9">
        <w:rPr>
          <w:lang w:val="en-GB"/>
        </w:rPr>
        <w:t>crops:</w:t>
      </w:r>
    </w:p>
    <w:p w14:paraId="59DCCF52" w14:textId="77777777" w:rsidR="00C46175" w:rsidRPr="00D93FF9" w:rsidRDefault="00E811B8" w:rsidP="00AF1B7E">
      <w:pPr>
        <w:pStyle w:val="ListBullet"/>
      </w:pPr>
      <w:r w:rsidRPr="00D93FF9">
        <w:t>contaminants may be directly phytotoxic to crops during periods of irrigation; and</w:t>
      </w:r>
    </w:p>
    <w:p w14:paraId="59DCCF53" w14:textId="21624CC7" w:rsidR="00C46175" w:rsidRDefault="00E811B8" w:rsidP="006C3E2A">
      <w:pPr>
        <w:pStyle w:val="ListBullet"/>
        <w:spacing w:line="266" w:lineRule="auto"/>
        <w:jc w:val="both"/>
        <w:rPr>
          <w:lang w:val="en-GB"/>
        </w:rPr>
      </w:pPr>
      <w:r w:rsidRPr="00D93FF9">
        <w:rPr>
          <w:lang w:val="en-GB"/>
        </w:rPr>
        <w:t xml:space="preserve">prolonged irrigation </w:t>
      </w:r>
      <w:r w:rsidR="005A6108" w:rsidRPr="00D93FF9">
        <w:rPr>
          <w:lang w:val="en-GB"/>
        </w:rPr>
        <w:t xml:space="preserve">may </w:t>
      </w:r>
      <w:r w:rsidRPr="00D93FF9">
        <w:rPr>
          <w:lang w:val="en-GB"/>
        </w:rPr>
        <w:t>lead to the build-up of inorganic contaminants in the soil surface layer</w:t>
      </w:r>
      <w:r w:rsidR="00A17472" w:rsidRPr="00D93FF9">
        <w:rPr>
          <w:lang w:val="en-GB"/>
        </w:rPr>
        <w:t xml:space="preserve"> to unacceptable levels for the land use or future land use</w:t>
      </w:r>
      <w:r w:rsidR="005A6108" w:rsidRPr="00D93FF9">
        <w:rPr>
          <w:lang w:val="en-GB"/>
        </w:rPr>
        <w:t>. There is the potential for contaminants to reach concentrations in soil that are toxic to crops or cause a reduction in crop quality via</w:t>
      </w:r>
      <w:r w:rsidRPr="00D93FF9">
        <w:rPr>
          <w:lang w:val="en-GB"/>
        </w:rPr>
        <w:t xml:space="preserve"> plant root</w:t>
      </w:r>
      <w:r w:rsidRPr="00D93FF9">
        <w:rPr>
          <w:spacing w:val="4"/>
          <w:lang w:val="en-GB"/>
        </w:rPr>
        <w:t xml:space="preserve"> </w:t>
      </w:r>
      <w:r w:rsidRPr="00D93FF9">
        <w:rPr>
          <w:lang w:val="en-GB"/>
        </w:rPr>
        <w:t>uptake.</w:t>
      </w:r>
    </w:p>
    <w:p w14:paraId="679ECAA3" w14:textId="77777777" w:rsidR="006975D0" w:rsidRPr="00D93FF9" w:rsidRDefault="006975D0" w:rsidP="006975D0">
      <w:pPr>
        <w:pStyle w:val="ListBullet"/>
        <w:numPr>
          <w:ilvl w:val="0"/>
          <w:numId w:val="0"/>
        </w:numPr>
        <w:spacing w:line="266" w:lineRule="auto"/>
        <w:ind w:left="397"/>
        <w:jc w:val="both"/>
        <w:rPr>
          <w:lang w:val="en-GB"/>
        </w:rPr>
      </w:pPr>
    </w:p>
    <w:p w14:paraId="59DCCF54" w14:textId="77777777" w:rsidR="00C46175" w:rsidRPr="00D93FF9" w:rsidRDefault="00E811B8" w:rsidP="00527187">
      <w:pPr>
        <w:pStyle w:val="Heading4"/>
        <w:rPr>
          <w:lang w:val="en-GB"/>
        </w:rPr>
      </w:pPr>
      <w:r w:rsidRPr="00D93FF9">
        <w:rPr>
          <w:lang w:val="en-GB"/>
        </w:rPr>
        <w:lastRenderedPageBreak/>
        <w:t xml:space="preserve">Calculation of </w:t>
      </w:r>
      <w:r w:rsidRPr="00D93FF9">
        <w:t>irrigation</w:t>
      </w:r>
      <w:r w:rsidRPr="00D93FF9">
        <w:rPr>
          <w:lang w:val="en-GB"/>
        </w:rPr>
        <w:t xml:space="preserve"> loading rates and time periods</w:t>
      </w:r>
    </w:p>
    <w:p w14:paraId="59DCCF55" w14:textId="77777777" w:rsidR="00C46175" w:rsidRPr="00D93FF9" w:rsidRDefault="00E811B8" w:rsidP="003807A1">
      <w:pPr>
        <w:pStyle w:val="BodyText"/>
        <w:spacing w:after="0" w:line="266" w:lineRule="auto"/>
        <w:rPr>
          <w:lang w:val="en-GB"/>
        </w:rPr>
      </w:pPr>
      <w:r w:rsidRPr="00D93FF9">
        <w:rPr>
          <w:lang w:val="en-GB"/>
        </w:rPr>
        <w:t>In order to develop the</w:t>
      </w:r>
      <w:r w:rsidR="005A6108" w:rsidRPr="00D93FF9">
        <w:rPr>
          <w:lang w:val="en-GB"/>
        </w:rPr>
        <w:t xml:space="preserve"> default </w:t>
      </w:r>
      <w:r w:rsidRPr="00D93FF9">
        <w:rPr>
          <w:lang w:val="en-GB"/>
        </w:rPr>
        <w:t xml:space="preserve">guidelines </w:t>
      </w:r>
      <w:r w:rsidR="005A6108" w:rsidRPr="00D93FF9">
        <w:rPr>
          <w:lang w:val="en-GB"/>
        </w:rPr>
        <w:t xml:space="preserve">values (DGV) </w:t>
      </w:r>
      <w:r w:rsidRPr="00D93FF9">
        <w:rPr>
          <w:lang w:val="en-GB"/>
        </w:rPr>
        <w:t>the following set of assumptions were used to calculate the contaminant loading rates resulting from irrigation:</w:t>
      </w:r>
    </w:p>
    <w:p w14:paraId="59DCCF56" w14:textId="11488D0F" w:rsidR="00C46175" w:rsidRPr="00D93FF9" w:rsidRDefault="00E811B8" w:rsidP="00AF1B7E">
      <w:pPr>
        <w:pStyle w:val="ListBullet"/>
        <w:rPr>
          <w:lang w:val="en-GB"/>
        </w:rPr>
      </w:pPr>
      <w:r w:rsidRPr="00D93FF9">
        <w:t>annual</w:t>
      </w:r>
      <w:r w:rsidRPr="00D93FF9">
        <w:rPr>
          <w:lang w:val="en-GB"/>
        </w:rPr>
        <w:t xml:space="preserve"> application of irrigation water is </w:t>
      </w:r>
      <w:r w:rsidR="005A6108" w:rsidRPr="00D93FF9">
        <w:rPr>
          <w:lang w:val="en-GB"/>
        </w:rPr>
        <w:t>10</w:t>
      </w:r>
      <w:r w:rsidR="0006688D" w:rsidRPr="00D93FF9">
        <w:rPr>
          <w:lang w:val="en-GB"/>
        </w:rPr>
        <w:t xml:space="preserve"> </w:t>
      </w:r>
      <w:r w:rsidR="005A6108" w:rsidRPr="00D93FF9">
        <w:rPr>
          <w:lang w:val="en-GB"/>
        </w:rPr>
        <w:t>ML/</w:t>
      </w:r>
      <w:r w:rsidR="00F85544" w:rsidRPr="00D93FF9">
        <w:rPr>
          <w:lang w:val="en-GB"/>
        </w:rPr>
        <w:t>ha</w:t>
      </w:r>
      <w:r w:rsidR="0006688D" w:rsidRPr="00D93FF9">
        <w:rPr>
          <w:lang w:val="en-GB"/>
        </w:rPr>
        <w:t>/yr</w:t>
      </w:r>
      <w:r w:rsidR="005A6108" w:rsidRPr="00D93FF9">
        <w:rPr>
          <w:lang w:val="en-GB"/>
        </w:rPr>
        <w:t xml:space="preserve"> (i.e. 1000 mm/yr)</w:t>
      </w:r>
      <w:r w:rsidRPr="00D93FF9">
        <w:rPr>
          <w:spacing w:val="-3"/>
          <w:lang w:val="en-GB"/>
        </w:rPr>
        <w:t>;</w:t>
      </w:r>
    </w:p>
    <w:p w14:paraId="59DCCF57" w14:textId="77777777" w:rsidR="00C46175" w:rsidRPr="00D93FF9" w:rsidRDefault="00E811B8" w:rsidP="00AF1B7E">
      <w:pPr>
        <w:pStyle w:val="ListBullet"/>
        <w:rPr>
          <w:lang w:val="en-GB"/>
        </w:rPr>
      </w:pPr>
      <w:r w:rsidRPr="00D93FF9">
        <w:t>inorganic</w:t>
      </w:r>
      <w:r w:rsidRPr="00D93FF9">
        <w:rPr>
          <w:lang w:val="en-GB"/>
        </w:rPr>
        <w:t xml:space="preserve"> contaminants are retained in the top </w:t>
      </w:r>
      <w:r w:rsidR="005A6108" w:rsidRPr="00D93FF9">
        <w:rPr>
          <w:lang w:val="en-GB"/>
        </w:rPr>
        <w:t xml:space="preserve">0.15 m </w:t>
      </w:r>
      <w:r w:rsidRPr="00D93FF9">
        <w:rPr>
          <w:lang w:val="en-GB"/>
        </w:rPr>
        <w:t>of the soil</w:t>
      </w:r>
      <w:r w:rsidRPr="00D93FF9">
        <w:rPr>
          <w:spacing w:val="-2"/>
          <w:lang w:val="en-GB"/>
        </w:rPr>
        <w:t xml:space="preserve"> </w:t>
      </w:r>
      <w:r w:rsidRPr="00D93FF9">
        <w:rPr>
          <w:lang w:val="en-GB"/>
        </w:rPr>
        <w:t>profile;</w:t>
      </w:r>
    </w:p>
    <w:p w14:paraId="59DCCF58" w14:textId="77777777" w:rsidR="00C46175" w:rsidRPr="00D93FF9" w:rsidRDefault="00E811B8" w:rsidP="00AF1B7E">
      <w:pPr>
        <w:pStyle w:val="ListBullet"/>
        <w:rPr>
          <w:lang w:val="en-GB"/>
        </w:rPr>
      </w:pPr>
      <w:r w:rsidRPr="00D93FF9">
        <w:rPr>
          <w:lang w:val="en-GB"/>
        </w:rPr>
        <w:t xml:space="preserve">irrigation </w:t>
      </w:r>
      <w:r w:rsidRPr="00D93FF9">
        <w:t>will</w:t>
      </w:r>
      <w:r w:rsidRPr="00D93FF9">
        <w:rPr>
          <w:lang w:val="en-GB"/>
        </w:rPr>
        <w:t xml:space="preserve"> continue on an annual basis for a maximum of 100</w:t>
      </w:r>
      <w:r w:rsidRPr="00D93FF9">
        <w:rPr>
          <w:spacing w:val="-3"/>
          <w:lang w:val="en-GB"/>
        </w:rPr>
        <w:t xml:space="preserve"> </w:t>
      </w:r>
      <w:r w:rsidRPr="00D93FF9">
        <w:rPr>
          <w:lang w:val="en-GB"/>
        </w:rPr>
        <w:t>years;</w:t>
      </w:r>
    </w:p>
    <w:p w14:paraId="59DCCF59" w14:textId="77777777" w:rsidR="00C46175" w:rsidRPr="00D93FF9" w:rsidRDefault="00E811B8" w:rsidP="00AF1B7E">
      <w:pPr>
        <w:pStyle w:val="ListBullet"/>
        <w:rPr>
          <w:lang w:val="en-GB"/>
        </w:rPr>
      </w:pPr>
      <w:r w:rsidRPr="00D93FF9">
        <w:t>soil</w:t>
      </w:r>
      <w:r w:rsidRPr="00D93FF9">
        <w:rPr>
          <w:lang w:val="en-GB"/>
        </w:rPr>
        <w:t xml:space="preserve"> bulk density is 1300</w:t>
      </w:r>
      <w:r w:rsidRPr="00D93FF9">
        <w:rPr>
          <w:spacing w:val="-7"/>
          <w:lang w:val="en-GB"/>
        </w:rPr>
        <w:t xml:space="preserve"> </w:t>
      </w:r>
      <w:r w:rsidRPr="00D93FF9">
        <w:rPr>
          <w:lang w:val="en-GB"/>
        </w:rPr>
        <w:t>kg/m</w:t>
      </w:r>
      <w:r w:rsidRPr="00D93FF9">
        <w:rPr>
          <w:vertAlign w:val="superscript"/>
          <w:lang w:val="en-GB"/>
        </w:rPr>
        <w:t>3</w:t>
      </w:r>
      <w:r w:rsidRPr="00D93FF9">
        <w:rPr>
          <w:lang w:val="en-GB"/>
        </w:rPr>
        <w:t>.</w:t>
      </w:r>
    </w:p>
    <w:p w14:paraId="59DCCF5A" w14:textId="41F80191" w:rsidR="00C46175" w:rsidRPr="00D93FF9" w:rsidRDefault="00E811B8" w:rsidP="006C0312">
      <w:pPr>
        <w:pStyle w:val="BodyText"/>
        <w:spacing w:after="0" w:line="266" w:lineRule="auto"/>
        <w:jc w:val="both"/>
        <w:rPr>
          <w:lang w:val="en-GB"/>
        </w:rPr>
      </w:pPr>
      <w:r w:rsidRPr="00D93FF9">
        <w:rPr>
          <w:lang w:val="en-GB"/>
        </w:rPr>
        <w:t xml:space="preserve">This set of assumptions is internationally recognised as a </w:t>
      </w:r>
      <w:r w:rsidR="005A6108" w:rsidRPr="00D93FF9">
        <w:rPr>
          <w:lang w:val="en-GB"/>
        </w:rPr>
        <w:t xml:space="preserve">typical </w:t>
      </w:r>
      <w:r w:rsidRPr="00D93FF9">
        <w:rPr>
          <w:lang w:val="en-GB"/>
        </w:rPr>
        <w:t>basis for developing irrigation water quality guidelines and</w:t>
      </w:r>
      <w:r w:rsidR="005A6108" w:rsidRPr="00D93FF9">
        <w:rPr>
          <w:lang w:val="en-GB"/>
        </w:rPr>
        <w:t xml:space="preserve"> similar logic</w:t>
      </w:r>
      <w:r w:rsidRPr="00D93FF9">
        <w:rPr>
          <w:lang w:val="en-GB"/>
        </w:rPr>
        <w:t xml:space="preserve"> has been used in the development of </w:t>
      </w:r>
      <w:r w:rsidR="005A6108" w:rsidRPr="00D93FF9">
        <w:rPr>
          <w:lang w:val="en-GB"/>
        </w:rPr>
        <w:t xml:space="preserve">similar guidelines published by </w:t>
      </w:r>
      <w:r w:rsidRPr="00D93FF9">
        <w:rPr>
          <w:lang w:val="en-GB"/>
        </w:rPr>
        <w:t>Canad</w:t>
      </w:r>
      <w:r w:rsidR="005A6108" w:rsidRPr="00D93FF9">
        <w:rPr>
          <w:lang w:val="en-GB"/>
        </w:rPr>
        <w:t>a</w:t>
      </w:r>
      <w:r w:rsidRPr="00D93FF9">
        <w:rPr>
          <w:lang w:val="en-GB"/>
        </w:rPr>
        <w:t xml:space="preserve"> </w:t>
      </w:r>
      <w:r w:rsidR="005A6108" w:rsidRPr="00D93FF9">
        <w:rPr>
          <w:lang w:val="en-GB"/>
        </w:rPr>
        <w:t xml:space="preserve">, </w:t>
      </w:r>
      <w:r w:rsidRPr="00D93FF9">
        <w:rPr>
          <w:lang w:val="en-GB"/>
        </w:rPr>
        <w:t xml:space="preserve">Food and Agriculture Organisation </w:t>
      </w:r>
      <w:r w:rsidR="005A6108" w:rsidRPr="00D93FF9">
        <w:rPr>
          <w:lang w:val="en-GB"/>
        </w:rPr>
        <w:t>of the United Nations</w:t>
      </w:r>
      <w:r w:rsidRPr="00D93FF9">
        <w:rPr>
          <w:lang w:val="en-GB"/>
        </w:rPr>
        <w:t xml:space="preserve">, United States  and </w:t>
      </w:r>
      <w:r w:rsidR="005A6108" w:rsidRPr="00D93FF9">
        <w:rPr>
          <w:lang w:val="en-GB"/>
        </w:rPr>
        <w:t xml:space="preserve">the World Health Organisation  </w:t>
      </w:r>
      <w:r w:rsidR="005A6108" w:rsidRPr="00D93FF9">
        <w:fldChar w:fldCharType="begin"/>
      </w:r>
      <w:r w:rsidR="00BE6DF0" w:rsidRPr="00D93FF9">
        <w:instrText xml:space="preserve"> ADDIN ZOTERO_ITEM CSL_CITATION {"citationID":"zPOI7JuY","properties":{"formattedCitation":"(Ayers and Westcot, 1985; Pescod, 1992; CCME, 2006; WHO, 2006; US EPA, 2012)","plainCitation":"(Ayers and Westcot, 1985; Pescod, 1992; CCME, 2006; WHO, 2006; US EPA, 2012)","noteIndex":0},"citationItems":[{"id":5568,"uris":["http://zotero.org/users/1938757/items/UZHGX6WC"],"uri":["http://zotero.org/users/1938757/items/UZHGX6WC"],"itemData":{"id":5568,"type":"report","abstract":"Water quality for agriculture\n\nby\nR.S. Ayers\nSoil and Water Specialist (Emeritus)\nUniversity of California\nDavis, California, USA\n\nand\nD.W. Westcot\nSenior Land and Water Resources Specialist\nCalifornia Regional Water Quality Control Board\nSacramento, California, USA\n\nFAO IRRIGATION AND DRAINAGE PAPER\n\n29 Rev. 1\n\nReprinted 1989, 1994\n\nThe designations employed and the presentation of material in this publication do not imply the expression of any opinion whatsoever on the part of the Food and Agriculture Organization of the United Nations concerning the legal status of any country, territory, city or area or of its authorities, or concerning the delimitation of its frontiers or boundaries.\n\nM-56\nISBN 92-5-102263-1\n\nAll rights reserved. No part of this publication may be reproduced, stored in a retrieval system, or transmitted in any form or by any means, electronic, mechanical, photocopying or otherwise, without the prior permission of the copyright owner. Applications for such permission, with a statement of the purpose and extent of the reproduction, should be addressed to the Director, Publications Division, Food and Agriculture Organization of the United Nations, Viale delle Terme di Caracalla, 00100 Rome, Italy.\n\nFood and Agriculture Organization of the United Nations Rome, 1985 © FAO","archive":"page 25 re LF calculation","event-place":"Rome, Italy.","note":"https://www.waterboards.ca.gov/water_issues/programs/tmdl/records/state_board/1985/ref2648.pdf","publisher":"Food and Agriculture Organisation of the United Nations.","publisher-place":"Rome, Italy.","title":"Water quality for agriculture. FAO irrigation and drainage paper 29 rev. 1","URL":"http://www.fao.org/docrep/003/t0234e/t0234e00.htm","author":[{"family":"Ayers","given":"R. S."},{"family":"Westcot","given":"D. W"}],"issued":{"date-parts":[["1985"]]}}},{"id":437,"uris":["http://zotero.org/users/1938757/items/4BDGJS48"],"uri":["http://zotero.org/users/1938757/items/4BDGJS48"],"itemData":{"id":437,"type":"article-journal","container-title":"Food and Agriculture Organization Irrigation and Drainage Paper","page":"16, 17, 4, 5","title":"Wastewater treatment and use in agriculture","volume":"47","author":[{"family":"Pescod","given":"MB"}],"issued":{"date-parts":[["1992"]]}}},{"id":21293,"uris":["http://zotero.org/users/1938757/items/IF35IBTQ"],"uri":["http://zotero.org/users/1938757/items/IF35IBTQ"],"itemData":{"id":21293,"type":"report","event-place":"Winnipeg, MB,Canada","publisher":"Canadian Council of Ministers of the Environment. http://ceqg-rcqe.ccme.ca/","publisher-place":"Winnipeg, MB,Canada","title":"Canadian Water Quality Guidelines for the Protection of Agricultural Water Uses","URL":"http://ceqg-rcqe.ccme.ca/","author":[{"family":"CCME","given":""}],"issued":{"date-parts":[["2006"]]}}},{"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id":32949,"uris":["http://zotero.org/users/1938757/items/JNI8UXWQ"],"uri":["http://zotero.org/users/1938757/items/JNI8UXWQ"],"itemData":{"id":32949,"type":"report","event-place":"Washington D.C.","language":"en","page":"643","publisher":"United States Envionmental Protection Agency","publisher-place":"Washington D.C.","source":"Zotero","title":"2012 Guidelines for Water Reuse","URL":"https://www.epa.gov/sites/production/files/2019-08/documents/2012-guidelines-water-reuse.pdf","author":[{"family":"US EPA","given":""}],"issued":{"date-parts":[["2012",9]]}}}],"schema":"https://github.com/citation-style-language/schema/raw/master/csl-citation.json"} </w:instrText>
      </w:r>
      <w:r w:rsidR="005A6108" w:rsidRPr="00D93FF9">
        <w:fldChar w:fldCharType="separate"/>
      </w:r>
      <w:r w:rsidR="007C2051" w:rsidRPr="00D93FF9">
        <w:rPr>
          <w:rFonts w:ascii="Calibri" w:hAnsi="Calibri" w:cs="Calibri"/>
        </w:rPr>
        <w:t>(Ayers and Westcot 1985; Pescod 1992; CCME 2006; WHO 2006; US EPA 2012)</w:t>
      </w:r>
      <w:r w:rsidR="005A6108" w:rsidRPr="00D93FF9">
        <w:fldChar w:fldCharType="end"/>
      </w:r>
      <w:r w:rsidR="005A6108" w:rsidRPr="00D93FF9">
        <w:t>.</w:t>
      </w:r>
    </w:p>
    <w:p w14:paraId="59DCCF5B" w14:textId="77777777" w:rsidR="00C46175" w:rsidRPr="00D93FF9" w:rsidRDefault="00E811B8" w:rsidP="006C0312">
      <w:pPr>
        <w:pStyle w:val="Heading5"/>
        <w:spacing w:line="266" w:lineRule="auto"/>
        <w:rPr>
          <w:lang w:val="en-GB"/>
        </w:rPr>
      </w:pPr>
      <w:r w:rsidRPr="00D93FF9">
        <w:rPr>
          <w:lang w:val="en-GB"/>
        </w:rPr>
        <w:t xml:space="preserve">Theoretical </w:t>
      </w:r>
      <w:r w:rsidRPr="00D93FF9">
        <w:t>basis</w:t>
      </w:r>
      <w:r w:rsidRPr="00D93FF9">
        <w:rPr>
          <w:lang w:val="en-GB"/>
        </w:rPr>
        <w:t xml:space="preserve"> to guideline value development</w:t>
      </w:r>
    </w:p>
    <w:p w14:paraId="59DCCF5C" w14:textId="479F3C87" w:rsidR="00C46175" w:rsidRPr="00D93FF9" w:rsidRDefault="00E811B8" w:rsidP="006C0312">
      <w:pPr>
        <w:pStyle w:val="BodyText"/>
        <w:spacing w:after="0" w:line="266" w:lineRule="auto"/>
        <w:jc w:val="both"/>
        <w:rPr>
          <w:lang w:val="en-GB"/>
        </w:rPr>
      </w:pPr>
      <w:r w:rsidRPr="00D93FF9">
        <w:rPr>
          <w:lang w:val="en-GB"/>
        </w:rPr>
        <w:t xml:space="preserve">Many factors can modify contaminant behaviour and toxicity in the soil environment, such as soil texture, soil and irrigation water pH, soil and irrigation water salinity, </w:t>
      </w:r>
      <w:r w:rsidR="005A6108" w:rsidRPr="00D93FF9">
        <w:rPr>
          <w:lang w:val="en-GB"/>
        </w:rPr>
        <w:t xml:space="preserve">and the </w:t>
      </w:r>
      <w:r w:rsidRPr="00D93FF9">
        <w:rPr>
          <w:lang w:val="en-GB"/>
        </w:rPr>
        <w:t>soil organic matter content. Thus, fine textured soils (i.e. clay soils) can withstand much higher loadings of contaminants before toxicity symptoms are evident in plants or biota. Similarly, for the same loading of cationic metal (e.g. cadmium, zinc), acidic soils have greater potential for toxicity to manifest than alkaline soils. Thus</w:t>
      </w:r>
      <w:r w:rsidR="00AF6750" w:rsidRPr="00D93FF9">
        <w:rPr>
          <w:lang w:val="en-GB"/>
        </w:rPr>
        <w:t>,</w:t>
      </w:r>
      <w:r w:rsidRPr="00D93FF9">
        <w:rPr>
          <w:lang w:val="en-GB"/>
        </w:rPr>
        <w:t xml:space="preserve"> a single </w:t>
      </w:r>
      <w:r w:rsidR="005A6108" w:rsidRPr="00D93FF9">
        <w:rPr>
          <w:lang w:val="en-GB"/>
        </w:rPr>
        <w:t xml:space="preserve">guideline </w:t>
      </w:r>
      <w:r w:rsidRPr="00D93FF9">
        <w:rPr>
          <w:lang w:val="en-GB"/>
        </w:rPr>
        <w:t>value must be treated with caution, as effects of contaminants on plants and organisms are therefore soil (condition) specific.</w:t>
      </w:r>
    </w:p>
    <w:p w14:paraId="59DCCF5D" w14:textId="77777777" w:rsidR="00C46175" w:rsidRPr="00D93FF9" w:rsidRDefault="00E811B8" w:rsidP="006C0312">
      <w:pPr>
        <w:pStyle w:val="BodyText"/>
        <w:spacing w:after="0" w:line="266" w:lineRule="auto"/>
        <w:jc w:val="both"/>
        <w:rPr>
          <w:lang w:val="en-GB"/>
        </w:rPr>
      </w:pPr>
      <w:r w:rsidRPr="00D93FF9">
        <w:rPr>
          <w:lang w:val="en-GB"/>
        </w:rPr>
        <w:t xml:space="preserve">The </w:t>
      </w:r>
      <w:r w:rsidR="00731328" w:rsidRPr="00D93FF9">
        <w:rPr>
          <w:lang w:val="en-GB"/>
        </w:rPr>
        <w:t>p</w:t>
      </w:r>
      <w:r w:rsidR="00E90CE0" w:rsidRPr="00D93FF9">
        <w:rPr>
          <w:lang w:val="en-GB"/>
        </w:rPr>
        <w:t>otential for contamination of groundwater is also an issue that is highly soil specific. If areas subject to high levels of leaching, or soils with known by-pass or preferential flow are receiving significant irrigation inputs, a site-specific risk assessment is strongly suggested. This should include determining the partition coefficient (K</w:t>
      </w:r>
      <w:r w:rsidR="00E90CE0" w:rsidRPr="00D93FF9">
        <w:rPr>
          <w:vertAlign w:val="subscript"/>
          <w:lang w:val="en-GB"/>
        </w:rPr>
        <w:t>d</w:t>
      </w:r>
      <w:r w:rsidR="00E90CE0" w:rsidRPr="00D93FF9">
        <w:rPr>
          <w:lang w:val="en-GB"/>
        </w:rPr>
        <w:t>) for metals on</w:t>
      </w:r>
      <w:r w:rsidR="00E90CE0" w:rsidRPr="00D93FF9">
        <w:rPr>
          <w:spacing w:val="27"/>
          <w:lang w:val="en-GB"/>
        </w:rPr>
        <w:t xml:space="preserve"> </w:t>
      </w:r>
      <w:r w:rsidR="00E90CE0" w:rsidRPr="00D93FF9">
        <w:rPr>
          <w:lang w:val="en-GB"/>
        </w:rPr>
        <w:t>that</w:t>
      </w:r>
      <w:r w:rsidR="00E90CE0" w:rsidRPr="00D93FF9">
        <w:rPr>
          <w:spacing w:val="28"/>
          <w:lang w:val="en-GB"/>
        </w:rPr>
        <w:t xml:space="preserve"> </w:t>
      </w:r>
      <w:r w:rsidR="00E90CE0" w:rsidRPr="00D93FF9">
        <w:rPr>
          <w:lang w:val="en-GB"/>
        </w:rPr>
        <w:t>particular</w:t>
      </w:r>
      <w:r w:rsidR="00E90CE0" w:rsidRPr="00D93FF9">
        <w:rPr>
          <w:spacing w:val="28"/>
          <w:lang w:val="en-GB"/>
        </w:rPr>
        <w:t xml:space="preserve"> </w:t>
      </w:r>
      <w:r w:rsidR="00E90CE0" w:rsidRPr="00D93FF9">
        <w:rPr>
          <w:lang w:val="en-GB"/>
        </w:rPr>
        <w:t>soil</w:t>
      </w:r>
      <w:r w:rsidR="00E90CE0" w:rsidRPr="00D93FF9">
        <w:rPr>
          <w:spacing w:val="27"/>
          <w:lang w:val="en-GB"/>
        </w:rPr>
        <w:t xml:space="preserve"> </w:t>
      </w:r>
      <w:r w:rsidR="00E90CE0" w:rsidRPr="00D93FF9">
        <w:rPr>
          <w:lang w:val="en-GB"/>
        </w:rPr>
        <w:t>type,</w:t>
      </w:r>
      <w:r w:rsidR="00E90CE0" w:rsidRPr="00D93FF9">
        <w:rPr>
          <w:spacing w:val="28"/>
          <w:lang w:val="en-GB"/>
        </w:rPr>
        <w:t xml:space="preserve"> </w:t>
      </w:r>
      <w:r w:rsidR="00E90CE0" w:rsidRPr="00D93FF9">
        <w:rPr>
          <w:lang w:val="en-GB"/>
        </w:rPr>
        <w:t>leaching</w:t>
      </w:r>
      <w:r w:rsidR="00E90CE0" w:rsidRPr="00D93FF9">
        <w:rPr>
          <w:spacing w:val="25"/>
          <w:lang w:val="en-GB"/>
        </w:rPr>
        <w:t xml:space="preserve"> </w:t>
      </w:r>
      <w:r w:rsidR="00E90CE0" w:rsidRPr="00D93FF9">
        <w:rPr>
          <w:lang w:val="en-GB"/>
        </w:rPr>
        <w:t>fraction</w:t>
      </w:r>
      <w:r w:rsidR="00E90CE0" w:rsidRPr="00D93FF9">
        <w:rPr>
          <w:spacing w:val="27"/>
          <w:lang w:val="en-GB"/>
        </w:rPr>
        <w:t xml:space="preserve"> </w:t>
      </w:r>
      <w:r w:rsidR="00E90CE0" w:rsidRPr="00D93FF9">
        <w:rPr>
          <w:lang w:val="en-GB"/>
        </w:rPr>
        <w:t>and</w:t>
      </w:r>
      <w:r w:rsidR="00E90CE0" w:rsidRPr="00D93FF9">
        <w:rPr>
          <w:spacing w:val="28"/>
          <w:lang w:val="en-GB"/>
        </w:rPr>
        <w:t xml:space="preserve"> </w:t>
      </w:r>
      <w:r w:rsidR="00E90CE0" w:rsidRPr="00D93FF9">
        <w:rPr>
          <w:lang w:val="en-GB"/>
        </w:rPr>
        <w:t>volume</w:t>
      </w:r>
      <w:r w:rsidR="00E90CE0" w:rsidRPr="00D93FF9">
        <w:rPr>
          <w:spacing w:val="28"/>
          <w:lang w:val="en-GB"/>
        </w:rPr>
        <w:t xml:space="preserve"> </w:t>
      </w:r>
      <w:r w:rsidR="00E90CE0" w:rsidRPr="00D93FF9">
        <w:rPr>
          <w:lang w:val="en-GB"/>
        </w:rPr>
        <w:t>of</w:t>
      </w:r>
      <w:r w:rsidR="00E90CE0" w:rsidRPr="00D93FF9">
        <w:rPr>
          <w:spacing w:val="27"/>
          <w:lang w:val="en-GB"/>
        </w:rPr>
        <w:t xml:space="preserve"> </w:t>
      </w:r>
      <w:r w:rsidR="00E90CE0" w:rsidRPr="00D93FF9">
        <w:rPr>
          <w:lang w:val="en-GB"/>
        </w:rPr>
        <w:t>preferential/by-pass</w:t>
      </w:r>
      <w:r w:rsidR="00E90CE0" w:rsidRPr="00D93FF9">
        <w:rPr>
          <w:spacing w:val="30"/>
          <w:lang w:val="en-GB"/>
        </w:rPr>
        <w:t xml:space="preserve"> </w:t>
      </w:r>
      <w:r w:rsidR="00E90CE0" w:rsidRPr="00D93FF9">
        <w:rPr>
          <w:lang w:val="en-GB"/>
        </w:rPr>
        <w:t>flow.</w:t>
      </w:r>
      <w:r w:rsidR="00E90CE0" w:rsidRPr="00D93FF9">
        <w:rPr>
          <w:spacing w:val="30"/>
          <w:lang w:val="en-GB"/>
        </w:rPr>
        <w:t xml:space="preserve"> </w:t>
      </w:r>
      <w:r w:rsidR="00E90CE0" w:rsidRPr="00D93FF9">
        <w:rPr>
          <w:lang w:val="en-GB"/>
        </w:rPr>
        <w:t>The</w:t>
      </w:r>
      <w:r w:rsidRPr="00D93FF9">
        <w:rPr>
          <w:lang w:val="en-GB"/>
        </w:rPr>
        <w:t xml:space="preserve"> default guideline</w:t>
      </w:r>
      <w:r w:rsidR="00E90CE0" w:rsidRPr="00D93FF9">
        <w:rPr>
          <w:lang w:val="en-GB"/>
        </w:rPr>
        <w:t xml:space="preserve"> values for metal contaminants in irrigation water may then be revised if groundwater contamination is considered a potential risk.</w:t>
      </w:r>
    </w:p>
    <w:p w14:paraId="59DCCF5E" w14:textId="53284163" w:rsidR="00C46175" w:rsidRPr="00D93FF9" w:rsidRDefault="00E811B8" w:rsidP="006C0312">
      <w:pPr>
        <w:pStyle w:val="BodyText"/>
        <w:spacing w:after="0" w:line="266" w:lineRule="auto"/>
        <w:jc w:val="both"/>
        <w:rPr>
          <w:lang w:val="en-GB"/>
        </w:rPr>
      </w:pPr>
      <w:r w:rsidRPr="00D93FF9">
        <w:rPr>
          <w:lang w:val="en-GB"/>
        </w:rPr>
        <w:t xml:space="preserve">The </w:t>
      </w:r>
      <w:r w:rsidR="00855C80" w:rsidRPr="00D93FF9">
        <w:rPr>
          <w:lang w:val="en-GB"/>
        </w:rPr>
        <w:t>guideline value</w:t>
      </w:r>
      <w:r w:rsidRPr="00D93FF9">
        <w:rPr>
          <w:lang w:val="en-GB"/>
        </w:rPr>
        <w:t>s suggested here have been developed with regard to soil threshold values (where available) in the literature that aim to prevent potential adverse effects of inorganic contaminants on plants and organisms, coupled with the assumptions regarding irrigation loads given below.</w:t>
      </w:r>
    </w:p>
    <w:p w14:paraId="59DCCF5F" w14:textId="6520251B" w:rsidR="00C46175" w:rsidRPr="00D93FF9" w:rsidRDefault="00E811B8" w:rsidP="006C0312">
      <w:pPr>
        <w:pStyle w:val="BodyText"/>
        <w:spacing w:after="0" w:line="266" w:lineRule="auto"/>
        <w:jc w:val="both"/>
        <w:rPr>
          <w:lang w:val="en-GB"/>
        </w:rPr>
      </w:pPr>
      <w:r w:rsidRPr="00D93FF9">
        <w:rPr>
          <w:lang w:val="en-GB"/>
        </w:rPr>
        <w:t xml:space="preserve">The proposed </w:t>
      </w:r>
      <w:r w:rsidR="00855C80" w:rsidRPr="00D93FF9">
        <w:rPr>
          <w:spacing w:val="-3"/>
          <w:lang w:val="en-GB"/>
        </w:rPr>
        <w:t>guideline value</w:t>
      </w:r>
      <w:r w:rsidRPr="00D93FF9">
        <w:rPr>
          <w:spacing w:val="-3"/>
          <w:lang w:val="en-GB"/>
        </w:rPr>
        <w:t xml:space="preserve">s have </w:t>
      </w:r>
      <w:r w:rsidRPr="00D93FF9">
        <w:rPr>
          <w:lang w:val="en-GB"/>
        </w:rPr>
        <w:t xml:space="preserve">been </w:t>
      </w:r>
      <w:r w:rsidRPr="00D93FF9">
        <w:rPr>
          <w:spacing w:val="-3"/>
          <w:lang w:val="en-GB"/>
        </w:rPr>
        <w:t xml:space="preserve">developed </w:t>
      </w:r>
      <w:r w:rsidRPr="00D93FF9">
        <w:rPr>
          <w:lang w:val="en-GB"/>
        </w:rPr>
        <w:t xml:space="preserve">to be </w:t>
      </w:r>
      <w:r w:rsidRPr="00D93FF9">
        <w:rPr>
          <w:spacing w:val="-3"/>
          <w:lang w:val="en-GB"/>
        </w:rPr>
        <w:t xml:space="preserve">compatible with </w:t>
      </w:r>
      <w:r w:rsidRPr="00D93FF9">
        <w:rPr>
          <w:lang w:val="en-GB"/>
        </w:rPr>
        <w:t xml:space="preserve">international </w:t>
      </w:r>
      <w:r w:rsidRPr="00D93FF9">
        <w:rPr>
          <w:spacing w:val="-3"/>
          <w:lang w:val="en-GB"/>
        </w:rPr>
        <w:t xml:space="preserve">guidelines </w:t>
      </w:r>
      <w:r w:rsidRPr="00D93FF9">
        <w:rPr>
          <w:lang w:val="en-GB"/>
        </w:rPr>
        <w:t xml:space="preserve">for </w:t>
      </w:r>
      <w:r w:rsidRPr="00D93FF9">
        <w:rPr>
          <w:spacing w:val="-3"/>
          <w:lang w:val="en-GB"/>
        </w:rPr>
        <w:t xml:space="preserve">irrigation </w:t>
      </w:r>
      <w:r w:rsidRPr="00D93FF9">
        <w:rPr>
          <w:lang w:val="en-GB"/>
        </w:rPr>
        <w:t xml:space="preserve">water </w:t>
      </w:r>
      <w:r w:rsidRPr="00D93FF9">
        <w:rPr>
          <w:spacing w:val="-3"/>
          <w:lang w:val="en-GB"/>
        </w:rPr>
        <w:t xml:space="preserve">quality; Australian, </w:t>
      </w:r>
      <w:r w:rsidRPr="00D93FF9">
        <w:rPr>
          <w:spacing w:val="-2"/>
          <w:lang w:val="en-GB"/>
        </w:rPr>
        <w:t xml:space="preserve">New </w:t>
      </w:r>
      <w:r w:rsidRPr="00D93FF9">
        <w:rPr>
          <w:spacing w:val="-3"/>
          <w:lang w:val="en-GB"/>
        </w:rPr>
        <w:t xml:space="preserve">Zealand </w:t>
      </w:r>
      <w:r w:rsidRPr="00D93FF9">
        <w:rPr>
          <w:lang w:val="en-GB"/>
        </w:rPr>
        <w:t xml:space="preserve">and international </w:t>
      </w:r>
      <w:r w:rsidRPr="00D93FF9">
        <w:rPr>
          <w:spacing w:val="-3"/>
          <w:lang w:val="en-GB"/>
        </w:rPr>
        <w:t xml:space="preserve">guidelines </w:t>
      </w:r>
      <w:r w:rsidRPr="00D93FF9">
        <w:rPr>
          <w:lang w:val="en-GB"/>
        </w:rPr>
        <w:t xml:space="preserve">for </w:t>
      </w:r>
      <w:r w:rsidRPr="00D93FF9">
        <w:rPr>
          <w:spacing w:val="-4"/>
          <w:lang w:val="en-GB"/>
        </w:rPr>
        <w:t xml:space="preserve">maximum </w:t>
      </w:r>
      <w:r w:rsidRPr="00D93FF9">
        <w:rPr>
          <w:spacing w:val="-3"/>
          <w:lang w:val="en-GB"/>
        </w:rPr>
        <w:t xml:space="preserve">contaminant </w:t>
      </w:r>
      <w:r w:rsidRPr="00D93FF9">
        <w:rPr>
          <w:lang w:val="en-GB"/>
        </w:rPr>
        <w:t xml:space="preserve">concentrations in </w:t>
      </w:r>
      <w:r w:rsidRPr="00D93FF9">
        <w:rPr>
          <w:spacing w:val="-3"/>
          <w:lang w:val="en-GB"/>
        </w:rPr>
        <w:t xml:space="preserve">soils (McLaughlin </w:t>
      </w:r>
      <w:r w:rsidRPr="00D93FF9">
        <w:rPr>
          <w:lang w:val="en-GB"/>
        </w:rPr>
        <w:t>et al. 2000</w:t>
      </w:r>
      <w:r w:rsidR="005A6108" w:rsidRPr="00D93FF9">
        <w:fldChar w:fldCharType="begin"/>
      </w:r>
      <w:r w:rsidR="00BE6DF0" w:rsidRPr="00D93FF9">
        <w:instrText xml:space="preserve"> ADDIN ZOTERO_ITEM CSL_CITATION {"citationID":"dbvVEy8M","properties":{"formattedCitation":"(McLaughlin et al. 2000; WHO 2006; US EPA 2012; CCME 2018)","plainCitation":"(McLaughlin et al. 2000; WHO 2006; US EPA 2012; CCME 2018)","dontUpdate":true,"noteIndex":0},"citationItems":[{"id":986,"uris":["http://zotero.org/users/1938757/items/76P5CT59"],"uri":["http://zotero.org/users/1938757/items/76P5CT59"],"itemData":{"id":986,"type":"article-journal","container-title":"Aust. J. Soil Res.","page":"1037-86","title":"Review: A Bioavailability-based rationale for controlling metal and metalloid contamination of agricultural land in Australia and New Zealand.","volume":"38","author":[{"family":"McLaughlin","given":"M."},{"family":"Hamon","given":"R. E."},{"family":"McLaren","given":"R. G."},{"family":"Speir","given":"T. W."},{"family":"Rogers","given":"S. L."}],"issued":{"date-parts":[["2000"]]}}},{"id":745,"uris":["http://zotero.org/users/1938757/items/5VGB53CD"],"uri":["http://zotero.org/users/1938757/items/5VGB53CD"],"itemData":{"id":745,"type":"report","event-place":"Geneva,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id":32949,"uris":["http://zotero.org/users/1938757/items/JNI8UXWQ"],"uri":["http://zotero.org/users/1938757/items/JNI8UXWQ"],"itemData":{"id":32949,"type":"report","event-place":"Washington D.C.","language":"en","page":"643","publisher":"United States Envionmental Protection Agency","publisher-place":"Washington D.C.","source":"Zotero","title":"2012 Guidelines for Water Reuse","URL":"https://www.epa.gov/sites/production/files/2019-08/documents/2012-guidelines-water-reuse.pdf","author":[{"family":"US EPA","given":""}],"issued":{"date-parts":[["2012",9]]}}},{"id":21303,"uris":["http://zotero.org/users/1938757/items/35TTSCF6"],"uri":["http://zotero.org/users/1938757/items/35TTSCF6"],"itemData":{"id":21303,"type":"report","event-place":"Winnipeg, MB,Canada","publisher":"Canadian Council of Ministers of the Environment. http://ceqg-rcqe.ccme.ca/","publisher-place":"Winnipeg, MB,Canada","title":"Canadian Soil Quality Guidelines for the Protection of Environmental and Human Health. Most recent update 2018.","URL":"http://ceqg-rcqe.ccme.ca/","author":[{"family":"CCME","given":""}],"accessed":{"date-parts":[["2021",3,9]]},"issued":{"date-parts":[["2018"]]}}}],"schema":"https://github.com/citation-style-language/schema/raw/master/csl-citation.json"} </w:instrText>
      </w:r>
      <w:r w:rsidR="005A6108" w:rsidRPr="00D93FF9">
        <w:fldChar w:fldCharType="separate"/>
      </w:r>
      <w:r w:rsidR="005A6108" w:rsidRPr="00D93FF9">
        <w:t>; WHO 2006; US EPA 2012; CCME 2018)</w:t>
      </w:r>
      <w:r w:rsidR="005A6108" w:rsidRPr="00D93FF9">
        <w:fldChar w:fldCharType="end"/>
      </w:r>
      <w:r w:rsidRPr="00D93FF9">
        <w:rPr>
          <w:spacing w:val="-3"/>
          <w:lang w:val="en-GB"/>
        </w:rPr>
        <w:t xml:space="preserve">. </w:t>
      </w:r>
      <w:r w:rsidRPr="00D93FF9">
        <w:rPr>
          <w:lang w:val="en-GB"/>
        </w:rPr>
        <w:t xml:space="preserve">Two </w:t>
      </w:r>
      <w:r w:rsidR="00430B85" w:rsidRPr="00D93FF9">
        <w:rPr>
          <w:spacing w:val="-3"/>
          <w:lang w:val="en-GB"/>
        </w:rPr>
        <w:t>DGV</w:t>
      </w:r>
      <w:r w:rsidR="00AF18AA" w:rsidRPr="00D93FF9">
        <w:rPr>
          <w:spacing w:val="-3"/>
          <w:lang w:val="en-GB"/>
        </w:rPr>
        <w:t>s</w:t>
      </w:r>
      <w:r w:rsidRPr="00D93FF9">
        <w:rPr>
          <w:spacing w:val="-3"/>
          <w:lang w:val="en-GB"/>
        </w:rPr>
        <w:t xml:space="preserve"> have </w:t>
      </w:r>
      <w:r w:rsidRPr="00D93FF9">
        <w:rPr>
          <w:lang w:val="en-GB"/>
        </w:rPr>
        <w:t xml:space="preserve">been produced for </w:t>
      </w:r>
      <w:r w:rsidRPr="00D93FF9">
        <w:rPr>
          <w:spacing w:val="-3"/>
          <w:lang w:val="en-GB"/>
        </w:rPr>
        <w:t xml:space="preserve">irrigation </w:t>
      </w:r>
      <w:r w:rsidRPr="00D93FF9">
        <w:rPr>
          <w:lang w:val="en-GB"/>
        </w:rPr>
        <w:t xml:space="preserve">water </w:t>
      </w:r>
      <w:r w:rsidRPr="00D93FF9">
        <w:rPr>
          <w:spacing w:val="-3"/>
          <w:lang w:val="en-GB"/>
        </w:rPr>
        <w:t xml:space="preserve">quality, </w:t>
      </w:r>
      <w:r w:rsidRPr="00D93FF9">
        <w:rPr>
          <w:lang w:val="en-GB"/>
        </w:rPr>
        <w:t xml:space="preserve">and a separate </w:t>
      </w:r>
      <w:r w:rsidRPr="00D93FF9">
        <w:rPr>
          <w:spacing w:val="-3"/>
          <w:lang w:val="en-GB"/>
        </w:rPr>
        <w:t xml:space="preserve">limit </w:t>
      </w:r>
      <w:r w:rsidRPr="00D93FF9">
        <w:rPr>
          <w:lang w:val="en-GB"/>
        </w:rPr>
        <w:t xml:space="preserve">has been proposed for a </w:t>
      </w:r>
      <w:r w:rsidRPr="00D93FF9">
        <w:rPr>
          <w:spacing w:val="-4"/>
          <w:lang w:val="en-GB"/>
        </w:rPr>
        <w:t xml:space="preserve">maximum </w:t>
      </w:r>
      <w:r w:rsidRPr="00D93FF9">
        <w:rPr>
          <w:lang w:val="en-GB"/>
        </w:rPr>
        <w:t xml:space="preserve">soil </w:t>
      </w:r>
      <w:r w:rsidRPr="00D93FF9">
        <w:rPr>
          <w:spacing w:val="-3"/>
          <w:lang w:val="en-GB"/>
        </w:rPr>
        <w:t xml:space="preserve">contaminant loading, where </w:t>
      </w:r>
      <w:r w:rsidRPr="00D93FF9">
        <w:rPr>
          <w:lang w:val="en-GB"/>
        </w:rPr>
        <w:t xml:space="preserve">existing soil threshold </w:t>
      </w:r>
      <w:r w:rsidRPr="00D93FF9">
        <w:rPr>
          <w:spacing w:val="-3"/>
          <w:lang w:val="en-GB"/>
        </w:rPr>
        <w:t xml:space="preserve">values </w:t>
      </w:r>
      <w:r w:rsidRPr="00D93FF9">
        <w:rPr>
          <w:lang w:val="en-GB"/>
        </w:rPr>
        <w:t xml:space="preserve">are </w:t>
      </w:r>
      <w:r w:rsidRPr="00D93FF9">
        <w:rPr>
          <w:spacing w:val="-3"/>
          <w:lang w:val="en-GB"/>
        </w:rPr>
        <w:t>available.</w:t>
      </w:r>
    </w:p>
    <w:p w14:paraId="59DCCF60" w14:textId="77777777" w:rsidR="00C46175" w:rsidRPr="00D93FF9" w:rsidRDefault="00E811B8" w:rsidP="006C0312">
      <w:pPr>
        <w:pStyle w:val="BodyText"/>
        <w:spacing w:after="0" w:line="266" w:lineRule="auto"/>
        <w:jc w:val="both"/>
        <w:rPr>
          <w:lang w:val="en-GB"/>
        </w:rPr>
      </w:pPr>
      <w:r w:rsidRPr="00D93FF9">
        <w:rPr>
          <w:lang w:val="en-GB"/>
        </w:rPr>
        <w:t>Guideline values for irrigation water quality are defined as:</w:t>
      </w:r>
    </w:p>
    <w:p w14:paraId="59DCCF61" w14:textId="36A0F7E7" w:rsidR="00C46175" w:rsidRPr="00D93FF9" w:rsidRDefault="00E811B8" w:rsidP="006C0312">
      <w:pPr>
        <w:pStyle w:val="ListBullet"/>
        <w:spacing w:line="266" w:lineRule="auto"/>
        <w:jc w:val="both"/>
        <w:rPr>
          <w:lang w:val="en-GB"/>
        </w:rPr>
      </w:pPr>
      <w:r w:rsidRPr="00D93FF9">
        <w:rPr>
          <w:b/>
          <w:lang w:val="en-GB"/>
        </w:rPr>
        <w:t>DGV or Default Guideline Value</w:t>
      </w:r>
      <w:r w:rsidR="00E90CE0" w:rsidRPr="00D93FF9">
        <w:rPr>
          <w:lang w:val="en-GB"/>
        </w:rPr>
        <w:t xml:space="preserve">. The </w:t>
      </w:r>
      <w:r w:rsidRPr="00D93FF9">
        <w:rPr>
          <w:lang w:val="en-GB"/>
        </w:rPr>
        <w:t>DG</w:t>
      </w:r>
      <w:r w:rsidR="008616FE" w:rsidRPr="00D93FF9">
        <w:rPr>
          <w:lang w:val="en-GB"/>
        </w:rPr>
        <w:t>V</w:t>
      </w:r>
      <w:r w:rsidR="00E90CE0" w:rsidRPr="00D93FF9">
        <w:rPr>
          <w:lang w:val="en-GB"/>
        </w:rPr>
        <w:t xml:space="preserve"> is the </w:t>
      </w:r>
      <w:r w:rsidR="00E90CE0" w:rsidRPr="00D93FF9">
        <w:rPr>
          <w:spacing w:val="-4"/>
          <w:lang w:val="en-GB"/>
        </w:rPr>
        <w:t xml:space="preserve">maximum </w:t>
      </w:r>
      <w:r w:rsidR="00E90CE0" w:rsidRPr="00D93FF9">
        <w:rPr>
          <w:lang w:val="en-GB"/>
        </w:rPr>
        <w:t xml:space="preserve">concentration </w:t>
      </w:r>
      <w:r w:rsidR="00E90CE0" w:rsidRPr="00D93FF9">
        <w:rPr>
          <w:spacing w:val="-4"/>
          <w:lang w:val="en-GB"/>
        </w:rPr>
        <w:t xml:space="preserve">(mg/L) </w:t>
      </w:r>
      <w:r w:rsidR="00E90CE0" w:rsidRPr="00D93FF9">
        <w:rPr>
          <w:lang w:val="en-GB"/>
        </w:rPr>
        <w:t>of contaminant in the irrigation water which can be tolerated</w:t>
      </w:r>
      <w:r w:rsidR="00A17472" w:rsidRPr="00D93FF9">
        <w:rPr>
          <w:lang w:val="en-GB"/>
        </w:rPr>
        <w:t xml:space="preserve"> to protect the receptor</w:t>
      </w:r>
      <w:r w:rsidR="0006688D" w:rsidRPr="00D93FF9">
        <w:rPr>
          <w:lang w:val="en-GB"/>
        </w:rPr>
        <w:t>s</w:t>
      </w:r>
      <w:r w:rsidR="00A17472" w:rsidRPr="00D93FF9">
        <w:rPr>
          <w:lang w:val="en-GB"/>
        </w:rPr>
        <w:t xml:space="preserve"> identified in the scope of the guidelines (Section </w:t>
      </w:r>
      <w:r w:rsidR="00B76A0B" w:rsidRPr="00D93FF9">
        <w:rPr>
          <w:lang w:val="en-GB"/>
        </w:rPr>
        <w:fldChar w:fldCharType="begin"/>
      </w:r>
      <w:r w:rsidR="00B76A0B" w:rsidRPr="00D93FF9">
        <w:rPr>
          <w:lang w:val="en-GB"/>
        </w:rPr>
        <w:instrText xml:space="preserve"> REF _Ref80266391 \r \h </w:instrText>
      </w:r>
      <w:r w:rsidR="00D93FF9">
        <w:rPr>
          <w:lang w:val="en-GB"/>
        </w:rPr>
        <w:instrText xml:space="preserve"> \* MERGEFORMAT </w:instrText>
      </w:r>
      <w:r w:rsidR="00B76A0B" w:rsidRPr="00D93FF9">
        <w:rPr>
          <w:lang w:val="en-GB"/>
        </w:rPr>
      </w:r>
      <w:r w:rsidR="00B76A0B" w:rsidRPr="00D93FF9">
        <w:rPr>
          <w:lang w:val="en-GB"/>
        </w:rPr>
        <w:fldChar w:fldCharType="separate"/>
      </w:r>
      <w:r w:rsidR="0069302C">
        <w:rPr>
          <w:lang w:val="en-GB"/>
        </w:rPr>
        <w:t>1.2</w:t>
      </w:r>
      <w:r w:rsidR="00B76A0B" w:rsidRPr="00D93FF9">
        <w:rPr>
          <w:lang w:val="en-GB"/>
        </w:rPr>
        <w:fldChar w:fldCharType="end"/>
      </w:r>
      <w:r w:rsidR="00B76A0B" w:rsidRPr="00D93FF9">
        <w:rPr>
          <w:lang w:val="en-GB"/>
        </w:rPr>
        <w:t>)</w:t>
      </w:r>
      <w:r w:rsidR="00E90CE0" w:rsidRPr="00D93FF9">
        <w:rPr>
          <w:lang w:val="en-GB"/>
        </w:rPr>
        <w:t xml:space="preserve"> assuming 100 years of irrigation, based on the irrigation loading assumptions previously</w:t>
      </w:r>
      <w:r w:rsidR="00E90CE0" w:rsidRPr="00D93FF9">
        <w:rPr>
          <w:spacing w:val="-30"/>
          <w:lang w:val="en-GB"/>
        </w:rPr>
        <w:t xml:space="preserve"> </w:t>
      </w:r>
      <w:r w:rsidR="00E90CE0" w:rsidRPr="00D93FF9">
        <w:rPr>
          <w:lang w:val="en-GB"/>
        </w:rPr>
        <w:t>mentioned</w:t>
      </w:r>
      <w:r w:rsidRPr="00D93FF9">
        <w:rPr>
          <w:lang w:val="en-GB"/>
        </w:rPr>
        <w:t xml:space="preserve"> and should be used in conjunction with the ACL </w:t>
      </w:r>
      <w:r w:rsidR="002D44B3" w:rsidRPr="00D93FF9">
        <w:rPr>
          <w:lang w:val="en-GB"/>
        </w:rPr>
        <w:t xml:space="preserve">(see underneath for the definition of the term) </w:t>
      </w:r>
      <w:r w:rsidRPr="00D93FF9">
        <w:rPr>
          <w:lang w:val="en-GB"/>
        </w:rPr>
        <w:t>as a trigger for further investigation</w:t>
      </w:r>
      <w:r w:rsidR="00E90CE0" w:rsidRPr="00D93FF9">
        <w:rPr>
          <w:lang w:val="en-GB"/>
        </w:rPr>
        <w:t>.</w:t>
      </w:r>
    </w:p>
    <w:p w14:paraId="59DCCF62" w14:textId="45299E79" w:rsidR="00C46175" w:rsidRPr="00D93FF9" w:rsidRDefault="00E811B8" w:rsidP="006C0312">
      <w:pPr>
        <w:pStyle w:val="ListBullet"/>
        <w:spacing w:line="266" w:lineRule="auto"/>
        <w:jc w:val="both"/>
        <w:rPr>
          <w:lang w:val="en-GB"/>
        </w:rPr>
      </w:pPr>
      <w:r w:rsidRPr="00D93FF9">
        <w:rPr>
          <w:b/>
          <w:lang w:val="en-GB"/>
        </w:rPr>
        <w:t>SGV or short-term guideline value</w:t>
      </w:r>
      <w:r w:rsidR="00E90CE0" w:rsidRPr="00D93FF9">
        <w:rPr>
          <w:lang w:val="en-GB"/>
        </w:rPr>
        <w:t>. The S</w:t>
      </w:r>
      <w:r w:rsidRPr="00D93FF9">
        <w:rPr>
          <w:lang w:val="en-GB"/>
        </w:rPr>
        <w:t>G</w:t>
      </w:r>
      <w:r w:rsidR="00E90CE0" w:rsidRPr="00D93FF9">
        <w:rPr>
          <w:lang w:val="en-GB"/>
        </w:rPr>
        <w:t xml:space="preserve">V is the </w:t>
      </w:r>
      <w:r w:rsidR="00E90CE0" w:rsidRPr="00D93FF9">
        <w:rPr>
          <w:spacing w:val="-4"/>
          <w:lang w:val="en-GB"/>
        </w:rPr>
        <w:t xml:space="preserve">maximum </w:t>
      </w:r>
      <w:r w:rsidR="00E90CE0" w:rsidRPr="00D93FF9">
        <w:rPr>
          <w:lang w:val="en-GB"/>
        </w:rPr>
        <w:t xml:space="preserve">concentration </w:t>
      </w:r>
      <w:r w:rsidR="00E90CE0" w:rsidRPr="00D93FF9">
        <w:rPr>
          <w:spacing w:val="-4"/>
          <w:lang w:val="en-GB"/>
        </w:rPr>
        <w:t xml:space="preserve">(mg/L) </w:t>
      </w:r>
      <w:r w:rsidR="00E90CE0" w:rsidRPr="00D93FF9">
        <w:rPr>
          <w:lang w:val="en-GB"/>
        </w:rPr>
        <w:t>of contaminant in the irrigation water which</w:t>
      </w:r>
      <w:r w:rsidR="00E90CE0" w:rsidRPr="00D93FF9">
        <w:rPr>
          <w:spacing w:val="49"/>
          <w:lang w:val="en-GB"/>
        </w:rPr>
        <w:t xml:space="preserve"> </w:t>
      </w:r>
      <w:r w:rsidR="00E90CE0" w:rsidRPr="00D93FF9">
        <w:rPr>
          <w:lang w:val="en-GB"/>
        </w:rPr>
        <w:t>can be tolerated for a shorter period of time (20</w:t>
      </w:r>
      <w:r w:rsidR="00E90CE0" w:rsidRPr="00D93FF9">
        <w:rPr>
          <w:spacing w:val="-5"/>
          <w:lang w:val="en-GB"/>
        </w:rPr>
        <w:t xml:space="preserve"> </w:t>
      </w:r>
      <w:r w:rsidR="00E90CE0" w:rsidRPr="00D93FF9">
        <w:rPr>
          <w:lang w:val="en-GB"/>
        </w:rPr>
        <w:t>years)</w:t>
      </w:r>
      <w:r w:rsidR="00E90CE0" w:rsidRPr="00D93FF9">
        <w:rPr>
          <w:spacing w:val="-5"/>
          <w:lang w:val="en-GB"/>
        </w:rPr>
        <w:t xml:space="preserve"> </w:t>
      </w:r>
      <w:r w:rsidR="00E90CE0" w:rsidRPr="00D93FF9">
        <w:rPr>
          <w:lang w:val="en-GB"/>
        </w:rPr>
        <w:t>assuming</w:t>
      </w:r>
      <w:r w:rsidR="00E90CE0" w:rsidRPr="00D93FF9">
        <w:rPr>
          <w:spacing w:val="-6"/>
          <w:lang w:val="en-GB"/>
        </w:rPr>
        <w:t xml:space="preserve"> </w:t>
      </w:r>
      <w:r w:rsidR="00E90CE0" w:rsidRPr="00D93FF9">
        <w:rPr>
          <w:lang w:val="en-GB"/>
        </w:rPr>
        <w:t>the</w:t>
      </w:r>
      <w:r w:rsidR="00E90CE0" w:rsidRPr="00D93FF9">
        <w:rPr>
          <w:spacing w:val="-5"/>
          <w:lang w:val="en-GB"/>
        </w:rPr>
        <w:t xml:space="preserve"> </w:t>
      </w:r>
      <w:r w:rsidR="00E90CE0" w:rsidRPr="00D93FF9">
        <w:rPr>
          <w:spacing w:val="-4"/>
          <w:lang w:val="en-GB"/>
        </w:rPr>
        <w:t>same maximum</w:t>
      </w:r>
      <w:r w:rsidR="00E90CE0" w:rsidRPr="00D93FF9">
        <w:rPr>
          <w:spacing w:val="-9"/>
          <w:lang w:val="en-GB"/>
        </w:rPr>
        <w:t xml:space="preserve"> </w:t>
      </w:r>
      <w:r w:rsidR="00E90CE0" w:rsidRPr="00D93FF9">
        <w:rPr>
          <w:lang w:val="en-GB"/>
        </w:rPr>
        <w:t>annual</w:t>
      </w:r>
      <w:r w:rsidR="00E90CE0" w:rsidRPr="00D93FF9">
        <w:rPr>
          <w:spacing w:val="-4"/>
          <w:lang w:val="en-GB"/>
        </w:rPr>
        <w:t xml:space="preserve"> </w:t>
      </w:r>
      <w:r w:rsidR="00E90CE0" w:rsidRPr="00D93FF9">
        <w:rPr>
          <w:lang w:val="en-GB"/>
        </w:rPr>
        <w:t>irrigation</w:t>
      </w:r>
      <w:r w:rsidR="00E90CE0" w:rsidRPr="00D93FF9">
        <w:rPr>
          <w:spacing w:val="-5"/>
          <w:lang w:val="en-GB"/>
        </w:rPr>
        <w:t xml:space="preserve"> </w:t>
      </w:r>
      <w:r w:rsidR="00E90CE0" w:rsidRPr="00D93FF9">
        <w:rPr>
          <w:lang w:val="en-GB"/>
        </w:rPr>
        <w:t>loading</w:t>
      </w:r>
      <w:r w:rsidR="00E90CE0" w:rsidRPr="00D93FF9">
        <w:rPr>
          <w:spacing w:val="-6"/>
          <w:lang w:val="en-GB"/>
        </w:rPr>
        <w:t xml:space="preserve"> </w:t>
      </w:r>
      <w:r w:rsidR="00E90CE0" w:rsidRPr="00D93FF9">
        <w:rPr>
          <w:lang w:val="en-GB"/>
        </w:rPr>
        <w:t>to</w:t>
      </w:r>
      <w:r w:rsidR="00E90CE0" w:rsidRPr="00D93FF9">
        <w:rPr>
          <w:spacing w:val="-5"/>
          <w:lang w:val="en-GB"/>
        </w:rPr>
        <w:t xml:space="preserve"> </w:t>
      </w:r>
      <w:r w:rsidR="00E90CE0" w:rsidRPr="00D93FF9">
        <w:rPr>
          <w:lang w:val="en-GB"/>
        </w:rPr>
        <w:t>soil</w:t>
      </w:r>
      <w:r w:rsidR="00E90CE0" w:rsidRPr="00D93FF9">
        <w:rPr>
          <w:spacing w:val="-4"/>
          <w:lang w:val="en-GB"/>
        </w:rPr>
        <w:t xml:space="preserve"> </w:t>
      </w:r>
      <w:r w:rsidR="00E90CE0" w:rsidRPr="00D93FF9">
        <w:rPr>
          <w:lang w:val="en-GB"/>
        </w:rPr>
        <w:t>as</w:t>
      </w:r>
      <w:r w:rsidR="00E90CE0" w:rsidRPr="00D93FF9">
        <w:rPr>
          <w:spacing w:val="-5"/>
          <w:lang w:val="en-GB"/>
        </w:rPr>
        <w:t xml:space="preserve"> </w:t>
      </w:r>
      <w:r w:rsidR="00553FF9" w:rsidRPr="00D93FF9">
        <w:rPr>
          <w:lang w:val="en-GB"/>
        </w:rPr>
        <w:t>DGV</w:t>
      </w:r>
      <w:r w:rsidRPr="00D93FF9">
        <w:rPr>
          <w:lang w:val="en-GB"/>
        </w:rPr>
        <w:t xml:space="preserve"> or considering site specific related </w:t>
      </w:r>
      <w:r w:rsidRPr="00D93FF9">
        <w:rPr>
          <w:lang w:val="en-GB"/>
        </w:rPr>
        <w:lastRenderedPageBreak/>
        <w:t xml:space="preserve">receptors and exposure. As short-term use is typically site-specific, </w:t>
      </w:r>
      <w:r w:rsidR="00A17472" w:rsidRPr="00D93FF9">
        <w:rPr>
          <w:lang w:val="en-GB"/>
        </w:rPr>
        <w:t>w</w:t>
      </w:r>
      <w:r w:rsidRPr="00D93FF9">
        <w:rPr>
          <w:lang w:val="en-GB"/>
        </w:rPr>
        <w:t>here available the SGV should also be used in conjunction with the ACL as a trigger for further investigation</w:t>
      </w:r>
      <w:r w:rsidR="00E90CE0" w:rsidRPr="00D93FF9">
        <w:rPr>
          <w:lang w:val="en-GB"/>
        </w:rPr>
        <w:t>.</w:t>
      </w:r>
    </w:p>
    <w:p w14:paraId="59DCCF63" w14:textId="3DF3B30F" w:rsidR="00C46175" w:rsidRPr="00D93FF9" w:rsidRDefault="00E811B8" w:rsidP="006C0312">
      <w:pPr>
        <w:pStyle w:val="BodyText"/>
        <w:spacing w:after="0" w:line="266" w:lineRule="auto"/>
        <w:jc w:val="both"/>
        <w:rPr>
          <w:lang w:val="en-GB"/>
        </w:rPr>
      </w:pPr>
      <w:r w:rsidRPr="00D93FF9">
        <w:rPr>
          <w:lang w:val="en-GB"/>
        </w:rPr>
        <w:t xml:space="preserve">The </w:t>
      </w:r>
      <w:r w:rsidR="001D522F" w:rsidRPr="00D93FF9">
        <w:rPr>
          <w:lang w:val="en-GB"/>
        </w:rPr>
        <w:t>DGV and SGV</w:t>
      </w:r>
      <w:r w:rsidRPr="00D93FF9">
        <w:rPr>
          <w:lang w:val="en-GB"/>
        </w:rPr>
        <w:t xml:space="preserve"> values have been developed to minimise the build-up of contaminants in surface soils during the period of irrigation, but also to prevent the direct toxicity of contaminants in irrigation waters to </w:t>
      </w:r>
      <w:r w:rsidR="00A17472" w:rsidRPr="00D93FF9">
        <w:rPr>
          <w:lang w:val="en-GB"/>
        </w:rPr>
        <w:t>crops or impacts on crop quality</w:t>
      </w:r>
      <w:r w:rsidRPr="00D93FF9">
        <w:rPr>
          <w:lang w:val="en-GB"/>
        </w:rPr>
        <w:t xml:space="preserve">. Where </w:t>
      </w:r>
      <w:r w:rsidR="001D522F" w:rsidRPr="00D93FF9">
        <w:rPr>
          <w:lang w:val="en-GB"/>
        </w:rPr>
        <w:t xml:space="preserve">SGV </w:t>
      </w:r>
      <w:r w:rsidRPr="00D93FF9">
        <w:rPr>
          <w:lang w:val="en-GB"/>
        </w:rPr>
        <w:t xml:space="preserve">and </w:t>
      </w:r>
      <w:r w:rsidR="001D522F" w:rsidRPr="00D93FF9">
        <w:rPr>
          <w:lang w:val="en-GB"/>
        </w:rPr>
        <w:t xml:space="preserve">DGV </w:t>
      </w:r>
      <w:r w:rsidRPr="00D93FF9">
        <w:rPr>
          <w:lang w:val="en-GB"/>
        </w:rPr>
        <w:t>have been set at the same value, the primary concern is the direct toxicity of irrigation water to the standing crop (e.g. for lithium and citrus crops), rather than a risk of contaminant accumulation in soil and plant uptake.</w:t>
      </w:r>
    </w:p>
    <w:p w14:paraId="59DCCF64" w14:textId="77777777" w:rsidR="00C46175" w:rsidRPr="00D93FF9" w:rsidRDefault="00E811B8" w:rsidP="006C0312">
      <w:pPr>
        <w:pStyle w:val="BodyText"/>
        <w:spacing w:after="0" w:line="266" w:lineRule="auto"/>
        <w:jc w:val="both"/>
        <w:rPr>
          <w:lang w:val="en-GB"/>
        </w:rPr>
      </w:pPr>
      <w:r w:rsidRPr="00D93FF9">
        <w:rPr>
          <w:lang w:val="en-GB"/>
        </w:rPr>
        <w:t>The guideline value for contaminant concentration in soil is defined as the:</w:t>
      </w:r>
    </w:p>
    <w:p w14:paraId="59DCCF65" w14:textId="77777777" w:rsidR="00C46175" w:rsidRPr="00D93FF9" w:rsidRDefault="00E811B8" w:rsidP="006C0312">
      <w:pPr>
        <w:pStyle w:val="ListBullet"/>
        <w:spacing w:line="266" w:lineRule="auto"/>
        <w:rPr>
          <w:lang w:val="en-GB"/>
        </w:rPr>
      </w:pPr>
      <w:r w:rsidRPr="00D93FF9">
        <w:rPr>
          <w:b/>
          <w:lang w:val="en-GB"/>
        </w:rPr>
        <w:t xml:space="preserve">Added </w:t>
      </w:r>
      <w:r w:rsidR="00E90CE0" w:rsidRPr="00D93FF9">
        <w:rPr>
          <w:b/>
          <w:lang w:val="en-GB"/>
        </w:rPr>
        <w:t>contaminant loading limit (</w:t>
      </w:r>
      <w:r w:rsidRPr="00D93FF9">
        <w:rPr>
          <w:b/>
          <w:lang w:val="en-GB"/>
        </w:rPr>
        <w:t>ACL</w:t>
      </w:r>
      <w:r w:rsidR="00E90CE0" w:rsidRPr="00D93FF9">
        <w:rPr>
          <w:b/>
          <w:lang w:val="en-GB"/>
        </w:rPr>
        <w:t>)</w:t>
      </w:r>
      <w:r w:rsidR="00E90CE0" w:rsidRPr="00D93FF9">
        <w:rPr>
          <w:lang w:val="en-GB"/>
        </w:rPr>
        <w:t xml:space="preserve">. The </w:t>
      </w:r>
      <w:r w:rsidRPr="00D93FF9">
        <w:rPr>
          <w:lang w:val="en-GB"/>
        </w:rPr>
        <w:t>A</w:t>
      </w:r>
      <w:r w:rsidR="00E90CE0" w:rsidRPr="00D93FF9">
        <w:rPr>
          <w:lang w:val="en-GB"/>
        </w:rPr>
        <w:t xml:space="preserve">CL is the </w:t>
      </w:r>
      <w:r w:rsidR="00E90CE0" w:rsidRPr="00D93FF9">
        <w:rPr>
          <w:spacing w:val="-4"/>
          <w:lang w:val="en-GB"/>
        </w:rPr>
        <w:t xml:space="preserve">maximum </w:t>
      </w:r>
      <w:r w:rsidR="00E90CE0" w:rsidRPr="00D93FF9">
        <w:rPr>
          <w:lang w:val="en-GB"/>
        </w:rPr>
        <w:t>contaminant loading in soil defined in gravimetric units (kg/ha)</w:t>
      </w:r>
      <w:r w:rsidRPr="00D93FF9">
        <w:rPr>
          <w:lang w:val="en-GB"/>
        </w:rPr>
        <w:t xml:space="preserve">. It </w:t>
      </w:r>
      <w:r w:rsidR="00E90CE0" w:rsidRPr="00D93FF9">
        <w:rPr>
          <w:lang w:val="en-GB"/>
        </w:rPr>
        <w:t>indicates the amount of contaminant added, above which site specific risk assessment is recommended if irrigation and contaminant addition is</w:t>
      </w:r>
      <w:r w:rsidR="00E90CE0" w:rsidRPr="00D93FF9">
        <w:rPr>
          <w:spacing w:val="-18"/>
          <w:lang w:val="en-GB"/>
        </w:rPr>
        <w:t xml:space="preserve"> </w:t>
      </w:r>
      <w:r w:rsidR="00E90CE0" w:rsidRPr="00D93FF9">
        <w:rPr>
          <w:lang w:val="en-GB"/>
        </w:rPr>
        <w:t>continued.</w:t>
      </w:r>
    </w:p>
    <w:p w14:paraId="59DCCF66" w14:textId="12430B28" w:rsidR="00C46175" w:rsidRPr="00D93FF9" w:rsidRDefault="00E811B8" w:rsidP="006C0312">
      <w:pPr>
        <w:pStyle w:val="BodyText"/>
        <w:spacing w:after="0" w:line="266" w:lineRule="auto"/>
        <w:jc w:val="both"/>
        <w:rPr>
          <w:rFonts w:ascii="Arial"/>
          <w:sz w:val="20"/>
          <w:lang w:val="en-GB"/>
        </w:rPr>
      </w:pPr>
      <w:r w:rsidRPr="00D93FF9">
        <w:rPr>
          <w:lang w:val="en-GB"/>
        </w:rPr>
        <w:t xml:space="preserve">The </w:t>
      </w:r>
      <w:r w:rsidR="002D44B3" w:rsidRPr="00D93FF9">
        <w:rPr>
          <w:lang w:val="en-GB"/>
        </w:rPr>
        <w:t xml:space="preserve">ACL </w:t>
      </w:r>
      <w:r w:rsidRPr="00D93FF9">
        <w:rPr>
          <w:lang w:val="en-GB"/>
        </w:rPr>
        <w:t xml:space="preserve">is calculated </w:t>
      </w:r>
      <w:r w:rsidRPr="00D93FF9">
        <w:rPr>
          <w:spacing w:val="-3"/>
          <w:lang w:val="en-GB"/>
        </w:rPr>
        <w:t xml:space="preserve">based </w:t>
      </w:r>
      <w:r w:rsidRPr="00D93FF9">
        <w:rPr>
          <w:lang w:val="en-GB"/>
        </w:rPr>
        <w:t xml:space="preserve">on </w:t>
      </w:r>
      <w:r w:rsidRPr="00D93FF9">
        <w:rPr>
          <w:spacing w:val="-3"/>
          <w:lang w:val="en-GB"/>
        </w:rPr>
        <w:t xml:space="preserve">background </w:t>
      </w:r>
      <w:r w:rsidRPr="00D93FF9">
        <w:rPr>
          <w:lang w:val="en-GB"/>
        </w:rPr>
        <w:t xml:space="preserve">concentrations of </w:t>
      </w:r>
      <w:r w:rsidRPr="00D93FF9">
        <w:rPr>
          <w:spacing w:val="-3"/>
          <w:lang w:val="en-GB"/>
        </w:rPr>
        <w:t xml:space="preserve">contaminants </w:t>
      </w:r>
      <w:r w:rsidRPr="00D93FF9">
        <w:rPr>
          <w:lang w:val="en-GB"/>
        </w:rPr>
        <w:t xml:space="preserve">in </w:t>
      </w:r>
      <w:r w:rsidRPr="00D93FF9">
        <w:rPr>
          <w:spacing w:val="-3"/>
          <w:lang w:val="en-GB"/>
        </w:rPr>
        <w:t xml:space="preserve">Australian agricultural soils, mixing </w:t>
      </w:r>
      <w:r w:rsidRPr="00D93FF9">
        <w:rPr>
          <w:lang w:val="en-GB"/>
        </w:rPr>
        <w:t xml:space="preserve">of the </w:t>
      </w:r>
      <w:r w:rsidRPr="00D93FF9">
        <w:rPr>
          <w:spacing w:val="-3"/>
          <w:lang w:val="en-GB"/>
        </w:rPr>
        <w:t xml:space="preserve">contaminant </w:t>
      </w:r>
      <w:r w:rsidRPr="00D93FF9">
        <w:rPr>
          <w:lang w:val="en-GB"/>
        </w:rPr>
        <w:t xml:space="preserve">in the top 0.15 m of </w:t>
      </w:r>
      <w:r w:rsidRPr="00D93FF9">
        <w:rPr>
          <w:spacing w:val="-3"/>
          <w:lang w:val="en-GB"/>
        </w:rPr>
        <w:t>soil,</w:t>
      </w:r>
      <w:r w:rsidR="00ED3319" w:rsidRPr="00D93FF9">
        <w:rPr>
          <w:lang w:val="en-GB"/>
        </w:rPr>
        <w:t xml:space="preserve"> </w:t>
      </w:r>
      <w:r w:rsidRPr="00D93FF9">
        <w:rPr>
          <w:spacing w:val="-3"/>
          <w:lang w:val="en-GB"/>
        </w:rPr>
        <w:t xml:space="preserve">soil </w:t>
      </w:r>
      <w:r w:rsidRPr="00D93FF9">
        <w:rPr>
          <w:lang w:val="en-GB"/>
        </w:rPr>
        <w:t xml:space="preserve">bulk density of </w:t>
      </w:r>
      <w:r w:rsidRPr="00D93FF9">
        <w:rPr>
          <w:spacing w:val="-3"/>
          <w:lang w:val="en-GB"/>
        </w:rPr>
        <w:t xml:space="preserve">1300 </w:t>
      </w:r>
      <w:r w:rsidRPr="00D93FF9">
        <w:rPr>
          <w:spacing w:val="-4"/>
          <w:lang w:val="en-GB"/>
        </w:rPr>
        <w:t>kg/m</w:t>
      </w:r>
      <w:r w:rsidRPr="00D93FF9">
        <w:rPr>
          <w:spacing w:val="-4"/>
          <w:position w:val="5"/>
          <w:sz w:val="15"/>
          <w:lang w:val="en-GB"/>
        </w:rPr>
        <w:t>3</w:t>
      </w:r>
      <w:r w:rsidRPr="00D93FF9">
        <w:rPr>
          <w:spacing w:val="-4"/>
          <w:lang w:val="en-GB"/>
        </w:rPr>
        <w:t xml:space="preserve">, </w:t>
      </w:r>
      <w:r w:rsidRPr="00D93FF9">
        <w:rPr>
          <w:lang w:val="en-GB"/>
        </w:rPr>
        <w:t xml:space="preserve">and </w:t>
      </w:r>
      <w:r w:rsidRPr="00D93FF9">
        <w:rPr>
          <w:spacing w:val="-3"/>
          <w:lang w:val="en-GB"/>
        </w:rPr>
        <w:t xml:space="preserve">Australian guideline values </w:t>
      </w:r>
      <w:r w:rsidRPr="00D93FF9">
        <w:rPr>
          <w:lang w:val="en-GB"/>
        </w:rPr>
        <w:t xml:space="preserve">for </w:t>
      </w:r>
      <w:r w:rsidRPr="00D93FF9">
        <w:rPr>
          <w:spacing w:val="-3"/>
          <w:lang w:val="en-GB"/>
        </w:rPr>
        <w:t xml:space="preserve">contaminant </w:t>
      </w:r>
      <w:r w:rsidRPr="00D93FF9">
        <w:rPr>
          <w:lang w:val="en-GB"/>
        </w:rPr>
        <w:t xml:space="preserve">concentrations in </w:t>
      </w:r>
      <w:r w:rsidRPr="00D93FF9">
        <w:rPr>
          <w:spacing w:val="-3"/>
          <w:lang w:val="en-GB"/>
        </w:rPr>
        <w:t xml:space="preserve">agricultural </w:t>
      </w:r>
      <w:r w:rsidRPr="00D93FF9">
        <w:rPr>
          <w:lang w:val="en-GB"/>
        </w:rPr>
        <w:t xml:space="preserve">soils </w:t>
      </w:r>
      <w:r w:rsidRPr="00D93FF9">
        <w:rPr>
          <w:spacing w:val="-3"/>
          <w:lang w:val="en-GB"/>
        </w:rPr>
        <w:t xml:space="preserve">treated with sewage biosolids </w:t>
      </w:r>
      <w:r w:rsidR="002D44B3" w:rsidRPr="00D93FF9">
        <w:rPr>
          <w:spacing w:val="-3"/>
          <w:lang w:val="en-GB"/>
        </w:rPr>
        <w:t>(</w:t>
      </w:r>
      <w:r w:rsidR="002D44B3" w:rsidRPr="00D93FF9">
        <w:t>EPA NSW 1997; DEHP Qld 2016</w:t>
      </w:r>
      <w:r w:rsidR="002D44B3" w:rsidRPr="00D93FF9">
        <w:rPr>
          <w:spacing w:val="-3"/>
          <w:lang w:val="en-GB"/>
        </w:rPr>
        <w:t xml:space="preserve">). </w:t>
      </w:r>
      <w:r w:rsidRPr="00D93FF9">
        <w:rPr>
          <w:spacing w:val="-3"/>
          <w:lang w:val="en-GB"/>
        </w:rPr>
        <w:t xml:space="preserve">Once </w:t>
      </w:r>
      <w:r w:rsidRPr="00D93FF9">
        <w:rPr>
          <w:lang w:val="en-GB"/>
        </w:rPr>
        <w:t xml:space="preserve">the </w:t>
      </w:r>
      <w:r w:rsidR="002D44B3" w:rsidRPr="00D93FF9">
        <w:rPr>
          <w:lang w:val="en-GB"/>
        </w:rPr>
        <w:t xml:space="preserve">ACL </w:t>
      </w:r>
      <w:r w:rsidRPr="00D93FF9">
        <w:rPr>
          <w:lang w:val="en-GB"/>
        </w:rPr>
        <w:t xml:space="preserve">has </w:t>
      </w:r>
      <w:r w:rsidRPr="00D93FF9">
        <w:rPr>
          <w:spacing w:val="-3"/>
          <w:lang w:val="en-GB"/>
        </w:rPr>
        <w:t xml:space="preserve">been </w:t>
      </w:r>
      <w:r w:rsidRPr="00D93FF9">
        <w:rPr>
          <w:lang w:val="en-GB"/>
        </w:rPr>
        <w:t xml:space="preserve">reached, it is </w:t>
      </w:r>
      <w:r w:rsidRPr="00D93FF9">
        <w:rPr>
          <w:spacing w:val="-3"/>
          <w:lang w:val="en-GB"/>
        </w:rPr>
        <w:t xml:space="preserve">recommended </w:t>
      </w:r>
      <w:r w:rsidRPr="00D93FF9">
        <w:rPr>
          <w:lang w:val="en-GB"/>
        </w:rPr>
        <w:t xml:space="preserve">that a </w:t>
      </w:r>
      <w:r w:rsidRPr="00D93FF9">
        <w:rPr>
          <w:spacing w:val="-3"/>
          <w:lang w:val="en-GB"/>
        </w:rPr>
        <w:t xml:space="preserve">soil sampling </w:t>
      </w:r>
      <w:r w:rsidRPr="00D93FF9">
        <w:rPr>
          <w:lang w:val="en-GB"/>
        </w:rPr>
        <w:t xml:space="preserve">and </w:t>
      </w:r>
      <w:r w:rsidRPr="00D93FF9">
        <w:rPr>
          <w:spacing w:val="-3"/>
          <w:lang w:val="en-GB"/>
        </w:rPr>
        <w:t xml:space="preserve">analysis program </w:t>
      </w:r>
      <w:r w:rsidRPr="00D93FF9">
        <w:rPr>
          <w:lang w:val="en-GB"/>
        </w:rPr>
        <w:t xml:space="preserve">be initiated on </w:t>
      </w:r>
      <w:r w:rsidRPr="00D93FF9">
        <w:rPr>
          <w:spacing w:val="-2"/>
          <w:lang w:val="en-GB"/>
        </w:rPr>
        <w:t xml:space="preserve">the </w:t>
      </w:r>
      <w:r w:rsidRPr="00D93FF9">
        <w:rPr>
          <w:spacing w:val="-3"/>
          <w:lang w:val="en-GB"/>
        </w:rPr>
        <w:t xml:space="preserve">irrigated </w:t>
      </w:r>
      <w:r w:rsidRPr="00D93FF9">
        <w:rPr>
          <w:lang w:val="en-GB"/>
        </w:rPr>
        <w:t xml:space="preserve">area, and an </w:t>
      </w:r>
      <w:r w:rsidRPr="00D93FF9">
        <w:rPr>
          <w:spacing w:val="-3"/>
          <w:lang w:val="en-GB"/>
        </w:rPr>
        <w:t xml:space="preserve">environmental impact assessment </w:t>
      </w:r>
      <w:r w:rsidRPr="00D93FF9">
        <w:rPr>
          <w:lang w:val="en-GB"/>
        </w:rPr>
        <w:t xml:space="preserve">of continued </w:t>
      </w:r>
      <w:r w:rsidRPr="00D93FF9">
        <w:rPr>
          <w:spacing w:val="-3"/>
          <w:lang w:val="en-GB"/>
        </w:rPr>
        <w:t xml:space="preserve">contaminant </w:t>
      </w:r>
      <w:r w:rsidRPr="00D93FF9">
        <w:rPr>
          <w:lang w:val="en-GB"/>
        </w:rPr>
        <w:t xml:space="preserve">addition be prepared. As the </w:t>
      </w:r>
      <w:r w:rsidRPr="00D93FF9">
        <w:rPr>
          <w:spacing w:val="-3"/>
          <w:lang w:val="en-GB"/>
        </w:rPr>
        <w:t xml:space="preserve">background </w:t>
      </w:r>
      <w:r w:rsidRPr="00D93FF9">
        <w:rPr>
          <w:lang w:val="en-GB"/>
        </w:rPr>
        <w:t xml:space="preserve">concentrations of </w:t>
      </w:r>
      <w:r w:rsidRPr="00D93FF9">
        <w:rPr>
          <w:spacing w:val="-3"/>
          <w:lang w:val="en-GB"/>
        </w:rPr>
        <w:t xml:space="preserve">contaminants </w:t>
      </w:r>
      <w:r w:rsidRPr="00D93FF9">
        <w:rPr>
          <w:lang w:val="en-GB"/>
        </w:rPr>
        <w:t xml:space="preserve">in </w:t>
      </w:r>
      <w:r w:rsidRPr="00D93FF9">
        <w:rPr>
          <w:spacing w:val="-3"/>
          <w:lang w:val="en-GB"/>
        </w:rPr>
        <w:t xml:space="preserve">soil may vary with soil type, </w:t>
      </w:r>
      <w:r w:rsidRPr="00D93FF9">
        <w:rPr>
          <w:lang w:val="en-GB"/>
        </w:rPr>
        <w:t xml:space="preserve">and </w:t>
      </w:r>
      <w:r w:rsidRPr="00D93FF9">
        <w:rPr>
          <w:spacing w:val="-3"/>
          <w:lang w:val="en-GB"/>
        </w:rPr>
        <w:t xml:space="preserve">contaminant behaviour </w:t>
      </w:r>
      <w:r w:rsidRPr="00D93FF9">
        <w:rPr>
          <w:lang w:val="en-GB"/>
        </w:rPr>
        <w:t xml:space="preserve">is dependent on </w:t>
      </w:r>
      <w:r w:rsidRPr="00D93FF9">
        <w:rPr>
          <w:spacing w:val="-3"/>
          <w:lang w:val="en-GB"/>
        </w:rPr>
        <w:t xml:space="preserve">soil </w:t>
      </w:r>
      <w:r w:rsidRPr="00D93FF9">
        <w:rPr>
          <w:lang w:val="en-GB"/>
        </w:rPr>
        <w:t xml:space="preserve">texture, pH, </w:t>
      </w:r>
      <w:r w:rsidRPr="00D93FF9">
        <w:rPr>
          <w:spacing w:val="-3"/>
          <w:lang w:val="en-GB"/>
        </w:rPr>
        <w:t xml:space="preserve">salinity, </w:t>
      </w:r>
      <w:r w:rsidRPr="00D93FF9">
        <w:rPr>
          <w:lang w:val="en-GB"/>
        </w:rPr>
        <w:t xml:space="preserve">etc, it </w:t>
      </w:r>
      <w:r w:rsidRPr="00D93FF9">
        <w:rPr>
          <w:spacing w:val="-3"/>
          <w:lang w:val="en-GB"/>
        </w:rPr>
        <w:t xml:space="preserve">should </w:t>
      </w:r>
      <w:r w:rsidRPr="00D93FF9">
        <w:rPr>
          <w:lang w:val="en-GB"/>
        </w:rPr>
        <w:t xml:space="preserve">be noted that </w:t>
      </w:r>
      <w:r w:rsidR="002D44B3" w:rsidRPr="00D93FF9">
        <w:rPr>
          <w:lang w:val="en-GB"/>
        </w:rPr>
        <w:t xml:space="preserve">ACLs </w:t>
      </w:r>
      <w:r w:rsidRPr="00D93FF9">
        <w:rPr>
          <w:spacing w:val="-3"/>
          <w:lang w:val="en-GB"/>
        </w:rPr>
        <w:t xml:space="preserve">may </w:t>
      </w:r>
      <w:r w:rsidRPr="00D93FF9">
        <w:rPr>
          <w:lang w:val="en-GB"/>
        </w:rPr>
        <w:t xml:space="preserve">be </w:t>
      </w:r>
      <w:r w:rsidRPr="00D93FF9">
        <w:rPr>
          <w:spacing w:val="-3"/>
          <w:lang w:val="en-GB"/>
        </w:rPr>
        <w:t xml:space="preserve">overly protective </w:t>
      </w:r>
      <w:r w:rsidRPr="00D93FF9">
        <w:rPr>
          <w:lang w:val="en-GB"/>
        </w:rPr>
        <w:t xml:space="preserve">in </w:t>
      </w:r>
      <w:r w:rsidRPr="00D93FF9">
        <w:rPr>
          <w:spacing w:val="-4"/>
          <w:lang w:val="en-GB"/>
        </w:rPr>
        <w:t xml:space="preserve">some </w:t>
      </w:r>
      <w:r w:rsidRPr="00D93FF9">
        <w:rPr>
          <w:spacing w:val="-3"/>
          <w:lang w:val="en-GB"/>
        </w:rPr>
        <w:t xml:space="preserve">situations </w:t>
      </w:r>
      <w:r w:rsidRPr="00D93FF9">
        <w:rPr>
          <w:lang w:val="en-GB"/>
        </w:rPr>
        <w:t xml:space="preserve">and less </w:t>
      </w:r>
      <w:r w:rsidRPr="00D93FF9">
        <w:rPr>
          <w:spacing w:val="-3"/>
          <w:lang w:val="en-GB"/>
        </w:rPr>
        <w:t xml:space="preserve">protective </w:t>
      </w:r>
      <w:r w:rsidRPr="00D93FF9">
        <w:rPr>
          <w:lang w:val="en-GB"/>
        </w:rPr>
        <w:t xml:space="preserve">in others. The </w:t>
      </w:r>
      <w:r w:rsidR="002D44B3" w:rsidRPr="00D93FF9">
        <w:rPr>
          <w:lang w:val="en-GB"/>
        </w:rPr>
        <w:t xml:space="preserve">ACL </w:t>
      </w:r>
      <w:r w:rsidRPr="00D93FF9">
        <w:rPr>
          <w:lang w:val="en-GB"/>
        </w:rPr>
        <w:t xml:space="preserve">is </w:t>
      </w:r>
      <w:r w:rsidRPr="00D93FF9">
        <w:rPr>
          <w:spacing w:val="-3"/>
          <w:lang w:val="en-GB"/>
        </w:rPr>
        <w:t xml:space="preserve">designed </w:t>
      </w:r>
      <w:r w:rsidRPr="00D93FF9">
        <w:rPr>
          <w:lang w:val="en-GB"/>
        </w:rPr>
        <w:t xml:space="preserve">to be </w:t>
      </w:r>
      <w:r w:rsidRPr="00D93FF9">
        <w:rPr>
          <w:spacing w:val="-3"/>
          <w:lang w:val="en-GB"/>
        </w:rPr>
        <w:t xml:space="preserve">used </w:t>
      </w:r>
      <w:r w:rsidRPr="00D93FF9">
        <w:rPr>
          <w:lang w:val="en-GB"/>
        </w:rPr>
        <w:t xml:space="preserve">in </w:t>
      </w:r>
      <w:r w:rsidRPr="00D93FF9">
        <w:rPr>
          <w:spacing w:val="-3"/>
          <w:lang w:val="en-GB"/>
        </w:rPr>
        <w:t xml:space="preserve">soils with </w:t>
      </w:r>
      <w:r w:rsidRPr="00D93FF9">
        <w:rPr>
          <w:lang w:val="en-GB"/>
        </w:rPr>
        <w:t xml:space="preserve">no </w:t>
      </w:r>
      <w:r w:rsidRPr="00D93FF9">
        <w:rPr>
          <w:spacing w:val="-3"/>
          <w:lang w:val="en-GB"/>
        </w:rPr>
        <w:t xml:space="preserve">known history </w:t>
      </w:r>
      <w:r w:rsidRPr="00D93FF9">
        <w:rPr>
          <w:lang w:val="en-GB"/>
        </w:rPr>
        <w:t xml:space="preserve">of </w:t>
      </w:r>
      <w:r w:rsidRPr="00D93FF9">
        <w:rPr>
          <w:spacing w:val="-3"/>
          <w:lang w:val="en-GB"/>
        </w:rPr>
        <w:t xml:space="preserve">contamination from other sources. </w:t>
      </w:r>
      <w:r w:rsidRPr="00D93FF9">
        <w:rPr>
          <w:lang w:val="en-GB"/>
        </w:rPr>
        <w:t xml:space="preserve">Where </w:t>
      </w:r>
      <w:r w:rsidRPr="00D93FF9">
        <w:rPr>
          <w:spacing w:val="-3"/>
          <w:lang w:val="en-GB"/>
        </w:rPr>
        <w:t xml:space="preserve">contamination </w:t>
      </w:r>
      <w:r w:rsidRPr="00D93FF9">
        <w:rPr>
          <w:lang w:val="en-GB"/>
        </w:rPr>
        <w:t xml:space="preserve">of the soil is suspected prior to </w:t>
      </w:r>
      <w:r w:rsidRPr="00D93FF9">
        <w:rPr>
          <w:spacing w:val="-4"/>
          <w:lang w:val="en-GB"/>
        </w:rPr>
        <w:t xml:space="preserve">commencement </w:t>
      </w:r>
      <w:r w:rsidRPr="00D93FF9">
        <w:rPr>
          <w:lang w:val="en-GB"/>
        </w:rPr>
        <w:t xml:space="preserve">of </w:t>
      </w:r>
      <w:r w:rsidRPr="00D93FF9">
        <w:rPr>
          <w:spacing w:val="-3"/>
          <w:lang w:val="en-GB"/>
        </w:rPr>
        <w:t xml:space="preserve">irrigation, background levels </w:t>
      </w:r>
      <w:r w:rsidRPr="00D93FF9">
        <w:rPr>
          <w:lang w:val="en-GB"/>
        </w:rPr>
        <w:t xml:space="preserve">of </w:t>
      </w:r>
      <w:r w:rsidRPr="00D93FF9">
        <w:rPr>
          <w:spacing w:val="-3"/>
          <w:lang w:val="en-GB"/>
        </w:rPr>
        <w:t xml:space="preserve">contaminants </w:t>
      </w:r>
      <w:r w:rsidRPr="00D93FF9">
        <w:rPr>
          <w:lang w:val="en-GB"/>
        </w:rPr>
        <w:t xml:space="preserve">in the </w:t>
      </w:r>
      <w:r w:rsidRPr="00D93FF9">
        <w:rPr>
          <w:spacing w:val="-3"/>
          <w:lang w:val="en-GB"/>
        </w:rPr>
        <w:t xml:space="preserve">soil should </w:t>
      </w:r>
      <w:r w:rsidRPr="00D93FF9">
        <w:rPr>
          <w:lang w:val="en-GB"/>
        </w:rPr>
        <w:t xml:space="preserve">be </w:t>
      </w:r>
      <w:r w:rsidRPr="00D93FF9">
        <w:rPr>
          <w:spacing w:val="-3"/>
          <w:lang w:val="en-GB"/>
        </w:rPr>
        <w:t xml:space="preserve">determined </w:t>
      </w:r>
      <w:r w:rsidRPr="00D93FF9">
        <w:rPr>
          <w:lang w:val="en-GB"/>
        </w:rPr>
        <w:t xml:space="preserve">and the </w:t>
      </w:r>
      <w:r w:rsidR="002D44B3" w:rsidRPr="00D93FF9">
        <w:rPr>
          <w:lang w:val="en-GB"/>
        </w:rPr>
        <w:t>ACL</w:t>
      </w:r>
      <w:r w:rsidR="002D44B3" w:rsidRPr="00D93FF9">
        <w:rPr>
          <w:spacing w:val="-39"/>
          <w:lang w:val="en-GB"/>
        </w:rPr>
        <w:t xml:space="preserve"> </w:t>
      </w:r>
      <w:r w:rsidRPr="00D93FF9">
        <w:rPr>
          <w:spacing w:val="-3"/>
          <w:lang w:val="en-GB"/>
        </w:rPr>
        <w:t>adjusted accordingly.</w:t>
      </w:r>
      <w:bookmarkStart w:id="222" w:name="Example_calculation_of_CCL_for_zinc"/>
      <w:bookmarkEnd w:id="222"/>
      <w:r w:rsidR="002D44B3" w:rsidRPr="00D93FF9">
        <w:rPr>
          <w:rFonts w:ascii="Arial"/>
          <w:sz w:val="20"/>
          <w:lang w:val="en-GB"/>
        </w:rPr>
        <w:t xml:space="preserve"> </w:t>
      </w:r>
    </w:p>
    <w:p w14:paraId="59DCCF67" w14:textId="77777777" w:rsidR="00C46175" w:rsidRPr="00D93FF9" w:rsidRDefault="00C46175" w:rsidP="006C0312">
      <w:pPr>
        <w:pStyle w:val="BodyText"/>
        <w:spacing w:after="0" w:line="266" w:lineRule="auto"/>
        <w:rPr>
          <w:rFonts w:ascii="Arial"/>
          <w:sz w:val="16"/>
          <w:lang w:val="en-GB"/>
        </w:rPr>
      </w:pPr>
    </w:p>
    <w:p w14:paraId="59DCCF68" w14:textId="77777777" w:rsidR="00C46175" w:rsidRPr="00D93FF9" w:rsidRDefault="00E811B8" w:rsidP="006C0312">
      <w:pPr>
        <w:pStyle w:val="BodyText"/>
        <w:spacing w:after="0" w:line="266" w:lineRule="auto"/>
        <w:rPr>
          <w:lang w:val="en-GB"/>
        </w:rPr>
      </w:pPr>
      <w:r w:rsidRPr="00D93FF9">
        <w:rPr>
          <w:lang w:val="en-GB"/>
        </w:rPr>
        <w:t xml:space="preserve">The </w:t>
      </w:r>
      <w:r w:rsidR="002D44B3" w:rsidRPr="00D93FF9">
        <w:rPr>
          <w:lang w:val="en-GB"/>
        </w:rPr>
        <w:t>ACL</w:t>
      </w:r>
      <w:r w:rsidRPr="00D93FF9">
        <w:rPr>
          <w:lang w:val="en-GB"/>
        </w:rPr>
        <w:t xml:space="preserve"> for contaminants has been calculated as follows:</w:t>
      </w:r>
    </w:p>
    <w:p w14:paraId="59DCCF69" w14:textId="77777777" w:rsidR="000815D2" w:rsidRPr="00D93FF9" w:rsidRDefault="000815D2" w:rsidP="003807A1">
      <w:pPr>
        <w:pStyle w:val="BodyText"/>
        <w:spacing w:after="0"/>
        <w:rPr>
          <w:lang w:val="en-GB"/>
        </w:rPr>
      </w:pPr>
    </w:p>
    <w:tbl>
      <w:tblPr>
        <w:tblW w:w="9039" w:type="dxa"/>
        <w:tblLook w:val="04A0" w:firstRow="1" w:lastRow="0" w:firstColumn="1" w:lastColumn="0" w:noHBand="0" w:noVBand="1"/>
      </w:tblPr>
      <w:tblGrid>
        <w:gridCol w:w="7348"/>
        <w:gridCol w:w="1691"/>
      </w:tblGrid>
      <w:tr w:rsidR="00BE3AA8" w:rsidRPr="00D93FF9" w14:paraId="59DCCF6C" w14:textId="77777777" w:rsidTr="00EA3EAD">
        <w:trPr>
          <w:trHeight w:val="836"/>
        </w:trPr>
        <w:tc>
          <w:tcPr>
            <w:tcW w:w="7348" w:type="dxa"/>
          </w:tcPr>
          <w:p w14:paraId="59DCCF6A" w14:textId="386078C5" w:rsidR="00CB1E41" w:rsidRPr="00D93FF9" w:rsidRDefault="00E811B8" w:rsidP="003807A1">
            <w:pPr>
              <w:spacing w:after="0"/>
              <w:rPr>
                <w:szCs w:val="24"/>
                <w:lang w:val="en-GB"/>
              </w:rPr>
            </w:pPr>
            <m:oMathPara>
              <m:oMathParaPr>
                <m:jc m:val="left"/>
              </m:oMathParaPr>
              <m:oMath>
                <m:r>
                  <m:rPr>
                    <m:sty m:val="p"/>
                  </m:rPr>
                  <w:rPr>
                    <w:rFonts w:ascii="Cambria Math" w:hAnsi="Cambria Math"/>
                    <w:szCs w:val="24"/>
                    <w:lang w:val="en-GB"/>
                  </w:rPr>
                  <m:t>ACL=</m:t>
                </m:r>
                <m:f>
                  <m:fPr>
                    <m:ctrlPr>
                      <w:rPr>
                        <w:rFonts w:ascii="Cambria Math" w:hAnsi="Cambria Math"/>
                        <w:iCs/>
                        <w:szCs w:val="24"/>
                        <w:lang w:val="en-GB"/>
                      </w:rPr>
                    </m:ctrlPr>
                  </m:fPr>
                  <m:num>
                    <m:d>
                      <m:dPr>
                        <m:ctrlPr>
                          <w:rPr>
                            <w:rFonts w:ascii="Cambria Math" w:hAnsi="Cambria Math"/>
                            <w:iCs/>
                            <w:szCs w:val="24"/>
                            <w:lang w:val="en-GB"/>
                          </w:rPr>
                        </m:ctrlPr>
                      </m:dPr>
                      <m:e>
                        <m:r>
                          <m:rPr>
                            <m:sty m:val="p"/>
                          </m:rPr>
                          <w:rPr>
                            <w:rFonts w:ascii="Cambria Math" w:hAnsi="Cambria Math"/>
                            <w:szCs w:val="24"/>
                            <w:lang w:val="en-GB"/>
                          </w:rPr>
                          <m:t>MAC-BC</m:t>
                        </m:r>
                      </m:e>
                    </m:d>
                    <m:r>
                      <m:rPr>
                        <m:sty m:val="p"/>
                      </m:rPr>
                      <w:rPr>
                        <w:rFonts w:ascii="Cambria Math" w:hAnsi="Cambria Math"/>
                        <w:szCs w:val="24"/>
                        <w:lang w:val="en-GB"/>
                      </w:rPr>
                      <m:t xml:space="preserve"> × Depth × BD</m:t>
                    </m:r>
                  </m:num>
                  <m:den>
                    <m:r>
                      <w:rPr>
                        <w:rFonts w:ascii="Cambria Math" w:hAnsi="Cambria Math"/>
                        <w:szCs w:val="24"/>
                        <w:lang w:val="en-GB"/>
                      </w:rPr>
                      <m:t>100</m:t>
                    </m:r>
                  </m:den>
                </m:f>
                <m:r>
                  <m:rPr>
                    <m:sty m:val="p"/>
                  </m:rPr>
                  <w:rPr>
                    <w:rFonts w:ascii="Cambria Math" w:hAnsi="Cambria Math"/>
                    <w:szCs w:val="24"/>
                    <w:lang w:val="en-GB"/>
                  </w:rPr>
                  <m:t xml:space="preserve">  (</m:t>
                </m:r>
                <m:f>
                  <m:fPr>
                    <m:type m:val="lin"/>
                    <m:ctrlPr>
                      <w:rPr>
                        <w:rFonts w:ascii="Cambria Math" w:hAnsi="Cambria Math"/>
                        <w:iCs/>
                        <w:szCs w:val="24"/>
                        <w:lang w:val="en-GB"/>
                      </w:rPr>
                    </m:ctrlPr>
                  </m:fPr>
                  <m:num>
                    <m:r>
                      <m:rPr>
                        <m:sty m:val="p"/>
                      </m:rPr>
                      <w:rPr>
                        <w:rFonts w:ascii="Cambria Math" w:hAnsi="Cambria Math"/>
                        <w:szCs w:val="24"/>
                        <w:lang w:val="en-GB"/>
                      </w:rPr>
                      <m:t>kg</m:t>
                    </m:r>
                  </m:num>
                  <m:den>
                    <m:r>
                      <m:rPr>
                        <m:sty m:val="p"/>
                      </m:rPr>
                      <w:rPr>
                        <w:rFonts w:ascii="Cambria Math" w:hAnsi="Cambria Math"/>
                        <w:szCs w:val="24"/>
                        <w:lang w:val="en-GB"/>
                      </w:rPr>
                      <m:t>ha</m:t>
                    </m:r>
                  </m:den>
                </m:f>
                <m:r>
                  <m:rPr>
                    <m:sty m:val="p"/>
                  </m:rPr>
                  <w:rPr>
                    <w:rFonts w:ascii="Cambria Math" w:hAnsi="Cambria Math"/>
                    <w:szCs w:val="24"/>
                    <w:lang w:val="en-GB"/>
                  </w:rPr>
                  <m:t>))</m:t>
                </m:r>
              </m:oMath>
            </m:oMathPara>
          </w:p>
        </w:tc>
        <w:tc>
          <w:tcPr>
            <w:tcW w:w="1691" w:type="dxa"/>
          </w:tcPr>
          <w:p w14:paraId="59DCCF6B" w14:textId="778D998D" w:rsidR="00CB1E41" w:rsidRPr="00D93FF9" w:rsidRDefault="00E811B8" w:rsidP="003807A1">
            <w:pPr>
              <w:spacing w:after="0"/>
              <w:rPr>
                <w:b/>
                <w:bCs/>
                <w:szCs w:val="24"/>
                <w:lang w:val="en-GB"/>
              </w:rPr>
            </w:pPr>
            <w:r w:rsidRPr="00D93FF9">
              <w:rPr>
                <w:b/>
                <w:bCs/>
              </w:rPr>
              <w:t xml:space="preserve">Equation </w:t>
            </w:r>
            <w:r w:rsidRPr="00D93FF9">
              <w:rPr>
                <w:b/>
                <w:bCs/>
              </w:rPr>
              <w:fldChar w:fldCharType="begin"/>
            </w:r>
            <w:r w:rsidRPr="00D93FF9">
              <w:rPr>
                <w:b/>
                <w:bCs/>
              </w:rPr>
              <w:instrText xml:space="preserve"> SEQ Equation \* ARABIC </w:instrText>
            </w:r>
            <w:r w:rsidRPr="00D93FF9">
              <w:rPr>
                <w:b/>
                <w:bCs/>
              </w:rPr>
              <w:fldChar w:fldCharType="separate"/>
            </w:r>
            <w:r w:rsidR="0069302C">
              <w:rPr>
                <w:b/>
                <w:bCs/>
                <w:noProof/>
              </w:rPr>
              <w:t>26</w:t>
            </w:r>
            <w:r w:rsidRPr="00D93FF9">
              <w:rPr>
                <w:b/>
                <w:bCs/>
              </w:rPr>
              <w:fldChar w:fldCharType="end"/>
            </w:r>
          </w:p>
        </w:tc>
      </w:tr>
    </w:tbl>
    <w:p w14:paraId="59DCCF6D" w14:textId="77777777" w:rsidR="00CB1E41" w:rsidRPr="00D93FF9" w:rsidRDefault="00E811B8" w:rsidP="003807A1">
      <w:pPr>
        <w:pStyle w:val="BodyText"/>
        <w:tabs>
          <w:tab w:val="left" w:pos="1570"/>
        </w:tabs>
        <w:spacing w:after="0" w:line="321" w:lineRule="auto"/>
        <w:rPr>
          <w:lang w:val="en-GB"/>
        </w:rPr>
      </w:pPr>
      <w:r w:rsidRPr="00D93FF9">
        <w:rPr>
          <w:lang w:val="en-GB"/>
        </w:rPr>
        <w:t>where:</w:t>
      </w:r>
    </w:p>
    <w:p w14:paraId="59DCCF6E" w14:textId="77777777" w:rsidR="004113FF" w:rsidRPr="00D93FF9" w:rsidRDefault="00E811B8" w:rsidP="0081512F">
      <w:pPr>
        <w:pStyle w:val="BodyText"/>
        <w:tabs>
          <w:tab w:val="left" w:pos="1570"/>
        </w:tabs>
        <w:spacing w:after="0" w:line="266" w:lineRule="auto"/>
        <w:rPr>
          <w:lang w:val="en-GB"/>
        </w:rPr>
      </w:pPr>
      <w:r w:rsidRPr="00D93FF9">
        <w:rPr>
          <w:lang w:val="en-GB"/>
        </w:rPr>
        <w:t>MAC</w:t>
      </w:r>
      <w:r w:rsidRPr="00D93FF9">
        <w:rPr>
          <w:lang w:val="en-GB"/>
        </w:rPr>
        <w:tab/>
        <w:t>= maximum allowable soil concentration of a contaminant (mg/kg)</w:t>
      </w:r>
    </w:p>
    <w:p w14:paraId="59DCCF6F" w14:textId="46AC2CA3" w:rsidR="00C46175" w:rsidRPr="00D93FF9" w:rsidRDefault="00E811B8" w:rsidP="0081512F">
      <w:pPr>
        <w:pStyle w:val="BodyText"/>
        <w:tabs>
          <w:tab w:val="left" w:pos="1570"/>
        </w:tabs>
        <w:spacing w:after="0" w:line="266" w:lineRule="auto"/>
        <w:rPr>
          <w:lang w:val="en-GB"/>
        </w:rPr>
      </w:pPr>
      <w:r w:rsidRPr="00D93FF9">
        <w:rPr>
          <w:lang w:val="en-GB"/>
        </w:rPr>
        <w:t>BC</w:t>
      </w:r>
      <w:r w:rsidRPr="00D93FF9">
        <w:rPr>
          <w:lang w:val="en-GB"/>
        </w:rPr>
        <w:tab/>
        <w:t>= assumed background concentration</w:t>
      </w:r>
      <w:r w:rsidRPr="00D93FF9">
        <w:rPr>
          <w:spacing w:val="-1"/>
          <w:lang w:val="en-GB"/>
        </w:rPr>
        <w:t xml:space="preserve"> </w:t>
      </w:r>
      <w:r w:rsidRPr="00D93FF9">
        <w:rPr>
          <w:lang w:val="en-GB"/>
        </w:rPr>
        <w:t>(mg/kg)</w:t>
      </w:r>
      <w:r w:rsidR="006D735C" w:rsidRPr="00D93FF9">
        <w:rPr>
          <w:lang w:val="en-GB"/>
        </w:rPr>
        <w:t xml:space="preserve"> (</w:t>
      </w:r>
      <w:r w:rsidR="00014BF7" w:rsidRPr="00D93FF9">
        <w:rPr>
          <w:lang w:val="en-GB"/>
        </w:rPr>
        <w:fldChar w:fldCharType="begin"/>
      </w:r>
      <w:r w:rsidR="00014BF7" w:rsidRPr="00D93FF9">
        <w:rPr>
          <w:lang w:val="en-GB"/>
        </w:rPr>
        <w:instrText xml:space="preserve"> REF _Ref81393907 \h </w:instrText>
      </w:r>
      <w:r w:rsidR="00D93FF9">
        <w:rPr>
          <w:lang w:val="en-GB"/>
        </w:rPr>
        <w:instrText xml:space="preserve"> \* MERGEFORMAT </w:instrText>
      </w:r>
      <w:r w:rsidR="00014BF7" w:rsidRPr="00D93FF9">
        <w:rPr>
          <w:lang w:val="en-GB"/>
        </w:rPr>
      </w:r>
      <w:r w:rsidR="00014BF7" w:rsidRPr="00D93FF9">
        <w:rPr>
          <w:lang w:val="en-GB"/>
        </w:rPr>
        <w:fldChar w:fldCharType="separate"/>
      </w:r>
      <w:r w:rsidR="0069302C" w:rsidRPr="0069302C">
        <w:t xml:space="preserve">Table </w:t>
      </w:r>
      <w:r w:rsidR="0069302C" w:rsidRPr="0069302C">
        <w:rPr>
          <w:noProof/>
        </w:rPr>
        <w:t>22</w:t>
      </w:r>
      <w:r w:rsidR="00014BF7" w:rsidRPr="00D93FF9">
        <w:rPr>
          <w:lang w:val="en-GB"/>
        </w:rPr>
        <w:fldChar w:fldCharType="end"/>
      </w:r>
      <w:r w:rsidR="006D735C" w:rsidRPr="00D93FF9">
        <w:rPr>
          <w:lang w:val="en-GB"/>
        </w:rPr>
        <w:t>)</w:t>
      </w:r>
    </w:p>
    <w:p w14:paraId="59DCCF70" w14:textId="77777777" w:rsidR="00C46175" w:rsidRPr="00D93FF9" w:rsidRDefault="00E811B8" w:rsidP="0081512F">
      <w:pPr>
        <w:pStyle w:val="BodyText"/>
        <w:tabs>
          <w:tab w:val="left" w:pos="1568"/>
        </w:tabs>
        <w:spacing w:after="0" w:line="266" w:lineRule="auto"/>
        <w:rPr>
          <w:lang w:val="en-GB"/>
        </w:rPr>
      </w:pPr>
      <w:r w:rsidRPr="00D93FF9">
        <w:rPr>
          <w:lang w:val="en-GB"/>
        </w:rPr>
        <w:t>Depth</w:t>
      </w:r>
      <w:r w:rsidRPr="00D93FF9">
        <w:rPr>
          <w:lang w:val="en-GB"/>
        </w:rPr>
        <w:tab/>
        <w:t>= soil depth (0.15 m)</w:t>
      </w:r>
    </w:p>
    <w:p w14:paraId="59DCCF71" w14:textId="77777777" w:rsidR="00C46175" w:rsidRPr="00D93FF9" w:rsidRDefault="00E811B8" w:rsidP="0081512F">
      <w:pPr>
        <w:pStyle w:val="BodyText"/>
        <w:tabs>
          <w:tab w:val="left" w:pos="1570"/>
        </w:tabs>
        <w:spacing w:after="0" w:line="266" w:lineRule="auto"/>
        <w:rPr>
          <w:lang w:val="en-GB"/>
        </w:rPr>
      </w:pPr>
      <w:r w:rsidRPr="00D93FF9">
        <w:rPr>
          <w:lang w:val="en-GB"/>
        </w:rPr>
        <w:t>BD</w:t>
      </w:r>
      <w:r w:rsidRPr="00D93FF9">
        <w:rPr>
          <w:lang w:val="en-GB"/>
        </w:rPr>
        <w:tab/>
        <w:t>= soil bulk density</w:t>
      </w:r>
      <w:r w:rsidRPr="00D93FF9">
        <w:rPr>
          <w:spacing w:val="-9"/>
          <w:lang w:val="en-GB"/>
        </w:rPr>
        <w:t xml:space="preserve"> </w:t>
      </w:r>
      <w:r w:rsidRPr="00D93FF9">
        <w:rPr>
          <w:lang w:val="en-GB"/>
        </w:rPr>
        <w:t>(kg/m</w:t>
      </w:r>
      <w:r w:rsidRPr="00D93FF9">
        <w:rPr>
          <w:position w:val="7"/>
          <w:sz w:val="11"/>
          <w:lang w:val="en-GB"/>
        </w:rPr>
        <w:t>3</w:t>
      </w:r>
      <w:r w:rsidRPr="00D93FF9">
        <w:rPr>
          <w:lang w:val="en-GB"/>
        </w:rPr>
        <w:t>)</w:t>
      </w:r>
    </w:p>
    <w:p w14:paraId="59DCCF72" w14:textId="77777777" w:rsidR="00C46175" w:rsidRPr="00D93FF9" w:rsidRDefault="00C46175" w:rsidP="003807A1">
      <w:pPr>
        <w:pStyle w:val="BodyText"/>
        <w:spacing w:after="0"/>
        <w:rPr>
          <w:sz w:val="19"/>
          <w:lang w:val="en-GB"/>
        </w:rPr>
      </w:pPr>
    </w:p>
    <w:p w14:paraId="59DCCF73" w14:textId="77777777" w:rsidR="00C46175" w:rsidRPr="00D93FF9" w:rsidRDefault="00E811B8" w:rsidP="00AF1B7E">
      <w:pPr>
        <w:pStyle w:val="Heading5"/>
        <w:rPr>
          <w:lang w:val="en-GB"/>
        </w:rPr>
      </w:pPr>
      <w:r w:rsidRPr="00D93FF9">
        <w:rPr>
          <w:lang w:val="en-GB"/>
        </w:rPr>
        <w:t xml:space="preserve">Example </w:t>
      </w:r>
      <w:r w:rsidRPr="00D93FF9">
        <w:t>calculation</w:t>
      </w:r>
      <w:r w:rsidRPr="00D93FF9">
        <w:rPr>
          <w:lang w:val="en-GB"/>
        </w:rPr>
        <w:t xml:space="preserve"> of </w:t>
      </w:r>
      <w:r w:rsidR="006D735C" w:rsidRPr="00D93FF9">
        <w:rPr>
          <w:lang w:val="en-GB"/>
        </w:rPr>
        <w:t xml:space="preserve">ACL </w:t>
      </w:r>
      <w:r w:rsidRPr="00D93FF9">
        <w:rPr>
          <w:lang w:val="en-GB"/>
        </w:rPr>
        <w:t>for</w:t>
      </w:r>
      <w:r w:rsidRPr="00D93FF9">
        <w:rPr>
          <w:spacing w:val="2"/>
          <w:lang w:val="en-GB"/>
        </w:rPr>
        <w:t xml:space="preserve"> </w:t>
      </w:r>
      <w:r w:rsidRPr="00D93FF9">
        <w:rPr>
          <w:lang w:val="en-GB"/>
        </w:rPr>
        <w:t>zinc</w:t>
      </w:r>
    </w:p>
    <w:p w14:paraId="59DCCF74" w14:textId="30DBA38F" w:rsidR="00C46175" w:rsidRPr="00D93FF9" w:rsidRDefault="00E811B8" w:rsidP="006C0312">
      <w:pPr>
        <w:pStyle w:val="BodyText"/>
        <w:spacing w:after="0" w:line="266" w:lineRule="auto"/>
        <w:jc w:val="both"/>
        <w:rPr>
          <w:lang w:val="en-GB"/>
        </w:rPr>
      </w:pPr>
      <w:r w:rsidRPr="00D93FF9">
        <w:rPr>
          <w:spacing w:val="-4"/>
          <w:lang w:val="en-GB"/>
        </w:rPr>
        <w:t xml:space="preserve">In </w:t>
      </w:r>
      <w:r w:rsidRPr="00D93FF9">
        <w:rPr>
          <w:spacing w:val="-3"/>
          <w:lang w:val="en-GB"/>
        </w:rPr>
        <w:t xml:space="preserve">soils, zinc </w:t>
      </w:r>
      <w:r w:rsidRPr="00D93FF9">
        <w:rPr>
          <w:lang w:val="en-GB"/>
        </w:rPr>
        <w:t xml:space="preserve">is often applied as a crop </w:t>
      </w:r>
      <w:r w:rsidRPr="00D93FF9">
        <w:rPr>
          <w:spacing w:val="-3"/>
          <w:lang w:val="en-GB"/>
        </w:rPr>
        <w:t xml:space="preserve">micronutrient, </w:t>
      </w:r>
      <w:r w:rsidRPr="00D93FF9">
        <w:rPr>
          <w:lang w:val="en-GB"/>
        </w:rPr>
        <w:t xml:space="preserve">but at </w:t>
      </w:r>
      <w:r w:rsidRPr="00D93FF9">
        <w:rPr>
          <w:spacing w:val="-3"/>
          <w:lang w:val="en-GB"/>
        </w:rPr>
        <w:t xml:space="preserve">high </w:t>
      </w:r>
      <w:r w:rsidRPr="00D93FF9">
        <w:rPr>
          <w:lang w:val="en-GB"/>
        </w:rPr>
        <w:t xml:space="preserve">concentrations can be both </w:t>
      </w:r>
      <w:r w:rsidRPr="00D93FF9">
        <w:rPr>
          <w:spacing w:val="-3"/>
          <w:lang w:val="en-GB"/>
        </w:rPr>
        <w:t xml:space="preserve">phytotoxic </w:t>
      </w:r>
      <w:r w:rsidRPr="00D93FF9">
        <w:rPr>
          <w:lang w:val="en-GB"/>
        </w:rPr>
        <w:t xml:space="preserve">and toxic to the </w:t>
      </w:r>
      <w:r w:rsidRPr="00D93FF9">
        <w:rPr>
          <w:spacing w:val="-3"/>
          <w:lang w:val="en-GB"/>
        </w:rPr>
        <w:t xml:space="preserve">soil flora </w:t>
      </w:r>
      <w:r w:rsidRPr="00D93FF9">
        <w:rPr>
          <w:lang w:val="en-GB"/>
        </w:rPr>
        <w:t xml:space="preserve">and </w:t>
      </w:r>
      <w:r w:rsidRPr="00D93FF9">
        <w:rPr>
          <w:spacing w:val="-3"/>
          <w:lang w:val="en-GB"/>
        </w:rPr>
        <w:t xml:space="preserve">fauna (see reviews </w:t>
      </w:r>
      <w:r w:rsidRPr="00D93FF9">
        <w:rPr>
          <w:lang w:val="en-GB"/>
        </w:rPr>
        <w:t xml:space="preserve">by </w:t>
      </w:r>
      <w:r w:rsidR="006D735C" w:rsidRPr="00D93FF9">
        <w:t>Efroymson et al. 1997a</w:t>
      </w:r>
      <w:r w:rsidR="006249E7" w:rsidRPr="00D93FF9">
        <w:t>; Efroymson et al. 1997</w:t>
      </w:r>
      <w:r w:rsidR="006D735C" w:rsidRPr="00D93FF9">
        <w:t>b</w:t>
      </w:r>
      <w:r w:rsidR="006249E7" w:rsidRPr="00D93FF9">
        <w:t xml:space="preserve">; </w:t>
      </w:r>
      <w:r w:rsidR="006249E7" w:rsidRPr="00D93FF9">
        <w:rPr>
          <w:lang w:val="en-GB"/>
        </w:rPr>
        <w:t xml:space="preserve"> and</w:t>
      </w:r>
      <w:r w:rsidR="006D735C" w:rsidRPr="00D93FF9">
        <w:rPr>
          <w:lang w:val="en-GB"/>
        </w:rPr>
        <w:t xml:space="preserve"> Scott-Fordsmand </w:t>
      </w:r>
      <w:r w:rsidR="00FA6E9E" w:rsidRPr="00D93FF9">
        <w:rPr>
          <w:lang w:val="en-GB"/>
        </w:rPr>
        <w:t>and</w:t>
      </w:r>
      <w:r w:rsidR="006D735C" w:rsidRPr="00D93FF9">
        <w:rPr>
          <w:lang w:val="en-GB"/>
        </w:rPr>
        <w:t xml:space="preserve"> </w:t>
      </w:r>
      <w:r w:rsidR="00F71F14" w:rsidRPr="00D93FF9">
        <w:rPr>
          <w:lang w:val="en-GB"/>
        </w:rPr>
        <w:t>Pedersen</w:t>
      </w:r>
      <w:r w:rsidR="006D735C" w:rsidRPr="00D93FF9">
        <w:rPr>
          <w:lang w:val="en-GB"/>
        </w:rPr>
        <w:t xml:space="preserve"> 1995)</w:t>
      </w:r>
      <w:r w:rsidRPr="00D93FF9">
        <w:rPr>
          <w:spacing w:val="-3"/>
          <w:lang w:val="en-GB"/>
        </w:rPr>
        <w:t xml:space="preserve">). </w:t>
      </w:r>
      <w:r w:rsidRPr="00D93FF9">
        <w:rPr>
          <w:spacing w:val="-4"/>
          <w:lang w:val="en-GB"/>
        </w:rPr>
        <w:t xml:space="preserve">Recommended maximum </w:t>
      </w:r>
      <w:r w:rsidRPr="00D93FF9">
        <w:rPr>
          <w:spacing w:val="-3"/>
          <w:lang w:val="en-GB"/>
        </w:rPr>
        <w:t xml:space="preserve">zinc concentrations </w:t>
      </w:r>
      <w:r w:rsidRPr="00D93FF9">
        <w:rPr>
          <w:lang w:val="en-GB"/>
        </w:rPr>
        <w:t xml:space="preserve">in </w:t>
      </w:r>
      <w:r w:rsidRPr="00D93FF9">
        <w:rPr>
          <w:spacing w:val="-3"/>
          <w:lang w:val="en-GB"/>
        </w:rPr>
        <w:t xml:space="preserve">soil, above which adverse </w:t>
      </w:r>
      <w:r w:rsidRPr="00D93FF9">
        <w:rPr>
          <w:lang w:val="en-GB"/>
        </w:rPr>
        <w:t xml:space="preserve">effects on either plants or </w:t>
      </w:r>
      <w:r w:rsidRPr="00D93FF9">
        <w:rPr>
          <w:spacing w:val="-3"/>
          <w:lang w:val="en-GB"/>
        </w:rPr>
        <w:t xml:space="preserve">microorganisms </w:t>
      </w:r>
      <w:r w:rsidRPr="00D93FF9">
        <w:rPr>
          <w:lang w:val="en-GB"/>
        </w:rPr>
        <w:t xml:space="preserve">are </w:t>
      </w:r>
      <w:r w:rsidRPr="00D93FF9">
        <w:rPr>
          <w:spacing w:val="-3"/>
          <w:lang w:val="en-GB"/>
        </w:rPr>
        <w:t xml:space="preserve">likely, vary </w:t>
      </w:r>
      <w:r w:rsidRPr="00D93FF9">
        <w:rPr>
          <w:lang w:val="en-GB"/>
        </w:rPr>
        <w:t xml:space="preserve">from 100–200 </w:t>
      </w:r>
      <w:r w:rsidRPr="00D93FF9">
        <w:rPr>
          <w:spacing w:val="-4"/>
          <w:lang w:val="en-GB"/>
        </w:rPr>
        <w:t xml:space="preserve">mg/kg </w:t>
      </w:r>
      <w:r w:rsidRPr="00D93FF9">
        <w:rPr>
          <w:spacing w:val="-3"/>
          <w:lang w:val="en-GB"/>
        </w:rPr>
        <w:t>(</w:t>
      </w:r>
      <w:r w:rsidR="006D735C" w:rsidRPr="00D93FF9">
        <w:t>Efroymson et al. 1997a</w:t>
      </w:r>
      <w:r w:rsidR="006249E7" w:rsidRPr="00D93FF9">
        <w:t>; Efroymson et al. 1997</w:t>
      </w:r>
      <w:r w:rsidR="006D735C" w:rsidRPr="00D93FF9">
        <w:t>b</w:t>
      </w:r>
      <w:r w:rsidR="006249E7" w:rsidRPr="00D93FF9">
        <w:rPr>
          <w:spacing w:val="-3"/>
          <w:lang w:val="en-GB"/>
        </w:rPr>
        <w:t>;</w:t>
      </w:r>
      <w:r w:rsidRPr="00D93FF9">
        <w:rPr>
          <w:spacing w:val="-3"/>
          <w:lang w:val="en-GB"/>
        </w:rPr>
        <w:t xml:space="preserve"> </w:t>
      </w:r>
      <w:r w:rsidRPr="00D93FF9">
        <w:rPr>
          <w:spacing w:val="-4"/>
          <w:lang w:val="en-GB"/>
        </w:rPr>
        <w:t xml:space="preserve">Scott-Fordsmand </w:t>
      </w:r>
      <w:r w:rsidR="00FA6E9E" w:rsidRPr="00D93FF9">
        <w:rPr>
          <w:lang w:val="en-GB"/>
        </w:rPr>
        <w:t>and</w:t>
      </w:r>
      <w:r w:rsidRPr="00D93FF9">
        <w:rPr>
          <w:lang w:val="en-GB"/>
        </w:rPr>
        <w:t xml:space="preserve"> </w:t>
      </w:r>
      <w:r w:rsidR="00F71F14" w:rsidRPr="00D93FF9">
        <w:rPr>
          <w:spacing w:val="-3"/>
          <w:lang w:val="en-GB"/>
        </w:rPr>
        <w:t>Pedersen</w:t>
      </w:r>
      <w:r w:rsidRPr="00D93FF9">
        <w:rPr>
          <w:spacing w:val="-3"/>
          <w:lang w:val="en-GB"/>
        </w:rPr>
        <w:t xml:space="preserve"> 1995). </w:t>
      </w:r>
      <w:r w:rsidRPr="00D93FF9">
        <w:rPr>
          <w:spacing w:val="-4"/>
          <w:lang w:val="en-GB"/>
        </w:rPr>
        <w:t xml:space="preserve">In </w:t>
      </w:r>
      <w:r w:rsidRPr="00D93FF9">
        <w:rPr>
          <w:spacing w:val="-3"/>
          <w:lang w:val="en-GB"/>
        </w:rPr>
        <w:t xml:space="preserve">Australia, </w:t>
      </w:r>
      <w:r w:rsidRPr="00D93FF9">
        <w:rPr>
          <w:spacing w:val="-4"/>
          <w:lang w:val="en-GB"/>
        </w:rPr>
        <w:t xml:space="preserve">maximum </w:t>
      </w:r>
      <w:r w:rsidRPr="00D93FF9">
        <w:rPr>
          <w:spacing w:val="-2"/>
          <w:lang w:val="en-GB"/>
        </w:rPr>
        <w:t xml:space="preserve">allowable </w:t>
      </w:r>
      <w:r w:rsidRPr="00D93FF9">
        <w:rPr>
          <w:lang w:val="en-GB"/>
        </w:rPr>
        <w:t xml:space="preserve">concentrations </w:t>
      </w:r>
      <w:r w:rsidRPr="00D93FF9">
        <w:rPr>
          <w:spacing w:val="-3"/>
          <w:lang w:val="en-GB"/>
        </w:rPr>
        <w:t xml:space="preserve">(MACs) </w:t>
      </w:r>
      <w:r w:rsidRPr="00D93FF9">
        <w:rPr>
          <w:lang w:val="en-GB"/>
        </w:rPr>
        <w:t xml:space="preserve">for </w:t>
      </w:r>
      <w:r w:rsidRPr="00D93FF9">
        <w:rPr>
          <w:spacing w:val="-3"/>
          <w:lang w:val="en-GB"/>
        </w:rPr>
        <w:t xml:space="preserve">zinc </w:t>
      </w:r>
      <w:r w:rsidRPr="00D93FF9">
        <w:rPr>
          <w:lang w:val="en-GB"/>
        </w:rPr>
        <w:t xml:space="preserve">in </w:t>
      </w:r>
      <w:r w:rsidRPr="00D93FF9">
        <w:rPr>
          <w:spacing w:val="-3"/>
          <w:lang w:val="en-GB"/>
        </w:rPr>
        <w:t xml:space="preserve">agricultural </w:t>
      </w:r>
      <w:r w:rsidRPr="00D93FF9">
        <w:rPr>
          <w:lang w:val="en-GB"/>
        </w:rPr>
        <w:t xml:space="preserve">soils </w:t>
      </w:r>
      <w:r w:rsidRPr="00D93FF9">
        <w:rPr>
          <w:spacing w:val="-3"/>
          <w:lang w:val="en-GB"/>
        </w:rPr>
        <w:t xml:space="preserve">receiving sewage </w:t>
      </w:r>
      <w:r w:rsidRPr="00D93FF9">
        <w:rPr>
          <w:lang w:val="en-GB"/>
        </w:rPr>
        <w:t xml:space="preserve">biosolids </w:t>
      </w:r>
      <w:r w:rsidR="006D710B" w:rsidRPr="00D93FF9">
        <w:rPr>
          <w:lang w:val="en-GB"/>
        </w:rPr>
        <w:t xml:space="preserve">is typically 200 mg in Australia and </w:t>
      </w:r>
      <w:r w:rsidR="006D710B" w:rsidRPr="00D93FF9">
        <w:rPr>
          <w:spacing w:val="-3"/>
          <w:lang w:val="en-GB"/>
        </w:rPr>
        <w:t>300 mg/kg in New Zealand (Table 21)</w:t>
      </w:r>
      <w:r w:rsidRPr="00D93FF9">
        <w:rPr>
          <w:spacing w:val="-3"/>
          <w:lang w:val="en-GB"/>
        </w:rPr>
        <w:t xml:space="preserve">. </w:t>
      </w:r>
      <w:r w:rsidRPr="00D93FF9">
        <w:rPr>
          <w:spacing w:val="-4"/>
          <w:lang w:val="en-GB"/>
        </w:rPr>
        <w:t xml:space="preserve">Background </w:t>
      </w:r>
      <w:r w:rsidRPr="00D93FF9">
        <w:rPr>
          <w:lang w:val="en-GB"/>
        </w:rPr>
        <w:t xml:space="preserve">concentrations of </w:t>
      </w:r>
      <w:r w:rsidRPr="00D93FF9">
        <w:rPr>
          <w:spacing w:val="-3"/>
          <w:lang w:val="en-GB"/>
        </w:rPr>
        <w:t xml:space="preserve">zinc </w:t>
      </w:r>
      <w:r w:rsidRPr="00D93FF9">
        <w:rPr>
          <w:lang w:val="en-GB"/>
        </w:rPr>
        <w:t xml:space="preserve">in </w:t>
      </w:r>
      <w:r w:rsidRPr="00D93FF9">
        <w:rPr>
          <w:spacing w:val="-3"/>
          <w:lang w:val="en-GB"/>
        </w:rPr>
        <w:t xml:space="preserve">Australian soils </w:t>
      </w:r>
      <w:r w:rsidRPr="00D93FF9">
        <w:rPr>
          <w:lang w:val="en-GB"/>
        </w:rPr>
        <w:t xml:space="preserve">are not </w:t>
      </w:r>
      <w:r w:rsidRPr="00D93FF9">
        <w:rPr>
          <w:spacing w:val="-3"/>
          <w:lang w:val="en-GB"/>
        </w:rPr>
        <w:t xml:space="preserve">well documented, </w:t>
      </w:r>
      <w:r w:rsidRPr="00D93FF9">
        <w:rPr>
          <w:lang w:val="en-GB"/>
        </w:rPr>
        <w:t xml:space="preserve">but </w:t>
      </w:r>
      <w:r w:rsidRPr="00D93FF9">
        <w:rPr>
          <w:spacing w:val="-3"/>
          <w:lang w:val="en-GB"/>
        </w:rPr>
        <w:t xml:space="preserve">from data </w:t>
      </w:r>
      <w:r w:rsidRPr="00D93FF9">
        <w:rPr>
          <w:lang w:val="en-GB"/>
        </w:rPr>
        <w:t xml:space="preserve">in </w:t>
      </w:r>
      <w:r w:rsidRPr="00D93FF9">
        <w:rPr>
          <w:spacing w:val="-3"/>
          <w:lang w:val="en-GB"/>
        </w:rPr>
        <w:t xml:space="preserve">Olszowy </w:t>
      </w:r>
      <w:r w:rsidRPr="00D93FF9">
        <w:rPr>
          <w:lang w:val="en-GB"/>
        </w:rPr>
        <w:t xml:space="preserve">et al. (1995) the </w:t>
      </w:r>
      <w:r w:rsidRPr="00D93FF9">
        <w:rPr>
          <w:spacing w:val="-3"/>
          <w:lang w:val="en-GB"/>
        </w:rPr>
        <w:t xml:space="preserve">arithmetic mean zinc </w:t>
      </w:r>
      <w:r w:rsidRPr="00D93FF9">
        <w:rPr>
          <w:lang w:val="en-GB"/>
        </w:rPr>
        <w:t xml:space="preserve">concentrations in a </w:t>
      </w:r>
      <w:r w:rsidRPr="00D93FF9">
        <w:rPr>
          <w:spacing w:val="-3"/>
          <w:lang w:val="en-GB"/>
        </w:rPr>
        <w:t xml:space="preserve">range </w:t>
      </w:r>
      <w:r w:rsidRPr="00D93FF9">
        <w:rPr>
          <w:lang w:val="en-GB"/>
        </w:rPr>
        <w:t xml:space="preserve">of </w:t>
      </w:r>
      <w:r w:rsidRPr="00D93FF9">
        <w:rPr>
          <w:spacing w:val="-3"/>
          <w:lang w:val="en-GB"/>
        </w:rPr>
        <w:t xml:space="preserve">uncontaminated </w:t>
      </w:r>
      <w:r w:rsidRPr="00D93FF9">
        <w:rPr>
          <w:lang w:val="en-GB"/>
        </w:rPr>
        <w:t xml:space="preserve">rural </w:t>
      </w:r>
      <w:r w:rsidRPr="00D93FF9">
        <w:rPr>
          <w:spacing w:val="-3"/>
          <w:lang w:val="en-GB"/>
        </w:rPr>
        <w:t xml:space="preserve">soils </w:t>
      </w:r>
      <w:r w:rsidRPr="00D93FF9">
        <w:rPr>
          <w:spacing w:val="-2"/>
          <w:lang w:val="en-GB"/>
        </w:rPr>
        <w:t xml:space="preserve">was </w:t>
      </w:r>
      <w:r w:rsidRPr="00D93FF9">
        <w:rPr>
          <w:lang w:val="en-GB"/>
        </w:rPr>
        <w:t xml:space="preserve">21 </w:t>
      </w:r>
      <w:r w:rsidRPr="00D93FF9">
        <w:rPr>
          <w:spacing w:val="-4"/>
          <w:lang w:val="en-GB"/>
        </w:rPr>
        <w:t xml:space="preserve">mg/kg. </w:t>
      </w:r>
      <w:r w:rsidRPr="00D93FF9">
        <w:rPr>
          <w:lang w:val="en-GB"/>
        </w:rPr>
        <w:t xml:space="preserve">Tiller (1983) quoted a </w:t>
      </w:r>
      <w:r w:rsidRPr="00D93FF9">
        <w:rPr>
          <w:spacing w:val="-3"/>
          <w:lang w:val="en-GB"/>
        </w:rPr>
        <w:t xml:space="preserve">mean value </w:t>
      </w:r>
      <w:r w:rsidRPr="00D93FF9">
        <w:rPr>
          <w:lang w:val="en-GB"/>
        </w:rPr>
        <w:t xml:space="preserve">of 34 </w:t>
      </w:r>
      <w:r w:rsidRPr="00D93FF9">
        <w:rPr>
          <w:spacing w:val="-4"/>
          <w:lang w:val="en-GB"/>
        </w:rPr>
        <w:t xml:space="preserve">mg/kg </w:t>
      </w:r>
      <w:r w:rsidRPr="00D93FF9">
        <w:rPr>
          <w:lang w:val="en-GB"/>
        </w:rPr>
        <w:t xml:space="preserve">for </w:t>
      </w:r>
      <w:r w:rsidRPr="00D93FF9">
        <w:rPr>
          <w:spacing w:val="-3"/>
          <w:lang w:val="en-GB"/>
        </w:rPr>
        <w:t xml:space="preserve">zinc </w:t>
      </w:r>
      <w:r w:rsidRPr="00D93FF9">
        <w:rPr>
          <w:lang w:val="en-GB"/>
        </w:rPr>
        <w:t xml:space="preserve">in 459 broadacre </w:t>
      </w:r>
      <w:r w:rsidRPr="00D93FF9">
        <w:rPr>
          <w:spacing w:val="-3"/>
          <w:lang w:val="en-GB"/>
        </w:rPr>
        <w:t>agricultural soils.</w:t>
      </w:r>
      <w:r w:rsidRPr="00D93FF9">
        <w:rPr>
          <w:spacing w:val="-8"/>
          <w:lang w:val="en-GB"/>
        </w:rPr>
        <w:t xml:space="preserve"> </w:t>
      </w:r>
      <w:r w:rsidRPr="00D93FF9">
        <w:rPr>
          <w:spacing w:val="-4"/>
          <w:lang w:val="en-GB"/>
        </w:rPr>
        <w:t>In</w:t>
      </w:r>
      <w:r w:rsidRPr="00D93FF9">
        <w:rPr>
          <w:spacing w:val="-7"/>
          <w:lang w:val="en-GB"/>
        </w:rPr>
        <w:t xml:space="preserve"> </w:t>
      </w:r>
      <w:r w:rsidRPr="00D93FF9">
        <w:rPr>
          <w:lang w:val="en-GB"/>
        </w:rPr>
        <w:t>an</w:t>
      </w:r>
      <w:r w:rsidRPr="00D93FF9">
        <w:rPr>
          <w:spacing w:val="-7"/>
          <w:lang w:val="en-GB"/>
        </w:rPr>
        <w:t xml:space="preserve"> </w:t>
      </w:r>
      <w:r w:rsidRPr="00D93FF9">
        <w:rPr>
          <w:lang w:val="en-GB"/>
        </w:rPr>
        <w:t>unpublished</w:t>
      </w:r>
      <w:r w:rsidRPr="00D93FF9">
        <w:rPr>
          <w:spacing w:val="-7"/>
          <w:lang w:val="en-GB"/>
        </w:rPr>
        <w:t xml:space="preserve"> </w:t>
      </w:r>
      <w:r w:rsidRPr="00D93FF9">
        <w:rPr>
          <w:spacing w:val="-3"/>
          <w:lang w:val="en-GB"/>
        </w:rPr>
        <w:t>survey</w:t>
      </w:r>
      <w:r w:rsidRPr="00D93FF9">
        <w:rPr>
          <w:spacing w:val="-9"/>
          <w:lang w:val="en-GB"/>
        </w:rPr>
        <w:t xml:space="preserve"> </w:t>
      </w:r>
      <w:r w:rsidRPr="00D93FF9">
        <w:rPr>
          <w:lang w:val="en-GB"/>
        </w:rPr>
        <w:t>of</w:t>
      </w:r>
      <w:r w:rsidRPr="00D93FF9">
        <w:rPr>
          <w:spacing w:val="-4"/>
          <w:lang w:val="en-GB"/>
        </w:rPr>
        <w:t xml:space="preserve"> </w:t>
      </w:r>
      <w:r w:rsidRPr="00D93FF9">
        <w:rPr>
          <w:spacing w:val="-3"/>
          <w:lang w:val="en-GB"/>
        </w:rPr>
        <w:t>metal</w:t>
      </w:r>
      <w:r w:rsidRPr="00D93FF9">
        <w:rPr>
          <w:spacing w:val="-4"/>
          <w:lang w:val="en-GB"/>
        </w:rPr>
        <w:t xml:space="preserve"> </w:t>
      </w:r>
      <w:r w:rsidRPr="00D93FF9">
        <w:rPr>
          <w:lang w:val="en-GB"/>
        </w:rPr>
        <w:lastRenderedPageBreak/>
        <w:t>concentrations</w:t>
      </w:r>
      <w:r w:rsidRPr="00D93FF9">
        <w:rPr>
          <w:spacing w:val="-5"/>
          <w:lang w:val="en-GB"/>
        </w:rPr>
        <w:t xml:space="preserve"> </w:t>
      </w:r>
      <w:r w:rsidRPr="00D93FF9">
        <w:rPr>
          <w:lang w:val="en-GB"/>
        </w:rPr>
        <w:t>in</w:t>
      </w:r>
      <w:r w:rsidRPr="00D93FF9">
        <w:rPr>
          <w:spacing w:val="-4"/>
          <w:lang w:val="en-GB"/>
        </w:rPr>
        <w:t xml:space="preserve"> </w:t>
      </w:r>
      <w:r w:rsidRPr="00D93FF9">
        <w:rPr>
          <w:spacing w:val="-3"/>
          <w:lang w:val="en-GB"/>
        </w:rPr>
        <w:t>Australian</w:t>
      </w:r>
      <w:r w:rsidRPr="00D93FF9">
        <w:rPr>
          <w:spacing w:val="-4"/>
          <w:lang w:val="en-GB"/>
        </w:rPr>
        <w:t xml:space="preserve"> </w:t>
      </w:r>
      <w:r w:rsidRPr="00D93FF9">
        <w:rPr>
          <w:lang w:val="en-GB"/>
        </w:rPr>
        <w:t>horticultural</w:t>
      </w:r>
      <w:r w:rsidRPr="00D93FF9">
        <w:rPr>
          <w:spacing w:val="-4"/>
          <w:lang w:val="en-GB"/>
        </w:rPr>
        <w:t xml:space="preserve"> </w:t>
      </w:r>
      <w:r w:rsidRPr="00D93FF9">
        <w:rPr>
          <w:spacing w:val="-3"/>
          <w:lang w:val="en-GB"/>
        </w:rPr>
        <w:t>soils</w:t>
      </w:r>
      <w:r w:rsidRPr="00D93FF9">
        <w:rPr>
          <w:spacing w:val="-4"/>
          <w:lang w:val="en-GB"/>
        </w:rPr>
        <w:t xml:space="preserve"> (CSIRO, </w:t>
      </w:r>
      <w:r w:rsidRPr="00D93FF9">
        <w:rPr>
          <w:lang w:val="en-GB"/>
        </w:rPr>
        <w:t xml:space="preserve">unpublished data), the </w:t>
      </w:r>
      <w:r w:rsidRPr="00D93FF9">
        <w:rPr>
          <w:spacing w:val="-3"/>
          <w:lang w:val="en-GB"/>
        </w:rPr>
        <w:t xml:space="preserve">arithmetic mean zinc </w:t>
      </w:r>
      <w:r w:rsidRPr="00D93FF9">
        <w:rPr>
          <w:lang w:val="en-GB"/>
        </w:rPr>
        <w:t xml:space="preserve">concentration was 48 </w:t>
      </w:r>
      <w:r w:rsidRPr="00D93FF9">
        <w:rPr>
          <w:spacing w:val="-4"/>
          <w:lang w:val="en-GB"/>
        </w:rPr>
        <w:t xml:space="preserve">mg/kg. </w:t>
      </w:r>
      <w:r w:rsidRPr="00D93FF9">
        <w:rPr>
          <w:spacing w:val="-3"/>
          <w:lang w:val="en-GB"/>
        </w:rPr>
        <w:t xml:space="preserve">Data from </w:t>
      </w:r>
      <w:r w:rsidRPr="00D93FF9">
        <w:rPr>
          <w:lang w:val="en-GB"/>
        </w:rPr>
        <w:t xml:space="preserve">these </w:t>
      </w:r>
      <w:r w:rsidRPr="00D93FF9">
        <w:rPr>
          <w:spacing w:val="-3"/>
          <w:lang w:val="en-GB"/>
        </w:rPr>
        <w:t xml:space="preserve">studies </w:t>
      </w:r>
      <w:r w:rsidRPr="00D93FF9">
        <w:rPr>
          <w:lang w:val="en-GB"/>
        </w:rPr>
        <w:t xml:space="preserve">as </w:t>
      </w:r>
      <w:r w:rsidRPr="00D93FF9">
        <w:rPr>
          <w:spacing w:val="-3"/>
          <w:lang w:val="en-GB"/>
        </w:rPr>
        <w:t xml:space="preserve">well </w:t>
      </w:r>
      <w:r w:rsidRPr="00D93FF9">
        <w:rPr>
          <w:lang w:val="en-GB"/>
        </w:rPr>
        <w:t xml:space="preserve">as the </w:t>
      </w:r>
      <w:r w:rsidRPr="00D93FF9">
        <w:rPr>
          <w:spacing w:val="-3"/>
          <w:lang w:val="en-GB"/>
        </w:rPr>
        <w:t xml:space="preserve">survey </w:t>
      </w:r>
      <w:r w:rsidRPr="00D93FF9">
        <w:rPr>
          <w:lang w:val="en-GB"/>
        </w:rPr>
        <w:t xml:space="preserve">of Barry (1997) are </w:t>
      </w:r>
      <w:r w:rsidRPr="00D93FF9">
        <w:rPr>
          <w:spacing w:val="-3"/>
          <w:lang w:val="en-GB"/>
        </w:rPr>
        <w:t xml:space="preserve">summarised </w:t>
      </w:r>
      <w:r w:rsidRPr="00D93FF9">
        <w:rPr>
          <w:lang w:val="en-GB"/>
        </w:rPr>
        <w:t>in</w:t>
      </w:r>
      <w:r w:rsidR="00FE5F61" w:rsidRPr="00D93FF9">
        <w:rPr>
          <w:lang w:val="en-GB"/>
        </w:rPr>
        <w:t xml:space="preserve"> </w:t>
      </w:r>
      <w:r w:rsidR="00FE5F61" w:rsidRPr="00D93FF9">
        <w:rPr>
          <w:lang w:val="en-GB"/>
        </w:rPr>
        <w:fldChar w:fldCharType="begin"/>
      </w:r>
      <w:r w:rsidR="00FE5F61" w:rsidRPr="00D93FF9">
        <w:rPr>
          <w:lang w:val="en-GB"/>
        </w:rPr>
        <w:instrText xml:space="preserve"> REF _Ref81393907 \h </w:instrText>
      </w:r>
      <w:r w:rsidR="00D93FF9">
        <w:rPr>
          <w:lang w:val="en-GB"/>
        </w:rPr>
        <w:instrText xml:space="preserve"> \* MERGEFORMAT </w:instrText>
      </w:r>
      <w:r w:rsidR="00FE5F61" w:rsidRPr="00D93FF9">
        <w:rPr>
          <w:lang w:val="en-GB"/>
        </w:rPr>
      </w:r>
      <w:r w:rsidR="00FE5F61" w:rsidRPr="00D93FF9">
        <w:rPr>
          <w:lang w:val="en-GB"/>
        </w:rPr>
        <w:fldChar w:fldCharType="separate"/>
      </w:r>
      <w:r w:rsidR="0069302C" w:rsidRPr="0069302C">
        <w:t xml:space="preserve">Table </w:t>
      </w:r>
      <w:r w:rsidR="0069302C" w:rsidRPr="0069302C">
        <w:rPr>
          <w:noProof/>
        </w:rPr>
        <w:t>22</w:t>
      </w:r>
      <w:r w:rsidR="00FE5F61" w:rsidRPr="00D93FF9">
        <w:rPr>
          <w:lang w:val="en-GB"/>
        </w:rPr>
        <w:fldChar w:fldCharType="end"/>
      </w:r>
      <w:r w:rsidRPr="00D93FF9">
        <w:rPr>
          <w:lang w:val="en-GB"/>
        </w:rPr>
        <w:t xml:space="preserve">. </w:t>
      </w:r>
      <w:r w:rsidR="006D710B" w:rsidRPr="00D93FF9">
        <w:rPr>
          <w:lang w:val="en-GB"/>
        </w:rPr>
        <w:t>The median background concentration of zinc in New Zealand soil (Median of median’s supplied) was estimated to be 33.1 mg/kg, excluding the rock-group scoria, which was naturally high in Zinc (</w:t>
      </w:r>
      <w:r w:rsidR="00FE5F61" w:rsidRPr="00D93FF9">
        <w:rPr>
          <w:lang w:val="en-GB"/>
        </w:rPr>
        <w:fldChar w:fldCharType="begin"/>
      </w:r>
      <w:r w:rsidR="00FE5F61" w:rsidRPr="00D93FF9">
        <w:rPr>
          <w:lang w:val="en-GB"/>
        </w:rPr>
        <w:instrText xml:space="preserve"> REF _Ref81393907 \h </w:instrText>
      </w:r>
      <w:r w:rsidR="00D93FF9">
        <w:rPr>
          <w:lang w:val="en-GB"/>
        </w:rPr>
        <w:instrText xml:space="preserve"> \* MERGEFORMAT </w:instrText>
      </w:r>
      <w:r w:rsidR="00FE5F61" w:rsidRPr="00D93FF9">
        <w:rPr>
          <w:lang w:val="en-GB"/>
        </w:rPr>
      </w:r>
      <w:r w:rsidR="00FE5F61" w:rsidRPr="00D93FF9">
        <w:rPr>
          <w:lang w:val="en-GB"/>
        </w:rPr>
        <w:fldChar w:fldCharType="separate"/>
      </w:r>
      <w:r w:rsidR="0069302C" w:rsidRPr="0069302C">
        <w:t xml:space="preserve">Table </w:t>
      </w:r>
      <w:r w:rsidR="0069302C" w:rsidRPr="0069302C">
        <w:rPr>
          <w:noProof/>
        </w:rPr>
        <w:t>22</w:t>
      </w:r>
      <w:r w:rsidR="00FE5F61" w:rsidRPr="00D93FF9">
        <w:rPr>
          <w:lang w:val="en-GB"/>
        </w:rPr>
        <w:fldChar w:fldCharType="end"/>
      </w:r>
      <w:r w:rsidR="006D710B" w:rsidRPr="00D93FF9">
        <w:rPr>
          <w:lang w:val="en-GB"/>
        </w:rPr>
        <w:t>).</w:t>
      </w:r>
      <w:r w:rsidRPr="00D93FF9">
        <w:rPr>
          <w:lang w:val="en-GB"/>
        </w:rPr>
        <w:t xml:space="preserve">The </w:t>
      </w:r>
      <w:r w:rsidRPr="00D93FF9">
        <w:rPr>
          <w:spacing w:val="-3"/>
          <w:lang w:val="en-GB"/>
        </w:rPr>
        <w:t xml:space="preserve">median background zinc </w:t>
      </w:r>
      <w:r w:rsidRPr="00D93FF9">
        <w:rPr>
          <w:lang w:val="en-GB"/>
        </w:rPr>
        <w:t xml:space="preserve">concentration in </w:t>
      </w:r>
      <w:r w:rsidRPr="00D93FF9">
        <w:rPr>
          <w:spacing w:val="-3"/>
          <w:lang w:val="en-GB"/>
        </w:rPr>
        <w:t xml:space="preserve">soil </w:t>
      </w:r>
      <w:r w:rsidRPr="00D93FF9">
        <w:rPr>
          <w:lang w:val="en-GB"/>
        </w:rPr>
        <w:t xml:space="preserve">of 39 </w:t>
      </w:r>
      <w:r w:rsidRPr="00D93FF9">
        <w:rPr>
          <w:spacing w:val="-4"/>
          <w:lang w:val="en-GB"/>
        </w:rPr>
        <w:t xml:space="preserve">mg/kg </w:t>
      </w:r>
      <w:r w:rsidRPr="00D93FF9">
        <w:rPr>
          <w:lang w:val="en-GB"/>
        </w:rPr>
        <w:t xml:space="preserve">was </w:t>
      </w:r>
      <w:r w:rsidRPr="00D93FF9">
        <w:rPr>
          <w:spacing w:val="-3"/>
          <w:lang w:val="en-GB"/>
        </w:rPr>
        <w:t xml:space="preserve">derived from </w:t>
      </w:r>
      <w:r w:rsidRPr="00D93FF9">
        <w:rPr>
          <w:lang w:val="en-GB"/>
        </w:rPr>
        <w:t xml:space="preserve">these </w:t>
      </w:r>
      <w:r w:rsidRPr="00D93FF9">
        <w:rPr>
          <w:spacing w:val="-3"/>
          <w:lang w:val="en-GB"/>
        </w:rPr>
        <w:t xml:space="preserve">four studies </w:t>
      </w:r>
      <w:r w:rsidRPr="00D93FF9">
        <w:rPr>
          <w:lang w:val="en-GB"/>
        </w:rPr>
        <w:t xml:space="preserve">and </w:t>
      </w:r>
      <w:r w:rsidRPr="00D93FF9">
        <w:rPr>
          <w:spacing w:val="-3"/>
          <w:lang w:val="en-GB"/>
        </w:rPr>
        <w:t xml:space="preserve">used with </w:t>
      </w:r>
      <w:r w:rsidRPr="00D93FF9">
        <w:rPr>
          <w:lang w:val="en-GB"/>
        </w:rPr>
        <w:t xml:space="preserve">the lower of the current </w:t>
      </w:r>
      <w:r w:rsidRPr="00D93FF9">
        <w:rPr>
          <w:spacing w:val="-3"/>
          <w:lang w:val="en-GB"/>
        </w:rPr>
        <w:t xml:space="preserve">soil zinc MACs </w:t>
      </w:r>
      <w:r w:rsidRPr="00D93FF9">
        <w:rPr>
          <w:lang w:val="en-GB"/>
        </w:rPr>
        <w:t xml:space="preserve">for </w:t>
      </w:r>
      <w:r w:rsidRPr="00D93FF9">
        <w:rPr>
          <w:spacing w:val="-3"/>
          <w:lang w:val="en-GB"/>
        </w:rPr>
        <w:t xml:space="preserve">biosolid disposal </w:t>
      </w:r>
      <w:r w:rsidRPr="00D93FF9">
        <w:rPr>
          <w:lang w:val="en-GB"/>
        </w:rPr>
        <w:t xml:space="preserve">of 200 </w:t>
      </w:r>
      <w:r w:rsidRPr="00D93FF9">
        <w:rPr>
          <w:spacing w:val="-4"/>
          <w:lang w:val="en-GB"/>
        </w:rPr>
        <w:t>mg/kg</w:t>
      </w:r>
      <w:r w:rsidR="00AE1819" w:rsidRPr="00D93FF9">
        <w:rPr>
          <w:spacing w:val="-4"/>
          <w:lang w:val="en-GB"/>
        </w:rPr>
        <w:t xml:space="preserve"> (</w:t>
      </w:r>
      <w:r w:rsidR="00AE1819" w:rsidRPr="00D93FF9">
        <w:rPr>
          <w:spacing w:val="-4"/>
          <w:lang w:val="en-GB"/>
        </w:rPr>
        <w:fldChar w:fldCharType="begin"/>
      </w:r>
      <w:r w:rsidR="00AE1819" w:rsidRPr="00D93FF9">
        <w:rPr>
          <w:spacing w:val="-4"/>
          <w:lang w:val="en-GB"/>
        </w:rPr>
        <w:instrText xml:space="preserve"> REF _Ref81393907 \h </w:instrText>
      </w:r>
      <w:r w:rsidR="00D93FF9">
        <w:rPr>
          <w:spacing w:val="-4"/>
          <w:lang w:val="en-GB"/>
        </w:rPr>
        <w:instrText xml:space="preserve"> \* MERGEFORMAT </w:instrText>
      </w:r>
      <w:r w:rsidR="00AE1819" w:rsidRPr="00D93FF9">
        <w:rPr>
          <w:spacing w:val="-4"/>
          <w:lang w:val="en-GB"/>
        </w:rPr>
      </w:r>
      <w:r w:rsidR="00AE1819" w:rsidRPr="00D93FF9">
        <w:rPr>
          <w:spacing w:val="-4"/>
          <w:lang w:val="en-GB"/>
        </w:rPr>
        <w:fldChar w:fldCharType="separate"/>
      </w:r>
      <w:r w:rsidR="0069302C" w:rsidRPr="0069302C">
        <w:t xml:space="preserve">Table </w:t>
      </w:r>
      <w:r w:rsidR="0069302C" w:rsidRPr="0069302C">
        <w:rPr>
          <w:noProof/>
        </w:rPr>
        <w:t>22</w:t>
      </w:r>
      <w:r w:rsidR="00AE1819" w:rsidRPr="00D93FF9">
        <w:rPr>
          <w:spacing w:val="-4"/>
          <w:lang w:val="en-GB"/>
        </w:rPr>
        <w:fldChar w:fldCharType="end"/>
      </w:r>
      <w:r w:rsidR="00AE1819" w:rsidRPr="00D93FF9">
        <w:rPr>
          <w:spacing w:val="-4"/>
          <w:lang w:val="en-GB"/>
        </w:rPr>
        <w:t>)</w:t>
      </w:r>
      <w:r w:rsidRPr="00D93FF9">
        <w:rPr>
          <w:spacing w:val="-3"/>
          <w:lang w:val="en-GB"/>
        </w:rPr>
        <w:t xml:space="preserve">, </w:t>
      </w:r>
      <w:r w:rsidRPr="00D93FF9">
        <w:rPr>
          <w:lang w:val="en-GB"/>
        </w:rPr>
        <w:t xml:space="preserve">to </w:t>
      </w:r>
      <w:r w:rsidRPr="00D93FF9">
        <w:rPr>
          <w:spacing w:val="-3"/>
          <w:lang w:val="en-GB"/>
        </w:rPr>
        <w:t xml:space="preserve">derive </w:t>
      </w:r>
      <w:r w:rsidRPr="00D93FF9">
        <w:rPr>
          <w:lang w:val="en-GB"/>
        </w:rPr>
        <w:t xml:space="preserve">the </w:t>
      </w:r>
      <w:r w:rsidR="006D735C" w:rsidRPr="00D93FF9">
        <w:rPr>
          <w:spacing w:val="-3"/>
          <w:lang w:val="en-GB"/>
        </w:rPr>
        <w:t>ACL</w:t>
      </w:r>
      <w:r w:rsidRPr="00D93FF9">
        <w:rPr>
          <w:spacing w:val="-3"/>
          <w:lang w:val="en-GB"/>
        </w:rPr>
        <w:t xml:space="preserve">. Median values </w:t>
      </w:r>
      <w:r w:rsidRPr="00D93FF9">
        <w:rPr>
          <w:lang w:val="en-GB"/>
        </w:rPr>
        <w:t xml:space="preserve">for </w:t>
      </w:r>
      <w:r w:rsidRPr="00D93FF9">
        <w:rPr>
          <w:spacing w:val="-3"/>
          <w:lang w:val="en-GB"/>
        </w:rPr>
        <w:t xml:space="preserve">contaminants were used </w:t>
      </w:r>
      <w:r w:rsidRPr="00D93FF9">
        <w:rPr>
          <w:lang w:val="en-GB"/>
        </w:rPr>
        <w:t xml:space="preserve">to </w:t>
      </w:r>
      <w:r w:rsidRPr="00D93FF9">
        <w:rPr>
          <w:spacing w:val="-3"/>
          <w:lang w:val="en-GB"/>
        </w:rPr>
        <w:t xml:space="preserve">derive </w:t>
      </w:r>
      <w:r w:rsidRPr="00D93FF9">
        <w:rPr>
          <w:lang w:val="en-GB"/>
        </w:rPr>
        <w:t xml:space="preserve">the </w:t>
      </w:r>
      <w:r w:rsidRPr="00D93FF9">
        <w:rPr>
          <w:spacing w:val="-4"/>
          <w:lang w:val="en-GB"/>
        </w:rPr>
        <w:t xml:space="preserve">background </w:t>
      </w:r>
      <w:r w:rsidRPr="00D93FF9">
        <w:rPr>
          <w:lang w:val="en-GB"/>
        </w:rPr>
        <w:t xml:space="preserve">concentrations used for calculating </w:t>
      </w:r>
      <w:r w:rsidR="006D735C" w:rsidRPr="00D93FF9">
        <w:rPr>
          <w:spacing w:val="-3"/>
          <w:lang w:val="en-GB"/>
        </w:rPr>
        <w:t>ACL</w:t>
      </w:r>
      <w:r w:rsidRPr="00D93FF9">
        <w:rPr>
          <w:spacing w:val="-3"/>
          <w:lang w:val="en-GB"/>
        </w:rPr>
        <w:t xml:space="preserve"> </w:t>
      </w:r>
      <w:r w:rsidRPr="00D93FF9">
        <w:rPr>
          <w:lang w:val="en-GB"/>
        </w:rPr>
        <w:t xml:space="preserve">in these </w:t>
      </w:r>
      <w:r w:rsidRPr="00D93FF9">
        <w:rPr>
          <w:spacing w:val="-3"/>
          <w:lang w:val="en-GB"/>
        </w:rPr>
        <w:t xml:space="preserve">guidelines </w:t>
      </w:r>
      <w:r w:rsidRPr="00D93FF9">
        <w:rPr>
          <w:lang w:val="en-GB"/>
        </w:rPr>
        <w:t xml:space="preserve">due to the log </w:t>
      </w:r>
      <w:r w:rsidRPr="00D93FF9">
        <w:rPr>
          <w:spacing w:val="-3"/>
          <w:lang w:val="en-GB"/>
        </w:rPr>
        <w:t xml:space="preserve">normal </w:t>
      </w:r>
      <w:r w:rsidRPr="00D93FF9">
        <w:rPr>
          <w:spacing w:val="-2"/>
          <w:lang w:val="en-GB"/>
        </w:rPr>
        <w:t xml:space="preserve">distribution </w:t>
      </w:r>
      <w:r w:rsidRPr="00D93FF9">
        <w:rPr>
          <w:lang w:val="en-GB"/>
        </w:rPr>
        <w:t xml:space="preserve">of </w:t>
      </w:r>
      <w:r w:rsidRPr="00D93FF9">
        <w:rPr>
          <w:spacing w:val="-3"/>
          <w:lang w:val="en-GB"/>
        </w:rPr>
        <w:t xml:space="preserve">many </w:t>
      </w:r>
      <w:r w:rsidRPr="00D93FF9">
        <w:rPr>
          <w:lang w:val="en-GB"/>
        </w:rPr>
        <w:t>of the</w:t>
      </w:r>
      <w:r w:rsidRPr="00D93FF9">
        <w:rPr>
          <w:spacing w:val="-20"/>
          <w:lang w:val="en-GB"/>
        </w:rPr>
        <w:t xml:space="preserve"> </w:t>
      </w:r>
      <w:r w:rsidRPr="00D93FF9">
        <w:rPr>
          <w:spacing w:val="-3"/>
          <w:lang w:val="en-GB"/>
        </w:rPr>
        <w:t>datasets.</w:t>
      </w:r>
    </w:p>
    <w:p w14:paraId="59DCCF75" w14:textId="77777777" w:rsidR="00F755D6" w:rsidRPr="00D93FF9" w:rsidRDefault="00E811B8" w:rsidP="006C0312">
      <w:pPr>
        <w:pStyle w:val="BodyText"/>
        <w:spacing w:after="0" w:line="266" w:lineRule="auto"/>
        <w:jc w:val="both"/>
        <w:rPr>
          <w:lang w:val="en-GB"/>
        </w:rPr>
      </w:pPr>
      <w:r w:rsidRPr="00D93FF9">
        <w:rPr>
          <w:lang w:val="en-GB"/>
        </w:rPr>
        <w:t xml:space="preserve">Zinc </w:t>
      </w:r>
      <w:r w:rsidR="006D735C" w:rsidRPr="00D93FF9">
        <w:rPr>
          <w:lang w:val="en-GB"/>
        </w:rPr>
        <w:t>ACL</w:t>
      </w:r>
      <w:r w:rsidRPr="00D93FF9">
        <w:rPr>
          <w:lang w:val="en-GB"/>
        </w:rPr>
        <w:t xml:space="preserve"> is calculated as follows:</w:t>
      </w:r>
    </w:p>
    <w:p w14:paraId="59DCCF76" w14:textId="77777777" w:rsidR="004113FF" w:rsidRPr="00D93FF9" w:rsidRDefault="004113FF" w:rsidP="0081512F"/>
    <w:tbl>
      <w:tblPr>
        <w:tblStyle w:val="TableGrid"/>
        <w:tblW w:w="8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1"/>
        <w:gridCol w:w="1635"/>
      </w:tblGrid>
      <w:tr w:rsidR="00BE3AA8" w:rsidRPr="00D93FF9" w14:paraId="59DCCF79" w14:textId="77777777" w:rsidTr="00EA3EAD">
        <w:trPr>
          <w:trHeight w:val="609"/>
        </w:trPr>
        <w:tc>
          <w:tcPr>
            <w:tcW w:w="7351" w:type="dxa"/>
          </w:tcPr>
          <w:p w14:paraId="59DCCF77" w14:textId="26BC4913" w:rsidR="00F755D6" w:rsidRPr="00D93FF9" w:rsidRDefault="00E811B8" w:rsidP="00F755D6">
            <w:pPr>
              <w:pStyle w:val="BodyText"/>
              <w:spacing w:after="120" w:line="192" w:lineRule="auto"/>
              <w:rPr>
                <w:rFonts w:asciiTheme="minorHAnsi" w:hAnsiTheme="minorHAnsi"/>
                <w:sz w:val="22"/>
                <w:szCs w:val="22"/>
                <w:lang w:val="en-GB"/>
              </w:rPr>
            </w:pPr>
            <m:oMathPara>
              <m:oMathParaPr>
                <m:jc m:val="left"/>
              </m:oMathParaPr>
              <m:oMath>
                <m:r>
                  <m:rPr>
                    <m:sty m:val="p"/>
                  </m:rPr>
                  <w:rPr>
                    <w:rFonts w:ascii="Cambria Math" w:hAnsi="Cambria Math"/>
                    <w:sz w:val="22"/>
                    <w:szCs w:val="22"/>
                    <w:lang w:val="en-GB"/>
                  </w:rPr>
                  <m:t>ACL=</m:t>
                </m:r>
                <m:f>
                  <m:fPr>
                    <m:ctrlPr>
                      <w:rPr>
                        <w:rFonts w:ascii="Cambria Math" w:hAnsi="Cambria Math"/>
                        <w:sz w:val="22"/>
                        <w:szCs w:val="22"/>
                        <w:lang w:val="en-GB"/>
                      </w:rPr>
                    </m:ctrlPr>
                  </m:fPr>
                  <m:num>
                    <m:r>
                      <m:rPr>
                        <m:sty m:val="p"/>
                      </m:rPr>
                      <w:rPr>
                        <w:rFonts w:ascii="Cambria Math" w:hAnsi="Cambria Math"/>
                        <w:sz w:val="22"/>
                        <w:szCs w:val="22"/>
                        <w:lang w:val="en-GB"/>
                      </w:rPr>
                      <m:t>(200-39)×0.15×1300</m:t>
                    </m:r>
                  </m:num>
                  <m:den>
                    <m:r>
                      <m:rPr>
                        <m:sty m:val="p"/>
                      </m:rPr>
                      <w:rPr>
                        <w:rFonts w:ascii="Cambria Math" w:hAnsi="Cambria Math"/>
                        <w:sz w:val="22"/>
                        <w:szCs w:val="22"/>
                        <w:lang w:val="en-GB"/>
                      </w:rPr>
                      <m:t>100</m:t>
                    </m:r>
                  </m:den>
                </m:f>
                <m:r>
                  <m:rPr>
                    <m:sty m:val="p"/>
                  </m:rPr>
                  <w:rPr>
                    <w:rFonts w:ascii="Cambria Math" w:hAnsi="Cambria Math"/>
                    <w:sz w:val="22"/>
                    <w:szCs w:val="22"/>
                    <w:lang w:val="en-GB"/>
                  </w:rPr>
                  <m:t>=300 kg/ha</m:t>
                </m:r>
              </m:oMath>
            </m:oMathPara>
          </w:p>
        </w:tc>
        <w:tc>
          <w:tcPr>
            <w:tcW w:w="1635" w:type="dxa"/>
          </w:tcPr>
          <w:p w14:paraId="59DCCF78" w14:textId="22F3997E" w:rsidR="00F755D6" w:rsidRPr="00D93FF9" w:rsidRDefault="00E811B8" w:rsidP="003807A1">
            <w:pPr>
              <w:pStyle w:val="BodyText"/>
              <w:spacing w:after="0" w:line="192" w:lineRule="auto"/>
              <w:rPr>
                <w:rFonts w:ascii="Calibri" w:hAnsi="Calibri"/>
                <w:b/>
                <w:bCs/>
                <w:iCs/>
                <w:sz w:val="22"/>
                <w:szCs w:val="22"/>
                <w:lang w:val="en-GB"/>
              </w:rPr>
            </w:pPr>
            <w:r w:rsidRPr="00D93FF9">
              <w:rPr>
                <w:rFonts w:ascii="Calibri" w:hAnsi="Calibri"/>
                <w:b/>
                <w:bCs/>
                <w:sz w:val="22"/>
                <w:szCs w:val="22"/>
              </w:rPr>
              <w:t xml:space="preserve">Equation </w:t>
            </w:r>
            <w:r w:rsidRPr="00D93FF9">
              <w:rPr>
                <w:rFonts w:ascii="Calibri" w:hAnsi="Calibri"/>
                <w:b/>
                <w:bCs/>
              </w:rPr>
              <w:fldChar w:fldCharType="begin"/>
            </w:r>
            <w:r w:rsidRPr="00D93FF9">
              <w:rPr>
                <w:rFonts w:ascii="Calibri" w:hAnsi="Calibri"/>
                <w:b/>
                <w:bCs/>
                <w:sz w:val="22"/>
                <w:szCs w:val="22"/>
              </w:rPr>
              <w:instrText xml:space="preserve"> SEQ Equation \* ARABIC </w:instrText>
            </w:r>
            <w:r w:rsidRPr="00D93FF9">
              <w:rPr>
                <w:rFonts w:ascii="Calibri" w:hAnsi="Calibri"/>
                <w:b/>
                <w:bCs/>
              </w:rPr>
              <w:fldChar w:fldCharType="separate"/>
            </w:r>
            <w:r w:rsidR="0069302C">
              <w:rPr>
                <w:rFonts w:ascii="Calibri" w:hAnsi="Calibri"/>
                <w:b/>
                <w:bCs/>
                <w:noProof/>
                <w:sz w:val="22"/>
                <w:szCs w:val="22"/>
              </w:rPr>
              <w:t>27</w:t>
            </w:r>
            <w:r w:rsidRPr="00D93FF9">
              <w:rPr>
                <w:rFonts w:ascii="Calibri" w:hAnsi="Calibri"/>
                <w:b/>
                <w:bCs/>
              </w:rPr>
              <w:fldChar w:fldCharType="end"/>
            </w:r>
          </w:p>
        </w:tc>
      </w:tr>
    </w:tbl>
    <w:p w14:paraId="59DCCF7A" w14:textId="77777777" w:rsidR="00F755D6" w:rsidRPr="00D93FF9" w:rsidRDefault="00F755D6" w:rsidP="003807A1">
      <w:pPr>
        <w:pStyle w:val="BodyText"/>
        <w:spacing w:after="0" w:line="192" w:lineRule="auto"/>
        <w:rPr>
          <w:lang w:val="en-GB"/>
        </w:rPr>
      </w:pPr>
    </w:p>
    <w:p w14:paraId="59DCCF7B" w14:textId="77777777" w:rsidR="00C46175" w:rsidRPr="00D93FF9" w:rsidRDefault="00E811B8" w:rsidP="006C0312">
      <w:pPr>
        <w:pStyle w:val="BodyText"/>
        <w:spacing w:after="0" w:line="266" w:lineRule="auto"/>
        <w:jc w:val="both"/>
        <w:rPr>
          <w:lang w:val="en-GB"/>
        </w:rPr>
      </w:pPr>
      <w:r w:rsidRPr="00D93FF9">
        <w:rPr>
          <w:lang w:val="en-GB"/>
        </w:rPr>
        <w:t xml:space="preserve">Using only an analysis of the irrigation water and the irrigation water application frequency and amounts, the user can calculate the </w:t>
      </w:r>
      <w:r w:rsidR="006D735C" w:rsidRPr="00D93FF9">
        <w:rPr>
          <w:lang w:val="en-GB"/>
        </w:rPr>
        <w:t>ACL</w:t>
      </w:r>
      <w:r w:rsidRPr="00D93FF9">
        <w:rPr>
          <w:lang w:val="en-GB"/>
        </w:rPr>
        <w:t xml:space="preserve"> (assuming soils have no history of metal contamination). Once the </w:t>
      </w:r>
      <w:r w:rsidR="006D735C" w:rsidRPr="00D93FF9">
        <w:rPr>
          <w:lang w:val="en-GB"/>
        </w:rPr>
        <w:t>ACL</w:t>
      </w:r>
      <w:r w:rsidRPr="00D93FF9">
        <w:rPr>
          <w:lang w:val="en-GB"/>
        </w:rPr>
        <w:t xml:space="preserve"> has been reached for a particular site, it does not necessarily follow that irrigation must cease. When the </w:t>
      </w:r>
      <w:r w:rsidR="006D735C" w:rsidRPr="00D93FF9">
        <w:rPr>
          <w:lang w:val="en-GB"/>
        </w:rPr>
        <w:t>ACL</w:t>
      </w:r>
      <w:r w:rsidRPr="00D93FF9">
        <w:rPr>
          <w:lang w:val="en-GB"/>
        </w:rPr>
        <w:t xml:space="preserve"> has been exceeded, it is recommended that a site environmental impact assessment is instigated, which would include analysis of soil contaminant concentrations on the irrigated site.</w:t>
      </w:r>
    </w:p>
    <w:p w14:paraId="59DCCF7C" w14:textId="378483BC" w:rsidR="00C46175" w:rsidRPr="00D93FF9" w:rsidRDefault="00E811B8" w:rsidP="006C0312">
      <w:pPr>
        <w:pStyle w:val="BodyText"/>
        <w:spacing w:after="0" w:line="266" w:lineRule="auto"/>
        <w:jc w:val="both"/>
        <w:rPr>
          <w:lang w:val="en-GB"/>
        </w:rPr>
      </w:pPr>
      <w:r w:rsidRPr="00D93FF9">
        <w:rPr>
          <w:spacing w:val="-3"/>
          <w:lang w:val="en-GB"/>
        </w:rPr>
        <w:t>From</w:t>
      </w:r>
      <w:r w:rsidR="005409B1" w:rsidRPr="00D93FF9">
        <w:rPr>
          <w:spacing w:val="-3"/>
          <w:lang w:val="en-GB"/>
        </w:rPr>
        <w:t xml:space="preserve"> </w:t>
      </w:r>
      <w:r w:rsidR="005409B1" w:rsidRPr="00D93FF9">
        <w:rPr>
          <w:spacing w:val="-3"/>
          <w:lang w:val="en-GB"/>
        </w:rPr>
        <w:fldChar w:fldCharType="begin"/>
      </w:r>
      <w:r w:rsidR="005409B1" w:rsidRPr="00D93FF9">
        <w:rPr>
          <w:spacing w:val="-3"/>
          <w:lang w:val="en-GB"/>
        </w:rPr>
        <w:instrText xml:space="preserve"> REF _Ref81393975 \h </w:instrText>
      </w:r>
      <w:r w:rsidR="00D93FF9">
        <w:rPr>
          <w:spacing w:val="-3"/>
          <w:lang w:val="en-GB"/>
        </w:rPr>
        <w:instrText xml:space="preserve"> \* MERGEFORMAT </w:instrText>
      </w:r>
      <w:r w:rsidR="005409B1" w:rsidRPr="00D93FF9">
        <w:rPr>
          <w:spacing w:val="-3"/>
          <w:lang w:val="en-GB"/>
        </w:rPr>
      </w:r>
      <w:r w:rsidR="005409B1" w:rsidRPr="00D93FF9">
        <w:rPr>
          <w:spacing w:val="-3"/>
          <w:lang w:val="en-GB"/>
        </w:rPr>
        <w:fldChar w:fldCharType="separate"/>
      </w:r>
      <w:r w:rsidR="0069302C" w:rsidRPr="00D93FF9">
        <w:t xml:space="preserve">Table </w:t>
      </w:r>
      <w:r w:rsidR="0069302C">
        <w:rPr>
          <w:noProof/>
        </w:rPr>
        <w:t>23</w:t>
      </w:r>
      <w:r w:rsidR="005409B1" w:rsidRPr="00D93FF9">
        <w:rPr>
          <w:spacing w:val="-3"/>
          <w:lang w:val="en-GB"/>
        </w:rPr>
        <w:fldChar w:fldCharType="end"/>
      </w:r>
      <w:r w:rsidRPr="00D93FF9">
        <w:rPr>
          <w:spacing w:val="-3"/>
          <w:lang w:val="en-GB"/>
        </w:rPr>
        <w:t xml:space="preserve">, </w:t>
      </w:r>
      <w:r w:rsidRPr="00D93FF9">
        <w:rPr>
          <w:lang w:val="en-GB"/>
        </w:rPr>
        <w:t xml:space="preserve">the </w:t>
      </w:r>
      <w:r w:rsidR="006D735C" w:rsidRPr="00D93FF9">
        <w:rPr>
          <w:lang w:val="en-GB"/>
        </w:rPr>
        <w:t xml:space="preserve">DGV </w:t>
      </w:r>
      <w:r w:rsidRPr="00D93FF9">
        <w:rPr>
          <w:lang w:val="en-GB"/>
        </w:rPr>
        <w:t xml:space="preserve">and </w:t>
      </w:r>
      <w:r w:rsidR="006D735C" w:rsidRPr="00D93FF9">
        <w:rPr>
          <w:lang w:val="en-GB"/>
        </w:rPr>
        <w:t xml:space="preserve">SGV </w:t>
      </w:r>
      <w:r w:rsidRPr="00D93FF9">
        <w:rPr>
          <w:lang w:val="en-GB"/>
        </w:rPr>
        <w:t xml:space="preserve">for </w:t>
      </w:r>
      <w:r w:rsidRPr="00D93FF9">
        <w:rPr>
          <w:spacing w:val="-3"/>
          <w:lang w:val="en-GB"/>
        </w:rPr>
        <w:t xml:space="preserve">zinc </w:t>
      </w:r>
      <w:r w:rsidRPr="00D93FF9">
        <w:rPr>
          <w:lang w:val="en-GB"/>
        </w:rPr>
        <w:t xml:space="preserve">are 2 </w:t>
      </w:r>
      <w:r w:rsidRPr="00D93FF9">
        <w:rPr>
          <w:spacing w:val="-4"/>
          <w:lang w:val="en-GB"/>
        </w:rPr>
        <w:t xml:space="preserve">mg/L </w:t>
      </w:r>
      <w:r w:rsidRPr="00D93FF9">
        <w:rPr>
          <w:lang w:val="en-GB"/>
        </w:rPr>
        <w:t xml:space="preserve">and 5 </w:t>
      </w:r>
      <w:r w:rsidRPr="00D93FF9">
        <w:rPr>
          <w:spacing w:val="-4"/>
          <w:lang w:val="en-GB"/>
        </w:rPr>
        <w:t xml:space="preserve">mg/L, respectively. </w:t>
      </w:r>
      <w:r w:rsidRPr="00D93FF9">
        <w:rPr>
          <w:lang w:val="en-GB"/>
        </w:rPr>
        <w:t xml:space="preserve">The </w:t>
      </w:r>
      <w:r w:rsidR="006D735C" w:rsidRPr="00D93FF9">
        <w:rPr>
          <w:lang w:val="en-GB"/>
        </w:rPr>
        <w:t xml:space="preserve">DGV </w:t>
      </w:r>
      <w:r w:rsidRPr="00D93FF9">
        <w:rPr>
          <w:lang w:val="en-GB"/>
        </w:rPr>
        <w:t xml:space="preserve">and </w:t>
      </w:r>
      <w:r w:rsidR="006D735C" w:rsidRPr="00D93FF9">
        <w:rPr>
          <w:lang w:val="en-GB"/>
        </w:rPr>
        <w:t xml:space="preserve">SGV </w:t>
      </w:r>
      <w:r w:rsidRPr="00D93FF9">
        <w:rPr>
          <w:spacing w:val="-3"/>
          <w:lang w:val="en-GB"/>
        </w:rPr>
        <w:t xml:space="preserve">would allow zinc concentrations </w:t>
      </w:r>
      <w:r w:rsidRPr="00D93FF9">
        <w:rPr>
          <w:lang w:val="en-GB"/>
        </w:rPr>
        <w:t xml:space="preserve">in </w:t>
      </w:r>
      <w:r w:rsidRPr="00D93FF9">
        <w:rPr>
          <w:spacing w:val="-3"/>
          <w:lang w:val="en-GB"/>
        </w:rPr>
        <w:t xml:space="preserve">soil </w:t>
      </w:r>
      <w:r w:rsidRPr="00D93FF9">
        <w:rPr>
          <w:lang w:val="en-GB"/>
        </w:rPr>
        <w:t xml:space="preserve">to </w:t>
      </w:r>
      <w:r w:rsidRPr="00D93FF9">
        <w:rPr>
          <w:spacing w:val="-3"/>
          <w:lang w:val="en-GB"/>
        </w:rPr>
        <w:t xml:space="preserve">reach over 1000 </w:t>
      </w:r>
      <w:r w:rsidRPr="00D93FF9">
        <w:rPr>
          <w:lang w:val="en-GB"/>
        </w:rPr>
        <w:t xml:space="preserve">and </w:t>
      </w:r>
      <w:r w:rsidRPr="00D93FF9">
        <w:rPr>
          <w:spacing w:val="-3"/>
          <w:lang w:val="en-GB"/>
        </w:rPr>
        <w:t xml:space="preserve">500 </w:t>
      </w:r>
      <w:r w:rsidRPr="00D93FF9">
        <w:rPr>
          <w:spacing w:val="-5"/>
          <w:lang w:val="en-GB"/>
        </w:rPr>
        <w:t xml:space="preserve">mg/kg, </w:t>
      </w:r>
      <w:r w:rsidRPr="00D93FF9">
        <w:rPr>
          <w:spacing w:val="-3"/>
          <w:lang w:val="en-GB"/>
        </w:rPr>
        <w:t xml:space="preserve">respectively, </w:t>
      </w:r>
      <w:r w:rsidRPr="00D93FF9">
        <w:rPr>
          <w:lang w:val="en-GB"/>
        </w:rPr>
        <w:t xml:space="preserve">using the </w:t>
      </w:r>
      <w:r w:rsidRPr="00D93FF9">
        <w:rPr>
          <w:spacing w:val="-3"/>
          <w:lang w:val="en-GB"/>
        </w:rPr>
        <w:t xml:space="preserve">previously </w:t>
      </w:r>
      <w:r w:rsidRPr="00D93FF9">
        <w:rPr>
          <w:lang w:val="en-GB"/>
        </w:rPr>
        <w:t xml:space="preserve">stated </w:t>
      </w:r>
      <w:r w:rsidRPr="00D93FF9">
        <w:rPr>
          <w:spacing w:val="-3"/>
          <w:lang w:val="en-GB"/>
        </w:rPr>
        <w:t xml:space="preserve">assumptions. </w:t>
      </w:r>
      <w:r w:rsidRPr="00D93FF9">
        <w:rPr>
          <w:lang w:val="en-GB"/>
        </w:rPr>
        <w:t xml:space="preserve">These soil </w:t>
      </w:r>
      <w:r w:rsidRPr="00D93FF9">
        <w:rPr>
          <w:spacing w:val="-3"/>
          <w:lang w:val="en-GB"/>
        </w:rPr>
        <w:t xml:space="preserve">zinc </w:t>
      </w:r>
      <w:r w:rsidRPr="00D93FF9">
        <w:rPr>
          <w:lang w:val="en-GB"/>
        </w:rPr>
        <w:t xml:space="preserve">concentrations are </w:t>
      </w:r>
      <w:r w:rsidRPr="00D93FF9">
        <w:rPr>
          <w:spacing w:val="-3"/>
          <w:lang w:val="en-GB"/>
        </w:rPr>
        <w:t xml:space="preserve">likely </w:t>
      </w:r>
      <w:r w:rsidRPr="00D93FF9">
        <w:rPr>
          <w:lang w:val="en-GB"/>
        </w:rPr>
        <w:t xml:space="preserve">to lead to </w:t>
      </w:r>
      <w:r w:rsidRPr="00D93FF9">
        <w:rPr>
          <w:spacing w:val="-3"/>
          <w:lang w:val="en-GB"/>
        </w:rPr>
        <w:t xml:space="preserve">severe adverse </w:t>
      </w:r>
      <w:r w:rsidRPr="00D93FF9">
        <w:rPr>
          <w:lang w:val="en-GB"/>
        </w:rPr>
        <w:t xml:space="preserve">effects on both plant and </w:t>
      </w:r>
      <w:r w:rsidRPr="00D93FF9">
        <w:rPr>
          <w:spacing w:val="-3"/>
          <w:lang w:val="en-GB"/>
        </w:rPr>
        <w:t xml:space="preserve">soil </w:t>
      </w:r>
      <w:r w:rsidRPr="00D93FF9">
        <w:rPr>
          <w:lang w:val="en-GB"/>
        </w:rPr>
        <w:t xml:space="preserve">biota in </w:t>
      </w:r>
      <w:r w:rsidRPr="00D93FF9">
        <w:rPr>
          <w:spacing w:val="-3"/>
          <w:lang w:val="en-GB"/>
        </w:rPr>
        <w:t>high</w:t>
      </w:r>
      <w:r w:rsidR="00B76A0B" w:rsidRPr="00D93FF9">
        <w:rPr>
          <w:spacing w:val="-3"/>
          <w:lang w:val="en-GB"/>
        </w:rPr>
        <w:t>-</w:t>
      </w:r>
      <w:r w:rsidRPr="00D93FF9">
        <w:rPr>
          <w:lang w:val="en-GB"/>
        </w:rPr>
        <w:t xml:space="preserve">risk </w:t>
      </w:r>
      <w:r w:rsidRPr="00D93FF9">
        <w:rPr>
          <w:spacing w:val="-3"/>
          <w:lang w:val="en-GB"/>
        </w:rPr>
        <w:t xml:space="preserve">soils (e.g. sandy, </w:t>
      </w:r>
      <w:r w:rsidRPr="00D93FF9">
        <w:rPr>
          <w:spacing w:val="-2"/>
          <w:lang w:val="en-GB"/>
        </w:rPr>
        <w:t xml:space="preserve">acidic </w:t>
      </w:r>
      <w:r w:rsidRPr="00D93FF9">
        <w:rPr>
          <w:lang w:val="en-GB"/>
        </w:rPr>
        <w:t xml:space="preserve">soils). </w:t>
      </w:r>
      <w:r w:rsidR="006D735C" w:rsidRPr="00D93FF9">
        <w:rPr>
          <w:lang w:val="en-GB"/>
        </w:rPr>
        <w:t>The ACL for zinc is 300 mg/kg, equating to approximately 154 mg/kg applied to the top 0.15 m of the soil</w:t>
      </w:r>
      <w:r w:rsidR="00B76A0B" w:rsidRPr="00D93FF9">
        <w:rPr>
          <w:lang w:val="en-GB"/>
        </w:rPr>
        <w:t>.</w:t>
      </w:r>
      <w:r w:rsidR="006D735C" w:rsidRPr="00D93FF9">
        <w:rPr>
          <w:lang w:val="en-GB"/>
        </w:rPr>
        <w:t xml:space="preserve"> </w:t>
      </w:r>
      <w:r w:rsidRPr="00D93FF9">
        <w:rPr>
          <w:lang w:val="en-GB"/>
        </w:rPr>
        <w:t xml:space="preserve">The </w:t>
      </w:r>
      <w:r w:rsidR="006D735C" w:rsidRPr="00D93FF9">
        <w:rPr>
          <w:spacing w:val="-3"/>
          <w:lang w:val="en-GB"/>
        </w:rPr>
        <w:t>ACL</w:t>
      </w:r>
      <w:r w:rsidRPr="00D93FF9">
        <w:rPr>
          <w:spacing w:val="-3"/>
          <w:lang w:val="en-GB"/>
        </w:rPr>
        <w:t xml:space="preserve"> </w:t>
      </w:r>
      <w:r w:rsidRPr="00D93FF9">
        <w:rPr>
          <w:lang w:val="en-GB"/>
        </w:rPr>
        <w:t xml:space="preserve">has been introduced to </w:t>
      </w:r>
      <w:r w:rsidRPr="00D93FF9">
        <w:rPr>
          <w:spacing w:val="-3"/>
          <w:lang w:val="en-GB"/>
        </w:rPr>
        <w:t xml:space="preserve">avoid </w:t>
      </w:r>
      <w:r w:rsidRPr="00D93FF9">
        <w:rPr>
          <w:lang w:val="en-GB"/>
        </w:rPr>
        <w:t xml:space="preserve">this undesirable situation, but still allow </w:t>
      </w:r>
      <w:r w:rsidR="006D735C" w:rsidRPr="00D93FF9">
        <w:rPr>
          <w:lang w:val="en-GB"/>
        </w:rPr>
        <w:t xml:space="preserve">for the </w:t>
      </w:r>
      <w:r w:rsidRPr="00D93FF9">
        <w:rPr>
          <w:spacing w:val="-3"/>
          <w:lang w:val="en-GB"/>
        </w:rPr>
        <w:t xml:space="preserve">assessment </w:t>
      </w:r>
      <w:r w:rsidRPr="00D93FF9">
        <w:rPr>
          <w:lang w:val="en-GB"/>
        </w:rPr>
        <w:t xml:space="preserve">of </w:t>
      </w:r>
      <w:r w:rsidRPr="00D93FF9">
        <w:rPr>
          <w:spacing w:val="-3"/>
          <w:lang w:val="en-GB"/>
        </w:rPr>
        <w:t xml:space="preserve">environmental risks </w:t>
      </w:r>
      <w:r w:rsidRPr="00D93FF9">
        <w:rPr>
          <w:lang w:val="en-GB"/>
        </w:rPr>
        <w:t xml:space="preserve">due to </w:t>
      </w:r>
      <w:r w:rsidRPr="00D93FF9">
        <w:rPr>
          <w:spacing w:val="-3"/>
          <w:lang w:val="en-GB"/>
        </w:rPr>
        <w:t xml:space="preserve">contaminants </w:t>
      </w:r>
      <w:r w:rsidRPr="00D93FF9">
        <w:rPr>
          <w:lang w:val="en-GB"/>
        </w:rPr>
        <w:t xml:space="preserve">in </w:t>
      </w:r>
      <w:r w:rsidRPr="00D93FF9">
        <w:rPr>
          <w:spacing w:val="-3"/>
          <w:lang w:val="en-GB"/>
        </w:rPr>
        <w:t xml:space="preserve">irrigation </w:t>
      </w:r>
      <w:r w:rsidRPr="00D93FF9">
        <w:rPr>
          <w:lang w:val="en-GB"/>
        </w:rPr>
        <w:t xml:space="preserve">water using only a </w:t>
      </w:r>
      <w:r w:rsidRPr="00D93FF9">
        <w:rPr>
          <w:spacing w:val="-3"/>
          <w:lang w:val="en-GB"/>
        </w:rPr>
        <w:t xml:space="preserve">water analysis, </w:t>
      </w:r>
      <w:r w:rsidRPr="00D93FF9">
        <w:rPr>
          <w:lang w:val="en-GB"/>
        </w:rPr>
        <w:t xml:space="preserve">rather than a specialised soil </w:t>
      </w:r>
      <w:r w:rsidRPr="00D93FF9">
        <w:rPr>
          <w:spacing w:val="-3"/>
          <w:lang w:val="en-GB"/>
        </w:rPr>
        <w:t xml:space="preserve">sampling </w:t>
      </w:r>
      <w:r w:rsidRPr="00D93FF9">
        <w:rPr>
          <w:lang w:val="en-GB"/>
        </w:rPr>
        <w:t xml:space="preserve">and </w:t>
      </w:r>
      <w:r w:rsidRPr="00D93FF9">
        <w:rPr>
          <w:spacing w:val="-3"/>
          <w:lang w:val="en-GB"/>
        </w:rPr>
        <w:t>analysis program.</w:t>
      </w:r>
    </w:p>
    <w:p w14:paraId="59DCCF7D" w14:textId="5FCD166C" w:rsidR="00C46175" w:rsidRPr="00D93FF9" w:rsidRDefault="00E811B8" w:rsidP="006C0312">
      <w:pPr>
        <w:pStyle w:val="BodyText"/>
        <w:spacing w:after="0" w:line="266" w:lineRule="auto"/>
        <w:jc w:val="both"/>
        <w:rPr>
          <w:lang w:val="en-GB"/>
        </w:rPr>
      </w:pPr>
      <w:r w:rsidRPr="00D93FF9">
        <w:rPr>
          <w:lang w:val="en-GB"/>
        </w:rPr>
        <w:t xml:space="preserve">Agricultural irrigation water </w:t>
      </w:r>
      <w:r w:rsidR="00553FF9" w:rsidRPr="00D93FF9">
        <w:rPr>
          <w:lang w:val="en-GB"/>
        </w:rPr>
        <w:t>DGV</w:t>
      </w:r>
      <w:r w:rsidRPr="00D93FF9">
        <w:rPr>
          <w:lang w:val="en-GB"/>
        </w:rPr>
        <w:t xml:space="preserve">, </w:t>
      </w:r>
      <w:r w:rsidR="00553FF9" w:rsidRPr="00D93FF9">
        <w:rPr>
          <w:lang w:val="en-GB"/>
        </w:rPr>
        <w:t>SGV</w:t>
      </w:r>
      <w:r w:rsidR="006D735C" w:rsidRPr="00D93FF9">
        <w:rPr>
          <w:lang w:val="en-GB"/>
        </w:rPr>
        <w:t xml:space="preserve"> </w:t>
      </w:r>
      <w:r w:rsidRPr="00D93FF9">
        <w:rPr>
          <w:lang w:val="en-GB"/>
        </w:rPr>
        <w:t xml:space="preserve">and soil </w:t>
      </w:r>
      <w:r w:rsidR="006D735C" w:rsidRPr="00D93FF9">
        <w:rPr>
          <w:lang w:val="en-GB"/>
        </w:rPr>
        <w:t>ACL</w:t>
      </w:r>
      <w:r w:rsidRPr="00D93FF9">
        <w:rPr>
          <w:lang w:val="en-GB"/>
        </w:rPr>
        <w:t xml:space="preserve"> guidelines for a range of metals and metalloids are summarised in</w:t>
      </w:r>
      <w:r w:rsidR="00014BF7" w:rsidRPr="00D93FF9">
        <w:rPr>
          <w:lang w:val="en-GB"/>
        </w:rPr>
        <w:t xml:space="preserve"> </w:t>
      </w:r>
      <w:r w:rsidR="00014BF7" w:rsidRPr="00D93FF9">
        <w:rPr>
          <w:lang w:val="en-GB"/>
        </w:rPr>
        <w:fldChar w:fldCharType="begin"/>
      </w:r>
      <w:r w:rsidR="00014BF7" w:rsidRPr="00D93FF9">
        <w:rPr>
          <w:lang w:val="en-GB"/>
        </w:rPr>
        <w:instrText xml:space="preserve"> REF _Ref81393975 \h </w:instrText>
      </w:r>
      <w:r w:rsidR="00D93FF9">
        <w:rPr>
          <w:lang w:val="en-GB"/>
        </w:rPr>
        <w:instrText xml:space="preserve"> \* MERGEFORMAT </w:instrText>
      </w:r>
      <w:r w:rsidR="00014BF7" w:rsidRPr="00D93FF9">
        <w:rPr>
          <w:lang w:val="en-GB"/>
        </w:rPr>
      </w:r>
      <w:r w:rsidR="00014BF7" w:rsidRPr="00D93FF9">
        <w:rPr>
          <w:lang w:val="en-GB"/>
        </w:rPr>
        <w:fldChar w:fldCharType="separate"/>
      </w:r>
      <w:r w:rsidR="0069302C" w:rsidRPr="00D93FF9">
        <w:t xml:space="preserve">Table </w:t>
      </w:r>
      <w:r w:rsidR="0069302C">
        <w:rPr>
          <w:noProof/>
        </w:rPr>
        <w:t>23</w:t>
      </w:r>
      <w:r w:rsidR="00014BF7" w:rsidRPr="00D93FF9">
        <w:rPr>
          <w:lang w:val="en-GB"/>
        </w:rPr>
        <w:fldChar w:fldCharType="end"/>
      </w:r>
      <w:r w:rsidRPr="00D93FF9">
        <w:rPr>
          <w:lang w:val="en-GB"/>
        </w:rPr>
        <w:t>.</w:t>
      </w:r>
      <w:r w:rsidR="006D735C" w:rsidRPr="00D93FF9">
        <w:rPr>
          <w:lang w:val="en-GB"/>
        </w:rPr>
        <w:t xml:space="preserve"> </w:t>
      </w:r>
      <w:r w:rsidR="006D735C" w:rsidRPr="00D93FF9">
        <w:t>The DGV should be used as the first screen as to determine a potential long-term impact if the DGV is exceeded, and superseded by good scientific assessment for use of the SGV recommend or an SGV determined for a specific site, where there is sufficient data to ensure a high level confidence in a derived SGV.</w:t>
      </w:r>
    </w:p>
    <w:p w14:paraId="59DCCF7E" w14:textId="77777777" w:rsidR="00C46175" w:rsidRPr="00D93FF9" w:rsidRDefault="00C46175" w:rsidP="003807A1">
      <w:pPr>
        <w:spacing w:after="0" w:line="266" w:lineRule="auto"/>
        <w:jc w:val="both"/>
        <w:rPr>
          <w:lang w:val="en-GB"/>
        </w:rPr>
        <w:sectPr w:rsidR="00C46175" w:rsidRPr="00D93FF9" w:rsidSect="003807A1">
          <w:headerReference w:type="even" r:id="rId42"/>
          <w:headerReference w:type="default" r:id="rId43"/>
          <w:footerReference w:type="default" r:id="rId44"/>
          <w:headerReference w:type="first" r:id="rId45"/>
          <w:type w:val="continuous"/>
          <w:pgSz w:w="11900" w:h="16840"/>
          <w:pgMar w:top="1440" w:right="1440" w:bottom="1440" w:left="1440" w:header="720" w:footer="720" w:gutter="0"/>
          <w:cols w:space="720"/>
        </w:sectPr>
      </w:pPr>
    </w:p>
    <w:p w14:paraId="59DCCF7F" w14:textId="362C9580" w:rsidR="00C46175" w:rsidRPr="009B6411" w:rsidRDefault="00014BF7" w:rsidP="00014BF7">
      <w:pPr>
        <w:pStyle w:val="Caption"/>
        <w:rPr>
          <w:rFonts w:ascii="Arial"/>
          <w:sz w:val="18"/>
          <w:lang w:val="en-GB"/>
        </w:rPr>
      </w:pPr>
      <w:bookmarkStart w:id="223" w:name="_Ref81393907"/>
      <w:bookmarkStart w:id="224" w:name="_Toc96518236"/>
      <w:r w:rsidRPr="009B6411">
        <w:rPr>
          <w:rFonts w:ascii="Arial"/>
          <w:sz w:val="18"/>
          <w:lang w:val="en-GB"/>
        </w:rPr>
        <w:lastRenderedPageBreak/>
        <w:t xml:space="preserve">Table </w:t>
      </w:r>
      <w:r w:rsidR="00477102" w:rsidRPr="009B6411">
        <w:rPr>
          <w:rFonts w:ascii="Arial"/>
          <w:sz w:val="18"/>
          <w:lang w:val="en-GB"/>
        </w:rPr>
        <w:fldChar w:fldCharType="begin"/>
      </w:r>
      <w:r w:rsidR="00477102" w:rsidRPr="009B6411">
        <w:rPr>
          <w:rFonts w:ascii="Arial"/>
          <w:sz w:val="18"/>
          <w:lang w:val="en-GB"/>
        </w:rPr>
        <w:instrText xml:space="preserve"> SEQ Table \* ARABIC </w:instrText>
      </w:r>
      <w:r w:rsidR="00477102" w:rsidRPr="009B6411">
        <w:rPr>
          <w:rFonts w:ascii="Arial"/>
          <w:sz w:val="18"/>
          <w:lang w:val="en-GB"/>
        </w:rPr>
        <w:fldChar w:fldCharType="separate"/>
      </w:r>
      <w:r w:rsidR="0069302C">
        <w:rPr>
          <w:rFonts w:ascii="Arial"/>
          <w:noProof/>
          <w:sz w:val="18"/>
          <w:lang w:val="en-GB"/>
        </w:rPr>
        <w:t>22</w:t>
      </w:r>
      <w:r w:rsidR="00477102" w:rsidRPr="009B6411">
        <w:rPr>
          <w:rFonts w:ascii="Arial"/>
          <w:sz w:val="18"/>
          <w:lang w:val="en-GB"/>
        </w:rPr>
        <w:fldChar w:fldCharType="end"/>
      </w:r>
      <w:bookmarkEnd w:id="223"/>
      <w:r w:rsidRPr="009B6411">
        <w:rPr>
          <w:rFonts w:ascii="Arial"/>
          <w:sz w:val="18"/>
          <w:lang w:val="en-GB"/>
        </w:rPr>
        <w:t xml:space="preserve"> </w:t>
      </w:r>
      <w:bookmarkStart w:id="225" w:name="_Hlk153812695"/>
      <w:r w:rsidR="00E90CE0" w:rsidRPr="009B6411">
        <w:rPr>
          <w:rFonts w:ascii="Arial"/>
          <w:sz w:val="18"/>
          <w:lang w:val="en-GB"/>
        </w:rPr>
        <w:t xml:space="preserve">Datasets used to derive suggested upper background values for uncontaminated Australian </w:t>
      </w:r>
      <w:r w:rsidR="006D710B" w:rsidRPr="009B6411">
        <w:rPr>
          <w:rFonts w:ascii="Arial"/>
          <w:sz w:val="18"/>
          <w:lang w:val="en-GB"/>
        </w:rPr>
        <w:t xml:space="preserve">and New Zealand </w:t>
      </w:r>
      <w:r w:rsidR="00E90CE0" w:rsidRPr="009B6411">
        <w:rPr>
          <w:rFonts w:ascii="Arial"/>
          <w:sz w:val="18"/>
          <w:lang w:val="en-GB"/>
        </w:rPr>
        <w:t>soils</w:t>
      </w:r>
      <w:bookmarkEnd w:id="224"/>
      <w:bookmarkEnd w:id="225"/>
    </w:p>
    <w:tbl>
      <w:tblPr>
        <w:tblStyle w:val="TableGrid"/>
        <w:tblW w:w="143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Datasets used to derive suggested upper background values for uncontaminated Australian and New Zealand soils"/>
        <w:tblDescription w:val="A summary of data from different studies on the upper background guideline values for a range of metals in uncontaminated Australian and New Zealand soils. Values for a range of concentrations and the mean concentrations for each metal are shown."/>
      </w:tblPr>
      <w:tblGrid>
        <w:gridCol w:w="791"/>
        <w:gridCol w:w="767"/>
        <w:gridCol w:w="768"/>
        <w:gridCol w:w="817"/>
        <w:gridCol w:w="792"/>
        <w:gridCol w:w="763"/>
        <w:gridCol w:w="812"/>
        <w:gridCol w:w="852"/>
        <w:gridCol w:w="762"/>
        <w:gridCol w:w="811"/>
        <w:gridCol w:w="764"/>
        <w:gridCol w:w="763"/>
        <w:gridCol w:w="763"/>
        <w:gridCol w:w="762"/>
        <w:gridCol w:w="812"/>
        <w:gridCol w:w="1167"/>
        <w:gridCol w:w="1351"/>
      </w:tblGrid>
      <w:tr w:rsidR="0006688D" w:rsidRPr="00D93FF9" w14:paraId="59DCCF8B" w14:textId="0ABC567D" w:rsidTr="00FE08A8">
        <w:trPr>
          <w:trHeight w:val="284"/>
        </w:trPr>
        <w:tc>
          <w:tcPr>
            <w:tcW w:w="791" w:type="dxa"/>
          </w:tcPr>
          <w:p w14:paraId="59DCCF80" w14:textId="77777777" w:rsidR="0006688D" w:rsidRPr="00D93FF9" w:rsidRDefault="0006688D" w:rsidP="00055891">
            <w:pPr>
              <w:spacing w:before="0" w:after="0"/>
              <w:rPr>
                <w:lang w:val="en-GB" w:bidi="en-US"/>
              </w:rPr>
            </w:pPr>
          </w:p>
        </w:tc>
        <w:tc>
          <w:tcPr>
            <w:tcW w:w="2352" w:type="dxa"/>
            <w:gridSpan w:val="3"/>
          </w:tcPr>
          <w:p w14:paraId="59DCCF81" w14:textId="77777777" w:rsidR="0006688D" w:rsidRPr="00D93FF9" w:rsidRDefault="0006688D" w:rsidP="00055891">
            <w:pPr>
              <w:spacing w:before="0" w:after="0"/>
              <w:rPr>
                <w:lang w:val="en-GB" w:bidi="en-US"/>
              </w:rPr>
            </w:pPr>
            <w:r w:rsidRPr="00D93FF9">
              <w:rPr>
                <w:lang w:val="en-GB" w:bidi="en-US"/>
              </w:rPr>
              <w:t>Olszowy et al. (1995)</w:t>
            </w:r>
          </w:p>
          <w:p w14:paraId="59DCCF82" w14:textId="77777777" w:rsidR="0006688D" w:rsidRPr="00D93FF9" w:rsidRDefault="0006688D" w:rsidP="00055891">
            <w:pPr>
              <w:spacing w:before="0" w:after="0"/>
              <w:rPr>
                <w:lang w:val="en-GB" w:bidi="en-US"/>
              </w:rPr>
            </w:pPr>
            <w:r w:rsidRPr="00D93FF9">
              <w:rPr>
                <w:lang w:val="en-GB" w:bidi="en-US"/>
              </w:rPr>
              <w:t>Number of samples = 120</w:t>
            </w:r>
          </w:p>
        </w:tc>
        <w:tc>
          <w:tcPr>
            <w:tcW w:w="2367" w:type="dxa"/>
            <w:gridSpan w:val="3"/>
          </w:tcPr>
          <w:p w14:paraId="59DCCF83" w14:textId="77777777" w:rsidR="0006688D" w:rsidRPr="00D93FF9" w:rsidRDefault="0006688D" w:rsidP="00055891">
            <w:pPr>
              <w:spacing w:before="0" w:after="0"/>
              <w:rPr>
                <w:lang w:val="en-GB" w:bidi="en-US"/>
              </w:rPr>
            </w:pPr>
            <w:r w:rsidRPr="00D93FF9">
              <w:rPr>
                <w:lang w:val="en-GB" w:bidi="en-US"/>
              </w:rPr>
              <w:t>Barry (1997)</w:t>
            </w:r>
          </w:p>
          <w:p w14:paraId="59DCCF84" w14:textId="77777777" w:rsidR="0006688D" w:rsidRPr="00D93FF9" w:rsidRDefault="0006688D" w:rsidP="00055891">
            <w:pPr>
              <w:spacing w:before="0" w:after="0"/>
              <w:rPr>
                <w:lang w:val="en-GB" w:bidi="en-US"/>
              </w:rPr>
            </w:pPr>
            <w:r w:rsidRPr="00D93FF9">
              <w:rPr>
                <w:lang w:val="en-GB" w:bidi="en-US"/>
              </w:rPr>
              <w:t>Number of samples = 120</w:t>
            </w:r>
          </w:p>
        </w:tc>
        <w:tc>
          <w:tcPr>
            <w:tcW w:w="2425" w:type="dxa"/>
            <w:gridSpan w:val="3"/>
          </w:tcPr>
          <w:p w14:paraId="59DCCF85" w14:textId="77777777" w:rsidR="0006688D" w:rsidRPr="00D93FF9" w:rsidRDefault="0006688D" w:rsidP="00055891">
            <w:pPr>
              <w:spacing w:before="0" w:after="0"/>
              <w:rPr>
                <w:lang w:val="en-GB" w:bidi="en-US"/>
              </w:rPr>
            </w:pPr>
            <w:r w:rsidRPr="00D93FF9">
              <w:rPr>
                <w:lang w:val="en-GB" w:bidi="en-US"/>
              </w:rPr>
              <w:t>CSIRO (unpublished)</w:t>
            </w:r>
          </w:p>
          <w:p w14:paraId="59DCCF86" w14:textId="77777777" w:rsidR="0006688D" w:rsidRPr="00D93FF9" w:rsidRDefault="0006688D" w:rsidP="00055891">
            <w:pPr>
              <w:spacing w:before="0" w:after="0"/>
              <w:rPr>
                <w:lang w:val="en-GB" w:bidi="en-US"/>
              </w:rPr>
            </w:pPr>
            <w:r w:rsidRPr="00D93FF9">
              <w:rPr>
                <w:lang w:val="en-GB" w:bidi="en-US"/>
              </w:rPr>
              <w:t>Number of samples = 350</w:t>
            </w:r>
          </w:p>
        </w:tc>
        <w:tc>
          <w:tcPr>
            <w:tcW w:w="1527" w:type="dxa"/>
            <w:gridSpan w:val="2"/>
          </w:tcPr>
          <w:p w14:paraId="59DCCF87" w14:textId="77777777" w:rsidR="0006688D" w:rsidRPr="00D93FF9" w:rsidRDefault="0006688D" w:rsidP="00055891">
            <w:pPr>
              <w:spacing w:before="0" w:after="0"/>
              <w:rPr>
                <w:lang w:val="en-GB" w:bidi="en-US"/>
              </w:rPr>
            </w:pPr>
            <w:r w:rsidRPr="00D93FF9">
              <w:rPr>
                <w:lang w:val="en-GB" w:bidi="en-US"/>
              </w:rPr>
              <w:t>Tiller (1983)</w:t>
            </w:r>
          </w:p>
          <w:p w14:paraId="59DCCF88" w14:textId="77777777" w:rsidR="0006688D" w:rsidRPr="00D93FF9" w:rsidRDefault="0006688D" w:rsidP="00055891">
            <w:pPr>
              <w:spacing w:before="0" w:after="0"/>
              <w:rPr>
                <w:lang w:val="en-GB" w:bidi="en-US"/>
              </w:rPr>
            </w:pPr>
            <w:r w:rsidRPr="00D93FF9">
              <w:rPr>
                <w:lang w:val="en-GB" w:bidi="en-US"/>
              </w:rPr>
              <w:t>Number of samples not stated</w:t>
            </w:r>
          </w:p>
        </w:tc>
        <w:tc>
          <w:tcPr>
            <w:tcW w:w="2337" w:type="dxa"/>
            <w:gridSpan w:val="3"/>
          </w:tcPr>
          <w:p w14:paraId="59DCCF89" w14:textId="693A6BDF" w:rsidR="0006688D" w:rsidRPr="00D93FF9" w:rsidRDefault="0006688D" w:rsidP="00055891">
            <w:pPr>
              <w:spacing w:before="0" w:after="0"/>
              <w:rPr>
                <w:lang w:val="en-GB" w:bidi="en-US"/>
              </w:rPr>
            </w:pPr>
            <w:r w:rsidRPr="00D93FF9">
              <w:rPr>
                <w:lang w:val="en-GB" w:bidi="en-US"/>
              </w:rPr>
              <w:t xml:space="preserve">Spouncer </w:t>
            </w:r>
            <w:r w:rsidR="00FA6E9E" w:rsidRPr="00D93FF9">
              <w:rPr>
                <w:lang w:val="en-GB" w:bidi="en-US"/>
              </w:rPr>
              <w:t>and</w:t>
            </w:r>
            <w:r w:rsidRPr="00D93FF9">
              <w:rPr>
                <w:lang w:val="en-GB" w:bidi="en-US"/>
              </w:rPr>
              <w:t xml:space="preserve"> Mowat (1991a-d)</w:t>
            </w:r>
          </w:p>
          <w:p w14:paraId="59DCCF8A" w14:textId="77777777" w:rsidR="0006688D" w:rsidRPr="00D93FF9" w:rsidRDefault="0006688D" w:rsidP="00055891">
            <w:pPr>
              <w:spacing w:before="0" w:after="0"/>
              <w:rPr>
                <w:lang w:val="en-GB" w:bidi="en-US"/>
              </w:rPr>
            </w:pPr>
            <w:r w:rsidRPr="00D93FF9">
              <w:rPr>
                <w:lang w:val="en-GB" w:bidi="en-US"/>
              </w:rPr>
              <w:t>Number of samples = 209</w:t>
            </w:r>
          </w:p>
        </w:tc>
        <w:tc>
          <w:tcPr>
            <w:tcW w:w="2518" w:type="dxa"/>
            <w:gridSpan w:val="2"/>
          </w:tcPr>
          <w:p w14:paraId="7AA6746E" w14:textId="77777777" w:rsidR="00C11A92" w:rsidRPr="00D93FF9" w:rsidRDefault="0006688D" w:rsidP="006D710B">
            <w:pPr>
              <w:spacing w:after="0"/>
              <w:rPr>
                <w:lang w:val="en-GB" w:bidi="en-US"/>
              </w:rPr>
            </w:pPr>
            <w:r w:rsidRPr="00D93FF9">
              <w:rPr>
                <w:szCs w:val="24"/>
              </w:rPr>
              <w:t>Cavanagh et al</w:t>
            </w:r>
            <w:r w:rsidRPr="00D93FF9">
              <w:rPr>
                <w:i/>
                <w:iCs/>
                <w:szCs w:val="24"/>
              </w:rPr>
              <w:t>.</w:t>
            </w:r>
            <w:r w:rsidRPr="00D93FF9">
              <w:rPr>
                <w:szCs w:val="24"/>
              </w:rPr>
              <w:t xml:space="preserve"> </w:t>
            </w:r>
            <w:r w:rsidRPr="00D93FF9">
              <w:rPr>
                <w:lang w:val="en-GB" w:bidi="en-US"/>
              </w:rPr>
              <w:fldChar w:fldCharType="begin"/>
            </w:r>
            <w:r w:rsidRPr="00D93FF9">
              <w:rPr>
                <w:lang w:val="en-GB" w:bidi="en-US"/>
              </w:rPr>
              <w:instrText xml:space="preserve"> ADDIN ZOTERO_ITEM CSL_CITATION {"citationID":"we8zsLIt","properties":{"formattedCitation":"(2015)","plainCitation":"(2015)","noteIndex":0},"citationItems":[{"id":35221,"uris":["http://zotero.org/users/1938757/items/GFLQA7VM"],"uri":["http://zotero.org/users/1938757/items/GFLQA7VM"],"itemData":{"id":35221,"type":"report","publisher":"Landcare, Regional Council Waste and Contaminated Land Forum, Land Monitoring Forum Land Managers Group, Ministry for the Environment Ministry for Primary Industries","title":"Background soil concentrations of selected trace elements and organic contaminants in New Zealand. Envirolink Tools Grant: C09X1402","URL":"https://www.envirolink.govt.nz/assets/Envirolink/R10-420Background20soil20concentrations20of20selected20trace20elements20and20organic20contaminants20in20New20Zealand20.pdf","author":[{"family":"Cavanagh","given":"Jo-Anne E"},{"family":"McNeill","given":"Stephen"},{"family":"Arienti","given":"Cecilia"},{"family":"Rattenbury","given":"Mark"}],"issued":{"date-parts":[["2015"]]}},"suppress-author":true}],"schema":"https://github.com/citation-style-language/schema/raw/master/csl-citation.json"} </w:instrText>
            </w:r>
            <w:r w:rsidRPr="00D93FF9">
              <w:rPr>
                <w:lang w:val="en-GB" w:bidi="en-US"/>
              </w:rPr>
              <w:fldChar w:fldCharType="separate"/>
            </w:r>
            <w:r w:rsidRPr="00D93FF9">
              <w:t>(2015)</w:t>
            </w:r>
            <w:r w:rsidRPr="00D93FF9">
              <w:rPr>
                <w:lang w:val="en-GB" w:bidi="en-US"/>
              </w:rPr>
              <w:fldChar w:fldCharType="end"/>
            </w:r>
          </w:p>
          <w:p w14:paraId="2CB5A51C" w14:textId="225038F9" w:rsidR="0006688D" w:rsidRPr="00D93FF9" w:rsidRDefault="0006688D" w:rsidP="006D710B">
            <w:pPr>
              <w:spacing w:after="0"/>
              <w:rPr>
                <w:lang w:val="en-GB" w:bidi="en-US"/>
              </w:rPr>
            </w:pPr>
            <w:r w:rsidRPr="00D93FF9">
              <w:rPr>
                <w:lang w:val="en-GB" w:bidi="en-US"/>
              </w:rPr>
              <w:t xml:space="preserve">Based on rock-groups </w:t>
            </w:r>
          </w:p>
          <w:p w14:paraId="764EA7F0" w14:textId="77777777" w:rsidR="0006688D" w:rsidRPr="00D93FF9" w:rsidRDefault="0006688D" w:rsidP="006D710B">
            <w:pPr>
              <w:spacing w:after="0"/>
              <w:rPr>
                <w:szCs w:val="24"/>
              </w:rPr>
            </w:pPr>
          </w:p>
        </w:tc>
      </w:tr>
      <w:tr w:rsidR="0006688D" w:rsidRPr="00D93FF9" w14:paraId="59DCCF92" w14:textId="428D9AAC" w:rsidTr="00FA36E8">
        <w:trPr>
          <w:trHeight w:val="284"/>
        </w:trPr>
        <w:tc>
          <w:tcPr>
            <w:tcW w:w="791" w:type="dxa"/>
            <w:tcBorders>
              <w:bottom w:val="single" w:sz="4" w:space="0" w:color="auto"/>
            </w:tcBorders>
          </w:tcPr>
          <w:p w14:paraId="59DCCF8C" w14:textId="77777777" w:rsidR="0006688D" w:rsidRPr="00D93FF9" w:rsidRDefault="0006688D" w:rsidP="00055891">
            <w:pPr>
              <w:spacing w:before="0" w:after="0"/>
              <w:rPr>
                <w:lang w:val="en-GB" w:bidi="en-US"/>
              </w:rPr>
            </w:pPr>
          </w:p>
        </w:tc>
        <w:tc>
          <w:tcPr>
            <w:tcW w:w="2352" w:type="dxa"/>
            <w:gridSpan w:val="3"/>
            <w:tcBorders>
              <w:bottom w:val="single" w:sz="4" w:space="0" w:color="auto"/>
            </w:tcBorders>
          </w:tcPr>
          <w:p w14:paraId="59DCCF8D" w14:textId="77777777" w:rsidR="0006688D" w:rsidRPr="00D93FF9" w:rsidRDefault="0006688D" w:rsidP="00055891">
            <w:pPr>
              <w:spacing w:before="0" w:after="0"/>
              <w:rPr>
                <w:lang w:val="en-GB" w:bidi="en-US"/>
              </w:rPr>
            </w:pPr>
            <w:r w:rsidRPr="00D93FF9">
              <w:rPr>
                <w:lang w:val="en-GB" w:bidi="en-US"/>
              </w:rPr>
              <w:t>Depth = 0-150mm</w:t>
            </w:r>
          </w:p>
        </w:tc>
        <w:tc>
          <w:tcPr>
            <w:tcW w:w="2367" w:type="dxa"/>
            <w:gridSpan w:val="3"/>
            <w:tcBorders>
              <w:bottom w:val="single" w:sz="4" w:space="0" w:color="auto"/>
            </w:tcBorders>
          </w:tcPr>
          <w:p w14:paraId="59DCCF8E" w14:textId="77777777" w:rsidR="0006688D" w:rsidRPr="00D93FF9" w:rsidRDefault="0006688D" w:rsidP="00055891">
            <w:pPr>
              <w:spacing w:before="0" w:after="0"/>
              <w:rPr>
                <w:lang w:val="en-GB" w:bidi="en-US"/>
              </w:rPr>
            </w:pPr>
            <w:r w:rsidRPr="00D93FF9">
              <w:rPr>
                <w:lang w:val="en-GB" w:bidi="en-US"/>
              </w:rPr>
              <w:t>Depth = 0-100mm</w:t>
            </w:r>
          </w:p>
        </w:tc>
        <w:tc>
          <w:tcPr>
            <w:tcW w:w="2425" w:type="dxa"/>
            <w:gridSpan w:val="3"/>
            <w:tcBorders>
              <w:bottom w:val="single" w:sz="4" w:space="0" w:color="auto"/>
            </w:tcBorders>
          </w:tcPr>
          <w:p w14:paraId="59DCCF8F" w14:textId="77777777" w:rsidR="0006688D" w:rsidRPr="00D93FF9" w:rsidRDefault="0006688D" w:rsidP="00055891">
            <w:pPr>
              <w:spacing w:before="0" w:after="0"/>
              <w:rPr>
                <w:lang w:val="en-GB" w:bidi="en-US"/>
              </w:rPr>
            </w:pPr>
            <w:r w:rsidRPr="00D93FF9">
              <w:rPr>
                <w:lang w:val="en-GB" w:bidi="en-US"/>
              </w:rPr>
              <w:t>Depth = 0-150mm</w:t>
            </w:r>
          </w:p>
        </w:tc>
        <w:tc>
          <w:tcPr>
            <w:tcW w:w="1527" w:type="dxa"/>
            <w:gridSpan w:val="2"/>
            <w:tcBorders>
              <w:bottom w:val="single" w:sz="4" w:space="0" w:color="auto"/>
            </w:tcBorders>
          </w:tcPr>
          <w:p w14:paraId="59DCCF90" w14:textId="77777777" w:rsidR="0006688D" w:rsidRPr="00D93FF9" w:rsidRDefault="0006688D" w:rsidP="00055891">
            <w:pPr>
              <w:spacing w:before="0" w:after="0"/>
              <w:rPr>
                <w:lang w:val="en-GB" w:bidi="en-US"/>
              </w:rPr>
            </w:pPr>
            <w:r w:rsidRPr="00D93FF9">
              <w:rPr>
                <w:lang w:val="en-GB" w:bidi="en-US"/>
              </w:rPr>
              <w:t>Depth not stated</w:t>
            </w:r>
          </w:p>
        </w:tc>
        <w:tc>
          <w:tcPr>
            <w:tcW w:w="2337" w:type="dxa"/>
            <w:gridSpan w:val="3"/>
            <w:tcBorders>
              <w:bottom w:val="single" w:sz="4" w:space="0" w:color="auto"/>
            </w:tcBorders>
          </w:tcPr>
          <w:p w14:paraId="59DCCF91" w14:textId="77777777" w:rsidR="0006688D" w:rsidRPr="00D93FF9" w:rsidRDefault="0006688D" w:rsidP="00055891">
            <w:pPr>
              <w:spacing w:before="0" w:after="0"/>
              <w:rPr>
                <w:lang w:val="en-GB" w:bidi="en-US"/>
              </w:rPr>
            </w:pPr>
            <w:r w:rsidRPr="00D93FF9">
              <w:rPr>
                <w:lang w:val="en-GB" w:bidi="en-US"/>
              </w:rPr>
              <w:t>Depth = 0-100mm</w:t>
            </w:r>
          </w:p>
        </w:tc>
        <w:tc>
          <w:tcPr>
            <w:tcW w:w="2518" w:type="dxa"/>
            <w:gridSpan w:val="2"/>
            <w:tcBorders>
              <w:bottom w:val="single" w:sz="4" w:space="0" w:color="auto"/>
            </w:tcBorders>
          </w:tcPr>
          <w:p w14:paraId="4D739552" w14:textId="4BB5F8C9" w:rsidR="0006688D" w:rsidRPr="00D93FF9" w:rsidRDefault="0006688D" w:rsidP="00C11A92">
            <w:pPr>
              <w:spacing w:before="0" w:after="0"/>
              <w:rPr>
                <w:lang w:val="en-GB" w:bidi="en-US"/>
              </w:rPr>
            </w:pPr>
            <w:r w:rsidRPr="00D93FF9">
              <w:rPr>
                <w:lang w:val="en-GB" w:bidi="en-US"/>
              </w:rPr>
              <w:t>Depth = 0 - 300mm</w:t>
            </w:r>
          </w:p>
        </w:tc>
      </w:tr>
      <w:tr w:rsidR="006D710B" w:rsidRPr="00D93FF9" w14:paraId="59DCCFB0" w14:textId="663446A6" w:rsidTr="002201B6">
        <w:trPr>
          <w:trHeight w:val="284"/>
        </w:trPr>
        <w:tc>
          <w:tcPr>
            <w:tcW w:w="791" w:type="dxa"/>
            <w:tcBorders>
              <w:top w:val="single" w:sz="4" w:space="0" w:color="auto"/>
              <w:bottom w:val="single" w:sz="4" w:space="0" w:color="auto"/>
            </w:tcBorders>
          </w:tcPr>
          <w:p w14:paraId="59DCCF93" w14:textId="77777777" w:rsidR="006D710B" w:rsidRPr="00D93FF9" w:rsidRDefault="006D710B" w:rsidP="00055891">
            <w:pPr>
              <w:spacing w:before="0" w:after="0"/>
              <w:rPr>
                <w:lang w:val="en-GB" w:bidi="en-US"/>
              </w:rPr>
            </w:pPr>
            <w:r w:rsidRPr="00D93FF9">
              <w:rPr>
                <w:lang w:val="en-GB" w:bidi="en-US"/>
              </w:rPr>
              <w:t>Metal</w:t>
            </w:r>
          </w:p>
        </w:tc>
        <w:tc>
          <w:tcPr>
            <w:tcW w:w="767" w:type="dxa"/>
            <w:tcBorders>
              <w:top w:val="single" w:sz="4" w:space="0" w:color="auto"/>
              <w:bottom w:val="single" w:sz="4" w:space="0" w:color="auto"/>
            </w:tcBorders>
          </w:tcPr>
          <w:p w14:paraId="59DCCF94" w14:textId="77777777" w:rsidR="006D710B" w:rsidRPr="00D93FF9" w:rsidRDefault="006D710B" w:rsidP="00055891">
            <w:pPr>
              <w:spacing w:before="0" w:after="0"/>
              <w:rPr>
                <w:lang w:val="en-GB" w:bidi="en-US"/>
              </w:rPr>
            </w:pPr>
            <w:r w:rsidRPr="00D93FF9">
              <w:rPr>
                <w:lang w:val="en-GB" w:bidi="en-US"/>
              </w:rPr>
              <w:t>Range</w:t>
            </w:r>
          </w:p>
          <w:p w14:paraId="59DCCF95" w14:textId="77777777" w:rsidR="006D710B" w:rsidRPr="00D93FF9" w:rsidRDefault="006D710B" w:rsidP="00055891">
            <w:pPr>
              <w:spacing w:before="0" w:after="0"/>
              <w:rPr>
                <w:lang w:val="en-GB" w:bidi="en-US"/>
              </w:rPr>
            </w:pPr>
            <w:r w:rsidRPr="00D93FF9">
              <w:rPr>
                <w:lang w:val="en-GB" w:bidi="en-US"/>
              </w:rPr>
              <w:t>mg/kg</w:t>
            </w:r>
          </w:p>
        </w:tc>
        <w:tc>
          <w:tcPr>
            <w:tcW w:w="768" w:type="dxa"/>
            <w:tcBorders>
              <w:top w:val="single" w:sz="4" w:space="0" w:color="auto"/>
              <w:bottom w:val="single" w:sz="4" w:space="0" w:color="auto"/>
            </w:tcBorders>
          </w:tcPr>
          <w:p w14:paraId="59DCCF96" w14:textId="77777777" w:rsidR="006D710B" w:rsidRPr="00D93FF9" w:rsidRDefault="006D710B" w:rsidP="00055891">
            <w:pPr>
              <w:spacing w:before="0" w:after="0"/>
              <w:rPr>
                <w:lang w:val="en-GB" w:bidi="en-US"/>
              </w:rPr>
            </w:pPr>
            <w:r w:rsidRPr="00D93FF9">
              <w:rPr>
                <w:lang w:val="en-GB" w:bidi="en-US"/>
              </w:rPr>
              <w:t>Mean</w:t>
            </w:r>
          </w:p>
          <w:p w14:paraId="59DCCF97" w14:textId="77777777" w:rsidR="006D710B" w:rsidRPr="00D93FF9" w:rsidRDefault="006D710B" w:rsidP="00055891">
            <w:pPr>
              <w:spacing w:before="0" w:after="0"/>
              <w:rPr>
                <w:lang w:val="en-GB" w:bidi="en-US"/>
              </w:rPr>
            </w:pPr>
            <w:r w:rsidRPr="00D93FF9">
              <w:rPr>
                <w:lang w:val="en-GB" w:bidi="en-US"/>
              </w:rPr>
              <w:t>mg/kg</w:t>
            </w:r>
          </w:p>
        </w:tc>
        <w:tc>
          <w:tcPr>
            <w:tcW w:w="817" w:type="dxa"/>
            <w:tcBorders>
              <w:top w:val="single" w:sz="4" w:space="0" w:color="auto"/>
              <w:bottom w:val="single" w:sz="4" w:space="0" w:color="auto"/>
            </w:tcBorders>
          </w:tcPr>
          <w:p w14:paraId="59DCCF98" w14:textId="77777777" w:rsidR="006D710B" w:rsidRPr="00D93FF9" w:rsidRDefault="006D710B" w:rsidP="00055891">
            <w:pPr>
              <w:spacing w:before="0" w:after="0"/>
              <w:rPr>
                <w:lang w:val="en-GB" w:bidi="en-US"/>
              </w:rPr>
            </w:pPr>
            <w:r w:rsidRPr="00D93FF9">
              <w:rPr>
                <w:lang w:val="en-GB" w:bidi="en-US"/>
              </w:rPr>
              <w:t>Median</w:t>
            </w:r>
          </w:p>
          <w:p w14:paraId="59DCCF99" w14:textId="77777777" w:rsidR="006D710B" w:rsidRPr="00D93FF9" w:rsidRDefault="006D710B" w:rsidP="00055891">
            <w:pPr>
              <w:spacing w:before="0" w:after="0"/>
              <w:rPr>
                <w:lang w:val="en-GB" w:bidi="en-US"/>
              </w:rPr>
            </w:pPr>
            <w:r w:rsidRPr="00D93FF9">
              <w:rPr>
                <w:lang w:val="en-GB" w:bidi="en-US"/>
              </w:rPr>
              <w:t>mg/kg</w:t>
            </w:r>
          </w:p>
        </w:tc>
        <w:tc>
          <w:tcPr>
            <w:tcW w:w="792" w:type="dxa"/>
            <w:tcBorders>
              <w:top w:val="single" w:sz="4" w:space="0" w:color="auto"/>
              <w:bottom w:val="single" w:sz="4" w:space="0" w:color="auto"/>
            </w:tcBorders>
          </w:tcPr>
          <w:p w14:paraId="59DCCF9A" w14:textId="77777777" w:rsidR="006D710B" w:rsidRPr="00D93FF9" w:rsidRDefault="006D710B" w:rsidP="00055891">
            <w:pPr>
              <w:spacing w:before="0" w:after="0"/>
              <w:rPr>
                <w:lang w:val="en-GB" w:bidi="en-US"/>
              </w:rPr>
            </w:pPr>
            <w:r w:rsidRPr="00D93FF9">
              <w:rPr>
                <w:lang w:val="en-GB" w:bidi="en-US"/>
              </w:rPr>
              <w:t>Range</w:t>
            </w:r>
          </w:p>
          <w:p w14:paraId="59DCCF9B" w14:textId="77777777" w:rsidR="006D710B" w:rsidRPr="00D93FF9" w:rsidRDefault="006D710B" w:rsidP="00055891">
            <w:pPr>
              <w:spacing w:before="0" w:after="0"/>
              <w:rPr>
                <w:lang w:val="en-GB" w:bidi="en-US"/>
              </w:rPr>
            </w:pPr>
            <w:r w:rsidRPr="00D93FF9">
              <w:rPr>
                <w:lang w:val="en-GB" w:bidi="en-US"/>
              </w:rPr>
              <w:t>mg/kg</w:t>
            </w:r>
          </w:p>
        </w:tc>
        <w:tc>
          <w:tcPr>
            <w:tcW w:w="763" w:type="dxa"/>
            <w:tcBorders>
              <w:top w:val="single" w:sz="4" w:space="0" w:color="auto"/>
              <w:bottom w:val="single" w:sz="4" w:space="0" w:color="auto"/>
            </w:tcBorders>
          </w:tcPr>
          <w:p w14:paraId="59DCCF9C" w14:textId="77777777" w:rsidR="006D710B" w:rsidRPr="00D93FF9" w:rsidRDefault="006D710B" w:rsidP="00055891">
            <w:pPr>
              <w:spacing w:before="0" w:after="0"/>
              <w:rPr>
                <w:lang w:val="en-GB" w:bidi="en-US"/>
              </w:rPr>
            </w:pPr>
            <w:r w:rsidRPr="00D93FF9">
              <w:rPr>
                <w:lang w:val="en-GB" w:bidi="en-US"/>
              </w:rPr>
              <w:t>Mean</w:t>
            </w:r>
          </w:p>
          <w:p w14:paraId="59DCCF9D" w14:textId="77777777" w:rsidR="006D710B" w:rsidRPr="00D93FF9" w:rsidRDefault="006D710B" w:rsidP="00055891">
            <w:pPr>
              <w:spacing w:before="0" w:after="0"/>
              <w:rPr>
                <w:lang w:val="en-GB" w:bidi="en-US"/>
              </w:rPr>
            </w:pPr>
            <w:r w:rsidRPr="00D93FF9">
              <w:rPr>
                <w:lang w:val="en-GB" w:bidi="en-US"/>
              </w:rPr>
              <w:t>mg/kg</w:t>
            </w:r>
          </w:p>
        </w:tc>
        <w:tc>
          <w:tcPr>
            <w:tcW w:w="812" w:type="dxa"/>
            <w:tcBorders>
              <w:top w:val="single" w:sz="4" w:space="0" w:color="auto"/>
              <w:bottom w:val="single" w:sz="4" w:space="0" w:color="auto"/>
            </w:tcBorders>
          </w:tcPr>
          <w:p w14:paraId="59DCCF9E" w14:textId="77777777" w:rsidR="006D710B" w:rsidRPr="00D93FF9" w:rsidRDefault="006D710B" w:rsidP="00055891">
            <w:pPr>
              <w:spacing w:before="0" w:after="0"/>
              <w:rPr>
                <w:lang w:val="en-GB" w:bidi="en-US"/>
              </w:rPr>
            </w:pPr>
            <w:r w:rsidRPr="00D93FF9">
              <w:rPr>
                <w:lang w:val="en-GB" w:bidi="en-US"/>
              </w:rPr>
              <w:t>Median</w:t>
            </w:r>
          </w:p>
          <w:p w14:paraId="59DCCF9F" w14:textId="77777777" w:rsidR="006D710B" w:rsidRPr="00D93FF9" w:rsidRDefault="006D710B" w:rsidP="00055891">
            <w:pPr>
              <w:spacing w:before="0" w:after="0"/>
              <w:rPr>
                <w:lang w:val="en-GB" w:bidi="en-US"/>
              </w:rPr>
            </w:pPr>
            <w:r w:rsidRPr="00D93FF9">
              <w:rPr>
                <w:lang w:val="en-GB" w:bidi="en-US"/>
              </w:rPr>
              <w:t>mg/kg</w:t>
            </w:r>
          </w:p>
        </w:tc>
        <w:tc>
          <w:tcPr>
            <w:tcW w:w="852" w:type="dxa"/>
            <w:tcBorders>
              <w:top w:val="single" w:sz="4" w:space="0" w:color="auto"/>
              <w:bottom w:val="single" w:sz="4" w:space="0" w:color="auto"/>
            </w:tcBorders>
          </w:tcPr>
          <w:p w14:paraId="59DCCFA0" w14:textId="77777777" w:rsidR="006D710B" w:rsidRPr="00D93FF9" w:rsidRDefault="006D710B" w:rsidP="00055891">
            <w:pPr>
              <w:spacing w:before="0" w:after="0"/>
              <w:rPr>
                <w:lang w:val="en-GB" w:bidi="en-US"/>
              </w:rPr>
            </w:pPr>
            <w:r w:rsidRPr="00D93FF9">
              <w:rPr>
                <w:lang w:val="en-GB" w:bidi="en-US"/>
              </w:rPr>
              <w:t>Range</w:t>
            </w:r>
          </w:p>
          <w:p w14:paraId="59DCCFA1" w14:textId="77777777" w:rsidR="006D710B" w:rsidRPr="00D93FF9" w:rsidRDefault="006D710B" w:rsidP="00055891">
            <w:pPr>
              <w:spacing w:before="0" w:after="0"/>
              <w:rPr>
                <w:lang w:val="en-GB" w:bidi="en-US"/>
              </w:rPr>
            </w:pPr>
            <w:r w:rsidRPr="00D93FF9">
              <w:rPr>
                <w:lang w:val="en-GB" w:bidi="en-US"/>
              </w:rPr>
              <w:t>mg/kg</w:t>
            </w:r>
          </w:p>
        </w:tc>
        <w:tc>
          <w:tcPr>
            <w:tcW w:w="762" w:type="dxa"/>
            <w:tcBorders>
              <w:top w:val="single" w:sz="4" w:space="0" w:color="auto"/>
              <w:bottom w:val="single" w:sz="4" w:space="0" w:color="auto"/>
            </w:tcBorders>
          </w:tcPr>
          <w:p w14:paraId="59DCCFA2" w14:textId="77777777" w:rsidR="006D710B" w:rsidRPr="00D93FF9" w:rsidRDefault="006D710B" w:rsidP="00055891">
            <w:pPr>
              <w:spacing w:before="0" w:after="0"/>
              <w:rPr>
                <w:lang w:val="en-GB" w:bidi="en-US"/>
              </w:rPr>
            </w:pPr>
            <w:r w:rsidRPr="00D93FF9">
              <w:rPr>
                <w:lang w:val="en-GB" w:bidi="en-US"/>
              </w:rPr>
              <w:t>Mean</w:t>
            </w:r>
          </w:p>
          <w:p w14:paraId="59DCCFA3" w14:textId="77777777" w:rsidR="006D710B" w:rsidRPr="00D93FF9" w:rsidRDefault="006D710B" w:rsidP="00055891">
            <w:pPr>
              <w:spacing w:before="0" w:after="0"/>
              <w:rPr>
                <w:lang w:val="en-GB" w:bidi="en-US"/>
              </w:rPr>
            </w:pPr>
            <w:r w:rsidRPr="00D93FF9">
              <w:rPr>
                <w:lang w:val="en-GB" w:bidi="en-US"/>
              </w:rPr>
              <w:t>mg/kg</w:t>
            </w:r>
          </w:p>
        </w:tc>
        <w:tc>
          <w:tcPr>
            <w:tcW w:w="811" w:type="dxa"/>
            <w:tcBorders>
              <w:top w:val="single" w:sz="4" w:space="0" w:color="auto"/>
              <w:bottom w:val="single" w:sz="4" w:space="0" w:color="auto"/>
            </w:tcBorders>
          </w:tcPr>
          <w:p w14:paraId="59DCCFA4" w14:textId="77777777" w:rsidR="006D710B" w:rsidRPr="00D93FF9" w:rsidRDefault="006D710B" w:rsidP="00055891">
            <w:pPr>
              <w:spacing w:before="0" w:after="0"/>
              <w:rPr>
                <w:lang w:val="en-GB" w:bidi="en-US"/>
              </w:rPr>
            </w:pPr>
            <w:r w:rsidRPr="00D93FF9">
              <w:rPr>
                <w:lang w:val="en-GB" w:bidi="en-US"/>
              </w:rPr>
              <w:t>Median</w:t>
            </w:r>
          </w:p>
          <w:p w14:paraId="59DCCFA5" w14:textId="77777777" w:rsidR="006D710B" w:rsidRPr="00D93FF9" w:rsidRDefault="006D710B" w:rsidP="00055891">
            <w:pPr>
              <w:spacing w:before="0" w:after="0"/>
              <w:rPr>
                <w:lang w:val="en-GB" w:bidi="en-US"/>
              </w:rPr>
            </w:pPr>
            <w:r w:rsidRPr="00D93FF9">
              <w:rPr>
                <w:lang w:val="en-GB" w:bidi="en-US"/>
              </w:rPr>
              <w:t>mg/kg</w:t>
            </w:r>
          </w:p>
        </w:tc>
        <w:tc>
          <w:tcPr>
            <w:tcW w:w="764" w:type="dxa"/>
            <w:tcBorders>
              <w:top w:val="single" w:sz="4" w:space="0" w:color="auto"/>
              <w:bottom w:val="single" w:sz="4" w:space="0" w:color="auto"/>
            </w:tcBorders>
          </w:tcPr>
          <w:p w14:paraId="59DCCFA6" w14:textId="77777777" w:rsidR="006D710B" w:rsidRPr="00D93FF9" w:rsidRDefault="006D710B" w:rsidP="00055891">
            <w:pPr>
              <w:spacing w:before="0" w:after="0"/>
              <w:rPr>
                <w:lang w:val="en-GB" w:bidi="en-US"/>
              </w:rPr>
            </w:pPr>
            <w:r w:rsidRPr="00D93FF9">
              <w:rPr>
                <w:lang w:val="en-GB" w:bidi="en-US"/>
              </w:rPr>
              <w:t>Range</w:t>
            </w:r>
          </w:p>
          <w:p w14:paraId="59DCCFA7" w14:textId="77777777" w:rsidR="006D710B" w:rsidRPr="00D93FF9" w:rsidRDefault="006D710B" w:rsidP="00055891">
            <w:pPr>
              <w:spacing w:before="0" w:after="0"/>
              <w:rPr>
                <w:lang w:val="en-GB" w:bidi="en-US"/>
              </w:rPr>
            </w:pPr>
            <w:r w:rsidRPr="00D93FF9">
              <w:rPr>
                <w:lang w:val="en-GB" w:bidi="en-US"/>
              </w:rPr>
              <w:t>mg/kg</w:t>
            </w:r>
          </w:p>
        </w:tc>
        <w:tc>
          <w:tcPr>
            <w:tcW w:w="763" w:type="dxa"/>
            <w:tcBorders>
              <w:top w:val="single" w:sz="4" w:space="0" w:color="auto"/>
              <w:bottom w:val="single" w:sz="4" w:space="0" w:color="auto"/>
            </w:tcBorders>
          </w:tcPr>
          <w:p w14:paraId="59DCCFA8" w14:textId="77777777" w:rsidR="006D710B" w:rsidRPr="00D93FF9" w:rsidRDefault="006D710B" w:rsidP="00055891">
            <w:pPr>
              <w:spacing w:before="0" w:after="0"/>
              <w:rPr>
                <w:lang w:val="en-GB" w:bidi="en-US"/>
              </w:rPr>
            </w:pPr>
            <w:r w:rsidRPr="00D93FF9">
              <w:rPr>
                <w:lang w:val="en-GB" w:bidi="en-US"/>
              </w:rPr>
              <w:t>Mean</w:t>
            </w:r>
          </w:p>
          <w:p w14:paraId="59DCCFA9" w14:textId="77777777" w:rsidR="006D710B" w:rsidRPr="00D93FF9" w:rsidRDefault="006D710B" w:rsidP="00055891">
            <w:pPr>
              <w:spacing w:before="0" w:after="0"/>
              <w:rPr>
                <w:lang w:val="en-GB" w:bidi="en-US"/>
              </w:rPr>
            </w:pPr>
            <w:r w:rsidRPr="00D93FF9">
              <w:rPr>
                <w:lang w:val="en-GB" w:bidi="en-US"/>
              </w:rPr>
              <w:t>mg/kg</w:t>
            </w:r>
          </w:p>
        </w:tc>
        <w:tc>
          <w:tcPr>
            <w:tcW w:w="763" w:type="dxa"/>
            <w:tcBorders>
              <w:top w:val="single" w:sz="4" w:space="0" w:color="auto"/>
              <w:bottom w:val="single" w:sz="4" w:space="0" w:color="auto"/>
            </w:tcBorders>
          </w:tcPr>
          <w:p w14:paraId="59DCCFAA" w14:textId="77777777" w:rsidR="006D710B" w:rsidRPr="00D93FF9" w:rsidRDefault="006D710B" w:rsidP="00055891">
            <w:pPr>
              <w:spacing w:before="0" w:after="0"/>
              <w:rPr>
                <w:lang w:val="en-GB" w:bidi="en-US"/>
              </w:rPr>
            </w:pPr>
            <w:r w:rsidRPr="00D93FF9">
              <w:rPr>
                <w:lang w:val="en-GB" w:bidi="en-US"/>
              </w:rPr>
              <w:t>Range</w:t>
            </w:r>
          </w:p>
          <w:p w14:paraId="59DCCFAB" w14:textId="77777777" w:rsidR="006D710B" w:rsidRPr="00D93FF9" w:rsidRDefault="006D710B" w:rsidP="00055891">
            <w:pPr>
              <w:spacing w:before="0" w:after="0"/>
              <w:rPr>
                <w:lang w:val="en-GB" w:bidi="en-US"/>
              </w:rPr>
            </w:pPr>
            <w:r w:rsidRPr="00D93FF9">
              <w:rPr>
                <w:lang w:val="en-GB" w:bidi="en-US"/>
              </w:rPr>
              <w:t>mg/kg</w:t>
            </w:r>
          </w:p>
        </w:tc>
        <w:tc>
          <w:tcPr>
            <w:tcW w:w="762" w:type="dxa"/>
            <w:tcBorders>
              <w:top w:val="single" w:sz="4" w:space="0" w:color="auto"/>
              <w:bottom w:val="single" w:sz="4" w:space="0" w:color="auto"/>
            </w:tcBorders>
          </w:tcPr>
          <w:p w14:paraId="59DCCFAC" w14:textId="77777777" w:rsidR="006D710B" w:rsidRPr="00D93FF9" w:rsidRDefault="006D710B" w:rsidP="00055891">
            <w:pPr>
              <w:spacing w:before="0" w:after="0"/>
              <w:rPr>
                <w:lang w:val="en-GB" w:bidi="en-US"/>
              </w:rPr>
            </w:pPr>
            <w:r w:rsidRPr="00D93FF9">
              <w:rPr>
                <w:lang w:val="en-GB" w:bidi="en-US"/>
              </w:rPr>
              <w:t>Mean</w:t>
            </w:r>
          </w:p>
          <w:p w14:paraId="59DCCFAD" w14:textId="77777777" w:rsidR="006D710B" w:rsidRPr="00D93FF9" w:rsidRDefault="006D710B" w:rsidP="00055891">
            <w:pPr>
              <w:spacing w:before="0" w:after="0"/>
              <w:rPr>
                <w:lang w:val="en-GB" w:bidi="en-US"/>
              </w:rPr>
            </w:pPr>
            <w:r w:rsidRPr="00D93FF9">
              <w:rPr>
                <w:lang w:val="en-GB" w:bidi="en-US"/>
              </w:rPr>
              <w:t>mg/kg</w:t>
            </w:r>
          </w:p>
        </w:tc>
        <w:tc>
          <w:tcPr>
            <w:tcW w:w="812" w:type="dxa"/>
            <w:tcBorders>
              <w:top w:val="single" w:sz="4" w:space="0" w:color="auto"/>
              <w:bottom w:val="single" w:sz="4" w:space="0" w:color="auto"/>
            </w:tcBorders>
          </w:tcPr>
          <w:p w14:paraId="59DCCFAE" w14:textId="77777777" w:rsidR="006D710B" w:rsidRPr="00D93FF9" w:rsidRDefault="006D710B" w:rsidP="00055891">
            <w:pPr>
              <w:spacing w:before="0" w:after="0"/>
              <w:rPr>
                <w:lang w:val="en-GB" w:bidi="en-US"/>
              </w:rPr>
            </w:pPr>
            <w:r w:rsidRPr="00D93FF9">
              <w:rPr>
                <w:lang w:val="en-GB" w:bidi="en-US"/>
              </w:rPr>
              <w:t>Median</w:t>
            </w:r>
          </w:p>
          <w:p w14:paraId="59DCCFAF" w14:textId="77777777" w:rsidR="006D710B" w:rsidRPr="00D93FF9" w:rsidRDefault="006D710B" w:rsidP="00055891">
            <w:pPr>
              <w:spacing w:before="0" w:after="0"/>
              <w:rPr>
                <w:lang w:val="en-GB" w:bidi="en-US"/>
              </w:rPr>
            </w:pPr>
            <w:r w:rsidRPr="00D93FF9">
              <w:rPr>
                <w:lang w:val="en-GB" w:bidi="en-US"/>
              </w:rPr>
              <w:t>mg/kg</w:t>
            </w:r>
          </w:p>
        </w:tc>
        <w:tc>
          <w:tcPr>
            <w:tcW w:w="1167" w:type="dxa"/>
            <w:tcBorders>
              <w:top w:val="single" w:sz="4" w:space="0" w:color="auto"/>
              <w:bottom w:val="single" w:sz="4" w:space="0" w:color="auto"/>
            </w:tcBorders>
          </w:tcPr>
          <w:p w14:paraId="1D4CCBF7" w14:textId="2A639042" w:rsidR="006D710B" w:rsidRPr="00D93FF9" w:rsidRDefault="006D710B" w:rsidP="00C11A92">
            <w:pPr>
              <w:spacing w:before="0" w:after="0"/>
              <w:rPr>
                <w:lang w:val="en-GB" w:bidi="en-US"/>
              </w:rPr>
            </w:pPr>
            <w:r w:rsidRPr="00D93FF9">
              <w:rPr>
                <w:lang w:val="en-GB" w:bidi="en-US"/>
              </w:rPr>
              <w:t>Median mg/kg</w:t>
            </w:r>
          </w:p>
        </w:tc>
        <w:tc>
          <w:tcPr>
            <w:tcW w:w="1351" w:type="dxa"/>
            <w:tcBorders>
              <w:top w:val="single" w:sz="4" w:space="0" w:color="auto"/>
              <w:bottom w:val="single" w:sz="4" w:space="0" w:color="auto"/>
            </w:tcBorders>
          </w:tcPr>
          <w:p w14:paraId="0721F457" w14:textId="77777777" w:rsidR="006D710B" w:rsidRPr="00D93FF9" w:rsidRDefault="006D710B" w:rsidP="00C11A92">
            <w:pPr>
              <w:spacing w:before="0" w:after="0"/>
              <w:rPr>
                <w:lang w:val="en-GB" w:bidi="en-US"/>
              </w:rPr>
            </w:pPr>
            <w:r w:rsidRPr="00D93FF9">
              <w:rPr>
                <w:lang w:val="en-GB" w:bidi="en-US"/>
              </w:rPr>
              <w:t>95th percentile</w:t>
            </w:r>
          </w:p>
          <w:p w14:paraId="7E8742AA" w14:textId="0423E8CF" w:rsidR="00C11A92" w:rsidRPr="00D93FF9" w:rsidRDefault="00C11A92" w:rsidP="00C11A92">
            <w:pPr>
              <w:spacing w:before="0" w:after="0"/>
              <w:rPr>
                <w:lang w:val="en-GB" w:bidi="en-US"/>
              </w:rPr>
            </w:pPr>
            <w:r w:rsidRPr="00D93FF9">
              <w:rPr>
                <w:lang w:val="en-GB" w:bidi="en-US"/>
              </w:rPr>
              <w:t>mg/kg</w:t>
            </w:r>
          </w:p>
        </w:tc>
      </w:tr>
      <w:tr w:rsidR="006D710B" w:rsidRPr="00D93FF9" w14:paraId="59DCCFC0" w14:textId="26157755" w:rsidTr="002201B6">
        <w:trPr>
          <w:trHeight w:val="284"/>
        </w:trPr>
        <w:tc>
          <w:tcPr>
            <w:tcW w:w="791" w:type="dxa"/>
            <w:tcBorders>
              <w:top w:val="single" w:sz="4" w:space="0" w:color="auto"/>
            </w:tcBorders>
          </w:tcPr>
          <w:p w14:paraId="59DCCFB1" w14:textId="134862B8" w:rsidR="006D710B" w:rsidRPr="00D93FF9" w:rsidRDefault="006D710B" w:rsidP="006D710B">
            <w:pPr>
              <w:spacing w:before="0" w:after="0"/>
              <w:rPr>
                <w:lang w:val="en-GB" w:bidi="en-US"/>
              </w:rPr>
            </w:pPr>
            <w:r w:rsidRPr="00D93FF9">
              <w:rPr>
                <w:lang w:val="en-GB" w:bidi="en-US"/>
              </w:rPr>
              <w:t>Al</w:t>
            </w:r>
          </w:p>
        </w:tc>
        <w:tc>
          <w:tcPr>
            <w:tcW w:w="767" w:type="dxa"/>
            <w:tcBorders>
              <w:top w:val="single" w:sz="4" w:space="0" w:color="auto"/>
            </w:tcBorders>
            <w:vAlign w:val="center"/>
          </w:tcPr>
          <w:p w14:paraId="59DCCFB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8" w:type="dxa"/>
            <w:tcBorders>
              <w:top w:val="single" w:sz="4" w:space="0" w:color="auto"/>
            </w:tcBorders>
            <w:vAlign w:val="center"/>
          </w:tcPr>
          <w:p w14:paraId="59DCCFB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7" w:type="dxa"/>
            <w:tcBorders>
              <w:top w:val="single" w:sz="4" w:space="0" w:color="auto"/>
            </w:tcBorders>
            <w:vAlign w:val="center"/>
          </w:tcPr>
          <w:p w14:paraId="59DCCFB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92" w:type="dxa"/>
            <w:tcBorders>
              <w:top w:val="single" w:sz="4" w:space="0" w:color="auto"/>
            </w:tcBorders>
            <w:vAlign w:val="center"/>
          </w:tcPr>
          <w:p w14:paraId="59DCCFB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tcBorders>
              <w:top w:val="single" w:sz="4" w:space="0" w:color="auto"/>
            </w:tcBorders>
            <w:vAlign w:val="center"/>
          </w:tcPr>
          <w:p w14:paraId="59DCCFB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tcBorders>
              <w:top w:val="single" w:sz="4" w:space="0" w:color="auto"/>
            </w:tcBorders>
            <w:vAlign w:val="center"/>
          </w:tcPr>
          <w:p w14:paraId="59DCCFB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52" w:type="dxa"/>
            <w:tcBorders>
              <w:top w:val="single" w:sz="4" w:space="0" w:color="auto"/>
            </w:tcBorders>
            <w:vAlign w:val="center"/>
          </w:tcPr>
          <w:p w14:paraId="59DCCFB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tcBorders>
              <w:top w:val="single" w:sz="4" w:space="0" w:color="auto"/>
            </w:tcBorders>
            <w:vAlign w:val="center"/>
          </w:tcPr>
          <w:p w14:paraId="59DCCFB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tcBorders>
              <w:top w:val="single" w:sz="4" w:space="0" w:color="auto"/>
            </w:tcBorders>
            <w:vAlign w:val="center"/>
          </w:tcPr>
          <w:p w14:paraId="59DCCFB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tcBorders>
              <w:top w:val="single" w:sz="4" w:space="0" w:color="auto"/>
            </w:tcBorders>
            <w:vAlign w:val="center"/>
          </w:tcPr>
          <w:p w14:paraId="59DCCFB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tcBorders>
              <w:top w:val="single" w:sz="4" w:space="0" w:color="auto"/>
            </w:tcBorders>
            <w:vAlign w:val="center"/>
          </w:tcPr>
          <w:p w14:paraId="59DCCFB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tcBorders>
              <w:top w:val="single" w:sz="4" w:space="0" w:color="auto"/>
            </w:tcBorders>
            <w:vAlign w:val="center"/>
          </w:tcPr>
          <w:p w14:paraId="59DCCFB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tcBorders>
              <w:top w:val="single" w:sz="4" w:space="0" w:color="auto"/>
            </w:tcBorders>
            <w:vAlign w:val="center"/>
          </w:tcPr>
          <w:p w14:paraId="59DCCFB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tcBorders>
              <w:top w:val="single" w:sz="4" w:space="0" w:color="auto"/>
            </w:tcBorders>
            <w:vAlign w:val="center"/>
          </w:tcPr>
          <w:p w14:paraId="59DCCFB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tcBorders>
              <w:top w:val="single" w:sz="4" w:space="0" w:color="auto"/>
            </w:tcBorders>
            <w:vAlign w:val="center"/>
          </w:tcPr>
          <w:p w14:paraId="06029AB9" w14:textId="77777777" w:rsidR="006D710B" w:rsidRPr="00D93FF9" w:rsidRDefault="006D710B" w:rsidP="006D710B">
            <w:pPr>
              <w:spacing w:after="0"/>
              <w:rPr>
                <w:rFonts w:ascii="Arial" w:hAnsi="Arial" w:cs="Arial"/>
                <w:color w:val="000000"/>
                <w:sz w:val="16"/>
                <w:szCs w:val="16"/>
                <w:lang w:val="en-GB"/>
              </w:rPr>
            </w:pPr>
          </w:p>
        </w:tc>
        <w:tc>
          <w:tcPr>
            <w:tcW w:w="1351" w:type="dxa"/>
            <w:tcBorders>
              <w:top w:val="single" w:sz="4" w:space="0" w:color="auto"/>
            </w:tcBorders>
            <w:vAlign w:val="center"/>
          </w:tcPr>
          <w:p w14:paraId="208FD039" w14:textId="77777777" w:rsidR="006D710B" w:rsidRPr="00D93FF9" w:rsidRDefault="006D710B" w:rsidP="006D710B">
            <w:pPr>
              <w:spacing w:after="0"/>
              <w:rPr>
                <w:rFonts w:ascii="Arial" w:hAnsi="Arial" w:cs="Arial"/>
                <w:color w:val="000000"/>
                <w:sz w:val="16"/>
                <w:szCs w:val="16"/>
                <w:lang w:val="en-GB"/>
              </w:rPr>
            </w:pPr>
          </w:p>
        </w:tc>
      </w:tr>
      <w:tr w:rsidR="006D710B" w:rsidRPr="00D93FF9" w14:paraId="59DCCFD0" w14:textId="4833D41A" w:rsidTr="002201B6">
        <w:trPr>
          <w:trHeight w:val="284"/>
        </w:trPr>
        <w:tc>
          <w:tcPr>
            <w:tcW w:w="791" w:type="dxa"/>
          </w:tcPr>
          <w:p w14:paraId="59DCCFC1" w14:textId="77777777" w:rsidR="006D710B" w:rsidRPr="00D93FF9" w:rsidRDefault="006D710B" w:rsidP="006D710B">
            <w:pPr>
              <w:spacing w:before="0" w:after="0"/>
              <w:rPr>
                <w:lang w:val="en-GB" w:bidi="en-US"/>
              </w:rPr>
            </w:pPr>
            <w:r w:rsidRPr="00D93FF9">
              <w:rPr>
                <w:lang w:val="en-GB" w:bidi="en-US"/>
              </w:rPr>
              <w:t>As</w:t>
            </w:r>
          </w:p>
        </w:tc>
        <w:tc>
          <w:tcPr>
            <w:tcW w:w="767" w:type="dxa"/>
            <w:vAlign w:val="center"/>
          </w:tcPr>
          <w:p w14:paraId="59DCCFC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5-53</w:t>
            </w:r>
          </w:p>
        </w:tc>
        <w:tc>
          <w:tcPr>
            <w:tcW w:w="768" w:type="dxa"/>
            <w:vAlign w:val="center"/>
          </w:tcPr>
          <w:p w14:paraId="59DCCFC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7</w:t>
            </w:r>
          </w:p>
        </w:tc>
        <w:tc>
          <w:tcPr>
            <w:tcW w:w="817" w:type="dxa"/>
            <w:vAlign w:val="center"/>
          </w:tcPr>
          <w:p w14:paraId="59DCCFC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5</w:t>
            </w:r>
          </w:p>
        </w:tc>
        <w:tc>
          <w:tcPr>
            <w:tcW w:w="792" w:type="dxa"/>
            <w:vAlign w:val="center"/>
          </w:tcPr>
          <w:p w14:paraId="59DCCFC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1–20</w:t>
            </w:r>
          </w:p>
        </w:tc>
        <w:tc>
          <w:tcPr>
            <w:tcW w:w="763" w:type="dxa"/>
            <w:vAlign w:val="center"/>
          </w:tcPr>
          <w:p w14:paraId="59DCCFC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3</w:t>
            </w:r>
          </w:p>
        </w:tc>
        <w:tc>
          <w:tcPr>
            <w:tcW w:w="812" w:type="dxa"/>
            <w:vAlign w:val="center"/>
          </w:tcPr>
          <w:p w14:paraId="59DCCFC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3</w:t>
            </w:r>
          </w:p>
        </w:tc>
        <w:tc>
          <w:tcPr>
            <w:tcW w:w="852" w:type="dxa"/>
            <w:vAlign w:val="center"/>
          </w:tcPr>
          <w:p w14:paraId="59DCCFC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CFC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CFC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vAlign w:val="center"/>
          </w:tcPr>
          <w:p w14:paraId="59DCCFC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CFC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CFC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CFC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CFC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01A3FC5F" w14:textId="2653E682"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0.55 - 8.07</w:t>
            </w:r>
          </w:p>
        </w:tc>
        <w:tc>
          <w:tcPr>
            <w:tcW w:w="1351" w:type="dxa"/>
            <w:vAlign w:val="center"/>
          </w:tcPr>
          <w:p w14:paraId="075CC888" w14:textId="7BBECE28"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0.95 - 33.77</w:t>
            </w:r>
          </w:p>
        </w:tc>
      </w:tr>
      <w:tr w:rsidR="006D710B" w:rsidRPr="00D93FF9" w14:paraId="59DCCFE0" w14:textId="0D85D024" w:rsidTr="002201B6">
        <w:trPr>
          <w:trHeight w:val="284"/>
        </w:trPr>
        <w:tc>
          <w:tcPr>
            <w:tcW w:w="791" w:type="dxa"/>
          </w:tcPr>
          <w:p w14:paraId="59DCCFD1" w14:textId="77777777" w:rsidR="006D710B" w:rsidRPr="00D93FF9" w:rsidRDefault="006D710B" w:rsidP="006D710B">
            <w:pPr>
              <w:spacing w:before="0" w:after="0"/>
              <w:rPr>
                <w:lang w:val="en-GB" w:bidi="en-US"/>
              </w:rPr>
            </w:pPr>
            <w:r w:rsidRPr="00D93FF9">
              <w:rPr>
                <w:lang w:val="en-GB" w:bidi="en-US"/>
              </w:rPr>
              <w:t>Be</w:t>
            </w:r>
          </w:p>
        </w:tc>
        <w:tc>
          <w:tcPr>
            <w:tcW w:w="767" w:type="dxa"/>
            <w:vAlign w:val="center"/>
          </w:tcPr>
          <w:p w14:paraId="59DCCFD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8" w:type="dxa"/>
            <w:vAlign w:val="center"/>
          </w:tcPr>
          <w:p w14:paraId="59DCCFD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7" w:type="dxa"/>
            <w:vAlign w:val="center"/>
          </w:tcPr>
          <w:p w14:paraId="59DCCFD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92" w:type="dxa"/>
            <w:vAlign w:val="center"/>
          </w:tcPr>
          <w:p w14:paraId="59DCCFD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CFD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center"/>
          </w:tcPr>
          <w:p w14:paraId="59DCCFD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52" w:type="dxa"/>
            <w:vAlign w:val="center"/>
          </w:tcPr>
          <w:p w14:paraId="59DCCFD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CFD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CFD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vAlign w:val="center"/>
          </w:tcPr>
          <w:p w14:paraId="59DCCFD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CFD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CFD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CFD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CFD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538FDB95" w14:textId="77777777" w:rsidR="006D710B" w:rsidRPr="00D93FF9" w:rsidRDefault="006D710B" w:rsidP="006D710B">
            <w:pPr>
              <w:spacing w:after="0"/>
              <w:rPr>
                <w:rFonts w:ascii="Arial" w:hAnsi="Arial" w:cs="Arial"/>
                <w:color w:val="000000"/>
                <w:sz w:val="16"/>
                <w:szCs w:val="16"/>
                <w:lang w:val="en-GB"/>
              </w:rPr>
            </w:pPr>
          </w:p>
        </w:tc>
        <w:tc>
          <w:tcPr>
            <w:tcW w:w="1351" w:type="dxa"/>
            <w:vAlign w:val="center"/>
          </w:tcPr>
          <w:p w14:paraId="618EBA89" w14:textId="77777777" w:rsidR="006D710B" w:rsidRPr="00D93FF9" w:rsidRDefault="006D710B" w:rsidP="006D710B">
            <w:pPr>
              <w:spacing w:after="0"/>
              <w:rPr>
                <w:rFonts w:ascii="Arial" w:hAnsi="Arial" w:cs="Arial"/>
                <w:color w:val="000000"/>
                <w:sz w:val="16"/>
                <w:szCs w:val="16"/>
                <w:lang w:val="en-GB"/>
              </w:rPr>
            </w:pPr>
          </w:p>
        </w:tc>
      </w:tr>
      <w:tr w:rsidR="006D710B" w:rsidRPr="00D93FF9" w14:paraId="59DCCFF0" w14:textId="3B970238" w:rsidTr="002201B6">
        <w:trPr>
          <w:trHeight w:val="284"/>
        </w:trPr>
        <w:tc>
          <w:tcPr>
            <w:tcW w:w="791" w:type="dxa"/>
          </w:tcPr>
          <w:p w14:paraId="59DCCFE1" w14:textId="77777777" w:rsidR="006D710B" w:rsidRPr="00D93FF9" w:rsidRDefault="006D710B" w:rsidP="006D710B">
            <w:pPr>
              <w:spacing w:before="0" w:after="0"/>
              <w:rPr>
                <w:lang w:val="en-GB" w:bidi="en-US"/>
              </w:rPr>
            </w:pPr>
            <w:r w:rsidRPr="00D93FF9">
              <w:rPr>
                <w:lang w:val="en-GB" w:bidi="en-US"/>
              </w:rPr>
              <w:t>B</w:t>
            </w:r>
          </w:p>
        </w:tc>
        <w:tc>
          <w:tcPr>
            <w:tcW w:w="767" w:type="dxa"/>
            <w:vAlign w:val="center"/>
          </w:tcPr>
          <w:p w14:paraId="59DCCFE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8" w:type="dxa"/>
            <w:vAlign w:val="center"/>
          </w:tcPr>
          <w:p w14:paraId="59DCCFE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7" w:type="dxa"/>
            <w:vAlign w:val="center"/>
          </w:tcPr>
          <w:p w14:paraId="59DCCFE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92" w:type="dxa"/>
            <w:vAlign w:val="center"/>
          </w:tcPr>
          <w:p w14:paraId="59DCCFE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CFE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center"/>
          </w:tcPr>
          <w:p w14:paraId="59DCCFE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52" w:type="dxa"/>
            <w:vAlign w:val="center"/>
          </w:tcPr>
          <w:p w14:paraId="59DCCFE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CFE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CFE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vAlign w:val="center"/>
          </w:tcPr>
          <w:p w14:paraId="59DCCFE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CFE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CFE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0.09-8.0</w:t>
            </w:r>
          </w:p>
        </w:tc>
        <w:tc>
          <w:tcPr>
            <w:tcW w:w="762" w:type="dxa"/>
            <w:vAlign w:val="center"/>
          </w:tcPr>
          <w:p w14:paraId="59DCCFE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0.87</w:t>
            </w:r>
          </w:p>
        </w:tc>
        <w:tc>
          <w:tcPr>
            <w:tcW w:w="812" w:type="dxa"/>
            <w:vAlign w:val="center"/>
          </w:tcPr>
          <w:p w14:paraId="59DCCFE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0.61</w:t>
            </w:r>
          </w:p>
        </w:tc>
        <w:tc>
          <w:tcPr>
            <w:tcW w:w="1167" w:type="dxa"/>
            <w:vAlign w:val="center"/>
          </w:tcPr>
          <w:p w14:paraId="644AE33F" w14:textId="77777777" w:rsidR="006D710B" w:rsidRPr="00D93FF9" w:rsidRDefault="006D710B" w:rsidP="006D710B">
            <w:pPr>
              <w:spacing w:after="0"/>
              <w:rPr>
                <w:rFonts w:ascii="Arial" w:hAnsi="Arial" w:cs="Arial"/>
                <w:color w:val="000000"/>
                <w:sz w:val="16"/>
                <w:szCs w:val="16"/>
                <w:lang w:val="en-GB"/>
              </w:rPr>
            </w:pPr>
          </w:p>
        </w:tc>
        <w:tc>
          <w:tcPr>
            <w:tcW w:w="1351" w:type="dxa"/>
            <w:vAlign w:val="center"/>
          </w:tcPr>
          <w:p w14:paraId="2B3D0020" w14:textId="77777777" w:rsidR="006D710B" w:rsidRPr="00D93FF9" w:rsidRDefault="006D710B" w:rsidP="006D710B">
            <w:pPr>
              <w:spacing w:after="0"/>
              <w:rPr>
                <w:rFonts w:ascii="Arial" w:hAnsi="Arial" w:cs="Arial"/>
                <w:color w:val="000000"/>
                <w:sz w:val="16"/>
                <w:szCs w:val="16"/>
                <w:lang w:val="en-GB"/>
              </w:rPr>
            </w:pPr>
          </w:p>
        </w:tc>
      </w:tr>
      <w:tr w:rsidR="006D710B" w:rsidRPr="00D93FF9" w14:paraId="59DCD000" w14:textId="5E3AA709" w:rsidTr="002201B6">
        <w:trPr>
          <w:trHeight w:val="284"/>
        </w:trPr>
        <w:tc>
          <w:tcPr>
            <w:tcW w:w="791" w:type="dxa"/>
          </w:tcPr>
          <w:p w14:paraId="59DCCFF1" w14:textId="77777777" w:rsidR="006D710B" w:rsidRPr="00D93FF9" w:rsidRDefault="006D710B" w:rsidP="006D710B">
            <w:pPr>
              <w:spacing w:before="0" w:after="0"/>
              <w:rPr>
                <w:lang w:val="en-GB" w:bidi="en-US"/>
              </w:rPr>
            </w:pPr>
            <w:r w:rsidRPr="00D93FF9">
              <w:rPr>
                <w:lang w:val="en-GB" w:bidi="en-US"/>
              </w:rPr>
              <w:t>Cd</w:t>
            </w:r>
          </w:p>
        </w:tc>
        <w:tc>
          <w:tcPr>
            <w:tcW w:w="767" w:type="dxa"/>
            <w:vAlign w:val="center"/>
          </w:tcPr>
          <w:p w14:paraId="59DCCFF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8" w:type="dxa"/>
            <w:vAlign w:val="center"/>
          </w:tcPr>
          <w:p w14:paraId="59DCCFF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7" w:type="dxa"/>
            <w:vAlign w:val="center"/>
          </w:tcPr>
          <w:p w14:paraId="59DCCFF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92" w:type="dxa"/>
            <w:vAlign w:val="center"/>
          </w:tcPr>
          <w:p w14:paraId="59DCCFF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0.016-2.0</w:t>
            </w:r>
          </w:p>
        </w:tc>
        <w:tc>
          <w:tcPr>
            <w:tcW w:w="763" w:type="dxa"/>
            <w:vAlign w:val="center"/>
          </w:tcPr>
          <w:p w14:paraId="59DCCFF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0.195</w:t>
            </w:r>
          </w:p>
        </w:tc>
        <w:tc>
          <w:tcPr>
            <w:tcW w:w="812" w:type="dxa"/>
            <w:vAlign w:val="center"/>
          </w:tcPr>
          <w:p w14:paraId="59DCCFF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0.125</w:t>
            </w:r>
          </w:p>
        </w:tc>
        <w:tc>
          <w:tcPr>
            <w:tcW w:w="852" w:type="dxa"/>
            <w:vAlign w:val="center"/>
          </w:tcPr>
          <w:p w14:paraId="59DCCFF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0.01-0.78</w:t>
            </w:r>
          </w:p>
        </w:tc>
        <w:tc>
          <w:tcPr>
            <w:tcW w:w="762" w:type="dxa"/>
            <w:vAlign w:val="center"/>
          </w:tcPr>
          <w:p w14:paraId="59DCCFF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CFF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0.15</w:t>
            </w:r>
          </w:p>
        </w:tc>
        <w:tc>
          <w:tcPr>
            <w:tcW w:w="764" w:type="dxa"/>
            <w:vAlign w:val="center"/>
          </w:tcPr>
          <w:p w14:paraId="59DCCFF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0.11</w:t>
            </w:r>
          </w:p>
        </w:tc>
        <w:tc>
          <w:tcPr>
            <w:tcW w:w="763" w:type="dxa"/>
            <w:vAlign w:val="center"/>
          </w:tcPr>
          <w:p w14:paraId="59DCCFF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CFF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CFF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CFF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29FF2772" w14:textId="61F7D8EE"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0.016 - 0.27</w:t>
            </w:r>
          </w:p>
        </w:tc>
        <w:tc>
          <w:tcPr>
            <w:tcW w:w="1351" w:type="dxa"/>
            <w:vAlign w:val="center"/>
          </w:tcPr>
          <w:p w14:paraId="0B26F531" w14:textId="7C49FACC"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0.08 - 2.05</w:t>
            </w:r>
          </w:p>
        </w:tc>
      </w:tr>
      <w:tr w:rsidR="006D710B" w:rsidRPr="00D93FF9" w14:paraId="59DCD010" w14:textId="70990202" w:rsidTr="002201B6">
        <w:trPr>
          <w:trHeight w:val="284"/>
        </w:trPr>
        <w:tc>
          <w:tcPr>
            <w:tcW w:w="791" w:type="dxa"/>
          </w:tcPr>
          <w:p w14:paraId="59DCD001" w14:textId="77777777" w:rsidR="006D710B" w:rsidRPr="00D93FF9" w:rsidRDefault="006D710B" w:rsidP="006D710B">
            <w:pPr>
              <w:spacing w:before="0" w:after="0"/>
              <w:rPr>
                <w:lang w:val="en-GB" w:bidi="en-US"/>
              </w:rPr>
            </w:pPr>
            <w:r w:rsidRPr="00D93FF9">
              <w:rPr>
                <w:lang w:val="en-GB" w:bidi="en-US"/>
              </w:rPr>
              <w:t>Cr</w:t>
            </w:r>
          </w:p>
        </w:tc>
        <w:tc>
          <w:tcPr>
            <w:tcW w:w="767" w:type="dxa"/>
            <w:vAlign w:val="center"/>
          </w:tcPr>
          <w:p w14:paraId="59DCD00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5-56</w:t>
            </w:r>
          </w:p>
        </w:tc>
        <w:tc>
          <w:tcPr>
            <w:tcW w:w="768" w:type="dxa"/>
            <w:vAlign w:val="center"/>
          </w:tcPr>
          <w:p w14:paraId="59DCD00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8</w:t>
            </w:r>
          </w:p>
        </w:tc>
        <w:tc>
          <w:tcPr>
            <w:tcW w:w="817" w:type="dxa"/>
            <w:vAlign w:val="center"/>
          </w:tcPr>
          <w:p w14:paraId="59DCD00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5</w:t>
            </w:r>
          </w:p>
        </w:tc>
        <w:tc>
          <w:tcPr>
            <w:tcW w:w="792" w:type="dxa"/>
            <w:vAlign w:val="center"/>
          </w:tcPr>
          <w:p w14:paraId="59DCD00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&lt;9-573</w:t>
            </w:r>
          </w:p>
        </w:tc>
        <w:tc>
          <w:tcPr>
            <w:tcW w:w="763" w:type="dxa"/>
            <w:vAlign w:val="center"/>
          </w:tcPr>
          <w:p w14:paraId="59DCD00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132</w:t>
            </w:r>
          </w:p>
        </w:tc>
        <w:tc>
          <w:tcPr>
            <w:tcW w:w="812" w:type="dxa"/>
            <w:vAlign w:val="center"/>
          </w:tcPr>
          <w:p w14:paraId="59DCD00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65</w:t>
            </w:r>
          </w:p>
        </w:tc>
        <w:tc>
          <w:tcPr>
            <w:tcW w:w="852" w:type="dxa"/>
            <w:vAlign w:val="center"/>
          </w:tcPr>
          <w:p w14:paraId="59DCD00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2.5-673</w:t>
            </w:r>
          </w:p>
        </w:tc>
        <w:tc>
          <w:tcPr>
            <w:tcW w:w="762" w:type="dxa"/>
            <w:vAlign w:val="center"/>
          </w:tcPr>
          <w:p w14:paraId="59DCD00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0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115</w:t>
            </w:r>
          </w:p>
        </w:tc>
        <w:tc>
          <w:tcPr>
            <w:tcW w:w="764" w:type="dxa"/>
            <w:vAlign w:val="center"/>
          </w:tcPr>
          <w:p w14:paraId="59DCD00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41</w:t>
            </w:r>
          </w:p>
        </w:tc>
        <w:tc>
          <w:tcPr>
            <w:tcW w:w="763" w:type="dxa"/>
            <w:vAlign w:val="center"/>
          </w:tcPr>
          <w:p w14:paraId="59DCD00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0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0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D00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57325110" w14:textId="3D276A3B"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5.66 - 54.17</w:t>
            </w:r>
          </w:p>
        </w:tc>
        <w:tc>
          <w:tcPr>
            <w:tcW w:w="1351" w:type="dxa"/>
            <w:vAlign w:val="center"/>
          </w:tcPr>
          <w:p w14:paraId="38EF032F" w14:textId="2C2338AB"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0.95 - 262.1</w:t>
            </w:r>
          </w:p>
        </w:tc>
      </w:tr>
      <w:tr w:rsidR="006D710B" w:rsidRPr="00D93FF9" w14:paraId="59DCD020" w14:textId="4459F0AD" w:rsidTr="002201B6">
        <w:trPr>
          <w:trHeight w:val="284"/>
        </w:trPr>
        <w:tc>
          <w:tcPr>
            <w:tcW w:w="791" w:type="dxa"/>
            <w:vAlign w:val="center"/>
          </w:tcPr>
          <w:p w14:paraId="59DCD011" w14:textId="77777777" w:rsidR="006D710B" w:rsidRPr="00D93FF9" w:rsidRDefault="006D710B" w:rsidP="006D710B">
            <w:pPr>
              <w:spacing w:before="0" w:after="0"/>
              <w:rPr>
                <w:lang w:val="en-GB" w:bidi="en-US"/>
              </w:rPr>
            </w:pPr>
            <w:r w:rsidRPr="00D93FF9">
              <w:rPr>
                <w:rFonts w:ascii="Arial" w:hAnsi="Arial" w:cs="Arial"/>
                <w:b/>
                <w:color w:val="000000"/>
                <w:sz w:val="16"/>
                <w:szCs w:val="16"/>
                <w:lang w:val="en-GB"/>
              </w:rPr>
              <w:t>Co</w:t>
            </w:r>
          </w:p>
        </w:tc>
        <w:tc>
          <w:tcPr>
            <w:tcW w:w="767" w:type="dxa"/>
            <w:vAlign w:val="center"/>
          </w:tcPr>
          <w:p w14:paraId="59DCD01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8" w:type="dxa"/>
            <w:vAlign w:val="center"/>
          </w:tcPr>
          <w:p w14:paraId="59DCD01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7" w:type="dxa"/>
            <w:vAlign w:val="center"/>
          </w:tcPr>
          <w:p w14:paraId="59DCD01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92" w:type="dxa"/>
            <w:vAlign w:val="center"/>
          </w:tcPr>
          <w:p w14:paraId="59DCD01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&lt;6-165</w:t>
            </w:r>
          </w:p>
        </w:tc>
        <w:tc>
          <w:tcPr>
            <w:tcW w:w="763" w:type="dxa"/>
            <w:vAlign w:val="center"/>
          </w:tcPr>
          <w:p w14:paraId="59DCD01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37</w:t>
            </w:r>
          </w:p>
        </w:tc>
        <w:tc>
          <w:tcPr>
            <w:tcW w:w="812" w:type="dxa"/>
            <w:vAlign w:val="center"/>
          </w:tcPr>
          <w:p w14:paraId="59DCD01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26</w:t>
            </w:r>
          </w:p>
        </w:tc>
        <w:tc>
          <w:tcPr>
            <w:tcW w:w="852" w:type="dxa"/>
            <w:vAlign w:val="center"/>
          </w:tcPr>
          <w:p w14:paraId="59DCD01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0.4-147</w:t>
            </w:r>
          </w:p>
        </w:tc>
        <w:tc>
          <w:tcPr>
            <w:tcW w:w="762" w:type="dxa"/>
            <w:vAlign w:val="center"/>
          </w:tcPr>
          <w:p w14:paraId="59DCD01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1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16</w:t>
            </w:r>
          </w:p>
        </w:tc>
        <w:tc>
          <w:tcPr>
            <w:tcW w:w="764" w:type="dxa"/>
            <w:vAlign w:val="center"/>
          </w:tcPr>
          <w:p w14:paraId="59DCD01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6</w:t>
            </w:r>
          </w:p>
        </w:tc>
        <w:tc>
          <w:tcPr>
            <w:tcW w:w="763" w:type="dxa"/>
            <w:vAlign w:val="center"/>
          </w:tcPr>
          <w:p w14:paraId="59DCD01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1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&lt;2-170</w:t>
            </w:r>
          </w:p>
        </w:tc>
        <w:tc>
          <w:tcPr>
            <w:tcW w:w="762" w:type="dxa"/>
            <w:vAlign w:val="center"/>
          </w:tcPr>
          <w:p w14:paraId="59DCD01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11</w:t>
            </w:r>
          </w:p>
        </w:tc>
        <w:tc>
          <w:tcPr>
            <w:tcW w:w="812" w:type="dxa"/>
            <w:vAlign w:val="bottom"/>
          </w:tcPr>
          <w:p w14:paraId="59DCD01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3EE24E22" w14:textId="77777777" w:rsidR="006D710B" w:rsidRPr="00D93FF9" w:rsidRDefault="006D710B" w:rsidP="006D710B">
            <w:pPr>
              <w:spacing w:after="0"/>
              <w:rPr>
                <w:rFonts w:ascii="Arial" w:hAnsi="Arial" w:cs="Arial"/>
                <w:color w:val="000000"/>
                <w:sz w:val="16"/>
                <w:szCs w:val="16"/>
                <w:lang w:val="en-GB"/>
              </w:rPr>
            </w:pPr>
          </w:p>
        </w:tc>
        <w:tc>
          <w:tcPr>
            <w:tcW w:w="1351" w:type="dxa"/>
            <w:vAlign w:val="center"/>
          </w:tcPr>
          <w:p w14:paraId="4972E514" w14:textId="77777777" w:rsidR="006D710B" w:rsidRPr="00D93FF9" w:rsidRDefault="006D710B" w:rsidP="006D710B">
            <w:pPr>
              <w:spacing w:after="0"/>
              <w:rPr>
                <w:rFonts w:ascii="Arial" w:hAnsi="Arial" w:cs="Arial"/>
                <w:color w:val="000000"/>
                <w:sz w:val="16"/>
                <w:szCs w:val="16"/>
                <w:lang w:val="en-GB"/>
              </w:rPr>
            </w:pPr>
          </w:p>
        </w:tc>
      </w:tr>
      <w:tr w:rsidR="006D710B" w:rsidRPr="00D93FF9" w14:paraId="59DCD030" w14:textId="57CB0E00" w:rsidTr="002201B6">
        <w:trPr>
          <w:trHeight w:val="284"/>
        </w:trPr>
        <w:tc>
          <w:tcPr>
            <w:tcW w:w="791" w:type="dxa"/>
            <w:vAlign w:val="center"/>
          </w:tcPr>
          <w:p w14:paraId="59DCD021" w14:textId="77777777" w:rsidR="006D710B" w:rsidRPr="00D93FF9" w:rsidRDefault="006D710B" w:rsidP="006D710B">
            <w:pPr>
              <w:spacing w:before="0" w:after="0"/>
              <w:rPr>
                <w:lang w:val="en-GB" w:bidi="en-US"/>
              </w:rPr>
            </w:pPr>
            <w:r w:rsidRPr="00D93FF9">
              <w:rPr>
                <w:rFonts w:ascii="Arial" w:hAnsi="Arial" w:cs="Arial"/>
                <w:b/>
                <w:color w:val="000000"/>
                <w:sz w:val="16"/>
                <w:szCs w:val="16"/>
                <w:lang w:val="en-GB"/>
              </w:rPr>
              <w:t>Cu</w:t>
            </w:r>
          </w:p>
        </w:tc>
        <w:tc>
          <w:tcPr>
            <w:tcW w:w="767" w:type="dxa"/>
            <w:vAlign w:val="center"/>
          </w:tcPr>
          <w:p w14:paraId="59DCD02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3-412</w:t>
            </w:r>
          </w:p>
        </w:tc>
        <w:tc>
          <w:tcPr>
            <w:tcW w:w="768" w:type="dxa"/>
            <w:vAlign w:val="center"/>
          </w:tcPr>
          <w:p w14:paraId="59DCD02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16</w:t>
            </w:r>
          </w:p>
        </w:tc>
        <w:tc>
          <w:tcPr>
            <w:tcW w:w="817" w:type="dxa"/>
            <w:vAlign w:val="center"/>
          </w:tcPr>
          <w:p w14:paraId="59DCD02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9</w:t>
            </w:r>
          </w:p>
        </w:tc>
        <w:tc>
          <w:tcPr>
            <w:tcW w:w="792" w:type="dxa"/>
            <w:vAlign w:val="center"/>
          </w:tcPr>
          <w:p w14:paraId="59DCD02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&lt;8-148</w:t>
            </w:r>
          </w:p>
        </w:tc>
        <w:tc>
          <w:tcPr>
            <w:tcW w:w="763" w:type="dxa"/>
            <w:vAlign w:val="center"/>
          </w:tcPr>
          <w:p w14:paraId="59DCD02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43</w:t>
            </w:r>
          </w:p>
        </w:tc>
        <w:tc>
          <w:tcPr>
            <w:tcW w:w="812" w:type="dxa"/>
            <w:vAlign w:val="center"/>
          </w:tcPr>
          <w:p w14:paraId="59DCD02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38</w:t>
            </w:r>
          </w:p>
        </w:tc>
        <w:tc>
          <w:tcPr>
            <w:tcW w:w="852" w:type="dxa"/>
            <w:vAlign w:val="center"/>
          </w:tcPr>
          <w:p w14:paraId="59DCD02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0.4-200</w:t>
            </w:r>
          </w:p>
        </w:tc>
        <w:tc>
          <w:tcPr>
            <w:tcW w:w="762" w:type="dxa"/>
            <w:vAlign w:val="center"/>
          </w:tcPr>
          <w:p w14:paraId="59DCD02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2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22</w:t>
            </w:r>
          </w:p>
        </w:tc>
        <w:tc>
          <w:tcPr>
            <w:tcW w:w="764" w:type="dxa"/>
            <w:vAlign w:val="center"/>
          </w:tcPr>
          <w:p w14:paraId="59DCD02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13</w:t>
            </w:r>
          </w:p>
        </w:tc>
        <w:tc>
          <w:tcPr>
            <w:tcW w:w="763" w:type="dxa"/>
            <w:vAlign w:val="center"/>
          </w:tcPr>
          <w:p w14:paraId="59DCD02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2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&lt;1-190</w:t>
            </w:r>
          </w:p>
        </w:tc>
        <w:tc>
          <w:tcPr>
            <w:tcW w:w="762" w:type="dxa"/>
            <w:vAlign w:val="center"/>
          </w:tcPr>
          <w:p w14:paraId="59DCD02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22</w:t>
            </w:r>
          </w:p>
        </w:tc>
        <w:tc>
          <w:tcPr>
            <w:tcW w:w="812" w:type="dxa"/>
            <w:vAlign w:val="bottom"/>
          </w:tcPr>
          <w:p w14:paraId="59DCD02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3ED31C98" w14:textId="5E41CCCA"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4.56 - 30.19</w:t>
            </w:r>
          </w:p>
        </w:tc>
        <w:tc>
          <w:tcPr>
            <w:tcW w:w="1351" w:type="dxa"/>
            <w:vAlign w:val="center"/>
          </w:tcPr>
          <w:p w14:paraId="23E4F8C2" w14:textId="1D5A44F7"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0.95 - 129.4</w:t>
            </w:r>
          </w:p>
        </w:tc>
      </w:tr>
      <w:tr w:rsidR="006D710B" w:rsidRPr="00D93FF9" w14:paraId="59DCD040" w14:textId="2227ED64" w:rsidTr="002201B6">
        <w:trPr>
          <w:trHeight w:val="284"/>
        </w:trPr>
        <w:tc>
          <w:tcPr>
            <w:tcW w:w="791" w:type="dxa"/>
            <w:vAlign w:val="center"/>
          </w:tcPr>
          <w:p w14:paraId="59DCD031" w14:textId="77777777" w:rsidR="006D710B" w:rsidRPr="00D93FF9" w:rsidRDefault="006D710B" w:rsidP="006D710B">
            <w:pPr>
              <w:spacing w:before="0" w:after="0"/>
              <w:rPr>
                <w:lang w:val="en-GB" w:bidi="en-US"/>
              </w:rPr>
            </w:pPr>
            <w:r w:rsidRPr="00D93FF9">
              <w:rPr>
                <w:rFonts w:ascii="Arial" w:hAnsi="Arial" w:cs="Arial"/>
                <w:b/>
                <w:color w:val="000000"/>
                <w:sz w:val="16"/>
                <w:szCs w:val="16"/>
                <w:lang w:val="en-GB"/>
              </w:rPr>
              <w:t>Fe</w:t>
            </w:r>
          </w:p>
        </w:tc>
        <w:tc>
          <w:tcPr>
            <w:tcW w:w="767" w:type="dxa"/>
            <w:vAlign w:val="center"/>
          </w:tcPr>
          <w:p w14:paraId="59DCD03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8" w:type="dxa"/>
            <w:vAlign w:val="center"/>
          </w:tcPr>
          <w:p w14:paraId="59DCD03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7" w:type="dxa"/>
            <w:vAlign w:val="center"/>
          </w:tcPr>
          <w:p w14:paraId="59DCD03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92" w:type="dxa"/>
            <w:vAlign w:val="center"/>
          </w:tcPr>
          <w:p w14:paraId="59DCD03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3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center"/>
          </w:tcPr>
          <w:p w14:paraId="59DCD03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52" w:type="dxa"/>
            <w:vAlign w:val="center"/>
          </w:tcPr>
          <w:p w14:paraId="59DCD03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3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3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vAlign w:val="center"/>
          </w:tcPr>
          <w:p w14:paraId="59DCD03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3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3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3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D03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55A0FB1E" w14:textId="77777777" w:rsidR="006D710B" w:rsidRPr="00D93FF9" w:rsidRDefault="006D710B" w:rsidP="006D710B">
            <w:pPr>
              <w:spacing w:after="0"/>
              <w:rPr>
                <w:rFonts w:ascii="Arial" w:hAnsi="Arial" w:cs="Arial"/>
                <w:color w:val="000000"/>
                <w:sz w:val="16"/>
                <w:szCs w:val="16"/>
                <w:lang w:val="en-GB"/>
              </w:rPr>
            </w:pPr>
          </w:p>
        </w:tc>
        <w:tc>
          <w:tcPr>
            <w:tcW w:w="1351" w:type="dxa"/>
            <w:vAlign w:val="center"/>
          </w:tcPr>
          <w:p w14:paraId="70CAD0AB" w14:textId="77777777" w:rsidR="006D710B" w:rsidRPr="00D93FF9" w:rsidRDefault="006D710B" w:rsidP="006D710B">
            <w:pPr>
              <w:spacing w:after="0"/>
              <w:rPr>
                <w:rFonts w:ascii="Arial" w:hAnsi="Arial" w:cs="Arial"/>
                <w:color w:val="000000"/>
                <w:sz w:val="16"/>
                <w:szCs w:val="16"/>
                <w:lang w:val="en-GB"/>
              </w:rPr>
            </w:pPr>
          </w:p>
        </w:tc>
      </w:tr>
      <w:tr w:rsidR="006D710B" w:rsidRPr="00D93FF9" w14:paraId="59DCD050" w14:textId="2FB42AEE" w:rsidTr="002201B6">
        <w:trPr>
          <w:trHeight w:val="284"/>
        </w:trPr>
        <w:tc>
          <w:tcPr>
            <w:tcW w:w="791" w:type="dxa"/>
            <w:vAlign w:val="center"/>
          </w:tcPr>
          <w:p w14:paraId="59DCD041" w14:textId="77777777" w:rsidR="006D710B" w:rsidRPr="00D93FF9" w:rsidRDefault="006D710B" w:rsidP="006D710B">
            <w:pPr>
              <w:spacing w:before="0" w:after="0"/>
              <w:rPr>
                <w:lang w:val="en-GB" w:bidi="en-US"/>
              </w:rPr>
            </w:pPr>
            <w:r w:rsidRPr="00D93FF9">
              <w:rPr>
                <w:rFonts w:ascii="Arial" w:hAnsi="Arial" w:cs="Arial"/>
                <w:b/>
                <w:color w:val="000000"/>
                <w:sz w:val="16"/>
                <w:szCs w:val="16"/>
                <w:lang w:val="en-GB"/>
              </w:rPr>
              <w:t>Pb</w:t>
            </w:r>
          </w:p>
        </w:tc>
        <w:tc>
          <w:tcPr>
            <w:tcW w:w="767" w:type="dxa"/>
            <w:vAlign w:val="center"/>
          </w:tcPr>
          <w:p w14:paraId="59DCD04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5-56</w:t>
            </w:r>
          </w:p>
        </w:tc>
        <w:tc>
          <w:tcPr>
            <w:tcW w:w="768" w:type="dxa"/>
            <w:vAlign w:val="center"/>
          </w:tcPr>
          <w:p w14:paraId="59DCD04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14</w:t>
            </w:r>
          </w:p>
        </w:tc>
        <w:tc>
          <w:tcPr>
            <w:tcW w:w="817" w:type="dxa"/>
            <w:vAlign w:val="center"/>
          </w:tcPr>
          <w:p w14:paraId="59DCD04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14</w:t>
            </w:r>
          </w:p>
        </w:tc>
        <w:tc>
          <w:tcPr>
            <w:tcW w:w="792" w:type="dxa"/>
            <w:vAlign w:val="center"/>
          </w:tcPr>
          <w:p w14:paraId="59DCD04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5-81</w:t>
            </w:r>
          </w:p>
        </w:tc>
        <w:tc>
          <w:tcPr>
            <w:tcW w:w="763" w:type="dxa"/>
            <w:vAlign w:val="center"/>
          </w:tcPr>
          <w:p w14:paraId="59DCD04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27</w:t>
            </w:r>
          </w:p>
        </w:tc>
        <w:tc>
          <w:tcPr>
            <w:tcW w:w="812" w:type="dxa"/>
            <w:vAlign w:val="center"/>
          </w:tcPr>
          <w:p w14:paraId="59DCD04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24</w:t>
            </w:r>
          </w:p>
        </w:tc>
        <w:tc>
          <w:tcPr>
            <w:tcW w:w="852" w:type="dxa"/>
            <w:vAlign w:val="center"/>
          </w:tcPr>
          <w:p w14:paraId="59DCD04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2-60.5</w:t>
            </w:r>
          </w:p>
        </w:tc>
        <w:tc>
          <w:tcPr>
            <w:tcW w:w="762" w:type="dxa"/>
            <w:vAlign w:val="center"/>
          </w:tcPr>
          <w:p w14:paraId="59DCD04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4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14</w:t>
            </w:r>
          </w:p>
        </w:tc>
        <w:tc>
          <w:tcPr>
            <w:tcW w:w="764" w:type="dxa"/>
            <w:vAlign w:val="center"/>
          </w:tcPr>
          <w:p w14:paraId="59DCD04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12</w:t>
            </w:r>
          </w:p>
        </w:tc>
        <w:tc>
          <w:tcPr>
            <w:tcW w:w="763" w:type="dxa"/>
            <w:vAlign w:val="center"/>
          </w:tcPr>
          <w:p w14:paraId="59DCD04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4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4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D04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60424C6A" w14:textId="2B147A91"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5.69 - 154.62</w:t>
            </w:r>
          </w:p>
        </w:tc>
        <w:tc>
          <w:tcPr>
            <w:tcW w:w="1351" w:type="dxa"/>
            <w:vAlign w:val="center"/>
          </w:tcPr>
          <w:p w14:paraId="2DDFBB36" w14:textId="4BAEE76A"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0.95 - 562.1</w:t>
            </w:r>
          </w:p>
        </w:tc>
      </w:tr>
      <w:tr w:rsidR="006D710B" w:rsidRPr="00D93FF9" w14:paraId="59DCD060" w14:textId="7B1DDCC8" w:rsidTr="002201B6">
        <w:trPr>
          <w:trHeight w:val="284"/>
        </w:trPr>
        <w:tc>
          <w:tcPr>
            <w:tcW w:w="791" w:type="dxa"/>
            <w:vAlign w:val="center"/>
          </w:tcPr>
          <w:p w14:paraId="59DCD051" w14:textId="77777777" w:rsidR="006D710B" w:rsidRPr="00D93FF9" w:rsidRDefault="006D710B" w:rsidP="006D710B">
            <w:pPr>
              <w:spacing w:before="0" w:after="0"/>
              <w:rPr>
                <w:lang w:val="en-GB" w:bidi="en-US"/>
              </w:rPr>
            </w:pPr>
            <w:r w:rsidRPr="00D93FF9">
              <w:rPr>
                <w:rFonts w:ascii="Arial" w:hAnsi="Arial" w:cs="Arial"/>
                <w:b/>
                <w:color w:val="000000"/>
                <w:sz w:val="16"/>
                <w:szCs w:val="16"/>
                <w:lang w:val="en-GB"/>
              </w:rPr>
              <w:t>Li</w:t>
            </w:r>
          </w:p>
        </w:tc>
        <w:tc>
          <w:tcPr>
            <w:tcW w:w="767" w:type="dxa"/>
            <w:vAlign w:val="center"/>
          </w:tcPr>
          <w:p w14:paraId="59DCD05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8" w:type="dxa"/>
            <w:vAlign w:val="center"/>
          </w:tcPr>
          <w:p w14:paraId="59DCD05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7" w:type="dxa"/>
            <w:vAlign w:val="center"/>
          </w:tcPr>
          <w:p w14:paraId="59DCD05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92" w:type="dxa"/>
            <w:vAlign w:val="center"/>
          </w:tcPr>
          <w:p w14:paraId="59DCD05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5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center"/>
          </w:tcPr>
          <w:p w14:paraId="59DCD05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52" w:type="dxa"/>
            <w:vAlign w:val="center"/>
          </w:tcPr>
          <w:p w14:paraId="59DCD05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5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5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vAlign w:val="center"/>
          </w:tcPr>
          <w:p w14:paraId="59DCD05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5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bottom"/>
          </w:tcPr>
          <w:p w14:paraId="59DCD05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bottom"/>
          </w:tcPr>
          <w:p w14:paraId="59DCD05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D05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72852109" w14:textId="77777777" w:rsidR="006D710B" w:rsidRPr="00D93FF9" w:rsidRDefault="006D710B" w:rsidP="006D710B">
            <w:pPr>
              <w:spacing w:after="0"/>
              <w:rPr>
                <w:rFonts w:ascii="Arial" w:hAnsi="Arial" w:cs="Arial"/>
                <w:color w:val="000000"/>
                <w:sz w:val="16"/>
                <w:szCs w:val="16"/>
                <w:lang w:val="en-GB"/>
              </w:rPr>
            </w:pPr>
          </w:p>
        </w:tc>
        <w:tc>
          <w:tcPr>
            <w:tcW w:w="1351" w:type="dxa"/>
            <w:vAlign w:val="center"/>
          </w:tcPr>
          <w:p w14:paraId="43ABE083" w14:textId="77777777" w:rsidR="006D710B" w:rsidRPr="00D93FF9" w:rsidRDefault="006D710B" w:rsidP="006D710B">
            <w:pPr>
              <w:spacing w:after="0"/>
              <w:rPr>
                <w:rFonts w:ascii="Arial" w:hAnsi="Arial" w:cs="Arial"/>
                <w:color w:val="000000"/>
                <w:sz w:val="16"/>
                <w:szCs w:val="16"/>
                <w:lang w:val="en-GB"/>
              </w:rPr>
            </w:pPr>
          </w:p>
        </w:tc>
      </w:tr>
      <w:tr w:rsidR="006D710B" w:rsidRPr="00D93FF9" w14:paraId="59DCD070" w14:textId="33D0E52C" w:rsidTr="002201B6">
        <w:trPr>
          <w:trHeight w:val="284"/>
        </w:trPr>
        <w:tc>
          <w:tcPr>
            <w:tcW w:w="791" w:type="dxa"/>
            <w:vAlign w:val="center"/>
          </w:tcPr>
          <w:p w14:paraId="59DCD061" w14:textId="77777777" w:rsidR="006D710B" w:rsidRPr="00D93FF9" w:rsidRDefault="006D710B" w:rsidP="006D710B">
            <w:pPr>
              <w:spacing w:before="0" w:after="0"/>
              <w:rPr>
                <w:lang w:val="en-GB" w:bidi="en-US"/>
              </w:rPr>
            </w:pPr>
            <w:r w:rsidRPr="00D93FF9">
              <w:rPr>
                <w:rFonts w:ascii="Arial" w:hAnsi="Arial" w:cs="Arial"/>
                <w:b/>
                <w:color w:val="000000"/>
                <w:sz w:val="16"/>
                <w:szCs w:val="16"/>
                <w:lang w:val="en-GB"/>
              </w:rPr>
              <w:t xml:space="preserve">Mn </w:t>
            </w:r>
          </w:p>
        </w:tc>
        <w:tc>
          <w:tcPr>
            <w:tcW w:w="767" w:type="dxa"/>
            <w:vAlign w:val="center"/>
          </w:tcPr>
          <w:p w14:paraId="59DCD06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4-7357</w:t>
            </w:r>
          </w:p>
        </w:tc>
        <w:tc>
          <w:tcPr>
            <w:tcW w:w="768" w:type="dxa"/>
            <w:vAlign w:val="center"/>
          </w:tcPr>
          <w:p w14:paraId="59DCD06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814</w:t>
            </w:r>
          </w:p>
        </w:tc>
        <w:tc>
          <w:tcPr>
            <w:tcW w:w="817" w:type="dxa"/>
            <w:vAlign w:val="center"/>
          </w:tcPr>
          <w:p w14:paraId="59DCD06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201</w:t>
            </w:r>
          </w:p>
        </w:tc>
        <w:tc>
          <w:tcPr>
            <w:tcW w:w="792" w:type="dxa"/>
            <w:vAlign w:val="center"/>
          </w:tcPr>
          <w:p w14:paraId="59DCD06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6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center"/>
          </w:tcPr>
          <w:p w14:paraId="59DCD06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52" w:type="dxa"/>
            <w:vAlign w:val="center"/>
          </w:tcPr>
          <w:p w14:paraId="59DCD06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6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6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vAlign w:val="center"/>
          </w:tcPr>
          <w:p w14:paraId="59DCD06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6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6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4-5100</w:t>
            </w:r>
          </w:p>
        </w:tc>
        <w:tc>
          <w:tcPr>
            <w:tcW w:w="762" w:type="dxa"/>
            <w:vAlign w:val="center"/>
          </w:tcPr>
          <w:p w14:paraId="59DCD06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780</w:t>
            </w:r>
          </w:p>
        </w:tc>
        <w:tc>
          <w:tcPr>
            <w:tcW w:w="812" w:type="dxa"/>
            <w:vAlign w:val="bottom"/>
          </w:tcPr>
          <w:p w14:paraId="59DCD06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628EFBCA" w14:textId="77777777" w:rsidR="006D710B" w:rsidRPr="00D93FF9" w:rsidRDefault="006D710B" w:rsidP="006D710B">
            <w:pPr>
              <w:spacing w:after="0"/>
              <w:rPr>
                <w:rFonts w:ascii="Arial" w:hAnsi="Arial" w:cs="Arial"/>
                <w:color w:val="000000"/>
                <w:sz w:val="16"/>
                <w:szCs w:val="16"/>
                <w:lang w:val="en-GB"/>
              </w:rPr>
            </w:pPr>
          </w:p>
        </w:tc>
        <w:tc>
          <w:tcPr>
            <w:tcW w:w="1351" w:type="dxa"/>
            <w:vAlign w:val="center"/>
          </w:tcPr>
          <w:p w14:paraId="6FF48BD1" w14:textId="77777777" w:rsidR="006D710B" w:rsidRPr="00D93FF9" w:rsidRDefault="006D710B" w:rsidP="006D710B">
            <w:pPr>
              <w:spacing w:after="0"/>
              <w:rPr>
                <w:rFonts w:ascii="Arial" w:hAnsi="Arial" w:cs="Arial"/>
                <w:color w:val="000000"/>
                <w:sz w:val="16"/>
                <w:szCs w:val="16"/>
                <w:lang w:val="en-GB"/>
              </w:rPr>
            </w:pPr>
          </w:p>
        </w:tc>
      </w:tr>
      <w:tr w:rsidR="006D710B" w:rsidRPr="00D93FF9" w14:paraId="59DCD080" w14:textId="13A4D208" w:rsidTr="002201B6">
        <w:trPr>
          <w:trHeight w:val="284"/>
        </w:trPr>
        <w:tc>
          <w:tcPr>
            <w:tcW w:w="791" w:type="dxa"/>
            <w:vAlign w:val="center"/>
          </w:tcPr>
          <w:p w14:paraId="59DCD071" w14:textId="77777777" w:rsidR="006D710B" w:rsidRPr="00D93FF9" w:rsidRDefault="006D710B" w:rsidP="006D710B">
            <w:pPr>
              <w:spacing w:before="0" w:after="0"/>
              <w:rPr>
                <w:lang w:val="en-GB" w:bidi="en-US"/>
              </w:rPr>
            </w:pPr>
            <w:r w:rsidRPr="00D93FF9">
              <w:rPr>
                <w:rFonts w:ascii="Arial" w:hAnsi="Arial" w:cs="Arial"/>
                <w:b/>
                <w:color w:val="000000"/>
                <w:sz w:val="16"/>
                <w:szCs w:val="16"/>
                <w:lang w:val="en-GB"/>
              </w:rPr>
              <w:t>Hg</w:t>
            </w:r>
          </w:p>
        </w:tc>
        <w:tc>
          <w:tcPr>
            <w:tcW w:w="767" w:type="dxa"/>
            <w:vAlign w:val="center"/>
          </w:tcPr>
          <w:p w14:paraId="59DCD07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8" w:type="dxa"/>
            <w:vAlign w:val="center"/>
          </w:tcPr>
          <w:p w14:paraId="59DCD07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7" w:type="dxa"/>
            <w:vAlign w:val="center"/>
          </w:tcPr>
          <w:p w14:paraId="59DCD07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92" w:type="dxa"/>
            <w:vAlign w:val="center"/>
          </w:tcPr>
          <w:p w14:paraId="59DCD07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&lt;0.006-0.15</w:t>
            </w:r>
          </w:p>
        </w:tc>
        <w:tc>
          <w:tcPr>
            <w:tcW w:w="763" w:type="dxa"/>
            <w:vAlign w:val="center"/>
          </w:tcPr>
          <w:p w14:paraId="59DCD07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0.042</w:t>
            </w:r>
          </w:p>
        </w:tc>
        <w:tc>
          <w:tcPr>
            <w:tcW w:w="812" w:type="dxa"/>
            <w:vAlign w:val="center"/>
          </w:tcPr>
          <w:p w14:paraId="59DCD07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0.035</w:t>
            </w:r>
          </w:p>
        </w:tc>
        <w:tc>
          <w:tcPr>
            <w:tcW w:w="852" w:type="dxa"/>
            <w:vAlign w:val="center"/>
          </w:tcPr>
          <w:p w14:paraId="59DCD07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7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7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vAlign w:val="center"/>
          </w:tcPr>
          <w:p w14:paraId="59DCD07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7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7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7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D07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1A164DE9" w14:textId="77777777" w:rsidR="006D710B" w:rsidRPr="00D93FF9" w:rsidRDefault="006D710B" w:rsidP="006D710B">
            <w:pPr>
              <w:spacing w:after="0"/>
              <w:rPr>
                <w:rFonts w:ascii="Arial" w:hAnsi="Arial" w:cs="Arial"/>
                <w:color w:val="000000"/>
                <w:sz w:val="16"/>
                <w:szCs w:val="16"/>
                <w:lang w:val="en-GB"/>
              </w:rPr>
            </w:pPr>
          </w:p>
        </w:tc>
        <w:tc>
          <w:tcPr>
            <w:tcW w:w="1351" w:type="dxa"/>
            <w:vAlign w:val="center"/>
          </w:tcPr>
          <w:p w14:paraId="351A2F2F" w14:textId="77777777" w:rsidR="006D710B" w:rsidRPr="00D93FF9" w:rsidRDefault="006D710B" w:rsidP="006D710B">
            <w:pPr>
              <w:spacing w:after="0"/>
              <w:rPr>
                <w:rFonts w:ascii="Arial" w:hAnsi="Arial" w:cs="Arial"/>
                <w:color w:val="000000"/>
                <w:sz w:val="16"/>
                <w:szCs w:val="16"/>
                <w:lang w:val="en-GB"/>
              </w:rPr>
            </w:pPr>
          </w:p>
        </w:tc>
      </w:tr>
      <w:tr w:rsidR="006D710B" w:rsidRPr="00D93FF9" w14:paraId="59DCD090" w14:textId="4890F358" w:rsidTr="002201B6">
        <w:trPr>
          <w:trHeight w:val="284"/>
        </w:trPr>
        <w:tc>
          <w:tcPr>
            <w:tcW w:w="791" w:type="dxa"/>
            <w:vAlign w:val="center"/>
          </w:tcPr>
          <w:p w14:paraId="59DCD081" w14:textId="77777777" w:rsidR="006D710B" w:rsidRPr="00D93FF9" w:rsidRDefault="006D710B" w:rsidP="006D710B">
            <w:pPr>
              <w:spacing w:before="0" w:after="0"/>
              <w:rPr>
                <w:lang w:val="en-GB" w:bidi="en-US"/>
              </w:rPr>
            </w:pPr>
            <w:r w:rsidRPr="00D93FF9">
              <w:rPr>
                <w:rFonts w:ascii="Arial" w:hAnsi="Arial" w:cs="Arial"/>
                <w:b/>
                <w:color w:val="000000"/>
                <w:sz w:val="16"/>
                <w:szCs w:val="16"/>
                <w:lang w:val="en-GB"/>
              </w:rPr>
              <w:t>Mo</w:t>
            </w:r>
          </w:p>
        </w:tc>
        <w:tc>
          <w:tcPr>
            <w:tcW w:w="767" w:type="dxa"/>
            <w:vAlign w:val="center"/>
          </w:tcPr>
          <w:p w14:paraId="59DCD08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8" w:type="dxa"/>
            <w:vAlign w:val="center"/>
          </w:tcPr>
          <w:p w14:paraId="59DCD08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7" w:type="dxa"/>
            <w:vAlign w:val="center"/>
          </w:tcPr>
          <w:p w14:paraId="59DCD08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92" w:type="dxa"/>
            <w:vAlign w:val="center"/>
          </w:tcPr>
          <w:p w14:paraId="59DCD08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0.2-5.2</w:t>
            </w:r>
          </w:p>
        </w:tc>
        <w:tc>
          <w:tcPr>
            <w:tcW w:w="763" w:type="dxa"/>
            <w:vAlign w:val="center"/>
          </w:tcPr>
          <w:p w14:paraId="59DCD08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1.34</w:t>
            </w:r>
          </w:p>
        </w:tc>
        <w:tc>
          <w:tcPr>
            <w:tcW w:w="812" w:type="dxa"/>
            <w:vAlign w:val="center"/>
          </w:tcPr>
          <w:p w14:paraId="59DCD08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1.01</w:t>
            </w:r>
          </w:p>
        </w:tc>
        <w:tc>
          <w:tcPr>
            <w:tcW w:w="852" w:type="dxa"/>
            <w:vAlign w:val="center"/>
          </w:tcPr>
          <w:p w14:paraId="59DCD08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8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8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vAlign w:val="center"/>
          </w:tcPr>
          <w:p w14:paraId="59DCD08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8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8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&lt;1-20</w:t>
            </w:r>
          </w:p>
        </w:tc>
        <w:tc>
          <w:tcPr>
            <w:tcW w:w="762" w:type="dxa"/>
            <w:vAlign w:val="center"/>
          </w:tcPr>
          <w:p w14:paraId="59DCD08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3.2</w:t>
            </w:r>
          </w:p>
        </w:tc>
        <w:tc>
          <w:tcPr>
            <w:tcW w:w="812" w:type="dxa"/>
            <w:vAlign w:val="bottom"/>
          </w:tcPr>
          <w:p w14:paraId="59DCD08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762CA3E4" w14:textId="77777777" w:rsidR="006D710B" w:rsidRPr="00D93FF9" w:rsidRDefault="006D710B" w:rsidP="006D710B">
            <w:pPr>
              <w:spacing w:after="0"/>
              <w:rPr>
                <w:rFonts w:ascii="Arial" w:hAnsi="Arial" w:cs="Arial"/>
                <w:color w:val="000000"/>
                <w:sz w:val="16"/>
                <w:szCs w:val="16"/>
                <w:lang w:val="en-GB"/>
              </w:rPr>
            </w:pPr>
          </w:p>
        </w:tc>
        <w:tc>
          <w:tcPr>
            <w:tcW w:w="1351" w:type="dxa"/>
            <w:vAlign w:val="center"/>
          </w:tcPr>
          <w:p w14:paraId="7BD44591" w14:textId="77777777" w:rsidR="006D710B" w:rsidRPr="00D93FF9" w:rsidRDefault="006D710B" w:rsidP="006D710B">
            <w:pPr>
              <w:spacing w:after="0"/>
              <w:rPr>
                <w:rFonts w:ascii="Arial" w:hAnsi="Arial" w:cs="Arial"/>
                <w:color w:val="000000"/>
                <w:sz w:val="16"/>
                <w:szCs w:val="16"/>
                <w:lang w:val="en-GB"/>
              </w:rPr>
            </w:pPr>
          </w:p>
        </w:tc>
      </w:tr>
      <w:tr w:rsidR="006D710B" w:rsidRPr="00D93FF9" w14:paraId="59DCD0A0" w14:textId="197DBA46" w:rsidTr="002201B6">
        <w:trPr>
          <w:trHeight w:val="284"/>
        </w:trPr>
        <w:tc>
          <w:tcPr>
            <w:tcW w:w="791" w:type="dxa"/>
            <w:vAlign w:val="center"/>
          </w:tcPr>
          <w:p w14:paraId="59DCD091" w14:textId="77777777" w:rsidR="006D710B" w:rsidRPr="00D93FF9" w:rsidRDefault="006D710B" w:rsidP="006D710B">
            <w:pPr>
              <w:spacing w:before="0" w:after="0"/>
              <w:rPr>
                <w:lang w:val="en-GB" w:bidi="en-US"/>
              </w:rPr>
            </w:pPr>
            <w:r w:rsidRPr="00D93FF9">
              <w:rPr>
                <w:rFonts w:ascii="Arial" w:hAnsi="Arial" w:cs="Arial"/>
                <w:b/>
                <w:color w:val="000000"/>
                <w:sz w:val="16"/>
                <w:szCs w:val="16"/>
                <w:lang w:val="en-GB"/>
              </w:rPr>
              <w:t>Ni</w:t>
            </w:r>
          </w:p>
        </w:tc>
        <w:tc>
          <w:tcPr>
            <w:tcW w:w="767" w:type="dxa"/>
            <w:vAlign w:val="center"/>
          </w:tcPr>
          <w:p w14:paraId="59DCD09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5-38</w:t>
            </w:r>
          </w:p>
        </w:tc>
        <w:tc>
          <w:tcPr>
            <w:tcW w:w="768" w:type="dxa"/>
            <w:vAlign w:val="center"/>
          </w:tcPr>
          <w:p w14:paraId="59DCD09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6</w:t>
            </w:r>
          </w:p>
        </w:tc>
        <w:tc>
          <w:tcPr>
            <w:tcW w:w="817" w:type="dxa"/>
            <w:vAlign w:val="center"/>
          </w:tcPr>
          <w:p w14:paraId="59DCD09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5</w:t>
            </w:r>
          </w:p>
        </w:tc>
        <w:tc>
          <w:tcPr>
            <w:tcW w:w="792" w:type="dxa"/>
            <w:vAlign w:val="center"/>
          </w:tcPr>
          <w:p w14:paraId="59DCD09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&lt;10-439</w:t>
            </w:r>
          </w:p>
        </w:tc>
        <w:tc>
          <w:tcPr>
            <w:tcW w:w="763" w:type="dxa"/>
            <w:vAlign w:val="center"/>
          </w:tcPr>
          <w:p w14:paraId="59DCD09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88</w:t>
            </w:r>
          </w:p>
        </w:tc>
        <w:tc>
          <w:tcPr>
            <w:tcW w:w="812" w:type="dxa"/>
            <w:vAlign w:val="center"/>
          </w:tcPr>
          <w:p w14:paraId="59DCD09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27</w:t>
            </w:r>
          </w:p>
        </w:tc>
        <w:tc>
          <w:tcPr>
            <w:tcW w:w="852" w:type="dxa"/>
            <w:vAlign w:val="center"/>
          </w:tcPr>
          <w:p w14:paraId="59DCD09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1-517</w:t>
            </w:r>
          </w:p>
        </w:tc>
        <w:tc>
          <w:tcPr>
            <w:tcW w:w="762" w:type="dxa"/>
            <w:vAlign w:val="center"/>
          </w:tcPr>
          <w:p w14:paraId="59DCD09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9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56</w:t>
            </w:r>
          </w:p>
        </w:tc>
        <w:tc>
          <w:tcPr>
            <w:tcW w:w="764" w:type="dxa"/>
            <w:vAlign w:val="center"/>
          </w:tcPr>
          <w:p w14:paraId="59DCD09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18</w:t>
            </w:r>
          </w:p>
        </w:tc>
        <w:tc>
          <w:tcPr>
            <w:tcW w:w="763" w:type="dxa"/>
            <w:vAlign w:val="center"/>
          </w:tcPr>
          <w:p w14:paraId="59DCD09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9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9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D09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547FEF77" w14:textId="0FF0A614"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1.9 - 27.38</w:t>
            </w:r>
          </w:p>
        </w:tc>
        <w:tc>
          <w:tcPr>
            <w:tcW w:w="1351" w:type="dxa"/>
            <w:vAlign w:val="center"/>
          </w:tcPr>
          <w:p w14:paraId="075FC6CE" w14:textId="1E1FF534"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0.95 - 154.3</w:t>
            </w:r>
          </w:p>
        </w:tc>
      </w:tr>
      <w:tr w:rsidR="006D710B" w:rsidRPr="00D93FF9" w14:paraId="59DCD0B0" w14:textId="005A893B" w:rsidTr="002201B6">
        <w:trPr>
          <w:trHeight w:val="284"/>
        </w:trPr>
        <w:tc>
          <w:tcPr>
            <w:tcW w:w="791" w:type="dxa"/>
            <w:vAlign w:val="center"/>
          </w:tcPr>
          <w:p w14:paraId="59DCD0A1" w14:textId="77777777" w:rsidR="006D710B" w:rsidRPr="00D93FF9" w:rsidRDefault="006D710B" w:rsidP="006D710B">
            <w:pPr>
              <w:spacing w:before="0" w:after="0"/>
              <w:rPr>
                <w:lang w:val="en-GB" w:bidi="en-US"/>
              </w:rPr>
            </w:pPr>
            <w:r w:rsidRPr="00D93FF9">
              <w:rPr>
                <w:rFonts w:ascii="Arial" w:hAnsi="Arial" w:cs="Arial"/>
                <w:b/>
                <w:color w:val="000000"/>
                <w:sz w:val="16"/>
                <w:szCs w:val="16"/>
                <w:lang w:val="en-GB"/>
              </w:rPr>
              <w:t>Se</w:t>
            </w:r>
          </w:p>
        </w:tc>
        <w:tc>
          <w:tcPr>
            <w:tcW w:w="767" w:type="dxa"/>
            <w:vAlign w:val="center"/>
          </w:tcPr>
          <w:p w14:paraId="59DCD0A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8" w:type="dxa"/>
            <w:vAlign w:val="center"/>
          </w:tcPr>
          <w:p w14:paraId="59DCD0A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7" w:type="dxa"/>
            <w:vAlign w:val="center"/>
          </w:tcPr>
          <w:p w14:paraId="59DCD0A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92" w:type="dxa"/>
            <w:vAlign w:val="center"/>
          </w:tcPr>
          <w:p w14:paraId="59DCD0A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&lt;0.05-3.2</w:t>
            </w:r>
          </w:p>
        </w:tc>
        <w:tc>
          <w:tcPr>
            <w:tcW w:w="763" w:type="dxa"/>
            <w:vAlign w:val="center"/>
          </w:tcPr>
          <w:p w14:paraId="59DCD0A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0.37</w:t>
            </w:r>
          </w:p>
        </w:tc>
        <w:tc>
          <w:tcPr>
            <w:tcW w:w="812" w:type="dxa"/>
            <w:vAlign w:val="center"/>
          </w:tcPr>
          <w:p w14:paraId="59DCD0A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0.28</w:t>
            </w:r>
          </w:p>
        </w:tc>
        <w:tc>
          <w:tcPr>
            <w:tcW w:w="852" w:type="dxa"/>
            <w:vAlign w:val="center"/>
          </w:tcPr>
          <w:p w14:paraId="59DCD0A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A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A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vAlign w:val="center"/>
          </w:tcPr>
          <w:p w14:paraId="59DCD0A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A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A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A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D0A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20DB154A" w14:textId="77777777" w:rsidR="006D710B" w:rsidRPr="00D93FF9" w:rsidRDefault="006D710B" w:rsidP="006D710B">
            <w:pPr>
              <w:spacing w:after="0"/>
              <w:rPr>
                <w:rFonts w:ascii="Arial" w:hAnsi="Arial" w:cs="Arial"/>
                <w:color w:val="000000"/>
                <w:sz w:val="16"/>
                <w:szCs w:val="16"/>
                <w:lang w:val="en-GB"/>
              </w:rPr>
            </w:pPr>
          </w:p>
        </w:tc>
        <w:tc>
          <w:tcPr>
            <w:tcW w:w="1351" w:type="dxa"/>
            <w:vAlign w:val="center"/>
          </w:tcPr>
          <w:p w14:paraId="2C4F5F59" w14:textId="77777777" w:rsidR="006D710B" w:rsidRPr="00D93FF9" w:rsidRDefault="006D710B" w:rsidP="006D710B">
            <w:pPr>
              <w:spacing w:after="0"/>
              <w:rPr>
                <w:rFonts w:ascii="Arial" w:hAnsi="Arial" w:cs="Arial"/>
                <w:color w:val="000000"/>
                <w:sz w:val="16"/>
                <w:szCs w:val="16"/>
                <w:lang w:val="en-GB"/>
              </w:rPr>
            </w:pPr>
          </w:p>
        </w:tc>
      </w:tr>
      <w:tr w:rsidR="006D710B" w:rsidRPr="00D93FF9" w14:paraId="59DCD0C0" w14:textId="7C0994AC" w:rsidTr="002201B6">
        <w:trPr>
          <w:trHeight w:val="284"/>
        </w:trPr>
        <w:tc>
          <w:tcPr>
            <w:tcW w:w="791" w:type="dxa"/>
            <w:vAlign w:val="center"/>
          </w:tcPr>
          <w:p w14:paraId="59DCD0B1" w14:textId="77777777" w:rsidR="006D710B" w:rsidRPr="00D93FF9" w:rsidRDefault="006D710B" w:rsidP="006D710B">
            <w:pPr>
              <w:spacing w:before="0" w:after="0"/>
              <w:rPr>
                <w:rFonts w:ascii="Arial" w:hAnsi="Arial" w:cs="Arial"/>
                <w:b/>
                <w:color w:val="000000"/>
                <w:sz w:val="16"/>
                <w:szCs w:val="16"/>
                <w:lang w:val="en-GB"/>
              </w:rPr>
            </w:pPr>
            <w:r w:rsidRPr="00D93FF9">
              <w:rPr>
                <w:rFonts w:ascii="Arial" w:hAnsi="Arial" w:cs="Arial"/>
                <w:b/>
                <w:color w:val="000000"/>
                <w:sz w:val="16"/>
                <w:szCs w:val="16"/>
                <w:lang w:val="en-GB"/>
              </w:rPr>
              <w:t>U</w:t>
            </w:r>
          </w:p>
        </w:tc>
        <w:tc>
          <w:tcPr>
            <w:tcW w:w="767" w:type="dxa"/>
            <w:vAlign w:val="center"/>
          </w:tcPr>
          <w:p w14:paraId="59DCD0B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8" w:type="dxa"/>
            <w:vAlign w:val="center"/>
          </w:tcPr>
          <w:p w14:paraId="59DCD0B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7" w:type="dxa"/>
            <w:vAlign w:val="center"/>
          </w:tcPr>
          <w:p w14:paraId="59DCD0B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92" w:type="dxa"/>
            <w:vAlign w:val="center"/>
          </w:tcPr>
          <w:p w14:paraId="59DCD0B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B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center"/>
          </w:tcPr>
          <w:p w14:paraId="59DCD0B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52" w:type="dxa"/>
            <w:vAlign w:val="center"/>
          </w:tcPr>
          <w:p w14:paraId="59DCD0B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B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B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vAlign w:val="center"/>
          </w:tcPr>
          <w:p w14:paraId="59DCD0B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B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B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B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D0B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338F73F2" w14:textId="77777777" w:rsidR="006D710B" w:rsidRPr="00D93FF9" w:rsidRDefault="006D710B" w:rsidP="006D710B">
            <w:pPr>
              <w:spacing w:after="0"/>
              <w:rPr>
                <w:rFonts w:ascii="Arial" w:hAnsi="Arial" w:cs="Arial"/>
                <w:color w:val="000000"/>
                <w:sz w:val="16"/>
                <w:szCs w:val="16"/>
                <w:lang w:val="en-GB"/>
              </w:rPr>
            </w:pPr>
          </w:p>
        </w:tc>
        <w:tc>
          <w:tcPr>
            <w:tcW w:w="1351" w:type="dxa"/>
            <w:vAlign w:val="center"/>
          </w:tcPr>
          <w:p w14:paraId="169993AE" w14:textId="77777777" w:rsidR="006D710B" w:rsidRPr="00D93FF9" w:rsidRDefault="006D710B" w:rsidP="006D710B">
            <w:pPr>
              <w:spacing w:after="0"/>
              <w:rPr>
                <w:rFonts w:ascii="Arial" w:hAnsi="Arial" w:cs="Arial"/>
                <w:color w:val="000000"/>
                <w:sz w:val="16"/>
                <w:szCs w:val="16"/>
                <w:lang w:val="en-GB"/>
              </w:rPr>
            </w:pPr>
          </w:p>
        </w:tc>
      </w:tr>
      <w:tr w:rsidR="006D710B" w:rsidRPr="00D93FF9" w14:paraId="59DCD0D0" w14:textId="1CC3442B" w:rsidTr="002201B6">
        <w:trPr>
          <w:trHeight w:val="284"/>
        </w:trPr>
        <w:tc>
          <w:tcPr>
            <w:tcW w:w="791" w:type="dxa"/>
            <w:vAlign w:val="center"/>
          </w:tcPr>
          <w:p w14:paraId="59DCD0C1" w14:textId="77777777" w:rsidR="006D710B" w:rsidRPr="00D93FF9" w:rsidRDefault="006D710B" w:rsidP="006D710B">
            <w:pPr>
              <w:spacing w:before="0" w:after="0"/>
              <w:rPr>
                <w:rFonts w:ascii="Arial" w:hAnsi="Arial" w:cs="Arial"/>
                <w:b/>
                <w:color w:val="000000"/>
                <w:sz w:val="16"/>
                <w:szCs w:val="16"/>
                <w:lang w:val="en-GB"/>
              </w:rPr>
            </w:pPr>
            <w:r w:rsidRPr="00D93FF9">
              <w:rPr>
                <w:rFonts w:ascii="Arial" w:hAnsi="Arial" w:cs="Arial"/>
                <w:b/>
                <w:color w:val="000000"/>
                <w:sz w:val="16"/>
                <w:szCs w:val="16"/>
                <w:lang w:val="en-GB"/>
              </w:rPr>
              <w:t>V</w:t>
            </w:r>
          </w:p>
        </w:tc>
        <w:tc>
          <w:tcPr>
            <w:tcW w:w="767" w:type="dxa"/>
            <w:vAlign w:val="center"/>
          </w:tcPr>
          <w:p w14:paraId="59DCD0C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5-121</w:t>
            </w:r>
          </w:p>
        </w:tc>
        <w:tc>
          <w:tcPr>
            <w:tcW w:w="768" w:type="dxa"/>
            <w:vAlign w:val="center"/>
          </w:tcPr>
          <w:p w14:paraId="59DCD0C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21</w:t>
            </w:r>
          </w:p>
        </w:tc>
        <w:tc>
          <w:tcPr>
            <w:tcW w:w="817" w:type="dxa"/>
            <w:vAlign w:val="center"/>
          </w:tcPr>
          <w:p w14:paraId="59DCD0C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12</w:t>
            </w:r>
          </w:p>
        </w:tc>
        <w:tc>
          <w:tcPr>
            <w:tcW w:w="792" w:type="dxa"/>
            <w:vAlign w:val="center"/>
          </w:tcPr>
          <w:p w14:paraId="59DCD0C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C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center"/>
          </w:tcPr>
          <w:p w14:paraId="59DCD0C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52" w:type="dxa"/>
            <w:vAlign w:val="center"/>
          </w:tcPr>
          <w:p w14:paraId="59DCD0C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C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C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4" w:type="dxa"/>
            <w:vAlign w:val="center"/>
          </w:tcPr>
          <w:p w14:paraId="59DCD0C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C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C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2" w:type="dxa"/>
            <w:vAlign w:val="center"/>
          </w:tcPr>
          <w:p w14:paraId="59DCD0C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2" w:type="dxa"/>
            <w:vAlign w:val="bottom"/>
          </w:tcPr>
          <w:p w14:paraId="59DCD0C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72CFA036" w14:textId="4B0E9E9C"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13.03 - 71.29</w:t>
            </w:r>
          </w:p>
        </w:tc>
        <w:tc>
          <w:tcPr>
            <w:tcW w:w="1351" w:type="dxa"/>
            <w:vAlign w:val="center"/>
          </w:tcPr>
          <w:p w14:paraId="0A1AE3D1" w14:textId="0AE7B4E5"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0.95 - 295.8</w:t>
            </w:r>
          </w:p>
        </w:tc>
      </w:tr>
      <w:tr w:rsidR="006D710B" w:rsidRPr="00D93FF9" w14:paraId="59DCD0E0" w14:textId="44A27343" w:rsidTr="002201B6">
        <w:trPr>
          <w:trHeight w:val="284"/>
        </w:trPr>
        <w:tc>
          <w:tcPr>
            <w:tcW w:w="791" w:type="dxa"/>
            <w:vAlign w:val="center"/>
          </w:tcPr>
          <w:p w14:paraId="59DCD0D1" w14:textId="77777777" w:rsidR="006D710B" w:rsidRPr="00D93FF9" w:rsidRDefault="006D710B" w:rsidP="006D710B">
            <w:pPr>
              <w:spacing w:before="0" w:after="0"/>
              <w:rPr>
                <w:rFonts w:ascii="Arial" w:hAnsi="Arial" w:cs="Arial"/>
                <w:b/>
                <w:color w:val="000000"/>
                <w:sz w:val="16"/>
                <w:szCs w:val="16"/>
                <w:lang w:val="en-GB"/>
              </w:rPr>
            </w:pPr>
            <w:r w:rsidRPr="00D93FF9">
              <w:rPr>
                <w:rFonts w:ascii="Arial" w:hAnsi="Arial" w:cs="Arial"/>
                <w:b/>
                <w:color w:val="000000"/>
                <w:sz w:val="16"/>
                <w:szCs w:val="16"/>
                <w:lang w:val="en-GB"/>
              </w:rPr>
              <w:t>Zn</w:t>
            </w:r>
          </w:p>
        </w:tc>
        <w:tc>
          <w:tcPr>
            <w:tcW w:w="767" w:type="dxa"/>
            <w:vAlign w:val="center"/>
          </w:tcPr>
          <w:p w14:paraId="59DCD0D2"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5-92</w:t>
            </w:r>
          </w:p>
        </w:tc>
        <w:tc>
          <w:tcPr>
            <w:tcW w:w="768" w:type="dxa"/>
            <w:vAlign w:val="center"/>
          </w:tcPr>
          <w:p w14:paraId="59DCD0D3"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21</w:t>
            </w:r>
          </w:p>
        </w:tc>
        <w:tc>
          <w:tcPr>
            <w:tcW w:w="817" w:type="dxa"/>
            <w:vAlign w:val="center"/>
          </w:tcPr>
          <w:p w14:paraId="59DCD0D4"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10</w:t>
            </w:r>
          </w:p>
        </w:tc>
        <w:tc>
          <w:tcPr>
            <w:tcW w:w="792" w:type="dxa"/>
            <w:vAlign w:val="center"/>
          </w:tcPr>
          <w:p w14:paraId="59DCD0D5"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&lt;12-263</w:t>
            </w:r>
          </w:p>
        </w:tc>
        <w:tc>
          <w:tcPr>
            <w:tcW w:w="763" w:type="dxa"/>
            <w:vAlign w:val="center"/>
          </w:tcPr>
          <w:p w14:paraId="59DCD0D6"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76</w:t>
            </w:r>
          </w:p>
        </w:tc>
        <w:tc>
          <w:tcPr>
            <w:tcW w:w="812" w:type="dxa"/>
            <w:vAlign w:val="center"/>
          </w:tcPr>
          <w:p w14:paraId="59DCD0D7"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73</w:t>
            </w:r>
          </w:p>
        </w:tc>
        <w:tc>
          <w:tcPr>
            <w:tcW w:w="852" w:type="dxa"/>
            <w:vAlign w:val="center"/>
          </w:tcPr>
          <w:p w14:paraId="59DCD0D8"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1-219</w:t>
            </w:r>
          </w:p>
        </w:tc>
        <w:tc>
          <w:tcPr>
            <w:tcW w:w="762" w:type="dxa"/>
            <w:vAlign w:val="center"/>
          </w:tcPr>
          <w:p w14:paraId="59DCD0D9"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811" w:type="dxa"/>
            <w:vAlign w:val="center"/>
          </w:tcPr>
          <w:p w14:paraId="59DCD0DA"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48</w:t>
            </w:r>
          </w:p>
        </w:tc>
        <w:tc>
          <w:tcPr>
            <w:tcW w:w="764" w:type="dxa"/>
            <w:vAlign w:val="center"/>
          </w:tcPr>
          <w:p w14:paraId="59DCD0DB"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32</w:t>
            </w:r>
          </w:p>
        </w:tc>
        <w:tc>
          <w:tcPr>
            <w:tcW w:w="763" w:type="dxa"/>
            <w:vAlign w:val="center"/>
          </w:tcPr>
          <w:p w14:paraId="59DCD0DC"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763" w:type="dxa"/>
            <w:vAlign w:val="center"/>
          </w:tcPr>
          <w:p w14:paraId="59DCD0DD"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&lt;2-180</w:t>
            </w:r>
          </w:p>
        </w:tc>
        <w:tc>
          <w:tcPr>
            <w:tcW w:w="762" w:type="dxa"/>
            <w:vAlign w:val="center"/>
          </w:tcPr>
          <w:p w14:paraId="59DCD0DE"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34</w:t>
            </w:r>
          </w:p>
        </w:tc>
        <w:tc>
          <w:tcPr>
            <w:tcW w:w="812" w:type="dxa"/>
            <w:vAlign w:val="center"/>
          </w:tcPr>
          <w:p w14:paraId="59DCD0DF" w14:textId="77777777" w:rsidR="006D710B" w:rsidRPr="00D93FF9" w:rsidRDefault="006D710B" w:rsidP="006D710B">
            <w:pPr>
              <w:spacing w:before="0" w:after="0"/>
              <w:rPr>
                <w:lang w:val="en-GB" w:bidi="en-US"/>
              </w:rPr>
            </w:pPr>
            <w:r w:rsidRPr="00D93FF9">
              <w:rPr>
                <w:rFonts w:ascii="Arial" w:hAnsi="Arial" w:cs="Arial"/>
                <w:color w:val="000000"/>
                <w:sz w:val="16"/>
                <w:szCs w:val="16"/>
                <w:lang w:val="en-GB"/>
              </w:rPr>
              <w:t> </w:t>
            </w:r>
          </w:p>
        </w:tc>
        <w:tc>
          <w:tcPr>
            <w:tcW w:w="1167" w:type="dxa"/>
            <w:vAlign w:val="center"/>
          </w:tcPr>
          <w:p w14:paraId="76137015" w14:textId="77777777" w:rsidR="006D710B" w:rsidRPr="00D93FF9" w:rsidRDefault="006D710B" w:rsidP="006D710B">
            <w:pPr>
              <w:spacing w:after="0"/>
              <w:jc w:val="right"/>
              <w:rPr>
                <w:rFonts w:ascii="Arial" w:hAnsi="Arial" w:cs="Arial"/>
                <w:color w:val="000000"/>
                <w:sz w:val="16"/>
                <w:szCs w:val="16"/>
              </w:rPr>
            </w:pPr>
            <w:r w:rsidRPr="00D93FF9">
              <w:rPr>
                <w:rFonts w:ascii="Arial" w:hAnsi="Arial" w:cs="Arial"/>
                <w:color w:val="000000"/>
                <w:sz w:val="16"/>
                <w:szCs w:val="16"/>
              </w:rPr>
              <w:t>13.03 -71.29</w:t>
            </w:r>
          </w:p>
          <w:p w14:paraId="5ED202BA" w14:textId="62BFCCFD" w:rsidR="006D710B" w:rsidRPr="00D93FF9" w:rsidRDefault="006D710B" w:rsidP="006D710B">
            <w:pPr>
              <w:spacing w:after="0"/>
              <w:rPr>
                <w:rFonts w:ascii="Arial" w:hAnsi="Arial" w:cs="Arial"/>
                <w:color w:val="000000"/>
                <w:sz w:val="16"/>
                <w:szCs w:val="16"/>
                <w:lang w:val="en-GB"/>
              </w:rPr>
            </w:pPr>
            <w:r w:rsidRPr="00D93FF9">
              <w:rPr>
                <w:rFonts w:ascii="Arial" w:hAnsi="Arial" w:cs="Arial"/>
                <w:color w:val="000000"/>
                <w:sz w:val="16"/>
                <w:szCs w:val="16"/>
              </w:rPr>
              <w:t xml:space="preserve"> (409.09 Scoria)</w:t>
            </w:r>
          </w:p>
        </w:tc>
        <w:tc>
          <w:tcPr>
            <w:tcW w:w="1351" w:type="dxa"/>
            <w:vAlign w:val="center"/>
          </w:tcPr>
          <w:p w14:paraId="7327ED62" w14:textId="77777777" w:rsidR="006D710B" w:rsidRPr="00D93FF9" w:rsidRDefault="006D710B" w:rsidP="00C11A92">
            <w:pPr>
              <w:spacing w:after="0"/>
              <w:rPr>
                <w:rFonts w:ascii="Arial" w:hAnsi="Arial" w:cs="Arial"/>
                <w:color w:val="000000"/>
                <w:sz w:val="16"/>
                <w:szCs w:val="16"/>
              </w:rPr>
            </w:pPr>
            <w:r w:rsidRPr="00D93FF9">
              <w:rPr>
                <w:rFonts w:ascii="Arial" w:hAnsi="Arial" w:cs="Arial"/>
                <w:color w:val="000000"/>
                <w:sz w:val="16"/>
                <w:szCs w:val="16"/>
              </w:rPr>
              <w:t xml:space="preserve">0.95 - 295.8 </w:t>
            </w:r>
          </w:p>
          <w:p w14:paraId="272C9CDF" w14:textId="5DCAC2E2" w:rsidR="006D710B" w:rsidRPr="00D93FF9" w:rsidRDefault="006D710B" w:rsidP="00C11A92">
            <w:pPr>
              <w:spacing w:after="0"/>
              <w:rPr>
                <w:rFonts w:ascii="Arial" w:hAnsi="Arial" w:cs="Arial"/>
                <w:color w:val="000000"/>
                <w:sz w:val="16"/>
                <w:szCs w:val="16"/>
                <w:lang w:val="en-GB"/>
              </w:rPr>
            </w:pPr>
            <w:r w:rsidRPr="00D93FF9">
              <w:rPr>
                <w:rFonts w:ascii="Arial" w:hAnsi="Arial" w:cs="Arial"/>
                <w:color w:val="000000"/>
                <w:sz w:val="16"/>
                <w:szCs w:val="16"/>
              </w:rPr>
              <w:t>(1697.5 Scoria)</w:t>
            </w:r>
          </w:p>
        </w:tc>
      </w:tr>
    </w:tbl>
    <w:p w14:paraId="59DCD0E1" w14:textId="77777777" w:rsidR="00C46175" w:rsidRPr="00D93FF9" w:rsidRDefault="00E811B8" w:rsidP="003807A1">
      <w:pPr>
        <w:spacing w:after="0"/>
        <w:rPr>
          <w:rFonts w:ascii="Arial"/>
          <w:sz w:val="14"/>
          <w:lang w:val="en-GB"/>
        </w:rPr>
      </w:pPr>
      <w:r w:rsidRPr="00D93FF9">
        <w:rPr>
          <w:rFonts w:ascii="Arial"/>
          <w:sz w:val="14"/>
          <w:lang w:val="en-GB"/>
        </w:rPr>
        <w:lastRenderedPageBreak/>
        <w:t>a Soil boron determined as hot 0.01</w:t>
      </w:r>
      <w:r w:rsidRPr="00D93FF9">
        <w:rPr>
          <w:rFonts w:ascii="Arial"/>
          <w:sz w:val="14"/>
          <w:u w:val="single"/>
          <w:lang w:val="en-GB"/>
        </w:rPr>
        <w:t>M</w:t>
      </w:r>
      <w:r w:rsidRPr="00D93FF9">
        <w:rPr>
          <w:rFonts w:ascii="Arial"/>
          <w:sz w:val="14"/>
          <w:lang w:val="en-GB"/>
        </w:rPr>
        <w:t xml:space="preserve"> CaCl</w:t>
      </w:r>
      <w:r w:rsidRPr="00D93FF9">
        <w:rPr>
          <w:rFonts w:ascii="Arial"/>
          <w:sz w:val="14"/>
          <w:vertAlign w:val="subscript"/>
          <w:lang w:val="en-GB"/>
        </w:rPr>
        <w:t>2</w:t>
      </w:r>
      <w:r w:rsidRPr="00D93FF9">
        <w:rPr>
          <w:rFonts w:ascii="Arial"/>
          <w:sz w:val="14"/>
          <w:lang w:val="en-GB"/>
        </w:rPr>
        <w:t xml:space="preserve"> extractable</w:t>
      </w:r>
    </w:p>
    <w:p w14:paraId="59DCD0E2" w14:textId="77777777" w:rsidR="00C46175" w:rsidRPr="00D93FF9" w:rsidRDefault="00C46175" w:rsidP="003807A1">
      <w:pPr>
        <w:spacing w:after="0"/>
        <w:rPr>
          <w:rFonts w:ascii="Arial"/>
          <w:sz w:val="14"/>
          <w:lang w:val="en-GB"/>
        </w:rPr>
        <w:sectPr w:rsidR="00C46175" w:rsidRPr="00D93FF9" w:rsidSect="003807A1">
          <w:headerReference w:type="even" r:id="rId46"/>
          <w:headerReference w:type="default" r:id="rId47"/>
          <w:footerReference w:type="default" r:id="rId48"/>
          <w:headerReference w:type="first" r:id="rId49"/>
          <w:type w:val="continuous"/>
          <w:pgSz w:w="16840" w:h="11900" w:orient="landscape"/>
          <w:pgMar w:top="1440" w:right="1440" w:bottom="1440" w:left="1440" w:header="720" w:footer="720" w:gutter="0"/>
          <w:cols w:space="720"/>
        </w:sectPr>
      </w:pPr>
    </w:p>
    <w:p w14:paraId="59DCD0E3" w14:textId="77777777" w:rsidR="003C7FCB" w:rsidRPr="00D93FF9" w:rsidRDefault="003C7FCB" w:rsidP="00344D96">
      <w:pPr>
        <w:pStyle w:val="Caption"/>
      </w:pPr>
      <w:bookmarkStart w:id="226" w:name="_Ref70409111"/>
    </w:p>
    <w:p w14:paraId="59DCD0E5" w14:textId="71EF6C49" w:rsidR="00C46175" w:rsidRPr="00D93FF9" w:rsidRDefault="00014BF7" w:rsidP="00014BF7">
      <w:pPr>
        <w:pStyle w:val="Caption"/>
        <w:rPr>
          <w:rFonts w:ascii="Arial"/>
          <w:sz w:val="18"/>
          <w:lang w:val="en-GB"/>
        </w:rPr>
      </w:pPr>
      <w:bookmarkStart w:id="227" w:name="_Ref81393975"/>
      <w:bookmarkStart w:id="228" w:name="_Toc96518237"/>
      <w:bookmarkEnd w:id="226"/>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23</w:t>
      </w:r>
      <w:r w:rsidR="00477102" w:rsidRPr="00D93FF9">
        <w:fldChar w:fldCharType="end"/>
      </w:r>
      <w:bookmarkEnd w:id="227"/>
      <w:r w:rsidRPr="00D93FF9">
        <w:t xml:space="preserve"> </w:t>
      </w:r>
      <w:bookmarkStart w:id="229" w:name="_Hlk153812702"/>
      <w:r w:rsidR="00E90CE0" w:rsidRPr="00D93FF9">
        <w:rPr>
          <w:rFonts w:ascii="Arial"/>
          <w:sz w:val="18"/>
          <w:lang w:val="en-GB"/>
        </w:rPr>
        <w:t xml:space="preserve">Summary of agricultural irrigation water </w:t>
      </w:r>
      <w:r w:rsidR="001C2A65" w:rsidRPr="00D93FF9">
        <w:rPr>
          <w:rFonts w:ascii="Arial"/>
          <w:sz w:val="18"/>
          <w:lang w:val="en-GB"/>
        </w:rPr>
        <w:t>Default Guideline</w:t>
      </w:r>
      <w:r w:rsidR="00E90CE0" w:rsidRPr="00D93FF9">
        <w:rPr>
          <w:rFonts w:ascii="Arial"/>
          <w:sz w:val="18"/>
          <w:lang w:val="en-GB"/>
        </w:rPr>
        <w:t xml:space="preserve"> </w:t>
      </w:r>
      <w:r w:rsidR="001C2A65" w:rsidRPr="00D93FF9">
        <w:rPr>
          <w:rFonts w:ascii="Arial"/>
          <w:sz w:val="18"/>
          <w:lang w:val="en-GB"/>
        </w:rPr>
        <w:t>V</w:t>
      </w:r>
      <w:r w:rsidR="00E90CE0" w:rsidRPr="00D93FF9">
        <w:rPr>
          <w:rFonts w:ascii="Arial"/>
          <w:sz w:val="18"/>
          <w:lang w:val="en-GB"/>
        </w:rPr>
        <w:t>alue (</w:t>
      </w:r>
      <w:r w:rsidR="001C2A65" w:rsidRPr="00D93FF9">
        <w:rPr>
          <w:rFonts w:ascii="Arial"/>
          <w:sz w:val="18"/>
          <w:lang w:val="en-GB"/>
        </w:rPr>
        <w:t>DGV</w:t>
      </w:r>
      <w:r w:rsidR="00E90CE0" w:rsidRPr="00D93FF9">
        <w:rPr>
          <w:rFonts w:ascii="Arial"/>
          <w:sz w:val="18"/>
          <w:lang w:val="en-GB"/>
        </w:rPr>
        <w:t xml:space="preserve">), </w:t>
      </w:r>
      <w:r w:rsidR="001C2A65" w:rsidRPr="00D93FF9">
        <w:rPr>
          <w:rFonts w:ascii="Arial"/>
          <w:sz w:val="18"/>
          <w:lang w:val="en-GB"/>
        </w:rPr>
        <w:t>Site Specific guideline</w:t>
      </w:r>
      <w:r w:rsidR="00E90CE0" w:rsidRPr="00D93FF9">
        <w:rPr>
          <w:rFonts w:ascii="Arial"/>
          <w:sz w:val="18"/>
          <w:lang w:val="en-GB"/>
        </w:rPr>
        <w:t xml:space="preserve"> value (</w:t>
      </w:r>
      <w:r w:rsidR="001C2A65" w:rsidRPr="00D93FF9">
        <w:rPr>
          <w:rFonts w:ascii="Arial"/>
          <w:sz w:val="18"/>
          <w:lang w:val="en-GB"/>
        </w:rPr>
        <w:t>SGV</w:t>
      </w:r>
      <w:r w:rsidR="00E90CE0" w:rsidRPr="00D93FF9">
        <w:rPr>
          <w:rFonts w:ascii="Arial"/>
          <w:sz w:val="18"/>
          <w:lang w:val="en-GB"/>
        </w:rPr>
        <w:t xml:space="preserve">) and soil </w:t>
      </w:r>
      <w:r w:rsidR="001C2A65" w:rsidRPr="00D93FF9">
        <w:rPr>
          <w:rFonts w:ascii="Arial"/>
          <w:sz w:val="18"/>
          <w:lang w:val="en-GB"/>
        </w:rPr>
        <w:t>Added C</w:t>
      </w:r>
      <w:r w:rsidR="00E90CE0" w:rsidRPr="00D93FF9">
        <w:rPr>
          <w:rFonts w:ascii="Arial"/>
          <w:sz w:val="18"/>
          <w:lang w:val="en-GB"/>
        </w:rPr>
        <w:t>ontaminant loading limit (</w:t>
      </w:r>
      <w:r w:rsidR="006D735C" w:rsidRPr="00D93FF9">
        <w:rPr>
          <w:rFonts w:ascii="Arial"/>
          <w:sz w:val="18"/>
          <w:lang w:val="en-GB"/>
        </w:rPr>
        <w:t>ACL</w:t>
      </w:r>
      <w:r w:rsidR="00E90CE0" w:rsidRPr="00D93FF9">
        <w:rPr>
          <w:rFonts w:ascii="Arial"/>
          <w:sz w:val="18"/>
          <w:lang w:val="en-GB"/>
        </w:rPr>
        <w:t>) guidelines for heavy metals and metalloids</w:t>
      </w:r>
      <w:bookmarkEnd w:id="228"/>
      <w:bookmarkEnd w:id="229"/>
    </w:p>
    <w:tbl>
      <w:tblPr>
        <w:tblW w:w="12385" w:type="dxa"/>
        <w:tblInd w:w="108" w:type="dxa"/>
        <w:tblLayout w:type="fixed"/>
        <w:tblLook w:val="04A0" w:firstRow="1" w:lastRow="0" w:firstColumn="1" w:lastColumn="0" w:noHBand="0" w:noVBand="1"/>
        <w:tblCaption w:val="Summary of agricultural irrigation water Default Guideline Value (DGV), Site Specific guideline value (SGV) and soil Added Contaminant loading limit (ACL) guidelines for heavy metals and metalloids"/>
        <w:tblDescription w:val="A summary of agricultural irrigation water DGV, SGV and soil ACL guidelines for a range of metals and metalloids."/>
      </w:tblPr>
      <w:tblGrid>
        <w:gridCol w:w="687"/>
        <w:gridCol w:w="1641"/>
        <w:gridCol w:w="2196"/>
        <w:gridCol w:w="2094"/>
        <w:gridCol w:w="1288"/>
        <w:gridCol w:w="1677"/>
        <w:gridCol w:w="1409"/>
        <w:gridCol w:w="1393"/>
      </w:tblGrid>
      <w:tr w:rsidR="00BE3AA8" w:rsidRPr="00D93FF9" w14:paraId="59DCD0EE" w14:textId="77777777" w:rsidTr="003C7FCB">
        <w:trPr>
          <w:trHeight w:val="589"/>
        </w:trPr>
        <w:tc>
          <w:tcPr>
            <w:tcW w:w="687" w:type="dxa"/>
            <w:tcBorders>
              <w:top w:val="single" w:sz="4" w:space="0" w:color="auto"/>
              <w:left w:val="nil"/>
              <w:right w:val="nil"/>
            </w:tcBorders>
            <w:shd w:val="clear" w:color="000000" w:fill="FFFFFF"/>
            <w:noWrap/>
            <w:tcMar>
              <w:left w:w="0" w:type="dxa"/>
              <w:right w:w="28" w:type="dxa"/>
            </w:tcMar>
            <w:hideMark/>
          </w:tcPr>
          <w:p w14:paraId="59DCD0E6" w14:textId="77777777" w:rsidR="003C7FCB" w:rsidRPr="00D93FF9" w:rsidRDefault="003C7FCB" w:rsidP="003C7FCB">
            <w:pPr>
              <w:spacing w:after="0"/>
              <w:jc w:val="center"/>
              <w:rPr>
                <w:color w:val="000000"/>
                <w:sz w:val="18"/>
                <w:szCs w:val="18"/>
                <w:lang w:val="en-GB" w:eastAsia="en-AU"/>
              </w:rPr>
            </w:pPr>
          </w:p>
        </w:tc>
        <w:tc>
          <w:tcPr>
            <w:tcW w:w="1641" w:type="dxa"/>
            <w:tcBorders>
              <w:top w:val="single" w:sz="4" w:space="0" w:color="auto"/>
              <w:left w:val="nil"/>
              <w:right w:val="nil"/>
            </w:tcBorders>
            <w:shd w:val="clear" w:color="000000" w:fill="FFFFFF"/>
            <w:tcMar>
              <w:left w:w="0" w:type="dxa"/>
              <w:right w:w="28" w:type="dxa"/>
            </w:tcMar>
            <w:hideMark/>
          </w:tcPr>
          <w:p w14:paraId="59DCD0E7"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 xml:space="preserve">Suggested background </w:t>
            </w:r>
            <w:r w:rsidRPr="00D93FF9">
              <w:rPr>
                <w:color w:val="000000"/>
                <w:sz w:val="18"/>
                <w:szCs w:val="18"/>
                <w:vertAlign w:val="superscript"/>
                <w:lang w:val="en-GB" w:eastAsia="en-AU"/>
              </w:rPr>
              <w:t>a</w:t>
            </w:r>
          </w:p>
        </w:tc>
        <w:tc>
          <w:tcPr>
            <w:tcW w:w="2196" w:type="dxa"/>
            <w:tcBorders>
              <w:top w:val="single" w:sz="4" w:space="0" w:color="auto"/>
              <w:left w:val="nil"/>
              <w:right w:val="nil"/>
            </w:tcBorders>
            <w:shd w:val="clear" w:color="000000" w:fill="FFFFFF"/>
            <w:tcMar>
              <w:left w:w="0" w:type="dxa"/>
              <w:right w:w="28" w:type="dxa"/>
            </w:tcMar>
            <w:hideMark/>
          </w:tcPr>
          <w:p w14:paraId="59DCD0E8"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 xml:space="preserve">Biosolid MPC food production </w:t>
            </w:r>
            <w:r w:rsidRPr="00D93FF9">
              <w:rPr>
                <w:color w:val="000000"/>
                <w:sz w:val="18"/>
                <w:szCs w:val="18"/>
                <w:vertAlign w:val="superscript"/>
                <w:lang w:val="en-GB" w:eastAsia="en-AU"/>
              </w:rPr>
              <w:t>c</w:t>
            </w:r>
          </w:p>
        </w:tc>
        <w:tc>
          <w:tcPr>
            <w:tcW w:w="2094" w:type="dxa"/>
            <w:tcBorders>
              <w:top w:val="single" w:sz="4" w:space="0" w:color="auto"/>
              <w:left w:val="nil"/>
              <w:right w:val="nil"/>
            </w:tcBorders>
            <w:shd w:val="clear" w:color="000000" w:fill="FFFFFF"/>
            <w:tcMar>
              <w:left w:w="0" w:type="dxa"/>
              <w:right w:w="28" w:type="dxa"/>
            </w:tcMar>
            <w:hideMark/>
          </w:tcPr>
          <w:p w14:paraId="59DCD0E9"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 xml:space="preserve">Biosolids soil metal limits </w:t>
            </w:r>
            <w:r w:rsidRPr="00D93FF9">
              <w:rPr>
                <w:color w:val="000000"/>
                <w:sz w:val="18"/>
                <w:szCs w:val="18"/>
                <w:vertAlign w:val="superscript"/>
                <w:lang w:val="en-GB" w:eastAsia="en-AU"/>
              </w:rPr>
              <w:t>d</w:t>
            </w:r>
          </w:p>
        </w:tc>
        <w:tc>
          <w:tcPr>
            <w:tcW w:w="1288" w:type="dxa"/>
            <w:tcBorders>
              <w:top w:val="single" w:sz="4" w:space="0" w:color="auto"/>
              <w:left w:val="nil"/>
              <w:right w:val="nil"/>
            </w:tcBorders>
            <w:shd w:val="clear" w:color="000000" w:fill="FFFFFF"/>
            <w:tcMar>
              <w:left w:w="0" w:type="dxa"/>
              <w:right w:w="28" w:type="dxa"/>
            </w:tcMar>
            <w:hideMark/>
          </w:tcPr>
          <w:p w14:paraId="59DCD0EA"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Calculated soil ACL</w:t>
            </w:r>
          </w:p>
        </w:tc>
        <w:tc>
          <w:tcPr>
            <w:tcW w:w="1677" w:type="dxa"/>
            <w:tcBorders>
              <w:top w:val="single" w:sz="4" w:space="0" w:color="auto"/>
              <w:left w:val="nil"/>
              <w:right w:val="nil"/>
            </w:tcBorders>
            <w:shd w:val="clear" w:color="000000" w:fill="FFFFFF"/>
            <w:tcMar>
              <w:left w:w="0" w:type="dxa"/>
              <w:right w:w="28" w:type="dxa"/>
            </w:tcMar>
            <w:hideMark/>
          </w:tcPr>
          <w:p w14:paraId="59DCD0EB"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Suggested soil ACL</w:t>
            </w:r>
          </w:p>
        </w:tc>
        <w:tc>
          <w:tcPr>
            <w:tcW w:w="1409" w:type="dxa"/>
            <w:tcBorders>
              <w:top w:val="single" w:sz="4" w:space="0" w:color="auto"/>
              <w:left w:val="nil"/>
              <w:right w:val="nil"/>
            </w:tcBorders>
            <w:shd w:val="clear" w:color="000000" w:fill="FFFFFF"/>
            <w:tcMar>
              <w:left w:w="0" w:type="dxa"/>
              <w:right w:w="28" w:type="dxa"/>
            </w:tcMar>
            <w:hideMark/>
          </w:tcPr>
          <w:p w14:paraId="59DCD0EC"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DGV</w:t>
            </w:r>
          </w:p>
        </w:tc>
        <w:tc>
          <w:tcPr>
            <w:tcW w:w="1393" w:type="dxa"/>
            <w:tcBorders>
              <w:top w:val="single" w:sz="4" w:space="0" w:color="auto"/>
              <w:left w:val="nil"/>
              <w:right w:val="nil"/>
            </w:tcBorders>
            <w:shd w:val="clear" w:color="000000" w:fill="FFFFFF"/>
            <w:tcMar>
              <w:left w:w="0" w:type="dxa"/>
              <w:right w:w="28" w:type="dxa"/>
            </w:tcMar>
            <w:hideMark/>
          </w:tcPr>
          <w:p w14:paraId="59DCD0ED"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SGV</w:t>
            </w:r>
          </w:p>
        </w:tc>
      </w:tr>
      <w:tr w:rsidR="00BE3AA8" w:rsidRPr="00D93FF9" w14:paraId="59DCD0F7" w14:textId="77777777" w:rsidTr="003C7FCB">
        <w:trPr>
          <w:trHeight w:val="59"/>
        </w:trPr>
        <w:tc>
          <w:tcPr>
            <w:tcW w:w="687" w:type="dxa"/>
            <w:tcBorders>
              <w:left w:val="nil"/>
              <w:bottom w:val="single" w:sz="4" w:space="0" w:color="auto"/>
              <w:right w:val="nil"/>
            </w:tcBorders>
            <w:shd w:val="clear" w:color="000000" w:fill="FFFFFF"/>
            <w:noWrap/>
            <w:tcMar>
              <w:left w:w="0" w:type="dxa"/>
              <w:right w:w="28" w:type="dxa"/>
            </w:tcMar>
            <w:vAlign w:val="bottom"/>
            <w:hideMark/>
          </w:tcPr>
          <w:p w14:paraId="59DCD0EF" w14:textId="77777777" w:rsidR="003C7FCB" w:rsidRPr="00D93FF9" w:rsidRDefault="00E811B8" w:rsidP="003C7FCB">
            <w:pPr>
              <w:spacing w:after="0"/>
              <w:rPr>
                <w:color w:val="000000"/>
                <w:sz w:val="18"/>
                <w:szCs w:val="18"/>
                <w:lang w:val="en-GB" w:eastAsia="en-AU"/>
              </w:rPr>
            </w:pPr>
            <w:r w:rsidRPr="00D93FF9">
              <w:rPr>
                <w:color w:val="000000"/>
                <w:sz w:val="18"/>
                <w:szCs w:val="18"/>
                <w:lang w:val="en-GB" w:eastAsia="en-AU"/>
              </w:rPr>
              <w:t>Metal</w:t>
            </w:r>
          </w:p>
        </w:tc>
        <w:tc>
          <w:tcPr>
            <w:tcW w:w="1641" w:type="dxa"/>
            <w:tcBorders>
              <w:left w:val="nil"/>
              <w:bottom w:val="single" w:sz="4" w:space="0" w:color="auto"/>
              <w:right w:val="nil"/>
            </w:tcBorders>
            <w:shd w:val="clear" w:color="000000" w:fill="FFFFFF"/>
            <w:noWrap/>
            <w:tcMar>
              <w:left w:w="0" w:type="dxa"/>
              <w:right w:w="28" w:type="dxa"/>
            </w:tcMar>
            <w:vAlign w:val="bottom"/>
            <w:hideMark/>
          </w:tcPr>
          <w:p w14:paraId="59DCD0F0"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mg/kg</w:t>
            </w:r>
          </w:p>
        </w:tc>
        <w:tc>
          <w:tcPr>
            <w:tcW w:w="2196" w:type="dxa"/>
            <w:tcBorders>
              <w:left w:val="nil"/>
              <w:bottom w:val="single" w:sz="4" w:space="0" w:color="auto"/>
              <w:right w:val="nil"/>
            </w:tcBorders>
            <w:shd w:val="clear" w:color="000000" w:fill="FFFFFF"/>
            <w:noWrap/>
            <w:tcMar>
              <w:left w:w="0" w:type="dxa"/>
              <w:right w:w="28" w:type="dxa"/>
            </w:tcMar>
            <w:vAlign w:val="bottom"/>
            <w:hideMark/>
          </w:tcPr>
          <w:p w14:paraId="59DCD0F1"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mg/kg</w:t>
            </w:r>
          </w:p>
        </w:tc>
        <w:tc>
          <w:tcPr>
            <w:tcW w:w="2094" w:type="dxa"/>
            <w:tcBorders>
              <w:left w:val="nil"/>
              <w:bottom w:val="single" w:sz="4" w:space="0" w:color="auto"/>
              <w:right w:val="nil"/>
            </w:tcBorders>
            <w:shd w:val="clear" w:color="000000" w:fill="FFFFFF"/>
            <w:noWrap/>
            <w:tcMar>
              <w:left w:w="0" w:type="dxa"/>
              <w:right w:w="28" w:type="dxa"/>
            </w:tcMar>
            <w:vAlign w:val="bottom"/>
            <w:hideMark/>
          </w:tcPr>
          <w:p w14:paraId="59DCD0F2"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mg/kg</w:t>
            </w:r>
          </w:p>
        </w:tc>
        <w:tc>
          <w:tcPr>
            <w:tcW w:w="1288" w:type="dxa"/>
            <w:tcBorders>
              <w:left w:val="nil"/>
              <w:bottom w:val="single" w:sz="4" w:space="0" w:color="auto"/>
              <w:right w:val="nil"/>
            </w:tcBorders>
            <w:shd w:val="clear" w:color="000000" w:fill="FFFFFF"/>
            <w:noWrap/>
            <w:tcMar>
              <w:left w:w="0" w:type="dxa"/>
              <w:right w:w="28" w:type="dxa"/>
            </w:tcMar>
            <w:vAlign w:val="bottom"/>
            <w:hideMark/>
          </w:tcPr>
          <w:p w14:paraId="59DCD0F3"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kg/ha</w:t>
            </w:r>
          </w:p>
        </w:tc>
        <w:tc>
          <w:tcPr>
            <w:tcW w:w="1677" w:type="dxa"/>
            <w:tcBorders>
              <w:left w:val="nil"/>
              <w:bottom w:val="single" w:sz="4" w:space="0" w:color="auto"/>
              <w:right w:val="nil"/>
            </w:tcBorders>
            <w:shd w:val="clear" w:color="000000" w:fill="FFFFFF"/>
            <w:noWrap/>
            <w:tcMar>
              <w:left w:w="0" w:type="dxa"/>
              <w:right w:w="28" w:type="dxa"/>
            </w:tcMar>
            <w:vAlign w:val="bottom"/>
            <w:hideMark/>
          </w:tcPr>
          <w:p w14:paraId="59DCD0F4"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kg/ha</w:t>
            </w:r>
          </w:p>
        </w:tc>
        <w:tc>
          <w:tcPr>
            <w:tcW w:w="1409" w:type="dxa"/>
            <w:tcBorders>
              <w:left w:val="nil"/>
              <w:bottom w:val="single" w:sz="4" w:space="0" w:color="auto"/>
              <w:right w:val="nil"/>
            </w:tcBorders>
            <w:shd w:val="clear" w:color="000000" w:fill="FFFFFF"/>
            <w:noWrap/>
            <w:tcMar>
              <w:left w:w="0" w:type="dxa"/>
              <w:right w:w="28" w:type="dxa"/>
            </w:tcMar>
            <w:vAlign w:val="bottom"/>
            <w:hideMark/>
          </w:tcPr>
          <w:p w14:paraId="59DCD0F5"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mg/L</w:t>
            </w:r>
          </w:p>
        </w:tc>
        <w:tc>
          <w:tcPr>
            <w:tcW w:w="1393" w:type="dxa"/>
            <w:tcBorders>
              <w:left w:val="nil"/>
              <w:bottom w:val="single" w:sz="4" w:space="0" w:color="auto"/>
              <w:right w:val="nil"/>
            </w:tcBorders>
            <w:shd w:val="clear" w:color="000000" w:fill="FFFFFF"/>
            <w:noWrap/>
            <w:tcMar>
              <w:left w:w="0" w:type="dxa"/>
              <w:right w:w="28" w:type="dxa"/>
            </w:tcMar>
            <w:vAlign w:val="bottom"/>
            <w:hideMark/>
          </w:tcPr>
          <w:p w14:paraId="59DCD0F6"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mg/L</w:t>
            </w:r>
          </w:p>
        </w:tc>
      </w:tr>
      <w:tr w:rsidR="00BE3AA8" w:rsidRPr="00D93FF9" w14:paraId="59DCD100" w14:textId="77777777" w:rsidTr="003C7FCB">
        <w:trPr>
          <w:trHeight w:val="292"/>
        </w:trPr>
        <w:tc>
          <w:tcPr>
            <w:tcW w:w="687" w:type="dxa"/>
            <w:tcBorders>
              <w:top w:val="single" w:sz="4" w:space="0" w:color="auto"/>
              <w:left w:val="nil"/>
              <w:bottom w:val="nil"/>
              <w:right w:val="nil"/>
            </w:tcBorders>
            <w:shd w:val="clear" w:color="000000" w:fill="FFFFFF"/>
            <w:tcMar>
              <w:left w:w="0" w:type="dxa"/>
              <w:right w:w="28" w:type="dxa"/>
            </w:tcMar>
            <w:vAlign w:val="center"/>
            <w:hideMark/>
          </w:tcPr>
          <w:p w14:paraId="59DCD0F8"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Al</w:t>
            </w:r>
          </w:p>
        </w:tc>
        <w:tc>
          <w:tcPr>
            <w:tcW w:w="1641" w:type="dxa"/>
            <w:tcBorders>
              <w:top w:val="single" w:sz="4" w:space="0" w:color="auto"/>
              <w:left w:val="nil"/>
              <w:bottom w:val="nil"/>
              <w:right w:val="nil"/>
            </w:tcBorders>
            <w:shd w:val="clear" w:color="000000" w:fill="FFFFFF"/>
            <w:tcMar>
              <w:left w:w="0" w:type="dxa"/>
              <w:right w:w="28" w:type="dxa"/>
            </w:tcMar>
            <w:vAlign w:val="center"/>
            <w:hideMark/>
          </w:tcPr>
          <w:p w14:paraId="59DCD0F9"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196" w:type="dxa"/>
            <w:tcBorders>
              <w:top w:val="single" w:sz="4" w:space="0" w:color="auto"/>
              <w:left w:val="nil"/>
              <w:bottom w:val="nil"/>
              <w:right w:val="nil"/>
            </w:tcBorders>
            <w:shd w:val="clear" w:color="000000" w:fill="FFFFFF"/>
            <w:tcMar>
              <w:left w:w="0" w:type="dxa"/>
              <w:right w:w="28" w:type="dxa"/>
            </w:tcMar>
            <w:vAlign w:val="center"/>
            <w:hideMark/>
          </w:tcPr>
          <w:p w14:paraId="59DCD0FA"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single" w:sz="4" w:space="0" w:color="auto"/>
              <w:left w:val="nil"/>
              <w:bottom w:val="nil"/>
              <w:right w:val="nil"/>
            </w:tcBorders>
            <w:shd w:val="clear" w:color="000000" w:fill="FFFFFF"/>
            <w:tcMar>
              <w:left w:w="0" w:type="dxa"/>
              <w:right w:w="28" w:type="dxa"/>
            </w:tcMar>
            <w:vAlign w:val="center"/>
            <w:hideMark/>
          </w:tcPr>
          <w:p w14:paraId="59DCD0FB"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w:t>
            </w:r>
          </w:p>
        </w:tc>
        <w:tc>
          <w:tcPr>
            <w:tcW w:w="1288" w:type="dxa"/>
            <w:tcBorders>
              <w:top w:val="single" w:sz="4" w:space="0" w:color="auto"/>
              <w:left w:val="nil"/>
              <w:bottom w:val="nil"/>
              <w:right w:val="nil"/>
            </w:tcBorders>
            <w:shd w:val="clear" w:color="000000" w:fill="FFFFFF"/>
            <w:tcMar>
              <w:left w:w="0" w:type="dxa"/>
              <w:right w:w="28" w:type="dxa"/>
            </w:tcMar>
            <w:vAlign w:val="center"/>
            <w:hideMark/>
          </w:tcPr>
          <w:p w14:paraId="59DCD0FC"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single" w:sz="4" w:space="0" w:color="auto"/>
              <w:left w:val="nil"/>
              <w:bottom w:val="nil"/>
              <w:right w:val="nil"/>
            </w:tcBorders>
            <w:shd w:val="clear" w:color="000000" w:fill="FFFFFF"/>
            <w:tcMar>
              <w:left w:w="0" w:type="dxa"/>
              <w:right w:w="28" w:type="dxa"/>
            </w:tcMar>
            <w:vAlign w:val="center"/>
            <w:hideMark/>
          </w:tcPr>
          <w:p w14:paraId="59DCD0FD"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single" w:sz="4" w:space="0" w:color="auto"/>
              <w:left w:val="nil"/>
              <w:bottom w:val="nil"/>
              <w:right w:val="nil"/>
            </w:tcBorders>
            <w:shd w:val="clear" w:color="000000" w:fill="FFFFFF"/>
            <w:tcMar>
              <w:left w:w="0" w:type="dxa"/>
              <w:right w:w="28" w:type="dxa"/>
            </w:tcMar>
            <w:vAlign w:val="center"/>
            <w:hideMark/>
          </w:tcPr>
          <w:p w14:paraId="59DCD0FE"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5</w:t>
            </w:r>
          </w:p>
        </w:tc>
        <w:tc>
          <w:tcPr>
            <w:tcW w:w="1393" w:type="dxa"/>
            <w:tcBorders>
              <w:top w:val="single" w:sz="4" w:space="0" w:color="auto"/>
              <w:left w:val="nil"/>
              <w:bottom w:val="nil"/>
              <w:right w:val="nil"/>
            </w:tcBorders>
            <w:shd w:val="clear" w:color="000000" w:fill="FFFFFF"/>
            <w:tcMar>
              <w:left w:w="0" w:type="dxa"/>
              <w:right w:w="28" w:type="dxa"/>
            </w:tcMar>
            <w:vAlign w:val="center"/>
            <w:hideMark/>
          </w:tcPr>
          <w:p w14:paraId="59DCD0FF"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20</w:t>
            </w:r>
          </w:p>
        </w:tc>
      </w:tr>
      <w:tr w:rsidR="00BE3AA8" w:rsidRPr="00D93FF9" w14:paraId="59DCD109"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01"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As</w:t>
            </w:r>
          </w:p>
        </w:tc>
        <w:tc>
          <w:tcPr>
            <w:tcW w:w="1641" w:type="dxa"/>
            <w:tcBorders>
              <w:top w:val="nil"/>
              <w:left w:val="nil"/>
              <w:bottom w:val="nil"/>
              <w:right w:val="nil"/>
            </w:tcBorders>
            <w:shd w:val="clear" w:color="000000" w:fill="FFFFFF"/>
            <w:tcMar>
              <w:left w:w="0" w:type="dxa"/>
              <w:right w:w="28" w:type="dxa"/>
            </w:tcMar>
            <w:vAlign w:val="center"/>
            <w:hideMark/>
          </w:tcPr>
          <w:p w14:paraId="59DCD102"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10</w:t>
            </w:r>
          </w:p>
        </w:tc>
        <w:tc>
          <w:tcPr>
            <w:tcW w:w="2196" w:type="dxa"/>
            <w:tcBorders>
              <w:top w:val="nil"/>
              <w:left w:val="nil"/>
              <w:bottom w:val="nil"/>
              <w:right w:val="nil"/>
            </w:tcBorders>
            <w:shd w:val="clear" w:color="000000" w:fill="FFFFFF"/>
            <w:tcMar>
              <w:left w:w="0" w:type="dxa"/>
              <w:right w:w="28" w:type="dxa"/>
            </w:tcMar>
            <w:vAlign w:val="center"/>
            <w:hideMark/>
          </w:tcPr>
          <w:p w14:paraId="59DCD103"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20</w:t>
            </w:r>
          </w:p>
        </w:tc>
        <w:tc>
          <w:tcPr>
            <w:tcW w:w="2094" w:type="dxa"/>
            <w:tcBorders>
              <w:top w:val="nil"/>
              <w:left w:val="nil"/>
              <w:bottom w:val="nil"/>
              <w:right w:val="nil"/>
            </w:tcBorders>
            <w:shd w:val="clear" w:color="000000" w:fill="FFFFFF"/>
            <w:tcMar>
              <w:left w:w="0" w:type="dxa"/>
              <w:right w:w="28" w:type="dxa"/>
            </w:tcMar>
            <w:vAlign w:val="center"/>
            <w:hideMark/>
          </w:tcPr>
          <w:p w14:paraId="59DCD104"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20</w:t>
            </w:r>
          </w:p>
        </w:tc>
        <w:tc>
          <w:tcPr>
            <w:tcW w:w="1288" w:type="dxa"/>
            <w:tcBorders>
              <w:top w:val="nil"/>
              <w:left w:val="nil"/>
              <w:bottom w:val="nil"/>
              <w:right w:val="nil"/>
            </w:tcBorders>
            <w:shd w:val="clear" w:color="000000" w:fill="FFFFFF"/>
            <w:tcMar>
              <w:left w:w="0" w:type="dxa"/>
              <w:right w:w="28" w:type="dxa"/>
            </w:tcMar>
            <w:vAlign w:val="center"/>
            <w:hideMark/>
          </w:tcPr>
          <w:p w14:paraId="59DCD105"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20</w:t>
            </w:r>
          </w:p>
        </w:tc>
        <w:tc>
          <w:tcPr>
            <w:tcW w:w="1677" w:type="dxa"/>
            <w:tcBorders>
              <w:top w:val="nil"/>
              <w:left w:val="nil"/>
              <w:bottom w:val="nil"/>
              <w:right w:val="nil"/>
            </w:tcBorders>
            <w:shd w:val="clear" w:color="000000" w:fill="FFFFFF"/>
            <w:tcMar>
              <w:left w:w="0" w:type="dxa"/>
              <w:right w:w="28" w:type="dxa"/>
            </w:tcMar>
            <w:vAlign w:val="center"/>
            <w:hideMark/>
          </w:tcPr>
          <w:p w14:paraId="59DCD106"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20</w:t>
            </w:r>
          </w:p>
        </w:tc>
        <w:tc>
          <w:tcPr>
            <w:tcW w:w="1409" w:type="dxa"/>
            <w:tcBorders>
              <w:top w:val="nil"/>
              <w:left w:val="nil"/>
              <w:bottom w:val="nil"/>
              <w:right w:val="nil"/>
            </w:tcBorders>
            <w:shd w:val="clear" w:color="000000" w:fill="FFFFFF"/>
            <w:tcMar>
              <w:left w:w="0" w:type="dxa"/>
              <w:right w:w="28" w:type="dxa"/>
            </w:tcMar>
            <w:vAlign w:val="center"/>
            <w:hideMark/>
          </w:tcPr>
          <w:p w14:paraId="59DCD107"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0.1</w:t>
            </w:r>
          </w:p>
        </w:tc>
        <w:tc>
          <w:tcPr>
            <w:tcW w:w="1393" w:type="dxa"/>
            <w:tcBorders>
              <w:top w:val="nil"/>
              <w:left w:val="nil"/>
              <w:bottom w:val="nil"/>
              <w:right w:val="nil"/>
            </w:tcBorders>
            <w:shd w:val="clear" w:color="000000" w:fill="FFFFFF"/>
            <w:tcMar>
              <w:left w:w="0" w:type="dxa"/>
              <w:right w:w="28" w:type="dxa"/>
            </w:tcMar>
            <w:vAlign w:val="center"/>
            <w:hideMark/>
          </w:tcPr>
          <w:p w14:paraId="59DCD108"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w:t>
            </w:r>
          </w:p>
        </w:tc>
      </w:tr>
      <w:tr w:rsidR="00BE3AA8" w:rsidRPr="00D93FF9" w14:paraId="59DCD112"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0A"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Be</w:t>
            </w:r>
          </w:p>
        </w:tc>
        <w:tc>
          <w:tcPr>
            <w:tcW w:w="1641" w:type="dxa"/>
            <w:tcBorders>
              <w:top w:val="nil"/>
              <w:left w:val="nil"/>
              <w:bottom w:val="nil"/>
              <w:right w:val="nil"/>
            </w:tcBorders>
            <w:shd w:val="clear" w:color="000000" w:fill="FFFFFF"/>
            <w:tcMar>
              <w:left w:w="0" w:type="dxa"/>
              <w:right w:w="28" w:type="dxa"/>
            </w:tcMar>
            <w:vAlign w:val="center"/>
            <w:hideMark/>
          </w:tcPr>
          <w:p w14:paraId="59DCD10B"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196" w:type="dxa"/>
            <w:tcBorders>
              <w:top w:val="nil"/>
              <w:left w:val="nil"/>
              <w:bottom w:val="nil"/>
              <w:right w:val="nil"/>
            </w:tcBorders>
            <w:shd w:val="clear" w:color="000000" w:fill="FFFFFF"/>
            <w:tcMar>
              <w:left w:w="0" w:type="dxa"/>
              <w:right w:w="28" w:type="dxa"/>
            </w:tcMar>
            <w:vAlign w:val="center"/>
            <w:hideMark/>
          </w:tcPr>
          <w:p w14:paraId="59DCD10C"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nil"/>
              <w:left w:val="nil"/>
              <w:bottom w:val="nil"/>
              <w:right w:val="nil"/>
            </w:tcBorders>
            <w:shd w:val="clear" w:color="000000" w:fill="FFFFFF"/>
            <w:tcMar>
              <w:left w:w="0" w:type="dxa"/>
              <w:right w:w="28" w:type="dxa"/>
            </w:tcMar>
            <w:vAlign w:val="center"/>
            <w:hideMark/>
          </w:tcPr>
          <w:p w14:paraId="59DCD10D"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w:t>
            </w:r>
          </w:p>
        </w:tc>
        <w:tc>
          <w:tcPr>
            <w:tcW w:w="1288" w:type="dxa"/>
            <w:tcBorders>
              <w:top w:val="nil"/>
              <w:left w:val="nil"/>
              <w:bottom w:val="nil"/>
              <w:right w:val="nil"/>
            </w:tcBorders>
            <w:shd w:val="clear" w:color="000000" w:fill="FFFFFF"/>
            <w:tcMar>
              <w:left w:w="0" w:type="dxa"/>
              <w:right w:w="28" w:type="dxa"/>
            </w:tcMar>
            <w:vAlign w:val="center"/>
            <w:hideMark/>
          </w:tcPr>
          <w:p w14:paraId="59DCD10E"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nil"/>
              <w:left w:val="nil"/>
              <w:bottom w:val="nil"/>
              <w:right w:val="nil"/>
            </w:tcBorders>
            <w:shd w:val="clear" w:color="000000" w:fill="FFFFFF"/>
            <w:tcMar>
              <w:left w:w="0" w:type="dxa"/>
              <w:right w:w="28" w:type="dxa"/>
            </w:tcMar>
            <w:vAlign w:val="center"/>
            <w:hideMark/>
          </w:tcPr>
          <w:p w14:paraId="59DCD10F"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nil"/>
              <w:left w:val="nil"/>
              <w:bottom w:val="nil"/>
              <w:right w:val="nil"/>
            </w:tcBorders>
            <w:shd w:val="clear" w:color="000000" w:fill="FFFFFF"/>
            <w:tcMar>
              <w:left w:w="0" w:type="dxa"/>
              <w:right w:w="28" w:type="dxa"/>
            </w:tcMar>
            <w:vAlign w:val="center"/>
            <w:hideMark/>
          </w:tcPr>
          <w:p w14:paraId="59DCD110"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0.1</w:t>
            </w:r>
          </w:p>
        </w:tc>
        <w:tc>
          <w:tcPr>
            <w:tcW w:w="1393" w:type="dxa"/>
            <w:tcBorders>
              <w:top w:val="nil"/>
              <w:left w:val="nil"/>
              <w:bottom w:val="nil"/>
              <w:right w:val="nil"/>
            </w:tcBorders>
            <w:shd w:val="clear" w:color="000000" w:fill="FFFFFF"/>
            <w:tcMar>
              <w:left w:w="0" w:type="dxa"/>
              <w:right w:w="28" w:type="dxa"/>
            </w:tcMar>
            <w:vAlign w:val="center"/>
            <w:hideMark/>
          </w:tcPr>
          <w:p w14:paraId="59DCD111"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0.5</w:t>
            </w:r>
          </w:p>
        </w:tc>
      </w:tr>
      <w:tr w:rsidR="00BE3AA8" w:rsidRPr="00D93FF9" w14:paraId="59DCD11B"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13"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B</w:t>
            </w:r>
          </w:p>
        </w:tc>
        <w:tc>
          <w:tcPr>
            <w:tcW w:w="1641" w:type="dxa"/>
            <w:tcBorders>
              <w:top w:val="nil"/>
              <w:left w:val="nil"/>
              <w:bottom w:val="nil"/>
              <w:right w:val="nil"/>
            </w:tcBorders>
            <w:shd w:val="clear" w:color="000000" w:fill="FFFFFF"/>
            <w:tcMar>
              <w:left w:w="0" w:type="dxa"/>
              <w:right w:w="28" w:type="dxa"/>
            </w:tcMar>
            <w:vAlign w:val="center"/>
            <w:hideMark/>
          </w:tcPr>
          <w:p w14:paraId="59DCD114"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1.0</w:t>
            </w:r>
            <w:r w:rsidRPr="00D93FF9">
              <w:rPr>
                <w:rFonts w:cs="Arial"/>
                <w:color w:val="000000"/>
                <w:sz w:val="18"/>
                <w:szCs w:val="18"/>
                <w:vertAlign w:val="superscript"/>
                <w:lang w:val="en-GB" w:eastAsia="en-AU"/>
              </w:rPr>
              <w:t>b</w:t>
            </w:r>
          </w:p>
        </w:tc>
        <w:tc>
          <w:tcPr>
            <w:tcW w:w="2196" w:type="dxa"/>
            <w:tcBorders>
              <w:top w:val="nil"/>
              <w:left w:val="nil"/>
              <w:bottom w:val="nil"/>
              <w:right w:val="nil"/>
            </w:tcBorders>
            <w:shd w:val="clear" w:color="000000" w:fill="FFFFFF"/>
            <w:tcMar>
              <w:left w:w="0" w:type="dxa"/>
              <w:right w:w="28" w:type="dxa"/>
            </w:tcMar>
            <w:vAlign w:val="center"/>
            <w:hideMark/>
          </w:tcPr>
          <w:p w14:paraId="59DCD115"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nil"/>
              <w:left w:val="nil"/>
              <w:bottom w:val="nil"/>
              <w:right w:val="nil"/>
            </w:tcBorders>
            <w:shd w:val="clear" w:color="000000" w:fill="FFFFFF"/>
            <w:tcMar>
              <w:left w:w="0" w:type="dxa"/>
              <w:right w:w="28" w:type="dxa"/>
            </w:tcMar>
            <w:vAlign w:val="center"/>
            <w:hideMark/>
          </w:tcPr>
          <w:p w14:paraId="59DCD116"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w:t>
            </w:r>
          </w:p>
        </w:tc>
        <w:tc>
          <w:tcPr>
            <w:tcW w:w="1288" w:type="dxa"/>
            <w:tcBorders>
              <w:top w:val="nil"/>
              <w:left w:val="nil"/>
              <w:bottom w:val="nil"/>
              <w:right w:val="nil"/>
            </w:tcBorders>
            <w:shd w:val="clear" w:color="000000" w:fill="FFFFFF"/>
            <w:tcMar>
              <w:left w:w="0" w:type="dxa"/>
              <w:right w:w="28" w:type="dxa"/>
            </w:tcMar>
            <w:vAlign w:val="center"/>
            <w:hideMark/>
          </w:tcPr>
          <w:p w14:paraId="59DCD117"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nil"/>
              <w:left w:val="nil"/>
              <w:bottom w:val="nil"/>
              <w:right w:val="nil"/>
            </w:tcBorders>
            <w:shd w:val="clear" w:color="000000" w:fill="FFFFFF"/>
            <w:tcMar>
              <w:left w:w="0" w:type="dxa"/>
              <w:right w:w="28" w:type="dxa"/>
            </w:tcMar>
            <w:vAlign w:val="center"/>
            <w:hideMark/>
          </w:tcPr>
          <w:p w14:paraId="59DCD118"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nil"/>
              <w:left w:val="nil"/>
              <w:bottom w:val="nil"/>
              <w:right w:val="nil"/>
            </w:tcBorders>
            <w:shd w:val="clear" w:color="000000" w:fill="FFFFFF"/>
            <w:tcMar>
              <w:left w:w="0" w:type="dxa"/>
              <w:right w:w="28" w:type="dxa"/>
            </w:tcMar>
            <w:vAlign w:val="center"/>
            <w:hideMark/>
          </w:tcPr>
          <w:p w14:paraId="59DCD119"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0.5</w:t>
            </w:r>
          </w:p>
        </w:tc>
        <w:tc>
          <w:tcPr>
            <w:tcW w:w="1393" w:type="dxa"/>
            <w:tcBorders>
              <w:top w:val="nil"/>
              <w:left w:val="nil"/>
              <w:bottom w:val="nil"/>
              <w:right w:val="nil"/>
            </w:tcBorders>
            <w:shd w:val="clear" w:color="000000" w:fill="FFFFFF"/>
            <w:tcMar>
              <w:left w:w="0" w:type="dxa"/>
              <w:right w:w="28" w:type="dxa"/>
            </w:tcMar>
            <w:vAlign w:val="center"/>
            <w:hideMark/>
          </w:tcPr>
          <w:p w14:paraId="59DCD11A" w14:textId="77777777" w:rsidR="003C7FCB" w:rsidRPr="00D93FF9" w:rsidRDefault="00E811B8" w:rsidP="003C7FCB">
            <w:pPr>
              <w:spacing w:after="0"/>
              <w:jc w:val="center"/>
              <w:rPr>
                <w:rFonts w:cs="Arial"/>
                <w:iCs/>
                <w:color w:val="000000"/>
                <w:sz w:val="18"/>
                <w:szCs w:val="18"/>
                <w:lang w:val="en-GB" w:eastAsia="en-AU"/>
              </w:rPr>
            </w:pPr>
            <w:r w:rsidRPr="00D93FF9">
              <w:rPr>
                <w:rFonts w:cs="Arial"/>
                <w:iCs/>
                <w:color w:val="000000"/>
                <w:sz w:val="18"/>
                <w:szCs w:val="18"/>
                <w:lang w:val="en-GB" w:eastAsia="en-AU"/>
              </w:rPr>
              <w:t>0.75 to 15</w:t>
            </w:r>
          </w:p>
        </w:tc>
      </w:tr>
      <w:tr w:rsidR="00BE3AA8" w:rsidRPr="00D93FF9" w14:paraId="59DCD124"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1C"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Cd</w:t>
            </w:r>
          </w:p>
        </w:tc>
        <w:tc>
          <w:tcPr>
            <w:tcW w:w="1641" w:type="dxa"/>
            <w:tcBorders>
              <w:top w:val="nil"/>
              <w:left w:val="nil"/>
              <w:bottom w:val="nil"/>
              <w:right w:val="nil"/>
            </w:tcBorders>
            <w:shd w:val="clear" w:color="000000" w:fill="FFFFFF"/>
            <w:tcMar>
              <w:left w:w="0" w:type="dxa"/>
              <w:right w:w="28" w:type="dxa"/>
            </w:tcMar>
            <w:vAlign w:val="center"/>
            <w:hideMark/>
          </w:tcPr>
          <w:p w14:paraId="59DCD11D"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0.12</w:t>
            </w:r>
          </w:p>
        </w:tc>
        <w:tc>
          <w:tcPr>
            <w:tcW w:w="2196" w:type="dxa"/>
            <w:tcBorders>
              <w:top w:val="nil"/>
              <w:left w:val="nil"/>
              <w:bottom w:val="nil"/>
              <w:right w:val="nil"/>
            </w:tcBorders>
            <w:shd w:val="clear" w:color="000000" w:fill="FFFFFF"/>
            <w:tcMar>
              <w:left w:w="0" w:type="dxa"/>
              <w:right w:w="28" w:type="dxa"/>
            </w:tcMar>
            <w:vAlign w:val="center"/>
            <w:hideMark/>
          </w:tcPr>
          <w:p w14:paraId="59DCD11E"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w:t>
            </w:r>
          </w:p>
        </w:tc>
        <w:tc>
          <w:tcPr>
            <w:tcW w:w="2094" w:type="dxa"/>
            <w:tcBorders>
              <w:top w:val="nil"/>
              <w:left w:val="nil"/>
              <w:bottom w:val="nil"/>
              <w:right w:val="nil"/>
            </w:tcBorders>
            <w:shd w:val="clear" w:color="000000" w:fill="FFFFFF"/>
            <w:tcMar>
              <w:left w:w="0" w:type="dxa"/>
              <w:right w:w="28" w:type="dxa"/>
            </w:tcMar>
            <w:vAlign w:val="center"/>
            <w:hideMark/>
          </w:tcPr>
          <w:p w14:paraId="59DCD11F"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1</w:t>
            </w:r>
          </w:p>
        </w:tc>
        <w:tc>
          <w:tcPr>
            <w:tcW w:w="1288" w:type="dxa"/>
            <w:tcBorders>
              <w:top w:val="nil"/>
              <w:left w:val="nil"/>
              <w:bottom w:val="nil"/>
              <w:right w:val="nil"/>
            </w:tcBorders>
            <w:shd w:val="clear" w:color="000000" w:fill="FFFFFF"/>
            <w:tcMar>
              <w:left w:w="0" w:type="dxa"/>
              <w:right w:w="28" w:type="dxa"/>
            </w:tcMar>
            <w:vAlign w:val="center"/>
            <w:hideMark/>
          </w:tcPr>
          <w:p w14:paraId="59DCD120"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w:t>
            </w:r>
          </w:p>
        </w:tc>
        <w:tc>
          <w:tcPr>
            <w:tcW w:w="1677" w:type="dxa"/>
            <w:tcBorders>
              <w:top w:val="nil"/>
              <w:left w:val="nil"/>
              <w:bottom w:val="nil"/>
              <w:right w:val="nil"/>
            </w:tcBorders>
            <w:shd w:val="clear" w:color="000000" w:fill="FFFFFF"/>
            <w:tcMar>
              <w:left w:w="0" w:type="dxa"/>
              <w:right w:w="28" w:type="dxa"/>
            </w:tcMar>
            <w:vAlign w:val="center"/>
            <w:hideMark/>
          </w:tcPr>
          <w:p w14:paraId="59DCD121"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w:t>
            </w:r>
          </w:p>
        </w:tc>
        <w:tc>
          <w:tcPr>
            <w:tcW w:w="1409" w:type="dxa"/>
            <w:tcBorders>
              <w:top w:val="nil"/>
              <w:left w:val="nil"/>
              <w:bottom w:val="nil"/>
              <w:right w:val="nil"/>
            </w:tcBorders>
            <w:shd w:val="clear" w:color="000000" w:fill="FFFFFF"/>
            <w:tcMar>
              <w:left w:w="0" w:type="dxa"/>
              <w:right w:w="28" w:type="dxa"/>
            </w:tcMar>
            <w:vAlign w:val="center"/>
            <w:hideMark/>
          </w:tcPr>
          <w:p w14:paraId="59DCD122"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0.01</w:t>
            </w:r>
          </w:p>
        </w:tc>
        <w:tc>
          <w:tcPr>
            <w:tcW w:w="1393" w:type="dxa"/>
            <w:tcBorders>
              <w:top w:val="nil"/>
              <w:left w:val="nil"/>
              <w:bottom w:val="nil"/>
              <w:right w:val="nil"/>
            </w:tcBorders>
            <w:shd w:val="clear" w:color="000000" w:fill="FFFFFF"/>
            <w:tcMar>
              <w:left w:w="0" w:type="dxa"/>
              <w:right w:w="28" w:type="dxa"/>
            </w:tcMar>
            <w:vAlign w:val="center"/>
            <w:hideMark/>
          </w:tcPr>
          <w:p w14:paraId="59DCD123"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0.05</w:t>
            </w:r>
          </w:p>
        </w:tc>
      </w:tr>
      <w:tr w:rsidR="00BE3AA8" w:rsidRPr="00D93FF9" w14:paraId="59DCD12D"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25"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Cr (VI)</w:t>
            </w:r>
          </w:p>
        </w:tc>
        <w:tc>
          <w:tcPr>
            <w:tcW w:w="1641" w:type="dxa"/>
            <w:tcBorders>
              <w:top w:val="nil"/>
              <w:left w:val="nil"/>
              <w:bottom w:val="nil"/>
              <w:right w:val="nil"/>
            </w:tcBorders>
            <w:shd w:val="clear" w:color="000000" w:fill="FFFFFF"/>
            <w:tcMar>
              <w:left w:w="0" w:type="dxa"/>
              <w:right w:w="28" w:type="dxa"/>
            </w:tcMar>
            <w:vAlign w:val="center"/>
            <w:hideMark/>
          </w:tcPr>
          <w:p w14:paraId="59DCD126"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w:t>
            </w:r>
          </w:p>
        </w:tc>
        <w:tc>
          <w:tcPr>
            <w:tcW w:w="2196" w:type="dxa"/>
            <w:tcBorders>
              <w:top w:val="nil"/>
              <w:left w:val="nil"/>
              <w:bottom w:val="nil"/>
              <w:right w:val="nil"/>
            </w:tcBorders>
            <w:shd w:val="clear" w:color="000000" w:fill="FFFFFF"/>
            <w:tcMar>
              <w:left w:w="0" w:type="dxa"/>
              <w:right w:w="28" w:type="dxa"/>
            </w:tcMar>
            <w:vAlign w:val="center"/>
            <w:hideMark/>
          </w:tcPr>
          <w:p w14:paraId="59DCD127"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nil"/>
              <w:left w:val="nil"/>
              <w:bottom w:val="nil"/>
              <w:right w:val="nil"/>
            </w:tcBorders>
            <w:shd w:val="clear" w:color="000000" w:fill="FFFFFF"/>
            <w:tcMar>
              <w:left w:w="0" w:type="dxa"/>
              <w:right w:w="28" w:type="dxa"/>
            </w:tcMar>
            <w:vAlign w:val="center"/>
            <w:hideMark/>
          </w:tcPr>
          <w:p w14:paraId="59DCD128"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w:t>
            </w:r>
          </w:p>
        </w:tc>
        <w:tc>
          <w:tcPr>
            <w:tcW w:w="1288" w:type="dxa"/>
            <w:tcBorders>
              <w:top w:val="nil"/>
              <w:left w:val="nil"/>
              <w:bottom w:val="nil"/>
              <w:right w:val="nil"/>
            </w:tcBorders>
            <w:shd w:val="clear" w:color="000000" w:fill="FFFFFF"/>
            <w:tcMar>
              <w:left w:w="0" w:type="dxa"/>
              <w:right w:w="28" w:type="dxa"/>
            </w:tcMar>
            <w:vAlign w:val="center"/>
            <w:hideMark/>
          </w:tcPr>
          <w:p w14:paraId="59DCD129"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nil"/>
              <w:left w:val="nil"/>
              <w:bottom w:val="nil"/>
              <w:right w:val="nil"/>
            </w:tcBorders>
            <w:shd w:val="clear" w:color="000000" w:fill="FFFFFF"/>
            <w:tcMar>
              <w:left w:w="0" w:type="dxa"/>
              <w:right w:w="28" w:type="dxa"/>
            </w:tcMar>
            <w:vAlign w:val="center"/>
            <w:hideMark/>
          </w:tcPr>
          <w:p w14:paraId="59DCD12A"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nil"/>
              <w:left w:val="nil"/>
              <w:bottom w:val="nil"/>
              <w:right w:val="nil"/>
            </w:tcBorders>
            <w:shd w:val="clear" w:color="000000" w:fill="FFFFFF"/>
            <w:tcMar>
              <w:left w:w="0" w:type="dxa"/>
              <w:right w:w="28" w:type="dxa"/>
            </w:tcMar>
            <w:vAlign w:val="center"/>
            <w:hideMark/>
          </w:tcPr>
          <w:p w14:paraId="59DCD12B"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0.1</w:t>
            </w:r>
          </w:p>
        </w:tc>
        <w:tc>
          <w:tcPr>
            <w:tcW w:w="1393" w:type="dxa"/>
            <w:tcBorders>
              <w:top w:val="nil"/>
              <w:left w:val="nil"/>
              <w:bottom w:val="nil"/>
              <w:right w:val="nil"/>
            </w:tcBorders>
            <w:shd w:val="clear" w:color="000000" w:fill="FFFFFF"/>
            <w:tcMar>
              <w:left w:w="0" w:type="dxa"/>
              <w:right w:w="28" w:type="dxa"/>
            </w:tcMar>
            <w:vAlign w:val="center"/>
            <w:hideMark/>
          </w:tcPr>
          <w:p w14:paraId="59DCD12C"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w:t>
            </w:r>
          </w:p>
        </w:tc>
      </w:tr>
      <w:tr w:rsidR="00BE3AA8" w:rsidRPr="00D93FF9" w14:paraId="59DCD136"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2E"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Co</w:t>
            </w:r>
          </w:p>
        </w:tc>
        <w:tc>
          <w:tcPr>
            <w:tcW w:w="1641" w:type="dxa"/>
            <w:tcBorders>
              <w:top w:val="nil"/>
              <w:left w:val="nil"/>
              <w:bottom w:val="nil"/>
              <w:right w:val="nil"/>
            </w:tcBorders>
            <w:shd w:val="clear" w:color="000000" w:fill="FFFFFF"/>
            <w:tcMar>
              <w:left w:w="0" w:type="dxa"/>
              <w:right w:w="28" w:type="dxa"/>
            </w:tcMar>
            <w:vAlign w:val="center"/>
            <w:hideMark/>
          </w:tcPr>
          <w:p w14:paraId="59DCD12F"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27</w:t>
            </w:r>
          </w:p>
        </w:tc>
        <w:tc>
          <w:tcPr>
            <w:tcW w:w="2196" w:type="dxa"/>
            <w:tcBorders>
              <w:top w:val="nil"/>
              <w:left w:val="nil"/>
              <w:bottom w:val="nil"/>
              <w:right w:val="nil"/>
            </w:tcBorders>
            <w:shd w:val="clear" w:color="000000" w:fill="FFFFFF"/>
            <w:tcMar>
              <w:left w:w="0" w:type="dxa"/>
              <w:right w:w="28" w:type="dxa"/>
            </w:tcMar>
            <w:vAlign w:val="center"/>
            <w:hideMark/>
          </w:tcPr>
          <w:p w14:paraId="59DCD130"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nil"/>
              <w:left w:val="nil"/>
              <w:bottom w:val="nil"/>
              <w:right w:val="nil"/>
            </w:tcBorders>
            <w:shd w:val="clear" w:color="000000" w:fill="FFFFFF"/>
            <w:tcMar>
              <w:left w:w="0" w:type="dxa"/>
              <w:right w:w="28" w:type="dxa"/>
            </w:tcMar>
            <w:vAlign w:val="center"/>
            <w:hideMark/>
          </w:tcPr>
          <w:p w14:paraId="59DCD131"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w:t>
            </w:r>
          </w:p>
        </w:tc>
        <w:tc>
          <w:tcPr>
            <w:tcW w:w="1288" w:type="dxa"/>
            <w:tcBorders>
              <w:top w:val="nil"/>
              <w:left w:val="nil"/>
              <w:bottom w:val="nil"/>
              <w:right w:val="nil"/>
            </w:tcBorders>
            <w:shd w:val="clear" w:color="000000" w:fill="FFFFFF"/>
            <w:tcMar>
              <w:left w:w="0" w:type="dxa"/>
              <w:right w:w="28" w:type="dxa"/>
            </w:tcMar>
            <w:vAlign w:val="center"/>
            <w:hideMark/>
          </w:tcPr>
          <w:p w14:paraId="59DCD132"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nil"/>
              <w:left w:val="nil"/>
              <w:bottom w:val="nil"/>
              <w:right w:val="nil"/>
            </w:tcBorders>
            <w:shd w:val="clear" w:color="000000" w:fill="FFFFFF"/>
            <w:tcMar>
              <w:left w:w="0" w:type="dxa"/>
              <w:right w:w="28" w:type="dxa"/>
            </w:tcMar>
            <w:vAlign w:val="center"/>
            <w:hideMark/>
          </w:tcPr>
          <w:p w14:paraId="59DCD133"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nil"/>
              <w:left w:val="nil"/>
              <w:bottom w:val="nil"/>
              <w:right w:val="nil"/>
            </w:tcBorders>
            <w:shd w:val="clear" w:color="000000" w:fill="FFFFFF"/>
            <w:tcMar>
              <w:left w:w="0" w:type="dxa"/>
              <w:right w:w="28" w:type="dxa"/>
            </w:tcMar>
            <w:vAlign w:val="center"/>
            <w:hideMark/>
          </w:tcPr>
          <w:p w14:paraId="59DCD134"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0.05</w:t>
            </w:r>
          </w:p>
        </w:tc>
        <w:tc>
          <w:tcPr>
            <w:tcW w:w="1393" w:type="dxa"/>
            <w:tcBorders>
              <w:top w:val="nil"/>
              <w:left w:val="nil"/>
              <w:bottom w:val="nil"/>
              <w:right w:val="nil"/>
            </w:tcBorders>
            <w:shd w:val="clear" w:color="000000" w:fill="FFFFFF"/>
            <w:tcMar>
              <w:left w:w="0" w:type="dxa"/>
              <w:right w:w="28" w:type="dxa"/>
            </w:tcMar>
            <w:vAlign w:val="center"/>
            <w:hideMark/>
          </w:tcPr>
          <w:p w14:paraId="59DCD135"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0.1</w:t>
            </w:r>
          </w:p>
        </w:tc>
      </w:tr>
      <w:tr w:rsidR="00BE3AA8" w:rsidRPr="00D93FF9" w14:paraId="59DCD13F"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37"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Cu</w:t>
            </w:r>
          </w:p>
        </w:tc>
        <w:tc>
          <w:tcPr>
            <w:tcW w:w="1641" w:type="dxa"/>
            <w:tcBorders>
              <w:top w:val="nil"/>
              <w:left w:val="nil"/>
              <w:bottom w:val="nil"/>
              <w:right w:val="nil"/>
            </w:tcBorders>
            <w:shd w:val="clear" w:color="000000" w:fill="FFFFFF"/>
            <w:tcMar>
              <w:left w:w="0" w:type="dxa"/>
              <w:right w:w="28" w:type="dxa"/>
            </w:tcMar>
            <w:vAlign w:val="center"/>
            <w:hideMark/>
          </w:tcPr>
          <w:p w14:paraId="59DCD138"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28</w:t>
            </w:r>
          </w:p>
        </w:tc>
        <w:tc>
          <w:tcPr>
            <w:tcW w:w="2196" w:type="dxa"/>
            <w:tcBorders>
              <w:top w:val="nil"/>
              <w:left w:val="nil"/>
              <w:bottom w:val="nil"/>
              <w:right w:val="nil"/>
            </w:tcBorders>
            <w:shd w:val="clear" w:color="000000" w:fill="FFFFFF"/>
            <w:tcMar>
              <w:left w:w="0" w:type="dxa"/>
              <w:right w:w="28" w:type="dxa"/>
            </w:tcMar>
            <w:vAlign w:val="center"/>
            <w:hideMark/>
          </w:tcPr>
          <w:p w14:paraId="59DCD139"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100</w:t>
            </w:r>
          </w:p>
        </w:tc>
        <w:tc>
          <w:tcPr>
            <w:tcW w:w="2094" w:type="dxa"/>
            <w:tcBorders>
              <w:top w:val="nil"/>
              <w:left w:val="nil"/>
              <w:bottom w:val="nil"/>
              <w:right w:val="nil"/>
            </w:tcBorders>
            <w:shd w:val="clear" w:color="000000" w:fill="FFFFFF"/>
            <w:tcMar>
              <w:left w:w="0" w:type="dxa"/>
              <w:right w:w="28" w:type="dxa"/>
            </w:tcMar>
            <w:vAlign w:val="center"/>
            <w:hideMark/>
          </w:tcPr>
          <w:p w14:paraId="59DCD13A"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100</w:t>
            </w:r>
          </w:p>
        </w:tc>
        <w:tc>
          <w:tcPr>
            <w:tcW w:w="1288" w:type="dxa"/>
            <w:tcBorders>
              <w:top w:val="nil"/>
              <w:left w:val="nil"/>
              <w:bottom w:val="nil"/>
              <w:right w:val="nil"/>
            </w:tcBorders>
            <w:shd w:val="clear" w:color="000000" w:fill="FFFFFF"/>
            <w:tcMar>
              <w:left w:w="0" w:type="dxa"/>
              <w:right w:w="28" w:type="dxa"/>
            </w:tcMar>
            <w:vAlign w:val="center"/>
            <w:hideMark/>
          </w:tcPr>
          <w:p w14:paraId="59DCD13B"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140</w:t>
            </w:r>
          </w:p>
        </w:tc>
        <w:tc>
          <w:tcPr>
            <w:tcW w:w="1677" w:type="dxa"/>
            <w:tcBorders>
              <w:top w:val="nil"/>
              <w:left w:val="nil"/>
              <w:bottom w:val="nil"/>
              <w:right w:val="nil"/>
            </w:tcBorders>
            <w:shd w:val="clear" w:color="000000" w:fill="FFFFFF"/>
            <w:tcMar>
              <w:left w:w="0" w:type="dxa"/>
              <w:right w:w="28" w:type="dxa"/>
            </w:tcMar>
            <w:vAlign w:val="center"/>
            <w:hideMark/>
          </w:tcPr>
          <w:p w14:paraId="59DCD13C"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140</w:t>
            </w:r>
          </w:p>
        </w:tc>
        <w:tc>
          <w:tcPr>
            <w:tcW w:w="1409" w:type="dxa"/>
            <w:tcBorders>
              <w:top w:val="nil"/>
              <w:left w:val="nil"/>
              <w:bottom w:val="nil"/>
              <w:right w:val="nil"/>
            </w:tcBorders>
            <w:shd w:val="clear" w:color="000000" w:fill="FFFFFF"/>
            <w:tcMar>
              <w:left w:w="0" w:type="dxa"/>
              <w:right w:w="28" w:type="dxa"/>
            </w:tcMar>
            <w:vAlign w:val="center"/>
            <w:hideMark/>
          </w:tcPr>
          <w:p w14:paraId="59DCD13D"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0.2</w:t>
            </w:r>
          </w:p>
        </w:tc>
        <w:tc>
          <w:tcPr>
            <w:tcW w:w="1393" w:type="dxa"/>
            <w:tcBorders>
              <w:top w:val="nil"/>
              <w:left w:val="nil"/>
              <w:bottom w:val="nil"/>
              <w:right w:val="nil"/>
            </w:tcBorders>
            <w:shd w:val="clear" w:color="000000" w:fill="FFFFFF"/>
            <w:tcMar>
              <w:left w:w="0" w:type="dxa"/>
              <w:right w:w="28" w:type="dxa"/>
            </w:tcMar>
            <w:vAlign w:val="center"/>
            <w:hideMark/>
          </w:tcPr>
          <w:p w14:paraId="59DCD13E"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5</w:t>
            </w:r>
          </w:p>
        </w:tc>
      </w:tr>
      <w:tr w:rsidR="00BE3AA8" w:rsidRPr="00D93FF9" w14:paraId="59DCD148"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40"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F</w:t>
            </w:r>
          </w:p>
        </w:tc>
        <w:tc>
          <w:tcPr>
            <w:tcW w:w="1641" w:type="dxa"/>
            <w:tcBorders>
              <w:top w:val="nil"/>
              <w:left w:val="nil"/>
              <w:bottom w:val="nil"/>
              <w:right w:val="nil"/>
            </w:tcBorders>
            <w:shd w:val="clear" w:color="000000" w:fill="FFFFFF"/>
            <w:tcMar>
              <w:left w:w="0" w:type="dxa"/>
              <w:right w:w="28" w:type="dxa"/>
            </w:tcMar>
            <w:vAlign w:val="center"/>
            <w:hideMark/>
          </w:tcPr>
          <w:p w14:paraId="59DCD141"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w:t>
            </w:r>
          </w:p>
        </w:tc>
        <w:tc>
          <w:tcPr>
            <w:tcW w:w="2196" w:type="dxa"/>
            <w:tcBorders>
              <w:top w:val="nil"/>
              <w:left w:val="nil"/>
              <w:bottom w:val="nil"/>
              <w:right w:val="nil"/>
            </w:tcBorders>
            <w:shd w:val="clear" w:color="000000" w:fill="FFFFFF"/>
            <w:tcMar>
              <w:left w:w="0" w:type="dxa"/>
              <w:right w:w="28" w:type="dxa"/>
            </w:tcMar>
            <w:vAlign w:val="center"/>
            <w:hideMark/>
          </w:tcPr>
          <w:p w14:paraId="59DCD142"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nil"/>
              <w:left w:val="nil"/>
              <w:bottom w:val="nil"/>
              <w:right w:val="nil"/>
            </w:tcBorders>
            <w:shd w:val="clear" w:color="000000" w:fill="FFFFFF"/>
            <w:tcMar>
              <w:left w:w="0" w:type="dxa"/>
              <w:right w:w="28" w:type="dxa"/>
            </w:tcMar>
            <w:vAlign w:val="center"/>
            <w:hideMark/>
          </w:tcPr>
          <w:p w14:paraId="59DCD143"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w:t>
            </w:r>
          </w:p>
        </w:tc>
        <w:tc>
          <w:tcPr>
            <w:tcW w:w="1288" w:type="dxa"/>
            <w:tcBorders>
              <w:top w:val="nil"/>
              <w:left w:val="nil"/>
              <w:bottom w:val="nil"/>
              <w:right w:val="nil"/>
            </w:tcBorders>
            <w:shd w:val="clear" w:color="000000" w:fill="FFFFFF"/>
            <w:tcMar>
              <w:left w:w="0" w:type="dxa"/>
              <w:right w:w="28" w:type="dxa"/>
            </w:tcMar>
            <w:vAlign w:val="center"/>
            <w:hideMark/>
          </w:tcPr>
          <w:p w14:paraId="59DCD144"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nil"/>
              <w:left w:val="nil"/>
              <w:bottom w:val="nil"/>
              <w:right w:val="nil"/>
            </w:tcBorders>
            <w:shd w:val="clear" w:color="000000" w:fill="FFFFFF"/>
            <w:tcMar>
              <w:left w:w="0" w:type="dxa"/>
              <w:right w:w="28" w:type="dxa"/>
            </w:tcMar>
            <w:hideMark/>
          </w:tcPr>
          <w:p w14:paraId="59DCD145"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nil"/>
              <w:left w:val="nil"/>
              <w:bottom w:val="nil"/>
              <w:right w:val="nil"/>
            </w:tcBorders>
            <w:shd w:val="clear" w:color="000000" w:fill="FFFFFF"/>
            <w:tcMar>
              <w:left w:w="0" w:type="dxa"/>
              <w:right w:w="28" w:type="dxa"/>
            </w:tcMar>
            <w:vAlign w:val="center"/>
            <w:hideMark/>
          </w:tcPr>
          <w:p w14:paraId="59DCD146"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w:t>
            </w:r>
          </w:p>
        </w:tc>
        <w:tc>
          <w:tcPr>
            <w:tcW w:w="1393" w:type="dxa"/>
            <w:tcBorders>
              <w:top w:val="nil"/>
              <w:left w:val="nil"/>
              <w:bottom w:val="nil"/>
              <w:right w:val="nil"/>
            </w:tcBorders>
            <w:shd w:val="clear" w:color="000000" w:fill="FFFFFF"/>
            <w:tcMar>
              <w:left w:w="0" w:type="dxa"/>
              <w:right w:w="28" w:type="dxa"/>
            </w:tcMar>
            <w:vAlign w:val="center"/>
            <w:hideMark/>
          </w:tcPr>
          <w:p w14:paraId="59DCD147"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w:t>
            </w:r>
          </w:p>
        </w:tc>
      </w:tr>
      <w:tr w:rsidR="00BE3AA8" w:rsidRPr="00D93FF9" w14:paraId="59DCD151"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49"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Fe</w:t>
            </w:r>
          </w:p>
        </w:tc>
        <w:tc>
          <w:tcPr>
            <w:tcW w:w="1641" w:type="dxa"/>
            <w:tcBorders>
              <w:top w:val="nil"/>
              <w:left w:val="nil"/>
              <w:bottom w:val="nil"/>
              <w:right w:val="nil"/>
            </w:tcBorders>
            <w:shd w:val="clear" w:color="000000" w:fill="FFFFFF"/>
            <w:tcMar>
              <w:left w:w="0" w:type="dxa"/>
              <w:right w:w="28" w:type="dxa"/>
            </w:tcMar>
            <w:vAlign w:val="center"/>
            <w:hideMark/>
          </w:tcPr>
          <w:p w14:paraId="59DCD14A"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w:t>
            </w:r>
          </w:p>
        </w:tc>
        <w:tc>
          <w:tcPr>
            <w:tcW w:w="2196" w:type="dxa"/>
            <w:tcBorders>
              <w:top w:val="nil"/>
              <w:left w:val="nil"/>
              <w:bottom w:val="nil"/>
              <w:right w:val="nil"/>
            </w:tcBorders>
            <w:shd w:val="clear" w:color="000000" w:fill="FFFFFF"/>
            <w:tcMar>
              <w:left w:w="0" w:type="dxa"/>
              <w:right w:w="28" w:type="dxa"/>
            </w:tcMar>
            <w:vAlign w:val="center"/>
            <w:hideMark/>
          </w:tcPr>
          <w:p w14:paraId="59DCD14B"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nil"/>
              <w:left w:val="nil"/>
              <w:bottom w:val="nil"/>
              <w:right w:val="nil"/>
            </w:tcBorders>
            <w:shd w:val="clear" w:color="000000" w:fill="FFFFFF"/>
            <w:tcMar>
              <w:left w:w="0" w:type="dxa"/>
              <w:right w:w="28" w:type="dxa"/>
            </w:tcMar>
            <w:vAlign w:val="center"/>
            <w:hideMark/>
          </w:tcPr>
          <w:p w14:paraId="59DCD14C"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w:t>
            </w:r>
          </w:p>
        </w:tc>
        <w:tc>
          <w:tcPr>
            <w:tcW w:w="1288" w:type="dxa"/>
            <w:tcBorders>
              <w:top w:val="nil"/>
              <w:left w:val="nil"/>
              <w:bottom w:val="nil"/>
              <w:right w:val="nil"/>
            </w:tcBorders>
            <w:shd w:val="clear" w:color="000000" w:fill="FFFFFF"/>
            <w:tcMar>
              <w:left w:w="0" w:type="dxa"/>
              <w:right w:w="28" w:type="dxa"/>
            </w:tcMar>
            <w:vAlign w:val="center"/>
            <w:hideMark/>
          </w:tcPr>
          <w:p w14:paraId="59DCD14D"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nil"/>
              <w:left w:val="nil"/>
              <w:bottom w:val="nil"/>
              <w:right w:val="nil"/>
            </w:tcBorders>
            <w:shd w:val="clear" w:color="000000" w:fill="FFFFFF"/>
            <w:tcMar>
              <w:left w:w="0" w:type="dxa"/>
              <w:right w:w="28" w:type="dxa"/>
            </w:tcMar>
            <w:hideMark/>
          </w:tcPr>
          <w:p w14:paraId="59DCD14E"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nil"/>
              <w:left w:val="nil"/>
              <w:bottom w:val="nil"/>
              <w:right w:val="nil"/>
            </w:tcBorders>
            <w:shd w:val="clear" w:color="000000" w:fill="FFFFFF"/>
            <w:tcMar>
              <w:left w:w="0" w:type="dxa"/>
              <w:right w:w="28" w:type="dxa"/>
            </w:tcMar>
            <w:vAlign w:val="center"/>
            <w:hideMark/>
          </w:tcPr>
          <w:p w14:paraId="59DCD14F"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0.2</w:t>
            </w:r>
          </w:p>
        </w:tc>
        <w:tc>
          <w:tcPr>
            <w:tcW w:w="1393" w:type="dxa"/>
            <w:tcBorders>
              <w:top w:val="nil"/>
              <w:left w:val="nil"/>
              <w:bottom w:val="nil"/>
              <w:right w:val="nil"/>
            </w:tcBorders>
            <w:shd w:val="clear" w:color="000000" w:fill="FFFFFF"/>
            <w:tcMar>
              <w:left w:w="0" w:type="dxa"/>
              <w:right w:w="28" w:type="dxa"/>
            </w:tcMar>
            <w:vAlign w:val="center"/>
            <w:hideMark/>
          </w:tcPr>
          <w:p w14:paraId="59DCD150"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10</w:t>
            </w:r>
          </w:p>
        </w:tc>
      </w:tr>
      <w:tr w:rsidR="00BE3AA8" w:rsidRPr="00D93FF9" w14:paraId="59DCD15A"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52"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Pb</w:t>
            </w:r>
          </w:p>
        </w:tc>
        <w:tc>
          <w:tcPr>
            <w:tcW w:w="1641" w:type="dxa"/>
            <w:tcBorders>
              <w:top w:val="nil"/>
              <w:left w:val="nil"/>
              <w:bottom w:val="nil"/>
              <w:right w:val="nil"/>
            </w:tcBorders>
            <w:shd w:val="clear" w:color="000000" w:fill="FFFFFF"/>
            <w:tcMar>
              <w:left w:w="0" w:type="dxa"/>
              <w:right w:w="28" w:type="dxa"/>
            </w:tcMar>
            <w:vAlign w:val="center"/>
            <w:hideMark/>
          </w:tcPr>
          <w:p w14:paraId="59DCD153"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18</w:t>
            </w:r>
          </w:p>
        </w:tc>
        <w:tc>
          <w:tcPr>
            <w:tcW w:w="2196" w:type="dxa"/>
            <w:tcBorders>
              <w:top w:val="nil"/>
              <w:left w:val="nil"/>
              <w:bottom w:val="nil"/>
              <w:right w:val="nil"/>
            </w:tcBorders>
            <w:shd w:val="clear" w:color="000000" w:fill="FFFFFF"/>
            <w:tcMar>
              <w:left w:w="0" w:type="dxa"/>
              <w:right w:w="28" w:type="dxa"/>
            </w:tcMar>
            <w:vAlign w:val="center"/>
            <w:hideMark/>
          </w:tcPr>
          <w:p w14:paraId="59DCD154"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150</w:t>
            </w:r>
          </w:p>
        </w:tc>
        <w:tc>
          <w:tcPr>
            <w:tcW w:w="2094" w:type="dxa"/>
            <w:tcBorders>
              <w:top w:val="nil"/>
              <w:left w:val="nil"/>
              <w:bottom w:val="nil"/>
              <w:right w:val="nil"/>
            </w:tcBorders>
            <w:shd w:val="clear" w:color="000000" w:fill="FFFFFF"/>
            <w:tcMar>
              <w:left w:w="0" w:type="dxa"/>
              <w:right w:w="28" w:type="dxa"/>
            </w:tcMar>
            <w:vAlign w:val="center"/>
            <w:hideMark/>
          </w:tcPr>
          <w:p w14:paraId="59DCD155"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300</w:t>
            </w:r>
          </w:p>
        </w:tc>
        <w:tc>
          <w:tcPr>
            <w:tcW w:w="1288" w:type="dxa"/>
            <w:tcBorders>
              <w:top w:val="nil"/>
              <w:left w:val="nil"/>
              <w:bottom w:val="nil"/>
              <w:right w:val="nil"/>
            </w:tcBorders>
            <w:shd w:val="clear" w:color="000000" w:fill="FFFFFF"/>
            <w:tcMar>
              <w:left w:w="0" w:type="dxa"/>
              <w:right w:w="28" w:type="dxa"/>
            </w:tcMar>
            <w:vAlign w:val="center"/>
            <w:hideMark/>
          </w:tcPr>
          <w:p w14:paraId="59DCD156" w14:textId="23C82EE7" w:rsidR="003C7FCB" w:rsidRPr="00D93FF9" w:rsidRDefault="001B1FA8" w:rsidP="003C7FCB">
            <w:pPr>
              <w:spacing w:after="0"/>
              <w:jc w:val="center"/>
              <w:rPr>
                <w:rFonts w:cs="Arial"/>
                <w:color w:val="000000"/>
                <w:sz w:val="18"/>
                <w:szCs w:val="18"/>
                <w:lang w:val="en-GB" w:eastAsia="en-AU"/>
              </w:rPr>
            </w:pPr>
            <w:r w:rsidRPr="00D93FF9">
              <w:rPr>
                <w:rFonts w:cs="Arial"/>
                <w:color w:val="000000"/>
                <w:sz w:val="18"/>
                <w:szCs w:val="18"/>
                <w:lang w:val="en-GB" w:eastAsia="en-AU"/>
              </w:rPr>
              <w:t>195</w:t>
            </w:r>
          </w:p>
        </w:tc>
        <w:tc>
          <w:tcPr>
            <w:tcW w:w="1677" w:type="dxa"/>
            <w:tcBorders>
              <w:top w:val="nil"/>
              <w:left w:val="nil"/>
              <w:bottom w:val="nil"/>
              <w:right w:val="nil"/>
            </w:tcBorders>
            <w:shd w:val="clear" w:color="000000" w:fill="FFFFFF"/>
            <w:tcMar>
              <w:left w:w="0" w:type="dxa"/>
              <w:right w:w="28" w:type="dxa"/>
            </w:tcMar>
            <w:vAlign w:val="center"/>
            <w:hideMark/>
          </w:tcPr>
          <w:p w14:paraId="59DCD157" w14:textId="34C754A4" w:rsidR="003C7FCB" w:rsidRPr="00D93FF9" w:rsidRDefault="001B1FA8" w:rsidP="003C7FCB">
            <w:pPr>
              <w:spacing w:after="0"/>
              <w:jc w:val="center"/>
              <w:rPr>
                <w:rFonts w:cs="Arial"/>
                <w:color w:val="000000"/>
                <w:sz w:val="18"/>
                <w:szCs w:val="18"/>
                <w:lang w:val="en-GB" w:eastAsia="en-AU"/>
              </w:rPr>
            </w:pPr>
            <w:r w:rsidRPr="00D93FF9">
              <w:rPr>
                <w:rFonts w:cs="Arial"/>
                <w:color w:val="000000"/>
                <w:sz w:val="18"/>
                <w:szCs w:val="18"/>
                <w:lang w:val="en-GB" w:eastAsia="en-AU"/>
              </w:rPr>
              <w:t>195</w:t>
            </w:r>
          </w:p>
        </w:tc>
        <w:tc>
          <w:tcPr>
            <w:tcW w:w="1409" w:type="dxa"/>
            <w:tcBorders>
              <w:top w:val="nil"/>
              <w:left w:val="nil"/>
              <w:bottom w:val="nil"/>
              <w:right w:val="nil"/>
            </w:tcBorders>
            <w:shd w:val="clear" w:color="000000" w:fill="FFFFFF"/>
            <w:tcMar>
              <w:left w:w="0" w:type="dxa"/>
              <w:right w:w="28" w:type="dxa"/>
            </w:tcMar>
            <w:vAlign w:val="center"/>
            <w:hideMark/>
          </w:tcPr>
          <w:p w14:paraId="59DCD158" w14:textId="5E06E2CE" w:rsidR="003C7FCB" w:rsidRPr="00D93FF9" w:rsidRDefault="00C15376" w:rsidP="003C7FCB">
            <w:pPr>
              <w:spacing w:after="0"/>
              <w:jc w:val="center"/>
              <w:rPr>
                <w:rFonts w:cs="Arial"/>
                <w:color w:val="000000"/>
                <w:sz w:val="18"/>
                <w:szCs w:val="18"/>
                <w:lang w:val="en-GB" w:eastAsia="en-AU"/>
              </w:rPr>
            </w:pPr>
            <w:r w:rsidRPr="00D93FF9">
              <w:rPr>
                <w:rFonts w:cs="Arial"/>
                <w:color w:val="000000"/>
                <w:sz w:val="18"/>
                <w:szCs w:val="18"/>
                <w:lang w:val="en-GB" w:eastAsia="en-AU"/>
              </w:rPr>
              <w:t>0.2</w:t>
            </w:r>
          </w:p>
        </w:tc>
        <w:tc>
          <w:tcPr>
            <w:tcW w:w="1393" w:type="dxa"/>
            <w:tcBorders>
              <w:top w:val="nil"/>
              <w:left w:val="nil"/>
              <w:bottom w:val="nil"/>
              <w:right w:val="nil"/>
            </w:tcBorders>
            <w:shd w:val="clear" w:color="000000" w:fill="FFFFFF"/>
            <w:tcMar>
              <w:left w:w="0" w:type="dxa"/>
              <w:right w:w="28" w:type="dxa"/>
            </w:tcMar>
            <w:vAlign w:val="center"/>
            <w:hideMark/>
          </w:tcPr>
          <w:p w14:paraId="59DCD159" w14:textId="4937E0C3" w:rsidR="003C7FCB" w:rsidRPr="00D93FF9" w:rsidRDefault="001B1FA8" w:rsidP="003C7FCB">
            <w:pPr>
              <w:spacing w:after="0"/>
              <w:jc w:val="center"/>
              <w:rPr>
                <w:rFonts w:cs="Arial"/>
                <w:color w:val="000000"/>
                <w:sz w:val="18"/>
                <w:szCs w:val="18"/>
                <w:lang w:val="en-GB" w:eastAsia="en-AU"/>
              </w:rPr>
            </w:pPr>
            <w:r w:rsidRPr="00D93FF9">
              <w:rPr>
                <w:rFonts w:cs="Arial"/>
                <w:color w:val="000000"/>
                <w:sz w:val="18"/>
                <w:szCs w:val="18"/>
                <w:lang w:val="en-GB" w:eastAsia="en-AU"/>
              </w:rPr>
              <w:t>2</w:t>
            </w:r>
            <w:r w:rsidR="00C15376" w:rsidRPr="00D93FF9">
              <w:rPr>
                <w:rFonts w:cs="Arial"/>
                <w:color w:val="000000"/>
                <w:sz w:val="18"/>
                <w:szCs w:val="18"/>
                <w:lang w:val="en-GB" w:eastAsia="en-AU"/>
              </w:rPr>
              <w:t>.0</w:t>
            </w:r>
          </w:p>
        </w:tc>
      </w:tr>
      <w:tr w:rsidR="00BE3AA8" w:rsidRPr="00D93FF9" w14:paraId="59DCD163"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5B"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Li</w:t>
            </w:r>
          </w:p>
        </w:tc>
        <w:tc>
          <w:tcPr>
            <w:tcW w:w="1641" w:type="dxa"/>
            <w:tcBorders>
              <w:top w:val="nil"/>
              <w:left w:val="nil"/>
              <w:bottom w:val="nil"/>
              <w:right w:val="nil"/>
            </w:tcBorders>
            <w:shd w:val="clear" w:color="000000" w:fill="FFFFFF"/>
            <w:tcMar>
              <w:left w:w="0" w:type="dxa"/>
              <w:right w:w="28" w:type="dxa"/>
            </w:tcMar>
            <w:vAlign w:val="center"/>
            <w:hideMark/>
          </w:tcPr>
          <w:p w14:paraId="59DCD15C"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w:t>
            </w:r>
          </w:p>
        </w:tc>
        <w:tc>
          <w:tcPr>
            <w:tcW w:w="2196" w:type="dxa"/>
            <w:tcBorders>
              <w:top w:val="nil"/>
              <w:left w:val="nil"/>
              <w:bottom w:val="nil"/>
              <w:right w:val="nil"/>
            </w:tcBorders>
            <w:shd w:val="clear" w:color="000000" w:fill="FFFFFF"/>
            <w:tcMar>
              <w:left w:w="0" w:type="dxa"/>
              <w:right w:w="28" w:type="dxa"/>
            </w:tcMar>
            <w:vAlign w:val="center"/>
            <w:hideMark/>
          </w:tcPr>
          <w:p w14:paraId="59DCD15D"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nil"/>
              <w:left w:val="nil"/>
              <w:bottom w:val="nil"/>
              <w:right w:val="nil"/>
            </w:tcBorders>
            <w:shd w:val="clear" w:color="000000" w:fill="FFFFFF"/>
            <w:tcMar>
              <w:left w:w="0" w:type="dxa"/>
              <w:right w:w="28" w:type="dxa"/>
            </w:tcMar>
            <w:vAlign w:val="center"/>
            <w:hideMark/>
          </w:tcPr>
          <w:p w14:paraId="59DCD15E"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w:t>
            </w:r>
          </w:p>
        </w:tc>
        <w:tc>
          <w:tcPr>
            <w:tcW w:w="1288" w:type="dxa"/>
            <w:tcBorders>
              <w:top w:val="nil"/>
              <w:left w:val="nil"/>
              <w:bottom w:val="nil"/>
              <w:right w:val="nil"/>
            </w:tcBorders>
            <w:shd w:val="clear" w:color="000000" w:fill="FFFFFF"/>
            <w:tcMar>
              <w:left w:w="0" w:type="dxa"/>
              <w:right w:w="28" w:type="dxa"/>
            </w:tcMar>
            <w:vAlign w:val="center"/>
            <w:hideMark/>
          </w:tcPr>
          <w:p w14:paraId="59DCD15F"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nil"/>
              <w:left w:val="nil"/>
              <w:bottom w:val="nil"/>
              <w:right w:val="nil"/>
            </w:tcBorders>
            <w:shd w:val="clear" w:color="000000" w:fill="FFFFFF"/>
            <w:tcMar>
              <w:left w:w="0" w:type="dxa"/>
              <w:right w:w="28" w:type="dxa"/>
            </w:tcMar>
            <w:hideMark/>
          </w:tcPr>
          <w:p w14:paraId="59DCD160"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nil"/>
              <w:left w:val="nil"/>
              <w:bottom w:val="nil"/>
              <w:right w:val="nil"/>
            </w:tcBorders>
            <w:shd w:val="clear" w:color="000000" w:fill="FFFFFF"/>
            <w:tcMar>
              <w:left w:w="0" w:type="dxa"/>
              <w:right w:w="28" w:type="dxa"/>
            </w:tcMar>
            <w:vAlign w:val="center"/>
            <w:hideMark/>
          </w:tcPr>
          <w:p w14:paraId="59DCD161"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0.075</w:t>
            </w:r>
          </w:p>
        </w:tc>
        <w:tc>
          <w:tcPr>
            <w:tcW w:w="1393" w:type="dxa"/>
            <w:tcBorders>
              <w:top w:val="nil"/>
              <w:left w:val="nil"/>
              <w:bottom w:val="nil"/>
              <w:right w:val="nil"/>
            </w:tcBorders>
            <w:shd w:val="clear" w:color="000000" w:fill="FFFFFF"/>
            <w:tcMar>
              <w:left w:w="0" w:type="dxa"/>
              <w:right w:w="28" w:type="dxa"/>
            </w:tcMar>
            <w:vAlign w:val="center"/>
            <w:hideMark/>
          </w:tcPr>
          <w:p w14:paraId="59DCD162"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0.075 to 2.5</w:t>
            </w:r>
          </w:p>
        </w:tc>
      </w:tr>
      <w:tr w:rsidR="00BE3AA8" w:rsidRPr="00D93FF9" w14:paraId="59DCD16C"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64"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Mn</w:t>
            </w:r>
          </w:p>
        </w:tc>
        <w:tc>
          <w:tcPr>
            <w:tcW w:w="1641" w:type="dxa"/>
            <w:tcBorders>
              <w:top w:val="nil"/>
              <w:left w:val="nil"/>
              <w:bottom w:val="nil"/>
              <w:right w:val="nil"/>
            </w:tcBorders>
            <w:shd w:val="clear" w:color="000000" w:fill="FFFFFF"/>
            <w:tcMar>
              <w:left w:w="0" w:type="dxa"/>
              <w:right w:w="28" w:type="dxa"/>
            </w:tcMar>
            <w:vAlign w:val="center"/>
            <w:hideMark/>
          </w:tcPr>
          <w:p w14:paraId="59DCD165"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201</w:t>
            </w:r>
          </w:p>
        </w:tc>
        <w:tc>
          <w:tcPr>
            <w:tcW w:w="2196" w:type="dxa"/>
            <w:tcBorders>
              <w:top w:val="nil"/>
              <w:left w:val="nil"/>
              <w:bottom w:val="nil"/>
              <w:right w:val="nil"/>
            </w:tcBorders>
            <w:shd w:val="clear" w:color="000000" w:fill="FFFFFF"/>
            <w:tcMar>
              <w:left w:w="0" w:type="dxa"/>
              <w:right w:w="28" w:type="dxa"/>
            </w:tcMar>
            <w:vAlign w:val="center"/>
            <w:hideMark/>
          </w:tcPr>
          <w:p w14:paraId="59DCD166"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nil"/>
              <w:left w:val="nil"/>
              <w:bottom w:val="nil"/>
              <w:right w:val="nil"/>
            </w:tcBorders>
            <w:shd w:val="clear" w:color="000000" w:fill="FFFFFF"/>
            <w:tcMar>
              <w:left w:w="0" w:type="dxa"/>
              <w:right w:w="28" w:type="dxa"/>
            </w:tcMar>
            <w:vAlign w:val="center"/>
            <w:hideMark/>
          </w:tcPr>
          <w:p w14:paraId="59DCD167" w14:textId="77777777" w:rsidR="003C7FCB" w:rsidRPr="00D93FF9" w:rsidRDefault="00E811B8" w:rsidP="003C7FCB">
            <w:pPr>
              <w:spacing w:after="0"/>
              <w:jc w:val="center"/>
              <w:rPr>
                <w:color w:val="000000"/>
                <w:sz w:val="18"/>
                <w:szCs w:val="18"/>
                <w:lang w:val="en-GB" w:eastAsia="en-AU"/>
              </w:rPr>
            </w:pPr>
            <w:r w:rsidRPr="00D93FF9">
              <w:rPr>
                <w:rFonts w:cs="Arial"/>
                <w:color w:val="000000"/>
                <w:sz w:val="18"/>
                <w:szCs w:val="18"/>
                <w:lang w:val="en-GB"/>
              </w:rPr>
              <w:t>–</w:t>
            </w:r>
          </w:p>
        </w:tc>
        <w:tc>
          <w:tcPr>
            <w:tcW w:w="1288" w:type="dxa"/>
            <w:tcBorders>
              <w:top w:val="nil"/>
              <w:left w:val="nil"/>
              <w:bottom w:val="nil"/>
              <w:right w:val="nil"/>
            </w:tcBorders>
            <w:shd w:val="clear" w:color="000000" w:fill="FFFFFF"/>
            <w:tcMar>
              <w:left w:w="0" w:type="dxa"/>
              <w:right w:w="28" w:type="dxa"/>
            </w:tcMar>
            <w:vAlign w:val="center"/>
            <w:hideMark/>
          </w:tcPr>
          <w:p w14:paraId="59DCD168"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nil"/>
              <w:left w:val="nil"/>
              <w:bottom w:val="nil"/>
              <w:right w:val="nil"/>
            </w:tcBorders>
            <w:shd w:val="clear" w:color="000000" w:fill="FFFFFF"/>
            <w:tcMar>
              <w:left w:w="0" w:type="dxa"/>
              <w:right w:w="28" w:type="dxa"/>
            </w:tcMar>
            <w:hideMark/>
          </w:tcPr>
          <w:p w14:paraId="59DCD169"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nil"/>
              <w:left w:val="nil"/>
              <w:bottom w:val="nil"/>
              <w:right w:val="nil"/>
            </w:tcBorders>
            <w:shd w:val="clear" w:color="000000" w:fill="FFFFFF"/>
            <w:tcMar>
              <w:left w:w="0" w:type="dxa"/>
              <w:right w:w="28" w:type="dxa"/>
            </w:tcMar>
            <w:vAlign w:val="center"/>
            <w:hideMark/>
          </w:tcPr>
          <w:p w14:paraId="59DCD16A"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0.2</w:t>
            </w:r>
          </w:p>
        </w:tc>
        <w:tc>
          <w:tcPr>
            <w:tcW w:w="1393" w:type="dxa"/>
            <w:tcBorders>
              <w:top w:val="nil"/>
              <w:left w:val="nil"/>
              <w:bottom w:val="nil"/>
              <w:right w:val="nil"/>
            </w:tcBorders>
            <w:shd w:val="clear" w:color="000000" w:fill="FFFFFF"/>
            <w:tcMar>
              <w:left w:w="0" w:type="dxa"/>
              <w:right w:w="28" w:type="dxa"/>
            </w:tcMar>
            <w:vAlign w:val="center"/>
            <w:hideMark/>
          </w:tcPr>
          <w:p w14:paraId="59DCD16B"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10</w:t>
            </w:r>
          </w:p>
        </w:tc>
      </w:tr>
      <w:tr w:rsidR="00BE3AA8" w:rsidRPr="00D93FF9" w14:paraId="59DCD175"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6D"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Hg</w:t>
            </w:r>
          </w:p>
        </w:tc>
        <w:tc>
          <w:tcPr>
            <w:tcW w:w="1641" w:type="dxa"/>
            <w:tcBorders>
              <w:top w:val="nil"/>
              <w:left w:val="nil"/>
              <w:bottom w:val="nil"/>
              <w:right w:val="nil"/>
            </w:tcBorders>
            <w:shd w:val="clear" w:color="000000" w:fill="FFFFFF"/>
            <w:tcMar>
              <w:left w:w="0" w:type="dxa"/>
              <w:right w:w="28" w:type="dxa"/>
            </w:tcMar>
            <w:vAlign w:val="center"/>
            <w:hideMark/>
          </w:tcPr>
          <w:p w14:paraId="59DCD16E"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0.03</w:t>
            </w:r>
          </w:p>
        </w:tc>
        <w:tc>
          <w:tcPr>
            <w:tcW w:w="2196" w:type="dxa"/>
            <w:tcBorders>
              <w:top w:val="nil"/>
              <w:left w:val="nil"/>
              <w:bottom w:val="nil"/>
              <w:right w:val="nil"/>
            </w:tcBorders>
            <w:shd w:val="clear" w:color="000000" w:fill="FFFFFF"/>
            <w:tcMar>
              <w:left w:w="0" w:type="dxa"/>
              <w:right w:w="28" w:type="dxa"/>
            </w:tcMar>
            <w:vAlign w:val="center"/>
            <w:hideMark/>
          </w:tcPr>
          <w:p w14:paraId="59DCD16F"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w:t>
            </w:r>
          </w:p>
        </w:tc>
        <w:tc>
          <w:tcPr>
            <w:tcW w:w="2094" w:type="dxa"/>
            <w:tcBorders>
              <w:top w:val="nil"/>
              <w:left w:val="nil"/>
              <w:bottom w:val="nil"/>
              <w:right w:val="nil"/>
            </w:tcBorders>
            <w:shd w:val="clear" w:color="000000" w:fill="FFFFFF"/>
            <w:tcMar>
              <w:left w:w="0" w:type="dxa"/>
              <w:right w:w="28" w:type="dxa"/>
            </w:tcMar>
            <w:vAlign w:val="center"/>
            <w:hideMark/>
          </w:tcPr>
          <w:p w14:paraId="59DCD170"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1</w:t>
            </w:r>
          </w:p>
        </w:tc>
        <w:tc>
          <w:tcPr>
            <w:tcW w:w="1288" w:type="dxa"/>
            <w:tcBorders>
              <w:top w:val="nil"/>
              <w:left w:val="nil"/>
              <w:bottom w:val="nil"/>
              <w:right w:val="nil"/>
            </w:tcBorders>
            <w:shd w:val="clear" w:color="000000" w:fill="FFFFFF"/>
            <w:tcMar>
              <w:left w:w="0" w:type="dxa"/>
              <w:right w:w="28" w:type="dxa"/>
            </w:tcMar>
            <w:vAlign w:val="center"/>
            <w:hideMark/>
          </w:tcPr>
          <w:p w14:paraId="59DCD171"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1.89</w:t>
            </w:r>
          </w:p>
        </w:tc>
        <w:tc>
          <w:tcPr>
            <w:tcW w:w="1677" w:type="dxa"/>
            <w:tcBorders>
              <w:top w:val="nil"/>
              <w:left w:val="nil"/>
              <w:bottom w:val="nil"/>
              <w:right w:val="nil"/>
            </w:tcBorders>
            <w:shd w:val="clear" w:color="000000" w:fill="FFFFFF"/>
            <w:tcMar>
              <w:left w:w="0" w:type="dxa"/>
              <w:right w:w="28" w:type="dxa"/>
            </w:tcMar>
            <w:vAlign w:val="center"/>
            <w:hideMark/>
          </w:tcPr>
          <w:p w14:paraId="59DCD172"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w:t>
            </w:r>
          </w:p>
        </w:tc>
        <w:tc>
          <w:tcPr>
            <w:tcW w:w="1409" w:type="dxa"/>
            <w:tcBorders>
              <w:top w:val="nil"/>
              <w:left w:val="nil"/>
              <w:bottom w:val="nil"/>
              <w:right w:val="nil"/>
            </w:tcBorders>
            <w:shd w:val="clear" w:color="000000" w:fill="FFFFFF"/>
            <w:tcMar>
              <w:left w:w="0" w:type="dxa"/>
              <w:right w:w="28" w:type="dxa"/>
            </w:tcMar>
            <w:vAlign w:val="center"/>
            <w:hideMark/>
          </w:tcPr>
          <w:p w14:paraId="59DCD173"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0.002</w:t>
            </w:r>
          </w:p>
        </w:tc>
        <w:tc>
          <w:tcPr>
            <w:tcW w:w="1393" w:type="dxa"/>
            <w:tcBorders>
              <w:top w:val="nil"/>
              <w:left w:val="nil"/>
              <w:bottom w:val="nil"/>
              <w:right w:val="nil"/>
            </w:tcBorders>
            <w:shd w:val="clear" w:color="000000" w:fill="FFFFFF"/>
            <w:tcMar>
              <w:left w:w="0" w:type="dxa"/>
              <w:right w:w="28" w:type="dxa"/>
            </w:tcMar>
            <w:vAlign w:val="center"/>
            <w:hideMark/>
          </w:tcPr>
          <w:p w14:paraId="59DCD174"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0.002</w:t>
            </w:r>
          </w:p>
        </w:tc>
      </w:tr>
      <w:tr w:rsidR="00BE3AA8" w:rsidRPr="00D93FF9" w14:paraId="59DCD17E"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76"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Mo</w:t>
            </w:r>
          </w:p>
        </w:tc>
        <w:tc>
          <w:tcPr>
            <w:tcW w:w="1641" w:type="dxa"/>
            <w:tcBorders>
              <w:top w:val="nil"/>
              <w:left w:val="nil"/>
              <w:bottom w:val="nil"/>
              <w:right w:val="nil"/>
            </w:tcBorders>
            <w:shd w:val="clear" w:color="000000" w:fill="FFFFFF"/>
            <w:tcMar>
              <w:left w:w="0" w:type="dxa"/>
              <w:right w:w="28" w:type="dxa"/>
            </w:tcMar>
            <w:vAlign w:val="center"/>
            <w:hideMark/>
          </w:tcPr>
          <w:p w14:paraId="59DCD177"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w:t>
            </w:r>
          </w:p>
        </w:tc>
        <w:tc>
          <w:tcPr>
            <w:tcW w:w="2196" w:type="dxa"/>
            <w:tcBorders>
              <w:top w:val="nil"/>
              <w:left w:val="nil"/>
              <w:bottom w:val="nil"/>
              <w:right w:val="nil"/>
            </w:tcBorders>
            <w:shd w:val="clear" w:color="000000" w:fill="FFFFFF"/>
            <w:tcMar>
              <w:left w:w="0" w:type="dxa"/>
              <w:right w:w="28" w:type="dxa"/>
            </w:tcMar>
            <w:vAlign w:val="center"/>
            <w:hideMark/>
          </w:tcPr>
          <w:p w14:paraId="59DCD178"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nil"/>
              <w:left w:val="nil"/>
              <w:bottom w:val="nil"/>
              <w:right w:val="nil"/>
            </w:tcBorders>
            <w:shd w:val="clear" w:color="000000" w:fill="FFFFFF"/>
            <w:tcMar>
              <w:left w:w="0" w:type="dxa"/>
              <w:right w:w="28" w:type="dxa"/>
            </w:tcMar>
            <w:vAlign w:val="center"/>
            <w:hideMark/>
          </w:tcPr>
          <w:p w14:paraId="59DCD179" w14:textId="77777777" w:rsidR="003C7FCB" w:rsidRPr="00D93FF9" w:rsidRDefault="00E811B8" w:rsidP="003C7FCB">
            <w:pPr>
              <w:spacing w:after="0"/>
              <w:jc w:val="center"/>
              <w:rPr>
                <w:color w:val="000000"/>
                <w:sz w:val="18"/>
                <w:szCs w:val="18"/>
                <w:lang w:val="en-GB" w:eastAsia="en-AU"/>
              </w:rPr>
            </w:pPr>
            <w:r w:rsidRPr="00D93FF9">
              <w:rPr>
                <w:rFonts w:cs="Arial"/>
                <w:color w:val="000000"/>
                <w:sz w:val="18"/>
                <w:szCs w:val="18"/>
                <w:lang w:val="en-GB"/>
              </w:rPr>
              <w:t>–</w:t>
            </w:r>
          </w:p>
        </w:tc>
        <w:tc>
          <w:tcPr>
            <w:tcW w:w="1288" w:type="dxa"/>
            <w:tcBorders>
              <w:top w:val="nil"/>
              <w:left w:val="nil"/>
              <w:bottom w:val="nil"/>
              <w:right w:val="nil"/>
            </w:tcBorders>
            <w:shd w:val="clear" w:color="000000" w:fill="FFFFFF"/>
            <w:tcMar>
              <w:left w:w="0" w:type="dxa"/>
              <w:right w:w="28" w:type="dxa"/>
            </w:tcMar>
            <w:vAlign w:val="center"/>
            <w:hideMark/>
          </w:tcPr>
          <w:p w14:paraId="59DCD17A"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nil"/>
              <w:left w:val="nil"/>
              <w:bottom w:val="nil"/>
              <w:right w:val="nil"/>
            </w:tcBorders>
            <w:shd w:val="clear" w:color="000000" w:fill="FFFFFF"/>
            <w:tcMar>
              <w:left w:w="0" w:type="dxa"/>
              <w:right w:w="28" w:type="dxa"/>
            </w:tcMar>
            <w:vAlign w:val="center"/>
            <w:hideMark/>
          </w:tcPr>
          <w:p w14:paraId="59DCD17B"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nil"/>
              <w:left w:val="nil"/>
              <w:bottom w:val="nil"/>
              <w:right w:val="nil"/>
            </w:tcBorders>
            <w:shd w:val="clear" w:color="000000" w:fill="FFFFFF"/>
            <w:tcMar>
              <w:left w:w="0" w:type="dxa"/>
              <w:right w:w="28" w:type="dxa"/>
            </w:tcMar>
            <w:vAlign w:val="center"/>
            <w:hideMark/>
          </w:tcPr>
          <w:p w14:paraId="59DCD17C"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0.01</w:t>
            </w:r>
          </w:p>
        </w:tc>
        <w:tc>
          <w:tcPr>
            <w:tcW w:w="1393" w:type="dxa"/>
            <w:tcBorders>
              <w:top w:val="nil"/>
              <w:left w:val="nil"/>
              <w:bottom w:val="nil"/>
              <w:right w:val="nil"/>
            </w:tcBorders>
            <w:shd w:val="clear" w:color="000000" w:fill="FFFFFF"/>
            <w:tcMar>
              <w:left w:w="0" w:type="dxa"/>
              <w:right w:w="28" w:type="dxa"/>
            </w:tcMar>
            <w:vAlign w:val="center"/>
            <w:hideMark/>
          </w:tcPr>
          <w:p w14:paraId="59DCD17D"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0.05</w:t>
            </w:r>
          </w:p>
        </w:tc>
      </w:tr>
      <w:tr w:rsidR="00BE3AA8" w:rsidRPr="00D93FF9" w14:paraId="59DCD187"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7F"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Ni</w:t>
            </w:r>
          </w:p>
        </w:tc>
        <w:tc>
          <w:tcPr>
            <w:tcW w:w="1641" w:type="dxa"/>
            <w:tcBorders>
              <w:top w:val="nil"/>
              <w:left w:val="nil"/>
              <w:bottom w:val="nil"/>
              <w:right w:val="nil"/>
            </w:tcBorders>
            <w:shd w:val="clear" w:color="000000" w:fill="FFFFFF"/>
            <w:tcMar>
              <w:left w:w="0" w:type="dxa"/>
              <w:right w:w="28" w:type="dxa"/>
            </w:tcMar>
            <w:vAlign w:val="center"/>
            <w:hideMark/>
          </w:tcPr>
          <w:p w14:paraId="59DCD180"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17</w:t>
            </w:r>
          </w:p>
        </w:tc>
        <w:tc>
          <w:tcPr>
            <w:tcW w:w="2196" w:type="dxa"/>
            <w:tcBorders>
              <w:top w:val="nil"/>
              <w:left w:val="nil"/>
              <w:bottom w:val="nil"/>
              <w:right w:val="nil"/>
            </w:tcBorders>
            <w:shd w:val="clear" w:color="000000" w:fill="FFFFFF"/>
            <w:tcMar>
              <w:left w:w="0" w:type="dxa"/>
              <w:right w:w="28" w:type="dxa"/>
            </w:tcMar>
            <w:vAlign w:val="center"/>
            <w:hideMark/>
          </w:tcPr>
          <w:p w14:paraId="59DCD181"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60</w:t>
            </w:r>
          </w:p>
        </w:tc>
        <w:tc>
          <w:tcPr>
            <w:tcW w:w="2094" w:type="dxa"/>
            <w:tcBorders>
              <w:top w:val="nil"/>
              <w:left w:val="nil"/>
              <w:bottom w:val="nil"/>
              <w:right w:val="nil"/>
            </w:tcBorders>
            <w:shd w:val="clear" w:color="000000" w:fill="FFFFFF"/>
            <w:tcMar>
              <w:left w:w="0" w:type="dxa"/>
              <w:right w:w="28" w:type="dxa"/>
            </w:tcMar>
            <w:vAlign w:val="center"/>
            <w:hideMark/>
          </w:tcPr>
          <w:p w14:paraId="59DCD182"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60</w:t>
            </w:r>
          </w:p>
        </w:tc>
        <w:tc>
          <w:tcPr>
            <w:tcW w:w="1288" w:type="dxa"/>
            <w:tcBorders>
              <w:top w:val="nil"/>
              <w:left w:val="nil"/>
              <w:bottom w:val="nil"/>
              <w:right w:val="nil"/>
            </w:tcBorders>
            <w:shd w:val="clear" w:color="000000" w:fill="FFFFFF"/>
            <w:tcMar>
              <w:left w:w="0" w:type="dxa"/>
              <w:right w:w="28" w:type="dxa"/>
            </w:tcMar>
            <w:vAlign w:val="center"/>
            <w:hideMark/>
          </w:tcPr>
          <w:p w14:paraId="59DCD183"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84</w:t>
            </w:r>
          </w:p>
        </w:tc>
        <w:tc>
          <w:tcPr>
            <w:tcW w:w="1677" w:type="dxa"/>
            <w:tcBorders>
              <w:top w:val="nil"/>
              <w:left w:val="nil"/>
              <w:bottom w:val="nil"/>
              <w:right w:val="nil"/>
            </w:tcBorders>
            <w:shd w:val="clear" w:color="000000" w:fill="FFFFFF"/>
            <w:tcMar>
              <w:left w:w="0" w:type="dxa"/>
              <w:right w:w="28" w:type="dxa"/>
            </w:tcMar>
            <w:vAlign w:val="center"/>
            <w:hideMark/>
          </w:tcPr>
          <w:p w14:paraId="59DCD184"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85</w:t>
            </w:r>
          </w:p>
        </w:tc>
        <w:tc>
          <w:tcPr>
            <w:tcW w:w="1409" w:type="dxa"/>
            <w:tcBorders>
              <w:top w:val="nil"/>
              <w:left w:val="nil"/>
              <w:bottom w:val="nil"/>
              <w:right w:val="nil"/>
            </w:tcBorders>
            <w:shd w:val="clear" w:color="000000" w:fill="FFFFFF"/>
            <w:tcMar>
              <w:left w:w="0" w:type="dxa"/>
              <w:right w:w="28" w:type="dxa"/>
            </w:tcMar>
            <w:vAlign w:val="center"/>
            <w:hideMark/>
          </w:tcPr>
          <w:p w14:paraId="59DCD185"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0.2</w:t>
            </w:r>
          </w:p>
        </w:tc>
        <w:tc>
          <w:tcPr>
            <w:tcW w:w="1393" w:type="dxa"/>
            <w:tcBorders>
              <w:top w:val="nil"/>
              <w:left w:val="nil"/>
              <w:bottom w:val="nil"/>
              <w:right w:val="nil"/>
            </w:tcBorders>
            <w:shd w:val="clear" w:color="000000" w:fill="FFFFFF"/>
            <w:tcMar>
              <w:left w:w="0" w:type="dxa"/>
              <w:right w:w="28" w:type="dxa"/>
            </w:tcMar>
            <w:vAlign w:val="center"/>
            <w:hideMark/>
          </w:tcPr>
          <w:p w14:paraId="59DCD186"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w:t>
            </w:r>
          </w:p>
        </w:tc>
      </w:tr>
      <w:tr w:rsidR="00BE3AA8" w:rsidRPr="00D93FF9" w14:paraId="59DCD190"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88"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Se</w:t>
            </w:r>
          </w:p>
        </w:tc>
        <w:tc>
          <w:tcPr>
            <w:tcW w:w="1641" w:type="dxa"/>
            <w:tcBorders>
              <w:top w:val="nil"/>
              <w:left w:val="nil"/>
              <w:bottom w:val="nil"/>
              <w:right w:val="nil"/>
            </w:tcBorders>
            <w:shd w:val="clear" w:color="000000" w:fill="FFFFFF"/>
            <w:tcMar>
              <w:left w:w="0" w:type="dxa"/>
              <w:right w:w="28" w:type="dxa"/>
            </w:tcMar>
            <w:vAlign w:val="center"/>
            <w:hideMark/>
          </w:tcPr>
          <w:p w14:paraId="59DCD189"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0.5</w:t>
            </w:r>
          </w:p>
        </w:tc>
        <w:tc>
          <w:tcPr>
            <w:tcW w:w="2196" w:type="dxa"/>
            <w:tcBorders>
              <w:top w:val="nil"/>
              <w:left w:val="nil"/>
              <w:bottom w:val="nil"/>
              <w:right w:val="nil"/>
            </w:tcBorders>
            <w:shd w:val="clear" w:color="000000" w:fill="FFFFFF"/>
            <w:tcMar>
              <w:left w:w="0" w:type="dxa"/>
              <w:right w:w="28" w:type="dxa"/>
            </w:tcMar>
            <w:vAlign w:val="center"/>
            <w:hideMark/>
          </w:tcPr>
          <w:p w14:paraId="59DCD18A"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5</w:t>
            </w:r>
          </w:p>
        </w:tc>
        <w:tc>
          <w:tcPr>
            <w:tcW w:w="2094" w:type="dxa"/>
            <w:tcBorders>
              <w:top w:val="nil"/>
              <w:left w:val="nil"/>
              <w:bottom w:val="nil"/>
              <w:right w:val="nil"/>
            </w:tcBorders>
            <w:shd w:val="clear" w:color="000000" w:fill="FFFFFF"/>
            <w:tcMar>
              <w:left w:w="0" w:type="dxa"/>
              <w:right w:w="28" w:type="dxa"/>
            </w:tcMar>
            <w:vAlign w:val="center"/>
            <w:hideMark/>
          </w:tcPr>
          <w:p w14:paraId="59DCD18B"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w:t>
            </w:r>
          </w:p>
        </w:tc>
        <w:tc>
          <w:tcPr>
            <w:tcW w:w="1288" w:type="dxa"/>
            <w:tcBorders>
              <w:top w:val="nil"/>
              <w:left w:val="nil"/>
              <w:bottom w:val="nil"/>
              <w:right w:val="nil"/>
            </w:tcBorders>
            <w:shd w:val="clear" w:color="000000" w:fill="FFFFFF"/>
            <w:tcMar>
              <w:left w:w="0" w:type="dxa"/>
              <w:right w:w="28" w:type="dxa"/>
            </w:tcMar>
            <w:vAlign w:val="center"/>
            <w:hideMark/>
          </w:tcPr>
          <w:p w14:paraId="59DCD18C"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9</w:t>
            </w:r>
          </w:p>
        </w:tc>
        <w:tc>
          <w:tcPr>
            <w:tcW w:w="1677" w:type="dxa"/>
            <w:tcBorders>
              <w:top w:val="nil"/>
              <w:left w:val="nil"/>
              <w:bottom w:val="nil"/>
              <w:right w:val="nil"/>
            </w:tcBorders>
            <w:shd w:val="clear" w:color="000000" w:fill="FFFFFF"/>
            <w:tcMar>
              <w:left w:w="0" w:type="dxa"/>
              <w:right w:w="28" w:type="dxa"/>
            </w:tcMar>
            <w:vAlign w:val="center"/>
            <w:hideMark/>
          </w:tcPr>
          <w:p w14:paraId="59DCD18D"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10</w:t>
            </w:r>
          </w:p>
        </w:tc>
        <w:tc>
          <w:tcPr>
            <w:tcW w:w="1409" w:type="dxa"/>
            <w:tcBorders>
              <w:top w:val="nil"/>
              <w:left w:val="nil"/>
              <w:bottom w:val="nil"/>
              <w:right w:val="nil"/>
            </w:tcBorders>
            <w:shd w:val="clear" w:color="000000" w:fill="FFFFFF"/>
            <w:tcMar>
              <w:left w:w="0" w:type="dxa"/>
              <w:right w:w="28" w:type="dxa"/>
            </w:tcMar>
            <w:vAlign w:val="center"/>
            <w:hideMark/>
          </w:tcPr>
          <w:p w14:paraId="59DCD18E"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0.02</w:t>
            </w:r>
          </w:p>
        </w:tc>
        <w:tc>
          <w:tcPr>
            <w:tcW w:w="1393" w:type="dxa"/>
            <w:tcBorders>
              <w:top w:val="nil"/>
              <w:left w:val="nil"/>
              <w:bottom w:val="nil"/>
              <w:right w:val="nil"/>
            </w:tcBorders>
            <w:shd w:val="clear" w:color="000000" w:fill="FFFFFF"/>
            <w:tcMar>
              <w:left w:w="0" w:type="dxa"/>
              <w:right w:w="28" w:type="dxa"/>
            </w:tcMar>
            <w:vAlign w:val="center"/>
            <w:hideMark/>
          </w:tcPr>
          <w:p w14:paraId="59DCD18F"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0.05</w:t>
            </w:r>
          </w:p>
        </w:tc>
      </w:tr>
      <w:tr w:rsidR="00BE3AA8" w:rsidRPr="00D93FF9" w14:paraId="59DCD199" w14:textId="77777777" w:rsidTr="003C7FCB">
        <w:trPr>
          <w:trHeight w:val="292"/>
        </w:trPr>
        <w:tc>
          <w:tcPr>
            <w:tcW w:w="687" w:type="dxa"/>
            <w:tcBorders>
              <w:top w:val="nil"/>
              <w:left w:val="nil"/>
              <w:bottom w:val="nil"/>
              <w:right w:val="nil"/>
            </w:tcBorders>
            <w:shd w:val="clear" w:color="000000" w:fill="FFFFFF"/>
            <w:tcMar>
              <w:left w:w="0" w:type="dxa"/>
              <w:right w:w="28" w:type="dxa"/>
            </w:tcMar>
            <w:vAlign w:val="center"/>
            <w:hideMark/>
          </w:tcPr>
          <w:p w14:paraId="59DCD191"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U</w:t>
            </w:r>
          </w:p>
        </w:tc>
        <w:tc>
          <w:tcPr>
            <w:tcW w:w="1641" w:type="dxa"/>
            <w:tcBorders>
              <w:top w:val="nil"/>
              <w:left w:val="nil"/>
              <w:bottom w:val="nil"/>
              <w:right w:val="nil"/>
            </w:tcBorders>
            <w:shd w:val="clear" w:color="000000" w:fill="FFFFFF"/>
            <w:tcMar>
              <w:left w:w="0" w:type="dxa"/>
              <w:right w:w="28" w:type="dxa"/>
            </w:tcMar>
            <w:vAlign w:val="center"/>
            <w:hideMark/>
          </w:tcPr>
          <w:p w14:paraId="59DCD192"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w:t>
            </w:r>
          </w:p>
        </w:tc>
        <w:tc>
          <w:tcPr>
            <w:tcW w:w="2196" w:type="dxa"/>
            <w:tcBorders>
              <w:top w:val="nil"/>
              <w:left w:val="nil"/>
              <w:bottom w:val="nil"/>
              <w:right w:val="nil"/>
            </w:tcBorders>
            <w:shd w:val="clear" w:color="000000" w:fill="FFFFFF"/>
            <w:tcMar>
              <w:left w:w="0" w:type="dxa"/>
              <w:right w:w="28" w:type="dxa"/>
            </w:tcMar>
            <w:vAlign w:val="center"/>
            <w:hideMark/>
          </w:tcPr>
          <w:p w14:paraId="59DCD193"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nil"/>
              <w:left w:val="nil"/>
              <w:bottom w:val="nil"/>
              <w:right w:val="nil"/>
            </w:tcBorders>
            <w:shd w:val="clear" w:color="000000" w:fill="FFFFFF"/>
            <w:tcMar>
              <w:left w:w="0" w:type="dxa"/>
              <w:right w:w="28" w:type="dxa"/>
            </w:tcMar>
            <w:vAlign w:val="center"/>
            <w:hideMark/>
          </w:tcPr>
          <w:p w14:paraId="59DCD194" w14:textId="77777777" w:rsidR="003C7FCB" w:rsidRPr="00D93FF9" w:rsidRDefault="00E811B8" w:rsidP="003C7FCB">
            <w:pPr>
              <w:spacing w:after="0"/>
              <w:jc w:val="center"/>
              <w:rPr>
                <w:color w:val="000000"/>
                <w:sz w:val="18"/>
                <w:szCs w:val="18"/>
                <w:lang w:val="en-GB" w:eastAsia="en-AU"/>
              </w:rPr>
            </w:pPr>
            <w:r w:rsidRPr="00D93FF9">
              <w:rPr>
                <w:rFonts w:cs="Arial"/>
                <w:color w:val="000000"/>
                <w:sz w:val="18"/>
                <w:szCs w:val="18"/>
                <w:lang w:val="en-GB"/>
              </w:rPr>
              <w:t>–</w:t>
            </w:r>
          </w:p>
        </w:tc>
        <w:tc>
          <w:tcPr>
            <w:tcW w:w="1288" w:type="dxa"/>
            <w:tcBorders>
              <w:top w:val="nil"/>
              <w:left w:val="nil"/>
              <w:bottom w:val="nil"/>
              <w:right w:val="nil"/>
            </w:tcBorders>
            <w:shd w:val="clear" w:color="000000" w:fill="FFFFFF"/>
            <w:tcMar>
              <w:left w:w="0" w:type="dxa"/>
              <w:right w:w="28" w:type="dxa"/>
            </w:tcMar>
            <w:vAlign w:val="center"/>
            <w:hideMark/>
          </w:tcPr>
          <w:p w14:paraId="59DCD195"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nil"/>
              <w:left w:val="nil"/>
              <w:bottom w:val="nil"/>
              <w:right w:val="nil"/>
            </w:tcBorders>
            <w:shd w:val="clear" w:color="000000" w:fill="FFFFFF"/>
            <w:tcMar>
              <w:left w:w="0" w:type="dxa"/>
              <w:right w:w="28" w:type="dxa"/>
            </w:tcMar>
            <w:vAlign w:val="center"/>
            <w:hideMark/>
          </w:tcPr>
          <w:p w14:paraId="59DCD196"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nil"/>
              <w:left w:val="nil"/>
              <w:bottom w:val="nil"/>
              <w:right w:val="nil"/>
            </w:tcBorders>
            <w:shd w:val="clear" w:color="000000" w:fill="FFFFFF"/>
            <w:tcMar>
              <w:left w:w="0" w:type="dxa"/>
              <w:right w:w="28" w:type="dxa"/>
            </w:tcMar>
            <w:vAlign w:val="center"/>
            <w:hideMark/>
          </w:tcPr>
          <w:p w14:paraId="59DCD197"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0.01</w:t>
            </w:r>
          </w:p>
        </w:tc>
        <w:tc>
          <w:tcPr>
            <w:tcW w:w="1393" w:type="dxa"/>
            <w:tcBorders>
              <w:top w:val="nil"/>
              <w:left w:val="nil"/>
              <w:bottom w:val="nil"/>
              <w:right w:val="nil"/>
            </w:tcBorders>
            <w:shd w:val="clear" w:color="000000" w:fill="FFFFFF"/>
            <w:tcMar>
              <w:left w:w="0" w:type="dxa"/>
              <w:right w:w="28" w:type="dxa"/>
            </w:tcMar>
            <w:vAlign w:val="center"/>
            <w:hideMark/>
          </w:tcPr>
          <w:p w14:paraId="59DCD198"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0.1</w:t>
            </w:r>
          </w:p>
        </w:tc>
      </w:tr>
      <w:tr w:rsidR="00BE3AA8" w:rsidRPr="00D93FF9" w14:paraId="59DCD1A2" w14:textId="77777777" w:rsidTr="003C7FCB">
        <w:trPr>
          <w:trHeight w:val="292"/>
        </w:trPr>
        <w:tc>
          <w:tcPr>
            <w:tcW w:w="687" w:type="dxa"/>
            <w:tcBorders>
              <w:top w:val="nil"/>
              <w:left w:val="nil"/>
              <w:right w:val="nil"/>
            </w:tcBorders>
            <w:shd w:val="clear" w:color="000000" w:fill="FFFFFF"/>
            <w:tcMar>
              <w:left w:w="0" w:type="dxa"/>
              <w:right w:w="28" w:type="dxa"/>
            </w:tcMar>
            <w:vAlign w:val="center"/>
            <w:hideMark/>
          </w:tcPr>
          <w:p w14:paraId="59DCD19A"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V</w:t>
            </w:r>
          </w:p>
        </w:tc>
        <w:tc>
          <w:tcPr>
            <w:tcW w:w="1641" w:type="dxa"/>
            <w:tcBorders>
              <w:top w:val="nil"/>
              <w:left w:val="nil"/>
              <w:right w:val="nil"/>
            </w:tcBorders>
            <w:shd w:val="clear" w:color="000000" w:fill="FFFFFF"/>
            <w:tcMar>
              <w:left w:w="0" w:type="dxa"/>
              <w:right w:w="28" w:type="dxa"/>
            </w:tcMar>
            <w:vAlign w:val="center"/>
            <w:hideMark/>
          </w:tcPr>
          <w:p w14:paraId="59DCD19B"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196" w:type="dxa"/>
            <w:tcBorders>
              <w:top w:val="nil"/>
              <w:left w:val="nil"/>
              <w:right w:val="nil"/>
            </w:tcBorders>
            <w:shd w:val="clear" w:color="000000" w:fill="FFFFFF"/>
            <w:tcMar>
              <w:left w:w="0" w:type="dxa"/>
              <w:right w:w="28" w:type="dxa"/>
            </w:tcMar>
            <w:vAlign w:val="center"/>
            <w:hideMark/>
          </w:tcPr>
          <w:p w14:paraId="59DCD19C"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2094" w:type="dxa"/>
            <w:tcBorders>
              <w:top w:val="nil"/>
              <w:left w:val="nil"/>
              <w:right w:val="nil"/>
            </w:tcBorders>
            <w:shd w:val="clear" w:color="000000" w:fill="FFFFFF"/>
            <w:tcMar>
              <w:left w:w="0" w:type="dxa"/>
              <w:right w:w="28" w:type="dxa"/>
            </w:tcMar>
            <w:vAlign w:val="center"/>
            <w:hideMark/>
          </w:tcPr>
          <w:p w14:paraId="59DCD19D" w14:textId="77777777" w:rsidR="003C7FCB" w:rsidRPr="00D93FF9" w:rsidRDefault="00E811B8" w:rsidP="003C7FCB">
            <w:pPr>
              <w:spacing w:after="0"/>
              <w:jc w:val="center"/>
              <w:rPr>
                <w:color w:val="000000"/>
                <w:sz w:val="18"/>
                <w:szCs w:val="18"/>
                <w:lang w:val="en-GB" w:eastAsia="en-AU"/>
              </w:rPr>
            </w:pPr>
            <w:r w:rsidRPr="00D93FF9">
              <w:rPr>
                <w:rFonts w:cs="Arial"/>
                <w:color w:val="000000"/>
                <w:sz w:val="18"/>
                <w:szCs w:val="18"/>
                <w:lang w:val="en-GB"/>
              </w:rPr>
              <w:t>–</w:t>
            </w:r>
          </w:p>
        </w:tc>
        <w:tc>
          <w:tcPr>
            <w:tcW w:w="1288" w:type="dxa"/>
            <w:tcBorders>
              <w:top w:val="nil"/>
              <w:left w:val="nil"/>
              <w:right w:val="nil"/>
            </w:tcBorders>
            <w:shd w:val="clear" w:color="000000" w:fill="FFFFFF"/>
            <w:tcMar>
              <w:left w:w="0" w:type="dxa"/>
              <w:right w:w="28" w:type="dxa"/>
            </w:tcMar>
            <w:vAlign w:val="center"/>
            <w:hideMark/>
          </w:tcPr>
          <w:p w14:paraId="59DCD19E" w14:textId="77777777" w:rsidR="003C7FCB" w:rsidRPr="00D93FF9" w:rsidRDefault="00E811B8" w:rsidP="003C7FCB">
            <w:pPr>
              <w:spacing w:after="0"/>
              <w:jc w:val="center"/>
              <w:rPr>
                <w:color w:val="000000"/>
                <w:sz w:val="18"/>
                <w:szCs w:val="18"/>
                <w:lang w:val="en-GB" w:eastAsia="en-AU"/>
              </w:rPr>
            </w:pPr>
            <w:r w:rsidRPr="00D93FF9">
              <w:rPr>
                <w:color w:val="000000"/>
                <w:sz w:val="18"/>
                <w:szCs w:val="18"/>
                <w:lang w:val="en-GB" w:eastAsia="en-AU"/>
              </w:rPr>
              <w:t>-</w:t>
            </w:r>
          </w:p>
        </w:tc>
        <w:tc>
          <w:tcPr>
            <w:tcW w:w="1677" w:type="dxa"/>
            <w:tcBorders>
              <w:top w:val="nil"/>
              <w:left w:val="nil"/>
              <w:right w:val="nil"/>
            </w:tcBorders>
            <w:shd w:val="clear" w:color="000000" w:fill="FFFFFF"/>
            <w:tcMar>
              <w:left w:w="0" w:type="dxa"/>
              <w:right w:w="28" w:type="dxa"/>
            </w:tcMar>
            <w:vAlign w:val="center"/>
            <w:hideMark/>
          </w:tcPr>
          <w:p w14:paraId="59DCD19F" w14:textId="77777777" w:rsidR="003C7FCB" w:rsidRPr="00D93FF9" w:rsidRDefault="00E811B8" w:rsidP="003C7FCB">
            <w:pPr>
              <w:spacing w:after="0"/>
              <w:jc w:val="center"/>
              <w:rPr>
                <w:rFonts w:cs="Arial"/>
                <w:color w:val="000000"/>
                <w:sz w:val="18"/>
                <w:szCs w:val="18"/>
                <w:lang w:val="en-GB" w:eastAsia="en-AU"/>
              </w:rPr>
            </w:pPr>
            <w:r w:rsidRPr="00D93FF9">
              <w:rPr>
                <w:color w:val="000000"/>
                <w:sz w:val="18"/>
                <w:szCs w:val="18"/>
                <w:lang w:val="en-GB" w:eastAsia="en-AU"/>
              </w:rPr>
              <w:t>-</w:t>
            </w:r>
          </w:p>
        </w:tc>
        <w:tc>
          <w:tcPr>
            <w:tcW w:w="1409" w:type="dxa"/>
            <w:tcBorders>
              <w:top w:val="nil"/>
              <w:left w:val="nil"/>
              <w:right w:val="nil"/>
            </w:tcBorders>
            <w:shd w:val="clear" w:color="000000" w:fill="FFFFFF"/>
            <w:tcMar>
              <w:left w:w="0" w:type="dxa"/>
              <w:right w:w="28" w:type="dxa"/>
            </w:tcMar>
            <w:vAlign w:val="center"/>
            <w:hideMark/>
          </w:tcPr>
          <w:p w14:paraId="59DCD1A0"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0.1</w:t>
            </w:r>
          </w:p>
        </w:tc>
        <w:tc>
          <w:tcPr>
            <w:tcW w:w="1393" w:type="dxa"/>
            <w:tcBorders>
              <w:top w:val="nil"/>
              <w:left w:val="nil"/>
              <w:right w:val="nil"/>
            </w:tcBorders>
            <w:shd w:val="clear" w:color="000000" w:fill="FFFFFF"/>
            <w:tcMar>
              <w:left w:w="0" w:type="dxa"/>
              <w:right w:w="28" w:type="dxa"/>
            </w:tcMar>
            <w:vAlign w:val="center"/>
            <w:hideMark/>
          </w:tcPr>
          <w:p w14:paraId="59DCD1A1"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0.5</w:t>
            </w:r>
          </w:p>
        </w:tc>
      </w:tr>
      <w:tr w:rsidR="00BE3AA8" w:rsidRPr="00D93FF9" w14:paraId="59DCD1AB" w14:textId="77777777" w:rsidTr="003C7FCB">
        <w:trPr>
          <w:trHeight w:val="302"/>
        </w:trPr>
        <w:tc>
          <w:tcPr>
            <w:tcW w:w="687" w:type="dxa"/>
            <w:tcBorders>
              <w:top w:val="nil"/>
              <w:left w:val="nil"/>
              <w:bottom w:val="single" w:sz="4" w:space="0" w:color="auto"/>
              <w:right w:val="nil"/>
            </w:tcBorders>
            <w:shd w:val="clear" w:color="000000" w:fill="FFFFFF"/>
            <w:tcMar>
              <w:left w:w="0" w:type="dxa"/>
              <w:right w:w="28" w:type="dxa"/>
            </w:tcMar>
            <w:vAlign w:val="center"/>
            <w:hideMark/>
          </w:tcPr>
          <w:p w14:paraId="59DCD1A3" w14:textId="77777777" w:rsidR="003C7FCB" w:rsidRPr="00D93FF9" w:rsidRDefault="00E811B8" w:rsidP="003C7FCB">
            <w:pPr>
              <w:spacing w:after="0"/>
              <w:rPr>
                <w:rFonts w:cs="Arial"/>
                <w:b/>
                <w:color w:val="000000"/>
                <w:sz w:val="18"/>
                <w:szCs w:val="18"/>
                <w:lang w:val="en-GB" w:eastAsia="en-AU"/>
              </w:rPr>
            </w:pPr>
            <w:r w:rsidRPr="00D93FF9">
              <w:rPr>
                <w:rFonts w:cs="Arial"/>
                <w:b/>
                <w:color w:val="000000"/>
                <w:sz w:val="18"/>
                <w:szCs w:val="18"/>
                <w:lang w:val="en-GB" w:eastAsia="en-AU"/>
              </w:rPr>
              <w:t>Zn</w:t>
            </w:r>
          </w:p>
        </w:tc>
        <w:tc>
          <w:tcPr>
            <w:tcW w:w="1641" w:type="dxa"/>
            <w:tcBorders>
              <w:top w:val="nil"/>
              <w:left w:val="nil"/>
              <w:bottom w:val="single" w:sz="4" w:space="0" w:color="auto"/>
              <w:right w:val="nil"/>
            </w:tcBorders>
            <w:shd w:val="clear" w:color="000000" w:fill="FFFFFF"/>
            <w:tcMar>
              <w:left w:w="0" w:type="dxa"/>
              <w:right w:w="28" w:type="dxa"/>
            </w:tcMar>
            <w:vAlign w:val="center"/>
            <w:hideMark/>
          </w:tcPr>
          <w:p w14:paraId="59DCD1A4"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39</w:t>
            </w:r>
          </w:p>
        </w:tc>
        <w:tc>
          <w:tcPr>
            <w:tcW w:w="2196" w:type="dxa"/>
            <w:tcBorders>
              <w:top w:val="nil"/>
              <w:left w:val="nil"/>
              <w:bottom w:val="single" w:sz="4" w:space="0" w:color="auto"/>
              <w:right w:val="nil"/>
            </w:tcBorders>
            <w:shd w:val="clear" w:color="000000" w:fill="FFFFFF"/>
            <w:tcMar>
              <w:left w:w="0" w:type="dxa"/>
              <w:right w:w="28" w:type="dxa"/>
            </w:tcMar>
            <w:vAlign w:val="center"/>
            <w:hideMark/>
          </w:tcPr>
          <w:p w14:paraId="59DCD1A5"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200</w:t>
            </w:r>
          </w:p>
        </w:tc>
        <w:tc>
          <w:tcPr>
            <w:tcW w:w="2094" w:type="dxa"/>
            <w:tcBorders>
              <w:top w:val="nil"/>
              <w:left w:val="nil"/>
              <w:bottom w:val="single" w:sz="4" w:space="0" w:color="auto"/>
              <w:right w:val="nil"/>
            </w:tcBorders>
            <w:shd w:val="clear" w:color="000000" w:fill="FFFFFF"/>
            <w:tcMar>
              <w:left w:w="0" w:type="dxa"/>
              <w:right w:w="28" w:type="dxa"/>
            </w:tcMar>
            <w:vAlign w:val="center"/>
            <w:hideMark/>
          </w:tcPr>
          <w:p w14:paraId="59DCD1A6"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rPr>
              <w:t>300</w:t>
            </w:r>
          </w:p>
        </w:tc>
        <w:tc>
          <w:tcPr>
            <w:tcW w:w="1288" w:type="dxa"/>
            <w:tcBorders>
              <w:top w:val="nil"/>
              <w:left w:val="nil"/>
              <w:bottom w:val="single" w:sz="4" w:space="0" w:color="auto"/>
              <w:right w:val="nil"/>
            </w:tcBorders>
            <w:shd w:val="clear" w:color="000000" w:fill="FFFFFF"/>
            <w:tcMar>
              <w:left w:w="0" w:type="dxa"/>
              <w:right w:w="28" w:type="dxa"/>
            </w:tcMar>
            <w:vAlign w:val="center"/>
            <w:hideMark/>
          </w:tcPr>
          <w:p w14:paraId="59DCD1A7"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313</w:t>
            </w:r>
          </w:p>
        </w:tc>
        <w:tc>
          <w:tcPr>
            <w:tcW w:w="1677" w:type="dxa"/>
            <w:tcBorders>
              <w:top w:val="nil"/>
              <w:left w:val="nil"/>
              <w:bottom w:val="single" w:sz="4" w:space="0" w:color="auto"/>
              <w:right w:val="nil"/>
            </w:tcBorders>
            <w:shd w:val="clear" w:color="000000" w:fill="FFFFFF"/>
            <w:tcMar>
              <w:left w:w="0" w:type="dxa"/>
              <w:right w:w="28" w:type="dxa"/>
            </w:tcMar>
            <w:vAlign w:val="center"/>
            <w:hideMark/>
          </w:tcPr>
          <w:p w14:paraId="59DCD1A8"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300</w:t>
            </w:r>
          </w:p>
        </w:tc>
        <w:tc>
          <w:tcPr>
            <w:tcW w:w="1409" w:type="dxa"/>
            <w:tcBorders>
              <w:top w:val="nil"/>
              <w:left w:val="nil"/>
              <w:bottom w:val="single" w:sz="4" w:space="0" w:color="auto"/>
              <w:right w:val="nil"/>
            </w:tcBorders>
            <w:shd w:val="clear" w:color="000000" w:fill="FFFFFF"/>
            <w:tcMar>
              <w:left w:w="0" w:type="dxa"/>
              <w:right w:w="28" w:type="dxa"/>
            </w:tcMar>
            <w:vAlign w:val="center"/>
            <w:hideMark/>
          </w:tcPr>
          <w:p w14:paraId="59DCD1A9"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2</w:t>
            </w:r>
          </w:p>
        </w:tc>
        <w:tc>
          <w:tcPr>
            <w:tcW w:w="1393" w:type="dxa"/>
            <w:tcBorders>
              <w:top w:val="nil"/>
              <w:left w:val="nil"/>
              <w:bottom w:val="single" w:sz="4" w:space="0" w:color="auto"/>
              <w:right w:val="nil"/>
            </w:tcBorders>
            <w:shd w:val="clear" w:color="000000" w:fill="FFFFFF"/>
            <w:tcMar>
              <w:left w:w="0" w:type="dxa"/>
              <w:right w:w="28" w:type="dxa"/>
            </w:tcMar>
            <w:vAlign w:val="center"/>
            <w:hideMark/>
          </w:tcPr>
          <w:p w14:paraId="59DCD1AA" w14:textId="77777777" w:rsidR="003C7FCB" w:rsidRPr="00D93FF9" w:rsidRDefault="00E811B8" w:rsidP="003C7FCB">
            <w:pPr>
              <w:spacing w:after="0"/>
              <w:jc w:val="center"/>
              <w:rPr>
                <w:rFonts w:cs="Arial"/>
                <w:color w:val="000000"/>
                <w:sz w:val="18"/>
                <w:szCs w:val="18"/>
                <w:lang w:val="en-GB" w:eastAsia="en-AU"/>
              </w:rPr>
            </w:pPr>
            <w:r w:rsidRPr="00D93FF9">
              <w:rPr>
                <w:rFonts w:cs="Arial"/>
                <w:color w:val="000000"/>
                <w:sz w:val="18"/>
                <w:szCs w:val="18"/>
                <w:lang w:val="en-GB" w:eastAsia="en-AU"/>
              </w:rPr>
              <w:t>5</w:t>
            </w:r>
          </w:p>
        </w:tc>
      </w:tr>
    </w:tbl>
    <w:p w14:paraId="59DCD1AC" w14:textId="691262AD" w:rsidR="003C7FCB" w:rsidRPr="00D93FF9" w:rsidRDefault="00E811B8" w:rsidP="003C7FCB">
      <w:pPr>
        <w:spacing w:after="0" w:line="283" w:lineRule="auto"/>
        <w:ind w:left="119" w:right="-193"/>
        <w:rPr>
          <w:sz w:val="16"/>
          <w:szCs w:val="16"/>
          <w:lang w:val="en-GB"/>
        </w:rPr>
      </w:pPr>
      <w:r w:rsidRPr="00D93FF9">
        <w:rPr>
          <w:sz w:val="16"/>
          <w:szCs w:val="16"/>
          <w:lang w:val="en-GB"/>
        </w:rPr>
        <w:t>a Median values from Australian soil surveys (non-contaminated sites): Olszowy et al. (1995), Barry (1997); CSIRO Land and Water (unpublished data); Tiller (1983) — (</w:t>
      </w:r>
      <w:r w:rsidR="008A3090" w:rsidRPr="00D93FF9">
        <w:rPr>
          <w:sz w:val="16"/>
          <w:szCs w:val="16"/>
          <w:lang w:val="en-GB"/>
        </w:rPr>
        <w:fldChar w:fldCharType="begin"/>
      </w:r>
      <w:r w:rsidR="008A3090" w:rsidRPr="00D93FF9">
        <w:rPr>
          <w:sz w:val="16"/>
          <w:szCs w:val="16"/>
          <w:lang w:val="en-GB"/>
        </w:rPr>
        <w:instrText xml:space="preserve"> REF _Ref81393907 \h  \* MERGEFORMAT </w:instrText>
      </w:r>
      <w:r w:rsidR="008A3090" w:rsidRPr="00D93FF9">
        <w:rPr>
          <w:sz w:val="16"/>
          <w:szCs w:val="16"/>
          <w:lang w:val="en-GB"/>
        </w:rPr>
      </w:r>
      <w:r w:rsidR="008A3090" w:rsidRPr="00D93FF9">
        <w:rPr>
          <w:sz w:val="16"/>
          <w:szCs w:val="16"/>
          <w:lang w:val="en-GB"/>
        </w:rPr>
        <w:fldChar w:fldCharType="separate"/>
      </w:r>
      <w:r w:rsidR="0069302C" w:rsidRPr="0069302C">
        <w:rPr>
          <w:sz w:val="16"/>
          <w:szCs w:val="16"/>
        </w:rPr>
        <w:t xml:space="preserve">Table </w:t>
      </w:r>
      <w:r w:rsidR="0069302C" w:rsidRPr="0069302C">
        <w:rPr>
          <w:noProof/>
          <w:sz w:val="16"/>
          <w:szCs w:val="16"/>
        </w:rPr>
        <w:t>22</w:t>
      </w:r>
      <w:r w:rsidR="008A3090" w:rsidRPr="00D93FF9">
        <w:rPr>
          <w:sz w:val="16"/>
          <w:szCs w:val="16"/>
          <w:lang w:val="en-GB"/>
        </w:rPr>
        <w:fldChar w:fldCharType="end"/>
      </w:r>
      <w:r w:rsidRPr="00D93FF9">
        <w:rPr>
          <w:sz w:val="16"/>
          <w:szCs w:val="16"/>
          <w:lang w:val="en-GB"/>
        </w:rPr>
        <w:t>).</w:t>
      </w:r>
    </w:p>
    <w:p w14:paraId="59DCD1AD" w14:textId="1E15E52B" w:rsidR="003C7FCB" w:rsidRPr="00D93FF9" w:rsidRDefault="00E811B8" w:rsidP="003C7FCB">
      <w:pPr>
        <w:spacing w:after="0" w:line="283" w:lineRule="auto"/>
        <w:ind w:left="119" w:right="-193"/>
        <w:rPr>
          <w:sz w:val="16"/>
          <w:szCs w:val="16"/>
          <w:lang w:val="en-GB"/>
        </w:rPr>
      </w:pPr>
      <w:r w:rsidRPr="00D93FF9">
        <w:rPr>
          <w:sz w:val="16"/>
          <w:szCs w:val="16"/>
          <w:lang w:val="en-GB"/>
        </w:rPr>
        <w:t>b CaCl</w:t>
      </w:r>
      <w:r w:rsidRPr="00D93FF9">
        <w:rPr>
          <w:sz w:val="16"/>
          <w:szCs w:val="16"/>
          <w:vertAlign w:val="subscript"/>
          <w:lang w:val="en-GB"/>
        </w:rPr>
        <w:t>2</w:t>
      </w:r>
      <w:r w:rsidRPr="00D93FF9">
        <w:rPr>
          <w:sz w:val="16"/>
          <w:szCs w:val="16"/>
          <w:lang w:val="en-GB"/>
        </w:rPr>
        <w:t xml:space="preserve"> extractable boron, based on South Australian surveys of Murray Mallee, Eyre Peninsula and Upper SE (Spouncer </w:t>
      </w:r>
      <w:r w:rsidR="00FA6E9E" w:rsidRPr="00D93FF9">
        <w:rPr>
          <w:sz w:val="16"/>
          <w:szCs w:val="16"/>
          <w:lang w:val="en-GB"/>
        </w:rPr>
        <w:t>and</w:t>
      </w:r>
      <w:r w:rsidRPr="00D93FF9">
        <w:rPr>
          <w:sz w:val="16"/>
          <w:szCs w:val="16"/>
          <w:lang w:val="en-GB"/>
        </w:rPr>
        <w:t xml:space="preserve"> Mowat. CSIRO Technical Bulletin (1991a–d)).</w:t>
      </w:r>
    </w:p>
    <w:p w14:paraId="59DCD1AE" w14:textId="77777777" w:rsidR="003C7FCB" w:rsidRPr="00D93FF9" w:rsidRDefault="00E811B8" w:rsidP="003C7FCB">
      <w:pPr>
        <w:spacing w:after="0" w:line="283" w:lineRule="auto"/>
        <w:ind w:left="119" w:right="-193"/>
        <w:rPr>
          <w:sz w:val="16"/>
          <w:szCs w:val="16"/>
          <w:lang w:val="en-GB"/>
        </w:rPr>
      </w:pPr>
      <w:r w:rsidRPr="00D93FF9">
        <w:rPr>
          <w:sz w:val="16"/>
          <w:szCs w:val="16"/>
          <w:lang w:val="en-GB"/>
        </w:rPr>
        <w:t xml:space="preserve">Where the ACL = </w:t>
      </w:r>
      <w:r w:rsidRPr="00D93FF9">
        <w:rPr>
          <w:sz w:val="16"/>
          <w:szCs w:val="16"/>
          <w:lang w:val="en-GB" w:bidi="en-US"/>
        </w:rPr>
        <w:t xml:space="preserve">- , there was </w:t>
      </w:r>
      <w:r w:rsidRPr="00D93FF9">
        <w:rPr>
          <w:sz w:val="16"/>
          <w:szCs w:val="16"/>
          <w:lang w:val="en-GB"/>
        </w:rPr>
        <w:t>insufficient background data to calculate the ACL.</w:t>
      </w:r>
    </w:p>
    <w:p w14:paraId="59DCD1AF" w14:textId="233E8D1B" w:rsidR="003C7FCB" w:rsidRPr="00D93FF9" w:rsidRDefault="00E811B8" w:rsidP="003C7FCB">
      <w:pPr>
        <w:spacing w:after="0" w:line="283" w:lineRule="auto"/>
        <w:ind w:left="119" w:right="-193"/>
        <w:rPr>
          <w:sz w:val="16"/>
          <w:szCs w:val="16"/>
          <w:lang w:val="en-GB"/>
        </w:rPr>
      </w:pPr>
      <w:r w:rsidRPr="00D93FF9">
        <w:rPr>
          <w:sz w:val="16"/>
          <w:szCs w:val="16"/>
          <w:lang w:val="en-GB" w:bidi="en-US"/>
        </w:rPr>
        <w:t xml:space="preserve">c MPC = maximum permitted concentration in soil before further investigation </w:t>
      </w:r>
      <w:r w:rsidRPr="00D93FF9">
        <w:rPr>
          <w:sz w:val="16"/>
          <w:szCs w:val="16"/>
          <w:lang w:val="en-GB" w:bidi="en-US"/>
        </w:rPr>
        <w:fldChar w:fldCharType="begin"/>
      </w:r>
      <w:r w:rsidR="007C2051" w:rsidRPr="00D93FF9">
        <w:rPr>
          <w:sz w:val="16"/>
          <w:szCs w:val="16"/>
          <w:lang w:val="en-GB" w:bidi="en-US"/>
        </w:rPr>
        <w:instrText xml:space="preserve"> ADDIN ZOTERO_ITEM CSL_CITATION {"citationID":"fAJxo4JE","properties":{"formattedCitation":"(EPA NSW, 1997; DEHP Qld, 2016)","plainCitation":"(EPA NSW, 1997; DEHP Qld, 2016)","noteIndex":0},"citationItems":[{"id":4560,"uris":["http://zotero.org/users/1938757/items/R3DSS9VW"],"uri":["http://zotero.org/users/1938757/items/R3DSS9VW"],"itemData":{"id":4560,"type":"book","event-place":"Sydney","ISBN":"EPA 97/62","publisher":"Environment Protection Authority","publisher-place":"Sydney","title":"Environmental Guidelines. Use and disposal of biosolids products","URL":"http://www.environment.nsw.gov.au/water/biosolidsguide.htm","author":[{"family":"EPA NSW","given":""}],"issued":{"date-parts":[["1997"]]}}},{"id":24917,"uris":["http://zotero.org/users/1938757/items/N94G9UGC"],"uri":["http://zotero.org/users/1938757/items/N94G9UGC"],"itemData":{"id":24917,"type":"report","event-place":"Queensland, Australia","publisher":"Industry and Development Assessment, Environmental Services and Regulation Division, Department of Environment and Heritage Protection, State of Queensland","publisher-place":"Queensland, Australia","title":"General beneficial use approval for Biosolids Waste Reduction and Recycling Act 2011","URL":"http://www.ehp.qld.gov.au/assets/documents/regulation/wr-ga-biosolids.pdf","author":[{"family":"DEHP Qld","given":""}],"issued":{"date-parts":[["2016"]]}}}],"schema":"https://github.com/citation-style-language/schema/raw/master/csl-citation.json"} </w:instrText>
      </w:r>
      <w:r w:rsidRPr="00D93FF9">
        <w:rPr>
          <w:sz w:val="16"/>
          <w:szCs w:val="16"/>
          <w:lang w:val="en-GB" w:bidi="en-US"/>
        </w:rPr>
        <w:fldChar w:fldCharType="separate"/>
      </w:r>
      <w:r w:rsidR="007C2051" w:rsidRPr="00D93FF9">
        <w:rPr>
          <w:rFonts w:ascii="Calibri" w:hAnsi="Calibri" w:cs="Calibri"/>
          <w:sz w:val="16"/>
        </w:rPr>
        <w:t>(EPA NSW, 1997; DEHP Qld, 2016)</w:t>
      </w:r>
      <w:r w:rsidRPr="00D93FF9">
        <w:rPr>
          <w:sz w:val="16"/>
          <w:szCs w:val="16"/>
          <w:lang w:val="en-GB" w:bidi="en-US"/>
        </w:rPr>
        <w:fldChar w:fldCharType="end"/>
      </w:r>
      <w:r w:rsidRPr="00D93FF9">
        <w:rPr>
          <w:sz w:val="16"/>
          <w:szCs w:val="16"/>
          <w:lang w:val="en-GB" w:bidi="en-US"/>
        </w:rPr>
        <w:t xml:space="preserve">, note a 100 mg/kg concentration for chromium in DEPH Qld, (2016) was not included. </w:t>
      </w:r>
    </w:p>
    <w:p w14:paraId="59DCD1B0" w14:textId="06F22F49" w:rsidR="003C7FCB" w:rsidRPr="00D93FF9" w:rsidRDefault="00E811B8" w:rsidP="003C7FCB">
      <w:pPr>
        <w:spacing w:after="0" w:line="283" w:lineRule="auto"/>
        <w:ind w:left="119" w:right="-193"/>
        <w:rPr>
          <w:sz w:val="16"/>
          <w:szCs w:val="16"/>
          <w:lang w:val="en-GB"/>
        </w:rPr>
      </w:pPr>
      <w:r w:rsidRPr="00D93FF9">
        <w:rPr>
          <w:sz w:val="16"/>
          <w:szCs w:val="16"/>
          <w:lang w:val="en-GB" w:bidi="en-US"/>
        </w:rPr>
        <w:t xml:space="preserve">d </w:t>
      </w:r>
      <w:r w:rsidRPr="00D93FF9">
        <w:rPr>
          <w:sz w:val="16"/>
          <w:szCs w:val="16"/>
          <w:lang w:val="en-GB" w:bidi="en-US"/>
        </w:rPr>
        <w:fldChar w:fldCharType="begin"/>
      </w:r>
      <w:r w:rsidR="007C2051" w:rsidRPr="00D93FF9">
        <w:rPr>
          <w:sz w:val="16"/>
          <w:szCs w:val="16"/>
          <w:lang w:val="en-GB" w:bidi="en-US"/>
        </w:rPr>
        <w:instrText xml:space="preserve"> ADDIN ZOTERO_ITEM CSL_CITATION {"citationID":"j9TiiGlL","properties":{"formattedCitation":"(NZWWA, 2003)","plainCitation":"(NZWWA, 2003)","noteIndex":0},"citationItems":[{"id":18590,"uris":["http://zotero.org/users/1938757/items/KMAGTGMQ"],"uri":["http://zotero.org/users/1938757/items/KMAGTGMQ"],"itemData":{"id":18590,"type":"report","note":"https://12240-console.memberconnex.com/Folder?Action=View%20File&amp;Folder_id=101&amp;File=biosolids_guidelines.pdf","publisher":"New Zealand Water and Wastes Association","title":"Guidelines for the safe application of biosolids to land in New Zealand","URL":"http://www.waternz.org.nz/documents/publications/books_guides/biosolids_guidelines.pdf","author":[{"family":"NZWWA","given":""}],"issued":{"date-parts":[["2003"]]}}}],"schema":"https://github.com/citation-style-language/schema/raw/master/csl-citation.json"} </w:instrText>
      </w:r>
      <w:r w:rsidRPr="00D93FF9">
        <w:rPr>
          <w:sz w:val="16"/>
          <w:szCs w:val="16"/>
          <w:lang w:val="en-GB" w:bidi="en-US"/>
        </w:rPr>
        <w:fldChar w:fldCharType="separate"/>
      </w:r>
      <w:r w:rsidR="007C2051" w:rsidRPr="00D93FF9">
        <w:rPr>
          <w:rFonts w:ascii="Calibri" w:hAnsi="Calibri" w:cs="Calibri"/>
          <w:sz w:val="16"/>
        </w:rPr>
        <w:t>(NZWWA 2003)</w:t>
      </w:r>
      <w:r w:rsidRPr="00D93FF9">
        <w:rPr>
          <w:sz w:val="16"/>
          <w:szCs w:val="16"/>
          <w:lang w:val="en-GB" w:bidi="en-US"/>
        </w:rPr>
        <w:fldChar w:fldCharType="end"/>
      </w:r>
      <w:r w:rsidRPr="00D93FF9">
        <w:rPr>
          <w:sz w:val="16"/>
          <w:szCs w:val="16"/>
          <w:lang w:val="en-GB" w:bidi="en-US"/>
        </w:rPr>
        <w:t>.</w:t>
      </w:r>
    </w:p>
    <w:p w14:paraId="59DCD1B1" w14:textId="77777777" w:rsidR="00C46175" w:rsidRPr="00D93FF9" w:rsidRDefault="00C46175" w:rsidP="003807A1">
      <w:pPr>
        <w:spacing w:after="0"/>
        <w:rPr>
          <w:rFonts w:ascii="Arial"/>
          <w:sz w:val="14"/>
          <w:lang w:val="en-GB"/>
        </w:rPr>
        <w:sectPr w:rsidR="00C46175" w:rsidRPr="00D93FF9" w:rsidSect="003807A1">
          <w:headerReference w:type="even" r:id="rId50"/>
          <w:headerReference w:type="default" r:id="rId51"/>
          <w:footerReference w:type="default" r:id="rId52"/>
          <w:headerReference w:type="first" r:id="rId53"/>
          <w:type w:val="continuous"/>
          <w:pgSz w:w="16840" w:h="11900" w:orient="landscape"/>
          <w:pgMar w:top="1440" w:right="1440" w:bottom="1440" w:left="1440" w:header="720" w:footer="720" w:gutter="0"/>
          <w:cols w:space="720"/>
        </w:sectPr>
      </w:pPr>
    </w:p>
    <w:p w14:paraId="59DCD1B2" w14:textId="77777777" w:rsidR="00C46175" w:rsidRPr="00D93FF9" w:rsidRDefault="00E811B8" w:rsidP="00EF411C">
      <w:pPr>
        <w:pStyle w:val="Heading3"/>
        <w:rPr>
          <w:lang w:val="en-GB"/>
        </w:rPr>
      </w:pPr>
      <w:bookmarkStart w:id="230" w:name="9.2.5.3__Aluminium"/>
      <w:bookmarkStart w:id="231" w:name="9.2.5.4__Arsenic"/>
      <w:bookmarkStart w:id="232" w:name="_Toc96693581"/>
      <w:bookmarkEnd w:id="230"/>
      <w:bookmarkEnd w:id="231"/>
      <w:r w:rsidRPr="00D93FF9">
        <w:lastRenderedPageBreak/>
        <w:t>Aluminium</w:t>
      </w:r>
      <w:bookmarkEnd w:id="232"/>
    </w:p>
    <w:p w14:paraId="59DCD1B3" w14:textId="77777777" w:rsidR="00C46175" w:rsidRPr="00D93FF9" w:rsidRDefault="00E811B8" w:rsidP="0081691F">
      <w:pPr>
        <w:pStyle w:val="Heading5"/>
        <w:spacing w:before="200" w:after="200" w:line="245" w:lineRule="auto"/>
        <w:ind w:left="142"/>
        <w:rPr>
          <w:i/>
          <w:iCs/>
          <w:lang w:val="en-GB"/>
        </w:rPr>
      </w:pPr>
      <w:r w:rsidRPr="00D93FF9">
        <w:rPr>
          <w:i/>
          <w:iCs/>
          <w:lang w:val="en-GB"/>
        </w:rPr>
        <w:t>It is recommended that the concentration of aluminium in irrigation waters and soils should be less than the following:</w:t>
      </w:r>
    </w:p>
    <w:tbl>
      <w:tblPr>
        <w:tblW w:w="0" w:type="auto"/>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1B6" w14:textId="77777777" w:rsidTr="00EA3EAD">
        <w:trPr>
          <w:trHeight w:val="318"/>
        </w:trPr>
        <w:tc>
          <w:tcPr>
            <w:tcW w:w="6240" w:type="dxa"/>
          </w:tcPr>
          <w:p w14:paraId="59DCD1B4"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w:t>
            </w:r>
            <w:r w:rsidR="00E90CE0" w:rsidRPr="00D93FF9">
              <w:rPr>
                <w:rFonts w:asciiTheme="minorHAnsi" w:hAnsiTheme="minorHAnsi"/>
                <w:sz w:val="18"/>
                <w:szCs w:val="18"/>
                <w:lang w:val="en-GB"/>
              </w:rPr>
              <w:t xml:space="preserve"> value in irrigation water</w:t>
            </w:r>
          </w:p>
        </w:tc>
        <w:tc>
          <w:tcPr>
            <w:tcW w:w="2160" w:type="dxa"/>
          </w:tcPr>
          <w:p w14:paraId="59DCD1B5"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5.0 mg/L</w:t>
            </w:r>
          </w:p>
        </w:tc>
      </w:tr>
      <w:tr w:rsidR="00BE3AA8" w:rsidRPr="00D93FF9" w14:paraId="59DCD1B9" w14:textId="77777777" w:rsidTr="00EA3EAD">
        <w:trPr>
          <w:trHeight w:val="318"/>
        </w:trPr>
        <w:tc>
          <w:tcPr>
            <w:tcW w:w="6240" w:type="dxa"/>
          </w:tcPr>
          <w:p w14:paraId="59DCD1B7" w14:textId="77777777" w:rsidR="00C46175"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w:t>
            </w:r>
            <w:r w:rsidR="00E90CE0" w:rsidRPr="00D93FF9">
              <w:rPr>
                <w:rFonts w:asciiTheme="minorHAnsi" w:hAnsiTheme="minorHAnsi"/>
                <w:sz w:val="18"/>
                <w:szCs w:val="18"/>
                <w:lang w:val="en-GB"/>
              </w:rPr>
              <w:t xml:space="preserve"> value in</w:t>
            </w:r>
            <w:r w:rsidR="00E90CE0" w:rsidRPr="00D93FF9">
              <w:rPr>
                <w:rFonts w:asciiTheme="minorHAnsi" w:hAnsiTheme="minorHAnsi"/>
                <w:spacing w:val="-2"/>
                <w:sz w:val="18"/>
                <w:szCs w:val="18"/>
                <w:lang w:val="en-GB"/>
              </w:rPr>
              <w:t xml:space="preserve"> </w:t>
            </w:r>
            <w:r w:rsidR="00E90CE0" w:rsidRPr="00D93FF9">
              <w:rPr>
                <w:rFonts w:asciiTheme="minorHAnsi" w:hAnsiTheme="minorHAnsi"/>
                <w:sz w:val="18"/>
                <w:szCs w:val="18"/>
                <w:lang w:val="en-GB"/>
              </w:rPr>
              <w:t>irrigation</w:t>
            </w:r>
            <w:r w:rsidR="00E90CE0" w:rsidRPr="00D93FF9">
              <w:rPr>
                <w:rFonts w:asciiTheme="minorHAnsi" w:hAnsiTheme="minorHAnsi"/>
                <w:spacing w:val="-2"/>
                <w:sz w:val="18"/>
                <w:szCs w:val="18"/>
                <w:lang w:val="en-GB"/>
              </w:rPr>
              <w:t xml:space="preserve"> </w:t>
            </w:r>
            <w:r w:rsidR="00E90CE0" w:rsidRPr="00D93FF9">
              <w:rPr>
                <w:rFonts w:asciiTheme="minorHAnsi" w:hAnsiTheme="minorHAnsi"/>
                <w:sz w:val="18"/>
                <w:szCs w:val="18"/>
                <w:lang w:val="en-GB"/>
              </w:rPr>
              <w:t>wate</w:t>
            </w:r>
            <w:r w:rsidRPr="00D93FF9">
              <w:rPr>
                <w:rFonts w:asciiTheme="minorHAnsi" w:hAnsiTheme="minorHAnsi"/>
                <w:sz w:val="18"/>
                <w:szCs w:val="18"/>
                <w:lang w:val="en-GB"/>
              </w:rPr>
              <w:t>r</w:t>
            </w:r>
          </w:p>
        </w:tc>
        <w:tc>
          <w:tcPr>
            <w:tcW w:w="2160" w:type="dxa"/>
          </w:tcPr>
          <w:p w14:paraId="59DCD1B8"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20 mg/L</w:t>
            </w:r>
          </w:p>
        </w:tc>
      </w:tr>
      <w:tr w:rsidR="00BE3AA8" w:rsidRPr="00D93FF9" w14:paraId="59DCD1BC" w14:textId="77777777" w:rsidTr="00EA3EAD">
        <w:trPr>
          <w:trHeight w:val="318"/>
        </w:trPr>
        <w:tc>
          <w:tcPr>
            <w:tcW w:w="6240" w:type="dxa"/>
          </w:tcPr>
          <w:p w14:paraId="59DCD1BA"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 xml:space="preserve">ACL Added </w:t>
            </w:r>
            <w:r w:rsidR="00E90CE0" w:rsidRPr="00D93FF9">
              <w:rPr>
                <w:rFonts w:asciiTheme="minorHAnsi" w:hAnsiTheme="minorHAnsi"/>
                <w:sz w:val="18"/>
                <w:szCs w:val="18"/>
                <w:lang w:val="en-GB"/>
              </w:rPr>
              <w:t xml:space="preserve">contaminant loading </w:t>
            </w:r>
            <w:r w:rsidRPr="00D93FF9">
              <w:rPr>
                <w:rFonts w:asciiTheme="minorHAnsi" w:hAnsiTheme="minorHAnsi"/>
                <w:sz w:val="18"/>
                <w:szCs w:val="18"/>
                <w:lang w:val="en-GB"/>
              </w:rPr>
              <w:t xml:space="preserve">limit </w:t>
            </w:r>
            <w:r w:rsidR="00E90CE0" w:rsidRPr="00D93FF9">
              <w:rPr>
                <w:rFonts w:asciiTheme="minorHAnsi" w:hAnsiTheme="minorHAnsi"/>
                <w:sz w:val="18"/>
                <w:szCs w:val="18"/>
                <w:lang w:val="en-GB"/>
              </w:rPr>
              <w:t>in soil receiving irrigation water</w:t>
            </w:r>
          </w:p>
        </w:tc>
        <w:tc>
          <w:tcPr>
            <w:tcW w:w="2160" w:type="dxa"/>
          </w:tcPr>
          <w:p w14:paraId="59DCD1BB"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Not determined</w:t>
            </w:r>
          </w:p>
        </w:tc>
      </w:tr>
    </w:tbl>
    <w:p w14:paraId="59DCD1BD" w14:textId="77777777" w:rsidR="00C46175" w:rsidRPr="00D93FF9" w:rsidRDefault="00C46175" w:rsidP="003807A1">
      <w:pPr>
        <w:pStyle w:val="BodyText"/>
        <w:spacing w:after="0"/>
        <w:rPr>
          <w:b/>
          <w:i/>
          <w:sz w:val="24"/>
          <w:lang w:val="en-GB"/>
        </w:rPr>
      </w:pPr>
    </w:p>
    <w:p w14:paraId="59DCD1BE" w14:textId="03F4DFF1" w:rsidR="00C46175" w:rsidRPr="00D93FF9" w:rsidRDefault="00E811B8" w:rsidP="003807A1">
      <w:pPr>
        <w:pStyle w:val="BodyText"/>
        <w:spacing w:after="0" w:line="266" w:lineRule="auto"/>
        <w:jc w:val="both"/>
        <w:rPr>
          <w:lang w:val="en-GB"/>
        </w:rPr>
      </w:pPr>
      <w:r w:rsidRPr="00D93FF9">
        <w:rPr>
          <w:lang w:val="en-GB"/>
        </w:rPr>
        <w:t>Aluminium is found in abundance in the geosphere (8</w:t>
      </w:r>
      <w:r w:rsidR="00B93144" w:rsidRPr="00D93FF9">
        <w:rPr>
          <w:lang w:val="en-GB"/>
        </w:rPr>
        <w:t>%</w:t>
      </w:r>
      <w:r w:rsidRPr="00D93FF9">
        <w:rPr>
          <w:lang w:val="en-GB"/>
        </w:rPr>
        <w:t xml:space="preserve"> in the earth’s crust) in complexes with oxygen, fluorine, and silicone. Aluminium compounds are very stable</w:t>
      </w:r>
      <w:r w:rsidR="00B93144" w:rsidRPr="00D93FF9">
        <w:rPr>
          <w:lang w:val="en-GB"/>
        </w:rPr>
        <w:t xml:space="preserve"> and are </w:t>
      </w:r>
      <w:r w:rsidRPr="00D93FF9">
        <w:rPr>
          <w:lang w:val="en-GB"/>
        </w:rPr>
        <w:t>contain</w:t>
      </w:r>
      <w:r w:rsidR="00B93144" w:rsidRPr="00D93FF9">
        <w:rPr>
          <w:lang w:val="en-GB"/>
        </w:rPr>
        <w:t>ed in all soils</w:t>
      </w:r>
      <w:r w:rsidRPr="00D93FF9">
        <w:rPr>
          <w:lang w:val="en-GB"/>
        </w:rPr>
        <w:t xml:space="preserve">, mostly in alumino-silicate minerals, although aluminium may be present in </w:t>
      </w:r>
      <w:r w:rsidR="00B93144" w:rsidRPr="00D93FF9">
        <w:rPr>
          <w:lang w:val="en-GB"/>
        </w:rPr>
        <w:t xml:space="preserve">an </w:t>
      </w:r>
      <w:r w:rsidRPr="00D93FF9">
        <w:rPr>
          <w:lang w:val="en-GB"/>
        </w:rPr>
        <w:t xml:space="preserve">ion-exchangeable form in acidic soils (Scott-Fordsmand </w:t>
      </w:r>
      <w:r w:rsidR="00FA6E9E" w:rsidRPr="00D93FF9">
        <w:rPr>
          <w:lang w:val="en-GB"/>
        </w:rPr>
        <w:t>and</w:t>
      </w:r>
      <w:r w:rsidRPr="00D93FF9">
        <w:rPr>
          <w:lang w:val="en-GB"/>
        </w:rPr>
        <w:t xml:space="preserve"> Peterson</w:t>
      </w:r>
      <w:r w:rsidRPr="00D93FF9">
        <w:rPr>
          <w:spacing w:val="-5"/>
          <w:lang w:val="en-GB"/>
        </w:rPr>
        <w:t xml:space="preserve"> </w:t>
      </w:r>
      <w:r w:rsidRPr="00D93FF9">
        <w:rPr>
          <w:lang w:val="en-GB"/>
        </w:rPr>
        <w:t>1995).</w:t>
      </w:r>
    </w:p>
    <w:p w14:paraId="59DCD1BF" w14:textId="77777777" w:rsidR="00C46175" w:rsidRPr="00D93FF9" w:rsidRDefault="00E811B8" w:rsidP="00EF411C">
      <w:pPr>
        <w:pStyle w:val="Heading5"/>
        <w:rPr>
          <w:lang w:val="en-GB"/>
        </w:rPr>
      </w:pPr>
      <w:r w:rsidRPr="00D93FF9">
        <w:rPr>
          <w:lang w:val="en-GB"/>
        </w:rPr>
        <w:t xml:space="preserve">Crop </w:t>
      </w:r>
      <w:r w:rsidRPr="00D93FF9">
        <w:t>yield</w:t>
      </w:r>
      <w:r w:rsidRPr="00D93FF9">
        <w:rPr>
          <w:lang w:val="en-GB"/>
        </w:rPr>
        <w:t xml:space="preserve"> and quality considerations</w:t>
      </w:r>
    </w:p>
    <w:p w14:paraId="59DCD1C0" w14:textId="0C74FC7C" w:rsidR="00B93144" w:rsidRPr="00D93FF9" w:rsidRDefault="00E811B8" w:rsidP="003807A1">
      <w:pPr>
        <w:pStyle w:val="BodyText"/>
        <w:spacing w:after="0" w:line="266" w:lineRule="auto"/>
        <w:jc w:val="both"/>
        <w:rPr>
          <w:lang w:val="en-GB"/>
        </w:rPr>
      </w:pPr>
      <w:r w:rsidRPr="00D93FF9">
        <w:rPr>
          <w:lang w:val="en-GB"/>
        </w:rPr>
        <w:t xml:space="preserve">Surveys in the United States and the United Kingdom have reported aluminium concentrations in natural water sources of 0.014–1.2 mg/L. Total concentrations in some Australian water sources can be considerably higher due to the presence of clay minerals (aluminosilicates); for example, up to 18 mg/L in the Murray River </w:t>
      </w:r>
      <w:r w:rsidRPr="00D93FF9">
        <w:rPr>
          <w:lang w:val="en-GB"/>
        </w:rPr>
        <w:fldChar w:fldCharType="begin"/>
      </w:r>
      <w:r w:rsidR="007C2051" w:rsidRPr="00D93FF9">
        <w:rPr>
          <w:lang w:val="en-GB"/>
        </w:rPr>
        <w:instrText xml:space="preserve"> ADDIN ZOTERO_ITEM CSL_CITATION {"citationID":"BDw5ysak","properties":{"formattedCitation":"(NHMRC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rPr>
          <w:lang w:val="en-GB"/>
        </w:rPr>
        <w:fldChar w:fldCharType="separate"/>
      </w:r>
      <w:r w:rsidR="007C2051" w:rsidRPr="00D93FF9">
        <w:rPr>
          <w:rFonts w:ascii="Calibri" w:hAnsi="Calibri" w:cs="Calibri"/>
        </w:rPr>
        <w:t>(NHMRC and NRMMC 2011)</w:t>
      </w:r>
      <w:r w:rsidRPr="00D93FF9">
        <w:rPr>
          <w:lang w:val="en-GB"/>
        </w:rPr>
        <w:fldChar w:fldCharType="end"/>
      </w:r>
      <w:r w:rsidRPr="00D93FF9">
        <w:rPr>
          <w:lang w:val="en-GB"/>
        </w:rPr>
        <w:t>.</w:t>
      </w:r>
    </w:p>
    <w:p w14:paraId="59DCD1C1" w14:textId="1501D8BB" w:rsidR="00C46175" w:rsidRPr="00D93FF9" w:rsidRDefault="00E811B8" w:rsidP="003807A1">
      <w:pPr>
        <w:pStyle w:val="BodyText"/>
        <w:spacing w:after="0" w:line="266" w:lineRule="auto"/>
        <w:jc w:val="both"/>
        <w:rPr>
          <w:lang w:val="en-GB"/>
        </w:rPr>
      </w:pPr>
      <w:r w:rsidRPr="00D93FF9">
        <w:rPr>
          <w:lang w:val="en-GB"/>
        </w:rPr>
        <w:t>Toxicity of aluminium to field crops is an important cause of reduced productivity on acid soils, because the soluble aluminium concentration in the soil solution increases due to the enhanced solubility of aluminium oxides and the destruction of clay minerals and other silicates that occurs at soil pH values</w:t>
      </w:r>
      <w:r w:rsidR="00B93144" w:rsidRPr="00D93FF9">
        <w:rPr>
          <w:lang w:val="en-GB"/>
        </w:rPr>
        <w:t xml:space="preserve"> less than 4.8 to 5.5 </w:t>
      </w:r>
      <w:r w:rsidR="00B93144" w:rsidRPr="00D93FF9">
        <w:fldChar w:fldCharType="begin"/>
      </w:r>
      <w:r w:rsidR="007C2051" w:rsidRPr="00D93FF9">
        <w:instrText xml:space="preserve"> ADDIN ZOTERO_ITEM CSL_CITATION {"citationID":"NfZjqRtD","properties":{"formattedCitation":"(Slattery et al., 1999)","plainCitation":"(Slattery et al., 1999)","noteIndex":0},"citationItems":[{"id":4135,"uris":["http://zotero.org/users/1938757/items/NTVBTZTV"],"uri":["http://zotero.org/users/1938757/items/NTVBTZTV"],"itemData":{"id":4135,"type":"chapter","container-title":"Soil Analysis; An Interpretation Manual","event-place":"Melbourne","page":"103-128","publisher":"CSIRO Publishing","publisher-place":"Melbourne","title":"Soil pH, aluminium, managnese and lime requirement","author":[{"family":"Slattery","given":"W"},{"family":"Conyers","given":"M"},{"family":"Aitken","given":"R"}],"editor":[{"family":"Peverhill","given":"K.I."},{"family":"Sparrow","given":"L.A."},{"family":"D.J.","given":"Reuter"}],"issued":{"date-parts":[["1999"]]}}}],"schema":"https://github.com/citation-style-language/schema/raw/master/csl-citation.json"} </w:instrText>
      </w:r>
      <w:r w:rsidR="00B93144" w:rsidRPr="00D93FF9">
        <w:fldChar w:fldCharType="separate"/>
      </w:r>
      <w:r w:rsidR="007C2051" w:rsidRPr="00D93FF9">
        <w:rPr>
          <w:rFonts w:ascii="Calibri" w:hAnsi="Calibri" w:cs="Calibri"/>
        </w:rPr>
        <w:t>(Slattery et al. 1999)</w:t>
      </w:r>
      <w:r w:rsidR="00B93144" w:rsidRPr="00D93FF9">
        <w:fldChar w:fldCharType="end"/>
      </w:r>
      <w:r w:rsidRPr="00D93FF9">
        <w:rPr>
          <w:lang w:val="en-GB"/>
        </w:rPr>
        <w:t xml:space="preserve">. Thus, aluminium toxicity may develop without the introduction of aluminium in the irrigation water. In this case, lime must be added to increase the soil pH. Several crops show aluminium toxicity at concentrations as low as 0.1–0.5 mg/L in soil solution (Schachtschabel et al. 1989). These </w:t>
      </w:r>
      <w:r w:rsidR="00B93144" w:rsidRPr="00D93FF9">
        <w:rPr>
          <w:lang w:val="en-GB"/>
        </w:rPr>
        <w:t xml:space="preserve">toxicity </w:t>
      </w:r>
      <w:r w:rsidRPr="00D93FF9">
        <w:rPr>
          <w:lang w:val="en-GB"/>
        </w:rPr>
        <w:t xml:space="preserve">values cannot be applied directly to irrigation waters because of </w:t>
      </w:r>
      <w:r w:rsidR="00B93144" w:rsidRPr="00D93FF9">
        <w:rPr>
          <w:lang w:val="en-GB"/>
        </w:rPr>
        <w:t>soils’ capacity</w:t>
      </w:r>
      <w:r w:rsidRPr="00D93FF9">
        <w:rPr>
          <w:lang w:val="en-GB"/>
        </w:rPr>
        <w:t xml:space="preserve"> to adsorb and complex aluminium ions and hence reduce the toxicity of the Al</w:t>
      </w:r>
      <w:r w:rsidRPr="00D93FF9">
        <w:rPr>
          <w:position w:val="5"/>
          <w:sz w:val="15"/>
          <w:lang w:val="en-GB"/>
        </w:rPr>
        <w:t xml:space="preserve">3+ </w:t>
      </w:r>
      <w:r w:rsidRPr="00D93FF9">
        <w:rPr>
          <w:lang w:val="en-GB"/>
        </w:rPr>
        <w:t xml:space="preserve">cation, the species most harmful to plants (Wright et al. 1987). </w:t>
      </w:r>
      <w:r w:rsidR="00B93144" w:rsidRPr="00D93FF9">
        <w:rPr>
          <w:lang w:val="en-GB"/>
        </w:rPr>
        <w:t>Toxicity values</w:t>
      </w:r>
      <w:r w:rsidRPr="00D93FF9">
        <w:rPr>
          <w:lang w:val="en-GB"/>
        </w:rPr>
        <w:t xml:space="preserve"> indicate that aluminium is toxic to plants at relatively low concentrations, and the irrigation water </w:t>
      </w:r>
      <w:r w:rsidR="00553FF9" w:rsidRPr="00D93FF9">
        <w:rPr>
          <w:lang w:val="en-GB"/>
        </w:rPr>
        <w:t>SGV</w:t>
      </w:r>
      <w:r w:rsidR="00B93144" w:rsidRPr="00D93FF9">
        <w:rPr>
          <w:lang w:val="en-GB"/>
        </w:rPr>
        <w:t xml:space="preserve"> and </w:t>
      </w:r>
      <w:r w:rsidR="00553FF9" w:rsidRPr="00D93FF9">
        <w:rPr>
          <w:lang w:val="en-GB"/>
        </w:rPr>
        <w:t>DGV</w:t>
      </w:r>
      <w:r w:rsidR="008616FE" w:rsidRPr="00D93FF9">
        <w:rPr>
          <w:lang w:val="en-GB"/>
        </w:rPr>
        <w:t xml:space="preserve"> </w:t>
      </w:r>
      <w:r w:rsidRPr="00D93FF9">
        <w:rPr>
          <w:lang w:val="en-GB"/>
        </w:rPr>
        <w:t>have been developed to minimise the risk of phytotoxicity. A</w:t>
      </w:r>
      <w:r w:rsidR="006C0312" w:rsidRPr="00D93FF9">
        <w:rPr>
          <w:lang w:val="en-GB"/>
        </w:rPr>
        <w:t>n</w:t>
      </w:r>
      <w:r w:rsidRPr="00D93FF9">
        <w:rPr>
          <w:lang w:val="en-GB"/>
        </w:rPr>
        <w:t xml:space="preserve"> </w:t>
      </w:r>
      <w:r w:rsidR="006D735C" w:rsidRPr="00D93FF9">
        <w:rPr>
          <w:lang w:val="en-GB"/>
        </w:rPr>
        <w:t>ACL</w:t>
      </w:r>
      <w:r w:rsidRPr="00D93FF9">
        <w:rPr>
          <w:lang w:val="en-GB"/>
        </w:rPr>
        <w:t xml:space="preserve"> for aluminium has not been determined, as it is inappropriate to set a</w:t>
      </w:r>
      <w:r w:rsidR="006C0312" w:rsidRPr="00D93FF9">
        <w:rPr>
          <w:lang w:val="en-GB"/>
        </w:rPr>
        <w:t>n</w:t>
      </w:r>
      <w:r w:rsidRPr="00D93FF9">
        <w:rPr>
          <w:lang w:val="en-GB"/>
        </w:rPr>
        <w:t xml:space="preserve"> </w:t>
      </w:r>
      <w:r w:rsidR="006D735C" w:rsidRPr="00D93FF9">
        <w:rPr>
          <w:lang w:val="en-GB"/>
        </w:rPr>
        <w:t>ACL</w:t>
      </w:r>
      <w:r w:rsidRPr="00D93FF9">
        <w:rPr>
          <w:lang w:val="en-GB"/>
        </w:rPr>
        <w:t xml:space="preserve"> for a major soil constituent.</w:t>
      </w:r>
    </w:p>
    <w:p w14:paraId="59DCD1C2" w14:textId="77777777" w:rsidR="00C46175" w:rsidRPr="00D93FF9" w:rsidRDefault="00C46175" w:rsidP="003807A1">
      <w:pPr>
        <w:pStyle w:val="BodyText"/>
        <w:spacing w:after="0"/>
        <w:rPr>
          <w:sz w:val="25"/>
          <w:lang w:val="en-GB"/>
        </w:rPr>
      </w:pPr>
    </w:p>
    <w:p w14:paraId="59DCD1C3" w14:textId="77777777" w:rsidR="00C46175" w:rsidRPr="00D93FF9" w:rsidRDefault="00E811B8" w:rsidP="00EF411C">
      <w:pPr>
        <w:pStyle w:val="Heading3"/>
        <w:rPr>
          <w:lang w:val="en-GB"/>
        </w:rPr>
      </w:pPr>
      <w:bookmarkStart w:id="233" w:name="_Toc96693582"/>
      <w:r w:rsidRPr="00D93FF9">
        <w:t>Arsenic</w:t>
      </w:r>
      <w:bookmarkEnd w:id="233"/>
    </w:p>
    <w:p w14:paraId="59DCD1C4" w14:textId="77777777" w:rsidR="00C46175" w:rsidRPr="00D93FF9" w:rsidRDefault="00E811B8" w:rsidP="00EA3EAD">
      <w:pPr>
        <w:pStyle w:val="Heading5"/>
        <w:spacing w:before="200" w:after="200" w:line="245" w:lineRule="auto"/>
        <w:ind w:left="284"/>
        <w:rPr>
          <w:i/>
          <w:iCs/>
          <w:lang w:val="en-GB"/>
        </w:rPr>
      </w:pPr>
      <w:r w:rsidRPr="00D93FF9">
        <w:rPr>
          <w:i/>
          <w:iCs/>
          <w:lang w:val="en-GB"/>
        </w:rPr>
        <w:t>It is recommended that the concentration of arsenic in irrigation waters and soils should be less than the 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1C7" w14:textId="77777777" w:rsidTr="00EA3EAD">
        <w:trPr>
          <w:trHeight w:val="318"/>
        </w:trPr>
        <w:tc>
          <w:tcPr>
            <w:tcW w:w="6240" w:type="dxa"/>
          </w:tcPr>
          <w:p w14:paraId="59DCD1C5" w14:textId="77777777" w:rsidR="007D79E0"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1C6" w14:textId="77777777" w:rsidR="007D79E0"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0.1 mg/L</w:t>
            </w:r>
          </w:p>
        </w:tc>
      </w:tr>
      <w:tr w:rsidR="00BE3AA8" w:rsidRPr="00D93FF9" w14:paraId="59DCD1CA" w14:textId="77777777" w:rsidTr="00EA3EAD">
        <w:trPr>
          <w:trHeight w:val="318"/>
        </w:trPr>
        <w:tc>
          <w:tcPr>
            <w:tcW w:w="6240" w:type="dxa"/>
          </w:tcPr>
          <w:p w14:paraId="59DCD1C8" w14:textId="77777777" w:rsidR="007D79E0" w:rsidRPr="00D93FF9" w:rsidRDefault="00E811B8" w:rsidP="003807A1">
            <w:pPr>
              <w:pStyle w:val="TableParagraph"/>
              <w:tabs>
                <w:tab w:val="left" w:pos="4679"/>
              </w:tabs>
              <w:spacing w:before="0" w:after="0"/>
              <w:rPr>
                <w:rFonts w:asciiTheme="minorHAnsi" w:hAnsiTheme="minorHAnsi"/>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1C9" w14:textId="77777777" w:rsidR="007D79E0"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2.0 mg/L</w:t>
            </w:r>
          </w:p>
        </w:tc>
      </w:tr>
      <w:tr w:rsidR="00BE3AA8" w:rsidRPr="00D93FF9" w14:paraId="59DCD1CD" w14:textId="77777777" w:rsidTr="00EA3EAD">
        <w:trPr>
          <w:trHeight w:val="318"/>
        </w:trPr>
        <w:tc>
          <w:tcPr>
            <w:tcW w:w="6240" w:type="dxa"/>
          </w:tcPr>
          <w:p w14:paraId="59DCD1CB" w14:textId="77777777" w:rsidR="007D79E0"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1CC" w14:textId="77777777" w:rsidR="007D79E0"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20 kg/ha</w:t>
            </w:r>
          </w:p>
        </w:tc>
      </w:tr>
    </w:tbl>
    <w:p w14:paraId="59DCD1CE" w14:textId="77777777" w:rsidR="00C46175" w:rsidRPr="00D93FF9" w:rsidRDefault="00C46175" w:rsidP="003807A1">
      <w:pPr>
        <w:pStyle w:val="BodyText"/>
        <w:spacing w:after="0"/>
        <w:rPr>
          <w:b/>
          <w:i/>
          <w:sz w:val="24"/>
          <w:lang w:val="en-GB"/>
        </w:rPr>
      </w:pPr>
    </w:p>
    <w:p w14:paraId="59DCD1CF" w14:textId="08413BBF" w:rsidR="0080215B" w:rsidRPr="00D93FF9" w:rsidRDefault="00E811B8" w:rsidP="006C0312">
      <w:pPr>
        <w:pStyle w:val="BodyText"/>
        <w:spacing w:after="0" w:line="266" w:lineRule="auto"/>
        <w:jc w:val="both"/>
        <w:rPr>
          <w:rFonts w:ascii="Arial"/>
          <w:sz w:val="20"/>
          <w:lang w:val="en-GB"/>
        </w:rPr>
      </w:pPr>
      <w:r w:rsidRPr="00D93FF9">
        <w:rPr>
          <w:lang w:val="en-GB"/>
        </w:rPr>
        <w:t xml:space="preserve">Arsenic is a naturally occurring element that is widely distributed in the Australian environment. It exhibits complex chemical and environmental behaviours as it can exist in a number of oxidative states </w:t>
      </w:r>
      <w:r w:rsidRPr="00D93FF9">
        <w:rPr>
          <w:lang w:val="en-GB"/>
        </w:rPr>
        <w:fldChar w:fldCharType="begin"/>
      </w:r>
      <w:r w:rsidR="00BE6DF0" w:rsidRPr="00D93FF9">
        <w:rPr>
          <w:lang w:val="en-GB"/>
        </w:rPr>
        <w:instrText xml:space="preserve"> ADDIN ZOTERO_ITEM CSL_CITATION {"citationID":"oYAazsKN","properties":{"formattedCitation":"(Rajakovic and Rajakovic-Ognjanovic, 2018)","plainCitation":"(Rajakovic and Rajakovic-Ognjanovic, 2018)","noteIndex":0},"citationItems":[{"id":32943,"uris":["http://zotero.org/users/1938757/items/TK57PXTY"],"uri":["http://zotero.org/users/1938757/items/TK57PXTY"],"itemData":{"id":32943,"type":"article-journal","abstract":"Depending on the physical, chemical and biogeochemical processes and condition of the environment, various arsenic species can be present in water. Water soluble arsenic species existing in natural water are inorganic arsenic (iAs) and organic arsenic (oAs) species. All acidic species, according to the chemical equilibrium, have well-recognized molecular and ionic forms in water. The distribution of iAs and oAs species is a function of pH value of water traces of arsenic that are found in groundwater, lakes, rivers and ocean. The WHO provisional guideline value for arsenic in drinking water is 10 μg L−1. The most selective and sensitive methods for determination of total arsenic and its species in water are coupled techniques including chromatography, optical methods and mass spectrometry. Determination of arsenic species is of crucial importance for selection of arsenic removal technology. Best available technologies are based on absorption, precipitation, membrane and hybrid membrane processes. Adsorption is considered to be relatively simple, efficient and low-cost removal technique, especially convenient for application in rural areas. Sorbents for arsenic removal are biological materials, mineral oxides, activated carbons and polymer resins.","container-title":"Arsenic - Analytical and Toxicological Studies","DOI":"10.5772/intechopen.75531","language":"en","note":"publisher: IntechOpen","source":"www.intechopen.com","title":"Arsenic in Water: Determination and Removal","title-short":"Arsenic in Water","URL":"https://www.intechopen.com/books/arsenic-analytical-and-toxicological-studies/arsenic-in-water-determination-and-removal","author":[{"family":"Rajakovic","given":"Ljubinka"},{"family":"Rajakovic-Ognjanovic","given":"Vladana"}],"accessed":{"date-parts":[["2021",2,23]]},"issued":{"date-parts":[["2018",7,25]]}}}],"schema":"https://github.com/citation-style-language/schema/raw/master/csl-citation.json"} </w:instrText>
      </w:r>
      <w:r w:rsidRPr="00D93FF9">
        <w:rPr>
          <w:lang w:val="en-GB"/>
        </w:rPr>
        <w:fldChar w:fldCharType="separate"/>
      </w:r>
      <w:r w:rsidR="007C2051" w:rsidRPr="00D93FF9">
        <w:rPr>
          <w:rFonts w:ascii="Calibri" w:hAnsi="Calibri" w:cs="Calibri"/>
        </w:rPr>
        <w:t xml:space="preserve">(Rajakovic </w:t>
      </w:r>
      <w:r w:rsidR="00FA6E9E" w:rsidRPr="00D93FF9">
        <w:rPr>
          <w:rFonts w:ascii="Calibri" w:hAnsi="Calibri" w:cs="Calibri"/>
        </w:rPr>
        <w:t>and</w:t>
      </w:r>
      <w:r w:rsidR="007C2051" w:rsidRPr="00D93FF9">
        <w:rPr>
          <w:rFonts w:ascii="Calibri" w:hAnsi="Calibri" w:cs="Calibri"/>
        </w:rPr>
        <w:t xml:space="preserve"> Rajakovic-Ognjanovic 2018)</w:t>
      </w:r>
      <w:r w:rsidRPr="00D93FF9">
        <w:rPr>
          <w:lang w:val="en-GB"/>
        </w:rPr>
        <w:fldChar w:fldCharType="end"/>
      </w:r>
      <w:r w:rsidRPr="00D93FF9">
        <w:rPr>
          <w:lang w:val="en-GB"/>
        </w:rPr>
        <w:t xml:space="preserve">. </w:t>
      </w:r>
      <w:r w:rsidR="00E90CE0" w:rsidRPr="00D93FF9">
        <w:rPr>
          <w:lang w:val="en-GB"/>
        </w:rPr>
        <w:t xml:space="preserve">Arsenic can exist in anionic (negatively charged) and cationic (positively charged) form, the charge dictating the behaviour of the element in </w:t>
      </w:r>
      <w:r w:rsidR="00727828" w:rsidRPr="00D93FF9">
        <w:rPr>
          <w:lang w:val="en-GB"/>
        </w:rPr>
        <w:t xml:space="preserve">the </w:t>
      </w:r>
      <w:r w:rsidR="00E90CE0" w:rsidRPr="00D93FF9">
        <w:rPr>
          <w:lang w:val="en-GB"/>
        </w:rPr>
        <w:t xml:space="preserve">soil. Chemically, arsenic behaves in a similar way to phosphorus, and therefore arsenic compounds </w:t>
      </w:r>
      <w:r w:rsidR="00E90CE0" w:rsidRPr="00D93FF9">
        <w:rPr>
          <w:lang w:val="en-GB"/>
        </w:rPr>
        <w:lastRenderedPageBreak/>
        <w:t>compete with their phosphorus analogues. In the 3</w:t>
      </w:r>
      <w:r w:rsidR="00E90CE0" w:rsidRPr="00D93FF9">
        <w:rPr>
          <w:position w:val="5"/>
          <w:sz w:val="15"/>
          <w:lang w:val="en-GB"/>
        </w:rPr>
        <w:t xml:space="preserve">+ </w:t>
      </w:r>
      <w:r w:rsidR="00E90CE0" w:rsidRPr="00D93FF9">
        <w:rPr>
          <w:lang w:val="en-GB"/>
        </w:rPr>
        <w:t>ionic form, arsenic compounds (arsenite) are water soluble as a cation, as a negative oxy-ion, as the hydroxide, and as the negative sulpharsenite ion. As</w:t>
      </w:r>
      <w:r w:rsidR="00E90CE0" w:rsidRPr="00D93FF9">
        <w:rPr>
          <w:position w:val="-4"/>
          <w:sz w:val="15"/>
          <w:lang w:val="en-GB"/>
        </w:rPr>
        <w:t>2</w:t>
      </w:r>
      <w:r w:rsidR="00E90CE0" w:rsidRPr="00D93FF9">
        <w:rPr>
          <w:lang w:val="en-GB"/>
        </w:rPr>
        <w:t>O</w:t>
      </w:r>
      <w:r w:rsidR="00E90CE0" w:rsidRPr="00D93FF9">
        <w:rPr>
          <w:position w:val="-4"/>
          <w:sz w:val="15"/>
          <w:lang w:val="en-GB"/>
        </w:rPr>
        <w:t xml:space="preserve">3 </w:t>
      </w:r>
      <w:r w:rsidR="00E90CE0" w:rsidRPr="00D93FF9">
        <w:rPr>
          <w:lang w:val="en-GB"/>
        </w:rPr>
        <w:t>(arsenic trioxide, white arsenic) exists in various forms. Representatives of the 5</w:t>
      </w:r>
      <w:r w:rsidR="00E90CE0" w:rsidRPr="00D93FF9">
        <w:rPr>
          <w:position w:val="5"/>
          <w:sz w:val="15"/>
          <w:lang w:val="en-GB"/>
        </w:rPr>
        <w:t xml:space="preserve">+ </w:t>
      </w:r>
      <w:r w:rsidR="00E90CE0" w:rsidRPr="00D93FF9">
        <w:rPr>
          <w:lang w:val="en-GB"/>
        </w:rPr>
        <w:t>oxidation state are As</w:t>
      </w:r>
      <w:r w:rsidR="00E90CE0" w:rsidRPr="00D93FF9">
        <w:rPr>
          <w:position w:val="-4"/>
          <w:sz w:val="15"/>
          <w:lang w:val="en-GB"/>
        </w:rPr>
        <w:t>2</w:t>
      </w:r>
      <w:r w:rsidR="00E90CE0" w:rsidRPr="00D93FF9">
        <w:rPr>
          <w:lang w:val="en-GB"/>
        </w:rPr>
        <w:t>O</w:t>
      </w:r>
      <w:r w:rsidR="00E90CE0" w:rsidRPr="00D93FF9">
        <w:rPr>
          <w:position w:val="-4"/>
          <w:sz w:val="15"/>
          <w:lang w:val="en-GB"/>
        </w:rPr>
        <w:t>5</w:t>
      </w:r>
      <w:r w:rsidR="00E90CE0" w:rsidRPr="00D93FF9">
        <w:rPr>
          <w:lang w:val="en-GB"/>
        </w:rPr>
        <w:t>, (arsenic pentoxide), As</w:t>
      </w:r>
      <w:r w:rsidR="00E90CE0" w:rsidRPr="00D93FF9">
        <w:rPr>
          <w:position w:val="-4"/>
          <w:sz w:val="15"/>
          <w:lang w:val="en-GB"/>
        </w:rPr>
        <w:t>2</w:t>
      </w:r>
      <w:r w:rsidR="00E90CE0" w:rsidRPr="00D93FF9">
        <w:rPr>
          <w:lang w:val="en-GB"/>
        </w:rPr>
        <w:t>S</w:t>
      </w:r>
      <w:r w:rsidR="00E90CE0" w:rsidRPr="00D93FF9">
        <w:rPr>
          <w:position w:val="-4"/>
          <w:sz w:val="15"/>
          <w:lang w:val="en-GB"/>
        </w:rPr>
        <w:t xml:space="preserve">5 </w:t>
      </w:r>
      <w:r w:rsidR="00E90CE0" w:rsidRPr="00D93FF9">
        <w:rPr>
          <w:lang w:val="en-GB"/>
        </w:rPr>
        <w:t>(arsenic pentasulphide), As</w:t>
      </w:r>
      <w:r w:rsidR="00E90CE0" w:rsidRPr="00D93FF9">
        <w:rPr>
          <w:position w:val="-4"/>
          <w:sz w:val="15"/>
          <w:lang w:val="en-GB"/>
        </w:rPr>
        <w:t>2</w:t>
      </w:r>
      <w:r w:rsidR="00E90CE0" w:rsidRPr="00D93FF9">
        <w:rPr>
          <w:lang w:val="en-GB"/>
        </w:rPr>
        <w:t>Se</w:t>
      </w:r>
      <w:r w:rsidR="00E90CE0" w:rsidRPr="00D93FF9">
        <w:rPr>
          <w:position w:val="-4"/>
          <w:sz w:val="15"/>
          <w:lang w:val="en-GB"/>
        </w:rPr>
        <w:t xml:space="preserve">5 </w:t>
      </w:r>
      <w:r w:rsidR="00E90CE0" w:rsidRPr="00D93FF9">
        <w:rPr>
          <w:lang w:val="en-GB"/>
        </w:rPr>
        <w:t>(arsenic pentaselenide) and arsenates.</w:t>
      </w:r>
      <w:bookmarkStart w:id="234" w:name="9.2.5.5__Beryllium"/>
      <w:bookmarkEnd w:id="234"/>
      <w:r w:rsidR="007D79E0" w:rsidRPr="00D93FF9">
        <w:rPr>
          <w:rFonts w:ascii="Arial"/>
          <w:sz w:val="20"/>
          <w:lang w:val="en-GB"/>
        </w:rPr>
        <w:t xml:space="preserve"> </w:t>
      </w:r>
    </w:p>
    <w:p w14:paraId="59DCD1D0" w14:textId="77777777" w:rsidR="00C46175" w:rsidRPr="00D93FF9" w:rsidRDefault="00E811B8" w:rsidP="009925D5">
      <w:pPr>
        <w:pStyle w:val="Heading5"/>
        <w:rPr>
          <w:lang w:val="en-GB"/>
        </w:rPr>
      </w:pPr>
      <w:r w:rsidRPr="00D93FF9">
        <w:rPr>
          <w:lang w:val="en-GB"/>
        </w:rPr>
        <w:t>Crop yield and quality considerations</w:t>
      </w:r>
    </w:p>
    <w:p w14:paraId="59DCD1D1" w14:textId="24644A52" w:rsidR="00727828" w:rsidRPr="00D93FF9" w:rsidRDefault="00E811B8" w:rsidP="003807A1">
      <w:pPr>
        <w:pStyle w:val="BodyText"/>
        <w:spacing w:after="0" w:line="266" w:lineRule="auto"/>
        <w:jc w:val="both"/>
      </w:pPr>
      <w:r w:rsidRPr="00D93FF9">
        <w:t xml:space="preserve">Arsenic in irrigation water can be from natural sources and mining/industrial/agricultural wastes </w:t>
      </w:r>
      <w:r w:rsidRPr="00D93FF9">
        <w:fldChar w:fldCharType="begin"/>
      </w:r>
      <w:r w:rsidR="007C2051" w:rsidRPr="00D93FF9">
        <w:instrText xml:space="preserve"> ADDIN ZOTERO_ITEM CSL_CITATION {"citationID":"d5YB8qVW","properties":{"formattedCitation":"(NHMRC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fldChar w:fldCharType="separate"/>
      </w:r>
      <w:r w:rsidR="007C2051" w:rsidRPr="00D93FF9">
        <w:rPr>
          <w:rFonts w:ascii="Calibri" w:hAnsi="Calibri" w:cs="Calibri"/>
        </w:rPr>
        <w:t>(NHMRC and NRMMC 2011)</w:t>
      </w:r>
      <w:r w:rsidRPr="00D93FF9">
        <w:fldChar w:fldCharType="end"/>
      </w:r>
      <w:r w:rsidRPr="00D93FF9">
        <w:t xml:space="preserve">. In surface and groundwater not affected by arsenic mineral deposits or pollution, the concentration of arsenic is generally less than 0.005 mg/L, and have been reported in natural waters to range between 0.001 and 0.002 mg/L. However, in areas with a natural source of Arsenic, the concentration in water has been reported up to 12 mg/L </w:t>
      </w:r>
      <w:r w:rsidRPr="00D93FF9">
        <w:fldChar w:fldCharType="begin"/>
      </w:r>
      <w:r w:rsidR="00BE6DF0" w:rsidRPr="00D93FF9">
        <w:instrText xml:space="preserve"> ADDIN ZOTERO_ITEM CSL_CITATION {"citationID":"z8kZCDD1","properties":{"formattedCitation":"(WHO, 2011)","plainCitation":"(WHO, 2011)","noteIndex":0},"citationItems":[{"id":32942,"uris":["http://zotero.org/users/1938757/items/T6X3VNXP"],"uri":["http://zotero.org/users/1938757/items/T6X3VNXP"],"itemData":{"id":32942,"type":"report","event-place":"Geneva, Switzerland","number":"WHO/SDE/WSH/03.04/75/Rev/1","publisher":"World Health Organization","publisher-place":"Geneva, Switzerland","title":"Arsenic in Drinking-water. Background document for development of WHO Guidelines for Drinking-water Quality.","URL":"https://www.who.int/water_sanitation_health/dwq/chemicals/arsenic.pdf","author":[{"family":"WHO","given":""}],"issued":{"date-parts":[["2011"]]}}}],"schema":"https://github.com/citation-style-language/schema/raw/master/csl-citation.json"} </w:instrText>
      </w:r>
      <w:r w:rsidRPr="00D93FF9">
        <w:fldChar w:fldCharType="separate"/>
      </w:r>
      <w:r w:rsidR="007C2051" w:rsidRPr="00D93FF9">
        <w:rPr>
          <w:rFonts w:ascii="Calibri" w:hAnsi="Calibri" w:cs="Calibri"/>
        </w:rPr>
        <w:t>(WHO 2011)</w:t>
      </w:r>
      <w:r w:rsidRPr="00D93FF9">
        <w:fldChar w:fldCharType="end"/>
      </w:r>
      <w:r w:rsidRPr="00D93FF9">
        <w:t xml:space="preserve">. </w:t>
      </w:r>
    </w:p>
    <w:p w14:paraId="59DCD1D2" w14:textId="4B01A346" w:rsidR="00C46175" w:rsidRPr="00D93FF9" w:rsidRDefault="00E811B8" w:rsidP="003807A1">
      <w:pPr>
        <w:pStyle w:val="BodyText"/>
        <w:spacing w:after="0" w:line="266" w:lineRule="auto"/>
        <w:jc w:val="both"/>
        <w:rPr>
          <w:lang w:val="en-GB"/>
        </w:rPr>
      </w:pPr>
      <w:r w:rsidRPr="00D93FF9">
        <w:rPr>
          <w:lang w:val="en-GB"/>
        </w:rPr>
        <w:t>. Generally, arsenate (arsenic 5</w:t>
      </w:r>
      <w:r w:rsidRPr="00D93FF9">
        <w:rPr>
          <w:position w:val="5"/>
          <w:sz w:val="15"/>
          <w:lang w:val="en-GB"/>
        </w:rPr>
        <w:t>+</w:t>
      </w:r>
      <w:r w:rsidRPr="00D93FF9">
        <w:rPr>
          <w:lang w:val="en-GB"/>
        </w:rPr>
        <w:t>) and arsenite (arsenic 3</w:t>
      </w:r>
      <w:r w:rsidRPr="00D93FF9">
        <w:rPr>
          <w:position w:val="5"/>
          <w:sz w:val="15"/>
          <w:lang w:val="en-GB"/>
        </w:rPr>
        <w:t>+</w:t>
      </w:r>
      <w:r w:rsidRPr="00D93FF9">
        <w:rPr>
          <w:lang w:val="en-GB"/>
        </w:rPr>
        <w:t xml:space="preserve">) are the primary forms of arsenic in the soil. Both arsenate and arsenite are subjected to chemically and/or microbiologically mediated oxidation/reduction and methylation reactions in soils (Masscheleyn et al. 1991). The median arsenic concentration in uncontaminated Australian soils is 5 mg/kg </w:t>
      </w:r>
      <w:r w:rsidR="001939AC" w:rsidRPr="00D93FF9">
        <w:fldChar w:fldCharType="begin"/>
      </w:r>
      <w:r w:rsidR="00BE6DF0" w:rsidRPr="00D93FF9">
        <w:instrText xml:space="preserve"> ADDIN ZOTERO_ITEM CSL_CITATION {"citationID":"gGOdlhA5","properties":{"formattedCitation":"(Smith et al., 2003)","plainCitation":"(Smith et al., 2003)","noteIndex":0},"citationItems":[{"id":32941,"uris":["http://zotero.org/users/1938757/items/Y73FH4V4"],"uri":["http://zotero.org/users/1938757/items/Y73FH4V4"],"itemData":{"id":32941,"type":"article-journal","abstract":"The most common source of elevated As concentrations in the Australian environment are attributable to anthropogenic activities. Mining activities have contributed to the contamination of soil and water primarily in Western Australia and Victoria. However, other anthropogenic activities such as agriculture, forestry and industry have also contaminated soil and water at a localized scale. Currently there are over 1000 As contaminated sites previously used as cattle dips for eradicating cattle ticks. Although As contamination of the environment may be severe enough to limit plant growth there appears to be few other reports identifying the impacts of the contaminants on other organisms, such as fish, mammals and humans. In Australia the impacts of metal/metalloid contamination of the environment are often unnoticed or ignored. However, the impacts of elements such as As may pass unnoticed by the public or regulators due to the perception of the minimal impact a contaminant has on the environment. This paper presents an overview of As in the Australian environment including the sources of As contamination, soil, water and plant As content, and the pathways of exposure.","container-title":"Journal of environmental science and health. Part A, Toxic/hazardous substances &amp; environmental engineering","DOI":"10.1081/ESE-120016891","journalAbbreviation":"Journal of environmental science and health. Part A, Toxic/hazardous substances &amp; environmental engineering","page":"223-39","source":"ResearchGate","title":"Arsenic in Australian Environment: An Overview","title-short":"Arsenic in Australian Environment","volume":"38","author":[{"family":"Smith","given":"Euan"},{"family":"Smith","given":"J"},{"family":"Smith","given":"L"},{"family":"Biswas","given":"Tapas"},{"family":"Correll","given":"Raymond"},{"family":"Naidu","given":"Ravi"}],"issued":{"date-parts":[["2003",2,1]]}}}],"schema":"https://github.com/citation-style-language/schema/raw/master/csl-citation.json"} </w:instrText>
      </w:r>
      <w:r w:rsidR="001939AC" w:rsidRPr="00D93FF9">
        <w:fldChar w:fldCharType="separate"/>
      </w:r>
      <w:r w:rsidR="007C2051" w:rsidRPr="00D93FF9">
        <w:rPr>
          <w:rFonts w:ascii="Calibri" w:hAnsi="Calibri" w:cs="Calibri"/>
        </w:rPr>
        <w:t>(Smith et al. 2003)</w:t>
      </w:r>
      <w:r w:rsidR="001939AC" w:rsidRPr="00D93FF9">
        <w:fldChar w:fldCharType="end"/>
      </w:r>
      <w:r w:rsidR="001939AC" w:rsidRPr="00D93FF9">
        <w:rPr>
          <w:lang w:val="en-GB"/>
        </w:rPr>
        <w:t xml:space="preserve"> </w:t>
      </w:r>
      <w:r w:rsidRPr="00D93FF9">
        <w:rPr>
          <w:lang w:val="en-GB"/>
        </w:rPr>
        <w:t>(</w:t>
      </w:r>
      <w:r w:rsidR="00FE5F61" w:rsidRPr="00D93FF9">
        <w:rPr>
          <w:lang w:val="en-GB"/>
        </w:rPr>
        <w:fldChar w:fldCharType="begin"/>
      </w:r>
      <w:r w:rsidR="00FE5F61" w:rsidRPr="00D93FF9">
        <w:rPr>
          <w:lang w:val="en-GB"/>
        </w:rPr>
        <w:instrText xml:space="preserve"> REF _Ref81393907 \h </w:instrText>
      </w:r>
      <w:r w:rsidR="00D93FF9">
        <w:rPr>
          <w:lang w:val="en-GB"/>
        </w:rPr>
        <w:instrText xml:space="preserve"> \* MERGEFORMAT </w:instrText>
      </w:r>
      <w:r w:rsidR="00FE5F61" w:rsidRPr="00D93FF9">
        <w:rPr>
          <w:lang w:val="en-GB"/>
        </w:rPr>
      </w:r>
      <w:r w:rsidR="00FE5F61" w:rsidRPr="00D93FF9">
        <w:rPr>
          <w:lang w:val="en-GB"/>
        </w:rPr>
        <w:fldChar w:fldCharType="separate"/>
      </w:r>
      <w:r w:rsidR="0069302C" w:rsidRPr="0069302C">
        <w:t xml:space="preserve">Table </w:t>
      </w:r>
      <w:r w:rsidR="0069302C" w:rsidRPr="0069302C">
        <w:rPr>
          <w:noProof/>
        </w:rPr>
        <w:t>22</w:t>
      </w:r>
      <w:r w:rsidR="00FE5F61" w:rsidRPr="00D93FF9">
        <w:rPr>
          <w:lang w:val="en-GB"/>
        </w:rPr>
        <w:fldChar w:fldCharType="end"/>
      </w:r>
      <w:r w:rsidRPr="00D93FF9">
        <w:rPr>
          <w:lang w:val="en-GB"/>
        </w:rPr>
        <w:t xml:space="preserve">). </w:t>
      </w:r>
      <w:r w:rsidR="00047B81" w:rsidRPr="00D93FF9">
        <w:t xml:space="preserve">The most common source of elevated As concentrations in soil in Australia is from mining activities, primarily in Western Australia and Victoria </w:t>
      </w:r>
      <w:r w:rsidR="00047B81" w:rsidRPr="00D93FF9">
        <w:fldChar w:fldCharType="begin"/>
      </w:r>
      <w:r w:rsidR="00BE6DF0" w:rsidRPr="00D93FF9">
        <w:instrText xml:space="preserve"> ADDIN ZOTERO_ITEM CSL_CITATION {"citationID":"YEWsLyUd","properties":{"formattedCitation":"(Smith et al., 2003)","plainCitation":"(Smith et al., 2003)","noteIndex":0},"citationItems":[{"id":32941,"uris":["http://zotero.org/users/1938757/items/Y73FH4V4"],"uri":["http://zotero.org/users/1938757/items/Y73FH4V4"],"itemData":{"id":32941,"type":"article-journal","abstract":"The most common source of elevated As concentrations in the Australian environment are attributable to anthropogenic activities. Mining activities have contributed to the contamination of soil and water primarily in Western Australia and Victoria. However, other anthropogenic activities such as agriculture, forestry and industry have also contaminated soil and water at a localized scale. Currently there are over 1000 As contaminated sites previously used as cattle dips for eradicating cattle ticks. Although As contamination of the environment may be severe enough to limit plant growth there appears to be few other reports identifying the impacts of the contaminants on other organisms, such as fish, mammals and humans. In Australia the impacts of metal/metalloid contamination of the environment are often unnoticed or ignored. However, the impacts of elements such as As may pass unnoticed by the public or regulators due to the perception of the minimal impact a contaminant has on the environment. This paper presents an overview of As in the Australian environment including the sources of As contamination, soil, water and plant As content, and the pathways of exposure.","container-title":"Journal of environmental science and health. Part A, Toxic/hazardous substances &amp; environmental engineering","DOI":"10.1081/ESE-120016891","journalAbbreviation":"Journal of environmental science and health. Part A, Toxic/hazardous substances &amp; environmental engineering","page":"223-39","source":"ResearchGate","title":"Arsenic in Australian Environment: An Overview","title-short":"Arsenic in Australian Environment","volume":"38","author":[{"family":"Smith","given":"Euan"},{"family":"Smith","given":"J"},{"family":"Smith","given":"L"},{"family":"Biswas","given":"Tapas"},{"family":"Correll","given":"Raymond"},{"family":"Naidu","given":"Ravi"}],"issued":{"date-parts":[["2003",2,1]]}}}],"schema":"https://github.com/citation-style-language/schema/raw/master/csl-citation.json"} </w:instrText>
      </w:r>
      <w:r w:rsidR="00047B81" w:rsidRPr="00D93FF9">
        <w:fldChar w:fldCharType="separate"/>
      </w:r>
      <w:r w:rsidR="007C2051" w:rsidRPr="00D93FF9">
        <w:rPr>
          <w:rFonts w:ascii="Calibri" w:hAnsi="Calibri" w:cs="Calibri"/>
        </w:rPr>
        <w:t>(Smith et al. 2003)</w:t>
      </w:r>
      <w:r w:rsidR="00047B81" w:rsidRPr="00D93FF9">
        <w:fldChar w:fldCharType="end"/>
      </w:r>
      <w:r w:rsidR="00047B81" w:rsidRPr="00D93FF9">
        <w:t xml:space="preserve">. Other sources are agriculture (cattle dips), forestry and industry. </w:t>
      </w:r>
      <w:r w:rsidR="00A93174" w:rsidRPr="00D93FF9">
        <w:t xml:space="preserve">In New Zealand, elevated levels of arsenic in soils and waters occur as a result of geothermal activity, exacerbated by geothermal power exploitation, and the past and present use of arsenic-based pesticides </w:t>
      </w:r>
      <w:r w:rsidR="00A93174" w:rsidRPr="00D93FF9">
        <w:fldChar w:fldCharType="begin"/>
      </w:r>
      <w:r w:rsidR="00BE6DF0" w:rsidRPr="00D93FF9">
        <w:instrText xml:space="preserve"> ADDIN ZOTERO_ITEM CSL_CITATION {"citationID":"cm6fKLM4","properties":{"formattedCitation":"(Robinson et al., 2004)","plainCitation":"(Robinson et al., 2004)","noteIndex":0},"citationItems":[{"id":35227,"uris":["http://zotero.org/users/1938757/items/PVWIMBZT"],"uri":["http://zotero.org/users/1938757/items/PVWIMBZT"],"itemData":{"id":35227,"type":"article-journal","abstract":"In New Zealand, elevated levels of arsenic in soils and waters occur as a result of geothermal activity, exacerbated by geothermal power exploitation, and the past and present use of arsenic-based pesticides. Some lakes and rivers in the Taupo Volcanic Zone have arsenic concentrations above the World Health Organisation's (WHO) limit for arsenic in drinking water (0.01 mg/L). Aquatic plants from this region accumulate inordinate amounts of As, in some cases to more than 1000 mg/kg on a dry weight basis, the threshold for arsenic hyperaccumulation. At least one of these species, watercress (Rorippa nasturtium-aquaticum), is consumed by humans. Other aquatic plants may be periodically consumed by stock that have access to waterways. Ground and surface water used for irrigation may lead to accumulation of arsenic in agricultural soils. Historical use of arsenic based pesticides in sheep-dips has resulted in an estimated 50,000 sites contaminated with arsenic and persistent organic pollutants such as dieldrin. Urbanisation of agricultural land has resulted in the belated discovery of arsenic-contaminated residential soils. As well, past pesticide practices in agriculture and horticulture employed arsenic-based compounds. Recent sampling of previously productive soils has uncovered high levels of arsenic in some soils. Soils associated with the production and use of Copper-Chromium-Arsenic (CCA) treated timber also exhibit elevated arsenic concentrations. Wood-waste and timber-treatment sites often contain arsenic hot spots that present a risk to groundwater. The extensive use of CCA-treated posts in agricultural and horticultural systems might lead to the long-term arsenic contamination of New Zealand's productive soils.","source":"ResearchGate","title":"Arsenic in the New Zealand environment","author":[{"family":"Robinson","given":"Brett"},{"family":"Clothier","given":"Brent"},{"family":"Bolan","given":"Nanthi"},{"family":"Mahimairaja","given":"S."},{"family":"Greven","given":"Marc"},{"family":"Moni","given":"Christopher"},{"family":"Marchetti","given":"Monica"},{"family":"Dijssel","given":"Carlo"},{"family":"Milne","given":"Georgina"}],"issued":{"date-parts":[["2004",1,1]]}}}],"schema":"https://github.com/citation-style-language/schema/raw/master/csl-citation.json"} </w:instrText>
      </w:r>
      <w:r w:rsidR="00A93174" w:rsidRPr="00D93FF9">
        <w:fldChar w:fldCharType="separate"/>
      </w:r>
      <w:r w:rsidR="00BE6DF0" w:rsidRPr="00D93FF9">
        <w:rPr>
          <w:rFonts w:ascii="Calibri" w:hAnsi="Calibri" w:cs="Calibri"/>
        </w:rPr>
        <w:t>(Robinson et al. 2004)</w:t>
      </w:r>
      <w:r w:rsidR="00A93174" w:rsidRPr="00D93FF9">
        <w:fldChar w:fldCharType="end"/>
      </w:r>
      <w:r w:rsidR="00A93174" w:rsidRPr="00D93FF9">
        <w:t xml:space="preserve">. </w:t>
      </w:r>
      <w:r w:rsidRPr="00D93FF9">
        <w:rPr>
          <w:lang w:val="en-GB"/>
        </w:rPr>
        <w:t xml:space="preserve">Woolson (1973) reported that vegetable crops did not grow in soils treated with 500 mg arsenic/kg, and crop growth was reduced proportionally at rates of 10 </w:t>
      </w:r>
      <w:r w:rsidRPr="00D93FF9">
        <w:rPr>
          <w:spacing w:val="-3"/>
          <w:lang w:val="en-GB"/>
        </w:rPr>
        <w:t xml:space="preserve">mg/kg, </w:t>
      </w:r>
      <w:r w:rsidRPr="00D93FF9">
        <w:rPr>
          <w:lang w:val="en-GB"/>
        </w:rPr>
        <w:t xml:space="preserve">50 mg/kg and 100 </w:t>
      </w:r>
      <w:r w:rsidRPr="00D93FF9">
        <w:rPr>
          <w:spacing w:val="-3"/>
          <w:lang w:val="en-GB"/>
        </w:rPr>
        <w:t xml:space="preserve">mg/kg. </w:t>
      </w:r>
      <w:r w:rsidRPr="00D93FF9">
        <w:rPr>
          <w:lang w:val="en-GB"/>
        </w:rPr>
        <w:t xml:space="preserve">The main effect of toxic amounts of arsenic appears to be the destruction of chlorophyll in the foliage, a consequence of inhibition of reductase enzymes (McKee </w:t>
      </w:r>
      <w:r w:rsidR="00FA6E9E" w:rsidRPr="00D93FF9">
        <w:rPr>
          <w:lang w:val="en-GB"/>
        </w:rPr>
        <w:t>and</w:t>
      </w:r>
      <w:r w:rsidRPr="00D93FF9">
        <w:rPr>
          <w:lang w:val="en-GB"/>
        </w:rPr>
        <w:t xml:space="preserve"> Wolf 1963). Nutrient solutions containing 0.5–10 mg/L (depending on plant species) can result in toxic effects on crops (NAS</w:t>
      </w:r>
      <w:r w:rsidR="00DA66A8" w:rsidRPr="00D93FF9">
        <w:rPr>
          <w:lang w:val="en-GB"/>
        </w:rPr>
        <w:t xml:space="preserve"> </w:t>
      </w:r>
      <w:r w:rsidR="00FA6E9E" w:rsidRPr="00D93FF9">
        <w:rPr>
          <w:lang w:val="en-GB"/>
        </w:rPr>
        <w:t>and</w:t>
      </w:r>
      <w:r w:rsidR="002A11BB" w:rsidRPr="00D93FF9">
        <w:rPr>
          <w:lang w:val="en-GB"/>
        </w:rPr>
        <w:t xml:space="preserve"> </w:t>
      </w:r>
      <w:r w:rsidRPr="00D93FF9">
        <w:rPr>
          <w:lang w:val="en-GB"/>
        </w:rPr>
        <w:t xml:space="preserve">NAE 1973). </w:t>
      </w:r>
      <w:r w:rsidR="00047B81" w:rsidRPr="00D93FF9">
        <w:t xml:space="preserve">Efroymson et al. </w:t>
      </w:r>
      <w:r w:rsidR="00047B81" w:rsidRPr="00D93FF9">
        <w:fldChar w:fldCharType="begin"/>
      </w:r>
      <w:r w:rsidR="00BE6DF0" w:rsidRPr="00D93FF9">
        <w:instrText xml:space="preserve"> ADDIN ZOTERO_ITEM CSL_CITATION {"citationID":"WosU3juG","properties":{"formattedCitation":"(1997b)","plainCitation":"(1997b)","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II","given":"GW"},{"family":"Wooten","given":"A.C."}],"issued":{"date-parts":[["1997"]]}},"suppress-author":true}],"schema":"https://github.com/citation-style-language/schema/raw/master/csl-citation.json"} </w:instrText>
      </w:r>
      <w:r w:rsidR="00047B81" w:rsidRPr="00D93FF9">
        <w:fldChar w:fldCharType="separate"/>
      </w:r>
      <w:r w:rsidR="00047B81" w:rsidRPr="00D93FF9">
        <w:t>(1997b)</w:t>
      </w:r>
      <w:r w:rsidR="00047B81" w:rsidRPr="00D93FF9">
        <w:fldChar w:fldCharType="end"/>
      </w:r>
      <w:r w:rsidR="00047B81" w:rsidRPr="00D93FF9">
        <w:t xml:space="preserve"> </w:t>
      </w:r>
      <w:r w:rsidRPr="00D93FF9">
        <w:rPr>
          <w:lang w:val="en-GB"/>
        </w:rPr>
        <w:t xml:space="preserve">derived a solution concentration phytotoxicity benchmark for arsenic of 0.001 mg/L. These studies indicate that as well as phytotoxicity resulting from elevated soil arsenic concentrations, there is the potential for direct phytotoxicity to crops of arsenic in irrigation waters. The </w:t>
      </w:r>
      <w:r w:rsidR="00047B81" w:rsidRPr="00D93FF9">
        <w:rPr>
          <w:lang w:val="en-GB"/>
        </w:rPr>
        <w:t xml:space="preserve">DGV </w:t>
      </w:r>
      <w:r w:rsidRPr="00D93FF9">
        <w:rPr>
          <w:lang w:val="en-GB"/>
        </w:rPr>
        <w:t xml:space="preserve">and </w:t>
      </w:r>
      <w:r w:rsidR="00047B81" w:rsidRPr="00D93FF9">
        <w:rPr>
          <w:lang w:val="en-GB"/>
        </w:rPr>
        <w:t xml:space="preserve">SGV </w:t>
      </w:r>
      <w:r w:rsidRPr="00D93FF9">
        <w:rPr>
          <w:lang w:val="en-GB"/>
        </w:rPr>
        <w:t xml:space="preserve">for irrigation waters have therefore been derived to protect crops from the direct phytotoxic effects of arsenic in irrigation waters. Existing environmental guidelines for arsenic </w:t>
      </w:r>
      <w:r w:rsidR="00047B81" w:rsidRPr="00D93FF9">
        <w:rPr>
          <w:lang w:val="en-GB"/>
        </w:rPr>
        <w:fldChar w:fldCharType="begin"/>
      </w:r>
      <w:r w:rsidR="00BE6DF0" w:rsidRPr="00D93FF9">
        <w:rPr>
          <w:lang w:val="en-GB"/>
        </w:rPr>
        <w:instrText xml:space="preserve"> ADDIN ZOTERO_ITEM CSL_CITATION {"citationID":"jWQP1Mvc","properties":{"formattedCitation":"(NRMMC, 2004)","plainCitation":"(NRMMC, 2004)","noteIndex":0},"citationItems":[{"id":32531,"uris":["http://zotero.org/users/1938757/items/RRFLTGG5"],"uri":["http://zotero.org/users/1938757/items/RRFLTGG5"],"itemData":{"id":32531,"type":"report","event-place":"Canberra","publisher":"National Water Quality Management Strategy, Natural Resource Management Ministerial Council","publisher-place":"Canberra","title":"Guidelines for Sewerage Systems. Sewerage System Overflows","URL":"https://www.waterquality.gov.au/sites/default/files/documents/sewerage-systems-overflows.pdf","author":[{"family":"NRMMC","given":""}],"issued":{"date-parts":[["2004"]]}}}],"schema":"https://github.com/citation-style-language/schema/raw/master/csl-citation.json"} </w:instrText>
      </w:r>
      <w:r w:rsidR="00047B81" w:rsidRPr="00D93FF9">
        <w:rPr>
          <w:lang w:val="en-GB"/>
        </w:rPr>
        <w:fldChar w:fldCharType="separate"/>
      </w:r>
      <w:r w:rsidR="007C2051" w:rsidRPr="00D93FF9">
        <w:rPr>
          <w:rFonts w:ascii="Calibri" w:hAnsi="Calibri" w:cs="Calibri"/>
        </w:rPr>
        <w:t>(NRMMC 2004)</w:t>
      </w:r>
      <w:r w:rsidR="00047B81" w:rsidRPr="00D93FF9">
        <w:rPr>
          <w:lang w:val="en-GB"/>
        </w:rPr>
        <w:fldChar w:fldCharType="end"/>
      </w:r>
      <w:r w:rsidR="00047B81" w:rsidRPr="00D93FF9">
        <w:rPr>
          <w:lang w:val="en-GB"/>
        </w:rPr>
        <w:t xml:space="preserve"> </w:t>
      </w:r>
      <w:r w:rsidRPr="00D93FF9">
        <w:rPr>
          <w:lang w:val="en-GB"/>
        </w:rPr>
        <w:t>and suitable soil background data have allowed the derivation of a</w:t>
      </w:r>
      <w:r w:rsidR="00047B81" w:rsidRPr="00D93FF9">
        <w:rPr>
          <w:lang w:val="en-GB"/>
        </w:rPr>
        <w:t>n</w:t>
      </w:r>
      <w:r w:rsidRPr="00D93FF9">
        <w:rPr>
          <w:lang w:val="en-GB"/>
        </w:rPr>
        <w:t xml:space="preserve"> </w:t>
      </w:r>
      <w:r w:rsidR="006D735C" w:rsidRPr="00D93FF9">
        <w:rPr>
          <w:lang w:val="en-GB"/>
        </w:rPr>
        <w:t>ACL</w:t>
      </w:r>
      <w:r w:rsidRPr="00D93FF9">
        <w:rPr>
          <w:lang w:val="en-GB"/>
        </w:rPr>
        <w:t xml:space="preserve"> limit for arsenic in</w:t>
      </w:r>
      <w:r w:rsidRPr="00D93FF9">
        <w:rPr>
          <w:spacing w:val="-1"/>
          <w:lang w:val="en-GB"/>
        </w:rPr>
        <w:t xml:space="preserve"> </w:t>
      </w:r>
      <w:r w:rsidRPr="00D93FF9">
        <w:rPr>
          <w:lang w:val="en-GB"/>
        </w:rPr>
        <w:t>soils.</w:t>
      </w:r>
    </w:p>
    <w:p w14:paraId="59DCD1D3" w14:textId="77777777" w:rsidR="00C46175" w:rsidRPr="00D93FF9" w:rsidRDefault="00C46175" w:rsidP="003807A1">
      <w:pPr>
        <w:pStyle w:val="BodyText"/>
        <w:spacing w:after="0"/>
        <w:rPr>
          <w:sz w:val="23"/>
          <w:lang w:val="en-GB"/>
        </w:rPr>
      </w:pPr>
    </w:p>
    <w:p w14:paraId="59DCD1D4" w14:textId="77777777" w:rsidR="00C46175" w:rsidRPr="00D93FF9" w:rsidRDefault="00E811B8" w:rsidP="00EF411C">
      <w:pPr>
        <w:pStyle w:val="Heading3"/>
        <w:rPr>
          <w:lang w:val="en-GB"/>
        </w:rPr>
      </w:pPr>
      <w:bookmarkStart w:id="235" w:name="_Toc96693583"/>
      <w:r w:rsidRPr="00D93FF9">
        <w:rPr>
          <w:lang w:val="en-GB"/>
        </w:rPr>
        <w:t>Beryllium</w:t>
      </w:r>
      <w:bookmarkEnd w:id="235"/>
    </w:p>
    <w:p w14:paraId="59DCD1D5" w14:textId="77777777" w:rsidR="00C46175" w:rsidRPr="00D93FF9" w:rsidRDefault="00E811B8" w:rsidP="00EC7846">
      <w:pPr>
        <w:pStyle w:val="Heading5"/>
        <w:spacing w:before="200" w:after="200" w:line="245" w:lineRule="auto"/>
        <w:ind w:left="284"/>
        <w:rPr>
          <w:i/>
          <w:iCs/>
          <w:lang w:val="en-GB"/>
        </w:rPr>
      </w:pPr>
      <w:r w:rsidRPr="00D93FF9">
        <w:rPr>
          <w:i/>
          <w:iCs/>
          <w:lang w:val="en-GB"/>
        </w:rPr>
        <w:t>It is recommended that the concentration of beryllium in irrigation waters and soils should be less than the 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1D8" w14:textId="77777777" w:rsidTr="00EC7846">
        <w:trPr>
          <w:trHeight w:val="318"/>
        </w:trPr>
        <w:tc>
          <w:tcPr>
            <w:tcW w:w="6240" w:type="dxa"/>
          </w:tcPr>
          <w:p w14:paraId="59DCD1D6"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1D7"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0.1 mg/L</w:t>
            </w:r>
          </w:p>
        </w:tc>
      </w:tr>
      <w:tr w:rsidR="00BE3AA8" w:rsidRPr="00D93FF9" w14:paraId="59DCD1DB" w14:textId="77777777" w:rsidTr="00EC7846">
        <w:trPr>
          <w:trHeight w:val="318"/>
        </w:trPr>
        <w:tc>
          <w:tcPr>
            <w:tcW w:w="6240" w:type="dxa"/>
          </w:tcPr>
          <w:p w14:paraId="59DCD1D9"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1DA"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0.5 mg/L</w:t>
            </w:r>
          </w:p>
        </w:tc>
      </w:tr>
      <w:tr w:rsidR="00BE3AA8" w:rsidRPr="00D93FF9" w14:paraId="59DCD1DE" w14:textId="77777777" w:rsidTr="00EC7846">
        <w:trPr>
          <w:trHeight w:val="318"/>
        </w:trPr>
        <w:tc>
          <w:tcPr>
            <w:tcW w:w="6240" w:type="dxa"/>
          </w:tcPr>
          <w:p w14:paraId="59DCD1DC"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1DD"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Not determined</w:t>
            </w:r>
          </w:p>
        </w:tc>
      </w:tr>
    </w:tbl>
    <w:p w14:paraId="59DCD1DF" w14:textId="77777777" w:rsidR="00C46175" w:rsidRPr="00D93FF9" w:rsidRDefault="00C46175" w:rsidP="003807A1">
      <w:pPr>
        <w:pStyle w:val="BodyText"/>
        <w:spacing w:after="0"/>
        <w:rPr>
          <w:b/>
          <w:i/>
          <w:sz w:val="24"/>
          <w:lang w:val="en-GB"/>
        </w:rPr>
      </w:pPr>
    </w:p>
    <w:p w14:paraId="59DCD1E0" w14:textId="77777777" w:rsidR="00C46175" w:rsidRPr="00D93FF9" w:rsidRDefault="00E811B8" w:rsidP="003807A1">
      <w:pPr>
        <w:spacing w:after="0"/>
        <w:rPr>
          <w:lang w:val="en-GB"/>
        </w:rPr>
      </w:pPr>
      <w:r w:rsidRPr="00D93FF9">
        <w:rPr>
          <w:lang w:val="en-GB"/>
        </w:rPr>
        <w:t>Beryllium is commonly found in silicate and oxide minerals, predominantly as beryl, a beryllium aluminium silicate. The silicate and carbonate forms are insoluble in water and are generally bound tightly to sediments.</w:t>
      </w:r>
    </w:p>
    <w:p w14:paraId="59DCD1E1" w14:textId="77777777" w:rsidR="00C46175" w:rsidRPr="00D93FF9" w:rsidRDefault="00E811B8" w:rsidP="009925D5">
      <w:pPr>
        <w:pStyle w:val="Heading5"/>
        <w:rPr>
          <w:lang w:val="en-GB"/>
        </w:rPr>
      </w:pPr>
      <w:r w:rsidRPr="00D93FF9">
        <w:rPr>
          <w:lang w:val="en-GB"/>
        </w:rPr>
        <w:lastRenderedPageBreak/>
        <w:t xml:space="preserve">Crop yield and </w:t>
      </w:r>
      <w:r w:rsidRPr="00D93FF9">
        <w:t>quality</w:t>
      </w:r>
      <w:r w:rsidRPr="00D93FF9">
        <w:rPr>
          <w:lang w:val="en-GB"/>
        </w:rPr>
        <w:t xml:space="preserve"> considerations</w:t>
      </w:r>
    </w:p>
    <w:p w14:paraId="59DCD1E2" w14:textId="6AAF5B9C" w:rsidR="00AD41F3" w:rsidRPr="00D93FF9" w:rsidRDefault="00E811B8" w:rsidP="003807A1">
      <w:pPr>
        <w:pStyle w:val="BodyText"/>
        <w:spacing w:after="0" w:line="266" w:lineRule="auto"/>
        <w:jc w:val="both"/>
      </w:pPr>
      <w:r w:rsidRPr="00D93FF9">
        <w:t xml:space="preserve">In Australian river waters, the concentration of Beryllium is reported to be &lt; 0.00001 to 0.00012 mg/L (10–30 ng/L average) </w:t>
      </w:r>
      <w:r w:rsidRPr="00D93FF9">
        <w:fldChar w:fldCharType="begin"/>
      </w:r>
      <w:r w:rsidR="007C2051" w:rsidRPr="00D93FF9">
        <w:instrText xml:space="preserve"> ADDIN ZOTERO_ITEM CSL_CITATION {"citationID":"buxDZAdE","properties":{"formattedCitation":"(NHMRC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fldChar w:fldCharType="separate"/>
      </w:r>
      <w:r w:rsidR="007C2051" w:rsidRPr="00D93FF9">
        <w:rPr>
          <w:rFonts w:ascii="Calibri" w:hAnsi="Calibri" w:cs="Calibri"/>
        </w:rPr>
        <w:t>(NHMRC and NRMMC 2011)</w:t>
      </w:r>
      <w:r w:rsidRPr="00D93FF9">
        <w:fldChar w:fldCharType="end"/>
      </w:r>
      <w:r w:rsidRPr="00D93FF9">
        <w:t xml:space="preserve">. Beryllium can enter source water through the weathering of rocks, atmospheric deposition, and discharges. The primary source of beryllium in the environment is the burning of fossil fuels. Other less significant sources are slag and ash dumps and industrial wastewater </w:t>
      </w:r>
      <w:r w:rsidRPr="00D93FF9">
        <w:fldChar w:fldCharType="begin"/>
      </w:r>
      <w:r w:rsidR="00BE6DF0" w:rsidRPr="00D93FF9">
        <w:instrText xml:space="preserve"> ADDIN ZOTERO_ITEM CSL_CITATION {"citationID":"y3TZjfVR","properties":{"formattedCitation":"(NHMRC and NRMMC, 2011; Shah et al., 2016)","plainCitation":"(NHMRC and NRMMC, 2011; Shah et al., 2016)","noteIndex":0},"citationItems":[{"id":31763,"uris":["http://zotero.org/users/1938757/items/B4JAB6EL"],"uri":["http://zotero.org/users/1938757/items/B4JAB6EL"],"itemData":{"id":31763,"type":"report","collection-title":"Paper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update"}}},{"id":32937,"uris":["http://zotero.org/users/1938757/items/7UMSN57Z"],"uri":["http://zotero.org/users/1938757/items/7UMSN57Z"],"itemData":{"id":32937,"type":"article-journal","abstract":"Beryllium could be a threatening heavy metal pollutant in the agro-ecosystem that may severely affect the performance of crops. Beryllium is used in various industries to make nuclear weapons and reactors, aircraft and space vehicle structures, instruments, and X-ray machines, and its entry into the environment is alarming for the productivity and sustainability of the ecosystem. In this review, we present a contemporary synthesis of the existing data regarding the toxic effects of beryllium on toxicity on biochemical and physiological processes in plants. Moreover, uptake, translocation, and assimilation of beryllium and its interaction with some essential mineral elements are also discussed. Although limited data are available regarding biochemical responses of plants to beryllium toxicity, we tried to clarify some basic physiological and biochemical steps that can be hampered by beryllium in plants. We linked our hypothetical concepts with previous evidence and provide a comprehensive summary of all possible remediation strategies that can be used for plants. Overall, we hope this review will be beneficial due to its practical implications and research directions.","container-title":"Reviews in Environmental Science and Bio/Technology","DOI":"10.1007/s11157-016-9412-z","journalAbbreviation":"Reviews in Environmental Science and Bio/Technology","source":"ResearchGate","title":"Beryllium in the environment: Whether fatal for plant growth?","title-short":"Beryllium in the environment","volume":"15","author":[{"family":"Shah","given":"Adnan"},{"family":"Tanveer","given":"Mohsin"},{"family":"Hussain","given":"Saddam"},{"family":"Yang","given":"Guozheng"}],"issued":{"date-parts":[["2016",12,1]]}}}],"schema":"https://github.com/citation-style-language/schema/raw/master/csl-citation.json"} </w:instrText>
      </w:r>
      <w:r w:rsidRPr="00D93FF9">
        <w:fldChar w:fldCharType="separate"/>
      </w:r>
      <w:r w:rsidR="007C2051" w:rsidRPr="00D93FF9">
        <w:rPr>
          <w:rFonts w:ascii="Calibri" w:hAnsi="Calibri" w:cs="Calibri"/>
        </w:rPr>
        <w:t>(NHMRC and NRMMC 2011; Shah et al. 2016)</w:t>
      </w:r>
      <w:r w:rsidRPr="00D93FF9">
        <w:fldChar w:fldCharType="end"/>
      </w:r>
      <w:r w:rsidRPr="00D93FF9">
        <w:t>.</w:t>
      </w:r>
    </w:p>
    <w:p w14:paraId="59DCD1E3" w14:textId="67ACE1EF" w:rsidR="00AD41F3" w:rsidRPr="00D93FF9" w:rsidRDefault="00E811B8" w:rsidP="003807A1">
      <w:pPr>
        <w:pStyle w:val="BodyText"/>
        <w:spacing w:after="0" w:line="266" w:lineRule="auto"/>
      </w:pPr>
      <w:r w:rsidRPr="00D93FF9">
        <w:t xml:space="preserve">Beryllium concentrations in surface soils worldwide are typically 0.58 to 3.52 mg/kg and can range up to 60 mg/kg </w:t>
      </w:r>
      <w:r w:rsidRPr="00D93FF9">
        <w:fldChar w:fldCharType="begin"/>
      </w:r>
      <w:r w:rsidR="00BE6DF0" w:rsidRPr="00D93FF9">
        <w:instrText xml:space="preserve"> ADDIN ZOTERO_ITEM CSL_CITATION {"citationID":"T5qx9YLN","properties":{"formattedCitation":"(Shah et al., 2016)","plainCitation":"(Shah et al., 2016)","noteIndex":0},"citationItems":[{"id":32937,"uris":["http://zotero.org/users/1938757/items/7UMSN57Z"],"uri":["http://zotero.org/users/1938757/items/7UMSN57Z"],"itemData":{"id":32937,"type":"article-journal","abstract":"Beryllium could be a threatening heavy metal pollutant in the agro-ecosystem that may severely affect the performance of crops. Beryllium is used in various industries to make nuclear weapons and reactors, aircraft and space vehicle structures, instruments, and X-ray machines, and its entry into the environment is alarming for the productivity and sustainability of the ecosystem. In this review, we present a contemporary synthesis of the existing data regarding the toxic effects of beryllium on toxicity on biochemical and physiological processes in plants. Moreover, uptake, translocation, and assimilation of beryllium and its interaction with some essential mineral elements are also discussed. Although limited data are available regarding biochemical responses of plants to beryllium toxicity, we tried to clarify some basic physiological and biochemical steps that can be hampered by beryllium in plants. We linked our hypothetical concepts with previous evidence and provide a comprehensive summary of all possible remediation strategies that can be used for plants. Overall, we hope this review will be beneficial due to its practical implications and research directions.","container-title":"Reviews in Environmental Science and Bio/Technology","DOI":"10.1007/s11157-016-9412-z","journalAbbreviation":"Reviews in Environmental Science and Bio/Technology","source":"ResearchGate","title":"Beryllium in the environment: Whether fatal for plant growth?","title-short":"Beryllium in the environment","volume":"15","author":[{"family":"Shah","given":"Adnan"},{"family":"Tanveer","given":"Mohsin"},{"family":"Hussain","given":"Saddam"},{"family":"Yang","given":"Guozheng"}],"issued":{"date-parts":[["2016",12,1]]}}}],"schema":"https://github.com/citation-style-language/schema/raw/master/csl-citation.json"} </w:instrText>
      </w:r>
      <w:r w:rsidRPr="00D93FF9">
        <w:fldChar w:fldCharType="separate"/>
      </w:r>
      <w:r w:rsidR="007C2051" w:rsidRPr="00D93FF9">
        <w:rPr>
          <w:rFonts w:ascii="Calibri" w:hAnsi="Calibri" w:cs="Calibri"/>
        </w:rPr>
        <w:t>(Shah et al. 2016)</w:t>
      </w:r>
      <w:r w:rsidRPr="00D93FF9">
        <w:fldChar w:fldCharType="end"/>
      </w:r>
      <w:r w:rsidRPr="00D93FF9">
        <w:t>.</w:t>
      </w:r>
    </w:p>
    <w:p w14:paraId="59DCD1E4" w14:textId="6ABCB61F" w:rsidR="00C46175" w:rsidRPr="00D93FF9" w:rsidRDefault="00E811B8" w:rsidP="003807A1">
      <w:pPr>
        <w:pStyle w:val="BodyText"/>
        <w:spacing w:after="0" w:line="264" w:lineRule="auto"/>
        <w:jc w:val="both"/>
        <w:rPr>
          <w:rFonts w:ascii="Arial"/>
          <w:sz w:val="20"/>
          <w:lang w:val="en-GB"/>
        </w:rPr>
      </w:pPr>
      <w:r w:rsidRPr="00D93FF9">
        <w:rPr>
          <w:lang w:val="en-GB"/>
        </w:rPr>
        <w:t xml:space="preserve">Beryllium is toxic to both animals and plants. There </w:t>
      </w:r>
      <w:r w:rsidR="00E8509E" w:rsidRPr="00D93FF9">
        <w:rPr>
          <w:lang w:val="en-GB"/>
        </w:rPr>
        <w:t>is</w:t>
      </w:r>
      <w:r w:rsidRPr="00D93FF9">
        <w:rPr>
          <w:lang w:val="en-GB"/>
        </w:rPr>
        <w:t xml:space="preserve"> no primary research data describing the toxicity of beryllium to plants grown in soil. However, in solution culture studies the lowest beryllium concentration at which reductions in germination and vegetative growth were noted was 0.5 mg/L</w:t>
      </w:r>
      <w:r w:rsidR="00E8509E" w:rsidRPr="00D93FF9">
        <w:rPr>
          <w:lang w:val="en-GB"/>
        </w:rPr>
        <w:t xml:space="preserve"> </w:t>
      </w:r>
      <w:r w:rsidR="00E8509E" w:rsidRPr="00D93FF9">
        <w:fldChar w:fldCharType="begin"/>
      </w:r>
      <w:r w:rsidR="00BE6DF0" w:rsidRPr="00D93FF9">
        <w:instrText xml:space="preserve"> ADDIN ZOTERO_ITEM CSL_CITATION {"citationID":"slzg0vWg","properties":{"formattedCitation":"(Efroymson et al., 1997b)","plainCitation":"(Efroymson et al., 1997b)","noteIndex":0},"citationItems":[{"id":33251,"uris":["http://zotero.org/users/1938757/items/IRVGAJHK"],"uri":["http://zotero.org/users/1938757/items/IRVGAJHK"],"itemData":{"id":33251,"type":"report","event-place":"Oak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II","given":"GW"},{"family":"Wooten","given":"A.C."}],"issued":{"date-parts":[["1997"]]}}}],"schema":"https://github.com/citation-style-language/schema/raw/master/csl-citation.json"} </w:instrText>
      </w:r>
      <w:r w:rsidR="00E8509E" w:rsidRPr="00D93FF9">
        <w:fldChar w:fldCharType="separate"/>
      </w:r>
      <w:r w:rsidR="007C2051" w:rsidRPr="00D93FF9">
        <w:rPr>
          <w:rFonts w:ascii="Calibri" w:hAnsi="Calibri" w:cs="Calibri"/>
        </w:rPr>
        <w:t>(Efroymson et al. 1997b)</w:t>
      </w:r>
      <w:r w:rsidR="00E8509E" w:rsidRPr="00D93FF9">
        <w:fldChar w:fldCharType="end"/>
      </w:r>
      <w:r w:rsidRPr="00D93FF9">
        <w:rPr>
          <w:lang w:val="en-GB"/>
        </w:rPr>
        <w:t xml:space="preserve">. Romney and Childress (1965) reported that 2 mg/L in nutrient solutions reduced the growth of various plant species. Toxicity is likely to be greater in acid soils (Williams </w:t>
      </w:r>
      <w:r w:rsidR="00FA6E9E" w:rsidRPr="00D93FF9">
        <w:rPr>
          <w:lang w:val="en-GB"/>
        </w:rPr>
        <w:t>and</w:t>
      </w:r>
      <w:r w:rsidRPr="00D93FF9">
        <w:rPr>
          <w:lang w:val="en-GB"/>
        </w:rPr>
        <w:t xml:space="preserve"> LeRiche 1968). The translocation of beryllium from the roots of the plants to the foliage does not occur readily (</w:t>
      </w:r>
      <w:r w:rsidR="00E8509E" w:rsidRPr="00D93FF9">
        <w:fldChar w:fldCharType="begin"/>
      </w:r>
      <w:r w:rsidR="00BE6DF0" w:rsidRPr="00D93FF9">
        <w:instrText xml:space="preserve"> ADDIN ZOTERO_ITEM CSL_CITATION {"citationID":"BNhaHZZd","properties":{"formattedCitation":"(Shah et al. 2016)","plainCitation":"(Shah et al. 2016)","dontUpdate":true,"noteIndex":0},"citationItems":[{"id":32937,"uris":["http://zotero.org/users/1938757/items/7UMSN57Z"],"uri":["http://zotero.org/users/1938757/items/7UMSN57Z"],"itemData":{"id":32937,"type":"article-journal","abstract":"Beryllium could be a threatening heavy metal pollutant in the agro-ecosystem that may severely affect the performance of crops. Beryllium is used in various industries to make nuclear weapons and reactors, aircraft and space vehicle structures, instruments, and X-ray machines, and its entry into the environment is alarming for the productivity and sustainability of the ecosystem. In this review, we present a contemporary synthesis of the existing data regarding the toxic effects of beryllium on toxicity on biochemical and physiological processes in plants. Moreover, uptake, translocation, and assimilation of beryllium and its interaction with some essential mineral elements are also discussed. Although limited data are available regarding biochemical responses of plants to beryllium toxicity, we tried to clarify some basic physiological and biochemical steps that can be hampered by beryllium in plants. We linked our hypothetical concepts with previous evidence and provide a comprehensive summary of all possible remediation strategies that can be used for plants. Overall, we hope this review will be beneficial due to its practical implications and research directions.","container-title":"Reviews in Environmental Science and Bio/Technology","DOI":"10.1007/s11157-016-9412-z","journalAbbreviation":"Reviews in Environmental Science and Bio/Technology","source":"ResearchGate","title":"Beryllium in the environment: Whether fatal for plant growth?","title-short":"Beryllium in the environment","volume":"15","author":[{"family":"Shah","given":"Adnan"},{"family":"Tanveer","given":"Mohsin"},{"family":"Hussain","given":"Saddam"},{"family":"Yang","given":"Guozheng"}],"issued":{"date-parts":[["2016",12,1]]}}}],"schema":"https://github.com/citation-style-language/schema/raw/master/csl-citation.json"} </w:instrText>
      </w:r>
      <w:r w:rsidR="00E8509E" w:rsidRPr="00D93FF9">
        <w:fldChar w:fldCharType="separate"/>
      </w:r>
      <w:r w:rsidR="00E8509E" w:rsidRPr="00D93FF9">
        <w:t>Shah et al. 2016)</w:t>
      </w:r>
      <w:r w:rsidR="00E8509E" w:rsidRPr="00D93FF9">
        <w:fldChar w:fldCharType="end"/>
      </w:r>
      <w:r w:rsidRPr="00D93FF9">
        <w:rPr>
          <w:lang w:val="en-GB"/>
        </w:rPr>
        <w:t xml:space="preserve">. As there </w:t>
      </w:r>
      <w:r w:rsidR="00E8509E" w:rsidRPr="00D93FF9">
        <w:rPr>
          <w:lang w:val="en-GB"/>
        </w:rPr>
        <w:t>is</w:t>
      </w:r>
      <w:r w:rsidRPr="00D93FF9">
        <w:rPr>
          <w:lang w:val="en-GB"/>
        </w:rPr>
        <w:t xml:space="preserve"> no data on background concentrations of beryllium in Australian soils at present, and concentrations in unpolluted waters are expected to be in the </w:t>
      </w:r>
      <w:r w:rsidR="00962EA1" w:rsidRPr="00D93FF9">
        <w:rPr>
          <w:rFonts w:ascii="Symbol" w:hAnsi="Symbol"/>
          <w:lang w:val="en-GB"/>
        </w:rPr>
        <w:sym w:font="Symbol" w:char="F06D"/>
      </w:r>
      <w:r w:rsidRPr="00D93FF9">
        <w:rPr>
          <w:lang w:val="en-GB"/>
        </w:rPr>
        <w:t xml:space="preserve">g/L range, it is not possible at this stage to determine a soil </w:t>
      </w:r>
      <w:r w:rsidR="006D735C" w:rsidRPr="00D93FF9">
        <w:rPr>
          <w:lang w:val="en-GB"/>
        </w:rPr>
        <w:t>ACL</w:t>
      </w:r>
      <w:r w:rsidRPr="00D93FF9">
        <w:rPr>
          <w:lang w:val="en-GB"/>
        </w:rPr>
        <w:t xml:space="preserve"> for</w:t>
      </w:r>
      <w:r w:rsidRPr="00D93FF9">
        <w:rPr>
          <w:spacing w:val="-1"/>
          <w:lang w:val="en-GB"/>
        </w:rPr>
        <w:t xml:space="preserve"> </w:t>
      </w:r>
      <w:r w:rsidRPr="00D93FF9">
        <w:rPr>
          <w:lang w:val="en-GB"/>
        </w:rPr>
        <w:t>beryllium.</w:t>
      </w:r>
      <w:bookmarkStart w:id="236" w:name="9.2.5.6__Boron"/>
      <w:bookmarkEnd w:id="236"/>
      <w:r w:rsidR="00875A3C" w:rsidRPr="00D93FF9">
        <w:rPr>
          <w:rFonts w:ascii="Arial"/>
          <w:sz w:val="20"/>
          <w:lang w:val="en-GB"/>
        </w:rPr>
        <w:t xml:space="preserve"> </w:t>
      </w:r>
    </w:p>
    <w:p w14:paraId="59DCD1E5" w14:textId="77777777" w:rsidR="00C46175" w:rsidRPr="00D93FF9" w:rsidRDefault="00C46175" w:rsidP="003807A1">
      <w:pPr>
        <w:pStyle w:val="BodyText"/>
        <w:spacing w:after="0"/>
        <w:rPr>
          <w:rFonts w:ascii="Arial"/>
          <w:sz w:val="15"/>
          <w:lang w:val="en-GB"/>
        </w:rPr>
      </w:pPr>
    </w:p>
    <w:p w14:paraId="59DCD1E6" w14:textId="77777777" w:rsidR="00C46175" w:rsidRPr="00D93FF9" w:rsidRDefault="00E811B8" w:rsidP="00EF411C">
      <w:pPr>
        <w:pStyle w:val="Heading3"/>
        <w:rPr>
          <w:lang w:val="en-GB"/>
        </w:rPr>
      </w:pPr>
      <w:bookmarkStart w:id="237" w:name="_Ref70500660"/>
      <w:bookmarkStart w:id="238" w:name="_Toc96693584"/>
      <w:r w:rsidRPr="00D93FF9">
        <w:rPr>
          <w:lang w:val="en-GB"/>
        </w:rPr>
        <w:t>Boron</w:t>
      </w:r>
      <w:bookmarkEnd w:id="237"/>
      <w:bookmarkEnd w:id="238"/>
    </w:p>
    <w:p w14:paraId="59DCD1E7" w14:textId="77777777" w:rsidR="00C46175" w:rsidRPr="00D93FF9" w:rsidRDefault="00E811B8" w:rsidP="00EC7846">
      <w:pPr>
        <w:pStyle w:val="Heading5"/>
        <w:spacing w:before="200" w:after="200" w:line="245" w:lineRule="auto"/>
        <w:ind w:left="284"/>
        <w:rPr>
          <w:i/>
          <w:iCs/>
          <w:lang w:val="en-GB"/>
        </w:rPr>
      </w:pPr>
      <w:r w:rsidRPr="00D93FF9">
        <w:rPr>
          <w:i/>
          <w:iCs/>
          <w:lang w:val="en-GB"/>
        </w:rPr>
        <w:t>It is recommended that the concentration of boron in irrigation waters and soils should be less than the following:</w:t>
      </w:r>
    </w:p>
    <w:tbl>
      <w:tblPr>
        <w:tblW w:w="8775"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5587"/>
        <w:gridCol w:w="3188"/>
      </w:tblGrid>
      <w:tr w:rsidR="00BE3AA8" w:rsidRPr="00D93FF9" w14:paraId="59DCD1EA" w14:textId="77777777" w:rsidTr="0081691F">
        <w:trPr>
          <w:trHeight w:val="252"/>
        </w:trPr>
        <w:tc>
          <w:tcPr>
            <w:tcW w:w="5587" w:type="dxa"/>
          </w:tcPr>
          <w:p w14:paraId="59DCD1E8"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3188" w:type="dxa"/>
          </w:tcPr>
          <w:p w14:paraId="59DCD1E9"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0.5 mg/L</w:t>
            </w:r>
          </w:p>
        </w:tc>
      </w:tr>
      <w:tr w:rsidR="00BE3AA8" w:rsidRPr="00D93FF9" w14:paraId="59DCD1ED" w14:textId="77777777" w:rsidTr="009B0D17">
        <w:trPr>
          <w:trHeight w:val="255"/>
        </w:trPr>
        <w:tc>
          <w:tcPr>
            <w:tcW w:w="5587" w:type="dxa"/>
          </w:tcPr>
          <w:p w14:paraId="59DCD1EB" w14:textId="77777777" w:rsidR="008E4C22" w:rsidRPr="00D93FF9" w:rsidRDefault="00E811B8" w:rsidP="003807A1">
            <w:pPr>
              <w:pStyle w:val="TableParagraph"/>
              <w:tabs>
                <w:tab w:val="left" w:pos="4679"/>
              </w:tabs>
              <w:spacing w:before="0" w:after="0"/>
              <w:rPr>
                <w:rFonts w:asciiTheme="minorHAnsi" w:hAnsiTheme="minorHAnsi" w:cstheme="minorHAnsi"/>
                <w:b/>
                <w:sz w:val="18"/>
                <w:szCs w:val="18"/>
                <w:lang w:val="en-GB"/>
              </w:rPr>
            </w:pPr>
            <w:r w:rsidRPr="00D93FF9">
              <w:rPr>
                <w:rFonts w:asciiTheme="minorHAnsi" w:hAnsiTheme="minorHAnsi" w:cstheme="minorHAnsi"/>
                <w:sz w:val="18"/>
                <w:szCs w:val="18"/>
                <w:lang w:val="en-GB"/>
              </w:rPr>
              <w:t>SGV Site specific guideline value in</w:t>
            </w:r>
            <w:r w:rsidRPr="00D93FF9">
              <w:rPr>
                <w:rFonts w:asciiTheme="minorHAnsi" w:hAnsiTheme="minorHAnsi" w:cstheme="minorHAnsi"/>
                <w:spacing w:val="-2"/>
                <w:sz w:val="18"/>
                <w:szCs w:val="18"/>
                <w:lang w:val="en-GB"/>
              </w:rPr>
              <w:t xml:space="preserve"> </w:t>
            </w:r>
            <w:r w:rsidRPr="00D93FF9">
              <w:rPr>
                <w:rFonts w:asciiTheme="minorHAnsi" w:hAnsiTheme="minorHAnsi" w:cstheme="minorHAnsi"/>
                <w:sz w:val="18"/>
                <w:szCs w:val="18"/>
                <w:lang w:val="en-GB"/>
              </w:rPr>
              <w:t>irrigation</w:t>
            </w:r>
            <w:r w:rsidRPr="00D93FF9">
              <w:rPr>
                <w:rFonts w:asciiTheme="minorHAnsi" w:hAnsiTheme="minorHAnsi" w:cstheme="minorHAnsi"/>
                <w:spacing w:val="-2"/>
                <w:sz w:val="18"/>
                <w:szCs w:val="18"/>
                <w:lang w:val="en-GB"/>
              </w:rPr>
              <w:t xml:space="preserve"> </w:t>
            </w:r>
            <w:r w:rsidRPr="00D93FF9">
              <w:rPr>
                <w:rFonts w:asciiTheme="minorHAnsi" w:hAnsiTheme="minorHAnsi" w:cstheme="minorHAnsi"/>
                <w:sz w:val="18"/>
                <w:szCs w:val="18"/>
                <w:lang w:val="en-GB"/>
              </w:rPr>
              <w:t>water</w:t>
            </w:r>
          </w:p>
        </w:tc>
        <w:tc>
          <w:tcPr>
            <w:tcW w:w="3188" w:type="dxa"/>
          </w:tcPr>
          <w:p w14:paraId="59DCD1EC" w14:textId="715880DD" w:rsidR="008E4C22" w:rsidRPr="00D93FF9" w:rsidRDefault="00E811B8" w:rsidP="003807A1">
            <w:pPr>
              <w:pStyle w:val="TableParagraph"/>
              <w:spacing w:before="0" w:after="0" w:line="259" w:lineRule="auto"/>
              <w:rPr>
                <w:rFonts w:asciiTheme="minorHAnsi" w:hAnsiTheme="minorHAnsi" w:cstheme="minorHAnsi"/>
                <w:sz w:val="18"/>
                <w:szCs w:val="18"/>
                <w:lang w:val="en-GB"/>
              </w:rPr>
            </w:pPr>
            <w:r w:rsidRPr="00D93FF9">
              <w:rPr>
                <w:rFonts w:asciiTheme="minorHAnsi" w:hAnsiTheme="minorHAnsi" w:cstheme="minorHAnsi"/>
                <w:sz w:val="18"/>
                <w:szCs w:val="18"/>
                <w:lang w:val="en-GB"/>
              </w:rPr>
              <w:t>0.75 to 15mg/L. Refer to values in</w:t>
            </w:r>
            <w:r w:rsidR="003349C9" w:rsidRPr="00D93FF9">
              <w:rPr>
                <w:rFonts w:asciiTheme="minorHAnsi" w:hAnsiTheme="minorHAnsi" w:cstheme="minorHAnsi"/>
                <w:sz w:val="18"/>
                <w:szCs w:val="18"/>
                <w:lang w:val="en-GB"/>
              </w:rPr>
              <w:t xml:space="preserve"> </w:t>
            </w:r>
            <w:r w:rsidR="009B0D17" w:rsidRPr="00D93FF9">
              <w:rPr>
                <w:rFonts w:asciiTheme="minorHAnsi" w:hAnsiTheme="minorHAnsi" w:cstheme="minorHAnsi"/>
                <w:sz w:val="18"/>
                <w:szCs w:val="18"/>
                <w:lang w:val="en-GB"/>
              </w:rPr>
              <w:fldChar w:fldCharType="begin"/>
            </w:r>
            <w:r w:rsidR="009B0D17" w:rsidRPr="00D93FF9">
              <w:rPr>
                <w:rFonts w:asciiTheme="minorHAnsi" w:hAnsiTheme="minorHAnsi" w:cstheme="minorHAnsi"/>
                <w:sz w:val="18"/>
                <w:szCs w:val="18"/>
                <w:lang w:val="en-GB"/>
              </w:rPr>
              <w:instrText xml:space="preserve"> REF _Ref96332870 \h  \* MERGEFORMAT </w:instrText>
            </w:r>
            <w:r w:rsidR="009B0D17" w:rsidRPr="00D93FF9">
              <w:rPr>
                <w:rFonts w:asciiTheme="minorHAnsi" w:hAnsiTheme="minorHAnsi" w:cstheme="minorHAnsi"/>
                <w:sz w:val="18"/>
                <w:szCs w:val="18"/>
                <w:lang w:val="en-GB"/>
              </w:rPr>
            </w:r>
            <w:r w:rsidR="009B0D17" w:rsidRPr="00D93FF9">
              <w:rPr>
                <w:rFonts w:asciiTheme="minorHAnsi" w:hAnsiTheme="minorHAnsi" w:cstheme="minorHAnsi"/>
                <w:sz w:val="18"/>
                <w:szCs w:val="18"/>
                <w:lang w:val="en-GB"/>
              </w:rPr>
              <w:fldChar w:fldCharType="separate"/>
            </w:r>
            <w:r w:rsidR="0069302C">
              <w:rPr>
                <w:rFonts w:asciiTheme="minorHAnsi" w:hAnsiTheme="minorHAnsi" w:cstheme="minorHAnsi"/>
                <w:b/>
                <w:bCs/>
                <w:sz w:val="18"/>
                <w:szCs w:val="18"/>
                <w:lang w:val="en-US"/>
              </w:rPr>
              <w:t>Error! Reference source not found.</w:t>
            </w:r>
            <w:r w:rsidR="009B0D17" w:rsidRPr="00D93FF9">
              <w:rPr>
                <w:rFonts w:asciiTheme="minorHAnsi" w:hAnsiTheme="minorHAnsi" w:cstheme="minorHAnsi"/>
                <w:sz w:val="18"/>
                <w:szCs w:val="18"/>
                <w:lang w:val="en-GB"/>
              </w:rPr>
              <w:fldChar w:fldCharType="end"/>
            </w:r>
          </w:p>
        </w:tc>
      </w:tr>
      <w:tr w:rsidR="00BE3AA8" w:rsidRPr="00D93FF9" w14:paraId="59DCD1F0" w14:textId="77777777" w:rsidTr="0081691F">
        <w:trPr>
          <w:trHeight w:val="252"/>
        </w:trPr>
        <w:tc>
          <w:tcPr>
            <w:tcW w:w="5587" w:type="dxa"/>
          </w:tcPr>
          <w:p w14:paraId="59DCD1EE"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3188" w:type="dxa"/>
          </w:tcPr>
          <w:p w14:paraId="59DCD1EF"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Not determined</w:t>
            </w:r>
          </w:p>
        </w:tc>
      </w:tr>
    </w:tbl>
    <w:p w14:paraId="59DCD1F1" w14:textId="77777777" w:rsidR="00C46175" w:rsidRPr="00D93FF9" w:rsidRDefault="00C46175" w:rsidP="003807A1">
      <w:pPr>
        <w:pStyle w:val="BodyText"/>
        <w:spacing w:after="0"/>
        <w:rPr>
          <w:b/>
          <w:i/>
          <w:sz w:val="24"/>
          <w:lang w:val="en-GB"/>
        </w:rPr>
      </w:pPr>
    </w:p>
    <w:p w14:paraId="59DCD1F2" w14:textId="77777777" w:rsidR="00C46175" w:rsidRPr="00D93FF9" w:rsidRDefault="00E811B8" w:rsidP="003807A1">
      <w:pPr>
        <w:pStyle w:val="BodyText"/>
        <w:spacing w:after="0" w:line="266" w:lineRule="auto"/>
        <w:jc w:val="both"/>
        <w:rPr>
          <w:lang w:val="en-GB"/>
        </w:rPr>
      </w:pPr>
      <w:r w:rsidRPr="00D93FF9">
        <w:rPr>
          <w:lang w:val="en-GB"/>
        </w:rPr>
        <w:t>Boron is present in the environment as borates and borosilicate minerals, such as borax associated with salt deposits in saline lakes, borate and aluminium borosilicate. Boron is commonly associated with saline hydrogeological conditions.</w:t>
      </w:r>
    </w:p>
    <w:p w14:paraId="59DCD1F3" w14:textId="77777777" w:rsidR="00C46175" w:rsidRPr="00D93FF9" w:rsidRDefault="00E811B8" w:rsidP="009925D5">
      <w:pPr>
        <w:pStyle w:val="Heading5"/>
        <w:rPr>
          <w:lang w:val="en-GB"/>
        </w:rPr>
      </w:pPr>
      <w:r w:rsidRPr="00D93FF9">
        <w:rPr>
          <w:lang w:val="en-GB"/>
        </w:rPr>
        <w:t>Crop yield and quality considerations</w:t>
      </w:r>
    </w:p>
    <w:p w14:paraId="59DCD1F4" w14:textId="35D3C972" w:rsidR="00875A3C" w:rsidRPr="00D93FF9" w:rsidRDefault="00E811B8" w:rsidP="003807A1">
      <w:pPr>
        <w:pStyle w:val="BodyText"/>
        <w:spacing w:after="0"/>
      </w:pPr>
      <w:r w:rsidRPr="00D93FF9">
        <w:t xml:space="preserve">The boron concentration in uncontaminated water sources is usually less than 0.5 mg/L </w:t>
      </w:r>
      <w:r w:rsidRPr="00D93FF9">
        <w:fldChar w:fldCharType="begin"/>
      </w:r>
      <w:r w:rsidR="00BE6DF0" w:rsidRPr="00D93FF9">
        <w:instrText xml:space="preserve"> ADDIN ZOTERO_ITEM CSL_CITATION {"citationID":"9sXcTD1t","properties":{"formattedCitation":"(NRMMC et al., 2006; ANZG, 2021)","plainCitation":"(NRMMC et al., 2006; ANZG, 2021)","noteIndex":0},"citationItems":[{"id":3886,"uris":["http://zotero.org/users/1938757/items/MHXN2WMQ"],"uri":["http://zotero.org/users/1938757/items/MHXN2WMQ"],"itemData":{"id":3886,"type":"book","event-place":"Canberra,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id":32931,"uris":["http://zotero.org/users/1938757/items/25JWBDWJ"],"uri":["http://zotero.org/users/1938757/items/25JWBDWJ"],"itemData":{"id":32931,"type":"report","abstract":"ANZG 2021 Australian and New Zealand Guidelines for Fresh and Marine Water Quality. Australian and New Zealand Governments and Australian state and territory governments, Canberra ACT, Australia.  Available at www.waterquality.gov.au/anz-guidelines","event-place":"Canberra, Australia","note":"http://www.waterquality.gov.au/anz-guidelines/resources/key-concepts/indicators#ecosystem-receptors\nSearch...\nhttps://www.waterquality.gov.au/anz-guidelines/guideline-values/default/water-quality-toxicants/search\n\nwww.waterquality.gov.au/anz-guidelines","publisher":"Australian and New Zealand Governments and Australian state and territory governments,","publisher-place":"Canberra, Australia","title":"Australian and New Zealand Guidelines for Fresh and Marine Water Quality. Toxicant default guideline values for protecting aquatic ecosystems","URL":"http://www.waterquality.gov.au/anz-guidelines","author":[{"family":"ANZG","given":""}],"accessed":{"date-parts":[["2021",3,1]]},"issued":{"date-parts":[["2021"]]}}}],"schema":"https://github.com/citation-style-language/schema/raw/master/csl-citation.json"} </w:instrText>
      </w:r>
      <w:r w:rsidRPr="00D93FF9">
        <w:fldChar w:fldCharType="separate"/>
      </w:r>
      <w:r w:rsidR="007C2051" w:rsidRPr="00D93FF9">
        <w:rPr>
          <w:rFonts w:ascii="Calibri" w:hAnsi="Calibri" w:cs="Calibri"/>
        </w:rPr>
        <w:t>(NRMMC et al. 2006; ANZG 2021)</w:t>
      </w:r>
      <w:r w:rsidRPr="00D93FF9">
        <w:fldChar w:fldCharType="end"/>
      </w:r>
      <w:r w:rsidRPr="00D93FF9">
        <w:t xml:space="preserve">. </w:t>
      </w:r>
    </w:p>
    <w:p w14:paraId="59DCD1F5" w14:textId="72528BD2" w:rsidR="005F2A18" w:rsidRPr="00D93FF9" w:rsidRDefault="00E811B8" w:rsidP="00112925">
      <w:pPr>
        <w:pStyle w:val="BodyText"/>
        <w:spacing w:after="0" w:line="266" w:lineRule="auto"/>
        <w:jc w:val="both"/>
        <w:rPr>
          <w:lang w:val="en-GB"/>
        </w:rPr>
      </w:pPr>
      <w:r w:rsidRPr="00D93FF9">
        <w:rPr>
          <w:lang w:val="en-GB"/>
        </w:rPr>
        <w:t>Total concentrations of boron in soils of 10 mg/kg have been shown to cause no adverse effects on plants (</w:t>
      </w:r>
      <w:r w:rsidRPr="00D93FF9">
        <w:rPr>
          <w:lang w:val="en-GB"/>
        </w:rPr>
        <w:fldChar w:fldCharType="begin"/>
      </w:r>
      <w:r w:rsidR="00BE6DF0" w:rsidRPr="00D93FF9">
        <w:instrText xml:space="preserve"> ADDIN ZOTERO_ITEM CSL_CITATION {"citationID":"VPHRgN3X","properties":{"formattedCitation":"(Efroymson et al. 1997b)","plainCitation":"(Efroymson et al. 1997b)","dontUpdate":true,"noteIndex":0},"citationItems":[{"id":33251,"uris":["http://zotero.org/users/1938757/items/IRVGAJHK"],"uri":["http://zotero.org/users/1938757/items/IRVGAJHK"],"itemData":{"id":33251,"type":"report","event-place":"Oak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II","given":"GW"},{"family":"Wooten","given":"A.C."}],"issued":{"date-parts":[["1997"]]}}}],"schema":"https://github.com/citation-style-language/schema/raw/master/csl-citation.json"} </w:instrText>
      </w:r>
      <w:r w:rsidRPr="00D93FF9">
        <w:rPr>
          <w:lang w:val="en-GB"/>
        </w:rPr>
        <w:fldChar w:fldCharType="separate"/>
      </w:r>
      <w:r w:rsidRPr="00D93FF9">
        <w:t>Efroymson et al. 1997b)</w:t>
      </w:r>
      <w:r w:rsidRPr="00D93FF9">
        <w:rPr>
          <w:lang w:val="en-GB"/>
        </w:rPr>
        <w:fldChar w:fldCharType="end"/>
      </w:r>
      <w:r w:rsidRPr="00D93FF9">
        <w:rPr>
          <w:lang w:val="en-GB"/>
        </w:rPr>
        <w:t xml:space="preserve"> who also noted a toxic effect at 0.5 mg/kg. However, unlike the other elements described in this guideline, limits for boron in soil have been set using concentrations determined by hot 0.01M CaCl</w:t>
      </w:r>
      <w:r w:rsidRPr="00D93FF9">
        <w:rPr>
          <w:vertAlign w:val="subscript"/>
          <w:lang w:val="en-GB"/>
        </w:rPr>
        <w:t>2</w:t>
      </w:r>
      <w:r w:rsidRPr="00D93FF9">
        <w:rPr>
          <w:lang w:val="en-GB"/>
        </w:rPr>
        <w:t xml:space="preserve"> extraction, as this relates to the plant </w:t>
      </w:r>
      <w:r w:rsidRPr="00D93FF9">
        <w:rPr>
          <w:spacing w:val="-3"/>
          <w:lang w:val="en-GB"/>
        </w:rPr>
        <w:t xml:space="preserve">available </w:t>
      </w:r>
      <w:r w:rsidRPr="00D93FF9">
        <w:rPr>
          <w:lang w:val="en-GB"/>
        </w:rPr>
        <w:t xml:space="preserve">fraction in soil. </w:t>
      </w:r>
      <w:r w:rsidRPr="00D93FF9">
        <w:rPr>
          <w:spacing w:val="-4"/>
          <w:lang w:val="en-GB"/>
        </w:rPr>
        <w:t xml:space="preserve">In </w:t>
      </w:r>
      <w:r w:rsidRPr="00D93FF9">
        <w:rPr>
          <w:lang w:val="en-GB"/>
        </w:rPr>
        <w:t xml:space="preserve">a </w:t>
      </w:r>
      <w:r w:rsidRPr="00D93FF9">
        <w:rPr>
          <w:spacing w:val="-3"/>
          <w:lang w:val="en-GB"/>
        </w:rPr>
        <w:t xml:space="preserve">survey </w:t>
      </w:r>
      <w:r w:rsidRPr="00D93FF9">
        <w:rPr>
          <w:lang w:val="en-GB"/>
        </w:rPr>
        <w:t xml:space="preserve">of South </w:t>
      </w:r>
      <w:r w:rsidRPr="00D93FF9">
        <w:rPr>
          <w:spacing w:val="-3"/>
          <w:lang w:val="en-GB"/>
        </w:rPr>
        <w:t xml:space="preserve">Australian agricultural </w:t>
      </w:r>
      <w:r w:rsidRPr="00D93FF9">
        <w:rPr>
          <w:lang w:val="en-GB"/>
        </w:rPr>
        <w:t>soils</w:t>
      </w:r>
      <w:r w:rsidR="004F67E3" w:rsidRPr="00D93FF9">
        <w:rPr>
          <w:lang w:val="en-GB"/>
        </w:rPr>
        <w:t>,</w:t>
      </w:r>
      <w:r w:rsidRPr="00D93FF9">
        <w:rPr>
          <w:lang w:val="en-GB"/>
        </w:rPr>
        <w:t xml:space="preserve"> the </w:t>
      </w:r>
      <w:r w:rsidRPr="00D93FF9">
        <w:rPr>
          <w:spacing w:val="-3"/>
          <w:lang w:val="en-GB"/>
        </w:rPr>
        <w:t xml:space="preserve">median concentration </w:t>
      </w:r>
      <w:r w:rsidRPr="00D93FF9">
        <w:rPr>
          <w:lang w:val="en-GB"/>
        </w:rPr>
        <w:t>of CaCl</w:t>
      </w:r>
      <w:r w:rsidRPr="00D93FF9">
        <w:rPr>
          <w:position w:val="-4"/>
          <w:sz w:val="15"/>
          <w:lang w:val="en-GB"/>
        </w:rPr>
        <w:t xml:space="preserve">2 </w:t>
      </w:r>
      <w:r w:rsidRPr="00D93FF9">
        <w:rPr>
          <w:lang w:val="en-GB"/>
        </w:rPr>
        <w:t xml:space="preserve">extractable </w:t>
      </w:r>
      <w:r w:rsidRPr="00D93FF9">
        <w:rPr>
          <w:spacing w:val="-3"/>
          <w:lang w:val="en-GB"/>
        </w:rPr>
        <w:t xml:space="preserve">boron </w:t>
      </w:r>
      <w:r w:rsidRPr="00D93FF9">
        <w:rPr>
          <w:lang w:val="en-GB"/>
        </w:rPr>
        <w:t xml:space="preserve">was </w:t>
      </w:r>
      <w:r w:rsidRPr="00D93FF9">
        <w:rPr>
          <w:spacing w:val="-3"/>
          <w:lang w:val="en-GB"/>
        </w:rPr>
        <w:t xml:space="preserve">0.61 </w:t>
      </w:r>
      <w:r w:rsidRPr="00D93FF9">
        <w:rPr>
          <w:spacing w:val="-4"/>
          <w:lang w:val="en-GB"/>
        </w:rPr>
        <w:t xml:space="preserve">mg/kg </w:t>
      </w:r>
      <w:r w:rsidRPr="00D93FF9">
        <w:rPr>
          <w:lang w:val="en-GB"/>
        </w:rPr>
        <w:t>(</w:t>
      </w:r>
      <w:r w:rsidR="00FE5F61" w:rsidRPr="00D93FF9">
        <w:rPr>
          <w:lang w:val="en-GB"/>
        </w:rPr>
        <w:fldChar w:fldCharType="begin"/>
      </w:r>
      <w:r w:rsidR="00FE5F61" w:rsidRPr="00D93FF9">
        <w:rPr>
          <w:lang w:val="en-GB"/>
        </w:rPr>
        <w:instrText xml:space="preserve"> REF _Ref81393907 \h </w:instrText>
      </w:r>
      <w:r w:rsidR="00D93FF9">
        <w:rPr>
          <w:lang w:val="en-GB"/>
        </w:rPr>
        <w:instrText xml:space="preserve"> \* MERGEFORMAT </w:instrText>
      </w:r>
      <w:r w:rsidR="00FE5F61" w:rsidRPr="00D93FF9">
        <w:rPr>
          <w:lang w:val="en-GB"/>
        </w:rPr>
      </w:r>
      <w:r w:rsidR="00FE5F61" w:rsidRPr="00D93FF9">
        <w:rPr>
          <w:lang w:val="en-GB"/>
        </w:rPr>
        <w:fldChar w:fldCharType="separate"/>
      </w:r>
      <w:r w:rsidR="0069302C" w:rsidRPr="0069302C">
        <w:t xml:space="preserve">Table </w:t>
      </w:r>
      <w:r w:rsidR="0069302C" w:rsidRPr="0069302C">
        <w:rPr>
          <w:noProof/>
        </w:rPr>
        <w:t>22</w:t>
      </w:r>
      <w:r w:rsidR="00FE5F61" w:rsidRPr="00D93FF9">
        <w:rPr>
          <w:lang w:val="en-GB"/>
        </w:rPr>
        <w:fldChar w:fldCharType="end"/>
      </w:r>
      <w:r w:rsidRPr="00D93FF9">
        <w:rPr>
          <w:lang w:val="en-GB"/>
        </w:rPr>
        <w:t xml:space="preserve">), placing these </w:t>
      </w:r>
      <w:r w:rsidRPr="00D93FF9">
        <w:rPr>
          <w:spacing w:val="-3"/>
          <w:lang w:val="en-GB"/>
        </w:rPr>
        <w:t>soils</w:t>
      </w:r>
      <w:r w:rsidRPr="00D93FF9">
        <w:rPr>
          <w:spacing w:val="-24"/>
          <w:lang w:val="en-GB"/>
        </w:rPr>
        <w:t xml:space="preserve"> </w:t>
      </w:r>
      <w:r w:rsidRPr="00D93FF9">
        <w:rPr>
          <w:lang w:val="en-GB"/>
        </w:rPr>
        <w:t xml:space="preserve">just </w:t>
      </w:r>
      <w:r w:rsidRPr="00D93FF9">
        <w:rPr>
          <w:spacing w:val="-3"/>
          <w:lang w:val="en-GB"/>
        </w:rPr>
        <w:t xml:space="preserve">above </w:t>
      </w:r>
      <w:r w:rsidRPr="00D93FF9">
        <w:rPr>
          <w:lang w:val="en-GB"/>
        </w:rPr>
        <w:t xml:space="preserve">the </w:t>
      </w:r>
      <w:r w:rsidRPr="00D93FF9">
        <w:rPr>
          <w:spacing w:val="-3"/>
          <w:lang w:val="en-GB"/>
        </w:rPr>
        <w:t xml:space="preserve">limit </w:t>
      </w:r>
      <w:r w:rsidRPr="00D93FF9">
        <w:rPr>
          <w:lang w:val="en-GB"/>
        </w:rPr>
        <w:t xml:space="preserve">for </w:t>
      </w:r>
      <w:r w:rsidRPr="00D93FF9">
        <w:rPr>
          <w:spacing w:val="-3"/>
          <w:lang w:val="en-GB"/>
        </w:rPr>
        <w:t xml:space="preserve">very sensitive </w:t>
      </w:r>
      <w:r w:rsidRPr="00D93FF9">
        <w:rPr>
          <w:lang w:val="en-GB"/>
        </w:rPr>
        <w:t xml:space="preserve">crops. </w:t>
      </w:r>
    </w:p>
    <w:p w14:paraId="59DCD1F6" w14:textId="18BFD296" w:rsidR="005F2A18" w:rsidRPr="00D93FF9" w:rsidRDefault="00E811B8" w:rsidP="00112925">
      <w:pPr>
        <w:pStyle w:val="BodyText"/>
        <w:spacing w:after="0" w:line="266" w:lineRule="auto"/>
        <w:jc w:val="both"/>
      </w:pPr>
      <w:r w:rsidRPr="00D93FF9">
        <w:t>Boron in relatively small amounts is essential to the normal growth of all plants; however, this element can be toxic when present in excess. Crop species vary both in their boron requirement and in their tolerance to excess boron. A compilation of the tolerances of different plants is provided in</w:t>
      </w:r>
      <w:r w:rsidR="005531DD" w:rsidRPr="00D93FF9">
        <w:t xml:space="preserve"> </w:t>
      </w:r>
      <w:r w:rsidR="009B6F83" w:rsidRPr="00D93FF9">
        <w:fldChar w:fldCharType="begin"/>
      </w:r>
      <w:r w:rsidR="009B6F83" w:rsidRPr="00D93FF9">
        <w:instrText xml:space="preserve"> REF _Ref96332870 \h </w:instrText>
      </w:r>
      <w:r w:rsidR="00D93FF9">
        <w:instrText xml:space="preserve"> \* MERGEFORMAT </w:instrText>
      </w:r>
      <w:r w:rsidR="009B6F83" w:rsidRPr="00D93FF9">
        <w:fldChar w:fldCharType="separate"/>
      </w:r>
      <w:r w:rsidR="0069302C">
        <w:rPr>
          <w:b/>
          <w:bCs/>
          <w:lang w:val="en-US"/>
        </w:rPr>
        <w:t>Error! Reference source not found.</w:t>
      </w:r>
      <w:r w:rsidR="009B6F83" w:rsidRPr="00D93FF9">
        <w:fldChar w:fldCharType="end"/>
      </w:r>
      <w:r w:rsidR="009B6F83" w:rsidRPr="00D93FF9">
        <w:t xml:space="preserve">. </w:t>
      </w:r>
      <w:r w:rsidRPr="00D93FF9">
        <w:t>Boron is generally sorbed onto soil surfaces at alkaline pH values. High boron concentrations in soils have been shown to cause plant toxicity in northern Victoria (Sauer 1958).</w:t>
      </w:r>
    </w:p>
    <w:p w14:paraId="59DCD1F7" w14:textId="3C71BAB1" w:rsidR="00C46175" w:rsidRPr="00D93FF9" w:rsidRDefault="00E811B8" w:rsidP="00112925">
      <w:pPr>
        <w:pStyle w:val="BodyText"/>
        <w:spacing w:after="0" w:line="266" w:lineRule="auto"/>
        <w:jc w:val="both"/>
        <w:rPr>
          <w:lang w:val="en-GB"/>
        </w:rPr>
      </w:pPr>
      <w:bookmarkStart w:id="239" w:name="_Hlk154063190"/>
      <w:r w:rsidRPr="00D93FF9">
        <w:rPr>
          <w:spacing w:val="-4"/>
          <w:lang w:val="en-GB"/>
        </w:rPr>
        <w:lastRenderedPageBreak/>
        <w:t xml:space="preserve">In </w:t>
      </w:r>
      <w:r w:rsidRPr="00D93FF9">
        <w:rPr>
          <w:spacing w:val="-3"/>
          <w:lang w:val="en-GB"/>
        </w:rPr>
        <w:t xml:space="preserve">general, </w:t>
      </w:r>
      <w:r w:rsidRPr="00D93FF9">
        <w:rPr>
          <w:spacing w:val="-4"/>
          <w:lang w:val="en-GB"/>
        </w:rPr>
        <w:t xml:space="preserve">maximum </w:t>
      </w:r>
      <w:r w:rsidR="005F2A18" w:rsidRPr="00D93FF9">
        <w:rPr>
          <w:lang w:val="en-GB"/>
        </w:rPr>
        <w:t xml:space="preserve">boron </w:t>
      </w:r>
      <w:r w:rsidRPr="00D93FF9">
        <w:rPr>
          <w:lang w:val="en-GB"/>
        </w:rPr>
        <w:t>concentrations tolerated</w:t>
      </w:r>
      <w:r w:rsidR="005F2A18" w:rsidRPr="00D93FF9">
        <w:rPr>
          <w:lang w:val="en-GB"/>
        </w:rPr>
        <w:t xml:space="preserve"> </w:t>
      </w:r>
      <w:r w:rsidRPr="00D93FF9">
        <w:rPr>
          <w:lang w:val="en-GB"/>
        </w:rPr>
        <w:t xml:space="preserve">by plants in irrigation water without </w:t>
      </w:r>
      <w:r w:rsidR="005F2A18" w:rsidRPr="00D93FF9">
        <w:rPr>
          <w:lang w:val="en-GB"/>
        </w:rPr>
        <w:t xml:space="preserve">a </w:t>
      </w:r>
      <w:r w:rsidRPr="00D93FF9">
        <w:rPr>
          <w:lang w:val="en-GB"/>
        </w:rPr>
        <w:t xml:space="preserve">reduction in yield or vegetative growth are approximately equal to soil water boron concentrations listed in </w:t>
      </w:r>
      <w:r w:rsidR="001B16FC" w:rsidRPr="00D93FF9">
        <w:rPr>
          <w:lang w:val="en-GB"/>
        </w:rPr>
        <w:fldChar w:fldCharType="begin"/>
      </w:r>
      <w:r w:rsidR="001B16FC" w:rsidRPr="00D93FF9">
        <w:rPr>
          <w:lang w:val="en-GB"/>
        </w:rPr>
        <w:instrText xml:space="preserve"> REF _Ref96518253 \h </w:instrText>
      </w:r>
      <w:r w:rsidR="00D93FF9">
        <w:rPr>
          <w:lang w:val="en-GB"/>
        </w:rPr>
        <w:instrText xml:space="preserve"> \* MERGEFORMAT </w:instrText>
      </w:r>
      <w:r w:rsidR="001B16FC" w:rsidRPr="00D93FF9">
        <w:rPr>
          <w:lang w:val="en-GB"/>
        </w:rPr>
      </w:r>
      <w:r w:rsidR="001B16FC" w:rsidRPr="00D93FF9">
        <w:rPr>
          <w:lang w:val="en-GB"/>
        </w:rPr>
        <w:fldChar w:fldCharType="separate"/>
      </w:r>
      <w:r w:rsidR="0069302C" w:rsidRPr="00D93FF9">
        <w:t xml:space="preserve">Table </w:t>
      </w:r>
      <w:r w:rsidR="0069302C">
        <w:rPr>
          <w:noProof/>
        </w:rPr>
        <w:t>24</w:t>
      </w:r>
      <w:r w:rsidR="001B16FC" w:rsidRPr="00D93FF9">
        <w:rPr>
          <w:lang w:val="en-GB"/>
        </w:rPr>
        <w:fldChar w:fldCharType="end"/>
      </w:r>
      <w:bookmarkEnd w:id="239"/>
      <w:r w:rsidR="008A3090" w:rsidRPr="00D93FF9">
        <w:rPr>
          <w:lang w:val="en-GB"/>
        </w:rPr>
        <w:fldChar w:fldCharType="begin"/>
      </w:r>
      <w:r w:rsidR="008A3090" w:rsidRPr="00D93FF9">
        <w:rPr>
          <w:lang w:val="en-GB"/>
        </w:rPr>
        <w:instrText xml:space="preserve"> REF _Ref81394222 \h </w:instrText>
      </w:r>
      <w:r w:rsidR="00652D57" w:rsidRPr="00D93FF9">
        <w:rPr>
          <w:lang w:val="en-GB"/>
        </w:rPr>
        <w:instrText xml:space="preserve"> \* MERGEFORMAT </w:instrText>
      </w:r>
      <w:r w:rsidR="008A3090" w:rsidRPr="00D93FF9">
        <w:rPr>
          <w:lang w:val="en-GB"/>
        </w:rPr>
      </w:r>
      <w:r w:rsidR="008A3090" w:rsidRPr="00D93FF9">
        <w:rPr>
          <w:lang w:val="en-GB"/>
        </w:rPr>
        <w:fldChar w:fldCharType="separate"/>
      </w:r>
      <w:r w:rsidR="0069302C">
        <w:rPr>
          <w:b/>
          <w:bCs/>
          <w:lang w:val="en-US"/>
        </w:rPr>
        <w:t>Error! Reference source not found.</w:t>
      </w:r>
      <w:r w:rsidR="008A3090" w:rsidRPr="00D93FF9">
        <w:rPr>
          <w:lang w:val="en-GB"/>
        </w:rPr>
        <w:fldChar w:fldCharType="end"/>
      </w:r>
      <w:r w:rsidR="008A3090" w:rsidRPr="00D93FF9">
        <w:rPr>
          <w:lang w:val="en-GB"/>
        </w:rPr>
        <w:t xml:space="preserve"> </w:t>
      </w:r>
      <w:r w:rsidRPr="00D93FF9">
        <w:rPr>
          <w:lang w:val="en-GB"/>
        </w:rPr>
        <w:t>(</w:t>
      </w:r>
      <w:r w:rsidR="005F2A18" w:rsidRPr="00D93FF9">
        <w:fldChar w:fldCharType="begin"/>
      </w:r>
      <w:r w:rsidR="007C2051" w:rsidRPr="00D93FF9">
        <w:instrText xml:space="preserve"> ADDIN ZOTERO_ITEM CSL_CITATION {"citationID":"IFVzAKML","properties":{"formattedCitation":"(Ayers and Westcot 1985)","plainCitation":"(Ayers and Westcot 1985)","dontUpdate":true,"noteIndex":0},"citationItems":[{"id":5568,"uris":["http://zotero.org/users/1938757/items/UZHGX6WC"],"uri":["http://zotero.org/users/1938757/items/UZHGX6WC"],"itemData":{"id":5568,"type":"report","abstract":"Water quality for agriculture\n\nby\nR.S. Ayers\nSoil and Water Specialist (Emeritus)\nUniversity of California\nDavis, California, USA\n\nand\nD.W. Westcot\nSenior Land and Water Resources Specialist\nCalifornia Regional Water Quality Control Board\nSacramento, California, USA\n\nFAO IRRIGATION AND DRAINAGE PAPER\n\n29 Rev. 1\n\nReprinted 1989, 1994\n\nThe designations employed and the presentation of material in this publication do not imply the expression of any opinion whatsoever on the part of the Food and Agriculture Organization of the United Nations concerning the legal status of any country, territory, city or area or of its authorities, or concerning the delimitation of its frontiers or boundaries.\n\nM-56\nISBN 92-5-102263-1\n\nAll rights reserved. No part of this publication may be reproduced, stored in a retrieval system, or transmitted in any form or by any means, electronic, mechanical, photocopying or otherwise, without the prior permission of the copyright owner. Applications for such permission, with a statement of the purpose and extent of the reproduction, should be addressed to the Director, Publications Division, Food and Agriculture Organization of the United Nations, Viale delle Terme di Caracalla, 00100 Rome, Italy.\n\nFood and Agriculture Organization of the United Nations Rome, 1985 © FAO","archive":"page 25 re LF calculation","event-place":"Rome, Italy.","note":"https://www.waterboards.ca.gov/water_issues/programs/tmdl/records/state_board/1985/ref2648.pdf","publisher":"Food and Agriculture Organisation of the United Nations.","publisher-place":"Rome, Italy.","title":"Water quality for agriculture. FAO irrigation and drainage paper 29 rev. 1","URL":"http://www.fao.org/docrep/003/t0234e/t0234e00.htm","author":[{"family":"Ayers","given":"R. S."},{"family":"Westcot","given":"D. W"}],"issued":{"date-parts":[["1985"]]}}}],"schema":"https://github.com/citation-style-language/schema/raw/master/csl-citation.json"} </w:instrText>
      </w:r>
      <w:r w:rsidR="005F2A18" w:rsidRPr="00D93FF9">
        <w:fldChar w:fldCharType="separate"/>
      </w:r>
      <w:r w:rsidR="005F2A18" w:rsidRPr="00D93FF9">
        <w:t>Ayers and Westcot 1985</w:t>
      </w:r>
      <w:r w:rsidR="005F2A18" w:rsidRPr="00D93FF9">
        <w:fldChar w:fldCharType="end"/>
      </w:r>
      <w:r w:rsidRPr="00D93FF9">
        <w:rPr>
          <w:lang w:val="en-GB"/>
        </w:rPr>
        <w:t>).</w:t>
      </w:r>
    </w:p>
    <w:p w14:paraId="59DCD1F8" w14:textId="5BA1BE74" w:rsidR="00C46175" w:rsidRPr="00D93FF9" w:rsidRDefault="00C46175" w:rsidP="003807A1">
      <w:pPr>
        <w:pStyle w:val="BodyText"/>
        <w:spacing w:after="0"/>
        <w:rPr>
          <w:sz w:val="21"/>
          <w:lang w:val="en-GB"/>
        </w:rPr>
      </w:pPr>
    </w:p>
    <w:p w14:paraId="671453BC" w14:textId="77777777" w:rsidR="009B6F83" w:rsidRPr="00D93FF9" w:rsidRDefault="009B6F83" w:rsidP="003807A1">
      <w:pPr>
        <w:pStyle w:val="BodyText"/>
        <w:spacing w:after="0"/>
        <w:rPr>
          <w:sz w:val="21"/>
          <w:lang w:val="en-GB"/>
        </w:rPr>
      </w:pPr>
    </w:p>
    <w:p w14:paraId="59DCD1F9" w14:textId="274CD8D2" w:rsidR="00C46175" w:rsidRPr="00D93FF9" w:rsidRDefault="001B16FC" w:rsidP="001B16FC">
      <w:pPr>
        <w:pStyle w:val="Caption"/>
        <w:rPr>
          <w:rFonts w:ascii="Arial"/>
          <w:sz w:val="12"/>
          <w:lang w:val="en-GB"/>
        </w:rPr>
      </w:pPr>
      <w:bookmarkStart w:id="240" w:name="_Ref96518253"/>
      <w:bookmarkStart w:id="241" w:name="_Toc96518238"/>
      <w:r w:rsidRPr="00D93FF9">
        <w:t xml:space="preserve">Table </w:t>
      </w:r>
      <w:r w:rsidRPr="00D93FF9">
        <w:fldChar w:fldCharType="begin"/>
      </w:r>
      <w:r w:rsidRPr="00D93FF9">
        <w:instrText xml:space="preserve"> SEQ Table \* ARABIC </w:instrText>
      </w:r>
      <w:r w:rsidRPr="00D93FF9">
        <w:fldChar w:fldCharType="separate"/>
      </w:r>
      <w:r w:rsidR="0069302C">
        <w:rPr>
          <w:noProof/>
        </w:rPr>
        <w:t>24</w:t>
      </w:r>
      <w:r w:rsidRPr="00D93FF9">
        <w:fldChar w:fldCharType="end"/>
      </w:r>
      <w:bookmarkEnd w:id="240"/>
      <w:r w:rsidRPr="00D93FF9">
        <w:tab/>
      </w:r>
      <w:bookmarkStart w:id="242" w:name="_Hlk153812725"/>
      <w:r w:rsidR="00E90CE0" w:rsidRPr="00D93FF9">
        <w:rPr>
          <w:rFonts w:ascii="Arial"/>
          <w:sz w:val="18"/>
          <w:lang w:val="en-GB"/>
        </w:rPr>
        <w:t>Relative tolerance of agricultural crops to boron</w:t>
      </w:r>
      <w:r w:rsidR="00E90CE0" w:rsidRPr="00D93FF9">
        <w:rPr>
          <w:rFonts w:ascii="Arial"/>
          <w:position w:val="4"/>
          <w:sz w:val="12"/>
          <w:lang w:val="en-GB"/>
        </w:rPr>
        <w:t>a</w:t>
      </w:r>
      <w:bookmarkEnd w:id="241"/>
      <w:bookmarkEnd w:id="242"/>
    </w:p>
    <w:tbl>
      <w:tblPr>
        <w:tblW w:w="8960" w:type="dxa"/>
        <w:tblInd w:w="108" w:type="dxa"/>
        <w:tblLook w:val="04A0" w:firstRow="1" w:lastRow="0" w:firstColumn="1" w:lastColumn="0" w:noHBand="0" w:noVBand="1"/>
        <w:tblCaption w:val="Relative tolerance of agricultural crops to boron"/>
        <w:tblDescription w:val="Shows the maximum boron concentrations tolerated by plants in irrigation water without a reduction in yield or vegetative growth. Categories range from very sensitive to very tolerant. "/>
      </w:tblPr>
      <w:tblGrid>
        <w:gridCol w:w="2518"/>
        <w:gridCol w:w="1922"/>
        <w:gridCol w:w="1900"/>
        <w:gridCol w:w="2620"/>
      </w:tblGrid>
      <w:tr w:rsidR="00BE3AA8" w:rsidRPr="00D93FF9" w14:paraId="59DCD1FD" w14:textId="77777777" w:rsidTr="00DC6BA7">
        <w:trPr>
          <w:trHeight w:val="227"/>
        </w:trPr>
        <w:tc>
          <w:tcPr>
            <w:tcW w:w="4440" w:type="dxa"/>
            <w:gridSpan w:val="2"/>
            <w:tcBorders>
              <w:top w:val="single" w:sz="4" w:space="0" w:color="auto"/>
              <w:left w:val="nil"/>
              <w:bottom w:val="single" w:sz="4" w:space="0" w:color="auto"/>
              <w:right w:val="nil"/>
            </w:tcBorders>
            <w:shd w:val="clear" w:color="000000" w:fill="FFFFFF"/>
            <w:noWrap/>
            <w:vAlign w:val="bottom"/>
            <w:hideMark/>
          </w:tcPr>
          <w:p w14:paraId="59DCD1FA" w14:textId="77777777" w:rsidR="00F10B82"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Relative Boron Tolerance of Agricultural Crops</w:t>
            </w:r>
          </w:p>
        </w:tc>
        <w:tc>
          <w:tcPr>
            <w:tcW w:w="1900" w:type="dxa"/>
            <w:tcBorders>
              <w:top w:val="single" w:sz="4" w:space="0" w:color="auto"/>
              <w:left w:val="nil"/>
              <w:bottom w:val="single" w:sz="4" w:space="0" w:color="auto"/>
              <w:right w:val="nil"/>
            </w:tcBorders>
            <w:shd w:val="clear" w:color="000000" w:fill="FFFFFF"/>
            <w:noWrap/>
            <w:vAlign w:val="bottom"/>
            <w:hideMark/>
          </w:tcPr>
          <w:p w14:paraId="59DCD1FB" w14:textId="77777777" w:rsidR="00F10B82" w:rsidRPr="00D93FF9" w:rsidRDefault="00E811B8" w:rsidP="003807A1">
            <w:pPr>
              <w:spacing w:after="0"/>
              <w:rPr>
                <w:color w:val="000000"/>
                <w:sz w:val="18"/>
                <w:szCs w:val="18"/>
                <w:lang w:val="en-GB" w:eastAsia="en-AU"/>
              </w:rPr>
            </w:pPr>
            <w:r w:rsidRPr="00D93FF9">
              <w:rPr>
                <w:color w:val="000000"/>
                <w:sz w:val="18"/>
                <w:szCs w:val="18"/>
                <w:lang w:val="en-GB" w:eastAsia="en-AU"/>
              </w:rPr>
              <w:t> </w:t>
            </w:r>
          </w:p>
        </w:tc>
        <w:tc>
          <w:tcPr>
            <w:tcW w:w="2620" w:type="dxa"/>
            <w:tcBorders>
              <w:top w:val="single" w:sz="4" w:space="0" w:color="auto"/>
              <w:left w:val="nil"/>
              <w:bottom w:val="single" w:sz="4" w:space="0" w:color="auto"/>
              <w:right w:val="nil"/>
            </w:tcBorders>
            <w:shd w:val="clear" w:color="000000" w:fill="FFFFFF"/>
            <w:noWrap/>
            <w:vAlign w:val="bottom"/>
            <w:hideMark/>
          </w:tcPr>
          <w:p w14:paraId="59DCD1FC" w14:textId="77777777" w:rsidR="00F10B82" w:rsidRPr="00D93FF9" w:rsidRDefault="00E811B8" w:rsidP="003807A1">
            <w:pPr>
              <w:spacing w:after="0"/>
              <w:rPr>
                <w:color w:val="000000"/>
                <w:sz w:val="18"/>
                <w:szCs w:val="18"/>
                <w:lang w:val="en-GB" w:eastAsia="en-AU"/>
              </w:rPr>
            </w:pPr>
            <w:r w:rsidRPr="00D93FF9">
              <w:rPr>
                <w:color w:val="000000"/>
                <w:sz w:val="18"/>
                <w:szCs w:val="18"/>
                <w:lang w:val="en-GB" w:eastAsia="en-AU"/>
              </w:rPr>
              <w:t> </w:t>
            </w:r>
          </w:p>
        </w:tc>
      </w:tr>
      <w:tr w:rsidR="00BE3AA8" w:rsidRPr="00D93FF9" w14:paraId="59DCD201" w14:textId="77777777" w:rsidTr="00DC6BA7">
        <w:trPr>
          <w:trHeight w:val="227"/>
        </w:trPr>
        <w:tc>
          <w:tcPr>
            <w:tcW w:w="2518" w:type="dxa"/>
            <w:tcBorders>
              <w:top w:val="nil"/>
              <w:left w:val="single" w:sz="4" w:space="0" w:color="auto"/>
              <w:bottom w:val="single" w:sz="4" w:space="0" w:color="auto"/>
              <w:right w:val="nil"/>
            </w:tcBorders>
            <w:shd w:val="clear" w:color="000000" w:fill="FFFFFF"/>
            <w:noWrap/>
            <w:vAlign w:val="bottom"/>
            <w:hideMark/>
          </w:tcPr>
          <w:p w14:paraId="59DCD1FE" w14:textId="77777777" w:rsidR="00F10B82"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 xml:space="preserve">Very Sensitive (&lt;0.5 mg/1) </w:t>
            </w:r>
          </w:p>
        </w:tc>
        <w:tc>
          <w:tcPr>
            <w:tcW w:w="1922" w:type="dxa"/>
            <w:tcBorders>
              <w:top w:val="nil"/>
              <w:left w:val="nil"/>
              <w:bottom w:val="single" w:sz="4" w:space="0" w:color="auto"/>
              <w:right w:val="nil"/>
            </w:tcBorders>
            <w:shd w:val="clear" w:color="000000" w:fill="FFFFFF"/>
            <w:noWrap/>
            <w:vAlign w:val="bottom"/>
            <w:hideMark/>
          </w:tcPr>
          <w:p w14:paraId="59DCD1FF"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45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9DCD200" w14:textId="04FABB09" w:rsidR="00F10B82"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 xml:space="preserve">Moderately Sensitive (1.0 </w:t>
            </w:r>
            <w:r w:rsidR="006B5B0C" w:rsidRPr="00D93FF9">
              <w:rPr>
                <w:rFonts w:cs="Arial"/>
                <w:b/>
                <w:bCs/>
                <w:color w:val="000000"/>
                <w:sz w:val="18"/>
                <w:szCs w:val="18"/>
                <w:lang w:val="en-GB" w:eastAsia="en-AU"/>
              </w:rPr>
              <w:t>–</w:t>
            </w:r>
            <w:r w:rsidRPr="00D93FF9">
              <w:rPr>
                <w:rFonts w:cs="Arial"/>
                <w:b/>
                <w:bCs/>
                <w:color w:val="000000"/>
                <w:sz w:val="18"/>
                <w:szCs w:val="18"/>
                <w:lang w:val="en-GB" w:eastAsia="en-AU"/>
              </w:rPr>
              <w:t xml:space="preserve"> 2.0 mg/1)</w:t>
            </w:r>
          </w:p>
        </w:tc>
      </w:tr>
      <w:tr w:rsidR="00BE3AA8" w:rsidRPr="00D93FF9" w14:paraId="59DCD206"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02"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Lemon</w:t>
            </w:r>
          </w:p>
        </w:tc>
        <w:tc>
          <w:tcPr>
            <w:tcW w:w="1922" w:type="dxa"/>
            <w:tcBorders>
              <w:top w:val="nil"/>
              <w:left w:val="nil"/>
              <w:bottom w:val="nil"/>
              <w:right w:val="nil"/>
            </w:tcBorders>
            <w:shd w:val="clear" w:color="000000" w:fill="FFFFFF"/>
            <w:noWrap/>
            <w:vAlign w:val="bottom"/>
            <w:hideMark/>
          </w:tcPr>
          <w:p w14:paraId="59DCD203"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Citrus limon</w:t>
            </w:r>
          </w:p>
        </w:tc>
        <w:tc>
          <w:tcPr>
            <w:tcW w:w="1900" w:type="dxa"/>
            <w:tcBorders>
              <w:top w:val="nil"/>
              <w:left w:val="single" w:sz="4" w:space="0" w:color="auto"/>
              <w:bottom w:val="nil"/>
              <w:right w:val="nil"/>
            </w:tcBorders>
            <w:shd w:val="clear" w:color="000000" w:fill="FFFFFF"/>
            <w:noWrap/>
            <w:vAlign w:val="bottom"/>
            <w:hideMark/>
          </w:tcPr>
          <w:p w14:paraId="59DCD204"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Pepper, red</w:t>
            </w:r>
          </w:p>
        </w:tc>
        <w:tc>
          <w:tcPr>
            <w:tcW w:w="2620" w:type="dxa"/>
            <w:tcBorders>
              <w:top w:val="nil"/>
              <w:left w:val="nil"/>
              <w:bottom w:val="nil"/>
              <w:right w:val="single" w:sz="4" w:space="0" w:color="auto"/>
            </w:tcBorders>
            <w:shd w:val="clear" w:color="000000" w:fill="FFFFFF"/>
            <w:noWrap/>
            <w:vAlign w:val="bottom"/>
            <w:hideMark/>
          </w:tcPr>
          <w:p w14:paraId="59DCD205"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Capsicum annuum</w:t>
            </w:r>
          </w:p>
        </w:tc>
      </w:tr>
      <w:tr w:rsidR="00BE3AA8" w:rsidRPr="00D93FF9" w14:paraId="59DCD20B"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07"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Blackberry</w:t>
            </w:r>
          </w:p>
        </w:tc>
        <w:tc>
          <w:tcPr>
            <w:tcW w:w="1922" w:type="dxa"/>
            <w:tcBorders>
              <w:top w:val="nil"/>
              <w:left w:val="nil"/>
              <w:bottom w:val="nil"/>
              <w:right w:val="nil"/>
            </w:tcBorders>
            <w:shd w:val="clear" w:color="000000" w:fill="FFFFFF"/>
            <w:noWrap/>
            <w:vAlign w:val="bottom"/>
            <w:hideMark/>
          </w:tcPr>
          <w:p w14:paraId="59DCD208"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Rubus spp</w:t>
            </w:r>
            <w:r w:rsidRPr="00D93FF9">
              <w:rPr>
                <w:rFonts w:cs="Arial"/>
                <w:color w:val="000000"/>
                <w:sz w:val="18"/>
                <w:szCs w:val="18"/>
                <w:lang w:val="en-GB" w:eastAsia="en-AU"/>
              </w:rPr>
              <w:t>.</w:t>
            </w:r>
          </w:p>
        </w:tc>
        <w:tc>
          <w:tcPr>
            <w:tcW w:w="1900" w:type="dxa"/>
            <w:tcBorders>
              <w:top w:val="nil"/>
              <w:left w:val="single" w:sz="4" w:space="0" w:color="auto"/>
              <w:bottom w:val="nil"/>
              <w:right w:val="nil"/>
            </w:tcBorders>
            <w:shd w:val="clear" w:color="000000" w:fill="FFFFFF"/>
            <w:noWrap/>
            <w:vAlign w:val="bottom"/>
            <w:hideMark/>
          </w:tcPr>
          <w:p w14:paraId="59DCD209"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Pea</w:t>
            </w:r>
          </w:p>
        </w:tc>
        <w:tc>
          <w:tcPr>
            <w:tcW w:w="2620" w:type="dxa"/>
            <w:tcBorders>
              <w:top w:val="nil"/>
              <w:left w:val="nil"/>
              <w:bottom w:val="nil"/>
              <w:right w:val="single" w:sz="4" w:space="0" w:color="auto"/>
            </w:tcBorders>
            <w:shd w:val="clear" w:color="000000" w:fill="FFFFFF"/>
            <w:noWrap/>
            <w:vAlign w:val="bottom"/>
            <w:hideMark/>
          </w:tcPr>
          <w:p w14:paraId="59DCD20A"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Pisum sativa</w:t>
            </w:r>
          </w:p>
        </w:tc>
      </w:tr>
      <w:tr w:rsidR="00BE3AA8" w:rsidRPr="00D93FF9" w14:paraId="59DCD210" w14:textId="77777777" w:rsidTr="00DC6BA7">
        <w:trPr>
          <w:trHeight w:val="227"/>
        </w:trPr>
        <w:tc>
          <w:tcPr>
            <w:tcW w:w="2518" w:type="dxa"/>
            <w:tcBorders>
              <w:top w:val="single" w:sz="4" w:space="0" w:color="auto"/>
              <w:left w:val="single" w:sz="4" w:space="0" w:color="auto"/>
              <w:bottom w:val="single" w:sz="4" w:space="0" w:color="auto"/>
              <w:right w:val="nil"/>
            </w:tcBorders>
            <w:shd w:val="clear" w:color="000000" w:fill="FFFFFF"/>
            <w:noWrap/>
            <w:vAlign w:val="bottom"/>
            <w:hideMark/>
          </w:tcPr>
          <w:p w14:paraId="59DCD20C" w14:textId="19CDBEF5" w:rsidR="00F10B82"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 xml:space="preserve">Sensitive (0.5 </w:t>
            </w:r>
            <w:r w:rsidR="006B5B0C" w:rsidRPr="00D93FF9">
              <w:rPr>
                <w:rFonts w:cs="Arial"/>
                <w:b/>
                <w:bCs/>
                <w:color w:val="000000"/>
                <w:sz w:val="18"/>
                <w:szCs w:val="18"/>
                <w:lang w:val="en-GB" w:eastAsia="en-AU"/>
              </w:rPr>
              <w:t>–</w:t>
            </w:r>
            <w:r w:rsidRPr="00D93FF9">
              <w:rPr>
                <w:rFonts w:cs="Arial"/>
                <w:b/>
                <w:bCs/>
                <w:color w:val="000000"/>
                <w:sz w:val="18"/>
                <w:szCs w:val="18"/>
                <w:lang w:val="en-GB" w:eastAsia="en-AU"/>
              </w:rPr>
              <w:t xml:space="preserve"> 0.75 mg/1)</w:t>
            </w:r>
          </w:p>
        </w:tc>
        <w:tc>
          <w:tcPr>
            <w:tcW w:w="1922" w:type="dxa"/>
            <w:tcBorders>
              <w:top w:val="single" w:sz="4" w:space="0" w:color="auto"/>
              <w:left w:val="nil"/>
              <w:bottom w:val="single" w:sz="4" w:space="0" w:color="auto"/>
              <w:right w:val="nil"/>
            </w:tcBorders>
            <w:shd w:val="clear" w:color="000000" w:fill="FFFFFF"/>
            <w:noWrap/>
            <w:vAlign w:val="bottom"/>
            <w:hideMark/>
          </w:tcPr>
          <w:p w14:paraId="59DCD20D"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1900" w:type="dxa"/>
            <w:tcBorders>
              <w:top w:val="nil"/>
              <w:left w:val="single" w:sz="4" w:space="0" w:color="auto"/>
              <w:bottom w:val="nil"/>
              <w:right w:val="nil"/>
            </w:tcBorders>
            <w:shd w:val="clear" w:color="000000" w:fill="FFFFFF"/>
            <w:noWrap/>
            <w:vAlign w:val="bottom"/>
            <w:hideMark/>
          </w:tcPr>
          <w:p w14:paraId="59DCD20E"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Carrot</w:t>
            </w:r>
          </w:p>
        </w:tc>
        <w:tc>
          <w:tcPr>
            <w:tcW w:w="2620" w:type="dxa"/>
            <w:tcBorders>
              <w:top w:val="nil"/>
              <w:left w:val="nil"/>
              <w:bottom w:val="nil"/>
              <w:right w:val="single" w:sz="4" w:space="0" w:color="auto"/>
            </w:tcBorders>
            <w:shd w:val="clear" w:color="000000" w:fill="FFFFFF"/>
            <w:noWrap/>
            <w:vAlign w:val="bottom"/>
            <w:hideMark/>
          </w:tcPr>
          <w:p w14:paraId="59DCD20F"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Daucus carota</w:t>
            </w:r>
          </w:p>
        </w:tc>
      </w:tr>
      <w:tr w:rsidR="00BE3AA8" w:rsidRPr="00D93FF9" w14:paraId="59DCD215" w14:textId="77777777" w:rsidTr="005531DD">
        <w:trPr>
          <w:trHeight w:val="227"/>
        </w:trPr>
        <w:tc>
          <w:tcPr>
            <w:tcW w:w="2518" w:type="dxa"/>
            <w:tcBorders>
              <w:top w:val="nil"/>
              <w:left w:val="single" w:sz="4" w:space="0" w:color="auto"/>
              <w:bottom w:val="nil"/>
              <w:right w:val="nil"/>
            </w:tcBorders>
            <w:shd w:val="clear" w:color="auto" w:fill="auto"/>
            <w:noWrap/>
            <w:vAlign w:val="bottom"/>
            <w:hideMark/>
          </w:tcPr>
          <w:p w14:paraId="59DCD211"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Avocado</w:t>
            </w:r>
          </w:p>
        </w:tc>
        <w:tc>
          <w:tcPr>
            <w:tcW w:w="1922" w:type="dxa"/>
            <w:tcBorders>
              <w:top w:val="nil"/>
              <w:left w:val="nil"/>
              <w:bottom w:val="nil"/>
              <w:right w:val="nil"/>
            </w:tcBorders>
            <w:shd w:val="clear" w:color="auto" w:fill="auto"/>
            <w:noWrap/>
            <w:vAlign w:val="bottom"/>
            <w:hideMark/>
          </w:tcPr>
          <w:p w14:paraId="59DCD212"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Persea americaiva</w:t>
            </w:r>
          </w:p>
        </w:tc>
        <w:tc>
          <w:tcPr>
            <w:tcW w:w="1900" w:type="dxa"/>
            <w:tcBorders>
              <w:top w:val="nil"/>
              <w:left w:val="single" w:sz="4" w:space="0" w:color="auto"/>
              <w:bottom w:val="nil"/>
              <w:right w:val="nil"/>
            </w:tcBorders>
            <w:shd w:val="clear" w:color="auto" w:fill="auto"/>
            <w:noWrap/>
            <w:vAlign w:val="bottom"/>
            <w:hideMark/>
          </w:tcPr>
          <w:p w14:paraId="59DCD213"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Radish</w:t>
            </w:r>
          </w:p>
        </w:tc>
        <w:tc>
          <w:tcPr>
            <w:tcW w:w="2620" w:type="dxa"/>
            <w:tcBorders>
              <w:top w:val="nil"/>
              <w:left w:val="nil"/>
              <w:bottom w:val="nil"/>
              <w:right w:val="single" w:sz="4" w:space="0" w:color="auto"/>
            </w:tcBorders>
            <w:shd w:val="clear" w:color="auto" w:fill="auto"/>
            <w:noWrap/>
            <w:vAlign w:val="bottom"/>
            <w:hideMark/>
          </w:tcPr>
          <w:p w14:paraId="59DCD214"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Raphanus sativus</w:t>
            </w:r>
          </w:p>
        </w:tc>
      </w:tr>
      <w:tr w:rsidR="00BE3AA8" w:rsidRPr="00D93FF9" w14:paraId="59DCD21A" w14:textId="77777777" w:rsidTr="005531DD">
        <w:trPr>
          <w:trHeight w:val="227"/>
        </w:trPr>
        <w:tc>
          <w:tcPr>
            <w:tcW w:w="2518" w:type="dxa"/>
            <w:tcBorders>
              <w:top w:val="nil"/>
              <w:left w:val="single" w:sz="4" w:space="0" w:color="auto"/>
              <w:bottom w:val="nil"/>
              <w:right w:val="nil"/>
            </w:tcBorders>
            <w:shd w:val="clear" w:color="auto" w:fill="auto"/>
            <w:noWrap/>
            <w:vAlign w:val="bottom"/>
            <w:hideMark/>
          </w:tcPr>
          <w:p w14:paraId="59DCD216"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Grapefruit</w:t>
            </w:r>
          </w:p>
        </w:tc>
        <w:tc>
          <w:tcPr>
            <w:tcW w:w="1922" w:type="dxa"/>
            <w:tcBorders>
              <w:top w:val="nil"/>
              <w:left w:val="nil"/>
              <w:bottom w:val="nil"/>
              <w:right w:val="nil"/>
            </w:tcBorders>
            <w:shd w:val="clear" w:color="auto" w:fill="auto"/>
            <w:noWrap/>
            <w:vAlign w:val="bottom"/>
            <w:hideMark/>
          </w:tcPr>
          <w:p w14:paraId="59DCD217"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Citrus X paradisi</w:t>
            </w:r>
          </w:p>
        </w:tc>
        <w:tc>
          <w:tcPr>
            <w:tcW w:w="1900" w:type="dxa"/>
            <w:tcBorders>
              <w:top w:val="nil"/>
              <w:left w:val="single" w:sz="4" w:space="0" w:color="auto"/>
              <w:bottom w:val="nil"/>
              <w:right w:val="nil"/>
            </w:tcBorders>
            <w:shd w:val="clear" w:color="auto" w:fill="auto"/>
            <w:noWrap/>
            <w:vAlign w:val="bottom"/>
            <w:hideMark/>
          </w:tcPr>
          <w:p w14:paraId="59DCD218"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Potato</w:t>
            </w:r>
          </w:p>
        </w:tc>
        <w:tc>
          <w:tcPr>
            <w:tcW w:w="2620" w:type="dxa"/>
            <w:tcBorders>
              <w:top w:val="nil"/>
              <w:left w:val="nil"/>
              <w:bottom w:val="nil"/>
              <w:right w:val="single" w:sz="4" w:space="0" w:color="auto"/>
            </w:tcBorders>
            <w:shd w:val="clear" w:color="auto" w:fill="auto"/>
            <w:noWrap/>
            <w:vAlign w:val="bottom"/>
            <w:hideMark/>
          </w:tcPr>
          <w:p w14:paraId="59DCD219"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Solarium tuberosum</w:t>
            </w:r>
          </w:p>
        </w:tc>
      </w:tr>
      <w:tr w:rsidR="00BE3AA8" w:rsidRPr="00D93FF9" w14:paraId="59DCD21F" w14:textId="77777777" w:rsidTr="005531DD">
        <w:trPr>
          <w:trHeight w:val="227"/>
        </w:trPr>
        <w:tc>
          <w:tcPr>
            <w:tcW w:w="2518" w:type="dxa"/>
            <w:tcBorders>
              <w:top w:val="nil"/>
              <w:left w:val="single" w:sz="4" w:space="0" w:color="auto"/>
              <w:bottom w:val="nil"/>
              <w:right w:val="nil"/>
            </w:tcBorders>
            <w:shd w:val="clear" w:color="auto" w:fill="auto"/>
            <w:noWrap/>
            <w:vAlign w:val="bottom"/>
            <w:hideMark/>
          </w:tcPr>
          <w:p w14:paraId="59DCD21B"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Orange</w:t>
            </w:r>
          </w:p>
        </w:tc>
        <w:tc>
          <w:tcPr>
            <w:tcW w:w="1922" w:type="dxa"/>
            <w:tcBorders>
              <w:top w:val="nil"/>
              <w:left w:val="nil"/>
              <w:bottom w:val="nil"/>
              <w:right w:val="nil"/>
            </w:tcBorders>
            <w:shd w:val="clear" w:color="auto" w:fill="auto"/>
            <w:noWrap/>
            <w:vAlign w:val="bottom"/>
            <w:hideMark/>
          </w:tcPr>
          <w:p w14:paraId="59DCD21C"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Citrus sinensis</w:t>
            </w:r>
          </w:p>
        </w:tc>
        <w:tc>
          <w:tcPr>
            <w:tcW w:w="1900" w:type="dxa"/>
            <w:tcBorders>
              <w:top w:val="nil"/>
              <w:left w:val="single" w:sz="4" w:space="0" w:color="auto"/>
              <w:bottom w:val="nil"/>
              <w:right w:val="nil"/>
            </w:tcBorders>
            <w:shd w:val="clear" w:color="auto" w:fill="auto"/>
            <w:noWrap/>
            <w:vAlign w:val="bottom"/>
            <w:hideMark/>
          </w:tcPr>
          <w:p w14:paraId="59DCD21D"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Cucumber</w:t>
            </w:r>
          </w:p>
        </w:tc>
        <w:tc>
          <w:tcPr>
            <w:tcW w:w="2620" w:type="dxa"/>
            <w:tcBorders>
              <w:top w:val="nil"/>
              <w:left w:val="nil"/>
              <w:bottom w:val="nil"/>
              <w:right w:val="single" w:sz="4" w:space="0" w:color="auto"/>
            </w:tcBorders>
            <w:shd w:val="clear" w:color="auto" w:fill="auto"/>
            <w:noWrap/>
            <w:vAlign w:val="bottom"/>
            <w:hideMark/>
          </w:tcPr>
          <w:p w14:paraId="59DCD21E"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Cucumis sativus</w:t>
            </w:r>
          </w:p>
        </w:tc>
      </w:tr>
      <w:tr w:rsidR="00BE3AA8" w:rsidRPr="00D93FF9" w14:paraId="59DCD223" w14:textId="77777777" w:rsidTr="005531DD">
        <w:trPr>
          <w:trHeight w:val="227"/>
        </w:trPr>
        <w:tc>
          <w:tcPr>
            <w:tcW w:w="2518" w:type="dxa"/>
            <w:tcBorders>
              <w:top w:val="nil"/>
              <w:left w:val="single" w:sz="4" w:space="0" w:color="auto"/>
              <w:bottom w:val="nil"/>
              <w:right w:val="nil"/>
            </w:tcBorders>
            <w:shd w:val="clear" w:color="auto" w:fill="auto"/>
            <w:noWrap/>
            <w:vAlign w:val="bottom"/>
            <w:hideMark/>
          </w:tcPr>
          <w:p w14:paraId="59DCD220"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Apricot</w:t>
            </w:r>
          </w:p>
        </w:tc>
        <w:tc>
          <w:tcPr>
            <w:tcW w:w="1922" w:type="dxa"/>
            <w:tcBorders>
              <w:top w:val="nil"/>
              <w:left w:val="nil"/>
              <w:bottom w:val="nil"/>
              <w:right w:val="nil"/>
            </w:tcBorders>
            <w:shd w:val="clear" w:color="auto" w:fill="auto"/>
            <w:noWrap/>
            <w:vAlign w:val="bottom"/>
            <w:hideMark/>
          </w:tcPr>
          <w:p w14:paraId="59DCD221"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Prunus armeniaca</w:t>
            </w:r>
          </w:p>
        </w:tc>
        <w:tc>
          <w:tcPr>
            <w:tcW w:w="45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DCD222" w14:textId="5F17FEF2" w:rsidR="00F10B82"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 xml:space="preserve">Moderately Tolerant (2.0 </w:t>
            </w:r>
            <w:r w:rsidR="006B5B0C" w:rsidRPr="00D93FF9">
              <w:rPr>
                <w:rFonts w:cs="Arial"/>
                <w:b/>
                <w:bCs/>
                <w:color w:val="000000"/>
                <w:sz w:val="18"/>
                <w:szCs w:val="18"/>
                <w:lang w:val="en-GB" w:eastAsia="en-AU"/>
              </w:rPr>
              <w:t>–</w:t>
            </w:r>
            <w:r w:rsidRPr="00D93FF9">
              <w:rPr>
                <w:rFonts w:cs="Arial"/>
                <w:b/>
                <w:bCs/>
                <w:color w:val="000000"/>
                <w:sz w:val="18"/>
                <w:szCs w:val="18"/>
                <w:lang w:val="en-GB" w:eastAsia="en-AU"/>
              </w:rPr>
              <w:t xml:space="preserve"> 4.0 mg/1)</w:t>
            </w:r>
          </w:p>
        </w:tc>
      </w:tr>
      <w:tr w:rsidR="00BE3AA8" w:rsidRPr="00D93FF9" w14:paraId="59DCD228"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24"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Peach</w:t>
            </w:r>
          </w:p>
        </w:tc>
        <w:tc>
          <w:tcPr>
            <w:tcW w:w="1922" w:type="dxa"/>
            <w:tcBorders>
              <w:top w:val="nil"/>
              <w:left w:val="nil"/>
              <w:bottom w:val="nil"/>
              <w:right w:val="nil"/>
            </w:tcBorders>
            <w:shd w:val="clear" w:color="000000" w:fill="FFFFFF"/>
            <w:noWrap/>
            <w:vAlign w:val="bottom"/>
            <w:hideMark/>
          </w:tcPr>
          <w:p w14:paraId="59DCD225"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Prunus persica</w:t>
            </w:r>
          </w:p>
        </w:tc>
        <w:tc>
          <w:tcPr>
            <w:tcW w:w="1900" w:type="dxa"/>
            <w:tcBorders>
              <w:top w:val="nil"/>
              <w:left w:val="single" w:sz="4" w:space="0" w:color="auto"/>
              <w:bottom w:val="nil"/>
              <w:right w:val="nil"/>
            </w:tcBorders>
            <w:shd w:val="clear" w:color="000000" w:fill="FFFFFF"/>
            <w:noWrap/>
            <w:vAlign w:val="bottom"/>
            <w:hideMark/>
          </w:tcPr>
          <w:p w14:paraId="59DCD226"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Lettuce</w:t>
            </w:r>
          </w:p>
        </w:tc>
        <w:tc>
          <w:tcPr>
            <w:tcW w:w="2620" w:type="dxa"/>
            <w:tcBorders>
              <w:top w:val="nil"/>
              <w:left w:val="nil"/>
              <w:bottom w:val="nil"/>
              <w:right w:val="single" w:sz="4" w:space="0" w:color="auto"/>
            </w:tcBorders>
            <w:shd w:val="clear" w:color="000000" w:fill="FFFFFF"/>
            <w:noWrap/>
            <w:vAlign w:val="bottom"/>
            <w:hideMark/>
          </w:tcPr>
          <w:p w14:paraId="59DCD227"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Lactuca sativa</w:t>
            </w:r>
          </w:p>
        </w:tc>
      </w:tr>
      <w:tr w:rsidR="00BE3AA8" w:rsidRPr="00D93FF9" w14:paraId="59DCD22D"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29"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Cherry</w:t>
            </w:r>
          </w:p>
        </w:tc>
        <w:tc>
          <w:tcPr>
            <w:tcW w:w="1922" w:type="dxa"/>
            <w:tcBorders>
              <w:top w:val="nil"/>
              <w:left w:val="nil"/>
              <w:bottom w:val="nil"/>
              <w:right w:val="nil"/>
            </w:tcBorders>
            <w:shd w:val="clear" w:color="000000" w:fill="FFFFFF"/>
            <w:noWrap/>
            <w:vAlign w:val="bottom"/>
            <w:hideMark/>
          </w:tcPr>
          <w:p w14:paraId="59DCD22A"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Prunus avium</w:t>
            </w:r>
          </w:p>
        </w:tc>
        <w:tc>
          <w:tcPr>
            <w:tcW w:w="1900" w:type="dxa"/>
            <w:tcBorders>
              <w:top w:val="nil"/>
              <w:left w:val="single" w:sz="4" w:space="0" w:color="auto"/>
              <w:bottom w:val="nil"/>
              <w:right w:val="nil"/>
            </w:tcBorders>
            <w:shd w:val="clear" w:color="000000" w:fill="FFFFFF"/>
            <w:noWrap/>
            <w:vAlign w:val="bottom"/>
            <w:hideMark/>
          </w:tcPr>
          <w:p w14:paraId="59DCD22B"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Cabbage</w:t>
            </w:r>
          </w:p>
        </w:tc>
        <w:tc>
          <w:tcPr>
            <w:tcW w:w="2620" w:type="dxa"/>
            <w:tcBorders>
              <w:top w:val="nil"/>
              <w:left w:val="nil"/>
              <w:bottom w:val="nil"/>
              <w:right w:val="single" w:sz="4" w:space="0" w:color="auto"/>
            </w:tcBorders>
            <w:shd w:val="clear" w:color="000000" w:fill="FFFFFF"/>
            <w:noWrap/>
            <w:vAlign w:val="bottom"/>
            <w:hideMark/>
          </w:tcPr>
          <w:p w14:paraId="59DCD22C"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Brassica oleracea capitata</w:t>
            </w:r>
          </w:p>
        </w:tc>
      </w:tr>
      <w:tr w:rsidR="00BE3AA8" w:rsidRPr="00D93FF9" w14:paraId="59DCD232"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2E"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Plum</w:t>
            </w:r>
          </w:p>
        </w:tc>
        <w:tc>
          <w:tcPr>
            <w:tcW w:w="1922" w:type="dxa"/>
            <w:tcBorders>
              <w:top w:val="nil"/>
              <w:left w:val="nil"/>
              <w:bottom w:val="nil"/>
              <w:right w:val="nil"/>
            </w:tcBorders>
            <w:shd w:val="clear" w:color="000000" w:fill="FFFFFF"/>
            <w:noWrap/>
            <w:vAlign w:val="bottom"/>
            <w:hideMark/>
          </w:tcPr>
          <w:p w14:paraId="59DCD22F"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Prunus domestica</w:t>
            </w:r>
          </w:p>
        </w:tc>
        <w:tc>
          <w:tcPr>
            <w:tcW w:w="1900" w:type="dxa"/>
            <w:tcBorders>
              <w:top w:val="nil"/>
              <w:left w:val="single" w:sz="4" w:space="0" w:color="auto"/>
              <w:bottom w:val="nil"/>
              <w:right w:val="nil"/>
            </w:tcBorders>
            <w:shd w:val="clear" w:color="000000" w:fill="FFFFFF"/>
            <w:noWrap/>
            <w:vAlign w:val="bottom"/>
            <w:hideMark/>
          </w:tcPr>
          <w:p w14:paraId="59DCD230"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Celery</w:t>
            </w:r>
          </w:p>
        </w:tc>
        <w:tc>
          <w:tcPr>
            <w:tcW w:w="2620" w:type="dxa"/>
            <w:tcBorders>
              <w:top w:val="nil"/>
              <w:left w:val="nil"/>
              <w:bottom w:val="nil"/>
              <w:right w:val="single" w:sz="4" w:space="0" w:color="auto"/>
            </w:tcBorders>
            <w:shd w:val="clear" w:color="000000" w:fill="FFFFFF"/>
            <w:noWrap/>
            <w:vAlign w:val="bottom"/>
            <w:hideMark/>
          </w:tcPr>
          <w:p w14:paraId="59DCD231"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Apium graveolens</w:t>
            </w:r>
          </w:p>
        </w:tc>
      </w:tr>
      <w:tr w:rsidR="00BE3AA8" w:rsidRPr="00D93FF9" w14:paraId="59DCD237" w14:textId="77777777" w:rsidTr="005531DD">
        <w:trPr>
          <w:trHeight w:val="227"/>
        </w:trPr>
        <w:tc>
          <w:tcPr>
            <w:tcW w:w="2518" w:type="dxa"/>
            <w:tcBorders>
              <w:top w:val="nil"/>
              <w:left w:val="single" w:sz="4" w:space="0" w:color="auto"/>
              <w:bottom w:val="nil"/>
              <w:right w:val="nil"/>
            </w:tcBorders>
            <w:shd w:val="clear" w:color="auto" w:fill="auto"/>
            <w:noWrap/>
            <w:vAlign w:val="bottom"/>
            <w:hideMark/>
          </w:tcPr>
          <w:p w14:paraId="59DCD233"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Persimmon</w:t>
            </w:r>
          </w:p>
        </w:tc>
        <w:tc>
          <w:tcPr>
            <w:tcW w:w="1922" w:type="dxa"/>
            <w:tcBorders>
              <w:top w:val="nil"/>
              <w:left w:val="nil"/>
              <w:bottom w:val="nil"/>
              <w:right w:val="nil"/>
            </w:tcBorders>
            <w:shd w:val="clear" w:color="000000" w:fill="FFFFFF"/>
            <w:noWrap/>
            <w:vAlign w:val="bottom"/>
            <w:hideMark/>
          </w:tcPr>
          <w:p w14:paraId="59DCD234"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Diospyros kaki</w:t>
            </w:r>
          </w:p>
        </w:tc>
        <w:tc>
          <w:tcPr>
            <w:tcW w:w="1900" w:type="dxa"/>
            <w:tcBorders>
              <w:top w:val="nil"/>
              <w:left w:val="single" w:sz="4" w:space="0" w:color="auto"/>
              <w:bottom w:val="nil"/>
              <w:right w:val="nil"/>
            </w:tcBorders>
            <w:shd w:val="clear" w:color="000000" w:fill="FFFFFF"/>
            <w:noWrap/>
            <w:vAlign w:val="bottom"/>
            <w:hideMark/>
          </w:tcPr>
          <w:p w14:paraId="59DCD235"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Turnip</w:t>
            </w:r>
          </w:p>
        </w:tc>
        <w:tc>
          <w:tcPr>
            <w:tcW w:w="2620" w:type="dxa"/>
            <w:tcBorders>
              <w:top w:val="nil"/>
              <w:left w:val="nil"/>
              <w:bottom w:val="nil"/>
              <w:right w:val="single" w:sz="4" w:space="0" w:color="auto"/>
            </w:tcBorders>
            <w:shd w:val="clear" w:color="000000" w:fill="FFFFFF"/>
            <w:noWrap/>
            <w:vAlign w:val="bottom"/>
            <w:hideMark/>
          </w:tcPr>
          <w:p w14:paraId="59DCD236"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Brassica rapa</w:t>
            </w:r>
          </w:p>
        </w:tc>
      </w:tr>
      <w:tr w:rsidR="00BE3AA8" w:rsidRPr="00D93FF9" w14:paraId="59DCD23C" w14:textId="77777777" w:rsidTr="005531DD">
        <w:trPr>
          <w:trHeight w:val="227"/>
        </w:trPr>
        <w:tc>
          <w:tcPr>
            <w:tcW w:w="2518" w:type="dxa"/>
            <w:tcBorders>
              <w:top w:val="nil"/>
              <w:left w:val="single" w:sz="4" w:space="0" w:color="auto"/>
              <w:bottom w:val="nil"/>
              <w:right w:val="nil"/>
            </w:tcBorders>
            <w:shd w:val="clear" w:color="auto" w:fill="auto"/>
            <w:noWrap/>
            <w:vAlign w:val="bottom"/>
            <w:hideMark/>
          </w:tcPr>
          <w:p w14:paraId="59DCD238"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Fig, kadota</w:t>
            </w:r>
          </w:p>
        </w:tc>
        <w:tc>
          <w:tcPr>
            <w:tcW w:w="1922" w:type="dxa"/>
            <w:tcBorders>
              <w:top w:val="nil"/>
              <w:left w:val="nil"/>
              <w:bottom w:val="nil"/>
              <w:right w:val="nil"/>
            </w:tcBorders>
            <w:shd w:val="clear" w:color="000000" w:fill="FFFFFF"/>
            <w:noWrap/>
            <w:vAlign w:val="bottom"/>
            <w:hideMark/>
          </w:tcPr>
          <w:p w14:paraId="59DCD239"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Ficus carica</w:t>
            </w:r>
          </w:p>
        </w:tc>
        <w:tc>
          <w:tcPr>
            <w:tcW w:w="1900" w:type="dxa"/>
            <w:tcBorders>
              <w:top w:val="nil"/>
              <w:left w:val="single" w:sz="4" w:space="0" w:color="auto"/>
              <w:bottom w:val="nil"/>
              <w:right w:val="nil"/>
            </w:tcBorders>
            <w:shd w:val="clear" w:color="000000" w:fill="FFFFFF"/>
            <w:noWrap/>
            <w:vAlign w:val="bottom"/>
            <w:hideMark/>
          </w:tcPr>
          <w:p w14:paraId="59DCD23A"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Bluegrass, Kentucky</w:t>
            </w:r>
          </w:p>
        </w:tc>
        <w:tc>
          <w:tcPr>
            <w:tcW w:w="2620" w:type="dxa"/>
            <w:tcBorders>
              <w:top w:val="nil"/>
              <w:left w:val="nil"/>
              <w:bottom w:val="nil"/>
              <w:right w:val="single" w:sz="4" w:space="0" w:color="auto"/>
            </w:tcBorders>
            <w:shd w:val="clear" w:color="000000" w:fill="FFFFFF"/>
            <w:noWrap/>
            <w:vAlign w:val="bottom"/>
            <w:hideMark/>
          </w:tcPr>
          <w:p w14:paraId="59DCD23B"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Poa pratensis</w:t>
            </w:r>
          </w:p>
        </w:tc>
      </w:tr>
      <w:tr w:rsidR="00BE3AA8" w:rsidRPr="00D93FF9" w14:paraId="59DCD241" w14:textId="77777777" w:rsidTr="005531DD">
        <w:trPr>
          <w:trHeight w:val="227"/>
        </w:trPr>
        <w:tc>
          <w:tcPr>
            <w:tcW w:w="2518" w:type="dxa"/>
            <w:tcBorders>
              <w:top w:val="nil"/>
              <w:left w:val="single" w:sz="4" w:space="0" w:color="auto"/>
              <w:bottom w:val="nil"/>
              <w:right w:val="nil"/>
            </w:tcBorders>
            <w:shd w:val="clear" w:color="auto" w:fill="auto"/>
            <w:noWrap/>
            <w:vAlign w:val="bottom"/>
            <w:hideMark/>
          </w:tcPr>
          <w:p w14:paraId="59DCD23D"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Grape</w:t>
            </w:r>
          </w:p>
        </w:tc>
        <w:tc>
          <w:tcPr>
            <w:tcW w:w="1922" w:type="dxa"/>
            <w:tcBorders>
              <w:top w:val="nil"/>
              <w:left w:val="nil"/>
              <w:bottom w:val="nil"/>
              <w:right w:val="nil"/>
            </w:tcBorders>
            <w:shd w:val="clear" w:color="000000" w:fill="FFFFFF"/>
            <w:noWrap/>
            <w:vAlign w:val="bottom"/>
            <w:hideMark/>
          </w:tcPr>
          <w:p w14:paraId="59DCD23E"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Vitis vinifera</w:t>
            </w:r>
          </w:p>
        </w:tc>
        <w:tc>
          <w:tcPr>
            <w:tcW w:w="1900" w:type="dxa"/>
            <w:tcBorders>
              <w:top w:val="nil"/>
              <w:left w:val="single" w:sz="4" w:space="0" w:color="auto"/>
              <w:bottom w:val="nil"/>
              <w:right w:val="nil"/>
            </w:tcBorders>
            <w:shd w:val="clear" w:color="000000" w:fill="FFFFFF"/>
            <w:noWrap/>
            <w:vAlign w:val="bottom"/>
            <w:hideMark/>
          </w:tcPr>
          <w:p w14:paraId="59DCD23F"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Oats</w:t>
            </w:r>
          </w:p>
        </w:tc>
        <w:tc>
          <w:tcPr>
            <w:tcW w:w="2620" w:type="dxa"/>
            <w:tcBorders>
              <w:top w:val="nil"/>
              <w:left w:val="nil"/>
              <w:bottom w:val="nil"/>
              <w:right w:val="single" w:sz="4" w:space="0" w:color="auto"/>
            </w:tcBorders>
            <w:shd w:val="clear" w:color="000000" w:fill="FFFFFF"/>
            <w:noWrap/>
            <w:vAlign w:val="bottom"/>
            <w:hideMark/>
          </w:tcPr>
          <w:p w14:paraId="59DCD240"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Avena sativa</w:t>
            </w:r>
          </w:p>
        </w:tc>
      </w:tr>
      <w:tr w:rsidR="00BE3AA8" w:rsidRPr="00D93FF9" w14:paraId="59DCD246" w14:textId="77777777" w:rsidTr="005531DD">
        <w:trPr>
          <w:trHeight w:val="227"/>
        </w:trPr>
        <w:tc>
          <w:tcPr>
            <w:tcW w:w="2518" w:type="dxa"/>
            <w:tcBorders>
              <w:top w:val="nil"/>
              <w:left w:val="single" w:sz="4" w:space="0" w:color="auto"/>
              <w:bottom w:val="nil"/>
              <w:right w:val="nil"/>
            </w:tcBorders>
            <w:shd w:val="clear" w:color="auto" w:fill="auto"/>
            <w:noWrap/>
            <w:vAlign w:val="bottom"/>
            <w:hideMark/>
          </w:tcPr>
          <w:p w14:paraId="59DCD242"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Walnut</w:t>
            </w:r>
          </w:p>
        </w:tc>
        <w:tc>
          <w:tcPr>
            <w:tcW w:w="1922" w:type="dxa"/>
            <w:tcBorders>
              <w:top w:val="nil"/>
              <w:left w:val="nil"/>
              <w:bottom w:val="nil"/>
              <w:right w:val="nil"/>
            </w:tcBorders>
            <w:shd w:val="clear" w:color="000000" w:fill="FFFFFF"/>
            <w:noWrap/>
            <w:vAlign w:val="bottom"/>
            <w:hideMark/>
          </w:tcPr>
          <w:p w14:paraId="59DCD243"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Juglans regia</w:t>
            </w:r>
          </w:p>
        </w:tc>
        <w:tc>
          <w:tcPr>
            <w:tcW w:w="1900" w:type="dxa"/>
            <w:tcBorders>
              <w:top w:val="nil"/>
              <w:left w:val="single" w:sz="4" w:space="0" w:color="auto"/>
              <w:bottom w:val="nil"/>
              <w:right w:val="nil"/>
            </w:tcBorders>
            <w:shd w:val="clear" w:color="000000" w:fill="FFFFFF"/>
            <w:noWrap/>
            <w:vAlign w:val="bottom"/>
            <w:hideMark/>
          </w:tcPr>
          <w:p w14:paraId="59DCD244"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Maize</w:t>
            </w:r>
          </w:p>
        </w:tc>
        <w:tc>
          <w:tcPr>
            <w:tcW w:w="2620" w:type="dxa"/>
            <w:tcBorders>
              <w:top w:val="nil"/>
              <w:left w:val="nil"/>
              <w:bottom w:val="nil"/>
              <w:right w:val="single" w:sz="4" w:space="0" w:color="auto"/>
            </w:tcBorders>
            <w:shd w:val="clear" w:color="000000" w:fill="FFFFFF"/>
            <w:noWrap/>
            <w:vAlign w:val="bottom"/>
            <w:hideMark/>
          </w:tcPr>
          <w:p w14:paraId="59DCD245"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Zea mays</w:t>
            </w:r>
          </w:p>
        </w:tc>
      </w:tr>
      <w:tr w:rsidR="00BE3AA8" w:rsidRPr="00D93FF9" w14:paraId="59DCD24B" w14:textId="77777777" w:rsidTr="005531DD">
        <w:trPr>
          <w:trHeight w:val="227"/>
        </w:trPr>
        <w:tc>
          <w:tcPr>
            <w:tcW w:w="2518" w:type="dxa"/>
            <w:tcBorders>
              <w:top w:val="nil"/>
              <w:left w:val="single" w:sz="4" w:space="0" w:color="auto"/>
              <w:bottom w:val="nil"/>
              <w:right w:val="nil"/>
            </w:tcBorders>
            <w:shd w:val="clear" w:color="auto" w:fill="auto"/>
            <w:noWrap/>
            <w:vAlign w:val="bottom"/>
            <w:hideMark/>
          </w:tcPr>
          <w:p w14:paraId="59DCD247"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Pecan</w:t>
            </w:r>
          </w:p>
        </w:tc>
        <w:tc>
          <w:tcPr>
            <w:tcW w:w="1922" w:type="dxa"/>
            <w:tcBorders>
              <w:top w:val="nil"/>
              <w:left w:val="nil"/>
              <w:bottom w:val="nil"/>
              <w:right w:val="nil"/>
            </w:tcBorders>
            <w:shd w:val="clear" w:color="000000" w:fill="FFFFFF"/>
            <w:noWrap/>
            <w:vAlign w:val="bottom"/>
            <w:hideMark/>
          </w:tcPr>
          <w:p w14:paraId="59DCD248"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Carya illinoiensis</w:t>
            </w:r>
          </w:p>
        </w:tc>
        <w:tc>
          <w:tcPr>
            <w:tcW w:w="1900" w:type="dxa"/>
            <w:tcBorders>
              <w:top w:val="nil"/>
              <w:left w:val="single" w:sz="4" w:space="0" w:color="auto"/>
              <w:bottom w:val="nil"/>
              <w:right w:val="nil"/>
            </w:tcBorders>
            <w:shd w:val="clear" w:color="000000" w:fill="FFFFFF"/>
            <w:noWrap/>
            <w:vAlign w:val="bottom"/>
            <w:hideMark/>
          </w:tcPr>
          <w:p w14:paraId="59DCD249"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Artichoke</w:t>
            </w:r>
          </w:p>
        </w:tc>
        <w:tc>
          <w:tcPr>
            <w:tcW w:w="2620" w:type="dxa"/>
            <w:tcBorders>
              <w:top w:val="nil"/>
              <w:left w:val="nil"/>
              <w:bottom w:val="nil"/>
              <w:right w:val="single" w:sz="4" w:space="0" w:color="auto"/>
            </w:tcBorders>
            <w:shd w:val="clear" w:color="000000" w:fill="FFFFFF"/>
            <w:noWrap/>
            <w:vAlign w:val="bottom"/>
            <w:hideMark/>
          </w:tcPr>
          <w:p w14:paraId="59DCD24A"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Cynara scolymus</w:t>
            </w:r>
          </w:p>
        </w:tc>
      </w:tr>
      <w:tr w:rsidR="00BE3AA8" w:rsidRPr="00D93FF9" w14:paraId="59DCD250"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4C"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Cowpea</w:t>
            </w:r>
          </w:p>
        </w:tc>
        <w:tc>
          <w:tcPr>
            <w:tcW w:w="1922" w:type="dxa"/>
            <w:tcBorders>
              <w:top w:val="nil"/>
              <w:left w:val="nil"/>
              <w:bottom w:val="nil"/>
              <w:right w:val="nil"/>
            </w:tcBorders>
            <w:shd w:val="clear" w:color="000000" w:fill="FFFFFF"/>
            <w:noWrap/>
            <w:vAlign w:val="bottom"/>
            <w:hideMark/>
          </w:tcPr>
          <w:p w14:paraId="59DCD24D"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Vigna unguiculata</w:t>
            </w:r>
          </w:p>
        </w:tc>
        <w:tc>
          <w:tcPr>
            <w:tcW w:w="1900" w:type="dxa"/>
            <w:tcBorders>
              <w:top w:val="nil"/>
              <w:left w:val="single" w:sz="4" w:space="0" w:color="auto"/>
              <w:bottom w:val="nil"/>
              <w:right w:val="nil"/>
            </w:tcBorders>
            <w:shd w:val="clear" w:color="000000" w:fill="FFFFFF"/>
            <w:noWrap/>
            <w:vAlign w:val="bottom"/>
            <w:hideMark/>
          </w:tcPr>
          <w:p w14:paraId="59DCD24E"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Tobacco</w:t>
            </w:r>
          </w:p>
        </w:tc>
        <w:tc>
          <w:tcPr>
            <w:tcW w:w="2620" w:type="dxa"/>
            <w:tcBorders>
              <w:top w:val="nil"/>
              <w:left w:val="nil"/>
              <w:bottom w:val="nil"/>
              <w:right w:val="single" w:sz="4" w:space="0" w:color="auto"/>
            </w:tcBorders>
            <w:shd w:val="clear" w:color="000000" w:fill="FFFFFF"/>
            <w:noWrap/>
            <w:vAlign w:val="bottom"/>
            <w:hideMark/>
          </w:tcPr>
          <w:p w14:paraId="59DCD24F"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Nicotiana tabacum</w:t>
            </w:r>
          </w:p>
        </w:tc>
      </w:tr>
      <w:tr w:rsidR="00BE3AA8" w:rsidRPr="00D93FF9" w14:paraId="59DCD255"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51"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Onion</w:t>
            </w:r>
          </w:p>
        </w:tc>
        <w:tc>
          <w:tcPr>
            <w:tcW w:w="1922" w:type="dxa"/>
            <w:tcBorders>
              <w:top w:val="nil"/>
              <w:left w:val="nil"/>
              <w:bottom w:val="nil"/>
              <w:right w:val="nil"/>
            </w:tcBorders>
            <w:shd w:val="clear" w:color="000000" w:fill="FFFFFF"/>
            <w:noWrap/>
            <w:vAlign w:val="bottom"/>
            <w:hideMark/>
          </w:tcPr>
          <w:p w14:paraId="59DCD252"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Allium cepa</w:t>
            </w:r>
          </w:p>
        </w:tc>
        <w:tc>
          <w:tcPr>
            <w:tcW w:w="1900" w:type="dxa"/>
            <w:tcBorders>
              <w:top w:val="nil"/>
              <w:left w:val="single" w:sz="4" w:space="0" w:color="auto"/>
              <w:bottom w:val="nil"/>
              <w:right w:val="nil"/>
            </w:tcBorders>
            <w:shd w:val="clear" w:color="000000" w:fill="FFFFFF"/>
            <w:noWrap/>
            <w:vAlign w:val="bottom"/>
            <w:hideMark/>
          </w:tcPr>
          <w:p w14:paraId="59DCD253"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Mustard</w:t>
            </w:r>
          </w:p>
        </w:tc>
        <w:tc>
          <w:tcPr>
            <w:tcW w:w="2620" w:type="dxa"/>
            <w:tcBorders>
              <w:top w:val="nil"/>
              <w:left w:val="nil"/>
              <w:bottom w:val="nil"/>
              <w:right w:val="single" w:sz="4" w:space="0" w:color="auto"/>
            </w:tcBorders>
            <w:shd w:val="clear" w:color="000000" w:fill="FFFFFF"/>
            <w:noWrap/>
            <w:vAlign w:val="bottom"/>
            <w:hideMark/>
          </w:tcPr>
          <w:p w14:paraId="59DCD254"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Brassica juncea</w:t>
            </w:r>
          </w:p>
        </w:tc>
      </w:tr>
      <w:tr w:rsidR="00BE3AA8" w:rsidRPr="00D93FF9" w14:paraId="59DCD25A" w14:textId="77777777" w:rsidTr="00DC6BA7">
        <w:trPr>
          <w:trHeight w:val="227"/>
        </w:trPr>
        <w:tc>
          <w:tcPr>
            <w:tcW w:w="2518" w:type="dxa"/>
            <w:tcBorders>
              <w:top w:val="single" w:sz="4" w:space="0" w:color="auto"/>
              <w:left w:val="single" w:sz="4" w:space="0" w:color="auto"/>
              <w:bottom w:val="single" w:sz="4" w:space="0" w:color="auto"/>
              <w:right w:val="nil"/>
            </w:tcBorders>
            <w:shd w:val="clear" w:color="000000" w:fill="FFFFFF"/>
            <w:noWrap/>
            <w:vAlign w:val="bottom"/>
            <w:hideMark/>
          </w:tcPr>
          <w:p w14:paraId="59DCD256" w14:textId="3C522C64" w:rsidR="00F10B82"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 xml:space="preserve">Sensitive (0.75 </w:t>
            </w:r>
            <w:r w:rsidR="006B5B0C" w:rsidRPr="00D93FF9">
              <w:rPr>
                <w:rFonts w:cs="Arial"/>
                <w:b/>
                <w:bCs/>
                <w:color w:val="000000"/>
                <w:sz w:val="18"/>
                <w:szCs w:val="18"/>
                <w:lang w:val="en-GB" w:eastAsia="en-AU"/>
              </w:rPr>
              <w:t>–</w:t>
            </w:r>
            <w:r w:rsidRPr="00D93FF9">
              <w:rPr>
                <w:rFonts w:cs="Arial"/>
                <w:b/>
                <w:bCs/>
                <w:color w:val="000000"/>
                <w:sz w:val="18"/>
                <w:szCs w:val="18"/>
                <w:lang w:val="en-GB" w:eastAsia="en-AU"/>
              </w:rPr>
              <w:t xml:space="preserve"> 1.0 mg/l)</w:t>
            </w:r>
          </w:p>
        </w:tc>
        <w:tc>
          <w:tcPr>
            <w:tcW w:w="1922" w:type="dxa"/>
            <w:tcBorders>
              <w:top w:val="single" w:sz="4" w:space="0" w:color="auto"/>
              <w:left w:val="nil"/>
              <w:bottom w:val="single" w:sz="4" w:space="0" w:color="auto"/>
              <w:right w:val="nil"/>
            </w:tcBorders>
            <w:shd w:val="clear" w:color="000000" w:fill="FFFFFF"/>
            <w:noWrap/>
            <w:vAlign w:val="bottom"/>
            <w:hideMark/>
          </w:tcPr>
          <w:p w14:paraId="59DCD257"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w:t>
            </w:r>
          </w:p>
        </w:tc>
        <w:tc>
          <w:tcPr>
            <w:tcW w:w="1900" w:type="dxa"/>
            <w:tcBorders>
              <w:top w:val="nil"/>
              <w:left w:val="single" w:sz="4" w:space="0" w:color="auto"/>
              <w:bottom w:val="nil"/>
              <w:right w:val="nil"/>
            </w:tcBorders>
            <w:shd w:val="clear" w:color="000000" w:fill="FFFFFF"/>
            <w:noWrap/>
            <w:vAlign w:val="bottom"/>
            <w:hideMark/>
          </w:tcPr>
          <w:p w14:paraId="59DCD258"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Clover, sweet</w:t>
            </w:r>
          </w:p>
        </w:tc>
        <w:tc>
          <w:tcPr>
            <w:tcW w:w="2620" w:type="dxa"/>
            <w:tcBorders>
              <w:top w:val="nil"/>
              <w:left w:val="nil"/>
              <w:bottom w:val="nil"/>
              <w:right w:val="single" w:sz="4" w:space="0" w:color="auto"/>
            </w:tcBorders>
            <w:shd w:val="clear" w:color="000000" w:fill="FFFFFF"/>
            <w:noWrap/>
            <w:vAlign w:val="bottom"/>
            <w:hideMark/>
          </w:tcPr>
          <w:p w14:paraId="59DCD259"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Melilotus indica</w:t>
            </w:r>
          </w:p>
        </w:tc>
      </w:tr>
      <w:tr w:rsidR="00BE3AA8" w:rsidRPr="00D93FF9" w14:paraId="59DCD25F"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5B"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Garlic</w:t>
            </w:r>
          </w:p>
        </w:tc>
        <w:tc>
          <w:tcPr>
            <w:tcW w:w="1922" w:type="dxa"/>
            <w:tcBorders>
              <w:top w:val="nil"/>
              <w:left w:val="nil"/>
              <w:bottom w:val="nil"/>
              <w:right w:val="nil"/>
            </w:tcBorders>
            <w:shd w:val="clear" w:color="000000" w:fill="FFFFFF"/>
            <w:noWrap/>
            <w:vAlign w:val="bottom"/>
            <w:hideMark/>
          </w:tcPr>
          <w:p w14:paraId="59DCD25C"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Allium sativum</w:t>
            </w:r>
          </w:p>
        </w:tc>
        <w:tc>
          <w:tcPr>
            <w:tcW w:w="1900" w:type="dxa"/>
            <w:tcBorders>
              <w:top w:val="nil"/>
              <w:left w:val="single" w:sz="4" w:space="0" w:color="auto"/>
              <w:bottom w:val="nil"/>
              <w:right w:val="nil"/>
            </w:tcBorders>
            <w:shd w:val="clear" w:color="000000" w:fill="FFFFFF"/>
            <w:noWrap/>
            <w:vAlign w:val="bottom"/>
            <w:hideMark/>
          </w:tcPr>
          <w:p w14:paraId="59DCD25D"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Squash</w:t>
            </w:r>
          </w:p>
        </w:tc>
        <w:tc>
          <w:tcPr>
            <w:tcW w:w="2620" w:type="dxa"/>
            <w:tcBorders>
              <w:top w:val="nil"/>
              <w:left w:val="nil"/>
              <w:bottom w:val="nil"/>
              <w:right w:val="single" w:sz="4" w:space="0" w:color="auto"/>
            </w:tcBorders>
            <w:shd w:val="clear" w:color="000000" w:fill="FFFFFF"/>
            <w:noWrap/>
            <w:vAlign w:val="bottom"/>
            <w:hideMark/>
          </w:tcPr>
          <w:p w14:paraId="59DCD25E"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Cucurbita pepo</w:t>
            </w:r>
          </w:p>
        </w:tc>
      </w:tr>
      <w:tr w:rsidR="00BE3AA8" w:rsidRPr="00D93FF9" w14:paraId="59DCD264"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60"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Sweet potato</w:t>
            </w:r>
          </w:p>
        </w:tc>
        <w:tc>
          <w:tcPr>
            <w:tcW w:w="1922" w:type="dxa"/>
            <w:tcBorders>
              <w:top w:val="nil"/>
              <w:left w:val="nil"/>
              <w:bottom w:val="nil"/>
              <w:right w:val="nil"/>
            </w:tcBorders>
            <w:shd w:val="clear" w:color="000000" w:fill="FFFFFF"/>
            <w:noWrap/>
            <w:vAlign w:val="bottom"/>
            <w:hideMark/>
          </w:tcPr>
          <w:p w14:paraId="59DCD261"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Ipomoea batatas</w:t>
            </w:r>
          </w:p>
        </w:tc>
        <w:tc>
          <w:tcPr>
            <w:tcW w:w="1900" w:type="dxa"/>
            <w:tcBorders>
              <w:top w:val="nil"/>
              <w:left w:val="single" w:sz="4" w:space="0" w:color="auto"/>
              <w:bottom w:val="nil"/>
              <w:right w:val="nil"/>
            </w:tcBorders>
            <w:shd w:val="clear" w:color="000000" w:fill="FFFFFF"/>
            <w:noWrap/>
            <w:vAlign w:val="bottom"/>
            <w:hideMark/>
          </w:tcPr>
          <w:p w14:paraId="59DCD262"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Muskmelon</w:t>
            </w:r>
          </w:p>
        </w:tc>
        <w:tc>
          <w:tcPr>
            <w:tcW w:w="2620" w:type="dxa"/>
            <w:tcBorders>
              <w:top w:val="nil"/>
              <w:left w:val="nil"/>
              <w:bottom w:val="nil"/>
              <w:right w:val="single" w:sz="4" w:space="0" w:color="auto"/>
            </w:tcBorders>
            <w:shd w:val="clear" w:color="000000" w:fill="FFFFFF"/>
            <w:noWrap/>
            <w:vAlign w:val="bottom"/>
            <w:hideMark/>
          </w:tcPr>
          <w:p w14:paraId="59DCD263"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Cucumis melo</w:t>
            </w:r>
          </w:p>
        </w:tc>
      </w:tr>
      <w:tr w:rsidR="00BE3AA8" w:rsidRPr="00D93FF9" w14:paraId="59DCD268"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65"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Wheat</w:t>
            </w:r>
          </w:p>
        </w:tc>
        <w:tc>
          <w:tcPr>
            <w:tcW w:w="1922" w:type="dxa"/>
            <w:tcBorders>
              <w:top w:val="nil"/>
              <w:left w:val="nil"/>
              <w:bottom w:val="nil"/>
              <w:right w:val="nil"/>
            </w:tcBorders>
            <w:shd w:val="clear" w:color="000000" w:fill="FFFFFF"/>
            <w:noWrap/>
            <w:vAlign w:val="bottom"/>
            <w:hideMark/>
          </w:tcPr>
          <w:p w14:paraId="59DCD266"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Triticum eastivum</w:t>
            </w:r>
          </w:p>
        </w:tc>
        <w:tc>
          <w:tcPr>
            <w:tcW w:w="45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9DCD267" w14:textId="5F8E7D3C" w:rsidR="00F10B82"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 xml:space="preserve">Tolerant (4.0 </w:t>
            </w:r>
            <w:r w:rsidR="006B5B0C" w:rsidRPr="00D93FF9">
              <w:rPr>
                <w:rFonts w:cs="Arial"/>
                <w:b/>
                <w:bCs/>
                <w:color w:val="000000"/>
                <w:sz w:val="18"/>
                <w:szCs w:val="18"/>
                <w:lang w:val="en-GB" w:eastAsia="en-AU"/>
              </w:rPr>
              <w:t>–</w:t>
            </w:r>
            <w:r w:rsidRPr="00D93FF9">
              <w:rPr>
                <w:rFonts w:cs="Arial"/>
                <w:b/>
                <w:bCs/>
                <w:color w:val="000000"/>
                <w:sz w:val="18"/>
                <w:szCs w:val="18"/>
                <w:lang w:val="en-GB" w:eastAsia="en-AU"/>
              </w:rPr>
              <w:t xml:space="preserve"> 6.0 mg/1)</w:t>
            </w:r>
          </w:p>
        </w:tc>
      </w:tr>
      <w:tr w:rsidR="00BE3AA8" w:rsidRPr="00D93FF9" w14:paraId="59DCD26D"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69"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Barley</w:t>
            </w:r>
          </w:p>
        </w:tc>
        <w:tc>
          <w:tcPr>
            <w:tcW w:w="1922" w:type="dxa"/>
            <w:tcBorders>
              <w:top w:val="nil"/>
              <w:left w:val="nil"/>
              <w:bottom w:val="nil"/>
              <w:right w:val="nil"/>
            </w:tcBorders>
            <w:shd w:val="clear" w:color="000000" w:fill="FFFFFF"/>
            <w:noWrap/>
            <w:vAlign w:val="bottom"/>
            <w:hideMark/>
          </w:tcPr>
          <w:p w14:paraId="59DCD26A"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Hordeum vulgare</w:t>
            </w:r>
          </w:p>
        </w:tc>
        <w:tc>
          <w:tcPr>
            <w:tcW w:w="1900" w:type="dxa"/>
            <w:tcBorders>
              <w:top w:val="nil"/>
              <w:left w:val="single" w:sz="4" w:space="0" w:color="auto"/>
              <w:bottom w:val="nil"/>
              <w:right w:val="nil"/>
            </w:tcBorders>
            <w:shd w:val="clear" w:color="000000" w:fill="FFFFFF"/>
            <w:noWrap/>
            <w:vAlign w:val="bottom"/>
            <w:hideMark/>
          </w:tcPr>
          <w:p w14:paraId="59DCD26B"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Sorghum</w:t>
            </w:r>
          </w:p>
        </w:tc>
        <w:tc>
          <w:tcPr>
            <w:tcW w:w="2620" w:type="dxa"/>
            <w:tcBorders>
              <w:top w:val="nil"/>
              <w:left w:val="nil"/>
              <w:bottom w:val="nil"/>
              <w:right w:val="single" w:sz="4" w:space="0" w:color="auto"/>
            </w:tcBorders>
            <w:shd w:val="clear" w:color="000000" w:fill="FFFFFF"/>
            <w:noWrap/>
            <w:vAlign w:val="bottom"/>
            <w:hideMark/>
          </w:tcPr>
          <w:p w14:paraId="59DCD26C"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Sorghum bicolor</w:t>
            </w:r>
          </w:p>
        </w:tc>
      </w:tr>
      <w:tr w:rsidR="00BE3AA8" w:rsidRPr="00D93FF9" w14:paraId="59DCD272"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6E"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Sunflower</w:t>
            </w:r>
          </w:p>
        </w:tc>
        <w:tc>
          <w:tcPr>
            <w:tcW w:w="1922" w:type="dxa"/>
            <w:tcBorders>
              <w:top w:val="nil"/>
              <w:left w:val="nil"/>
              <w:bottom w:val="nil"/>
              <w:right w:val="nil"/>
            </w:tcBorders>
            <w:shd w:val="clear" w:color="000000" w:fill="FFFFFF"/>
            <w:noWrap/>
            <w:vAlign w:val="bottom"/>
            <w:hideMark/>
          </w:tcPr>
          <w:p w14:paraId="59DCD26F"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Helianthus annuus</w:t>
            </w:r>
          </w:p>
        </w:tc>
        <w:tc>
          <w:tcPr>
            <w:tcW w:w="1900" w:type="dxa"/>
            <w:tcBorders>
              <w:top w:val="nil"/>
              <w:left w:val="single" w:sz="4" w:space="0" w:color="auto"/>
              <w:bottom w:val="nil"/>
              <w:right w:val="nil"/>
            </w:tcBorders>
            <w:shd w:val="clear" w:color="000000" w:fill="FFFFFF"/>
            <w:noWrap/>
            <w:vAlign w:val="bottom"/>
            <w:hideMark/>
          </w:tcPr>
          <w:p w14:paraId="59DCD270"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Tomato</w:t>
            </w:r>
          </w:p>
        </w:tc>
        <w:tc>
          <w:tcPr>
            <w:tcW w:w="2620" w:type="dxa"/>
            <w:tcBorders>
              <w:top w:val="nil"/>
              <w:left w:val="nil"/>
              <w:bottom w:val="nil"/>
              <w:right w:val="single" w:sz="4" w:space="0" w:color="auto"/>
            </w:tcBorders>
            <w:shd w:val="clear" w:color="000000" w:fill="FFFFFF"/>
            <w:noWrap/>
            <w:vAlign w:val="bottom"/>
            <w:hideMark/>
          </w:tcPr>
          <w:p w14:paraId="59DCD271"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Lycopersicon lycopersicum</w:t>
            </w:r>
          </w:p>
        </w:tc>
      </w:tr>
      <w:tr w:rsidR="00BE3AA8" w:rsidRPr="00D93FF9" w14:paraId="59DCD277"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73"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Bean, mung</w:t>
            </w:r>
          </w:p>
        </w:tc>
        <w:tc>
          <w:tcPr>
            <w:tcW w:w="1922" w:type="dxa"/>
            <w:tcBorders>
              <w:top w:val="nil"/>
              <w:left w:val="nil"/>
              <w:bottom w:val="nil"/>
              <w:right w:val="nil"/>
            </w:tcBorders>
            <w:shd w:val="clear" w:color="000000" w:fill="FFFFFF"/>
            <w:noWrap/>
            <w:vAlign w:val="bottom"/>
            <w:hideMark/>
          </w:tcPr>
          <w:p w14:paraId="59DCD274"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Vigiia radiata</w:t>
            </w:r>
          </w:p>
        </w:tc>
        <w:tc>
          <w:tcPr>
            <w:tcW w:w="1900" w:type="dxa"/>
            <w:tcBorders>
              <w:top w:val="nil"/>
              <w:left w:val="single" w:sz="4" w:space="0" w:color="auto"/>
              <w:bottom w:val="nil"/>
              <w:right w:val="nil"/>
            </w:tcBorders>
            <w:shd w:val="clear" w:color="000000" w:fill="FFFFFF"/>
            <w:noWrap/>
            <w:vAlign w:val="bottom"/>
            <w:hideMark/>
          </w:tcPr>
          <w:p w14:paraId="59DCD275"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Alfalfa</w:t>
            </w:r>
          </w:p>
        </w:tc>
        <w:tc>
          <w:tcPr>
            <w:tcW w:w="2620" w:type="dxa"/>
            <w:tcBorders>
              <w:top w:val="nil"/>
              <w:left w:val="nil"/>
              <w:bottom w:val="nil"/>
              <w:right w:val="single" w:sz="4" w:space="0" w:color="auto"/>
            </w:tcBorders>
            <w:shd w:val="clear" w:color="000000" w:fill="FFFFFF"/>
            <w:noWrap/>
            <w:vAlign w:val="bottom"/>
            <w:hideMark/>
          </w:tcPr>
          <w:p w14:paraId="59DCD276"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Medicago sativa</w:t>
            </w:r>
          </w:p>
        </w:tc>
      </w:tr>
      <w:tr w:rsidR="00BE3AA8" w:rsidRPr="00D93FF9" w14:paraId="59DCD27C"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78"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Sesame</w:t>
            </w:r>
          </w:p>
        </w:tc>
        <w:tc>
          <w:tcPr>
            <w:tcW w:w="1922" w:type="dxa"/>
            <w:tcBorders>
              <w:top w:val="nil"/>
              <w:left w:val="nil"/>
              <w:bottom w:val="nil"/>
              <w:right w:val="nil"/>
            </w:tcBorders>
            <w:shd w:val="clear" w:color="000000" w:fill="FFFFFF"/>
            <w:noWrap/>
            <w:vAlign w:val="bottom"/>
            <w:hideMark/>
          </w:tcPr>
          <w:p w14:paraId="59DCD279"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Sesamum indicum</w:t>
            </w:r>
          </w:p>
        </w:tc>
        <w:tc>
          <w:tcPr>
            <w:tcW w:w="1900" w:type="dxa"/>
            <w:tcBorders>
              <w:top w:val="nil"/>
              <w:left w:val="single" w:sz="4" w:space="0" w:color="auto"/>
              <w:bottom w:val="nil"/>
              <w:right w:val="nil"/>
            </w:tcBorders>
            <w:shd w:val="clear" w:color="000000" w:fill="FFFFFF"/>
            <w:noWrap/>
            <w:vAlign w:val="bottom"/>
            <w:hideMark/>
          </w:tcPr>
          <w:p w14:paraId="59DCD27A"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xml:space="preserve">Vetch, purple </w:t>
            </w:r>
          </w:p>
        </w:tc>
        <w:tc>
          <w:tcPr>
            <w:tcW w:w="2620" w:type="dxa"/>
            <w:tcBorders>
              <w:top w:val="nil"/>
              <w:left w:val="nil"/>
              <w:bottom w:val="nil"/>
              <w:right w:val="single" w:sz="4" w:space="0" w:color="auto"/>
            </w:tcBorders>
            <w:shd w:val="clear" w:color="000000" w:fill="FFFFFF"/>
            <w:noWrap/>
            <w:vAlign w:val="bottom"/>
            <w:hideMark/>
          </w:tcPr>
          <w:p w14:paraId="59DCD27B"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Vicia benghalensis</w:t>
            </w:r>
          </w:p>
        </w:tc>
      </w:tr>
      <w:tr w:rsidR="00BE3AA8" w:rsidRPr="00D93FF9" w14:paraId="59DCD281"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7D"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Lupine</w:t>
            </w:r>
          </w:p>
        </w:tc>
        <w:tc>
          <w:tcPr>
            <w:tcW w:w="1922" w:type="dxa"/>
            <w:tcBorders>
              <w:top w:val="nil"/>
              <w:left w:val="nil"/>
              <w:bottom w:val="nil"/>
              <w:right w:val="nil"/>
            </w:tcBorders>
            <w:shd w:val="clear" w:color="000000" w:fill="FFFFFF"/>
            <w:noWrap/>
            <w:vAlign w:val="bottom"/>
            <w:hideMark/>
          </w:tcPr>
          <w:p w14:paraId="59DCD27E"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Lupinus hartwegii</w:t>
            </w:r>
          </w:p>
        </w:tc>
        <w:tc>
          <w:tcPr>
            <w:tcW w:w="1900" w:type="dxa"/>
            <w:tcBorders>
              <w:top w:val="nil"/>
              <w:left w:val="single" w:sz="4" w:space="0" w:color="auto"/>
              <w:bottom w:val="nil"/>
              <w:right w:val="nil"/>
            </w:tcBorders>
            <w:shd w:val="clear" w:color="000000" w:fill="FFFFFF"/>
            <w:noWrap/>
            <w:vAlign w:val="bottom"/>
            <w:hideMark/>
          </w:tcPr>
          <w:p w14:paraId="59DCD27F"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Parsley</w:t>
            </w:r>
          </w:p>
        </w:tc>
        <w:tc>
          <w:tcPr>
            <w:tcW w:w="2620" w:type="dxa"/>
            <w:tcBorders>
              <w:top w:val="nil"/>
              <w:left w:val="nil"/>
              <w:bottom w:val="nil"/>
              <w:right w:val="single" w:sz="4" w:space="0" w:color="auto"/>
            </w:tcBorders>
            <w:shd w:val="clear" w:color="000000" w:fill="FFFFFF"/>
            <w:noWrap/>
            <w:vAlign w:val="bottom"/>
            <w:hideMark/>
          </w:tcPr>
          <w:p w14:paraId="59DCD280"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Petroselinum crispurn</w:t>
            </w:r>
          </w:p>
        </w:tc>
      </w:tr>
      <w:tr w:rsidR="00BE3AA8" w:rsidRPr="00D93FF9" w14:paraId="59DCD286"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82"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Strawberry</w:t>
            </w:r>
          </w:p>
        </w:tc>
        <w:tc>
          <w:tcPr>
            <w:tcW w:w="1922" w:type="dxa"/>
            <w:tcBorders>
              <w:top w:val="nil"/>
              <w:left w:val="nil"/>
              <w:bottom w:val="nil"/>
              <w:right w:val="nil"/>
            </w:tcBorders>
            <w:shd w:val="clear" w:color="000000" w:fill="FFFFFF"/>
            <w:noWrap/>
            <w:vAlign w:val="bottom"/>
            <w:hideMark/>
          </w:tcPr>
          <w:p w14:paraId="59DCD283"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Fragaria spp.</w:t>
            </w:r>
          </w:p>
        </w:tc>
        <w:tc>
          <w:tcPr>
            <w:tcW w:w="1900" w:type="dxa"/>
            <w:tcBorders>
              <w:top w:val="nil"/>
              <w:left w:val="single" w:sz="4" w:space="0" w:color="auto"/>
              <w:bottom w:val="nil"/>
              <w:right w:val="nil"/>
            </w:tcBorders>
            <w:shd w:val="clear" w:color="000000" w:fill="FFFFFF"/>
            <w:noWrap/>
            <w:vAlign w:val="bottom"/>
            <w:hideMark/>
          </w:tcPr>
          <w:p w14:paraId="59DCD284"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Beet, red</w:t>
            </w:r>
          </w:p>
        </w:tc>
        <w:tc>
          <w:tcPr>
            <w:tcW w:w="2620" w:type="dxa"/>
            <w:tcBorders>
              <w:top w:val="nil"/>
              <w:left w:val="nil"/>
              <w:bottom w:val="nil"/>
              <w:right w:val="single" w:sz="4" w:space="0" w:color="auto"/>
            </w:tcBorders>
            <w:shd w:val="clear" w:color="000000" w:fill="FFFFFF"/>
            <w:noWrap/>
            <w:vAlign w:val="bottom"/>
            <w:hideMark/>
          </w:tcPr>
          <w:p w14:paraId="59DCD285"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Beta vulgaris</w:t>
            </w:r>
          </w:p>
        </w:tc>
      </w:tr>
      <w:tr w:rsidR="00BE3AA8" w:rsidRPr="00D93FF9" w14:paraId="59DCD28B"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87"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Artichoke, Jerusalem</w:t>
            </w:r>
          </w:p>
        </w:tc>
        <w:tc>
          <w:tcPr>
            <w:tcW w:w="1922" w:type="dxa"/>
            <w:tcBorders>
              <w:top w:val="nil"/>
              <w:left w:val="nil"/>
              <w:bottom w:val="nil"/>
              <w:right w:val="nil"/>
            </w:tcBorders>
            <w:shd w:val="clear" w:color="000000" w:fill="FFFFFF"/>
            <w:noWrap/>
            <w:vAlign w:val="bottom"/>
            <w:hideMark/>
          </w:tcPr>
          <w:p w14:paraId="59DCD288"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Helianthus tuberosus</w:t>
            </w:r>
          </w:p>
        </w:tc>
        <w:tc>
          <w:tcPr>
            <w:tcW w:w="1900" w:type="dxa"/>
            <w:tcBorders>
              <w:top w:val="nil"/>
              <w:left w:val="single" w:sz="4" w:space="0" w:color="auto"/>
              <w:bottom w:val="nil"/>
              <w:right w:val="nil"/>
            </w:tcBorders>
            <w:shd w:val="clear" w:color="000000" w:fill="FFFFFF"/>
            <w:noWrap/>
            <w:vAlign w:val="bottom"/>
            <w:hideMark/>
          </w:tcPr>
          <w:p w14:paraId="59DCD289"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 xml:space="preserve">Sugarbeet </w:t>
            </w:r>
          </w:p>
        </w:tc>
        <w:tc>
          <w:tcPr>
            <w:tcW w:w="2620" w:type="dxa"/>
            <w:tcBorders>
              <w:top w:val="nil"/>
              <w:left w:val="nil"/>
              <w:bottom w:val="nil"/>
              <w:right w:val="single" w:sz="4" w:space="0" w:color="auto"/>
            </w:tcBorders>
            <w:shd w:val="clear" w:color="000000" w:fill="FFFFFF"/>
            <w:noWrap/>
            <w:vAlign w:val="bottom"/>
            <w:hideMark/>
          </w:tcPr>
          <w:p w14:paraId="59DCD28A"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Beta vulgaris</w:t>
            </w:r>
          </w:p>
        </w:tc>
      </w:tr>
      <w:tr w:rsidR="00BE3AA8" w:rsidRPr="00D93FF9" w14:paraId="59DCD28F" w14:textId="77777777" w:rsidTr="00DC6BA7">
        <w:trPr>
          <w:trHeight w:val="227"/>
        </w:trPr>
        <w:tc>
          <w:tcPr>
            <w:tcW w:w="2518" w:type="dxa"/>
            <w:tcBorders>
              <w:top w:val="nil"/>
              <w:left w:val="single" w:sz="4" w:space="0" w:color="auto"/>
              <w:bottom w:val="nil"/>
              <w:right w:val="nil"/>
            </w:tcBorders>
            <w:shd w:val="clear" w:color="000000" w:fill="FFFFFF"/>
            <w:noWrap/>
            <w:vAlign w:val="bottom"/>
            <w:hideMark/>
          </w:tcPr>
          <w:p w14:paraId="59DCD28C"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Bean, kidney</w:t>
            </w:r>
          </w:p>
        </w:tc>
        <w:tc>
          <w:tcPr>
            <w:tcW w:w="1922" w:type="dxa"/>
            <w:tcBorders>
              <w:top w:val="nil"/>
              <w:left w:val="nil"/>
              <w:bottom w:val="nil"/>
              <w:right w:val="nil"/>
            </w:tcBorders>
            <w:shd w:val="clear" w:color="000000" w:fill="FFFFFF"/>
            <w:noWrap/>
            <w:vAlign w:val="bottom"/>
            <w:hideMark/>
          </w:tcPr>
          <w:p w14:paraId="59DCD28D"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Phaseolus vulgaris</w:t>
            </w:r>
          </w:p>
        </w:tc>
        <w:tc>
          <w:tcPr>
            <w:tcW w:w="45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9DCD28E" w14:textId="2AE9AC4E" w:rsidR="00F10B82" w:rsidRPr="00D93FF9" w:rsidRDefault="00E811B8" w:rsidP="003807A1">
            <w:pPr>
              <w:spacing w:after="0"/>
              <w:rPr>
                <w:rFonts w:cs="Arial"/>
                <w:b/>
                <w:bCs/>
                <w:color w:val="000000"/>
                <w:sz w:val="18"/>
                <w:szCs w:val="18"/>
                <w:lang w:val="en-GB" w:eastAsia="en-AU"/>
              </w:rPr>
            </w:pPr>
            <w:r w:rsidRPr="00D93FF9">
              <w:rPr>
                <w:rFonts w:cs="Arial"/>
                <w:b/>
                <w:bCs/>
                <w:color w:val="000000"/>
                <w:sz w:val="18"/>
                <w:szCs w:val="18"/>
                <w:lang w:val="en-GB" w:eastAsia="en-AU"/>
              </w:rPr>
              <w:t xml:space="preserve">Very Tolerant (6.0 </w:t>
            </w:r>
            <w:r w:rsidR="006B5B0C" w:rsidRPr="00D93FF9">
              <w:rPr>
                <w:rFonts w:cs="Arial"/>
                <w:b/>
                <w:bCs/>
                <w:color w:val="000000"/>
                <w:sz w:val="18"/>
                <w:szCs w:val="18"/>
                <w:lang w:val="en-GB" w:eastAsia="en-AU"/>
              </w:rPr>
              <w:t>–</w:t>
            </w:r>
            <w:r w:rsidRPr="00D93FF9">
              <w:rPr>
                <w:rFonts w:cs="Arial"/>
                <w:b/>
                <w:bCs/>
                <w:color w:val="000000"/>
                <w:sz w:val="18"/>
                <w:szCs w:val="18"/>
                <w:lang w:val="en-GB" w:eastAsia="en-AU"/>
              </w:rPr>
              <w:t xml:space="preserve"> 15.0 mg/l)</w:t>
            </w:r>
          </w:p>
        </w:tc>
      </w:tr>
      <w:tr w:rsidR="00BE3AA8" w:rsidRPr="00D93FF9" w14:paraId="59DCD294" w14:textId="77777777" w:rsidTr="005531DD">
        <w:trPr>
          <w:trHeight w:val="227"/>
        </w:trPr>
        <w:tc>
          <w:tcPr>
            <w:tcW w:w="2518" w:type="dxa"/>
            <w:tcBorders>
              <w:top w:val="nil"/>
              <w:left w:val="single" w:sz="4" w:space="0" w:color="auto"/>
              <w:bottom w:val="nil"/>
              <w:right w:val="nil"/>
            </w:tcBorders>
            <w:shd w:val="clear" w:color="000000" w:fill="FFFFFF"/>
            <w:noWrap/>
            <w:vAlign w:val="bottom"/>
            <w:hideMark/>
          </w:tcPr>
          <w:p w14:paraId="59DCD290"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Bean, lima</w:t>
            </w:r>
          </w:p>
        </w:tc>
        <w:tc>
          <w:tcPr>
            <w:tcW w:w="1922" w:type="dxa"/>
            <w:tcBorders>
              <w:top w:val="nil"/>
              <w:left w:val="nil"/>
              <w:bottom w:val="nil"/>
              <w:right w:val="nil"/>
            </w:tcBorders>
            <w:shd w:val="clear" w:color="000000" w:fill="FFFFFF"/>
            <w:noWrap/>
            <w:vAlign w:val="bottom"/>
            <w:hideMark/>
          </w:tcPr>
          <w:p w14:paraId="59DCD291"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Phaseolus lunatus</w:t>
            </w:r>
          </w:p>
        </w:tc>
        <w:tc>
          <w:tcPr>
            <w:tcW w:w="1900" w:type="dxa"/>
            <w:tcBorders>
              <w:top w:val="nil"/>
              <w:left w:val="single" w:sz="4" w:space="0" w:color="auto"/>
              <w:bottom w:val="nil"/>
              <w:right w:val="nil"/>
            </w:tcBorders>
            <w:shd w:val="clear" w:color="auto" w:fill="auto"/>
            <w:noWrap/>
            <w:vAlign w:val="bottom"/>
            <w:hideMark/>
          </w:tcPr>
          <w:p w14:paraId="59DCD292"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Cotton</w:t>
            </w:r>
          </w:p>
        </w:tc>
        <w:tc>
          <w:tcPr>
            <w:tcW w:w="2620" w:type="dxa"/>
            <w:tcBorders>
              <w:top w:val="nil"/>
              <w:left w:val="nil"/>
              <w:bottom w:val="nil"/>
              <w:right w:val="single" w:sz="4" w:space="0" w:color="auto"/>
            </w:tcBorders>
            <w:shd w:val="clear" w:color="000000" w:fill="FFFFFF"/>
            <w:noWrap/>
            <w:vAlign w:val="bottom"/>
            <w:hideMark/>
          </w:tcPr>
          <w:p w14:paraId="59DCD293"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Gossypium hirsutum</w:t>
            </w:r>
          </w:p>
        </w:tc>
      </w:tr>
      <w:tr w:rsidR="00BE3AA8" w:rsidRPr="00D93FF9" w14:paraId="59DCD299" w14:textId="77777777" w:rsidTr="005531DD">
        <w:trPr>
          <w:trHeight w:val="227"/>
        </w:trPr>
        <w:tc>
          <w:tcPr>
            <w:tcW w:w="2518" w:type="dxa"/>
            <w:tcBorders>
              <w:top w:val="nil"/>
              <w:left w:val="single" w:sz="4" w:space="0" w:color="auto"/>
              <w:bottom w:val="single" w:sz="4" w:space="0" w:color="auto"/>
              <w:right w:val="nil"/>
            </w:tcBorders>
            <w:shd w:val="clear" w:color="auto" w:fill="auto"/>
            <w:noWrap/>
            <w:vAlign w:val="bottom"/>
            <w:hideMark/>
          </w:tcPr>
          <w:p w14:paraId="59DCD295"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Groundnut/Peanut</w:t>
            </w:r>
          </w:p>
        </w:tc>
        <w:tc>
          <w:tcPr>
            <w:tcW w:w="1922" w:type="dxa"/>
            <w:tcBorders>
              <w:top w:val="nil"/>
              <w:left w:val="nil"/>
              <w:bottom w:val="single" w:sz="4" w:space="0" w:color="auto"/>
              <w:right w:val="nil"/>
            </w:tcBorders>
            <w:shd w:val="clear" w:color="000000" w:fill="FFFFFF"/>
            <w:noWrap/>
            <w:vAlign w:val="bottom"/>
            <w:hideMark/>
          </w:tcPr>
          <w:p w14:paraId="59DCD296"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Arachis hypogaea</w:t>
            </w:r>
          </w:p>
        </w:tc>
        <w:tc>
          <w:tcPr>
            <w:tcW w:w="1900" w:type="dxa"/>
            <w:tcBorders>
              <w:top w:val="nil"/>
              <w:left w:val="single" w:sz="4" w:space="0" w:color="auto"/>
              <w:bottom w:val="single" w:sz="4" w:space="0" w:color="auto"/>
              <w:right w:val="nil"/>
            </w:tcBorders>
            <w:shd w:val="clear" w:color="000000" w:fill="FFFFFF"/>
            <w:noWrap/>
            <w:vAlign w:val="bottom"/>
            <w:hideMark/>
          </w:tcPr>
          <w:p w14:paraId="59DCD297" w14:textId="77777777" w:rsidR="00F10B82" w:rsidRPr="00D93FF9" w:rsidRDefault="00E811B8" w:rsidP="003807A1">
            <w:pPr>
              <w:spacing w:after="0"/>
              <w:rPr>
                <w:rFonts w:cs="Arial"/>
                <w:color w:val="000000"/>
                <w:sz w:val="18"/>
                <w:szCs w:val="18"/>
                <w:lang w:val="en-GB" w:eastAsia="en-AU"/>
              </w:rPr>
            </w:pPr>
            <w:r w:rsidRPr="00D93FF9">
              <w:rPr>
                <w:rFonts w:cs="Arial"/>
                <w:color w:val="000000"/>
                <w:sz w:val="18"/>
                <w:szCs w:val="18"/>
                <w:lang w:val="en-GB" w:eastAsia="en-AU"/>
              </w:rPr>
              <w:t>Asparagus</w:t>
            </w:r>
          </w:p>
        </w:tc>
        <w:tc>
          <w:tcPr>
            <w:tcW w:w="2620" w:type="dxa"/>
            <w:tcBorders>
              <w:top w:val="nil"/>
              <w:left w:val="nil"/>
              <w:bottom w:val="single" w:sz="4" w:space="0" w:color="auto"/>
              <w:right w:val="single" w:sz="4" w:space="0" w:color="auto"/>
            </w:tcBorders>
            <w:shd w:val="clear" w:color="000000" w:fill="FFFFFF"/>
            <w:noWrap/>
            <w:vAlign w:val="bottom"/>
            <w:hideMark/>
          </w:tcPr>
          <w:p w14:paraId="59DCD298" w14:textId="77777777" w:rsidR="00F10B82" w:rsidRPr="00D93FF9" w:rsidRDefault="00E811B8" w:rsidP="003807A1">
            <w:pPr>
              <w:spacing w:after="0"/>
              <w:rPr>
                <w:rFonts w:cs="Arial"/>
                <w:i/>
                <w:iCs/>
                <w:color w:val="000000"/>
                <w:sz w:val="18"/>
                <w:szCs w:val="18"/>
                <w:lang w:val="en-GB" w:eastAsia="en-AU"/>
              </w:rPr>
            </w:pPr>
            <w:r w:rsidRPr="00D93FF9">
              <w:rPr>
                <w:rFonts w:cs="Arial"/>
                <w:i/>
                <w:iCs/>
                <w:color w:val="000000"/>
                <w:sz w:val="18"/>
                <w:szCs w:val="18"/>
                <w:lang w:val="en-GB" w:eastAsia="en-AU"/>
              </w:rPr>
              <w:t>Asparagus officinalis</w:t>
            </w:r>
          </w:p>
        </w:tc>
      </w:tr>
    </w:tbl>
    <w:p w14:paraId="59DCD29A" w14:textId="596A6FBF" w:rsidR="00380E8A" w:rsidRPr="00D93FF9" w:rsidRDefault="00E811B8" w:rsidP="003807A1">
      <w:pPr>
        <w:pStyle w:val="BodyText"/>
        <w:spacing w:after="0"/>
        <w:rPr>
          <w:rFonts w:ascii="Arial"/>
          <w:sz w:val="23"/>
          <w:lang w:val="en-GB"/>
        </w:rPr>
      </w:pPr>
      <w:r w:rsidRPr="00D93FF9">
        <w:rPr>
          <w:rFonts w:ascii="Arial" w:eastAsia="Arial" w:hAnsi="Arial" w:cs="Arial"/>
          <w:sz w:val="14"/>
          <w:szCs w:val="20"/>
          <w:lang w:val="en-GB"/>
        </w:rPr>
        <w:t xml:space="preserve">a Maximum concentration of boron tolerated in soil-water without yield or vegetative growth reductions. Boron tolerances vary depending upon climate, soil conditions and crop varieties. Maximum concentrations in the irrigation water are approximately equal to these values or slightly less </w:t>
      </w:r>
      <w:r w:rsidRPr="00D93FF9">
        <w:rPr>
          <w:rFonts w:ascii="Arial" w:eastAsia="Arial" w:hAnsi="Arial" w:cs="Arial"/>
          <w:sz w:val="14"/>
          <w:szCs w:val="20"/>
          <w:lang w:val="en-GB"/>
        </w:rPr>
        <w:fldChar w:fldCharType="begin"/>
      </w:r>
      <w:r w:rsidR="007C2051" w:rsidRPr="00D93FF9">
        <w:rPr>
          <w:rFonts w:ascii="Arial" w:eastAsia="Arial" w:hAnsi="Arial" w:cs="Arial"/>
          <w:sz w:val="14"/>
          <w:szCs w:val="20"/>
          <w:lang w:val="en-GB"/>
        </w:rPr>
        <w:instrText xml:space="preserve"> ADDIN ZOTERO_ITEM CSL_CITATION {"citationID":"GO81wA5K","properties":{"formattedCitation":"(Ayers and Westcot, 1985)","plainCitation":"(Ayers and Westcot, 1985)","noteIndex":0},"citationItems":[{"id":5568,"uris":["http://zotero.org/users/1938757/items/UZHGX6WC"],"uri":["http://zotero.org/users/1938757/items/UZHGX6WC"],"itemData":{"id":5568,"type":"report","abstract":"Water quality for agriculture\n\nby\nR.S. Ayers\nSoil and Water Specialist (Emeritus)\nUniversity of California\nDavis, California, USA\n\nand\nD.W. Westcot\nSenior Land and Water Resources Specialist\nCalifornia Regional Water Quality Control Board\nSacramento, California, USA\n\nFAO IRRIGATION AND DRAINAGE PAPER\n\n29 Rev. 1\n\nReprinted 1989, 1994\n\nThe designations employed and the presentation of material in this publication do not imply the expression of any opinion whatsoever on the part of the Food and Agriculture Organization of the United Nations concerning the legal status of any country, territory, city or area or of its authorities, or concerning the delimitation of its frontiers or boundaries.\n\nM-56\nISBN 92-5-102263-1\n\nAll rights reserved. No part of this publication may be reproduced, stored in a retrieval system, or transmitted in any form or by any means, electronic, mechanical, photocopying or otherwise, without the prior permission of the copyright owner. Applications for such permission, with a statement of the purpose and extent of the reproduction, should be addressed to the Director, Publications Division, Food and Agriculture Organization of the United Nations, Viale delle Terme di Caracalla, 00100 Rome, Italy.\n\nFood and Agriculture Organization of the United Nations Rome, 1985 © FAO","archive":"page 25 re LF calculation","event-place":"Rome, Italy.","note":"https://www.waterboards.ca.gov/water_issues/programs/tmdl/records/state_board/1985/ref2648.pdf","publisher":"Food and Agriculture Organisation of the United Nations.","publisher-place":"Rome, Italy.","title":"Water quality for agriculture. FAO irrigation and drainage paper 29 rev. 1","URL":"http://www.fao.org/docrep/003/t0234e/t0234e00.htm","author":[{"family":"Ayers","given":"R. S."},{"family":"Westcot","given":"D. W"}],"issued":{"date-parts":[["1985"]]}}}],"schema":"https://github.com/citation-style-language/schema/raw/master/csl-citation.json"} </w:instrText>
      </w:r>
      <w:r w:rsidRPr="00D93FF9">
        <w:rPr>
          <w:rFonts w:ascii="Arial" w:eastAsia="Arial" w:hAnsi="Arial" w:cs="Arial"/>
          <w:sz w:val="14"/>
          <w:szCs w:val="20"/>
          <w:lang w:val="en-GB"/>
        </w:rPr>
        <w:fldChar w:fldCharType="separate"/>
      </w:r>
      <w:r w:rsidR="007C2051" w:rsidRPr="00D93FF9">
        <w:rPr>
          <w:rFonts w:ascii="Arial" w:hAnsi="Arial" w:cs="Arial"/>
          <w:sz w:val="14"/>
        </w:rPr>
        <w:t>(Ayers and Westcot 1985)</w:t>
      </w:r>
      <w:r w:rsidRPr="00D93FF9">
        <w:rPr>
          <w:rFonts w:ascii="Arial" w:eastAsia="Arial" w:hAnsi="Arial" w:cs="Arial"/>
          <w:sz w:val="14"/>
          <w:szCs w:val="20"/>
          <w:lang w:val="en-GB"/>
        </w:rPr>
        <w:fldChar w:fldCharType="end"/>
      </w:r>
    </w:p>
    <w:p w14:paraId="59DCD29B" w14:textId="77777777" w:rsidR="00F10B82" w:rsidRPr="00D93FF9" w:rsidRDefault="00F10B82" w:rsidP="003807A1">
      <w:pPr>
        <w:pStyle w:val="BodyText"/>
        <w:spacing w:after="0" w:line="266" w:lineRule="auto"/>
        <w:jc w:val="both"/>
        <w:rPr>
          <w:lang w:val="en-GB"/>
        </w:rPr>
      </w:pPr>
    </w:p>
    <w:p w14:paraId="59DCD29C" w14:textId="50663A8A" w:rsidR="00C46175" w:rsidRPr="00D93FF9" w:rsidRDefault="00E811B8" w:rsidP="003807A1">
      <w:pPr>
        <w:pStyle w:val="BodyText"/>
        <w:spacing w:after="0" w:line="266" w:lineRule="auto"/>
        <w:jc w:val="both"/>
        <w:rPr>
          <w:lang w:val="en-GB"/>
        </w:rPr>
      </w:pPr>
      <w:r w:rsidRPr="00D93FF9">
        <w:rPr>
          <w:lang w:val="en-GB"/>
        </w:rPr>
        <w:t xml:space="preserve">Therefore, for crop protection from boron toxicity it is recommended that the values listed in </w:t>
      </w:r>
      <w:r w:rsidR="009B6F83" w:rsidRPr="00D93FF9">
        <w:rPr>
          <w:lang w:val="en-GB"/>
        </w:rPr>
        <w:fldChar w:fldCharType="begin"/>
      </w:r>
      <w:r w:rsidR="009B6F83" w:rsidRPr="00D93FF9">
        <w:rPr>
          <w:lang w:val="en-GB"/>
        </w:rPr>
        <w:instrText xml:space="preserve"> REF _Ref96332870 \h </w:instrText>
      </w:r>
      <w:r w:rsidR="00D93FF9">
        <w:rPr>
          <w:lang w:val="en-GB"/>
        </w:rPr>
        <w:instrText xml:space="preserve"> \* MERGEFORMAT </w:instrText>
      </w:r>
      <w:r w:rsidR="009B6F83" w:rsidRPr="00D93FF9">
        <w:rPr>
          <w:lang w:val="en-GB"/>
        </w:rPr>
      </w:r>
      <w:r w:rsidR="009B6F83" w:rsidRPr="00D93FF9">
        <w:rPr>
          <w:lang w:val="en-GB"/>
        </w:rPr>
        <w:fldChar w:fldCharType="separate"/>
      </w:r>
      <w:r w:rsidR="0069302C">
        <w:rPr>
          <w:b/>
          <w:bCs/>
          <w:lang w:val="en-US"/>
        </w:rPr>
        <w:t>Error! Reference source not found.</w:t>
      </w:r>
      <w:r w:rsidR="009B6F83" w:rsidRPr="00D93FF9">
        <w:rPr>
          <w:lang w:val="en-GB"/>
        </w:rPr>
        <w:fldChar w:fldCharType="end"/>
      </w:r>
      <w:r w:rsidR="009B6F83" w:rsidRPr="00D93FF9">
        <w:rPr>
          <w:lang w:val="en-GB"/>
        </w:rPr>
        <w:t xml:space="preserve"> </w:t>
      </w:r>
      <w:r w:rsidRPr="00D93FF9">
        <w:rPr>
          <w:lang w:val="en-GB"/>
        </w:rPr>
        <w:t xml:space="preserve">are used to determine the </w:t>
      </w:r>
      <w:r w:rsidR="00553FF9" w:rsidRPr="00D93FF9">
        <w:rPr>
          <w:lang w:val="en-GB"/>
        </w:rPr>
        <w:t>SGV</w:t>
      </w:r>
      <w:r w:rsidRPr="00D93FF9">
        <w:rPr>
          <w:lang w:val="en-GB"/>
        </w:rPr>
        <w:t xml:space="preserve"> in irrigation waters. The </w:t>
      </w:r>
      <w:r w:rsidR="00553FF9" w:rsidRPr="00D93FF9">
        <w:rPr>
          <w:lang w:val="en-GB"/>
        </w:rPr>
        <w:t>DGV</w:t>
      </w:r>
      <w:r w:rsidRPr="00D93FF9">
        <w:rPr>
          <w:lang w:val="en-GB"/>
        </w:rPr>
        <w:t xml:space="preserve"> has been set to protect the most sensitive species. In general</w:t>
      </w:r>
      <w:r w:rsidR="00606CB4" w:rsidRPr="00D93FF9">
        <w:rPr>
          <w:lang w:val="en-GB"/>
        </w:rPr>
        <w:t>,</w:t>
      </w:r>
      <w:r w:rsidRPr="00D93FF9">
        <w:rPr>
          <w:lang w:val="en-GB"/>
        </w:rPr>
        <w:t xml:space="preserve"> toxic concentrations of boron are associated with</w:t>
      </w:r>
      <w:r w:rsidRPr="00D93FF9">
        <w:rPr>
          <w:spacing w:val="11"/>
          <w:lang w:val="en-GB"/>
        </w:rPr>
        <w:t xml:space="preserve"> </w:t>
      </w:r>
      <w:r w:rsidRPr="00D93FF9">
        <w:rPr>
          <w:lang w:val="en-GB"/>
        </w:rPr>
        <w:t>irrigation</w:t>
      </w:r>
      <w:r w:rsidRPr="00D93FF9">
        <w:rPr>
          <w:spacing w:val="11"/>
          <w:lang w:val="en-GB"/>
        </w:rPr>
        <w:t xml:space="preserve"> </w:t>
      </w:r>
      <w:r w:rsidRPr="00D93FF9">
        <w:rPr>
          <w:lang w:val="en-GB"/>
        </w:rPr>
        <w:t>waters</w:t>
      </w:r>
      <w:r w:rsidRPr="00D93FF9">
        <w:rPr>
          <w:spacing w:val="13"/>
          <w:lang w:val="en-GB"/>
        </w:rPr>
        <w:t xml:space="preserve"> </w:t>
      </w:r>
      <w:r w:rsidRPr="00D93FF9">
        <w:rPr>
          <w:lang w:val="en-GB"/>
        </w:rPr>
        <w:t>derived</w:t>
      </w:r>
      <w:r w:rsidRPr="00D93FF9">
        <w:rPr>
          <w:spacing w:val="14"/>
          <w:lang w:val="en-GB"/>
        </w:rPr>
        <w:t xml:space="preserve"> </w:t>
      </w:r>
      <w:r w:rsidRPr="00D93FF9">
        <w:rPr>
          <w:lang w:val="en-GB"/>
        </w:rPr>
        <w:t>from</w:t>
      </w:r>
      <w:r w:rsidRPr="00D93FF9">
        <w:rPr>
          <w:spacing w:val="9"/>
          <w:lang w:val="en-GB"/>
        </w:rPr>
        <w:t xml:space="preserve"> </w:t>
      </w:r>
      <w:r w:rsidRPr="00D93FF9">
        <w:rPr>
          <w:lang w:val="en-GB"/>
        </w:rPr>
        <w:t>groundwater</w:t>
      </w:r>
      <w:r w:rsidRPr="00D93FF9">
        <w:rPr>
          <w:spacing w:val="13"/>
          <w:lang w:val="en-GB"/>
        </w:rPr>
        <w:t xml:space="preserve"> </w:t>
      </w:r>
      <w:r w:rsidRPr="00D93FF9">
        <w:rPr>
          <w:lang w:val="en-GB"/>
        </w:rPr>
        <w:t>or</w:t>
      </w:r>
      <w:r w:rsidRPr="00D93FF9">
        <w:rPr>
          <w:spacing w:val="14"/>
          <w:lang w:val="en-GB"/>
        </w:rPr>
        <w:t xml:space="preserve"> </w:t>
      </w:r>
      <w:r w:rsidRPr="00D93FF9">
        <w:rPr>
          <w:lang w:val="en-GB"/>
        </w:rPr>
        <w:t>secondary</w:t>
      </w:r>
      <w:r w:rsidRPr="00D93FF9">
        <w:rPr>
          <w:spacing w:val="10"/>
          <w:lang w:val="en-GB"/>
        </w:rPr>
        <w:t xml:space="preserve"> </w:t>
      </w:r>
      <w:r w:rsidRPr="00D93FF9">
        <w:rPr>
          <w:lang w:val="en-GB"/>
        </w:rPr>
        <w:t>wastewater</w:t>
      </w:r>
      <w:r w:rsidRPr="00D93FF9">
        <w:rPr>
          <w:spacing w:val="13"/>
          <w:lang w:val="en-GB"/>
        </w:rPr>
        <w:t xml:space="preserve"> </w:t>
      </w:r>
      <w:r w:rsidRPr="00D93FF9">
        <w:rPr>
          <w:lang w:val="en-GB"/>
        </w:rPr>
        <w:t>(Ayers</w:t>
      </w:r>
      <w:r w:rsidRPr="00D93FF9">
        <w:rPr>
          <w:spacing w:val="14"/>
          <w:lang w:val="en-GB"/>
        </w:rPr>
        <w:t xml:space="preserve"> </w:t>
      </w:r>
      <w:r w:rsidR="00FA6E9E" w:rsidRPr="00D93FF9">
        <w:rPr>
          <w:lang w:val="en-GB"/>
        </w:rPr>
        <w:t>and</w:t>
      </w:r>
      <w:r w:rsidRPr="00D93FF9">
        <w:rPr>
          <w:spacing w:val="11"/>
          <w:lang w:val="en-GB"/>
        </w:rPr>
        <w:t xml:space="preserve"> </w:t>
      </w:r>
      <w:r w:rsidRPr="00D93FF9">
        <w:rPr>
          <w:lang w:val="en-GB"/>
        </w:rPr>
        <w:t>Westcot</w:t>
      </w:r>
      <w:bookmarkStart w:id="243" w:name="9.2.5.7__Cadmium"/>
      <w:bookmarkEnd w:id="243"/>
      <w:r w:rsidR="00553FF9" w:rsidRPr="00D93FF9">
        <w:rPr>
          <w:lang w:val="en-GB"/>
        </w:rPr>
        <w:t xml:space="preserve"> </w:t>
      </w:r>
      <w:r w:rsidRPr="00D93FF9">
        <w:rPr>
          <w:lang w:val="en-GB"/>
        </w:rPr>
        <w:t xml:space="preserve">1976). It is recommended that additional water quality monitoring of boron should be undertaken if these sources of irrigation water are used. </w:t>
      </w:r>
      <w:r w:rsidR="00553FF9" w:rsidRPr="00D93FF9">
        <w:rPr>
          <w:lang w:val="en-GB"/>
        </w:rPr>
        <w:t xml:space="preserve">Historically, boron </w:t>
      </w:r>
      <w:r w:rsidR="00553FF9" w:rsidRPr="00D93FF9">
        <w:t xml:space="preserve">concentrations in recycled water have been identified as a concern. However, recent data suggests that most recycled water would be less than 0.5 mg/L if high industry loads are not identified </w:t>
      </w:r>
      <w:r w:rsidR="00553FF9" w:rsidRPr="00D93FF9">
        <w:fldChar w:fldCharType="begin"/>
      </w:r>
      <w:r w:rsidR="007C2051" w:rsidRPr="00D93FF9">
        <w:instrText xml:space="preserve"> ADDIN ZOTERO_ITEM CSL_CITATION {"citationID":"fhzoDG7J","properties":{"formattedCitation":"(NRMMC et al., 2006)","plainCitation":"(NRMMC et al., 2006)","noteIndex":0},"citationItems":[{"id":3886,"uris":["http://zotero.org/users/1938757/items/MHXN2WMQ"],"uri":["http://zotero.org/users/1938757/items/MHXN2WMQ"],"itemData":{"id":3886,"type":"book","event-place":"Canberra,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schema":"https://github.com/citation-style-language/schema/raw/master/csl-citation.json"} </w:instrText>
      </w:r>
      <w:r w:rsidR="00553FF9" w:rsidRPr="00D93FF9">
        <w:fldChar w:fldCharType="separate"/>
      </w:r>
      <w:r w:rsidR="007C2051" w:rsidRPr="00D93FF9">
        <w:rPr>
          <w:rFonts w:ascii="Calibri" w:hAnsi="Calibri" w:cs="Calibri"/>
        </w:rPr>
        <w:t>(NRMMC et al. 2006)</w:t>
      </w:r>
      <w:r w:rsidR="00553FF9" w:rsidRPr="00D93FF9">
        <w:fldChar w:fldCharType="end"/>
      </w:r>
      <w:r w:rsidR="00553FF9" w:rsidRPr="00D93FF9">
        <w:t xml:space="preserve">. </w:t>
      </w:r>
      <w:r w:rsidRPr="00D93FF9">
        <w:rPr>
          <w:lang w:val="en-GB"/>
        </w:rPr>
        <w:t xml:space="preserve">Insufficient data </w:t>
      </w:r>
      <w:r w:rsidR="00553FF9" w:rsidRPr="00D93FF9">
        <w:rPr>
          <w:lang w:val="en-GB"/>
        </w:rPr>
        <w:t xml:space="preserve">is </w:t>
      </w:r>
      <w:r w:rsidRPr="00D93FF9">
        <w:rPr>
          <w:lang w:val="en-GB"/>
        </w:rPr>
        <w:t>available at present to allow the determination of a</w:t>
      </w:r>
      <w:r w:rsidR="00606CB4" w:rsidRPr="00D93FF9">
        <w:rPr>
          <w:lang w:val="en-GB"/>
        </w:rPr>
        <w:t>n</w:t>
      </w:r>
      <w:r w:rsidRPr="00D93FF9">
        <w:rPr>
          <w:lang w:val="en-GB"/>
        </w:rPr>
        <w:t xml:space="preserve"> </w:t>
      </w:r>
      <w:r w:rsidR="006D735C" w:rsidRPr="00D93FF9">
        <w:rPr>
          <w:lang w:val="en-GB"/>
        </w:rPr>
        <w:t>ACL</w:t>
      </w:r>
      <w:r w:rsidRPr="00D93FF9">
        <w:rPr>
          <w:lang w:val="en-GB"/>
        </w:rPr>
        <w:t xml:space="preserve"> for boron.</w:t>
      </w:r>
    </w:p>
    <w:p w14:paraId="59DCD29D" w14:textId="77777777" w:rsidR="00C46175" w:rsidRPr="00D93FF9" w:rsidRDefault="00C46175" w:rsidP="003807A1">
      <w:pPr>
        <w:pStyle w:val="BodyText"/>
        <w:spacing w:after="0"/>
        <w:rPr>
          <w:sz w:val="25"/>
          <w:lang w:val="en-GB"/>
        </w:rPr>
      </w:pPr>
    </w:p>
    <w:p w14:paraId="59DCD29E" w14:textId="77777777" w:rsidR="00C46175" w:rsidRPr="00D93FF9" w:rsidRDefault="00E811B8" w:rsidP="00EF411C">
      <w:pPr>
        <w:pStyle w:val="Heading3"/>
        <w:rPr>
          <w:lang w:val="en-GB"/>
        </w:rPr>
      </w:pPr>
      <w:bookmarkStart w:id="244" w:name="_Toc96693585"/>
      <w:r w:rsidRPr="00D93FF9">
        <w:t>Cadmium</w:t>
      </w:r>
      <w:bookmarkEnd w:id="244"/>
    </w:p>
    <w:p w14:paraId="59DCD29F" w14:textId="77777777" w:rsidR="00C46175" w:rsidRPr="00D93FF9" w:rsidRDefault="00E811B8" w:rsidP="00112925">
      <w:pPr>
        <w:pStyle w:val="Heading5"/>
        <w:spacing w:before="200" w:after="200" w:line="245" w:lineRule="auto"/>
        <w:ind w:left="284"/>
        <w:rPr>
          <w:i/>
          <w:iCs/>
          <w:lang w:val="en-GB"/>
        </w:rPr>
      </w:pPr>
      <w:r w:rsidRPr="00D93FF9">
        <w:rPr>
          <w:i/>
          <w:iCs/>
          <w:lang w:val="en-GB"/>
        </w:rPr>
        <w:t>It is recommended that the concentration of cadmium in irrigation waters and soils should be less than the 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2A2" w14:textId="77777777" w:rsidTr="00112925">
        <w:trPr>
          <w:trHeight w:val="318"/>
        </w:trPr>
        <w:tc>
          <w:tcPr>
            <w:tcW w:w="6240" w:type="dxa"/>
          </w:tcPr>
          <w:p w14:paraId="59DCD2A0"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2A1"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0.01 mg/L</w:t>
            </w:r>
          </w:p>
        </w:tc>
      </w:tr>
      <w:tr w:rsidR="00BE3AA8" w:rsidRPr="00D93FF9" w14:paraId="59DCD2A5" w14:textId="77777777" w:rsidTr="00112925">
        <w:trPr>
          <w:trHeight w:val="318"/>
        </w:trPr>
        <w:tc>
          <w:tcPr>
            <w:tcW w:w="6240" w:type="dxa"/>
          </w:tcPr>
          <w:p w14:paraId="59DCD2A3"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2A4"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0.05 mg/L</w:t>
            </w:r>
          </w:p>
        </w:tc>
      </w:tr>
      <w:tr w:rsidR="00BE3AA8" w:rsidRPr="00D93FF9" w14:paraId="59DCD2A8" w14:textId="77777777" w:rsidTr="00112925">
        <w:trPr>
          <w:trHeight w:val="318"/>
        </w:trPr>
        <w:tc>
          <w:tcPr>
            <w:tcW w:w="6240" w:type="dxa"/>
          </w:tcPr>
          <w:p w14:paraId="59DCD2A6"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2A7"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2 kg/ha</w:t>
            </w:r>
          </w:p>
        </w:tc>
      </w:tr>
    </w:tbl>
    <w:p w14:paraId="59DCD2A9" w14:textId="77777777" w:rsidR="00C46175" w:rsidRPr="00D93FF9" w:rsidRDefault="00C46175" w:rsidP="003807A1">
      <w:pPr>
        <w:pStyle w:val="BodyText"/>
        <w:spacing w:after="0"/>
        <w:rPr>
          <w:b/>
          <w:i/>
          <w:sz w:val="24"/>
          <w:lang w:val="en-GB"/>
        </w:rPr>
      </w:pPr>
    </w:p>
    <w:p w14:paraId="59DCD2AA" w14:textId="194F0CE7" w:rsidR="00C46175" w:rsidRPr="00D93FF9" w:rsidRDefault="00E811B8" w:rsidP="003807A1">
      <w:pPr>
        <w:pStyle w:val="BodyText"/>
        <w:spacing w:after="0" w:line="266" w:lineRule="auto"/>
        <w:jc w:val="both"/>
        <w:rPr>
          <w:lang w:val="en-GB"/>
        </w:rPr>
      </w:pPr>
      <w:r w:rsidRPr="00D93FF9">
        <w:rPr>
          <w:spacing w:val="-3"/>
          <w:lang w:val="en-GB"/>
        </w:rPr>
        <w:t xml:space="preserve">Cadmium </w:t>
      </w:r>
      <w:r w:rsidRPr="00D93FF9">
        <w:rPr>
          <w:lang w:val="en-GB"/>
        </w:rPr>
        <w:t xml:space="preserve">in its pure form is a </w:t>
      </w:r>
      <w:r w:rsidRPr="00D93FF9">
        <w:rPr>
          <w:spacing w:val="-3"/>
          <w:lang w:val="en-GB"/>
        </w:rPr>
        <w:t xml:space="preserve">relatively </w:t>
      </w:r>
      <w:r w:rsidRPr="00D93FF9">
        <w:rPr>
          <w:lang w:val="en-GB"/>
        </w:rPr>
        <w:t xml:space="preserve">soft, </w:t>
      </w:r>
      <w:r w:rsidRPr="00D93FF9">
        <w:rPr>
          <w:spacing w:val="-3"/>
          <w:lang w:val="en-GB"/>
        </w:rPr>
        <w:t xml:space="preserve">silver-white, </w:t>
      </w:r>
      <w:r w:rsidRPr="00D93FF9">
        <w:rPr>
          <w:lang w:val="en-GB"/>
        </w:rPr>
        <w:t xml:space="preserve">lustrous and ductile </w:t>
      </w:r>
      <w:r w:rsidRPr="00D93FF9">
        <w:rPr>
          <w:spacing w:val="-3"/>
          <w:lang w:val="en-GB"/>
        </w:rPr>
        <w:t xml:space="preserve">metal. </w:t>
      </w:r>
      <w:r w:rsidRPr="00D93FF9">
        <w:rPr>
          <w:spacing w:val="-4"/>
          <w:lang w:val="en-GB"/>
        </w:rPr>
        <w:t xml:space="preserve">It </w:t>
      </w:r>
      <w:r w:rsidRPr="00D93FF9">
        <w:rPr>
          <w:lang w:val="en-GB"/>
        </w:rPr>
        <w:t xml:space="preserve">is readily </w:t>
      </w:r>
      <w:r w:rsidRPr="00D93FF9">
        <w:rPr>
          <w:spacing w:val="-3"/>
          <w:lang w:val="en-GB"/>
        </w:rPr>
        <w:t xml:space="preserve">soluble </w:t>
      </w:r>
      <w:r w:rsidRPr="00D93FF9">
        <w:rPr>
          <w:lang w:val="en-GB"/>
        </w:rPr>
        <w:t xml:space="preserve">in nitric acid, but only slowly </w:t>
      </w:r>
      <w:r w:rsidRPr="00D93FF9">
        <w:rPr>
          <w:spacing w:val="-3"/>
          <w:lang w:val="en-GB"/>
        </w:rPr>
        <w:t xml:space="preserve">soluble </w:t>
      </w:r>
      <w:r w:rsidRPr="00D93FF9">
        <w:rPr>
          <w:lang w:val="en-GB"/>
        </w:rPr>
        <w:t xml:space="preserve">in </w:t>
      </w:r>
      <w:r w:rsidRPr="00D93FF9">
        <w:rPr>
          <w:spacing w:val="-3"/>
          <w:lang w:val="en-GB"/>
        </w:rPr>
        <w:t xml:space="preserve">hydrochloric </w:t>
      </w:r>
      <w:r w:rsidRPr="00D93FF9">
        <w:rPr>
          <w:lang w:val="en-GB"/>
        </w:rPr>
        <w:t xml:space="preserve">and </w:t>
      </w:r>
      <w:r w:rsidRPr="00D93FF9">
        <w:rPr>
          <w:spacing w:val="-3"/>
          <w:lang w:val="en-GB"/>
        </w:rPr>
        <w:t xml:space="preserve">sulphuric </w:t>
      </w:r>
      <w:r w:rsidRPr="00D93FF9">
        <w:rPr>
          <w:lang w:val="en-GB"/>
        </w:rPr>
        <w:t xml:space="preserve">acid </w:t>
      </w:r>
      <w:r w:rsidRPr="00D93FF9">
        <w:rPr>
          <w:spacing w:val="-2"/>
          <w:lang w:val="en-GB"/>
        </w:rPr>
        <w:t xml:space="preserve">and </w:t>
      </w:r>
      <w:r w:rsidRPr="00D93FF9">
        <w:rPr>
          <w:lang w:val="en-GB"/>
        </w:rPr>
        <w:t xml:space="preserve">insoluble in basic solutions. Salts of </w:t>
      </w:r>
      <w:r w:rsidRPr="00D93FF9">
        <w:rPr>
          <w:spacing w:val="-3"/>
          <w:lang w:val="en-GB"/>
        </w:rPr>
        <w:t xml:space="preserve">cadmium </w:t>
      </w:r>
      <w:r w:rsidRPr="00D93FF9">
        <w:rPr>
          <w:lang w:val="en-GB"/>
        </w:rPr>
        <w:t xml:space="preserve">with strong acids are readily soluble in </w:t>
      </w:r>
      <w:r w:rsidRPr="00D93FF9">
        <w:rPr>
          <w:spacing w:val="-3"/>
          <w:lang w:val="en-GB"/>
        </w:rPr>
        <w:t xml:space="preserve">water, whereas cadmium sulphide, </w:t>
      </w:r>
      <w:r w:rsidRPr="00D93FF9">
        <w:rPr>
          <w:lang w:val="en-GB"/>
        </w:rPr>
        <w:t xml:space="preserve">carbonate, </w:t>
      </w:r>
      <w:r w:rsidRPr="00D93FF9">
        <w:rPr>
          <w:spacing w:val="-3"/>
          <w:lang w:val="en-GB"/>
        </w:rPr>
        <w:t xml:space="preserve">fluoride </w:t>
      </w:r>
      <w:r w:rsidRPr="00D93FF9">
        <w:rPr>
          <w:lang w:val="en-GB"/>
        </w:rPr>
        <w:t xml:space="preserve">and </w:t>
      </w:r>
      <w:r w:rsidRPr="00D93FF9">
        <w:rPr>
          <w:spacing w:val="-3"/>
          <w:lang w:val="en-GB"/>
        </w:rPr>
        <w:t xml:space="preserve">hydroxide </w:t>
      </w:r>
      <w:r w:rsidRPr="00D93FF9">
        <w:rPr>
          <w:lang w:val="en-GB"/>
        </w:rPr>
        <w:t xml:space="preserve">are less </w:t>
      </w:r>
      <w:r w:rsidRPr="00D93FF9">
        <w:rPr>
          <w:spacing w:val="-3"/>
          <w:lang w:val="en-GB"/>
        </w:rPr>
        <w:t xml:space="preserve">soluble. </w:t>
      </w:r>
      <w:r w:rsidRPr="00D93FF9">
        <w:rPr>
          <w:spacing w:val="-4"/>
          <w:lang w:val="en-GB"/>
        </w:rPr>
        <w:t xml:space="preserve">In </w:t>
      </w:r>
      <w:r w:rsidRPr="00D93FF9">
        <w:rPr>
          <w:lang w:val="en-GB"/>
        </w:rPr>
        <w:t xml:space="preserve">the </w:t>
      </w:r>
      <w:r w:rsidRPr="00D93FF9">
        <w:rPr>
          <w:spacing w:val="-3"/>
          <w:lang w:val="en-GB"/>
        </w:rPr>
        <w:t xml:space="preserve">presence </w:t>
      </w:r>
      <w:r w:rsidRPr="00D93FF9">
        <w:rPr>
          <w:lang w:val="en-GB"/>
        </w:rPr>
        <w:t xml:space="preserve">of </w:t>
      </w:r>
      <w:r w:rsidRPr="00D93FF9">
        <w:rPr>
          <w:spacing w:val="-3"/>
          <w:lang w:val="en-GB"/>
        </w:rPr>
        <w:t xml:space="preserve">organic material, cadmium </w:t>
      </w:r>
      <w:r w:rsidRPr="00D93FF9">
        <w:rPr>
          <w:lang w:val="en-GB"/>
        </w:rPr>
        <w:t xml:space="preserve">has a </w:t>
      </w:r>
      <w:r w:rsidRPr="00D93FF9">
        <w:rPr>
          <w:spacing w:val="-3"/>
          <w:lang w:val="en-GB"/>
        </w:rPr>
        <w:t xml:space="preserve">high </w:t>
      </w:r>
      <w:r w:rsidRPr="00D93FF9">
        <w:rPr>
          <w:lang w:val="en-GB"/>
        </w:rPr>
        <w:t xml:space="preserve">affinity for thiol and </w:t>
      </w:r>
      <w:r w:rsidRPr="00D93FF9">
        <w:rPr>
          <w:spacing w:val="-3"/>
          <w:lang w:val="en-GB"/>
        </w:rPr>
        <w:t xml:space="preserve">hydroxyl groups, </w:t>
      </w:r>
      <w:r w:rsidRPr="00D93FF9">
        <w:rPr>
          <w:lang w:val="en-GB"/>
        </w:rPr>
        <w:t xml:space="preserve">for </w:t>
      </w:r>
      <w:r w:rsidRPr="00D93FF9">
        <w:rPr>
          <w:spacing w:val="-3"/>
          <w:lang w:val="en-GB"/>
        </w:rPr>
        <w:t xml:space="preserve">example, proteins, </w:t>
      </w:r>
      <w:r w:rsidRPr="00D93FF9">
        <w:rPr>
          <w:spacing w:val="-4"/>
          <w:lang w:val="en-GB"/>
        </w:rPr>
        <w:t xml:space="preserve">enzymes, </w:t>
      </w:r>
      <w:r w:rsidRPr="00D93FF9">
        <w:rPr>
          <w:lang w:val="en-GB"/>
        </w:rPr>
        <w:t xml:space="preserve">and </w:t>
      </w:r>
      <w:r w:rsidRPr="00D93FF9">
        <w:rPr>
          <w:spacing w:val="-3"/>
          <w:lang w:val="en-GB"/>
        </w:rPr>
        <w:t xml:space="preserve">other </w:t>
      </w:r>
      <w:r w:rsidRPr="00D93FF9">
        <w:rPr>
          <w:lang w:val="en-GB"/>
        </w:rPr>
        <w:t xml:space="preserve">essential </w:t>
      </w:r>
      <w:r w:rsidRPr="00D93FF9">
        <w:rPr>
          <w:spacing w:val="-4"/>
          <w:lang w:val="en-GB"/>
        </w:rPr>
        <w:t xml:space="preserve">compounds (Scott-Fordsmand </w:t>
      </w:r>
      <w:r w:rsidR="00FA6E9E" w:rsidRPr="00D93FF9">
        <w:rPr>
          <w:lang w:val="en-GB"/>
        </w:rPr>
        <w:t>and</w:t>
      </w:r>
      <w:r w:rsidRPr="00D93FF9">
        <w:rPr>
          <w:lang w:val="en-GB"/>
        </w:rPr>
        <w:t xml:space="preserve"> </w:t>
      </w:r>
      <w:r w:rsidR="00F71F14" w:rsidRPr="00D93FF9">
        <w:rPr>
          <w:spacing w:val="-3"/>
          <w:lang w:val="en-GB"/>
        </w:rPr>
        <w:t>Pedersen</w:t>
      </w:r>
      <w:r w:rsidRPr="00D93FF9">
        <w:rPr>
          <w:spacing w:val="-14"/>
          <w:lang w:val="en-GB"/>
        </w:rPr>
        <w:t xml:space="preserve"> </w:t>
      </w:r>
      <w:r w:rsidRPr="00D93FF9">
        <w:rPr>
          <w:spacing w:val="-3"/>
          <w:lang w:val="en-GB"/>
        </w:rPr>
        <w:t>1995).</w:t>
      </w:r>
    </w:p>
    <w:p w14:paraId="59DCD2AB" w14:textId="77777777" w:rsidR="00C46175" w:rsidRPr="00D93FF9" w:rsidRDefault="00E811B8" w:rsidP="009925D5">
      <w:pPr>
        <w:pStyle w:val="Heading5"/>
        <w:rPr>
          <w:lang w:val="en-GB"/>
        </w:rPr>
      </w:pPr>
      <w:r w:rsidRPr="00D93FF9">
        <w:rPr>
          <w:lang w:val="en-GB"/>
        </w:rPr>
        <w:t>Crop yield and quality considerations</w:t>
      </w:r>
    </w:p>
    <w:p w14:paraId="59DCD2AC" w14:textId="420D46A1" w:rsidR="00DC6BA7" w:rsidRPr="00D93FF9" w:rsidRDefault="00E811B8" w:rsidP="003807A1">
      <w:pPr>
        <w:pStyle w:val="BodyText"/>
        <w:spacing w:after="0" w:line="266" w:lineRule="auto"/>
        <w:jc w:val="both"/>
      </w:pPr>
      <w:r w:rsidRPr="00D93FF9">
        <w:t xml:space="preserve">Low background concentrations of cadmium (0.001 mg/L) are found in many natural waters in Australia and worldwide </w:t>
      </w:r>
      <w:r w:rsidRPr="00D93FF9">
        <w:rPr>
          <w:rStyle w:val="fontstyle01"/>
          <w:rFonts w:asciiTheme="minorHAnsi" w:eastAsia="Arial" w:hAnsiTheme="minorHAnsi"/>
          <w:sz w:val="22"/>
          <w:szCs w:val="22"/>
        </w:rPr>
        <w:fldChar w:fldCharType="begin"/>
      </w:r>
      <w:r w:rsidR="00BE6DF0" w:rsidRPr="00D93FF9">
        <w:rPr>
          <w:rStyle w:val="fontstyle01"/>
          <w:rFonts w:asciiTheme="minorHAnsi" w:eastAsia="Arial" w:hAnsiTheme="minorHAnsi"/>
          <w:sz w:val="22"/>
          <w:szCs w:val="22"/>
        </w:rPr>
        <w:instrText xml:space="preserve"> ADDIN ZOTERO_ITEM CSL_CITATION {"citationID":"HG6U9ymm","properties":{"formattedCitation":"(NHMRC and NRMMC, 2011; ANZG, 2021)","plainCitation":"(NHMRC and NRMMC, 2011; ANZG, 2021)","noteIndex":0},"citationItems":[{"id":31763,"uris":["http://zotero.org/users/1938757/items/B4JAB6EL"],"uri":["http://zotero.org/users/1938757/items/B4JAB6EL"],"itemData":{"id":31763,"type":"report","collection-title":"Paper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update"}}},{"id":32931,"uris":["http://zotero.org/users/1938757/items/25JWBDWJ"],"uri":["http://zotero.org/users/1938757/items/25JWBDWJ"],"itemData":{"id":32931,"type":"report","abstract":"ANZG 2021 Australian and New Zealand Guidelines for Fresh and Marine Water Quality. Australian and New Zealand Governments and Australian state and territory governments, Canberra ACT, Australia.  Available at www.waterquality.gov.au/anz-guidelines","event-place":"Canberra, Australia","note":"http://www.waterquality.gov.au/anz-guidelines/resources/key-concepts/indicators#ecosystem-receptors\nSearch...\nhttps://www.waterquality.gov.au/anz-guidelines/guideline-values/default/water-quality-toxicants/search\n\nwww.waterquality.gov.au/anz-guidelines","publisher":"Australian and New Zealand Governments and Australian state and territory governments,","publisher-place":"Canberra, Australia","title":"Australian and New Zealand Guidelines for Fresh and Marine Water Quality. Toxicant default guideline values for protecting aquatic ecosystems","URL":"http://www.waterquality.gov.au/anz-guidelines","author":[{"family":"ANZG","given":""}],"accessed":{"date-parts":[["2021",3,1]]},"issued":{"date-parts":[["2021"]]}}}],"schema":"https://github.com/citation-style-language/schema/raw/master/csl-citation.json"} </w:instrText>
      </w:r>
      <w:r w:rsidRPr="00D93FF9">
        <w:rPr>
          <w:rStyle w:val="fontstyle01"/>
          <w:rFonts w:asciiTheme="minorHAnsi" w:eastAsia="Arial" w:hAnsiTheme="minorHAnsi"/>
          <w:sz w:val="22"/>
          <w:szCs w:val="22"/>
        </w:rPr>
        <w:fldChar w:fldCharType="separate"/>
      </w:r>
      <w:r w:rsidR="007C2051" w:rsidRPr="00D93FF9">
        <w:rPr>
          <w:rFonts w:ascii="Calibri" w:hAnsi="Calibri" w:cs="Calibri"/>
        </w:rPr>
        <w:t>(NHMRC and NRMMC 2011; ANZG 2021)</w:t>
      </w:r>
      <w:r w:rsidRPr="00D93FF9">
        <w:rPr>
          <w:rStyle w:val="fontstyle01"/>
          <w:rFonts w:asciiTheme="minorHAnsi" w:eastAsia="Arial" w:hAnsiTheme="minorHAnsi"/>
          <w:sz w:val="22"/>
          <w:szCs w:val="22"/>
        </w:rPr>
        <w:fldChar w:fldCharType="end"/>
      </w:r>
      <w:r w:rsidRPr="00D93FF9">
        <w:rPr>
          <w:rStyle w:val="fontstyle01"/>
          <w:rFonts w:asciiTheme="minorHAnsi" w:eastAsia="Arial" w:hAnsiTheme="minorHAnsi"/>
          <w:sz w:val="22"/>
          <w:szCs w:val="22"/>
        </w:rPr>
        <w:t>. However, cadmium can be released into the environment through wastewater, contamination of fertilisers, and metallurgical industries.</w:t>
      </w:r>
    </w:p>
    <w:p w14:paraId="59DCD2AD" w14:textId="5B890DCA" w:rsidR="00DC6BA7" w:rsidRPr="00D93FF9" w:rsidRDefault="00E811B8" w:rsidP="003807A1">
      <w:pPr>
        <w:spacing w:after="0" w:line="266" w:lineRule="auto"/>
        <w:jc w:val="both"/>
        <w:rPr>
          <w:lang w:val="en-GB"/>
        </w:rPr>
      </w:pPr>
      <w:r w:rsidRPr="00D93FF9">
        <w:rPr>
          <w:lang w:val="en-GB"/>
        </w:rPr>
        <w:t xml:space="preserve">Uncontaminated soils in Australia generally contain around 0.05–0.10 mg/kg cadmium (McLaughlin et al. 1996). </w:t>
      </w:r>
      <w:r w:rsidR="009D4411" w:rsidRPr="00D93FF9">
        <w:rPr>
          <w:lang w:val="en-GB"/>
        </w:rPr>
        <w:t xml:space="preserve">These concentrations are similar to New Zealand soil uncontaminated soil with a median ranging from 0.016 </w:t>
      </w:r>
      <w:r w:rsidR="006B5B0C" w:rsidRPr="00D93FF9">
        <w:rPr>
          <w:lang w:val="en-GB"/>
        </w:rPr>
        <w:t>–</w:t>
      </w:r>
      <w:r w:rsidR="009D4411" w:rsidRPr="00D93FF9">
        <w:rPr>
          <w:lang w:val="en-GB"/>
        </w:rPr>
        <w:t xml:space="preserve"> 0.27 mg/kg (</w:t>
      </w:r>
      <w:r w:rsidR="009D4411" w:rsidRPr="00D93FF9">
        <w:rPr>
          <w:lang w:val="en-GB"/>
        </w:rPr>
        <w:fldChar w:fldCharType="begin"/>
      </w:r>
      <w:r w:rsidR="009D4411" w:rsidRPr="00D93FF9">
        <w:rPr>
          <w:lang w:val="en-GB"/>
        </w:rPr>
        <w:instrText xml:space="preserve"> REF _Ref81393907 \h </w:instrText>
      </w:r>
      <w:r w:rsidR="00D93FF9">
        <w:rPr>
          <w:lang w:val="en-GB"/>
        </w:rPr>
        <w:instrText xml:space="preserve"> \* MERGEFORMAT </w:instrText>
      </w:r>
      <w:r w:rsidR="009D4411" w:rsidRPr="00D93FF9">
        <w:rPr>
          <w:lang w:val="en-GB"/>
        </w:rPr>
      </w:r>
      <w:r w:rsidR="009D4411" w:rsidRPr="00D93FF9">
        <w:rPr>
          <w:lang w:val="en-GB"/>
        </w:rPr>
        <w:fldChar w:fldCharType="separate"/>
      </w:r>
      <w:r w:rsidR="0069302C" w:rsidRPr="0069302C">
        <w:t xml:space="preserve">Table </w:t>
      </w:r>
      <w:r w:rsidR="0069302C" w:rsidRPr="0069302C">
        <w:rPr>
          <w:noProof/>
        </w:rPr>
        <w:t>22</w:t>
      </w:r>
      <w:r w:rsidR="009D4411" w:rsidRPr="00D93FF9">
        <w:rPr>
          <w:lang w:val="en-GB"/>
        </w:rPr>
        <w:fldChar w:fldCharType="end"/>
      </w:r>
      <w:r w:rsidR="009D4411" w:rsidRPr="00D93FF9">
        <w:rPr>
          <w:lang w:val="en-GB"/>
        </w:rPr>
        <w:t xml:space="preserve">). </w:t>
      </w:r>
      <w:r w:rsidRPr="00D93FF9">
        <w:rPr>
          <w:lang w:val="en-GB"/>
        </w:rPr>
        <w:t>However, fertilised agricultural soils may contain higher concentrations due to the addition of phosphate fertiliser containing cadmium as an impurity, or additions of manures, composts or biosolids (McLaughlin et al. 1996</w:t>
      </w:r>
      <w:r w:rsidR="009D4411" w:rsidRPr="00D93FF9">
        <w:rPr>
          <w:lang w:val="en-GB"/>
        </w:rPr>
        <w:t>; Cavanagh 2014</w:t>
      </w:r>
      <w:r w:rsidRPr="00D93FF9">
        <w:rPr>
          <w:lang w:val="en-GB"/>
        </w:rPr>
        <w:t xml:space="preserve">). In rural areas, cadmium inputs via atmospheric deposition may also contribute to elevated cadmium concentrations in the soil (Merry </w:t>
      </w:r>
      <w:r w:rsidR="00FA6E9E" w:rsidRPr="00D93FF9">
        <w:rPr>
          <w:lang w:val="en-GB"/>
        </w:rPr>
        <w:t>and</w:t>
      </w:r>
      <w:r w:rsidRPr="00D93FF9">
        <w:rPr>
          <w:lang w:val="en-GB"/>
        </w:rPr>
        <w:t xml:space="preserve"> Tiller 1991).</w:t>
      </w:r>
    </w:p>
    <w:p w14:paraId="59DCD2AE" w14:textId="229B51C9" w:rsidR="00C46175" w:rsidRPr="00D93FF9" w:rsidRDefault="00E811B8" w:rsidP="003807A1">
      <w:pPr>
        <w:pStyle w:val="BodyText"/>
        <w:spacing w:after="0" w:line="266" w:lineRule="auto"/>
        <w:jc w:val="both"/>
        <w:rPr>
          <w:lang w:val="en-GB"/>
        </w:rPr>
      </w:pPr>
      <w:r w:rsidRPr="00D93FF9">
        <w:rPr>
          <w:lang w:val="en-GB"/>
        </w:rPr>
        <w:t xml:space="preserve">Cadmium is toxic to both animals and plants at low concentrations. Reported cadmium poisoning </w:t>
      </w:r>
      <w:r w:rsidR="00DC6BA7" w:rsidRPr="00D93FF9">
        <w:rPr>
          <w:lang w:val="en-GB"/>
        </w:rPr>
        <w:t xml:space="preserve">cases </w:t>
      </w:r>
      <w:r w:rsidRPr="00D93FF9">
        <w:rPr>
          <w:lang w:val="en-GB"/>
        </w:rPr>
        <w:t xml:space="preserve">in Japan from 1947 to 1965 (Itai-Itai disease) led to increasing concern regarding cadmium in the environment, and much research done indicates that carcinogenity </w:t>
      </w:r>
      <w:r w:rsidR="00DC6BA7" w:rsidRPr="00D93FF9">
        <w:rPr>
          <w:lang w:val="en-GB"/>
        </w:rPr>
        <w:t xml:space="preserve">may </w:t>
      </w:r>
      <w:r w:rsidRPr="00D93FF9">
        <w:rPr>
          <w:lang w:val="en-GB"/>
        </w:rPr>
        <w:t>also be a possibility (Merian</w:t>
      </w:r>
      <w:r w:rsidR="002112B9" w:rsidRPr="00D93FF9">
        <w:rPr>
          <w:lang w:val="en-GB"/>
        </w:rPr>
        <w:t>,</w:t>
      </w:r>
      <w:r w:rsidRPr="00D93FF9">
        <w:rPr>
          <w:lang w:val="en-GB"/>
        </w:rPr>
        <w:t xml:space="preserve"> 1984). Although it is not required for metabolism, cadmium is readily taken up by plants and uptake increases with soil acidity, soil salinity and the total content of cadmium in the soil system (Herms </w:t>
      </w:r>
      <w:r w:rsidR="00FA6E9E" w:rsidRPr="00D93FF9">
        <w:rPr>
          <w:lang w:val="en-GB"/>
        </w:rPr>
        <w:t>and</w:t>
      </w:r>
      <w:r w:rsidRPr="00D93FF9">
        <w:rPr>
          <w:lang w:val="en-GB"/>
        </w:rPr>
        <w:t xml:space="preserve"> Brümmer 1984</w:t>
      </w:r>
      <w:r w:rsidR="002112B9" w:rsidRPr="00D93FF9">
        <w:rPr>
          <w:lang w:val="en-GB"/>
        </w:rPr>
        <w:t>;</w:t>
      </w:r>
      <w:r w:rsidRPr="00D93FF9">
        <w:rPr>
          <w:lang w:val="en-GB"/>
        </w:rPr>
        <w:t xml:space="preserve"> McLaughlin et al. 1994). Chloride concentration in irrigation water is important in controlling cadmium uptake by plants and should also be considered (see Section</w:t>
      </w:r>
      <w:r w:rsidR="000815D2" w:rsidRPr="00D93FF9">
        <w:rPr>
          <w:lang w:val="en-GB"/>
        </w:rPr>
        <w:t xml:space="preserve"> </w:t>
      </w:r>
      <w:r w:rsidR="000815D2" w:rsidRPr="00D93FF9">
        <w:rPr>
          <w:lang w:val="en-GB"/>
        </w:rPr>
        <w:fldChar w:fldCharType="begin"/>
      </w:r>
      <w:r w:rsidR="000815D2" w:rsidRPr="00D93FF9">
        <w:rPr>
          <w:lang w:val="en-GB"/>
        </w:rPr>
        <w:instrText xml:space="preserve"> REF _Ref70410001 \r \h  \* MERGEFORMAT </w:instrText>
      </w:r>
      <w:r w:rsidR="000815D2" w:rsidRPr="00D93FF9">
        <w:rPr>
          <w:lang w:val="en-GB"/>
        </w:rPr>
      </w:r>
      <w:r w:rsidR="000815D2" w:rsidRPr="00D93FF9">
        <w:rPr>
          <w:lang w:val="en-GB"/>
        </w:rPr>
        <w:fldChar w:fldCharType="separate"/>
      </w:r>
      <w:r w:rsidR="0069302C">
        <w:rPr>
          <w:lang w:val="en-GB"/>
        </w:rPr>
        <w:t>4.2</w:t>
      </w:r>
      <w:r w:rsidR="000815D2" w:rsidRPr="00D93FF9">
        <w:rPr>
          <w:lang w:val="en-GB"/>
        </w:rPr>
        <w:fldChar w:fldCharType="end"/>
      </w:r>
      <w:r w:rsidRPr="00D93FF9">
        <w:rPr>
          <w:lang w:val="en-GB"/>
        </w:rPr>
        <w:t>,</w:t>
      </w:r>
      <w:r w:rsidR="000815D2" w:rsidRPr="00D93FF9">
        <w:rPr>
          <w:lang w:val="en-GB"/>
        </w:rPr>
        <w:t xml:space="preserve"> </w:t>
      </w:r>
      <w:r w:rsidR="00275A18" w:rsidRPr="00D93FF9">
        <w:rPr>
          <w:lang w:val="en-GB"/>
        </w:rPr>
        <w:fldChar w:fldCharType="begin"/>
      </w:r>
      <w:r w:rsidR="00275A18" w:rsidRPr="00D93FF9">
        <w:rPr>
          <w:lang w:val="en-GB"/>
        </w:rPr>
        <w:instrText xml:space="preserve"> REF _Ref81393513 \h </w:instrText>
      </w:r>
      <w:r w:rsidR="00D93FF9">
        <w:rPr>
          <w:lang w:val="en-GB"/>
        </w:rPr>
        <w:instrText xml:space="preserve"> \* MERGEFORMAT </w:instrText>
      </w:r>
      <w:r w:rsidR="00275A18" w:rsidRPr="00D93FF9">
        <w:rPr>
          <w:lang w:val="en-GB"/>
        </w:rPr>
      </w:r>
      <w:r w:rsidR="00275A18" w:rsidRPr="00D93FF9">
        <w:rPr>
          <w:lang w:val="en-GB"/>
        </w:rPr>
        <w:fldChar w:fldCharType="separate"/>
      </w:r>
      <w:r w:rsidR="0069302C" w:rsidRPr="00D93FF9">
        <w:t xml:space="preserve">Table </w:t>
      </w:r>
      <w:r w:rsidR="0069302C">
        <w:rPr>
          <w:noProof/>
        </w:rPr>
        <w:t>18</w:t>
      </w:r>
      <w:r w:rsidR="00275A18" w:rsidRPr="00D93FF9">
        <w:rPr>
          <w:lang w:val="en-GB"/>
        </w:rPr>
        <w:fldChar w:fldCharType="end"/>
      </w:r>
      <w:r w:rsidR="00275A18" w:rsidRPr="00D93FF9">
        <w:rPr>
          <w:lang w:val="en-GB"/>
        </w:rPr>
        <w:t>).</w:t>
      </w:r>
    </w:p>
    <w:p w14:paraId="59DCD2AF" w14:textId="45B26F67" w:rsidR="00C46175" w:rsidRPr="00D93FF9" w:rsidRDefault="00E811B8" w:rsidP="003807A1">
      <w:pPr>
        <w:pStyle w:val="BodyText"/>
        <w:spacing w:after="0" w:line="266" w:lineRule="auto"/>
        <w:jc w:val="both"/>
        <w:rPr>
          <w:lang w:val="en-GB"/>
        </w:rPr>
      </w:pPr>
      <w:r w:rsidRPr="00D93FF9">
        <w:rPr>
          <w:lang w:val="en-GB"/>
        </w:rPr>
        <w:t xml:space="preserve">As </w:t>
      </w:r>
      <w:r w:rsidRPr="00D93FF9">
        <w:rPr>
          <w:spacing w:val="-3"/>
          <w:lang w:val="en-GB"/>
        </w:rPr>
        <w:t xml:space="preserve">cadmium </w:t>
      </w:r>
      <w:r w:rsidRPr="00D93FF9">
        <w:rPr>
          <w:lang w:val="en-GB"/>
        </w:rPr>
        <w:t xml:space="preserve">is </w:t>
      </w:r>
      <w:r w:rsidRPr="00D93FF9">
        <w:rPr>
          <w:spacing w:val="-3"/>
          <w:lang w:val="en-GB"/>
        </w:rPr>
        <w:t xml:space="preserve">similar </w:t>
      </w:r>
      <w:r w:rsidRPr="00D93FF9">
        <w:rPr>
          <w:lang w:val="en-GB"/>
        </w:rPr>
        <w:t xml:space="preserve">to </w:t>
      </w:r>
      <w:r w:rsidRPr="00D93FF9">
        <w:rPr>
          <w:spacing w:val="-3"/>
          <w:lang w:val="en-GB"/>
        </w:rPr>
        <w:t xml:space="preserve">zinc </w:t>
      </w:r>
      <w:r w:rsidRPr="00D93FF9">
        <w:rPr>
          <w:lang w:val="en-GB"/>
        </w:rPr>
        <w:t xml:space="preserve">(an essential </w:t>
      </w:r>
      <w:r w:rsidRPr="00D93FF9">
        <w:rPr>
          <w:spacing w:val="-3"/>
          <w:lang w:val="en-GB"/>
        </w:rPr>
        <w:t xml:space="preserve">element </w:t>
      </w:r>
      <w:r w:rsidRPr="00D93FF9">
        <w:rPr>
          <w:lang w:val="en-GB"/>
        </w:rPr>
        <w:t xml:space="preserve">for plant </w:t>
      </w:r>
      <w:r w:rsidRPr="00D93FF9">
        <w:rPr>
          <w:spacing w:val="-3"/>
          <w:lang w:val="en-GB"/>
        </w:rPr>
        <w:t xml:space="preserve">growth), </w:t>
      </w:r>
      <w:r w:rsidRPr="00D93FF9">
        <w:rPr>
          <w:lang w:val="en-GB"/>
        </w:rPr>
        <w:t xml:space="preserve">it can readily interfere </w:t>
      </w:r>
      <w:r w:rsidRPr="00D93FF9">
        <w:rPr>
          <w:spacing w:val="-3"/>
          <w:lang w:val="en-GB"/>
        </w:rPr>
        <w:t xml:space="preserve">with metabolic processes within </w:t>
      </w:r>
      <w:r w:rsidRPr="00D93FF9">
        <w:rPr>
          <w:lang w:val="en-GB"/>
        </w:rPr>
        <w:t xml:space="preserve">the </w:t>
      </w:r>
      <w:r w:rsidRPr="00D93FF9">
        <w:rPr>
          <w:spacing w:val="-3"/>
          <w:lang w:val="en-GB"/>
        </w:rPr>
        <w:t xml:space="preserve">plant </w:t>
      </w:r>
      <w:r w:rsidRPr="00D93FF9">
        <w:rPr>
          <w:lang w:val="en-GB"/>
        </w:rPr>
        <w:t xml:space="preserve">by </w:t>
      </w:r>
      <w:r w:rsidRPr="00D93FF9">
        <w:rPr>
          <w:spacing w:val="-3"/>
          <w:lang w:val="en-GB"/>
        </w:rPr>
        <w:t xml:space="preserve">blocking zinc binding sites. </w:t>
      </w:r>
      <w:r w:rsidRPr="00D93FF9">
        <w:rPr>
          <w:lang w:val="en-GB"/>
        </w:rPr>
        <w:t xml:space="preserve">The absorption </w:t>
      </w:r>
      <w:r w:rsidRPr="00D93FF9">
        <w:rPr>
          <w:spacing w:val="-3"/>
          <w:lang w:val="en-GB"/>
        </w:rPr>
        <w:t>of cadmium</w:t>
      </w:r>
      <w:r w:rsidRPr="00D93FF9">
        <w:rPr>
          <w:spacing w:val="-9"/>
          <w:lang w:val="en-GB"/>
        </w:rPr>
        <w:t xml:space="preserve"> </w:t>
      </w:r>
      <w:r w:rsidRPr="00D93FF9">
        <w:rPr>
          <w:lang w:val="en-GB"/>
        </w:rPr>
        <w:t>by</w:t>
      </w:r>
      <w:r w:rsidRPr="00D93FF9">
        <w:rPr>
          <w:spacing w:val="-7"/>
          <w:lang w:val="en-GB"/>
        </w:rPr>
        <w:t xml:space="preserve"> </w:t>
      </w:r>
      <w:r w:rsidRPr="00D93FF9">
        <w:rPr>
          <w:lang w:val="en-GB"/>
        </w:rPr>
        <w:t>the</w:t>
      </w:r>
      <w:r w:rsidRPr="00D93FF9">
        <w:rPr>
          <w:spacing w:val="-5"/>
          <w:lang w:val="en-GB"/>
        </w:rPr>
        <w:t xml:space="preserve"> </w:t>
      </w:r>
      <w:r w:rsidRPr="00D93FF9">
        <w:rPr>
          <w:spacing w:val="-3"/>
          <w:lang w:val="en-GB"/>
        </w:rPr>
        <w:t>plant</w:t>
      </w:r>
      <w:r w:rsidRPr="00D93FF9">
        <w:rPr>
          <w:spacing w:val="-5"/>
          <w:lang w:val="en-GB"/>
        </w:rPr>
        <w:t xml:space="preserve"> </w:t>
      </w:r>
      <w:r w:rsidRPr="00D93FF9">
        <w:rPr>
          <w:lang w:val="en-GB"/>
        </w:rPr>
        <w:t>can</w:t>
      </w:r>
      <w:r w:rsidRPr="00D93FF9">
        <w:rPr>
          <w:spacing w:val="-4"/>
          <w:lang w:val="en-GB"/>
        </w:rPr>
        <w:t xml:space="preserve"> </w:t>
      </w:r>
      <w:r w:rsidRPr="00D93FF9">
        <w:rPr>
          <w:lang w:val="en-GB"/>
        </w:rPr>
        <w:t>be</w:t>
      </w:r>
      <w:r w:rsidRPr="00D93FF9">
        <w:rPr>
          <w:spacing w:val="-5"/>
          <w:lang w:val="en-GB"/>
        </w:rPr>
        <w:t xml:space="preserve"> </w:t>
      </w:r>
      <w:r w:rsidRPr="00D93FF9">
        <w:rPr>
          <w:spacing w:val="-4"/>
          <w:lang w:val="en-GB"/>
        </w:rPr>
        <w:t>minimised</w:t>
      </w:r>
      <w:r w:rsidRPr="00D93FF9">
        <w:rPr>
          <w:spacing w:val="-5"/>
          <w:lang w:val="en-GB"/>
        </w:rPr>
        <w:t xml:space="preserve"> </w:t>
      </w:r>
      <w:r w:rsidRPr="00D93FF9">
        <w:rPr>
          <w:lang w:val="en-GB"/>
        </w:rPr>
        <w:t>by</w:t>
      </w:r>
      <w:r w:rsidRPr="00D93FF9">
        <w:rPr>
          <w:spacing w:val="-7"/>
          <w:lang w:val="en-GB"/>
        </w:rPr>
        <w:t xml:space="preserve"> </w:t>
      </w:r>
      <w:r w:rsidRPr="00D93FF9">
        <w:rPr>
          <w:spacing w:val="-3"/>
          <w:lang w:val="en-GB"/>
        </w:rPr>
        <w:t>ensuring</w:t>
      </w:r>
      <w:r w:rsidRPr="00D93FF9">
        <w:rPr>
          <w:spacing w:val="-6"/>
          <w:lang w:val="en-GB"/>
        </w:rPr>
        <w:t xml:space="preserve"> </w:t>
      </w:r>
      <w:r w:rsidRPr="00D93FF9">
        <w:rPr>
          <w:spacing w:val="-3"/>
          <w:lang w:val="en-GB"/>
        </w:rPr>
        <w:t>soils</w:t>
      </w:r>
      <w:r w:rsidRPr="00D93FF9">
        <w:rPr>
          <w:spacing w:val="-5"/>
          <w:lang w:val="en-GB"/>
        </w:rPr>
        <w:t xml:space="preserve"> </w:t>
      </w:r>
      <w:r w:rsidRPr="00D93FF9">
        <w:rPr>
          <w:lang w:val="en-GB"/>
        </w:rPr>
        <w:t>are</w:t>
      </w:r>
      <w:r w:rsidRPr="00D93FF9">
        <w:rPr>
          <w:spacing w:val="-5"/>
          <w:lang w:val="en-GB"/>
        </w:rPr>
        <w:t xml:space="preserve"> </w:t>
      </w:r>
      <w:r w:rsidRPr="00D93FF9">
        <w:rPr>
          <w:lang w:val="en-GB"/>
        </w:rPr>
        <w:t>not</w:t>
      </w:r>
      <w:r w:rsidRPr="00D93FF9">
        <w:rPr>
          <w:spacing w:val="-5"/>
          <w:lang w:val="en-GB"/>
        </w:rPr>
        <w:t xml:space="preserve"> </w:t>
      </w:r>
      <w:r w:rsidRPr="00D93FF9">
        <w:rPr>
          <w:lang w:val="en-GB"/>
        </w:rPr>
        <w:t>acidic</w:t>
      </w:r>
      <w:r w:rsidRPr="00D93FF9">
        <w:rPr>
          <w:spacing w:val="-4"/>
          <w:lang w:val="en-GB"/>
        </w:rPr>
        <w:t xml:space="preserve"> </w:t>
      </w:r>
      <w:r w:rsidRPr="00D93FF9">
        <w:rPr>
          <w:lang w:val="en-GB"/>
        </w:rPr>
        <w:t>or</w:t>
      </w:r>
      <w:r w:rsidRPr="00D93FF9">
        <w:rPr>
          <w:spacing w:val="-5"/>
          <w:lang w:val="en-GB"/>
        </w:rPr>
        <w:t xml:space="preserve"> </w:t>
      </w:r>
      <w:r w:rsidRPr="00D93FF9">
        <w:rPr>
          <w:spacing w:val="-3"/>
          <w:lang w:val="en-GB"/>
        </w:rPr>
        <w:t>saline,</w:t>
      </w:r>
      <w:r w:rsidRPr="00D93FF9">
        <w:rPr>
          <w:spacing w:val="-5"/>
          <w:lang w:val="en-GB"/>
        </w:rPr>
        <w:t xml:space="preserve"> </w:t>
      </w:r>
      <w:r w:rsidRPr="00D93FF9">
        <w:rPr>
          <w:lang w:val="en-GB"/>
        </w:rPr>
        <w:t>and</w:t>
      </w:r>
      <w:r w:rsidRPr="00D93FF9">
        <w:rPr>
          <w:spacing w:val="-5"/>
          <w:lang w:val="en-GB"/>
        </w:rPr>
        <w:t xml:space="preserve"> </w:t>
      </w:r>
      <w:r w:rsidRPr="00D93FF9">
        <w:rPr>
          <w:spacing w:val="-3"/>
          <w:lang w:val="en-GB"/>
        </w:rPr>
        <w:t>ensuring</w:t>
      </w:r>
      <w:r w:rsidRPr="00D93FF9">
        <w:rPr>
          <w:spacing w:val="-6"/>
          <w:lang w:val="en-GB"/>
        </w:rPr>
        <w:t xml:space="preserve"> </w:t>
      </w:r>
      <w:r w:rsidRPr="00D93FF9">
        <w:rPr>
          <w:lang w:val="en-GB"/>
        </w:rPr>
        <w:t xml:space="preserve">a </w:t>
      </w:r>
      <w:r w:rsidRPr="00D93FF9">
        <w:rPr>
          <w:spacing w:val="-3"/>
          <w:lang w:val="en-GB"/>
        </w:rPr>
        <w:t xml:space="preserve">good supply </w:t>
      </w:r>
      <w:r w:rsidRPr="00D93FF9">
        <w:rPr>
          <w:lang w:val="en-GB"/>
        </w:rPr>
        <w:t xml:space="preserve">of </w:t>
      </w:r>
      <w:r w:rsidRPr="00D93FF9">
        <w:rPr>
          <w:spacing w:val="-3"/>
          <w:lang w:val="en-GB"/>
        </w:rPr>
        <w:t xml:space="preserve">zinc, </w:t>
      </w:r>
      <w:r w:rsidRPr="00D93FF9">
        <w:rPr>
          <w:spacing w:val="-4"/>
          <w:lang w:val="en-GB"/>
        </w:rPr>
        <w:t xml:space="preserve">manganese </w:t>
      </w:r>
      <w:r w:rsidRPr="00D93FF9">
        <w:rPr>
          <w:lang w:val="en-GB"/>
        </w:rPr>
        <w:t xml:space="preserve">and </w:t>
      </w:r>
      <w:r w:rsidRPr="00D93FF9">
        <w:rPr>
          <w:spacing w:val="-3"/>
          <w:lang w:val="en-GB"/>
        </w:rPr>
        <w:t xml:space="preserve">copper (Cataldo </w:t>
      </w:r>
      <w:r w:rsidRPr="00D93FF9">
        <w:rPr>
          <w:lang w:val="en-GB"/>
        </w:rPr>
        <w:t xml:space="preserve">et al. </w:t>
      </w:r>
      <w:r w:rsidRPr="00D93FF9">
        <w:rPr>
          <w:spacing w:val="-3"/>
          <w:lang w:val="en-GB"/>
        </w:rPr>
        <w:t>1983</w:t>
      </w:r>
      <w:r w:rsidR="002112B9" w:rsidRPr="00D93FF9">
        <w:rPr>
          <w:spacing w:val="-3"/>
          <w:lang w:val="en-GB"/>
        </w:rPr>
        <w:t>;</w:t>
      </w:r>
      <w:r w:rsidRPr="00D93FF9">
        <w:rPr>
          <w:spacing w:val="-3"/>
          <w:lang w:val="en-GB"/>
        </w:rPr>
        <w:t xml:space="preserve"> Oliver </w:t>
      </w:r>
      <w:r w:rsidRPr="00D93FF9">
        <w:rPr>
          <w:lang w:val="en-GB"/>
        </w:rPr>
        <w:t xml:space="preserve">et al. </w:t>
      </w:r>
      <w:r w:rsidRPr="00D93FF9">
        <w:rPr>
          <w:spacing w:val="-3"/>
          <w:lang w:val="en-GB"/>
        </w:rPr>
        <w:t xml:space="preserve">1994). </w:t>
      </w:r>
      <w:r w:rsidRPr="00D93FF9">
        <w:rPr>
          <w:spacing w:val="-4"/>
          <w:lang w:val="en-GB"/>
        </w:rPr>
        <w:t xml:space="preserve">Cadmium </w:t>
      </w:r>
      <w:r w:rsidRPr="00D93FF9">
        <w:rPr>
          <w:lang w:val="en-GB"/>
        </w:rPr>
        <w:t xml:space="preserve">in nutrient </w:t>
      </w:r>
      <w:r w:rsidRPr="00D93FF9">
        <w:rPr>
          <w:spacing w:val="-3"/>
          <w:lang w:val="en-GB"/>
        </w:rPr>
        <w:t xml:space="preserve">solutions </w:t>
      </w:r>
      <w:r w:rsidRPr="00D93FF9">
        <w:rPr>
          <w:lang w:val="en-GB"/>
        </w:rPr>
        <w:t xml:space="preserve">is </w:t>
      </w:r>
      <w:r w:rsidRPr="00D93FF9">
        <w:rPr>
          <w:spacing w:val="-3"/>
          <w:lang w:val="en-GB"/>
        </w:rPr>
        <w:t xml:space="preserve">phytotoxic </w:t>
      </w:r>
      <w:r w:rsidRPr="00D93FF9">
        <w:rPr>
          <w:lang w:val="en-GB"/>
        </w:rPr>
        <w:t xml:space="preserve">to a </w:t>
      </w:r>
      <w:r w:rsidRPr="00D93FF9">
        <w:rPr>
          <w:spacing w:val="-3"/>
          <w:lang w:val="en-GB"/>
        </w:rPr>
        <w:t xml:space="preserve">range </w:t>
      </w:r>
      <w:r w:rsidRPr="00D93FF9">
        <w:rPr>
          <w:lang w:val="en-GB"/>
        </w:rPr>
        <w:t xml:space="preserve">of plants at </w:t>
      </w:r>
      <w:r w:rsidRPr="00D93FF9">
        <w:rPr>
          <w:spacing w:val="-3"/>
          <w:lang w:val="en-GB"/>
        </w:rPr>
        <w:t xml:space="preserve">levels ranging </w:t>
      </w:r>
      <w:r w:rsidRPr="00D93FF9">
        <w:rPr>
          <w:lang w:val="en-GB"/>
        </w:rPr>
        <w:t xml:space="preserve">from 0.1 </w:t>
      </w:r>
      <w:r w:rsidRPr="00D93FF9">
        <w:rPr>
          <w:spacing w:val="-4"/>
          <w:lang w:val="en-GB"/>
        </w:rPr>
        <w:t xml:space="preserve">mg/L </w:t>
      </w:r>
      <w:r w:rsidRPr="00D93FF9">
        <w:rPr>
          <w:lang w:val="en-GB"/>
        </w:rPr>
        <w:t xml:space="preserve">to 1 </w:t>
      </w:r>
      <w:r w:rsidRPr="00D93FF9">
        <w:rPr>
          <w:spacing w:val="-4"/>
          <w:lang w:val="en-GB"/>
        </w:rPr>
        <w:t xml:space="preserve">mg/L </w:t>
      </w:r>
      <w:r w:rsidRPr="00D93FF9">
        <w:rPr>
          <w:spacing w:val="-3"/>
          <w:lang w:val="en-GB"/>
        </w:rPr>
        <w:t>(</w:t>
      </w:r>
      <w:r w:rsidR="00DC6BA7" w:rsidRPr="00D93FF9">
        <w:rPr>
          <w:spacing w:val="-4"/>
        </w:rPr>
        <w:fldChar w:fldCharType="begin"/>
      </w:r>
      <w:r w:rsidR="00BE6DF0" w:rsidRPr="00D93FF9">
        <w:rPr>
          <w:spacing w:val="-4"/>
        </w:rPr>
        <w:instrText xml:space="preserve"> ADDIN ZOTERO_ITEM CSL_CITATION {"citationID":"GNNH0g4X","properties":{"formattedCitation":"(Efroymson et al. 1997b)","plainCitation":"(Efroymson et al. 1997b)","dontUpdate":true,"noteIndex":0},"citationItems":[{"id":33251,"uris":["http://zotero.org/users/1938757/items/IRVGAJHK"],"uri":["http://zotero.org/users/1938757/items/IRVGAJHK"],"itemData":{"id":33251,"type":"report","event-place":"Oak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II","given":"GW"},{"family":"Wooten","given":"A.C."}],"issued":{"date-parts":[["1997"]]}}}],"schema":"https://github.com/citation-style-language/schema/raw/master/csl-citation.json"} </w:instrText>
      </w:r>
      <w:r w:rsidR="00DC6BA7" w:rsidRPr="00D93FF9">
        <w:rPr>
          <w:spacing w:val="-4"/>
        </w:rPr>
        <w:fldChar w:fldCharType="separate"/>
      </w:r>
      <w:r w:rsidR="00DC6BA7" w:rsidRPr="00D93FF9">
        <w:t>Efroymson et al. 1997b)</w:t>
      </w:r>
      <w:r w:rsidR="00DC6BA7" w:rsidRPr="00D93FF9">
        <w:rPr>
          <w:spacing w:val="-4"/>
        </w:rPr>
        <w:fldChar w:fldCharType="end"/>
      </w:r>
      <w:r w:rsidRPr="00D93FF9">
        <w:rPr>
          <w:lang w:val="en-GB"/>
        </w:rPr>
        <w:t xml:space="preserve">, but </w:t>
      </w:r>
      <w:r w:rsidRPr="00D93FF9">
        <w:rPr>
          <w:spacing w:val="-3"/>
          <w:lang w:val="en-GB"/>
        </w:rPr>
        <w:t xml:space="preserve">human </w:t>
      </w:r>
      <w:r w:rsidRPr="00D93FF9">
        <w:rPr>
          <w:lang w:val="en-GB"/>
        </w:rPr>
        <w:t xml:space="preserve">and </w:t>
      </w:r>
      <w:r w:rsidRPr="00D93FF9">
        <w:rPr>
          <w:spacing w:val="-3"/>
          <w:lang w:val="en-GB"/>
        </w:rPr>
        <w:t xml:space="preserve">animal </w:t>
      </w:r>
      <w:r w:rsidRPr="00D93FF9">
        <w:rPr>
          <w:lang w:val="en-GB"/>
        </w:rPr>
        <w:t xml:space="preserve">health concerns </w:t>
      </w:r>
      <w:r w:rsidRPr="00D93FF9">
        <w:rPr>
          <w:spacing w:val="-3"/>
          <w:lang w:val="en-GB"/>
        </w:rPr>
        <w:t xml:space="preserve">from ingestion </w:t>
      </w:r>
      <w:r w:rsidRPr="00D93FF9">
        <w:rPr>
          <w:lang w:val="en-GB"/>
        </w:rPr>
        <w:t xml:space="preserve">of </w:t>
      </w:r>
      <w:r w:rsidRPr="00D93FF9">
        <w:rPr>
          <w:spacing w:val="-3"/>
          <w:lang w:val="en-GB"/>
        </w:rPr>
        <w:t xml:space="preserve">cadmium- contaminated </w:t>
      </w:r>
      <w:r w:rsidRPr="00D93FF9">
        <w:rPr>
          <w:lang w:val="en-GB"/>
        </w:rPr>
        <w:t xml:space="preserve">crops are </w:t>
      </w:r>
      <w:r w:rsidRPr="00D93FF9">
        <w:rPr>
          <w:spacing w:val="-3"/>
          <w:lang w:val="en-GB"/>
        </w:rPr>
        <w:t xml:space="preserve">triggered </w:t>
      </w:r>
      <w:r w:rsidRPr="00D93FF9">
        <w:rPr>
          <w:lang w:val="en-GB"/>
        </w:rPr>
        <w:t xml:space="preserve">at </w:t>
      </w:r>
      <w:r w:rsidRPr="00D93FF9">
        <w:rPr>
          <w:spacing w:val="-3"/>
          <w:lang w:val="en-GB"/>
        </w:rPr>
        <w:t xml:space="preserve">sub-phytotoxic </w:t>
      </w:r>
      <w:r w:rsidRPr="00D93FF9">
        <w:rPr>
          <w:lang w:val="en-GB"/>
        </w:rPr>
        <w:t>concentrations. The</w:t>
      </w:r>
      <w:r w:rsidR="00052C0E" w:rsidRPr="00D93FF9">
        <w:rPr>
          <w:lang w:val="en-GB"/>
        </w:rPr>
        <w:t>refore</w:t>
      </w:r>
      <w:r w:rsidR="00606CB4" w:rsidRPr="00D93FF9">
        <w:rPr>
          <w:lang w:val="en-GB"/>
        </w:rPr>
        <w:t>,</w:t>
      </w:r>
      <w:r w:rsidR="00052C0E" w:rsidRPr="00D93FF9">
        <w:rPr>
          <w:lang w:val="en-GB"/>
        </w:rPr>
        <w:t xml:space="preserve"> the</w:t>
      </w:r>
      <w:r w:rsidRPr="00D93FF9">
        <w:rPr>
          <w:lang w:val="en-GB"/>
        </w:rPr>
        <w:t xml:space="preserve"> </w:t>
      </w:r>
      <w:r w:rsidR="00553FF9" w:rsidRPr="00D93FF9">
        <w:rPr>
          <w:lang w:val="en-GB"/>
        </w:rPr>
        <w:t>DGV</w:t>
      </w:r>
      <w:r w:rsidRPr="00D93FF9">
        <w:rPr>
          <w:lang w:val="en-GB"/>
        </w:rPr>
        <w:t xml:space="preserve"> and </w:t>
      </w:r>
      <w:r w:rsidR="00553FF9" w:rsidRPr="00D93FF9">
        <w:rPr>
          <w:lang w:val="en-GB"/>
        </w:rPr>
        <w:t>SGV</w:t>
      </w:r>
      <w:r w:rsidRPr="00D93FF9">
        <w:rPr>
          <w:lang w:val="en-GB"/>
        </w:rPr>
        <w:t xml:space="preserve"> </w:t>
      </w:r>
      <w:r w:rsidRPr="00D93FF9">
        <w:rPr>
          <w:spacing w:val="-3"/>
          <w:lang w:val="en-GB"/>
        </w:rPr>
        <w:t xml:space="preserve">have </w:t>
      </w:r>
      <w:r w:rsidRPr="00D93FF9">
        <w:rPr>
          <w:lang w:val="en-GB"/>
        </w:rPr>
        <w:t xml:space="preserve">been set to </w:t>
      </w:r>
      <w:r w:rsidRPr="00D93FF9">
        <w:rPr>
          <w:spacing w:val="-3"/>
          <w:lang w:val="en-GB"/>
        </w:rPr>
        <w:t xml:space="preserve">prevent </w:t>
      </w:r>
      <w:r w:rsidRPr="00D93FF9">
        <w:rPr>
          <w:lang w:val="en-GB"/>
        </w:rPr>
        <w:t xml:space="preserve">the </w:t>
      </w:r>
      <w:r w:rsidRPr="00D93FF9">
        <w:rPr>
          <w:spacing w:val="-3"/>
          <w:lang w:val="en-GB"/>
        </w:rPr>
        <w:t xml:space="preserve">uptake </w:t>
      </w:r>
      <w:r w:rsidRPr="00D93FF9">
        <w:rPr>
          <w:lang w:val="en-GB"/>
        </w:rPr>
        <w:t xml:space="preserve">of </w:t>
      </w:r>
      <w:r w:rsidRPr="00D93FF9">
        <w:rPr>
          <w:spacing w:val="-3"/>
          <w:lang w:val="en-GB"/>
        </w:rPr>
        <w:t xml:space="preserve">cadmium </w:t>
      </w:r>
      <w:r w:rsidRPr="00D93FF9">
        <w:rPr>
          <w:lang w:val="en-GB"/>
        </w:rPr>
        <w:t xml:space="preserve">into crops that </w:t>
      </w:r>
      <w:r w:rsidRPr="00D93FF9">
        <w:rPr>
          <w:spacing w:val="-3"/>
          <w:lang w:val="en-GB"/>
        </w:rPr>
        <w:t xml:space="preserve">may </w:t>
      </w:r>
      <w:r w:rsidRPr="00D93FF9">
        <w:rPr>
          <w:lang w:val="en-GB"/>
        </w:rPr>
        <w:t xml:space="preserve">pose a threat to </w:t>
      </w:r>
      <w:r w:rsidRPr="00D93FF9">
        <w:rPr>
          <w:spacing w:val="-3"/>
          <w:lang w:val="en-GB"/>
        </w:rPr>
        <w:t xml:space="preserve">animal </w:t>
      </w:r>
      <w:r w:rsidRPr="00D93FF9">
        <w:rPr>
          <w:lang w:val="en-GB"/>
        </w:rPr>
        <w:t xml:space="preserve">and </w:t>
      </w:r>
      <w:r w:rsidRPr="00D93FF9">
        <w:rPr>
          <w:spacing w:val="-3"/>
          <w:lang w:val="en-GB"/>
        </w:rPr>
        <w:t xml:space="preserve">human </w:t>
      </w:r>
      <w:r w:rsidRPr="00D93FF9">
        <w:rPr>
          <w:lang w:val="en-GB"/>
        </w:rPr>
        <w:t xml:space="preserve">health. </w:t>
      </w:r>
      <w:r w:rsidRPr="00D93FF9">
        <w:rPr>
          <w:spacing w:val="-3"/>
          <w:lang w:val="en-GB"/>
        </w:rPr>
        <w:t xml:space="preserve">Given </w:t>
      </w:r>
      <w:r w:rsidRPr="00D93FF9">
        <w:rPr>
          <w:lang w:val="en-GB"/>
        </w:rPr>
        <w:t xml:space="preserve">the existence of a </w:t>
      </w:r>
      <w:r w:rsidRPr="00D93FF9">
        <w:rPr>
          <w:spacing w:val="-3"/>
          <w:lang w:val="en-GB"/>
        </w:rPr>
        <w:t xml:space="preserve">reasonable </w:t>
      </w:r>
      <w:r w:rsidRPr="00D93FF9">
        <w:rPr>
          <w:lang w:val="en-GB"/>
        </w:rPr>
        <w:t xml:space="preserve">data set in </w:t>
      </w:r>
      <w:r w:rsidRPr="00D93FF9">
        <w:rPr>
          <w:spacing w:val="-3"/>
          <w:lang w:val="en-GB"/>
        </w:rPr>
        <w:t xml:space="preserve">Australia </w:t>
      </w:r>
      <w:r w:rsidRPr="00D93FF9">
        <w:rPr>
          <w:lang w:val="en-GB"/>
        </w:rPr>
        <w:t xml:space="preserve">for </w:t>
      </w:r>
      <w:r w:rsidRPr="00D93FF9">
        <w:rPr>
          <w:spacing w:val="-3"/>
          <w:lang w:val="en-GB"/>
        </w:rPr>
        <w:t xml:space="preserve">soil background cadmium </w:t>
      </w:r>
      <w:r w:rsidRPr="00D93FF9">
        <w:rPr>
          <w:lang w:val="en-GB"/>
        </w:rPr>
        <w:t xml:space="preserve">concentrations, and existing </w:t>
      </w:r>
      <w:r w:rsidRPr="00D93FF9">
        <w:rPr>
          <w:spacing w:val="-3"/>
          <w:lang w:val="en-GB"/>
        </w:rPr>
        <w:t xml:space="preserve">cadmium </w:t>
      </w:r>
      <w:r w:rsidRPr="00D93FF9">
        <w:rPr>
          <w:spacing w:val="-3"/>
          <w:lang w:val="en-GB"/>
        </w:rPr>
        <w:lastRenderedPageBreak/>
        <w:t xml:space="preserve">limits </w:t>
      </w:r>
      <w:r w:rsidRPr="00D93FF9">
        <w:rPr>
          <w:lang w:val="en-GB"/>
        </w:rPr>
        <w:t xml:space="preserve">for </w:t>
      </w:r>
      <w:r w:rsidRPr="00D93FF9">
        <w:rPr>
          <w:spacing w:val="-3"/>
          <w:lang w:val="en-GB"/>
        </w:rPr>
        <w:t xml:space="preserve">agricultural </w:t>
      </w:r>
      <w:r w:rsidRPr="00D93FF9">
        <w:rPr>
          <w:lang w:val="en-GB"/>
        </w:rPr>
        <w:t xml:space="preserve">soils </w:t>
      </w:r>
      <w:r w:rsidRPr="00D93FF9">
        <w:rPr>
          <w:spacing w:val="-3"/>
          <w:lang w:val="en-GB"/>
        </w:rPr>
        <w:t xml:space="preserve">receiving </w:t>
      </w:r>
      <w:r w:rsidRPr="00D93FF9">
        <w:rPr>
          <w:lang w:val="en-GB"/>
        </w:rPr>
        <w:t xml:space="preserve">biosolids </w:t>
      </w:r>
      <w:r w:rsidRPr="00D93FF9">
        <w:rPr>
          <w:spacing w:val="-3"/>
          <w:lang w:val="en-GB"/>
        </w:rPr>
        <w:t>(</w:t>
      </w:r>
      <w:r w:rsidR="00052C0E" w:rsidRPr="00D93FF9">
        <w:rPr>
          <w:lang w:val="en-GB"/>
        </w:rPr>
        <w:fldChar w:fldCharType="begin"/>
      </w:r>
      <w:r w:rsidR="007C2051" w:rsidRPr="00D93FF9">
        <w:rPr>
          <w:lang w:val="en-GB"/>
        </w:rPr>
        <w:instrText xml:space="preserve"> ADDIN ZOTERO_ITEM CSL_CITATION {"citationID":"0msb4sWJ","properties":{"formattedCitation":"(EPA NSW 1997; EPA Victoria 2004; DEHP Qld 2016)","plainCitation":"(EPA NSW 1997; EPA Victoria 2004; DEHP Qld 2016)","dontUpdate":true,"noteIndex":0},"citationItems":[{"id":4560,"uris":["http://zotero.org/users/1938757/items/R3DSS9VW"],"uri":["http://zotero.org/users/1938757/items/R3DSS9VW"],"itemData":{"id":4560,"type":"book","event-place":"Sydney","ISBN":"EPA 97/62","publisher":"Environment Protection Authority","publisher-place":"Sydney","title":"Environmental Guidelines. Use and disposal of biosolids products","URL":"http://www.environment.nsw.gov.au/water/biosolidsguide.htm","author":[{"family":"EPA NSW","given":""}],"issued":{"date-parts":[["1997"]]}}},{"id":3992,"uris":["http://zotero.org/users/1938757/items/N2VR2ZVD"],"uri":["http://zotero.org/users/1938757/items/N2VR2ZVD"],"itemData":{"id":3992,"type":"report","event-place":"Melbourne","note":"File://C:/Documents and Settings/Daryl/My Documents/Zotero/Export/Biosolids_Z v5.Data/PDF/z306 Vic Biosolids guidelines-3579743232/z306 Vic Biosolids guidelines.pdf","number":"Publication 943","page":"78","publisher":"Environment Protection Authority Victoria","publisher-place":"Melbourne","title":"Guidelines for Environmental Management. Biosolids Land Application. Publication 943.","URL":"https://www.epa.vic.gov.au/about-epa/publications/943","author":[{"family":"EPA Victoria","given":""}],"issued":{"date-parts":[["2004"]]}}},{"id":24917,"uris":["http://zotero.org/users/1938757/items/N94G9UGC"],"uri":["http://zotero.org/users/1938757/items/N94G9UGC"],"itemData":{"id":24917,"type":"report","event-place":"Queensland, Australia","publisher":"Industry and Development Assessment, Environmental Services and Regulation Division, Department of Environment and Heritage Protection, State of Queensland","publisher-place":"Queensland, Australia","title":"General beneficial use approval for Biosolids Waste Reduction and Recycling Act 2011","URL":"http://www.ehp.qld.gov.au/assets/documents/regulation/wr-ga-biosolids.pdf","author":[{"family":"DEHP Qld","given":""}],"issued":{"date-parts":[["2016"]]}}}],"schema":"https://github.com/citation-style-language/schema/raw/master/csl-citation.json"} </w:instrText>
      </w:r>
      <w:r w:rsidR="00052C0E" w:rsidRPr="00D93FF9">
        <w:rPr>
          <w:lang w:val="en-GB"/>
        </w:rPr>
        <w:fldChar w:fldCharType="separate"/>
      </w:r>
      <w:r w:rsidR="00052C0E" w:rsidRPr="00D93FF9">
        <w:rPr>
          <w:lang w:val="en-GB"/>
        </w:rPr>
        <w:t>EPA NSW 1997; EPA Victoria 2004; DEHP Qld 2016)</w:t>
      </w:r>
      <w:r w:rsidR="00052C0E" w:rsidRPr="00D93FF9">
        <w:rPr>
          <w:lang w:val="en-GB"/>
        </w:rPr>
        <w:fldChar w:fldCharType="end"/>
      </w:r>
      <w:r w:rsidRPr="00D93FF9">
        <w:rPr>
          <w:spacing w:val="-3"/>
          <w:lang w:val="en-GB"/>
        </w:rPr>
        <w:t xml:space="preserve">, </w:t>
      </w:r>
      <w:r w:rsidRPr="00D93FF9">
        <w:rPr>
          <w:lang w:val="en-GB"/>
        </w:rPr>
        <w:t xml:space="preserve">a </w:t>
      </w:r>
      <w:r w:rsidRPr="00D93FF9">
        <w:rPr>
          <w:spacing w:val="-3"/>
          <w:lang w:val="en-GB"/>
        </w:rPr>
        <w:t xml:space="preserve">cadmium </w:t>
      </w:r>
      <w:r w:rsidR="006D735C" w:rsidRPr="00D93FF9">
        <w:rPr>
          <w:lang w:val="en-GB"/>
        </w:rPr>
        <w:t>ACL</w:t>
      </w:r>
      <w:r w:rsidRPr="00D93FF9">
        <w:rPr>
          <w:lang w:val="en-GB"/>
        </w:rPr>
        <w:t xml:space="preserve"> has </w:t>
      </w:r>
      <w:r w:rsidRPr="00D93FF9">
        <w:rPr>
          <w:spacing w:val="-3"/>
          <w:lang w:val="en-GB"/>
        </w:rPr>
        <w:t xml:space="preserve">been derived </w:t>
      </w:r>
      <w:r w:rsidRPr="00D93FF9">
        <w:rPr>
          <w:lang w:val="en-GB"/>
        </w:rPr>
        <w:t xml:space="preserve">for </w:t>
      </w:r>
      <w:r w:rsidRPr="00D93FF9">
        <w:rPr>
          <w:spacing w:val="-3"/>
          <w:lang w:val="en-GB"/>
        </w:rPr>
        <w:t>soils receiving</w:t>
      </w:r>
      <w:r w:rsidRPr="00D93FF9">
        <w:rPr>
          <w:spacing w:val="-35"/>
          <w:lang w:val="en-GB"/>
        </w:rPr>
        <w:t xml:space="preserve"> </w:t>
      </w:r>
      <w:r w:rsidRPr="00D93FF9">
        <w:rPr>
          <w:spacing w:val="-4"/>
          <w:lang w:val="en-GB"/>
        </w:rPr>
        <w:t>irrigation.</w:t>
      </w:r>
    </w:p>
    <w:p w14:paraId="59DCD2B0" w14:textId="77777777" w:rsidR="00C46175" w:rsidRPr="00D93FF9" w:rsidRDefault="00C46175" w:rsidP="003807A1">
      <w:pPr>
        <w:pStyle w:val="BodyText"/>
        <w:spacing w:after="0"/>
        <w:rPr>
          <w:rFonts w:ascii="Arial"/>
          <w:sz w:val="15"/>
          <w:lang w:val="en-GB"/>
        </w:rPr>
      </w:pPr>
      <w:bookmarkStart w:id="245" w:name="9.2.5.8__Chromium_(VI)"/>
      <w:bookmarkEnd w:id="245"/>
    </w:p>
    <w:p w14:paraId="59DCD2B1" w14:textId="77777777" w:rsidR="00C46175" w:rsidRPr="00D93FF9" w:rsidRDefault="00E811B8" w:rsidP="00EF411C">
      <w:pPr>
        <w:pStyle w:val="Heading3"/>
        <w:rPr>
          <w:lang w:val="en-GB"/>
        </w:rPr>
      </w:pPr>
      <w:bookmarkStart w:id="246" w:name="_Toc96693586"/>
      <w:r w:rsidRPr="00D93FF9">
        <w:t>Chromium</w:t>
      </w:r>
      <w:r w:rsidRPr="00D93FF9">
        <w:rPr>
          <w:lang w:val="en-GB"/>
        </w:rPr>
        <w:t xml:space="preserve"> (VI)</w:t>
      </w:r>
      <w:bookmarkEnd w:id="246"/>
    </w:p>
    <w:p w14:paraId="59DCD2B2" w14:textId="77777777" w:rsidR="00C46175" w:rsidRPr="00D93FF9" w:rsidRDefault="00E811B8" w:rsidP="005531DD">
      <w:pPr>
        <w:pStyle w:val="Heading5"/>
        <w:spacing w:before="200" w:after="200" w:line="245" w:lineRule="auto"/>
        <w:ind w:left="284"/>
        <w:rPr>
          <w:i/>
          <w:iCs/>
          <w:lang w:val="en-GB"/>
        </w:rPr>
      </w:pPr>
      <w:r w:rsidRPr="00D93FF9">
        <w:rPr>
          <w:i/>
          <w:iCs/>
          <w:lang w:val="en-GB"/>
        </w:rPr>
        <w:t>It is recommended that the concentration of chromium (VI) in irrigation waters and soils should be less than the following:</w:t>
      </w:r>
    </w:p>
    <w:tbl>
      <w:tblPr>
        <w:tblW w:w="8364"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5813"/>
        <w:gridCol w:w="2551"/>
      </w:tblGrid>
      <w:tr w:rsidR="00BE3AA8" w:rsidRPr="00D93FF9" w14:paraId="59DCD2B5" w14:textId="77777777" w:rsidTr="00112925">
        <w:trPr>
          <w:trHeight w:val="318"/>
        </w:trPr>
        <w:tc>
          <w:tcPr>
            <w:tcW w:w="5813" w:type="dxa"/>
          </w:tcPr>
          <w:p w14:paraId="59DCD2B3"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551" w:type="dxa"/>
          </w:tcPr>
          <w:p w14:paraId="59DCD2B4"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0.1 mg/L</w:t>
            </w:r>
          </w:p>
        </w:tc>
      </w:tr>
      <w:tr w:rsidR="00BE3AA8" w:rsidRPr="00D93FF9" w14:paraId="59DCD2B8" w14:textId="77777777" w:rsidTr="00112925">
        <w:trPr>
          <w:trHeight w:val="318"/>
        </w:trPr>
        <w:tc>
          <w:tcPr>
            <w:tcW w:w="5813" w:type="dxa"/>
          </w:tcPr>
          <w:p w14:paraId="59DCD2B6" w14:textId="77777777" w:rsidR="008E4C22" w:rsidRPr="00D93FF9" w:rsidRDefault="00E811B8" w:rsidP="003807A1">
            <w:pPr>
              <w:pStyle w:val="TableParagraph"/>
              <w:tabs>
                <w:tab w:val="left" w:pos="3378"/>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551" w:type="dxa"/>
          </w:tcPr>
          <w:p w14:paraId="59DCD2B7"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1.0 mg/L</w:t>
            </w:r>
          </w:p>
        </w:tc>
      </w:tr>
      <w:tr w:rsidR="00BE3AA8" w:rsidRPr="00D93FF9" w14:paraId="59DCD2BB" w14:textId="77777777" w:rsidTr="00112925">
        <w:trPr>
          <w:trHeight w:val="318"/>
        </w:trPr>
        <w:tc>
          <w:tcPr>
            <w:tcW w:w="5813" w:type="dxa"/>
          </w:tcPr>
          <w:p w14:paraId="59DCD2B9"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551" w:type="dxa"/>
          </w:tcPr>
          <w:p w14:paraId="59DCD2BA"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Not determined</w:t>
            </w:r>
          </w:p>
        </w:tc>
      </w:tr>
    </w:tbl>
    <w:p w14:paraId="59DCD2BC" w14:textId="77777777" w:rsidR="00C46175" w:rsidRPr="00D93FF9" w:rsidRDefault="00C46175" w:rsidP="003807A1">
      <w:pPr>
        <w:pStyle w:val="BodyText"/>
        <w:spacing w:after="0"/>
        <w:rPr>
          <w:b/>
          <w:i/>
          <w:sz w:val="31"/>
          <w:lang w:val="en-GB"/>
        </w:rPr>
      </w:pPr>
    </w:p>
    <w:p w14:paraId="59DCD2BD" w14:textId="77777777" w:rsidR="00C46175" w:rsidRPr="00D93FF9" w:rsidRDefault="00E811B8" w:rsidP="003807A1">
      <w:pPr>
        <w:pStyle w:val="BodyText"/>
        <w:spacing w:after="0" w:line="266" w:lineRule="auto"/>
        <w:jc w:val="both"/>
        <w:rPr>
          <w:lang w:val="en-GB"/>
        </w:rPr>
      </w:pPr>
      <w:r w:rsidRPr="00D93FF9">
        <w:rPr>
          <w:spacing w:val="-4"/>
          <w:lang w:val="en-GB"/>
        </w:rPr>
        <w:t xml:space="preserve">In </w:t>
      </w:r>
      <w:r w:rsidRPr="00D93FF9">
        <w:rPr>
          <w:lang w:val="en-GB"/>
        </w:rPr>
        <w:t xml:space="preserve">its pure form </w:t>
      </w:r>
      <w:r w:rsidRPr="00D93FF9">
        <w:rPr>
          <w:spacing w:val="-3"/>
          <w:lang w:val="en-GB"/>
        </w:rPr>
        <w:t xml:space="preserve">chromium </w:t>
      </w:r>
      <w:r w:rsidRPr="00D93FF9">
        <w:rPr>
          <w:lang w:val="en-GB"/>
        </w:rPr>
        <w:t xml:space="preserve">is a </w:t>
      </w:r>
      <w:r w:rsidRPr="00D93FF9">
        <w:rPr>
          <w:spacing w:val="-3"/>
          <w:lang w:val="en-GB"/>
        </w:rPr>
        <w:t xml:space="preserve">steel-grey, bright, </w:t>
      </w:r>
      <w:r w:rsidRPr="00D93FF9">
        <w:rPr>
          <w:lang w:val="en-GB"/>
        </w:rPr>
        <w:t xml:space="preserve">brittle and </w:t>
      </w:r>
      <w:r w:rsidRPr="00D93FF9">
        <w:rPr>
          <w:spacing w:val="-3"/>
          <w:lang w:val="en-GB"/>
        </w:rPr>
        <w:t xml:space="preserve">very </w:t>
      </w:r>
      <w:r w:rsidRPr="00D93FF9">
        <w:rPr>
          <w:lang w:val="en-GB"/>
        </w:rPr>
        <w:t xml:space="preserve">hard </w:t>
      </w:r>
      <w:r w:rsidRPr="00D93FF9">
        <w:rPr>
          <w:spacing w:val="-3"/>
          <w:lang w:val="en-GB"/>
        </w:rPr>
        <w:t xml:space="preserve">metal </w:t>
      </w:r>
      <w:r w:rsidR="0003213C" w:rsidRPr="00D93FF9">
        <w:rPr>
          <w:lang w:val="en-GB"/>
        </w:rPr>
        <w:t>that</w:t>
      </w:r>
      <w:r w:rsidRPr="00D93FF9">
        <w:rPr>
          <w:lang w:val="en-GB"/>
        </w:rPr>
        <w:t xml:space="preserve"> is resistant to corrosion. </w:t>
      </w:r>
      <w:r w:rsidRPr="00D93FF9">
        <w:rPr>
          <w:spacing w:val="-4"/>
          <w:lang w:val="en-GB"/>
        </w:rPr>
        <w:t xml:space="preserve">It </w:t>
      </w:r>
      <w:r w:rsidRPr="00D93FF9">
        <w:rPr>
          <w:lang w:val="en-GB"/>
        </w:rPr>
        <w:t xml:space="preserve">is </w:t>
      </w:r>
      <w:r w:rsidRPr="00D93FF9">
        <w:rPr>
          <w:spacing w:val="-3"/>
          <w:lang w:val="en-GB"/>
        </w:rPr>
        <w:t xml:space="preserve">known </w:t>
      </w:r>
      <w:r w:rsidRPr="00D93FF9">
        <w:rPr>
          <w:lang w:val="en-GB"/>
        </w:rPr>
        <w:t xml:space="preserve">in all </w:t>
      </w:r>
      <w:r w:rsidRPr="00D93FF9">
        <w:rPr>
          <w:spacing w:val="-3"/>
          <w:lang w:val="en-GB"/>
        </w:rPr>
        <w:t xml:space="preserve">oxidation states from </w:t>
      </w:r>
      <w:r w:rsidRPr="00D93FF9">
        <w:rPr>
          <w:spacing w:val="-4"/>
          <w:lang w:val="en-GB"/>
        </w:rPr>
        <w:t xml:space="preserve">-2 </w:t>
      </w:r>
      <w:r w:rsidRPr="00D93FF9">
        <w:rPr>
          <w:lang w:val="en-GB"/>
        </w:rPr>
        <w:t xml:space="preserve">to +6, </w:t>
      </w:r>
      <w:r w:rsidRPr="00D93FF9">
        <w:rPr>
          <w:spacing w:val="-3"/>
          <w:lang w:val="en-GB"/>
        </w:rPr>
        <w:t xml:space="preserve">with </w:t>
      </w:r>
      <w:r w:rsidRPr="00D93FF9">
        <w:rPr>
          <w:lang w:val="en-GB"/>
        </w:rPr>
        <w:t xml:space="preserve">+3 </w:t>
      </w:r>
      <w:r w:rsidRPr="00D93FF9">
        <w:rPr>
          <w:spacing w:val="-3"/>
          <w:lang w:val="en-GB"/>
        </w:rPr>
        <w:t xml:space="preserve">(chromic) </w:t>
      </w:r>
      <w:r w:rsidRPr="00D93FF9">
        <w:rPr>
          <w:lang w:val="en-GB"/>
        </w:rPr>
        <w:t xml:space="preserve">and +6 </w:t>
      </w:r>
      <w:r w:rsidRPr="00D93FF9">
        <w:rPr>
          <w:spacing w:val="-4"/>
          <w:lang w:val="en-GB"/>
        </w:rPr>
        <w:t xml:space="preserve">(chromate) </w:t>
      </w:r>
      <w:r w:rsidRPr="00D93FF9">
        <w:rPr>
          <w:spacing w:val="-3"/>
          <w:lang w:val="en-GB"/>
        </w:rPr>
        <w:t xml:space="preserve">being </w:t>
      </w:r>
      <w:r w:rsidRPr="00D93FF9">
        <w:rPr>
          <w:lang w:val="en-GB"/>
        </w:rPr>
        <w:t xml:space="preserve">the </w:t>
      </w:r>
      <w:r w:rsidRPr="00D93FF9">
        <w:rPr>
          <w:spacing w:val="-4"/>
          <w:lang w:val="en-GB"/>
        </w:rPr>
        <w:t xml:space="preserve">most common </w:t>
      </w:r>
      <w:r w:rsidRPr="00D93FF9">
        <w:rPr>
          <w:lang w:val="en-GB"/>
        </w:rPr>
        <w:t xml:space="preserve">in </w:t>
      </w:r>
      <w:r w:rsidRPr="00D93FF9">
        <w:rPr>
          <w:spacing w:val="-3"/>
          <w:lang w:val="en-GB"/>
        </w:rPr>
        <w:t xml:space="preserve">soils. Oxidation states below </w:t>
      </w:r>
      <w:r w:rsidRPr="00D93FF9">
        <w:rPr>
          <w:lang w:val="en-GB"/>
        </w:rPr>
        <w:t xml:space="preserve">+3 are </w:t>
      </w:r>
      <w:r w:rsidRPr="00D93FF9">
        <w:rPr>
          <w:spacing w:val="-3"/>
          <w:lang w:val="en-GB"/>
        </w:rPr>
        <w:t xml:space="preserve">reducing </w:t>
      </w:r>
      <w:r w:rsidRPr="00D93FF9">
        <w:rPr>
          <w:lang w:val="en-GB"/>
        </w:rPr>
        <w:t xml:space="preserve">and </w:t>
      </w:r>
      <w:r w:rsidRPr="00D93FF9">
        <w:rPr>
          <w:spacing w:val="-3"/>
          <w:lang w:val="en-GB"/>
        </w:rPr>
        <w:t xml:space="preserve">oxidation states above </w:t>
      </w:r>
      <w:r w:rsidRPr="00D93FF9">
        <w:rPr>
          <w:lang w:val="en-GB"/>
        </w:rPr>
        <w:t xml:space="preserve">are </w:t>
      </w:r>
      <w:r w:rsidRPr="00D93FF9">
        <w:rPr>
          <w:spacing w:val="-3"/>
          <w:lang w:val="en-GB"/>
        </w:rPr>
        <w:t>oxidising.</w:t>
      </w:r>
    </w:p>
    <w:p w14:paraId="59DCD2BE" w14:textId="77777777" w:rsidR="00C46175" w:rsidRPr="00D93FF9" w:rsidRDefault="00E811B8" w:rsidP="009925D5">
      <w:pPr>
        <w:pStyle w:val="Heading5"/>
        <w:rPr>
          <w:lang w:val="en-GB"/>
        </w:rPr>
      </w:pPr>
      <w:r w:rsidRPr="00D93FF9">
        <w:rPr>
          <w:lang w:val="en-GB"/>
        </w:rPr>
        <w:t>Crop yield and quality considerations</w:t>
      </w:r>
    </w:p>
    <w:p w14:paraId="59DCD2BF" w14:textId="0E8DAAA8" w:rsidR="0003213C" w:rsidRPr="00D93FF9" w:rsidRDefault="00E811B8" w:rsidP="003807A1">
      <w:pPr>
        <w:spacing w:after="0" w:line="266" w:lineRule="auto"/>
        <w:jc w:val="both"/>
        <w:rPr>
          <w:lang w:val="en-GB"/>
        </w:rPr>
      </w:pPr>
      <w:r w:rsidRPr="00D93FF9">
        <w:rPr>
          <w:lang w:val="en-GB"/>
        </w:rPr>
        <w:t xml:space="preserve">Most surface waters contain between 0.001 and 0.010 mg/L of chromium </w:t>
      </w:r>
      <w:r w:rsidRPr="00D93FF9">
        <w:rPr>
          <w:lang w:val="en-GB"/>
        </w:rPr>
        <w:fldChar w:fldCharType="begin"/>
      </w:r>
      <w:r w:rsidR="00BE6DF0" w:rsidRPr="00D93FF9">
        <w:rPr>
          <w:lang w:val="en-GB"/>
        </w:rPr>
        <w:instrText xml:space="preserve"> ADDIN ZOTERO_ITEM CSL_CITATION {"citationID":"Kg5jwi1Y","properties":{"formattedCitation":"(WHO, 2003)","plainCitation":"(WHO, 2003)","noteIndex":0},"citationItems":[{"id":32930,"uris":["http://zotero.org/users/1938757/items/9APU3X7F"],"uri":["http://zotero.org/users/1938757/items/9APU3X7F"],"itemData":{"id":32930,"type":"report","event-place":"Geneva, Switzerland","number":"WHO/SDE/WSH/03.04/04","publisher":"World Health Organization","publisher-place":"Geneva, Switzerland","title":"Chromium in Drinking-water. Background document for development of WHO Guidelines for Drinking-water Quality.","URL":"https://www.who.int/water_sanitation_health/dwq/chemicals/chromium.pdf","author":[{"family":"WHO","given":""}],"issued":{"date-parts":[["2003"]]}}}],"schema":"https://github.com/citation-style-language/schema/raw/master/csl-citation.json"} </w:instrText>
      </w:r>
      <w:r w:rsidRPr="00D93FF9">
        <w:rPr>
          <w:lang w:val="en-GB"/>
        </w:rPr>
        <w:fldChar w:fldCharType="separate"/>
      </w:r>
      <w:r w:rsidR="007C2051" w:rsidRPr="00D93FF9">
        <w:rPr>
          <w:rFonts w:ascii="Calibri" w:hAnsi="Calibri" w:cs="Calibri"/>
        </w:rPr>
        <w:t>(WHO 2003)</w:t>
      </w:r>
      <w:r w:rsidRPr="00D93FF9">
        <w:rPr>
          <w:lang w:val="en-GB"/>
        </w:rPr>
        <w:fldChar w:fldCharType="end"/>
      </w:r>
      <w:r w:rsidRPr="00D93FF9">
        <w:rPr>
          <w:lang w:val="en-GB"/>
        </w:rPr>
        <w:t xml:space="preserve">. In general, the chromium content of surface waters reflects the extent of industrial activity. In natural waters, chromium is present mainly in the trivalent chromium (III) and hexavalent chromium (VI) forms. Studies in lake water showed that the ratio of chromium (III) to chromium (VI) is affected by the amount of organic matter and dissolved oxygen </w:t>
      </w:r>
      <w:r w:rsidRPr="00D93FF9">
        <w:rPr>
          <w:lang w:val="en-GB"/>
        </w:rPr>
        <w:fldChar w:fldCharType="begin"/>
      </w:r>
      <w:r w:rsidR="00BE6DF0" w:rsidRPr="00D93FF9">
        <w:rPr>
          <w:lang w:val="en-GB"/>
        </w:rPr>
        <w:instrText xml:space="preserve"> ADDIN ZOTERO_ITEM CSL_CITATION {"citationID":"0n0OxTCh","properties":{"formattedCitation":"(ANZG, 2021)","plainCitation":"(ANZG, 2021)","noteIndex":0},"citationItems":[{"id":32931,"uris":["http://zotero.org/users/1938757/items/25JWBDWJ"],"uri":["http://zotero.org/users/1938757/items/25JWBDWJ"],"itemData":{"id":32931,"type":"report","abstract":"ANZG 2021 Australian and New Zealand Guidelines for Fresh and Marine Water Quality. Australian and New Zealand Governments and Australian state and territory governments, Canberra ACT, Australia.  Available at www.waterquality.gov.au/anz-guidelines","event-place":"Canberra, Australia","note":"http://www.waterquality.gov.au/anz-guidelines/resources/key-concepts/indicators#ecosystem-receptors\nSearch...\nhttps://www.waterquality.gov.au/anz-guidelines/guideline-values/default/water-quality-toxicants/search\n\nwww.waterquality.gov.au/anz-guidelines","publisher":"Australian and New Zealand Governments and Australian state and territory governments,","publisher-place":"Canberra, Australia","title":"Australian and New Zealand Guidelines for Fresh and Marine Water Quality. Toxicant default guideline values for protecting aquatic ecosystems","URL":"http://www.waterquality.gov.au/anz-guidelines","author":[{"family":"ANZG","given":""}],"accessed":{"date-parts":[["2021",3,1]]},"issued":{"date-parts":[["2021"]]}}}],"schema":"https://github.com/citation-style-language/schema/raw/master/csl-citation.json"} </w:instrText>
      </w:r>
      <w:r w:rsidRPr="00D93FF9">
        <w:rPr>
          <w:lang w:val="en-GB"/>
        </w:rPr>
        <w:fldChar w:fldCharType="separate"/>
      </w:r>
      <w:r w:rsidR="007C2051" w:rsidRPr="00D93FF9">
        <w:rPr>
          <w:rFonts w:ascii="Calibri" w:hAnsi="Calibri" w:cs="Calibri"/>
        </w:rPr>
        <w:t>(ANZG 2021)</w:t>
      </w:r>
      <w:r w:rsidRPr="00D93FF9">
        <w:rPr>
          <w:lang w:val="en-GB"/>
        </w:rPr>
        <w:fldChar w:fldCharType="end"/>
      </w:r>
      <w:r w:rsidRPr="00D93FF9">
        <w:rPr>
          <w:lang w:val="en-GB"/>
        </w:rPr>
        <w:t>.</w:t>
      </w:r>
    </w:p>
    <w:p w14:paraId="59DCD2C0" w14:textId="667E4F2D" w:rsidR="0003213C" w:rsidRPr="00D93FF9" w:rsidRDefault="00E811B8" w:rsidP="003807A1">
      <w:pPr>
        <w:spacing w:after="0" w:line="266" w:lineRule="auto"/>
        <w:jc w:val="both"/>
        <w:rPr>
          <w:lang w:val="en-GB"/>
        </w:rPr>
      </w:pPr>
      <w:r w:rsidRPr="00D93FF9">
        <w:rPr>
          <w:lang w:val="en-GB"/>
        </w:rPr>
        <w:t xml:space="preserve">Chromium is used in many industrial processes (alloy, tanning, textile dyes, pigments, glazes and treated timber) </w:t>
      </w:r>
      <w:r w:rsidRPr="00D93FF9">
        <w:rPr>
          <w:lang w:val="en-GB"/>
        </w:rPr>
        <w:fldChar w:fldCharType="begin"/>
      </w:r>
      <w:r w:rsidR="00BE6DF0" w:rsidRPr="00D93FF9">
        <w:rPr>
          <w:lang w:val="en-GB"/>
        </w:rPr>
        <w:instrText xml:space="preserve"> ADDIN ZOTERO_ITEM CSL_CITATION {"citationID":"25DK7FFp","properties":{"formattedCitation":"(Subramanian et al., 2003)","plainCitation":"(Subramanian et al., 2003)","noteIndex":0},"citationItems":[{"id":32932,"uris":["http://zotero.org/users/1938757/items/AL8HPWV6"],"uri":["http://zotero.org/users/1938757/items/AL8HPWV6"],"itemData":{"id":32932,"type":"article-journal","abstract":"Worldwide chromium contamination of soils has arisen predominantly from the common practice of land-based disposal of tannery wastes under the assumption that the dominant species in the tannery waste would be the thermodynamically stable Cr(III) species. However, significant levels of toxic Cr(VI) recently detected in surface water and groundwater in India, China, Australia, and elsewhere raise critical questions relating to current disposal criteria for Cr-containing wastes. It now appears that despite the thermodynamic stability of Cr(III), the presence of certain naturally occurring minerals, especially Mn oxides, can enhance oxidation of Cr(III) to Cr(VI) in the soil environment. This factor is of public concern because at high pH, Cr(VI) is bioavailable, and it is this form that is highly mobile and therefore poses the greatest risk of groundwater contamination.\nA review of the current literature indicates that extensive research has been performed on the speciation of Cr in soil, the effect of pH on soil solution concentrations of Cr(III) and Cr(VI), soil adsorption phenomenon of Cr species, redox reactions, and transformation of Cr(III) and Cr(VI) together with remediation strategies to decontaminate Cr-contaminated soils. Most of the studies were conducted using an uncontaminated soil artificially spiked with Cr, and very limited research has been conducted in the contaminated soil environment. Furthermore, studies on tannery waste contaminated soils are limited, and obviously a serious gap of knowledge exists in understanding the influence of long-term tannery waste contamination on Cr behavior in soil.","container-title":"Reviews of environmental contamination and toxicology","DOI":"10.1007/0-387-21728-2_3","ISSN":"978-0-387-00441-9","journalAbbreviation":"Reviews of environmental contamination and toxicology","page":"53-91","source":"ResearchGate","title":"Chemistry of Chromium in Soils with Emphasis on Tannery Waste Sites","volume":"178","author":[{"family":"Subramanian","given":"Avudainayagam"},{"family":"Mallavarapu","given":"Megharaj"},{"family":"Owens","given":"Gary"},{"family":"Kookana","given":"Rai"},{"family":"Chittleborough","given":"D"},{"family":"Naidu","given":"Ravi"}],"issued":{"date-parts":[["2003",2,1]]}}}],"schema":"https://github.com/citation-style-language/schema/raw/master/csl-citation.json"} </w:instrText>
      </w:r>
      <w:r w:rsidRPr="00D93FF9">
        <w:rPr>
          <w:lang w:val="en-GB"/>
        </w:rPr>
        <w:fldChar w:fldCharType="separate"/>
      </w:r>
      <w:r w:rsidR="007C2051" w:rsidRPr="00D93FF9">
        <w:rPr>
          <w:rFonts w:ascii="Calibri" w:hAnsi="Calibri" w:cs="Calibri"/>
        </w:rPr>
        <w:t>(Subramanian et al. 2003)</w:t>
      </w:r>
      <w:r w:rsidRPr="00D93FF9">
        <w:rPr>
          <w:lang w:val="en-GB"/>
        </w:rPr>
        <w:fldChar w:fldCharType="end"/>
      </w:r>
      <w:r w:rsidRPr="00D93FF9">
        <w:rPr>
          <w:lang w:val="en-GB"/>
        </w:rPr>
        <w:t xml:space="preserve">. Most soils and rocks contain small amounts of chromium oxide. Weathering, oxidation, and bacterial action convert this insoluble compound into soluble Cr(III) salts </w:t>
      </w:r>
      <w:r w:rsidRPr="00D93FF9">
        <w:rPr>
          <w:lang w:val="en-GB"/>
        </w:rPr>
        <w:fldChar w:fldCharType="begin"/>
      </w:r>
      <w:r w:rsidR="007C2051" w:rsidRPr="00D93FF9">
        <w:rPr>
          <w:lang w:val="en-GB"/>
        </w:rPr>
        <w:instrText xml:space="preserve"> ADDIN ZOTERO_ITEM CSL_CITATION {"citationID":"walaOfxp","properties":{"formattedCitation":"(NHMRC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rPr>
          <w:lang w:val="en-GB"/>
        </w:rPr>
        <w:fldChar w:fldCharType="separate"/>
      </w:r>
      <w:r w:rsidR="007C2051" w:rsidRPr="00D93FF9">
        <w:rPr>
          <w:rFonts w:ascii="Calibri" w:hAnsi="Calibri" w:cs="Calibri"/>
        </w:rPr>
        <w:t>(NHMRC and NRMMC 2011)</w:t>
      </w:r>
      <w:r w:rsidRPr="00D93FF9">
        <w:rPr>
          <w:lang w:val="en-GB"/>
        </w:rPr>
        <w:fldChar w:fldCharType="end"/>
      </w:r>
      <w:r w:rsidRPr="00D93FF9">
        <w:rPr>
          <w:lang w:val="en-GB"/>
        </w:rPr>
        <w:t>. Background concentrations in soil range from 5 to 673 mg/kg (</w:t>
      </w:r>
      <w:r w:rsidR="00FE5F61" w:rsidRPr="00D93FF9">
        <w:rPr>
          <w:lang w:val="en-GB"/>
        </w:rPr>
        <w:fldChar w:fldCharType="begin"/>
      </w:r>
      <w:r w:rsidR="00FE5F61" w:rsidRPr="00D93FF9">
        <w:rPr>
          <w:lang w:val="en-GB"/>
        </w:rPr>
        <w:instrText xml:space="preserve"> REF _Ref81393907 \h </w:instrText>
      </w:r>
      <w:r w:rsidR="00D93FF9">
        <w:rPr>
          <w:lang w:val="en-GB"/>
        </w:rPr>
        <w:instrText xml:space="preserve"> \* MERGEFORMAT </w:instrText>
      </w:r>
      <w:r w:rsidR="00FE5F61" w:rsidRPr="00D93FF9">
        <w:rPr>
          <w:lang w:val="en-GB"/>
        </w:rPr>
      </w:r>
      <w:r w:rsidR="00FE5F61" w:rsidRPr="00D93FF9">
        <w:rPr>
          <w:lang w:val="en-GB"/>
        </w:rPr>
        <w:fldChar w:fldCharType="separate"/>
      </w:r>
      <w:r w:rsidR="0069302C" w:rsidRPr="0069302C">
        <w:t xml:space="preserve">Table </w:t>
      </w:r>
      <w:r w:rsidR="0069302C" w:rsidRPr="0069302C">
        <w:rPr>
          <w:noProof/>
        </w:rPr>
        <w:t>22</w:t>
      </w:r>
      <w:r w:rsidR="00FE5F61" w:rsidRPr="00D93FF9">
        <w:rPr>
          <w:lang w:val="en-GB"/>
        </w:rPr>
        <w:fldChar w:fldCharType="end"/>
      </w:r>
      <w:r w:rsidRPr="00D93FF9">
        <w:rPr>
          <w:lang w:val="en-GB"/>
        </w:rPr>
        <w:t>).</w:t>
      </w:r>
    </w:p>
    <w:p w14:paraId="59DCD2C1" w14:textId="3ECADC5B" w:rsidR="00C46175" w:rsidRPr="00D93FF9" w:rsidRDefault="00E811B8" w:rsidP="003807A1">
      <w:pPr>
        <w:pStyle w:val="BodyText"/>
        <w:spacing w:after="0" w:line="266" w:lineRule="auto"/>
        <w:jc w:val="both"/>
        <w:rPr>
          <w:lang w:val="en-GB"/>
        </w:rPr>
      </w:pPr>
      <w:r w:rsidRPr="00D93FF9">
        <w:rPr>
          <w:lang w:val="en-GB"/>
        </w:rPr>
        <w:t>There is no evidence that chromium is essential to plants, although traces of chromium are essential for humans and animals (Anderson 1987</w:t>
      </w:r>
      <w:r w:rsidR="009808D2" w:rsidRPr="00D93FF9">
        <w:rPr>
          <w:lang w:val="en-GB"/>
        </w:rPr>
        <w:t>;</w:t>
      </w:r>
      <w:r w:rsidRPr="00D93FF9">
        <w:rPr>
          <w:lang w:val="en-GB"/>
        </w:rPr>
        <w:t xml:space="preserve"> Schachtschabel et al. 1989). However, when added to the soil, chromium (VI) remains mobile and available to plants, whereas chromium (III) is adsorbed or complexed and therefore immobile (Breeze 1973). The toxicity limits for chromium (VI) range from 5 mg/kg to 500 mg/kg, while toxic effects of chromium</w:t>
      </w:r>
    </w:p>
    <w:p w14:paraId="59DCD2C2" w14:textId="0BDB5F61" w:rsidR="00C46175" w:rsidRPr="00D93FF9" w:rsidRDefault="00E811B8" w:rsidP="003807A1">
      <w:pPr>
        <w:pStyle w:val="BodyText"/>
        <w:spacing w:after="0" w:line="266" w:lineRule="auto"/>
        <w:jc w:val="both"/>
        <w:rPr>
          <w:lang w:val="en-GB"/>
        </w:rPr>
      </w:pPr>
      <w:r w:rsidRPr="00D93FF9">
        <w:rPr>
          <w:spacing w:val="-3"/>
          <w:lang w:val="en-GB"/>
        </w:rPr>
        <w:t xml:space="preserve">(III) </w:t>
      </w:r>
      <w:r w:rsidRPr="00D93FF9">
        <w:rPr>
          <w:lang w:val="en-GB"/>
        </w:rPr>
        <w:t>occur at 50–5000 mg/kg, depending on plant species and soil type (NRCC 1976). Because translocation of chromium within the plant does not occur readily, most of the absorbed chromium remains in the roots (Schachtschabel et al. 1989). In general, there should be few problems associated with discharges to land of wastewaters (e.g.</w:t>
      </w:r>
      <w:r w:rsidR="00C41905" w:rsidRPr="00D93FF9">
        <w:rPr>
          <w:lang w:val="en-GB"/>
        </w:rPr>
        <w:t>,</w:t>
      </w:r>
      <w:r w:rsidRPr="00D93FF9">
        <w:rPr>
          <w:lang w:val="en-GB"/>
        </w:rPr>
        <w:t xml:space="preserve"> from tanneries) containing chromium </w:t>
      </w:r>
      <w:r w:rsidRPr="00D93FF9">
        <w:rPr>
          <w:spacing w:val="-3"/>
          <w:lang w:val="en-GB"/>
        </w:rPr>
        <w:t xml:space="preserve">(III) </w:t>
      </w:r>
      <w:r w:rsidRPr="00D93FF9">
        <w:rPr>
          <w:lang w:val="en-GB"/>
        </w:rPr>
        <w:t>because this form of chromium is relatively</w:t>
      </w:r>
      <w:r w:rsidRPr="00D93FF9">
        <w:rPr>
          <w:spacing w:val="2"/>
          <w:lang w:val="en-GB"/>
        </w:rPr>
        <w:t xml:space="preserve"> </w:t>
      </w:r>
      <w:r w:rsidRPr="00D93FF9">
        <w:rPr>
          <w:lang w:val="en-GB"/>
        </w:rPr>
        <w:t>non-mobile.</w:t>
      </w:r>
    </w:p>
    <w:p w14:paraId="59DCD2C3" w14:textId="20C9FC0F" w:rsidR="00C46175" w:rsidRPr="00D93FF9" w:rsidRDefault="00E811B8" w:rsidP="003807A1">
      <w:pPr>
        <w:pStyle w:val="BodyText"/>
        <w:spacing w:after="0" w:line="266" w:lineRule="auto"/>
        <w:jc w:val="both"/>
        <w:rPr>
          <w:lang w:val="en-GB"/>
        </w:rPr>
      </w:pPr>
      <w:r w:rsidRPr="00D93FF9">
        <w:rPr>
          <w:lang w:val="en-GB"/>
        </w:rPr>
        <w:t xml:space="preserve">Depending on prevailing redox conditions in </w:t>
      </w:r>
      <w:r w:rsidR="006537A3" w:rsidRPr="00D93FF9">
        <w:rPr>
          <w:lang w:val="en-GB"/>
        </w:rPr>
        <w:t xml:space="preserve">the </w:t>
      </w:r>
      <w:r w:rsidRPr="00D93FF9">
        <w:rPr>
          <w:lang w:val="en-GB"/>
        </w:rPr>
        <w:t xml:space="preserve">soil, chromium </w:t>
      </w:r>
      <w:r w:rsidRPr="00D93FF9">
        <w:rPr>
          <w:spacing w:val="-3"/>
          <w:lang w:val="en-GB"/>
        </w:rPr>
        <w:t xml:space="preserve">(III) </w:t>
      </w:r>
      <w:r w:rsidRPr="00D93FF9">
        <w:rPr>
          <w:lang w:val="en-GB"/>
        </w:rPr>
        <w:t xml:space="preserve">can be oxidised to the more mobile chromium (VI); manganese oxides and organic matter play an important role in this reaction as electron acceptors (McGrath 1995). However, in agricultural soils with normal Eh and pH ranges, chromium (VI) is likely to be reduced to the chromium </w:t>
      </w:r>
      <w:r w:rsidRPr="00D93FF9">
        <w:rPr>
          <w:spacing w:val="-3"/>
          <w:lang w:val="en-GB"/>
        </w:rPr>
        <w:t>(III)</w:t>
      </w:r>
      <w:r w:rsidRPr="00D93FF9">
        <w:rPr>
          <w:spacing w:val="-6"/>
          <w:lang w:val="en-GB"/>
        </w:rPr>
        <w:t xml:space="preserve"> </w:t>
      </w:r>
      <w:r w:rsidRPr="00D93FF9">
        <w:rPr>
          <w:lang w:val="en-GB"/>
        </w:rPr>
        <w:t>ion.</w:t>
      </w:r>
    </w:p>
    <w:p w14:paraId="59DCD2C4" w14:textId="255E3715" w:rsidR="00C46175" w:rsidRPr="00D93FF9" w:rsidRDefault="00E811B8" w:rsidP="003807A1">
      <w:pPr>
        <w:pStyle w:val="BodyText"/>
        <w:spacing w:after="0" w:line="266" w:lineRule="auto"/>
        <w:jc w:val="both"/>
        <w:rPr>
          <w:rFonts w:ascii="Arial"/>
          <w:sz w:val="20"/>
          <w:lang w:val="en-GB"/>
        </w:rPr>
      </w:pPr>
      <w:r w:rsidRPr="00D93FF9">
        <w:rPr>
          <w:lang w:val="en-GB"/>
        </w:rPr>
        <w:t xml:space="preserve">Studies with nutrient solutions indicate that there may be some direct phytotoxic effect on irrigated crops of chromium in irrigation waters. Concentrations of 1–10 mg/L in nutrient solutions reduce crop yield, depending on the tolerance of different plant species (NAS 1974), and there is limited evidence that chromium </w:t>
      </w:r>
      <w:r w:rsidRPr="00D93FF9">
        <w:rPr>
          <w:spacing w:val="-3"/>
          <w:lang w:val="en-GB"/>
        </w:rPr>
        <w:t xml:space="preserve">(III) </w:t>
      </w:r>
      <w:r w:rsidRPr="00D93FF9">
        <w:rPr>
          <w:lang w:val="en-GB"/>
        </w:rPr>
        <w:t xml:space="preserve">and chromium (VI) in nutrient solutions are about equally available to plants </w:t>
      </w:r>
      <w:r w:rsidRPr="00D93FF9">
        <w:rPr>
          <w:lang w:val="en-GB"/>
        </w:rPr>
        <w:lastRenderedPageBreak/>
        <w:t>(</w:t>
      </w:r>
      <w:r w:rsidR="006537A3" w:rsidRPr="00D93FF9">
        <w:fldChar w:fldCharType="begin"/>
      </w:r>
      <w:r w:rsidR="00BE6DF0" w:rsidRPr="00D93FF9">
        <w:instrText xml:space="preserve"> ADDIN ZOTERO_ITEM CSL_CITATION {"citationID":"o1nF2qPI","properties":{"formattedCitation":"(Efroymson et al. 1997b)","plainCitation":"(Efroymson et al. 1997b)","dontUpdate":true,"noteIndex":0},"citationItems":[{"id":33251,"uris":["http://zotero.org/users/1938757/items/IRVGAJHK"],"uri":["http://zotero.org/users/1938757/items/IRVGAJHK"],"itemData":{"id":33251,"type":"report","event-place":"Oak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II","given":"GW"},{"family":"Wooten","given":"A.C."}],"issued":{"date-parts":[["1997"]]}}}],"schema":"https://github.com/citation-style-language/schema/raw/master/csl-citation.json"} </w:instrText>
      </w:r>
      <w:r w:rsidR="006537A3" w:rsidRPr="00D93FF9">
        <w:fldChar w:fldCharType="separate"/>
      </w:r>
      <w:r w:rsidR="006537A3" w:rsidRPr="00D93FF9">
        <w:t>Efroymson et al. 1997b)</w:t>
      </w:r>
      <w:r w:rsidR="006537A3" w:rsidRPr="00D93FF9">
        <w:fldChar w:fldCharType="end"/>
      </w:r>
      <w:r w:rsidRPr="00D93FF9">
        <w:rPr>
          <w:lang w:val="en-GB"/>
        </w:rPr>
        <w:t xml:space="preserve">. </w:t>
      </w:r>
      <w:r w:rsidR="006537A3" w:rsidRPr="00D93FF9">
        <w:rPr>
          <w:lang w:val="en-GB"/>
        </w:rPr>
        <w:t>T</w:t>
      </w:r>
      <w:r w:rsidRPr="00D93FF9">
        <w:rPr>
          <w:lang w:val="en-GB"/>
        </w:rPr>
        <w:t>herefore</w:t>
      </w:r>
      <w:r w:rsidR="00606CB4" w:rsidRPr="00D93FF9">
        <w:rPr>
          <w:lang w:val="en-GB"/>
        </w:rPr>
        <w:t>,</w:t>
      </w:r>
      <w:r w:rsidR="006537A3" w:rsidRPr="00D93FF9">
        <w:rPr>
          <w:lang w:val="en-GB"/>
        </w:rPr>
        <w:t xml:space="preserve"> it is</w:t>
      </w:r>
      <w:r w:rsidRPr="00D93FF9">
        <w:rPr>
          <w:lang w:val="en-GB"/>
        </w:rPr>
        <w:t xml:space="preserve"> inappropriate to set a guideline based on total chromium or chromium </w:t>
      </w:r>
      <w:r w:rsidRPr="00D93FF9">
        <w:rPr>
          <w:spacing w:val="-3"/>
          <w:lang w:val="en-GB"/>
        </w:rPr>
        <w:t xml:space="preserve">(III) </w:t>
      </w:r>
      <w:r w:rsidRPr="00D93FF9">
        <w:rPr>
          <w:lang w:val="en-GB"/>
        </w:rPr>
        <w:t xml:space="preserve">due to the lack of evidence that chromium </w:t>
      </w:r>
      <w:r w:rsidRPr="00D93FF9">
        <w:rPr>
          <w:spacing w:val="-3"/>
          <w:lang w:val="en-GB"/>
        </w:rPr>
        <w:t xml:space="preserve">(III) </w:t>
      </w:r>
      <w:r w:rsidRPr="00D93FF9">
        <w:rPr>
          <w:lang w:val="en-GB"/>
        </w:rPr>
        <w:t>poses a significant environmental or phytotoxic threat. Guidelines are therefore set for the chromium (VI) ion in irrigation waters based on the revised South African irrigation water quality guidelines (DWAF 1996)</w:t>
      </w:r>
      <w:r w:rsidR="006537A3" w:rsidRPr="00D93FF9">
        <w:rPr>
          <w:lang w:val="en-GB"/>
        </w:rPr>
        <w:t xml:space="preserve"> and supported by WHO (2006) </w:t>
      </w:r>
      <w:r w:rsidR="006537A3" w:rsidRPr="00D93FF9">
        <w:t>irrigation water quality guideline for chromium of 0.1 mg/L</w:t>
      </w:r>
      <w:r w:rsidRPr="00D93FF9">
        <w:rPr>
          <w:lang w:val="en-GB"/>
        </w:rPr>
        <w:t xml:space="preserve">. As there </w:t>
      </w:r>
      <w:r w:rsidR="006537A3" w:rsidRPr="00D93FF9">
        <w:rPr>
          <w:lang w:val="en-GB"/>
        </w:rPr>
        <w:t xml:space="preserve">is </w:t>
      </w:r>
      <w:r w:rsidRPr="00D93FF9">
        <w:rPr>
          <w:lang w:val="en-GB"/>
        </w:rPr>
        <w:t xml:space="preserve">no available data on chromium (VI) </w:t>
      </w:r>
      <w:r w:rsidR="006537A3" w:rsidRPr="00D93FF9">
        <w:rPr>
          <w:lang w:val="en-GB"/>
        </w:rPr>
        <w:t xml:space="preserve">background concentrations </w:t>
      </w:r>
      <w:r w:rsidRPr="00D93FF9">
        <w:rPr>
          <w:lang w:val="en-GB"/>
        </w:rPr>
        <w:t>in Australian soils or chromium (VI) toxic thresholds for soils, it is not possible to set a</w:t>
      </w:r>
      <w:r w:rsidR="006537A3" w:rsidRPr="00D93FF9">
        <w:rPr>
          <w:lang w:val="en-GB"/>
        </w:rPr>
        <w:t>n</w:t>
      </w:r>
      <w:r w:rsidRPr="00D93FF9">
        <w:rPr>
          <w:lang w:val="en-GB"/>
        </w:rPr>
        <w:t xml:space="preserve"> </w:t>
      </w:r>
      <w:r w:rsidR="006D735C" w:rsidRPr="00D93FF9">
        <w:rPr>
          <w:lang w:val="en-GB"/>
        </w:rPr>
        <w:t>ACL</w:t>
      </w:r>
      <w:r w:rsidRPr="00D93FF9">
        <w:rPr>
          <w:lang w:val="en-GB"/>
        </w:rPr>
        <w:t xml:space="preserve"> limit at this stage. However, it is recommended that future guidelines attempt to set chromium (VI) soil</w:t>
      </w:r>
      <w:r w:rsidRPr="00D93FF9">
        <w:rPr>
          <w:spacing w:val="-8"/>
          <w:lang w:val="en-GB"/>
        </w:rPr>
        <w:t xml:space="preserve"> </w:t>
      </w:r>
      <w:r w:rsidRPr="00D93FF9">
        <w:rPr>
          <w:lang w:val="en-GB"/>
        </w:rPr>
        <w:t>limits.</w:t>
      </w:r>
      <w:bookmarkStart w:id="247" w:name="9.2.5.9__Cobalt"/>
      <w:bookmarkStart w:id="248" w:name="9.2.5.10__Copper"/>
      <w:bookmarkEnd w:id="247"/>
      <w:bookmarkEnd w:id="248"/>
      <w:r w:rsidR="00651C72" w:rsidRPr="00D93FF9">
        <w:rPr>
          <w:rFonts w:ascii="Arial"/>
          <w:sz w:val="20"/>
          <w:lang w:val="en-GB"/>
        </w:rPr>
        <w:t xml:space="preserve"> </w:t>
      </w:r>
    </w:p>
    <w:p w14:paraId="59DCD2C5" w14:textId="77777777" w:rsidR="00C46175" w:rsidRPr="00D93FF9" w:rsidRDefault="00C46175" w:rsidP="003807A1">
      <w:pPr>
        <w:pStyle w:val="BodyText"/>
        <w:spacing w:after="0"/>
        <w:rPr>
          <w:rFonts w:ascii="Arial"/>
          <w:sz w:val="15"/>
          <w:lang w:val="en-GB"/>
        </w:rPr>
      </w:pPr>
    </w:p>
    <w:p w14:paraId="59DCD2C6" w14:textId="77777777" w:rsidR="00C46175" w:rsidRPr="00D93FF9" w:rsidRDefault="00E811B8" w:rsidP="00EF411C">
      <w:pPr>
        <w:pStyle w:val="Heading3"/>
        <w:rPr>
          <w:lang w:val="en-GB"/>
        </w:rPr>
      </w:pPr>
      <w:bookmarkStart w:id="249" w:name="_Toc96693587"/>
      <w:r w:rsidRPr="00D93FF9">
        <w:t>Cobalt</w:t>
      </w:r>
      <w:bookmarkEnd w:id="249"/>
    </w:p>
    <w:p w14:paraId="59DCD2C7" w14:textId="77777777" w:rsidR="00C46175" w:rsidRPr="00D93FF9" w:rsidRDefault="00E811B8" w:rsidP="003F3751">
      <w:pPr>
        <w:pStyle w:val="Heading5"/>
        <w:spacing w:before="200" w:after="200" w:line="245" w:lineRule="auto"/>
        <w:ind w:left="284"/>
        <w:rPr>
          <w:i/>
          <w:iCs/>
          <w:lang w:val="en-GB"/>
        </w:rPr>
      </w:pPr>
      <w:r w:rsidRPr="00D93FF9">
        <w:rPr>
          <w:i/>
          <w:iCs/>
          <w:lang w:val="en-GB"/>
        </w:rPr>
        <w:t>It is recommended that the concentration of cobalt in irrigation waters and soils should be less than the</w:t>
      </w:r>
      <w:r w:rsidRPr="00D93FF9">
        <w:rPr>
          <w:i/>
          <w:iCs/>
          <w:spacing w:val="-1"/>
          <w:lang w:val="en-GB"/>
        </w:rPr>
        <w:t xml:space="preserve"> </w:t>
      </w:r>
      <w:r w:rsidRPr="00D93FF9">
        <w:rPr>
          <w:i/>
          <w:iCs/>
          <w:lang w:val="en-GB"/>
        </w:rPr>
        <w:t>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2CA" w14:textId="77777777" w:rsidTr="00B412DE">
        <w:trPr>
          <w:trHeight w:val="318"/>
        </w:trPr>
        <w:tc>
          <w:tcPr>
            <w:tcW w:w="6240" w:type="dxa"/>
          </w:tcPr>
          <w:p w14:paraId="59DCD2C8"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2C9"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0.05 mg/L</w:t>
            </w:r>
          </w:p>
        </w:tc>
      </w:tr>
      <w:tr w:rsidR="00BE3AA8" w:rsidRPr="00D93FF9" w14:paraId="59DCD2CD" w14:textId="77777777" w:rsidTr="00B412DE">
        <w:trPr>
          <w:trHeight w:val="318"/>
        </w:trPr>
        <w:tc>
          <w:tcPr>
            <w:tcW w:w="6240" w:type="dxa"/>
          </w:tcPr>
          <w:p w14:paraId="59DCD2CB"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2CC"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0.1 mg/L</w:t>
            </w:r>
          </w:p>
        </w:tc>
      </w:tr>
      <w:tr w:rsidR="00BE3AA8" w:rsidRPr="00D93FF9" w14:paraId="59DCD2D0" w14:textId="77777777" w:rsidTr="00B412DE">
        <w:trPr>
          <w:trHeight w:val="318"/>
        </w:trPr>
        <w:tc>
          <w:tcPr>
            <w:tcW w:w="6240" w:type="dxa"/>
          </w:tcPr>
          <w:p w14:paraId="59DCD2CE"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2CF"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Not determined</w:t>
            </w:r>
          </w:p>
        </w:tc>
      </w:tr>
    </w:tbl>
    <w:p w14:paraId="59DCD2D1" w14:textId="77777777" w:rsidR="00C46175" w:rsidRPr="00D93FF9" w:rsidRDefault="00C46175" w:rsidP="003807A1">
      <w:pPr>
        <w:pStyle w:val="BodyText"/>
        <w:spacing w:after="0"/>
        <w:rPr>
          <w:b/>
          <w:i/>
          <w:sz w:val="33"/>
          <w:lang w:val="en-GB"/>
        </w:rPr>
      </w:pPr>
    </w:p>
    <w:p w14:paraId="59DCD2D2" w14:textId="77777777" w:rsidR="00C46175" w:rsidRPr="00D93FF9" w:rsidRDefault="00E811B8" w:rsidP="003807A1">
      <w:pPr>
        <w:pStyle w:val="BodyText"/>
        <w:spacing w:after="0" w:line="266" w:lineRule="auto"/>
        <w:jc w:val="both"/>
        <w:rPr>
          <w:lang w:val="en-GB"/>
        </w:rPr>
      </w:pPr>
      <w:r w:rsidRPr="00D93FF9">
        <w:rPr>
          <w:lang w:val="en-GB"/>
        </w:rPr>
        <w:t>Cobalt occurs as various sulfide ores in nature and is generally associated with arsenic, iron, nickel, and copper. The chemical properties of cobalt are similar to iron and nickel, however unlike the Fe (II) ion, Co (II) is quite stable in soils.</w:t>
      </w:r>
    </w:p>
    <w:p w14:paraId="59DCD2D3" w14:textId="77777777" w:rsidR="00C46175" w:rsidRPr="00D93FF9" w:rsidRDefault="00E811B8" w:rsidP="009925D5">
      <w:pPr>
        <w:pStyle w:val="Heading5"/>
        <w:rPr>
          <w:lang w:val="en-GB"/>
        </w:rPr>
      </w:pPr>
      <w:r w:rsidRPr="00D93FF9">
        <w:rPr>
          <w:lang w:val="en-GB"/>
        </w:rPr>
        <w:t>Crop yield and quality considerations</w:t>
      </w:r>
    </w:p>
    <w:p w14:paraId="59DCD2D4" w14:textId="363D23F9" w:rsidR="00651C72" w:rsidRPr="00D93FF9" w:rsidRDefault="00E811B8" w:rsidP="003807A1">
      <w:pPr>
        <w:spacing w:after="0" w:line="266" w:lineRule="auto"/>
        <w:rPr>
          <w:lang w:val="en-GB"/>
        </w:rPr>
      </w:pPr>
      <w:r w:rsidRPr="00D93FF9">
        <w:rPr>
          <w:lang w:val="en-GB"/>
        </w:rPr>
        <w:t>Concentrations in unpolluted surface waters are generally in the order of &lt;0.001 mg/L (DWAF 1996). Soil concent</w:t>
      </w:r>
      <w:r w:rsidR="00D65B98" w:rsidRPr="00D93FF9">
        <w:rPr>
          <w:lang w:val="en-GB"/>
        </w:rPr>
        <w:t>r</w:t>
      </w:r>
      <w:r w:rsidRPr="00D93FF9">
        <w:rPr>
          <w:lang w:val="en-GB"/>
        </w:rPr>
        <w:t>ations range from &lt; 2 to 165 mg/kg (</w:t>
      </w:r>
      <w:r w:rsidR="00FE5F61" w:rsidRPr="00D93FF9">
        <w:rPr>
          <w:lang w:val="en-GB"/>
        </w:rPr>
        <w:fldChar w:fldCharType="begin"/>
      </w:r>
      <w:r w:rsidR="00FE5F61" w:rsidRPr="00D93FF9">
        <w:rPr>
          <w:lang w:val="en-GB"/>
        </w:rPr>
        <w:instrText xml:space="preserve"> REF _Ref81393907 \h </w:instrText>
      </w:r>
      <w:r w:rsidR="00D93FF9">
        <w:rPr>
          <w:lang w:val="en-GB"/>
        </w:rPr>
        <w:instrText xml:space="preserve"> \* MERGEFORMAT </w:instrText>
      </w:r>
      <w:r w:rsidR="00FE5F61" w:rsidRPr="00D93FF9">
        <w:rPr>
          <w:lang w:val="en-GB"/>
        </w:rPr>
      </w:r>
      <w:r w:rsidR="00FE5F61" w:rsidRPr="00D93FF9">
        <w:rPr>
          <w:lang w:val="en-GB"/>
        </w:rPr>
        <w:fldChar w:fldCharType="separate"/>
      </w:r>
      <w:r w:rsidR="0069302C" w:rsidRPr="0069302C">
        <w:t xml:space="preserve">Table </w:t>
      </w:r>
      <w:r w:rsidR="0069302C" w:rsidRPr="0069302C">
        <w:rPr>
          <w:noProof/>
        </w:rPr>
        <w:t>22</w:t>
      </w:r>
      <w:r w:rsidR="00FE5F61" w:rsidRPr="00D93FF9">
        <w:rPr>
          <w:lang w:val="en-GB"/>
        </w:rPr>
        <w:fldChar w:fldCharType="end"/>
      </w:r>
      <w:r w:rsidRPr="00D93FF9">
        <w:rPr>
          <w:lang w:val="en-GB"/>
        </w:rPr>
        <w:t>).</w:t>
      </w:r>
    </w:p>
    <w:p w14:paraId="59DCD2D5" w14:textId="37BDFFFA" w:rsidR="00C46175" w:rsidRPr="00D93FF9" w:rsidRDefault="00E811B8" w:rsidP="003807A1">
      <w:pPr>
        <w:pStyle w:val="BodyText"/>
        <w:spacing w:after="0" w:line="266" w:lineRule="auto"/>
        <w:jc w:val="both"/>
        <w:rPr>
          <w:lang w:val="en-GB"/>
        </w:rPr>
      </w:pPr>
      <w:r w:rsidRPr="00D93FF9">
        <w:rPr>
          <w:lang w:val="en-GB"/>
        </w:rPr>
        <w:t xml:space="preserve">Cobalt is not considered to be an essential plant micronutrient, with the exception of legumes involved in symbiotic nitrogen fixation with </w:t>
      </w:r>
      <w:r w:rsidRPr="00D93FF9">
        <w:rPr>
          <w:i/>
          <w:lang w:val="en-GB"/>
        </w:rPr>
        <w:t>Rhizobia</w:t>
      </w:r>
      <w:r w:rsidRPr="00D93FF9">
        <w:rPr>
          <w:lang w:val="en-GB"/>
        </w:rPr>
        <w:t xml:space="preserve">. Cobalt in soils tends to be tightly bound to manganese oxides. However, this reaction is pH dependent and increased cobalt uptake into plants has been observed with decreasing pH (Smith </w:t>
      </w:r>
      <w:r w:rsidR="00FA6E9E" w:rsidRPr="00D93FF9">
        <w:rPr>
          <w:lang w:val="en-GB"/>
        </w:rPr>
        <w:t>and</w:t>
      </w:r>
      <w:r w:rsidRPr="00D93FF9">
        <w:rPr>
          <w:lang w:val="en-GB"/>
        </w:rPr>
        <w:t xml:space="preserve"> Paterson</w:t>
      </w:r>
      <w:r w:rsidR="006844F6" w:rsidRPr="00D93FF9">
        <w:rPr>
          <w:lang w:val="en-GB"/>
        </w:rPr>
        <w:t xml:space="preserve"> </w:t>
      </w:r>
      <w:r w:rsidRPr="00D93FF9">
        <w:rPr>
          <w:lang w:val="en-GB"/>
        </w:rPr>
        <w:t xml:space="preserve">1995). Hodgson (1960) reported a strong interaction between cobalt and most soils at neutral and alkaline pH values. The field occurrence of cobalt toxicity is rare (Hart 1974), and Vanselow (1966) showed that high concentrations of cobalt (100 </w:t>
      </w:r>
      <w:r w:rsidRPr="00D93FF9">
        <w:rPr>
          <w:spacing w:val="-3"/>
          <w:lang w:val="en-GB"/>
        </w:rPr>
        <w:t xml:space="preserve">mg/kg) </w:t>
      </w:r>
      <w:r w:rsidRPr="00D93FF9">
        <w:rPr>
          <w:lang w:val="en-GB"/>
        </w:rPr>
        <w:t xml:space="preserve">had little effect on citrus crops, probably due to adsorption of cobalt by soil particles. While there is little evidence of cobalt toxicity due to elevated soil concentrations, evidence for potential toxicity due to cobalt in irrigation waters comes from nutrient solution studies. </w:t>
      </w:r>
      <w:r w:rsidR="006D3D24" w:rsidRPr="00D93FF9">
        <w:t xml:space="preserve">Efroymson et al. (1997b) </w:t>
      </w:r>
      <w:r w:rsidRPr="00D93FF9">
        <w:rPr>
          <w:lang w:val="en-GB"/>
        </w:rPr>
        <w:t>noted that concentrations in</w:t>
      </w:r>
      <w:r w:rsidR="006D3D24" w:rsidRPr="00D93FF9">
        <w:rPr>
          <w:lang w:val="en-GB"/>
        </w:rPr>
        <w:t xml:space="preserve"> a</w:t>
      </w:r>
      <w:r w:rsidRPr="00D93FF9">
        <w:rPr>
          <w:lang w:val="en-GB"/>
        </w:rPr>
        <w:t xml:space="preserve"> solution of 0.06 mg/L may reduce the vegetative growth of plants. </w:t>
      </w:r>
      <w:r w:rsidR="006D3D24" w:rsidRPr="00D93FF9">
        <w:rPr>
          <w:lang w:val="en-GB"/>
        </w:rPr>
        <w:t>C</w:t>
      </w:r>
      <w:r w:rsidRPr="00D93FF9">
        <w:rPr>
          <w:lang w:val="en-GB"/>
        </w:rPr>
        <w:t xml:space="preserve">obalt in nutrient solution </w:t>
      </w:r>
      <w:r w:rsidR="006D3D24" w:rsidRPr="00D93FF9">
        <w:rPr>
          <w:lang w:val="en-GB"/>
        </w:rPr>
        <w:t>is</w:t>
      </w:r>
      <w:r w:rsidRPr="00D93FF9">
        <w:rPr>
          <w:lang w:val="en-GB"/>
        </w:rPr>
        <w:t xml:space="preserve"> toxic to tomatoes at a concentration of 0.1 mg/L, and this concentration approximates a toxicity threshold for other plants</w:t>
      </w:r>
      <w:r w:rsidR="006D3D24" w:rsidRPr="00D93FF9">
        <w:rPr>
          <w:lang w:val="en-GB"/>
        </w:rPr>
        <w:t xml:space="preserve"> (</w:t>
      </w:r>
      <w:r w:rsidR="006D3D24" w:rsidRPr="00D93FF9">
        <w:rPr>
          <w:lang w:val="en-GB"/>
        </w:rPr>
        <w:fldChar w:fldCharType="begin"/>
      </w:r>
      <w:r w:rsidR="00BE6DF0" w:rsidRPr="00D93FF9">
        <w:rPr>
          <w:lang w:val="en-GB"/>
        </w:rPr>
        <w:instrText xml:space="preserve"> ADDIN ZOTERO_ITEM CSL_CITATION {"citationID":"09Mgb5R3","properties":{"formattedCitation":"(DWAF 1996; WHO 2006)","plainCitation":"(DWAF 1996; WHO 2006)","dontUpdate":true,"noteIndex":0},"citationItems":[{"id":32865,"uris":["http://zotero.org/groups/2748246/items/3M9SR7BY"],"uri":["http://zotero.org/groups/2748246/items/3M9SR7BY"],"itemData":{"id":32865,"type":"report","event-place":"Pretoria, Republic of South Africa","note":"http://www.waternet.co.za/policy/g_wq.html","publisher":"Department of Water Affairs and Forestry","publisher-place":"Pretoria, Republic of South Africa","title":"South African Water Quality Guidelines. Volume 4 Agricultural Use : Irrigation","URL":"https://www.iwa-network.org/filemanager-uploads/WQ_Compendium/Database/Future_analysis/080.pdf","author":[{"family":"DWAF","given":""}],"issued":{"date-parts":[["1996"]]}}},{"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Agriculture","URL":"https://www.who.int/water_sanitation_health/publications/gsuweg2/en/","author":[{"family":"WHO","given":""}],"issued":{"date-parts":[["2006"]]}}}],"schema":"https://github.com/citation-style-language/schema/raw/master/csl-citation.json"} </w:instrText>
      </w:r>
      <w:r w:rsidR="006D3D24" w:rsidRPr="00D93FF9">
        <w:rPr>
          <w:lang w:val="en-GB"/>
        </w:rPr>
        <w:fldChar w:fldCharType="separate"/>
      </w:r>
      <w:r w:rsidR="006D3D24" w:rsidRPr="00D93FF9">
        <w:rPr>
          <w:lang w:val="en-GB"/>
        </w:rPr>
        <w:t>DWAF 1996; WHO 2006)</w:t>
      </w:r>
      <w:r w:rsidR="006D3D24" w:rsidRPr="00D93FF9">
        <w:rPr>
          <w:lang w:val="en-GB"/>
        </w:rPr>
        <w:fldChar w:fldCharType="end"/>
      </w:r>
      <w:r w:rsidRPr="00D93FF9">
        <w:rPr>
          <w:lang w:val="en-GB"/>
        </w:rPr>
        <w:t>. Given th</w:t>
      </w:r>
      <w:r w:rsidR="006D3D24" w:rsidRPr="00D93FF9">
        <w:rPr>
          <w:lang w:val="en-GB"/>
        </w:rPr>
        <w:t>is</w:t>
      </w:r>
      <w:r w:rsidRPr="00D93FF9">
        <w:rPr>
          <w:lang w:val="en-GB"/>
        </w:rPr>
        <w:t xml:space="preserve"> data, a </w:t>
      </w:r>
      <w:r w:rsidR="00553FF9" w:rsidRPr="00D93FF9">
        <w:rPr>
          <w:lang w:val="en-GB"/>
        </w:rPr>
        <w:t>DGV</w:t>
      </w:r>
      <w:r w:rsidRPr="00D93FF9">
        <w:rPr>
          <w:lang w:val="en-GB"/>
        </w:rPr>
        <w:t xml:space="preserve"> of 0.05 mg/L in irrigation water is considered appropriate</w:t>
      </w:r>
      <w:r w:rsidRPr="00D93FF9">
        <w:rPr>
          <w:spacing w:val="25"/>
          <w:lang w:val="en-GB"/>
        </w:rPr>
        <w:t xml:space="preserve"> </w:t>
      </w:r>
      <w:r w:rsidRPr="00D93FF9">
        <w:rPr>
          <w:lang w:val="en-GB"/>
        </w:rPr>
        <w:t>and</w:t>
      </w:r>
      <w:r w:rsidRPr="00D93FF9">
        <w:rPr>
          <w:spacing w:val="25"/>
          <w:lang w:val="en-GB"/>
        </w:rPr>
        <w:t xml:space="preserve"> </w:t>
      </w:r>
      <w:r w:rsidRPr="00D93FF9">
        <w:rPr>
          <w:lang w:val="en-GB"/>
        </w:rPr>
        <w:t>protective</w:t>
      </w:r>
      <w:r w:rsidRPr="00D93FF9">
        <w:rPr>
          <w:spacing w:val="29"/>
          <w:lang w:val="en-GB"/>
        </w:rPr>
        <w:t xml:space="preserve"> </w:t>
      </w:r>
      <w:r w:rsidRPr="00D93FF9">
        <w:rPr>
          <w:lang w:val="en-GB"/>
        </w:rPr>
        <w:t>for</w:t>
      </w:r>
      <w:r w:rsidRPr="00D93FF9">
        <w:rPr>
          <w:spacing w:val="28"/>
          <w:lang w:val="en-GB"/>
        </w:rPr>
        <w:t xml:space="preserve"> </w:t>
      </w:r>
      <w:r w:rsidRPr="00D93FF9">
        <w:rPr>
          <w:lang w:val="en-GB"/>
        </w:rPr>
        <w:t>continuous</w:t>
      </w:r>
      <w:r w:rsidRPr="00D93FF9">
        <w:rPr>
          <w:spacing w:val="29"/>
          <w:lang w:val="en-GB"/>
        </w:rPr>
        <w:t xml:space="preserve"> </w:t>
      </w:r>
      <w:r w:rsidRPr="00D93FF9">
        <w:rPr>
          <w:lang w:val="en-GB"/>
        </w:rPr>
        <w:t>use.</w:t>
      </w:r>
      <w:r w:rsidRPr="00D93FF9">
        <w:rPr>
          <w:spacing w:val="29"/>
          <w:lang w:val="en-GB"/>
        </w:rPr>
        <w:t xml:space="preserve"> </w:t>
      </w:r>
      <w:r w:rsidRPr="00D93FF9">
        <w:rPr>
          <w:lang w:val="en-GB"/>
        </w:rPr>
        <w:t>The</w:t>
      </w:r>
      <w:r w:rsidRPr="00D93FF9">
        <w:rPr>
          <w:spacing w:val="28"/>
          <w:lang w:val="en-GB"/>
        </w:rPr>
        <w:t xml:space="preserve"> </w:t>
      </w:r>
      <w:r w:rsidR="00553FF9" w:rsidRPr="00D93FF9">
        <w:rPr>
          <w:lang w:val="en-GB"/>
        </w:rPr>
        <w:t>SGV</w:t>
      </w:r>
      <w:r w:rsidRPr="00D93FF9">
        <w:rPr>
          <w:spacing w:val="29"/>
          <w:lang w:val="en-GB"/>
        </w:rPr>
        <w:t xml:space="preserve"> </w:t>
      </w:r>
      <w:r w:rsidRPr="00D93FF9">
        <w:rPr>
          <w:lang w:val="en-GB"/>
        </w:rPr>
        <w:t>in</w:t>
      </w:r>
      <w:r w:rsidRPr="00D93FF9">
        <w:rPr>
          <w:spacing w:val="28"/>
          <w:lang w:val="en-GB"/>
        </w:rPr>
        <w:t xml:space="preserve"> </w:t>
      </w:r>
      <w:r w:rsidRPr="00D93FF9">
        <w:rPr>
          <w:lang w:val="en-GB"/>
        </w:rPr>
        <w:t>irrigation</w:t>
      </w:r>
      <w:r w:rsidRPr="00D93FF9">
        <w:rPr>
          <w:spacing w:val="29"/>
          <w:lang w:val="en-GB"/>
        </w:rPr>
        <w:t xml:space="preserve"> </w:t>
      </w:r>
      <w:r w:rsidRPr="00D93FF9">
        <w:rPr>
          <w:lang w:val="en-GB"/>
        </w:rPr>
        <w:t>water</w:t>
      </w:r>
      <w:r w:rsidRPr="00D93FF9">
        <w:rPr>
          <w:spacing w:val="27"/>
          <w:lang w:val="en-GB"/>
        </w:rPr>
        <w:t xml:space="preserve"> </w:t>
      </w:r>
      <w:r w:rsidRPr="00D93FF9">
        <w:rPr>
          <w:lang w:val="en-GB"/>
        </w:rPr>
        <w:t>has</w:t>
      </w:r>
      <w:r w:rsidRPr="00D93FF9">
        <w:rPr>
          <w:spacing w:val="29"/>
          <w:lang w:val="en-GB"/>
        </w:rPr>
        <w:t xml:space="preserve"> </w:t>
      </w:r>
      <w:r w:rsidRPr="00D93FF9">
        <w:rPr>
          <w:lang w:val="en-GB"/>
        </w:rPr>
        <w:t>been</w:t>
      </w:r>
      <w:r w:rsidRPr="00D93FF9">
        <w:rPr>
          <w:spacing w:val="28"/>
          <w:lang w:val="en-GB"/>
        </w:rPr>
        <w:t xml:space="preserve"> </w:t>
      </w:r>
      <w:r w:rsidRPr="00D93FF9">
        <w:rPr>
          <w:lang w:val="en-GB"/>
        </w:rPr>
        <w:t>set</w:t>
      </w:r>
      <w:r w:rsidRPr="00D93FF9">
        <w:rPr>
          <w:spacing w:val="28"/>
          <w:lang w:val="en-GB"/>
        </w:rPr>
        <w:t xml:space="preserve"> </w:t>
      </w:r>
      <w:r w:rsidRPr="00D93FF9">
        <w:rPr>
          <w:lang w:val="en-GB"/>
        </w:rPr>
        <w:t>at</w:t>
      </w:r>
      <w:r w:rsidR="006D3D24" w:rsidRPr="00D93FF9">
        <w:rPr>
          <w:lang w:val="en-GB"/>
        </w:rPr>
        <w:t xml:space="preserve"> </w:t>
      </w:r>
      <w:r w:rsidRPr="00D93FF9">
        <w:rPr>
          <w:lang w:val="en-GB"/>
        </w:rPr>
        <w:t xml:space="preserve">0.1 mg/L in order to protect crops from direct effects of irrigation waters. Given the paucity of data relating to phytotoxic concentration thresholds of cobalt in soils and the fact that there are no regulations relating to cobalt limits in Australian soils, a cobalt </w:t>
      </w:r>
      <w:r w:rsidR="006D735C" w:rsidRPr="00D93FF9">
        <w:rPr>
          <w:lang w:val="en-GB"/>
        </w:rPr>
        <w:t>ACL</w:t>
      </w:r>
      <w:r w:rsidRPr="00D93FF9">
        <w:rPr>
          <w:lang w:val="en-GB"/>
        </w:rPr>
        <w:t xml:space="preserve"> has not been determined at this stage.</w:t>
      </w:r>
    </w:p>
    <w:p w14:paraId="59DCD2D6" w14:textId="77777777" w:rsidR="00C46175" w:rsidRPr="00D93FF9" w:rsidRDefault="00C46175" w:rsidP="003807A1">
      <w:pPr>
        <w:pStyle w:val="BodyText"/>
        <w:spacing w:after="0"/>
        <w:rPr>
          <w:sz w:val="25"/>
          <w:lang w:val="en-GB"/>
        </w:rPr>
      </w:pPr>
    </w:p>
    <w:p w14:paraId="59DCD2D7" w14:textId="77777777" w:rsidR="00C46175" w:rsidRPr="00D93FF9" w:rsidRDefault="00E811B8" w:rsidP="00EF411C">
      <w:pPr>
        <w:pStyle w:val="Heading3"/>
        <w:rPr>
          <w:lang w:val="en-GB"/>
        </w:rPr>
      </w:pPr>
      <w:bookmarkStart w:id="250" w:name="_Toc96693588"/>
      <w:r w:rsidRPr="00D93FF9">
        <w:lastRenderedPageBreak/>
        <w:t>Copper</w:t>
      </w:r>
      <w:bookmarkEnd w:id="250"/>
    </w:p>
    <w:p w14:paraId="59DCD2D8" w14:textId="77777777" w:rsidR="00C46175" w:rsidRPr="00D93FF9" w:rsidRDefault="00E811B8" w:rsidP="00B412DE">
      <w:pPr>
        <w:pStyle w:val="Heading5"/>
        <w:spacing w:before="200" w:after="200" w:line="245" w:lineRule="auto"/>
        <w:ind w:left="284"/>
        <w:rPr>
          <w:i/>
          <w:iCs/>
          <w:lang w:val="en-GB"/>
        </w:rPr>
      </w:pPr>
      <w:r w:rsidRPr="00D93FF9">
        <w:rPr>
          <w:i/>
          <w:iCs/>
          <w:lang w:val="en-GB"/>
        </w:rPr>
        <w:t>It is recommended that the concentration of copper in irrigation waters and soils should be less than the</w:t>
      </w:r>
      <w:r w:rsidRPr="00D93FF9">
        <w:rPr>
          <w:i/>
          <w:iCs/>
          <w:spacing w:val="-1"/>
          <w:lang w:val="en-GB"/>
        </w:rPr>
        <w:t xml:space="preserve"> </w:t>
      </w:r>
      <w:r w:rsidRPr="00D93FF9">
        <w:rPr>
          <w:i/>
          <w:iCs/>
          <w:lang w:val="en-GB"/>
        </w:rPr>
        <w:t>following:</w:t>
      </w:r>
    </w:p>
    <w:tbl>
      <w:tblPr>
        <w:tblW w:w="8400" w:type="dxa"/>
        <w:tblInd w:w="117"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2DB" w14:textId="77777777" w:rsidTr="00B412DE">
        <w:trPr>
          <w:trHeight w:val="318"/>
        </w:trPr>
        <w:tc>
          <w:tcPr>
            <w:tcW w:w="6240" w:type="dxa"/>
          </w:tcPr>
          <w:p w14:paraId="59DCD2D9"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2DA"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0.2 mg/L</w:t>
            </w:r>
          </w:p>
        </w:tc>
      </w:tr>
      <w:tr w:rsidR="00BE3AA8" w:rsidRPr="00D93FF9" w14:paraId="59DCD2DE" w14:textId="77777777" w:rsidTr="00B412DE">
        <w:trPr>
          <w:trHeight w:val="318"/>
        </w:trPr>
        <w:tc>
          <w:tcPr>
            <w:tcW w:w="6240" w:type="dxa"/>
          </w:tcPr>
          <w:p w14:paraId="59DCD2DC" w14:textId="77777777" w:rsidR="008E4C22" w:rsidRPr="00D93FF9" w:rsidRDefault="00E811B8" w:rsidP="003807A1">
            <w:pPr>
              <w:pStyle w:val="TableParagraph"/>
              <w:tabs>
                <w:tab w:val="left" w:pos="4667"/>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2DD"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5.0 mg/L</w:t>
            </w:r>
          </w:p>
        </w:tc>
      </w:tr>
      <w:tr w:rsidR="00BE3AA8" w:rsidRPr="00D93FF9" w14:paraId="59DCD2E1" w14:textId="77777777" w:rsidTr="00B412DE">
        <w:trPr>
          <w:trHeight w:val="318"/>
        </w:trPr>
        <w:tc>
          <w:tcPr>
            <w:tcW w:w="6240" w:type="dxa"/>
          </w:tcPr>
          <w:p w14:paraId="59DCD2DF"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2E0"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140 kg/ha</w:t>
            </w:r>
          </w:p>
        </w:tc>
      </w:tr>
    </w:tbl>
    <w:p w14:paraId="59DCD2E2" w14:textId="77777777" w:rsidR="00094B25" w:rsidRPr="00D93FF9" w:rsidRDefault="00094B25" w:rsidP="003807A1">
      <w:pPr>
        <w:pStyle w:val="BodyText"/>
        <w:spacing w:after="0" w:line="266" w:lineRule="auto"/>
        <w:jc w:val="both"/>
      </w:pPr>
    </w:p>
    <w:p w14:paraId="59DCD2E3" w14:textId="77777777" w:rsidR="00C46175" w:rsidRPr="00D93FF9" w:rsidRDefault="00E811B8" w:rsidP="003807A1">
      <w:pPr>
        <w:pStyle w:val="BodyText"/>
        <w:spacing w:after="0" w:line="266" w:lineRule="auto"/>
        <w:jc w:val="both"/>
        <w:rPr>
          <w:lang w:val="en-GB"/>
        </w:rPr>
      </w:pPr>
      <w:r w:rsidRPr="00D93FF9">
        <w:t>Copper is widely distributed in rocks and soils as carbonate and sulfide minerals</w:t>
      </w:r>
      <w:r w:rsidRPr="00D93FF9">
        <w:rPr>
          <w:lang w:val="en-GB"/>
        </w:rPr>
        <w:t xml:space="preserve">. </w:t>
      </w:r>
      <w:r w:rsidR="00E90CE0" w:rsidRPr="00D93FF9">
        <w:rPr>
          <w:lang w:val="en-GB"/>
        </w:rPr>
        <w:t>Copper, is a near noble metal, only dissolving in oxidising acids.</w:t>
      </w:r>
    </w:p>
    <w:p w14:paraId="59DCD2E4" w14:textId="77777777" w:rsidR="00C46175" w:rsidRPr="00D93FF9" w:rsidRDefault="00E811B8" w:rsidP="009925D5">
      <w:pPr>
        <w:pStyle w:val="Heading5"/>
        <w:rPr>
          <w:lang w:val="en-GB"/>
        </w:rPr>
      </w:pPr>
      <w:r w:rsidRPr="00D93FF9">
        <w:rPr>
          <w:lang w:val="en-GB"/>
        </w:rPr>
        <w:t>Crop yield and quality considerations</w:t>
      </w:r>
    </w:p>
    <w:p w14:paraId="59DCD2E5" w14:textId="2D356AEF" w:rsidR="0083351D" w:rsidRPr="00D93FF9" w:rsidRDefault="00E811B8" w:rsidP="003807A1">
      <w:pPr>
        <w:pStyle w:val="BodyText"/>
        <w:spacing w:after="0" w:line="266" w:lineRule="auto"/>
        <w:jc w:val="both"/>
      </w:pPr>
      <w:r w:rsidRPr="00D93FF9">
        <w:t xml:space="preserve">Background concentrations of copper in freshwater have been noted in the range 0.00011 to 0.00015 mg/L and is usually present in uncontaminated surface waters at concentrations less than 0.01 mg/L </w:t>
      </w:r>
      <w:r w:rsidRPr="00D93FF9">
        <w:fldChar w:fldCharType="begin"/>
      </w:r>
      <w:r w:rsidR="00BE6DF0" w:rsidRPr="00D93FF9">
        <w:instrText xml:space="preserve"> ADDIN ZOTERO_ITEM CSL_CITATION {"citationID":"q446w9gT","properties":{"formattedCitation":"(NHMRC and NRMMC, 2011; ANZG, 2021)","plainCitation":"(NHMRC and NRMMC, 2011; ANZG, 2021)","noteIndex":0},"citationItems":[{"id":31763,"uris":["http://zotero.org/users/1938757/items/B4JAB6EL"],"uri":["http://zotero.org/users/1938757/items/B4JAB6EL"],"itemData":{"id":31763,"type":"report","collection-title":"Paper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update"}}},{"id":32931,"uris":["http://zotero.org/users/1938757/items/25JWBDWJ"],"uri":["http://zotero.org/users/1938757/items/25JWBDWJ"],"itemData":{"id":32931,"type":"report","abstract":"ANZG 2021 Australian and New Zealand Guidelines for Fresh and Marine Water Quality. Australian and New Zealand Governments and Australian state and territory governments, Canberra ACT, Australia.  Available at www.waterquality.gov.au/anz-guidelines","event-place":"Canberra, Australia","note":"http://www.waterquality.gov.au/anz-guidelines/resources/key-concepts/indicators#ecosystem-receptors\nSearch...\nhttps://www.waterquality.gov.au/anz-guidelines/guideline-values/default/water-quality-toxicants/search\n\nwww.waterquality.gov.au/anz-guidelines","publisher":"Australian and New Zealand Governments and Australian state and territory governments,","publisher-place":"Canberra, Australia","title":"Australian and New Zealand Guidelines for Fresh and Marine Water Quality. Toxicant default guideline values for protecting aquatic ecosystems","URL":"http://www.waterquality.gov.au/anz-guidelines","author":[{"family":"ANZG","given":""}],"accessed":{"date-parts":[["2021",3,1]]},"issued":{"date-parts":[["2021"]]}}}],"schema":"https://github.com/citation-style-language/schema/raw/master/csl-citation.json"} </w:instrText>
      </w:r>
      <w:r w:rsidRPr="00D93FF9">
        <w:fldChar w:fldCharType="separate"/>
      </w:r>
      <w:r w:rsidR="007C2051" w:rsidRPr="00D93FF9">
        <w:rPr>
          <w:rFonts w:ascii="Calibri" w:hAnsi="Calibri" w:cs="Calibri"/>
        </w:rPr>
        <w:t>(NHMRC and NRMMC 2011; ANZG 2021)</w:t>
      </w:r>
      <w:r w:rsidRPr="00D93FF9">
        <w:fldChar w:fldCharType="end"/>
      </w:r>
      <w:r w:rsidRPr="00D93FF9">
        <w:t xml:space="preserve">. </w:t>
      </w:r>
    </w:p>
    <w:p w14:paraId="59DCD2E6" w14:textId="1732B196" w:rsidR="00C46175" w:rsidRPr="00D93FF9" w:rsidRDefault="00E811B8" w:rsidP="00B412DE">
      <w:pPr>
        <w:jc w:val="both"/>
        <w:rPr>
          <w:noProof/>
        </w:rPr>
      </w:pPr>
      <w:r w:rsidRPr="00D93FF9">
        <w:rPr>
          <w:lang w:val="en-GB"/>
        </w:rPr>
        <w:t xml:space="preserve">Copper is an </w:t>
      </w:r>
      <w:r w:rsidRPr="00D93FF9">
        <w:rPr>
          <w:spacing w:val="-3"/>
          <w:lang w:val="en-GB"/>
        </w:rPr>
        <w:t xml:space="preserve">important component </w:t>
      </w:r>
      <w:r w:rsidRPr="00D93FF9">
        <w:rPr>
          <w:lang w:val="en-GB"/>
        </w:rPr>
        <w:t xml:space="preserve">of </w:t>
      </w:r>
      <w:r w:rsidRPr="00D93FF9">
        <w:rPr>
          <w:spacing w:val="-3"/>
          <w:lang w:val="en-GB"/>
        </w:rPr>
        <w:t xml:space="preserve">several </w:t>
      </w:r>
      <w:r w:rsidRPr="00D93FF9">
        <w:rPr>
          <w:lang w:val="en-GB"/>
        </w:rPr>
        <w:t xml:space="preserve">plant </w:t>
      </w:r>
      <w:r w:rsidRPr="00D93FF9">
        <w:rPr>
          <w:spacing w:val="-4"/>
          <w:lang w:val="en-GB"/>
        </w:rPr>
        <w:t xml:space="preserve">enzymes </w:t>
      </w:r>
      <w:r w:rsidRPr="00D93FF9">
        <w:rPr>
          <w:lang w:val="en-GB"/>
        </w:rPr>
        <w:t xml:space="preserve">and is essential in </w:t>
      </w:r>
      <w:r w:rsidRPr="00D93FF9">
        <w:rPr>
          <w:spacing w:val="-3"/>
          <w:lang w:val="en-GB"/>
        </w:rPr>
        <w:t xml:space="preserve">small </w:t>
      </w:r>
      <w:r w:rsidRPr="00D93FF9">
        <w:rPr>
          <w:lang w:val="en-GB"/>
        </w:rPr>
        <w:t xml:space="preserve">concentrations for plant </w:t>
      </w:r>
      <w:r w:rsidRPr="00D93FF9">
        <w:rPr>
          <w:spacing w:val="-3"/>
          <w:lang w:val="en-GB"/>
        </w:rPr>
        <w:t xml:space="preserve">growth. </w:t>
      </w:r>
      <w:r w:rsidRPr="00D93FF9">
        <w:rPr>
          <w:lang w:val="en-GB"/>
        </w:rPr>
        <w:t xml:space="preserve">For healthy plant </w:t>
      </w:r>
      <w:r w:rsidRPr="00D93FF9">
        <w:rPr>
          <w:spacing w:val="-3"/>
          <w:lang w:val="en-GB"/>
        </w:rPr>
        <w:t xml:space="preserve">growth, </w:t>
      </w:r>
      <w:r w:rsidR="0083351D" w:rsidRPr="00D93FF9">
        <w:rPr>
          <w:lang w:val="en-GB"/>
        </w:rPr>
        <w:t xml:space="preserve">soil’s </w:t>
      </w:r>
      <w:r w:rsidRPr="00D93FF9">
        <w:rPr>
          <w:lang w:val="en-GB"/>
        </w:rPr>
        <w:t xml:space="preserve">copper content </w:t>
      </w:r>
      <w:r w:rsidRPr="00D93FF9">
        <w:rPr>
          <w:spacing w:val="-3"/>
          <w:lang w:val="en-GB"/>
        </w:rPr>
        <w:t xml:space="preserve">should </w:t>
      </w:r>
      <w:r w:rsidRPr="00D93FF9">
        <w:rPr>
          <w:spacing w:val="-2"/>
          <w:lang w:val="en-GB"/>
        </w:rPr>
        <w:t>not</w:t>
      </w:r>
      <w:bookmarkStart w:id="251" w:name="9.2.5.11__Fluoride"/>
      <w:bookmarkEnd w:id="251"/>
      <w:r w:rsidR="0083351D" w:rsidRPr="00D93FF9">
        <w:rPr>
          <w:spacing w:val="-2"/>
          <w:lang w:val="en-GB"/>
        </w:rPr>
        <w:t xml:space="preserve"> </w:t>
      </w:r>
      <w:r w:rsidRPr="00D93FF9">
        <w:rPr>
          <w:lang w:val="en-GB"/>
        </w:rPr>
        <w:t xml:space="preserve">fall below 6 </w:t>
      </w:r>
      <w:r w:rsidRPr="00D93FF9">
        <w:rPr>
          <w:spacing w:val="-4"/>
          <w:lang w:val="en-GB"/>
        </w:rPr>
        <w:t xml:space="preserve">mg/kg, </w:t>
      </w:r>
      <w:r w:rsidRPr="00D93FF9">
        <w:rPr>
          <w:spacing w:val="-3"/>
          <w:lang w:val="en-GB"/>
        </w:rPr>
        <w:t xml:space="preserve">although higher </w:t>
      </w:r>
      <w:r w:rsidRPr="00D93FF9">
        <w:rPr>
          <w:lang w:val="en-GB"/>
        </w:rPr>
        <w:t xml:space="preserve">copper concentrations are required in </w:t>
      </w:r>
      <w:r w:rsidRPr="00D93FF9">
        <w:rPr>
          <w:spacing w:val="-3"/>
          <w:lang w:val="en-GB"/>
        </w:rPr>
        <w:t xml:space="preserve">organic soils </w:t>
      </w:r>
      <w:r w:rsidRPr="00D93FF9">
        <w:rPr>
          <w:lang w:val="en-GB"/>
        </w:rPr>
        <w:t xml:space="preserve">or soils rich in </w:t>
      </w:r>
      <w:r w:rsidRPr="00D93FF9">
        <w:rPr>
          <w:spacing w:val="-3"/>
          <w:lang w:val="en-GB"/>
        </w:rPr>
        <w:t xml:space="preserve">phosphate, </w:t>
      </w:r>
      <w:r w:rsidRPr="00D93FF9">
        <w:rPr>
          <w:spacing w:val="-4"/>
          <w:lang w:val="en-GB"/>
        </w:rPr>
        <w:t xml:space="preserve">manganese, </w:t>
      </w:r>
      <w:r w:rsidRPr="00D93FF9">
        <w:rPr>
          <w:lang w:val="en-GB"/>
        </w:rPr>
        <w:t xml:space="preserve">iron or </w:t>
      </w:r>
      <w:r w:rsidRPr="00D93FF9">
        <w:rPr>
          <w:spacing w:val="-3"/>
          <w:lang w:val="en-GB"/>
        </w:rPr>
        <w:t xml:space="preserve">zinc (CCREM 1987). </w:t>
      </w:r>
      <w:r w:rsidRPr="00D93FF9">
        <w:rPr>
          <w:lang w:val="en-GB"/>
        </w:rPr>
        <w:t xml:space="preserve">The </w:t>
      </w:r>
      <w:r w:rsidRPr="00D93FF9">
        <w:rPr>
          <w:spacing w:val="-3"/>
          <w:lang w:val="en-GB"/>
        </w:rPr>
        <w:t xml:space="preserve">median concentration of </w:t>
      </w:r>
      <w:r w:rsidRPr="00D93FF9">
        <w:rPr>
          <w:lang w:val="en-GB"/>
        </w:rPr>
        <w:t xml:space="preserve">copper in </w:t>
      </w:r>
      <w:r w:rsidRPr="00D93FF9">
        <w:rPr>
          <w:spacing w:val="-3"/>
          <w:lang w:val="en-GB"/>
        </w:rPr>
        <w:t xml:space="preserve">uncontaminated Australian soil </w:t>
      </w:r>
      <w:r w:rsidRPr="00D93FF9">
        <w:rPr>
          <w:lang w:val="en-GB"/>
        </w:rPr>
        <w:t xml:space="preserve">is 28 </w:t>
      </w:r>
      <w:r w:rsidRPr="00D93FF9">
        <w:rPr>
          <w:spacing w:val="-4"/>
          <w:lang w:val="en-GB"/>
        </w:rPr>
        <w:t xml:space="preserve">mg/kg </w:t>
      </w:r>
      <w:r w:rsidR="009D4411" w:rsidRPr="00D93FF9">
        <w:rPr>
          <w:spacing w:val="-4"/>
          <w:lang w:val="en-GB"/>
        </w:rPr>
        <w:t>and New Zealand 11.4</w:t>
      </w:r>
      <w:r w:rsidR="0006688D" w:rsidRPr="00D93FF9">
        <w:rPr>
          <w:spacing w:val="-4"/>
          <w:lang w:val="en-GB"/>
        </w:rPr>
        <w:t xml:space="preserve"> </w:t>
      </w:r>
      <w:r w:rsidR="009D4411" w:rsidRPr="00D93FF9">
        <w:rPr>
          <w:spacing w:val="-4"/>
          <w:lang w:val="en-GB"/>
        </w:rPr>
        <w:t xml:space="preserve">mg/kg </w:t>
      </w:r>
      <w:r w:rsidRPr="00D93FF9">
        <w:rPr>
          <w:spacing w:val="-3"/>
          <w:lang w:val="en-GB"/>
        </w:rPr>
        <w:t>(</w:t>
      </w:r>
      <w:r w:rsidR="009D4411" w:rsidRPr="00D93FF9">
        <w:rPr>
          <w:spacing w:val="-3"/>
          <w:lang w:val="en-GB"/>
        </w:rPr>
        <w:fldChar w:fldCharType="begin"/>
      </w:r>
      <w:r w:rsidR="009D4411" w:rsidRPr="00D93FF9">
        <w:rPr>
          <w:spacing w:val="-3"/>
          <w:lang w:val="en-GB"/>
        </w:rPr>
        <w:instrText xml:space="preserve"> REF _Ref81393907 \h </w:instrText>
      </w:r>
      <w:r w:rsidR="00D93FF9">
        <w:rPr>
          <w:spacing w:val="-3"/>
          <w:lang w:val="en-GB"/>
        </w:rPr>
        <w:instrText xml:space="preserve"> \* MERGEFORMAT </w:instrText>
      </w:r>
      <w:r w:rsidR="009D4411" w:rsidRPr="00D93FF9">
        <w:rPr>
          <w:spacing w:val="-3"/>
          <w:lang w:val="en-GB"/>
        </w:rPr>
      </w:r>
      <w:r w:rsidR="009D4411" w:rsidRPr="00D93FF9">
        <w:rPr>
          <w:spacing w:val="-3"/>
          <w:lang w:val="en-GB"/>
        </w:rPr>
        <w:fldChar w:fldCharType="separate"/>
      </w:r>
      <w:r w:rsidR="0069302C" w:rsidRPr="0069302C">
        <w:t xml:space="preserve">Table </w:t>
      </w:r>
      <w:r w:rsidR="0069302C" w:rsidRPr="0069302C">
        <w:rPr>
          <w:noProof/>
        </w:rPr>
        <w:t>22</w:t>
      </w:r>
      <w:r w:rsidR="009D4411" w:rsidRPr="00D93FF9">
        <w:rPr>
          <w:spacing w:val="-3"/>
          <w:lang w:val="en-GB"/>
        </w:rPr>
        <w:fldChar w:fldCharType="end"/>
      </w:r>
      <w:r w:rsidRPr="00D93FF9">
        <w:rPr>
          <w:spacing w:val="-3"/>
          <w:lang w:val="en-GB"/>
        </w:rPr>
        <w:t>). However</w:t>
      </w:r>
      <w:r w:rsidR="004F67E3" w:rsidRPr="00D93FF9">
        <w:rPr>
          <w:spacing w:val="-3"/>
          <w:lang w:val="en-GB"/>
        </w:rPr>
        <w:t>,</w:t>
      </w:r>
      <w:r w:rsidRPr="00D93FF9">
        <w:rPr>
          <w:spacing w:val="-3"/>
          <w:lang w:val="en-GB"/>
        </w:rPr>
        <w:t xml:space="preserve"> copper </w:t>
      </w:r>
      <w:r w:rsidRPr="00D93FF9">
        <w:rPr>
          <w:lang w:val="en-GB"/>
        </w:rPr>
        <w:t xml:space="preserve">concentrations in </w:t>
      </w:r>
      <w:r w:rsidRPr="00D93FF9">
        <w:rPr>
          <w:spacing w:val="-3"/>
          <w:lang w:val="en-GB"/>
        </w:rPr>
        <w:t xml:space="preserve">soils </w:t>
      </w:r>
      <w:r w:rsidRPr="00D93FF9">
        <w:rPr>
          <w:lang w:val="en-GB"/>
        </w:rPr>
        <w:t xml:space="preserve">can </w:t>
      </w:r>
      <w:r w:rsidRPr="00D93FF9">
        <w:rPr>
          <w:spacing w:val="-3"/>
          <w:lang w:val="en-GB"/>
        </w:rPr>
        <w:t xml:space="preserve">range from 0.4–412 </w:t>
      </w:r>
      <w:r w:rsidRPr="00D93FF9">
        <w:rPr>
          <w:spacing w:val="-4"/>
          <w:lang w:val="en-GB"/>
        </w:rPr>
        <w:t xml:space="preserve">mg/kg </w:t>
      </w:r>
      <w:r w:rsidRPr="00D93FF9">
        <w:rPr>
          <w:spacing w:val="-3"/>
          <w:lang w:val="en-GB"/>
        </w:rPr>
        <w:t>(</w:t>
      </w:r>
      <w:r w:rsidR="00FE5F61" w:rsidRPr="00D93FF9">
        <w:rPr>
          <w:spacing w:val="-3"/>
          <w:lang w:val="en-GB"/>
        </w:rPr>
        <w:fldChar w:fldCharType="begin"/>
      </w:r>
      <w:r w:rsidR="00FE5F61" w:rsidRPr="00D93FF9">
        <w:rPr>
          <w:spacing w:val="-3"/>
          <w:lang w:val="en-GB"/>
        </w:rPr>
        <w:instrText xml:space="preserve"> REF _Ref81393907 \h </w:instrText>
      </w:r>
      <w:r w:rsidR="00D93FF9">
        <w:rPr>
          <w:spacing w:val="-3"/>
          <w:lang w:val="en-GB"/>
        </w:rPr>
        <w:instrText xml:space="preserve"> \* MERGEFORMAT </w:instrText>
      </w:r>
      <w:r w:rsidR="00FE5F61" w:rsidRPr="00D93FF9">
        <w:rPr>
          <w:spacing w:val="-3"/>
          <w:lang w:val="en-GB"/>
        </w:rPr>
      </w:r>
      <w:r w:rsidR="00FE5F61" w:rsidRPr="00D93FF9">
        <w:rPr>
          <w:spacing w:val="-3"/>
          <w:lang w:val="en-GB"/>
        </w:rPr>
        <w:fldChar w:fldCharType="separate"/>
      </w:r>
      <w:r w:rsidR="0069302C" w:rsidRPr="0069302C">
        <w:t xml:space="preserve">Table </w:t>
      </w:r>
      <w:r w:rsidR="0069302C" w:rsidRPr="0069302C">
        <w:rPr>
          <w:noProof/>
        </w:rPr>
        <w:t>22</w:t>
      </w:r>
      <w:r w:rsidR="00FE5F61" w:rsidRPr="00D93FF9">
        <w:rPr>
          <w:spacing w:val="-3"/>
          <w:lang w:val="en-GB"/>
        </w:rPr>
        <w:fldChar w:fldCharType="end"/>
      </w:r>
      <w:r w:rsidRPr="00D93FF9">
        <w:rPr>
          <w:spacing w:val="-3"/>
          <w:lang w:val="en-GB"/>
        </w:rPr>
        <w:t xml:space="preserve">). Higher </w:t>
      </w:r>
      <w:r w:rsidRPr="00D93FF9">
        <w:rPr>
          <w:lang w:val="en-GB"/>
        </w:rPr>
        <w:t xml:space="preserve">concentrations </w:t>
      </w:r>
      <w:r w:rsidRPr="00D93FF9">
        <w:rPr>
          <w:spacing w:val="-3"/>
          <w:lang w:val="en-GB"/>
        </w:rPr>
        <w:t xml:space="preserve">can occur </w:t>
      </w:r>
      <w:r w:rsidRPr="00D93FF9">
        <w:rPr>
          <w:lang w:val="en-GB"/>
        </w:rPr>
        <w:t xml:space="preserve">due to </w:t>
      </w:r>
      <w:r w:rsidR="0083351D" w:rsidRPr="00D93FF9">
        <w:rPr>
          <w:lang w:val="en-GB"/>
        </w:rPr>
        <w:t xml:space="preserve">the </w:t>
      </w:r>
      <w:r w:rsidRPr="00D93FF9">
        <w:rPr>
          <w:lang w:val="en-GB"/>
        </w:rPr>
        <w:t xml:space="preserve">application of </w:t>
      </w:r>
      <w:r w:rsidRPr="00D93FF9">
        <w:rPr>
          <w:spacing w:val="-3"/>
          <w:lang w:val="en-GB"/>
        </w:rPr>
        <w:t xml:space="preserve">biosolids, </w:t>
      </w:r>
      <w:r w:rsidRPr="00D93FF9">
        <w:rPr>
          <w:spacing w:val="-4"/>
          <w:lang w:val="en-GB"/>
        </w:rPr>
        <w:t xml:space="preserve">copper-based </w:t>
      </w:r>
      <w:r w:rsidRPr="00D93FF9">
        <w:rPr>
          <w:spacing w:val="-3"/>
          <w:lang w:val="en-GB"/>
        </w:rPr>
        <w:t xml:space="preserve">fungicides (e.g. vineyards), </w:t>
      </w:r>
      <w:r w:rsidRPr="00D93FF9">
        <w:rPr>
          <w:lang w:val="en-GB"/>
        </w:rPr>
        <w:t xml:space="preserve">and </w:t>
      </w:r>
      <w:r w:rsidRPr="00D93FF9">
        <w:rPr>
          <w:spacing w:val="-4"/>
          <w:lang w:val="en-GB"/>
        </w:rPr>
        <w:t xml:space="preserve">animal </w:t>
      </w:r>
      <w:r w:rsidRPr="00D93FF9">
        <w:rPr>
          <w:spacing w:val="-3"/>
          <w:lang w:val="en-GB"/>
        </w:rPr>
        <w:t xml:space="preserve">manures. </w:t>
      </w:r>
      <w:r w:rsidRPr="00D93FF9">
        <w:rPr>
          <w:spacing w:val="-4"/>
          <w:lang w:val="en-GB"/>
        </w:rPr>
        <w:t xml:space="preserve">Atmospheric </w:t>
      </w:r>
      <w:r w:rsidRPr="00D93FF9">
        <w:rPr>
          <w:lang w:val="en-GB"/>
        </w:rPr>
        <w:t xml:space="preserve">deposition in </w:t>
      </w:r>
      <w:r w:rsidRPr="00D93FF9">
        <w:rPr>
          <w:spacing w:val="-3"/>
          <w:lang w:val="en-GB"/>
        </w:rPr>
        <w:t xml:space="preserve">mining </w:t>
      </w:r>
      <w:r w:rsidRPr="00D93FF9">
        <w:rPr>
          <w:lang w:val="en-GB"/>
        </w:rPr>
        <w:t xml:space="preserve">and </w:t>
      </w:r>
      <w:r w:rsidRPr="00D93FF9">
        <w:rPr>
          <w:spacing w:val="-3"/>
          <w:lang w:val="en-GB"/>
        </w:rPr>
        <w:t xml:space="preserve">smelting </w:t>
      </w:r>
      <w:r w:rsidRPr="00D93FF9">
        <w:rPr>
          <w:lang w:val="en-GB"/>
        </w:rPr>
        <w:t xml:space="preserve">areas </w:t>
      </w:r>
      <w:r w:rsidRPr="00D93FF9">
        <w:rPr>
          <w:spacing w:val="-3"/>
          <w:lang w:val="en-GB"/>
        </w:rPr>
        <w:t xml:space="preserve">may </w:t>
      </w:r>
      <w:r w:rsidRPr="00D93FF9">
        <w:rPr>
          <w:lang w:val="en-GB"/>
        </w:rPr>
        <w:t xml:space="preserve">also contribute to </w:t>
      </w:r>
      <w:r w:rsidRPr="00D93FF9">
        <w:rPr>
          <w:spacing w:val="-3"/>
          <w:lang w:val="en-GB"/>
        </w:rPr>
        <w:t xml:space="preserve">elevated levels </w:t>
      </w:r>
      <w:r w:rsidRPr="00D93FF9">
        <w:rPr>
          <w:lang w:val="en-GB"/>
        </w:rPr>
        <w:t xml:space="preserve">of copper in soils. Delas (1963) </w:t>
      </w:r>
      <w:r w:rsidRPr="00D93FF9">
        <w:rPr>
          <w:spacing w:val="-3"/>
          <w:lang w:val="en-GB"/>
        </w:rPr>
        <w:t xml:space="preserve">provided </w:t>
      </w:r>
      <w:r w:rsidR="0083351D" w:rsidRPr="00D93FF9">
        <w:rPr>
          <w:spacing w:val="-3"/>
          <w:lang w:val="en-GB"/>
        </w:rPr>
        <w:t xml:space="preserve">the </w:t>
      </w:r>
      <w:r w:rsidRPr="00D93FF9">
        <w:rPr>
          <w:lang w:val="en-GB"/>
        </w:rPr>
        <w:t xml:space="preserve">first </w:t>
      </w:r>
      <w:r w:rsidRPr="00D93FF9">
        <w:rPr>
          <w:spacing w:val="-3"/>
          <w:lang w:val="en-GB"/>
        </w:rPr>
        <w:t xml:space="preserve">evidence </w:t>
      </w:r>
      <w:r w:rsidRPr="00D93FF9">
        <w:rPr>
          <w:lang w:val="en-GB"/>
        </w:rPr>
        <w:t xml:space="preserve">of copper toxicity in </w:t>
      </w:r>
      <w:r w:rsidRPr="00D93FF9">
        <w:rPr>
          <w:spacing w:val="-3"/>
          <w:lang w:val="en-GB"/>
        </w:rPr>
        <w:t xml:space="preserve">sensitive plants </w:t>
      </w:r>
      <w:r w:rsidRPr="00D93FF9">
        <w:rPr>
          <w:lang w:val="en-GB"/>
        </w:rPr>
        <w:t xml:space="preserve">at concentrations of </w:t>
      </w:r>
      <w:r w:rsidRPr="00D93FF9">
        <w:rPr>
          <w:spacing w:val="-3"/>
          <w:lang w:val="en-GB"/>
        </w:rPr>
        <w:t xml:space="preserve">25–50 </w:t>
      </w:r>
      <w:r w:rsidRPr="00D93FF9">
        <w:rPr>
          <w:spacing w:val="-4"/>
          <w:lang w:val="en-GB"/>
        </w:rPr>
        <w:t xml:space="preserve">mg/kg </w:t>
      </w:r>
      <w:r w:rsidRPr="00D93FF9">
        <w:rPr>
          <w:spacing w:val="-3"/>
          <w:lang w:val="en-GB"/>
        </w:rPr>
        <w:t xml:space="preserve">soil. However, </w:t>
      </w:r>
      <w:r w:rsidRPr="00D93FF9">
        <w:rPr>
          <w:lang w:val="en-GB"/>
        </w:rPr>
        <w:t xml:space="preserve">according to </w:t>
      </w:r>
      <w:r w:rsidRPr="00D93FF9">
        <w:rPr>
          <w:spacing w:val="-3"/>
          <w:lang w:val="en-GB"/>
        </w:rPr>
        <w:t xml:space="preserve">Baker (1974), </w:t>
      </w:r>
      <w:r w:rsidRPr="00D93FF9">
        <w:rPr>
          <w:spacing w:val="-2"/>
          <w:lang w:val="en-GB"/>
        </w:rPr>
        <w:t xml:space="preserve">copper </w:t>
      </w:r>
      <w:r w:rsidRPr="00D93FF9">
        <w:rPr>
          <w:lang w:val="en-GB"/>
        </w:rPr>
        <w:t xml:space="preserve">toxicity is associated </w:t>
      </w:r>
      <w:r w:rsidRPr="00D93FF9">
        <w:rPr>
          <w:spacing w:val="-3"/>
          <w:lang w:val="en-GB"/>
        </w:rPr>
        <w:t xml:space="preserve">with higher </w:t>
      </w:r>
      <w:r w:rsidRPr="00D93FF9">
        <w:rPr>
          <w:lang w:val="en-GB"/>
        </w:rPr>
        <w:t xml:space="preserve">concentrations in </w:t>
      </w:r>
      <w:r w:rsidRPr="00D93FF9">
        <w:rPr>
          <w:spacing w:val="-3"/>
          <w:lang w:val="en-GB"/>
        </w:rPr>
        <w:t xml:space="preserve">soils ranging </w:t>
      </w:r>
      <w:r w:rsidRPr="00D93FF9">
        <w:rPr>
          <w:lang w:val="en-GB"/>
        </w:rPr>
        <w:t xml:space="preserve">from 150 </w:t>
      </w:r>
      <w:r w:rsidRPr="00D93FF9">
        <w:rPr>
          <w:spacing w:val="-4"/>
          <w:lang w:val="en-GB"/>
        </w:rPr>
        <w:t xml:space="preserve">mg/kg </w:t>
      </w:r>
      <w:r w:rsidRPr="00D93FF9">
        <w:rPr>
          <w:lang w:val="en-GB"/>
        </w:rPr>
        <w:t xml:space="preserve">to 400 </w:t>
      </w:r>
      <w:r w:rsidRPr="00D93FF9">
        <w:rPr>
          <w:spacing w:val="-4"/>
          <w:lang w:val="en-GB"/>
        </w:rPr>
        <w:t xml:space="preserve">mg/kg. </w:t>
      </w:r>
      <w:r w:rsidRPr="00D93FF9">
        <w:rPr>
          <w:spacing w:val="-3"/>
          <w:lang w:val="en-GB"/>
        </w:rPr>
        <w:t xml:space="preserve">Plant uptake </w:t>
      </w:r>
      <w:r w:rsidRPr="00D93FF9">
        <w:rPr>
          <w:lang w:val="en-GB"/>
        </w:rPr>
        <w:t xml:space="preserve">of copper occurs </w:t>
      </w:r>
      <w:r w:rsidRPr="00D93FF9">
        <w:rPr>
          <w:spacing w:val="-4"/>
          <w:lang w:val="en-GB"/>
        </w:rPr>
        <w:t xml:space="preserve">more </w:t>
      </w:r>
      <w:r w:rsidRPr="00D93FF9">
        <w:rPr>
          <w:spacing w:val="-3"/>
          <w:lang w:val="en-GB"/>
        </w:rPr>
        <w:t xml:space="preserve">readily </w:t>
      </w:r>
      <w:r w:rsidRPr="00D93FF9">
        <w:rPr>
          <w:lang w:val="en-GB"/>
        </w:rPr>
        <w:t xml:space="preserve">in </w:t>
      </w:r>
      <w:r w:rsidRPr="00D93FF9">
        <w:rPr>
          <w:spacing w:val="-3"/>
          <w:lang w:val="en-GB"/>
        </w:rPr>
        <w:t xml:space="preserve">soils with </w:t>
      </w:r>
      <w:r w:rsidRPr="00D93FF9">
        <w:rPr>
          <w:lang w:val="en-GB"/>
        </w:rPr>
        <w:t xml:space="preserve">pH </w:t>
      </w:r>
      <w:r w:rsidRPr="00D93FF9">
        <w:rPr>
          <w:spacing w:val="-3"/>
          <w:lang w:val="en-GB"/>
        </w:rPr>
        <w:t>(CaCl</w:t>
      </w:r>
      <w:r w:rsidRPr="00D93FF9">
        <w:rPr>
          <w:spacing w:val="-3"/>
          <w:position w:val="-4"/>
          <w:sz w:val="15"/>
          <w:lang w:val="en-GB"/>
        </w:rPr>
        <w:t>2</w:t>
      </w:r>
      <w:r w:rsidRPr="00D93FF9">
        <w:rPr>
          <w:spacing w:val="-3"/>
          <w:lang w:val="en-GB"/>
        </w:rPr>
        <w:t xml:space="preserve">) </w:t>
      </w:r>
      <w:r w:rsidRPr="00D93FF9">
        <w:rPr>
          <w:lang w:val="en-GB"/>
        </w:rPr>
        <w:t xml:space="preserve">less than 5 </w:t>
      </w:r>
      <w:r w:rsidRPr="00D93FF9">
        <w:rPr>
          <w:spacing w:val="-3"/>
          <w:lang w:val="en-GB"/>
        </w:rPr>
        <w:t xml:space="preserve">(Herms </w:t>
      </w:r>
      <w:r w:rsidR="00FA6E9E" w:rsidRPr="00D93FF9">
        <w:rPr>
          <w:lang w:val="en-GB"/>
        </w:rPr>
        <w:t>and</w:t>
      </w:r>
      <w:r w:rsidRPr="00D93FF9">
        <w:rPr>
          <w:lang w:val="en-GB"/>
        </w:rPr>
        <w:t xml:space="preserve"> </w:t>
      </w:r>
      <w:r w:rsidRPr="00D93FF9">
        <w:rPr>
          <w:spacing w:val="-4"/>
          <w:lang w:val="en-GB"/>
        </w:rPr>
        <w:t>Brümmer</w:t>
      </w:r>
      <w:r w:rsidRPr="00D93FF9">
        <w:rPr>
          <w:spacing w:val="-5"/>
          <w:lang w:val="en-GB"/>
        </w:rPr>
        <w:t xml:space="preserve"> </w:t>
      </w:r>
      <w:r w:rsidRPr="00D93FF9">
        <w:rPr>
          <w:spacing w:val="-3"/>
          <w:lang w:val="en-GB"/>
        </w:rPr>
        <w:t>1984</w:t>
      </w:r>
      <w:r w:rsidR="006B5B0C" w:rsidRPr="00D93FF9">
        <w:rPr>
          <w:spacing w:val="-3"/>
          <w:lang w:val="en-GB"/>
        </w:rPr>
        <w:t>;</w:t>
      </w:r>
      <w:r w:rsidRPr="00D93FF9">
        <w:rPr>
          <w:spacing w:val="-5"/>
          <w:lang w:val="en-GB"/>
        </w:rPr>
        <w:t xml:space="preserve"> </w:t>
      </w:r>
      <w:r w:rsidRPr="00D93FF9">
        <w:rPr>
          <w:spacing w:val="-3"/>
          <w:lang w:val="en-GB"/>
        </w:rPr>
        <w:t>Sanders</w:t>
      </w:r>
      <w:r w:rsidRPr="00D93FF9">
        <w:rPr>
          <w:spacing w:val="-5"/>
          <w:lang w:val="en-GB"/>
        </w:rPr>
        <w:t xml:space="preserve"> </w:t>
      </w:r>
      <w:r w:rsidRPr="00D93FF9">
        <w:rPr>
          <w:spacing w:val="-3"/>
          <w:lang w:val="en-GB"/>
        </w:rPr>
        <w:t>1982),</w:t>
      </w:r>
      <w:r w:rsidRPr="00D93FF9">
        <w:rPr>
          <w:spacing w:val="-5"/>
          <w:lang w:val="en-GB"/>
        </w:rPr>
        <w:t xml:space="preserve"> </w:t>
      </w:r>
      <w:r w:rsidRPr="00D93FF9">
        <w:rPr>
          <w:lang w:val="en-GB"/>
        </w:rPr>
        <w:t>and</w:t>
      </w:r>
      <w:r w:rsidRPr="00D93FF9">
        <w:rPr>
          <w:spacing w:val="-5"/>
          <w:lang w:val="en-GB"/>
        </w:rPr>
        <w:t xml:space="preserve"> </w:t>
      </w:r>
      <w:r w:rsidRPr="00D93FF9">
        <w:rPr>
          <w:spacing w:val="-3"/>
          <w:lang w:val="en-GB"/>
        </w:rPr>
        <w:t>toxicity</w:t>
      </w:r>
      <w:r w:rsidRPr="00D93FF9">
        <w:rPr>
          <w:spacing w:val="-7"/>
          <w:lang w:val="en-GB"/>
        </w:rPr>
        <w:t xml:space="preserve"> </w:t>
      </w:r>
      <w:r w:rsidRPr="00D93FF9">
        <w:rPr>
          <w:lang w:val="en-GB"/>
        </w:rPr>
        <w:t>is</w:t>
      </w:r>
      <w:r w:rsidRPr="00D93FF9">
        <w:rPr>
          <w:spacing w:val="-5"/>
          <w:lang w:val="en-GB"/>
        </w:rPr>
        <w:t xml:space="preserve"> </w:t>
      </w:r>
      <w:r w:rsidRPr="00D93FF9">
        <w:rPr>
          <w:lang w:val="en-GB"/>
        </w:rPr>
        <w:t>therefore</w:t>
      </w:r>
      <w:r w:rsidRPr="00D93FF9">
        <w:rPr>
          <w:spacing w:val="-5"/>
          <w:lang w:val="en-GB"/>
        </w:rPr>
        <w:t xml:space="preserve"> </w:t>
      </w:r>
      <w:r w:rsidRPr="00D93FF9">
        <w:rPr>
          <w:spacing w:val="-3"/>
          <w:lang w:val="en-GB"/>
        </w:rPr>
        <w:t>related</w:t>
      </w:r>
      <w:r w:rsidRPr="00D93FF9">
        <w:rPr>
          <w:spacing w:val="-4"/>
          <w:lang w:val="en-GB"/>
        </w:rPr>
        <w:t xml:space="preserve"> </w:t>
      </w:r>
      <w:r w:rsidRPr="00D93FF9">
        <w:rPr>
          <w:lang w:val="en-GB"/>
        </w:rPr>
        <w:t>to</w:t>
      </w:r>
      <w:r w:rsidRPr="00D93FF9">
        <w:rPr>
          <w:spacing w:val="-5"/>
          <w:lang w:val="en-GB"/>
        </w:rPr>
        <w:t xml:space="preserve"> </w:t>
      </w:r>
      <w:r w:rsidRPr="00D93FF9">
        <w:rPr>
          <w:lang w:val="en-GB"/>
        </w:rPr>
        <w:t>the</w:t>
      </w:r>
      <w:r w:rsidRPr="00D93FF9">
        <w:rPr>
          <w:spacing w:val="-5"/>
          <w:lang w:val="en-GB"/>
        </w:rPr>
        <w:t xml:space="preserve"> </w:t>
      </w:r>
      <w:r w:rsidR="0083351D" w:rsidRPr="00D93FF9">
        <w:rPr>
          <w:spacing w:val="-5"/>
          <w:lang w:val="en-GB"/>
        </w:rPr>
        <w:t xml:space="preserve">soil’s </w:t>
      </w:r>
      <w:r w:rsidRPr="00D93FF9">
        <w:rPr>
          <w:lang w:val="en-GB"/>
        </w:rPr>
        <w:t>pH</w:t>
      </w:r>
      <w:r w:rsidRPr="00D93FF9">
        <w:rPr>
          <w:spacing w:val="-3"/>
          <w:lang w:val="en-GB"/>
        </w:rPr>
        <w:t>.</w:t>
      </w:r>
      <w:r w:rsidR="0083351D" w:rsidRPr="00D93FF9">
        <w:rPr>
          <w:spacing w:val="-3"/>
          <w:lang w:val="en-GB"/>
        </w:rPr>
        <w:t xml:space="preserve"> </w:t>
      </w:r>
      <w:r w:rsidR="0083351D" w:rsidRPr="00D93FF9">
        <w:t>In South Australia, the permitted added biosolids copper applied recognises the relationship between copper availability and toxicity on two variables; soil pH and organic carbon content. The add</w:t>
      </w:r>
      <w:r w:rsidR="00B76A0B" w:rsidRPr="00D93FF9">
        <w:t>ed</w:t>
      </w:r>
      <w:r w:rsidR="0083351D" w:rsidRPr="00D93FF9">
        <w:t xml:space="preserve"> copper limit is based on these two variables </w:t>
      </w:r>
      <w:r w:rsidR="0083351D" w:rsidRPr="00D93FF9">
        <w:fldChar w:fldCharType="begin"/>
      </w:r>
      <w:r w:rsidR="00BE6DF0" w:rsidRPr="00D93FF9">
        <w:instrText xml:space="preserve"> ADDIN ZOTERO_ITEM CSL_CITATION {"citationID":"X0tUXse5","properties":{"formattedCitation":"(EPA SA, 2020)","plainCitation":"(EPA SA, 2020)","noteIndex":0},"citationItems":[{"id":32915,"uris":["http://zotero.org/users/1938757/items/KK8ZB4H2"],"uri":["http://zotero.org/users/1938757/items/KK8ZB4H2"],"itemData":{"id":32915,"type":"report","publisher":"Environmental Protection Authority South Australia","title":"South Australian Biosolids Guideline for the Safe Handling and Reuse of Biosolids","URL":"https://www.epa.sa.gov.au/files/14641_guide_biosolids.pdf","author":[{"family":"EPA SA","given":""}],"issued":{"date-parts":[["2020"]]}}}],"schema":"https://github.com/citation-style-language/schema/raw/master/csl-citation.json"} </w:instrText>
      </w:r>
      <w:r w:rsidR="0083351D" w:rsidRPr="00D93FF9">
        <w:fldChar w:fldCharType="separate"/>
      </w:r>
      <w:r w:rsidR="007C2051" w:rsidRPr="00D93FF9">
        <w:rPr>
          <w:rFonts w:ascii="Calibri" w:hAnsi="Calibri" w:cs="Calibri"/>
        </w:rPr>
        <w:t>(EPA SA 2020)</w:t>
      </w:r>
      <w:r w:rsidR="0083351D" w:rsidRPr="00D93FF9">
        <w:fldChar w:fldCharType="end"/>
      </w:r>
      <w:r w:rsidR="00B412DE" w:rsidRPr="00D93FF9">
        <w:t xml:space="preserve">. </w:t>
      </w:r>
    </w:p>
    <w:p w14:paraId="59DCD2E7" w14:textId="7D8B43A2" w:rsidR="00C46175" w:rsidRDefault="00E811B8" w:rsidP="003807A1">
      <w:pPr>
        <w:pStyle w:val="BodyText"/>
        <w:spacing w:after="0" w:line="266" w:lineRule="auto"/>
        <w:jc w:val="both"/>
        <w:rPr>
          <w:lang w:val="en-GB"/>
        </w:rPr>
      </w:pPr>
      <w:r w:rsidRPr="00D93FF9">
        <w:rPr>
          <w:lang w:val="en-GB"/>
        </w:rPr>
        <w:t xml:space="preserve">Copper toxicity from nutrient solutions has been noted at concentrations between </w:t>
      </w:r>
      <w:r w:rsidR="00AB7D2B" w:rsidRPr="00D93FF9">
        <w:rPr>
          <w:lang w:val="en-GB"/>
        </w:rPr>
        <w:t xml:space="preserve">greater than </w:t>
      </w:r>
      <w:r w:rsidRPr="00D93FF9">
        <w:rPr>
          <w:lang w:val="en-GB"/>
        </w:rPr>
        <w:t>0.03 mg/L (</w:t>
      </w:r>
      <w:r w:rsidR="00AB7D2B" w:rsidRPr="00D93FF9">
        <w:t>Efroymson et al. 1997b</w:t>
      </w:r>
      <w:r w:rsidRPr="00D93FF9">
        <w:rPr>
          <w:lang w:val="en-GB"/>
        </w:rPr>
        <w:t xml:space="preserve">). </w:t>
      </w:r>
      <w:r w:rsidR="00AB7D2B" w:rsidRPr="00D93FF9">
        <w:rPr>
          <w:lang w:val="en-GB"/>
        </w:rPr>
        <w:t>T</w:t>
      </w:r>
      <w:r w:rsidRPr="00D93FF9">
        <w:rPr>
          <w:lang w:val="en-GB"/>
        </w:rPr>
        <w:t>herefore</w:t>
      </w:r>
      <w:r w:rsidR="00606CB4" w:rsidRPr="00D93FF9">
        <w:rPr>
          <w:lang w:val="en-GB"/>
        </w:rPr>
        <w:t>,</w:t>
      </w:r>
      <w:r w:rsidRPr="00D93FF9">
        <w:rPr>
          <w:lang w:val="en-GB"/>
        </w:rPr>
        <w:t xml:space="preserve"> elevated levels of copper in irrigation water may have a direct phytotoxic effect on plants. </w:t>
      </w:r>
      <w:r w:rsidR="00B62AA7" w:rsidRPr="00D93FF9">
        <w:rPr>
          <w:lang w:val="en-GB"/>
        </w:rPr>
        <w:t>T</w:t>
      </w:r>
      <w:r w:rsidRPr="00D93FF9">
        <w:rPr>
          <w:lang w:val="en-GB"/>
        </w:rPr>
        <w:t xml:space="preserve">o prevent this the </w:t>
      </w:r>
      <w:r w:rsidR="00553FF9" w:rsidRPr="00D93FF9">
        <w:rPr>
          <w:lang w:val="en-GB"/>
        </w:rPr>
        <w:t>DGV</w:t>
      </w:r>
      <w:r w:rsidRPr="00D93FF9">
        <w:rPr>
          <w:lang w:val="en-GB"/>
        </w:rPr>
        <w:t xml:space="preserve"> for copper has been set at 0.2 mg/L</w:t>
      </w:r>
      <w:r w:rsidR="00B62AA7" w:rsidRPr="00D93FF9">
        <w:rPr>
          <w:lang w:val="en-GB"/>
        </w:rPr>
        <w:t xml:space="preserve"> recognising soil adsorption</w:t>
      </w:r>
      <w:r w:rsidRPr="00D93FF9">
        <w:rPr>
          <w:lang w:val="en-GB"/>
        </w:rPr>
        <w:t>. Given the existence of datasets for background concentrations of copper in Australian soils, and existing copper limits for agricultural soils receiving biosolids (</w:t>
      </w:r>
      <w:r w:rsidR="00B62AA7" w:rsidRPr="00D93FF9">
        <w:rPr>
          <w:lang w:val="en-GB"/>
        </w:rPr>
        <w:fldChar w:fldCharType="begin"/>
      </w:r>
      <w:r w:rsidR="007C2051" w:rsidRPr="00D93FF9">
        <w:rPr>
          <w:lang w:val="en-GB"/>
        </w:rPr>
        <w:instrText xml:space="preserve"> ADDIN ZOTERO_ITEM CSL_CITATION {"citationID":"Zaw3aAdJ","properties":{"formattedCitation":"(EPA Victoria 2004; DEC 2012)","plainCitation":"(EPA Victoria 2004; DEC 2012)","dontUpdate":true,"noteIndex":0},"citationItems":[{"id":3992,"uris":["http://zotero.org/users/1938757/items/N2VR2ZVD"],"uri":["http://zotero.org/users/1938757/items/N2VR2ZVD"],"itemData":{"id":3992,"type":"report","event-place":"Melbourne","note":"File://C:/Documents and Settings/Daryl/My Documents/Zotero/Export/Biosolids_Z v5.Data/PDF/z306 Vic Biosolids guidelines-3579743232/z306 Vic Biosolids guidelines.pdf","number":"Publication 943","page":"78","publisher":"Environment Protection Authority Victoria","publisher-place":"Melbourne","title":"Guidelines for Environmental Management. Biosolids Land Application. Publication 943.","URL":"https://www.epa.vic.gov.au/about-epa/publications/943","author":[{"family":"EPA Victoria","given":""}],"issued":{"date-parts":[["2004"]]}}},{"id":23309,"uris":["http://zotero.org/users/1938757/items/8GRAUU2B"],"uri":["http://zotero.org/users/1938757/items/8GRAUU2B"],"itemData":{"id":23309,"type":"book","event-place":"Perth","publisher":"Department of Environmental and Conservation, Government of Western Australia.","publisher-place":"Perth","title":"Western Australian guidelines for biosolids management","URL":"http://www.public.health.wa.gov.au/cproot/1335/2/WAGuidelines-for-biosolids-management-dec-2012%5B1%5D.pdf","author":[{"family":"DEC","given":""}],"issued":{"date-parts":[["2012"]]}}}],"schema":"https://github.com/citation-style-language/schema/raw/master/csl-citation.json"} </w:instrText>
      </w:r>
      <w:r w:rsidR="00B62AA7" w:rsidRPr="00D93FF9">
        <w:rPr>
          <w:lang w:val="en-GB"/>
        </w:rPr>
        <w:fldChar w:fldCharType="separate"/>
      </w:r>
      <w:r w:rsidR="00B62AA7" w:rsidRPr="00D93FF9">
        <w:rPr>
          <w:lang w:val="en-GB"/>
        </w:rPr>
        <w:t>EPA Victoria 2004; DEC 2012)</w:t>
      </w:r>
      <w:r w:rsidR="00B62AA7" w:rsidRPr="00D93FF9">
        <w:rPr>
          <w:lang w:val="en-GB"/>
        </w:rPr>
        <w:fldChar w:fldCharType="end"/>
      </w:r>
      <w:r w:rsidRPr="00D93FF9">
        <w:rPr>
          <w:lang w:val="en-GB"/>
        </w:rPr>
        <w:t xml:space="preserve">, a copper </w:t>
      </w:r>
      <w:r w:rsidR="006D735C" w:rsidRPr="00D93FF9">
        <w:rPr>
          <w:lang w:val="en-GB"/>
        </w:rPr>
        <w:t>ACL</w:t>
      </w:r>
      <w:r w:rsidRPr="00D93FF9">
        <w:rPr>
          <w:lang w:val="en-GB"/>
        </w:rPr>
        <w:t xml:space="preserve"> has been derived for soils receiving irrigation.</w:t>
      </w:r>
    </w:p>
    <w:p w14:paraId="4FFA6CD7" w14:textId="77777777" w:rsidR="006975D0" w:rsidRDefault="006975D0" w:rsidP="003807A1">
      <w:pPr>
        <w:pStyle w:val="BodyText"/>
        <w:spacing w:after="0" w:line="266" w:lineRule="auto"/>
        <w:jc w:val="both"/>
        <w:rPr>
          <w:lang w:val="en-GB"/>
        </w:rPr>
      </w:pPr>
    </w:p>
    <w:p w14:paraId="6C5A0F9E" w14:textId="77777777" w:rsidR="006975D0" w:rsidRPr="00D93FF9" w:rsidRDefault="006975D0" w:rsidP="003807A1">
      <w:pPr>
        <w:pStyle w:val="BodyText"/>
        <w:spacing w:after="0" w:line="266" w:lineRule="auto"/>
        <w:jc w:val="both"/>
        <w:rPr>
          <w:lang w:val="en-GB"/>
        </w:rPr>
      </w:pPr>
    </w:p>
    <w:p w14:paraId="59DCD2E8" w14:textId="77777777" w:rsidR="00C46175" w:rsidRPr="00D93FF9" w:rsidRDefault="00C46175" w:rsidP="003807A1">
      <w:pPr>
        <w:pStyle w:val="BodyText"/>
        <w:spacing w:after="0"/>
        <w:rPr>
          <w:sz w:val="25"/>
          <w:lang w:val="en-GB"/>
        </w:rPr>
      </w:pPr>
    </w:p>
    <w:p w14:paraId="59DCD2E9" w14:textId="77777777" w:rsidR="00C46175" w:rsidRPr="00D93FF9" w:rsidRDefault="00E811B8" w:rsidP="00EF411C">
      <w:pPr>
        <w:pStyle w:val="Heading3"/>
        <w:rPr>
          <w:lang w:val="en-GB"/>
        </w:rPr>
      </w:pPr>
      <w:bookmarkStart w:id="252" w:name="_Toc96693589"/>
      <w:r w:rsidRPr="00D93FF9">
        <w:lastRenderedPageBreak/>
        <w:t>Fluoride</w:t>
      </w:r>
      <w:bookmarkEnd w:id="252"/>
    </w:p>
    <w:p w14:paraId="59DCD2EA" w14:textId="77777777" w:rsidR="00C46175" w:rsidRPr="00D93FF9" w:rsidRDefault="00E811B8" w:rsidP="00933302">
      <w:pPr>
        <w:pStyle w:val="Heading5"/>
        <w:spacing w:before="200" w:after="200" w:line="245" w:lineRule="auto"/>
        <w:ind w:left="284"/>
        <w:rPr>
          <w:i/>
          <w:iCs/>
          <w:lang w:val="en-GB"/>
        </w:rPr>
      </w:pPr>
      <w:r w:rsidRPr="00D93FF9">
        <w:rPr>
          <w:i/>
          <w:iCs/>
          <w:lang w:val="en-GB"/>
        </w:rPr>
        <w:t>It is recommended that the concentration of fluoride in irrigation waters and soils should be less than the following:</w:t>
      </w:r>
    </w:p>
    <w:tbl>
      <w:tblPr>
        <w:tblW w:w="8081"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5813"/>
        <w:gridCol w:w="2268"/>
      </w:tblGrid>
      <w:tr w:rsidR="00BE3AA8" w:rsidRPr="00D93FF9" w14:paraId="59DCD2ED" w14:textId="77777777" w:rsidTr="00933302">
        <w:trPr>
          <w:trHeight w:val="318"/>
        </w:trPr>
        <w:tc>
          <w:tcPr>
            <w:tcW w:w="5813" w:type="dxa"/>
          </w:tcPr>
          <w:p w14:paraId="59DCD2EB"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268" w:type="dxa"/>
          </w:tcPr>
          <w:p w14:paraId="59DCD2EC"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1.0 mg/L</w:t>
            </w:r>
          </w:p>
        </w:tc>
      </w:tr>
      <w:tr w:rsidR="00BE3AA8" w:rsidRPr="00D93FF9" w14:paraId="59DCD2F0" w14:textId="77777777" w:rsidTr="00933302">
        <w:trPr>
          <w:trHeight w:val="318"/>
        </w:trPr>
        <w:tc>
          <w:tcPr>
            <w:tcW w:w="5813" w:type="dxa"/>
          </w:tcPr>
          <w:p w14:paraId="59DCD2EE" w14:textId="77777777" w:rsidR="008E4C22" w:rsidRPr="00D93FF9" w:rsidRDefault="00E811B8" w:rsidP="003807A1">
            <w:pPr>
              <w:pStyle w:val="TableParagraph"/>
              <w:tabs>
                <w:tab w:val="left" w:pos="4086"/>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268" w:type="dxa"/>
          </w:tcPr>
          <w:p w14:paraId="59DCD2EF"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2.0 mg/L</w:t>
            </w:r>
          </w:p>
        </w:tc>
      </w:tr>
      <w:tr w:rsidR="00BE3AA8" w:rsidRPr="00D93FF9" w14:paraId="59DCD2F3" w14:textId="77777777" w:rsidTr="00933302">
        <w:trPr>
          <w:trHeight w:val="318"/>
        </w:trPr>
        <w:tc>
          <w:tcPr>
            <w:tcW w:w="5813" w:type="dxa"/>
          </w:tcPr>
          <w:p w14:paraId="59DCD2F1"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268" w:type="dxa"/>
          </w:tcPr>
          <w:p w14:paraId="59DCD2F2"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Not determined</w:t>
            </w:r>
          </w:p>
        </w:tc>
      </w:tr>
    </w:tbl>
    <w:p w14:paraId="59DCD2F4" w14:textId="77777777" w:rsidR="00C46175" w:rsidRPr="00D93FF9" w:rsidRDefault="00C46175" w:rsidP="003807A1">
      <w:pPr>
        <w:pStyle w:val="BodyText"/>
        <w:spacing w:after="0"/>
        <w:rPr>
          <w:b/>
          <w:i/>
          <w:sz w:val="33"/>
          <w:lang w:val="en-GB"/>
        </w:rPr>
      </w:pPr>
    </w:p>
    <w:p w14:paraId="59DCD2F5" w14:textId="77777777" w:rsidR="00C46175" w:rsidRPr="00D93FF9" w:rsidRDefault="00E811B8" w:rsidP="003807A1">
      <w:pPr>
        <w:pStyle w:val="BodyText"/>
        <w:spacing w:after="0" w:line="266" w:lineRule="auto"/>
        <w:jc w:val="both"/>
        <w:rPr>
          <w:lang w:val="en-GB"/>
        </w:rPr>
      </w:pPr>
      <w:r w:rsidRPr="00D93FF9">
        <w:rPr>
          <w:lang w:val="en-GB"/>
        </w:rPr>
        <w:t>Fluorine has a higher oxidation potential than ozone and is the most electronegative element. It reacts vigorously with most oxidisable substances at room temperature. Fluorine does not occur free in nature, but is the most reactive metalloid and binds, directly or indirectly, to form fluorides with all the elements except the inert gases. The occurrence of fluoride in the earth’s crust is 0.027%.</w:t>
      </w:r>
    </w:p>
    <w:p w14:paraId="59DCD2F6" w14:textId="77777777" w:rsidR="00C46175" w:rsidRPr="00D93FF9" w:rsidRDefault="00E811B8" w:rsidP="009925D5">
      <w:pPr>
        <w:pStyle w:val="Heading5"/>
        <w:rPr>
          <w:lang w:val="en-GB"/>
        </w:rPr>
      </w:pPr>
      <w:r w:rsidRPr="00D93FF9">
        <w:rPr>
          <w:lang w:val="en-GB"/>
        </w:rPr>
        <w:t>Crop yield and quality considerations</w:t>
      </w:r>
    </w:p>
    <w:p w14:paraId="59DCD2F7" w14:textId="13BFB55D" w:rsidR="00C46175" w:rsidRPr="00D93FF9" w:rsidRDefault="00E811B8" w:rsidP="003807A1">
      <w:pPr>
        <w:pStyle w:val="BodyText"/>
        <w:spacing w:after="0" w:line="266" w:lineRule="auto"/>
        <w:jc w:val="both"/>
        <w:rPr>
          <w:lang w:val="en-GB"/>
        </w:rPr>
      </w:pPr>
      <w:r w:rsidRPr="00D93FF9">
        <w:rPr>
          <w:lang w:val="en-GB"/>
        </w:rPr>
        <w:t xml:space="preserve">Fluoride has been found to occur naturally in all soils. Total fluoride concentrations in soils range from trace amounts to 7000 mg/kg but are generally below 200 mg/kg (Moen et al. 1986). Freshwater usually contains less than </w:t>
      </w:r>
      <w:r w:rsidR="00B62AA7" w:rsidRPr="00D93FF9">
        <w:rPr>
          <w:lang w:val="en-GB"/>
        </w:rPr>
        <w:t xml:space="preserve">0.5 </w:t>
      </w:r>
      <w:r w:rsidRPr="00D93FF9">
        <w:rPr>
          <w:lang w:val="en-GB"/>
        </w:rPr>
        <w:t>mg F/L, although this is dependent on the sources of the water</w:t>
      </w:r>
      <w:r w:rsidR="00B62AA7" w:rsidRPr="00D93FF9">
        <w:rPr>
          <w:lang w:val="en-GB"/>
        </w:rPr>
        <w:t xml:space="preserve"> with some groundwater containing up to 10mg/L </w:t>
      </w:r>
      <w:r w:rsidR="00B62AA7" w:rsidRPr="00D93FF9">
        <w:fldChar w:fldCharType="begin"/>
      </w:r>
      <w:r w:rsidR="007C2051" w:rsidRPr="00D93FF9">
        <w:instrText xml:space="preserve"> ADDIN ZOTERO_ITEM CSL_CITATION {"citationID":"KQYh9oqO","properties":{"formattedCitation":"(NHMRC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00B62AA7" w:rsidRPr="00D93FF9">
        <w:fldChar w:fldCharType="separate"/>
      </w:r>
      <w:r w:rsidR="007C2051" w:rsidRPr="00D93FF9">
        <w:rPr>
          <w:rFonts w:ascii="Calibri" w:hAnsi="Calibri" w:cs="Calibri"/>
        </w:rPr>
        <w:t>(NHMRC and NRMMC 2011)</w:t>
      </w:r>
      <w:r w:rsidR="00B62AA7" w:rsidRPr="00D93FF9">
        <w:fldChar w:fldCharType="end"/>
      </w:r>
      <w:r w:rsidRPr="00D93FF9">
        <w:rPr>
          <w:lang w:val="en-GB"/>
        </w:rPr>
        <w:t xml:space="preserve">. Excessive </w:t>
      </w:r>
      <w:r w:rsidR="00B62AA7" w:rsidRPr="00D93FF9">
        <w:rPr>
          <w:lang w:val="en-GB"/>
        </w:rPr>
        <w:t xml:space="preserve">fluoride </w:t>
      </w:r>
      <w:r w:rsidRPr="00D93FF9">
        <w:rPr>
          <w:lang w:val="en-GB"/>
        </w:rPr>
        <w:t>intake can lead to dental and skeletal fluorosis, characterised by hyper</w:t>
      </w:r>
      <w:r w:rsidR="00B76A0B" w:rsidRPr="00D93FF9">
        <w:rPr>
          <w:lang w:val="en-GB"/>
        </w:rPr>
        <w:t>-</w:t>
      </w:r>
      <w:r w:rsidRPr="00D93FF9">
        <w:rPr>
          <w:lang w:val="en-GB"/>
        </w:rPr>
        <w:t>mineralisation of bones, causing them to become brittle. The margin between beneficial and detrimental concentrations is small.</w:t>
      </w:r>
    </w:p>
    <w:p w14:paraId="59DCD2F8" w14:textId="20F282A1" w:rsidR="00C46175" w:rsidRPr="00D93FF9" w:rsidRDefault="00E811B8" w:rsidP="003807A1">
      <w:pPr>
        <w:pStyle w:val="BodyText"/>
        <w:spacing w:after="0" w:line="266" w:lineRule="auto"/>
        <w:jc w:val="both"/>
        <w:rPr>
          <w:lang w:val="en-GB"/>
        </w:rPr>
      </w:pPr>
      <w:r w:rsidRPr="00D93FF9">
        <w:rPr>
          <w:lang w:val="en-GB"/>
        </w:rPr>
        <w:t xml:space="preserve">In the majority of soils, a high proportion of added fluoride is firmly retained by the soil. In general, slightly acid soils (pH 5.5–6.5) have the greatest </w:t>
      </w:r>
      <w:r w:rsidR="00B62AA7" w:rsidRPr="00D93FF9">
        <w:rPr>
          <w:lang w:val="en-GB"/>
        </w:rPr>
        <w:t xml:space="preserve">fluoride </w:t>
      </w:r>
      <w:r w:rsidRPr="00D93FF9">
        <w:rPr>
          <w:lang w:val="en-GB"/>
        </w:rPr>
        <w:t xml:space="preserve">affinity (Larsen </w:t>
      </w:r>
      <w:r w:rsidR="00FA6E9E" w:rsidRPr="00D93FF9">
        <w:rPr>
          <w:lang w:val="en-GB"/>
        </w:rPr>
        <w:t>and</w:t>
      </w:r>
      <w:r w:rsidRPr="00D93FF9">
        <w:rPr>
          <w:lang w:val="en-GB"/>
        </w:rPr>
        <w:t xml:space="preserve"> Widdowson 1971). Due to the </w:t>
      </w:r>
      <w:r w:rsidR="00B62AA7" w:rsidRPr="00D93FF9">
        <w:rPr>
          <w:lang w:val="en-GB"/>
        </w:rPr>
        <w:t xml:space="preserve">soil’s </w:t>
      </w:r>
      <w:r w:rsidRPr="00D93FF9">
        <w:rPr>
          <w:lang w:val="en-GB"/>
        </w:rPr>
        <w:t>ability to rapidly adsorb fluoride, soil retains a large portion of the fluoride added, and fluoride contamination of groundwater through irrigation with water containing high concentrations of fluoride is unlikely. There do not appear to be any data indicating phytotoxic effects of fluoride in soil. However, recent solution culture</w:t>
      </w:r>
      <w:bookmarkStart w:id="253" w:name="9.2.5.12__Iron"/>
      <w:bookmarkEnd w:id="253"/>
      <w:r w:rsidR="001A0CBD" w:rsidRPr="00D93FF9">
        <w:rPr>
          <w:lang w:val="en-GB"/>
        </w:rPr>
        <w:t xml:space="preserve"> </w:t>
      </w:r>
      <w:r w:rsidRPr="00D93FF9">
        <w:rPr>
          <w:lang w:val="en-GB"/>
        </w:rPr>
        <w:t xml:space="preserve">data suggest </w:t>
      </w:r>
      <w:r w:rsidR="001A0CBD" w:rsidRPr="00D93FF9">
        <w:rPr>
          <w:lang w:val="en-GB"/>
        </w:rPr>
        <w:t xml:space="preserve">that fluoride uptake and toxicity </w:t>
      </w:r>
      <w:r w:rsidRPr="00D93FF9">
        <w:rPr>
          <w:lang w:val="en-GB"/>
        </w:rPr>
        <w:t>are dependent on the ionic species of fluoride in the solution exposed to the plant root (Stevens et al. 1997). Toxic concentrations of fluoride in solution culture ranged from 1 to &gt;100 mg F/L depending on ionic species of fluoride present and plant species.</w:t>
      </w:r>
    </w:p>
    <w:p w14:paraId="59DCD2F9" w14:textId="63DD9861" w:rsidR="00C46175" w:rsidRDefault="00E811B8" w:rsidP="003807A1">
      <w:pPr>
        <w:pStyle w:val="BodyText"/>
        <w:spacing w:after="0" w:line="266" w:lineRule="auto"/>
        <w:jc w:val="both"/>
        <w:rPr>
          <w:lang w:val="en-GB"/>
        </w:rPr>
      </w:pPr>
      <w:r w:rsidRPr="00D93FF9">
        <w:rPr>
          <w:lang w:val="en-GB"/>
        </w:rPr>
        <w:t xml:space="preserve">Regular consumption by stock of water containing fluoride concentrations greater than 2 mg/L progressively increases the risk of fluorosis (see Section </w:t>
      </w:r>
      <w:r w:rsidR="00CF1CF9" w:rsidRPr="00D93FF9">
        <w:rPr>
          <w:lang w:val="en-GB"/>
        </w:rPr>
        <w:t>Livestock drinking water</w:t>
      </w:r>
      <w:r w:rsidRPr="00D93FF9">
        <w:rPr>
          <w:lang w:val="en-GB"/>
        </w:rPr>
        <w:t xml:space="preserve">). The </w:t>
      </w:r>
      <w:r w:rsidR="00553FF9" w:rsidRPr="00D93FF9">
        <w:rPr>
          <w:lang w:val="en-GB"/>
        </w:rPr>
        <w:t>DGV</w:t>
      </w:r>
      <w:r w:rsidRPr="00D93FF9">
        <w:rPr>
          <w:lang w:val="en-GB"/>
        </w:rPr>
        <w:t xml:space="preserve"> has been set </w:t>
      </w:r>
      <w:r w:rsidR="00B76A0B" w:rsidRPr="00D93FF9">
        <w:rPr>
          <w:lang w:val="en-GB"/>
        </w:rPr>
        <w:t>on the assumption that</w:t>
      </w:r>
      <w:r w:rsidRPr="00D93FF9">
        <w:rPr>
          <w:lang w:val="en-GB"/>
        </w:rPr>
        <w:t xml:space="preserve"> that irrigation water could be phytotoxic to sensitive plants or contaminate </w:t>
      </w:r>
      <w:r w:rsidR="001A0CBD" w:rsidRPr="00D93FF9">
        <w:rPr>
          <w:lang w:val="en-GB"/>
        </w:rPr>
        <w:t>live</w:t>
      </w:r>
      <w:r w:rsidRPr="00D93FF9">
        <w:rPr>
          <w:lang w:val="en-GB"/>
        </w:rPr>
        <w:t xml:space="preserve">stock drinking water. The </w:t>
      </w:r>
      <w:r w:rsidR="00553FF9" w:rsidRPr="00D93FF9">
        <w:rPr>
          <w:lang w:val="en-GB"/>
        </w:rPr>
        <w:t>SGV</w:t>
      </w:r>
      <w:r w:rsidRPr="00D93FF9">
        <w:rPr>
          <w:lang w:val="en-GB"/>
        </w:rPr>
        <w:t xml:space="preserve"> has been set on the assumption that irrigation water could potentially contaminate </w:t>
      </w:r>
      <w:r w:rsidR="001A0CBD" w:rsidRPr="00D93FF9">
        <w:rPr>
          <w:lang w:val="en-GB"/>
        </w:rPr>
        <w:t>live</w:t>
      </w:r>
      <w:r w:rsidRPr="00D93FF9">
        <w:rPr>
          <w:lang w:val="en-GB"/>
        </w:rPr>
        <w:t>stock</w:t>
      </w:r>
      <w:r w:rsidR="001A0CBD" w:rsidRPr="00D93FF9">
        <w:rPr>
          <w:lang w:val="en-GB"/>
        </w:rPr>
        <w:t xml:space="preserve"> </w:t>
      </w:r>
      <w:r w:rsidRPr="00D93FF9">
        <w:rPr>
          <w:lang w:val="en-GB"/>
        </w:rPr>
        <w:t>water. A</w:t>
      </w:r>
      <w:r w:rsidR="0029733E" w:rsidRPr="00D93FF9">
        <w:rPr>
          <w:lang w:val="en-GB"/>
        </w:rPr>
        <w:t>n</w:t>
      </w:r>
      <w:r w:rsidRPr="00D93FF9">
        <w:rPr>
          <w:lang w:val="en-GB"/>
        </w:rPr>
        <w:t xml:space="preserve"> </w:t>
      </w:r>
      <w:r w:rsidR="006D735C" w:rsidRPr="00D93FF9">
        <w:rPr>
          <w:lang w:val="en-GB"/>
        </w:rPr>
        <w:t>ACL</w:t>
      </w:r>
      <w:r w:rsidRPr="00D93FF9">
        <w:rPr>
          <w:lang w:val="en-GB"/>
        </w:rPr>
        <w:t xml:space="preserve"> has not been determined for fluoride, as there are insufficient data for Australian soils to determine background concentrations and soil concentrations, which may be</w:t>
      </w:r>
      <w:r w:rsidRPr="00D93FF9">
        <w:rPr>
          <w:spacing w:val="-3"/>
          <w:lang w:val="en-GB"/>
        </w:rPr>
        <w:t xml:space="preserve"> </w:t>
      </w:r>
      <w:r w:rsidRPr="00D93FF9">
        <w:rPr>
          <w:lang w:val="en-GB"/>
        </w:rPr>
        <w:t>phytotoxic.</w:t>
      </w:r>
    </w:p>
    <w:p w14:paraId="290D4FC8" w14:textId="77777777" w:rsidR="006975D0" w:rsidRDefault="006975D0" w:rsidP="003807A1">
      <w:pPr>
        <w:pStyle w:val="BodyText"/>
        <w:spacing w:after="0" w:line="266" w:lineRule="auto"/>
        <w:jc w:val="both"/>
        <w:rPr>
          <w:lang w:val="en-GB"/>
        </w:rPr>
      </w:pPr>
    </w:p>
    <w:p w14:paraId="520828AF" w14:textId="77777777" w:rsidR="006975D0" w:rsidRDefault="006975D0" w:rsidP="003807A1">
      <w:pPr>
        <w:pStyle w:val="BodyText"/>
        <w:spacing w:after="0" w:line="266" w:lineRule="auto"/>
        <w:jc w:val="both"/>
        <w:rPr>
          <w:lang w:val="en-GB"/>
        </w:rPr>
      </w:pPr>
    </w:p>
    <w:p w14:paraId="09F0901E" w14:textId="77777777" w:rsidR="006975D0" w:rsidRPr="00D93FF9" w:rsidRDefault="006975D0" w:rsidP="003807A1">
      <w:pPr>
        <w:pStyle w:val="BodyText"/>
        <w:spacing w:after="0" w:line="266" w:lineRule="auto"/>
        <w:jc w:val="both"/>
        <w:rPr>
          <w:lang w:val="en-GB"/>
        </w:rPr>
      </w:pPr>
    </w:p>
    <w:p w14:paraId="59DCD2FA" w14:textId="77777777" w:rsidR="00C46175" w:rsidRPr="00D93FF9" w:rsidRDefault="00C46175" w:rsidP="003807A1">
      <w:pPr>
        <w:pStyle w:val="BodyText"/>
        <w:spacing w:after="0"/>
        <w:rPr>
          <w:sz w:val="25"/>
          <w:lang w:val="en-GB"/>
        </w:rPr>
      </w:pPr>
    </w:p>
    <w:p w14:paraId="59DCD2FB" w14:textId="77777777" w:rsidR="00C46175" w:rsidRPr="00D93FF9" w:rsidRDefault="00E811B8" w:rsidP="00EF411C">
      <w:pPr>
        <w:pStyle w:val="Heading3"/>
        <w:rPr>
          <w:lang w:val="en-GB"/>
        </w:rPr>
      </w:pPr>
      <w:bookmarkStart w:id="254" w:name="_Toc96693590"/>
      <w:r w:rsidRPr="00D93FF9">
        <w:lastRenderedPageBreak/>
        <w:t>Iron</w:t>
      </w:r>
      <w:bookmarkEnd w:id="254"/>
    </w:p>
    <w:p w14:paraId="59DCD2FC" w14:textId="77777777" w:rsidR="00C46175" w:rsidRPr="00D93FF9" w:rsidRDefault="00E811B8" w:rsidP="003E3DF0">
      <w:pPr>
        <w:pStyle w:val="Heading5"/>
        <w:spacing w:before="200" w:after="200" w:line="245" w:lineRule="auto"/>
        <w:ind w:left="284"/>
        <w:rPr>
          <w:lang w:val="en-GB"/>
        </w:rPr>
      </w:pPr>
      <w:r w:rsidRPr="00D93FF9">
        <w:rPr>
          <w:i/>
          <w:iCs/>
          <w:lang w:val="en-GB"/>
        </w:rPr>
        <w:t xml:space="preserve">It is recommended that the </w:t>
      </w:r>
      <w:r w:rsidR="001A0CBD" w:rsidRPr="00D93FF9">
        <w:rPr>
          <w:i/>
          <w:iCs/>
          <w:lang w:val="en-GB"/>
        </w:rPr>
        <w:t>upper limit guideline values for</w:t>
      </w:r>
      <w:r w:rsidRPr="00D93FF9">
        <w:rPr>
          <w:i/>
          <w:iCs/>
          <w:lang w:val="en-GB"/>
        </w:rPr>
        <w:t xml:space="preserve"> iron in irrigation waters and soils should be</w:t>
      </w:r>
      <w:r w:rsidRPr="00D93FF9">
        <w:rPr>
          <w:lang w:val="en-GB"/>
        </w:rPr>
        <w:t>:</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2FF" w14:textId="77777777" w:rsidTr="003E3DF0">
        <w:trPr>
          <w:trHeight w:val="318"/>
        </w:trPr>
        <w:tc>
          <w:tcPr>
            <w:tcW w:w="6240" w:type="dxa"/>
          </w:tcPr>
          <w:p w14:paraId="59DCD2FD"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2FE"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0.2 mg/L</w:t>
            </w:r>
          </w:p>
        </w:tc>
      </w:tr>
      <w:tr w:rsidR="00BE3AA8" w:rsidRPr="00D93FF9" w14:paraId="59DCD302" w14:textId="77777777" w:rsidTr="003E3DF0">
        <w:trPr>
          <w:trHeight w:val="318"/>
        </w:trPr>
        <w:tc>
          <w:tcPr>
            <w:tcW w:w="6240" w:type="dxa"/>
          </w:tcPr>
          <w:p w14:paraId="59DCD300"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301"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10 mg/L</w:t>
            </w:r>
          </w:p>
        </w:tc>
      </w:tr>
      <w:tr w:rsidR="00BE3AA8" w:rsidRPr="00D93FF9" w14:paraId="59DCD305" w14:textId="77777777" w:rsidTr="003E3DF0">
        <w:trPr>
          <w:trHeight w:val="318"/>
        </w:trPr>
        <w:tc>
          <w:tcPr>
            <w:tcW w:w="6240" w:type="dxa"/>
          </w:tcPr>
          <w:p w14:paraId="59DCD303"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304"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Not determined</w:t>
            </w:r>
          </w:p>
        </w:tc>
      </w:tr>
    </w:tbl>
    <w:p w14:paraId="59DCD306" w14:textId="77777777" w:rsidR="00C46175" w:rsidRPr="00D93FF9" w:rsidRDefault="00C46175" w:rsidP="003807A1">
      <w:pPr>
        <w:pStyle w:val="BodyText"/>
        <w:spacing w:after="0"/>
        <w:rPr>
          <w:b/>
          <w:i/>
          <w:sz w:val="33"/>
          <w:lang w:val="en-GB"/>
        </w:rPr>
      </w:pPr>
    </w:p>
    <w:p w14:paraId="59DCD307" w14:textId="77777777" w:rsidR="00C46175" w:rsidRPr="00D93FF9" w:rsidRDefault="00E811B8" w:rsidP="003807A1">
      <w:pPr>
        <w:pStyle w:val="BodyText"/>
        <w:spacing w:after="0" w:line="266" w:lineRule="auto"/>
        <w:jc w:val="both"/>
        <w:rPr>
          <w:lang w:val="en-GB"/>
        </w:rPr>
      </w:pPr>
      <w:r w:rsidRPr="00D93FF9">
        <w:rPr>
          <w:lang w:val="en-GB"/>
        </w:rPr>
        <w:t>The occurrence of iron in the earth’s crust is 4.7%. Iron is a silvery-white or grey, hard, ductile, malleable, somewhat magnetic metal. It is stable in dry air but readily oxidises in moist air, forming rust. In water, iron can be present as dissolved ferric iron, Fe(III), as ferrous iron, Fe(II) or as suspended iron</w:t>
      </w:r>
      <w:r w:rsidRPr="00D93FF9">
        <w:rPr>
          <w:spacing w:val="1"/>
          <w:lang w:val="en-GB"/>
        </w:rPr>
        <w:t xml:space="preserve"> </w:t>
      </w:r>
      <w:r w:rsidRPr="00D93FF9">
        <w:rPr>
          <w:lang w:val="en-GB"/>
        </w:rPr>
        <w:t>hydroxides.</w:t>
      </w:r>
    </w:p>
    <w:p w14:paraId="59DCD308" w14:textId="77777777" w:rsidR="00C46175" w:rsidRPr="00D93FF9" w:rsidRDefault="00E811B8" w:rsidP="00DE510C">
      <w:pPr>
        <w:pStyle w:val="Heading5"/>
        <w:rPr>
          <w:lang w:val="en-GB"/>
        </w:rPr>
      </w:pPr>
      <w:r w:rsidRPr="00D93FF9">
        <w:rPr>
          <w:lang w:val="en-GB"/>
        </w:rPr>
        <w:t>Crop yield and quality considerations</w:t>
      </w:r>
    </w:p>
    <w:p w14:paraId="59DCD309" w14:textId="66F1A97E" w:rsidR="00B17F59" w:rsidRPr="00D93FF9" w:rsidRDefault="00E811B8" w:rsidP="003807A1">
      <w:pPr>
        <w:pStyle w:val="BodyText"/>
        <w:spacing w:after="0" w:line="266" w:lineRule="auto"/>
        <w:jc w:val="both"/>
        <w:rPr>
          <w:rFonts w:eastAsia="Arial"/>
          <w:lang w:val="en-GB"/>
        </w:rPr>
      </w:pPr>
      <w:r w:rsidRPr="00D93FF9">
        <w:rPr>
          <w:lang w:val="en-GB"/>
        </w:rPr>
        <w:t xml:space="preserve">Ferrous iron dissolved in irrigation water is relatively unavailable to plants as it oxidises (ferric iron) and precipitates upon aeration when applied to the soil. However, under reducing conditions (waterlogging), precipitated ferric iron can be reduced to the more soluble ferrous iron. Precipitated iron in soils binds phosphorus and molybdenum (essential plant nutrients), making them unavailable to the plant. </w:t>
      </w:r>
      <w:r w:rsidRPr="00D93FF9">
        <w:rPr>
          <w:rFonts w:eastAsia="Arial"/>
        </w:rPr>
        <w:t>Iron concentrations in uncontaminated surface waters are usually less than 1 mg/L</w:t>
      </w:r>
      <w:r w:rsidRPr="00D93FF9">
        <w:rPr>
          <w:rFonts w:eastAsia="Arial"/>
          <w:lang w:val="en-GB"/>
        </w:rPr>
        <w:t xml:space="preserve"> and can range up to 5 mg/L or higher when</w:t>
      </w:r>
      <w:r w:rsidRPr="00D93FF9">
        <w:rPr>
          <w:rFonts w:eastAsia="Arial"/>
        </w:rPr>
        <w:t xml:space="preserve"> supplied through rusting iron pipes</w:t>
      </w:r>
      <w:r w:rsidRPr="00D93FF9">
        <w:rPr>
          <w:rFonts w:eastAsia="Arial"/>
          <w:lang w:val="en-GB"/>
        </w:rPr>
        <w:t xml:space="preserve"> </w:t>
      </w:r>
      <w:r w:rsidRPr="00D93FF9">
        <w:rPr>
          <w:rFonts w:eastAsia="Arial"/>
          <w:lang w:val="en-GB"/>
        </w:rPr>
        <w:fldChar w:fldCharType="begin"/>
      </w:r>
      <w:r w:rsidR="007C2051" w:rsidRPr="00D93FF9">
        <w:rPr>
          <w:rFonts w:eastAsia="Arial"/>
          <w:lang w:val="en-GB"/>
        </w:rPr>
        <w:instrText xml:space="preserve"> ADDIN ZOTERO_ITEM CSL_CITATION {"citationID":"n2L9WuS3","properties":{"formattedCitation":"(NHMRC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rPr>
          <w:rFonts w:eastAsia="Arial"/>
          <w:lang w:val="en-GB"/>
        </w:rPr>
        <w:fldChar w:fldCharType="separate"/>
      </w:r>
      <w:r w:rsidR="007C2051" w:rsidRPr="00D93FF9">
        <w:rPr>
          <w:rFonts w:ascii="Calibri" w:hAnsi="Calibri" w:cs="Calibri"/>
        </w:rPr>
        <w:t>(NHMRC and NRMMC 2011)</w:t>
      </w:r>
      <w:r w:rsidRPr="00D93FF9">
        <w:rPr>
          <w:rFonts w:eastAsia="Arial"/>
          <w:lang w:val="en-GB"/>
        </w:rPr>
        <w:fldChar w:fldCharType="end"/>
      </w:r>
      <w:r w:rsidRPr="00D93FF9">
        <w:rPr>
          <w:rFonts w:eastAsia="Arial"/>
          <w:lang w:val="en-GB"/>
        </w:rPr>
        <w:t xml:space="preserve"> </w:t>
      </w:r>
    </w:p>
    <w:p w14:paraId="59DCD30A" w14:textId="3A9FB476" w:rsidR="00C46175" w:rsidRPr="00D93FF9" w:rsidRDefault="00E811B8" w:rsidP="003807A1">
      <w:pPr>
        <w:pStyle w:val="BodyText"/>
        <w:spacing w:after="0" w:line="266" w:lineRule="auto"/>
        <w:jc w:val="both"/>
        <w:rPr>
          <w:lang w:val="en-GB"/>
        </w:rPr>
      </w:pPr>
      <w:r w:rsidRPr="00D93FF9">
        <w:rPr>
          <w:lang w:val="en-GB"/>
        </w:rPr>
        <w:t xml:space="preserve">Most soils are naturally rich in iron. The soil pH and aeration determine the oxidation state and thus solubility of iron in soil. Iron is an essential micro-nutrient and plant deficiency results in chlorosis. There </w:t>
      </w:r>
      <w:r w:rsidR="00B17F59" w:rsidRPr="00D93FF9">
        <w:rPr>
          <w:lang w:val="en-GB"/>
        </w:rPr>
        <w:t>is</w:t>
      </w:r>
      <w:r w:rsidRPr="00D93FF9">
        <w:rPr>
          <w:lang w:val="en-GB"/>
        </w:rPr>
        <w:t xml:space="preserve"> insufficient data to determine a toxicity threshold of iron for plants growing in soils</w:t>
      </w:r>
      <w:r w:rsidR="00B17F59" w:rsidRPr="00D93FF9">
        <w:rPr>
          <w:lang w:val="en-GB"/>
        </w:rPr>
        <w:t>. Generally,</w:t>
      </w:r>
      <w:r w:rsidRPr="00D93FF9">
        <w:rPr>
          <w:lang w:val="en-GB"/>
        </w:rPr>
        <w:t xml:space="preserve"> there are no direct negative effects of iron in soil </w:t>
      </w:r>
      <w:r w:rsidR="00B17F59" w:rsidRPr="00D93FF9">
        <w:rPr>
          <w:lang w:val="en-GB"/>
        </w:rPr>
        <w:t xml:space="preserve">yet it can contribute to soil acidification and loss of availability of phosphorus and molybdenum </w:t>
      </w:r>
      <w:r w:rsidR="00B17F59" w:rsidRPr="00D93FF9">
        <w:rPr>
          <w:lang w:val="en-GB"/>
        </w:rPr>
        <w:fldChar w:fldCharType="begin"/>
      </w:r>
      <w:r w:rsidR="00BE6DF0" w:rsidRPr="00D93FF9">
        <w:instrText xml:space="preserve"> ADDIN ZOTERO_ITEM CSL_CITATION {"citationID":"Otys7tao","properties":{"formattedCitation":"(Efroymson et al., 1997b; WHO, 2006; US EPA, 2012)","plainCitation":"(Efroymson et al., 1997b; WHO, 2006; US EPA, 2012)","noteIndex":0},"citationItems":[{"id":33251,"uris":["http://zotero.org/users/1938757/items/IRVGAJHK"],"uri":["http://zotero.org/users/1938757/items/IRVGAJHK"],"itemData":{"id":33251,"type":"report","event-place":"Oak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id":32949,"uris":["http://zotero.org/users/1938757/items/JNI8UXWQ"],"uri":["http://zotero.org/users/1938757/items/JNI8UXWQ"],"itemData":{"id":32949,"type":"report","event-place":"Washington D.C.","language":"en","page":"643","publisher":"United States Envionmental Protection Agency","publisher-place":"Washington D.C.","source":"Zotero","title":"2012 Guidelines for Water Reuse","URL":"https://www.epa.gov/sites/production/files/2019-08/documents/2012-guidelines-water-reuse.pdf","author":[{"family":"US EPA","given":""}],"issued":{"date-parts":[["2012",9]]}}}],"schema":"https://github.com/citation-style-language/schema/raw/master/csl-citation.json"} </w:instrText>
      </w:r>
      <w:r w:rsidR="00B17F59" w:rsidRPr="00D93FF9">
        <w:rPr>
          <w:lang w:val="en-GB"/>
        </w:rPr>
        <w:fldChar w:fldCharType="separate"/>
      </w:r>
      <w:r w:rsidR="007C2051" w:rsidRPr="00D93FF9">
        <w:rPr>
          <w:rFonts w:ascii="Calibri" w:hAnsi="Calibri" w:cs="Calibri"/>
        </w:rPr>
        <w:t>(Efroymson et al. 1997b; WHO 2006; US EPA 2012)</w:t>
      </w:r>
      <w:r w:rsidR="00B17F59" w:rsidRPr="00D93FF9">
        <w:rPr>
          <w:lang w:val="en-GB"/>
        </w:rPr>
        <w:fldChar w:fldCharType="end"/>
      </w:r>
      <w:r w:rsidRPr="00D93FF9">
        <w:rPr>
          <w:lang w:val="en-GB"/>
        </w:rPr>
        <w:t xml:space="preserve">. However, there have been a few reports of iron concentrations of approximately 10–50 mg Fe/L present in solution culture reducing plant growth </w:t>
      </w:r>
      <w:r w:rsidR="00B17F59" w:rsidRPr="00D93FF9">
        <w:rPr>
          <w:lang w:val="en-GB"/>
        </w:rPr>
        <w:fldChar w:fldCharType="begin"/>
      </w:r>
      <w:r w:rsidR="00BE6DF0" w:rsidRPr="00D93FF9">
        <w:instrText xml:space="preserve"> ADDIN ZOTERO_ITEM CSL_CITATION {"citationID":"neyuihjO","properties":{"formattedCitation":"(Efroymson et al., 1997b; WHO, 2006; US EPA, 2012)","plainCitation":"(Efroymson et al., 1997b; WHO, 2006; US EPA, 2012)","noteIndex":0},"citationItems":[{"id":33251,"uris":["http://zotero.org/users/1938757/items/IRVGAJHK"],"uri":["http://zotero.org/users/1938757/items/IRVGAJHK"],"itemData":{"id":33251,"type":"report","event-place":"Oak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id":32949,"uris":["http://zotero.org/users/1938757/items/JNI8UXWQ"],"uri":["http://zotero.org/users/1938757/items/JNI8UXWQ"],"itemData":{"id":32949,"type":"report","event-place":"Washington D.C.","language":"en","page":"643","publisher":"United States Envionmental Protection Agency","publisher-place":"Washington D.C.","source":"Zotero","title":"2012 Guidelines for Water Reuse","URL":"https://www.epa.gov/sites/production/files/2019-08/documents/2012-guidelines-water-reuse.pdf","author":[{"family":"US EPA","given":""}],"issued":{"date-parts":[["2012",9]]}}}],"schema":"https://github.com/citation-style-language/schema/raw/master/csl-citation.json"} </w:instrText>
      </w:r>
      <w:r w:rsidR="00B17F59" w:rsidRPr="00D93FF9">
        <w:rPr>
          <w:lang w:val="en-GB"/>
        </w:rPr>
        <w:fldChar w:fldCharType="separate"/>
      </w:r>
      <w:r w:rsidR="007C2051" w:rsidRPr="00D93FF9">
        <w:rPr>
          <w:rFonts w:ascii="Calibri" w:hAnsi="Calibri" w:cs="Calibri"/>
        </w:rPr>
        <w:t>(Efroymson et al. 1997b; WHO 2006; US EPA 2012)</w:t>
      </w:r>
      <w:r w:rsidR="00B17F59" w:rsidRPr="00D93FF9">
        <w:rPr>
          <w:lang w:val="en-GB"/>
        </w:rPr>
        <w:fldChar w:fldCharType="end"/>
      </w:r>
      <w:r w:rsidR="00B17F59" w:rsidRPr="00D93FF9">
        <w:rPr>
          <w:lang w:val="en-GB"/>
        </w:rPr>
        <w:t xml:space="preserve">. </w:t>
      </w:r>
    </w:p>
    <w:p w14:paraId="59DCD30B" w14:textId="77777777" w:rsidR="00C46175" w:rsidRPr="00D93FF9" w:rsidRDefault="00E811B8" w:rsidP="003807A1">
      <w:pPr>
        <w:pStyle w:val="BodyText"/>
        <w:spacing w:after="0" w:line="266" w:lineRule="auto"/>
        <w:jc w:val="both"/>
        <w:rPr>
          <w:lang w:val="en-GB"/>
        </w:rPr>
      </w:pPr>
      <w:r w:rsidRPr="00D93FF9">
        <w:rPr>
          <w:lang w:val="en-GB"/>
        </w:rPr>
        <w:t>Iron deficiency develops mostly in alkaline soils, where iron precipitates as hydroxides and becomes unavailable to plants.</w:t>
      </w:r>
    </w:p>
    <w:p w14:paraId="59DCD30C" w14:textId="4AEB2409" w:rsidR="00C46175" w:rsidRPr="00D93FF9" w:rsidRDefault="00E811B8" w:rsidP="003807A1">
      <w:pPr>
        <w:pStyle w:val="BodyText"/>
        <w:spacing w:after="0" w:line="266" w:lineRule="auto"/>
        <w:jc w:val="both"/>
        <w:rPr>
          <w:rFonts w:ascii="Arial"/>
          <w:sz w:val="16"/>
          <w:lang w:val="en-GB"/>
        </w:rPr>
      </w:pPr>
      <w:r w:rsidRPr="00D93FF9">
        <w:rPr>
          <w:lang w:val="en-GB"/>
        </w:rPr>
        <w:t>Iron dissolved in irrigation water can cause problems when it precipitates on plant leaves or in irrigation equipment. Dissolved iron in irrigation water is relatively common in Australia (ANZECC 1992). It precipitates on aeration and concentrations less than 5 mg Fe/L may produce light-brown spotting on plants (</w:t>
      </w:r>
      <w:r w:rsidR="00B17F59" w:rsidRPr="00D93FF9">
        <w:t>WHO 2006</w:t>
      </w:r>
      <w:r w:rsidRPr="00D93FF9">
        <w:rPr>
          <w:lang w:val="en-GB"/>
        </w:rPr>
        <w:t xml:space="preserve">). Concentrations of iron less than 0.2 mg/L will cause only minor problems with clogging of trickle or drip irrigation systems, while concentrations above 1.5 mg Fe/L may cause severe problems </w:t>
      </w:r>
      <w:r w:rsidR="00B17F59" w:rsidRPr="00D93FF9">
        <w:rPr>
          <w:lang w:val="en-GB"/>
        </w:rPr>
        <w:t>(</w:t>
      </w:r>
      <w:r w:rsidR="00B17F59" w:rsidRPr="00D93FF9">
        <w:t>WHO 2006</w:t>
      </w:r>
      <w:r w:rsidRPr="00D93FF9">
        <w:rPr>
          <w:lang w:val="en-GB"/>
        </w:rPr>
        <w:t>).</w:t>
      </w:r>
      <w:bookmarkStart w:id="255" w:name="9.2.5.13__Lead"/>
      <w:bookmarkEnd w:id="255"/>
      <w:r w:rsidR="000024CB" w:rsidRPr="00D93FF9">
        <w:rPr>
          <w:rFonts w:ascii="Arial"/>
          <w:sz w:val="16"/>
          <w:lang w:val="en-GB"/>
        </w:rPr>
        <w:t xml:space="preserve"> </w:t>
      </w:r>
    </w:p>
    <w:p w14:paraId="59DCD30D" w14:textId="77777777" w:rsidR="00C46175" w:rsidRPr="00D93FF9" w:rsidRDefault="00E811B8" w:rsidP="003807A1">
      <w:pPr>
        <w:pStyle w:val="BodyText"/>
        <w:spacing w:after="0" w:line="266" w:lineRule="auto"/>
        <w:jc w:val="both"/>
        <w:rPr>
          <w:lang w:val="en-GB"/>
        </w:rPr>
      </w:pPr>
      <w:r w:rsidRPr="00D93FF9">
        <w:rPr>
          <w:lang w:val="en-GB"/>
        </w:rPr>
        <w:t xml:space="preserve">In view of the potential clogging of irrigation systems (trickle or drippers), the </w:t>
      </w:r>
      <w:r w:rsidR="00553FF9" w:rsidRPr="00D93FF9">
        <w:rPr>
          <w:lang w:val="en-GB"/>
        </w:rPr>
        <w:t>DGV</w:t>
      </w:r>
      <w:r w:rsidRPr="00D93FF9">
        <w:rPr>
          <w:lang w:val="en-GB"/>
        </w:rPr>
        <w:t xml:space="preserve"> has been set to ensure minimal problems with this type of irrigation technique and to ensure minimal plant foliage damage or blemishes by iron deposits when irrigating. If trickle or dripper irrigation techniques are not used, or plants are not sprayed with irrigation water, then higher concentrations of iron will be acceptable. The </w:t>
      </w:r>
      <w:r w:rsidR="00553FF9" w:rsidRPr="00D93FF9">
        <w:rPr>
          <w:lang w:val="en-GB"/>
        </w:rPr>
        <w:t>SGV</w:t>
      </w:r>
      <w:r w:rsidRPr="00D93FF9">
        <w:rPr>
          <w:lang w:val="en-GB"/>
        </w:rPr>
        <w:t xml:space="preserve"> has been set so that continual irrigation of plants will not expose them to phytotoxic concentrations of iron. A</w:t>
      </w:r>
      <w:r w:rsidR="00606CB4" w:rsidRPr="00D93FF9">
        <w:rPr>
          <w:lang w:val="en-GB"/>
        </w:rPr>
        <w:t>n</w:t>
      </w:r>
      <w:r w:rsidRPr="00D93FF9">
        <w:rPr>
          <w:lang w:val="en-GB"/>
        </w:rPr>
        <w:t xml:space="preserve"> </w:t>
      </w:r>
      <w:r w:rsidR="006D735C" w:rsidRPr="00D93FF9">
        <w:rPr>
          <w:lang w:val="en-GB"/>
        </w:rPr>
        <w:t>ACL</w:t>
      </w:r>
      <w:r w:rsidRPr="00D93FF9">
        <w:rPr>
          <w:lang w:val="en-GB"/>
        </w:rPr>
        <w:t xml:space="preserve"> for iron has not been determined, as it is inappropriate to set a</w:t>
      </w:r>
      <w:r w:rsidR="00606CB4" w:rsidRPr="00D93FF9">
        <w:rPr>
          <w:lang w:val="en-GB"/>
        </w:rPr>
        <w:t>n</w:t>
      </w:r>
      <w:r w:rsidRPr="00D93FF9">
        <w:rPr>
          <w:lang w:val="en-GB"/>
        </w:rPr>
        <w:t xml:space="preserve"> </w:t>
      </w:r>
      <w:r w:rsidR="006D735C" w:rsidRPr="00D93FF9">
        <w:rPr>
          <w:lang w:val="en-GB"/>
        </w:rPr>
        <w:t>ACL</w:t>
      </w:r>
      <w:r w:rsidRPr="00D93FF9">
        <w:rPr>
          <w:lang w:val="en-GB"/>
        </w:rPr>
        <w:t xml:space="preserve"> for a major soil constituent.</w:t>
      </w:r>
    </w:p>
    <w:p w14:paraId="59DCD30E" w14:textId="77777777" w:rsidR="00C46175" w:rsidRPr="00D93FF9" w:rsidRDefault="00C46175" w:rsidP="003807A1">
      <w:pPr>
        <w:pStyle w:val="BodyText"/>
        <w:spacing w:after="0"/>
        <w:rPr>
          <w:sz w:val="25"/>
          <w:lang w:val="en-GB"/>
        </w:rPr>
      </w:pPr>
    </w:p>
    <w:p w14:paraId="59DCD30F" w14:textId="77777777" w:rsidR="00C46175" w:rsidRPr="00D93FF9" w:rsidRDefault="00E811B8" w:rsidP="00096243">
      <w:pPr>
        <w:pStyle w:val="Heading3"/>
        <w:rPr>
          <w:lang w:val="en-GB"/>
        </w:rPr>
      </w:pPr>
      <w:bookmarkStart w:id="256" w:name="_Toc96693591"/>
      <w:r w:rsidRPr="00D93FF9">
        <w:lastRenderedPageBreak/>
        <w:t>Lead</w:t>
      </w:r>
      <w:bookmarkEnd w:id="256"/>
    </w:p>
    <w:p w14:paraId="59DCD310" w14:textId="472BAD82" w:rsidR="00C46175" w:rsidRPr="00D93FF9" w:rsidRDefault="00E811B8" w:rsidP="003E3DF0">
      <w:pPr>
        <w:pStyle w:val="Heading5"/>
        <w:spacing w:before="200" w:after="200" w:line="245" w:lineRule="auto"/>
        <w:ind w:left="284"/>
        <w:rPr>
          <w:i/>
          <w:iCs/>
          <w:lang w:val="en-GB"/>
        </w:rPr>
      </w:pPr>
      <w:r w:rsidRPr="00D93FF9">
        <w:rPr>
          <w:i/>
          <w:iCs/>
          <w:lang w:val="en-GB"/>
        </w:rPr>
        <w:t>It is recommended that the concentration of lead in irrigation waters and soils should be less than the</w:t>
      </w:r>
      <w:r w:rsidRPr="00D93FF9">
        <w:rPr>
          <w:i/>
          <w:iCs/>
          <w:spacing w:val="-1"/>
          <w:lang w:val="en-GB"/>
        </w:rPr>
        <w:t xml:space="preserve"> </w:t>
      </w:r>
      <w:r w:rsidRPr="00D93FF9">
        <w:rPr>
          <w:i/>
          <w:iCs/>
          <w:lang w:val="en-GB"/>
        </w:rPr>
        <w:t>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313" w14:textId="77777777" w:rsidTr="003E3DF0">
        <w:trPr>
          <w:trHeight w:val="318"/>
        </w:trPr>
        <w:tc>
          <w:tcPr>
            <w:tcW w:w="6240" w:type="dxa"/>
          </w:tcPr>
          <w:p w14:paraId="59DCD311" w14:textId="2CBDD133"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312" w14:textId="71AC401F" w:rsidR="008E4C22" w:rsidRPr="00D93FF9" w:rsidRDefault="00C15376"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0.2</w:t>
            </w:r>
            <w:r w:rsidR="00E811B8" w:rsidRPr="00D93FF9">
              <w:rPr>
                <w:rFonts w:asciiTheme="minorHAnsi" w:hAnsiTheme="minorHAnsi"/>
                <w:sz w:val="18"/>
                <w:szCs w:val="18"/>
                <w:lang w:val="en-GB"/>
              </w:rPr>
              <w:t xml:space="preserve"> mg/L</w:t>
            </w:r>
          </w:p>
        </w:tc>
      </w:tr>
      <w:tr w:rsidR="00BE3AA8" w:rsidRPr="00D93FF9" w14:paraId="59DCD316" w14:textId="77777777" w:rsidTr="003E3DF0">
        <w:trPr>
          <w:trHeight w:val="318"/>
        </w:trPr>
        <w:tc>
          <w:tcPr>
            <w:tcW w:w="6240" w:type="dxa"/>
          </w:tcPr>
          <w:p w14:paraId="59DCD314"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315" w14:textId="7824D4AD" w:rsidR="008E4C22" w:rsidRPr="00D93FF9" w:rsidRDefault="001B1FA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2</w:t>
            </w:r>
            <w:r w:rsidR="00C15376" w:rsidRPr="00D93FF9">
              <w:rPr>
                <w:rFonts w:asciiTheme="minorHAnsi" w:hAnsiTheme="minorHAnsi"/>
                <w:sz w:val="18"/>
                <w:szCs w:val="18"/>
                <w:lang w:val="en-GB"/>
              </w:rPr>
              <w:t>.0</w:t>
            </w:r>
            <w:r w:rsidR="00E811B8" w:rsidRPr="00D93FF9">
              <w:rPr>
                <w:rFonts w:asciiTheme="minorHAnsi" w:hAnsiTheme="minorHAnsi"/>
                <w:sz w:val="18"/>
                <w:szCs w:val="18"/>
                <w:lang w:val="en-GB"/>
              </w:rPr>
              <w:t xml:space="preserve"> mg/L</w:t>
            </w:r>
          </w:p>
        </w:tc>
      </w:tr>
      <w:tr w:rsidR="00BE3AA8" w:rsidRPr="00D93FF9" w14:paraId="59DCD319" w14:textId="77777777" w:rsidTr="003E3DF0">
        <w:trPr>
          <w:trHeight w:val="318"/>
        </w:trPr>
        <w:tc>
          <w:tcPr>
            <w:tcW w:w="6240" w:type="dxa"/>
          </w:tcPr>
          <w:p w14:paraId="59DCD317"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318" w14:textId="37FFF4F2" w:rsidR="008E4C22" w:rsidRPr="00D93FF9" w:rsidRDefault="001B1FA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 xml:space="preserve">195 </w:t>
            </w:r>
            <w:r w:rsidR="00E811B8" w:rsidRPr="00D93FF9">
              <w:rPr>
                <w:rFonts w:asciiTheme="minorHAnsi" w:hAnsiTheme="minorHAnsi"/>
                <w:sz w:val="18"/>
                <w:szCs w:val="18"/>
                <w:lang w:val="en-GB"/>
              </w:rPr>
              <w:t>kg/ha</w:t>
            </w:r>
          </w:p>
        </w:tc>
      </w:tr>
    </w:tbl>
    <w:p w14:paraId="59DCD31A" w14:textId="77777777" w:rsidR="00C46175" w:rsidRPr="00D93FF9" w:rsidRDefault="00C46175" w:rsidP="003807A1">
      <w:pPr>
        <w:pStyle w:val="BodyText"/>
        <w:spacing w:after="0"/>
        <w:rPr>
          <w:b/>
          <w:i/>
          <w:sz w:val="24"/>
          <w:lang w:val="en-GB"/>
        </w:rPr>
      </w:pPr>
    </w:p>
    <w:p w14:paraId="59DCD31B" w14:textId="7CC0CDCE" w:rsidR="00C46175" w:rsidRPr="00D93FF9" w:rsidRDefault="00E811B8" w:rsidP="003807A1">
      <w:pPr>
        <w:pStyle w:val="BodyText"/>
        <w:spacing w:after="0" w:line="266" w:lineRule="auto"/>
        <w:jc w:val="both"/>
        <w:rPr>
          <w:lang w:val="en-GB"/>
        </w:rPr>
      </w:pPr>
      <w:r w:rsidRPr="00D93FF9">
        <w:rPr>
          <w:lang w:val="en-GB"/>
        </w:rPr>
        <w:t>Lead in its pure form is a bluish-white metal of bright lustre, is soft, highly malleable, ductile, and a poor conductor of electricity. It is very resistant to corrosion. Lead chloride and bromide salts are slightly soluble (1%) in cold water, whereas carbonates and hydroxide salts are almost insoluble (Adriano 1986). Lead is a natural constituent of the earth crust. It is the most abundant among the heavy metals with an atomic number &gt;60. It is present in a series of different metals of which the most important economically are Galena (PbS), Cerussite (PbCO</w:t>
      </w:r>
      <w:r w:rsidRPr="00D93FF9">
        <w:rPr>
          <w:position w:val="-4"/>
          <w:sz w:val="15"/>
          <w:lang w:val="en-GB"/>
        </w:rPr>
        <w:t>3</w:t>
      </w:r>
      <w:r w:rsidRPr="00D93FF9">
        <w:rPr>
          <w:lang w:val="en-GB"/>
        </w:rPr>
        <w:t>) and Anglesite (PbSO</w:t>
      </w:r>
      <w:r w:rsidRPr="00D93FF9">
        <w:rPr>
          <w:position w:val="-4"/>
          <w:sz w:val="15"/>
          <w:lang w:val="en-GB"/>
        </w:rPr>
        <w:t>4</w:t>
      </w:r>
      <w:r w:rsidRPr="00D93FF9">
        <w:rPr>
          <w:lang w:val="en-GB"/>
        </w:rPr>
        <w:t xml:space="preserve">) (Scott-Fordsmand </w:t>
      </w:r>
      <w:r w:rsidR="00FA6E9E" w:rsidRPr="00D93FF9">
        <w:rPr>
          <w:lang w:val="en-GB"/>
        </w:rPr>
        <w:t>and</w:t>
      </w:r>
      <w:r w:rsidRPr="00D93FF9">
        <w:rPr>
          <w:lang w:val="en-GB"/>
        </w:rPr>
        <w:t xml:space="preserve"> </w:t>
      </w:r>
      <w:r w:rsidR="00F71F14" w:rsidRPr="00D93FF9">
        <w:rPr>
          <w:lang w:val="en-GB"/>
        </w:rPr>
        <w:t>Pedersen</w:t>
      </w:r>
      <w:r w:rsidRPr="00D93FF9">
        <w:rPr>
          <w:spacing w:val="-1"/>
          <w:lang w:val="en-GB"/>
        </w:rPr>
        <w:t xml:space="preserve"> </w:t>
      </w:r>
      <w:r w:rsidRPr="00D93FF9">
        <w:rPr>
          <w:lang w:val="en-GB"/>
        </w:rPr>
        <w:t>1995).</w:t>
      </w:r>
    </w:p>
    <w:p w14:paraId="59DCD31C" w14:textId="77777777" w:rsidR="00C46175" w:rsidRPr="00D93FF9" w:rsidRDefault="00E811B8" w:rsidP="00DE510C">
      <w:pPr>
        <w:pStyle w:val="Heading5"/>
        <w:rPr>
          <w:lang w:val="en-GB"/>
        </w:rPr>
      </w:pPr>
      <w:r w:rsidRPr="00D93FF9">
        <w:rPr>
          <w:lang w:val="en-GB"/>
        </w:rPr>
        <w:t>Crop yield and quality considerations</w:t>
      </w:r>
    </w:p>
    <w:p w14:paraId="59DCD31D" w14:textId="696B4231" w:rsidR="00C46175" w:rsidRPr="00D93FF9" w:rsidRDefault="00E811B8" w:rsidP="003807A1">
      <w:pPr>
        <w:pStyle w:val="BodyText"/>
        <w:spacing w:after="0" w:line="266" w:lineRule="auto"/>
        <w:jc w:val="both"/>
        <w:rPr>
          <w:lang w:val="en-GB"/>
        </w:rPr>
      </w:pPr>
      <w:r w:rsidRPr="00D93FF9">
        <w:rPr>
          <w:lang w:val="en-GB"/>
        </w:rPr>
        <w:t xml:space="preserve">Lead is </w:t>
      </w:r>
      <w:r w:rsidRPr="00D93FF9">
        <w:rPr>
          <w:spacing w:val="-3"/>
          <w:lang w:val="en-GB"/>
        </w:rPr>
        <w:t xml:space="preserve">strongly </w:t>
      </w:r>
      <w:r w:rsidRPr="00D93FF9">
        <w:rPr>
          <w:lang w:val="en-GB"/>
        </w:rPr>
        <w:t xml:space="preserve">retained by </w:t>
      </w:r>
      <w:r w:rsidRPr="00D93FF9">
        <w:rPr>
          <w:spacing w:val="-3"/>
          <w:lang w:val="en-GB"/>
        </w:rPr>
        <w:t xml:space="preserve">most </w:t>
      </w:r>
      <w:r w:rsidRPr="00D93FF9">
        <w:rPr>
          <w:lang w:val="en-GB"/>
        </w:rPr>
        <w:t xml:space="preserve">soils (Elliott et al. 1986) so that soil solution lead concentrations are </w:t>
      </w:r>
      <w:r w:rsidRPr="00D93FF9">
        <w:rPr>
          <w:spacing w:val="-3"/>
          <w:lang w:val="en-GB"/>
        </w:rPr>
        <w:t xml:space="preserve">very </w:t>
      </w:r>
      <w:r w:rsidRPr="00D93FF9">
        <w:rPr>
          <w:lang w:val="en-GB"/>
        </w:rPr>
        <w:t xml:space="preserve">low (&lt;1 </w:t>
      </w:r>
      <w:r w:rsidRPr="00D93FF9">
        <w:rPr>
          <w:spacing w:val="-4"/>
          <w:lang w:val="en-GB"/>
        </w:rPr>
        <w:t xml:space="preserve">mg/L), </w:t>
      </w:r>
      <w:r w:rsidRPr="00D93FF9">
        <w:rPr>
          <w:lang w:val="en-GB"/>
        </w:rPr>
        <w:t xml:space="preserve">especially in relation to other </w:t>
      </w:r>
      <w:r w:rsidRPr="00D93FF9">
        <w:rPr>
          <w:spacing w:val="-3"/>
          <w:lang w:val="en-GB"/>
        </w:rPr>
        <w:t>metals like cadmium,</w:t>
      </w:r>
      <w:r w:rsidRPr="00D93FF9">
        <w:rPr>
          <w:spacing w:val="-38"/>
          <w:lang w:val="en-GB"/>
        </w:rPr>
        <w:t xml:space="preserve"> </w:t>
      </w:r>
      <w:r w:rsidRPr="00D93FF9">
        <w:rPr>
          <w:spacing w:val="-3"/>
          <w:lang w:val="en-GB"/>
        </w:rPr>
        <w:t xml:space="preserve">zinc </w:t>
      </w:r>
      <w:r w:rsidRPr="00D93FF9">
        <w:rPr>
          <w:lang w:val="en-GB"/>
        </w:rPr>
        <w:t xml:space="preserve">and copper </w:t>
      </w:r>
      <w:r w:rsidRPr="00D93FF9">
        <w:rPr>
          <w:spacing w:val="-4"/>
          <w:lang w:val="en-GB"/>
        </w:rPr>
        <w:t xml:space="preserve">(Brümmer </w:t>
      </w:r>
      <w:r w:rsidR="00FA6E9E" w:rsidRPr="00D93FF9">
        <w:rPr>
          <w:lang w:val="en-GB"/>
        </w:rPr>
        <w:t>and</w:t>
      </w:r>
      <w:r w:rsidRPr="00D93FF9">
        <w:rPr>
          <w:lang w:val="en-GB"/>
        </w:rPr>
        <w:t xml:space="preserve"> </w:t>
      </w:r>
      <w:r w:rsidRPr="00D93FF9">
        <w:rPr>
          <w:spacing w:val="-3"/>
          <w:lang w:val="en-GB"/>
        </w:rPr>
        <w:t xml:space="preserve">Herms </w:t>
      </w:r>
      <w:r w:rsidRPr="00D93FF9">
        <w:rPr>
          <w:lang w:val="en-GB"/>
        </w:rPr>
        <w:t xml:space="preserve">1983). As for other cationic </w:t>
      </w:r>
      <w:r w:rsidRPr="00D93FF9">
        <w:rPr>
          <w:spacing w:val="-3"/>
          <w:lang w:val="en-GB"/>
        </w:rPr>
        <w:t xml:space="preserve">metals, </w:t>
      </w:r>
      <w:r w:rsidRPr="00D93FF9">
        <w:rPr>
          <w:lang w:val="en-GB"/>
        </w:rPr>
        <w:t xml:space="preserve">low soil pH </w:t>
      </w:r>
      <w:r w:rsidRPr="00D93FF9">
        <w:rPr>
          <w:spacing w:val="-3"/>
          <w:lang w:val="en-GB"/>
        </w:rPr>
        <w:t xml:space="preserve">mobilises </w:t>
      </w:r>
      <w:r w:rsidRPr="00D93FF9">
        <w:rPr>
          <w:lang w:val="en-GB"/>
        </w:rPr>
        <w:t xml:space="preserve">lead in </w:t>
      </w:r>
      <w:r w:rsidRPr="00D93FF9">
        <w:rPr>
          <w:spacing w:val="-3"/>
          <w:lang w:val="en-GB"/>
        </w:rPr>
        <w:t xml:space="preserve">soil </w:t>
      </w:r>
      <w:r w:rsidRPr="00D93FF9">
        <w:rPr>
          <w:lang w:val="en-GB"/>
        </w:rPr>
        <w:t xml:space="preserve">allowing </w:t>
      </w:r>
      <w:r w:rsidRPr="00D93FF9">
        <w:rPr>
          <w:spacing w:val="-3"/>
          <w:lang w:val="en-GB"/>
        </w:rPr>
        <w:t xml:space="preserve">greater </w:t>
      </w:r>
      <w:r w:rsidRPr="00D93FF9">
        <w:rPr>
          <w:lang w:val="en-GB"/>
        </w:rPr>
        <w:t xml:space="preserve">plant </w:t>
      </w:r>
      <w:r w:rsidRPr="00D93FF9">
        <w:rPr>
          <w:spacing w:val="-3"/>
          <w:lang w:val="en-GB"/>
        </w:rPr>
        <w:t xml:space="preserve">uptake (von </w:t>
      </w:r>
      <w:r w:rsidRPr="00D93FF9">
        <w:rPr>
          <w:lang w:val="en-GB"/>
        </w:rPr>
        <w:t xml:space="preserve">Judel </w:t>
      </w:r>
      <w:r w:rsidR="00FA6E9E" w:rsidRPr="00D93FF9">
        <w:rPr>
          <w:lang w:val="en-GB"/>
        </w:rPr>
        <w:t>and</w:t>
      </w:r>
      <w:r w:rsidRPr="00D93FF9">
        <w:rPr>
          <w:lang w:val="en-GB"/>
        </w:rPr>
        <w:t xml:space="preserve"> </w:t>
      </w:r>
      <w:r w:rsidRPr="00D93FF9">
        <w:rPr>
          <w:spacing w:val="-3"/>
          <w:lang w:val="en-GB"/>
        </w:rPr>
        <w:t xml:space="preserve">Stelte </w:t>
      </w:r>
      <w:r w:rsidRPr="00D93FF9">
        <w:rPr>
          <w:lang w:val="en-GB"/>
        </w:rPr>
        <w:t xml:space="preserve">1977). Due to the </w:t>
      </w:r>
      <w:r w:rsidRPr="00D93FF9">
        <w:rPr>
          <w:spacing w:val="-3"/>
          <w:lang w:val="en-GB"/>
        </w:rPr>
        <w:t xml:space="preserve">strong sorption </w:t>
      </w:r>
      <w:r w:rsidRPr="00D93FF9">
        <w:rPr>
          <w:lang w:val="en-GB"/>
        </w:rPr>
        <w:t xml:space="preserve">by soils, surface applications of lead, </w:t>
      </w:r>
      <w:r w:rsidRPr="00D93FF9">
        <w:rPr>
          <w:spacing w:val="-3"/>
          <w:lang w:val="en-GB"/>
        </w:rPr>
        <w:t xml:space="preserve">whether </w:t>
      </w:r>
      <w:r w:rsidRPr="00D93FF9">
        <w:rPr>
          <w:lang w:val="en-GB"/>
        </w:rPr>
        <w:t xml:space="preserve">from </w:t>
      </w:r>
      <w:r w:rsidRPr="00D93FF9">
        <w:rPr>
          <w:spacing w:val="-3"/>
          <w:lang w:val="en-GB"/>
        </w:rPr>
        <w:t xml:space="preserve">atmospheric </w:t>
      </w:r>
      <w:r w:rsidRPr="00D93FF9">
        <w:rPr>
          <w:lang w:val="en-GB"/>
        </w:rPr>
        <w:t xml:space="preserve">sources, </w:t>
      </w:r>
      <w:r w:rsidRPr="00D93FF9">
        <w:rPr>
          <w:spacing w:val="-3"/>
          <w:lang w:val="en-GB"/>
        </w:rPr>
        <w:t xml:space="preserve">inadvertent </w:t>
      </w:r>
      <w:r w:rsidRPr="00D93FF9">
        <w:rPr>
          <w:lang w:val="en-GB"/>
        </w:rPr>
        <w:t xml:space="preserve">additions in fertilisers, </w:t>
      </w:r>
      <w:r w:rsidRPr="00D93FF9">
        <w:rPr>
          <w:spacing w:val="-3"/>
          <w:lang w:val="en-GB"/>
        </w:rPr>
        <w:t xml:space="preserve">manures </w:t>
      </w:r>
      <w:r w:rsidRPr="00D93FF9">
        <w:rPr>
          <w:lang w:val="en-GB"/>
        </w:rPr>
        <w:t xml:space="preserve">or </w:t>
      </w:r>
      <w:r w:rsidRPr="00D93FF9">
        <w:rPr>
          <w:spacing w:val="-3"/>
          <w:lang w:val="en-GB"/>
        </w:rPr>
        <w:t xml:space="preserve">sludges, </w:t>
      </w:r>
      <w:r w:rsidRPr="00D93FF9">
        <w:rPr>
          <w:lang w:val="en-GB"/>
        </w:rPr>
        <w:t xml:space="preserve">or deliberate use of </w:t>
      </w:r>
      <w:r w:rsidRPr="00D93FF9">
        <w:rPr>
          <w:spacing w:val="-3"/>
          <w:lang w:val="en-GB"/>
        </w:rPr>
        <w:t xml:space="preserve">lead-containing agricultural chemicals, </w:t>
      </w:r>
      <w:r w:rsidRPr="00D93FF9">
        <w:rPr>
          <w:spacing w:val="-2"/>
          <w:lang w:val="en-GB"/>
        </w:rPr>
        <w:t xml:space="preserve">are </w:t>
      </w:r>
      <w:r w:rsidRPr="00D93FF9">
        <w:rPr>
          <w:lang w:val="en-GB"/>
        </w:rPr>
        <w:t>retained</w:t>
      </w:r>
      <w:r w:rsidRPr="00D93FF9">
        <w:rPr>
          <w:spacing w:val="-6"/>
          <w:lang w:val="en-GB"/>
        </w:rPr>
        <w:t xml:space="preserve"> </w:t>
      </w:r>
      <w:r w:rsidRPr="00D93FF9">
        <w:rPr>
          <w:lang w:val="en-GB"/>
        </w:rPr>
        <w:t>in</w:t>
      </w:r>
      <w:r w:rsidRPr="00D93FF9">
        <w:rPr>
          <w:spacing w:val="-6"/>
          <w:lang w:val="en-GB"/>
        </w:rPr>
        <w:t xml:space="preserve"> </w:t>
      </w:r>
      <w:r w:rsidRPr="00D93FF9">
        <w:rPr>
          <w:lang w:val="en-GB"/>
        </w:rPr>
        <w:t>the</w:t>
      </w:r>
      <w:r w:rsidRPr="00D93FF9">
        <w:rPr>
          <w:spacing w:val="-5"/>
          <w:lang w:val="en-GB"/>
        </w:rPr>
        <w:t xml:space="preserve"> </w:t>
      </w:r>
      <w:r w:rsidRPr="00D93FF9">
        <w:rPr>
          <w:lang w:val="en-GB"/>
        </w:rPr>
        <w:t>upper</w:t>
      </w:r>
      <w:r w:rsidRPr="00D93FF9">
        <w:rPr>
          <w:spacing w:val="-6"/>
          <w:lang w:val="en-GB"/>
        </w:rPr>
        <w:t xml:space="preserve"> </w:t>
      </w:r>
      <w:r w:rsidRPr="00D93FF9">
        <w:rPr>
          <w:lang w:val="en-GB"/>
        </w:rPr>
        <w:t>or</w:t>
      </w:r>
      <w:r w:rsidRPr="00D93FF9">
        <w:rPr>
          <w:spacing w:val="-5"/>
          <w:lang w:val="en-GB"/>
        </w:rPr>
        <w:t xml:space="preserve"> </w:t>
      </w:r>
      <w:r w:rsidRPr="00D93FF9">
        <w:rPr>
          <w:spacing w:val="-3"/>
          <w:lang w:val="en-GB"/>
        </w:rPr>
        <w:t>plough</w:t>
      </w:r>
      <w:r w:rsidRPr="00D93FF9">
        <w:rPr>
          <w:spacing w:val="-6"/>
          <w:lang w:val="en-GB"/>
        </w:rPr>
        <w:t xml:space="preserve"> </w:t>
      </w:r>
      <w:r w:rsidRPr="00D93FF9">
        <w:rPr>
          <w:spacing w:val="-3"/>
          <w:lang w:val="en-GB"/>
        </w:rPr>
        <w:t>layer</w:t>
      </w:r>
      <w:r w:rsidRPr="00D93FF9">
        <w:rPr>
          <w:spacing w:val="-5"/>
          <w:lang w:val="en-GB"/>
        </w:rPr>
        <w:t xml:space="preserve"> </w:t>
      </w:r>
      <w:r w:rsidRPr="00D93FF9">
        <w:rPr>
          <w:lang w:val="en-GB"/>
        </w:rPr>
        <w:t>of</w:t>
      </w:r>
      <w:r w:rsidRPr="00D93FF9">
        <w:rPr>
          <w:spacing w:val="-6"/>
          <w:lang w:val="en-GB"/>
        </w:rPr>
        <w:t xml:space="preserve"> </w:t>
      </w:r>
      <w:r w:rsidRPr="00D93FF9">
        <w:rPr>
          <w:spacing w:val="-3"/>
          <w:lang w:val="en-GB"/>
        </w:rPr>
        <w:t>soil</w:t>
      </w:r>
      <w:r w:rsidRPr="00D93FF9">
        <w:rPr>
          <w:spacing w:val="-5"/>
          <w:lang w:val="en-GB"/>
        </w:rPr>
        <w:t xml:space="preserve"> </w:t>
      </w:r>
      <w:r w:rsidRPr="00D93FF9">
        <w:rPr>
          <w:lang w:val="en-GB"/>
        </w:rPr>
        <w:t>profiles</w:t>
      </w:r>
      <w:r w:rsidRPr="00D93FF9">
        <w:rPr>
          <w:spacing w:val="-6"/>
          <w:lang w:val="en-GB"/>
        </w:rPr>
        <w:t xml:space="preserve"> </w:t>
      </w:r>
      <w:r w:rsidRPr="00D93FF9">
        <w:rPr>
          <w:lang w:val="en-GB"/>
        </w:rPr>
        <w:t>(Merry</w:t>
      </w:r>
      <w:r w:rsidRPr="00D93FF9">
        <w:rPr>
          <w:spacing w:val="-7"/>
          <w:lang w:val="en-GB"/>
        </w:rPr>
        <w:t xml:space="preserve"> </w:t>
      </w:r>
      <w:r w:rsidRPr="00D93FF9">
        <w:rPr>
          <w:lang w:val="en-GB"/>
        </w:rPr>
        <w:t>et</w:t>
      </w:r>
      <w:r w:rsidRPr="00D93FF9">
        <w:rPr>
          <w:spacing w:val="-6"/>
          <w:lang w:val="en-GB"/>
        </w:rPr>
        <w:t xml:space="preserve"> </w:t>
      </w:r>
      <w:r w:rsidRPr="00D93FF9">
        <w:rPr>
          <w:lang w:val="en-GB"/>
        </w:rPr>
        <w:t>al.</w:t>
      </w:r>
      <w:r w:rsidRPr="00D93FF9">
        <w:rPr>
          <w:spacing w:val="-5"/>
          <w:lang w:val="en-GB"/>
        </w:rPr>
        <w:t xml:space="preserve"> </w:t>
      </w:r>
      <w:r w:rsidRPr="00D93FF9">
        <w:rPr>
          <w:spacing w:val="-2"/>
          <w:lang w:val="en-GB"/>
        </w:rPr>
        <w:t>1983).</w:t>
      </w:r>
    </w:p>
    <w:p w14:paraId="59DCD31E" w14:textId="3C112EBB" w:rsidR="00C46175" w:rsidRDefault="00E811B8" w:rsidP="003807A1">
      <w:pPr>
        <w:pStyle w:val="BodyText"/>
        <w:spacing w:after="0" w:line="266" w:lineRule="auto"/>
        <w:jc w:val="both"/>
        <w:rPr>
          <w:rFonts w:cstheme="minorHAnsi"/>
          <w:lang w:val="en-GB"/>
        </w:rPr>
      </w:pPr>
      <w:r w:rsidRPr="00D93FF9">
        <w:rPr>
          <w:lang w:val="en-GB"/>
        </w:rPr>
        <w:t xml:space="preserve">The toxicity of lead depends on the </w:t>
      </w:r>
      <w:r w:rsidRPr="00D93FF9">
        <w:rPr>
          <w:spacing w:val="-3"/>
          <w:lang w:val="en-GB"/>
        </w:rPr>
        <w:t xml:space="preserve">type </w:t>
      </w:r>
      <w:r w:rsidRPr="00D93FF9">
        <w:rPr>
          <w:lang w:val="en-GB"/>
        </w:rPr>
        <w:t xml:space="preserve">of </w:t>
      </w:r>
      <w:r w:rsidRPr="00D93FF9">
        <w:rPr>
          <w:spacing w:val="-3"/>
          <w:lang w:val="en-GB"/>
        </w:rPr>
        <w:t xml:space="preserve">animal </w:t>
      </w:r>
      <w:r w:rsidRPr="00D93FF9">
        <w:rPr>
          <w:lang w:val="en-GB"/>
        </w:rPr>
        <w:t xml:space="preserve">(including its </w:t>
      </w:r>
      <w:r w:rsidRPr="00D93FF9">
        <w:rPr>
          <w:spacing w:val="-3"/>
          <w:lang w:val="en-GB"/>
        </w:rPr>
        <w:t xml:space="preserve">age), </w:t>
      </w:r>
      <w:r w:rsidRPr="00D93FF9">
        <w:rPr>
          <w:lang w:val="en-GB"/>
        </w:rPr>
        <w:t xml:space="preserve">the form of lead and </w:t>
      </w:r>
      <w:r w:rsidRPr="00D93FF9">
        <w:rPr>
          <w:spacing w:val="-2"/>
          <w:lang w:val="en-GB"/>
        </w:rPr>
        <w:t xml:space="preserve">the </w:t>
      </w:r>
      <w:r w:rsidRPr="00D93FF9">
        <w:rPr>
          <w:lang w:val="en-GB"/>
        </w:rPr>
        <w:t xml:space="preserve">rate of lead </w:t>
      </w:r>
      <w:r w:rsidRPr="00D93FF9">
        <w:rPr>
          <w:spacing w:val="-3"/>
          <w:lang w:val="en-GB"/>
        </w:rPr>
        <w:t xml:space="preserve">ingestion </w:t>
      </w:r>
      <w:r w:rsidRPr="00D93FF9">
        <w:rPr>
          <w:lang w:val="en-GB"/>
        </w:rPr>
        <w:t xml:space="preserve">(Hart 1982). Lead is </w:t>
      </w:r>
      <w:r w:rsidRPr="00D93FF9">
        <w:rPr>
          <w:spacing w:val="-3"/>
          <w:lang w:val="en-GB"/>
        </w:rPr>
        <w:t xml:space="preserve">accumulated </w:t>
      </w:r>
      <w:r w:rsidRPr="00D93FF9">
        <w:rPr>
          <w:lang w:val="en-GB"/>
        </w:rPr>
        <w:t xml:space="preserve">in the </w:t>
      </w:r>
      <w:r w:rsidRPr="00D93FF9">
        <w:rPr>
          <w:spacing w:val="-3"/>
          <w:lang w:val="en-GB"/>
        </w:rPr>
        <w:t xml:space="preserve">skeleton </w:t>
      </w:r>
      <w:r w:rsidRPr="00D93FF9">
        <w:rPr>
          <w:lang w:val="en-GB"/>
        </w:rPr>
        <w:t xml:space="preserve">to a critical </w:t>
      </w:r>
      <w:r w:rsidRPr="00D93FF9">
        <w:rPr>
          <w:spacing w:val="-4"/>
          <w:lang w:val="en-GB"/>
        </w:rPr>
        <w:t xml:space="preserve">maximum </w:t>
      </w:r>
      <w:r w:rsidRPr="00D93FF9">
        <w:rPr>
          <w:spacing w:val="-3"/>
          <w:lang w:val="en-GB"/>
        </w:rPr>
        <w:t xml:space="preserve">level, </w:t>
      </w:r>
      <w:r w:rsidRPr="00D93FF9">
        <w:rPr>
          <w:lang w:val="en-GB"/>
        </w:rPr>
        <w:t xml:space="preserve">after </w:t>
      </w:r>
      <w:r w:rsidRPr="00D93FF9">
        <w:rPr>
          <w:spacing w:val="-3"/>
          <w:lang w:val="en-GB"/>
        </w:rPr>
        <w:t xml:space="preserve">which </w:t>
      </w:r>
      <w:r w:rsidRPr="00D93FF9">
        <w:rPr>
          <w:lang w:val="en-GB"/>
        </w:rPr>
        <w:t xml:space="preserve">circulating concentrations increase until poisoning occurs </w:t>
      </w:r>
      <w:r w:rsidRPr="00D93FF9">
        <w:rPr>
          <w:spacing w:val="-2"/>
          <w:lang w:val="en-GB"/>
        </w:rPr>
        <w:t xml:space="preserve">(Hatch </w:t>
      </w:r>
      <w:r w:rsidRPr="00D93FF9">
        <w:rPr>
          <w:lang w:val="en-GB"/>
        </w:rPr>
        <w:t>1977</w:t>
      </w:r>
      <w:r w:rsidR="002112B9" w:rsidRPr="00D93FF9">
        <w:rPr>
          <w:lang w:val="en-GB"/>
        </w:rPr>
        <w:t>;</w:t>
      </w:r>
      <w:r w:rsidRPr="00D93FF9">
        <w:rPr>
          <w:lang w:val="en-GB"/>
        </w:rPr>
        <w:t xml:space="preserve"> </w:t>
      </w:r>
      <w:r w:rsidRPr="00D93FF9">
        <w:rPr>
          <w:spacing w:val="-3"/>
          <w:lang w:val="en-GB"/>
        </w:rPr>
        <w:t xml:space="preserve">Jaworski </w:t>
      </w:r>
      <w:r w:rsidRPr="00D93FF9">
        <w:rPr>
          <w:lang w:val="en-GB"/>
        </w:rPr>
        <w:t xml:space="preserve">1979). </w:t>
      </w:r>
      <w:r w:rsidRPr="00D93FF9">
        <w:rPr>
          <w:spacing w:val="-3"/>
          <w:lang w:val="en-GB"/>
        </w:rPr>
        <w:t xml:space="preserve">Horses </w:t>
      </w:r>
      <w:r w:rsidRPr="00D93FF9">
        <w:rPr>
          <w:lang w:val="en-GB"/>
        </w:rPr>
        <w:t xml:space="preserve">appear to be </w:t>
      </w:r>
      <w:r w:rsidRPr="00D93FF9">
        <w:rPr>
          <w:spacing w:val="-3"/>
          <w:lang w:val="en-GB"/>
        </w:rPr>
        <w:t xml:space="preserve">among </w:t>
      </w:r>
      <w:r w:rsidRPr="00D93FF9">
        <w:rPr>
          <w:lang w:val="en-GB"/>
        </w:rPr>
        <w:t xml:space="preserve">the </w:t>
      </w:r>
      <w:r w:rsidRPr="00D93FF9">
        <w:rPr>
          <w:spacing w:val="-3"/>
          <w:lang w:val="en-GB"/>
        </w:rPr>
        <w:t xml:space="preserve">animals </w:t>
      </w:r>
      <w:r w:rsidRPr="00D93FF9">
        <w:rPr>
          <w:spacing w:val="-4"/>
          <w:lang w:val="en-GB"/>
        </w:rPr>
        <w:t xml:space="preserve">most </w:t>
      </w:r>
      <w:r w:rsidRPr="00D93FF9">
        <w:rPr>
          <w:spacing w:val="-3"/>
          <w:lang w:val="en-GB"/>
        </w:rPr>
        <w:t xml:space="preserve">sensitive </w:t>
      </w:r>
      <w:r w:rsidRPr="00D93FF9">
        <w:rPr>
          <w:lang w:val="en-GB"/>
        </w:rPr>
        <w:t xml:space="preserve">to lead </w:t>
      </w:r>
      <w:r w:rsidRPr="00D93FF9">
        <w:rPr>
          <w:spacing w:val="-3"/>
          <w:lang w:val="en-GB"/>
        </w:rPr>
        <w:t xml:space="preserve">poisoning; </w:t>
      </w:r>
      <w:r w:rsidRPr="00D93FF9">
        <w:rPr>
          <w:lang w:val="en-GB"/>
        </w:rPr>
        <w:t xml:space="preserve">chronic poisoning occurred after </w:t>
      </w:r>
      <w:r w:rsidRPr="00D93FF9">
        <w:rPr>
          <w:spacing w:val="-3"/>
          <w:lang w:val="en-GB"/>
        </w:rPr>
        <w:t xml:space="preserve">consuming grass contaminated with </w:t>
      </w:r>
      <w:r w:rsidRPr="00D93FF9">
        <w:rPr>
          <w:lang w:val="en-GB"/>
        </w:rPr>
        <w:t xml:space="preserve">lead at concentrations of 5–20 </w:t>
      </w:r>
      <w:r w:rsidRPr="00D93FF9">
        <w:rPr>
          <w:spacing w:val="-4"/>
          <w:lang w:val="en-GB"/>
        </w:rPr>
        <w:t xml:space="preserve">mg/kg </w:t>
      </w:r>
      <w:r w:rsidRPr="00D93FF9">
        <w:rPr>
          <w:spacing w:val="-3"/>
          <w:lang w:val="en-GB"/>
        </w:rPr>
        <w:t xml:space="preserve">(dry weight) (Singer </w:t>
      </w:r>
      <w:r w:rsidRPr="00D93FF9">
        <w:rPr>
          <w:lang w:val="en-GB"/>
        </w:rPr>
        <w:t xml:space="preserve">1976). </w:t>
      </w:r>
      <w:r w:rsidRPr="00D93FF9">
        <w:rPr>
          <w:spacing w:val="-3"/>
          <w:lang w:val="en-GB"/>
        </w:rPr>
        <w:t xml:space="preserve">Phytotoxic </w:t>
      </w:r>
      <w:r w:rsidRPr="00D93FF9">
        <w:rPr>
          <w:lang w:val="en-GB"/>
        </w:rPr>
        <w:t xml:space="preserve">concentrations of lead in </w:t>
      </w:r>
      <w:r w:rsidRPr="00D93FF9">
        <w:rPr>
          <w:spacing w:val="-3"/>
          <w:lang w:val="en-GB"/>
        </w:rPr>
        <w:t xml:space="preserve">soils have </w:t>
      </w:r>
      <w:r w:rsidRPr="00D93FF9">
        <w:rPr>
          <w:lang w:val="en-GB"/>
        </w:rPr>
        <w:t xml:space="preserve">been noted at concentrations </w:t>
      </w:r>
      <w:r w:rsidRPr="00D93FF9">
        <w:rPr>
          <w:spacing w:val="-3"/>
          <w:lang w:val="en-GB"/>
        </w:rPr>
        <w:t xml:space="preserve">ranging </w:t>
      </w:r>
      <w:r w:rsidRPr="00D93FF9">
        <w:rPr>
          <w:lang w:val="en-GB"/>
        </w:rPr>
        <w:t xml:space="preserve">from </w:t>
      </w:r>
      <w:r w:rsidR="000024CB" w:rsidRPr="00D93FF9">
        <w:t xml:space="preserve">50–2600 </w:t>
      </w:r>
      <w:r w:rsidRPr="00D93FF9">
        <w:rPr>
          <w:spacing w:val="-4"/>
          <w:lang w:val="en-GB"/>
        </w:rPr>
        <w:t xml:space="preserve">mg/kg, </w:t>
      </w:r>
      <w:r w:rsidRPr="00D93FF9">
        <w:rPr>
          <w:spacing w:val="-3"/>
          <w:lang w:val="en-GB"/>
        </w:rPr>
        <w:t xml:space="preserve">while phytotoxicity </w:t>
      </w:r>
      <w:r w:rsidRPr="00D93FF9">
        <w:rPr>
          <w:lang w:val="en-GB"/>
        </w:rPr>
        <w:t xml:space="preserve">of lead in </w:t>
      </w:r>
      <w:r w:rsidRPr="00D93FF9">
        <w:rPr>
          <w:spacing w:val="-3"/>
          <w:lang w:val="en-GB"/>
        </w:rPr>
        <w:t xml:space="preserve">solution </w:t>
      </w:r>
      <w:r w:rsidR="000024CB" w:rsidRPr="00D93FF9">
        <w:rPr>
          <w:spacing w:val="-3"/>
          <w:lang w:val="en-GB"/>
        </w:rPr>
        <w:t>is typically greater than 0.5mg/L</w:t>
      </w:r>
      <w:r w:rsidR="000024CB" w:rsidRPr="00D93FF9">
        <w:rPr>
          <w:lang w:val="en-GB"/>
        </w:rPr>
        <w:t xml:space="preserve"> </w:t>
      </w:r>
      <w:r w:rsidR="000024CB" w:rsidRPr="00D93FF9">
        <w:fldChar w:fldCharType="begin"/>
      </w:r>
      <w:r w:rsidR="00BE6DF0" w:rsidRPr="00D93FF9">
        <w:instrText xml:space="preserve"> ADDIN ZOTERO_ITEM CSL_CITATION {"citationID":"Kj1AN9JK","properties":{"formattedCitation":"(Efroymson et al., 1997b)","plainCitation":"(Efroymson et al., 1997b)","noteIndex":0},"citationItems":[{"id":33251,"uris":["http://zotero.org/users/1938757/items/IRVGAJHK"],"uri":["http://zotero.org/users/1938757/items/IRVGAJHK"],"itemData":{"id":33251,"type":"report","event-place":"Oak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II","given":"GW"},{"family":"Wooten","given":"A.C."}],"issued":{"date-parts":[["1997"]]}}}],"schema":"https://github.com/citation-style-language/schema/raw/master/csl-citation.json"} </w:instrText>
      </w:r>
      <w:r w:rsidR="000024CB" w:rsidRPr="00D93FF9">
        <w:fldChar w:fldCharType="separate"/>
      </w:r>
      <w:r w:rsidR="007C2051" w:rsidRPr="00D93FF9">
        <w:rPr>
          <w:rFonts w:ascii="Calibri" w:hAnsi="Calibri" w:cs="Calibri"/>
        </w:rPr>
        <w:t>(Efroymson et al. 1997b)</w:t>
      </w:r>
      <w:r w:rsidR="000024CB" w:rsidRPr="00D93FF9">
        <w:fldChar w:fldCharType="end"/>
      </w:r>
      <w:r w:rsidRPr="00D93FF9">
        <w:rPr>
          <w:lang w:val="en-GB"/>
        </w:rPr>
        <w:t xml:space="preserve">. </w:t>
      </w:r>
      <w:r w:rsidRPr="00D93FF9">
        <w:rPr>
          <w:spacing w:val="-3"/>
          <w:lang w:val="en-GB"/>
        </w:rPr>
        <w:t xml:space="preserve">Given </w:t>
      </w:r>
      <w:r w:rsidRPr="00D93FF9">
        <w:rPr>
          <w:lang w:val="en-GB"/>
        </w:rPr>
        <w:t xml:space="preserve">the </w:t>
      </w:r>
      <w:r w:rsidRPr="00D93FF9">
        <w:rPr>
          <w:spacing w:val="-3"/>
          <w:lang w:val="en-GB"/>
        </w:rPr>
        <w:t xml:space="preserve">evidence from </w:t>
      </w:r>
      <w:r w:rsidRPr="00D93FF9">
        <w:rPr>
          <w:lang w:val="en-GB"/>
        </w:rPr>
        <w:t xml:space="preserve">solution culture of potential direct lead toxicity to plants, the </w:t>
      </w:r>
      <w:r w:rsidR="00553FF9" w:rsidRPr="00D93FF9">
        <w:rPr>
          <w:lang w:val="en-GB"/>
        </w:rPr>
        <w:t>SGV</w:t>
      </w:r>
      <w:r w:rsidRPr="00D93FF9">
        <w:rPr>
          <w:lang w:val="en-GB"/>
        </w:rPr>
        <w:t xml:space="preserve"> and </w:t>
      </w:r>
      <w:r w:rsidR="00553FF9" w:rsidRPr="00D93FF9">
        <w:rPr>
          <w:lang w:val="en-GB"/>
        </w:rPr>
        <w:t>DGV</w:t>
      </w:r>
      <w:r w:rsidRPr="00D93FF9">
        <w:rPr>
          <w:lang w:val="en-GB"/>
        </w:rPr>
        <w:t xml:space="preserve"> </w:t>
      </w:r>
      <w:r w:rsidRPr="00D93FF9">
        <w:rPr>
          <w:spacing w:val="-3"/>
          <w:lang w:val="en-GB"/>
        </w:rPr>
        <w:t xml:space="preserve">have </w:t>
      </w:r>
      <w:r w:rsidRPr="00D93FF9">
        <w:rPr>
          <w:lang w:val="en-GB"/>
        </w:rPr>
        <w:t xml:space="preserve">been set </w:t>
      </w:r>
      <w:r w:rsidR="00A1143D" w:rsidRPr="00D93FF9">
        <w:rPr>
          <w:lang w:val="en-GB"/>
        </w:rPr>
        <w:t>to</w:t>
      </w:r>
      <w:r w:rsidRPr="00D93FF9">
        <w:rPr>
          <w:lang w:val="en-GB"/>
        </w:rPr>
        <w:t xml:space="preserve"> </w:t>
      </w:r>
      <w:r w:rsidRPr="00D93FF9">
        <w:rPr>
          <w:spacing w:val="-4"/>
          <w:lang w:val="en-GB"/>
        </w:rPr>
        <w:t xml:space="preserve">minimise </w:t>
      </w:r>
      <w:r w:rsidRPr="00D93FF9">
        <w:rPr>
          <w:lang w:val="en-GB"/>
        </w:rPr>
        <w:t xml:space="preserve">these </w:t>
      </w:r>
      <w:r w:rsidRPr="00D93FF9">
        <w:rPr>
          <w:spacing w:val="-3"/>
          <w:lang w:val="en-GB"/>
        </w:rPr>
        <w:t>risks</w:t>
      </w:r>
      <w:r w:rsidR="00A1143D" w:rsidRPr="00D93FF9">
        <w:rPr>
          <w:spacing w:val="-3"/>
          <w:lang w:val="en-GB"/>
        </w:rPr>
        <w:t xml:space="preserve"> recognising that lead is strongly retained by soils</w:t>
      </w:r>
      <w:r w:rsidRPr="00D93FF9">
        <w:rPr>
          <w:spacing w:val="-3"/>
          <w:lang w:val="en-GB"/>
        </w:rPr>
        <w:t xml:space="preserve">. Given </w:t>
      </w:r>
      <w:r w:rsidRPr="00D93FF9">
        <w:rPr>
          <w:lang w:val="en-GB"/>
        </w:rPr>
        <w:t xml:space="preserve">the existence of datasets for </w:t>
      </w:r>
      <w:r w:rsidRPr="00D93FF9">
        <w:rPr>
          <w:spacing w:val="-3"/>
          <w:lang w:val="en-GB"/>
        </w:rPr>
        <w:t xml:space="preserve">background </w:t>
      </w:r>
      <w:r w:rsidRPr="00D93FF9">
        <w:rPr>
          <w:lang w:val="en-GB"/>
        </w:rPr>
        <w:t xml:space="preserve">concentrations of lead in </w:t>
      </w:r>
      <w:r w:rsidRPr="00D93FF9">
        <w:rPr>
          <w:spacing w:val="-3"/>
          <w:lang w:val="en-GB"/>
        </w:rPr>
        <w:t xml:space="preserve">Australian </w:t>
      </w:r>
      <w:r w:rsidRPr="00D93FF9">
        <w:rPr>
          <w:lang w:val="en-GB"/>
        </w:rPr>
        <w:t xml:space="preserve">soils, and existing lead </w:t>
      </w:r>
      <w:r w:rsidRPr="00D93FF9">
        <w:rPr>
          <w:spacing w:val="-3"/>
          <w:lang w:val="en-GB"/>
        </w:rPr>
        <w:t xml:space="preserve">limits </w:t>
      </w:r>
      <w:r w:rsidRPr="00D93FF9">
        <w:rPr>
          <w:lang w:val="en-GB"/>
        </w:rPr>
        <w:t xml:space="preserve">for </w:t>
      </w:r>
      <w:r w:rsidRPr="00D93FF9">
        <w:rPr>
          <w:spacing w:val="-3"/>
          <w:lang w:val="en-GB"/>
        </w:rPr>
        <w:t xml:space="preserve">agricultural </w:t>
      </w:r>
      <w:r w:rsidRPr="00D93FF9">
        <w:rPr>
          <w:lang w:val="en-GB"/>
        </w:rPr>
        <w:t xml:space="preserve">soils </w:t>
      </w:r>
      <w:r w:rsidRPr="00D93FF9">
        <w:rPr>
          <w:spacing w:val="-3"/>
          <w:lang w:val="en-GB"/>
        </w:rPr>
        <w:t xml:space="preserve">receiving </w:t>
      </w:r>
      <w:r w:rsidRPr="00D93FF9">
        <w:rPr>
          <w:lang w:val="en-GB"/>
        </w:rPr>
        <w:t>biosolids</w:t>
      </w:r>
      <w:r w:rsidR="00A1143D" w:rsidRPr="00D93FF9">
        <w:t xml:space="preserve"> </w:t>
      </w:r>
      <w:r w:rsidR="00A93A40" w:rsidRPr="00D93FF9">
        <w:t xml:space="preserve">which are a maximum acceptable concentration of lead in soil of 150 mg/kg </w:t>
      </w:r>
      <w:r w:rsidR="00A1143D" w:rsidRPr="00D93FF9">
        <w:fldChar w:fldCharType="begin"/>
      </w:r>
      <w:r w:rsidR="00A93A40" w:rsidRPr="00D93FF9">
        <w:instrText xml:space="preserve"> ADDIN ZOTERO_ITEM CSL_CITATION {"citationID":"pknCBeHD","properties":{"formattedCitation":"(EPA NSW, 1997; DEHP Qld, 2016)","plainCitation":"(EPA NSW, 1997; DEHP Qld, 2016)","noteIndex":0},"citationItems":[{"id":4560,"uris":["http://zotero.org/users/1938757/items/R3DSS9VW"],"uri":["http://zotero.org/users/1938757/items/R3DSS9VW"],"itemData":{"id":4560,"type":"book","event-place":"Sydney","ISBN":"EPA 97/62","publisher":"Environment Protection Authority","publisher-place":"Sydney","title":"Environmental Guidelines. Use and disposal of biosolids products","URL":"http://www.environment.nsw.gov.au/water/biosolidsguide.htm","author":[{"family":"EPA NSW","given":""}],"issued":{"date-parts":[["1997"]]}}},{"id":24917,"uris":["http://zotero.org/users/1938757/items/N94G9UGC"],"uri":["http://zotero.org/users/1938757/items/N94G9UGC"],"itemData":{"id":24917,"type":"report","event-place":"Queensland, Australia","publisher":"Industry and Development Assessment, Environmental Services and Regulation Division, Department of Environment and Heritage Protection, State of Queensland","publisher-place":"Queensland, Australia","title":"General beneficial use approval for Biosolids Waste Reduction and Recycling Act 2011","URL":"http://www.ehp.qld.gov.au/assets/documents/regulation/wr-ga-biosolids.pdf","author":[{"family":"DEHP Qld","given":""}],"issued":{"date-parts":[["2016"]]}}}],"schema":"https://github.com/citation-style-language/schema/raw/master/csl-citation.json"} </w:instrText>
      </w:r>
      <w:r w:rsidR="00A1143D" w:rsidRPr="00D93FF9">
        <w:fldChar w:fldCharType="separate"/>
      </w:r>
      <w:r w:rsidR="00A93A40" w:rsidRPr="00D93FF9">
        <w:rPr>
          <w:rFonts w:ascii="Calibri" w:hAnsi="Calibri" w:cs="Calibri"/>
        </w:rPr>
        <w:t>(EPA NSW 1997; DEHP Qld 2016)</w:t>
      </w:r>
      <w:r w:rsidR="00A1143D" w:rsidRPr="00D93FF9">
        <w:fldChar w:fldCharType="end"/>
      </w:r>
      <w:r w:rsidRPr="00D93FF9">
        <w:rPr>
          <w:spacing w:val="-3"/>
          <w:lang w:val="en-GB"/>
        </w:rPr>
        <w:t xml:space="preserve">, </w:t>
      </w:r>
      <w:r w:rsidRPr="00D93FF9">
        <w:rPr>
          <w:lang w:val="en-GB"/>
        </w:rPr>
        <w:t xml:space="preserve">a lead </w:t>
      </w:r>
      <w:r w:rsidR="006D735C" w:rsidRPr="00D93FF9">
        <w:rPr>
          <w:lang w:val="en-GB"/>
        </w:rPr>
        <w:t>ACL</w:t>
      </w:r>
      <w:r w:rsidRPr="00D93FF9">
        <w:rPr>
          <w:lang w:val="en-GB"/>
        </w:rPr>
        <w:t xml:space="preserve"> has </w:t>
      </w:r>
      <w:r w:rsidRPr="00D93FF9">
        <w:rPr>
          <w:spacing w:val="-3"/>
          <w:lang w:val="en-GB"/>
        </w:rPr>
        <w:t xml:space="preserve">been derived </w:t>
      </w:r>
      <w:r w:rsidRPr="00D93FF9">
        <w:rPr>
          <w:lang w:val="en-GB"/>
        </w:rPr>
        <w:t xml:space="preserve">for </w:t>
      </w:r>
      <w:r w:rsidRPr="00D93FF9">
        <w:rPr>
          <w:spacing w:val="-3"/>
          <w:lang w:val="en-GB"/>
        </w:rPr>
        <w:t xml:space="preserve">soils receiving </w:t>
      </w:r>
      <w:r w:rsidRPr="00D93FF9">
        <w:rPr>
          <w:spacing w:val="-4"/>
          <w:lang w:val="en-GB"/>
        </w:rPr>
        <w:t>irrigation.</w:t>
      </w:r>
      <w:bookmarkStart w:id="257" w:name="9.2.5.14__Lithium"/>
      <w:bookmarkStart w:id="258" w:name="9.2.5.15__Manganese"/>
      <w:bookmarkEnd w:id="257"/>
      <w:bookmarkEnd w:id="258"/>
      <w:r w:rsidR="00A1143D" w:rsidRPr="00D93FF9">
        <w:rPr>
          <w:rFonts w:ascii="Arial"/>
          <w:sz w:val="20"/>
          <w:lang w:val="en-GB"/>
        </w:rPr>
        <w:t xml:space="preserve"> </w:t>
      </w:r>
      <w:r w:rsidR="001B1FA8" w:rsidRPr="00D93FF9">
        <w:rPr>
          <w:rFonts w:cstheme="minorHAnsi"/>
          <w:lang w:val="en-GB"/>
        </w:rPr>
        <w:t xml:space="preserve">The guideline also considers the </w:t>
      </w:r>
      <w:r w:rsidR="00A93A40" w:rsidRPr="00D93FF9">
        <w:rPr>
          <w:rFonts w:cstheme="minorHAnsi"/>
          <w:lang w:val="en-GB"/>
        </w:rPr>
        <w:t xml:space="preserve">Canadian guideline for lead in irrigation water </w:t>
      </w:r>
      <w:r w:rsidR="00022D55" w:rsidRPr="00D93FF9">
        <w:rPr>
          <w:rFonts w:cstheme="minorHAnsi"/>
          <w:lang w:val="en-GB"/>
        </w:rPr>
        <w:fldChar w:fldCharType="begin"/>
      </w:r>
      <w:r w:rsidR="00BE6DF0" w:rsidRPr="00D93FF9">
        <w:rPr>
          <w:rFonts w:cstheme="minorHAnsi"/>
          <w:lang w:val="en-GB"/>
        </w:rPr>
        <w:instrText xml:space="preserve"> ADDIN ZOTERO_ITEM CSL_CITATION {"citationID":"SU7HUEhx","properties":{"formattedCitation":"(CCME, 2021)","plainCitation":"(CCME, 2021)","noteIndex":0},"citationItems":[{"id":35278,"uris":["http://zotero.org/users/1938757/items/EQKXUASN"],"uri":["http://zotero.org/users/1938757/items/EQKXUASN"],"itemData":{"id":35278,"type":"report","event-place":"Winnipeg, MB, Canada","note":"http://ceqg-rcqe.ccme.ca/\n2020\nabberviations\nhttp://ceqg-rcqe.ccme.ca/download/en/90\nDate refers to last updated guideline value in download for all chemicals.","publisher":"Canadian Council of Ministers of the Environment","publisher-place":"Winnipeg, MB, Canada","title":"Canadian Water Quality Guidelines for the Protection of Agricultural Water Uses (Irrigation and Livestock Water).","URL":"https://ccme.ca/en/summary-table#void","author":[{"family":"CCME","given":""}],"accessed":{"date-parts":[["2021",3,9]]},"issued":{"date-parts":[["2021"]]}}}],"schema":"https://github.com/citation-style-language/schema/raw/master/csl-citation.json"} </w:instrText>
      </w:r>
      <w:r w:rsidR="00022D55" w:rsidRPr="00D93FF9">
        <w:rPr>
          <w:rFonts w:cstheme="minorHAnsi"/>
          <w:lang w:val="en-GB"/>
        </w:rPr>
        <w:fldChar w:fldCharType="separate"/>
      </w:r>
      <w:r w:rsidR="00022D55" w:rsidRPr="00D93FF9">
        <w:rPr>
          <w:rFonts w:cstheme="minorHAnsi"/>
        </w:rPr>
        <w:t>(CCME 2021)</w:t>
      </w:r>
      <w:r w:rsidR="00022D55" w:rsidRPr="00D93FF9">
        <w:rPr>
          <w:rFonts w:cstheme="minorHAnsi"/>
          <w:lang w:val="en-GB"/>
        </w:rPr>
        <w:fldChar w:fldCharType="end"/>
      </w:r>
      <w:r w:rsidR="00022D55" w:rsidRPr="00D93FF9">
        <w:rPr>
          <w:rFonts w:cstheme="minorHAnsi"/>
          <w:lang w:val="en-GB"/>
        </w:rPr>
        <w:t>.</w:t>
      </w:r>
    </w:p>
    <w:p w14:paraId="546AC065" w14:textId="77777777" w:rsidR="006975D0" w:rsidRDefault="006975D0" w:rsidP="003807A1">
      <w:pPr>
        <w:pStyle w:val="BodyText"/>
        <w:spacing w:after="0" w:line="266" w:lineRule="auto"/>
        <w:jc w:val="both"/>
        <w:rPr>
          <w:rFonts w:cstheme="minorHAnsi"/>
          <w:lang w:val="en-GB"/>
        </w:rPr>
      </w:pPr>
    </w:p>
    <w:p w14:paraId="72308B7E" w14:textId="77777777" w:rsidR="006975D0" w:rsidRPr="00D93FF9" w:rsidRDefault="006975D0" w:rsidP="003807A1">
      <w:pPr>
        <w:pStyle w:val="BodyText"/>
        <w:spacing w:after="0" w:line="266" w:lineRule="auto"/>
        <w:jc w:val="both"/>
        <w:rPr>
          <w:rFonts w:cstheme="minorHAnsi"/>
          <w:lang w:val="en-GB"/>
        </w:rPr>
      </w:pPr>
    </w:p>
    <w:p w14:paraId="59DCD31F" w14:textId="77777777" w:rsidR="00C46175" w:rsidRPr="00D93FF9" w:rsidRDefault="00C46175" w:rsidP="003807A1">
      <w:pPr>
        <w:pStyle w:val="BodyText"/>
        <w:spacing w:after="0"/>
        <w:rPr>
          <w:rFonts w:ascii="Arial"/>
          <w:sz w:val="15"/>
          <w:lang w:val="en-GB"/>
        </w:rPr>
      </w:pPr>
    </w:p>
    <w:p w14:paraId="355EF24E" w14:textId="77777777" w:rsidR="00FF5670" w:rsidRPr="00D93FF9" w:rsidRDefault="00FF5670" w:rsidP="003807A1">
      <w:pPr>
        <w:pStyle w:val="BodyText"/>
        <w:spacing w:after="0"/>
        <w:rPr>
          <w:rFonts w:ascii="Arial"/>
          <w:b/>
          <w:bCs/>
          <w:lang w:val="en-GB"/>
        </w:rPr>
      </w:pPr>
    </w:p>
    <w:p w14:paraId="59DCD32F" w14:textId="77777777" w:rsidR="00C46175" w:rsidRPr="00D93FF9" w:rsidRDefault="00E811B8" w:rsidP="00096243">
      <w:pPr>
        <w:pStyle w:val="Heading3"/>
        <w:rPr>
          <w:lang w:val="en-GB"/>
        </w:rPr>
      </w:pPr>
      <w:bookmarkStart w:id="259" w:name="_Toc96693592"/>
      <w:r w:rsidRPr="00D93FF9">
        <w:lastRenderedPageBreak/>
        <w:t>Lithium</w:t>
      </w:r>
      <w:bookmarkEnd w:id="259"/>
    </w:p>
    <w:p w14:paraId="59DCD330" w14:textId="77777777" w:rsidR="00C46175" w:rsidRPr="00D93FF9" w:rsidRDefault="00E811B8" w:rsidP="003E3DF0">
      <w:pPr>
        <w:pStyle w:val="Heading5"/>
        <w:spacing w:before="200" w:after="200" w:line="245" w:lineRule="auto"/>
        <w:ind w:left="284"/>
        <w:rPr>
          <w:i/>
          <w:iCs/>
          <w:lang w:val="en-GB"/>
        </w:rPr>
      </w:pPr>
      <w:r w:rsidRPr="00D93FF9">
        <w:rPr>
          <w:i/>
          <w:iCs/>
          <w:lang w:val="en-GB"/>
        </w:rPr>
        <w:t>It is recommended that the concentration of lithium in irrigation waters and soils should be less than the 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333" w14:textId="77777777" w:rsidTr="003E3DF0">
        <w:trPr>
          <w:trHeight w:val="318"/>
        </w:trPr>
        <w:tc>
          <w:tcPr>
            <w:tcW w:w="6240" w:type="dxa"/>
          </w:tcPr>
          <w:p w14:paraId="59DCD331"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332" w14:textId="77777777" w:rsidR="008E4C22" w:rsidRPr="00D93FF9" w:rsidRDefault="00E811B8" w:rsidP="003807A1">
            <w:pPr>
              <w:pStyle w:val="TableParagraph"/>
              <w:spacing w:before="0" w:after="0" w:line="259" w:lineRule="auto"/>
              <w:rPr>
                <w:rFonts w:asciiTheme="minorHAnsi" w:hAnsiTheme="minorHAnsi"/>
                <w:sz w:val="18"/>
                <w:szCs w:val="18"/>
                <w:lang w:val="en-GB"/>
              </w:rPr>
            </w:pPr>
            <w:r w:rsidRPr="00D93FF9">
              <w:rPr>
                <w:rFonts w:asciiTheme="minorHAnsi" w:hAnsiTheme="minorHAnsi"/>
                <w:sz w:val="18"/>
                <w:szCs w:val="18"/>
                <w:lang w:val="en-GB"/>
              </w:rPr>
              <w:t>0.075 mg/L (citrus)</w:t>
            </w:r>
          </w:p>
        </w:tc>
      </w:tr>
      <w:tr w:rsidR="00BE3AA8" w:rsidRPr="00D93FF9" w14:paraId="59DCD336" w14:textId="77777777" w:rsidTr="003E3DF0">
        <w:trPr>
          <w:trHeight w:val="318"/>
        </w:trPr>
        <w:tc>
          <w:tcPr>
            <w:tcW w:w="6240" w:type="dxa"/>
          </w:tcPr>
          <w:p w14:paraId="59DCD334"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335" w14:textId="77777777" w:rsidR="008E4C22" w:rsidRPr="00D93FF9" w:rsidRDefault="00E811B8" w:rsidP="003807A1">
            <w:pPr>
              <w:pStyle w:val="TableParagraph"/>
              <w:spacing w:before="0" w:after="0" w:line="259" w:lineRule="auto"/>
              <w:rPr>
                <w:rFonts w:asciiTheme="minorHAnsi" w:hAnsiTheme="minorHAnsi"/>
                <w:sz w:val="18"/>
                <w:szCs w:val="18"/>
                <w:lang w:val="en-GB"/>
              </w:rPr>
            </w:pPr>
            <w:r w:rsidRPr="00D93FF9">
              <w:rPr>
                <w:rFonts w:asciiTheme="minorHAnsi" w:hAnsiTheme="minorHAnsi"/>
                <w:sz w:val="18"/>
                <w:szCs w:val="18"/>
                <w:lang w:val="en-GB"/>
              </w:rPr>
              <w:t>0.075 to 2.5 mg/L</w:t>
            </w:r>
          </w:p>
        </w:tc>
      </w:tr>
      <w:tr w:rsidR="00BE3AA8" w:rsidRPr="00D93FF9" w14:paraId="59DCD339" w14:textId="77777777" w:rsidTr="003E3DF0">
        <w:trPr>
          <w:trHeight w:val="318"/>
        </w:trPr>
        <w:tc>
          <w:tcPr>
            <w:tcW w:w="6240" w:type="dxa"/>
          </w:tcPr>
          <w:p w14:paraId="59DCD337"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338"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Not determined</w:t>
            </w:r>
          </w:p>
        </w:tc>
      </w:tr>
    </w:tbl>
    <w:p w14:paraId="59DCD33A" w14:textId="77777777" w:rsidR="00C46175" w:rsidRPr="00D93FF9" w:rsidRDefault="00C46175" w:rsidP="003807A1">
      <w:pPr>
        <w:pStyle w:val="BodyText"/>
        <w:spacing w:after="0"/>
        <w:rPr>
          <w:b/>
          <w:i/>
          <w:lang w:val="en-GB"/>
        </w:rPr>
      </w:pPr>
    </w:p>
    <w:p w14:paraId="59DCD33B" w14:textId="77777777" w:rsidR="00C46175" w:rsidRPr="00D93FF9" w:rsidRDefault="00E811B8" w:rsidP="003807A1">
      <w:pPr>
        <w:pStyle w:val="BodyText"/>
        <w:spacing w:after="0" w:line="266" w:lineRule="auto"/>
        <w:jc w:val="both"/>
        <w:rPr>
          <w:lang w:val="en-GB"/>
        </w:rPr>
      </w:pPr>
      <w:r w:rsidRPr="00D93FF9">
        <w:rPr>
          <w:lang w:val="en-GB"/>
        </w:rPr>
        <w:t>Lithium generally occurs in association with aluminosilicate and aluminium fluorophosphates. Higher concentrations tend to be found in association with hot springs in arid hydrogeological conditions. Typical lithium concentrations in unpolluted freshwaters</w:t>
      </w:r>
      <w:r w:rsidRPr="00D93FF9">
        <w:rPr>
          <w:spacing w:val="47"/>
          <w:lang w:val="en-GB"/>
        </w:rPr>
        <w:t xml:space="preserve"> </w:t>
      </w:r>
      <w:r w:rsidRPr="00D93FF9">
        <w:rPr>
          <w:lang w:val="en-GB"/>
        </w:rPr>
        <w:t>are</w:t>
      </w:r>
      <w:r w:rsidR="003E3DF0" w:rsidRPr="00D93FF9">
        <w:rPr>
          <w:lang w:val="en-GB"/>
        </w:rPr>
        <w:t xml:space="preserve"> </w:t>
      </w:r>
      <w:r w:rsidRPr="00D93FF9">
        <w:rPr>
          <w:lang w:val="en-GB"/>
        </w:rPr>
        <w:t>0.02 mg/L. A monovalent cation, lithium is easily displaced by other cations in soil solution and is relatively mobile.</w:t>
      </w:r>
    </w:p>
    <w:p w14:paraId="59DCD33C" w14:textId="77777777" w:rsidR="00C46175" w:rsidRPr="00D93FF9" w:rsidRDefault="00E811B8" w:rsidP="00DE510C">
      <w:pPr>
        <w:pStyle w:val="Heading5"/>
        <w:rPr>
          <w:lang w:val="en-GB"/>
        </w:rPr>
      </w:pPr>
      <w:r w:rsidRPr="00D93FF9">
        <w:rPr>
          <w:lang w:val="en-GB"/>
        </w:rPr>
        <w:t>Crop yield and quality considerations</w:t>
      </w:r>
    </w:p>
    <w:p w14:paraId="59DCD33D" w14:textId="3CFBAFE9" w:rsidR="00C46175" w:rsidRPr="00D93FF9" w:rsidRDefault="00E811B8" w:rsidP="003807A1">
      <w:pPr>
        <w:pStyle w:val="BodyText"/>
        <w:spacing w:after="0" w:line="266" w:lineRule="auto"/>
        <w:jc w:val="both"/>
        <w:rPr>
          <w:lang w:val="en-GB"/>
        </w:rPr>
      </w:pPr>
      <w:r w:rsidRPr="00D93FF9">
        <w:rPr>
          <w:lang w:val="en-GB"/>
        </w:rPr>
        <w:t xml:space="preserve">No data </w:t>
      </w:r>
      <w:r w:rsidR="00CF5058" w:rsidRPr="00D93FF9">
        <w:rPr>
          <w:lang w:val="en-GB"/>
        </w:rPr>
        <w:t>is</w:t>
      </w:r>
      <w:r w:rsidRPr="00D93FF9">
        <w:rPr>
          <w:lang w:val="en-GB"/>
        </w:rPr>
        <w:t xml:space="preserve"> available on the background concentrations of lithium in Australian soils. Soil concentrations of </w:t>
      </w:r>
      <w:r w:rsidR="00F71AD6" w:rsidRPr="00D93FF9">
        <w:rPr>
          <w:lang w:val="en-GB"/>
        </w:rPr>
        <w:t xml:space="preserve">lithium </w:t>
      </w:r>
      <w:r w:rsidRPr="00D93FF9">
        <w:rPr>
          <w:lang w:val="en-GB"/>
        </w:rPr>
        <w:t>between 2 and 50</w:t>
      </w:r>
      <w:r w:rsidR="00F71AD6" w:rsidRPr="00D93FF9">
        <w:rPr>
          <w:lang w:val="en-GB"/>
        </w:rPr>
        <w:t>0</w:t>
      </w:r>
      <w:r w:rsidRPr="00D93FF9">
        <w:rPr>
          <w:lang w:val="en-GB"/>
        </w:rPr>
        <w:t xml:space="preserve"> mg /kg in soil </w:t>
      </w:r>
      <w:r w:rsidR="00F71AD6" w:rsidRPr="00D93FF9">
        <w:rPr>
          <w:lang w:val="en-GB"/>
        </w:rPr>
        <w:t>are</w:t>
      </w:r>
      <w:r w:rsidRPr="00D93FF9">
        <w:rPr>
          <w:lang w:val="en-GB"/>
        </w:rPr>
        <w:t xml:space="preserve"> toxic to a range of crops (</w:t>
      </w:r>
      <w:r w:rsidR="00F71AD6" w:rsidRPr="00D93FF9">
        <w:t>Efroymson et al. 1997b</w:t>
      </w:r>
      <w:r w:rsidRPr="00D93FF9">
        <w:rPr>
          <w:lang w:val="en-GB"/>
        </w:rPr>
        <w:t xml:space="preserve">), the lower values observed with citrus crops. Usually crops sensitive to sodium are also affected by high lithium concentrations, and lithium uptake appears to share the potassium transport carrier. Lithium has a similar (but less severe) effect on soil physical structure to sodium, however, phytotoxicity occurs at much lower concentrations than effects on soil structure (DWAF 1996). Potential direct toxic effects of lithium in irrigation waters are suggested from results of solution culture studies. Except for citrus trees, most crops can tolerate up to 5 mg/L lithium in nutrient solution (NAS/NAE 1973). </w:t>
      </w:r>
      <w:r w:rsidR="00F71AD6" w:rsidRPr="00D93FF9">
        <w:t>Efroymson et al. (1997b)</w:t>
      </w:r>
      <w:r w:rsidR="00F71AD6" w:rsidRPr="00D93FF9">
        <w:rPr>
          <w:lang w:val="en-GB"/>
        </w:rPr>
        <w:t xml:space="preserve"> </w:t>
      </w:r>
      <w:r w:rsidRPr="00D93FF9">
        <w:rPr>
          <w:lang w:val="en-GB"/>
        </w:rPr>
        <w:t>suggest a phytotoxicity benchmark of 3 mg/L in solution for crops excluding citrus. Citrus trees begin to show slight toxicity at concentrations of 0.06–0.1 mg/L in water (Bradford 1963). Lithium concentrations of 0.1–0.25 mg/L in irrigation water produced severe toxicity symptoms in grapefruit, and concentrations of 3.5 mg/L were toxic to sugar-beets (Hilgeman et al. 1970</w:t>
      </w:r>
      <w:r w:rsidR="002112B9" w:rsidRPr="00D93FF9">
        <w:rPr>
          <w:lang w:val="en-GB"/>
        </w:rPr>
        <w:t>;</w:t>
      </w:r>
      <w:r w:rsidRPr="00D93FF9">
        <w:rPr>
          <w:lang w:val="en-GB"/>
        </w:rPr>
        <w:t xml:space="preserve"> El-Sheikh et al. 1971). The </w:t>
      </w:r>
      <w:r w:rsidR="00553FF9" w:rsidRPr="00D93FF9">
        <w:rPr>
          <w:lang w:val="en-GB"/>
        </w:rPr>
        <w:t>SGV</w:t>
      </w:r>
      <w:r w:rsidRPr="00D93FF9">
        <w:rPr>
          <w:lang w:val="en-GB"/>
        </w:rPr>
        <w:t xml:space="preserve"> and </w:t>
      </w:r>
      <w:r w:rsidR="00553FF9" w:rsidRPr="00D93FF9">
        <w:rPr>
          <w:lang w:val="en-GB"/>
        </w:rPr>
        <w:t>DGV</w:t>
      </w:r>
      <w:r w:rsidRPr="00D93FF9">
        <w:rPr>
          <w:lang w:val="en-GB"/>
        </w:rPr>
        <w:t xml:space="preserve"> for lithium in irrigation waters have both been set at 2.5 mg/L, based on the potential for direct irrigation water toxicity to the majority of crops. However, if irrigation is applied to citrus crops a limit of 0.075 mg/L is recommended. Due to lack of data on lithium concentrations in soils or lithium toxicity thresholds in soils, a</w:t>
      </w:r>
      <w:r w:rsidR="00606CB4" w:rsidRPr="00D93FF9">
        <w:rPr>
          <w:lang w:val="en-GB"/>
        </w:rPr>
        <w:t>n</w:t>
      </w:r>
      <w:r w:rsidRPr="00D93FF9">
        <w:rPr>
          <w:lang w:val="en-GB"/>
        </w:rPr>
        <w:t xml:space="preserve"> </w:t>
      </w:r>
      <w:r w:rsidR="006D735C" w:rsidRPr="00D93FF9">
        <w:rPr>
          <w:lang w:val="en-GB"/>
        </w:rPr>
        <w:t>ACL</w:t>
      </w:r>
      <w:r w:rsidRPr="00D93FF9">
        <w:rPr>
          <w:lang w:val="en-GB"/>
        </w:rPr>
        <w:t xml:space="preserve"> limit has not been</w:t>
      </w:r>
      <w:r w:rsidRPr="00D93FF9">
        <w:rPr>
          <w:spacing w:val="-6"/>
          <w:lang w:val="en-GB"/>
        </w:rPr>
        <w:t xml:space="preserve"> </w:t>
      </w:r>
      <w:r w:rsidRPr="00D93FF9">
        <w:rPr>
          <w:lang w:val="en-GB"/>
        </w:rPr>
        <w:t>determined.</w:t>
      </w:r>
    </w:p>
    <w:p w14:paraId="59DCD33E" w14:textId="77777777" w:rsidR="00C46175" w:rsidRPr="00D93FF9" w:rsidRDefault="00C46175" w:rsidP="003807A1">
      <w:pPr>
        <w:pStyle w:val="BodyText"/>
        <w:spacing w:after="0"/>
        <w:rPr>
          <w:sz w:val="25"/>
          <w:lang w:val="en-GB"/>
        </w:rPr>
      </w:pPr>
    </w:p>
    <w:p w14:paraId="59DCD33F" w14:textId="77777777" w:rsidR="00C46175" w:rsidRPr="00D93FF9" w:rsidRDefault="00E811B8" w:rsidP="00096243">
      <w:pPr>
        <w:pStyle w:val="Heading3"/>
        <w:rPr>
          <w:lang w:val="en-GB"/>
        </w:rPr>
      </w:pPr>
      <w:bookmarkStart w:id="260" w:name="_Toc96693593"/>
      <w:r w:rsidRPr="00D93FF9">
        <w:t>Manganese</w:t>
      </w:r>
      <w:bookmarkEnd w:id="260"/>
    </w:p>
    <w:p w14:paraId="59DCD340" w14:textId="77777777" w:rsidR="00C46175" w:rsidRPr="00D93FF9" w:rsidRDefault="00E811B8" w:rsidP="00E66986">
      <w:pPr>
        <w:pStyle w:val="Heading5"/>
        <w:spacing w:before="200" w:after="200" w:line="245" w:lineRule="auto"/>
        <w:ind w:left="284"/>
        <w:rPr>
          <w:i/>
          <w:iCs/>
          <w:lang w:val="en-GB"/>
        </w:rPr>
      </w:pPr>
      <w:r w:rsidRPr="00D93FF9">
        <w:rPr>
          <w:i/>
          <w:iCs/>
          <w:lang w:val="en-GB"/>
        </w:rPr>
        <w:t>It is recommended that the concentration of manganese in irrigation waters and soils should be less than the 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343" w14:textId="77777777" w:rsidTr="00E66986">
        <w:trPr>
          <w:trHeight w:val="318"/>
        </w:trPr>
        <w:tc>
          <w:tcPr>
            <w:tcW w:w="6240" w:type="dxa"/>
          </w:tcPr>
          <w:p w14:paraId="59DCD341"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342"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0.2 mg/L</w:t>
            </w:r>
          </w:p>
        </w:tc>
      </w:tr>
      <w:tr w:rsidR="00BE3AA8" w:rsidRPr="00D93FF9" w14:paraId="59DCD346" w14:textId="77777777" w:rsidTr="00E66986">
        <w:trPr>
          <w:trHeight w:val="318"/>
        </w:trPr>
        <w:tc>
          <w:tcPr>
            <w:tcW w:w="6240" w:type="dxa"/>
          </w:tcPr>
          <w:p w14:paraId="59DCD344"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345"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10 mg/L</w:t>
            </w:r>
          </w:p>
        </w:tc>
      </w:tr>
      <w:tr w:rsidR="00BE3AA8" w:rsidRPr="00D93FF9" w14:paraId="59DCD349" w14:textId="77777777" w:rsidTr="00E66986">
        <w:trPr>
          <w:trHeight w:val="318"/>
        </w:trPr>
        <w:tc>
          <w:tcPr>
            <w:tcW w:w="6240" w:type="dxa"/>
          </w:tcPr>
          <w:p w14:paraId="59DCD347"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348"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Not determined</w:t>
            </w:r>
          </w:p>
        </w:tc>
      </w:tr>
    </w:tbl>
    <w:p w14:paraId="59DCD34A" w14:textId="77777777" w:rsidR="00C46175" w:rsidRPr="00D93FF9" w:rsidRDefault="00C46175" w:rsidP="003807A1">
      <w:pPr>
        <w:pStyle w:val="BodyText"/>
        <w:spacing w:after="0"/>
        <w:rPr>
          <w:b/>
          <w:i/>
          <w:sz w:val="24"/>
          <w:lang w:val="en-GB"/>
        </w:rPr>
      </w:pPr>
    </w:p>
    <w:p w14:paraId="59DCD34B" w14:textId="3BE26DA3" w:rsidR="00F71AD6" w:rsidRPr="00D93FF9" w:rsidRDefault="00E811B8" w:rsidP="003807A1">
      <w:pPr>
        <w:pStyle w:val="BodyText"/>
        <w:spacing w:after="0" w:line="266" w:lineRule="auto"/>
        <w:jc w:val="both"/>
      </w:pPr>
      <w:r w:rsidRPr="00D93FF9">
        <w:rPr>
          <w:lang w:val="en-GB"/>
        </w:rPr>
        <w:t xml:space="preserve">Manganese is present in the environment in the divalent (Mn(II)), tetravalent (Mn(IV)), and heptavalent </w:t>
      </w:r>
      <w:r w:rsidRPr="00D93FF9">
        <w:t xml:space="preserve">(Mn(VII)) states. Most of the divalent compounds are soluble in water </w:t>
      </w:r>
      <w:r w:rsidRPr="00D93FF9">
        <w:fldChar w:fldCharType="begin"/>
      </w:r>
      <w:r w:rsidR="007C2051" w:rsidRPr="00D93FF9">
        <w:instrText xml:space="preserve"> ADDIN ZOTERO_ITEM CSL_CITATION {"citationID":"1zZryRDV","properties":{"formattedCitation":"(NHMRC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fldChar w:fldCharType="separate"/>
      </w:r>
      <w:r w:rsidR="007C2051" w:rsidRPr="00D93FF9">
        <w:rPr>
          <w:rFonts w:ascii="Calibri" w:hAnsi="Calibri" w:cs="Calibri"/>
        </w:rPr>
        <w:t>(NHMRC and NRMMC, 2011)</w:t>
      </w:r>
      <w:r w:rsidRPr="00D93FF9">
        <w:fldChar w:fldCharType="end"/>
      </w:r>
      <w:r w:rsidRPr="00D93FF9">
        <w:t>. The most common tetravalent compound, manganese dioxide, is insoluble; however, the heptavalent permanganate is soluble.</w:t>
      </w:r>
    </w:p>
    <w:p w14:paraId="59DCD34C" w14:textId="77777777" w:rsidR="00F71AD6" w:rsidRPr="00D93FF9" w:rsidRDefault="00F71AD6" w:rsidP="003807A1">
      <w:pPr>
        <w:pStyle w:val="BodyText"/>
        <w:spacing w:after="0" w:line="266" w:lineRule="auto"/>
        <w:rPr>
          <w:bCs/>
          <w:iCs/>
          <w:sz w:val="24"/>
          <w:lang w:val="en-GB"/>
        </w:rPr>
      </w:pPr>
    </w:p>
    <w:p w14:paraId="59DCD34D" w14:textId="77777777" w:rsidR="00C46175" w:rsidRPr="00D93FF9" w:rsidRDefault="00E811B8" w:rsidP="00DE510C">
      <w:pPr>
        <w:pStyle w:val="Heading5"/>
        <w:rPr>
          <w:lang w:val="en-GB"/>
        </w:rPr>
      </w:pPr>
      <w:r w:rsidRPr="00D93FF9">
        <w:rPr>
          <w:lang w:val="en-GB"/>
        </w:rPr>
        <w:t>Crop yield and quality considerations</w:t>
      </w:r>
    </w:p>
    <w:p w14:paraId="59DCD34E" w14:textId="43B50684" w:rsidR="00F71AD6" w:rsidRPr="00D93FF9" w:rsidRDefault="00E811B8" w:rsidP="003807A1">
      <w:pPr>
        <w:pStyle w:val="BodyText"/>
        <w:spacing w:after="0" w:line="266" w:lineRule="auto"/>
        <w:jc w:val="both"/>
      </w:pPr>
      <w:r w:rsidRPr="00D93FF9">
        <w:t xml:space="preserve">Uncontaminated rivers and streams generally have low manganese concentrations, ranging from 0.001 mg/L to 0.6 mg/L </w:t>
      </w:r>
      <w:r w:rsidRPr="00D93FF9">
        <w:fldChar w:fldCharType="begin"/>
      </w:r>
      <w:r w:rsidR="007C2051" w:rsidRPr="00D93FF9">
        <w:instrText xml:space="preserve"> ADDIN ZOTERO_ITEM CSL_CITATION {"citationID":"Kdgpi7Xd","properties":{"formattedCitation":"(NHMRC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fldChar w:fldCharType="separate"/>
      </w:r>
      <w:r w:rsidR="007C2051" w:rsidRPr="00D93FF9">
        <w:rPr>
          <w:rFonts w:ascii="Calibri" w:hAnsi="Calibri" w:cs="Calibri"/>
        </w:rPr>
        <w:t>(NHMRC and NRMMC 2011)</w:t>
      </w:r>
      <w:r w:rsidRPr="00D93FF9">
        <w:fldChar w:fldCharType="end"/>
      </w:r>
      <w:r w:rsidRPr="00D93FF9">
        <w:t>. High concentrations may occur in polluted rivers or under anoxic conditions, such as at the bottom of deep reservoirs or lakes or in groundwater. Staining problems associated with natural waters containing high concentrations of Mn</w:t>
      </w:r>
      <w:r w:rsidRPr="00D93FF9">
        <w:rPr>
          <w:position w:val="5"/>
          <w:sz w:val="15"/>
        </w:rPr>
        <w:t xml:space="preserve">2+ </w:t>
      </w:r>
      <w:r w:rsidRPr="00D93FF9">
        <w:t>are due to oxidation of the Mn</w:t>
      </w:r>
      <w:r w:rsidRPr="00D93FF9">
        <w:rPr>
          <w:position w:val="5"/>
          <w:sz w:val="15"/>
        </w:rPr>
        <w:t xml:space="preserve">2+ </w:t>
      </w:r>
      <w:r w:rsidRPr="00D93FF9">
        <w:t xml:space="preserve">to </w:t>
      </w:r>
      <w:r w:rsidRPr="00D93FF9">
        <w:rPr>
          <w:spacing w:val="2"/>
        </w:rPr>
        <w:t xml:space="preserve">form </w:t>
      </w:r>
      <w:r w:rsidRPr="00D93FF9">
        <w:t>a black hydrated oxide</w:t>
      </w:r>
      <w:r w:rsidRPr="00D93FF9">
        <w:rPr>
          <w:spacing w:val="13"/>
        </w:rPr>
        <w:t xml:space="preserve"> </w:t>
      </w:r>
      <w:r w:rsidRPr="00D93FF9">
        <w:rPr>
          <w:spacing w:val="2"/>
        </w:rPr>
        <w:t>(MnO</w:t>
      </w:r>
      <w:r w:rsidRPr="00D93FF9">
        <w:rPr>
          <w:spacing w:val="2"/>
          <w:position w:val="-4"/>
          <w:sz w:val="15"/>
        </w:rPr>
        <w:t>2</w:t>
      </w:r>
      <w:r w:rsidRPr="00D93FF9">
        <w:rPr>
          <w:spacing w:val="2"/>
        </w:rPr>
        <w:t>).</w:t>
      </w:r>
    </w:p>
    <w:p w14:paraId="59DCD34F" w14:textId="354E4EFC" w:rsidR="00623C84" w:rsidRPr="00D93FF9" w:rsidRDefault="00E811B8" w:rsidP="003807A1">
      <w:pPr>
        <w:pStyle w:val="BodyText"/>
        <w:spacing w:after="0" w:line="266" w:lineRule="auto"/>
        <w:jc w:val="both"/>
      </w:pPr>
      <w:r w:rsidRPr="00D93FF9">
        <w:rPr>
          <w:lang w:val="en-GB"/>
        </w:rPr>
        <w:t xml:space="preserve">Manganese is a major constituent of soils and its solubility is controlled by pH </w:t>
      </w:r>
      <w:r w:rsidRPr="00D93FF9">
        <w:rPr>
          <w:spacing w:val="2"/>
          <w:lang w:val="en-GB"/>
        </w:rPr>
        <w:t xml:space="preserve">and </w:t>
      </w:r>
      <w:r w:rsidRPr="00D93FF9">
        <w:rPr>
          <w:lang w:val="en-GB"/>
        </w:rPr>
        <w:t>oxidation-reduction reactions, which control solubility and sorption reactions of manganese</w:t>
      </w:r>
      <w:r w:rsidRPr="00D93FF9">
        <w:rPr>
          <w:spacing w:val="32"/>
          <w:lang w:val="en-GB"/>
        </w:rPr>
        <w:t xml:space="preserve"> </w:t>
      </w:r>
      <w:r w:rsidRPr="00D93FF9">
        <w:rPr>
          <w:lang w:val="en-GB"/>
        </w:rPr>
        <w:t>with</w:t>
      </w:r>
      <w:r w:rsidRPr="00D93FF9">
        <w:rPr>
          <w:spacing w:val="32"/>
          <w:lang w:val="en-GB"/>
        </w:rPr>
        <w:t xml:space="preserve"> </w:t>
      </w:r>
      <w:r w:rsidRPr="00D93FF9">
        <w:rPr>
          <w:lang w:val="en-GB"/>
        </w:rPr>
        <w:t>soil.</w:t>
      </w:r>
      <w:r w:rsidRPr="00D93FF9">
        <w:rPr>
          <w:spacing w:val="32"/>
          <w:lang w:val="en-GB"/>
        </w:rPr>
        <w:t xml:space="preserve"> </w:t>
      </w:r>
      <w:r w:rsidRPr="00D93FF9">
        <w:rPr>
          <w:lang w:val="en-GB"/>
        </w:rPr>
        <w:t>Manganese</w:t>
      </w:r>
      <w:r w:rsidRPr="00D93FF9">
        <w:rPr>
          <w:spacing w:val="32"/>
          <w:lang w:val="en-GB"/>
        </w:rPr>
        <w:t xml:space="preserve"> </w:t>
      </w:r>
      <w:r w:rsidRPr="00D93FF9">
        <w:rPr>
          <w:lang w:val="en-GB"/>
        </w:rPr>
        <w:t>in</w:t>
      </w:r>
      <w:r w:rsidRPr="00D93FF9">
        <w:rPr>
          <w:spacing w:val="32"/>
          <w:lang w:val="en-GB"/>
        </w:rPr>
        <w:t xml:space="preserve"> </w:t>
      </w:r>
      <w:r w:rsidRPr="00D93FF9">
        <w:rPr>
          <w:lang w:val="en-GB"/>
        </w:rPr>
        <w:t>soil</w:t>
      </w:r>
      <w:r w:rsidRPr="00D93FF9">
        <w:rPr>
          <w:spacing w:val="32"/>
          <w:lang w:val="en-GB"/>
        </w:rPr>
        <w:t xml:space="preserve"> </w:t>
      </w:r>
      <w:r w:rsidRPr="00D93FF9">
        <w:rPr>
          <w:lang w:val="en-GB"/>
        </w:rPr>
        <w:t>solution</w:t>
      </w:r>
      <w:r w:rsidRPr="00D93FF9">
        <w:rPr>
          <w:spacing w:val="32"/>
          <w:lang w:val="en-GB"/>
        </w:rPr>
        <w:t xml:space="preserve"> </w:t>
      </w:r>
      <w:r w:rsidRPr="00D93FF9">
        <w:rPr>
          <w:lang w:val="en-GB"/>
        </w:rPr>
        <w:t>is</w:t>
      </w:r>
      <w:r w:rsidRPr="00D93FF9">
        <w:rPr>
          <w:spacing w:val="32"/>
          <w:lang w:val="en-GB"/>
        </w:rPr>
        <w:t xml:space="preserve"> </w:t>
      </w:r>
      <w:r w:rsidRPr="00D93FF9">
        <w:rPr>
          <w:lang w:val="en-GB"/>
        </w:rPr>
        <w:t>found</w:t>
      </w:r>
      <w:r w:rsidRPr="00D93FF9">
        <w:rPr>
          <w:spacing w:val="32"/>
          <w:lang w:val="en-GB"/>
        </w:rPr>
        <w:t xml:space="preserve"> </w:t>
      </w:r>
      <w:r w:rsidRPr="00D93FF9">
        <w:rPr>
          <w:lang w:val="en-GB"/>
        </w:rPr>
        <w:t>predominantly</w:t>
      </w:r>
      <w:r w:rsidRPr="00D93FF9">
        <w:rPr>
          <w:spacing w:val="28"/>
          <w:lang w:val="en-GB"/>
        </w:rPr>
        <w:t xml:space="preserve"> </w:t>
      </w:r>
      <w:r w:rsidRPr="00D93FF9">
        <w:rPr>
          <w:lang w:val="en-GB"/>
        </w:rPr>
        <w:t>as</w:t>
      </w:r>
      <w:r w:rsidRPr="00D93FF9">
        <w:rPr>
          <w:spacing w:val="35"/>
          <w:lang w:val="en-GB"/>
        </w:rPr>
        <w:t xml:space="preserve"> </w:t>
      </w:r>
      <w:r w:rsidRPr="00D93FF9">
        <w:rPr>
          <w:lang w:val="en-GB"/>
        </w:rPr>
        <w:t>the</w:t>
      </w:r>
      <w:r w:rsidRPr="00D93FF9">
        <w:rPr>
          <w:spacing w:val="34"/>
          <w:lang w:val="en-GB"/>
        </w:rPr>
        <w:t xml:space="preserve"> </w:t>
      </w:r>
      <w:r w:rsidRPr="00D93FF9">
        <w:rPr>
          <w:lang w:val="en-GB"/>
        </w:rPr>
        <w:t>Mn</w:t>
      </w:r>
      <w:r w:rsidRPr="00D93FF9">
        <w:rPr>
          <w:position w:val="5"/>
          <w:sz w:val="15"/>
          <w:lang w:val="en-GB"/>
        </w:rPr>
        <w:t>2+</w:t>
      </w:r>
      <w:r w:rsidRPr="00D93FF9">
        <w:rPr>
          <w:spacing w:val="31"/>
          <w:position w:val="5"/>
          <w:sz w:val="15"/>
          <w:lang w:val="en-GB"/>
        </w:rPr>
        <w:t xml:space="preserve"> </w:t>
      </w:r>
      <w:r w:rsidRPr="00D93FF9">
        <w:rPr>
          <w:lang w:val="en-GB"/>
        </w:rPr>
        <w:t>ion</w:t>
      </w:r>
      <w:bookmarkStart w:id="261" w:name="9.2.5.16__Mercury"/>
      <w:bookmarkEnd w:id="261"/>
      <w:r w:rsidR="00606CB4" w:rsidRPr="00D93FF9">
        <w:rPr>
          <w:lang w:val="en-GB"/>
        </w:rPr>
        <w:t xml:space="preserve"> </w:t>
      </w:r>
      <w:r w:rsidRPr="00D93FF9">
        <w:t xml:space="preserve">is increased under reducing conditions (waterlogging) and low soil pH values. Toxicity to a number of crops usually only occurs in acid soils </w:t>
      </w:r>
      <w:r w:rsidRPr="00D93FF9">
        <w:fldChar w:fldCharType="begin"/>
      </w:r>
      <w:r w:rsidR="007C2051" w:rsidRPr="00D93FF9">
        <w:instrText xml:space="preserve"> ADDIN ZOTERO_ITEM CSL_CITATION {"citationID":"tFZuSDVS","properties":{"formattedCitation":"(WHO, 2006)","plainCitation":"(WHO, 2006)","noteIndex":0},"citationItems":[{"id":745,"uris":["http://zotero.org/users/1938757/items/5VGB53CD"],"uri":["http://zotero.org/users/1938757/items/5VGB53CD"],"itemData":{"id":745,"type":"report","event-place":"Geneva,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Agriculture","URL":"https://www.who.int/water_sanitation_health/publications/gsuweg2/en/","author":[{"family":"WHO","given":""}],"issued":{"date-parts":[["2006"]]}}}],"schema":"https://github.com/citation-style-language/schema/raw/master/csl-citation.json"} </w:instrText>
      </w:r>
      <w:r w:rsidRPr="00D93FF9">
        <w:fldChar w:fldCharType="separate"/>
      </w:r>
      <w:r w:rsidR="007C2051" w:rsidRPr="00D93FF9">
        <w:rPr>
          <w:rFonts w:ascii="Calibri" w:hAnsi="Calibri" w:cs="Calibri"/>
        </w:rPr>
        <w:t>(WHO 2006)</w:t>
      </w:r>
      <w:r w:rsidRPr="00D93FF9">
        <w:fldChar w:fldCharType="end"/>
      </w:r>
      <w:r w:rsidRPr="00D93FF9">
        <w:t xml:space="preserve">. </w:t>
      </w:r>
    </w:p>
    <w:p w14:paraId="59DCD350" w14:textId="067783FF" w:rsidR="00C46175" w:rsidRPr="00D93FF9" w:rsidRDefault="00E811B8" w:rsidP="00606CB4">
      <w:pPr>
        <w:pStyle w:val="BodyText"/>
        <w:spacing w:after="0" w:line="266" w:lineRule="auto"/>
        <w:jc w:val="both"/>
        <w:rPr>
          <w:lang w:val="en-GB"/>
        </w:rPr>
      </w:pPr>
      <w:r w:rsidRPr="00D93FF9">
        <w:rPr>
          <w:lang w:val="en-GB"/>
        </w:rPr>
        <w:t>Manganese is essential for plant growth, as it is involved in nitrogen metabolism and chlorophyll</w:t>
      </w:r>
      <w:r w:rsidR="0078118C" w:rsidRPr="00D93FF9">
        <w:rPr>
          <w:lang w:val="en-GB"/>
        </w:rPr>
        <w:t xml:space="preserve"> synthesis</w:t>
      </w:r>
      <w:r w:rsidRPr="00D93FF9">
        <w:rPr>
          <w:lang w:val="en-GB"/>
        </w:rPr>
        <w:t>. Manganese is low in toxicity to animals and humans unless ingested in large amounts (</w:t>
      </w:r>
      <w:r w:rsidR="0078118C" w:rsidRPr="00D93FF9">
        <w:t>NHMRC and NRMMC 2011; WHO 2011</w:t>
      </w:r>
      <w:r w:rsidRPr="00D93FF9">
        <w:rPr>
          <w:lang w:val="en-GB"/>
        </w:rPr>
        <w:t>. However, at high concentrations in solution, manganese may be highly toxic to plants, especially to root growth in acidic soils. In nutrient solutions, toxicity to plant roots occurs at solution concentrations as low as 0.75 mg/L (</w:t>
      </w:r>
      <w:r w:rsidR="0078118C" w:rsidRPr="00D93FF9">
        <w:t>Efroymson et al. 1997b</w:t>
      </w:r>
      <w:r w:rsidRPr="00D93FF9">
        <w:rPr>
          <w:lang w:val="en-GB"/>
        </w:rPr>
        <w:t>). Manganese may also cause clogging of irrigation equipment due to oxidation of Mn</w:t>
      </w:r>
      <w:r w:rsidRPr="00D93FF9">
        <w:rPr>
          <w:position w:val="5"/>
          <w:sz w:val="15"/>
          <w:lang w:val="en-GB"/>
        </w:rPr>
        <w:t xml:space="preserve">2+ </w:t>
      </w:r>
      <w:r w:rsidRPr="00D93FF9">
        <w:rPr>
          <w:lang w:val="en-GB"/>
        </w:rPr>
        <w:t>to MnO</w:t>
      </w:r>
      <w:r w:rsidRPr="00D93FF9">
        <w:rPr>
          <w:position w:val="-4"/>
          <w:sz w:val="15"/>
          <w:lang w:val="en-GB"/>
        </w:rPr>
        <w:t>2</w:t>
      </w:r>
      <w:r w:rsidR="0078118C" w:rsidRPr="00D93FF9">
        <w:rPr>
          <w:lang w:val="en-GB"/>
        </w:rPr>
        <w:t xml:space="preserve"> (</w:t>
      </w:r>
      <w:r w:rsidR="0078118C" w:rsidRPr="00D93FF9">
        <w:t>WHO 2006)</w:t>
      </w:r>
      <w:r w:rsidRPr="00D93FF9">
        <w:rPr>
          <w:lang w:val="en-GB"/>
        </w:rPr>
        <w:t xml:space="preserve"> </w:t>
      </w:r>
      <w:r w:rsidR="00553FF9" w:rsidRPr="00D93FF9">
        <w:rPr>
          <w:lang w:val="en-GB"/>
        </w:rPr>
        <w:t>DGV</w:t>
      </w:r>
      <w:r w:rsidRPr="00D93FF9">
        <w:rPr>
          <w:lang w:val="en-GB"/>
        </w:rPr>
        <w:t xml:space="preserve"> and </w:t>
      </w:r>
      <w:r w:rsidR="00553FF9" w:rsidRPr="00D93FF9">
        <w:rPr>
          <w:lang w:val="en-GB"/>
        </w:rPr>
        <w:t>SGV</w:t>
      </w:r>
      <w:r w:rsidRPr="00D93FF9">
        <w:rPr>
          <w:lang w:val="en-GB"/>
        </w:rPr>
        <w:t xml:space="preserve"> guidelines have been set to protect against direct phytotoxicity and damage to irrigation infrastructure. A</w:t>
      </w:r>
      <w:r w:rsidR="00606CB4" w:rsidRPr="00D93FF9">
        <w:rPr>
          <w:lang w:val="en-GB"/>
        </w:rPr>
        <w:t>n</w:t>
      </w:r>
      <w:r w:rsidRPr="00D93FF9">
        <w:rPr>
          <w:lang w:val="en-GB"/>
        </w:rPr>
        <w:t xml:space="preserve"> </w:t>
      </w:r>
      <w:r w:rsidR="006D735C" w:rsidRPr="00D93FF9">
        <w:rPr>
          <w:lang w:val="en-GB"/>
        </w:rPr>
        <w:t>ACL</w:t>
      </w:r>
      <w:r w:rsidRPr="00D93FF9">
        <w:rPr>
          <w:lang w:val="en-GB"/>
        </w:rPr>
        <w:t xml:space="preserve"> for manganese has not been determined as it is inappropriate to set a</w:t>
      </w:r>
      <w:r w:rsidR="00606CB4" w:rsidRPr="00D93FF9">
        <w:rPr>
          <w:lang w:val="en-GB"/>
        </w:rPr>
        <w:t>n</w:t>
      </w:r>
      <w:r w:rsidRPr="00D93FF9">
        <w:rPr>
          <w:lang w:val="en-GB"/>
        </w:rPr>
        <w:t xml:space="preserve"> </w:t>
      </w:r>
      <w:r w:rsidR="006D735C" w:rsidRPr="00D93FF9">
        <w:rPr>
          <w:lang w:val="en-GB"/>
        </w:rPr>
        <w:t>ACL</w:t>
      </w:r>
      <w:r w:rsidRPr="00D93FF9">
        <w:rPr>
          <w:lang w:val="en-GB"/>
        </w:rPr>
        <w:t xml:space="preserve"> for a major soil constituent.</w:t>
      </w:r>
    </w:p>
    <w:p w14:paraId="59DCD351" w14:textId="77777777" w:rsidR="00C46175" w:rsidRPr="00D93FF9" w:rsidRDefault="00C46175" w:rsidP="003807A1">
      <w:pPr>
        <w:pStyle w:val="BodyText"/>
        <w:spacing w:after="0"/>
        <w:rPr>
          <w:sz w:val="27"/>
          <w:lang w:val="en-GB"/>
        </w:rPr>
      </w:pPr>
    </w:p>
    <w:p w14:paraId="59DCD352" w14:textId="77777777" w:rsidR="00C46175" w:rsidRPr="00D93FF9" w:rsidRDefault="00E811B8" w:rsidP="00096243">
      <w:pPr>
        <w:pStyle w:val="Heading3"/>
        <w:rPr>
          <w:lang w:val="en-GB"/>
        </w:rPr>
      </w:pPr>
      <w:bookmarkStart w:id="262" w:name="_Toc96693594"/>
      <w:r w:rsidRPr="00D93FF9">
        <w:t>Mercury</w:t>
      </w:r>
      <w:bookmarkEnd w:id="262"/>
    </w:p>
    <w:p w14:paraId="59DCD353" w14:textId="77777777" w:rsidR="00C46175" w:rsidRPr="00D93FF9" w:rsidRDefault="00E811B8" w:rsidP="00E66986">
      <w:pPr>
        <w:pStyle w:val="Heading5"/>
        <w:spacing w:before="200" w:after="200" w:line="245" w:lineRule="auto"/>
        <w:ind w:left="284"/>
        <w:rPr>
          <w:i/>
          <w:iCs/>
          <w:lang w:val="en-GB"/>
        </w:rPr>
      </w:pPr>
      <w:r w:rsidRPr="00D93FF9">
        <w:rPr>
          <w:i/>
          <w:iCs/>
          <w:lang w:val="en-GB"/>
        </w:rPr>
        <w:t>It is recommended that the concentration of mercury in irrigation waters and soils should be less than the 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356" w14:textId="77777777" w:rsidTr="00E66986">
        <w:trPr>
          <w:trHeight w:val="318"/>
        </w:trPr>
        <w:tc>
          <w:tcPr>
            <w:tcW w:w="6240" w:type="dxa"/>
          </w:tcPr>
          <w:p w14:paraId="59DCD354" w14:textId="77777777" w:rsidR="008E4C22" w:rsidRPr="00D93FF9" w:rsidRDefault="00E811B8" w:rsidP="003807A1">
            <w:pPr>
              <w:pStyle w:val="TableParagraph"/>
              <w:spacing w:before="0" w:after="0"/>
              <w:rPr>
                <w:sz w:val="16"/>
                <w:lang w:val="en-GB"/>
              </w:rPr>
            </w:pPr>
            <w:r w:rsidRPr="00D93FF9">
              <w:rPr>
                <w:sz w:val="16"/>
                <w:lang w:val="en-GB"/>
              </w:rPr>
              <w:t>DGV Default guideline value in irrigation water</w:t>
            </w:r>
          </w:p>
        </w:tc>
        <w:tc>
          <w:tcPr>
            <w:tcW w:w="2160" w:type="dxa"/>
          </w:tcPr>
          <w:p w14:paraId="59DCD355" w14:textId="77777777" w:rsidR="008E4C22" w:rsidRPr="00D93FF9" w:rsidRDefault="00E811B8" w:rsidP="003807A1">
            <w:pPr>
              <w:pStyle w:val="TableParagraph"/>
              <w:spacing w:before="0" w:after="0"/>
              <w:rPr>
                <w:sz w:val="16"/>
                <w:lang w:val="en-GB"/>
              </w:rPr>
            </w:pPr>
            <w:r w:rsidRPr="00D93FF9">
              <w:rPr>
                <w:sz w:val="16"/>
                <w:lang w:val="en-GB"/>
              </w:rPr>
              <w:t>0.002 mg/L</w:t>
            </w:r>
          </w:p>
        </w:tc>
      </w:tr>
      <w:tr w:rsidR="00BE3AA8" w:rsidRPr="00D93FF9" w14:paraId="59DCD359" w14:textId="77777777" w:rsidTr="00E66986">
        <w:trPr>
          <w:trHeight w:val="318"/>
        </w:trPr>
        <w:tc>
          <w:tcPr>
            <w:tcW w:w="6240" w:type="dxa"/>
          </w:tcPr>
          <w:p w14:paraId="59DCD357" w14:textId="77777777" w:rsidR="008E4C22" w:rsidRPr="00D93FF9" w:rsidRDefault="00E811B8" w:rsidP="003807A1">
            <w:pPr>
              <w:pStyle w:val="TableParagraph"/>
              <w:tabs>
                <w:tab w:val="left" w:pos="4679"/>
              </w:tabs>
              <w:spacing w:before="0" w:after="0"/>
              <w:rPr>
                <w:b/>
                <w:sz w:val="16"/>
                <w:lang w:val="en-GB"/>
              </w:rPr>
            </w:pPr>
            <w:r w:rsidRPr="00D93FF9">
              <w:rPr>
                <w:sz w:val="16"/>
                <w:lang w:val="en-GB"/>
              </w:rPr>
              <w:t>SGV Site specific guideline value in</w:t>
            </w:r>
            <w:r w:rsidRPr="00D93FF9">
              <w:rPr>
                <w:spacing w:val="-2"/>
                <w:sz w:val="16"/>
                <w:lang w:val="en-GB"/>
              </w:rPr>
              <w:t xml:space="preserve"> </w:t>
            </w:r>
            <w:r w:rsidRPr="00D93FF9">
              <w:rPr>
                <w:sz w:val="16"/>
                <w:lang w:val="en-GB"/>
              </w:rPr>
              <w:t>irrigation</w:t>
            </w:r>
            <w:r w:rsidRPr="00D93FF9">
              <w:rPr>
                <w:spacing w:val="-2"/>
                <w:sz w:val="16"/>
                <w:lang w:val="en-GB"/>
              </w:rPr>
              <w:t xml:space="preserve"> </w:t>
            </w:r>
            <w:r w:rsidRPr="00D93FF9">
              <w:rPr>
                <w:sz w:val="16"/>
                <w:lang w:val="en-GB"/>
              </w:rPr>
              <w:t>water</w:t>
            </w:r>
          </w:p>
        </w:tc>
        <w:tc>
          <w:tcPr>
            <w:tcW w:w="2160" w:type="dxa"/>
          </w:tcPr>
          <w:p w14:paraId="59DCD358" w14:textId="77777777" w:rsidR="008E4C22" w:rsidRPr="00D93FF9" w:rsidRDefault="00E811B8" w:rsidP="003807A1">
            <w:pPr>
              <w:pStyle w:val="TableParagraph"/>
              <w:spacing w:before="0" w:after="0"/>
              <w:rPr>
                <w:sz w:val="16"/>
                <w:lang w:val="en-GB"/>
              </w:rPr>
            </w:pPr>
            <w:r w:rsidRPr="00D93FF9">
              <w:rPr>
                <w:sz w:val="16"/>
                <w:lang w:val="en-GB"/>
              </w:rPr>
              <w:t>0.002 mg/L</w:t>
            </w:r>
          </w:p>
        </w:tc>
      </w:tr>
      <w:tr w:rsidR="00BE3AA8" w:rsidRPr="00D93FF9" w14:paraId="59DCD35C" w14:textId="77777777" w:rsidTr="00E66986">
        <w:trPr>
          <w:trHeight w:val="318"/>
        </w:trPr>
        <w:tc>
          <w:tcPr>
            <w:tcW w:w="6240" w:type="dxa"/>
          </w:tcPr>
          <w:p w14:paraId="59DCD35A" w14:textId="77777777" w:rsidR="008E4C22" w:rsidRPr="00D93FF9" w:rsidRDefault="00E811B8" w:rsidP="003807A1">
            <w:pPr>
              <w:pStyle w:val="TableParagraph"/>
              <w:spacing w:before="0" w:after="0"/>
              <w:rPr>
                <w:sz w:val="16"/>
                <w:lang w:val="en-GB"/>
              </w:rPr>
            </w:pPr>
            <w:r w:rsidRPr="00D93FF9">
              <w:rPr>
                <w:sz w:val="16"/>
                <w:lang w:val="en-GB"/>
              </w:rPr>
              <w:t>ACL Added contaminant loading limit in soil receiving irrigation water</w:t>
            </w:r>
          </w:p>
        </w:tc>
        <w:tc>
          <w:tcPr>
            <w:tcW w:w="2160" w:type="dxa"/>
          </w:tcPr>
          <w:p w14:paraId="59DCD35B" w14:textId="77777777" w:rsidR="008E4C22" w:rsidRPr="00D93FF9" w:rsidRDefault="00E811B8" w:rsidP="003807A1">
            <w:pPr>
              <w:pStyle w:val="TableParagraph"/>
              <w:spacing w:before="0" w:after="0"/>
              <w:rPr>
                <w:sz w:val="16"/>
                <w:lang w:val="en-GB"/>
              </w:rPr>
            </w:pPr>
            <w:r w:rsidRPr="00D93FF9">
              <w:rPr>
                <w:sz w:val="16"/>
                <w:lang w:val="en-GB"/>
              </w:rPr>
              <w:t>2 kg/ha</w:t>
            </w:r>
          </w:p>
        </w:tc>
      </w:tr>
    </w:tbl>
    <w:p w14:paraId="59DCD35D" w14:textId="77777777" w:rsidR="00C46175" w:rsidRPr="00D93FF9" w:rsidRDefault="00C46175" w:rsidP="003807A1">
      <w:pPr>
        <w:pStyle w:val="BodyText"/>
        <w:spacing w:after="0"/>
        <w:rPr>
          <w:b/>
          <w:i/>
          <w:sz w:val="24"/>
          <w:lang w:val="en-GB"/>
        </w:rPr>
      </w:pPr>
    </w:p>
    <w:p w14:paraId="59DCD35E" w14:textId="77777777" w:rsidR="00C46175" w:rsidRPr="00D93FF9" w:rsidRDefault="00E811B8" w:rsidP="003807A1">
      <w:pPr>
        <w:pStyle w:val="BodyText"/>
        <w:spacing w:after="0" w:line="266" w:lineRule="auto"/>
        <w:jc w:val="both"/>
        <w:rPr>
          <w:lang w:val="en-GB"/>
        </w:rPr>
      </w:pPr>
      <w:r w:rsidRPr="00D93FF9">
        <w:rPr>
          <w:lang w:val="en-GB"/>
        </w:rPr>
        <w:t>In its pure form, m</w:t>
      </w:r>
      <w:r w:rsidR="00E90CE0" w:rsidRPr="00D93FF9">
        <w:rPr>
          <w:lang w:val="en-GB"/>
        </w:rPr>
        <w:t xml:space="preserve">ercury is a silvery lustrous metal, which is liquid at room temperature and standard atmospheric pressure. Mercury dissolves several other metals forming amalgams. Considering biological activity, mercury can be separated into three main categories: metallic mercury, which has a high vapour pressure and thus vaporises under atmospheric pressure; inorganic ions (mercury may exist as </w:t>
      </w:r>
      <w:r w:rsidR="00E90CE0" w:rsidRPr="00D93FF9">
        <w:rPr>
          <w:spacing w:val="-3"/>
          <w:lang w:val="en-GB"/>
        </w:rPr>
        <w:t>Hg</w:t>
      </w:r>
      <w:r w:rsidR="00E90CE0" w:rsidRPr="00D93FF9">
        <w:rPr>
          <w:spacing w:val="-3"/>
          <w:position w:val="5"/>
          <w:sz w:val="15"/>
          <w:lang w:val="en-GB"/>
        </w:rPr>
        <w:t xml:space="preserve">+ </w:t>
      </w:r>
      <w:r w:rsidR="00E90CE0" w:rsidRPr="00D93FF9">
        <w:rPr>
          <w:lang w:val="en-GB"/>
        </w:rPr>
        <w:t>and Hg</w:t>
      </w:r>
      <w:r w:rsidR="00E90CE0" w:rsidRPr="00D93FF9">
        <w:rPr>
          <w:position w:val="5"/>
          <w:sz w:val="15"/>
          <w:lang w:val="en-GB"/>
        </w:rPr>
        <w:t>2+</w:t>
      </w:r>
      <w:r w:rsidR="00E90CE0" w:rsidRPr="00D93FF9">
        <w:rPr>
          <w:sz w:val="18"/>
          <w:lang w:val="en-GB"/>
        </w:rPr>
        <w:t xml:space="preserve">, </w:t>
      </w:r>
      <w:r w:rsidR="00E90CE0" w:rsidRPr="00D93FF9">
        <w:rPr>
          <w:lang w:val="en-GB"/>
        </w:rPr>
        <w:t>bivalent mercury readily forms complexes with organic ligands, and monovalent mercury binds less readily to organics and forms less water soluble salts); and organic mercury, which consists of mercury covalently bound to carbon.</w:t>
      </w:r>
    </w:p>
    <w:p w14:paraId="59DCD35F" w14:textId="77777777" w:rsidR="00C46175" w:rsidRPr="00D93FF9" w:rsidRDefault="00E811B8" w:rsidP="00DE510C">
      <w:pPr>
        <w:pStyle w:val="Heading5"/>
        <w:rPr>
          <w:lang w:val="en-GB"/>
        </w:rPr>
      </w:pPr>
      <w:r w:rsidRPr="00D93FF9">
        <w:rPr>
          <w:lang w:val="en-GB"/>
        </w:rPr>
        <w:t>Crop yield and quality considerations</w:t>
      </w:r>
    </w:p>
    <w:p w14:paraId="59DCD360" w14:textId="53E3C726" w:rsidR="00DF77E7" w:rsidRPr="00D93FF9" w:rsidRDefault="00E811B8" w:rsidP="00E66986">
      <w:pPr>
        <w:spacing w:after="0" w:line="266" w:lineRule="auto"/>
        <w:jc w:val="both"/>
        <w:rPr>
          <w:lang w:val="en-GB"/>
        </w:rPr>
      </w:pPr>
      <w:r w:rsidRPr="00D93FF9">
        <w:rPr>
          <w:lang w:val="en-GB"/>
        </w:rPr>
        <w:t xml:space="preserve">Concentrations of total mercury in natural water generally low. Studies overseas have reported concentrations of less than 0.0005 mg/L, with some sources less than 0.00003 mg/L (30 ng/L) </w:t>
      </w:r>
      <w:r w:rsidRPr="00D93FF9">
        <w:rPr>
          <w:lang w:val="en-GB"/>
        </w:rPr>
        <w:fldChar w:fldCharType="begin"/>
      </w:r>
      <w:r w:rsidR="007C2051" w:rsidRPr="00D93FF9">
        <w:rPr>
          <w:lang w:val="en-GB"/>
        </w:rPr>
        <w:instrText xml:space="preserve"> ADDIN ZOTERO_ITEM CSL_CITATION {"citationID":"umzuOrcV","properties":{"formattedCitation":"(NHMRC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rPr>
          <w:lang w:val="en-GB"/>
        </w:rPr>
        <w:fldChar w:fldCharType="separate"/>
      </w:r>
      <w:r w:rsidR="007C2051" w:rsidRPr="00D93FF9">
        <w:rPr>
          <w:rFonts w:ascii="Calibri" w:hAnsi="Calibri" w:cs="Calibri"/>
        </w:rPr>
        <w:t>(NHMRC and NRMMC 2011)</w:t>
      </w:r>
      <w:r w:rsidRPr="00D93FF9">
        <w:rPr>
          <w:lang w:val="en-GB"/>
        </w:rPr>
        <w:fldChar w:fldCharType="end"/>
      </w:r>
      <w:r w:rsidRPr="00D93FF9">
        <w:rPr>
          <w:lang w:val="en-GB"/>
        </w:rPr>
        <w:t>. The highest value was 0.0055 mg/L from some wells in Japan.</w:t>
      </w:r>
    </w:p>
    <w:p w14:paraId="59DCD361" w14:textId="0BDE48E2" w:rsidR="00C46175" w:rsidRPr="00D93FF9" w:rsidRDefault="00E811B8" w:rsidP="00E66986">
      <w:pPr>
        <w:pStyle w:val="BodyText"/>
        <w:spacing w:after="0" w:line="266" w:lineRule="auto"/>
        <w:jc w:val="both"/>
        <w:rPr>
          <w:rFonts w:ascii="Arial"/>
          <w:sz w:val="20"/>
          <w:lang w:val="en-GB"/>
        </w:rPr>
      </w:pPr>
      <w:r w:rsidRPr="00D93FF9">
        <w:rPr>
          <w:lang w:val="en-GB"/>
        </w:rPr>
        <w:t xml:space="preserve">Mercury is strongly retained by soils, especially by those high in organic matter. Median background concentrations of mercury in Australian soils are 0.03 </w:t>
      </w:r>
      <w:r w:rsidRPr="00D93FF9">
        <w:rPr>
          <w:spacing w:val="-3"/>
          <w:lang w:val="en-GB"/>
        </w:rPr>
        <w:t xml:space="preserve">mg/kg, </w:t>
      </w:r>
      <w:r w:rsidRPr="00D93FF9">
        <w:rPr>
          <w:lang w:val="en-GB"/>
        </w:rPr>
        <w:t>derived from values in</w:t>
      </w:r>
      <w:r w:rsidR="00FE5F61" w:rsidRPr="00D93FF9">
        <w:rPr>
          <w:lang w:val="en-GB"/>
        </w:rPr>
        <w:t xml:space="preserve"> </w:t>
      </w:r>
      <w:r w:rsidR="00FE5F61" w:rsidRPr="00D93FF9">
        <w:rPr>
          <w:lang w:val="en-GB"/>
        </w:rPr>
        <w:fldChar w:fldCharType="begin"/>
      </w:r>
      <w:r w:rsidR="00FE5F61" w:rsidRPr="00D93FF9">
        <w:rPr>
          <w:lang w:val="en-GB"/>
        </w:rPr>
        <w:instrText xml:space="preserve"> REF _Ref81393907 \h </w:instrText>
      </w:r>
      <w:r w:rsidR="00D93FF9">
        <w:rPr>
          <w:lang w:val="en-GB"/>
        </w:rPr>
        <w:instrText xml:space="preserve"> \* MERGEFORMAT </w:instrText>
      </w:r>
      <w:r w:rsidR="00FE5F61" w:rsidRPr="00D93FF9">
        <w:rPr>
          <w:lang w:val="en-GB"/>
        </w:rPr>
      </w:r>
      <w:r w:rsidR="00FE5F61" w:rsidRPr="00D93FF9">
        <w:rPr>
          <w:lang w:val="en-GB"/>
        </w:rPr>
        <w:fldChar w:fldCharType="separate"/>
      </w:r>
      <w:r w:rsidR="0069302C" w:rsidRPr="0069302C">
        <w:t xml:space="preserve">Table </w:t>
      </w:r>
      <w:r w:rsidR="0069302C" w:rsidRPr="0069302C">
        <w:rPr>
          <w:noProof/>
        </w:rPr>
        <w:t>22</w:t>
      </w:r>
      <w:r w:rsidR="00FE5F61" w:rsidRPr="00D93FF9">
        <w:rPr>
          <w:lang w:val="en-GB"/>
        </w:rPr>
        <w:fldChar w:fldCharType="end"/>
      </w:r>
      <w:r w:rsidRPr="00D93FF9">
        <w:rPr>
          <w:lang w:val="en-GB"/>
        </w:rPr>
        <w:t>. Most plants do not readily take up mercury (Hart 1982</w:t>
      </w:r>
      <w:r w:rsidR="009808D2" w:rsidRPr="00D93FF9">
        <w:rPr>
          <w:lang w:val="en-GB"/>
        </w:rPr>
        <w:t>;</w:t>
      </w:r>
      <w:r w:rsidRPr="00D93FF9">
        <w:rPr>
          <w:lang w:val="en-GB"/>
        </w:rPr>
        <w:t xml:space="preserve"> Schachtschabel et al. 1989). Lettuce grown on </w:t>
      </w:r>
      <w:r w:rsidRPr="00D93FF9">
        <w:rPr>
          <w:lang w:val="en-GB"/>
        </w:rPr>
        <w:lastRenderedPageBreak/>
        <w:t xml:space="preserve">contaminated soil (7 mg Hg/kg) showed only a small increase in mercury absorption (MacLean 1974); however, carrots and mushrooms can accumulate mercury from soils. There </w:t>
      </w:r>
      <w:r w:rsidR="00786397" w:rsidRPr="00D93FF9">
        <w:rPr>
          <w:lang w:val="en-GB"/>
        </w:rPr>
        <w:t>is</w:t>
      </w:r>
      <w:r w:rsidRPr="00D93FF9">
        <w:rPr>
          <w:lang w:val="en-GB"/>
        </w:rPr>
        <w:t xml:space="preserve"> </w:t>
      </w:r>
      <w:r w:rsidR="00786397" w:rsidRPr="00D93FF9">
        <w:rPr>
          <w:lang w:val="en-GB"/>
        </w:rPr>
        <w:t xml:space="preserve">limited </w:t>
      </w:r>
      <w:r w:rsidRPr="00D93FF9">
        <w:rPr>
          <w:lang w:val="en-GB"/>
        </w:rPr>
        <w:t>data describing mercury</w:t>
      </w:r>
      <w:r w:rsidR="00786397" w:rsidRPr="00D93FF9">
        <w:rPr>
          <w:lang w:val="en-GB"/>
        </w:rPr>
        <w:t>’s toxicity</w:t>
      </w:r>
      <w:r w:rsidRPr="00D93FF9">
        <w:rPr>
          <w:lang w:val="en-GB"/>
        </w:rPr>
        <w:t xml:space="preserve"> to plants in soil (</w:t>
      </w:r>
      <w:r w:rsidR="00786397" w:rsidRPr="00D93FF9">
        <w:t>Efroymson et al. 1997b</w:t>
      </w:r>
      <w:r w:rsidRPr="00D93FF9">
        <w:rPr>
          <w:lang w:val="en-GB"/>
        </w:rPr>
        <w:t xml:space="preserve">). </w:t>
      </w:r>
      <w:r w:rsidR="00786397" w:rsidRPr="00D93FF9">
        <w:t>Efroymson et al. 1997b</w:t>
      </w:r>
      <w:r w:rsidR="00786397" w:rsidRPr="00D93FF9">
        <w:rPr>
          <w:lang w:val="en-GB"/>
        </w:rPr>
        <w:t xml:space="preserve"> </w:t>
      </w:r>
      <w:r w:rsidRPr="00D93FF9">
        <w:rPr>
          <w:lang w:val="en-GB"/>
        </w:rPr>
        <w:t>derived a solution phytotoxicity benchmark of 0.00</w:t>
      </w:r>
      <w:r w:rsidR="00786397" w:rsidRPr="00D93FF9">
        <w:rPr>
          <w:lang w:val="en-GB"/>
        </w:rPr>
        <w:t>5</w:t>
      </w:r>
      <w:r w:rsidRPr="00D93FF9">
        <w:rPr>
          <w:lang w:val="en-GB"/>
        </w:rPr>
        <w:t xml:space="preserve"> mg/L for inorganic mercury and 0.0</w:t>
      </w:r>
      <w:r w:rsidR="00786397" w:rsidRPr="00D93FF9">
        <w:rPr>
          <w:lang w:val="en-GB"/>
        </w:rPr>
        <w:t>0</w:t>
      </w:r>
      <w:r w:rsidRPr="00D93FF9">
        <w:rPr>
          <w:lang w:val="en-GB"/>
        </w:rPr>
        <w:t xml:space="preserve">02 mg/L for </w:t>
      </w:r>
      <w:r w:rsidR="00786397" w:rsidRPr="00D93FF9">
        <w:rPr>
          <w:lang w:val="en-GB"/>
        </w:rPr>
        <w:t xml:space="preserve">methyl </w:t>
      </w:r>
      <w:r w:rsidRPr="00D93FF9">
        <w:rPr>
          <w:lang w:val="en-GB"/>
        </w:rPr>
        <w:t xml:space="preserve">mercury. Given that solution culture studies indicate that there may be direct phytotoxic effects to plants of mercury in irrigation waters, the </w:t>
      </w:r>
      <w:r w:rsidR="00553FF9" w:rsidRPr="00D93FF9">
        <w:rPr>
          <w:lang w:val="en-GB"/>
        </w:rPr>
        <w:t>DGV</w:t>
      </w:r>
      <w:r w:rsidRPr="00D93FF9">
        <w:rPr>
          <w:lang w:val="en-GB"/>
        </w:rPr>
        <w:t xml:space="preserve"> and </w:t>
      </w:r>
      <w:r w:rsidR="00553FF9" w:rsidRPr="00D93FF9">
        <w:rPr>
          <w:lang w:val="en-GB"/>
        </w:rPr>
        <w:t>SGV</w:t>
      </w:r>
      <w:r w:rsidRPr="00D93FF9">
        <w:rPr>
          <w:lang w:val="en-GB"/>
        </w:rPr>
        <w:t xml:space="preserve"> have both been set at 0.002 mg/L total mercury. Given the existence of datasets for background concentrations of mercury in Australian soils, and existing mercury limits for agricultural soils receiving biosolids </w:t>
      </w:r>
      <w:r w:rsidR="00BF029B" w:rsidRPr="00D93FF9">
        <w:fldChar w:fldCharType="begin"/>
      </w:r>
      <w:r w:rsidR="007C2051" w:rsidRPr="00D93FF9">
        <w:instrText xml:space="preserve"> ADDIN ZOTERO_ITEM CSL_CITATION {"citationID":"JbETvkqC","properties":{"formattedCitation":"(EPA Victoria, 2004; DEHP Qld, 2016)","plainCitation":"(EPA Victoria, 2004; DEHP Qld, 2016)","noteIndex":0},"citationItems":[{"id":3992,"uris":["http://zotero.org/users/1938757/items/N2VR2ZVD"],"uri":["http://zotero.org/users/1938757/items/N2VR2ZVD"],"itemData":{"id":3992,"type":"report","event-place":"Melbourne","note":"File://C:/Documents and Settings/Daryl/My Documents/Zotero/Export/Biosolids_Z v5.Data/PDF/z306 Vic Biosolids guidelines-3579743232/z306 Vic Biosolids guidelines.pdf","number":"Publication 943","page":"78","publisher":"Environment Protection Authority Victoria","publisher-place":"Melbourne","title":"Guidelines for Environmental Management. Biosolids Land Application. Publication 943.","URL":"https://www.epa.vic.gov.au/about-epa/publications/943","author":[{"family":"EPA Victoria","given":""}],"issued":{"date-parts":[["2004"]]}}},{"id":24917,"uris":["http://zotero.org/users/1938757/items/N94G9UGC"],"uri":["http://zotero.org/users/1938757/items/N94G9UGC"],"itemData":{"id":24917,"type":"report","event-place":"Queensland, Australia","publisher":"Industry and Development Assessment, Environmental Services and Regulation Division, Department of Environment and Heritage Protection, State of Queensland","publisher-place":"Queensland, Australia","title":"General beneficial use approval for Biosolids Waste Reduction and Recycling Act 2011","URL":"http://www.ehp.qld.gov.au/assets/documents/regulation/wr-ga-biosolids.pdf","author":[{"family":"DEHP Qld","given":""}],"issued":{"date-parts":[["2016"]]}}}],"schema":"https://github.com/citation-style-language/schema/raw/master/csl-citation.json"} </w:instrText>
      </w:r>
      <w:r w:rsidR="00BF029B" w:rsidRPr="00D93FF9">
        <w:fldChar w:fldCharType="separate"/>
      </w:r>
      <w:r w:rsidR="007C2051" w:rsidRPr="00D93FF9">
        <w:rPr>
          <w:rFonts w:ascii="Calibri" w:hAnsi="Calibri" w:cs="Calibri"/>
        </w:rPr>
        <w:t>(EPA Victoria 2004; DEHP Qld 2016)</w:t>
      </w:r>
      <w:r w:rsidR="00BF029B" w:rsidRPr="00D93FF9">
        <w:fldChar w:fldCharType="end"/>
      </w:r>
      <w:r w:rsidRPr="00D93FF9">
        <w:rPr>
          <w:lang w:val="en-GB"/>
        </w:rPr>
        <w:t xml:space="preserve">, a mercury </w:t>
      </w:r>
      <w:r w:rsidR="006D735C" w:rsidRPr="00D93FF9">
        <w:rPr>
          <w:lang w:val="en-GB"/>
        </w:rPr>
        <w:t>ACL</w:t>
      </w:r>
      <w:r w:rsidRPr="00D93FF9">
        <w:rPr>
          <w:lang w:val="en-GB"/>
        </w:rPr>
        <w:t xml:space="preserve"> has been derived for soils receiving</w:t>
      </w:r>
      <w:r w:rsidRPr="00D93FF9">
        <w:rPr>
          <w:spacing w:val="-4"/>
          <w:lang w:val="en-GB"/>
        </w:rPr>
        <w:t xml:space="preserve"> </w:t>
      </w:r>
      <w:r w:rsidRPr="00D93FF9">
        <w:rPr>
          <w:lang w:val="en-GB"/>
        </w:rPr>
        <w:t>irrigation.</w:t>
      </w:r>
      <w:bookmarkStart w:id="263" w:name="9.2.5.17__Molybdenum"/>
      <w:bookmarkStart w:id="264" w:name="9.2.5.18__Nickel"/>
      <w:bookmarkEnd w:id="263"/>
      <w:bookmarkEnd w:id="264"/>
      <w:r w:rsidR="006B24CA" w:rsidRPr="00D93FF9">
        <w:rPr>
          <w:rFonts w:ascii="Arial"/>
          <w:sz w:val="20"/>
          <w:lang w:val="en-GB"/>
        </w:rPr>
        <w:t xml:space="preserve"> </w:t>
      </w:r>
    </w:p>
    <w:p w14:paraId="59DCD362" w14:textId="77777777" w:rsidR="00C46175" w:rsidRPr="00D93FF9" w:rsidRDefault="00C46175" w:rsidP="003807A1">
      <w:pPr>
        <w:pStyle w:val="BodyText"/>
        <w:spacing w:after="0"/>
        <w:rPr>
          <w:rFonts w:ascii="Arial"/>
          <w:sz w:val="15"/>
          <w:lang w:val="en-GB"/>
        </w:rPr>
      </w:pPr>
    </w:p>
    <w:p w14:paraId="59DCD363" w14:textId="77777777" w:rsidR="00C46175" w:rsidRPr="00D93FF9" w:rsidRDefault="00E811B8" w:rsidP="00096243">
      <w:pPr>
        <w:pStyle w:val="Heading3"/>
        <w:rPr>
          <w:lang w:val="en-GB"/>
        </w:rPr>
      </w:pPr>
      <w:bookmarkStart w:id="265" w:name="_Toc96693595"/>
      <w:r w:rsidRPr="00D93FF9">
        <w:t>Molybdenum</w:t>
      </w:r>
      <w:bookmarkEnd w:id="265"/>
    </w:p>
    <w:p w14:paraId="59DCD364" w14:textId="77777777" w:rsidR="00C46175" w:rsidRPr="00D93FF9" w:rsidRDefault="00E811B8" w:rsidP="00493E7A">
      <w:pPr>
        <w:pStyle w:val="Heading5"/>
        <w:spacing w:before="200" w:after="200" w:line="245" w:lineRule="auto"/>
        <w:ind w:left="284"/>
        <w:rPr>
          <w:i/>
          <w:iCs/>
          <w:lang w:val="en-GB"/>
        </w:rPr>
      </w:pPr>
      <w:r w:rsidRPr="00D93FF9">
        <w:rPr>
          <w:i/>
          <w:iCs/>
          <w:lang w:val="en-GB"/>
        </w:rPr>
        <w:t>It is recommended that the concentration of molybdenum in irrigation waters and soils should be less than the 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367" w14:textId="77777777" w:rsidTr="00493E7A">
        <w:trPr>
          <w:trHeight w:val="318"/>
        </w:trPr>
        <w:tc>
          <w:tcPr>
            <w:tcW w:w="6240" w:type="dxa"/>
          </w:tcPr>
          <w:p w14:paraId="59DCD365" w14:textId="77777777" w:rsidR="008E4C22" w:rsidRPr="00D93FF9" w:rsidRDefault="00E811B8" w:rsidP="003807A1">
            <w:pPr>
              <w:pStyle w:val="TableParagraph"/>
              <w:spacing w:before="0" w:after="0"/>
              <w:rPr>
                <w:sz w:val="16"/>
                <w:lang w:val="en-GB"/>
              </w:rPr>
            </w:pPr>
            <w:r w:rsidRPr="00D93FF9">
              <w:rPr>
                <w:sz w:val="16"/>
                <w:lang w:val="en-GB"/>
              </w:rPr>
              <w:t>DGV Default guideline value in irrigation water</w:t>
            </w:r>
          </w:p>
        </w:tc>
        <w:tc>
          <w:tcPr>
            <w:tcW w:w="2160" w:type="dxa"/>
          </w:tcPr>
          <w:p w14:paraId="59DCD366" w14:textId="77777777" w:rsidR="008E4C22" w:rsidRPr="00D93FF9" w:rsidRDefault="00E811B8" w:rsidP="003807A1">
            <w:pPr>
              <w:pStyle w:val="TableParagraph"/>
              <w:spacing w:before="0" w:after="0"/>
              <w:rPr>
                <w:sz w:val="16"/>
                <w:lang w:val="en-GB"/>
              </w:rPr>
            </w:pPr>
            <w:r w:rsidRPr="00D93FF9">
              <w:rPr>
                <w:sz w:val="16"/>
                <w:lang w:val="en-GB"/>
              </w:rPr>
              <w:t>0.01 mg/L</w:t>
            </w:r>
          </w:p>
        </w:tc>
      </w:tr>
      <w:tr w:rsidR="00BE3AA8" w:rsidRPr="00D93FF9" w14:paraId="59DCD36A" w14:textId="77777777" w:rsidTr="00493E7A">
        <w:trPr>
          <w:trHeight w:val="318"/>
        </w:trPr>
        <w:tc>
          <w:tcPr>
            <w:tcW w:w="6240" w:type="dxa"/>
          </w:tcPr>
          <w:p w14:paraId="59DCD368" w14:textId="77777777" w:rsidR="008E4C22" w:rsidRPr="00D93FF9" w:rsidRDefault="00E811B8" w:rsidP="003807A1">
            <w:pPr>
              <w:pStyle w:val="TableParagraph"/>
              <w:tabs>
                <w:tab w:val="left" w:pos="4679"/>
              </w:tabs>
              <w:spacing w:before="0" w:after="0"/>
              <w:rPr>
                <w:b/>
                <w:sz w:val="16"/>
                <w:lang w:val="en-GB"/>
              </w:rPr>
            </w:pPr>
            <w:r w:rsidRPr="00D93FF9">
              <w:rPr>
                <w:sz w:val="16"/>
                <w:lang w:val="en-GB"/>
              </w:rPr>
              <w:t>SGV Site specific guideline value in</w:t>
            </w:r>
            <w:r w:rsidRPr="00D93FF9">
              <w:rPr>
                <w:spacing w:val="-2"/>
                <w:sz w:val="16"/>
                <w:lang w:val="en-GB"/>
              </w:rPr>
              <w:t xml:space="preserve"> </w:t>
            </w:r>
            <w:r w:rsidRPr="00D93FF9">
              <w:rPr>
                <w:sz w:val="16"/>
                <w:lang w:val="en-GB"/>
              </w:rPr>
              <w:t>irrigation</w:t>
            </w:r>
            <w:r w:rsidRPr="00D93FF9">
              <w:rPr>
                <w:spacing w:val="-2"/>
                <w:sz w:val="16"/>
                <w:lang w:val="en-GB"/>
              </w:rPr>
              <w:t xml:space="preserve"> </w:t>
            </w:r>
            <w:r w:rsidRPr="00D93FF9">
              <w:rPr>
                <w:sz w:val="16"/>
                <w:lang w:val="en-GB"/>
              </w:rPr>
              <w:t>water</w:t>
            </w:r>
          </w:p>
        </w:tc>
        <w:tc>
          <w:tcPr>
            <w:tcW w:w="2160" w:type="dxa"/>
          </w:tcPr>
          <w:p w14:paraId="59DCD369" w14:textId="77777777" w:rsidR="008E4C22" w:rsidRPr="00D93FF9" w:rsidRDefault="00E811B8" w:rsidP="003807A1">
            <w:pPr>
              <w:pStyle w:val="TableParagraph"/>
              <w:spacing w:before="0" w:after="0"/>
              <w:rPr>
                <w:sz w:val="16"/>
                <w:lang w:val="en-GB"/>
              </w:rPr>
            </w:pPr>
            <w:r w:rsidRPr="00D93FF9">
              <w:rPr>
                <w:sz w:val="16"/>
                <w:lang w:val="en-GB"/>
              </w:rPr>
              <w:t>0.05 mg/L</w:t>
            </w:r>
          </w:p>
        </w:tc>
      </w:tr>
      <w:tr w:rsidR="00BE3AA8" w:rsidRPr="00D93FF9" w14:paraId="59DCD36D" w14:textId="77777777" w:rsidTr="00493E7A">
        <w:trPr>
          <w:trHeight w:val="318"/>
        </w:trPr>
        <w:tc>
          <w:tcPr>
            <w:tcW w:w="6240" w:type="dxa"/>
          </w:tcPr>
          <w:p w14:paraId="59DCD36B" w14:textId="77777777" w:rsidR="008E4C22" w:rsidRPr="00D93FF9" w:rsidRDefault="00E811B8" w:rsidP="003807A1">
            <w:pPr>
              <w:pStyle w:val="TableParagraph"/>
              <w:spacing w:before="0" w:after="0"/>
              <w:rPr>
                <w:sz w:val="16"/>
                <w:lang w:val="en-GB"/>
              </w:rPr>
            </w:pPr>
            <w:r w:rsidRPr="00D93FF9">
              <w:rPr>
                <w:sz w:val="16"/>
                <w:lang w:val="en-GB"/>
              </w:rPr>
              <w:t>ACL Added contaminant loading limit in soil receiving irrigation water</w:t>
            </w:r>
          </w:p>
        </w:tc>
        <w:tc>
          <w:tcPr>
            <w:tcW w:w="2160" w:type="dxa"/>
          </w:tcPr>
          <w:p w14:paraId="59DCD36C" w14:textId="77777777" w:rsidR="008E4C22" w:rsidRPr="00D93FF9" w:rsidRDefault="00E811B8" w:rsidP="003807A1">
            <w:pPr>
              <w:pStyle w:val="TableParagraph"/>
              <w:spacing w:before="0" w:after="0"/>
              <w:rPr>
                <w:sz w:val="16"/>
                <w:lang w:val="en-GB"/>
              </w:rPr>
            </w:pPr>
            <w:r w:rsidRPr="00D93FF9">
              <w:rPr>
                <w:sz w:val="16"/>
                <w:lang w:val="en-GB"/>
              </w:rPr>
              <w:t>Not determined</w:t>
            </w:r>
          </w:p>
        </w:tc>
      </w:tr>
    </w:tbl>
    <w:p w14:paraId="59DCD36E" w14:textId="77777777" w:rsidR="00C46175" w:rsidRPr="00D93FF9" w:rsidRDefault="00C46175" w:rsidP="003807A1">
      <w:pPr>
        <w:pStyle w:val="BodyText"/>
        <w:spacing w:after="0"/>
        <w:rPr>
          <w:b/>
          <w:i/>
          <w:sz w:val="28"/>
          <w:lang w:val="en-GB"/>
        </w:rPr>
      </w:pPr>
    </w:p>
    <w:p w14:paraId="59DCD36F" w14:textId="77777777" w:rsidR="00C46175" w:rsidRPr="00D93FF9" w:rsidRDefault="00E811B8" w:rsidP="003807A1">
      <w:pPr>
        <w:pStyle w:val="BodyText"/>
        <w:spacing w:after="0" w:line="264" w:lineRule="auto"/>
        <w:jc w:val="both"/>
        <w:rPr>
          <w:lang w:val="en-GB"/>
        </w:rPr>
      </w:pPr>
      <w:r w:rsidRPr="00D93FF9">
        <w:rPr>
          <w:lang w:val="en-GB"/>
        </w:rPr>
        <w:t xml:space="preserve">Molybdenum is an essential micro-nutrient for all living organisms, having an important role in enzyme synthesis and activity. However, excess molybdenum is toxic. </w:t>
      </w:r>
    </w:p>
    <w:p w14:paraId="59DCD370" w14:textId="77777777" w:rsidR="00C46175" w:rsidRPr="00D93FF9" w:rsidRDefault="00E811B8" w:rsidP="00DE510C">
      <w:pPr>
        <w:pStyle w:val="Heading5"/>
        <w:rPr>
          <w:lang w:val="en-GB"/>
        </w:rPr>
      </w:pPr>
      <w:r w:rsidRPr="00D93FF9">
        <w:rPr>
          <w:lang w:val="en-GB"/>
        </w:rPr>
        <w:t>Crop yield and quality considerations</w:t>
      </w:r>
    </w:p>
    <w:p w14:paraId="59DCD371" w14:textId="77777777" w:rsidR="00764826" w:rsidRPr="00D93FF9" w:rsidRDefault="00E811B8" w:rsidP="00493E7A">
      <w:pPr>
        <w:pStyle w:val="BodyText"/>
        <w:spacing w:after="0" w:line="266" w:lineRule="auto"/>
        <w:jc w:val="both"/>
      </w:pPr>
      <w:r w:rsidRPr="00D93FF9">
        <w:t>Molybdenum is present in ground and surface waters at very low concentrations, generally below</w:t>
      </w:r>
    </w:p>
    <w:p w14:paraId="59DCD372" w14:textId="7632C426" w:rsidR="00764826" w:rsidRPr="00D93FF9" w:rsidRDefault="00E811B8" w:rsidP="00493E7A">
      <w:pPr>
        <w:pStyle w:val="BodyText"/>
        <w:spacing w:after="0" w:line="266" w:lineRule="auto"/>
        <w:jc w:val="both"/>
      </w:pPr>
      <w:r w:rsidRPr="00D93FF9">
        <w:t xml:space="preserve">0.01 mg/L </w:t>
      </w:r>
      <w:r w:rsidRPr="00D93FF9">
        <w:fldChar w:fldCharType="begin"/>
      </w:r>
      <w:r w:rsidR="007C2051" w:rsidRPr="00D93FF9">
        <w:instrText xml:space="preserve"> ADDIN ZOTERO_ITEM CSL_CITATION {"citationID":"6yeLLupX","properties":{"formattedCitation":"(NHMRC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fldChar w:fldCharType="separate"/>
      </w:r>
      <w:r w:rsidR="007C2051" w:rsidRPr="00D93FF9">
        <w:rPr>
          <w:rFonts w:ascii="Calibri" w:hAnsi="Calibri" w:cs="Calibri"/>
        </w:rPr>
        <w:t>(NHMRC and NRMMC 2011)</w:t>
      </w:r>
      <w:r w:rsidRPr="00D93FF9">
        <w:fldChar w:fldCharType="end"/>
      </w:r>
      <w:r w:rsidRPr="00D93FF9">
        <w:t>. Higher concentrations have been reported in the vicinity of molybdenum mining operations. Fly ash deposited onto soils from coal-fired power stations can be a significant source of molybdenum. Application of fertilisers may also increase the concentration of molybdenum in ground and surface water.</w:t>
      </w:r>
    </w:p>
    <w:p w14:paraId="59DCD373" w14:textId="17BBB5B2" w:rsidR="00C46175" w:rsidRPr="00D93FF9" w:rsidRDefault="00E811B8" w:rsidP="00493E7A">
      <w:pPr>
        <w:pStyle w:val="BodyText"/>
        <w:spacing w:after="0" w:line="266" w:lineRule="auto"/>
        <w:jc w:val="both"/>
        <w:rPr>
          <w:lang w:val="en-GB"/>
        </w:rPr>
      </w:pPr>
      <w:r w:rsidRPr="00D93FF9">
        <w:rPr>
          <w:lang w:val="en-GB"/>
        </w:rPr>
        <w:t>Molybdenum commonly exists as an anion in waters and soils. The behaviour of molybdenum in soils is similar to other negatively charged elements, which tend to be very mobile. Soil anion exchange capacity increases with decreasing soil pH. Therefor</w:t>
      </w:r>
      <w:r w:rsidR="00606CB4" w:rsidRPr="00D93FF9">
        <w:rPr>
          <w:lang w:val="en-GB"/>
        </w:rPr>
        <w:t>e,</w:t>
      </w:r>
      <w:r w:rsidRPr="00D93FF9">
        <w:rPr>
          <w:lang w:val="en-GB"/>
        </w:rPr>
        <w:t xml:space="preserve"> under acidic conditions, molybdenum is less available to plants.</w:t>
      </w:r>
      <w:r w:rsidR="00C806A6" w:rsidRPr="00D93FF9">
        <w:rPr>
          <w:lang w:val="en-GB"/>
        </w:rPr>
        <w:t xml:space="preserve"> </w:t>
      </w:r>
      <w:r w:rsidR="00E90CE0" w:rsidRPr="00D93FF9">
        <w:rPr>
          <w:lang w:val="en-GB"/>
        </w:rPr>
        <w:t xml:space="preserve">Median concentrations </w:t>
      </w:r>
      <w:r w:rsidRPr="00D93FF9">
        <w:rPr>
          <w:lang w:val="en-GB"/>
        </w:rPr>
        <w:t xml:space="preserve">of molybdenum </w:t>
      </w:r>
      <w:r w:rsidR="00E90CE0" w:rsidRPr="00D93FF9">
        <w:rPr>
          <w:lang w:val="en-GB"/>
        </w:rPr>
        <w:t>in Australian soils are 1.0 mg/kg with a range of 0.2–20 mg/kg (</w:t>
      </w:r>
      <w:r w:rsidR="00FE5F61" w:rsidRPr="00D93FF9">
        <w:rPr>
          <w:lang w:val="en-GB"/>
        </w:rPr>
        <w:fldChar w:fldCharType="begin"/>
      </w:r>
      <w:r w:rsidR="00FE5F61" w:rsidRPr="00D93FF9">
        <w:rPr>
          <w:lang w:val="en-GB"/>
        </w:rPr>
        <w:instrText xml:space="preserve"> REF _Ref81393907 \h </w:instrText>
      </w:r>
      <w:r w:rsidR="00D93FF9">
        <w:rPr>
          <w:lang w:val="en-GB"/>
        </w:rPr>
        <w:instrText xml:space="preserve"> \* MERGEFORMAT </w:instrText>
      </w:r>
      <w:r w:rsidR="00FE5F61" w:rsidRPr="00D93FF9">
        <w:rPr>
          <w:lang w:val="en-GB"/>
        </w:rPr>
      </w:r>
      <w:r w:rsidR="00FE5F61" w:rsidRPr="00D93FF9">
        <w:rPr>
          <w:lang w:val="en-GB"/>
        </w:rPr>
        <w:fldChar w:fldCharType="separate"/>
      </w:r>
      <w:r w:rsidR="0069302C" w:rsidRPr="0069302C">
        <w:t xml:space="preserve">Table </w:t>
      </w:r>
      <w:r w:rsidR="0069302C" w:rsidRPr="0069302C">
        <w:rPr>
          <w:noProof/>
        </w:rPr>
        <w:t>22</w:t>
      </w:r>
      <w:r w:rsidR="00FE5F61" w:rsidRPr="00D93FF9">
        <w:rPr>
          <w:lang w:val="en-GB"/>
        </w:rPr>
        <w:fldChar w:fldCharType="end"/>
      </w:r>
      <w:r w:rsidR="00E90CE0" w:rsidRPr="00D93FF9">
        <w:rPr>
          <w:lang w:val="en-GB"/>
        </w:rPr>
        <w:t>). Plants absorb molybdenum predominantly as the MoO</w:t>
      </w:r>
      <w:r w:rsidR="00E90CE0" w:rsidRPr="00D93FF9">
        <w:rPr>
          <w:position w:val="-4"/>
          <w:sz w:val="15"/>
          <w:lang w:val="en-GB"/>
        </w:rPr>
        <w:t>4</w:t>
      </w:r>
      <w:r w:rsidR="00E90CE0" w:rsidRPr="00D93FF9">
        <w:rPr>
          <w:position w:val="5"/>
          <w:sz w:val="15"/>
          <w:lang w:val="en-GB"/>
        </w:rPr>
        <w:t xml:space="preserve">2- </w:t>
      </w:r>
      <w:r w:rsidR="00E90CE0" w:rsidRPr="00D93FF9">
        <w:rPr>
          <w:lang w:val="en-GB"/>
        </w:rPr>
        <w:t>anion from the soil solution and concentrate it in tissue. Tissue concentrations of &gt;100 mg/kg have no adverse effects on plant growth. Accumulation of molybdenum by crops is higher in alkaline soils due to higher MoO</w:t>
      </w:r>
      <w:r w:rsidR="00E90CE0" w:rsidRPr="00D93FF9">
        <w:rPr>
          <w:position w:val="-4"/>
          <w:sz w:val="15"/>
          <w:lang w:val="en-GB"/>
        </w:rPr>
        <w:t>4</w:t>
      </w:r>
      <w:r w:rsidR="00E90CE0" w:rsidRPr="00D93FF9">
        <w:rPr>
          <w:position w:val="5"/>
          <w:sz w:val="15"/>
          <w:lang w:val="en-GB"/>
        </w:rPr>
        <w:t xml:space="preserve">2- </w:t>
      </w:r>
      <w:r w:rsidR="00E90CE0" w:rsidRPr="00D93FF9">
        <w:rPr>
          <w:lang w:val="en-GB"/>
        </w:rPr>
        <w:t>concentrations in the soil solution. Molybdenum accumulation in plant tissue may be harmful to livestock consuming contaminated feed, causing molybdenosis, which has been observed in cattle</w:t>
      </w:r>
      <w:r w:rsidRPr="00D93FF9">
        <w:rPr>
          <w:lang w:val="en-GB"/>
        </w:rPr>
        <w:t xml:space="preserve"> (WHO 2006)</w:t>
      </w:r>
      <w:r w:rsidR="00E90CE0" w:rsidRPr="00D93FF9">
        <w:rPr>
          <w:lang w:val="en-GB"/>
        </w:rPr>
        <w:t xml:space="preserve">). High levels of molybdenum in livestock diets may also induce copper deficiency. </w:t>
      </w:r>
      <w:r w:rsidRPr="00D93FF9">
        <w:rPr>
          <w:lang w:val="en-GB"/>
        </w:rPr>
        <w:t xml:space="preserve">A critical level of molybdenum for ruminants is 3–10 mg/kg dry matter </w:t>
      </w:r>
      <w:r w:rsidRPr="00D93FF9">
        <w:rPr>
          <w:lang w:val="en-GB"/>
        </w:rPr>
        <w:fldChar w:fldCharType="begin"/>
      </w:r>
      <w:r w:rsidR="00BE6DF0" w:rsidRPr="00D93FF9">
        <w:rPr>
          <w:lang w:val="en-GB"/>
        </w:rPr>
        <w:instrText xml:space="preserve"> ADDIN ZOTERO_ITEM CSL_CITATION {"citationID":"uA8mxE1F","properties":{"formattedCitation":"(Axelson et al., 2018)","plainCitation":"(Axelson et al., 2018)","noteIndex":0},"citationItems":[{"id":32913,"uris":["http://zotero.org/users/1938757/items/2XSTE245"],"uri":["http://zotero.org/users/1938757/items/2XSTE245"],"itemData":{"id":32913,"type":"article-journal","abstract":"Molybdenum is toxic to ruminants when present in high levels in forage, causing physiological copper deficiency. A critical level for ruminants is 3–10 mg Mo kg−1 dry matter. The average Mo level varies considerably between different arable soils, depending mainly on soil parent material. This study investigated the possibility of using various existing sources of geospatial information (geophysical, biogeochemical and soil chemical) to develop a geography-based risk assessment system. Forage samples (n = 173) were collected in 2006–2007. Three types of national geoscientific datasets were tested: (1) SEPA topsoil, comprising data from arable land within the Swedish environmental monitoring programme; (2) SGU biogeochemical, containing data from aquatic plant root material collected in small streams; and (3) SGU geophysical, consisting of data from airborne gamma-ray scanning. The digital postcode area map was used for geocoding, with Mo concentrations in forage assigned to arable parts of the corresponding postcode area. By combining this with the three national geoscientific databases, it was possible to construct a risk map using fuzzy classification depicting High-risk, Intermediate-risk, Low-risk and Very-low-risk areas. The map was validated using 42 randomly selected samples. All samples but one with Mo &gt; 3 mg kg−1 were found in postcode areas designated High risk. Thus, the risk map developed seems to be useful as a decision support system on where standard forage analyses need to be supplemented with Mo analyses.","container-title":"Environmental Geochemistry and Health","DOI":"10.1007/s10653-018-0132-x","ISSN":"1573-2983","issue":"6","journalAbbreviation":"Environ Geochem Health","language":"en","page":"2685-2694","source":"Springer Link","title":"Risk assessment of high concentrations of molybdenum in forage","volume":"40","author":[{"family":"Axelson","given":"U."},{"family":"Söderström","given":"M."},{"family":"Jonsson","given":"A."}],"issued":{"date-parts":[["2018",12,1]]}}}],"schema":"https://github.com/citation-style-language/schema/raw/master/csl-citation.json"} </w:instrText>
      </w:r>
      <w:r w:rsidRPr="00D93FF9">
        <w:rPr>
          <w:lang w:val="en-GB"/>
        </w:rPr>
        <w:fldChar w:fldCharType="separate"/>
      </w:r>
      <w:r w:rsidR="007C2051" w:rsidRPr="00D93FF9">
        <w:rPr>
          <w:rFonts w:ascii="Calibri" w:hAnsi="Calibri" w:cs="Calibri"/>
        </w:rPr>
        <w:t>(Axelson et al. 2018)</w:t>
      </w:r>
      <w:r w:rsidRPr="00D93FF9">
        <w:rPr>
          <w:lang w:val="en-GB"/>
        </w:rPr>
        <w:fldChar w:fldCharType="end"/>
      </w:r>
      <w:r w:rsidRPr="00D93FF9">
        <w:rPr>
          <w:lang w:val="en-GB"/>
        </w:rPr>
        <w:t xml:space="preserve">. </w:t>
      </w:r>
      <w:r w:rsidR="00E90CE0" w:rsidRPr="00D93FF9">
        <w:rPr>
          <w:lang w:val="en-GB"/>
        </w:rPr>
        <w:t>There is limited evidence for the phytotoxic impacts of molybdenum in soils and irrigation water.</w:t>
      </w:r>
      <w:r w:rsidR="00E90CE0" w:rsidRPr="00D93FF9">
        <w:rPr>
          <w:spacing w:val="28"/>
          <w:lang w:val="en-GB"/>
        </w:rPr>
        <w:t xml:space="preserve"> </w:t>
      </w:r>
      <w:r w:rsidR="00E90CE0" w:rsidRPr="00D93FF9">
        <w:rPr>
          <w:lang w:val="en-GB"/>
        </w:rPr>
        <w:t>Solution</w:t>
      </w:r>
      <w:r w:rsidR="00E90CE0" w:rsidRPr="00D93FF9">
        <w:rPr>
          <w:spacing w:val="30"/>
          <w:lang w:val="en-GB"/>
        </w:rPr>
        <w:t xml:space="preserve"> </w:t>
      </w:r>
      <w:r w:rsidR="00E90CE0" w:rsidRPr="00D93FF9">
        <w:rPr>
          <w:lang w:val="en-GB"/>
        </w:rPr>
        <w:t>culture</w:t>
      </w:r>
      <w:r w:rsidR="00E90CE0" w:rsidRPr="00D93FF9">
        <w:rPr>
          <w:spacing w:val="31"/>
          <w:lang w:val="en-GB"/>
        </w:rPr>
        <w:t xml:space="preserve"> </w:t>
      </w:r>
      <w:r w:rsidR="00E90CE0" w:rsidRPr="00D93FF9">
        <w:rPr>
          <w:lang w:val="en-GB"/>
        </w:rPr>
        <w:t>studies</w:t>
      </w:r>
      <w:r w:rsidR="00E90CE0" w:rsidRPr="00D93FF9">
        <w:rPr>
          <w:spacing w:val="30"/>
          <w:lang w:val="en-GB"/>
        </w:rPr>
        <w:t xml:space="preserve"> </w:t>
      </w:r>
      <w:r w:rsidR="00E90CE0" w:rsidRPr="00D93FF9">
        <w:rPr>
          <w:lang w:val="en-GB"/>
        </w:rPr>
        <w:t>have</w:t>
      </w:r>
      <w:r w:rsidR="00E90CE0" w:rsidRPr="00D93FF9">
        <w:rPr>
          <w:spacing w:val="31"/>
          <w:lang w:val="en-GB"/>
        </w:rPr>
        <w:t xml:space="preserve"> </w:t>
      </w:r>
      <w:r w:rsidR="00E90CE0" w:rsidRPr="00D93FF9">
        <w:rPr>
          <w:lang w:val="en-GB"/>
        </w:rPr>
        <w:t>reported</w:t>
      </w:r>
      <w:r w:rsidR="00E90CE0" w:rsidRPr="00D93FF9">
        <w:rPr>
          <w:spacing w:val="30"/>
          <w:lang w:val="en-GB"/>
        </w:rPr>
        <w:t xml:space="preserve"> </w:t>
      </w:r>
      <w:r w:rsidR="00E90CE0" w:rsidRPr="00D93FF9">
        <w:rPr>
          <w:lang w:val="en-GB"/>
        </w:rPr>
        <w:t>toxicity</w:t>
      </w:r>
      <w:r w:rsidR="00E90CE0" w:rsidRPr="00D93FF9">
        <w:rPr>
          <w:spacing w:val="28"/>
          <w:lang w:val="en-GB"/>
        </w:rPr>
        <w:t xml:space="preserve"> </w:t>
      </w:r>
      <w:r w:rsidR="00E90CE0" w:rsidRPr="00D93FF9">
        <w:rPr>
          <w:lang w:val="en-GB"/>
        </w:rPr>
        <w:t>to</w:t>
      </w:r>
      <w:r w:rsidR="00E90CE0" w:rsidRPr="00D93FF9">
        <w:rPr>
          <w:spacing w:val="30"/>
          <w:lang w:val="en-GB"/>
        </w:rPr>
        <w:t xml:space="preserve"> </w:t>
      </w:r>
      <w:r w:rsidR="00E90CE0" w:rsidRPr="00D93FF9">
        <w:rPr>
          <w:lang w:val="en-GB"/>
        </w:rPr>
        <w:t>plants</w:t>
      </w:r>
      <w:r w:rsidR="00E90CE0" w:rsidRPr="00D93FF9">
        <w:rPr>
          <w:spacing w:val="31"/>
          <w:lang w:val="en-GB"/>
        </w:rPr>
        <w:t xml:space="preserve"> </w:t>
      </w:r>
      <w:r w:rsidR="00E90CE0" w:rsidRPr="00D93FF9">
        <w:rPr>
          <w:lang w:val="en-GB"/>
        </w:rPr>
        <w:t>at</w:t>
      </w:r>
      <w:r w:rsidR="00E90CE0" w:rsidRPr="00D93FF9">
        <w:rPr>
          <w:spacing w:val="30"/>
          <w:lang w:val="en-GB"/>
        </w:rPr>
        <w:t xml:space="preserve"> </w:t>
      </w:r>
      <w:r w:rsidR="00E90CE0" w:rsidRPr="00D93FF9">
        <w:rPr>
          <w:lang w:val="en-GB"/>
        </w:rPr>
        <w:t>concentrations</w:t>
      </w:r>
      <w:r w:rsidR="00E90CE0" w:rsidRPr="00D93FF9">
        <w:rPr>
          <w:spacing w:val="31"/>
          <w:lang w:val="en-GB"/>
        </w:rPr>
        <w:t xml:space="preserve"> </w:t>
      </w:r>
      <w:r w:rsidR="00E90CE0" w:rsidRPr="00D93FF9">
        <w:rPr>
          <w:lang w:val="en-GB"/>
        </w:rPr>
        <w:t>as</w:t>
      </w:r>
      <w:r w:rsidR="00E90CE0" w:rsidRPr="00D93FF9">
        <w:rPr>
          <w:spacing w:val="30"/>
          <w:lang w:val="en-GB"/>
        </w:rPr>
        <w:t xml:space="preserve"> </w:t>
      </w:r>
      <w:r w:rsidR="00E90CE0" w:rsidRPr="00D93FF9">
        <w:rPr>
          <w:lang w:val="en-GB"/>
        </w:rPr>
        <w:t>low</w:t>
      </w:r>
      <w:r w:rsidR="00E90CE0" w:rsidRPr="00D93FF9">
        <w:rPr>
          <w:spacing w:val="29"/>
          <w:lang w:val="en-GB"/>
        </w:rPr>
        <w:t xml:space="preserve"> </w:t>
      </w:r>
      <w:r w:rsidR="00E90CE0" w:rsidRPr="00D93FF9">
        <w:rPr>
          <w:lang w:val="en-GB"/>
        </w:rPr>
        <w:t>as</w:t>
      </w:r>
      <w:r w:rsidR="0029733E" w:rsidRPr="00D93FF9">
        <w:rPr>
          <w:lang w:val="en-GB"/>
        </w:rPr>
        <w:t xml:space="preserve"> </w:t>
      </w:r>
      <w:r w:rsidR="00E90CE0" w:rsidRPr="00D93FF9">
        <w:rPr>
          <w:lang w:val="en-GB"/>
        </w:rPr>
        <w:t>0.5 mg/L (</w:t>
      </w:r>
      <w:r w:rsidR="009412B9" w:rsidRPr="00D93FF9">
        <w:t>Efroymson et al. 1997b</w:t>
      </w:r>
      <w:r w:rsidR="00253907" w:rsidRPr="00D93FF9">
        <w:t>)</w:t>
      </w:r>
      <w:r w:rsidR="00E90CE0" w:rsidRPr="00D93FF9">
        <w:rPr>
          <w:lang w:val="en-GB"/>
        </w:rPr>
        <w:t xml:space="preserve">. Given that toxic concentrations of molybdenum may arise in herbage at soil solution concentrations apparently below those at which phytotoxicity is noted, the </w:t>
      </w:r>
      <w:r w:rsidR="00553FF9" w:rsidRPr="00D93FF9">
        <w:rPr>
          <w:lang w:val="en-GB"/>
        </w:rPr>
        <w:t>DGV</w:t>
      </w:r>
      <w:r w:rsidR="00E90CE0" w:rsidRPr="00D93FF9">
        <w:rPr>
          <w:lang w:val="en-GB"/>
        </w:rPr>
        <w:t xml:space="preserve"> and </w:t>
      </w:r>
      <w:r w:rsidR="00553FF9" w:rsidRPr="00D93FF9">
        <w:rPr>
          <w:lang w:val="en-GB"/>
        </w:rPr>
        <w:t>SGV</w:t>
      </w:r>
      <w:r w:rsidR="00E90CE0" w:rsidRPr="00D93FF9">
        <w:rPr>
          <w:lang w:val="en-GB"/>
        </w:rPr>
        <w:t xml:space="preserve"> have been set at levels designed to prevent the build-up of molybdenum in soils that could raise molybdenum levels in crops above 10 </w:t>
      </w:r>
      <w:r w:rsidR="00E90CE0" w:rsidRPr="00D93FF9">
        <w:rPr>
          <w:spacing w:val="-3"/>
          <w:lang w:val="en-GB"/>
        </w:rPr>
        <w:t xml:space="preserve">mg/kg, </w:t>
      </w:r>
      <w:r w:rsidR="00E90CE0" w:rsidRPr="00D93FF9">
        <w:rPr>
          <w:lang w:val="en-GB"/>
        </w:rPr>
        <w:t>thus protecting grazing livestock. A</w:t>
      </w:r>
      <w:r w:rsidR="00606CB4" w:rsidRPr="00D93FF9">
        <w:rPr>
          <w:lang w:val="en-GB"/>
        </w:rPr>
        <w:t>n</w:t>
      </w:r>
      <w:r w:rsidR="00E90CE0" w:rsidRPr="00D93FF9">
        <w:rPr>
          <w:lang w:val="en-GB"/>
        </w:rPr>
        <w:t xml:space="preserve"> </w:t>
      </w:r>
      <w:r w:rsidR="006D735C" w:rsidRPr="00D93FF9">
        <w:rPr>
          <w:lang w:val="en-GB"/>
        </w:rPr>
        <w:t>ACL</w:t>
      </w:r>
      <w:r w:rsidR="00E90CE0" w:rsidRPr="00D93FF9">
        <w:rPr>
          <w:lang w:val="en-GB"/>
        </w:rPr>
        <w:t xml:space="preserve"> limit has not been set for molybdenum due to lack of soil data or soil toxicity</w:t>
      </w:r>
      <w:r w:rsidR="00E90CE0" w:rsidRPr="00D93FF9">
        <w:rPr>
          <w:spacing w:val="-3"/>
          <w:lang w:val="en-GB"/>
        </w:rPr>
        <w:t xml:space="preserve"> </w:t>
      </w:r>
      <w:r w:rsidR="00E90CE0" w:rsidRPr="00D93FF9">
        <w:rPr>
          <w:lang w:val="en-GB"/>
        </w:rPr>
        <w:t>benchmarks.</w:t>
      </w:r>
    </w:p>
    <w:p w14:paraId="59DCD374" w14:textId="77777777" w:rsidR="00C46175" w:rsidRPr="00D93FF9" w:rsidRDefault="00C46175" w:rsidP="003807A1">
      <w:pPr>
        <w:pStyle w:val="BodyText"/>
        <w:spacing w:after="0"/>
        <w:rPr>
          <w:sz w:val="25"/>
          <w:lang w:val="en-GB"/>
        </w:rPr>
      </w:pPr>
    </w:p>
    <w:p w14:paraId="59DCD375" w14:textId="77777777" w:rsidR="00C46175" w:rsidRPr="00D93FF9" w:rsidRDefault="00E811B8" w:rsidP="00096243">
      <w:pPr>
        <w:pStyle w:val="Heading3"/>
        <w:rPr>
          <w:lang w:val="en-GB"/>
        </w:rPr>
      </w:pPr>
      <w:bookmarkStart w:id="266" w:name="_Toc96693596"/>
      <w:r w:rsidRPr="00D93FF9">
        <w:t>Nickel</w:t>
      </w:r>
      <w:bookmarkEnd w:id="266"/>
    </w:p>
    <w:p w14:paraId="59DCD376" w14:textId="77777777" w:rsidR="00C46175" w:rsidRPr="00D93FF9" w:rsidRDefault="00E811B8" w:rsidP="00493E7A">
      <w:pPr>
        <w:pStyle w:val="Heading5"/>
        <w:spacing w:before="200" w:after="200" w:line="245" w:lineRule="auto"/>
        <w:ind w:left="284"/>
        <w:rPr>
          <w:i/>
          <w:iCs/>
          <w:lang w:val="en-GB"/>
        </w:rPr>
      </w:pPr>
      <w:r w:rsidRPr="00D93FF9">
        <w:rPr>
          <w:i/>
          <w:iCs/>
          <w:lang w:val="en-GB"/>
        </w:rPr>
        <w:t>It is recommended that the concentration of nickel in irrigation waters and soils should be less than the</w:t>
      </w:r>
      <w:r w:rsidRPr="00D93FF9">
        <w:rPr>
          <w:i/>
          <w:iCs/>
          <w:spacing w:val="-1"/>
          <w:lang w:val="en-GB"/>
        </w:rPr>
        <w:t xml:space="preserve"> </w:t>
      </w:r>
      <w:r w:rsidRPr="00D93FF9">
        <w:rPr>
          <w:i/>
          <w:iCs/>
          <w:lang w:val="en-GB"/>
        </w:rPr>
        <w:t>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379" w14:textId="77777777" w:rsidTr="00493E7A">
        <w:trPr>
          <w:trHeight w:val="318"/>
        </w:trPr>
        <w:tc>
          <w:tcPr>
            <w:tcW w:w="6240" w:type="dxa"/>
          </w:tcPr>
          <w:p w14:paraId="59DCD377"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378"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0.2 mg/L</w:t>
            </w:r>
          </w:p>
        </w:tc>
      </w:tr>
      <w:tr w:rsidR="00BE3AA8" w:rsidRPr="00D93FF9" w14:paraId="59DCD37C" w14:textId="77777777" w:rsidTr="00493E7A">
        <w:trPr>
          <w:trHeight w:val="318"/>
        </w:trPr>
        <w:tc>
          <w:tcPr>
            <w:tcW w:w="6240" w:type="dxa"/>
          </w:tcPr>
          <w:p w14:paraId="59DCD37A"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37B"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2.0 mg/L</w:t>
            </w:r>
          </w:p>
        </w:tc>
      </w:tr>
      <w:tr w:rsidR="00BE3AA8" w:rsidRPr="00D93FF9" w14:paraId="59DCD37F" w14:textId="77777777" w:rsidTr="00493E7A">
        <w:trPr>
          <w:trHeight w:val="318"/>
        </w:trPr>
        <w:tc>
          <w:tcPr>
            <w:tcW w:w="6240" w:type="dxa"/>
          </w:tcPr>
          <w:p w14:paraId="59DCD37D"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37E"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85 kg/ha</w:t>
            </w:r>
          </w:p>
        </w:tc>
      </w:tr>
    </w:tbl>
    <w:p w14:paraId="59DCD380" w14:textId="77777777" w:rsidR="00C46175" w:rsidRPr="00D93FF9" w:rsidRDefault="00C46175" w:rsidP="003807A1">
      <w:pPr>
        <w:pStyle w:val="BodyText"/>
        <w:spacing w:after="0"/>
        <w:rPr>
          <w:rFonts w:ascii="Arial"/>
          <w:sz w:val="16"/>
          <w:lang w:val="en-GB"/>
        </w:rPr>
      </w:pPr>
      <w:bookmarkStart w:id="267" w:name="9.2.5.19__Selenium"/>
      <w:bookmarkEnd w:id="267"/>
    </w:p>
    <w:p w14:paraId="59DCD381" w14:textId="6378DC3D" w:rsidR="00C46175" w:rsidRPr="00D93FF9" w:rsidRDefault="00E811B8" w:rsidP="003807A1">
      <w:pPr>
        <w:pStyle w:val="BodyText"/>
        <w:spacing w:after="0" w:line="266" w:lineRule="auto"/>
        <w:jc w:val="both"/>
        <w:rPr>
          <w:lang w:val="en-GB"/>
        </w:rPr>
      </w:pPr>
      <w:r w:rsidRPr="00D93FF9">
        <w:rPr>
          <w:lang w:val="en-GB"/>
        </w:rPr>
        <w:t xml:space="preserve">Nickel is a silvery-white metal </w:t>
      </w:r>
      <w:r w:rsidR="00B97C40" w:rsidRPr="00D93FF9">
        <w:rPr>
          <w:lang w:val="en-GB"/>
        </w:rPr>
        <w:t>that</w:t>
      </w:r>
      <w:r w:rsidRPr="00D93FF9">
        <w:rPr>
          <w:lang w:val="en-GB"/>
        </w:rPr>
        <w:t xml:space="preserve"> is hard, malleable, ductile, and a good conductor of heat and electricity. As a natural composite of the earth crust, nickel is mainly present in igneous rocks and is ubiquitous in the environment (Scott-Fordsmand </w:t>
      </w:r>
      <w:r w:rsidR="00FA6E9E" w:rsidRPr="00D93FF9">
        <w:rPr>
          <w:lang w:val="en-GB"/>
        </w:rPr>
        <w:t>and</w:t>
      </w:r>
      <w:r w:rsidRPr="00D93FF9">
        <w:rPr>
          <w:lang w:val="en-GB"/>
        </w:rPr>
        <w:t xml:space="preserve"> </w:t>
      </w:r>
      <w:r w:rsidR="00F71F14" w:rsidRPr="00D93FF9">
        <w:rPr>
          <w:lang w:val="en-GB"/>
        </w:rPr>
        <w:t>Pedersen</w:t>
      </w:r>
      <w:r w:rsidRPr="00D93FF9">
        <w:rPr>
          <w:lang w:val="en-GB"/>
        </w:rPr>
        <w:t xml:space="preserve"> 1995).</w:t>
      </w:r>
    </w:p>
    <w:p w14:paraId="59DCD382" w14:textId="77777777" w:rsidR="00C46175" w:rsidRPr="00D93FF9" w:rsidRDefault="00E811B8" w:rsidP="00DE510C">
      <w:pPr>
        <w:pStyle w:val="Heading5"/>
        <w:rPr>
          <w:lang w:val="en-GB"/>
        </w:rPr>
      </w:pPr>
      <w:r w:rsidRPr="00D93FF9">
        <w:rPr>
          <w:lang w:val="en-GB"/>
        </w:rPr>
        <w:t>Crop yield and quality considerations</w:t>
      </w:r>
    </w:p>
    <w:p w14:paraId="59DCD383" w14:textId="4F7AEE2D" w:rsidR="00B97C40" w:rsidRPr="00D93FF9" w:rsidRDefault="00E811B8" w:rsidP="00493E7A">
      <w:pPr>
        <w:spacing w:after="0" w:line="266" w:lineRule="auto"/>
        <w:rPr>
          <w:lang w:val="en-GB"/>
        </w:rPr>
      </w:pPr>
      <w:r w:rsidRPr="00D93FF9">
        <w:rPr>
          <w:lang w:val="en-GB"/>
        </w:rPr>
        <w:t xml:space="preserve">Background concentrations of nickel in Australian and New Zealand waterway are very low (0.0001 to 0.00015 mg/L </w:t>
      </w:r>
      <w:r w:rsidRPr="00D93FF9">
        <w:rPr>
          <w:lang w:val="en-GB"/>
        </w:rPr>
        <w:fldChar w:fldCharType="begin"/>
      </w:r>
      <w:r w:rsidR="007C2051" w:rsidRPr="00D93FF9">
        <w:rPr>
          <w:lang w:val="en-GB"/>
        </w:rPr>
        <w:instrText xml:space="preserve"> ADDIN ZOTERO_ITEM CSL_CITATION {"citationID":"dHqsouxe","properties":{"formattedCitation":"(ANZECC and ARMCANZ, 2000a)","plainCitation":"(ANZECC and ARMCANZ, 2000a)","noteIndex":0},"citationItems":[{"id":2788,"uris":["http://zotero.org/users/1938757/items/G6EST86D"],"uri":["http://zotero.org/users/1938757/items/G6EST86D"],"itemData":{"id":2788,"type":"book","event-place":"Canberra, Commonwealth of Australia","publisher":"National Water Quality Management Strategy (NWQMS). Australian and New Zealand Environment and Conservation Council, Agriculture and Resource Management Council of Australia and New Zealand","publisher-place":"Canberra, Commonwealth of Australia","title":"Australian and New Zealand Guidelines for Fresh and Marine Water Quality. Volume 2, Chapter 3 . Aquatic Ecosystems - Rationale and Background Information","URL":"http://www.mincos.gov.au/pub_anzwq.html","author":[{"family":"ANZECC","given":""},{"family":"ARMCANZ","given":""}],"issued":{"date-parts":[["2000"]]}}}],"schema":"https://github.com/citation-style-language/schema/raw/master/csl-citation.json"} </w:instrText>
      </w:r>
      <w:r w:rsidRPr="00D93FF9">
        <w:rPr>
          <w:lang w:val="en-GB"/>
        </w:rPr>
        <w:fldChar w:fldCharType="separate"/>
      </w:r>
      <w:r w:rsidR="007C2051" w:rsidRPr="00D93FF9">
        <w:rPr>
          <w:rFonts w:ascii="Calibri" w:hAnsi="Calibri" w:cs="Calibri"/>
        </w:rPr>
        <w:t>(ANZECC and ARMCANZ 2000</w:t>
      </w:r>
      <w:r w:rsidRPr="00D93FF9">
        <w:rPr>
          <w:lang w:val="en-GB"/>
        </w:rPr>
        <w:fldChar w:fldCharType="end"/>
      </w:r>
      <w:r w:rsidRPr="00D93FF9">
        <w:rPr>
          <w:lang w:val="en-GB"/>
        </w:rPr>
        <w:t>).</w:t>
      </w:r>
    </w:p>
    <w:p w14:paraId="59DCD384" w14:textId="6987E6FA" w:rsidR="00C46175" w:rsidRPr="00D93FF9" w:rsidRDefault="00E811B8" w:rsidP="00493E7A">
      <w:pPr>
        <w:pStyle w:val="BodyText"/>
        <w:spacing w:after="0" w:line="266" w:lineRule="auto"/>
        <w:jc w:val="both"/>
        <w:rPr>
          <w:lang w:val="en-GB"/>
        </w:rPr>
      </w:pPr>
      <w:r w:rsidRPr="00D93FF9">
        <w:rPr>
          <w:lang w:val="en-GB"/>
        </w:rPr>
        <w:t>Nickel concentrations in soils in Australia range from 5 mg/kg to 520 mg/kg with an average</w:t>
      </w:r>
      <w:r w:rsidR="00493E7A" w:rsidRPr="00D93FF9">
        <w:rPr>
          <w:lang w:val="en-GB"/>
        </w:rPr>
        <w:t xml:space="preserve"> </w:t>
      </w:r>
      <w:r w:rsidRPr="00D93FF9">
        <w:rPr>
          <w:lang w:val="en-GB"/>
        </w:rPr>
        <w:t>&lt;100 mg/kg (CSIRO, unpublished).</w:t>
      </w:r>
      <w:r w:rsidR="009D4411" w:rsidRPr="00D93FF9">
        <w:rPr>
          <w:lang w:val="en-GB"/>
        </w:rPr>
        <w:t xml:space="preserve"> In New Zealand the median ranges from 1.9 to 27.4 mg/kg and can range up to 154 mg/kg (</w:t>
      </w:r>
      <w:r w:rsidR="009D4411" w:rsidRPr="00D93FF9">
        <w:rPr>
          <w:lang w:val="en-GB"/>
        </w:rPr>
        <w:fldChar w:fldCharType="begin"/>
      </w:r>
      <w:r w:rsidR="009D4411" w:rsidRPr="00D93FF9">
        <w:rPr>
          <w:lang w:val="en-GB"/>
        </w:rPr>
        <w:instrText xml:space="preserve"> REF _Ref81393907 \h </w:instrText>
      </w:r>
      <w:r w:rsidR="00D93FF9">
        <w:rPr>
          <w:lang w:val="en-GB"/>
        </w:rPr>
        <w:instrText xml:space="preserve"> \* MERGEFORMAT </w:instrText>
      </w:r>
      <w:r w:rsidR="009D4411" w:rsidRPr="00D93FF9">
        <w:rPr>
          <w:lang w:val="en-GB"/>
        </w:rPr>
      </w:r>
      <w:r w:rsidR="009D4411" w:rsidRPr="00D93FF9">
        <w:rPr>
          <w:lang w:val="en-GB"/>
        </w:rPr>
        <w:fldChar w:fldCharType="separate"/>
      </w:r>
      <w:r w:rsidR="0069302C" w:rsidRPr="0069302C">
        <w:t xml:space="preserve">Table </w:t>
      </w:r>
      <w:r w:rsidR="0069302C" w:rsidRPr="0069302C">
        <w:rPr>
          <w:noProof/>
        </w:rPr>
        <w:t>22</w:t>
      </w:r>
      <w:r w:rsidR="009D4411" w:rsidRPr="00D93FF9">
        <w:rPr>
          <w:lang w:val="en-GB"/>
        </w:rPr>
        <w:fldChar w:fldCharType="end"/>
      </w:r>
      <w:r w:rsidR="009D4411" w:rsidRPr="00D93FF9">
        <w:rPr>
          <w:lang w:val="en-GB"/>
        </w:rPr>
        <w:t xml:space="preserve">) </w:t>
      </w:r>
      <w:r w:rsidRPr="00D93FF9">
        <w:rPr>
          <w:lang w:val="en-GB"/>
        </w:rPr>
        <w:t>Soils developed from serpentine rocks contain much higher nickel</w:t>
      </w:r>
      <w:r w:rsidR="00B97C40" w:rsidRPr="00D93FF9">
        <w:rPr>
          <w:lang w:val="en-GB"/>
        </w:rPr>
        <w:t xml:space="preserve"> quantities</w:t>
      </w:r>
      <w:r w:rsidRPr="00D93FF9">
        <w:rPr>
          <w:lang w:val="en-GB"/>
        </w:rPr>
        <w:t xml:space="preserve"> (400–500 mg/kg). Soil nickel concentrations toxic to plants vary, depending on the soil conditions, particularly soil texture, organic matter content and soil pH. Nickel is sorbed strongly to most soils. Below pH6 the concentration of soluble and exchangeable nickel increases considerably (Herms </w:t>
      </w:r>
      <w:r w:rsidR="00FA6E9E" w:rsidRPr="00D93FF9">
        <w:rPr>
          <w:lang w:val="en-GB"/>
        </w:rPr>
        <w:t>and</w:t>
      </w:r>
      <w:r w:rsidRPr="00D93FF9">
        <w:rPr>
          <w:lang w:val="en-GB"/>
        </w:rPr>
        <w:t xml:space="preserve"> Brümmer 1984).</w:t>
      </w:r>
    </w:p>
    <w:p w14:paraId="59DCD385" w14:textId="7E9657D6" w:rsidR="00C46175" w:rsidRPr="00D93FF9" w:rsidRDefault="00E811B8" w:rsidP="00493E7A">
      <w:pPr>
        <w:pStyle w:val="BodyText"/>
        <w:spacing w:after="0" w:line="266" w:lineRule="auto"/>
        <w:jc w:val="both"/>
        <w:rPr>
          <w:lang w:val="en-GB"/>
        </w:rPr>
      </w:pPr>
      <w:r w:rsidRPr="00D93FF9">
        <w:rPr>
          <w:spacing w:val="-3"/>
          <w:lang w:val="en-GB"/>
        </w:rPr>
        <w:t xml:space="preserve">Although nickel </w:t>
      </w:r>
      <w:r w:rsidRPr="00D93FF9">
        <w:rPr>
          <w:lang w:val="en-GB"/>
        </w:rPr>
        <w:t xml:space="preserve">is now accepted as an essential </w:t>
      </w:r>
      <w:r w:rsidRPr="00D93FF9">
        <w:rPr>
          <w:spacing w:val="-3"/>
          <w:lang w:val="en-GB"/>
        </w:rPr>
        <w:t xml:space="preserve">micro-nutrient </w:t>
      </w:r>
      <w:r w:rsidRPr="00D93FF9">
        <w:rPr>
          <w:lang w:val="en-GB"/>
        </w:rPr>
        <w:t xml:space="preserve">for plant </w:t>
      </w:r>
      <w:r w:rsidRPr="00D93FF9">
        <w:rPr>
          <w:spacing w:val="-3"/>
          <w:lang w:val="en-GB"/>
        </w:rPr>
        <w:t xml:space="preserve">growth </w:t>
      </w:r>
      <w:r w:rsidRPr="00D93FF9">
        <w:rPr>
          <w:lang w:val="en-GB"/>
        </w:rPr>
        <w:t>(Marschner 1995),</w:t>
      </w:r>
      <w:r w:rsidRPr="00D93FF9">
        <w:rPr>
          <w:spacing w:val="-5"/>
          <w:lang w:val="en-GB"/>
        </w:rPr>
        <w:t xml:space="preserve"> </w:t>
      </w:r>
      <w:r w:rsidRPr="00D93FF9">
        <w:rPr>
          <w:spacing w:val="-3"/>
          <w:lang w:val="en-GB"/>
        </w:rPr>
        <w:t>nickel</w:t>
      </w:r>
      <w:r w:rsidRPr="00D93FF9">
        <w:rPr>
          <w:spacing w:val="-4"/>
          <w:lang w:val="en-GB"/>
        </w:rPr>
        <w:t xml:space="preserve"> </w:t>
      </w:r>
      <w:r w:rsidRPr="00D93FF9">
        <w:rPr>
          <w:lang w:val="en-GB"/>
        </w:rPr>
        <w:t>has</w:t>
      </w:r>
      <w:r w:rsidRPr="00D93FF9">
        <w:rPr>
          <w:spacing w:val="-4"/>
          <w:lang w:val="en-GB"/>
        </w:rPr>
        <w:t xml:space="preserve"> </w:t>
      </w:r>
      <w:r w:rsidRPr="00D93FF9">
        <w:rPr>
          <w:spacing w:val="-3"/>
          <w:lang w:val="en-GB"/>
        </w:rPr>
        <w:t>never</w:t>
      </w:r>
      <w:r w:rsidRPr="00D93FF9">
        <w:rPr>
          <w:spacing w:val="-4"/>
          <w:lang w:val="en-GB"/>
        </w:rPr>
        <w:t xml:space="preserve"> </w:t>
      </w:r>
      <w:r w:rsidRPr="00D93FF9">
        <w:rPr>
          <w:lang w:val="en-GB"/>
        </w:rPr>
        <w:t>been</w:t>
      </w:r>
      <w:r w:rsidRPr="00D93FF9">
        <w:rPr>
          <w:spacing w:val="-4"/>
          <w:lang w:val="en-GB"/>
        </w:rPr>
        <w:t xml:space="preserve"> </w:t>
      </w:r>
      <w:r w:rsidRPr="00D93FF9">
        <w:rPr>
          <w:lang w:val="en-GB"/>
        </w:rPr>
        <w:t>deficient</w:t>
      </w:r>
      <w:r w:rsidRPr="00D93FF9">
        <w:rPr>
          <w:spacing w:val="-4"/>
          <w:lang w:val="en-GB"/>
        </w:rPr>
        <w:t xml:space="preserve"> </w:t>
      </w:r>
      <w:r w:rsidRPr="00D93FF9">
        <w:rPr>
          <w:lang w:val="en-GB"/>
        </w:rPr>
        <w:t>in</w:t>
      </w:r>
      <w:r w:rsidRPr="00D93FF9">
        <w:rPr>
          <w:spacing w:val="-2"/>
          <w:lang w:val="en-GB"/>
        </w:rPr>
        <w:t xml:space="preserve"> </w:t>
      </w:r>
      <w:r w:rsidRPr="00D93FF9">
        <w:rPr>
          <w:spacing w:val="-3"/>
          <w:lang w:val="en-GB"/>
        </w:rPr>
        <w:t>soils</w:t>
      </w:r>
      <w:r w:rsidRPr="00D93FF9">
        <w:rPr>
          <w:spacing w:val="-2"/>
          <w:lang w:val="en-GB"/>
        </w:rPr>
        <w:t xml:space="preserve"> </w:t>
      </w:r>
      <w:r w:rsidRPr="00D93FF9">
        <w:rPr>
          <w:lang w:val="en-GB"/>
        </w:rPr>
        <w:t>due</w:t>
      </w:r>
      <w:r w:rsidRPr="00D93FF9">
        <w:rPr>
          <w:spacing w:val="-3"/>
          <w:lang w:val="en-GB"/>
        </w:rPr>
        <w:t xml:space="preserve"> </w:t>
      </w:r>
      <w:r w:rsidRPr="00D93FF9">
        <w:rPr>
          <w:lang w:val="en-GB"/>
        </w:rPr>
        <w:t>to</w:t>
      </w:r>
      <w:r w:rsidRPr="00D93FF9">
        <w:rPr>
          <w:spacing w:val="-2"/>
          <w:lang w:val="en-GB"/>
        </w:rPr>
        <w:t xml:space="preserve"> </w:t>
      </w:r>
      <w:r w:rsidRPr="00D93FF9">
        <w:rPr>
          <w:lang w:val="en-GB"/>
        </w:rPr>
        <w:t>the</w:t>
      </w:r>
      <w:r w:rsidRPr="00D93FF9">
        <w:rPr>
          <w:spacing w:val="-2"/>
          <w:lang w:val="en-GB"/>
        </w:rPr>
        <w:t xml:space="preserve"> </w:t>
      </w:r>
      <w:r w:rsidRPr="00D93FF9">
        <w:rPr>
          <w:lang w:val="en-GB"/>
        </w:rPr>
        <w:t>ubiquitous</w:t>
      </w:r>
      <w:r w:rsidRPr="00D93FF9">
        <w:rPr>
          <w:spacing w:val="-2"/>
          <w:lang w:val="en-GB"/>
        </w:rPr>
        <w:t xml:space="preserve"> </w:t>
      </w:r>
      <w:r w:rsidRPr="00D93FF9">
        <w:rPr>
          <w:lang w:val="en-GB"/>
        </w:rPr>
        <w:t>nature</w:t>
      </w:r>
      <w:r w:rsidRPr="00D93FF9">
        <w:rPr>
          <w:spacing w:val="-2"/>
          <w:lang w:val="en-GB"/>
        </w:rPr>
        <w:t xml:space="preserve"> </w:t>
      </w:r>
      <w:r w:rsidRPr="00D93FF9">
        <w:rPr>
          <w:lang w:val="en-GB"/>
        </w:rPr>
        <w:t>of</w:t>
      </w:r>
      <w:r w:rsidRPr="00D93FF9">
        <w:rPr>
          <w:spacing w:val="-2"/>
          <w:lang w:val="en-GB"/>
        </w:rPr>
        <w:t xml:space="preserve"> </w:t>
      </w:r>
      <w:r w:rsidRPr="00D93FF9">
        <w:rPr>
          <w:spacing w:val="-3"/>
          <w:lang w:val="en-GB"/>
        </w:rPr>
        <w:t xml:space="preserve">nickel </w:t>
      </w:r>
      <w:r w:rsidRPr="00D93FF9">
        <w:rPr>
          <w:lang w:val="en-GB"/>
        </w:rPr>
        <w:t xml:space="preserve">in the </w:t>
      </w:r>
      <w:r w:rsidRPr="00D93FF9">
        <w:rPr>
          <w:spacing w:val="-3"/>
          <w:lang w:val="en-GB"/>
        </w:rPr>
        <w:t xml:space="preserve">environment. </w:t>
      </w:r>
      <w:r w:rsidRPr="00D93FF9">
        <w:rPr>
          <w:lang w:val="en-GB"/>
        </w:rPr>
        <w:t xml:space="preserve">Concern for </w:t>
      </w:r>
      <w:r w:rsidRPr="00D93FF9">
        <w:rPr>
          <w:spacing w:val="-3"/>
          <w:lang w:val="en-GB"/>
        </w:rPr>
        <w:t xml:space="preserve">nickel phytotoxicity stems </w:t>
      </w:r>
      <w:r w:rsidRPr="00D93FF9">
        <w:rPr>
          <w:lang w:val="en-GB"/>
        </w:rPr>
        <w:t xml:space="preserve">from the use of biosolids of </w:t>
      </w:r>
      <w:r w:rsidRPr="00D93FF9">
        <w:rPr>
          <w:spacing w:val="-3"/>
          <w:lang w:val="en-GB"/>
        </w:rPr>
        <w:t xml:space="preserve">high nickel </w:t>
      </w:r>
      <w:r w:rsidRPr="00D93FF9">
        <w:rPr>
          <w:lang w:val="en-GB"/>
        </w:rPr>
        <w:t xml:space="preserve">content on </w:t>
      </w:r>
      <w:r w:rsidRPr="00D93FF9">
        <w:rPr>
          <w:spacing w:val="-3"/>
          <w:lang w:val="en-GB"/>
        </w:rPr>
        <w:t xml:space="preserve">soils, where </w:t>
      </w:r>
      <w:r w:rsidRPr="00D93FF9">
        <w:rPr>
          <w:lang w:val="en-GB"/>
        </w:rPr>
        <w:t xml:space="preserve">concentrations in </w:t>
      </w:r>
      <w:r w:rsidRPr="00D93FF9">
        <w:rPr>
          <w:spacing w:val="-3"/>
          <w:lang w:val="en-GB"/>
        </w:rPr>
        <w:t xml:space="preserve">soil may </w:t>
      </w:r>
      <w:r w:rsidRPr="00D93FF9">
        <w:rPr>
          <w:lang w:val="en-GB"/>
        </w:rPr>
        <w:t xml:space="preserve">reach </w:t>
      </w:r>
      <w:r w:rsidRPr="00D93FF9">
        <w:rPr>
          <w:spacing w:val="-3"/>
          <w:lang w:val="en-GB"/>
        </w:rPr>
        <w:t xml:space="preserve">phytotoxic levels. Soils </w:t>
      </w:r>
      <w:r w:rsidRPr="00D93FF9">
        <w:rPr>
          <w:spacing w:val="-4"/>
          <w:lang w:val="en-GB"/>
        </w:rPr>
        <w:t xml:space="preserve">most </w:t>
      </w:r>
      <w:r w:rsidRPr="00D93FF9">
        <w:rPr>
          <w:lang w:val="en-GB"/>
        </w:rPr>
        <w:t xml:space="preserve">at risk from </w:t>
      </w:r>
      <w:r w:rsidRPr="00D93FF9">
        <w:rPr>
          <w:spacing w:val="-3"/>
          <w:lang w:val="en-GB"/>
        </w:rPr>
        <w:t xml:space="preserve">nickel phytotoxicity </w:t>
      </w:r>
      <w:r w:rsidRPr="00D93FF9">
        <w:rPr>
          <w:lang w:val="en-GB"/>
        </w:rPr>
        <w:t xml:space="preserve">are acidic </w:t>
      </w:r>
      <w:r w:rsidRPr="00D93FF9">
        <w:rPr>
          <w:spacing w:val="-3"/>
          <w:lang w:val="en-GB"/>
        </w:rPr>
        <w:t xml:space="preserve">light-textured </w:t>
      </w:r>
      <w:r w:rsidRPr="00D93FF9">
        <w:rPr>
          <w:lang w:val="en-GB"/>
        </w:rPr>
        <w:t xml:space="preserve">soils low in </w:t>
      </w:r>
      <w:r w:rsidRPr="00D93FF9">
        <w:rPr>
          <w:spacing w:val="-3"/>
          <w:lang w:val="en-GB"/>
        </w:rPr>
        <w:t xml:space="preserve">organic matter. Nickel </w:t>
      </w:r>
      <w:r w:rsidRPr="00D93FF9">
        <w:rPr>
          <w:lang w:val="en-GB"/>
        </w:rPr>
        <w:t xml:space="preserve">concentrations in nutrient </w:t>
      </w:r>
      <w:r w:rsidRPr="00D93FF9">
        <w:rPr>
          <w:spacing w:val="-3"/>
          <w:lang w:val="en-GB"/>
        </w:rPr>
        <w:t xml:space="preserve">solutions </w:t>
      </w:r>
      <w:r w:rsidR="00B97C40" w:rsidRPr="00D93FF9">
        <w:rPr>
          <w:lang w:val="en-GB"/>
        </w:rPr>
        <w:t xml:space="preserve">greater than </w:t>
      </w:r>
      <w:r w:rsidRPr="00D93FF9">
        <w:rPr>
          <w:lang w:val="en-GB"/>
        </w:rPr>
        <w:t>0.13</w:t>
      </w:r>
      <w:r w:rsidRPr="00D93FF9">
        <w:rPr>
          <w:spacing w:val="-4"/>
          <w:lang w:val="en-GB"/>
        </w:rPr>
        <w:t xml:space="preserve">mg/L </w:t>
      </w:r>
      <w:r w:rsidRPr="00D93FF9">
        <w:rPr>
          <w:lang w:val="en-GB"/>
        </w:rPr>
        <w:t>are toxic to plants (</w:t>
      </w:r>
      <w:r w:rsidR="00B97C40" w:rsidRPr="00D93FF9">
        <w:t>Efroymson et al. 1997b)</w:t>
      </w:r>
      <w:r w:rsidRPr="00D93FF9">
        <w:rPr>
          <w:lang w:val="en-GB"/>
        </w:rPr>
        <w:t>. The</w:t>
      </w:r>
      <w:r w:rsidR="00B97C40" w:rsidRPr="00D93FF9">
        <w:rPr>
          <w:lang w:val="en-GB"/>
        </w:rPr>
        <w:t>refore</w:t>
      </w:r>
      <w:r w:rsidR="00606CB4" w:rsidRPr="00D93FF9">
        <w:rPr>
          <w:lang w:val="en-GB"/>
        </w:rPr>
        <w:t>,</w:t>
      </w:r>
      <w:r w:rsidR="00B97C40" w:rsidRPr="00D93FF9">
        <w:rPr>
          <w:lang w:val="en-GB"/>
        </w:rPr>
        <w:t xml:space="preserve"> the</w:t>
      </w:r>
      <w:r w:rsidRPr="00D93FF9">
        <w:rPr>
          <w:lang w:val="en-GB"/>
        </w:rPr>
        <w:t xml:space="preserve"> </w:t>
      </w:r>
      <w:r w:rsidR="00553FF9" w:rsidRPr="00D93FF9">
        <w:rPr>
          <w:lang w:val="en-GB"/>
        </w:rPr>
        <w:t>DGV</w:t>
      </w:r>
      <w:r w:rsidRPr="00D93FF9">
        <w:rPr>
          <w:lang w:val="en-GB"/>
        </w:rPr>
        <w:t xml:space="preserve"> and </w:t>
      </w:r>
      <w:r w:rsidR="00553FF9" w:rsidRPr="00D93FF9">
        <w:rPr>
          <w:lang w:val="en-GB"/>
        </w:rPr>
        <w:t>SGV</w:t>
      </w:r>
      <w:r w:rsidRPr="00D93FF9">
        <w:rPr>
          <w:lang w:val="en-GB"/>
        </w:rPr>
        <w:t xml:space="preserve"> for </w:t>
      </w:r>
      <w:r w:rsidRPr="00D93FF9">
        <w:rPr>
          <w:spacing w:val="-3"/>
          <w:lang w:val="en-GB"/>
        </w:rPr>
        <w:t xml:space="preserve">nickel have </w:t>
      </w:r>
      <w:r w:rsidRPr="00D93FF9">
        <w:rPr>
          <w:lang w:val="en-GB"/>
        </w:rPr>
        <w:t xml:space="preserve">been set to </w:t>
      </w:r>
      <w:r w:rsidRPr="00D93FF9">
        <w:rPr>
          <w:spacing w:val="-3"/>
          <w:lang w:val="en-GB"/>
        </w:rPr>
        <w:t xml:space="preserve">reduce </w:t>
      </w:r>
      <w:r w:rsidRPr="00D93FF9">
        <w:rPr>
          <w:lang w:val="en-GB"/>
        </w:rPr>
        <w:t xml:space="preserve">the </w:t>
      </w:r>
      <w:r w:rsidRPr="00D93FF9">
        <w:rPr>
          <w:spacing w:val="-3"/>
          <w:lang w:val="en-GB"/>
        </w:rPr>
        <w:t xml:space="preserve">risk </w:t>
      </w:r>
      <w:r w:rsidRPr="00D93FF9">
        <w:rPr>
          <w:lang w:val="en-GB"/>
        </w:rPr>
        <w:t>of</w:t>
      </w:r>
      <w:r w:rsidRPr="00D93FF9">
        <w:rPr>
          <w:spacing w:val="-7"/>
          <w:lang w:val="en-GB"/>
        </w:rPr>
        <w:t xml:space="preserve"> </w:t>
      </w:r>
      <w:r w:rsidRPr="00D93FF9">
        <w:rPr>
          <w:lang w:val="en-GB"/>
        </w:rPr>
        <w:t>direct</w:t>
      </w:r>
      <w:r w:rsidRPr="00D93FF9">
        <w:rPr>
          <w:spacing w:val="-7"/>
          <w:lang w:val="en-GB"/>
        </w:rPr>
        <w:t xml:space="preserve"> </w:t>
      </w:r>
      <w:r w:rsidRPr="00D93FF9">
        <w:rPr>
          <w:spacing w:val="-3"/>
          <w:lang w:val="en-GB"/>
        </w:rPr>
        <w:t>nickel</w:t>
      </w:r>
      <w:r w:rsidRPr="00D93FF9">
        <w:rPr>
          <w:spacing w:val="-7"/>
          <w:lang w:val="en-GB"/>
        </w:rPr>
        <w:t xml:space="preserve"> </w:t>
      </w:r>
      <w:r w:rsidRPr="00D93FF9">
        <w:rPr>
          <w:lang w:val="en-GB"/>
        </w:rPr>
        <w:t>toxicity</w:t>
      </w:r>
      <w:r w:rsidRPr="00D93FF9">
        <w:rPr>
          <w:spacing w:val="-9"/>
          <w:lang w:val="en-GB"/>
        </w:rPr>
        <w:t xml:space="preserve"> </w:t>
      </w:r>
      <w:r w:rsidRPr="00D93FF9">
        <w:rPr>
          <w:lang w:val="en-GB"/>
        </w:rPr>
        <w:t>to</w:t>
      </w:r>
      <w:r w:rsidRPr="00D93FF9">
        <w:rPr>
          <w:spacing w:val="-7"/>
          <w:lang w:val="en-GB"/>
        </w:rPr>
        <w:t xml:space="preserve"> </w:t>
      </w:r>
      <w:r w:rsidRPr="00D93FF9">
        <w:rPr>
          <w:lang w:val="en-GB"/>
        </w:rPr>
        <w:t>plants.</w:t>
      </w:r>
      <w:r w:rsidRPr="00D93FF9">
        <w:rPr>
          <w:spacing w:val="-7"/>
          <w:lang w:val="en-GB"/>
        </w:rPr>
        <w:t xml:space="preserve"> </w:t>
      </w:r>
      <w:r w:rsidRPr="00D93FF9">
        <w:rPr>
          <w:spacing w:val="-3"/>
          <w:lang w:val="en-GB"/>
        </w:rPr>
        <w:t>Given</w:t>
      </w:r>
      <w:r w:rsidRPr="00D93FF9">
        <w:rPr>
          <w:spacing w:val="-5"/>
          <w:lang w:val="en-GB"/>
        </w:rPr>
        <w:t xml:space="preserve"> </w:t>
      </w:r>
      <w:r w:rsidRPr="00D93FF9">
        <w:rPr>
          <w:lang w:val="en-GB"/>
        </w:rPr>
        <w:t>the</w:t>
      </w:r>
      <w:r w:rsidRPr="00D93FF9">
        <w:rPr>
          <w:spacing w:val="-5"/>
          <w:lang w:val="en-GB"/>
        </w:rPr>
        <w:t xml:space="preserve"> </w:t>
      </w:r>
      <w:r w:rsidRPr="00D93FF9">
        <w:rPr>
          <w:lang w:val="en-GB"/>
        </w:rPr>
        <w:t>datasets</w:t>
      </w:r>
      <w:r w:rsidRPr="00D93FF9">
        <w:rPr>
          <w:spacing w:val="-5"/>
          <w:lang w:val="en-GB"/>
        </w:rPr>
        <w:t xml:space="preserve"> </w:t>
      </w:r>
      <w:r w:rsidRPr="00D93FF9">
        <w:rPr>
          <w:lang w:val="en-GB"/>
        </w:rPr>
        <w:t>for</w:t>
      </w:r>
      <w:r w:rsidRPr="00D93FF9">
        <w:rPr>
          <w:spacing w:val="-5"/>
          <w:lang w:val="en-GB"/>
        </w:rPr>
        <w:t xml:space="preserve"> </w:t>
      </w:r>
      <w:r w:rsidRPr="00D93FF9">
        <w:rPr>
          <w:spacing w:val="-3"/>
          <w:lang w:val="en-GB"/>
        </w:rPr>
        <w:t>background</w:t>
      </w:r>
      <w:r w:rsidRPr="00D93FF9">
        <w:rPr>
          <w:spacing w:val="-5"/>
          <w:lang w:val="en-GB"/>
        </w:rPr>
        <w:t xml:space="preserve"> </w:t>
      </w:r>
      <w:r w:rsidRPr="00D93FF9">
        <w:rPr>
          <w:lang w:val="en-GB"/>
        </w:rPr>
        <w:t xml:space="preserve">concentrations of </w:t>
      </w:r>
      <w:r w:rsidRPr="00D93FF9">
        <w:rPr>
          <w:spacing w:val="-3"/>
          <w:lang w:val="en-GB"/>
        </w:rPr>
        <w:t xml:space="preserve">nickel </w:t>
      </w:r>
      <w:r w:rsidRPr="00D93FF9">
        <w:rPr>
          <w:lang w:val="en-GB"/>
        </w:rPr>
        <w:t xml:space="preserve">in </w:t>
      </w:r>
      <w:r w:rsidRPr="00D93FF9">
        <w:rPr>
          <w:spacing w:val="-3"/>
          <w:lang w:val="en-GB"/>
        </w:rPr>
        <w:t xml:space="preserve">Australian </w:t>
      </w:r>
      <w:r w:rsidRPr="00D93FF9">
        <w:rPr>
          <w:lang w:val="en-GB"/>
        </w:rPr>
        <w:t xml:space="preserve">soils, and existing </w:t>
      </w:r>
      <w:r w:rsidRPr="00D93FF9">
        <w:rPr>
          <w:spacing w:val="-3"/>
          <w:lang w:val="en-GB"/>
        </w:rPr>
        <w:t xml:space="preserve">nickel limits </w:t>
      </w:r>
      <w:r w:rsidRPr="00D93FF9">
        <w:rPr>
          <w:lang w:val="en-GB"/>
        </w:rPr>
        <w:t xml:space="preserve">for </w:t>
      </w:r>
      <w:r w:rsidRPr="00D93FF9">
        <w:rPr>
          <w:spacing w:val="-3"/>
          <w:lang w:val="en-GB"/>
        </w:rPr>
        <w:t xml:space="preserve">agricultural </w:t>
      </w:r>
      <w:r w:rsidRPr="00D93FF9">
        <w:rPr>
          <w:lang w:val="en-GB"/>
        </w:rPr>
        <w:t xml:space="preserve">soils </w:t>
      </w:r>
      <w:r w:rsidRPr="00D93FF9">
        <w:rPr>
          <w:spacing w:val="-3"/>
          <w:lang w:val="en-GB"/>
        </w:rPr>
        <w:t xml:space="preserve">receiving </w:t>
      </w:r>
      <w:r w:rsidRPr="00D93FF9">
        <w:rPr>
          <w:lang w:val="en-GB"/>
        </w:rPr>
        <w:t xml:space="preserve">biosolids </w:t>
      </w:r>
      <w:r w:rsidRPr="00D93FF9">
        <w:rPr>
          <w:spacing w:val="-3"/>
          <w:lang w:val="en-GB"/>
        </w:rPr>
        <w:t>(</w:t>
      </w:r>
      <w:r w:rsidR="00B97C40" w:rsidRPr="00D93FF9">
        <w:rPr>
          <w:lang w:val="en-GB"/>
        </w:rPr>
        <w:fldChar w:fldCharType="begin"/>
      </w:r>
      <w:r w:rsidR="00BE6DF0" w:rsidRPr="00D93FF9">
        <w:rPr>
          <w:lang w:val="en-GB"/>
        </w:rPr>
        <w:instrText xml:space="preserve"> ADDIN ZOTERO_ITEM CSL_CITATION {"citationID":"NIIRCP8b","properties":{"formattedCitation":"(DEHP Qld 2016; EPA SA 2020)","plainCitation":"(DEHP Qld 2016; EPA SA 2020)","dontUpdate":true,"noteIndex":0},"citationItems":[{"id":24917,"uris":["http://zotero.org/users/1938757/items/N94G9UGC"],"uri":["http://zotero.org/users/1938757/items/N94G9UGC"],"itemData":{"id":24917,"type":"report","event-place":"Queensland, Australia","publisher":"Industry and Development Assessment, Environmental Services and Regulation Division, Department of Environment and Heritage Protection, State of Queensland","publisher-place":"Queensland, Australia","title":"General beneficial use approval for Biosolids Waste Reduction and Recycling Act 2011","URL":"http://www.ehp.qld.gov.au/assets/documents/regulation/wr-ga-biosolids.pdf","author":[{"family":"DEHP Qld","given":""}],"issued":{"date-parts":[["2016"]]}}},{"id":32915,"uris":["http://zotero.org/users/1938757/items/KK8ZB4H2"],"uri":["http://zotero.org/users/1938757/items/KK8ZB4H2"],"itemData":{"id":32915,"type":"report","publisher":"Environmental Protection Authority South Australia","title":"South Australian Biosolids Guideline for the Safe Handling and Reuse of Biosolids","URL":"https://www.epa.sa.gov.au/files/14641_guide_biosolids.pdf","author":[{"family":"EPA SA","given":""}],"issued":{"date-parts":[["2020"]]}}}],"schema":"https://github.com/citation-style-language/schema/raw/master/csl-citation.json"} </w:instrText>
      </w:r>
      <w:r w:rsidR="00B97C40" w:rsidRPr="00D93FF9">
        <w:rPr>
          <w:lang w:val="en-GB"/>
        </w:rPr>
        <w:fldChar w:fldCharType="separate"/>
      </w:r>
      <w:r w:rsidR="00B97C40" w:rsidRPr="00D93FF9">
        <w:rPr>
          <w:lang w:val="en-GB"/>
        </w:rPr>
        <w:t>DEHP Qld 2016; EPA SA 2020)</w:t>
      </w:r>
      <w:r w:rsidR="00B97C40" w:rsidRPr="00D93FF9">
        <w:rPr>
          <w:lang w:val="en-GB"/>
        </w:rPr>
        <w:fldChar w:fldCharType="end"/>
      </w:r>
      <w:r w:rsidRPr="00D93FF9">
        <w:rPr>
          <w:spacing w:val="-3"/>
          <w:lang w:val="en-GB"/>
        </w:rPr>
        <w:t xml:space="preserve">, </w:t>
      </w:r>
      <w:r w:rsidRPr="00D93FF9">
        <w:rPr>
          <w:lang w:val="en-GB"/>
        </w:rPr>
        <w:t xml:space="preserve">a </w:t>
      </w:r>
      <w:r w:rsidRPr="00D93FF9">
        <w:rPr>
          <w:spacing w:val="-3"/>
          <w:lang w:val="en-GB"/>
        </w:rPr>
        <w:t xml:space="preserve">nickel </w:t>
      </w:r>
      <w:r w:rsidR="006D735C" w:rsidRPr="00D93FF9">
        <w:rPr>
          <w:lang w:val="en-GB"/>
        </w:rPr>
        <w:t>ACL</w:t>
      </w:r>
      <w:r w:rsidRPr="00D93FF9">
        <w:rPr>
          <w:lang w:val="en-GB"/>
        </w:rPr>
        <w:t xml:space="preserve"> has </w:t>
      </w:r>
      <w:r w:rsidRPr="00D93FF9">
        <w:rPr>
          <w:spacing w:val="-3"/>
          <w:lang w:val="en-GB"/>
        </w:rPr>
        <w:t xml:space="preserve">been derived </w:t>
      </w:r>
      <w:r w:rsidRPr="00D93FF9">
        <w:rPr>
          <w:lang w:val="en-GB"/>
        </w:rPr>
        <w:t xml:space="preserve">for </w:t>
      </w:r>
      <w:r w:rsidRPr="00D93FF9">
        <w:rPr>
          <w:spacing w:val="-3"/>
          <w:lang w:val="en-GB"/>
        </w:rPr>
        <w:t>soils receiving</w:t>
      </w:r>
      <w:r w:rsidRPr="00D93FF9">
        <w:rPr>
          <w:spacing w:val="-32"/>
          <w:lang w:val="en-GB"/>
        </w:rPr>
        <w:t xml:space="preserve"> </w:t>
      </w:r>
      <w:r w:rsidRPr="00D93FF9">
        <w:rPr>
          <w:spacing w:val="-4"/>
          <w:lang w:val="en-GB"/>
        </w:rPr>
        <w:t>irrigation.</w:t>
      </w:r>
    </w:p>
    <w:p w14:paraId="59DCD386" w14:textId="77777777" w:rsidR="00C46175" w:rsidRPr="00D93FF9" w:rsidRDefault="00C46175" w:rsidP="00493E7A">
      <w:pPr>
        <w:pStyle w:val="BodyText"/>
        <w:spacing w:after="0" w:line="266" w:lineRule="auto"/>
        <w:rPr>
          <w:sz w:val="25"/>
          <w:lang w:val="en-GB"/>
        </w:rPr>
      </w:pPr>
    </w:p>
    <w:p w14:paraId="59DCD387" w14:textId="77777777" w:rsidR="00C46175" w:rsidRPr="00D93FF9" w:rsidRDefault="00E811B8" w:rsidP="00096243">
      <w:pPr>
        <w:pStyle w:val="Heading3"/>
        <w:rPr>
          <w:lang w:val="en-GB"/>
        </w:rPr>
      </w:pPr>
      <w:bookmarkStart w:id="268" w:name="_Toc96693597"/>
      <w:r w:rsidRPr="00D93FF9">
        <w:t>Selenium</w:t>
      </w:r>
      <w:bookmarkEnd w:id="268"/>
    </w:p>
    <w:p w14:paraId="59DCD388" w14:textId="77777777" w:rsidR="00C46175" w:rsidRPr="00D93FF9" w:rsidRDefault="00E811B8" w:rsidP="00493E7A">
      <w:pPr>
        <w:pStyle w:val="Heading5"/>
        <w:spacing w:before="200" w:after="200" w:line="245" w:lineRule="auto"/>
        <w:ind w:left="284"/>
        <w:rPr>
          <w:i/>
          <w:iCs/>
          <w:lang w:val="en-GB"/>
        </w:rPr>
      </w:pPr>
      <w:r w:rsidRPr="00D93FF9">
        <w:rPr>
          <w:i/>
          <w:iCs/>
          <w:lang w:val="en-GB"/>
        </w:rPr>
        <w:t>It is recommended that the concentration of selenium in irrigation waters and soils should be less than the 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38B" w14:textId="77777777" w:rsidTr="00493E7A">
        <w:trPr>
          <w:trHeight w:val="318"/>
        </w:trPr>
        <w:tc>
          <w:tcPr>
            <w:tcW w:w="6240" w:type="dxa"/>
          </w:tcPr>
          <w:p w14:paraId="59DCD389"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38A"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0.02 mg/L</w:t>
            </w:r>
          </w:p>
        </w:tc>
      </w:tr>
      <w:tr w:rsidR="00BE3AA8" w:rsidRPr="00D93FF9" w14:paraId="59DCD38E" w14:textId="77777777" w:rsidTr="00493E7A">
        <w:trPr>
          <w:trHeight w:val="318"/>
        </w:trPr>
        <w:tc>
          <w:tcPr>
            <w:tcW w:w="6240" w:type="dxa"/>
          </w:tcPr>
          <w:p w14:paraId="59DCD38C"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38D"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0.05 mg/L</w:t>
            </w:r>
          </w:p>
        </w:tc>
      </w:tr>
      <w:tr w:rsidR="00BE3AA8" w:rsidRPr="00D93FF9" w14:paraId="59DCD391" w14:textId="77777777" w:rsidTr="00493E7A">
        <w:trPr>
          <w:trHeight w:val="318"/>
        </w:trPr>
        <w:tc>
          <w:tcPr>
            <w:tcW w:w="6240" w:type="dxa"/>
          </w:tcPr>
          <w:p w14:paraId="59DCD38F"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390"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10 kg/ha</w:t>
            </w:r>
          </w:p>
        </w:tc>
      </w:tr>
    </w:tbl>
    <w:p w14:paraId="59DCD392" w14:textId="77777777" w:rsidR="00C46175" w:rsidRPr="00D93FF9" w:rsidRDefault="00C46175" w:rsidP="003807A1">
      <w:pPr>
        <w:pStyle w:val="BodyText"/>
        <w:spacing w:after="0"/>
        <w:rPr>
          <w:b/>
          <w:i/>
          <w:sz w:val="26"/>
          <w:lang w:val="en-GB"/>
        </w:rPr>
      </w:pPr>
    </w:p>
    <w:p w14:paraId="59DCD393" w14:textId="77777777" w:rsidR="00C46175" w:rsidRPr="00D93FF9" w:rsidRDefault="00E811B8" w:rsidP="003807A1">
      <w:pPr>
        <w:pStyle w:val="BodyText"/>
        <w:spacing w:after="0" w:line="280" w:lineRule="exact"/>
        <w:jc w:val="both"/>
        <w:rPr>
          <w:lang w:val="en-GB"/>
        </w:rPr>
      </w:pPr>
      <w:r w:rsidRPr="00D93FF9">
        <w:rPr>
          <w:lang w:val="en-GB"/>
        </w:rPr>
        <w:t xml:space="preserve">Selenium is a metalloid element, found in conjunction with sulfide ores of copper, iron and zinc. Selenium is an essential human and animal micro-nutrient at low concentrations, responsible for the </w:t>
      </w:r>
      <w:r w:rsidR="00CB5260" w:rsidRPr="00D93FF9">
        <w:rPr>
          <w:lang w:val="en-GB"/>
        </w:rPr>
        <w:t>enzyme glutathione peroxidase activity</w:t>
      </w:r>
      <w:r w:rsidRPr="00D93FF9">
        <w:rPr>
          <w:lang w:val="en-GB"/>
        </w:rPr>
        <w:t xml:space="preserve">. </w:t>
      </w:r>
    </w:p>
    <w:p w14:paraId="59DCD394" w14:textId="77777777" w:rsidR="00C46175" w:rsidRPr="00D93FF9" w:rsidRDefault="00C46175" w:rsidP="003807A1">
      <w:pPr>
        <w:pStyle w:val="BodyText"/>
        <w:spacing w:after="0"/>
        <w:rPr>
          <w:sz w:val="18"/>
          <w:lang w:val="en-GB"/>
        </w:rPr>
      </w:pPr>
    </w:p>
    <w:p w14:paraId="59DCD395" w14:textId="77777777" w:rsidR="00C46175" w:rsidRPr="00D93FF9" w:rsidRDefault="00E811B8" w:rsidP="00DE510C">
      <w:pPr>
        <w:pStyle w:val="Heading5"/>
        <w:rPr>
          <w:lang w:val="en-GB"/>
        </w:rPr>
      </w:pPr>
      <w:r w:rsidRPr="00D93FF9">
        <w:rPr>
          <w:lang w:val="en-GB"/>
        </w:rPr>
        <w:t>Crop yield and quality considerations</w:t>
      </w:r>
    </w:p>
    <w:p w14:paraId="59DCD396" w14:textId="723DF804" w:rsidR="008473EA" w:rsidRPr="00D93FF9" w:rsidRDefault="00E811B8" w:rsidP="00493E7A">
      <w:pPr>
        <w:pStyle w:val="BodyText"/>
        <w:spacing w:after="0" w:line="266" w:lineRule="auto"/>
        <w:jc w:val="both"/>
        <w:rPr>
          <w:spacing w:val="-3"/>
        </w:rPr>
      </w:pPr>
      <w:r w:rsidRPr="00D93FF9">
        <w:t xml:space="preserve">Concentrations in unpolluted surface waters are generally in the order of &lt;10 </w:t>
      </w:r>
      <w:r w:rsidR="00962EA1" w:rsidRPr="00D93FF9">
        <w:rPr>
          <w:rFonts w:ascii="Symbol" w:hAnsi="Symbol"/>
        </w:rPr>
        <w:sym w:font="Symbol" w:char="F06D"/>
      </w:r>
      <w:r w:rsidRPr="00D93FF9">
        <w:t xml:space="preserve">g/L (DWAF 1996). </w:t>
      </w:r>
      <w:r w:rsidRPr="00D93FF9">
        <w:rPr>
          <w:spacing w:val="-3"/>
        </w:rPr>
        <w:t xml:space="preserve">Selenium </w:t>
      </w:r>
      <w:r w:rsidRPr="00D93FF9">
        <w:t xml:space="preserve">occurs in soils as selenite </w:t>
      </w:r>
      <w:r w:rsidRPr="00D93FF9">
        <w:rPr>
          <w:spacing w:val="-3"/>
        </w:rPr>
        <w:t>(SeO</w:t>
      </w:r>
      <w:r w:rsidRPr="00D93FF9">
        <w:rPr>
          <w:spacing w:val="-3"/>
          <w:position w:val="-4"/>
          <w:sz w:val="15"/>
        </w:rPr>
        <w:t>3</w:t>
      </w:r>
      <w:r w:rsidRPr="00D93FF9">
        <w:rPr>
          <w:spacing w:val="-3"/>
          <w:position w:val="5"/>
          <w:sz w:val="15"/>
        </w:rPr>
        <w:t>2</w:t>
      </w:r>
      <w:r w:rsidRPr="00D93FF9">
        <w:rPr>
          <w:spacing w:val="-3"/>
          <w:position w:val="7"/>
          <w:sz w:val="11"/>
        </w:rPr>
        <w:t>-</w:t>
      </w:r>
      <w:r w:rsidRPr="00D93FF9">
        <w:rPr>
          <w:spacing w:val="-3"/>
        </w:rPr>
        <w:t xml:space="preserve">) </w:t>
      </w:r>
      <w:r w:rsidRPr="00D93FF9">
        <w:t xml:space="preserve">and </w:t>
      </w:r>
      <w:r w:rsidRPr="00D93FF9">
        <w:rPr>
          <w:spacing w:val="-3"/>
        </w:rPr>
        <w:t>selenate (SeO</w:t>
      </w:r>
      <w:r w:rsidRPr="00D93FF9">
        <w:rPr>
          <w:spacing w:val="-3"/>
          <w:position w:val="-4"/>
          <w:sz w:val="15"/>
        </w:rPr>
        <w:t>4</w:t>
      </w:r>
      <w:r w:rsidRPr="00D93FF9">
        <w:rPr>
          <w:spacing w:val="-3"/>
          <w:position w:val="5"/>
          <w:sz w:val="15"/>
        </w:rPr>
        <w:t>2</w:t>
      </w:r>
      <w:r w:rsidRPr="00D93FF9">
        <w:rPr>
          <w:spacing w:val="-3"/>
          <w:position w:val="7"/>
          <w:sz w:val="11"/>
        </w:rPr>
        <w:t>-</w:t>
      </w:r>
      <w:r w:rsidRPr="00D93FF9">
        <w:rPr>
          <w:spacing w:val="-3"/>
        </w:rPr>
        <w:t xml:space="preserve">). </w:t>
      </w:r>
    </w:p>
    <w:p w14:paraId="59DCD397" w14:textId="77777777" w:rsidR="008473EA" w:rsidRPr="00D93FF9" w:rsidRDefault="00E811B8" w:rsidP="00493E7A">
      <w:pPr>
        <w:pStyle w:val="BodyText"/>
        <w:spacing w:after="0" w:line="266" w:lineRule="auto"/>
        <w:jc w:val="both"/>
      </w:pPr>
      <w:r w:rsidRPr="00D93FF9">
        <w:t>Soil behaviour is similar to other anions such as molybdenum in that bioavailability and mobility are high. In acid soils containing iron and aluminium oxides, selenite forms low solubility complexes with the oxide fractions. In alkaline soils, selenium occurs as selenate, which is highly</w:t>
      </w:r>
      <w:r w:rsidRPr="00D93FF9">
        <w:rPr>
          <w:spacing w:val="-3"/>
        </w:rPr>
        <w:t xml:space="preserve"> </w:t>
      </w:r>
      <w:r w:rsidRPr="00D93FF9">
        <w:t xml:space="preserve">mobile. </w:t>
      </w:r>
    </w:p>
    <w:p w14:paraId="59DCD398" w14:textId="76AC2183" w:rsidR="00C46175" w:rsidRPr="00D93FF9" w:rsidRDefault="00E811B8" w:rsidP="00493E7A">
      <w:pPr>
        <w:pStyle w:val="BodyText"/>
        <w:spacing w:after="0" w:line="266" w:lineRule="auto"/>
        <w:jc w:val="both"/>
        <w:rPr>
          <w:lang w:val="en-GB"/>
        </w:rPr>
      </w:pPr>
      <w:r w:rsidRPr="00D93FF9">
        <w:rPr>
          <w:lang w:val="en-GB"/>
        </w:rPr>
        <w:t xml:space="preserve">The median background concentration of selenium in Australian soils is 0.5 </w:t>
      </w:r>
      <w:r w:rsidRPr="00D93FF9">
        <w:rPr>
          <w:spacing w:val="-3"/>
          <w:lang w:val="en-GB"/>
        </w:rPr>
        <w:t xml:space="preserve">mg/kg, </w:t>
      </w:r>
      <w:r w:rsidRPr="00D93FF9">
        <w:rPr>
          <w:lang w:val="en-GB"/>
        </w:rPr>
        <w:t>values ranging from 0.05 to 3.2 mg/kg (</w:t>
      </w:r>
      <w:r w:rsidR="00FE5F61" w:rsidRPr="00D93FF9">
        <w:rPr>
          <w:lang w:val="en-GB"/>
        </w:rPr>
        <w:fldChar w:fldCharType="begin"/>
      </w:r>
      <w:r w:rsidR="00FE5F61" w:rsidRPr="00D93FF9">
        <w:rPr>
          <w:lang w:val="en-GB"/>
        </w:rPr>
        <w:instrText xml:space="preserve"> REF _Ref81393907 \h </w:instrText>
      </w:r>
      <w:r w:rsidR="00D93FF9">
        <w:rPr>
          <w:lang w:val="en-GB"/>
        </w:rPr>
        <w:instrText xml:space="preserve"> \* MERGEFORMAT </w:instrText>
      </w:r>
      <w:r w:rsidR="00FE5F61" w:rsidRPr="00D93FF9">
        <w:rPr>
          <w:lang w:val="en-GB"/>
        </w:rPr>
      </w:r>
      <w:r w:rsidR="00FE5F61" w:rsidRPr="00D93FF9">
        <w:rPr>
          <w:lang w:val="en-GB"/>
        </w:rPr>
        <w:fldChar w:fldCharType="separate"/>
      </w:r>
      <w:r w:rsidR="0069302C" w:rsidRPr="0069302C">
        <w:t xml:space="preserve">Table </w:t>
      </w:r>
      <w:r w:rsidR="0069302C" w:rsidRPr="0069302C">
        <w:rPr>
          <w:noProof/>
        </w:rPr>
        <w:t>22</w:t>
      </w:r>
      <w:r w:rsidR="00FE5F61" w:rsidRPr="00D93FF9">
        <w:rPr>
          <w:lang w:val="en-GB"/>
        </w:rPr>
        <w:fldChar w:fldCharType="end"/>
      </w:r>
      <w:r w:rsidRPr="00D93FF9">
        <w:rPr>
          <w:lang w:val="en-GB"/>
        </w:rPr>
        <w:t>). The main issue regarding selenium in irrigation water is elevated</w:t>
      </w:r>
      <w:r w:rsidR="008473EA" w:rsidRPr="00D93FF9">
        <w:rPr>
          <w:lang w:val="en-GB"/>
        </w:rPr>
        <w:t xml:space="preserve"> selenium</w:t>
      </w:r>
      <w:r w:rsidRPr="00D93FF9">
        <w:rPr>
          <w:lang w:val="en-GB"/>
        </w:rPr>
        <w:t xml:space="preserve"> concentrations in forage crops and toxicity of selenium to animals consuming high selenium fodder. </w:t>
      </w:r>
      <w:r w:rsidR="008473EA" w:rsidRPr="00D93FF9">
        <w:rPr>
          <w:lang w:val="en-GB"/>
        </w:rPr>
        <w:t>C</w:t>
      </w:r>
      <w:r w:rsidRPr="00D93FF9">
        <w:rPr>
          <w:lang w:val="en-GB"/>
        </w:rPr>
        <w:t xml:space="preserve">attle </w:t>
      </w:r>
      <w:r w:rsidR="008473EA" w:rsidRPr="00D93FF9">
        <w:rPr>
          <w:lang w:val="en-GB"/>
        </w:rPr>
        <w:t xml:space="preserve">require selenium concentrations of 0.03–0.1 mg/kg in forage </w:t>
      </w:r>
      <w:r w:rsidRPr="00D93FF9">
        <w:rPr>
          <w:lang w:val="en-GB"/>
        </w:rPr>
        <w:t>to prevent deficiency. However, selenium concentrations in fodder above 5 mg/kg (Horvath 1976) are considered potentially toxic. This concentration</w:t>
      </w:r>
      <w:r w:rsidRPr="00D93FF9">
        <w:rPr>
          <w:spacing w:val="13"/>
          <w:lang w:val="en-GB"/>
        </w:rPr>
        <w:t xml:space="preserve"> </w:t>
      </w:r>
      <w:r w:rsidRPr="00D93FF9">
        <w:rPr>
          <w:lang w:val="en-GB"/>
        </w:rPr>
        <w:t>of</w:t>
      </w:r>
      <w:r w:rsidRPr="00D93FF9">
        <w:rPr>
          <w:spacing w:val="13"/>
          <w:lang w:val="en-GB"/>
        </w:rPr>
        <w:t xml:space="preserve"> </w:t>
      </w:r>
      <w:r w:rsidRPr="00D93FF9">
        <w:rPr>
          <w:lang w:val="en-GB"/>
        </w:rPr>
        <w:t>selenium</w:t>
      </w:r>
      <w:r w:rsidRPr="00D93FF9">
        <w:rPr>
          <w:spacing w:val="10"/>
          <w:lang w:val="en-GB"/>
        </w:rPr>
        <w:t xml:space="preserve"> </w:t>
      </w:r>
      <w:r w:rsidRPr="00D93FF9">
        <w:rPr>
          <w:lang w:val="en-GB"/>
        </w:rPr>
        <w:t>can</w:t>
      </w:r>
      <w:r w:rsidRPr="00D93FF9">
        <w:rPr>
          <w:spacing w:val="13"/>
          <w:lang w:val="en-GB"/>
        </w:rPr>
        <w:t xml:space="preserve"> </w:t>
      </w:r>
      <w:r w:rsidRPr="00D93FF9">
        <w:rPr>
          <w:lang w:val="en-GB"/>
        </w:rPr>
        <w:t>arise</w:t>
      </w:r>
      <w:r w:rsidRPr="00D93FF9">
        <w:rPr>
          <w:spacing w:val="13"/>
          <w:lang w:val="en-GB"/>
        </w:rPr>
        <w:t xml:space="preserve"> </w:t>
      </w:r>
      <w:r w:rsidRPr="00D93FF9">
        <w:rPr>
          <w:lang w:val="en-GB"/>
        </w:rPr>
        <w:t>in</w:t>
      </w:r>
      <w:r w:rsidRPr="00D93FF9">
        <w:rPr>
          <w:spacing w:val="14"/>
          <w:lang w:val="en-GB"/>
        </w:rPr>
        <w:t xml:space="preserve"> </w:t>
      </w:r>
      <w:r w:rsidRPr="00D93FF9">
        <w:rPr>
          <w:lang w:val="en-GB"/>
        </w:rPr>
        <w:t>plants</w:t>
      </w:r>
      <w:r w:rsidRPr="00D93FF9">
        <w:rPr>
          <w:spacing w:val="13"/>
          <w:lang w:val="en-GB"/>
        </w:rPr>
        <w:t xml:space="preserve"> </w:t>
      </w:r>
      <w:r w:rsidRPr="00D93FF9">
        <w:rPr>
          <w:lang w:val="en-GB"/>
        </w:rPr>
        <w:t>grown</w:t>
      </w:r>
      <w:r w:rsidRPr="00D93FF9">
        <w:rPr>
          <w:spacing w:val="14"/>
          <w:lang w:val="en-GB"/>
        </w:rPr>
        <w:t xml:space="preserve"> </w:t>
      </w:r>
      <w:r w:rsidRPr="00D93FF9">
        <w:rPr>
          <w:lang w:val="en-GB"/>
        </w:rPr>
        <w:t>in</w:t>
      </w:r>
      <w:r w:rsidRPr="00D93FF9">
        <w:rPr>
          <w:spacing w:val="13"/>
          <w:lang w:val="en-GB"/>
        </w:rPr>
        <w:t xml:space="preserve"> </w:t>
      </w:r>
      <w:r w:rsidRPr="00D93FF9">
        <w:rPr>
          <w:lang w:val="en-GB"/>
        </w:rPr>
        <w:t>soils</w:t>
      </w:r>
      <w:r w:rsidRPr="00D93FF9">
        <w:rPr>
          <w:spacing w:val="13"/>
          <w:lang w:val="en-GB"/>
        </w:rPr>
        <w:t xml:space="preserve"> </w:t>
      </w:r>
      <w:r w:rsidRPr="00D93FF9">
        <w:rPr>
          <w:lang w:val="en-GB"/>
        </w:rPr>
        <w:t>with</w:t>
      </w:r>
      <w:r w:rsidRPr="00D93FF9">
        <w:rPr>
          <w:spacing w:val="17"/>
          <w:lang w:val="en-GB"/>
        </w:rPr>
        <w:t xml:space="preserve"> </w:t>
      </w:r>
      <w:r w:rsidRPr="00D93FF9">
        <w:rPr>
          <w:lang w:val="en-GB"/>
        </w:rPr>
        <w:t>a</w:t>
      </w:r>
      <w:r w:rsidRPr="00D93FF9">
        <w:rPr>
          <w:spacing w:val="16"/>
          <w:lang w:val="en-GB"/>
        </w:rPr>
        <w:t xml:space="preserve"> </w:t>
      </w:r>
      <w:r w:rsidRPr="00D93FF9">
        <w:rPr>
          <w:lang w:val="en-GB"/>
        </w:rPr>
        <w:t>solution</w:t>
      </w:r>
      <w:r w:rsidRPr="00D93FF9">
        <w:rPr>
          <w:spacing w:val="16"/>
          <w:lang w:val="en-GB"/>
        </w:rPr>
        <w:t xml:space="preserve"> </w:t>
      </w:r>
      <w:r w:rsidRPr="00D93FF9">
        <w:rPr>
          <w:lang w:val="en-GB"/>
        </w:rPr>
        <w:t>concentration</w:t>
      </w:r>
      <w:r w:rsidRPr="00D93FF9">
        <w:rPr>
          <w:spacing w:val="16"/>
          <w:lang w:val="en-GB"/>
        </w:rPr>
        <w:t xml:space="preserve"> </w:t>
      </w:r>
      <w:r w:rsidRPr="00D93FF9">
        <w:rPr>
          <w:lang w:val="en-GB"/>
        </w:rPr>
        <w:t>of</w:t>
      </w:r>
      <w:r w:rsidR="008473EA" w:rsidRPr="00D93FF9">
        <w:rPr>
          <w:lang w:val="en-GB"/>
        </w:rPr>
        <w:t xml:space="preserve"> </w:t>
      </w:r>
      <w:r w:rsidRPr="00D93FF9">
        <w:rPr>
          <w:lang w:val="en-GB"/>
        </w:rPr>
        <w:t>0.05</w:t>
      </w:r>
      <w:r w:rsidRPr="00D93FF9">
        <w:rPr>
          <w:spacing w:val="12"/>
          <w:lang w:val="en-GB"/>
        </w:rPr>
        <w:t xml:space="preserve"> </w:t>
      </w:r>
      <w:r w:rsidRPr="00D93FF9">
        <w:rPr>
          <w:lang w:val="en-GB"/>
        </w:rPr>
        <w:t>mg/L</w:t>
      </w:r>
      <w:r w:rsidRPr="00D93FF9">
        <w:rPr>
          <w:spacing w:val="13"/>
          <w:lang w:val="en-GB"/>
        </w:rPr>
        <w:t xml:space="preserve"> </w:t>
      </w:r>
      <w:r w:rsidRPr="00D93FF9">
        <w:rPr>
          <w:lang w:val="en-GB"/>
        </w:rPr>
        <w:t>selenium</w:t>
      </w:r>
      <w:r w:rsidRPr="00D93FF9">
        <w:rPr>
          <w:spacing w:val="9"/>
          <w:lang w:val="en-GB"/>
        </w:rPr>
        <w:t xml:space="preserve"> </w:t>
      </w:r>
      <w:r w:rsidRPr="00D93FF9">
        <w:rPr>
          <w:lang w:val="en-GB"/>
        </w:rPr>
        <w:t>(DWAF</w:t>
      </w:r>
      <w:r w:rsidRPr="00D93FF9">
        <w:rPr>
          <w:spacing w:val="13"/>
          <w:lang w:val="en-GB"/>
        </w:rPr>
        <w:t xml:space="preserve"> </w:t>
      </w:r>
      <w:r w:rsidRPr="00D93FF9">
        <w:rPr>
          <w:lang w:val="en-GB"/>
        </w:rPr>
        <w:t>1996).</w:t>
      </w:r>
      <w:r w:rsidRPr="00D93FF9">
        <w:rPr>
          <w:spacing w:val="13"/>
          <w:lang w:val="en-GB"/>
        </w:rPr>
        <w:t xml:space="preserve"> </w:t>
      </w:r>
      <w:r w:rsidRPr="00D93FF9">
        <w:rPr>
          <w:lang w:val="en-GB"/>
        </w:rPr>
        <w:t>Plants</w:t>
      </w:r>
      <w:r w:rsidRPr="00D93FF9">
        <w:rPr>
          <w:spacing w:val="13"/>
          <w:lang w:val="en-GB"/>
        </w:rPr>
        <w:t xml:space="preserve"> </w:t>
      </w:r>
      <w:r w:rsidRPr="00D93FF9">
        <w:rPr>
          <w:lang w:val="en-GB"/>
        </w:rPr>
        <w:t>can</w:t>
      </w:r>
      <w:r w:rsidRPr="00D93FF9">
        <w:rPr>
          <w:spacing w:val="12"/>
          <w:lang w:val="en-GB"/>
        </w:rPr>
        <w:t xml:space="preserve"> </w:t>
      </w:r>
      <w:r w:rsidRPr="00D93FF9">
        <w:rPr>
          <w:lang w:val="en-GB"/>
        </w:rPr>
        <w:t>absorb</w:t>
      </w:r>
      <w:r w:rsidRPr="00D93FF9">
        <w:rPr>
          <w:spacing w:val="16"/>
          <w:lang w:val="en-GB"/>
        </w:rPr>
        <w:t xml:space="preserve"> </w:t>
      </w:r>
      <w:r w:rsidRPr="00D93FF9">
        <w:rPr>
          <w:lang w:val="en-GB"/>
        </w:rPr>
        <w:t>relatively</w:t>
      </w:r>
      <w:r w:rsidRPr="00D93FF9">
        <w:rPr>
          <w:spacing w:val="13"/>
          <w:lang w:val="en-GB"/>
        </w:rPr>
        <w:t xml:space="preserve"> </w:t>
      </w:r>
      <w:r w:rsidRPr="00D93FF9">
        <w:rPr>
          <w:lang w:val="en-GB"/>
        </w:rPr>
        <w:t>large</w:t>
      </w:r>
      <w:r w:rsidRPr="00D93FF9">
        <w:rPr>
          <w:spacing w:val="16"/>
          <w:lang w:val="en-GB"/>
        </w:rPr>
        <w:t xml:space="preserve"> </w:t>
      </w:r>
      <w:r w:rsidRPr="00D93FF9">
        <w:rPr>
          <w:lang w:val="en-GB"/>
        </w:rPr>
        <w:t>amounts</w:t>
      </w:r>
      <w:r w:rsidRPr="00D93FF9">
        <w:rPr>
          <w:spacing w:val="15"/>
          <w:lang w:val="en-GB"/>
        </w:rPr>
        <w:t xml:space="preserve"> </w:t>
      </w:r>
      <w:r w:rsidRPr="00D93FF9">
        <w:rPr>
          <w:lang w:val="en-GB"/>
        </w:rPr>
        <w:t>of</w:t>
      </w:r>
      <w:r w:rsidRPr="00D93FF9">
        <w:rPr>
          <w:spacing w:val="15"/>
          <w:lang w:val="en-GB"/>
        </w:rPr>
        <w:t xml:space="preserve"> </w:t>
      </w:r>
      <w:r w:rsidRPr="00D93FF9">
        <w:rPr>
          <w:lang w:val="en-GB"/>
        </w:rPr>
        <w:t>selenium</w:t>
      </w:r>
      <w:r w:rsidR="003779D0" w:rsidRPr="00D93FF9">
        <w:rPr>
          <w:lang w:val="en-GB"/>
        </w:rPr>
        <w:t xml:space="preserve"> </w:t>
      </w:r>
      <w:r w:rsidRPr="00D93FF9">
        <w:rPr>
          <w:lang w:val="en-GB"/>
        </w:rPr>
        <w:t xml:space="preserve">without displaying any phytotoxicity symptoms. </w:t>
      </w:r>
      <w:r w:rsidR="003779D0" w:rsidRPr="00D93FF9">
        <w:t xml:space="preserve">Efroymson et al. </w:t>
      </w:r>
      <w:r w:rsidR="003779D0" w:rsidRPr="00D93FF9">
        <w:rPr>
          <w:lang w:val="en-GB"/>
        </w:rPr>
        <w:fldChar w:fldCharType="begin"/>
      </w:r>
      <w:r w:rsidR="00BE6DF0" w:rsidRPr="00D93FF9">
        <w:instrText xml:space="preserve"> ADDIN ZOTERO_ITEM CSL_CITATION {"citationID":"vgoyQFEg","properties":{"formattedCitation":"(1997b)","plainCitation":"(1997b)","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II","given":"GW"},{"family":"Wooten","given":"A.C."}],"issued":{"date-parts":[["1997"]]}},"suppress-author":true}],"schema":"https://github.com/citation-style-language/schema/raw/master/csl-citation.json"} </w:instrText>
      </w:r>
      <w:r w:rsidR="003779D0" w:rsidRPr="00D93FF9">
        <w:rPr>
          <w:lang w:val="en-GB"/>
        </w:rPr>
        <w:fldChar w:fldCharType="separate"/>
      </w:r>
      <w:r w:rsidR="003779D0" w:rsidRPr="00D93FF9">
        <w:t>(1997b)</w:t>
      </w:r>
      <w:r w:rsidR="003779D0" w:rsidRPr="00D93FF9">
        <w:rPr>
          <w:lang w:val="en-GB"/>
        </w:rPr>
        <w:fldChar w:fldCharType="end"/>
      </w:r>
      <w:r w:rsidR="003779D0" w:rsidRPr="00D93FF9">
        <w:rPr>
          <w:lang w:val="en-GB"/>
        </w:rPr>
        <w:t xml:space="preserve"> </w:t>
      </w:r>
      <w:r w:rsidRPr="00D93FF9">
        <w:rPr>
          <w:lang w:val="en-GB"/>
        </w:rPr>
        <w:t xml:space="preserve">derived a </w:t>
      </w:r>
      <w:r w:rsidR="00A516AD" w:rsidRPr="00D93FF9">
        <w:rPr>
          <w:lang w:val="en-GB"/>
        </w:rPr>
        <w:t xml:space="preserve">phytotoxic </w:t>
      </w:r>
      <w:r w:rsidRPr="00D93FF9">
        <w:rPr>
          <w:lang w:val="en-GB"/>
        </w:rPr>
        <w:t xml:space="preserve">soil benchmark of 1 </w:t>
      </w:r>
      <w:r w:rsidRPr="00D93FF9">
        <w:rPr>
          <w:spacing w:val="-3"/>
          <w:lang w:val="en-GB"/>
        </w:rPr>
        <w:t xml:space="preserve">mg/kg, </w:t>
      </w:r>
      <w:r w:rsidRPr="00D93FF9">
        <w:rPr>
          <w:lang w:val="en-GB"/>
        </w:rPr>
        <w:t xml:space="preserve">and a solution phytotoxic benchmark of 0.7 mg/L. Levels of selenium toxic to grazing animals can be reached in plant material long before solution concentrations become phytotoxic. On this basis the irrigation water quality </w:t>
      </w:r>
      <w:r w:rsidR="00553FF9" w:rsidRPr="00D93FF9">
        <w:rPr>
          <w:lang w:val="en-GB"/>
        </w:rPr>
        <w:t>DGV</w:t>
      </w:r>
      <w:r w:rsidRPr="00D93FF9">
        <w:rPr>
          <w:lang w:val="en-GB"/>
        </w:rPr>
        <w:t xml:space="preserve"> and </w:t>
      </w:r>
      <w:r w:rsidR="00553FF9" w:rsidRPr="00D93FF9">
        <w:rPr>
          <w:lang w:val="en-GB"/>
        </w:rPr>
        <w:t>SGV</w:t>
      </w:r>
      <w:r w:rsidRPr="00D93FF9">
        <w:rPr>
          <w:lang w:val="en-GB"/>
        </w:rPr>
        <w:t xml:space="preserve"> concentrations have been set in order to prevent selenium toxicity to grazing livestock feeding on forage receiving irrigation. Given the existence of datasets for background concentrations of selenium in Australian soils, a soil </w:t>
      </w:r>
      <w:r w:rsidR="006D735C" w:rsidRPr="00D93FF9">
        <w:rPr>
          <w:lang w:val="en-GB"/>
        </w:rPr>
        <w:t>ACL</w:t>
      </w:r>
      <w:r w:rsidRPr="00D93FF9">
        <w:rPr>
          <w:lang w:val="en-GB"/>
        </w:rPr>
        <w:t xml:space="preserve"> limit has been set for selenium based on current regulatory guidelines (</w:t>
      </w:r>
      <w:r w:rsidR="00A516AD" w:rsidRPr="00D93FF9">
        <w:rPr>
          <w:lang w:val="en-GB"/>
        </w:rPr>
        <w:t>EPA NSW 1997; DEHP Qld 2016</w:t>
      </w:r>
      <w:r w:rsidRPr="00D93FF9">
        <w:rPr>
          <w:lang w:val="en-GB"/>
        </w:rPr>
        <w:t>).</w:t>
      </w:r>
    </w:p>
    <w:p w14:paraId="59DCD399" w14:textId="77777777" w:rsidR="00C46175" w:rsidRPr="00D93FF9" w:rsidRDefault="00C46175" w:rsidP="003807A1">
      <w:pPr>
        <w:pStyle w:val="BodyText"/>
        <w:spacing w:after="0"/>
        <w:rPr>
          <w:sz w:val="25"/>
          <w:lang w:val="en-GB"/>
        </w:rPr>
      </w:pPr>
    </w:p>
    <w:p w14:paraId="59DCD39A" w14:textId="77777777" w:rsidR="00C46175" w:rsidRPr="00D93FF9" w:rsidRDefault="00E811B8" w:rsidP="00096243">
      <w:pPr>
        <w:pStyle w:val="Heading3"/>
        <w:rPr>
          <w:lang w:val="en-GB"/>
        </w:rPr>
      </w:pPr>
      <w:bookmarkStart w:id="269" w:name="_Toc96693598"/>
      <w:r w:rsidRPr="00D93FF9">
        <w:t>Uranium</w:t>
      </w:r>
      <w:bookmarkEnd w:id="269"/>
    </w:p>
    <w:p w14:paraId="59DCD39B" w14:textId="77777777" w:rsidR="00C46175" w:rsidRPr="00D93FF9" w:rsidRDefault="00E811B8" w:rsidP="00493E7A">
      <w:pPr>
        <w:pStyle w:val="Heading5"/>
        <w:spacing w:before="200" w:after="200" w:line="245" w:lineRule="auto"/>
        <w:ind w:left="284"/>
        <w:rPr>
          <w:i/>
          <w:iCs/>
          <w:lang w:val="en-GB"/>
        </w:rPr>
      </w:pPr>
      <w:r w:rsidRPr="00D93FF9">
        <w:rPr>
          <w:i/>
          <w:iCs/>
          <w:lang w:val="en-GB"/>
        </w:rPr>
        <w:t>It is recommended that the concentration of uranium in irrigation waters and soils should be less than the 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39E" w14:textId="77777777" w:rsidTr="00493E7A">
        <w:trPr>
          <w:trHeight w:val="318"/>
        </w:trPr>
        <w:tc>
          <w:tcPr>
            <w:tcW w:w="6240" w:type="dxa"/>
          </w:tcPr>
          <w:p w14:paraId="59DCD39C"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39D"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0.01 mg/L</w:t>
            </w:r>
          </w:p>
        </w:tc>
      </w:tr>
      <w:tr w:rsidR="00BE3AA8" w:rsidRPr="00D93FF9" w14:paraId="59DCD3A1" w14:textId="77777777" w:rsidTr="00493E7A">
        <w:trPr>
          <w:trHeight w:val="318"/>
        </w:trPr>
        <w:tc>
          <w:tcPr>
            <w:tcW w:w="6240" w:type="dxa"/>
          </w:tcPr>
          <w:p w14:paraId="59DCD39F"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3A0"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0.1 mg/L</w:t>
            </w:r>
          </w:p>
        </w:tc>
      </w:tr>
      <w:tr w:rsidR="00BE3AA8" w:rsidRPr="00D93FF9" w14:paraId="59DCD3A4" w14:textId="77777777" w:rsidTr="00493E7A">
        <w:trPr>
          <w:trHeight w:val="318"/>
        </w:trPr>
        <w:tc>
          <w:tcPr>
            <w:tcW w:w="6240" w:type="dxa"/>
          </w:tcPr>
          <w:p w14:paraId="59DCD3A2"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3A3"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Not determined</w:t>
            </w:r>
          </w:p>
        </w:tc>
      </w:tr>
    </w:tbl>
    <w:p w14:paraId="59DCD3A5" w14:textId="77777777" w:rsidR="00C46175" w:rsidRPr="00D93FF9" w:rsidRDefault="00C46175" w:rsidP="003807A1">
      <w:pPr>
        <w:pStyle w:val="BodyText"/>
        <w:spacing w:after="0"/>
        <w:rPr>
          <w:b/>
          <w:i/>
          <w:sz w:val="29"/>
          <w:lang w:val="en-GB"/>
        </w:rPr>
      </w:pPr>
    </w:p>
    <w:p w14:paraId="59DCD3A6" w14:textId="56666ED4" w:rsidR="00C46175" w:rsidRPr="00D93FF9" w:rsidRDefault="00E811B8" w:rsidP="003807A1">
      <w:pPr>
        <w:pStyle w:val="BodyText"/>
        <w:spacing w:after="0" w:line="266" w:lineRule="auto"/>
        <w:jc w:val="both"/>
        <w:rPr>
          <w:lang w:val="en-GB"/>
        </w:rPr>
      </w:pPr>
      <w:r w:rsidRPr="00D93FF9">
        <w:rPr>
          <w:lang w:val="en-GB"/>
        </w:rPr>
        <w:t xml:space="preserve">Uranium is a naturally radioactive element and is a chemically reactive cation forming compounds with anions such as fluoride, phosphorus and arsenic. </w:t>
      </w:r>
      <w:r w:rsidR="005B6BB9" w:rsidRPr="00D93FF9">
        <w:rPr>
          <w:lang w:val="en-GB"/>
        </w:rPr>
        <w:t xml:space="preserve"> </w:t>
      </w:r>
      <w:r w:rsidR="005B6BB9" w:rsidRPr="00D93FF9">
        <w:t xml:space="preserve">Uranium may be present in the environment due to leaching from soils, rocks and natural deposits, release in mill tailings, combustion of coal and other fuels, and use of phosphate fertilisers </w:t>
      </w:r>
      <w:r w:rsidR="005B6BB9" w:rsidRPr="00D93FF9">
        <w:fldChar w:fldCharType="begin"/>
      </w:r>
      <w:r w:rsidR="007C2051" w:rsidRPr="00D93FF9">
        <w:instrText xml:space="preserve"> ADDIN ZOTERO_ITEM CSL_CITATION {"citationID":"z8JIfEFm","properties":{"formattedCitation":"(NHMRC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005B6BB9" w:rsidRPr="00D93FF9">
        <w:fldChar w:fldCharType="separate"/>
      </w:r>
      <w:r w:rsidR="007C2051" w:rsidRPr="00D93FF9">
        <w:rPr>
          <w:rFonts w:ascii="Calibri" w:hAnsi="Calibri" w:cs="Calibri"/>
        </w:rPr>
        <w:t>(NHMRC and NRMMC 2011)</w:t>
      </w:r>
      <w:r w:rsidR="005B6BB9" w:rsidRPr="00D93FF9">
        <w:fldChar w:fldCharType="end"/>
      </w:r>
      <w:r w:rsidR="005B6BB9" w:rsidRPr="00D93FF9">
        <w:t>. Natural uranium consists almost entirely of the U-238 isotope</w:t>
      </w:r>
      <w:r w:rsidR="00493E7A" w:rsidRPr="00D93FF9">
        <w:t>.</w:t>
      </w:r>
    </w:p>
    <w:p w14:paraId="59DCD3A7" w14:textId="77777777" w:rsidR="00C46175" w:rsidRPr="00D93FF9" w:rsidRDefault="00E811B8" w:rsidP="00DE510C">
      <w:pPr>
        <w:pStyle w:val="Heading5"/>
        <w:rPr>
          <w:lang w:val="en-GB"/>
        </w:rPr>
      </w:pPr>
      <w:r w:rsidRPr="00D93FF9">
        <w:rPr>
          <w:lang w:val="en-GB"/>
        </w:rPr>
        <w:t>Crop yield and quality considerations</w:t>
      </w:r>
    </w:p>
    <w:p w14:paraId="59DCD3A8" w14:textId="29FD4142" w:rsidR="005B6BB9" w:rsidRPr="00D93FF9" w:rsidRDefault="00E811B8" w:rsidP="0029733E">
      <w:pPr>
        <w:spacing w:after="0" w:line="266" w:lineRule="auto"/>
        <w:jc w:val="both"/>
        <w:rPr>
          <w:lang w:val="en-GB"/>
        </w:rPr>
      </w:pPr>
      <w:r w:rsidRPr="00D93FF9">
        <w:rPr>
          <w:rStyle w:val="fontstyle01"/>
          <w:rFonts w:asciiTheme="minorHAnsi" w:eastAsia="Arial" w:hAnsiTheme="minorHAnsi"/>
          <w:sz w:val="22"/>
          <w:szCs w:val="22"/>
          <w:lang w:val="en-GB"/>
        </w:rPr>
        <w:t xml:space="preserve">Studies overseas have reported uranium concentrations in drinking water of generally less than 0.001 mg/L; however, concentrations as high as 0.7 mg/L have been reported in some private water supplies in Canada </w:t>
      </w:r>
      <w:r w:rsidRPr="00D93FF9">
        <w:rPr>
          <w:lang w:val="en-GB"/>
        </w:rPr>
        <w:fldChar w:fldCharType="begin"/>
      </w:r>
      <w:r w:rsidR="007C2051" w:rsidRPr="00D93FF9">
        <w:rPr>
          <w:lang w:val="en-GB"/>
        </w:rPr>
        <w:instrText xml:space="preserve"> ADDIN ZOTERO_ITEM CSL_CITATION {"citationID":"LKp5YXKa","properties":{"formattedCitation":"(NHMRC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rPr>
          <w:lang w:val="en-GB"/>
        </w:rPr>
        <w:fldChar w:fldCharType="separate"/>
      </w:r>
      <w:r w:rsidR="007C2051" w:rsidRPr="00D93FF9">
        <w:rPr>
          <w:rFonts w:ascii="Calibri" w:hAnsi="Calibri" w:cs="Calibri"/>
        </w:rPr>
        <w:t>(NHMRC and NRMMC 2011)</w:t>
      </w:r>
      <w:r w:rsidRPr="00D93FF9">
        <w:rPr>
          <w:lang w:val="en-GB"/>
        </w:rPr>
        <w:fldChar w:fldCharType="end"/>
      </w:r>
      <w:r w:rsidRPr="00D93FF9">
        <w:rPr>
          <w:lang w:val="en-GB"/>
        </w:rPr>
        <w:t>.</w:t>
      </w:r>
    </w:p>
    <w:p w14:paraId="59DCD3A9" w14:textId="77777777" w:rsidR="005B6BB9" w:rsidRPr="00D93FF9" w:rsidRDefault="00E811B8" w:rsidP="0029733E">
      <w:pPr>
        <w:pStyle w:val="BodyText"/>
        <w:spacing w:after="0" w:line="266" w:lineRule="auto"/>
        <w:jc w:val="both"/>
      </w:pPr>
      <w:r w:rsidRPr="00D93FF9">
        <w:t xml:space="preserve">Typical concentrations of uranium in surface soils range from 0.7–9 mg/kg, and as with most other cations, uranium binds strongly to negatively charged soil surfaces. </w:t>
      </w:r>
    </w:p>
    <w:p w14:paraId="59DCD3AA" w14:textId="788C17B2" w:rsidR="00C46175" w:rsidRPr="00D93FF9" w:rsidRDefault="00E811B8" w:rsidP="003807A1">
      <w:pPr>
        <w:pStyle w:val="BodyText"/>
        <w:spacing w:after="0" w:line="266" w:lineRule="auto"/>
        <w:jc w:val="both"/>
        <w:rPr>
          <w:lang w:val="en-GB"/>
        </w:rPr>
      </w:pPr>
      <w:r w:rsidRPr="00D93FF9">
        <w:rPr>
          <w:lang w:val="en-GB"/>
        </w:rPr>
        <w:t xml:space="preserve">Only a small fraction of the uranium in soil is available to plants due to adsorption on soil particles and organic matter (Harmsen </w:t>
      </w:r>
      <w:r w:rsidR="00FA6E9E" w:rsidRPr="00D93FF9">
        <w:rPr>
          <w:lang w:val="en-GB"/>
        </w:rPr>
        <w:t>and</w:t>
      </w:r>
      <w:r w:rsidRPr="00D93FF9">
        <w:rPr>
          <w:lang w:val="en-GB"/>
        </w:rPr>
        <w:t xml:space="preserve"> de Haan 1980). Uranium taken up by plants usually accumulates in the roots (Hamilton 1974). Phytotoxicity </w:t>
      </w:r>
      <w:r w:rsidR="005E499D" w:rsidRPr="00D93FF9">
        <w:rPr>
          <w:lang w:val="en-GB"/>
        </w:rPr>
        <w:t>resulting from</w:t>
      </w:r>
      <w:r w:rsidRPr="00D93FF9">
        <w:rPr>
          <w:lang w:val="en-GB"/>
        </w:rPr>
        <w:t xml:space="preserve"> elevated uranium concentrations in soils is </w:t>
      </w:r>
      <w:r w:rsidRPr="00D93FF9">
        <w:rPr>
          <w:lang w:val="en-GB"/>
        </w:rPr>
        <w:lastRenderedPageBreak/>
        <w:t xml:space="preserve">thought to involve inhibition of enzyme systems and binding to nucleic acids. </w:t>
      </w:r>
      <w:r w:rsidR="005E499D" w:rsidRPr="00D93FF9">
        <w:t>Efroymson et al. (1997b)</w:t>
      </w:r>
      <w:r w:rsidRPr="00D93FF9">
        <w:rPr>
          <w:lang w:val="en-GB"/>
        </w:rPr>
        <w:t xml:space="preserve"> note that phytotoxicity is considered the result of the element itself rather than any radiation associated with the isotope. Zhukov and Zudilkin (1971) reported that wheat yields were not affected by the addition of 10 mg/kg uranyl nitrate to soil, whereas yield was reduced by 50% when adding 50 </w:t>
      </w:r>
      <w:r w:rsidRPr="00D93FF9">
        <w:rPr>
          <w:spacing w:val="-3"/>
          <w:lang w:val="en-GB"/>
        </w:rPr>
        <w:t xml:space="preserve">mg/kg. </w:t>
      </w:r>
      <w:r w:rsidRPr="00D93FF9">
        <w:rPr>
          <w:lang w:val="en-GB"/>
        </w:rPr>
        <w:t xml:space="preserve">Vegetables can accumulate uranium to levels 100 times those in irrigation waters (Morishima et al. 1977). From the limited data available, plant yield appears to remain unaffected by uranium concentrations in soil of </w:t>
      </w:r>
      <w:r w:rsidR="005E499D" w:rsidRPr="00D93FF9">
        <w:rPr>
          <w:lang w:val="en-GB"/>
        </w:rPr>
        <w:t xml:space="preserve">5 to </w:t>
      </w:r>
      <w:r w:rsidRPr="00D93FF9">
        <w:rPr>
          <w:lang w:val="en-GB"/>
        </w:rPr>
        <w:t>10 mg/kg (</w:t>
      </w:r>
      <w:r w:rsidR="005E499D" w:rsidRPr="00D93FF9">
        <w:t>Efroymson et al. 1997b</w:t>
      </w:r>
      <w:r w:rsidRPr="00D93FF9">
        <w:rPr>
          <w:lang w:val="en-GB"/>
        </w:rPr>
        <w:t>)</w:t>
      </w:r>
      <w:r w:rsidR="005E499D" w:rsidRPr="00D93FF9">
        <w:rPr>
          <w:lang w:val="en-GB"/>
        </w:rPr>
        <w:t>.</w:t>
      </w:r>
      <w:r w:rsidRPr="00D93FF9">
        <w:rPr>
          <w:lang w:val="en-GB"/>
        </w:rPr>
        <w:t xml:space="preserve"> </w:t>
      </w:r>
      <w:r w:rsidR="005E499D" w:rsidRPr="00D93FF9">
        <w:rPr>
          <w:lang w:val="en-GB"/>
        </w:rPr>
        <w:t>T</w:t>
      </w:r>
      <w:r w:rsidRPr="00D93FF9">
        <w:rPr>
          <w:lang w:val="en-GB"/>
        </w:rPr>
        <w:t>herefore</w:t>
      </w:r>
      <w:r w:rsidR="00606CB4" w:rsidRPr="00D93FF9">
        <w:rPr>
          <w:lang w:val="en-GB"/>
        </w:rPr>
        <w:t>,</w:t>
      </w:r>
      <w:r w:rsidRPr="00D93FF9">
        <w:rPr>
          <w:lang w:val="en-GB"/>
        </w:rPr>
        <w:t xml:space="preserve"> </w:t>
      </w:r>
      <w:r w:rsidR="00553FF9" w:rsidRPr="00D93FF9">
        <w:rPr>
          <w:lang w:val="en-GB"/>
        </w:rPr>
        <w:t>DGV</w:t>
      </w:r>
      <w:r w:rsidRPr="00D93FF9">
        <w:rPr>
          <w:lang w:val="en-GB"/>
        </w:rPr>
        <w:t xml:space="preserve"> and </w:t>
      </w:r>
      <w:r w:rsidR="00553FF9" w:rsidRPr="00D93FF9">
        <w:rPr>
          <w:lang w:val="en-GB"/>
        </w:rPr>
        <w:t>SGV</w:t>
      </w:r>
      <w:r w:rsidRPr="00D93FF9">
        <w:rPr>
          <w:lang w:val="en-GB"/>
        </w:rPr>
        <w:t xml:space="preserve"> irrigation guidelines have been set to prevent soil uranium concentrations exceeding 10 </w:t>
      </w:r>
      <w:r w:rsidRPr="00D93FF9">
        <w:rPr>
          <w:spacing w:val="-3"/>
          <w:lang w:val="en-GB"/>
        </w:rPr>
        <w:t xml:space="preserve">mg/kg. </w:t>
      </w:r>
      <w:r w:rsidRPr="00D93FF9">
        <w:rPr>
          <w:lang w:val="en-GB"/>
        </w:rPr>
        <w:t>It should be noted that these assumptions are based on limited data and assume that concentrations of uranium in irrigation waters will be negligible. Insufficient data are available at this stage to develop a</w:t>
      </w:r>
      <w:r w:rsidR="00606CB4" w:rsidRPr="00D93FF9">
        <w:rPr>
          <w:lang w:val="en-GB"/>
        </w:rPr>
        <w:t>n</w:t>
      </w:r>
      <w:r w:rsidRPr="00D93FF9">
        <w:rPr>
          <w:lang w:val="en-GB"/>
        </w:rPr>
        <w:t xml:space="preserve"> </w:t>
      </w:r>
      <w:r w:rsidR="006D735C" w:rsidRPr="00D93FF9">
        <w:rPr>
          <w:lang w:val="en-GB"/>
        </w:rPr>
        <w:t>ACL</w:t>
      </w:r>
      <w:r w:rsidRPr="00D93FF9">
        <w:rPr>
          <w:lang w:val="en-GB"/>
        </w:rPr>
        <w:t xml:space="preserve"> limit for</w:t>
      </w:r>
      <w:r w:rsidRPr="00D93FF9">
        <w:rPr>
          <w:spacing w:val="-2"/>
          <w:lang w:val="en-GB"/>
        </w:rPr>
        <w:t xml:space="preserve"> </w:t>
      </w:r>
      <w:r w:rsidRPr="00D93FF9">
        <w:rPr>
          <w:lang w:val="en-GB"/>
        </w:rPr>
        <w:t>uranium.</w:t>
      </w:r>
    </w:p>
    <w:p w14:paraId="59DCD3AB" w14:textId="77777777" w:rsidR="00C46175" w:rsidRPr="00D93FF9" w:rsidRDefault="00C46175" w:rsidP="003807A1">
      <w:pPr>
        <w:pStyle w:val="BodyText"/>
        <w:spacing w:after="0"/>
        <w:rPr>
          <w:sz w:val="25"/>
          <w:lang w:val="en-GB"/>
        </w:rPr>
      </w:pPr>
    </w:p>
    <w:p w14:paraId="59DCD3AC" w14:textId="77777777" w:rsidR="00C46175" w:rsidRPr="00D93FF9" w:rsidRDefault="00E811B8" w:rsidP="00096243">
      <w:pPr>
        <w:pStyle w:val="Heading3"/>
        <w:rPr>
          <w:lang w:val="en-GB"/>
        </w:rPr>
      </w:pPr>
      <w:bookmarkStart w:id="270" w:name="_Toc96693599"/>
      <w:r w:rsidRPr="00D93FF9">
        <w:t>Vanadium</w:t>
      </w:r>
      <w:bookmarkEnd w:id="270"/>
    </w:p>
    <w:p w14:paraId="59DCD3AD" w14:textId="77777777" w:rsidR="00C46175" w:rsidRPr="00D93FF9" w:rsidRDefault="00E811B8" w:rsidP="004274E8">
      <w:pPr>
        <w:pStyle w:val="Heading5"/>
        <w:spacing w:before="200" w:after="200" w:line="245" w:lineRule="auto"/>
        <w:ind w:left="284"/>
        <w:rPr>
          <w:i/>
          <w:iCs/>
          <w:lang w:val="en-GB"/>
        </w:rPr>
      </w:pPr>
      <w:r w:rsidRPr="00D93FF9">
        <w:rPr>
          <w:i/>
          <w:iCs/>
          <w:lang w:val="en-GB"/>
        </w:rPr>
        <w:t>It is recommended that the concentration of vanadium in irrigation waters and soils should be less than the</w:t>
      </w:r>
      <w:r w:rsidRPr="00D93FF9">
        <w:rPr>
          <w:i/>
          <w:iCs/>
          <w:spacing w:val="-1"/>
          <w:lang w:val="en-GB"/>
        </w:rPr>
        <w:t xml:space="preserve"> </w:t>
      </w:r>
      <w:r w:rsidRPr="00D93FF9">
        <w:rPr>
          <w:i/>
          <w:iCs/>
          <w:lang w:val="en-GB"/>
        </w:rPr>
        <w:t>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3B0" w14:textId="77777777" w:rsidTr="004274E8">
        <w:trPr>
          <w:trHeight w:val="318"/>
        </w:trPr>
        <w:tc>
          <w:tcPr>
            <w:tcW w:w="6240" w:type="dxa"/>
          </w:tcPr>
          <w:p w14:paraId="59DCD3AE"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3AF"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0.1 mg/L</w:t>
            </w:r>
          </w:p>
        </w:tc>
      </w:tr>
      <w:tr w:rsidR="00BE3AA8" w:rsidRPr="00D93FF9" w14:paraId="59DCD3B3" w14:textId="77777777" w:rsidTr="004274E8">
        <w:trPr>
          <w:trHeight w:val="318"/>
        </w:trPr>
        <w:tc>
          <w:tcPr>
            <w:tcW w:w="6240" w:type="dxa"/>
          </w:tcPr>
          <w:p w14:paraId="59DCD3B1"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3B2"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0.5 mg/L</w:t>
            </w:r>
          </w:p>
        </w:tc>
      </w:tr>
      <w:tr w:rsidR="00BE3AA8" w:rsidRPr="00D93FF9" w14:paraId="59DCD3B6" w14:textId="77777777" w:rsidTr="004274E8">
        <w:trPr>
          <w:trHeight w:val="318"/>
        </w:trPr>
        <w:tc>
          <w:tcPr>
            <w:tcW w:w="6240" w:type="dxa"/>
          </w:tcPr>
          <w:p w14:paraId="59DCD3B4"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3B5"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Not determined</w:t>
            </w:r>
          </w:p>
        </w:tc>
      </w:tr>
    </w:tbl>
    <w:p w14:paraId="59DCD3B7" w14:textId="77777777" w:rsidR="00C46175" w:rsidRPr="00D93FF9" w:rsidRDefault="00C46175" w:rsidP="003807A1">
      <w:pPr>
        <w:pStyle w:val="BodyText"/>
        <w:spacing w:after="0"/>
        <w:rPr>
          <w:rFonts w:ascii="Arial"/>
          <w:sz w:val="16"/>
          <w:lang w:val="en-GB"/>
        </w:rPr>
      </w:pPr>
      <w:bookmarkStart w:id="271" w:name="Crop_yield_and_quality_considerations"/>
      <w:bookmarkStart w:id="272" w:name="9.2.5.22__Zinc"/>
      <w:bookmarkEnd w:id="271"/>
      <w:bookmarkEnd w:id="272"/>
    </w:p>
    <w:p w14:paraId="59DCD3B8" w14:textId="77777777" w:rsidR="00C46175" w:rsidRPr="00D93FF9" w:rsidRDefault="00E811B8" w:rsidP="003807A1">
      <w:pPr>
        <w:pStyle w:val="BodyText"/>
        <w:spacing w:after="0" w:line="266" w:lineRule="auto"/>
        <w:jc w:val="both"/>
        <w:rPr>
          <w:lang w:val="en-GB"/>
        </w:rPr>
      </w:pPr>
      <w:r w:rsidRPr="00D93FF9">
        <w:rPr>
          <w:lang w:val="en-GB"/>
        </w:rPr>
        <w:t>Metallic vanadium does not occur in nature, vanadium being generally present as sulfide and calcium salts. In common with other positively charged elements vanadium is sorbed by the soil, however soluble vanadium salts are taken up by plants and animals. Of the four common oxidation states V</w:t>
      </w:r>
      <w:r w:rsidRPr="00D93FF9">
        <w:rPr>
          <w:position w:val="5"/>
          <w:sz w:val="15"/>
          <w:lang w:val="en-GB"/>
        </w:rPr>
        <w:t xml:space="preserve">4+ </w:t>
      </w:r>
      <w:r w:rsidRPr="00D93FF9">
        <w:rPr>
          <w:lang w:val="en-GB"/>
        </w:rPr>
        <w:t>and V</w:t>
      </w:r>
      <w:r w:rsidRPr="00D93FF9">
        <w:rPr>
          <w:position w:val="5"/>
          <w:sz w:val="15"/>
          <w:lang w:val="en-GB"/>
        </w:rPr>
        <w:t xml:space="preserve">5+ </w:t>
      </w:r>
      <w:r w:rsidRPr="00D93FF9">
        <w:rPr>
          <w:lang w:val="en-GB"/>
        </w:rPr>
        <w:t xml:space="preserve">are the most bioavailable as they remain in the soil solution phase and are not strongly sorbed to soil surfaces. </w:t>
      </w:r>
    </w:p>
    <w:p w14:paraId="59DCD3B9" w14:textId="77777777" w:rsidR="00C46175" w:rsidRPr="00D93FF9" w:rsidRDefault="00E811B8" w:rsidP="00DE510C">
      <w:pPr>
        <w:pStyle w:val="Heading5"/>
        <w:rPr>
          <w:lang w:val="en-GB"/>
        </w:rPr>
      </w:pPr>
      <w:r w:rsidRPr="00D93FF9">
        <w:rPr>
          <w:lang w:val="en-GB"/>
        </w:rPr>
        <w:t>Crop yield and quality considerations</w:t>
      </w:r>
    </w:p>
    <w:p w14:paraId="59DCD3BA" w14:textId="2D0C16B3" w:rsidR="00C46175" w:rsidRPr="00D93FF9" w:rsidRDefault="00E811B8" w:rsidP="003807A1">
      <w:pPr>
        <w:pStyle w:val="BodyText"/>
        <w:spacing w:after="0" w:line="259" w:lineRule="auto"/>
        <w:jc w:val="both"/>
        <w:rPr>
          <w:lang w:val="en-GB"/>
        </w:rPr>
      </w:pPr>
      <w:r w:rsidRPr="00D93FF9">
        <w:rPr>
          <w:lang w:val="en-GB"/>
        </w:rPr>
        <w:t>Concentrations of vanadium in surface soils range from 5–250 mg/kg (Edwards et al.</w:t>
      </w:r>
      <w:r w:rsidRPr="00D93FF9">
        <w:rPr>
          <w:spacing w:val="-7"/>
          <w:lang w:val="en-GB"/>
        </w:rPr>
        <w:t xml:space="preserve"> </w:t>
      </w:r>
      <w:r w:rsidRPr="00D93FF9">
        <w:rPr>
          <w:lang w:val="en-GB"/>
        </w:rPr>
        <w:t xml:space="preserve">1995, Olszowy et al. 1995). </w:t>
      </w:r>
      <w:r w:rsidR="00E90CE0" w:rsidRPr="00D93FF9">
        <w:rPr>
          <w:lang w:val="en-GB"/>
        </w:rPr>
        <w:t xml:space="preserve">In Australian </w:t>
      </w:r>
      <w:r w:rsidRPr="00D93FF9">
        <w:rPr>
          <w:lang w:val="en-GB"/>
        </w:rPr>
        <w:t>vanadium’s</w:t>
      </w:r>
      <w:r w:rsidR="00E90CE0" w:rsidRPr="00D93FF9">
        <w:rPr>
          <w:lang w:val="en-GB"/>
        </w:rPr>
        <w:t xml:space="preserve"> median concentration from the survey of Olszowy et al. (1995) was 12 mg/kg (</w:t>
      </w:r>
      <w:r w:rsidR="00FE5F61" w:rsidRPr="00D93FF9">
        <w:rPr>
          <w:lang w:val="en-GB"/>
        </w:rPr>
        <w:fldChar w:fldCharType="begin"/>
      </w:r>
      <w:r w:rsidR="00FE5F61" w:rsidRPr="00D93FF9">
        <w:rPr>
          <w:lang w:val="en-GB"/>
        </w:rPr>
        <w:instrText xml:space="preserve"> REF _Ref81393907 \h </w:instrText>
      </w:r>
      <w:r w:rsidR="00D93FF9">
        <w:rPr>
          <w:lang w:val="en-GB"/>
        </w:rPr>
        <w:instrText xml:space="preserve"> \* MERGEFORMAT </w:instrText>
      </w:r>
      <w:r w:rsidR="00FE5F61" w:rsidRPr="00D93FF9">
        <w:rPr>
          <w:lang w:val="en-GB"/>
        </w:rPr>
      </w:r>
      <w:r w:rsidR="00FE5F61" w:rsidRPr="00D93FF9">
        <w:rPr>
          <w:lang w:val="en-GB"/>
        </w:rPr>
        <w:fldChar w:fldCharType="separate"/>
      </w:r>
      <w:r w:rsidR="0069302C" w:rsidRPr="0069302C">
        <w:t xml:space="preserve">Table </w:t>
      </w:r>
      <w:r w:rsidR="0069302C" w:rsidRPr="0069302C">
        <w:rPr>
          <w:noProof/>
        </w:rPr>
        <w:t>22</w:t>
      </w:r>
      <w:r w:rsidR="00FE5F61" w:rsidRPr="00D93FF9">
        <w:rPr>
          <w:lang w:val="en-GB"/>
        </w:rPr>
        <w:fldChar w:fldCharType="end"/>
      </w:r>
      <w:r w:rsidR="00E90CE0" w:rsidRPr="00D93FF9">
        <w:rPr>
          <w:lang w:val="en-GB"/>
        </w:rPr>
        <w:t>). Concentrations in uncontaminated surface waters are generally &lt;</w:t>
      </w:r>
      <w:r w:rsidRPr="00D93FF9">
        <w:rPr>
          <w:lang w:val="en-GB"/>
        </w:rPr>
        <w:t>0.000</w:t>
      </w:r>
      <w:r w:rsidR="00E90CE0" w:rsidRPr="00D93FF9">
        <w:rPr>
          <w:lang w:val="en-GB"/>
        </w:rPr>
        <w:t xml:space="preserve">1 </w:t>
      </w:r>
      <w:r w:rsidRPr="00D93FF9">
        <w:rPr>
          <w:lang w:val="en-GB"/>
        </w:rPr>
        <w:t>m</w:t>
      </w:r>
      <w:r w:rsidR="00E90CE0" w:rsidRPr="00D93FF9">
        <w:rPr>
          <w:lang w:val="en-GB"/>
        </w:rPr>
        <w:t>g/L (DWAF 1996).</w:t>
      </w:r>
    </w:p>
    <w:p w14:paraId="59DCD3BB" w14:textId="366C92AE" w:rsidR="00C46175" w:rsidRPr="00D93FF9" w:rsidRDefault="00E811B8" w:rsidP="003807A1">
      <w:pPr>
        <w:pStyle w:val="BodyText"/>
        <w:spacing w:after="0" w:line="266" w:lineRule="auto"/>
        <w:jc w:val="both"/>
        <w:rPr>
          <w:lang w:val="en-GB"/>
        </w:rPr>
      </w:pPr>
      <w:r w:rsidRPr="00D93FF9">
        <w:rPr>
          <w:lang w:val="en-GB"/>
        </w:rPr>
        <w:t xml:space="preserve">Vanadium is not known to be an essential element for crop growth, however there is evidence for its involvement in symbiotic nitrogen fixation. Toxic effects are thought to result </w:t>
      </w:r>
      <w:r w:rsidR="000405D1" w:rsidRPr="00D93FF9">
        <w:rPr>
          <w:lang w:val="en-GB"/>
        </w:rPr>
        <w:t xml:space="preserve">from </w:t>
      </w:r>
      <w:r w:rsidRPr="00D93FF9">
        <w:rPr>
          <w:lang w:val="en-GB"/>
        </w:rPr>
        <w:t>interference with enzyme systems, resulting in reduced growth, and interference with the adsorption of essential elements such as calcium, copper, iron, manganese and phosphorus (Warrington 1955</w:t>
      </w:r>
      <w:r w:rsidR="00295AA6" w:rsidRPr="00D93FF9">
        <w:rPr>
          <w:lang w:val="en-GB"/>
        </w:rPr>
        <w:t>;</w:t>
      </w:r>
      <w:r w:rsidRPr="00D93FF9">
        <w:rPr>
          <w:lang w:val="en-GB"/>
        </w:rPr>
        <w:t xml:space="preserve"> Cannon 1963</w:t>
      </w:r>
      <w:r w:rsidR="00295AA6" w:rsidRPr="00D93FF9">
        <w:rPr>
          <w:lang w:val="en-GB"/>
        </w:rPr>
        <w:t>;</w:t>
      </w:r>
      <w:r w:rsidRPr="00D93FF9">
        <w:rPr>
          <w:lang w:val="en-GB"/>
        </w:rPr>
        <w:t xml:space="preserve"> Wallace et al. 1977). After plant uptake most vanadium remains in roots (</w:t>
      </w:r>
      <w:r w:rsidR="000405D1" w:rsidRPr="00D93FF9">
        <w:rPr>
          <w:lang w:val="en-GB"/>
        </w:rPr>
        <w:fldChar w:fldCharType="begin"/>
      </w:r>
      <w:r w:rsidR="00BE6DF0" w:rsidRPr="00D93FF9">
        <w:instrText xml:space="preserve"> ADDIN ZOTERO_ITEM CSL_CITATION {"citationID":"O7jINUkh","properties":{"formattedCitation":"(Efroymson et al. 1997b)","plainCitation":"(Efroymson et al. 1997b)","dontUpdate":true,"noteIndex":0},"citationItems":[{"id":33251,"uris":["http://zotero.org/users/1938757/items/IRVGAJHK"],"uri":["http://zotero.org/users/1938757/items/IRVGAJHK"],"itemData":{"id":33251,"type":"report","event-place":"Oak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II","given":"GW"},{"family":"Wooten","given":"A.C."}],"issued":{"date-parts":[["1997"]]}}}],"schema":"https://github.com/citation-style-language/schema/raw/master/csl-citation.json"} </w:instrText>
      </w:r>
      <w:r w:rsidR="000405D1" w:rsidRPr="00D93FF9">
        <w:rPr>
          <w:lang w:val="en-GB"/>
        </w:rPr>
        <w:fldChar w:fldCharType="separate"/>
      </w:r>
      <w:r w:rsidR="000405D1" w:rsidRPr="00D93FF9">
        <w:t>Efroymson et al. 1997b)</w:t>
      </w:r>
      <w:r w:rsidR="000405D1" w:rsidRPr="00D93FF9">
        <w:rPr>
          <w:lang w:val="en-GB"/>
        </w:rPr>
        <w:fldChar w:fldCharType="end"/>
      </w:r>
      <w:r w:rsidRPr="00D93FF9">
        <w:rPr>
          <w:lang w:val="en-GB"/>
        </w:rPr>
        <w:t xml:space="preserve">. Depending on soil type and species of plant, vanadium concentrations of 10 mg/kg soil are thought to inhibit crop growth (DWAF 1996). </w:t>
      </w:r>
      <w:r w:rsidR="000F5055" w:rsidRPr="00D93FF9">
        <w:rPr>
          <w:lang w:val="en-GB"/>
        </w:rPr>
        <w:fldChar w:fldCharType="begin"/>
      </w:r>
      <w:r w:rsidR="00BE6DF0" w:rsidRPr="00D93FF9">
        <w:instrText xml:space="preserve"> ADDIN ZOTERO_ITEM CSL_CITATION {"citationID":"dhYhhD7z","properties":{"formattedCitation":"(Efroymson et al., 1997b)","plainCitation":"(Efroymson et al., 1997b)","noteIndex":0},"citationItems":[{"id":33251,"uris":["http://zotero.org/users/1938757/items/IRVGAJHK"],"uri":["http://zotero.org/users/1938757/items/IRVGAJHK"],"itemData":{"id":33251,"type":"report","event-place":"Oak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II","given":"GW"},{"family":"Wooten","given":"A.C."}],"issued":{"date-parts":[["1997"]]}}}],"schema":"https://github.com/citation-style-language/schema/raw/master/csl-citation.json"} </w:instrText>
      </w:r>
      <w:r w:rsidR="000F5055" w:rsidRPr="00D93FF9">
        <w:rPr>
          <w:lang w:val="en-GB"/>
        </w:rPr>
        <w:fldChar w:fldCharType="separate"/>
      </w:r>
      <w:r w:rsidR="007C2051" w:rsidRPr="00D93FF9">
        <w:rPr>
          <w:rFonts w:ascii="Calibri" w:hAnsi="Calibri" w:cs="Calibri"/>
        </w:rPr>
        <w:t xml:space="preserve">Efroymson et al. </w:t>
      </w:r>
      <w:r w:rsidR="007103AA" w:rsidRPr="00D93FF9">
        <w:rPr>
          <w:rFonts w:ascii="Calibri" w:hAnsi="Calibri" w:cs="Calibri"/>
        </w:rPr>
        <w:t>(</w:t>
      </w:r>
      <w:r w:rsidR="007C2051" w:rsidRPr="00D93FF9">
        <w:rPr>
          <w:rFonts w:ascii="Calibri" w:hAnsi="Calibri" w:cs="Calibri"/>
        </w:rPr>
        <w:t>1997b)</w:t>
      </w:r>
      <w:r w:rsidR="000F5055" w:rsidRPr="00D93FF9">
        <w:rPr>
          <w:lang w:val="en-GB"/>
        </w:rPr>
        <w:fldChar w:fldCharType="end"/>
      </w:r>
      <w:r w:rsidR="000F5055" w:rsidRPr="00D93FF9">
        <w:rPr>
          <w:lang w:val="en-GB"/>
        </w:rPr>
        <w:t xml:space="preserve"> </w:t>
      </w:r>
      <w:r w:rsidRPr="00D93FF9">
        <w:rPr>
          <w:lang w:val="en-GB"/>
        </w:rPr>
        <w:t xml:space="preserve"> set a vanadium solution concentration toxic benchmark of 0.</w:t>
      </w:r>
      <w:r w:rsidR="000405D1" w:rsidRPr="00D93FF9">
        <w:rPr>
          <w:lang w:val="en-GB"/>
        </w:rPr>
        <w:t>2</w:t>
      </w:r>
      <w:r w:rsidRPr="00D93FF9">
        <w:rPr>
          <w:lang w:val="en-GB"/>
        </w:rPr>
        <w:t xml:space="preserve"> mg/L. The limited information available indicates phytotoxicity at soil concentrations of &gt;10 mg/kg and solution concentrations of 0.</w:t>
      </w:r>
      <w:r w:rsidR="000F5055" w:rsidRPr="00D93FF9">
        <w:rPr>
          <w:lang w:val="en-GB"/>
        </w:rPr>
        <w:t>8</w:t>
      </w:r>
      <w:r w:rsidRPr="00D93FF9">
        <w:rPr>
          <w:lang w:val="en-GB"/>
        </w:rPr>
        <w:t xml:space="preserve"> mg/L. The </w:t>
      </w:r>
      <w:r w:rsidR="00553FF9" w:rsidRPr="00D93FF9">
        <w:rPr>
          <w:lang w:val="en-GB"/>
        </w:rPr>
        <w:t>DGV</w:t>
      </w:r>
      <w:r w:rsidRPr="00D93FF9">
        <w:rPr>
          <w:lang w:val="en-GB"/>
        </w:rPr>
        <w:t xml:space="preserve"> and </w:t>
      </w:r>
      <w:r w:rsidR="00553FF9" w:rsidRPr="00D93FF9">
        <w:rPr>
          <w:lang w:val="en-GB"/>
        </w:rPr>
        <w:t>SGV</w:t>
      </w:r>
      <w:r w:rsidRPr="00D93FF9">
        <w:rPr>
          <w:lang w:val="en-GB"/>
        </w:rPr>
        <w:t xml:space="preserve"> </w:t>
      </w:r>
      <w:r w:rsidR="000F5055" w:rsidRPr="00D93FF9">
        <w:rPr>
          <w:lang w:val="en-GB"/>
        </w:rPr>
        <w:t xml:space="preserve">have </w:t>
      </w:r>
      <w:r w:rsidRPr="00D93FF9">
        <w:rPr>
          <w:lang w:val="en-GB"/>
        </w:rPr>
        <w:t xml:space="preserve">been derived on the basis that vanadium concentrations in irrigation waters will be negligible, and to prevent direct phytotoxic effects of irrigation waters on plants. Insufficient data are available to determine a soil vanadium </w:t>
      </w:r>
      <w:r w:rsidR="006D735C" w:rsidRPr="00D93FF9">
        <w:rPr>
          <w:lang w:val="en-GB"/>
        </w:rPr>
        <w:t>ACL</w:t>
      </w:r>
      <w:r w:rsidRPr="00D93FF9">
        <w:rPr>
          <w:lang w:val="en-GB"/>
        </w:rPr>
        <w:t xml:space="preserve"> limit at this</w:t>
      </w:r>
      <w:r w:rsidRPr="00D93FF9">
        <w:rPr>
          <w:spacing w:val="-6"/>
          <w:lang w:val="en-GB"/>
        </w:rPr>
        <w:t xml:space="preserve"> </w:t>
      </w:r>
      <w:r w:rsidRPr="00D93FF9">
        <w:rPr>
          <w:lang w:val="en-GB"/>
        </w:rPr>
        <w:t>time.</w:t>
      </w:r>
    </w:p>
    <w:p w14:paraId="59DCD3BC" w14:textId="77777777" w:rsidR="00C46175" w:rsidRPr="00D93FF9" w:rsidRDefault="00C46175" w:rsidP="003807A1">
      <w:pPr>
        <w:pStyle w:val="BodyText"/>
        <w:spacing w:after="0"/>
        <w:rPr>
          <w:sz w:val="25"/>
          <w:lang w:val="en-GB"/>
        </w:rPr>
      </w:pPr>
    </w:p>
    <w:p w14:paraId="59DCD3BD" w14:textId="77777777" w:rsidR="00C46175" w:rsidRPr="00D93FF9" w:rsidRDefault="00E811B8" w:rsidP="00096243">
      <w:pPr>
        <w:pStyle w:val="Heading3"/>
        <w:rPr>
          <w:lang w:val="en-GB"/>
        </w:rPr>
      </w:pPr>
      <w:bookmarkStart w:id="273" w:name="_Toc96693600"/>
      <w:r w:rsidRPr="00D93FF9">
        <w:lastRenderedPageBreak/>
        <w:t>Zinc</w:t>
      </w:r>
      <w:bookmarkEnd w:id="273"/>
    </w:p>
    <w:p w14:paraId="59DCD3BE" w14:textId="77777777" w:rsidR="00C46175" w:rsidRPr="00D93FF9" w:rsidRDefault="00E811B8" w:rsidP="004A241B">
      <w:pPr>
        <w:pStyle w:val="Heading5"/>
        <w:spacing w:before="200" w:after="200" w:line="245" w:lineRule="auto"/>
        <w:ind w:left="284"/>
        <w:rPr>
          <w:i/>
          <w:iCs/>
          <w:lang w:val="en-GB"/>
        </w:rPr>
      </w:pPr>
      <w:r w:rsidRPr="00D93FF9">
        <w:rPr>
          <w:i/>
          <w:iCs/>
          <w:lang w:val="en-GB"/>
        </w:rPr>
        <w:t>It is recommended that the concentration of zinc in irrigation waters and soils should be less than the</w:t>
      </w:r>
      <w:r w:rsidRPr="00D93FF9">
        <w:rPr>
          <w:i/>
          <w:iCs/>
          <w:spacing w:val="-1"/>
          <w:lang w:val="en-GB"/>
        </w:rPr>
        <w:t xml:space="preserve"> </w:t>
      </w:r>
      <w:r w:rsidRPr="00D93FF9">
        <w:rPr>
          <w:i/>
          <w:iCs/>
          <w:lang w:val="en-GB"/>
        </w:rPr>
        <w:t>following:</w:t>
      </w:r>
    </w:p>
    <w:tbl>
      <w:tblPr>
        <w:tblW w:w="8400" w:type="dxa"/>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3C1" w14:textId="77777777" w:rsidTr="004A241B">
        <w:trPr>
          <w:trHeight w:val="318"/>
        </w:trPr>
        <w:tc>
          <w:tcPr>
            <w:tcW w:w="6240" w:type="dxa"/>
          </w:tcPr>
          <w:p w14:paraId="59DCD3BF"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DGV Default guideline value in irrigation water</w:t>
            </w:r>
          </w:p>
        </w:tc>
        <w:tc>
          <w:tcPr>
            <w:tcW w:w="2160" w:type="dxa"/>
          </w:tcPr>
          <w:p w14:paraId="59DCD3C0"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2.0 mg/L</w:t>
            </w:r>
          </w:p>
        </w:tc>
      </w:tr>
      <w:tr w:rsidR="00BE3AA8" w:rsidRPr="00D93FF9" w14:paraId="59DCD3C4" w14:textId="77777777" w:rsidTr="004A241B">
        <w:trPr>
          <w:trHeight w:val="318"/>
        </w:trPr>
        <w:tc>
          <w:tcPr>
            <w:tcW w:w="6240" w:type="dxa"/>
          </w:tcPr>
          <w:p w14:paraId="59DCD3C2" w14:textId="77777777" w:rsidR="008E4C22" w:rsidRPr="00D93FF9" w:rsidRDefault="00E811B8" w:rsidP="003807A1">
            <w:pPr>
              <w:pStyle w:val="TableParagraph"/>
              <w:tabs>
                <w:tab w:val="left" w:pos="4679"/>
              </w:tabs>
              <w:spacing w:before="0" w:after="0"/>
              <w:rPr>
                <w:rFonts w:asciiTheme="minorHAnsi" w:hAnsiTheme="minorHAnsi"/>
                <w:b/>
                <w:sz w:val="18"/>
                <w:szCs w:val="18"/>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3C3"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5.0 mg/L</w:t>
            </w:r>
          </w:p>
        </w:tc>
      </w:tr>
      <w:tr w:rsidR="00BE3AA8" w:rsidRPr="00D93FF9" w14:paraId="59DCD3C7" w14:textId="77777777" w:rsidTr="004A241B">
        <w:trPr>
          <w:trHeight w:val="318"/>
        </w:trPr>
        <w:tc>
          <w:tcPr>
            <w:tcW w:w="6240" w:type="dxa"/>
          </w:tcPr>
          <w:p w14:paraId="59DCD3C5"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ACL Added contaminant loading limit in soil receiving irrigation water</w:t>
            </w:r>
          </w:p>
        </w:tc>
        <w:tc>
          <w:tcPr>
            <w:tcW w:w="2160" w:type="dxa"/>
          </w:tcPr>
          <w:p w14:paraId="59DCD3C6" w14:textId="77777777" w:rsidR="008E4C22"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300 kg/ha</w:t>
            </w:r>
          </w:p>
        </w:tc>
      </w:tr>
    </w:tbl>
    <w:p w14:paraId="59DCD3C8" w14:textId="77777777" w:rsidR="00C46175" w:rsidRPr="00D93FF9" w:rsidRDefault="00C46175" w:rsidP="003807A1">
      <w:pPr>
        <w:pStyle w:val="BodyText"/>
        <w:spacing w:after="0"/>
        <w:rPr>
          <w:b/>
          <w:iCs/>
          <w:lang w:val="en-GB"/>
        </w:rPr>
      </w:pPr>
    </w:p>
    <w:p w14:paraId="59DCD3C9" w14:textId="3235772C" w:rsidR="00C46175" w:rsidRPr="00D93FF9" w:rsidRDefault="00E811B8" w:rsidP="00E7198C">
      <w:pPr>
        <w:pStyle w:val="BodyText"/>
        <w:spacing w:after="0" w:line="266" w:lineRule="auto"/>
        <w:jc w:val="both"/>
        <w:rPr>
          <w:lang w:val="en-GB"/>
        </w:rPr>
      </w:pPr>
      <w:r w:rsidRPr="00D93FF9">
        <w:rPr>
          <w:lang w:val="en-GB"/>
        </w:rPr>
        <w:t>Zinc is a natural composite of the earth crust, present in range of minerals, for example, sphalite (ZnS), smithsonite (ZnCO</w:t>
      </w:r>
      <w:r w:rsidRPr="00D93FF9">
        <w:rPr>
          <w:position w:val="-4"/>
          <w:sz w:val="15"/>
          <w:lang w:val="en-GB"/>
        </w:rPr>
        <w:t>3</w:t>
      </w:r>
      <w:r w:rsidRPr="00D93FF9">
        <w:rPr>
          <w:lang w:val="en-GB"/>
        </w:rPr>
        <w:t>) and hemimorphite (Zn</w:t>
      </w:r>
      <w:r w:rsidRPr="00D93FF9">
        <w:rPr>
          <w:position w:val="-4"/>
          <w:sz w:val="15"/>
          <w:lang w:val="en-GB"/>
        </w:rPr>
        <w:t>4</w:t>
      </w:r>
      <w:r w:rsidRPr="00D93FF9">
        <w:rPr>
          <w:lang w:val="en-GB"/>
        </w:rPr>
        <w:t>(OH)</w:t>
      </w:r>
      <w:r w:rsidRPr="00D93FF9">
        <w:rPr>
          <w:position w:val="-4"/>
          <w:sz w:val="15"/>
          <w:lang w:val="en-GB"/>
        </w:rPr>
        <w:t>2</w:t>
      </w:r>
      <w:r w:rsidRPr="00D93FF9">
        <w:rPr>
          <w:lang w:val="en-GB"/>
        </w:rPr>
        <w:t>Si</w:t>
      </w:r>
      <w:r w:rsidRPr="00D93FF9">
        <w:rPr>
          <w:position w:val="-4"/>
          <w:sz w:val="15"/>
          <w:lang w:val="en-GB"/>
        </w:rPr>
        <w:t>2</w:t>
      </w:r>
      <w:r w:rsidRPr="00D93FF9">
        <w:rPr>
          <w:lang w:val="en-GB"/>
        </w:rPr>
        <w:t>O</w:t>
      </w:r>
      <w:r w:rsidRPr="00D93FF9">
        <w:rPr>
          <w:position w:val="-4"/>
          <w:sz w:val="15"/>
          <w:lang w:val="en-GB"/>
        </w:rPr>
        <w:t>7</w:t>
      </w:r>
      <w:r w:rsidRPr="00D93FF9">
        <w:rPr>
          <w:lang w:val="en-GB"/>
        </w:rPr>
        <w:t>H</w:t>
      </w:r>
      <w:r w:rsidRPr="00D93FF9">
        <w:rPr>
          <w:position w:val="-4"/>
          <w:sz w:val="15"/>
          <w:lang w:val="en-GB"/>
        </w:rPr>
        <w:t>2</w:t>
      </w:r>
      <w:r w:rsidRPr="00D93FF9">
        <w:rPr>
          <w:lang w:val="en-GB"/>
        </w:rPr>
        <w:t xml:space="preserve">O) (Scott- Fordsmand </w:t>
      </w:r>
      <w:r w:rsidR="00FA6E9E" w:rsidRPr="00D93FF9">
        <w:rPr>
          <w:lang w:val="en-GB"/>
        </w:rPr>
        <w:t>and</w:t>
      </w:r>
      <w:r w:rsidRPr="00D93FF9">
        <w:rPr>
          <w:lang w:val="en-GB"/>
        </w:rPr>
        <w:t xml:space="preserve"> </w:t>
      </w:r>
      <w:r w:rsidR="00F71F14" w:rsidRPr="00D93FF9">
        <w:rPr>
          <w:lang w:val="en-GB"/>
        </w:rPr>
        <w:t>Pedersen</w:t>
      </w:r>
      <w:r w:rsidRPr="00D93FF9">
        <w:rPr>
          <w:lang w:val="en-GB"/>
        </w:rPr>
        <w:t xml:space="preserve"> 1995). Zinc sulphate, nitrate and halides (except fluorides) are readily soluble in water, while zinc carbonate, oxide, phosphate and silicate are sparingly soluble or insoluble in water (</w:t>
      </w:r>
      <w:r w:rsidR="009220B6" w:rsidRPr="00D93FF9">
        <w:rPr>
          <w:lang w:val="en-GB"/>
        </w:rPr>
        <w:t xml:space="preserve">Weast </w:t>
      </w:r>
      <w:r w:rsidRPr="00D93FF9">
        <w:rPr>
          <w:lang w:val="en-GB"/>
        </w:rPr>
        <w:t>1982). In the presence of organic material, zinc has a high affinity for thiol and hydroxyl groups such as in proteins, enzymes and other essential compounds.</w:t>
      </w:r>
    </w:p>
    <w:p w14:paraId="59DCD3CA" w14:textId="77777777" w:rsidR="00C46175" w:rsidRPr="00D93FF9" w:rsidRDefault="00C46175" w:rsidP="003807A1">
      <w:pPr>
        <w:pStyle w:val="BodyText"/>
        <w:spacing w:after="0"/>
        <w:rPr>
          <w:sz w:val="18"/>
          <w:lang w:val="en-GB"/>
        </w:rPr>
      </w:pPr>
    </w:p>
    <w:p w14:paraId="59DCD3CB" w14:textId="77777777" w:rsidR="00C46175" w:rsidRPr="00D93FF9" w:rsidRDefault="00E811B8" w:rsidP="0003142E">
      <w:pPr>
        <w:pStyle w:val="Heading5"/>
        <w:rPr>
          <w:lang w:val="en-GB"/>
        </w:rPr>
      </w:pPr>
      <w:r w:rsidRPr="00D93FF9">
        <w:rPr>
          <w:lang w:val="en-GB"/>
        </w:rPr>
        <w:t>Crop yield and quality considerations</w:t>
      </w:r>
    </w:p>
    <w:p w14:paraId="59DCD3CC" w14:textId="1659B681" w:rsidR="00A77BD1" w:rsidRPr="00D93FF9" w:rsidRDefault="00E811B8" w:rsidP="003807A1">
      <w:pPr>
        <w:pStyle w:val="BodyText"/>
        <w:spacing w:after="0" w:line="266" w:lineRule="auto"/>
        <w:jc w:val="both"/>
      </w:pPr>
      <w:r w:rsidRPr="00D93FF9">
        <w:t xml:space="preserve">In surface and ground waters, the concentration of zinc from natural leaching is usually less than 0.01 mg/L </w:t>
      </w:r>
      <w:r w:rsidRPr="00D93FF9">
        <w:fldChar w:fldCharType="begin"/>
      </w:r>
      <w:r w:rsidR="007C2051" w:rsidRPr="00D93FF9">
        <w:instrText xml:space="preserve"> ADDIN ZOTERO_ITEM CSL_CITATION {"citationID":"22dveMQ3","properties":{"formattedCitation":"(NHMRC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fldChar w:fldCharType="separate"/>
      </w:r>
      <w:r w:rsidR="007C2051" w:rsidRPr="00D93FF9">
        <w:rPr>
          <w:rFonts w:ascii="Calibri" w:hAnsi="Calibri" w:cs="Calibri"/>
        </w:rPr>
        <w:t>(NHMRC and NRMMC 2011)</w:t>
      </w:r>
      <w:r w:rsidRPr="00D93FF9">
        <w:fldChar w:fldCharType="end"/>
      </w:r>
      <w:r w:rsidRPr="00D93FF9">
        <w:t xml:space="preserve">. Zinc can enter the environment from both natural processes (e.g. weathering and erosion) and anthropogenic (e.g. zinc production, waste incineration, urban runoff) processes </w:t>
      </w:r>
      <w:r w:rsidRPr="00D93FF9">
        <w:fldChar w:fldCharType="begin"/>
      </w:r>
      <w:r w:rsidR="00BE6DF0" w:rsidRPr="00D93FF9">
        <w:instrText xml:space="preserve"> ADDIN ZOTERO_ITEM CSL_CITATION {"citationID":"B5Jn8lyz","properties":{"formattedCitation":"(ANZG, 2021)","plainCitation":"(ANZG, 2021)","noteIndex":0},"citationItems":[{"id":32931,"uris":["http://zotero.org/users/1938757/items/25JWBDWJ"],"uri":["http://zotero.org/users/1938757/items/25JWBDWJ"],"itemData":{"id":32931,"type":"report","abstract":"ANZG 2021 Australian and New Zealand Guidelines for Fresh and Marine Water Quality. Australian and New Zealand Governments and Australian state and territory governments, Canberra ACT, Australia.  Available at www.waterquality.gov.au/anz-guidelines","event-place":"Canberra, Australia","note":"http://www.waterquality.gov.au/anz-guidelines/resources/key-concepts/indicators#ecosystem-receptors\nSearch...\nhttps://www.waterquality.gov.au/anz-guidelines/guideline-values/default/water-quality-toxicants/search\n\nwww.waterquality.gov.au/anz-guidelines","publisher":"Australian and New Zealand Governments and Australian state and territory governments,","publisher-place":"Canberra, Australia","title":"Australian and New Zealand Guidelines for Fresh and Marine Water Quality. Toxicant default guideline values for protecting aquatic ecosystems","URL":"http://www.waterquality.gov.au/anz-guidelines","author":[{"family":"ANZG","given":""}],"accessed":{"date-parts":[["2021",3,1]]},"issued":{"date-parts":[["2021"]]}}}],"schema":"https://github.com/citation-style-language/schema/raw/master/csl-citation.json"} </w:instrText>
      </w:r>
      <w:r w:rsidRPr="00D93FF9">
        <w:fldChar w:fldCharType="separate"/>
      </w:r>
      <w:r w:rsidR="007C2051" w:rsidRPr="00D93FF9">
        <w:rPr>
          <w:rFonts w:ascii="Calibri" w:hAnsi="Calibri" w:cs="Calibri"/>
        </w:rPr>
        <w:t>(ANZG 2021)</w:t>
      </w:r>
      <w:r w:rsidRPr="00D93FF9">
        <w:fldChar w:fldCharType="end"/>
      </w:r>
      <w:r w:rsidRPr="00D93FF9">
        <w:t>.</w:t>
      </w:r>
    </w:p>
    <w:p w14:paraId="1E689F3F" w14:textId="33F0E78D" w:rsidR="002112B9" w:rsidRPr="00D93FF9" w:rsidRDefault="00E811B8" w:rsidP="002112B9">
      <w:pPr>
        <w:pStyle w:val="BodyText"/>
        <w:spacing w:after="0" w:line="266" w:lineRule="auto"/>
        <w:jc w:val="both"/>
        <w:rPr>
          <w:lang w:val="en-GB"/>
        </w:rPr>
      </w:pPr>
      <w:r w:rsidRPr="00D93FF9">
        <w:t xml:space="preserve">Zinc concentrations in soil range from &lt;2 to </w:t>
      </w:r>
      <w:r w:rsidR="00E576FD" w:rsidRPr="00D93FF9">
        <w:t xml:space="preserve">295.8 </w:t>
      </w:r>
      <w:r w:rsidRPr="00D93FF9">
        <w:t>mg/kg (</w:t>
      </w:r>
      <w:r w:rsidR="00E576FD" w:rsidRPr="00D93FF9">
        <w:fldChar w:fldCharType="begin"/>
      </w:r>
      <w:r w:rsidR="00E576FD" w:rsidRPr="00D93FF9">
        <w:instrText xml:space="preserve"> REF _Ref81393907 \h </w:instrText>
      </w:r>
      <w:r w:rsidR="00D93FF9">
        <w:instrText xml:space="preserve"> \* MERGEFORMAT </w:instrText>
      </w:r>
      <w:r w:rsidR="00E576FD" w:rsidRPr="00D93FF9">
        <w:fldChar w:fldCharType="separate"/>
      </w:r>
      <w:r w:rsidR="0069302C" w:rsidRPr="0069302C">
        <w:t xml:space="preserve">Table </w:t>
      </w:r>
      <w:r w:rsidR="0069302C" w:rsidRPr="0069302C">
        <w:rPr>
          <w:noProof/>
        </w:rPr>
        <w:t>22</w:t>
      </w:r>
      <w:r w:rsidR="00E576FD" w:rsidRPr="00D93FF9">
        <w:fldChar w:fldCharType="end"/>
      </w:r>
      <w:r w:rsidRPr="00D93FF9">
        <w:t>)</w:t>
      </w:r>
      <w:r w:rsidR="00E576FD" w:rsidRPr="00D93FF9">
        <w:t xml:space="preserve"> excluding the scoria rock-grop in New Zealand which has median zinc concentration of 409 mg/kg</w:t>
      </w:r>
      <w:r w:rsidRPr="00D93FF9">
        <w:t>. Zinc is more readily available to plants in acid (pH</w:t>
      </w:r>
      <w:r w:rsidRPr="00D93FF9">
        <w:rPr>
          <w:vertAlign w:val="subscript"/>
        </w:rPr>
        <w:t>CaCl</w:t>
      </w:r>
      <w:r w:rsidRPr="00D93FF9">
        <w:rPr>
          <w:position w:val="-4"/>
          <w:sz w:val="12"/>
        </w:rPr>
        <w:t xml:space="preserve">2 </w:t>
      </w:r>
      <w:r w:rsidRPr="00D93FF9">
        <w:t>&lt;6) light-textured soils (MacLean 1974</w:t>
      </w:r>
      <w:r w:rsidR="002112B9" w:rsidRPr="00D93FF9">
        <w:t>;</w:t>
      </w:r>
      <w:r w:rsidRPr="00D93FF9">
        <w:t xml:space="preserve"> MacLean </w:t>
      </w:r>
      <w:r w:rsidR="00FA6E9E" w:rsidRPr="00D93FF9">
        <w:t>and</w:t>
      </w:r>
      <w:r w:rsidRPr="00D93FF9">
        <w:t xml:space="preserve"> Dekker 1978</w:t>
      </w:r>
      <w:r w:rsidR="002112B9" w:rsidRPr="00D93FF9">
        <w:t>;</w:t>
      </w:r>
      <w:r w:rsidRPr="00D93FF9">
        <w:t xml:space="preserve"> Hornburg </w:t>
      </w:r>
      <w:r w:rsidR="00FA6E9E" w:rsidRPr="00D93FF9">
        <w:t>and</w:t>
      </w:r>
      <w:r w:rsidRPr="00D93FF9">
        <w:t xml:space="preserve"> Brümmer 1989). Toxicity in soil is reduced at pH &gt;6.0 and in fine-textured or organic soils </w:t>
      </w:r>
      <w:r w:rsidRPr="00D93FF9">
        <w:fldChar w:fldCharType="begin"/>
      </w:r>
      <w:r w:rsidR="007C2051" w:rsidRPr="00D93FF9">
        <w:instrText xml:space="preserve"> ADDIN ZOTERO_ITEM CSL_CITATION {"citationID":"lwlO4aPT","properties":{"formattedCitation":"(WHO, 2006)","plainCitation":"(WHO, 2006)","noteIndex":0},"citationItems":[{"id":745,"uris":["http://zotero.org/users/1938757/items/5VGB53CD"],"uri":["http://zotero.org/users/1938757/items/5VGB53CD"],"itemData":{"id":745,"type":"report","event-place":"Geneva,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Agriculture","URL":"https://www.who.int/water_sanitation_health/publications/gsuweg2/en/","author":[{"family":"WHO","given":""}],"issued":{"date-parts":[["2006"]]}}}],"schema":"https://github.com/citation-style-language/schema/raw/master/csl-citation.json"} </w:instrText>
      </w:r>
      <w:r w:rsidRPr="00D93FF9">
        <w:fldChar w:fldCharType="separate"/>
      </w:r>
      <w:r w:rsidR="007C2051" w:rsidRPr="00D93FF9">
        <w:rPr>
          <w:rFonts w:ascii="Calibri" w:hAnsi="Calibri" w:cs="Calibri"/>
        </w:rPr>
        <w:t>(WHO 2006)</w:t>
      </w:r>
      <w:r w:rsidRPr="00D93FF9">
        <w:fldChar w:fldCharType="end"/>
      </w:r>
      <w:r w:rsidRPr="00D93FF9">
        <w:t>.</w:t>
      </w:r>
      <w:r w:rsidR="002112B9" w:rsidRPr="00D93FF9">
        <w:t xml:space="preserve"> </w:t>
      </w:r>
    </w:p>
    <w:p w14:paraId="59DCD3CE" w14:textId="465E578A" w:rsidR="00372BE0" w:rsidRPr="00D93FF9" w:rsidRDefault="00E811B8" w:rsidP="009E62F6">
      <w:pPr>
        <w:pStyle w:val="BodyText"/>
        <w:spacing w:after="0" w:line="266" w:lineRule="auto"/>
        <w:jc w:val="both"/>
      </w:pPr>
      <w:r w:rsidRPr="00D93FF9">
        <w:rPr>
          <w:lang w:val="en-GB"/>
        </w:rPr>
        <w:t>Zinc is an essential element for plants and animals; however, high concentrations in soils may have toxic effects on plants and micro-organisms (Schachtschabel et al. 1989). Toxicity to plants generally seems to start at concentrations in nutrient solutions around 0.4–6.5 mg/L (</w:t>
      </w:r>
      <w:r w:rsidR="00A77BD1" w:rsidRPr="00D93FF9">
        <w:fldChar w:fldCharType="begin"/>
      </w:r>
      <w:r w:rsidR="00BE6DF0" w:rsidRPr="00D93FF9">
        <w:instrText xml:space="preserve"> ADDIN ZOTERO_ITEM CSL_CITATION {"citationID":"E2WtkIg9","properties":{"formattedCitation":"(Efroymson et al. 1997b)","plainCitation":"(Efroymson et al. 1997b)","dontUpdate":true,"noteIndex":0},"citationItems":[{"id":33251,"uris":["http://zotero.org/users/1938757/items/IRVGAJHK"],"uri":["http://zotero.org/users/1938757/items/IRVGAJHK"],"itemData":{"id":33251,"type":"report","event-place":"Oak Ridge, Tennessee.","number":"ES/ER/TM-85/R3","publisher":"Lockheed Martin Energy System Inc. for the United States Department of Energy","publisher-place":"Oak Ridge, Tennessee.","title":"Toxicological benchmarks for screening potential contaminants of concern for effects on terrestrial plants. 1997 Revision","URL":"https://digital.library.unt.edu/ark:/67531/metadc738647/m2/1/high_res_d/814251.pdf","author":[{"family":"Efroymson","given":"R.A."},{"family":"Will","given":"M.E."},{"family":"Suter II","given":"GW"},{"family":"Wooten","given":"A.C."}],"issued":{"date-parts":[["1997"]]}}}],"schema":"https://github.com/citation-style-language/schema/raw/master/csl-citation.json"} </w:instrText>
      </w:r>
      <w:r w:rsidR="00A77BD1" w:rsidRPr="00D93FF9">
        <w:fldChar w:fldCharType="separate"/>
      </w:r>
      <w:r w:rsidR="00A77BD1" w:rsidRPr="00D93FF9">
        <w:t>Efroymson et al. 1997b)</w:t>
      </w:r>
      <w:r w:rsidR="00A77BD1" w:rsidRPr="00D93FF9">
        <w:fldChar w:fldCharType="end"/>
      </w:r>
      <w:r w:rsidRPr="00D93FF9">
        <w:rPr>
          <w:lang w:val="en-GB"/>
        </w:rPr>
        <w:t>. Zinc toxicity in plants is evidenced by chlorosis, in leaf size</w:t>
      </w:r>
      <w:r w:rsidR="00A77BD1" w:rsidRPr="00D93FF9">
        <w:rPr>
          <w:lang w:val="en-GB"/>
        </w:rPr>
        <w:t xml:space="preserve"> reduction</w:t>
      </w:r>
      <w:r w:rsidRPr="00D93FF9">
        <w:rPr>
          <w:lang w:val="en-GB"/>
        </w:rPr>
        <w:t xml:space="preserve">, necrosis of tips and </w:t>
      </w:r>
      <w:r w:rsidR="00A77BD1" w:rsidRPr="00D93FF9">
        <w:rPr>
          <w:lang w:val="en-GB"/>
        </w:rPr>
        <w:t xml:space="preserve">foliage </w:t>
      </w:r>
      <w:r w:rsidRPr="00D93FF9">
        <w:rPr>
          <w:lang w:val="en-GB"/>
        </w:rPr>
        <w:t>distortion (Chapman 1966)</w:t>
      </w:r>
      <w:r w:rsidR="00A77BD1" w:rsidRPr="00D93FF9">
        <w:rPr>
          <w:lang w:val="en-GB"/>
        </w:rPr>
        <w:t xml:space="preserve">. However, </w:t>
      </w:r>
      <w:r w:rsidRPr="00D93FF9">
        <w:rPr>
          <w:lang w:val="en-GB"/>
        </w:rPr>
        <w:t>effects on symbiotic nitrogen-fixing bacteria may occur at lower soil zinc concentrations than those causing direc</w:t>
      </w:r>
      <w:r w:rsidR="00AA0B59" w:rsidRPr="00D93FF9">
        <w:rPr>
          <w:lang w:val="en-GB"/>
        </w:rPr>
        <w:t>t</w:t>
      </w:r>
      <w:r w:rsidR="00C23A19" w:rsidRPr="00D93FF9">
        <w:rPr>
          <w:lang w:val="en-GB"/>
        </w:rPr>
        <w:t xml:space="preserve"> </w:t>
      </w:r>
      <w:bookmarkStart w:id="274" w:name="9.2.6__Nitrogen_and_phosphorus"/>
      <w:bookmarkStart w:id="275" w:name="9.2.6.1__Methodology_for_development_of_"/>
      <w:bookmarkStart w:id="276" w:name="Nitrogen"/>
      <w:bookmarkEnd w:id="274"/>
      <w:bookmarkEnd w:id="275"/>
      <w:bookmarkEnd w:id="276"/>
      <w:r w:rsidRPr="00D93FF9">
        <w:rPr>
          <w:lang w:val="en-GB"/>
        </w:rPr>
        <w:t>phytotoxicity (Chaudri et al. 1993). The</w:t>
      </w:r>
      <w:r w:rsidR="00A77BD1" w:rsidRPr="00D93FF9">
        <w:rPr>
          <w:lang w:val="en-GB"/>
        </w:rPr>
        <w:t>refore</w:t>
      </w:r>
      <w:r w:rsidR="00E7198C" w:rsidRPr="00D93FF9">
        <w:rPr>
          <w:lang w:val="en-GB"/>
        </w:rPr>
        <w:t>,</w:t>
      </w:r>
      <w:r w:rsidR="00A77BD1" w:rsidRPr="00D93FF9">
        <w:rPr>
          <w:lang w:val="en-GB"/>
        </w:rPr>
        <w:t xml:space="preserve"> the</w:t>
      </w:r>
      <w:r w:rsidRPr="00D93FF9">
        <w:rPr>
          <w:lang w:val="en-GB"/>
        </w:rPr>
        <w:t xml:space="preserve"> </w:t>
      </w:r>
      <w:r w:rsidR="00553FF9" w:rsidRPr="00D93FF9">
        <w:rPr>
          <w:lang w:val="en-GB"/>
        </w:rPr>
        <w:t>DGV</w:t>
      </w:r>
      <w:r w:rsidRPr="00D93FF9">
        <w:rPr>
          <w:lang w:val="en-GB"/>
        </w:rPr>
        <w:t xml:space="preserve"> and </w:t>
      </w:r>
      <w:r w:rsidR="00553FF9" w:rsidRPr="00D93FF9">
        <w:rPr>
          <w:lang w:val="en-GB"/>
        </w:rPr>
        <w:t>SGV</w:t>
      </w:r>
      <w:r w:rsidRPr="00D93FF9">
        <w:rPr>
          <w:lang w:val="en-GB"/>
        </w:rPr>
        <w:t xml:space="preserve"> for zinc have been set to minimise the potential phytotoxicity of irrigation waters due to the presence of zinc. Given the existence of datasets for background concentrations of zinc in Australian soils, a soil </w:t>
      </w:r>
      <w:r w:rsidR="006D735C" w:rsidRPr="00D93FF9">
        <w:rPr>
          <w:lang w:val="en-GB"/>
        </w:rPr>
        <w:t>ACL</w:t>
      </w:r>
      <w:r w:rsidRPr="00D93FF9">
        <w:rPr>
          <w:lang w:val="en-GB"/>
        </w:rPr>
        <w:t xml:space="preserve"> limit has been set for zinc based on current regulatory guidelines </w:t>
      </w:r>
      <w:r w:rsidRPr="00D93FF9">
        <w:fldChar w:fldCharType="begin"/>
      </w:r>
      <w:r w:rsidR="007C2051" w:rsidRPr="00D93FF9">
        <w:instrText xml:space="preserve"> ADDIN ZOTERO_ITEM CSL_CITATION {"citationID":"cjGcrzjs","properties":{"formattedCitation":"(EPA Victoria 2004; DEHP Qld 2016)","plainCitation":"(EPA Victoria 2004; DEHP Qld 2016)","dontUpdate":true,"noteIndex":0},"citationItems":[{"id":3992,"uris":["http://zotero.org/users/1938757/items/N2VR2ZVD"],"uri":["http://zotero.org/users/1938757/items/N2VR2ZVD"],"itemData":{"id":3992,"type":"report","event-place":"Melbourne","note":"File://C:/Documents and Settings/Daryl/My Documents/Zotero/Export/Biosolids_Z v5.Data/PDF/z306 Vic Biosolids guidelines-3579743232/z306 Vic Biosolids guidelines.pdf","number":"Publication 943","page":"78","publisher":"Environment Protection Authority Victoria","publisher-place":"Melbourne","title":"Guidelines for Environmental Management. Biosolids Land Application. Publication 943.","URL":"https://www.epa.vic.gov.au/about-epa/publications/943","author":[{"family":"EPA Victoria","given":""}],"issued":{"date-parts":[["2004"]]}}},{"id":24917,"uris":["http://zotero.org/users/1938757/items/N94G9UGC"],"uri":["http://zotero.org/users/1938757/items/N94G9UGC"],"itemData":{"id":24917,"type":"report","event-place":"Queensland, Australia","publisher":"Industry and Development Assessment, Environmental Services and Regulation Division, Department of Environment and Heritage Protection, State of Queensland","publisher-place":"Queensland, Australia","title":"General beneficial use approval for Biosolids Waste Reduction and Recycling Act 2011","URL":"http://www.ehp.qld.gov.au/assets/documents/regulation/wr-ga-biosolids.pdf","author":[{"family":"DEHP Qld","given":""}],"issued":{"date-parts":[["2016"]]}}}],"schema":"https://github.com/citation-style-language/schema/raw/master/csl-citation.json"} </w:instrText>
      </w:r>
      <w:r w:rsidRPr="00D93FF9">
        <w:fldChar w:fldCharType="separate"/>
      </w:r>
      <w:r w:rsidRPr="00D93FF9">
        <w:t>EPA Victoria 2004; DEHP Qld 2016)</w:t>
      </w:r>
      <w:r w:rsidRPr="00D93FF9">
        <w:fldChar w:fldCharType="end"/>
      </w:r>
      <w:r w:rsidRPr="00D93FF9">
        <w:t xml:space="preserve">. Modification of the regulatory guideline based on soil cation exchange capacity and pH has been adopted in South Australia </w:t>
      </w:r>
      <w:r w:rsidRPr="00D93FF9">
        <w:fldChar w:fldCharType="begin"/>
      </w:r>
      <w:r w:rsidR="00BE6DF0" w:rsidRPr="00D93FF9">
        <w:instrText xml:space="preserve"> ADDIN ZOTERO_ITEM CSL_CITATION {"citationID":"9nV90nJT","properties":{"formattedCitation":"(EPA SA, 2020)","plainCitation":"(EPA SA, 2020)","noteIndex":0},"citationItems":[{"id":32915,"uris":["http://zotero.org/users/1938757/items/KK8ZB4H2"],"uri":["http://zotero.org/users/1938757/items/KK8ZB4H2"],"itemData":{"id":32915,"type":"report","publisher":"Environmental Protection Authority South Australia","title":"South Australian Biosolids Guideline for the Safe Handling and Reuse of Biosolids","URL":"https://www.epa.sa.gov.au/files/14641_guide_biosolids.pdf","author":[{"family":"EPA SA","given":""}],"issued":{"date-parts":[["2020"]]}}}],"schema":"https://github.com/citation-style-language/schema/raw/master/csl-citation.json"} </w:instrText>
      </w:r>
      <w:r w:rsidRPr="00D93FF9">
        <w:fldChar w:fldCharType="separate"/>
      </w:r>
      <w:r w:rsidR="007C2051" w:rsidRPr="00D93FF9">
        <w:rPr>
          <w:rFonts w:ascii="Calibri" w:hAnsi="Calibri" w:cs="Calibri"/>
        </w:rPr>
        <w:t>(EPA SA 2020)</w:t>
      </w:r>
      <w:r w:rsidRPr="00D93FF9">
        <w:fldChar w:fldCharType="end"/>
      </w:r>
      <w:r w:rsidRPr="00D93FF9">
        <w:t>.</w:t>
      </w:r>
    </w:p>
    <w:p w14:paraId="59DCD3CF" w14:textId="77777777" w:rsidR="00C46175" w:rsidRPr="00D93FF9" w:rsidRDefault="00C46175" w:rsidP="00A04D16">
      <w:pPr>
        <w:pStyle w:val="BodyText"/>
        <w:spacing w:after="0" w:line="266" w:lineRule="auto"/>
        <w:jc w:val="both"/>
        <w:rPr>
          <w:lang w:val="en-GB"/>
        </w:rPr>
      </w:pPr>
    </w:p>
    <w:p w14:paraId="59DCD3D0" w14:textId="77777777" w:rsidR="00596ED0" w:rsidRPr="00D93FF9" w:rsidRDefault="00596ED0" w:rsidP="00A04D16">
      <w:pPr>
        <w:pStyle w:val="BodyText"/>
        <w:spacing w:after="0" w:line="266" w:lineRule="auto"/>
        <w:jc w:val="both"/>
        <w:rPr>
          <w:lang w:val="en-GB"/>
        </w:rPr>
      </w:pPr>
    </w:p>
    <w:p w14:paraId="59DCD3D1" w14:textId="77777777" w:rsidR="00C46175" w:rsidRPr="00D93FF9" w:rsidRDefault="00E811B8" w:rsidP="007C248C">
      <w:pPr>
        <w:pStyle w:val="Heading2"/>
        <w:rPr>
          <w:lang w:val="en-GB"/>
        </w:rPr>
      </w:pPr>
      <w:bookmarkStart w:id="277" w:name="_Toc96693601"/>
      <w:r w:rsidRPr="00D93FF9">
        <w:rPr>
          <w:lang w:val="en-GB"/>
        </w:rPr>
        <w:lastRenderedPageBreak/>
        <w:t>Nitrogen and</w:t>
      </w:r>
      <w:r w:rsidRPr="00D93FF9">
        <w:rPr>
          <w:spacing w:val="-1"/>
          <w:lang w:val="en-GB"/>
        </w:rPr>
        <w:t xml:space="preserve"> </w:t>
      </w:r>
      <w:r w:rsidRPr="00D93FF9">
        <w:rPr>
          <w:lang w:val="en-GB"/>
        </w:rPr>
        <w:t>phosphorus</w:t>
      </w:r>
      <w:bookmarkEnd w:id="277"/>
    </w:p>
    <w:p w14:paraId="59DCD3D2" w14:textId="600704C4" w:rsidR="009E5020" w:rsidRPr="00D93FF9" w:rsidRDefault="00E811B8" w:rsidP="004A241B">
      <w:pPr>
        <w:pStyle w:val="Heading5"/>
        <w:spacing w:before="200" w:after="200" w:line="244" w:lineRule="auto"/>
        <w:jc w:val="both"/>
        <w:rPr>
          <w:rFonts w:eastAsia="Arial"/>
          <w:b w:val="0"/>
          <w:i/>
          <w:lang w:val="en-GB"/>
        </w:rPr>
      </w:pPr>
      <w:r w:rsidRPr="00D93FF9">
        <w:rPr>
          <w:i/>
          <w:lang w:val="en-GB"/>
        </w:rPr>
        <w:t>Upper-limit default guideline values</w:t>
      </w:r>
      <w:r w:rsidRPr="00D93FF9">
        <w:rPr>
          <w:rFonts w:eastAsia="Arial"/>
          <w:i/>
          <w:lang w:val="en-GB"/>
        </w:rPr>
        <w:t xml:space="preserve"> (DGV) and site-specific or short-term guideline values (SGV) for nitrogen and phosphorus in irrigation water are defined in</w:t>
      </w:r>
      <w:r w:rsidR="0088165F" w:rsidRPr="00D93FF9">
        <w:rPr>
          <w:rFonts w:eastAsia="Arial"/>
          <w:i/>
          <w:lang w:val="en-GB"/>
        </w:rPr>
        <w:t xml:space="preserve"> </w:t>
      </w:r>
      <w:r w:rsidR="0088165F" w:rsidRPr="00D93FF9">
        <w:rPr>
          <w:rFonts w:eastAsia="Arial"/>
          <w:i/>
          <w:lang w:val="en-GB"/>
        </w:rPr>
        <w:fldChar w:fldCharType="begin"/>
      </w:r>
      <w:r w:rsidR="0088165F" w:rsidRPr="00D93FF9">
        <w:rPr>
          <w:rFonts w:eastAsia="Arial"/>
          <w:i/>
          <w:lang w:val="en-GB"/>
        </w:rPr>
        <w:instrText xml:space="preserve"> REF _Ref81394698 \h </w:instrText>
      </w:r>
      <w:r w:rsidR="00D93FF9">
        <w:rPr>
          <w:rFonts w:eastAsia="Arial"/>
          <w:i/>
          <w:lang w:val="en-GB"/>
        </w:rPr>
        <w:instrText xml:space="preserve"> \* MERGEFORMAT </w:instrText>
      </w:r>
      <w:r w:rsidR="0088165F" w:rsidRPr="00D93FF9">
        <w:rPr>
          <w:rFonts w:eastAsia="Arial"/>
          <w:i/>
          <w:lang w:val="en-GB"/>
        </w:rPr>
      </w:r>
      <w:r w:rsidR="0088165F" w:rsidRPr="00D93FF9">
        <w:rPr>
          <w:rFonts w:eastAsia="Arial"/>
          <w:i/>
          <w:lang w:val="en-GB"/>
        </w:rPr>
        <w:fldChar w:fldCharType="separate"/>
      </w:r>
      <w:r w:rsidR="0069302C" w:rsidRPr="00D93FF9">
        <w:t xml:space="preserve">Table </w:t>
      </w:r>
      <w:r w:rsidR="0069302C">
        <w:rPr>
          <w:noProof/>
        </w:rPr>
        <w:t>25</w:t>
      </w:r>
      <w:r w:rsidR="0088165F" w:rsidRPr="00D93FF9">
        <w:rPr>
          <w:rFonts w:eastAsia="Arial"/>
          <w:i/>
          <w:lang w:val="en-GB"/>
        </w:rPr>
        <w:fldChar w:fldCharType="end"/>
      </w:r>
      <w:r w:rsidRPr="00D93FF9">
        <w:rPr>
          <w:rFonts w:eastAsia="Arial"/>
          <w:i/>
          <w:lang w:val="en-GB"/>
        </w:rPr>
        <w:t>. They are based on maintaining crop yield, preventing bioclogging of irrigation equipment and minimising off-site impacts. Concentrations in irrigation water should not exceed the recommended upper-limit guideline value</w:t>
      </w:r>
      <w:r w:rsidRPr="00D93FF9">
        <w:rPr>
          <w:rFonts w:eastAsia="Arial"/>
          <w:b w:val="0"/>
          <w:i/>
          <w:lang w:val="en-GB"/>
        </w:rPr>
        <w:t>.</w:t>
      </w:r>
    </w:p>
    <w:p w14:paraId="59DCD3D3" w14:textId="77777777" w:rsidR="009E5020" w:rsidRPr="00D93FF9" w:rsidRDefault="00E811B8" w:rsidP="004A241B">
      <w:pPr>
        <w:spacing w:before="200"/>
        <w:jc w:val="both"/>
        <w:rPr>
          <w:rFonts w:eastAsia="Arial"/>
          <w:b/>
          <w:i/>
          <w:lang w:val="en-GB"/>
        </w:rPr>
      </w:pPr>
      <w:r w:rsidRPr="00D93FF9">
        <w:rPr>
          <w:rFonts w:eastAsia="Arial"/>
          <w:b/>
          <w:i/>
          <w:lang w:val="en-GB"/>
        </w:rPr>
        <w:t>As N and P are macro nutrients, there may</w:t>
      </w:r>
      <w:r w:rsidR="004A241B" w:rsidRPr="00D93FF9">
        <w:rPr>
          <w:rFonts w:eastAsia="Arial"/>
          <w:b/>
          <w:i/>
          <w:lang w:val="en-GB"/>
        </w:rPr>
        <w:t xml:space="preserve"> </w:t>
      </w:r>
      <w:r w:rsidRPr="00D93FF9">
        <w:rPr>
          <w:rFonts w:eastAsia="Arial"/>
          <w:b/>
          <w:i/>
          <w:lang w:val="en-GB"/>
        </w:rPr>
        <w:t>be lower-limit guideline that are appropriate also (LDGV and LSGV) when consider N and P concentrations in irrigation water with fertilizer requirements.</w:t>
      </w:r>
    </w:p>
    <w:p w14:paraId="59DCD3D4" w14:textId="335D6187" w:rsidR="00262423" w:rsidRPr="00D93FF9" w:rsidRDefault="0088165F" w:rsidP="0088165F">
      <w:pPr>
        <w:pStyle w:val="Caption"/>
        <w:rPr>
          <w:szCs w:val="22"/>
          <w:lang w:val="en-GB"/>
        </w:rPr>
      </w:pPr>
      <w:bookmarkStart w:id="278" w:name="_Ref81394698"/>
      <w:bookmarkStart w:id="279" w:name="_Toc96518239"/>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25</w:t>
      </w:r>
      <w:r w:rsidR="00477102" w:rsidRPr="00D93FF9">
        <w:fldChar w:fldCharType="end"/>
      </w:r>
      <w:bookmarkEnd w:id="278"/>
      <w:r w:rsidRPr="00D93FF9">
        <w:t xml:space="preserve"> </w:t>
      </w:r>
      <w:bookmarkStart w:id="280" w:name="_Hlk153812750"/>
      <w:r w:rsidR="00E90CE0" w:rsidRPr="00D93FF9">
        <w:rPr>
          <w:rFonts w:ascii="Arial"/>
          <w:sz w:val="18"/>
          <w:lang w:val="en-GB"/>
        </w:rPr>
        <w:t xml:space="preserve">Agricultural </w:t>
      </w:r>
      <w:r w:rsidR="00E90CE0" w:rsidRPr="00D93FF9">
        <w:rPr>
          <w:szCs w:val="22"/>
          <w:lang w:val="en-GB"/>
        </w:rPr>
        <w:t xml:space="preserve">irrigation water long-term </w:t>
      </w:r>
      <w:r w:rsidR="00855C80" w:rsidRPr="00D93FF9">
        <w:rPr>
          <w:szCs w:val="22"/>
          <w:lang w:val="en-GB"/>
        </w:rPr>
        <w:t xml:space="preserve">guideline </w:t>
      </w:r>
      <w:r w:rsidR="00E90CE0" w:rsidRPr="00D93FF9">
        <w:rPr>
          <w:szCs w:val="22"/>
          <w:lang w:val="en-GB"/>
        </w:rPr>
        <w:t>value (</w:t>
      </w:r>
      <w:r w:rsidR="00553FF9" w:rsidRPr="00D93FF9">
        <w:rPr>
          <w:szCs w:val="22"/>
          <w:lang w:val="en-GB"/>
        </w:rPr>
        <w:t>DGV</w:t>
      </w:r>
      <w:r w:rsidR="00E90CE0" w:rsidRPr="00D93FF9">
        <w:rPr>
          <w:szCs w:val="22"/>
          <w:lang w:val="en-GB"/>
        </w:rPr>
        <w:t xml:space="preserve">) and short-term </w:t>
      </w:r>
      <w:r w:rsidR="00855C80" w:rsidRPr="00D93FF9">
        <w:rPr>
          <w:szCs w:val="22"/>
          <w:lang w:val="en-GB"/>
        </w:rPr>
        <w:t xml:space="preserve">guideline </w:t>
      </w:r>
      <w:r w:rsidR="00553FF9" w:rsidRPr="00D93FF9">
        <w:rPr>
          <w:szCs w:val="22"/>
          <w:lang w:val="en-GB"/>
        </w:rPr>
        <w:t>SGV</w:t>
      </w:r>
      <w:r w:rsidR="00E90CE0" w:rsidRPr="00D93FF9">
        <w:rPr>
          <w:szCs w:val="22"/>
          <w:lang w:val="en-GB"/>
        </w:rPr>
        <w:t xml:space="preserve"> in irrigation water (short-term — up to 20 yrs)</w:t>
      </w:r>
      <w:bookmarkEnd w:id="279"/>
      <w:bookmarkEnd w:id="280"/>
    </w:p>
    <w:tbl>
      <w:tblPr>
        <w:tblW w:w="3656" w:type="dxa"/>
        <w:tblLook w:val="04A0" w:firstRow="1" w:lastRow="0" w:firstColumn="1" w:lastColumn="0" w:noHBand="0" w:noVBand="1"/>
        <w:tblCaption w:val="Agricultural irrigation water long-term guideline value and short-term guideline value in irrigation water"/>
        <w:tblDescription w:val="The table lists the long-term and short-term guideline values for nitrogen and phosphorus in irrigation water. "/>
      </w:tblPr>
      <w:tblGrid>
        <w:gridCol w:w="1197"/>
        <w:gridCol w:w="1213"/>
        <w:gridCol w:w="1246"/>
      </w:tblGrid>
      <w:tr w:rsidR="00BE3AA8" w:rsidRPr="00D93FF9" w14:paraId="59DCD3DA" w14:textId="77777777" w:rsidTr="00C806A6">
        <w:trPr>
          <w:trHeight w:val="421"/>
        </w:trPr>
        <w:tc>
          <w:tcPr>
            <w:tcW w:w="1197" w:type="dxa"/>
            <w:tcBorders>
              <w:top w:val="single" w:sz="4" w:space="0" w:color="auto"/>
              <w:bottom w:val="single" w:sz="4" w:space="0" w:color="auto"/>
            </w:tcBorders>
          </w:tcPr>
          <w:p w14:paraId="59DCD3D5" w14:textId="77777777" w:rsidR="0007652D" w:rsidRPr="00D93FF9" w:rsidRDefault="00E811B8" w:rsidP="003807A1">
            <w:pPr>
              <w:pStyle w:val="BodyText"/>
              <w:spacing w:after="0"/>
              <w:rPr>
                <w:rFonts w:ascii="Arial" w:hAnsi="Arial" w:cs="Arial"/>
                <w:b/>
                <w:sz w:val="16"/>
                <w:szCs w:val="16"/>
              </w:rPr>
            </w:pPr>
            <w:bookmarkStart w:id="281" w:name="_Hlk66359302"/>
            <w:r w:rsidRPr="00D93FF9">
              <w:rPr>
                <w:rFonts w:ascii="Arial" w:hAnsi="Arial" w:cs="Arial"/>
                <w:b/>
                <w:sz w:val="16"/>
                <w:szCs w:val="16"/>
              </w:rPr>
              <w:t>Element</w:t>
            </w:r>
          </w:p>
        </w:tc>
        <w:tc>
          <w:tcPr>
            <w:tcW w:w="1213" w:type="dxa"/>
            <w:tcBorders>
              <w:top w:val="single" w:sz="4" w:space="0" w:color="auto"/>
              <w:bottom w:val="single" w:sz="4" w:space="0" w:color="auto"/>
            </w:tcBorders>
          </w:tcPr>
          <w:p w14:paraId="59DCD3D6" w14:textId="77777777" w:rsidR="0007652D" w:rsidRPr="00D93FF9" w:rsidRDefault="00E811B8" w:rsidP="003807A1">
            <w:pPr>
              <w:pStyle w:val="BodyText"/>
              <w:spacing w:after="0"/>
              <w:jc w:val="right"/>
              <w:rPr>
                <w:rFonts w:ascii="Arial" w:hAnsi="Arial" w:cs="Arial"/>
                <w:b/>
                <w:sz w:val="16"/>
                <w:szCs w:val="16"/>
              </w:rPr>
            </w:pPr>
            <w:r w:rsidRPr="00D93FF9">
              <w:rPr>
                <w:rFonts w:ascii="Arial" w:hAnsi="Arial" w:cs="Arial"/>
                <w:b/>
                <w:bCs/>
                <w:sz w:val="16"/>
                <w:szCs w:val="16"/>
              </w:rPr>
              <w:t>DGV</w:t>
            </w:r>
            <w:r w:rsidRPr="00D93FF9">
              <w:rPr>
                <w:rFonts w:ascii="Arial" w:hAnsi="Arial" w:cs="Arial"/>
                <w:b/>
                <w:sz w:val="16"/>
                <w:szCs w:val="16"/>
              </w:rPr>
              <w:t xml:space="preserve"> </w:t>
            </w:r>
          </w:p>
          <w:p w14:paraId="59DCD3D7" w14:textId="77777777" w:rsidR="0007652D" w:rsidRPr="00D93FF9" w:rsidRDefault="00E811B8" w:rsidP="003807A1">
            <w:pPr>
              <w:pStyle w:val="BodyText"/>
              <w:spacing w:after="0"/>
              <w:jc w:val="right"/>
              <w:rPr>
                <w:rFonts w:ascii="Arial" w:hAnsi="Arial" w:cs="Arial"/>
                <w:b/>
                <w:sz w:val="16"/>
                <w:szCs w:val="16"/>
              </w:rPr>
            </w:pPr>
            <w:r w:rsidRPr="00D93FF9">
              <w:rPr>
                <w:rFonts w:ascii="Arial" w:hAnsi="Arial" w:cs="Arial"/>
                <w:b/>
                <w:sz w:val="16"/>
                <w:szCs w:val="16"/>
              </w:rPr>
              <w:t>(mg/L)</w:t>
            </w:r>
          </w:p>
        </w:tc>
        <w:tc>
          <w:tcPr>
            <w:tcW w:w="1246" w:type="dxa"/>
            <w:tcBorders>
              <w:top w:val="single" w:sz="4" w:space="0" w:color="auto"/>
              <w:bottom w:val="single" w:sz="4" w:space="0" w:color="auto"/>
            </w:tcBorders>
          </w:tcPr>
          <w:p w14:paraId="59DCD3D8" w14:textId="77777777" w:rsidR="0007652D" w:rsidRPr="00D93FF9" w:rsidRDefault="00E811B8" w:rsidP="003807A1">
            <w:pPr>
              <w:pStyle w:val="BodyText"/>
              <w:spacing w:after="0"/>
              <w:jc w:val="right"/>
              <w:rPr>
                <w:rFonts w:ascii="Arial" w:hAnsi="Arial" w:cs="Arial"/>
                <w:b/>
                <w:sz w:val="16"/>
                <w:szCs w:val="16"/>
              </w:rPr>
            </w:pPr>
            <w:r w:rsidRPr="00D93FF9">
              <w:rPr>
                <w:rFonts w:ascii="Arial" w:hAnsi="Arial" w:cs="Arial"/>
                <w:b/>
                <w:bCs/>
                <w:sz w:val="16"/>
                <w:szCs w:val="16"/>
                <w:lang w:val="en-GB"/>
              </w:rPr>
              <w:t>SGV</w:t>
            </w:r>
            <w:r w:rsidRPr="00D93FF9">
              <w:rPr>
                <w:rFonts w:ascii="Arial" w:hAnsi="Arial" w:cs="Arial"/>
                <w:b/>
                <w:sz w:val="16"/>
                <w:szCs w:val="16"/>
                <w:lang w:val="en-GB"/>
              </w:rPr>
              <w:t xml:space="preserve"> </w:t>
            </w:r>
          </w:p>
          <w:p w14:paraId="59DCD3D9" w14:textId="77777777" w:rsidR="0007652D" w:rsidRPr="00D93FF9" w:rsidRDefault="00E811B8" w:rsidP="003807A1">
            <w:pPr>
              <w:pStyle w:val="BodyText"/>
              <w:spacing w:after="0"/>
              <w:jc w:val="right"/>
              <w:rPr>
                <w:rFonts w:ascii="Arial" w:hAnsi="Arial" w:cs="Arial"/>
                <w:b/>
                <w:sz w:val="16"/>
                <w:szCs w:val="16"/>
              </w:rPr>
            </w:pPr>
            <w:r w:rsidRPr="00D93FF9">
              <w:rPr>
                <w:rFonts w:ascii="Arial" w:hAnsi="Arial" w:cs="Arial"/>
                <w:b/>
                <w:sz w:val="16"/>
                <w:szCs w:val="16"/>
              </w:rPr>
              <w:t>(mg/L)</w:t>
            </w:r>
          </w:p>
        </w:tc>
      </w:tr>
      <w:tr w:rsidR="00BE3AA8" w:rsidRPr="00D93FF9" w14:paraId="59DCD3DE" w14:textId="77777777" w:rsidTr="00C806A6">
        <w:trPr>
          <w:trHeight w:val="246"/>
        </w:trPr>
        <w:tc>
          <w:tcPr>
            <w:tcW w:w="1197" w:type="dxa"/>
            <w:tcBorders>
              <w:top w:val="single" w:sz="4" w:space="0" w:color="auto"/>
            </w:tcBorders>
          </w:tcPr>
          <w:p w14:paraId="59DCD3DB" w14:textId="77777777" w:rsidR="0007652D" w:rsidRPr="00D93FF9" w:rsidRDefault="00E811B8" w:rsidP="003807A1">
            <w:pPr>
              <w:pStyle w:val="BodyText"/>
              <w:spacing w:after="0"/>
              <w:rPr>
                <w:rFonts w:ascii="Arial" w:hAnsi="Arial" w:cs="Arial"/>
                <w:sz w:val="16"/>
                <w:szCs w:val="16"/>
              </w:rPr>
            </w:pPr>
            <w:r w:rsidRPr="00D93FF9">
              <w:rPr>
                <w:rFonts w:ascii="Arial" w:hAnsi="Arial" w:cs="Arial"/>
                <w:sz w:val="16"/>
                <w:szCs w:val="16"/>
              </w:rPr>
              <w:t>Nitrogen</w:t>
            </w:r>
          </w:p>
        </w:tc>
        <w:tc>
          <w:tcPr>
            <w:tcW w:w="1213" w:type="dxa"/>
            <w:tcBorders>
              <w:top w:val="single" w:sz="4" w:space="0" w:color="auto"/>
            </w:tcBorders>
          </w:tcPr>
          <w:p w14:paraId="59DCD3DC" w14:textId="77777777" w:rsidR="0007652D" w:rsidRPr="00D93FF9" w:rsidRDefault="00E811B8" w:rsidP="003807A1">
            <w:pPr>
              <w:pStyle w:val="BodyText"/>
              <w:spacing w:after="0"/>
              <w:jc w:val="right"/>
              <w:rPr>
                <w:rFonts w:ascii="Arial" w:hAnsi="Arial" w:cs="Arial"/>
                <w:sz w:val="16"/>
                <w:szCs w:val="16"/>
              </w:rPr>
            </w:pPr>
            <w:r w:rsidRPr="00D93FF9">
              <w:rPr>
                <w:rFonts w:ascii="Arial" w:hAnsi="Arial" w:cs="Arial"/>
                <w:sz w:val="16"/>
                <w:szCs w:val="16"/>
              </w:rPr>
              <w:t>5</w:t>
            </w:r>
          </w:p>
        </w:tc>
        <w:tc>
          <w:tcPr>
            <w:tcW w:w="1246" w:type="dxa"/>
            <w:tcBorders>
              <w:top w:val="single" w:sz="4" w:space="0" w:color="auto"/>
            </w:tcBorders>
          </w:tcPr>
          <w:p w14:paraId="59DCD3DD" w14:textId="77777777" w:rsidR="0007652D" w:rsidRPr="00D93FF9" w:rsidRDefault="00E811B8" w:rsidP="003807A1">
            <w:pPr>
              <w:pStyle w:val="BodyText"/>
              <w:spacing w:after="0"/>
              <w:jc w:val="right"/>
              <w:rPr>
                <w:rFonts w:ascii="Arial" w:hAnsi="Arial" w:cs="Arial"/>
                <w:sz w:val="16"/>
                <w:szCs w:val="16"/>
                <w:vertAlign w:val="superscript"/>
              </w:rPr>
            </w:pPr>
            <w:r w:rsidRPr="00D93FF9">
              <w:rPr>
                <w:rFonts w:ascii="Arial" w:hAnsi="Arial" w:cs="Arial"/>
                <w:sz w:val="16"/>
                <w:szCs w:val="16"/>
              </w:rPr>
              <w:t>15 to 120</w:t>
            </w:r>
            <w:r w:rsidRPr="00D93FF9">
              <w:rPr>
                <w:rFonts w:ascii="Arial" w:hAnsi="Arial" w:cs="Arial"/>
                <w:sz w:val="16"/>
                <w:szCs w:val="16"/>
                <w:vertAlign w:val="superscript"/>
              </w:rPr>
              <w:t>a</w:t>
            </w:r>
          </w:p>
        </w:tc>
      </w:tr>
      <w:tr w:rsidR="00BE3AA8" w:rsidRPr="00D93FF9" w14:paraId="59DCD3E2" w14:textId="77777777" w:rsidTr="00C806A6">
        <w:trPr>
          <w:trHeight w:val="234"/>
        </w:trPr>
        <w:tc>
          <w:tcPr>
            <w:tcW w:w="1197" w:type="dxa"/>
            <w:tcBorders>
              <w:bottom w:val="single" w:sz="4" w:space="0" w:color="auto"/>
            </w:tcBorders>
          </w:tcPr>
          <w:p w14:paraId="59DCD3DF" w14:textId="77777777" w:rsidR="0007652D" w:rsidRPr="00D93FF9" w:rsidRDefault="00E811B8" w:rsidP="003807A1">
            <w:pPr>
              <w:pStyle w:val="BodyText"/>
              <w:spacing w:after="0"/>
              <w:rPr>
                <w:rFonts w:ascii="Arial" w:hAnsi="Arial" w:cs="Arial"/>
                <w:sz w:val="16"/>
                <w:szCs w:val="16"/>
              </w:rPr>
            </w:pPr>
            <w:r w:rsidRPr="00D93FF9">
              <w:rPr>
                <w:rFonts w:ascii="Arial" w:hAnsi="Arial" w:cs="Arial"/>
                <w:sz w:val="16"/>
                <w:szCs w:val="16"/>
              </w:rPr>
              <w:t>Phosphorus</w:t>
            </w:r>
          </w:p>
        </w:tc>
        <w:tc>
          <w:tcPr>
            <w:tcW w:w="1213" w:type="dxa"/>
            <w:tcBorders>
              <w:bottom w:val="single" w:sz="4" w:space="0" w:color="auto"/>
            </w:tcBorders>
          </w:tcPr>
          <w:p w14:paraId="59DCD3E0" w14:textId="77777777" w:rsidR="0007652D" w:rsidRPr="00D93FF9" w:rsidRDefault="00E811B8" w:rsidP="003807A1">
            <w:pPr>
              <w:pStyle w:val="BodyText"/>
              <w:spacing w:after="0"/>
              <w:jc w:val="right"/>
              <w:rPr>
                <w:rFonts w:ascii="Arial" w:hAnsi="Arial" w:cs="Arial"/>
                <w:sz w:val="16"/>
                <w:szCs w:val="16"/>
                <w:vertAlign w:val="superscript"/>
              </w:rPr>
            </w:pPr>
            <w:r w:rsidRPr="00D93FF9">
              <w:rPr>
                <w:rFonts w:ascii="Arial" w:hAnsi="Arial" w:cs="Arial"/>
                <w:sz w:val="16"/>
                <w:szCs w:val="16"/>
              </w:rPr>
              <w:t>0.05</w:t>
            </w:r>
            <w:r w:rsidRPr="00D93FF9">
              <w:rPr>
                <w:rFonts w:ascii="Arial" w:hAnsi="Arial" w:cs="Arial"/>
                <w:sz w:val="16"/>
                <w:szCs w:val="16"/>
                <w:vertAlign w:val="superscript"/>
              </w:rPr>
              <w:t>b</w:t>
            </w:r>
          </w:p>
        </w:tc>
        <w:tc>
          <w:tcPr>
            <w:tcW w:w="1246" w:type="dxa"/>
            <w:tcBorders>
              <w:bottom w:val="single" w:sz="4" w:space="0" w:color="auto"/>
            </w:tcBorders>
          </w:tcPr>
          <w:p w14:paraId="59DCD3E1" w14:textId="77777777" w:rsidR="0007652D" w:rsidRPr="00D93FF9" w:rsidRDefault="00E811B8" w:rsidP="003807A1">
            <w:pPr>
              <w:pStyle w:val="BodyText"/>
              <w:spacing w:after="0"/>
              <w:jc w:val="right"/>
              <w:rPr>
                <w:rFonts w:ascii="Arial" w:hAnsi="Arial" w:cs="Arial"/>
                <w:sz w:val="16"/>
                <w:szCs w:val="16"/>
                <w:vertAlign w:val="superscript"/>
              </w:rPr>
            </w:pPr>
            <w:r w:rsidRPr="00D93FF9">
              <w:rPr>
                <w:rFonts w:ascii="Arial" w:hAnsi="Arial" w:cs="Arial"/>
                <w:sz w:val="16"/>
                <w:szCs w:val="16"/>
              </w:rPr>
              <w:t>0.5 to 12</w:t>
            </w:r>
            <w:r w:rsidRPr="00D93FF9">
              <w:rPr>
                <w:rFonts w:ascii="Arial" w:hAnsi="Arial" w:cs="Arial"/>
                <w:sz w:val="16"/>
                <w:szCs w:val="16"/>
                <w:vertAlign w:val="superscript"/>
              </w:rPr>
              <w:t>a</w:t>
            </w:r>
          </w:p>
        </w:tc>
      </w:tr>
      <w:bookmarkEnd w:id="281"/>
    </w:tbl>
    <w:p w14:paraId="59DCD3E3" w14:textId="77777777" w:rsidR="00262423" w:rsidRPr="00D93FF9" w:rsidRDefault="00262423" w:rsidP="003807A1">
      <w:pPr>
        <w:spacing w:after="0" w:line="259" w:lineRule="auto"/>
        <w:jc w:val="center"/>
        <w:rPr>
          <w:rFonts w:ascii="Arial"/>
          <w:sz w:val="16"/>
          <w:lang w:val="en-GB"/>
        </w:rPr>
      </w:pPr>
    </w:p>
    <w:p w14:paraId="59DCD3E4" w14:textId="77777777" w:rsidR="00262423" w:rsidRPr="00D93FF9" w:rsidRDefault="00E811B8" w:rsidP="00C55FB1">
      <w:pPr>
        <w:pStyle w:val="ListParagraph"/>
        <w:numPr>
          <w:ilvl w:val="0"/>
          <w:numId w:val="2"/>
        </w:numPr>
        <w:tabs>
          <w:tab w:val="left" w:pos="458"/>
        </w:tabs>
        <w:spacing w:after="0"/>
        <w:ind w:left="0" w:firstLine="0"/>
        <w:rPr>
          <w:rFonts w:ascii="Arial"/>
          <w:sz w:val="14"/>
          <w:lang w:val="en-GB"/>
        </w:rPr>
      </w:pPr>
      <w:r w:rsidRPr="00D93FF9">
        <w:rPr>
          <w:rFonts w:ascii="Arial"/>
          <w:sz w:val="14"/>
          <w:lang w:val="en-GB"/>
        </w:rPr>
        <w:t>Requires site-specific</w:t>
      </w:r>
      <w:r w:rsidRPr="00D93FF9">
        <w:rPr>
          <w:rFonts w:ascii="Arial"/>
          <w:spacing w:val="-3"/>
          <w:sz w:val="14"/>
          <w:lang w:val="en-GB"/>
        </w:rPr>
        <w:t xml:space="preserve"> </w:t>
      </w:r>
      <w:r w:rsidRPr="00D93FF9">
        <w:rPr>
          <w:rFonts w:ascii="Arial"/>
          <w:sz w:val="14"/>
          <w:lang w:val="en-GB"/>
        </w:rPr>
        <w:t>assessment.</w:t>
      </w:r>
    </w:p>
    <w:p w14:paraId="59DCD3E5" w14:textId="77777777" w:rsidR="00262423" w:rsidRPr="00D93FF9" w:rsidRDefault="00E811B8" w:rsidP="00C55FB1">
      <w:pPr>
        <w:pStyle w:val="ListParagraph"/>
        <w:numPr>
          <w:ilvl w:val="0"/>
          <w:numId w:val="2"/>
        </w:numPr>
        <w:tabs>
          <w:tab w:val="left" w:pos="458"/>
        </w:tabs>
        <w:spacing w:after="0"/>
        <w:ind w:left="0" w:firstLine="0"/>
        <w:rPr>
          <w:rFonts w:ascii="Arial"/>
          <w:sz w:val="14"/>
          <w:lang w:val="en-GB"/>
        </w:rPr>
      </w:pPr>
      <w:r w:rsidRPr="00D93FF9">
        <w:rPr>
          <w:rFonts w:ascii="Arial"/>
          <w:sz w:val="14"/>
          <w:lang w:val="en-GB"/>
        </w:rPr>
        <w:t>To minimise bioclogging of irrigation equipment</w:t>
      </w:r>
      <w:r w:rsidRPr="00D93FF9">
        <w:rPr>
          <w:rFonts w:ascii="Arial"/>
          <w:spacing w:val="-14"/>
          <w:sz w:val="14"/>
          <w:lang w:val="en-GB"/>
        </w:rPr>
        <w:t xml:space="preserve"> </w:t>
      </w:r>
      <w:r w:rsidRPr="00D93FF9">
        <w:rPr>
          <w:rFonts w:ascii="Arial"/>
          <w:sz w:val="14"/>
          <w:lang w:val="en-GB"/>
        </w:rPr>
        <w:t>only</w:t>
      </w:r>
    </w:p>
    <w:p w14:paraId="00D63E52" w14:textId="3E1C137F" w:rsidR="00F338CD" w:rsidRPr="00D93FF9" w:rsidRDefault="00F338CD" w:rsidP="003807A1">
      <w:pPr>
        <w:spacing w:after="0" w:line="259" w:lineRule="auto"/>
        <w:rPr>
          <w:rFonts w:ascii="Arial"/>
          <w:sz w:val="16"/>
          <w:lang w:val="en-GB"/>
        </w:rPr>
      </w:pPr>
    </w:p>
    <w:p w14:paraId="59DCD3E7" w14:textId="77777777" w:rsidR="00C46175" w:rsidRPr="00D93FF9" w:rsidRDefault="00E811B8" w:rsidP="007C248C">
      <w:pPr>
        <w:pStyle w:val="Heading3"/>
        <w:rPr>
          <w:lang w:val="en-GB"/>
        </w:rPr>
      </w:pPr>
      <w:bookmarkStart w:id="282" w:name="_Toc96693602"/>
      <w:r w:rsidRPr="00D93FF9">
        <w:rPr>
          <w:lang w:val="en-GB"/>
        </w:rPr>
        <w:t>Methodology for development of</w:t>
      </w:r>
      <w:r w:rsidRPr="00D93FF9">
        <w:rPr>
          <w:spacing w:val="-7"/>
          <w:lang w:val="en-GB"/>
        </w:rPr>
        <w:t xml:space="preserve"> </w:t>
      </w:r>
      <w:r w:rsidRPr="00D93FF9">
        <w:rPr>
          <w:lang w:val="en-GB"/>
        </w:rPr>
        <w:t>guidelines</w:t>
      </w:r>
      <w:bookmarkEnd w:id="282"/>
    </w:p>
    <w:p w14:paraId="59DCD3E8" w14:textId="7BC82D2C" w:rsidR="0003142E" w:rsidRPr="00D93FF9" w:rsidRDefault="0003142E" w:rsidP="003807A1">
      <w:pPr>
        <w:pStyle w:val="BodyText"/>
        <w:spacing w:after="0" w:line="266" w:lineRule="auto"/>
        <w:jc w:val="both"/>
        <w:rPr>
          <w:lang w:val="en-GB"/>
        </w:rPr>
      </w:pPr>
    </w:p>
    <w:p w14:paraId="59DCD3E9" w14:textId="45FCCD70" w:rsidR="00C46175" w:rsidRPr="00D93FF9" w:rsidRDefault="00F37FC7" w:rsidP="003807A1">
      <w:pPr>
        <w:pStyle w:val="BodyText"/>
        <w:spacing w:after="0" w:line="266" w:lineRule="auto"/>
        <w:jc w:val="both"/>
        <w:rPr>
          <w:lang w:val="en-GB"/>
        </w:rPr>
      </w:pPr>
      <w:r w:rsidRPr="00D93FF9">
        <w:t xml:space="preserve">Developing site specific guidelines for major nutrients (nitrogen and phosphorus) for irrigation water is not trivial. This can be compounded by fertiliser applications. The different objectives are often conflicting and derived from different dimensions i.e., crop yield, economic, environmental, biophysical, and social. Sometimes market forces are blamed for excessive irrigation and fertiliser uses that result in adverse environmental consequences. This is a complex system and often site-specific condition must be considered. For example, irrigation in Great Barrier Reef catchments should focus on minimising/preventing nutrient, sediment, and agrochemical movements into the Great Barrer Reef Marine Park.  </w:t>
      </w:r>
      <w:r w:rsidR="00E811B8" w:rsidRPr="00D93FF9">
        <w:rPr>
          <w:lang w:val="en-GB"/>
        </w:rPr>
        <w:t xml:space="preserve">The concepts of </w:t>
      </w:r>
      <w:r w:rsidR="0007652D" w:rsidRPr="00D93FF9">
        <w:rPr>
          <w:spacing w:val="-3"/>
          <w:lang w:val="en-GB"/>
        </w:rPr>
        <w:t>default guideline</w:t>
      </w:r>
      <w:r w:rsidR="00E811B8" w:rsidRPr="00D93FF9">
        <w:rPr>
          <w:spacing w:val="-3"/>
          <w:lang w:val="en-GB"/>
        </w:rPr>
        <w:t xml:space="preserve"> value </w:t>
      </w:r>
      <w:r w:rsidR="00E811B8" w:rsidRPr="00D93FF9">
        <w:rPr>
          <w:lang w:val="en-GB"/>
        </w:rPr>
        <w:t>(</w:t>
      </w:r>
      <w:r w:rsidR="00553FF9" w:rsidRPr="00D93FF9">
        <w:rPr>
          <w:lang w:val="en-GB"/>
        </w:rPr>
        <w:t>DGV</w:t>
      </w:r>
      <w:r w:rsidR="00E811B8" w:rsidRPr="00D93FF9">
        <w:rPr>
          <w:lang w:val="en-GB"/>
        </w:rPr>
        <w:t xml:space="preserve">) and </w:t>
      </w:r>
      <w:r w:rsidR="00E811B8" w:rsidRPr="00D93FF9">
        <w:rPr>
          <w:spacing w:val="-3"/>
          <w:lang w:val="en-GB"/>
        </w:rPr>
        <w:t xml:space="preserve">short-term </w:t>
      </w:r>
      <w:r w:rsidR="00855C80" w:rsidRPr="00D93FF9">
        <w:rPr>
          <w:spacing w:val="-3"/>
          <w:lang w:val="en-GB"/>
        </w:rPr>
        <w:t xml:space="preserve">guideline </w:t>
      </w:r>
      <w:r w:rsidR="00E811B8" w:rsidRPr="00D93FF9">
        <w:rPr>
          <w:spacing w:val="-3"/>
          <w:lang w:val="en-GB"/>
        </w:rPr>
        <w:t xml:space="preserve">value </w:t>
      </w:r>
      <w:r w:rsidR="00E811B8" w:rsidRPr="00D93FF9">
        <w:rPr>
          <w:lang w:val="en-GB"/>
        </w:rPr>
        <w:t>(</w:t>
      </w:r>
      <w:r w:rsidR="00553FF9" w:rsidRPr="00D93FF9">
        <w:rPr>
          <w:lang w:val="en-GB"/>
        </w:rPr>
        <w:t>SGV</w:t>
      </w:r>
      <w:r w:rsidR="00E811B8" w:rsidRPr="00D93FF9">
        <w:rPr>
          <w:lang w:val="en-GB"/>
        </w:rPr>
        <w:t xml:space="preserve">) </w:t>
      </w:r>
      <w:r w:rsidR="00E811B8" w:rsidRPr="00D93FF9">
        <w:rPr>
          <w:spacing w:val="-3"/>
          <w:lang w:val="en-GB"/>
        </w:rPr>
        <w:t xml:space="preserve">developed </w:t>
      </w:r>
      <w:r w:rsidR="00E811B8" w:rsidRPr="00D93FF9">
        <w:rPr>
          <w:lang w:val="en-GB"/>
        </w:rPr>
        <w:t xml:space="preserve">for </w:t>
      </w:r>
      <w:r w:rsidR="00E811B8" w:rsidRPr="00D93FF9">
        <w:rPr>
          <w:spacing w:val="-3"/>
          <w:lang w:val="en-GB"/>
        </w:rPr>
        <w:t xml:space="preserve">metals </w:t>
      </w:r>
      <w:r w:rsidR="00E811B8" w:rsidRPr="00D93FF9">
        <w:rPr>
          <w:lang w:val="en-GB"/>
        </w:rPr>
        <w:t xml:space="preserve">and </w:t>
      </w:r>
      <w:r w:rsidR="00E811B8" w:rsidRPr="00D93FF9">
        <w:rPr>
          <w:spacing w:val="-3"/>
          <w:lang w:val="en-GB"/>
        </w:rPr>
        <w:t xml:space="preserve">metalloids have </w:t>
      </w:r>
      <w:r w:rsidR="00E811B8" w:rsidRPr="00D93FF9">
        <w:rPr>
          <w:lang w:val="en-GB"/>
        </w:rPr>
        <w:t xml:space="preserve">also been used to </w:t>
      </w:r>
      <w:r w:rsidR="00E811B8" w:rsidRPr="00D93FF9">
        <w:rPr>
          <w:spacing w:val="-3"/>
          <w:lang w:val="en-GB"/>
        </w:rPr>
        <w:t xml:space="preserve">develop guidelines </w:t>
      </w:r>
      <w:r w:rsidR="00E811B8" w:rsidRPr="00D93FF9">
        <w:rPr>
          <w:lang w:val="en-GB"/>
        </w:rPr>
        <w:t xml:space="preserve">for phosphorus </w:t>
      </w:r>
      <w:r w:rsidR="00E811B8" w:rsidRPr="00D93FF9">
        <w:rPr>
          <w:spacing w:val="-2"/>
          <w:lang w:val="en-GB"/>
        </w:rPr>
        <w:t xml:space="preserve">and </w:t>
      </w:r>
      <w:r w:rsidR="00E811B8" w:rsidRPr="00D93FF9">
        <w:rPr>
          <w:spacing w:val="-3"/>
          <w:lang w:val="en-GB"/>
        </w:rPr>
        <w:t xml:space="preserve">nitrogen. </w:t>
      </w:r>
      <w:r w:rsidR="00E811B8" w:rsidRPr="00D93FF9">
        <w:rPr>
          <w:lang w:val="en-GB"/>
        </w:rPr>
        <w:t xml:space="preserve">The </w:t>
      </w:r>
      <w:r w:rsidR="00E811B8" w:rsidRPr="00D93FF9">
        <w:rPr>
          <w:spacing w:val="-3"/>
          <w:lang w:val="en-GB"/>
        </w:rPr>
        <w:t xml:space="preserve">logic </w:t>
      </w:r>
      <w:r w:rsidR="00E811B8" w:rsidRPr="00D93FF9">
        <w:rPr>
          <w:lang w:val="en-GB"/>
        </w:rPr>
        <w:t xml:space="preserve">for setting </w:t>
      </w:r>
      <w:r w:rsidR="00E811B8" w:rsidRPr="00D93FF9">
        <w:rPr>
          <w:spacing w:val="-3"/>
          <w:lang w:val="en-GB"/>
        </w:rPr>
        <w:t xml:space="preserve">guideline values </w:t>
      </w:r>
      <w:r w:rsidR="00E811B8" w:rsidRPr="00D93FF9">
        <w:rPr>
          <w:lang w:val="en-GB"/>
        </w:rPr>
        <w:t xml:space="preserve">for phosphorus and </w:t>
      </w:r>
      <w:r w:rsidR="00E811B8" w:rsidRPr="00D93FF9">
        <w:rPr>
          <w:spacing w:val="-3"/>
          <w:lang w:val="en-GB"/>
        </w:rPr>
        <w:t xml:space="preserve">nitrogen </w:t>
      </w:r>
      <w:r w:rsidR="00E811B8" w:rsidRPr="00D93FF9">
        <w:rPr>
          <w:lang w:val="en-GB"/>
        </w:rPr>
        <w:t xml:space="preserve">in </w:t>
      </w:r>
      <w:r w:rsidR="00E811B8" w:rsidRPr="00D93FF9">
        <w:rPr>
          <w:spacing w:val="-3"/>
          <w:lang w:val="en-GB"/>
        </w:rPr>
        <w:t xml:space="preserve">irrigation water </w:t>
      </w:r>
      <w:r w:rsidR="00E811B8" w:rsidRPr="00D93FF9">
        <w:rPr>
          <w:lang w:val="en-GB"/>
        </w:rPr>
        <w:t xml:space="preserve">is unique because of their </w:t>
      </w:r>
      <w:r w:rsidR="00E811B8" w:rsidRPr="00D93FF9">
        <w:rPr>
          <w:spacing w:val="-3"/>
          <w:lang w:val="en-GB"/>
        </w:rPr>
        <w:t xml:space="preserve">cycling </w:t>
      </w:r>
      <w:r w:rsidR="00E811B8" w:rsidRPr="00D93FF9">
        <w:rPr>
          <w:lang w:val="en-GB"/>
        </w:rPr>
        <w:t xml:space="preserve">in the </w:t>
      </w:r>
      <w:r w:rsidR="00E811B8" w:rsidRPr="00D93FF9">
        <w:rPr>
          <w:spacing w:val="-3"/>
          <w:lang w:val="en-GB"/>
        </w:rPr>
        <w:t xml:space="preserve">environment, environmental significance </w:t>
      </w:r>
      <w:r w:rsidR="00E811B8" w:rsidRPr="00D93FF9">
        <w:rPr>
          <w:lang w:val="en-GB"/>
        </w:rPr>
        <w:t xml:space="preserve">and the </w:t>
      </w:r>
      <w:r w:rsidR="00E811B8" w:rsidRPr="00D93FF9">
        <w:rPr>
          <w:spacing w:val="-3"/>
          <w:lang w:val="en-GB"/>
        </w:rPr>
        <w:t xml:space="preserve">high percentages removed </w:t>
      </w:r>
      <w:r w:rsidR="00E811B8" w:rsidRPr="00D93FF9">
        <w:rPr>
          <w:lang w:val="en-GB"/>
        </w:rPr>
        <w:t xml:space="preserve">in </w:t>
      </w:r>
      <w:r w:rsidR="00E811B8" w:rsidRPr="00D93FF9">
        <w:rPr>
          <w:spacing w:val="-3"/>
          <w:lang w:val="en-GB"/>
        </w:rPr>
        <w:t xml:space="preserve">harvestable </w:t>
      </w:r>
      <w:r w:rsidR="00E811B8" w:rsidRPr="00D93FF9">
        <w:rPr>
          <w:lang w:val="en-GB"/>
        </w:rPr>
        <w:t xml:space="preserve">portions of crops. </w:t>
      </w:r>
      <w:r w:rsidR="00E811B8" w:rsidRPr="00D93FF9">
        <w:rPr>
          <w:spacing w:val="-4"/>
          <w:lang w:val="en-GB"/>
        </w:rPr>
        <w:t xml:space="preserve">In </w:t>
      </w:r>
      <w:r w:rsidR="00E811B8" w:rsidRPr="00D93FF9">
        <w:rPr>
          <w:spacing w:val="-3"/>
          <w:lang w:val="en-GB"/>
        </w:rPr>
        <w:t xml:space="preserve">light </w:t>
      </w:r>
      <w:r w:rsidR="00E811B8" w:rsidRPr="00D93FF9">
        <w:rPr>
          <w:lang w:val="en-GB"/>
        </w:rPr>
        <w:t xml:space="preserve">of the </w:t>
      </w:r>
      <w:r w:rsidR="00E811B8" w:rsidRPr="00D93FF9">
        <w:rPr>
          <w:spacing w:val="-3"/>
          <w:lang w:val="en-GB"/>
        </w:rPr>
        <w:t xml:space="preserve">environmental </w:t>
      </w:r>
      <w:r w:rsidR="00E811B8" w:rsidRPr="00D93FF9">
        <w:rPr>
          <w:lang w:val="en-GB"/>
        </w:rPr>
        <w:t xml:space="preserve">consequences of </w:t>
      </w:r>
      <w:r w:rsidR="00E811B8" w:rsidRPr="00D93FF9">
        <w:rPr>
          <w:spacing w:val="-3"/>
          <w:lang w:val="en-GB"/>
        </w:rPr>
        <w:t xml:space="preserve">excessive </w:t>
      </w:r>
      <w:r w:rsidR="00E811B8" w:rsidRPr="00D93FF9">
        <w:rPr>
          <w:lang w:val="en-GB"/>
        </w:rPr>
        <w:t xml:space="preserve">nutrients in our </w:t>
      </w:r>
      <w:r w:rsidR="00E811B8" w:rsidRPr="00D93FF9">
        <w:rPr>
          <w:spacing w:val="-3"/>
          <w:lang w:val="en-GB"/>
        </w:rPr>
        <w:t xml:space="preserve">environment, </w:t>
      </w:r>
      <w:r w:rsidR="00E811B8" w:rsidRPr="00D93FF9">
        <w:rPr>
          <w:lang w:val="en-GB"/>
        </w:rPr>
        <w:t xml:space="preserve">there is an </w:t>
      </w:r>
      <w:r w:rsidR="00E811B8" w:rsidRPr="00D93FF9">
        <w:rPr>
          <w:spacing w:val="-3"/>
          <w:lang w:val="en-GB"/>
        </w:rPr>
        <w:t xml:space="preserve">imminent </w:t>
      </w:r>
      <w:r w:rsidR="00E811B8" w:rsidRPr="00D93FF9">
        <w:rPr>
          <w:lang w:val="en-GB"/>
        </w:rPr>
        <w:t xml:space="preserve">need </w:t>
      </w:r>
      <w:r w:rsidR="00E811B8" w:rsidRPr="00D93FF9">
        <w:rPr>
          <w:spacing w:val="-3"/>
          <w:lang w:val="en-GB"/>
        </w:rPr>
        <w:t xml:space="preserve">for guidelines </w:t>
      </w:r>
      <w:r w:rsidR="00E811B8" w:rsidRPr="00D93FF9">
        <w:rPr>
          <w:lang w:val="en-GB"/>
        </w:rPr>
        <w:t xml:space="preserve">so </w:t>
      </w:r>
      <w:r w:rsidR="00E811B8" w:rsidRPr="00D93FF9">
        <w:rPr>
          <w:spacing w:val="-3"/>
          <w:lang w:val="en-GB"/>
        </w:rPr>
        <w:t xml:space="preserve">irrigators </w:t>
      </w:r>
      <w:r w:rsidR="00E811B8" w:rsidRPr="00D93FF9">
        <w:rPr>
          <w:lang w:val="en-GB"/>
        </w:rPr>
        <w:t xml:space="preserve">can be </w:t>
      </w:r>
      <w:r w:rsidR="00E811B8" w:rsidRPr="00D93FF9">
        <w:rPr>
          <w:spacing w:val="-3"/>
          <w:lang w:val="en-GB"/>
        </w:rPr>
        <w:t xml:space="preserve">environmentally </w:t>
      </w:r>
      <w:r w:rsidR="00E811B8" w:rsidRPr="00D93FF9">
        <w:rPr>
          <w:lang w:val="en-GB"/>
        </w:rPr>
        <w:t xml:space="preserve">responsible. </w:t>
      </w:r>
      <w:r w:rsidR="00E811B8" w:rsidRPr="00D93FF9">
        <w:rPr>
          <w:spacing w:val="-3"/>
          <w:lang w:val="en-GB"/>
        </w:rPr>
        <w:t xml:space="preserve">Guidelines </w:t>
      </w:r>
      <w:r w:rsidR="00E811B8" w:rsidRPr="00D93FF9">
        <w:rPr>
          <w:lang w:val="en-GB"/>
        </w:rPr>
        <w:t xml:space="preserve">will help </w:t>
      </w:r>
      <w:r w:rsidR="00E811B8" w:rsidRPr="00D93FF9">
        <w:rPr>
          <w:spacing w:val="-3"/>
          <w:lang w:val="en-GB"/>
        </w:rPr>
        <w:t xml:space="preserve">assess </w:t>
      </w:r>
      <w:r w:rsidR="00E811B8" w:rsidRPr="00D93FF9">
        <w:rPr>
          <w:lang w:val="en-GB"/>
        </w:rPr>
        <w:t xml:space="preserve">water quality as an </w:t>
      </w:r>
      <w:r w:rsidR="00E811B8" w:rsidRPr="00D93FF9">
        <w:rPr>
          <w:spacing w:val="-3"/>
          <w:lang w:val="en-GB"/>
        </w:rPr>
        <w:t xml:space="preserve">overall </w:t>
      </w:r>
      <w:r w:rsidR="00E811B8" w:rsidRPr="00D93FF9">
        <w:rPr>
          <w:spacing w:val="-4"/>
          <w:lang w:val="en-GB"/>
        </w:rPr>
        <w:t xml:space="preserve">management </w:t>
      </w:r>
      <w:r w:rsidR="00E811B8" w:rsidRPr="00D93FF9">
        <w:rPr>
          <w:lang w:val="en-GB"/>
        </w:rPr>
        <w:t xml:space="preserve">tool in </w:t>
      </w:r>
      <w:r w:rsidR="00E811B8" w:rsidRPr="00D93FF9">
        <w:rPr>
          <w:spacing w:val="-3"/>
          <w:lang w:val="en-GB"/>
        </w:rPr>
        <w:t xml:space="preserve">developing </w:t>
      </w:r>
      <w:r w:rsidR="00E811B8" w:rsidRPr="00D93FF9">
        <w:rPr>
          <w:lang w:val="en-GB"/>
        </w:rPr>
        <w:t xml:space="preserve">nutrient </w:t>
      </w:r>
      <w:r w:rsidR="00E811B8" w:rsidRPr="00D93FF9">
        <w:rPr>
          <w:spacing w:val="-3"/>
          <w:lang w:val="en-GB"/>
        </w:rPr>
        <w:t xml:space="preserve">budgets, </w:t>
      </w:r>
      <w:r w:rsidR="00E811B8" w:rsidRPr="00D93FF9">
        <w:rPr>
          <w:lang w:val="en-GB"/>
        </w:rPr>
        <w:t xml:space="preserve">not only </w:t>
      </w:r>
      <w:r w:rsidR="00E811B8" w:rsidRPr="00D93FF9">
        <w:rPr>
          <w:spacing w:val="-2"/>
          <w:lang w:val="en-GB"/>
        </w:rPr>
        <w:t xml:space="preserve">for </w:t>
      </w:r>
      <w:r w:rsidR="00E811B8" w:rsidRPr="00D93FF9">
        <w:rPr>
          <w:spacing w:val="-3"/>
          <w:lang w:val="en-GB"/>
        </w:rPr>
        <w:t>optimal</w:t>
      </w:r>
      <w:r w:rsidR="00E811B8" w:rsidRPr="00D93FF9">
        <w:rPr>
          <w:spacing w:val="-6"/>
          <w:lang w:val="en-GB"/>
        </w:rPr>
        <w:t xml:space="preserve"> </w:t>
      </w:r>
      <w:r w:rsidR="00E811B8" w:rsidRPr="00D93FF9">
        <w:rPr>
          <w:lang w:val="en-GB"/>
        </w:rPr>
        <w:t>production,</w:t>
      </w:r>
      <w:r w:rsidR="00E811B8" w:rsidRPr="00D93FF9">
        <w:rPr>
          <w:spacing w:val="-6"/>
          <w:lang w:val="en-GB"/>
        </w:rPr>
        <w:t xml:space="preserve"> </w:t>
      </w:r>
      <w:r w:rsidR="00E811B8" w:rsidRPr="00D93FF9">
        <w:rPr>
          <w:lang w:val="en-GB"/>
        </w:rPr>
        <w:t>but</w:t>
      </w:r>
      <w:r w:rsidR="00E811B8" w:rsidRPr="00D93FF9">
        <w:rPr>
          <w:spacing w:val="-5"/>
          <w:lang w:val="en-GB"/>
        </w:rPr>
        <w:t xml:space="preserve"> </w:t>
      </w:r>
      <w:r w:rsidR="00E811B8" w:rsidRPr="00D93FF9">
        <w:rPr>
          <w:lang w:val="en-GB"/>
        </w:rPr>
        <w:t>to</w:t>
      </w:r>
      <w:r w:rsidR="00E811B8" w:rsidRPr="00D93FF9">
        <w:rPr>
          <w:spacing w:val="-6"/>
          <w:lang w:val="en-GB"/>
        </w:rPr>
        <w:t xml:space="preserve"> </w:t>
      </w:r>
      <w:r w:rsidR="00E811B8" w:rsidRPr="00D93FF9">
        <w:rPr>
          <w:spacing w:val="-4"/>
          <w:lang w:val="en-GB"/>
        </w:rPr>
        <w:t>minimise</w:t>
      </w:r>
      <w:r w:rsidR="00E811B8" w:rsidRPr="00D93FF9">
        <w:rPr>
          <w:spacing w:val="-6"/>
          <w:lang w:val="en-GB"/>
        </w:rPr>
        <w:t xml:space="preserve"> </w:t>
      </w:r>
      <w:r w:rsidR="00E811B8" w:rsidRPr="00D93FF9">
        <w:rPr>
          <w:spacing w:val="-3"/>
          <w:lang w:val="en-GB"/>
        </w:rPr>
        <w:t>off-site</w:t>
      </w:r>
      <w:r w:rsidR="00E811B8" w:rsidRPr="00D93FF9">
        <w:rPr>
          <w:spacing w:val="-5"/>
          <w:lang w:val="en-GB"/>
        </w:rPr>
        <w:t xml:space="preserve"> </w:t>
      </w:r>
      <w:r w:rsidR="00E811B8" w:rsidRPr="00D93FF9">
        <w:rPr>
          <w:lang w:val="en-GB"/>
        </w:rPr>
        <w:t>effects</w:t>
      </w:r>
      <w:r w:rsidR="00E811B8" w:rsidRPr="00D93FF9">
        <w:rPr>
          <w:spacing w:val="-6"/>
          <w:lang w:val="en-GB"/>
        </w:rPr>
        <w:t xml:space="preserve"> </w:t>
      </w:r>
      <w:r w:rsidR="00E811B8" w:rsidRPr="00D93FF9">
        <w:rPr>
          <w:lang w:val="en-GB"/>
        </w:rPr>
        <w:t>of</w:t>
      </w:r>
      <w:r w:rsidR="00E811B8" w:rsidRPr="00D93FF9">
        <w:rPr>
          <w:spacing w:val="-6"/>
          <w:lang w:val="en-GB"/>
        </w:rPr>
        <w:t xml:space="preserve"> </w:t>
      </w:r>
      <w:r w:rsidR="00E811B8" w:rsidRPr="00D93FF9">
        <w:rPr>
          <w:spacing w:val="-3"/>
          <w:lang w:val="en-GB"/>
        </w:rPr>
        <w:t>nitrogen</w:t>
      </w:r>
      <w:r w:rsidR="00E811B8" w:rsidRPr="00D93FF9">
        <w:rPr>
          <w:spacing w:val="-5"/>
          <w:lang w:val="en-GB"/>
        </w:rPr>
        <w:t xml:space="preserve"> </w:t>
      </w:r>
      <w:r w:rsidR="00E811B8" w:rsidRPr="00D93FF9">
        <w:rPr>
          <w:lang w:val="en-GB"/>
        </w:rPr>
        <w:t>and</w:t>
      </w:r>
      <w:r w:rsidR="00E811B8" w:rsidRPr="00D93FF9">
        <w:rPr>
          <w:spacing w:val="-6"/>
          <w:lang w:val="en-GB"/>
        </w:rPr>
        <w:t xml:space="preserve"> </w:t>
      </w:r>
      <w:r w:rsidR="00E811B8" w:rsidRPr="00D93FF9">
        <w:rPr>
          <w:lang w:val="en-GB"/>
        </w:rPr>
        <w:t>phosphorus</w:t>
      </w:r>
      <w:r w:rsidR="00E811B8" w:rsidRPr="00D93FF9">
        <w:rPr>
          <w:spacing w:val="-6"/>
          <w:lang w:val="en-GB"/>
        </w:rPr>
        <w:t xml:space="preserve"> </w:t>
      </w:r>
      <w:r w:rsidR="00E811B8" w:rsidRPr="00D93FF9">
        <w:rPr>
          <w:spacing w:val="-3"/>
          <w:lang w:val="en-GB"/>
        </w:rPr>
        <w:t>(</w:t>
      </w:r>
      <w:r w:rsidR="0007652D" w:rsidRPr="00D93FF9">
        <w:t>NRMMC et al. 2006; ANZG 2021</w:t>
      </w:r>
      <w:r w:rsidR="00E811B8" w:rsidRPr="00D93FF9">
        <w:rPr>
          <w:spacing w:val="-2"/>
          <w:lang w:val="en-GB"/>
        </w:rPr>
        <w:t>).</w:t>
      </w:r>
    </w:p>
    <w:p w14:paraId="59DCD3EA" w14:textId="77777777" w:rsidR="00C46175" w:rsidRPr="00D93FF9" w:rsidRDefault="00E811B8" w:rsidP="007C248C">
      <w:pPr>
        <w:pStyle w:val="Heading4"/>
        <w:rPr>
          <w:lang w:val="en-GB"/>
        </w:rPr>
      </w:pPr>
      <w:r w:rsidRPr="00D93FF9">
        <w:rPr>
          <w:lang w:val="en-GB"/>
        </w:rPr>
        <w:t>Nitrogen</w:t>
      </w:r>
    </w:p>
    <w:p w14:paraId="59DCD3EB" w14:textId="761ADC15" w:rsidR="00C46175" w:rsidRPr="00D93FF9" w:rsidRDefault="00E811B8" w:rsidP="003807A1">
      <w:pPr>
        <w:pStyle w:val="BodyText"/>
        <w:spacing w:after="0" w:line="266" w:lineRule="auto"/>
        <w:jc w:val="both"/>
        <w:rPr>
          <w:lang w:val="en-GB"/>
        </w:rPr>
      </w:pPr>
      <w:r w:rsidRPr="00D93FF9">
        <w:rPr>
          <w:lang w:val="en-GB"/>
        </w:rPr>
        <w:t>Given</w:t>
      </w:r>
      <w:r w:rsidR="00E90CE0" w:rsidRPr="00D93FF9">
        <w:rPr>
          <w:lang w:val="en-GB"/>
        </w:rPr>
        <w:t xml:space="preserve"> the potential for nitrogen to affect plant maturation, the </w:t>
      </w:r>
      <w:r w:rsidR="00553FF9" w:rsidRPr="00D93FF9">
        <w:rPr>
          <w:lang w:val="en-GB"/>
        </w:rPr>
        <w:t>DGV</w:t>
      </w:r>
      <w:r w:rsidR="00E90CE0" w:rsidRPr="00D93FF9">
        <w:rPr>
          <w:lang w:val="en-GB"/>
        </w:rPr>
        <w:t xml:space="preserve"> has been set at a concentration low enough to ensure no decrease in crop yields or quality due to excessive nitrogen concentrations during later flowering and fruiting stages (i.e. &lt;5 mg N/L, Ayers </w:t>
      </w:r>
      <w:r w:rsidR="00FA6E9E" w:rsidRPr="00D93FF9">
        <w:rPr>
          <w:lang w:val="en-GB"/>
        </w:rPr>
        <w:t>and</w:t>
      </w:r>
      <w:r w:rsidR="00E90CE0" w:rsidRPr="00D93FF9">
        <w:rPr>
          <w:lang w:val="en-GB"/>
        </w:rPr>
        <w:t xml:space="preserve"> Westcot 1985</w:t>
      </w:r>
      <w:r w:rsidRPr="00D93FF9">
        <w:rPr>
          <w:lang w:val="en-GB"/>
        </w:rPr>
        <w:t xml:space="preserve">; </w:t>
      </w:r>
      <w:r w:rsidRPr="00D93FF9">
        <w:fldChar w:fldCharType="begin"/>
      </w:r>
      <w:r w:rsidR="007C2051" w:rsidRPr="00D93FF9">
        <w:instrText xml:space="preserve"> ADDIN ZOTERO_ITEM CSL_CITATION {"citationID":"nmXsiotu","properties":{"formattedCitation":"(WHO 2006)","plainCitation":"(WHO 2006)","dontUpdate":true,"noteIndex":0},"citationItems":[{"id":745,"uris":["http://zotero.org/users/1938757/items/5VGB53CD"],"uri":["http://zotero.org/users/1938757/items/5VGB53CD"],"itemData":{"id":745,"type":"report","event-place":"Geneva,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Agriculture","URL":"https://www.who.int/water_sanitation_health/publications/gsuweg2/en/","author":[{"family":"WHO","given":""}],"issued":{"date-parts":[["2006"]]}}}],"schema":"https://github.com/citation-style-language/schema/raw/master/csl-citation.json"} </w:instrText>
      </w:r>
      <w:r w:rsidRPr="00D93FF9">
        <w:fldChar w:fldCharType="separate"/>
      </w:r>
      <w:r w:rsidRPr="00D93FF9">
        <w:t>WHO 2006)</w:t>
      </w:r>
      <w:r w:rsidRPr="00D93FF9">
        <w:fldChar w:fldCharType="end"/>
      </w:r>
      <w:r w:rsidR="00E90CE0" w:rsidRPr="00D93FF9">
        <w:rPr>
          <w:lang w:val="en-GB"/>
        </w:rPr>
        <w:t>.</w:t>
      </w:r>
    </w:p>
    <w:p w14:paraId="59DCD3EC" w14:textId="77777777" w:rsidR="00C46175" w:rsidRPr="00D93FF9" w:rsidRDefault="00C46175" w:rsidP="003807A1">
      <w:pPr>
        <w:pStyle w:val="BodyText"/>
        <w:spacing w:after="0"/>
        <w:rPr>
          <w:sz w:val="20"/>
          <w:lang w:val="en-GB"/>
        </w:rPr>
      </w:pPr>
    </w:p>
    <w:p w14:paraId="59DCD3ED" w14:textId="734ADE74" w:rsidR="00C46175" w:rsidRPr="00D93FF9" w:rsidRDefault="00E811B8" w:rsidP="003807A1">
      <w:pPr>
        <w:spacing w:after="0" w:line="266" w:lineRule="auto"/>
        <w:jc w:val="both"/>
        <w:rPr>
          <w:lang w:val="en-GB"/>
        </w:rPr>
      </w:pPr>
      <w:r w:rsidRPr="00D93FF9">
        <w:rPr>
          <w:lang w:val="en-GB"/>
        </w:rPr>
        <w:t xml:space="preserve">The </w:t>
      </w:r>
      <w:r w:rsidR="00553FF9" w:rsidRPr="00D93FF9">
        <w:rPr>
          <w:lang w:val="en-GB"/>
        </w:rPr>
        <w:t>SGV</w:t>
      </w:r>
      <w:r w:rsidRPr="00D93FF9">
        <w:rPr>
          <w:lang w:val="en-GB"/>
        </w:rPr>
        <w:t xml:space="preserve"> for nitrogen has also been developed to ensure that groundwater and surface water nitrogen does not exceed </w:t>
      </w:r>
      <w:r w:rsidR="00447B6A" w:rsidRPr="00D93FF9">
        <w:rPr>
          <w:lang w:val="en-GB"/>
        </w:rPr>
        <w:t xml:space="preserve">drinking water </w:t>
      </w:r>
      <w:r w:rsidRPr="00D93FF9">
        <w:rPr>
          <w:lang w:val="en-GB"/>
        </w:rPr>
        <w:t>guidelines (</w:t>
      </w:r>
      <w:r w:rsidR="00447B6A" w:rsidRPr="00D93FF9">
        <w:fldChar w:fldCharType="begin"/>
      </w:r>
      <w:r w:rsidR="007C2051" w:rsidRPr="00D93FF9">
        <w:instrText xml:space="preserve"> ADDIN ZOTERO_ITEM CSL_CITATION {"citationID":"aXVtcbL2","properties":{"formattedCitation":"(NHMRC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00447B6A" w:rsidRPr="00D93FF9">
        <w:fldChar w:fldCharType="separate"/>
      </w:r>
      <w:r w:rsidR="007C2051" w:rsidRPr="00D93FF9">
        <w:rPr>
          <w:rFonts w:ascii="Calibri" w:hAnsi="Calibri" w:cs="Calibri"/>
        </w:rPr>
        <w:t>(NHMRC and NRMMC 2011)</w:t>
      </w:r>
      <w:r w:rsidR="00447B6A" w:rsidRPr="00D93FF9">
        <w:fldChar w:fldCharType="end"/>
      </w:r>
      <w:r w:rsidRPr="00D93FF9">
        <w:rPr>
          <w:lang w:val="en-GB"/>
        </w:rPr>
        <w:t>)</w:t>
      </w:r>
      <w:r w:rsidR="00604ECD" w:rsidRPr="00D93FF9">
        <w:rPr>
          <w:lang w:val="en-GB"/>
        </w:rPr>
        <w:t xml:space="preserve">  </w:t>
      </w:r>
      <w:r w:rsidRPr="00D93FF9">
        <w:rPr>
          <w:lang w:val="en-GB"/>
        </w:rPr>
        <w:t>. That is, total nitrogen applied to the soil in irrigation water should balance the nitrogen uptake of the harvestable portion of the crop plus the acceptable concentration in drinking water (</w:t>
      </w:r>
      <w:r w:rsidR="00447B6A" w:rsidRPr="00D93FF9">
        <w:rPr>
          <w:lang w:val="en-GB"/>
        </w:rPr>
        <w:t>11</w:t>
      </w:r>
      <w:r w:rsidRPr="00D93FF9">
        <w:rPr>
          <w:lang w:val="en-GB"/>
        </w:rPr>
        <w:t xml:space="preserve"> mg/L nitrogen or </w:t>
      </w:r>
      <w:r w:rsidR="00447B6A" w:rsidRPr="00D93FF9">
        <w:rPr>
          <w:lang w:val="en-GB"/>
        </w:rPr>
        <w:t>5</w:t>
      </w:r>
      <w:r w:rsidRPr="00D93FF9">
        <w:rPr>
          <w:lang w:val="en-GB"/>
        </w:rPr>
        <w:t xml:space="preserve">0 mg/L nitrate). </w:t>
      </w:r>
      <w:r w:rsidRPr="00D93FF9">
        <w:rPr>
          <w:lang w:val="en-GB"/>
        </w:rPr>
        <w:lastRenderedPageBreak/>
        <w:t>Volatilisation, denitrification and soil immobilisation provide safety margins against nitrogen overloading (</w:t>
      </w:r>
      <w:r w:rsidR="00897014" w:rsidRPr="00D93FF9">
        <w:fldChar w:fldCharType="begin"/>
      </w:r>
      <w:r w:rsidR="007C2051" w:rsidRPr="00D93FF9">
        <w:instrText xml:space="preserve"> ADDIN ZOTERO_ITEM CSL_CITATION {"citationID":"BjhI8X7L","properties":{"formattedCitation":"(EPA NSW 1997)","plainCitation":"(EPA NSW 1997)","dontUpdate":true,"noteIndex":0},"citationItems":[{"id":4560,"uris":["http://zotero.org/users/1938757/items/R3DSS9VW"],"uri":["http://zotero.org/users/1938757/items/R3DSS9VW"],"itemData":{"id":4560,"type":"book","event-place":"Sydney","ISBN":"EPA 97/62","publisher":"Environment Protection Authority","publisher-place":"Sydney","title":"Environmental Guidelines. Use and disposal of biosolids products","URL":"http://www.environment.nsw.gov.au/water/biosolidsguide.htm","author":[{"family":"EPA NSW","given":""}],"issued":{"date-parts":[["1997"]]}}}],"schema":"https://github.com/citation-style-language/schema/raw/master/csl-citation.json"} </w:instrText>
      </w:r>
      <w:r w:rsidR="00897014" w:rsidRPr="00D93FF9">
        <w:fldChar w:fldCharType="separate"/>
      </w:r>
      <w:r w:rsidR="00897014" w:rsidRPr="00D93FF9">
        <w:t>EPA NSW 1997)</w:t>
      </w:r>
      <w:r w:rsidR="00897014" w:rsidRPr="00D93FF9">
        <w:fldChar w:fldCharType="end"/>
      </w:r>
      <w:r w:rsidRPr="00D93FF9">
        <w:rPr>
          <w:lang w:val="en-GB"/>
        </w:rPr>
        <w:t>. Considering the range of</w:t>
      </w:r>
      <w:bookmarkStart w:id="283" w:name="Phosphorus"/>
      <w:bookmarkStart w:id="284" w:name="9.2.6.2__Nitrogen"/>
      <w:bookmarkEnd w:id="283"/>
      <w:bookmarkEnd w:id="284"/>
      <w:r w:rsidR="00897014" w:rsidRPr="00D93FF9">
        <w:rPr>
          <w:lang w:val="en-GB"/>
        </w:rPr>
        <w:t xml:space="preserve"> </w:t>
      </w:r>
      <w:r w:rsidRPr="00D93FF9">
        <w:rPr>
          <w:lang w:val="en-GB"/>
        </w:rPr>
        <w:t>nitrogen concentrations removed in harvestable portions of crops (</w:t>
      </w:r>
      <w:r w:rsidR="00E337A8" w:rsidRPr="00D93FF9">
        <w:rPr>
          <w:lang w:val="en-GB"/>
        </w:rPr>
        <w:fldChar w:fldCharType="begin"/>
      </w:r>
      <w:r w:rsidR="00E337A8" w:rsidRPr="00D93FF9">
        <w:rPr>
          <w:lang w:val="en-GB"/>
        </w:rPr>
        <w:instrText xml:space="preserve"> REF _Ref81394808 \h </w:instrText>
      </w:r>
      <w:r w:rsidR="00D93FF9">
        <w:rPr>
          <w:lang w:val="en-GB"/>
        </w:rPr>
        <w:instrText xml:space="preserve"> \* MERGEFORMAT </w:instrText>
      </w:r>
      <w:r w:rsidR="00E337A8" w:rsidRPr="00D93FF9">
        <w:rPr>
          <w:lang w:val="en-GB"/>
        </w:rPr>
      </w:r>
      <w:r w:rsidR="00E337A8" w:rsidRPr="00D93FF9">
        <w:rPr>
          <w:lang w:val="en-GB"/>
        </w:rPr>
        <w:fldChar w:fldCharType="separate"/>
      </w:r>
      <w:r w:rsidR="0069302C" w:rsidRPr="00D93FF9">
        <w:t xml:space="preserve">Table </w:t>
      </w:r>
      <w:r w:rsidR="0069302C">
        <w:rPr>
          <w:noProof/>
        </w:rPr>
        <w:t>26</w:t>
      </w:r>
      <w:r w:rsidR="00E337A8" w:rsidRPr="00D93FF9">
        <w:rPr>
          <w:lang w:val="en-GB"/>
        </w:rPr>
        <w:fldChar w:fldCharType="end"/>
      </w:r>
      <w:r w:rsidR="00C0039E" w:rsidRPr="00D93FF9">
        <w:rPr>
          <w:lang w:val="en-GB"/>
        </w:rPr>
        <w:t xml:space="preserve">), </w:t>
      </w:r>
      <w:r w:rsidRPr="00D93FF9">
        <w:rPr>
          <w:lang w:val="en-GB"/>
        </w:rPr>
        <w:t xml:space="preserve">the </w:t>
      </w:r>
      <w:r w:rsidR="00553FF9" w:rsidRPr="00D93FF9">
        <w:rPr>
          <w:lang w:val="en-GB"/>
        </w:rPr>
        <w:t>SGV</w:t>
      </w:r>
      <w:r w:rsidRPr="00D93FF9">
        <w:rPr>
          <w:lang w:val="en-GB"/>
        </w:rPr>
        <w:t xml:space="preserve"> range quoted should be used as a guide only</w:t>
      </w:r>
      <w:r w:rsidR="00897014" w:rsidRPr="00D93FF9">
        <w:rPr>
          <w:lang w:val="en-GB"/>
        </w:rPr>
        <w:t>. S</w:t>
      </w:r>
      <w:r w:rsidRPr="00D93FF9">
        <w:rPr>
          <w:lang w:val="en-GB"/>
        </w:rPr>
        <w:t>ite-specific assessment for particular crops should be undertaken (see Section</w:t>
      </w:r>
      <w:r w:rsidR="00EE29D1" w:rsidRPr="00D93FF9">
        <w:rPr>
          <w:lang w:val="en-GB"/>
        </w:rPr>
        <w:t xml:space="preserve"> </w:t>
      </w:r>
      <w:r w:rsidR="00EE29D1" w:rsidRPr="00D93FF9">
        <w:rPr>
          <w:lang w:val="en-GB"/>
        </w:rPr>
        <w:fldChar w:fldCharType="begin"/>
      </w:r>
      <w:r w:rsidR="00EE29D1" w:rsidRPr="00D93FF9">
        <w:rPr>
          <w:lang w:val="en-GB"/>
        </w:rPr>
        <w:instrText xml:space="preserve"> REF _Ref70412947 \r \h </w:instrText>
      </w:r>
      <w:r w:rsidR="00FD0073" w:rsidRPr="00D93FF9">
        <w:rPr>
          <w:lang w:val="en-GB"/>
        </w:rPr>
        <w:instrText xml:space="preserve"> \* MERGEFORMAT </w:instrText>
      </w:r>
      <w:r w:rsidR="00EE29D1" w:rsidRPr="00D93FF9">
        <w:rPr>
          <w:lang w:val="en-GB"/>
        </w:rPr>
      </w:r>
      <w:r w:rsidR="00EE29D1" w:rsidRPr="00D93FF9">
        <w:rPr>
          <w:lang w:val="en-GB"/>
        </w:rPr>
        <w:fldChar w:fldCharType="separate"/>
      </w:r>
      <w:r w:rsidR="0069302C">
        <w:rPr>
          <w:lang w:val="en-GB"/>
        </w:rPr>
        <w:t>6.2</w:t>
      </w:r>
      <w:r w:rsidR="00EE29D1" w:rsidRPr="00D93FF9">
        <w:rPr>
          <w:lang w:val="en-GB"/>
        </w:rPr>
        <w:fldChar w:fldCharType="end"/>
      </w:r>
      <w:r w:rsidRPr="00D93FF9">
        <w:rPr>
          <w:lang w:val="en-GB"/>
        </w:rPr>
        <w:t>).</w:t>
      </w:r>
    </w:p>
    <w:p w14:paraId="59DCD3EE" w14:textId="77777777" w:rsidR="00C46175" w:rsidRPr="00D93FF9" w:rsidRDefault="00E811B8" w:rsidP="007C248C">
      <w:pPr>
        <w:pStyle w:val="Heading4"/>
        <w:rPr>
          <w:lang w:val="en-GB"/>
        </w:rPr>
      </w:pPr>
      <w:r w:rsidRPr="00D93FF9">
        <w:rPr>
          <w:lang w:val="en-GB"/>
        </w:rPr>
        <w:t>Phosphorus</w:t>
      </w:r>
    </w:p>
    <w:p w14:paraId="59DCD3EF" w14:textId="2EF74B08" w:rsidR="00C46175" w:rsidRPr="00D93FF9" w:rsidRDefault="00E811B8" w:rsidP="003807A1">
      <w:pPr>
        <w:pStyle w:val="BodyText"/>
        <w:spacing w:after="0" w:line="266" w:lineRule="auto"/>
        <w:jc w:val="both"/>
        <w:rPr>
          <w:lang w:val="en-GB"/>
        </w:rPr>
      </w:pPr>
      <w:r w:rsidRPr="00D93FF9">
        <w:rPr>
          <w:lang w:val="en-GB"/>
        </w:rPr>
        <w:t>Environmentally significant phosphorus</w:t>
      </w:r>
      <w:r w:rsidR="00897014" w:rsidRPr="00D93FF9">
        <w:rPr>
          <w:lang w:val="en-GB"/>
        </w:rPr>
        <w:t xml:space="preserve"> concentrations</w:t>
      </w:r>
      <w:r w:rsidRPr="00D93FF9">
        <w:rPr>
          <w:lang w:val="en-GB"/>
        </w:rPr>
        <w:t xml:space="preserve"> in water are generally considered to be greater than </w:t>
      </w:r>
      <w:r w:rsidR="00897014" w:rsidRPr="00D93FF9">
        <w:rPr>
          <w:lang w:val="en-GB"/>
        </w:rPr>
        <w:t xml:space="preserve">0.01 to </w:t>
      </w:r>
      <w:r w:rsidRPr="00D93FF9">
        <w:rPr>
          <w:lang w:val="en-GB"/>
        </w:rPr>
        <w:t>0.05 mg/L (</w:t>
      </w:r>
      <w:r w:rsidR="00897014" w:rsidRPr="00D93FF9">
        <w:t>ANZECC and ARMCANZ 2000</w:t>
      </w:r>
      <w:r w:rsidR="00480E46" w:rsidRPr="00D93FF9">
        <w:t>;</w:t>
      </w:r>
      <w:r w:rsidR="00897014" w:rsidRPr="00D93FF9">
        <w:t xml:space="preserve"> ANZG 2021</w:t>
      </w:r>
      <w:r w:rsidRPr="00D93FF9">
        <w:rPr>
          <w:lang w:val="en-GB"/>
        </w:rPr>
        <w:t>)</w:t>
      </w:r>
      <w:r w:rsidR="004E3AE3" w:rsidRPr="00D93FF9">
        <w:rPr>
          <w:lang w:val="en-GB"/>
        </w:rPr>
        <w:t xml:space="preserve"> </w:t>
      </w:r>
      <w:r w:rsidR="008B6754" w:rsidRPr="00D93FF9">
        <w:rPr>
          <w:lang w:val="en-GB"/>
        </w:rPr>
        <w:t>for eutrophication</w:t>
      </w:r>
      <w:r w:rsidRPr="00D93FF9">
        <w:rPr>
          <w:lang w:val="en-GB"/>
        </w:rPr>
        <w:t xml:space="preserve">. </w:t>
      </w:r>
      <w:r w:rsidR="008B6754" w:rsidRPr="00D93FF9">
        <w:t xml:space="preserve">Eutrophication is a major concern due to P pollution in waterways and it occurs in many places including groundwater dependent ecosystems. </w:t>
      </w:r>
      <w:r w:rsidRPr="00D93FF9">
        <w:rPr>
          <w:lang w:val="en-GB"/>
        </w:rPr>
        <w:t>However, aquatic plant growth (including algae) is not dependent on phosphorus alone.</w:t>
      </w:r>
      <w:r w:rsidR="00897014" w:rsidRPr="00D93FF9">
        <w:rPr>
          <w:lang w:val="en-GB"/>
        </w:rPr>
        <w:t xml:space="preserve"> </w:t>
      </w:r>
      <w:r w:rsidR="00897014" w:rsidRPr="00D93FF9">
        <w:t>Suppose all other nutrients and conditions are not optimal (e.g. poor light, high turbidity, high grazing rates, poor attachment substrates). In that case</w:t>
      </w:r>
      <w:r w:rsidRPr="00D93FF9">
        <w:rPr>
          <w:lang w:val="en-GB"/>
        </w:rPr>
        <w:t xml:space="preserve">, some systems will cope naturally with relatively high nutrient loads without excessive aquatic plant growth. From the viewpoint of bioclogging of irrigation equipment, the </w:t>
      </w:r>
      <w:r w:rsidR="00553FF9" w:rsidRPr="00D93FF9">
        <w:rPr>
          <w:lang w:val="en-GB"/>
        </w:rPr>
        <w:t>DGV</w:t>
      </w:r>
      <w:r w:rsidRPr="00D93FF9">
        <w:rPr>
          <w:lang w:val="en-GB"/>
        </w:rPr>
        <w:t xml:space="preserve"> has been set low enough to restrict algal growth (i.e. 0.05 mg P/L), assuming all other </w:t>
      </w:r>
      <w:r w:rsidR="00897014" w:rsidRPr="00D93FF9">
        <w:rPr>
          <w:lang w:val="en-GB"/>
        </w:rPr>
        <w:t xml:space="preserve">algal growth </w:t>
      </w:r>
      <w:r w:rsidRPr="00D93FF9">
        <w:rPr>
          <w:lang w:val="en-GB"/>
        </w:rPr>
        <w:t>conditions are adequate.</w:t>
      </w:r>
      <w:r w:rsidR="008B6754" w:rsidRPr="00D93FF9">
        <w:rPr>
          <w:lang w:val="en-GB"/>
        </w:rPr>
        <w:t xml:space="preserve"> </w:t>
      </w:r>
      <w:r w:rsidR="008B6754" w:rsidRPr="00D93FF9">
        <w:t xml:space="preserve">The growth of toxic blue green algae and fish kills due to low DO are some of the potential impacts. Area specific guideline should consider protection of the local water quality objectives for relevant water bodies. </w:t>
      </w:r>
    </w:p>
    <w:p w14:paraId="59DCD3F0" w14:textId="77777777" w:rsidR="00C46175" w:rsidRPr="00D93FF9" w:rsidRDefault="00C46175" w:rsidP="003807A1">
      <w:pPr>
        <w:pStyle w:val="BodyText"/>
        <w:spacing w:after="0"/>
        <w:rPr>
          <w:sz w:val="20"/>
          <w:lang w:val="en-GB"/>
        </w:rPr>
      </w:pPr>
    </w:p>
    <w:p w14:paraId="59DCD3F1" w14:textId="0CF761CF" w:rsidR="00C46175" w:rsidRPr="00D93FF9" w:rsidRDefault="00E811B8" w:rsidP="003807A1">
      <w:pPr>
        <w:pStyle w:val="BodyText"/>
        <w:spacing w:after="0" w:line="266" w:lineRule="auto"/>
        <w:jc w:val="both"/>
        <w:rPr>
          <w:lang w:val="en-GB"/>
        </w:rPr>
      </w:pPr>
      <w:r w:rsidRPr="00D93FF9">
        <w:rPr>
          <w:lang w:val="en-GB"/>
        </w:rPr>
        <w:t xml:space="preserve">Major considerations in developing the interim site-specific </w:t>
      </w:r>
      <w:r w:rsidR="00553FF9" w:rsidRPr="00D93FF9">
        <w:rPr>
          <w:lang w:val="en-GB"/>
        </w:rPr>
        <w:t>SGV</w:t>
      </w:r>
      <w:r w:rsidRPr="00D93FF9">
        <w:rPr>
          <w:lang w:val="en-GB"/>
        </w:rPr>
        <w:t xml:space="preserve"> were: the fertiliser value of phosphorus in water</w:t>
      </w:r>
      <w:r w:rsidR="008B6754" w:rsidRPr="00D93FF9">
        <w:rPr>
          <w:lang w:val="en-GB"/>
        </w:rPr>
        <w:t xml:space="preserve"> to the crop</w:t>
      </w:r>
      <w:r w:rsidRPr="00D93FF9">
        <w:rPr>
          <w:lang w:val="en-GB"/>
        </w:rPr>
        <w:t xml:space="preserve">; phosphorus removal from irrigation sites through the harvestable portion of crops; other fertiliser inputs; and soil phosphorus </w:t>
      </w:r>
      <w:r w:rsidR="001F1094" w:rsidRPr="00D93FF9">
        <w:rPr>
          <w:lang w:val="en-GB"/>
        </w:rPr>
        <w:t>ad</w:t>
      </w:r>
      <w:r w:rsidRPr="00D93FF9">
        <w:rPr>
          <w:lang w:val="en-GB"/>
        </w:rPr>
        <w:t xml:space="preserve">sorption/retention capacities of soils. An inherent difficulty in setting an </w:t>
      </w:r>
      <w:r w:rsidR="00553FF9" w:rsidRPr="00D93FF9">
        <w:rPr>
          <w:lang w:val="en-GB"/>
        </w:rPr>
        <w:t>SGV</w:t>
      </w:r>
      <w:r w:rsidRPr="00D93FF9">
        <w:rPr>
          <w:lang w:val="en-GB"/>
        </w:rPr>
        <w:t xml:space="preserve"> for phosphorus is the complexity and site specificity of the phosphorus reactions in soil. </w:t>
      </w:r>
      <w:r w:rsidR="00D04D51" w:rsidRPr="00D93FF9">
        <w:rPr>
          <w:lang w:val="en-GB"/>
        </w:rPr>
        <w:t>T</w:t>
      </w:r>
      <w:r w:rsidRPr="00D93FF9">
        <w:rPr>
          <w:lang w:val="en-GB"/>
        </w:rPr>
        <w:t xml:space="preserve">o minimise off-site environmental impacts of phosphorus while considering agronomic implications, it is recommended that the site-specific </w:t>
      </w:r>
      <w:r w:rsidR="00553FF9" w:rsidRPr="00D93FF9">
        <w:rPr>
          <w:lang w:val="en-GB"/>
        </w:rPr>
        <w:t>SGV</w:t>
      </w:r>
      <w:r w:rsidRPr="00D93FF9">
        <w:rPr>
          <w:lang w:val="en-GB"/>
        </w:rPr>
        <w:t xml:space="preserve"> for phosphorus be refined in the future when additional information becomes available. Further research is required as there is currently limited data available to assess the movement, or potential movement, of phosphorus from soils into water bodies due to phosphorus inputs into soils through the use of fertilisers or irrigation water (Daniel et al. 1998</w:t>
      </w:r>
      <w:r w:rsidR="006B5B0C" w:rsidRPr="00D93FF9">
        <w:rPr>
          <w:lang w:val="en-GB"/>
        </w:rPr>
        <w:t>;</w:t>
      </w:r>
      <w:r w:rsidRPr="00D93FF9">
        <w:rPr>
          <w:lang w:val="en-GB"/>
        </w:rPr>
        <w:t xml:space="preserve"> Kirkby et al. 1997</w:t>
      </w:r>
      <w:r w:rsidR="006B5B0C" w:rsidRPr="00D93FF9">
        <w:rPr>
          <w:lang w:val="en-GB"/>
        </w:rPr>
        <w:t>;</w:t>
      </w:r>
      <w:r w:rsidRPr="00D93FF9">
        <w:rPr>
          <w:lang w:val="en-GB"/>
        </w:rPr>
        <w:t xml:space="preserve"> Nash </w:t>
      </w:r>
      <w:r w:rsidR="00FA6E9E" w:rsidRPr="00D93FF9">
        <w:rPr>
          <w:lang w:val="en-GB"/>
        </w:rPr>
        <w:t>and</w:t>
      </w:r>
      <w:r w:rsidRPr="00D93FF9">
        <w:rPr>
          <w:lang w:val="en-GB"/>
        </w:rPr>
        <w:t xml:space="preserve"> Murdoch 1997</w:t>
      </w:r>
      <w:r w:rsidR="006B5B0C" w:rsidRPr="00D93FF9">
        <w:rPr>
          <w:lang w:val="en-GB"/>
        </w:rPr>
        <w:t>;</w:t>
      </w:r>
      <w:r w:rsidRPr="00D93FF9">
        <w:rPr>
          <w:lang w:val="en-GB"/>
        </w:rPr>
        <w:t xml:space="preserve"> Ritchie </w:t>
      </w:r>
      <w:r w:rsidR="00FA6E9E" w:rsidRPr="00D93FF9">
        <w:rPr>
          <w:lang w:val="en-GB"/>
        </w:rPr>
        <w:t>and</w:t>
      </w:r>
      <w:r w:rsidRPr="00D93FF9">
        <w:rPr>
          <w:lang w:val="en-GB"/>
        </w:rPr>
        <w:t xml:space="preserve"> Weaver 1993</w:t>
      </w:r>
      <w:r w:rsidR="006B5B0C" w:rsidRPr="00D93FF9">
        <w:rPr>
          <w:lang w:val="en-GB"/>
        </w:rPr>
        <w:t>;</w:t>
      </w:r>
      <w:r w:rsidRPr="00D93FF9">
        <w:rPr>
          <w:lang w:val="en-GB"/>
        </w:rPr>
        <w:t xml:space="preserve"> Sharpley 1993</w:t>
      </w:r>
      <w:r w:rsidR="006B5B0C" w:rsidRPr="00D93FF9">
        <w:rPr>
          <w:lang w:val="en-GB"/>
        </w:rPr>
        <w:t>;</w:t>
      </w:r>
      <w:r w:rsidRPr="00D93FF9">
        <w:rPr>
          <w:lang w:val="en-GB"/>
        </w:rPr>
        <w:t xml:space="preserve"> Stevens et al. 1999).</w:t>
      </w:r>
    </w:p>
    <w:p w14:paraId="59DCD3F2" w14:textId="77777777" w:rsidR="00C46175" w:rsidRPr="00D93FF9" w:rsidRDefault="00C46175" w:rsidP="003807A1">
      <w:pPr>
        <w:pStyle w:val="BodyText"/>
        <w:spacing w:after="0"/>
        <w:rPr>
          <w:sz w:val="25"/>
          <w:lang w:val="en-GB"/>
        </w:rPr>
      </w:pPr>
    </w:p>
    <w:p w14:paraId="59DCD3F3" w14:textId="77777777" w:rsidR="00C46175" w:rsidRPr="00D93FF9" w:rsidRDefault="00E811B8" w:rsidP="007C248C">
      <w:pPr>
        <w:pStyle w:val="Heading3"/>
        <w:rPr>
          <w:lang w:val="en-GB"/>
        </w:rPr>
      </w:pPr>
      <w:bookmarkStart w:id="285" w:name="_Ref70412947"/>
      <w:bookmarkStart w:id="286" w:name="_Toc96693603"/>
      <w:r w:rsidRPr="00D93FF9">
        <w:rPr>
          <w:lang w:val="en-GB"/>
        </w:rPr>
        <w:t>Nitrogen</w:t>
      </w:r>
      <w:bookmarkEnd w:id="285"/>
      <w:bookmarkEnd w:id="286"/>
    </w:p>
    <w:p w14:paraId="59DCD3F4" w14:textId="77777777" w:rsidR="00C46175" w:rsidRPr="00D93FF9" w:rsidRDefault="00E811B8" w:rsidP="004E49F8">
      <w:pPr>
        <w:spacing w:before="200"/>
        <w:ind w:left="142"/>
        <w:rPr>
          <w:b/>
          <w:bCs/>
          <w:i/>
          <w:iCs/>
          <w:lang w:val="en-GB"/>
        </w:rPr>
      </w:pPr>
      <w:r w:rsidRPr="00D93FF9">
        <w:rPr>
          <w:b/>
          <w:bCs/>
          <w:i/>
          <w:iCs/>
          <w:lang w:val="en-GB"/>
        </w:rPr>
        <w:t>It is recommended that the concentration of nitrogen in irrigation waters should be less than the</w:t>
      </w:r>
      <w:r w:rsidRPr="00D93FF9">
        <w:rPr>
          <w:b/>
          <w:bCs/>
          <w:i/>
          <w:iCs/>
          <w:spacing w:val="-1"/>
          <w:lang w:val="en-GB"/>
        </w:rPr>
        <w:t xml:space="preserve"> </w:t>
      </w:r>
      <w:r w:rsidRPr="00D93FF9">
        <w:rPr>
          <w:b/>
          <w:bCs/>
          <w:i/>
          <w:iCs/>
          <w:lang w:val="en-GB"/>
        </w:rPr>
        <w:t>following:</w:t>
      </w:r>
    </w:p>
    <w:tbl>
      <w:tblPr>
        <w:tblW w:w="0" w:type="auto"/>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3F7" w14:textId="77777777" w:rsidTr="0007629D">
        <w:trPr>
          <w:trHeight w:val="378"/>
        </w:trPr>
        <w:tc>
          <w:tcPr>
            <w:tcW w:w="6240" w:type="dxa"/>
          </w:tcPr>
          <w:p w14:paraId="59DCD3F5" w14:textId="77777777" w:rsidR="009E084C" w:rsidRPr="00D93FF9" w:rsidRDefault="00E811B8" w:rsidP="009E084C">
            <w:pPr>
              <w:pStyle w:val="TableParagraph"/>
              <w:spacing w:before="0" w:after="0"/>
              <w:rPr>
                <w:sz w:val="16"/>
                <w:lang w:val="en-GB"/>
              </w:rPr>
            </w:pPr>
            <w:r w:rsidRPr="00D93FF9">
              <w:rPr>
                <w:rFonts w:asciiTheme="minorHAnsi" w:hAnsiTheme="minorHAnsi"/>
                <w:sz w:val="18"/>
                <w:szCs w:val="18"/>
                <w:lang w:val="en-GB"/>
              </w:rPr>
              <w:t>DGV Default guideline value in irrigation water</w:t>
            </w:r>
          </w:p>
        </w:tc>
        <w:tc>
          <w:tcPr>
            <w:tcW w:w="2160" w:type="dxa"/>
          </w:tcPr>
          <w:p w14:paraId="59DCD3F6" w14:textId="77777777" w:rsidR="009E084C" w:rsidRPr="00D93FF9" w:rsidRDefault="00E811B8" w:rsidP="009E084C">
            <w:pPr>
              <w:pStyle w:val="TableParagraph"/>
              <w:spacing w:before="0" w:after="0"/>
              <w:rPr>
                <w:sz w:val="16"/>
                <w:lang w:val="en-GB"/>
              </w:rPr>
            </w:pPr>
            <w:r w:rsidRPr="00D93FF9">
              <w:rPr>
                <w:sz w:val="16"/>
                <w:lang w:val="en-GB"/>
              </w:rPr>
              <w:t>5 mg/L</w:t>
            </w:r>
          </w:p>
        </w:tc>
      </w:tr>
      <w:tr w:rsidR="00BE3AA8" w:rsidRPr="00D93FF9" w14:paraId="59DCD3FA" w14:textId="77777777" w:rsidTr="0007629D">
        <w:trPr>
          <w:trHeight w:val="378"/>
        </w:trPr>
        <w:tc>
          <w:tcPr>
            <w:tcW w:w="6240" w:type="dxa"/>
          </w:tcPr>
          <w:p w14:paraId="59DCD3F8" w14:textId="77777777" w:rsidR="009E084C" w:rsidRPr="00D93FF9" w:rsidRDefault="00E811B8" w:rsidP="009E084C">
            <w:pPr>
              <w:pStyle w:val="TableParagraph"/>
              <w:tabs>
                <w:tab w:val="left" w:pos="4679"/>
              </w:tabs>
              <w:spacing w:before="0" w:after="0"/>
              <w:rPr>
                <w:b/>
                <w:sz w:val="16"/>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3F9" w14:textId="77777777" w:rsidR="009E084C" w:rsidRPr="00D93FF9" w:rsidRDefault="00E811B8" w:rsidP="009E084C">
            <w:pPr>
              <w:pStyle w:val="TableParagraph"/>
              <w:spacing w:before="0" w:after="0"/>
              <w:rPr>
                <w:sz w:val="16"/>
                <w:lang w:val="en-GB"/>
              </w:rPr>
            </w:pPr>
            <w:r w:rsidRPr="00D93FF9">
              <w:rPr>
                <w:sz w:val="16"/>
                <w:lang w:val="en-GB"/>
              </w:rPr>
              <w:t>15–120 mg/L</w:t>
            </w:r>
            <w:r w:rsidRPr="00D93FF9">
              <w:rPr>
                <w:sz w:val="16"/>
                <w:vertAlign w:val="superscript"/>
                <w:lang w:val="en-GB"/>
              </w:rPr>
              <w:t>a</w:t>
            </w:r>
          </w:p>
        </w:tc>
      </w:tr>
    </w:tbl>
    <w:p w14:paraId="59DCD3FB" w14:textId="77777777" w:rsidR="00C46175" w:rsidRPr="00D93FF9" w:rsidRDefault="00E811B8" w:rsidP="003807A1">
      <w:pPr>
        <w:spacing w:after="0"/>
        <w:rPr>
          <w:rFonts w:ascii="Arial"/>
          <w:sz w:val="14"/>
          <w:lang w:val="en-GB"/>
        </w:rPr>
      </w:pPr>
      <w:r w:rsidRPr="00D93FF9">
        <w:rPr>
          <w:rFonts w:ascii="Arial"/>
          <w:sz w:val="14"/>
          <w:lang w:val="en-GB"/>
        </w:rPr>
        <w:t>a Requires site-specific assessment. See below.</w:t>
      </w:r>
    </w:p>
    <w:p w14:paraId="59DCD3FC" w14:textId="77777777" w:rsidR="00C46175" w:rsidRPr="00D93FF9" w:rsidRDefault="00C46175" w:rsidP="003807A1">
      <w:pPr>
        <w:pStyle w:val="BodyText"/>
        <w:spacing w:after="0"/>
        <w:rPr>
          <w:rFonts w:ascii="Arial"/>
          <w:sz w:val="16"/>
          <w:lang w:val="en-GB"/>
        </w:rPr>
      </w:pPr>
    </w:p>
    <w:p w14:paraId="59DCD3FE" w14:textId="5EB48EB8" w:rsidR="00C46175" w:rsidRPr="00D93FF9" w:rsidRDefault="00E811B8" w:rsidP="002201B6">
      <w:pPr>
        <w:pStyle w:val="BodyText"/>
        <w:spacing w:after="0" w:line="266" w:lineRule="auto"/>
        <w:jc w:val="both"/>
        <w:rPr>
          <w:sz w:val="19"/>
          <w:lang w:val="en-GB"/>
        </w:rPr>
      </w:pPr>
      <w:r w:rsidRPr="00D93FF9">
        <w:rPr>
          <w:lang w:val="en-GB"/>
        </w:rPr>
        <w:t xml:space="preserve">Nitrogen (N) is an odourless gas. It constitutes about 78% of the earth’s atmosphere and, fixed or combined, is also present in many mineral deposits. Nitrogen can exist </w:t>
      </w:r>
      <w:r w:rsidR="00D04D51" w:rsidRPr="00D93FF9">
        <w:rPr>
          <w:lang w:val="en-GB"/>
        </w:rPr>
        <w:t xml:space="preserve">in </w:t>
      </w:r>
      <w:r w:rsidRPr="00D93FF9">
        <w:rPr>
          <w:lang w:val="en-GB"/>
        </w:rPr>
        <w:t xml:space="preserve">four </w:t>
      </w:r>
      <w:r w:rsidR="00C93D74" w:rsidRPr="00D93FF9">
        <w:rPr>
          <w:lang w:val="en-GB"/>
        </w:rPr>
        <w:t xml:space="preserve">water soluble </w:t>
      </w:r>
      <w:r w:rsidRPr="00D93FF9">
        <w:rPr>
          <w:lang w:val="en-GB"/>
        </w:rPr>
        <w:t>forms: ammonia, ammonium, nitrite and nitrate. Ammonia (NH</w:t>
      </w:r>
      <w:r w:rsidRPr="00D93FF9">
        <w:rPr>
          <w:position w:val="-4"/>
          <w:sz w:val="15"/>
          <w:lang w:val="en-GB"/>
        </w:rPr>
        <w:t>3</w:t>
      </w:r>
      <w:r w:rsidRPr="00D93FF9">
        <w:rPr>
          <w:lang w:val="en-GB"/>
        </w:rPr>
        <w:t>) and ammonium (NH</w:t>
      </w:r>
      <w:r w:rsidRPr="00D93FF9">
        <w:rPr>
          <w:position w:val="-4"/>
          <w:sz w:val="15"/>
          <w:lang w:val="en-GB"/>
        </w:rPr>
        <w:t>4</w:t>
      </w:r>
      <w:r w:rsidRPr="00D93FF9">
        <w:rPr>
          <w:position w:val="5"/>
          <w:sz w:val="15"/>
          <w:lang w:val="en-GB"/>
        </w:rPr>
        <w:t>+</w:t>
      </w:r>
      <w:r w:rsidRPr="00D93FF9">
        <w:rPr>
          <w:lang w:val="en-GB"/>
        </w:rPr>
        <w:t>) are reduced forms of inorganic nitrogen; the relative portion of each in water is governed by water pH and temperature. Nitrite (NO</w:t>
      </w:r>
      <w:r w:rsidRPr="00D93FF9">
        <w:rPr>
          <w:position w:val="-4"/>
          <w:sz w:val="15"/>
          <w:lang w:val="en-GB"/>
        </w:rPr>
        <w:t>2</w:t>
      </w:r>
      <w:r w:rsidRPr="00D93FF9">
        <w:rPr>
          <w:position w:val="5"/>
          <w:sz w:val="15"/>
          <w:lang w:val="en-GB"/>
        </w:rPr>
        <w:t>-</w:t>
      </w:r>
      <w:r w:rsidRPr="00D93FF9">
        <w:rPr>
          <w:lang w:val="en-GB"/>
        </w:rPr>
        <w:t>) is the inorganic intermediate, and nitrate (NO</w:t>
      </w:r>
      <w:r w:rsidRPr="00D93FF9">
        <w:rPr>
          <w:position w:val="-4"/>
          <w:sz w:val="15"/>
          <w:lang w:val="en-GB"/>
        </w:rPr>
        <w:t>3</w:t>
      </w:r>
      <w:r w:rsidRPr="00D93FF9">
        <w:rPr>
          <w:position w:val="5"/>
          <w:sz w:val="15"/>
          <w:lang w:val="en-GB"/>
        </w:rPr>
        <w:t>-</w:t>
      </w:r>
      <w:r w:rsidRPr="00D93FF9">
        <w:rPr>
          <w:lang w:val="en-GB"/>
        </w:rPr>
        <w:t xml:space="preserve">) the end product of the oxidation of organic nitrogen and ammonia. All these forms are interrelated by a series of reactions known </w:t>
      </w:r>
      <w:r w:rsidRPr="00D93FF9">
        <w:rPr>
          <w:lang w:val="en-GB"/>
        </w:rPr>
        <w:lastRenderedPageBreak/>
        <w:t>collectively as the nitrogen cycle. In this Section, nitrogen refers to all inorganic forms of nitrogen present in water (ammonia, ammonium, nitrate and nitrite).</w:t>
      </w:r>
    </w:p>
    <w:p w14:paraId="59DCD3FF" w14:textId="77777777" w:rsidR="00C46175" w:rsidRPr="00D93FF9" w:rsidRDefault="00E811B8" w:rsidP="007C248C">
      <w:pPr>
        <w:pStyle w:val="Heading4"/>
        <w:rPr>
          <w:lang w:val="en-GB"/>
        </w:rPr>
      </w:pPr>
      <w:r w:rsidRPr="00D93FF9">
        <w:rPr>
          <w:lang w:val="en-GB"/>
        </w:rPr>
        <w:t xml:space="preserve">Effects on crop </w:t>
      </w:r>
      <w:r w:rsidRPr="00D93FF9">
        <w:t>growth</w:t>
      </w:r>
      <w:r w:rsidRPr="00D93FF9">
        <w:rPr>
          <w:lang w:val="en-GB"/>
        </w:rPr>
        <w:t xml:space="preserve"> and off-site </w:t>
      </w:r>
      <w:r w:rsidR="007C2B42" w:rsidRPr="00D93FF9">
        <w:rPr>
          <w:lang w:val="en-GB"/>
        </w:rPr>
        <w:t xml:space="preserve">impacts </w:t>
      </w:r>
      <w:r w:rsidRPr="00D93FF9">
        <w:rPr>
          <w:lang w:val="en-GB"/>
        </w:rPr>
        <w:t>considerations</w:t>
      </w:r>
    </w:p>
    <w:p w14:paraId="59DCD400" w14:textId="16A31D1C" w:rsidR="00C46175" w:rsidRPr="00D93FF9" w:rsidRDefault="00E811B8" w:rsidP="003807A1">
      <w:pPr>
        <w:pStyle w:val="BodyText"/>
        <w:spacing w:after="0" w:line="266" w:lineRule="auto"/>
        <w:jc w:val="both"/>
        <w:rPr>
          <w:lang w:val="en-GB"/>
        </w:rPr>
      </w:pPr>
      <w:r w:rsidRPr="00D93FF9">
        <w:rPr>
          <w:lang w:val="en-GB"/>
        </w:rPr>
        <w:t>Nitrogen is an essential plant nutrient</w:t>
      </w:r>
      <w:r w:rsidR="004F67E3" w:rsidRPr="00D93FF9">
        <w:rPr>
          <w:lang w:val="en-GB"/>
        </w:rPr>
        <w:t>.</w:t>
      </w:r>
      <w:r w:rsidRPr="00D93FF9">
        <w:rPr>
          <w:lang w:val="en-GB"/>
        </w:rPr>
        <w:t xml:space="preserve"> Excess quantities of nitrogen </w:t>
      </w:r>
      <w:r w:rsidR="00ED1A9A" w:rsidRPr="00D93FF9">
        <w:rPr>
          <w:lang w:val="en-GB"/>
        </w:rPr>
        <w:t xml:space="preserve">in soil </w:t>
      </w:r>
      <w:r w:rsidRPr="00D93FF9">
        <w:rPr>
          <w:lang w:val="en-GB"/>
        </w:rPr>
        <w:t xml:space="preserve">can lead to leaching into ground and surface waters, altered plant morphology and stimulation of algal growth </w:t>
      </w:r>
      <w:r w:rsidR="00DC5250" w:rsidRPr="00D93FF9">
        <w:rPr>
          <w:lang w:val="en-GB"/>
        </w:rPr>
        <w:t xml:space="preserve">and </w:t>
      </w:r>
      <w:r w:rsidRPr="00D93FF9">
        <w:rPr>
          <w:lang w:val="en-GB"/>
        </w:rPr>
        <w:t>excessive vegetation growth in irrigation channels.</w:t>
      </w:r>
    </w:p>
    <w:p w14:paraId="59DCD401" w14:textId="226C4B1A" w:rsidR="00C46175" w:rsidRPr="00D93FF9" w:rsidRDefault="00E811B8" w:rsidP="00E7198C">
      <w:pPr>
        <w:pStyle w:val="BodyText"/>
        <w:spacing w:after="0" w:line="266" w:lineRule="auto"/>
        <w:jc w:val="both"/>
        <w:rPr>
          <w:lang w:val="en-GB"/>
        </w:rPr>
      </w:pPr>
      <w:r w:rsidRPr="00D93FF9">
        <w:rPr>
          <w:lang w:val="en-GB"/>
        </w:rPr>
        <w:t>Nitrogen concentrations in water can be reported as total nitrogen or as nitrogen in the form that it is present in solution. Nitrogen is most commonly found or reported as organic- nitrogen, nitrate or ammonium (10 mg</w:t>
      </w:r>
      <w:r w:rsidR="008B12D9" w:rsidRPr="00D93FF9">
        <w:rPr>
          <w:lang w:val="en-GB"/>
        </w:rPr>
        <w:t>/L of</w:t>
      </w:r>
      <w:r w:rsidRPr="00D93FF9">
        <w:rPr>
          <w:lang w:val="en-GB"/>
        </w:rPr>
        <w:t xml:space="preserve"> N = 45 mg</w:t>
      </w:r>
      <w:r w:rsidR="008B12D9" w:rsidRPr="00D93FF9">
        <w:rPr>
          <w:lang w:val="en-GB"/>
        </w:rPr>
        <w:t xml:space="preserve">/L of </w:t>
      </w:r>
      <w:r w:rsidRPr="00D93FF9">
        <w:rPr>
          <w:lang w:val="en-GB"/>
        </w:rPr>
        <w:t>NO</w:t>
      </w:r>
      <w:r w:rsidRPr="00D93FF9">
        <w:rPr>
          <w:position w:val="-4"/>
          <w:sz w:val="15"/>
          <w:lang w:val="en-GB"/>
        </w:rPr>
        <w:t>3</w:t>
      </w:r>
      <w:r w:rsidRPr="00D93FF9">
        <w:rPr>
          <w:position w:val="5"/>
          <w:sz w:val="15"/>
          <w:lang w:val="en-GB"/>
        </w:rPr>
        <w:t>-</w:t>
      </w:r>
      <w:r w:rsidRPr="00D93FF9">
        <w:rPr>
          <w:lang w:val="en-GB"/>
        </w:rPr>
        <w:t xml:space="preserve"> or 13 mg</w:t>
      </w:r>
      <w:r w:rsidR="008B12D9" w:rsidRPr="00D93FF9">
        <w:rPr>
          <w:lang w:val="en-GB"/>
        </w:rPr>
        <w:t>/L</w:t>
      </w:r>
      <w:r w:rsidRPr="00D93FF9">
        <w:rPr>
          <w:lang w:val="en-GB"/>
        </w:rPr>
        <w:t xml:space="preserve"> </w:t>
      </w:r>
      <w:r w:rsidR="008B12D9" w:rsidRPr="00D93FF9">
        <w:rPr>
          <w:lang w:val="en-GB"/>
        </w:rPr>
        <w:t xml:space="preserve">of </w:t>
      </w:r>
      <w:r w:rsidRPr="00D93FF9">
        <w:rPr>
          <w:lang w:val="en-GB"/>
        </w:rPr>
        <w:t>NH</w:t>
      </w:r>
      <w:r w:rsidRPr="00D93FF9">
        <w:rPr>
          <w:position w:val="-4"/>
          <w:sz w:val="15"/>
          <w:lang w:val="en-GB"/>
        </w:rPr>
        <w:t>4</w:t>
      </w:r>
      <w:r w:rsidRPr="00D93FF9">
        <w:rPr>
          <w:position w:val="5"/>
          <w:sz w:val="15"/>
          <w:lang w:val="en-GB"/>
        </w:rPr>
        <w:t>+</w:t>
      </w:r>
      <w:r w:rsidRPr="00D93FF9">
        <w:rPr>
          <w:lang w:val="en-GB"/>
        </w:rPr>
        <w:t xml:space="preserve">). The most available forms to plants are nitrate or ammonium. Nitrate is the usual form found in natural waters (Ayers </w:t>
      </w:r>
      <w:r w:rsidR="00FA6E9E" w:rsidRPr="00D93FF9">
        <w:rPr>
          <w:lang w:val="en-GB"/>
        </w:rPr>
        <w:t>and</w:t>
      </w:r>
      <w:r w:rsidRPr="00D93FF9">
        <w:rPr>
          <w:lang w:val="en-GB"/>
        </w:rPr>
        <w:t xml:space="preserve"> Westcot 1985), while NH</w:t>
      </w:r>
      <w:r w:rsidRPr="00D93FF9">
        <w:rPr>
          <w:position w:val="-4"/>
          <w:sz w:val="15"/>
          <w:lang w:val="en-GB"/>
        </w:rPr>
        <w:t>4</w:t>
      </w:r>
      <w:r w:rsidRPr="00D93FF9">
        <w:rPr>
          <w:position w:val="5"/>
          <w:sz w:val="15"/>
          <w:lang w:val="en-GB"/>
        </w:rPr>
        <w:t xml:space="preserve">+ </w:t>
      </w:r>
      <w:r w:rsidRPr="00D93FF9">
        <w:rPr>
          <w:lang w:val="en-GB"/>
        </w:rPr>
        <w:t xml:space="preserve">is the principal form found in </w:t>
      </w:r>
      <w:r w:rsidR="005C07B0" w:rsidRPr="00D93FF9">
        <w:rPr>
          <w:lang w:val="en-GB"/>
        </w:rPr>
        <w:t>sewage water before the water is recycled or treated</w:t>
      </w:r>
      <w:r w:rsidRPr="00D93FF9">
        <w:rPr>
          <w:lang w:val="en-GB"/>
        </w:rPr>
        <w:t xml:space="preserve"> (</w:t>
      </w:r>
      <w:r w:rsidR="005C07B0" w:rsidRPr="00D93FF9">
        <w:t>NRMMC et al. 2006</w:t>
      </w:r>
      <w:r w:rsidRPr="00D93FF9">
        <w:rPr>
          <w:lang w:val="en-GB"/>
        </w:rPr>
        <w:t>). Ammonium is absorbed rapidly by soils. In contrast, nitrate is soluble, mobile and relatively stable, and is</w:t>
      </w:r>
      <w:r w:rsidR="005C07B0" w:rsidRPr="00D93FF9">
        <w:rPr>
          <w:lang w:val="en-GB"/>
        </w:rPr>
        <w:t>,</w:t>
      </w:r>
      <w:r w:rsidRPr="00D93FF9">
        <w:rPr>
          <w:lang w:val="en-GB"/>
        </w:rPr>
        <w:t xml:space="preserve"> therefore</w:t>
      </w:r>
      <w:r w:rsidR="005C07B0" w:rsidRPr="00D93FF9">
        <w:rPr>
          <w:lang w:val="en-GB"/>
        </w:rPr>
        <w:t>,</w:t>
      </w:r>
      <w:r w:rsidRPr="00D93FF9">
        <w:rPr>
          <w:lang w:val="en-GB"/>
        </w:rPr>
        <w:t xml:space="preserve"> more readily leached into groundwater. Because of its mobility, nitrate is the most important form of nitrogen in soils from an environmental aspect. Therefore, under the assumption that all nitrogen forms have the potential to be expressed as nitrate in soil, total nitrogen has been used for setting </w:t>
      </w:r>
      <w:r w:rsidR="00855C80" w:rsidRPr="00D93FF9">
        <w:rPr>
          <w:lang w:val="en-GB"/>
        </w:rPr>
        <w:t>guideline</w:t>
      </w:r>
      <w:r w:rsidR="00855C80" w:rsidRPr="00D93FF9">
        <w:rPr>
          <w:spacing w:val="1"/>
          <w:lang w:val="en-GB"/>
        </w:rPr>
        <w:t xml:space="preserve"> </w:t>
      </w:r>
      <w:r w:rsidRPr="00D93FF9">
        <w:rPr>
          <w:lang w:val="en-GB"/>
        </w:rPr>
        <w:t>values.</w:t>
      </w:r>
      <w:r w:rsidR="00B76A0B" w:rsidRPr="00D93FF9">
        <w:rPr>
          <w:lang w:val="en-GB"/>
        </w:rPr>
        <w:t xml:space="preserve"> </w:t>
      </w:r>
    </w:p>
    <w:p w14:paraId="59DCD402" w14:textId="15674DA7" w:rsidR="00C46175" w:rsidRPr="00D93FF9" w:rsidRDefault="00E811B8" w:rsidP="00E7198C">
      <w:pPr>
        <w:pStyle w:val="BodyText"/>
        <w:spacing w:after="0" w:line="266" w:lineRule="auto"/>
        <w:jc w:val="both"/>
        <w:rPr>
          <w:lang w:val="en-GB"/>
        </w:rPr>
      </w:pPr>
      <w:r w:rsidRPr="00D93FF9">
        <w:rPr>
          <w:lang w:val="en-GB"/>
        </w:rPr>
        <w:t xml:space="preserve">Nitrate also poses a threat to animal and human health in drinking water, and plays an active role in eutrophication </w:t>
      </w:r>
      <w:r w:rsidR="005C07B0" w:rsidRPr="00D93FF9">
        <w:fldChar w:fldCharType="begin"/>
      </w:r>
      <w:r w:rsidR="00BE6DF0" w:rsidRPr="00D93FF9">
        <w:instrText xml:space="preserve"> ADDIN ZOTERO_ITEM CSL_CITATION {"citationID":"VIYKKH8U","properties":{"formattedCitation":"(ANZECC and ARMCANZ, 2000b; NRMMC et al., 2006; NHMRC and NRMMC, 2011)","plainCitation":"(ANZECC and ARMCANZ, 2000b; NRMMC et al., 2006; NHMRC and NRMMC, 2011)","noteIndex":0},"citationItems":[{"id":32907,"uris":["http://zotero.org/users/1938757/items/BMSQ2P3B"],"uri":["http://zotero.org/users/1938757/items/BMSQ2P3B"],"itemData":{"id":32907,"type":"book","event-place":"Canberra, Commonwealth of Australia","note":"http://www.mincos.gov.au/publications/australian_and_new_zealand_guidelines_for_fresh_and_marine_water_quality/volume_3","publisher":"National Water Quality Management Strategy (NWQMS). Australian and New Zealand Environment and Conservation Council, Agriculture and Resource Management Council of Australia and New Zealand","publisher-place":"Canberra, Commonwealth of Australia","title":"Australian and New Zealand Guidelines for Fresh and Marine Water Quality. Volume 1, The Guidelines. Chapters 1 to 7.","URL":"http://www.mincos.gov.au/publications/australian_and_new_zealand_guidelines_for_fresh_and_marine_water_quality/volume_3","author":[{"family":"ANZECC","given":""},{"family":"ARMCANZ","given":""}],"issued":{"date-parts":[["2000"]]}}},{"id":3886,"uris":["http://zotero.org/users/1938757/items/MHXN2WMQ"],"uri":["http://zotero.org/users/1938757/items/MHXN2WMQ"],"itemData":{"id":3886,"type":"book","event-place":"Canberra, Australia","ISBN":"389","note":"AGWR","number-of-pages":"3859","publisher":"Natural Resource Management Ministerial Council. Environment Protection and Heritage Council, Australian Health Ministers’ Conference, Government of Australia","publisher-place":"Canberra, Australia","title":"Australian Guidelines for Water Recycling. Managing Health and Environmental Risks. Phase 1. National Water Quality Management Strategy 21.","URL":"https://www.waterquality.gov.au/media/83","author":[{"family":"NRMMC","given":""},{"family":"EPHC","given":""},{"family":"AHMC","given":""}],"issued":{"date-parts":[["2006"]]}}},{"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005C07B0" w:rsidRPr="00D93FF9">
        <w:fldChar w:fldCharType="separate"/>
      </w:r>
      <w:r w:rsidR="007C2051" w:rsidRPr="00D93FF9">
        <w:rPr>
          <w:rFonts w:ascii="Calibri" w:hAnsi="Calibri" w:cs="Calibri"/>
        </w:rPr>
        <w:t>(ANZECC and ARMCANZ 200</w:t>
      </w:r>
      <w:r w:rsidR="000F7C64" w:rsidRPr="00D93FF9">
        <w:rPr>
          <w:rFonts w:ascii="Calibri" w:hAnsi="Calibri" w:cs="Calibri"/>
        </w:rPr>
        <w:t>0</w:t>
      </w:r>
      <w:r w:rsidR="007C2051" w:rsidRPr="00D93FF9">
        <w:rPr>
          <w:rFonts w:ascii="Calibri" w:hAnsi="Calibri" w:cs="Calibri"/>
        </w:rPr>
        <w:t>; NRMMC et al. 2006; NHMRC and NRMMC 2011)</w:t>
      </w:r>
      <w:r w:rsidR="005C07B0" w:rsidRPr="00D93FF9">
        <w:fldChar w:fldCharType="end"/>
      </w:r>
      <w:r w:rsidRPr="00D93FF9">
        <w:rPr>
          <w:lang w:val="en-GB"/>
        </w:rPr>
        <w:t xml:space="preserve">. </w:t>
      </w:r>
      <w:r w:rsidR="005C07B0" w:rsidRPr="00D93FF9">
        <w:rPr>
          <w:lang w:val="en-GB"/>
        </w:rPr>
        <w:t>H</w:t>
      </w:r>
      <w:r w:rsidRPr="00D93FF9">
        <w:rPr>
          <w:lang w:val="en-GB"/>
        </w:rPr>
        <w:t xml:space="preserve">ealth-based guideline for drinking water for ammonia </w:t>
      </w:r>
      <w:r w:rsidR="005C07B0" w:rsidRPr="00D93FF9">
        <w:t>(0.5 mg NH</w:t>
      </w:r>
      <w:r w:rsidR="005C07B0" w:rsidRPr="00D93FF9">
        <w:rPr>
          <w:vertAlign w:val="subscript"/>
        </w:rPr>
        <w:t>3</w:t>
      </w:r>
      <w:r w:rsidR="005C07B0" w:rsidRPr="00D93FF9">
        <w:t>/L or 0.4 mg N/L as NH</w:t>
      </w:r>
      <w:r w:rsidR="005C07B0" w:rsidRPr="00D93FF9">
        <w:rPr>
          <w:vertAlign w:val="subscript"/>
        </w:rPr>
        <w:t>3</w:t>
      </w:r>
      <w:r w:rsidR="005C07B0" w:rsidRPr="00D93FF9">
        <w:rPr>
          <w:lang w:val="en-GB"/>
        </w:rPr>
        <w:t xml:space="preserve">), </w:t>
      </w:r>
      <w:r w:rsidR="005C07B0" w:rsidRPr="00D93FF9">
        <w:t>nitrate (50 mg NO</w:t>
      </w:r>
      <w:r w:rsidR="005C07B0" w:rsidRPr="00D93FF9">
        <w:rPr>
          <w:position w:val="-4"/>
          <w:sz w:val="15"/>
        </w:rPr>
        <w:t>3</w:t>
      </w:r>
      <w:r w:rsidR="005C07B0" w:rsidRPr="00D93FF9">
        <w:rPr>
          <w:position w:val="5"/>
          <w:sz w:val="15"/>
        </w:rPr>
        <w:t>-</w:t>
      </w:r>
      <w:r w:rsidR="005C07B0" w:rsidRPr="00D93FF9">
        <w:t>/L or 11.3 mg N/L as NO</w:t>
      </w:r>
      <w:r w:rsidR="005C07B0" w:rsidRPr="00D93FF9">
        <w:rPr>
          <w:vertAlign w:val="subscript"/>
        </w:rPr>
        <w:t>3</w:t>
      </w:r>
      <w:r w:rsidR="005C07B0" w:rsidRPr="00D93FF9">
        <w:rPr>
          <w:lang w:val="en-GB"/>
        </w:rPr>
        <w:t xml:space="preserve"> has been adopted </w:t>
      </w:r>
      <w:r w:rsidRPr="00D93FF9">
        <w:rPr>
          <w:lang w:val="en-GB"/>
        </w:rPr>
        <w:t>for potable water for infants under 3 months old, and 100 mg NO</w:t>
      </w:r>
      <w:r w:rsidRPr="00D93FF9">
        <w:rPr>
          <w:position w:val="-4"/>
          <w:sz w:val="15"/>
          <w:lang w:val="en-GB"/>
        </w:rPr>
        <w:t>3</w:t>
      </w:r>
      <w:r w:rsidRPr="00D93FF9">
        <w:rPr>
          <w:position w:val="5"/>
          <w:sz w:val="15"/>
          <w:lang w:val="en-GB"/>
        </w:rPr>
        <w:t>-</w:t>
      </w:r>
      <w:r w:rsidRPr="00D93FF9">
        <w:rPr>
          <w:lang w:val="en-GB"/>
        </w:rPr>
        <w:t xml:space="preserve">/L </w:t>
      </w:r>
      <w:r w:rsidR="005C07B0" w:rsidRPr="00D93FF9">
        <w:t>or 22.6 mg N/L as NO</w:t>
      </w:r>
      <w:r w:rsidR="005C07B0" w:rsidRPr="00D93FF9">
        <w:rPr>
          <w:vertAlign w:val="subscript"/>
        </w:rPr>
        <w:t xml:space="preserve">3 </w:t>
      </w:r>
      <w:r w:rsidRPr="00D93FF9">
        <w:rPr>
          <w:lang w:val="en-GB"/>
        </w:rPr>
        <w:t>for those over 3 months old</w:t>
      </w:r>
      <w:r w:rsidR="005C07B0" w:rsidRPr="00D93FF9">
        <w:rPr>
          <w:lang w:val="en-GB"/>
        </w:rPr>
        <w:t xml:space="preserve"> </w:t>
      </w:r>
      <w:r w:rsidRPr="00D93FF9">
        <w:rPr>
          <w:lang w:val="en-GB"/>
        </w:rPr>
        <w:t>(</w:t>
      </w:r>
      <w:r w:rsidR="005C07B0" w:rsidRPr="00D93FF9">
        <w:fldChar w:fldCharType="begin"/>
      </w:r>
      <w:r w:rsidR="007C2051" w:rsidRPr="00D93FF9">
        <w:instrText xml:space="preserve"> ADDIN ZOTERO_ITEM CSL_CITATION {"citationID":"t3CeIebE","properties":{"formattedCitation":"(NHMRC and NRMMC 2011)","plainCitation":"(NHMRC and NRMMC 2011)","dontUpdate":true,"noteIndex":0},"citationItems":[{"id":31763,"uris":["http://zotero.org/users/1938757/items/B4JAB6EL"],"uri":["http://zotero.org/users/1938757/items/B4JAB6EL"],"itemData":{"id":31763,"type":"report","collection-title":"Paper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005C07B0" w:rsidRPr="00D93FF9">
        <w:fldChar w:fldCharType="separate"/>
      </w:r>
      <w:r w:rsidR="005C07B0" w:rsidRPr="00D93FF9">
        <w:t>NHMRC and NRMMC 2011)</w:t>
      </w:r>
      <w:r w:rsidR="005C07B0" w:rsidRPr="00D93FF9">
        <w:fldChar w:fldCharType="end"/>
      </w:r>
      <w:r w:rsidRPr="00D93FF9">
        <w:rPr>
          <w:lang w:val="en-GB"/>
        </w:rPr>
        <w:t>. Health effects due to excessive nitrogen in water supplies include methaemoglobinemia and cancer (Follett 1989). Methemoglobinemia occurs when nitrate is converted to nitrite in infants, where the stomach acidity can be around pH 4. Absorbed nitrite can combine with haemoglobin to form methaemoglobin, resulting in a decrease in the blood</w:t>
      </w:r>
      <w:r w:rsidR="005C07B0" w:rsidRPr="00D93FF9">
        <w:rPr>
          <w:lang w:val="en-GB"/>
        </w:rPr>
        <w:t>’s oxygen carrying capacity</w:t>
      </w:r>
      <w:r w:rsidRPr="00D93FF9">
        <w:rPr>
          <w:lang w:val="en-GB"/>
        </w:rPr>
        <w:t xml:space="preserve">; this problem does not arise in adults (WHO 1984). </w:t>
      </w:r>
    </w:p>
    <w:p w14:paraId="59DCD403" w14:textId="5EC93543" w:rsidR="00C46175" w:rsidRPr="00D93FF9" w:rsidRDefault="00E811B8" w:rsidP="00E7198C">
      <w:pPr>
        <w:pStyle w:val="BodyText"/>
        <w:spacing w:after="0" w:line="266" w:lineRule="auto"/>
        <w:jc w:val="both"/>
        <w:rPr>
          <w:lang w:val="en-GB"/>
        </w:rPr>
      </w:pPr>
      <w:r w:rsidRPr="00D93FF9">
        <w:rPr>
          <w:lang w:val="en-GB"/>
        </w:rPr>
        <w:t xml:space="preserve">Nitrate may also be converted to suspected carcinogenic nitrosamines in the human digestive tract (Bouwer 1990). Nitrites should be kept below </w:t>
      </w:r>
      <w:r w:rsidR="005C07B0" w:rsidRPr="00D93FF9">
        <w:t xml:space="preserve"> 3 mg NO</w:t>
      </w:r>
      <w:r w:rsidR="005C07B0" w:rsidRPr="00D93FF9">
        <w:rPr>
          <w:vertAlign w:val="subscript"/>
        </w:rPr>
        <w:t>2</w:t>
      </w:r>
      <w:r w:rsidR="005C07B0" w:rsidRPr="00D93FF9">
        <w:rPr>
          <w:vertAlign w:val="superscript"/>
        </w:rPr>
        <w:t>-</w:t>
      </w:r>
      <w:r w:rsidR="005C07B0" w:rsidRPr="00D93FF9">
        <w:t>/L or 0.9 mg N/L as NO</w:t>
      </w:r>
      <w:r w:rsidR="005C07B0" w:rsidRPr="00D93FF9">
        <w:rPr>
          <w:vertAlign w:val="subscript"/>
        </w:rPr>
        <w:t>2</w:t>
      </w:r>
      <w:r w:rsidR="005C07B0" w:rsidRPr="00D93FF9">
        <w:rPr>
          <w:vertAlign w:val="superscript"/>
        </w:rPr>
        <w:t>-</w:t>
      </w:r>
      <w:r w:rsidR="005C07B0" w:rsidRPr="00D93FF9">
        <w:t xml:space="preserve"> based on health considerations </w:t>
      </w:r>
      <w:r w:rsidR="005C07B0" w:rsidRPr="00D93FF9">
        <w:fldChar w:fldCharType="begin"/>
      </w:r>
      <w:r w:rsidR="007C2051" w:rsidRPr="00D93FF9">
        <w:instrText xml:space="preserve"> ADDIN ZOTERO_ITEM CSL_CITATION {"citationID":"sCsjdQu7","properties":{"formattedCitation":"(NHMRC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005C07B0" w:rsidRPr="00D93FF9">
        <w:fldChar w:fldCharType="separate"/>
      </w:r>
      <w:r w:rsidR="007C2051" w:rsidRPr="00D93FF9">
        <w:rPr>
          <w:rFonts w:ascii="Calibri" w:hAnsi="Calibri" w:cs="Calibri"/>
        </w:rPr>
        <w:t>(NHMRC and NRMMC 2011)</w:t>
      </w:r>
      <w:r w:rsidR="005C07B0" w:rsidRPr="00D93FF9">
        <w:fldChar w:fldCharType="end"/>
      </w:r>
      <w:r w:rsidR="005C07B0" w:rsidRPr="00D93FF9">
        <w:t>.</w:t>
      </w:r>
    </w:p>
    <w:p w14:paraId="59DCD405" w14:textId="223DB78C" w:rsidR="00C46175" w:rsidRPr="00D93FF9" w:rsidRDefault="00E811B8" w:rsidP="00E7198C">
      <w:pPr>
        <w:pStyle w:val="BodyText"/>
        <w:spacing w:after="0" w:line="266" w:lineRule="auto"/>
        <w:jc w:val="both"/>
        <w:rPr>
          <w:lang w:val="en-GB"/>
        </w:rPr>
      </w:pPr>
      <w:r w:rsidRPr="00D93FF9">
        <w:rPr>
          <w:lang w:val="en-GB"/>
        </w:rPr>
        <w:t>Plants generally have a high nitrogen demand during the early growth stages. However, excessive concentrations during the later flowering and fruiting stages may cause yield losses.</w:t>
      </w:r>
      <w:r w:rsidRPr="00D93FF9">
        <w:rPr>
          <w:spacing w:val="11"/>
          <w:lang w:val="en-GB"/>
        </w:rPr>
        <w:t xml:space="preserve"> </w:t>
      </w:r>
      <w:r w:rsidRPr="00D93FF9">
        <w:rPr>
          <w:lang w:val="en-GB"/>
        </w:rPr>
        <w:t>Sensitive</w:t>
      </w:r>
      <w:r w:rsidRPr="00D93FF9">
        <w:rPr>
          <w:spacing w:val="11"/>
          <w:lang w:val="en-GB"/>
        </w:rPr>
        <w:t xml:space="preserve"> </w:t>
      </w:r>
      <w:r w:rsidRPr="00D93FF9">
        <w:rPr>
          <w:lang w:val="en-GB"/>
        </w:rPr>
        <w:t>crops,</w:t>
      </w:r>
      <w:r w:rsidRPr="00D93FF9">
        <w:rPr>
          <w:spacing w:val="11"/>
          <w:lang w:val="en-GB"/>
        </w:rPr>
        <w:t xml:space="preserve"> </w:t>
      </w:r>
      <w:r w:rsidRPr="00D93FF9">
        <w:rPr>
          <w:lang w:val="en-GB"/>
        </w:rPr>
        <w:t>which</w:t>
      </w:r>
      <w:r w:rsidRPr="00D93FF9">
        <w:rPr>
          <w:spacing w:val="11"/>
          <w:lang w:val="en-GB"/>
        </w:rPr>
        <w:t xml:space="preserve"> </w:t>
      </w:r>
      <w:r w:rsidRPr="00D93FF9">
        <w:rPr>
          <w:lang w:val="en-GB"/>
        </w:rPr>
        <w:t>can</w:t>
      </w:r>
      <w:r w:rsidRPr="00D93FF9">
        <w:rPr>
          <w:spacing w:val="11"/>
          <w:lang w:val="en-GB"/>
        </w:rPr>
        <w:t xml:space="preserve"> </w:t>
      </w:r>
      <w:r w:rsidRPr="00D93FF9">
        <w:rPr>
          <w:lang w:val="en-GB"/>
        </w:rPr>
        <w:t>show</w:t>
      </w:r>
      <w:r w:rsidRPr="00D93FF9">
        <w:rPr>
          <w:spacing w:val="9"/>
          <w:lang w:val="en-GB"/>
        </w:rPr>
        <w:t xml:space="preserve"> </w:t>
      </w:r>
      <w:r w:rsidRPr="00D93FF9">
        <w:rPr>
          <w:lang w:val="en-GB"/>
        </w:rPr>
        <w:t>some</w:t>
      </w:r>
      <w:r w:rsidRPr="00D93FF9">
        <w:rPr>
          <w:spacing w:val="11"/>
          <w:lang w:val="en-GB"/>
        </w:rPr>
        <w:t xml:space="preserve"> </w:t>
      </w:r>
      <w:r w:rsidRPr="00D93FF9">
        <w:rPr>
          <w:lang w:val="en-GB"/>
        </w:rPr>
        <w:t>of</w:t>
      </w:r>
      <w:r w:rsidRPr="00D93FF9">
        <w:rPr>
          <w:spacing w:val="11"/>
          <w:lang w:val="en-GB"/>
        </w:rPr>
        <w:t xml:space="preserve"> </w:t>
      </w:r>
      <w:r w:rsidRPr="00D93FF9">
        <w:rPr>
          <w:lang w:val="en-GB"/>
        </w:rPr>
        <w:t>the</w:t>
      </w:r>
      <w:r w:rsidRPr="00D93FF9">
        <w:rPr>
          <w:spacing w:val="11"/>
          <w:lang w:val="en-GB"/>
        </w:rPr>
        <w:t xml:space="preserve"> </w:t>
      </w:r>
      <w:r w:rsidRPr="00D93FF9">
        <w:rPr>
          <w:lang w:val="en-GB"/>
        </w:rPr>
        <w:t>effects</w:t>
      </w:r>
      <w:r w:rsidRPr="00D93FF9">
        <w:rPr>
          <w:spacing w:val="11"/>
          <w:lang w:val="en-GB"/>
        </w:rPr>
        <w:t xml:space="preserve"> </w:t>
      </w:r>
      <w:r w:rsidRPr="00D93FF9">
        <w:rPr>
          <w:lang w:val="en-GB"/>
        </w:rPr>
        <w:t>outlined</w:t>
      </w:r>
      <w:r w:rsidRPr="00D93FF9">
        <w:rPr>
          <w:spacing w:val="11"/>
          <w:lang w:val="en-GB"/>
        </w:rPr>
        <w:t xml:space="preserve"> </w:t>
      </w:r>
      <w:r w:rsidRPr="00D93FF9">
        <w:rPr>
          <w:lang w:val="en-GB"/>
        </w:rPr>
        <w:t>above</w:t>
      </w:r>
      <w:r w:rsidRPr="00D93FF9">
        <w:rPr>
          <w:spacing w:val="13"/>
          <w:lang w:val="en-GB"/>
        </w:rPr>
        <w:t xml:space="preserve"> </w:t>
      </w:r>
      <w:r w:rsidRPr="00D93FF9">
        <w:rPr>
          <w:lang w:val="en-GB"/>
        </w:rPr>
        <w:t>at</w:t>
      </w:r>
      <w:r w:rsidRPr="00D93FF9">
        <w:rPr>
          <w:spacing w:val="13"/>
          <w:lang w:val="en-GB"/>
        </w:rPr>
        <w:t xml:space="preserve"> </w:t>
      </w:r>
      <w:r w:rsidRPr="00D93FF9">
        <w:rPr>
          <w:lang w:val="en-GB"/>
        </w:rPr>
        <w:t>concentrations</w:t>
      </w:r>
      <w:r w:rsidR="006368ED" w:rsidRPr="00D93FF9">
        <w:rPr>
          <w:lang w:val="en-GB"/>
        </w:rPr>
        <w:t xml:space="preserve"> </w:t>
      </w:r>
      <w:r w:rsidRPr="00D93FF9">
        <w:rPr>
          <w:lang w:val="en-GB"/>
        </w:rPr>
        <w:t xml:space="preserve">&gt;5 mg N/L include: apricots, grapes, sugar-beets and cotton, but there are probably others (Ayers </w:t>
      </w:r>
      <w:r w:rsidR="00FA6E9E" w:rsidRPr="00D93FF9">
        <w:rPr>
          <w:lang w:val="en-GB"/>
        </w:rPr>
        <w:t>and</w:t>
      </w:r>
      <w:r w:rsidRPr="00D93FF9">
        <w:rPr>
          <w:lang w:val="en-GB"/>
        </w:rPr>
        <w:t xml:space="preserve"> Westcot 1985). Most crop yields are generally unaffected until nitrogen concentrations in irrigation water exceed 30 mg/L (Ayers </w:t>
      </w:r>
      <w:r w:rsidR="00FA6E9E" w:rsidRPr="00D93FF9">
        <w:rPr>
          <w:lang w:val="en-GB"/>
        </w:rPr>
        <w:t>and</w:t>
      </w:r>
      <w:r w:rsidRPr="00D93FF9">
        <w:rPr>
          <w:lang w:val="en-GB"/>
        </w:rPr>
        <w:t xml:space="preserve"> Westcot 1985).</w:t>
      </w:r>
    </w:p>
    <w:p w14:paraId="59DCD406" w14:textId="76CB6F32" w:rsidR="00C46175" w:rsidRPr="00D93FF9" w:rsidRDefault="00E811B8" w:rsidP="00E7198C">
      <w:pPr>
        <w:pStyle w:val="BodyText"/>
        <w:spacing w:after="0" w:line="266" w:lineRule="auto"/>
        <w:jc w:val="both"/>
        <w:rPr>
          <w:lang w:val="en-GB"/>
        </w:rPr>
      </w:pPr>
      <w:r w:rsidRPr="00D93FF9">
        <w:rPr>
          <w:lang w:val="en-GB"/>
        </w:rPr>
        <w:t>B</w:t>
      </w:r>
      <w:r w:rsidR="00E90CE0" w:rsidRPr="00D93FF9">
        <w:rPr>
          <w:lang w:val="en-GB"/>
        </w:rPr>
        <w:t xml:space="preserve">ecause the prokaryotic blue-green algae (cyanobacteria) </w:t>
      </w:r>
      <w:r w:rsidRPr="00D93FF9">
        <w:rPr>
          <w:lang w:val="en-GB"/>
        </w:rPr>
        <w:t>can fix</w:t>
      </w:r>
      <w:r w:rsidR="00E90CE0" w:rsidRPr="00D93FF9">
        <w:rPr>
          <w:lang w:val="en-GB"/>
        </w:rPr>
        <w:t xml:space="preserve"> atmospheric nitrogen, it has been considered inappropriate to set a guideline value on eutrophication potential related to nitrogen concentrations in irrigation water. Moreover, phosphorus is considered the limiting nutrient for algae growth in many freshwater systems (Schmitz 1996).</w:t>
      </w:r>
    </w:p>
    <w:p w14:paraId="59DCD407" w14:textId="272C496C" w:rsidR="00C46175" w:rsidRPr="00D93FF9" w:rsidRDefault="00E811B8" w:rsidP="003807A1">
      <w:pPr>
        <w:pStyle w:val="BodyText"/>
        <w:spacing w:after="0" w:line="266" w:lineRule="auto"/>
        <w:jc w:val="both"/>
        <w:rPr>
          <w:lang w:val="en-GB"/>
        </w:rPr>
      </w:pPr>
      <w:r w:rsidRPr="00D93FF9">
        <w:rPr>
          <w:lang w:val="en-GB"/>
        </w:rPr>
        <w:t xml:space="preserve">Given </w:t>
      </w:r>
      <w:r w:rsidR="00E90CE0" w:rsidRPr="00D93FF9">
        <w:rPr>
          <w:lang w:val="en-GB"/>
        </w:rPr>
        <w:t xml:space="preserve">the potential for nitrogen to influence plant maturation, the </w:t>
      </w:r>
      <w:r w:rsidR="00553FF9" w:rsidRPr="00D93FF9">
        <w:rPr>
          <w:lang w:val="en-GB"/>
        </w:rPr>
        <w:t>DGV</w:t>
      </w:r>
      <w:r w:rsidR="00E90CE0" w:rsidRPr="00D93FF9">
        <w:rPr>
          <w:lang w:val="en-GB"/>
        </w:rPr>
        <w:t xml:space="preserve"> has been set at a concentration low enough to ensure no decrease in crop yields or quality due to excessive nitrogen concentrations during later flowering and fruiting stages (i.e. &lt;5 mg N/L, DWAF 1996</w:t>
      </w:r>
      <w:r w:rsidR="00AC6FA7" w:rsidRPr="00D93FF9">
        <w:rPr>
          <w:lang w:val="en-GB"/>
        </w:rPr>
        <w:t>;</w:t>
      </w:r>
      <w:r w:rsidR="00E90CE0" w:rsidRPr="00D93FF9">
        <w:rPr>
          <w:lang w:val="en-GB"/>
        </w:rPr>
        <w:t xml:space="preserve"> Ayers </w:t>
      </w:r>
      <w:r w:rsidR="00FA6E9E" w:rsidRPr="00D93FF9">
        <w:rPr>
          <w:lang w:val="en-GB"/>
        </w:rPr>
        <w:t>and</w:t>
      </w:r>
      <w:r w:rsidR="00E90CE0" w:rsidRPr="00D93FF9">
        <w:rPr>
          <w:lang w:val="en-GB"/>
        </w:rPr>
        <w:t xml:space="preserve"> Westcot 1985</w:t>
      </w:r>
      <w:r w:rsidRPr="00D93FF9">
        <w:rPr>
          <w:lang w:val="en-GB"/>
        </w:rPr>
        <w:t xml:space="preserve">; </w:t>
      </w:r>
      <w:r w:rsidRPr="00D93FF9">
        <w:t>WHO 2006</w:t>
      </w:r>
      <w:r w:rsidR="00E90CE0" w:rsidRPr="00D93FF9">
        <w:rPr>
          <w:lang w:val="en-GB"/>
        </w:rPr>
        <w:t>).</w:t>
      </w:r>
      <w:bookmarkStart w:id="287" w:name="Calculating_site-specific_short-term_tri"/>
      <w:bookmarkStart w:id="288" w:name="For_calculation_of_Nremoved:"/>
      <w:bookmarkEnd w:id="287"/>
      <w:bookmarkEnd w:id="288"/>
      <w:r w:rsidR="00A341AE" w:rsidRPr="00D93FF9">
        <w:rPr>
          <w:rFonts w:ascii="Arial"/>
          <w:sz w:val="20"/>
          <w:lang w:val="en-GB"/>
        </w:rPr>
        <w:t xml:space="preserve"> </w:t>
      </w:r>
      <w:r w:rsidR="00E90CE0" w:rsidRPr="00D93FF9">
        <w:rPr>
          <w:lang w:val="en-GB"/>
        </w:rPr>
        <w:t xml:space="preserve">The </w:t>
      </w:r>
      <w:r w:rsidR="00553FF9" w:rsidRPr="00D93FF9">
        <w:rPr>
          <w:lang w:val="en-GB"/>
        </w:rPr>
        <w:t>SGV</w:t>
      </w:r>
      <w:r w:rsidR="00E90CE0" w:rsidRPr="00D93FF9">
        <w:rPr>
          <w:lang w:val="en-GB"/>
        </w:rPr>
        <w:t xml:space="preserve"> </w:t>
      </w:r>
      <w:r w:rsidR="00E90CE0" w:rsidRPr="00D93FF9">
        <w:rPr>
          <w:spacing w:val="-3"/>
          <w:lang w:val="en-GB"/>
        </w:rPr>
        <w:t xml:space="preserve">range </w:t>
      </w:r>
      <w:r w:rsidR="00E90CE0" w:rsidRPr="00D93FF9">
        <w:rPr>
          <w:lang w:val="en-GB"/>
        </w:rPr>
        <w:t xml:space="preserve">has </w:t>
      </w:r>
      <w:r w:rsidR="00E90CE0" w:rsidRPr="00D93FF9">
        <w:rPr>
          <w:spacing w:val="-3"/>
          <w:lang w:val="en-GB"/>
        </w:rPr>
        <w:t xml:space="preserve">been based </w:t>
      </w:r>
      <w:r w:rsidR="00E90CE0" w:rsidRPr="00D93FF9">
        <w:rPr>
          <w:lang w:val="en-GB"/>
        </w:rPr>
        <w:t xml:space="preserve">on </w:t>
      </w:r>
      <w:r w:rsidR="00E90CE0" w:rsidRPr="00D93FF9">
        <w:rPr>
          <w:spacing w:val="-3"/>
          <w:lang w:val="en-GB"/>
        </w:rPr>
        <w:t xml:space="preserve">annual crop nitrogen usage </w:t>
      </w:r>
      <w:r w:rsidR="00E90CE0" w:rsidRPr="00D93FF9">
        <w:rPr>
          <w:lang w:val="en-GB"/>
        </w:rPr>
        <w:t xml:space="preserve">and </w:t>
      </w:r>
      <w:r w:rsidR="00E90CE0" w:rsidRPr="00D93FF9">
        <w:rPr>
          <w:spacing w:val="-3"/>
          <w:lang w:val="en-GB"/>
        </w:rPr>
        <w:t>export (</w:t>
      </w:r>
      <w:r w:rsidR="00354100" w:rsidRPr="00D93FF9">
        <w:rPr>
          <w:spacing w:val="-3"/>
          <w:lang w:val="en-GB"/>
        </w:rPr>
        <w:fldChar w:fldCharType="begin"/>
      </w:r>
      <w:r w:rsidR="00354100" w:rsidRPr="00D93FF9">
        <w:rPr>
          <w:spacing w:val="-3"/>
          <w:lang w:val="en-GB"/>
        </w:rPr>
        <w:instrText xml:space="preserve"> REF _Ref81394808 \h </w:instrText>
      </w:r>
      <w:r w:rsidR="00D93FF9">
        <w:rPr>
          <w:spacing w:val="-3"/>
          <w:lang w:val="en-GB"/>
        </w:rPr>
        <w:instrText xml:space="preserve"> \* MERGEFORMAT </w:instrText>
      </w:r>
      <w:r w:rsidR="00354100" w:rsidRPr="00D93FF9">
        <w:rPr>
          <w:spacing w:val="-3"/>
          <w:lang w:val="en-GB"/>
        </w:rPr>
      </w:r>
      <w:r w:rsidR="00354100" w:rsidRPr="00D93FF9">
        <w:rPr>
          <w:spacing w:val="-3"/>
          <w:lang w:val="en-GB"/>
        </w:rPr>
        <w:fldChar w:fldCharType="separate"/>
      </w:r>
      <w:r w:rsidR="0069302C" w:rsidRPr="00D93FF9">
        <w:t xml:space="preserve">Table </w:t>
      </w:r>
      <w:r w:rsidR="0069302C">
        <w:rPr>
          <w:noProof/>
        </w:rPr>
        <w:t>26</w:t>
      </w:r>
      <w:r w:rsidR="00354100" w:rsidRPr="00D93FF9">
        <w:rPr>
          <w:spacing w:val="-3"/>
          <w:lang w:val="en-GB"/>
        </w:rPr>
        <w:fldChar w:fldCharType="end"/>
      </w:r>
      <w:r w:rsidR="00E90CE0" w:rsidRPr="00D93FF9">
        <w:rPr>
          <w:spacing w:val="-3"/>
          <w:lang w:val="en-GB"/>
        </w:rPr>
        <w:t xml:space="preserve">) </w:t>
      </w:r>
      <w:r w:rsidR="00E90CE0" w:rsidRPr="00D93FF9">
        <w:rPr>
          <w:lang w:val="en-GB"/>
        </w:rPr>
        <w:t xml:space="preserve">and </w:t>
      </w:r>
      <w:r w:rsidR="00E90CE0" w:rsidRPr="00D93FF9">
        <w:rPr>
          <w:spacing w:val="-4"/>
          <w:lang w:val="en-GB"/>
        </w:rPr>
        <w:t>minimise</w:t>
      </w:r>
      <w:r w:rsidR="00A341AE" w:rsidRPr="00D93FF9">
        <w:rPr>
          <w:spacing w:val="-4"/>
          <w:lang w:val="en-GB"/>
        </w:rPr>
        <w:t>s</w:t>
      </w:r>
      <w:r w:rsidR="00E90CE0" w:rsidRPr="00D93FF9">
        <w:rPr>
          <w:spacing w:val="-4"/>
          <w:lang w:val="en-GB"/>
        </w:rPr>
        <w:t xml:space="preserve"> </w:t>
      </w:r>
      <w:r w:rsidR="00E90CE0" w:rsidRPr="00D93FF9">
        <w:rPr>
          <w:lang w:val="en-GB"/>
        </w:rPr>
        <w:t xml:space="preserve">the </w:t>
      </w:r>
      <w:r w:rsidR="00E90CE0" w:rsidRPr="00D93FF9">
        <w:rPr>
          <w:spacing w:val="-3"/>
          <w:lang w:val="en-GB"/>
        </w:rPr>
        <w:t xml:space="preserve">risk </w:t>
      </w:r>
      <w:r w:rsidR="00E90CE0" w:rsidRPr="00D93FF9">
        <w:rPr>
          <w:lang w:val="en-GB"/>
        </w:rPr>
        <w:t xml:space="preserve">of </w:t>
      </w:r>
      <w:r w:rsidR="00E90CE0" w:rsidRPr="00D93FF9">
        <w:rPr>
          <w:spacing w:val="-3"/>
          <w:lang w:val="en-GB"/>
        </w:rPr>
        <w:t xml:space="preserve">ground </w:t>
      </w:r>
      <w:r w:rsidR="00E90CE0" w:rsidRPr="00D93FF9">
        <w:rPr>
          <w:lang w:val="en-GB"/>
        </w:rPr>
        <w:t xml:space="preserve">and </w:t>
      </w:r>
      <w:r w:rsidR="00E90CE0" w:rsidRPr="00D93FF9">
        <w:rPr>
          <w:spacing w:val="-3"/>
          <w:lang w:val="en-GB"/>
        </w:rPr>
        <w:t xml:space="preserve">surface </w:t>
      </w:r>
      <w:r w:rsidR="00E90CE0" w:rsidRPr="00D93FF9">
        <w:rPr>
          <w:lang w:val="en-GB"/>
        </w:rPr>
        <w:t xml:space="preserve">water </w:t>
      </w:r>
      <w:r w:rsidR="00E90CE0" w:rsidRPr="00D93FF9">
        <w:rPr>
          <w:spacing w:val="-3"/>
          <w:lang w:val="en-GB"/>
        </w:rPr>
        <w:t xml:space="preserve">nitrogen </w:t>
      </w:r>
      <w:r w:rsidR="00E90CE0" w:rsidRPr="00D93FF9">
        <w:rPr>
          <w:lang w:val="en-GB"/>
        </w:rPr>
        <w:t xml:space="preserve">concentrations exceeding </w:t>
      </w:r>
      <w:r w:rsidR="00C36B95" w:rsidRPr="00D93FF9">
        <w:rPr>
          <w:lang w:val="en-GB"/>
        </w:rPr>
        <w:t xml:space="preserve">11 to </w:t>
      </w:r>
      <w:r w:rsidR="00E90CE0" w:rsidRPr="00D93FF9">
        <w:rPr>
          <w:lang w:val="en-GB"/>
        </w:rPr>
        <w:t xml:space="preserve">23 </w:t>
      </w:r>
      <w:r w:rsidR="00E90CE0" w:rsidRPr="00D93FF9">
        <w:rPr>
          <w:spacing w:val="-4"/>
          <w:lang w:val="en-GB"/>
        </w:rPr>
        <w:t xml:space="preserve">mg </w:t>
      </w:r>
      <w:r w:rsidR="00E90CE0" w:rsidRPr="00D93FF9">
        <w:rPr>
          <w:spacing w:val="-2"/>
          <w:lang w:val="en-GB"/>
        </w:rPr>
        <w:t xml:space="preserve">N/L </w:t>
      </w:r>
      <w:r w:rsidR="00E90CE0" w:rsidRPr="00D93FF9">
        <w:rPr>
          <w:spacing w:val="-3"/>
          <w:lang w:val="en-GB"/>
        </w:rPr>
        <w:t xml:space="preserve">(i.e. generally </w:t>
      </w:r>
      <w:r w:rsidR="00E90CE0" w:rsidRPr="00D93FF9">
        <w:rPr>
          <w:lang w:val="en-GB"/>
        </w:rPr>
        <w:t xml:space="preserve">fit for </w:t>
      </w:r>
      <w:r w:rsidR="00E90CE0" w:rsidRPr="00D93FF9">
        <w:rPr>
          <w:spacing w:val="-3"/>
          <w:lang w:val="en-GB"/>
        </w:rPr>
        <w:t xml:space="preserve">human </w:t>
      </w:r>
      <w:r w:rsidR="00E90CE0" w:rsidRPr="00D93FF9">
        <w:rPr>
          <w:spacing w:val="-4"/>
          <w:lang w:val="en-GB"/>
        </w:rPr>
        <w:t xml:space="preserve">consumption; </w:t>
      </w:r>
      <w:r w:rsidR="00E90CE0" w:rsidRPr="00D93FF9">
        <w:rPr>
          <w:lang w:val="en-GB"/>
        </w:rPr>
        <w:t xml:space="preserve">see </w:t>
      </w:r>
      <w:r w:rsidR="00E90CE0" w:rsidRPr="00D93FF9">
        <w:rPr>
          <w:spacing w:val="-3"/>
          <w:lang w:val="en-GB"/>
        </w:rPr>
        <w:t xml:space="preserve">discussion above). </w:t>
      </w:r>
      <w:r w:rsidR="00E90CE0" w:rsidRPr="00D93FF9">
        <w:rPr>
          <w:lang w:val="en-GB"/>
        </w:rPr>
        <w:t xml:space="preserve">The </w:t>
      </w:r>
      <w:r w:rsidR="00553FF9" w:rsidRPr="00D93FF9">
        <w:rPr>
          <w:lang w:val="en-GB"/>
        </w:rPr>
        <w:t>SGV</w:t>
      </w:r>
      <w:r w:rsidR="00E90CE0" w:rsidRPr="00D93FF9">
        <w:rPr>
          <w:lang w:val="en-GB"/>
        </w:rPr>
        <w:t xml:space="preserve"> </w:t>
      </w:r>
      <w:r w:rsidR="00E90CE0" w:rsidRPr="00D93FF9">
        <w:rPr>
          <w:spacing w:val="-3"/>
          <w:lang w:val="en-GB"/>
        </w:rPr>
        <w:t xml:space="preserve">should </w:t>
      </w:r>
      <w:r w:rsidR="00E90CE0" w:rsidRPr="00D93FF9">
        <w:rPr>
          <w:lang w:val="en-GB"/>
        </w:rPr>
        <w:t xml:space="preserve">be </w:t>
      </w:r>
      <w:r w:rsidR="00E90CE0" w:rsidRPr="00D93FF9">
        <w:rPr>
          <w:spacing w:val="-3"/>
          <w:lang w:val="en-GB"/>
        </w:rPr>
        <w:lastRenderedPageBreak/>
        <w:t xml:space="preserve">considered </w:t>
      </w:r>
      <w:r w:rsidR="00E90CE0" w:rsidRPr="00D93FF9">
        <w:rPr>
          <w:lang w:val="en-GB"/>
        </w:rPr>
        <w:t xml:space="preserve">on a </w:t>
      </w:r>
      <w:r w:rsidR="00E90CE0" w:rsidRPr="00D93FF9">
        <w:rPr>
          <w:spacing w:val="-3"/>
          <w:lang w:val="en-GB"/>
        </w:rPr>
        <w:t xml:space="preserve">site-specific </w:t>
      </w:r>
      <w:r w:rsidR="00E90CE0" w:rsidRPr="00D93FF9">
        <w:rPr>
          <w:lang w:val="en-GB"/>
        </w:rPr>
        <w:t xml:space="preserve">basis </w:t>
      </w:r>
      <w:r w:rsidR="00E90CE0" w:rsidRPr="00D93FF9">
        <w:rPr>
          <w:spacing w:val="-3"/>
          <w:lang w:val="en-GB"/>
        </w:rPr>
        <w:t xml:space="preserve">relative </w:t>
      </w:r>
      <w:r w:rsidR="00E90CE0" w:rsidRPr="00D93FF9">
        <w:rPr>
          <w:lang w:val="en-GB"/>
        </w:rPr>
        <w:t xml:space="preserve">to: crop </w:t>
      </w:r>
      <w:r w:rsidR="00E90CE0" w:rsidRPr="00D93FF9">
        <w:rPr>
          <w:spacing w:val="-3"/>
          <w:lang w:val="en-GB"/>
        </w:rPr>
        <w:t xml:space="preserve">uptake; </w:t>
      </w:r>
      <w:r w:rsidR="00E90CE0" w:rsidRPr="00D93FF9">
        <w:rPr>
          <w:lang w:val="en-GB"/>
        </w:rPr>
        <w:t xml:space="preserve">crop </w:t>
      </w:r>
      <w:r w:rsidR="00E90CE0" w:rsidRPr="00D93FF9">
        <w:rPr>
          <w:spacing w:val="-3"/>
          <w:lang w:val="en-GB"/>
        </w:rPr>
        <w:t xml:space="preserve">sensitivity </w:t>
      </w:r>
      <w:r w:rsidR="00E90CE0" w:rsidRPr="00D93FF9">
        <w:rPr>
          <w:lang w:val="en-GB"/>
        </w:rPr>
        <w:t xml:space="preserve">to excess </w:t>
      </w:r>
      <w:r w:rsidR="00E90CE0" w:rsidRPr="00D93FF9">
        <w:rPr>
          <w:spacing w:val="-3"/>
          <w:lang w:val="en-GB"/>
        </w:rPr>
        <w:t xml:space="preserve">nitrogen </w:t>
      </w:r>
      <w:r w:rsidR="00E90CE0" w:rsidRPr="00D93FF9">
        <w:rPr>
          <w:lang w:val="en-GB"/>
        </w:rPr>
        <w:t xml:space="preserve">concentrations; </w:t>
      </w:r>
      <w:r w:rsidR="00E90CE0" w:rsidRPr="00D93FF9">
        <w:rPr>
          <w:spacing w:val="-3"/>
          <w:lang w:val="en-GB"/>
        </w:rPr>
        <w:t xml:space="preserve">irrigation </w:t>
      </w:r>
      <w:r w:rsidR="00E90CE0" w:rsidRPr="00D93FF9">
        <w:rPr>
          <w:lang w:val="en-GB"/>
        </w:rPr>
        <w:t xml:space="preserve">load; </w:t>
      </w:r>
      <w:r w:rsidR="00E90CE0" w:rsidRPr="00D93FF9">
        <w:rPr>
          <w:spacing w:val="-3"/>
          <w:lang w:val="en-GB"/>
        </w:rPr>
        <w:t xml:space="preserve">removal </w:t>
      </w:r>
      <w:r w:rsidR="00E90CE0" w:rsidRPr="00D93FF9">
        <w:rPr>
          <w:lang w:val="en-GB"/>
        </w:rPr>
        <w:t xml:space="preserve">of </w:t>
      </w:r>
      <w:r w:rsidR="00E90CE0" w:rsidRPr="00D93FF9">
        <w:rPr>
          <w:spacing w:val="-3"/>
          <w:lang w:val="en-GB"/>
        </w:rPr>
        <w:t xml:space="preserve">nitrogen </w:t>
      </w:r>
      <w:r w:rsidR="00E90CE0" w:rsidRPr="00D93FF9">
        <w:rPr>
          <w:lang w:val="en-GB"/>
        </w:rPr>
        <w:t xml:space="preserve">from the </w:t>
      </w:r>
      <w:r w:rsidR="00E90CE0" w:rsidRPr="00D93FF9">
        <w:rPr>
          <w:spacing w:val="-3"/>
          <w:lang w:val="en-GB"/>
        </w:rPr>
        <w:t xml:space="preserve">irrigated </w:t>
      </w:r>
      <w:r w:rsidR="00E90CE0" w:rsidRPr="00D93FF9">
        <w:rPr>
          <w:lang w:val="en-GB"/>
        </w:rPr>
        <w:t xml:space="preserve">site in </w:t>
      </w:r>
      <w:r w:rsidR="00E90CE0" w:rsidRPr="00D93FF9">
        <w:rPr>
          <w:spacing w:val="-3"/>
          <w:lang w:val="en-GB"/>
        </w:rPr>
        <w:t xml:space="preserve">harvestable </w:t>
      </w:r>
      <w:r w:rsidR="00E90CE0" w:rsidRPr="00D93FF9">
        <w:rPr>
          <w:lang w:val="en-GB"/>
        </w:rPr>
        <w:t xml:space="preserve">portions of crops; </w:t>
      </w:r>
      <w:r w:rsidR="00E90CE0" w:rsidRPr="00D93FF9">
        <w:rPr>
          <w:spacing w:val="-3"/>
          <w:lang w:val="en-GB"/>
        </w:rPr>
        <w:t xml:space="preserve">volatilisation/denitrification </w:t>
      </w:r>
      <w:r w:rsidR="00E90CE0" w:rsidRPr="00D93FF9">
        <w:rPr>
          <w:lang w:val="en-GB"/>
        </w:rPr>
        <w:t xml:space="preserve">losses; and fertiliser </w:t>
      </w:r>
      <w:r w:rsidR="00E90CE0" w:rsidRPr="00D93FF9">
        <w:rPr>
          <w:spacing w:val="-3"/>
          <w:lang w:val="en-GB"/>
        </w:rPr>
        <w:t xml:space="preserve">nitrogen </w:t>
      </w:r>
      <w:r w:rsidR="00E90CE0" w:rsidRPr="00D93FF9">
        <w:rPr>
          <w:lang w:val="en-GB"/>
        </w:rPr>
        <w:t xml:space="preserve">applied. An </w:t>
      </w:r>
      <w:r w:rsidR="00E90CE0" w:rsidRPr="00D93FF9">
        <w:rPr>
          <w:spacing w:val="-3"/>
          <w:lang w:val="en-GB"/>
        </w:rPr>
        <w:t xml:space="preserve">example </w:t>
      </w:r>
      <w:r w:rsidR="00E90CE0" w:rsidRPr="00D93FF9">
        <w:rPr>
          <w:lang w:val="en-GB"/>
        </w:rPr>
        <w:t xml:space="preserve">calculation for assessing </w:t>
      </w:r>
      <w:r w:rsidR="00E90CE0" w:rsidRPr="00D93FF9">
        <w:rPr>
          <w:spacing w:val="-3"/>
          <w:lang w:val="en-GB"/>
        </w:rPr>
        <w:t xml:space="preserve">site specific </w:t>
      </w:r>
      <w:r w:rsidR="00E90CE0" w:rsidRPr="00D93FF9">
        <w:rPr>
          <w:lang w:val="en-GB"/>
        </w:rPr>
        <w:t xml:space="preserve">use is outlined </w:t>
      </w:r>
      <w:r w:rsidR="00E90CE0" w:rsidRPr="00D93FF9">
        <w:rPr>
          <w:spacing w:val="-2"/>
          <w:lang w:val="en-GB"/>
        </w:rPr>
        <w:t xml:space="preserve">below. </w:t>
      </w:r>
      <w:r w:rsidR="00E90CE0" w:rsidRPr="00D93FF9">
        <w:rPr>
          <w:lang w:val="en-GB"/>
        </w:rPr>
        <w:t xml:space="preserve">These calculations do </w:t>
      </w:r>
      <w:r w:rsidR="00E90CE0" w:rsidRPr="00D93FF9">
        <w:rPr>
          <w:spacing w:val="-2"/>
          <w:lang w:val="en-GB"/>
        </w:rPr>
        <w:t xml:space="preserve">not </w:t>
      </w:r>
      <w:r w:rsidR="00E90CE0" w:rsidRPr="00D93FF9">
        <w:rPr>
          <w:lang w:val="en-GB"/>
        </w:rPr>
        <w:t xml:space="preserve">consider the concentration of </w:t>
      </w:r>
      <w:r w:rsidR="00E90CE0" w:rsidRPr="00D93FF9">
        <w:rPr>
          <w:spacing w:val="-3"/>
          <w:lang w:val="en-GB"/>
        </w:rPr>
        <w:t xml:space="preserve">soil nitrogen through </w:t>
      </w:r>
      <w:r w:rsidR="00E90CE0" w:rsidRPr="00D93FF9">
        <w:rPr>
          <w:lang w:val="en-GB"/>
        </w:rPr>
        <w:t xml:space="preserve">plant </w:t>
      </w:r>
      <w:r w:rsidR="00E90CE0" w:rsidRPr="00D93FF9">
        <w:rPr>
          <w:spacing w:val="-3"/>
          <w:lang w:val="en-GB"/>
        </w:rPr>
        <w:t xml:space="preserve">evapotranspiration </w:t>
      </w:r>
      <w:r w:rsidR="00E90CE0" w:rsidRPr="00D93FF9">
        <w:rPr>
          <w:lang w:val="en-GB"/>
        </w:rPr>
        <w:t xml:space="preserve">and </w:t>
      </w:r>
      <w:r w:rsidR="00E90CE0" w:rsidRPr="00D93FF9">
        <w:rPr>
          <w:spacing w:val="-3"/>
          <w:lang w:val="en-GB"/>
        </w:rPr>
        <w:t xml:space="preserve">soil leaching, </w:t>
      </w:r>
      <w:r w:rsidR="00D56DB5" w:rsidRPr="00D93FF9">
        <w:t xml:space="preserve">atmospheric depositions, N fixation, background N in soil and mineralisation </w:t>
      </w:r>
      <w:r w:rsidR="00E90CE0" w:rsidRPr="00D93FF9">
        <w:rPr>
          <w:lang w:val="en-GB"/>
        </w:rPr>
        <w:t xml:space="preserve">or </w:t>
      </w:r>
      <w:r w:rsidR="00E90CE0" w:rsidRPr="00D93FF9">
        <w:rPr>
          <w:spacing w:val="-3"/>
          <w:lang w:val="en-GB"/>
        </w:rPr>
        <w:t xml:space="preserve">dilution </w:t>
      </w:r>
      <w:r w:rsidR="00E90CE0" w:rsidRPr="00D93FF9">
        <w:rPr>
          <w:lang w:val="en-GB"/>
        </w:rPr>
        <w:t xml:space="preserve">on entering </w:t>
      </w:r>
      <w:r w:rsidR="00E90CE0" w:rsidRPr="00D93FF9">
        <w:rPr>
          <w:spacing w:val="-3"/>
          <w:lang w:val="en-GB"/>
        </w:rPr>
        <w:t xml:space="preserve">water bodies. </w:t>
      </w:r>
      <w:r w:rsidR="00E90CE0" w:rsidRPr="00D93FF9">
        <w:rPr>
          <w:lang w:val="en-GB"/>
        </w:rPr>
        <w:t xml:space="preserve">These </w:t>
      </w:r>
      <w:r w:rsidR="00E90CE0" w:rsidRPr="00D93FF9">
        <w:rPr>
          <w:spacing w:val="-3"/>
          <w:lang w:val="en-GB"/>
        </w:rPr>
        <w:t xml:space="preserve">parameters have been </w:t>
      </w:r>
      <w:r w:rsidR="00E90CE0" w:rsidRPr="00D93FF9">
        <w:rPr>
          <w:lang w:val="en-GB"/>
        </w:rPr>
        <w:t xml:space="preserve">excluded for three </w:t>
      </w:r>
      <w:r w:rsidR="00E90CE0" w:rsidRPr="00D93FF9">
        <w:rPr>
          <w:spacing w:val="-3"/>
          <w:lang w:val="en-GB"/>
        </w:rPr>
        <w:t>reasons:</w:t>
      </w:r>
    </w:p>
    <w:p w14:paraId="59DCD408" w14:textId="77777777" w:rsidR="0007629D" w:rsidRPr="00D93FF9" w:rsidRDefault="00E811B8" w:rsidP="003807A1">
      <w:pPr>
        <w:pStyle w:val="BodyText"/>
        <w:spacing w:after="0" w:line="266" w:lineRule="auto"/>
        <w:jc w:val="both"/>
        <w:rPr>
          <w:spacing w:val="-3"/>
          <w:lang w:val="en-GB"/>
        </w:rPr>
      </w:pPr>
      <w:r w:rsidRPr="00D93FF9">
        <w:rPr>
          <w:lang w:val="en-GB"/>
        </w:rPr>
        <w:t xml:space="preserve">1) </w:t>
      </w:r>
      <w:r w:rsidRPr="00D93FF9">
        <w:rPr>
          <w:spacing w:val="-3"/>
          <w:lang w:val="en-GB"/>
        </w:rPr>
        <w:t xml:space="preserve">simplicity, </w:t>
      </w:r>
    </w:p>
    <w:p w14:paraId="2846B240" w14:textId="77777777" w:rsidR="002C5F99" w:rsidRPr="00D93FF9" w:rsidRDefault="00E811B8" w:rsidP="003807A1">
      <w:pPr>
        <w:pStyle w:val="BodyText"/>
        <w:spacing w:after="0" w:line="266" w:lineRule="auto"/>
        <w:jc w:val="both"/>
        <w:rPr>
          <w:lang w:val="en-GB"/>
        </w:rPr>
      </w:pPr>
      <w:r w:rsidRPr="00D93FF9">
        <w:rPr>
          <w:lang w:val="en-GB"/>
        </w:rPr>
        <w:t xml:space="preserve">2) </w:t>
      </w:r>
      <w:r w:rsidRPr="00D93FF9">
        <w:rPr>
          <w:spacing w:val="-3"/>
          <w:lang w:val="en-GB"/>
        </w:rPr>
        <w:t xml:space="preserve">limited </w:t>
      </w:r>
      <w:r w:rsidRPr="00D93FF9">
        <w:rPr>
          <w:lang w:val="en-GB"/>
        </w:rPr>
        <w:t xml:space="preserve">data are </w:t>
      </w:r>
      <w:r w:rsidRPr="00D93FF9">
        <w:rPr>
          <w:spacing w:val="-3"/>
          <w:lang w:val="en-GB"/>
        </w:rPr>
        <w:t xml:space="preserve">available </w:t>
      </w:r>
      <w:r w:rsidRPr="00D93FF9">
        <w:rPr>
          <w:lang w:val="en-GB"/>
        </w:rPr>
        <w:t xml:space="preserve">at this </w:t>
      </w:r>
      <w:r w:rsidRPr="00D93FF9">
        <w:rPr>
          <w:spacing w:val="-3"/>
          <w:lang w:val="en-GB"/>
        </w:rPr>
        <w:t xml:space="preserve">stage </w:t>
      </w:r>
      <w:r w:rsidRPr="00D93FF9">
        <w:rPr>
          <w:lang w:val="en-GB"/>
        </w:rPr>
        <w:t xml:space="preserve">to accurately assess these </w:t>
      </w:r>
      <w:r w:rsidRPr="00D93FF9">
        <w:rPr>
          <w:spacing w:val="-3"/>
          <w:lang w:val="en-GB"/>
        </w:rPr>
        <w:t xml:space="preserve">mechanisms, </w:t>
      </w:r>
      <w:r w:rsidRPr="00D93FF9">
        <w:rPr>
          <w:lang w:val="en-GB"/>
        </w:rPr>
        <w:t xml:space="preserve">and </w:t>
      </w:r>
    </w:p>
    <w:p w14:paraId="61E6E132" w14:textId="77777777" w:rsidR="002C5F99" w:rsidRPr="00D93FF9" w:rsidRDefault="00E811B8" w:rsidP="003807A1">
      <w:pPr>
        <w:pStyle w:val="BodyText"/>
        <w:spacing w:after="0" w:line="266" w:lineRule="auto"/>
        <w:jc w:val="both"/>
        <w:rPr>
          <w:spacing w:val="-3"/>
          <w:lang w:val="en-GB"/>
        </w:rPr>
      </w:pPr>
      <w:r w:rsidRPr="00D93FF9">
        <w:rPr>
          <w:lang w:val="en-GB"/>
        </w:rPr>
        <w:t xml:space="preserve">3) these </w:t>
      </w:r>
      <w:r w:rsidRPr="00D93FF9">
        <w:rPr>
          <w:spacing w:val="-3"/>
          <w:lang w:val="en-GB"/>
        </w:rPr>
        <w:t xml:space="preserve">mechanisms </w:t>
      </w:r>
      <w:r w:rsidRPr="00D93FF9">
        <w:rPr>
          <w:lang w:val="en-GB"/>
        </w:rPr>
        <w:t xml:space="preserve">counterbalance each other and the net effect could be </w:t>
      </w:r>
      <w:r w:rsidRPr="00D93FF9">
        <w:rPr>
          <w:spacing w:val="-3"/>
          <w:lang w:val="en-GB"/>
        </w:rPr>
        <w:t xml:space="preserve">insignificant. </w:t>
      </w:r>
    </w:p>
    <w:p w14:paraId="29D5E2AA" w14:textId="77777777" w:rsidR="002C5F99" w:rsidRPr="00D93FF9" w:rsidRDefault="002C5F99" w:rsidP="003807A1">
      <w:pPr>
        <w:pStyle w:val="BodyText"/>
        <w:spacing w:after="0" w:line="266" w:lineRule="auto"/>
        <w:jc w:val="both"/>
        <w:rPr>
          <w:spacing w:val="-3"/>
          <w:lang w:val="en-GB"/>
        </w:rPr>
      </w:pPr>
    </w:p>
    <w:p w14:paraId="59DCD409" w14:textId="34D65D20" w:rsidR="00C46175" w:rsidRPr="00D93FF9" w:rsidRDefault="00C36B95" w:rsidP="003807A1">
      <w:pPr>
        <w:pStyle w:val="BodyText"/>
        <w:spacing w:after="0" w:line="266" w:lineRule="auto"/>
        <w:jc w:val="both"/>
        <w:rPr>
          <w:lang w:val="en-GB"/>
        </w:rPr>
      </w:pPr>
      <w:r w:rsidRPr="00D93FF9">
        <w:rPr>
          <w:spacing w:val="-2"/>
          <w:lang w:val="en-GB"/>
        </w:rPr>
        <w:t>M</w:t>
      </w:r>
      <w:r w:rsidR="00E811B8" w:rsidRPr="00D93FF9">
        <w:rPr>
          <w:spacing w:val="-3"/>
          <w:lang w:val="en-GB"/>
        </w:rPr>
        <w:t xml:space="preserve">odelling suggests </w:t>
      </w:r>
      <w:r w:rsidR="00E811B8" w:rsidRPr="00D93FF9">
        <w:rPr>
          <w:lang w:val="en-GB"/>
        </w:rPr>
        <w:t xml:space="preserve">that </w:t>
      </w:r>
      <w:r w:rsidR="00E811B8" w:rsidRPr="00D93FF9">
        <w:rPr>
          <w:spacing w:val="-3"/>
          <w:lang w:val="en-GB"/>
        </w:rPr>
        <w:t xml:space="preserve">groundwater contamination </w:t>
      </w:r>
      <w:r w:rsidR="00E811B8" w:rsidRPr="00D93FF9">
        <w:rPr>
          <w:lang w:val="en-GB"/>
        </w:rPr>
        <w:t xml:space="preserve">by nitrate can be </w:t>
      </w:r>
      <w:r w:rsidR="00E811B8" w:rsidRPr="00D93FF9">
        <w:rPr>
          <w:spacing w:val="-3"/>
          <w:lang w:val="en-GB"/>
        </w:rPr>
        <w:t xml:space="preserve">limited </w:t>
      </w:r>
      <w:r w:rsidR="00E811B8" w:rsidRPr="00D93FF9">
        <w:rPr>
          <w:lang w:val="en-GB"/>
        </w:rPr>
        <w:t xml:space="preserve">with </w:t>
      </w:r>
      <w:r w:rsidR="00E811B8" w:rsidRPr="00D93FF9">
        <w:rPr>
          <w:spacing w:val="-3"/>
          <w:lang w:val="en-GB"/>
        </w:rPr>
        <w:t xml:space="preserve">good irrigation </w:t>
      </w:r>
      <w:r w:rsidR="00E811B8" w:rsidRPr="00D93FF9">
        <w:rPr>
          <w:spacing w:val="-4"/>
          <w:lang w:val="en-GB"/>
        </w:rPr>
        <w:t xml:space="preserve">management </w:t>
      </w:r>
      <w:r w:rsidR="00E811B8" w:rsidRPr="00D93FF9">
        <w:rPr>
          <w:lang w:val="en-GB"/>
        </w:rPr>
        <w:t xml:space="preserve">and </w:t>
      </w:r>
      <w:r w:rsidR="00E811B8" w:rsidRPr="00D93FF9">
        <w:rPr>
          <w:spacing w:val="-3"/>
          <w:lang w:val="en-GB"/>
        </w:rPr>
        <w:t xml:space="preserve">selection </w:t>
      </w:r>
      <w:r w:rsidR="00E811B8" w:rsidRPr="00D93FF9">
        <w:rPr>
          <w:lang w:val="en-GB"/>
        </w:rPr>
        <w:t xml:space="preserve">of appropriate crops </w:t>
      </w:r>
      <w:r w:rsidR="00E811B8" w:rsidRPr="00D93FF9">
        <w:rPr>
          <w:spacing w:val="-3"/>
          <w:lang w:val="en-GB"/>
        </w:rPr>
        <w:t xml:space="preserve">(Snow </w:t>
      </w:r>
      <w:r w:rsidR="00E811B8" w:rsidRPr="00D93FF9">
        <w:rPr>
          <w:lang w:val="en-GB"/>
        </w:rPr>
        <w:t xml:space="preserve">et al. </w:t>
      </w:r>
      <w:r w:rsidR="00E811B8" w:rsidRPr="00D93FF9">
        <w:rPr>
          <w:spacing w:val="-3"/>
          <w:lang w:val="en-GB"/>
        </w:rPr>
        <w:t>1999</w:t>
      </w:r>
      <w:r w:rsidR="006B5B0C" w:rsidRPr="00D93FF9">
        <w:rPr>
          <w:spacing w:val="-3"/>
          <w:lang w:val="en-GB"/>
        </w:rPr>
        <w:t>;</w:t>
      </w:r>
      <w:r w:rsidR="00E811B8" w:rsidRPr="00D93FF9">
        <w:rPr>
          <w:spacing w:val="-3"/>
          <w:lang w:val="en-GB"/>
        </w:rPr>
        <w:t xml:space="preserve"> Salameh </w:t>
      </w:r>
      <w:r w:rsidR="00E811B8" w:rsidRPr="00D93FF9">
        <w:rPr>
          <w:lang w:val="en-GB"/>
        </w:rPr>
        <w:t xml:space="preserve">Al </w:t>
      </w:r>
      <w:r w:rsidR="00E811B8" w:rsidRPr="00D93FF9">
        <w:rPr>
          <w:spacing w:val="-3"/>
          <w:lang w:val="en-GB"/>
        </w:rPr>
        <w:t xml:space="preserve">Jamal </w:t>
      </w:r>
      <w:r w:rsidR="00E811B8" w:rsidRPr="00D93FF9">
        <w:rPr>
          <w:lang w:val="en-GB"/>
        </w:rPr>
        <w:t xml:space="preserve">et al. </w:t>
      </w:r>
      <w:r w:rsidR="00E811B8" w:rsidRPr="00D93FF9">
        <w:rPr>
          <w:spacing w:val="-3"/>
          <w:lang w:val="en-GB"/>
        </w:rPr>
        <w:t>1997</w:t>
      </w:r>
      <w:r w:rsidR="006B5B0C" w:rsidRPr="00D93FF9">
        <w:rPr>
          <w:spacing w:val="-3"/>
          <w:lang w:val="en-GB"/>
        </w:rPr>
        <w:t>;</w:t>
      </w:r>
      <w:r w:rsidR="00E811B8" w:rsidRPr="00D93FF9">
        <w:rPr>
          <w:spacing w:val="-3"/>
          <w:lang w:val="en-GB"/>
        </w:rPr>
        <w:t xml:space="preserve"> Bjorneberg </w:t>
      </w:r>
      <w:r w:rsidR="00E811B8" w:rsidRPr="00D93FF9">
        <w:rPr>
          <w:lang w:val="en-GB"/>
        </w:rPr>
        <w:t xml:space="preserve">et al. </w:t>
      </w:r>
      <w:r w:rsidR="00E811B8" w:rsidRPr="00D93FF9">
        <w:rPr>
          <w:spacing w:val="-3"/>
          <w:lang w:val="en-GB"/>
        </w:rPr>
        <w:t xml:space="preserve">1998). However, local site-specific </w:t>
      </w:r>
      <w:r w:rsidR="00E811B8" w:rsidRPr="00D93FF9">
        <w:rPr>
          <w:spacing w:val="-4"/>
          <w:lang w:val="en-GB"/>
        </w:rPr>
        <w:t xml:space="preserve">information </w:t>
      </w:r>
      <w:r w:rsidR="00E811B8" w:rsidRPr="00D93FF9">
        <w:rPr>
          <w:spacing w:val="-3"/>
          <w:lang w:val="en-GB"/>
        </w:rPr>
        <w:t xml:space="preserve">should </w:t>
      </w:r>
      <w:r w:rsidR="00E811B8" w:rsidRPr="00D93FF9">
        <w:rPr>
          <w:lang w:val="en-GB"/>
        </w:rPr>
        <w:t xml:space="preserve">be </w:t>
      </w:r>
      <w:r w:rsidR="00E811B8" w:rsidRPr="00D93FF9">
        <w:rPr>
          <w:spacing w:val="-3"/>
          <w:lang w:val="en-GB"/>
        </w:rPr>
        <w:t xml:space="preserve">used and </w:t>
      </w:r>
      <w:r w:rsidR="00E811B8" w:rsidRPr="00D93FF9">
        <w:rPr>
          <w:lang w:val="en-GB"/>
        </w:rPr>
        <w:t xml:space="preserve">each case assessed </w:t>
      </w:r>
      <w:r w:rsidR="00E811B8" w:rsidRPr="00D93FF9">
        <w:rPr>
          <w:spacing w:val="-3"/>
          <w:lang w:val="en-GB"/>
        </w:rPr>
        <w:t>individually</w:t>
      </w:r>
      <w:r w:rsidR="002C5F99" w:rsidRPr="00D93FF9">
        <w:rPr>
          <w:spacing w:val="-3"/>
          <w:lang w:val="en-GB"/>
        </w:rPr>
        <w:t xml:space="preserve"> (e.g. MEDLI </w:t>
      </w:r>
      <w:r w:rsidR="007C2051" w:rsidRPr="00D93FF9">
        <w:rPr>
          <w:spacing w:val="-3"/>
          <w:lang w:val="en-GB"/>
        </w:rPr>
        <w:fldChar w:fldCharType="begin"/>
      </w:r>
      <w:r w:rsidR="007C2051" w:rsidRPr="00D93FF9">
        <w:rPr>
          <w:spacing w:val="-3"/>
          <w:lang w:val="en-GB"/>
        </w:rPr>
        <w:instrText xml:space="preserve"> ADDIN ZOTERO_ITEM CSL_CITATION {"citationID":"QdTRyLon","properties":{"formattedCitation":"(DES QLD, 2015)","plainCitation":"(DES QLD, 2015)","noteIndex":0},"citationItems":[{"id":35212,"uris":["http://zotero.org/users/1938757/items/4AFKAITM"],"uri":["http://zotero.org/users/1938757/items/4AFKAITM"],"itemData":{"id":35212,"type":"webpage","title":"MEDLI - Software for effluent reuse schemes. Version 2","URL":"https://science.des.qld.gov.au/government/science-division/medli","author":[{"family":"DES QLD","given":""}],"issued":{"date-parts":[["2015"]]}}}],"schema":"https://github.com/citation-style-language/schema/raw/master/csl-citation.json"} </w:instrText>
      </w:r>
      <w:r w:rsidR="007C2051" w:rsidRPr="00D93FF9">
        <w:rPr>
          <w:spacing w:val="-3"/>
          <w:lang w:val="en-GB"/>
        </w:rPr>
        <w:fldChar w:fldCharType="separate"/>
      </w:r>
      <w:r w:rsidR="007C2051" w:rsidRPr="00D93FF9">
        <w:rPr>
          <w:rFonts w:ascii="Calibri" w:hAnsi="Calibri" w:cs="Calibri"/>
        </w:rPr>
        <w:t>(DES QLD 2015)</w:t>
      </w:r>
      <w:r w:rsidR="007C2051" w:rsidRPr="00D93FF9">
        <w:rPr>
          <w:spacing w:val="-3"/>
          <w:lang w:val="en-GB"/>
        </w:rPr>
        <w:fldChar w:fldCharType="end"/>
      </w:r>
      <w:r w:rsidR="002C5F99" w:rsidRPr="00D93FF9">
        <w:rPr>
          <w:spacing w:val="-3"/>
          <w:lang w:val="en-GB"/>
        </w:rPr>
        <w:t>)</w:t>
      </w:r>
      <w:r w:rsidR="00E811B8" w:rsidRPr="00D93FF9">
        <w:rPr>
          <w:spacing w:val="-3"/>
          <w:lang w:val="en-GB"/>
        </w:rPr>
        <w:t xml:space="preserve">, </w:t>
      </w:r>
      <w:r w:rsidR="00E811B8" w:rsidRPr="00D93FF9">
        <w:rPr>
          <w:lang w:val="en-GB"/>
        </w:rPr>
        <w:t xml:space="preserve">as </w:t>
      </w:r>
      <w:r w:rsidR="00E811B8" w:rsidRPr="00D93FF9">
        <w:rPr>
          <w:spacing w:val="-3"/>
          <w:lang w:val="en-GB"/>
        </w:rPr>
        <w:t xml:space="preserve">nitrogen uptake </w:t>
      </w:r>
      <w:r w:rsidR="00E811B8" w:rsidRPr="00D93FF9">
        <w:rPr>
          <w:lang w:val="en-GB"/>
        </w:rPr>
        <w:t xml:space="preserve">and </w:t>
      </w:r>
      <w:r w:rsidR="00E811B8" w:rsidRPr="00D93FF9">
        <w:rPr>
          <w:spacing w:val="-3"/>
          <w:lang w:val="en-GB"/>
        </w:rPr>
        <w:t xml:space="preserve">removal </w:t>
      </w:r>
      <w:r w:rsidR="00E811B8" w:rsidRPr="00D93FF9">
        <w:rPr>
          <w:lang w:val="en-GB"/>
        </w:rPr>
        <w:t xml:space="preserve">from </w:t>
      </w:r>
      <w:r w:rsidR="00E811B8" w:rsidRPr="00D93FF9">
        <w:rPr>
          <w:spacing w:val="-3"/>
          <w:lang w:val="en-GB"/>
        </w:rPr>
        <w:t xml:space="preserve">irrigation </w:t>
      </w:r>
      <w:r w:rsidR="00E811B8" w:rsidRPr="00D93FF9">
        <w:rPr>
          <w:lang w:val="en-GB"/>
        </w:rPr>
        <w:t xml:space="preserve">sites </w:t>
      </w:r>
      <w:r w:rsidR="00E811B8" w:rsidRPr="00D93FF9">
        <w:rPr>
          <w:spacing w:val="-3"/>
          <w:lang w:val="en-GB"/>
        </w:rPr>
        <w:t>var</w:t>
      </w:r>
      <w:r w:rsidRPr="00D93FF9">
        <w:rPr>
          <w:spacing w:val="-3"/>
          <w:lang w:val="en-GB"/>
        </w:rPr>
        <w:t>y</w:t>
      </w:r>
      <w:r w:rsidR="00E811B8" w:rsidRPr="00D93FF9">
        <w:rPr>
          <w:spacing w:val="-3"/>
          <w:lang w:val="en-GB"/>
        </w:rPr>
        <w:t xml:space="preserve"> considerably with </w:t>
      </w:r>
      <w:r w:rsidR="00E811B8" w:rsidRPr="00D93FF9">
        <w:rPr>
          <w:lang w:val="en-GB"/>
        </w:rPr>
        <w:t xml:space="preserve">the </w:t>
      </w:r>
      <w:r w:rsidR="00E811B8" w:rsidRPr="00D93FF9">
        <w:rPr>
          <w:spacing w:val="-3"/>
          <w:lang w:val="en-GB"/>
        </w:rPr>
        <w:t xml:space="preserve">type </w:t>
      </w:r>
      <w:r w:rsidR="00E811B8" w:rsidRPr="00D93FF9">
        <w:rPr>
          <w:lang w:val="en-GB"/>
        </w:rPr>
        <w:t xml:space="preserve">of crop </w:t>
      </w:r>
      <w:r w:rsidR="00E811B8" w:rsidRPr="00D93FF9">
        <w:rPr>
          <w:spacing w:val="-3"/>
          <w:lang w:val="en-GB"/>
        </w:rPr>
        <w:t>grown (see</w:t>
      </w:r>
      <w:r w:rsidR="0088165F" w:rsidRPr="00D93FF9">
        <w:rPr>
          <w:spacing w:val="-3"/>
          <w:lang w:val="en-GB"/>
        </w:rPr>
        <w:t xml:space="preserve"> </w:t>
      </w:r>
      <w:r w:rsidR="0088165F" w:rsidRPr="00D93FF9">
        <w:rPr>
          <w:spacing w:val="-3"/>
          <w:lang w:val="en-GB"/>
        </w:rPr>
        <w:fldChar w:fldCharType="begin"/>
      </w:r>
      <w:r w:rsidR="0088165F" w:rsidRPr="00D93FF9">
        <w:rPr>
          <w:spacing w:val="-3"/>
          <w:lang w:val="en-GB"/>
        </w:rPr>
        <w:instrText xml:space="preserve"> REF _Ref81394808 \h </w:instrText>
      </w:r>
      <w:r w:rsidR="00D93FF9">
        <w:rPr>
          <w:spacing w:val="-3"/>
          <w:lang w:val="en-GB"/>
        </w:rPr>
        <w:instrText xml:space="preserve"> \* MERGEFORMAT </w:instrText>
      </w:r>
      <w:r w:rsidR="0088165F" w:rsidRPr="00D93FF9">
        <w:rPr>
          <w:spacing w:val="-3"/>
          <w:lang w:val="en-GB"/>
        </w:rPr>
      </w:r>
      <w:r w:rsidR="0088165F" w:rsidRPr="00D93FF9">
        <w:rPr>
          <w:spacing w:val="-3"/>
          <w:lang w:val="en-GB"/>
        </w:rPr>
        <w:fldChar w:fldCharType="separate"/>
      </w:r>
      <w:r w:rsidR="0069302C" w:rsidRPr="00D93FF9">
        <w:t xml:space="preserve">Table </w:t>
      </w:r>
      <w:r w:rsidR="0069302C">
        <w:rPr>
          <w:noProof/>
        </w:rPr>
        <w:t>26</w:t>
      </w:r>
      <w:r w:rsidR="0088165F" w:rsidRPr="00D93FF9">
        <w:rPr>
          <w:spacing w:val="-3"/>
          <w:lang w:val="en-GB"/>
        </w:rPr>
        <w:fldChar w:fldCharType="end"/>
      </w:r>
      <w:r w:rsidR="00E811B8" w:rsidRPr="00D93FF9">
        <w:rPr>
          <w:spacing w:val="-3"/>
          <w:lang w:val="en-GB"/>
        </w:rPr>
        <w:t>).</w:t>
      </w:r>
    </w:p>
    <w:p w14:paraId="59DCD40A" w14:textId="77777777" w:rsidR="00C46175" w:rsidRPr="00D93FF9" w:rsidRDefault="00E811B8" w:rsidP="003807A1">
      <w:pPr>
        <w:pStyle w:val="BodyText"/>
        <w:spacing w:after="0"/>
        <w:jc w:val="both"/>
        <w:rPr>
          <w:lang w:val="en-GB"/>
        </w:rPr>
      </w:pPr>
      <w:r w:rsidRPr="00D93FF9">
        <w:rPr>
          <w:lang w:val="en-GB"/>
        </w:rPr>
        <w:t xml:space="preserve">No </w:t>
      </w:r>
      <w:r w:rsidR="006D735C" w:rsidRPr="00D93FF9">
        <w:rPr>
          <w:lang w:val="en-GB"/>
        </w:rPr>
        <w:t>ACL</w:t>
      </w:r>
      <w:r w:rsidRPr="00D93FF9">
        <w:rPr>
          <w:lang w:val="en-GB"/>
        </w:rPr>
        <w:t xml:space="preserve"> has been determined because nitrogen is a major plant nutrient.</w:t>
      </w:r>
    </w:p>
    <w:p w14:paraId="59DCD40B" w14:textId="77777777" w:rsidR="008D20BB" w:rsidRPr="00D93FF9" w:rsidRDefault="008D20BB" w:rsidP="003807A1">
      <w:pPr>
        <w:spacing w:after="0"/>
        <w:rPr>
          <w:rFonts w:ascii="Arial"/>
          <w:b/>
          <w:i/>
          <w:sz w:val="20"/>
          <w:lang w:val="en-GB"/>
        </w:rPr>
      </w:pPr>
    </w:p>
    <w:p w14:paraId="59DCD40C" w14:textId="18AB875E" w:rsidR="00C46175" w:rsidRPr="00D93FF9" w:rsidRDefault="00E811B8" w:rsidP="00DC5250">
      <w:pPr>
        <w:pStyle w:val="Heading5"/>
        <w:rPr>
          <w:lang w:val="en-GB"/>
        </w:rPr>
      </w:pPr>
      <w:r w:rsidRPr="00D93FF9">
        <w:rPr>
          <w:lang w:val="en-GB"/>
        </w:rPr>
        <w:t xml:space="preserve">Calculating site-specific short-term </w:t>
      </w:r>
      <w:r w:rsidR="00855C80" w:rsidRPr="00D93FF9">
        <w:rPr>
          <w:lang w:val="en-GB"/>
        </w:rPr>
        <w:t>guid</w:t>
      </w:r>
      <w:r w:rsidR="0006688D" w:rsidRPr="00D93FF9">
        <w:rPr>
          <w:lang w:val="en-GB"/>
        </w:rPr>
        <w:t>el</w:t>
      </w:r>
      <w:r w:rsidR="00855C80" w:rsidRPr="00D93FF9">
        <w:rPr>
          <w:lang w:val="en-GB"/>
        </w:rPr>
        <w:t xml:space="preserve">ine </w:t>
      </w:r>
      <w:r w:rsidRPr="00D93FF9">
        <w:rPr>
          <w:lang w:val="en-GB"/>
        </w:rPr>
        <w:t>values for nitrogen</w:t>
      </w:r>
    </w:p>
    <w:tbl>
      <w:tblPr>
        <w:tblW w:w="8545" w:type="dxa"/>
        <w:tblInd w:w="217" w:type="dxa"/>
        <w:tblLook w:val="04A0" w:firstRow="1" w:lastRow="0" w:firstColumn="1" w:lastColumn="0" w:noHBand="0" w:noVBand="1"/>
      </w:tblPr>
      <w:tblGrid>
        <w:gridCol w:w="6266"/>
        <w:gridCol w:w="2279"/>
      </w:tblGrid>
      <w:tr w:rsidR="00BE3AA8" w:rsidRPr="00D93FF9" w14:paraId="59DCD40F" w14:textId="77777777" w:rsidTr="00C36B95">
        <w:trPr>
          <w:trHeight w:val="318"/>
        </w:trPr>
        <w:tc>
          <w:tcPr>
            <w:tcW w:w="6266" w:type="dxa"/>
            <w:tcBorders>
              <w:top w:val="nil"/>
              <w:left w:val="nil"/>
              <w:bottom w:val="nil"/>
              <w:right w:val="nil"/>
            </w:tcBorders>
          </w:tcPr>
          <w:p w14:paraId="59DCD40D" w14:textId="0774DDFE" w:rsidR="00C36B95" w:rsidRPr="00D93FF9" w:rsidRDefault="00E811B8" w:rsidP="003807A1">
            <w:pPr>
              <w:spacing w:after="0"/>
              <w:rPr>
                <w:szCs w:val="24"/>
                <w:lang w:val="en-GB"/>
              </w:rPr>
            </w:pPr>
            <m:oMathPara>
              <m:oMathParaPr>
                <m:jc m:val="left"/>
              </m:oMathParaPr>
              <m:oMath>
                <m:r>
                  <m:rPr>
                    <m:sty m:val="p"/>
                  </m:rPr>
                  <w:rPr>
                    <w:rFonts w:ascii="Cambria Math" w:hAnsi="Cambria Math"/>
                    <w:szCs w:val="24"/>
                    <w:lang w:val="en-GB"/>
                  </w:rPr>
                  <m:t>SG</m:t>
                </m:r>
                <m:sSub>
                  <m:sSubPr>
                    <m:ctrlPr>
                      <w:rPr>
                        <w:rFonts w:ascii="Cambria Math" w:hAnsi="Cambria Math"/>
                        <w:bCs/>
                        <w:iCs/>
                        <w:szCs w:val="24"/>
                        <w:lang w:val="en-GB"/>
                      </w:rPr>
                    </m:ctrlPr>
                  </m:sSubPr>
                  <m:e>
                    <m:r>
                      <m:rPr>
                        <m:sty m:val="p"/>
                      </m:rPr>
                      <w:rPr>
                        <w:rFonts w:ascii="Cambria Math" w:hAnsi="Cambria Math"/>
                        <w:szCs w:val="24"/>
                        <w:lang w:val="en-GB"/>
                      </w:rPr>
                      <m:t>V</m:t>
                    </m:r>
                  </m:e>
                  <m:sub>
                    <m:r>
                      <m:rPr>
                        <m:sty m:val="p"/>
                      </m:rPr>
                      <w:rPr>
                        <w:rFonts w:ascii="Cambria Math" w:hAnsi="Cambria Math"/>
                        <w:szCs w:val="24"/>
                        <w:lang w:val="en-GB"/>
                      </w:rPr>
                      <m:t>N</m:t>
                    </m:r>
                  </m:sub>
                </m:sSub>
                <m:r>
                  <m:rPr>
                    <m:sty m:val="p"/>
                  </m:rPr>
                  <w:rPr>
                    <w:rFonts w:ascii="Cambria Math" w:hAnsi="Cambria Math"/>
                    <w:szCs w:val="24"/>
                    <w:lang w:val="en-GB"/>
                  </w:rPr>
                  <m:t>=</m:t>
                </m:r>
                <m:sSub>
                  <m:sSubPr>
                    <m:ctrlPr>
                      <w:rPr>
                        <w:rFonts w:ascii="Cambria Math" w:hAnsi="Cambria Math"/>
                        <w:bCs/>
                        <w:iCs/>
                        <w:szCs w:val="24"/>
                        <w:lang w:val="en-GB"/>
                      </w:rPr>
                    </m:ctrlPr>
                  </m:sSubPr>
                  <m:e>
                    <m:r>
                      <m:rPr>
                        <m:sty m:val="p"/>
                      </m:rPr>
                      <w:rPr>
                        <w:rFonts w:ascii="Cambria Math" w:hAnsi="Cambria Math"/>
                        <w:szCs w:val="24"/>
                        <w:lang w:val="en-GB"/>
                      </w:rPr>
                      <m:t>N</m:t>
                    </m:r>
                  </m:e>
                  <m:sub>
                    <m:r>
                      <m:rPr>
                        <m:sty m:val="p"/>
                      </m:rPr>
                      <w:rPr>
                        <w:rFonts w:ascii="Cambria Math" w:hAnsi="Cambria Math"/>
                        <w:szCs w:val="24"/>
                        <w:lang w:val="en-GB"/>
                      </w:rPr>
                      <m:t>env</m:t>
                    </m:r>
                  </m:sub>
                </m:sSub>
                <m:r>
                  <m:rPr>
                    <m:sty m:val="p"/>
                  </m:rPr>
                  <w:rPr>
                    <w:rFonts w:ascii="Cambria Math" w:hAnsi="Cambria Math"/>
                    <w:szCs w:val="24"/>
                    <w:lang w:val="en-GB"/>
                  </w:rPr>
                  <m:t>+</m:t>
                </m:r>
                <m:sSub>
                  <m:sSubPr>
                    <m:ctrlPr>
                      <w:rPr>
                        <w:rFonts w:ascii="Cambria Math" w:hAnsi="Cambria Math"/>
                        <w:bCs/>
                        <w:iCs/>
                        <w:szCs w:val="24"/>
                        <w:lang w:val="en-GB"/>
                      </w:rPr>
                    </m:ctrlPr>
                  </m:sSubPr>
                  <m:e>
                    <m:r>
                      <m:rPr>
                        <m:sty m:val="p"/>
                      </m:rPr>
                      <w:rPr>
                        <w:rFonts w:ascii="Cambria Math" w:hAnsi="Cambria Math"/>
                        <w:szCs w:val="24"/>
                        <w:lang w:val="en-GB"/>
                      </w:rPr>
                      <m:t>N</m:t>
                    </m:r>
                  </m:e>
                  <m:sub>
                    <m:r>
                      <m:rPr>
                        <m:sty m:val="p"/>
                      </m:rPr>
                      <w:rPr>
                        <w:rFonts w:ascii="Cambria Math" w:hAnsi="Cambria Math"/>
                        <w:szCs w:val="24"/>
                        <w:lang w:val="en-GB"/>
                      </w:rPr>
                      <m:t>removed</m:t>
                    </m:r>
                  </m:sub>
                </m:sSub>
                <m:r>
                  <m:rPr>
                    <m:sty m:val="p"/>
                  </m:rPr>
                  <w:rPr>
                    <w:rFonts w:ascii="Cambria Math" w:hAnsi="Cambria Math"/>
                    <w:szCs w:val="24"/>
                    <w:lang w:val="en-GB"/>
                  </w:rPr>
                  <m:t>+</m:t>
                </m:r>
                <m:sSub>
                  <m:sSubPr>
                    <m:ctrlPr>
                      <w:rPr>
                        <w:rFonts w:ascii="Cambria Math" w:hAnsi="Cambria Math"/>
                        <w:bCs/>
                        <w:iCs/>
                        <w:szCs w:val="24"/>
                        <w:lang w:val="en-GB"/>
                      </w:rPr>
                    </m:ctrlPr>
                  </m:sSubPr>
                  <m:e>
                    <m:r>
                      <m:rPr>
                        <m:sty m:val="p"/>
                      </m:rPr>
                      <w:rPr>
                        <w:rFonts w:ascii="Cambria Math" w:hAnsi="Cambria Math"/>
                        <w:szCs w:val="24"/>
                        <w:lang w:val="en-GB"/>
                      </w:rPr>
                      <m:t>N</m:t>
                    </m:r>
                  </m:e>
                  <m:sub>
                    <m:r>
                      <m:rPr>
                        <m:sty m:val="p"/>
                      </m:rPr>
                      <w:rPr>
                        <w:rFonts w:ascii="Cambria Math" w:hAnsi="Cambria Math"/>
                        <w:szCs w:val="24"/>
                        <w:lang w:val="en-GB"/>
                      </w:rPr>
                      <m:t>gasloss</m:t>
                    </m:r>
                  </m:sub>
                </m:sSub>
              </m:oMath>
            </m:oMathPara>
          </w:p>
        </w:tc>
        <w:tc>
          <w:tcPr>
            <w:tcW w:w="2279" w:type="dxa"/>
            <w:tcBorders>
              <w:top w:val="nil"/>
              <w:left w:val="nil"/>
              <w:bottom w:val="nil"/>
              <w:right w:val="nil"/>
            </w:tcBorders>
          </w:tcPr>
          <w:p w14:paraId="59DCD40E" w14:textId="0E1EE6DE" w:rsidR="00C36B95" w:rsidRPr="00D93FF9" w:rsidRDefault="00E811B8" w:rsidP="009E084C">
            <w:pPr>
              <w:pStyle w:val="Caption"/>
              <w:jc w:val="right"/>
            </w:pPr>
            <w:r w:rsidRPr="00D93FF9">
              <w:t xml:space="preserve">Equation </w:t>
            </w:r>
            <w:r w:rsidRPr="00D93FF9">
              <w:fldChar w:fldCharType="begin"/>
            </w:r>
            <w:r w:rsidRPr="00D93FF9">
              <w:instrText xml:space="preserve"> SEQ Equation \* ARABIC </w:instrText>
            </w:r>
            <w:r w:rsidRPr="00D93FF9">
              <w:fldChar w:fldCharType="separate"/>
            </w:r>
            <w:r w:rsidR="0069302C">
              <w:rPr>
                <w:noProof/>
              </w:rPr>
              <w:t>28</w:t>
            </w:r>
            <w:r w:rsidRPr="00D93FF9">
              <w:fldChar w:fldCharType="end"/>
            </w:r>
          </w:p>
        </w:tc>
      </w:tr>
    </w:tbl>
    <w:p w14:paraId="59DCD410" w14:textId="77777777" w:rsidR="00C36B95" w:rsidRPr="00D93FF9" w:rsidRDefault="00C36B95" w:rsidP="003807A1">
      <w:pPr>
        <w:pStyle w:val="BodyText"/>
        <w:spacing w:after="0"/>
      </w:pPr>
    </w:p>
    <w:p w14:paraId="59DCD411" w14:textId="77777777" w:rsidR="00C36B95" w:rsidRPr="00D93FF9" w:rsidRDefault="00E811B8" w:rsidP="003807A1">
      <w:pPr>
        <w:pStyle w:val="BodyText"/>
        <w:spacing w:after="0"/>
      </w:pPr>
      <w:r w:rsidRPr="00D93FF9">
        <w:t>where:</w:t>
      </w:r>
    </w:p>
    <w:p w14:paraId="59DCD412" w14:textId="77777777" w:rsidR="00C36B95" w:rsidRPr="00D93FF9" w:rsidRDefault="00E811B8" w:rsidP="00DC5250">
      <w:pPr>
        <w:pStyle w:val="BodyText"/>
        <w:spacing w:after="0"/>
        <w:rPr>
          <w:sz w:val="24"/>
        </w:rPr>
      </w:pPr>
      <w:r w:rsidRPr="00D93FF9">
        <w:t>SGV</w:t>
      </w:r>
      <w:r w:rsidRPr="00D93FF9">
        <w:rPr>
          <w:position w:val="-4"/>
          <w:sz w:val="15"/>
        </w:rPr>
        <w:t>N</w:t>
      </w:r>
      <w:r w:rsidRPr="00D93FF9">
        <w:rPr>
          <w:position w:val="-4"/>
          <w:sz w:val="15"/>
        </w:rPr>
        <w:tab/>
      </w:r>
      <w:r w:rsidRPr="00D93FF9">
        <w:t>Site-specific guideline value for nitrogen (N) in irrigation water</w:t>
      </w:r>
      <w:r w:rsidRPr="00D93FF9">
        <w:rPr>
          <w:spacing w:val="-14"/>
        </w:rPr>
        <w:t xml:space="preserve"> </w:t>
      </w:r>
      <w:r w:rsidRPr="00D93FF9">
        <w:t>(mg/L)</w:t>
      </w:r>
    </w:p>
    <w:p w14:paraId="59DCD413" w14:textId="2A494088" w:rsidR="00C36B95" w:rsidRPr="00D93FF9" w:rsidRDefault="00E811B8" w:rsidP="002201B6">
      <w:pPr>
        <w:pStyle w:val="BodyText"/>
        <w:spacing w:after="0"/>
        <w:ind w:left="1134" w:hanging="1134"/>
      </w:pPr>
      <w:r w:rsidRPr="00D93FF9">
        <w:t>N</w:t>
      </w:r>
      <w:r w:rsidRPr="00D93FF9">
        <w:rPr>
          <w:position w:val="-4"/>
          <w:sz w:val="15"/>
        </w:rPr>
        <w:t>env</w:t>
      </w:r>
      <w:r w:rsidRPr="00D93FF9">
        <w:rPr>
          <w:position w:val="-4"/>
          <w:sz w:val="15"/>
        </w:rPr>
        <w:tab/>
      </w:r>
      <w:r w:rsidRPr="00D93FF9">
        <w:t xml:space="preserve">environmentally significant N concentration, i.e. &gt;23 mg N/L potentially toxic to people &gt; three-month-old or 11 mg N/L for infants &lt; 3 months old </w:t>
      </w:r>
      <w:r w:rsidRPr="00D93FF9">
        <w:fldChar w:fldCharType="begin"/>
      </w:r>
      <w:r w:rsidR="007C2051" w:rsidRPr="00D93FF9">
        <w:instrText xml:space="preserve"> ADDIN ZOTERO_ITEM CSL_CITATION {"citationID":"9BeHFqc5","properties":{"formattedCitation":"(NHMRC and NRMMC, 2011)","plainCitation":"(NHMRC and NRMMC, 2011)","noteIndex":0},"citationItems":[{"id":31763,"uris":["http://zotero.org/users/1938757/items/B4JAB6EL"],"uri":["http://zotero.org/users/1938757/items/B4JAB6EL"],"itemData":{"id":31763,"type":"report","collection-title":"Paper 6. National Water Quality Management Stratergy","event-place":"Commonwealth of Australia, Canberra.","publisher":"National Health and Medical Research Council, National Resource Management Ministerial Council","publisher-place":"Commonwealth of Australia, Canberra.","title":"Australian Drinking Water Guidelines 6 (2018 update to 2011) V. 3.5","URL":"https://www.nhmrc.gov.au/about-us/publications/australian-drinking-water-guidelines#block-views-block-file-attachments-content-block-1","author":[{"family":"NHMRC","given":""},{"family":"NRMMC","given":""}],"accessed":{"date-parts":[["2016",6,27]]},"issued":{"date-parts":[["2011"]],"season":"2018 update"}}}],"schema":"https://github.com/citation-style-language/schema/raw/master/csl-citation.json"} </w:instrText>
      </w:r>
      <w:r w:rsidRPr="00D93FF9">
        <w:fldChar w:fldCharType="separate"/>
      </w:r>
      <w:r w:rsidR="007C2051" w:rsidRPr="00D93FF9">
        <w:rPr>
          <w:rFonts w:ascii="Calibri" w:hAnsi="Calibri" w:cs="Calibri"/>
        </w:rPr>
        <w:t>(NHMRC and NRMMC 2011)</w:t>
      </w:r>
      <w:r w:rsidRPr="00D93FF9">
        <w:fldChar w:fldCharType="end"/>
      </w:r>
      <w:r w:rsidRPr="00D93FF9">
        <w:t xml:space="preserve"> to be conservative.</w:t>
      </w:r>
    </w:p>
    <w:p w14:paraId="59DCD414" w14:textId="29751FA2" w:rsidR="00C36B95" w:rsidRPr="00D93FF9" w:rsidRDefault="00E811B8" w:rsidP="002201B6">
      <w:pPr>
        <w:pStyle w:val="BodyText"/>
        <w:spacing w:after="0"/>
        <w:ind w:left="1134" w:hanging="1134"/>
      </w:pPr>
      <w:r w:rsidRPr="00D93FF9">
        <w:t>N</w:t>
      </w:r>
      <w:r w:rsidR="00AF1CC8" w:rsidRPr="00D93FF9">
        <w:rPr>
          <w:position w:val="-4"/>
          <w:sz w:val="15"/>
        </w:rPr>
        <w:t>removed</w:t>
      </w:r>
      <w:r w:rsidRPr="00D93FF9">
        <w:rPr>
          <w:position w:val="-4"/>
          <w:sz w:val="15"/>
        </w:rPr>
        <w:tab/>
      </w:r>
      <w:r w:rsidRPr="00D93FF9">
        <w:t>nitrogen removed from irrigation water in the harvestable portion of the plant</w:t>
      </w:r>
      <w:r w:rsidRPr="00D93FF9">
        <w:rPr>
          <w:spacing w:val="-1"/>
        </w:rPr>
        <w:t xml:space="preserve"> </w:t>
      </w:r>
      <w:r w:rsidRPr="00D93FF9">
        <w:t>(mg/L)</w:t>
      </w:r>
    </w:p>
    <w:p w14:paraId="59DCD415" w14:textId="77777777" w:rsidR="00C36B95" w:rsidRPr="00D93FF9" w:rsidRDefault="00E811B8" w:rsidP="002201B6">
      <w:pPr>
        <w:spacing w:after="0"/>
        <w:ind w:left="1134" w:hanging="1134"/>
        <w:rPr>
          <w:position w:val="5"/>
          <w:lang w:val="en-GB"/>
        </w:rPr>
      </w:pPr>
      <w:r w:rsidRPr="00D93FF9">
        <w:t>N</w:t>
      </w:r>
      <w:r w:rsidRPr="00D93FF9">
        <w:rPr>
          <w:position w:val="-4"/>
          <w:sz w:val="15"/>
        </w:rPr>
        <w:t>gasloss</w:t>
      </w:r>
      <w:r w:rsidRPr="00D93FF9">
        <w:rPr>
          <w:position w:val="-4"/>
          <w:sz w:val="15"/>
        </w:rPr>
        <w:tab/>
      </w:r>
      <w:r w:rsidRPr="00D93FF9">
        <w:t xml:space="preserve">gaseous losses through volatilisation and denitrification. This figure could vary from 0 to 80% of N applied depending on the forms of N present in irrigation water and environmental considerations discussed below. If an estimate is not available, it is recommended that a value of 0 be used, providing a safety margin. </w:t>
      </w:r>
    </w:p>
    <w:p w14:paraId="59DCD416" w14:textId="77777777" w:rsidR="00C36B95" w:rsidRPr="00D93FF9" w:rsidRDefault="00C36B95" w:rsidP="003807A1">
      <w:pPr>
        <w:spacing w:after="0"/>
        <w:jc w:val="center"/>
        <w:rPr>
          <w:position w:val="5"/>
          <w:lang w:val="en-GB"/>
        </w:rPr>
      </w:pPr>
    </w:p>
    <w:p w14:paraId="59DCD417" w14:textId="77777777" w:rsidR="00F124FE" w:rsidRPr="00D93FF9" w:rsidRDefault="00E811B8" w:rsidP="003807A1">
      <w:pPr>
        <w:spacing w:after="0"/>
        <w:rPr>
          <w:iCs/>
          <w:szCs w:val="36"/>
          <w:lang w:val="en-GB"/>
        </w:rPr>
      </w:pPr>
      <w:r w:rsidRPr="00D93FF9">
        <w:rPr>
          <w:lang w:val="en-GB"/>
        </w:rPr>
        <w:t>For calculation of N</w:t>
      </w:r>
      <w:r w:rsidRPr="00D93FF9">
        <w:rPr>
          <w:position w:val="-4"/>
          <w:sz w:val="15"/>
          <w:lang w:val="en-GB"/>
        </w:rPr>
        <w:t>removed</w:t>
      </w:r>
      <w:r w:rsidRPr="00D93FF9">
        <w:rPr>
          <w:lang w:val="en-GB"/>
        </w:rPr>
        <w:t>:</w:t>
      </w:r>
    </w:p>
    <w:p w14:paraId="59DCD418" w14:textId="77777777" w:rsidR="006C67BF" w:rsidRPr="00D93FF9" w:rsidRDefault="006C67BF" w:rsidP="006C67BF">
      <w:pPr>
        <w:pStyle w:val="Caption"/>
      </w:pPr>
    </w:p>
    <w:tbl>
      <w:tblPr>
        <w:tblStyle w:val="TableGrid"/>
        <w:tblW w:w="8545" w:type="dxa"/>
        <w:tblInd w:w="217" w:type="dxa"/>
        <w:tblLook w:val="04A0" w:firstRow="1" w:lastRow="0" w:firstColumn="1" w:lastColumn="0" w:noHBand="0" w:noVBand="1"/>
      </w:tblPr>
      <w:tblGrid>
        <w:gridCol w:w="7013"/>
        <w:gridCol w:w="1532"/>
      </w:tblGrid>
      <w:tr w:rsidR="00BE3AA8" w:rsidRPr="00D93FF9" w14:paraId="59DCD41B" w14:textId="77777777" w:rsidTr="006C67BF">
        <w:trPr>
          <w:trHeight w:val="318"/>
        </w:trPr>
        <w:tc>
          <w:tcPr>
            <w:tcW w:w="7013" w:type="dxa"/>
            <w:tcBorders>
              <w:top w:val="nil"/>
              <w:left w:val="nil"/>
              <w:bottom w:val="nil"/>
              <w:right w:val="nil"/>
            </w:tcBorders>
          </w:tcPr>
          <w:p w14:paraId="59DCD419" w14:textId="77777777" w:rsidR="009D4C50" w:rsidRPr="00D93FF9" w:rsidRDefault="00735642" w:rsidP="003807A1">
            <w:pPr>
              <w:spacing w:before="0" w:after="0"/>
              <w:rPr>
                <w:bCs/>
                <w:sz w:val="22"/>
                <w:szCs w:val="22"/>
                <w:lang w:val="en-GB"/>
              </w:rPr>
            </w:pPr>
            <m:oMathPara>
              <m:oMathParaPr>
                <m:jc m:val="left"/>
              </m:oMathParaPr>
              <m:oMath>
                <m:sSub>
                  <m:sSubPr>
                    <m:ctrlPr>
                      <w:rPr>
                        <w:rFonts w:ascii="Cambria Math" w:hAnsi="Cambria Math"/>
                        <w:bCs/>
                        <w:sz w:val="22"/>
                        <w:szCs w:val="22"/>
                        <w:lang w:val="en-GB"/>
                      </w:rPr>
                    </m:ctrlPr>
                  </m:sSubPr>
                  <m:e>
                    <m:r>
                      <m:rPr>
                        <m:sty m:val="p"/>
                      </m:rPr>
                      <w:rPr>
                        <w:rFonts w:ascii="Cambria Math" w:hAnsi="Cambria Math"/>
                        <w:sz w:val="22"/>
                        <w:szCs w:val="22"/>
                        <w:lang w:val="en-GB"/>
                      </w:rPr>
                      <m:t>N</m:t>
                    </m:r>
                  </m:e>
                  <m:sub>
                    <m:r>
                      <m:rPr>
                        <m:sty m:val="p"/>
                      </m:rPr>
                      <w:rPr>
                        <w:rFonts w:ascii="Cambria Math" w:hAnsi="Cambria Math"/>
                        <w:sz w:val="22"/>
                        <w:szCs w:val="22"/>
                        <w:lang w:val="en-GB"/>
                      </w:rPr>
                      <m:t>removed</m:t>
                    </m:r>
                  </m:sub>
                </m:sSub>
                <m:r>
                  <m:rPr>
                    <m:sty m:val="p"/>
                  </m:rPr>
                  <w:rPr>
                    <w:rFonts w:ascii="Cambria Math" w:hAnsi="Cambria Math"/>
                    <w:sz w:val="22"/>
                    <w:szCs w:val="22"/>
                    <w:lang w:val="en-GB"/>
                  </w:rPr>
                  <m:t>=</m:t>
                </m:r>
                <m:f>
                  <m:fPr>
                    <m:ctrlPr>
                      <w:rPr>
                        <w:rFonts w:ascii="Cambria Math" w:hAnsi="Cambria Math"/>
                        <w:bCs/>
                        <w:sz w:val="22"/>
                        <w:szCs w:val="22"/>
                        <w:lang w:val="en-GB"/>
                      </w:rPr>
                    </m:ctrlPr>
                  </m:fPr>
                  <m:num>
                    <m:sSub>
                      <m:sSubPr>
                        <m:ctrlPr>
                          <w:rPr>
                            <w:rFonts w:ascii="Cambria Math" w:hAnsi="Cambria Math"/>
                            <w:bCs/>
                            <w:sz w:val="22"/>
                            <w:szCs w:val="22"/>
                            <w:lang w:val="en-GB"/>
                          </w:rPr>
                        </m:ctrlPr>
                      </m:sSubPr>
                      <m:e>
                        <m:r>
                          <m:rPr>
                            <m:sty m:val="p"/>
                          </m:rPr>
                          <w:rPr>
                            <w:rFonts w:ascii="Cambria Math" w:hAnsi="Cambria Math"/>
                            <w:sz w:val="22"/>
                            <w:szCs w:val="22"/>
                            <w:lang w:val="en-GB"/>
                          </w:rPr>
                          <m:t>N</m:t>
                        </m:r>
                      </m:e>
                      <m:sub>
                        <m:r>
                          <m:rPr>
                            <m:sty m:val="p"/>
                          </m:rPr>
                          <w:rPr>
                            <w:rFonts w:ascii="Cambria Math" w:hAnsi="Cambria Math"/>
                            <w:sz w:val="22"/>
                            <w:szCs w:val="22"/>
                            <w:lang w:val="en-GB"/>
                          </w:rPr>
                          <m:t>harv</m:t>
                        </m:r>
                      </m:sub>
                    </m:sSub>
                    <m:r>
                      <m:rPr>
                        <m:sty m:val="p"/>
                      </m:rPr>
                      <w:rPr>
                        <w:rFonts w:ascii="Cambria Math" w:hAnsi="Cambria Math"/>
                        <w:sz w:val="22"/>
                        <w:szCs w:val="22"/>
                        <w:lang w:val="en-GB"/>
                      </w:rPr>
                      <m:t>-</m:t>
                    </m:r>
                    <m:sSub>
                      <m:sSubPr>
                        <m:ctrlPr>
                          <w:rPr>
                            <w:rFonts w:ascii="Cambria Math" w:hAnsi="Cambria Math"/>
                            <w:bCs/>
                            <w:sz w:val="22"/>
                            <w:szCs w:val="22"/>
                            <w:lang w:val="en-GB"/>
                          </w:rPr>
                        </m:ctrlPr>
                      </m:sSubPr>
                      <m:e>
                        <m:r>
                          <m:rPr>
                            <m:sty m:val="p"/>
                          </m:rPr>
                          <w:rPr>
                            <w:rFonts w:ascii="Cambria Math" w:hAnsi="Cambria Math"/>
                            <w:sz w:val="22"/>
                            <w:szCs w:val="22"/>
                            <w:lang w:val="en-GB"/>
                          </w:rPr>
                          <m:t>N</m:t>
                        </m:r>
                      </m:e>
                      <m:sub>
                        <m:r>
                          <m:rPr>
                            <m:sty m:val="p"/>
                          </m:rPr>
                          <w:rPr>
                            <w:rFonts w:ascii="Cambria Math" w:hAnsi="Cambria Math"/>
                            <w:sz w:val="22"/>
                            <w:szCs w:val="22"/>
                            <w:lang w:val="en-GB"/>
                          </w:rPr>
                          <m:t>fert</m:t>
                        </m:r>
                      </m:sub>
                    </m:sSub>
                  </m:num>
                  <m:den>
                    <m:sSub>
                      <m:sSubPr>
                        <m:ctrlPr>
                          <w:rPr>
                            <w:rFonts w:ascii="Cambria Math" w:hAnsi="Cambria Math"/>
                            <w:bCs/>
                            <w:sz w:val="22"/>
                            <w:szCs w:val="22"/>
                            <w:lang w:val="en-GB"/>
                          </w:rPr>
                        </m:ctrlPr>
                      </m:sSubPr>
                      <m:e>
                        <m:r>
                          <m:rPr>
                            <m:sty m:val="p"/>
                          </m:rPr>
                          <w:rPr>
                            <w:rFonts w:ascii="Cambria Math" w:hAnsi="Cambria Math"/>
                            <w:sz w:val="22"/>
                            <w:szCs w:val="22"/>
                            <w:lang w:val="en-GB"/>
                          </w:rPr>
                          <m:t>I</m:t>
                        </m:r>
                      </m:e>
                      <m:sub>
                        <m:r>
                          <m:rPr>
                            <m:sty m:val="p"/>
                          </m:rPr>
                          <w:rPr>
                            <w:rFonts w:ascii="Cambria Math" w:hAnsi="Cambria Math"/>
                            <w:sz w:val="22"/>
                            <w:szCs w:val="22"/>
                            <w:lang w:val="en-GB"/>
                          </w:rPr>
                          <m:t>W</m:t>
                        </m:r>
                      </m:sub>
                    </m:sSub>
                    <m:r>
                      <m:rPr>
                        <m:sty m:val="p"/>
                      </m:rPr>
                      <w:rPr>
                        <w:rFonts w:ascii="Cambria Math" w:hAnsi="Cambria Math"/>
                        <w:sz w:val="22"/>
                        <w:szCs w:val="22"/>
                        <w:lang w:val="en-GB"/>
                      </w:rPr>
                      <m:t>×10</m:t>
                    </m:r>
                  </m:den>
                </m:f>
              </m:oMath>
            </m:oMathPara>
          </w:p>
        </w:tc>
        <w:tc>
          <w:tcPr>
            <w:tcW w:w="1532" w:type="dxa"/>
            <w:tcBorders>
              <w:top w:val="nil"/>
              <w:left w:val="nil"/>
              <w:bottom w:val="nil"/>
              <w:right w:val="nil"/>
            </w:tcBorders>
          </w:tcPr>
          <w:p w14:paraId="59DCD41A" w14:textId="7F4469A7" w:rsidR="00F124FE" w:rsidRPr="00D93FF9" w:rsidRDefault="00E811B8" w:rsidP="009E084C">
            <w:pPr>
              <w:spacing w:before="0" w:after="0"/>
              <w:jc w:val="right"/>
              <w:rPr>
                <w:rFonts w:ascii="Calibri" w:hAnsi="Calibri"/>
                <w:b/>
                <w:bCs/>
                <w:iCs/>
                <w:sz w:val="22"/>
                <w:szCs w:val="22"/>
                <w:lang w:val="en-GB"/>
              </w:rPr>
            </w:pPr>
            <w:r w:rsidRPr="00D93FF9">
              <w:rPr>
                <w:rFonts w:ascii="Calibri" w:hAnsi="Calibri"/>
                <w:b/>
                <w:bCs/>
                <w:sz w:val="22"/>
                <w:szCs w:val="22"/>
              </w:rPr>
              <w:t xml:space="preserve">Equation </w:t>
            </w:r>
            <w:r w:rsidRPr="00D93FF9">
              <w:rPr>
                <w:rFonts w:ascii="Calibri" w:hAnsi="Calibri"/>
                <w:b/>
                <w:bCs/>
              </w:rPr>
              <w:fldChar w:fldCharType="begin"/>
            </w:r>
            <w:r w:rsidRPr="00D93FF9">
              <w:rPr>
                <w:rFonts w:ascii="Calibri" w:hAnsi="Calibri"/>
                <w:b/>
                <w:bCs/>
                <w:sz w:val="22"/>
                <w:szCs w:val="22"/>
              </w:rPr>
              <w:instrText xml:space="preserve"> SEQ Equation \* ARABIC </w:instrText>
            </w:r>
            <w:r w:rsidRPr="00D93FF9">
              <w:rPr>
                <w:rFonts w:ascii="Calibri" w:hAnsi="Calibri"/>
                <w:b/>
                <w:bCs/>
              </w:rPr>
              <w:fldChar w:fldCharType="separate"/>
            </w:r>
            <w:r w:rsidR="0069302C">
              <w:rPr>
                <w:rFonts w:ascii="Calibri" w:hAnsi="Calibri"/>
                <w:b/>
                <w:bCs/>
                <w:noProof/>
                <w:sz w:val="22"/>
                <w:szCs w:val="22"/>
              </w:rPr>
              <w:t>29</w:t>
            </w:r>
            <w:r w:rsidRPr="00D93FF9">
              <w:rPr>
                <w:rFonts w:ascii="Calibri" w:hAnsi="Calibri"/>
                <w:b/>
                <w:bCs/>
              </w:rPr>
              <w:fldChar w:fldCharType="end"/>
            </w:r>
          </w:p>
        </w:tc>
      </w:tr>
    </w:tbl>
    <w:p w14:paraId="59DCD41C" w14:textId="77777777" w:rsidR="00F124FE" w:rsidRPr="00D93FF9" w:rsidRDefault="00E811B8" w:rsidP="003807A1">
      <w:pPr>
        <w:pStyle w:val="BodyText"/>
        <w:spacing w:after="0"/>
        <w:rPr>
          <w:lang w:val="en-GB"/>
        </w:rPr>
      </w:pPr>
      <w:r w:rsidRPr="00D93FF9">
        <w:rPr>
          <w:lang w:val="en-GB"/>
        </w:rPr>
        <w:t>where:</w:t>
      </w:r>
    </w:p>
    <w:p w14:paraId="59DCD41D" w14:textId="77777777" w:rsidR="00C36B95" w:rsidRPr="00D93FF9" w:rsidRDefault="00E811B8" w:rsidP="003D0848">
      <w:pPr>
        <w:spacing w:after="0"/>
        <w:ind w:left="1134" w:hanging="1134"/>
        <w:rPr>
          <w:lang w:val="en-GB"/>
        </w:rPr>
      </w:pPr>
      <w:r w:rsidRPr="00D93FF9">
        <w:rPr>
          <w:lang w:val="en-GB"/>
        </w:rPr>
        <w:t>N</w:t>
      </w:r>
      <w:r w:rsidRPr="00D93FF9">
        <w:rPr>
          <w:position w:val="-4"/>
          <w:sz w:val="15"/>
          <w:lang w:val="en-GB"/>
        </w:rPr>
        <w:t>removed</w:t>
      </w:r>
      <w:r w:rsidRPr="00D93FF9">
        <w:rPr>
          <w:position w:val="-4"/>
          <w:sz w:val="15"/>
          <w:lang w:val="en-GB"/>
        </w:rPr>
        <w:tab/>
      </w:r>
      <w:r w:rsidRPr="00D93FF9">
        <w:rPr>
          <w:lang w:val="en-GB"/>
        </w:rPr>
        <w:t>net nitrogen removed from irrigation water through harvestable portion of the plant (mg/L)</w:t>
      </w:r>
    </w:p>
    <w:p w14:paraId="59DCD41E" w14:textId="15E49EEF" w:rsidR="00C36B95" w:rsidRPr="00D93FF9" w:rsidRDefault="00E811B8" w:rsidP="00AF1CC8">
      <w:pPr>
        <w:pStyle w:val="BodyText"/>
        <w:spacing w:after="0"/>
        <w:ind w:left="1134" w:hanging="1134"/>
      </w:pPr>
      <w:r w:rsidRPr="00D93FF9">
        <w:t>N</w:t>
      </w:r>
      <w:r w:rsidRPr="00D93FF9">
        <w:rPr>
          <w:position w:val="-4"/>
          <w:sz w:val="15"/>
        </w:rPr>
        <w:t>harv</w:t>
      </w:r>
      <w:r w:rsidRPr="00D93FF9">
        <w:rPr>
          <w:position w:val="-4"/>
          <w:sz w:val="15"/>
        </w:rPr>
        <w:tab/>
      </w:r>
      <w:r w:rsidRPr="00D93FF9">
        <w:t>nitrogen removed in harvestable portion of the crop (kg/ha</w:t>
      </w:r>
      <w:r w:rsidR="00460B2E" w:rsidRPr="00D93FF9">
        <w:t>/</w:t>
      </w:r>
      <w:r w:rsidR="00D56DB5" w:rsidRPr="00D93FF9">
        <w:t>crop</w:t>
      </w:r>
      <w:r w:rsidRPr="00D93FF9">
        <w:t>). Calculated by multiplying the mean N concentration in the crop to be grown (kg/t;</w:t>
      </w:r>
      <w:r w:rsidR="0088165F" w:rsidRPr="00D93FF9">
        <w:fldChar w:fldCharType="begin"/>
      </w:r>
      <w:r w:rsidR="0088165F" w:rsidRPr="00D93FF9">
        <w:instrText xml:space="preserve"> REF _Ref81394808 \h </w:instrText>
      </w:r>
      <w:r w:rsidR="00D93FF9">
        <w:instrText xml:space="preserve"> \* MERGEFORMAT </w:instrText>
      </w:r>
      <w:r w:rsidR="0088165F" w:rsidRPr="00D93FF9">
        <w:fldChar w:fldCharType="separate"/>
      </w:r>
      <w:r w:rsidR="0069302C" w:rsidRPr="00D93FF9">
        <w:t xml:space="preserve">Table </w:t>
      </w:r>
      <w:r w:rsidR="0069302C">
        <w:rPr>
          <w:noProof/>
        </w:rPr>
        <w:t>26</w:t>
      </w:r>
      <w:r w:rsidR="0088165F" w:rsidRPr="00D93FF9">
        <w:fldChar w:fldCharType="end"/>
      </w:r>
      <w:r w:rsidRPr="00D93FF9">
        <w:t>) by the expected yield (t/ha; site-specific</w:t>
      </w:r>
      <w:r w:rsidRPr="00D93FF9">
        <w:rPr>
          <w:spacing w:val="-1"/>
        </w:rPr>
        <w:t xml:space="preserve"> </w:t>
      </w:r>
      <w:r w:rsidRPr="00D93FF9">
        <w:t>data).</w:t>
      </w:r>
    </w:p>
    <w:p w14:paraId="59DCD41F" w14:textId="58CB6E72" w:rsidR="00C36B95" w:rsidRPr="00D93FF9" w:rsidRDefault="00E811B8" w:rsidP="002201B6">
      <w:pPr>
        <w:pStyle w:val="BodyText"/>
        <w:spacing w:after="0"/>
        <w:ind w:left="1134" w:hanging="1134"/>
      </w:pPr>
      <w:r w:rsidRPr="00D93FF9">
        <w:t>N</w:t>
      </w:r>
      <w:r w:rsidRPr="00D93FF9">
        <w:rPr>
          <w:position w:val="-4"/>
          <w:sz w:val="15"/>
        </w:rPr>
        <w:t>fert</w:t>
      </w:r>
      <w:r w:rsidRPr="00D93FF9">
        <w:rPr>
          <w:position w:val="-4"/>
          <w:sz w:val="15"/>
        </w:rPr>
        <w:tab/>
      </w:r>
      <w:r w:rsidRPr="00D93FF9">
        <w:t>nitrogen applied in fertilisers</w:t>
      </w:r>
      <w:r w:rsidRPr="00D93FF9">
        <w:rPr>
          <w:spacing w:val="-30"/>
        </w:rPr>
        <w:t xml:space="preserve"> </w:t>
      </w:r>
      <w:r w:rsidRPr="00D93FF9">
        <w:t>(kg/ha</w:t>
      </w:r>
      <w:r w:rsidR="00460B2E" w:rsidRPr="00D93FF9">
        <w:t>/</w:t>
      </w:r>
      <w:r w:rsidR="00D56DB5" w:rsidRPr="00D93FF9">
        <w:t>crop</w:t>
      </w:r>
      <w:r w:rsidRPr="00D93FF9">
        <w:t>)</w:t>
      </w:r>
    </w:p>
    <w:p w14:paraId="59DCD420" w14:textId="77777777" w:rsidR="00C36B95" w:rsidRPr="00D93FF9" w:rsidRDefault="00C36B95" w:rsidP="003807A1">
      <w:pPr>
        <w:pStyle w:val="BodyText"/>
        <w:spacing w:after="0"/>
        <w:rPr>
          <w:lang w:val="en-GB"/>
        </w:rPr>
      </w:pPr>
    </w:p>
    <w:p w14:paraId="59DCD421" w14:textId="3DA1C4B5" w:rsidR="00C46175" w:rsidRPr="00D93FF9" w:rsidRDefault="00E811B8" w:rsidP="00482951">
      <w:pPr>
        <w:pStyle w:val="BodyText"/>
        <w:spacing w:after="0" w:line="266" w:lineRule="auto"/>
        <w:jc w:val="both"/>
        <w:rPr>
          <w:lang w:val="en-GB"/>
        </w:rPr>
      </w:pPr>
      <w:r w:rsidRPr="00D93FF9">
        <w:rPr>
          <w:lang w:val="en-GB"/>
        </w:rPr>
        <w:lastRenderedPageBreak/>
        <w:t>Note: Plant available soil N concentrations from an appropriate soil test should be included in N</w:t>
      </w:r>
      <w:r w:rsidRPr="00D93FF9">
        <w:rPr>
          <w:position w:val="-4"/>
          <w:sz w:val="15"/>
          <w:lang w:val="en-GB"/>
        </w:rPr>
        <w:t>fert</w:t>
      </w:r>
      <w:r w:rsidRPr="00D93FF9">
        <w:rPr>
          <w:lang w:val="en-GB"/>
        </w:rPr>
        <w:t>. However, these calculations consider only N removed from the harvestable portion of the plant, and including soil N may lead to insufficient N applied to supply the total plant demands in some instances. This potential shortfall is prevented as the N</w:t>
      </w:r>
      <w:r w:rsidRPr="00D93FF9">
        <w:rPr>
          <w:position w:val="-4"/>
          <w:sz w:val="15"/>
          <w:lang w:val="en-GB"/>
        </w:rPr>
        <w:t>e</w:t>
      </w:r>
      <w:r w:rsidR="00C36B95" w:rsidRPr="00D93FF9">
        <w:rPr>
          <w:position w:val="-4"/>
          <w:sz w:val="15"/>
          <w:lang w:val="en-GB"/>
        </w:rPr>
        <w:t>nv</w:t>
      </w:r>
      <w:r w:rsidRPr="00D93FF9">
        <w:rPr>
          <w:position w:val="-4"/>
          <w:sz w:val="15"/>
          <w:lang w:val="en-GB"/>
        </w:rPr>
        <w:t xml:space="preserve"> </w:t>
      </w:r>
      <w:r w:rsidRPr="00D93FF9">
        <w:rPr>
          <w:lang w:val="en-GB"/>
        </w:rPr>
        <w:t>can supply up to 230 kg N/ha</w:t>
      </w:r>
      <w:r w:rsidR="00D56DB5" w:rsidRPr="00D93FF9">
        <w:rPr>
          <w:lang w:val="en-GB"/>
        </w:rPr>
        <w:t>/crop</w:t>
      </w:r>
      <w:r w:rsidRPr="00D93FF9">
        <w:rPr>
          <w:lang w:val="en-GB"/>
        </w:rPr>
        <w:t>, sufficient N for most crops (</w:t>
      </w:r>
      <w:r w:rsidR="0088165F" w:rsidRPr="00D93FF9">
        <w:rPr>
          <w:lang w:val="en-GB"/>
        </w:rPr>
        <w:fldChar w:fldCharType="begin"/>
      </w:r>
      <w:r w:rsidR="0088165F" w:rsidRPr="00D93FF9">
        <w:rPr>
          <w:lang w:val="en-GB"/>
        </w:rPr>
        <w:instrText xml:space="preserve"> REF _Ref81394808 \h </w:instrText>
      </w:r>
      <w:r w:rsidR="00D93FF9">
        <w:rPr>
          <w:lang w:val="en-GB"/>
        </w:rPr>
        <w:instrText xml:space="preserve"> \* MERGEFORMAT </w:instrText>
      </w:r>
      <w:r w:rsidR="0088165F" w:rsidRPr="00D93FF9">
        <w:rPr>
          <w:lang w:val="en-GB"/>
        </w:rPr>
      </w:r>
      <w:r w:rsidR="0088165F" w:rsidRPr="00D93FF9">
        <w:rPr>
          <w:lang w:val="en-GB"/>
        </w:rPr>
        <w:fldChar w:fldCharType="separate"/>
      </w:r>
      <w:r w:rsidR="0069302C" w:rsidRPr="00D93FF9">
        <w:t xml:space="preserve">Table </w:t>
      </w:r>
      <w:r w:rsidR="0069302C">
        <w:rPr>
          <w:noProof/>
        </w:rPr>
        <w:t>26</w:t>
      </w:r>
      <w:r w:rsidR="0088165F" w:rsidRPr="00D93FF9">
        <w:rPr>
          <w:lang w:val="en-GB"/>
        </w:rPr>
        <w:fldChar w:fldCharType="end"/>
      </w:r>
      <w:r w:rsidRPr="00D93FF9">
        <w:rPr>
          <w:lang w:val="en-GB"/>
        </w:rPr>
        <w:t>). The model also assumes that the non- harvested portion of crops will be returned to the soil and N in this portion contributes to the following crop’s N</w:t>
      </w:r>
      <w:r w:rsidRPr="00D93FF9">
        <w:rPr>
          <w:spacing w:val="-3"/>
          <w:lang w:val="en-GB"/>
        </w:rPr>
        <w:t xml:space="preserve"> </w:t>
      </w:r>
      <w:r w:rsidRPr="00D93FF9">
        <w:rPr>
          <w:lang w:val="en-GB"/>
        </w:rPr>
        <w:t>demands.</w:t>
      </w:r>
    </w:p>
    <w:p w14:paraId="59DCD422" w14:textId="00D1F47F" w:rsidR="00C46175" w:rsidRPr="00D93FF9" w:rsidRDefault="00E811B8" w:rsidP="002201B6">
      <w:pPr>
        <w:pStyle w:val="BodyText"/>
        <w:tabs>
          <w:tab w:val="left" w:pos="1134"/>
        </w:tabs>
        <w:spacing w:after="0" w:line="266" w:lineRule="auto"/>
        <w:ind w:left="1418" w:hanging="1418"/>
        <w:jc w:val="both"/>
        <w:rPr>
          <w:lang w:val="en-GB"/>
        </w:rPr>
      </w:pPr>
      <w:r w:rsidRPr="00D93FF9">
        <w:rPr>
          <w:lang w:val="en-GB"/>
        </w:rPr>
        <w:t>I</w:t>
      </w:r>
      <w:r w:rsidRPr="00D93FF9">
        <w:rPr>
          <w:position w:val="-4"/>
          <w:sz w:val="15"/>
          <w:lang w:val="en-GB"/>
        </w:rPr>
        <w:t>w</w:t>
      </w:r>
      <w:r w:rsidRPr="00D93FF9">
        <w:rPr>
          <w:position w:val="-4"/>
          <w:sz w:val="15"/>
          <w:lang w:val="en-GB"/>
        </w:rPr>
        <w:tab/>
      </w:r>
      <w:r w:rsidRPr="00D93FF9">
        <w:rPr>
          <w:lang w:val="en-GB"/>
        </w:rPr>
        <w:t>= irrigation water height</w:t>
      </w:r>
      <w:r w:rsidRPr="00D93FF9">
        <w:rPr>
          <w:spacing w:val="-31"/>
          <w:lang w:val="en-GB"/>
        </w:rPr>
        <w:t xml:space="preserve"> </w:t>
      </w:r>
      <w:r w:rsidRPr="00D93FF9">
        <w:rPr>
          <w:lang w:val="en-GB"/>
        </w:rPr>
        <w:t>(m)</w:t>
      </w:r>
      <w:r w:rsidR="003D0848" w:rsidRPr="00D93FF9">
        <w:rPr>
          <w:lang w:val="en-GB"/>
        </w:rPr>
        <w:t xml:space="preserve"> and 10 is the conversion factor for m</w:t>
      </w:r>
      <w:r w:rsidR="003D0848" w:rsidRPr="00D93FF9">
        <w:rPr>
          <w:vertAlign w:val="superscript"/>
          <w:lang w:val="en-GB"/>
        </w:rPr>
        <w:t>3</w:t>
      </w:r>
      <w:r w:rsidR="003D0848" w:rsidRPr="00D93FF9">
        <w:rPr>
          <w:lang w:val="en-GB"/>
        </w:rPr>
        <w:t>/ha and nitrogen removed in the crop (kg/ha) to mg/L.</w:t>
      </w:r>
    </w:p>
    <w:p w14:paraId="59DCD423" w14:textId="77777777" w:rsidR="00C46175" w:rsidRPr="00D93FF9" w:rsidRDefault="00E811B8" w:rsidP="00482951">
      <w:pPr>
        <w:pStyle w:val="BodyText"/>
        <w:spacing w:after="0" w:line="266" w:lineRule="auto"/>
        <w:jc w:val="both"/>
        <w:rPr>
          <w:lang w:val="en-GB"/>
        </w:rPr>
      </w:pPr>
      <w:r w:rsidRPr="00D93FF9">
        <w:rPr>
          <w:lang w:val="en-GB"/>
        </w:rPr>
        <w:t xml:space="preserve">For example, if 100 kg/ha of N were applied as a fertiliser and a cabbage </w:t>
      </w:r>
      <w:r w:rsidR="00C36B95" w:rsidRPr="00D93FF9">
        <w:rPr>
          <w:lang w:val="en-GB"/>
        </w:rPr>
        <w:t xml:space="preserve">(all types) </w:t>
      </w:r>
      <w:r w:rsidRPr="00D93FF9">
        <w:rPr>
          <w:lang w:val="en-GB"/>
        </w:rPr>
        <w:t>crop grown using</w:t>
      </w:r>
    </w:p>
    <w:p w14:paraId="59DCD424" w14:textId="77777777" w:rsidR="00C46175" w:rsidRPr="00D93FF9" w:rsidRDefault="00E811B8" w:rsidP="00482951">
      <w:pPr>
        <w:pStyle w:val="BodyText"/>
        <w:spacing w:after="0" w:line="266" w:lineRule="auto"/>
        <w:rPr>
          <w:lang w:val="en-GB"/>
        </w:rPr>
      </w:pPr>
      <w:r w:rsidRPr="00D93FF9">
        <w:rPr>
          <w:lang w:val="en-GB"/>
        </w:rPr>
        <w:t>1.00 m of irrigation water:</w:t>
      </w:r>
    </w:p>
    <w:p w14:paraId="59DCD425" w14:textId="77777777" w:rsidR="006C67BF" w:rsidRPr="00D93FF9" w:rsidRDefault="006C67BF" w:rsidP="006C67BF">
      <w:pPr>
        <w:pStyle w:val="Caption"/>
      </w:pPr>
    </w:p>
    <w:tbl>
      <w:tblPr>
        <w:tblStyle w:val="TableGrid"/>
        <w:tblW w:w="9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1"/>
        <w:gridCol w:w="1392"/>
      </w:tblGrid>
      <w:tr w:rsidR="00BE3AA8" w:rsidRPr="00D93FF9" w14:paraId="59DCD428" w14:textId="77777777" w:rsidTr="009E084C">
        <w:trPr>
          <w:trHeight w:val="363"/>
        </w:trPr>
        <w:tc>
          <w:tcPr>
            <w:tcW w:w="7661" w:type="dxa"/>
          </w:tcPr>
          <w:p w14:paraId="59DCD426" w14:textId="0F58F870" w:rsidR="00E10365" w:rsidRPr="00D93FF9" w:rsidRDefault="00735642" w:rsidP="003807A1">
            <w:pPr>
              <w:spacing w:before="0" w:after="0"/>
              <w:rPr>
                <w:bCs/>
                <w:sz w:val="22"/>
                <w:szCs w:val="22"/>
                <w:lang w:val="en-GB"/>
              </w:rPr>
            </w:pPr>
            <m:oMathPara>
              <m:oMathParaPr>
                <m:jc m:val="left"/>
              </m:oMathParaPr>
              <m:oMath>
                <m:sSub>
                  <m:sSubPr>
                    <m:ctrlPr>
                      <w:rPr>
                        <w:rFonts w:ascii="Cambria Math" w:hAnsi="Cambria Math"/>
                        <w:bCs/>
                        <w:sz w:val="22"/>
                        <w:szCs w:val="22"/>
                        <w:lang w:val="en-GB"/>
                      </w:rPr>
                    </m:ctrlPr>
                  </m:sSubPr>
                  <m:e>
                    <m:r>
                      <m:rPr>
                        <m:sty m:val="p"/>
                      </m:rPr>
                      <w:rPr>
                        <w:rFonts w:ascii="Cambria Math" w:hAnsi="Cambria Math"/>
                        <w:sz w:val="22"/>
                        <w:szCs w:val="22"/>
                        <w:lang w:val="en-GB"/>
                      </w:rPr>
                      <m:t>N</m:t>
                    </m:r>
                  </m:e>
                  <m:sub>
                    <m:r>
                      <m:rPr>
                        <m:sty m:val="p"/>
                      </m:rPr>
                      <w:rPr>
                        <w:rFonts w:ascii="Cambria Math" w:hAnsi="Cambria Math"/>
                        <w:sz w:val="22"/>
                        <w:szCs w:val="22"/>
                        <w:lang w:val="en-GB"/>
                      </w:rPr>
                      <m:t>removed</m:t>
                    </m:r>
                  </m:sub>
                </m:sSub>
                <m:r>
                  <m:rPr>
                    <m:sty m:val="p"/>
                  </m:rPr>
                  <w:rPr>
                    <w:rFonts w:ascii="Cambria Math" w:hAnsi="Cambria Math"/>
                    <w:sz w:val="22"/>
                    <w:szCs w:val="22"/>
                    <w:lang w:val="en-GB"/>
                  </w:rPr>
                  <m:t>=</m:t>
                </m:r>
                <m:f>
                  <m:fPr>
                    <m:ctrlPr>
                      <w:rPr>
                        <w:rFonts w:ascii="Cambria Math" w:hAnsi="Cambria Math"/>
                        <w:bCs/>
                        <w:sz w:val="22"/>
                        <w:szCs w:val="22"/>
                        <w:lang w:val="en-GB"/>
                      </w:rPr>
                    </m:ctrlPr>
                  </m:fPr>
                  <m:num>
                    <m:d>
                      <m:dPr>
                        <m:ctrlPr>
                          <w:rPr>
                            <w:rFonts w:ascii="Cambria Math" w:hAnsi="Cambria Math"/>
                            <w:bCs/>
                            <w:sz w:val="22"/>
                            <w:szCs w:val="22"/>
                            <w:lang w:val="en-GB"/>
                          </w:rPr>
                        </m:ctrlPr>
                      </m:dPr>
                      <m:e>
                        <m:r>
                          <m:rPr>
                            <m:sty m:val="p"/>
                          </m:rPr>
                          <w:rPr>
                            <w:rFonts w:ascii="Cambria Math" w:hAnsi="Cambria Math"/>
                            <w:sz w:val="22"/>
                            <w:szCs w:val="22"/>
                            <w:lang w:val="en-GB"/>
                          </w:rPr>
                          <m:t>3.4 kg</m:t>
                        </m:r>
                        <m:f>
                          <m:fPr>
                            <m:ctrlPr>
                              <w:rPr>
                                <w:rFonts w:ascii="Cambria Math" w:hAnsi="Cambria Math"/>
                                <w:sz w:val="22"/>
                                <w:szCs w:val="22"/>
                                <w:lang w:val="en-GB"/>
                              </w:rPr>
                            </m:ctrlPr>
                          </m:fPr>
                          <m:num>
                            <m:r>
                              <m:rPr>
                                <m:sty m:val="p"/>
                              </m:rPr>
                              <w:rPr>
                                <w:rFonts w:ascii="Cambria Math" w:hAnsi="Cambria Math"/>
                                <w:sz w:val="22"/>
                                <w:szCs w:val="22"/>
                                <w:lang w:val="en-GB"/>
                              </w:rPr>
                              <m:t>N</m:t>
                            </m:r>
                          </m:num>
                          <m:den>
                            <m:r>
                              <m:rPr>
                                <m:sty m:val="p"/>
                              </m:rPr>
                              <w:rPr>
                                <w:rFonts w:ascii="Cambria Math" w:hAnsi="Cambria Math"/>
                                <w:sz w:val="22"/>
                                <w:szCs w:val="22"/>
                                <w:lang w:val="en-GB"/>
                              </w:rPr>
                              <m:t>t</m:t>
                            </m:r>
                          </m:den>
                        </m:f>
                        <m:r>
                          <m:rPr>
                            <m:sty m:val="p"/>
                          </m:rPr>
                          <w:rPr>
                            <w:rFonts w:ascii="Cambria Math" w:hAnsi="Cambria Math"/>
                            <w:sz w:val="22"/>
                            <w:szCs w:val="22"/>
                            <w:lang w:val="en-GB"/>
                          </w:rPr>
                          <m:t>×50t/ha</m:t>
                        </m:r>
                      </m:e>
                    </m:d>
                    <m:r>
                      <m:rPr>
                        <m:sty m:val="p"/>
                      </m:rPr>
                      <w:rPr>
                        <w:rFonts w:ascii="Cambria Math" w:hAnsi="Cambria Math"/>
                        <w:sz w:val="22"/>
                        <w:szCs w:val="22"/>
                        <w:lang w:val="en-GB"/>
                      </w:rPr>
                      <m:t>-100 kg/ha</m:t>
                    </m:r>
                  </m:num>
                  <m:den>
                    <m:r>
                      <w:rPr>
                        <w:rFonts w:ascii="Cambria Math" w:hAnsi="Cambria Math"/>
                        <w:sz w:val="22"/>
                        <w:szCs w:val="22"/>
                        <w:lang w:val="en-GB"/>
                      </w:rPr>
                      <m:t>1×10 L/ha</m:t>
                    </m:r>
                  </m:den>
                </m:f>
                <m:r>
                  <w:rPr>
                    <w:rFonts w:ascii="Cambria Math" w:hAnsi="Cambria Math"/>
                    <w:sz w:val="22"/>
                    <w:szCs w:val="22"/>
                    <w:lang w:val="en-GB"/>
                  </w:rPr>
                  <m:t>=</m:t>
                </m:r>
                <m:r>
                  <m:rPr>
                    <m:sty m:val="p"/>
                  </m:rPr>
                  <w:rPr>
                    <w:rFonts w:ascii="Cambria Math" w:hAnsi="Cambria Math"/>
                    <w:sz w:val="22"/>
                    <w:szCs w:val="22"/>
                    <w:lang w:val="en-GB"/>
                  </w:rPr>
                  <m:t>7 mg/L</m:t>
                </m:r>
                <m:r>
                  <w:rPr>
                    <w:rFonts w:ascii="Cambria Math" w:hAnsi="Cambria Math"/>
                    <w:sz w:val="22"/>
                    <w:szCs w:val="22"/>
                    <w:lang w:val="en-GB"/>
                  </w:rPr>
                  <m:t xml:space="preserve"> </m:t>
                </m:r>
              </m:oMath>
            </m:oMathPara>
          </w:p>
        </w:tc>
        <w:tc>
          <w:tcPr>
            <w:tcW w:w="1392" w:type="dxa"/>
          </w:tcPr>
          <w:p w14:paraId="59DCD427" w14:textId="2B3D038D" w:rsidR="00E10365" w:rsidRPr="00D93FF9" w:rsidRDefault="00E811B8" w:rsidP="003807A1">
            <w:pPr>
              <w:spacing w:before="0" w:after="0"/>
              <w:rPr>
                <w:rFonts w:ascii="Calibri" w:hAnsi="Calibri"/>
                <w:b/>
                <w:bCs/>
                <w:iCs/>
                <w:sz w:val="22"/>
                <w:szCs w:val="22"/>
                <w:lang w:val="en-GB"/>
              </w:rPr>
            </w:pPr>
            <w:r w:rsidRPr="00D93FF9">
              <w:rPr>
                <w:rFonts w:ascii="Calibri" w:hAnsi="Calibri"/>
                <w:b/>
                <w:bCs/>
                <w:sz w:val="22"/>
                <w:szCs w:val="22"/>
              </w:rPr>
              <w:t xml:space="preserve">Equation </w:t>
            </w:r>
            <w:r w:rsidRPr="00D93FF9">
              <w:rPr>
                <w:rFonts w:ascii="Calibri" w:hAnsi="Calibri"/>
                <w:b/>
                <w:bCs/>
              </w:rPr>
              <w:fldChar w:fldCharType="begin"/>
            </w:r>
            <w:r w:rsidRPr="00D93FF9">
              <w:rPr>
                <w:rFonts w:ascii="Calibri" w:hAnsi="Calibri"/>
                <w:b/>
                <w:bCs/>
                <w:sz w:val="22"/>
                <w:szCs w:val="22"/>
              </w:rPr>
              <w:instrText xml:space="preserve"> SEQ Equation \* ARABIC </w:instrText>
            </w:r>
            <w:r w:rsidRPr="00D93FF9">
              <w:rPr>
                <w:rFonts w:ascii="Calibri" w:hAnsi="Calibri"/>
                <w:b/>
                <w:bCs/>
              </w:rPr>
              <w:fldChar w:fldCharType="separate"/>
            </w:r>
            <w:r w:rsidR="0069302C">
              <w:rPr>
                <w:rFonts w:ascii="Calibri" w:hAnsi="Calibri"/>
                <w:b/>
                <w:bCs/>
                <w:noProof/>
                <w:sz w:val="22"/>
                <w:szCs w:val="22"/>
              </w:rPr>
              <w:t>30</w:t>
            </w:r>
            <w:r w:rsidRPr="00D93FF9">
              <w:rPr>
                <w:rFonts w:ascii="Calibri" w:hAnsi="Calibri"/>
                <w:b/>
                <w:bCs/>
              </w:rPr>
              <w:fldChar w:fldCharType="end"/>
            </w:r>
          </w:p>
        </w:tc>
      </w:tr>
    </w:tbl>
    <w:p w14:paraId="59DCD429" w14:textId="6E43EFBC" w:rsidR="00C46175" w:rsidRPr="00D93FF9" w:rsidRDefault="00C46175" w:rsidP="003807A1">
      <w:pPr>
        <w:pStyle w:val="BodyText"/>
        <w:spacing w:after="0"/>
        <w:rPr>
          <w:sz w:val="29"/>
          <w:lang w:val="en-GB"/>
        </w:rPr>
      </w:pPr>
    </w:p>
    <w:p w14:paraId="3F50F921" w14:textId="0BAAEE42" w:rsidR="003D0848" w:rsidRPr="00D93FF9" w:rsidRDefault="003D0848" w:rsidP="002201B6">
      <w:r w:rsidRPr="00D93FF9">
        <w:t>With 1 m of irrigation depth this equates to 70 kg/ha.</w:t>
      </w:r>
    </w:p>
    <w:p w14:paraId="197F8D6E" w14:textId="77777777" w:rsidR="003D0848" w:rsidRPr="00D93FF9" w:rsidRDefault="003D0848" w:rsidP="003807A1">
      <w:pPr>
        <w:pStyle w:val="BodyText"/>
        <w:spacing w:after="0"/>
        <w:rPr>
          <w:sz w:val="29"/>
          <w:lang w:val="en-GB"/>
        </w:rPr>
      </w:pPr>
    </w:p>
    <w:p w14:paraId="59DCD42A" w14:textId="77777777" w:rsidR="00C46175" w:rsidRPr="00D93FF9" w:rsidRDefault="00E811B8" w:rsidP="003807A1">
      <w:pPr>
        <w:spacing w:after="0" w:line="284" w:lineRule="exact"/>
        <w:rPr>
          <w:lang w:val="en-GB"/>
        </w:rPr>
      </w:pPr>
      <w:r w:rsidRPr="00D93FF9">
        <w:rPr>
          <w:lang w:val="en-GB"/>
        </w:rPr>
        <w:t>For calculation of N</w:t>
      </w:r>
      <w:r w:rsidRPr="00D93FF9">
        <w:rPr>
          <w:position w:val="-4"/>
          <w:sz w:val="15"/>
          <w:lang w:val="en-GB"/>
        </w:rPr>
        <w:t>gasloss</w:t>
      </w:r>
      <w:r w:rsidRPr="00D93FF9">
        <w:rPr>
          <w:lang w:val="en-GB"/>
        </w:rPr>
        <w:t>:</w:t>
      </w:r>
    </w:p>
    <w:p w14:paraId="59DCD42B" w14:textId="77777777" w:rsidR="006C67BF" w:rsidRPr="00D93FF9" w:rsidRDefault="006C67BF" w:rsidP="006C67BF">
      <w:pPr>
        <w:pStyle w:val="Caption"/>
      </w:pP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1"/>
        <w:gridCol w:w="1384"/>
      </w:tblGrid>
      <w:tr w:rsidR="00BE3AA8" w:rsidRPr="00D93FF9" w14:paraId="59DCD42E" w14:textId="77777777" w:rsidTr="009E084C">
        <w:trPr>
          <w:trHeight w:val="365"/>
        </w:trPr>
        <w:tc>
          <w:tcPr>
            <w:tcW w:w="7611" w:type="dxa"/>
          </w:tcPr>
          <w:p w14:paraId="59DCD42C" w14:textId="633F9F2D" w:rsidR="00FA180C" w:rsidRPr="00D93FF9" w:rsidRDefault="00735642" w:rsidP="003807A1">
            <w:pPr>
              <w:spacing w:before="0" w:after="0"/>
              <w:rPr>
                <w:bCs/>
                <w:sz w:val="22"/>
                <w:szCs w:val="22"/>
                <w:lang w:val="en-GB"/>
              </w:rPr>
            </w:pPr>
            <m:oMathPara>
              <m:oMathParaPr>
                <m:jc m:val="left"/>
              </m:oMathParaPr>
              <m:oMath>
                <m:sSub>
                  <m:sSubPr>
                    <m:ctrlPr>
                      <w:rPr>
                        <w:rFonts w:ascii="Cambria Math" w:hAnsi="Cambria Math"/>
                        <w:bCs/>
                        <w:sz w:val="22"/>
                        <w:szCs w:val="22"/>
                        <w:lang w:val="en-GB"/>
                      </w:rPr>
                    </m:ctrlPr>
                  </m:sSubPr>
                  <m:e>
                    <m:r>
                      <m:rPr>
                        <m:sty m:val="p"/>
                      </m:rPr>
                      <w:rPr>
                        <w:rFonts w:ascii="Cambria Math" w:hAnsi="Cambria Math"/>
                        <w:sz w:val="22"/>
                        <w:szCs w:val="22"/>
                        <w:lang w:val="en-GB"/>
                      </w:rPr>
                      <m:t>N</m:t>
                    </m:r>
                  </m:e>
                  <m:sub>
                    <m:r>
                      <m:rPr>
                        <m:sty m:val="p"/>
                      </m:rPr>
                      <w:rPr>
                        <w:rFonts w:ascii="Cambria Math" w:hAnsi="Cambria Math"/>
                        <w:sz w:val="22"/>
                        <w:szCs w:val="22"/>
                        <w:lang w:val="en-GB"/>
                      </w:rPr>
                      <m:t>gasloss</m:t>
                    </m:r>
                  </m:sub>
                </m:sSub>
                <m:r>
                  <m:rPr>
                    <m:sty m:val="p"/>
                  </m:rPr>
                  <w:rPr>
                    <w:rFonts w:ascii="Cambria Math" w:hAnsi="Cambria Math"/>
                    <w:sz w:val="22"/>
                    <w:szCs w:val="22"/>
                    <w:lang w:val="en-GB"/>
                  </w:rPr>
                  <m:t>=(</m:t>
                </m:r>
                <m:sSub>
                  <m:sSubPr>
                    <m:ctrlPr>
                      <w:rPr>
                        <w:rFonts w:ascii="Cambria Math" w:hAnsi="Cambria Math"/>
                        <w:bCs/>
                        <w:sz w:val="22"/>
                        <w:szCs w:val="22"/>
                        <w:lang w:val="en-GB"/>
                      </w:rPr>
                    </m:ctrlPr>
                  </m:sSubPr>
                  <m:e>
                    <m:r>
                      <w:rPr>
                        <w:rFonts w:ascii="Cambria Math" w:hAnsi="Cambria Math"/>
                        <w:sz w:val="22"/>
                        <w:szCs w:val="22"/>
                        <w:lang w:val="en-GB"/>
                      </w:rPr>
                      <m:t>N</m:t>
                    </m:r>
                  </m:e>
                  <m:sub>
                    <m:r>
                      <w:rPr>
                        <w:rFonts w:ascii="Cambria Math" w:hAnsi="Cambria Math"/>
                        <w:sz w:val="22"/>
                        <w:szCs w:val="22"/>
                        <w:lang w:val="en-GB"/>
                      </w:rPr>
                      <m:t>env</m:t>
                    </m:r>
                  </m:sub>
                </m:sSub>
                <m:r>
                  <m:rPr>
                    <m:sty m:val="p"/>
                  </m:rPr>
                  <w:rPr>
                    <w:rFonts w:ascii="Cambria Math" w:hAnsi="Cambria Math"/>
                    <w:sz w:val="22"/>
                    <w:szCs w:val="22"/>
                    <w:lang w:val="en-GB"/>
                  </w:rPr>
                  <m:t>+</m:t>
                </m:r>
                <m:sSub>
                  <m:sSubPr>
                    <m:ctrlPr>
                      <w:rPr>
                        <w:rFonts w:ascii="Cambria Math" w:hAnsi="Cambria Math"/>
                        <w:bCs/>
                        <w:sz w:val="22"/>
                        <w:szCs w:val="22"/>
                        <w:lang w:val="en-GB"/>
                      </w:rPr>
                    </m:ctrlPr>
                  </m:sSubPr>
                  <m:e>
                    <m:r>
                      <m:rPr>
                        <m:sty m:val="p"/>
                      </m:rPr>
                      <w:rPr>
                        <w:rFonts w:ascii="Cambria Math" w:hAnsi="Cambria Math"/>
                        <w:sz w:val="22"/>
                        <w:szCs w:val="22"/>
                        <w:lang w:val="en-GB"/>
                      </w:rPr>
                      <m:t>N</m:t>
                    </m:r>
                  </m:e>
                  <m:sub>
                    <m:r>
                      <m:rPr>
                        <m:sty m:val="p"/>
                      </m:rPr>
                      <w:rPr>
                        <w:rFonts w:ascii="Cambria Math" w:hAnsi="Cambria Math"/>
                        <w:sz w:val="22"/>
                        <w:szCs w:val="22"/>
                        <w:lang w:val="en-GB"/>
                      </w:rPr>
                      <m:t>plant</m:t>
                    </m:r>
                  </m:sub>
                </m:sSub>
                <m:r>
                  <m:rPr>
                    <m:sty m:val="p"/>
                  </m:rPr>
                  <w:rPr>
                    <w:rFonts w:ascii="Cambria Math" w:hAnsi="Cambria Math"/>
                    <w:sz w:val="22"/>
                    <w:szCs w:val="22"/>
                    <w:lang w:val="en-GB"/>
                  </w:rPr>
                  <m:t>)×</m:t>
                </m:r>
                <m:sSub>
                  <m:sSubPr>
                    <m:ctrlPr>
                      <w:rPr>
                        <w:rFonts w:ascii="Cambria Math" w:hAnsi="Cambria Math"/>
                        <w:bCs/>
                        <w:sz w:val="22"/>
                        <w:szCs w:val="22"/>
                        <w:lang w:val="en-GB"/>
                      </w:rPr>
                    </m:ctrlPr>
                  </m:sSubPr>
                  <m:e>
                    <m:r>
                      <m:rPr>
                        <m:sty m:val="p"/>
                      </m:rPr>
                      <w:rPr>
                        <w:rFonts w:ascii="Cambria Math" w:hAnsi="Cambria Math"/>
                        <w:sz w:val="22"/>
                        <w:szCs w:val="22"/>
                        <w:lang w:val="en-GB"/>
                      </w:rPr>
                      <m:t>N</m:t>
                    </m:r>
                  </m:e>
                  <m:sub>
                    <m:r>
                      <m:rPr>
                        <m:sty m:val="p"/>
                      </m:rPr>
                      <w:rPr>
                        <w:rFonts w:ascii="Cambria Math" w:hAnsi="Cambria Math"/>
                        <w:sz w:val="22"/>
                        <w:szCs w:val="22"/>
                        <w:lang w:val="en-GB"/>
                      </w:rPr>
                      <m:t>dv</m:t>
                    </m:r>
                  </m:sub>
                </m:sSub>
              </m:oMath>
            </m:oMathPara>
          </w:p>
        </w:tc>
        <w:tc>
          <w:tcPr>
            <w:tcW w:w="1384" w:type="dxa"/>
          </w:tcPr>
          <w:p w14:paraId="59DCD42D" w14:textId="2927543D" w:rsidR="00FA180C" w:rsidRPr="00D93FF9" w:rsidRDefault="00E811B8" w:rsidP="003807A1">
            <w:pPr>
              <w:spacing w:before="0" w:after="0"/>
              <w:rPr>
                <w:rFonts w:asciiTheme="minorHAnsi" w:hAnsiTheme="minorHAnsi"/>
                <w:b/>
                <w:bCs/>
                <w:iCs/>
                <w:sz w:val="22"/>
                <w:szCs w:val="22"/>
                <w:lang w:val="en-GB"/>
              </w:rPr>
            </w:pPr>
            <w:r w:rsidRPr="00D93FF9">
              <w:rPr>
                <w:rFonts w:asciiTheme="minorHAnsi" w:hAnsiTheme="minorHAnsi"/>
                <w:b/>
                <w:bCs/>
                <w:sz w:val="22"/>
                <w:szCs w:val="22"/>
              </w:rPr>
              <w:t xml:space="preserve">Equation </w:t>
            </w:r>
            <w:r w:rsidRPr="00D93FF9">
              <w:rPr>
                <w:b/>
                <w:bCs/>
              </w:rPr>
              <w:fldChar w:fldCharType="begin"/>
            </w:r>
            <w:r w:rsidRPr="00D93FF9">
              <w:rPr>
                <w:rFonts w:asciiTheme="minorHAnsi" w:hAnsiTheme="minorHAnsi"/>
                <w:b/>
                <w:bCs/>
                <w:sz w:val="22"/>
                <w:szCs w:val="22"/>
              </w:rPr>
              <w:instrText xml:space="preserve"> SEQ Equation \* ARABIC </w:instrText>
            </w:r>
            <w:r w:rsidRPr="00D93FF9">
              <w:rPr>
                <w:b/>
                <w:bCs/>
              </w:rPr>
              <w:fldChar w:fldCharType="separate"/>
            </w:r>
            <w:r w:rsidR="0069302C">
              <w:rPr>
                <w:rFonts w:asciiTheme="minorHAnsi" w:hAnsiTheme="minorHAnsi"/>
                <w:b/>
                <w:bCs/>
                <w:noProof/>
                <w:sz w:val="22"/>
                <w:szCs w:val="22"/>
              </w:rPr>
              <w:t>31</w:t>
            </w:r>
            <w:r w:rsidRPr="00D93FF9">
              <w:rPr>
                <w:b/>
                <w:bCs/>
              </w:rPr>
              <w:fldChar w:fldCharType="end"/>
            </w:r>
          </w:p>
        </w:tc>
      </w:tr>
    </w:tbl>
    <w:p w14:paraId="59DCD42F" w14:textId="77777777" w:rsidR="00C46175" w:rsidRPr="00D93FF9" w:rsidRDefault="00E811B8" w:rsidP="003807A1">
      <w:pPr>
        <w:pStyle w:val="BodyText"/>
        <w:spacing w:after="0"/>
        <w:rPr>
          <w:lang w:val="en-GB"/>
        </w:rPr>
      </w:pPr>
      <w:r w:rsidRPr="00D93FF9">
        <w:rPr>
          <w:lang w:val="en-GB"/>
        </w:rPr>
        <w:t>where:</w:t>
      </w:r>
    </w:p>
    <w:p w14:paraId="59DCD430" w14:textId="62E7B1C7" w:rsidR="00DB7578" w:rsidRPr="00D93FF9" w:rsidRDefault="00E811B8" w:rsidP="002201B6">
      <w:pPr>
        <w:pStyle w:val="BodyText"/>
        <w:tabs>
          <w:tab w:val="left" w:pos="1134"/>
          <w:tab w:val="left" w:pos="1743"/>
        </w:tabs>
        <w:spacing w:after="0" w:line="400" w:lineRule="atLeast"/>
        <w:rPr>
          <w:lang w:val="en-GB"/>
        </w:rPr>
      </w:pPr>
      <w:r w:rsidRPr="00D93FF9">
        <w:rPr>
          <w:position w:val="-1"/>
          <w:lang w:val="en-GB"/>
        </w:rPr>
        <w:t>N</w:t>
      </w:r>
      <w:r w:rsidRPr="00D93FF9">
        <w:rPr>
          <w:position w:val="-6"/>
          <w:sz w:val="15"/>
          <w:lang w:val="en-GB"/>
        </w:rPr>
        <w:t>gasloss</w:t>
      </w:r>
      <w:r w:rsidRPr="00D93FF9">
        <w:rPr>
          <w:position w:val="-6"/>
          <w:sz w:val="15"/>
          <w:lang w:val="en-GB"/>
        </w:rPr>
        <w:tab/>
      </w:r>
      <w:r w:rsidR="003D0848" w:rsidRPr="00D93FF9">
        <w:rPr>
          <w:position w:val="-1"/>
          <w:lang w:val="en-GB"/>
        </w:rPr>
        <w:t>=</w:t>
      </w:r>
      <w:r w:rsidR="00AF1CC8" w:rsidRPr="00D93FF9">
        <w:rPr>
          <w:position w:val="-1"/>
          <w:lang w:val="en-GB"/>
        </w:rPr>
        <w:t xml:space="preserve"> </w:t>
      </w:r>
      <w:r w:rsidRPr="00D93FF9">
        <w:rPr>
          <w:lang w:val="en-GB"/>
        </w:rPr>
        <w:t xml:space="preserve">amount of N loss through denitrification and volatilisation </w:t>
      </w:r>
    </w:p>
    <w:p w14:paraId="59DCD432" w14:textId="6D9BFE3A" w:rsidR="00C46175" w:rsidRPr="00D93FF9" w:rsidRDefault="00E811B8" w:rsidP="002201B6">
      <w:pPr>
        <w:pStyle w:val="BodyText"/>
        <w:tabs>
          <w:tab w:val="left" w:pos="1319"/>
          <w:tab w:val="left" w:pos="1743"/>
        </w:tabs>
        <w:spacing w:after="0" w:line="400" w:lineRule="atLeast"/>
        <w:ind w:left="1134" w:hanging="1134"/>
        <w:rPr>
          <w:lang w:val="en-GB"/>
        </w:rPr>
      </w:pPr>
      <w:r w:rsidRPr="00D93FF9">
        <w:rPr>
          <w:position w:val="-1"/>
          <w:lang w:val="en-GB"/>
        </w:rPr>
        <w:t>N</w:t>
      </w:r>
      <w:r w:rsidRPr="00D93FF9">
        <w:rPr>
          <w:position w:val="-6"/>
          <w:sz w:val="15"/>
          <w:lang w:val="en-GB"/>
        </w:rPr>
        <w:t>dv</w:t>
      </w:r>
      <w:r w:rsidRPr="00D93FF9">
        <w:rPr>
          <w:position w:val="-6"/>
          <w:sz w:val="15"/>
          <w:lang w:val="en-GB"/>
        </w:rPr>
        <w:tab/>
      </w:r>
      <w:r w:rsidRPr="00D93FF9">
        <w:rPr>
          <w:position w:val="-1"/>
          <w:lang w:val="en-GB"/>
        </w:rPr>
        <w:t>=</w:t>
      </w:r>
      <w:r w:rsidRPr="00D93FF9">
        <w:rPr>
          <w:position w:val="-1"/>
          <w:lang w:val="en-GB"/>
        </w:rPr>
        <w:tab/>
      </w:r>
      <w:r w:rsidRPr="00D93FF9">
        <w:rPr>
          <w:lang w:val="en-GB"/>
        </w:rPr>
        <w:t>estimated loss of N through denitrification and</w:t>
      </w:r>
      <w:r w:rsidRPr="00D93FF9">
        <w:rPr>
          <w:spacing w:val="6"/>
          <w:lang w:val="en-GB"/>
        </w:rPr>
        <w:t xml:space="preserve"> </w:t>
      </w:r>
      <w:r w:rsidRPr="00D93FF9">
        <w:rPr>
          <w:lang w:val="en-GB"/>
        </w:rPr>
        <w:t>volatilisation</w:t>
      </w:r>
      <w:r w:rsidR="003D0848" w:rsidRPr="00D93FF9">
        <w:rPr>
          <w:lang w:val="en-GB"/>
        </w:rPr>
        <w:t xml:space="preserve"> </w:t>
      </w:r>
      <w:r w:rsidRPr="00D93FF9">
        <w:rPr>
          <w:lang w:val="en-GB"/>
        </w:rPr>
        <w:t>(% of total applied)</w:t>
      </w:r>
    </w:p>
    <w:p w14:paraId="59DCD433" w14:textId="1474D63B" w:rsidR="00C46175" w:rsidRPr="00D93FF9" w:rsidRDefault="00E811B8" w:rsidP="003807A1">
      <w:pPr>
        <w:spacing w:after="0"/>
        <w:rPr>
          <w:lang w:val="en-GB"/>
        </w:rPr>
      </w:pPr>
      <w:r w:rsidRPr="00D93FF9">
        <w:rPr>
          <w:lang w:val="en-GB"/>
        </w:rPr>
        <w:t>N</w:t>
      </w:r>
      <w:r w:rsidRPr="00D93FF9">
        <w:rPr>
          <w:position w:val="-4"/>
          <w:sz w:val="15"/>
          <w:lang w:val="en-GB"/>
        </w:rPr>
        <w:t>e</w:t>
      </w:r>
      <w:r w:rsidR="009F4A9B" w:rsidRPr="00D93FF9">
        <w:rPr>
          <w:position w:val="-4"/>
          <w:sz w:val="15"/>
          <w:lang w:val="en-GB"/>
        </w:rPr>
        <w:t>n</w:t>
      </w:r>
      <w:r w:rsidRPr="00D93FF9">
        <w:rPr>
          <w:position w:val="-4"/>
          <w:sz w:val="15"/>
          <w:lang w:val="en-GB"/>
        </w:rPr>
        <w:t xml:space="preserve">s </w:t>
      </w:r>
      <w:r w:rsidRPr="00D93FF9">
        <w:rPr>
          <w:lang w:val="en-GB"/>
        </w:rPr>
        <w:t>and N</w:t>
      </w:r>
      <w:r w:rsidR="00AF1CC8" w:rsidRPr="00D93FF9">
        <w:rPr>
          <w:position w:val="-4"/>
          <w:sz w:val="15"/>
          <w:lang w:val="en-GB"/>
        </w:rPr>
        <w:t>removed</w:t>
      </w:r>
      <w:r w:rsidRPr="00D93FF9">
        <w:rPr>
          <w:position w:val="-4"/>
          <w:sz w:val="15"/>
          <w:lang w:val="en-GB"/>
        </w:rPr>
        <w:t xml:space="preserve"> </w:t>
      </w:r>
      <w:r w:rsidRPr="00D93FF9">
        <w:rPr>
          <w:lang w:val="en-GB"/>
        </w:rPr>
        <w:t>are defined above.</w:t>
      </w:r>
    </w:p>
    <w:p w14:paraId="59DCD434" w14:textId="77777777" w:rsidR="008D20BB" w:rsidRPr="00D93FF9" w:rsidRDefault="008D20BB" w:rsidP="003807A1">
      <w:pPr>
        <w:pStyle w:val="BodyText"/>
        <w:tabs>
          <w:tab w:val="left" w:pos="1319"/>
          <w:tab w:val="left" w:pos="1743"/>
        </w:tabs>
        <w:spacing w:after="0" w:line="326" w:lineRule="auto"/>
        <w:rPr>
          <w:lang w:val="en-GB"/>
        </w:rPr>
      </w:pPr>
    </w:p>
    <w:p w14:paraId="59DCD435" w14:textId="77777777" w:rsidR="00DB7578" w:rsidRPr="00D93FF9" w:rsidRDefault="00E811B8" w:rsidP="003807A1">
      <w:pPr>
        <w:pStyle w:val="BodyText"/>
        <w:tabs>
          <w:tab w:val="left" w:pos="1319"/>
          <w:tab w:val="left" w:pos="1743"/>
        </w:tabs>
        <w:spacing w:after="0" w:line="326" w:lineRule="auto"/>
        <w:rPr>
          <w:lang w:val="en-GB"/>
        </w:rPr>
      </w:pPr>
      <w:r w:rsidRPr="00D93FF9">
        <w:rPr>
          <w:lang w:val="en-GB"/>
        </w:rPr>
        <w:t>For example if N</w:t>
      </w:r>
      <w:r w:rsidRPr="00D93FF9">
        <w:rPr>
          <w:position w:val="-4"/>
          <w:sz w:val="15"/>
          <w:lang w:val="en-GB"/>
        </w:rPr>
        <w:t xml:space="preserve">dv </w:t>
      </w:r>
      <w:r w:rsidRPr="00D93FF9">
        <w:rPr>
          <w:lang w:val="en-GB"/>
        </w:rPr>
        <w:t>was estimated to be 5%:</w:t>
      </w:r>
    </w:p>
    <w:p w14:paraId="59DCD436" w14:textId="596A5F46" w:rsidR="005F1AE1" w:rsidRPr="00D93FF9" w:rsidRDefault="00735642" w:rsidP="003807A1">
      <w:pPr>
        <w:pStyle w:val="BodyText"/>
        <w:tabs>
          <w:tab w:val="left" w:pos="1319"/>
          <w:tab w:val="left" w:pos="1743"/>
        </w:tabs>
        <w:spacing w:after="0" w:line="326" w:lineRule="auto"/>
        <w:rPr>
          <w:rFonts w:ascii="Times New Roman" w:hAnsi="Times New Roman"/>
          <w:bCs/>
          <w:iCs/>
          <w:szCs w:val="24"/>
          <w:lang w:val="en-GB"/>
        </w:rPr>
      </w:pPr>
      <m:oMathPara>
        <m:oMathParaPr>
          <m:jc m:val="left"/>
        </m:oMathParaPr>
        <m:oMath>
          <m:sSub>
            <m:sSubPr>
              <m:ctrlPr>
                <w:rPr>
                  <w:rFonts w:ascii="Cambria Math" w:hAnsi="Cambria Math"/>
                  <w:bCs/>
                  <w:iCs/>
                  <w:szCs w:val="24"/>
                  <w:lang w:val="en-GB"/>
                </w:rPr>
              </m:ctrlPr>
            </m:sSubPr>
            <m:e>
              <m:r>
                <m:rPr>
                  <m:sty m:val="p"/>
                </m:rPr>
                <w:rPr>
                  <w:rFonts w:ascii="Cambria Math" w:hAnsi="Cambria Math"/>
                  <w:szCs w:val="24"/>
                  <w:lang w:val="en-GB"/>
                </w:rPr>
                <m:t>N</m:t>
              </m:r>
            </m:e>
            <m:sub>
              <m:r>
                <m:rPr>
                  <m:sty m:val="p"/>
                </m:rPr>
                <w:rPr>
                  <w:rFonts w:ascii="Cambria Math" w:hAnsi="Cambria Math"/>
                  <w:szCs w:val="24"/>
                  <w:lang w:val="en-GB"/>
                </w:rPr>
                <m:t>gasloss</m:t>
              </m:r>
            </m:sub>
          </m:sSub>
          <m:r>
            <m:rPr>
              <m:sty m:val="p"/>
            </m:rPr>
            <w:rPr>
              <w:rFonts w:ascii="Cambria Math" w:hAnsi="Cambria Math"/>
              <w:szCs w:val="24"/>
              <w:lang w:val="en-GB"/>
            </w:rPr>
            <m:t>=</m:t>
          </m:r>
          <m:d>
            <m:dPr>
              <m:ctrlPr>
                <w:rPr>
                  <w:rFonts w:ascii="Cambria Math" w:hAnsi="Cambria Math"/>
                  <w:bCs/>
                  <w:iCs/>
                  <w:szCs w:val="24"/>
                  <w:lang w:val="en-GB"/>
                </w:rPr>
              </m:ctrlPr>
            </m:dPr>
            <m:e>
              <m:r>
                <m:rPr>
                  <m:sty m:val="p"/>
                </m:rPr>
                <w:rPr>
                  <w:rFonts w:ascii="Cambria Math" w:hAnsi="Cambria Math"/>
                  <w:szCs w:val="24"/>
                  <w:lang w:val="en-GB"/>
                </w:rPr>
                <m:t>11+7.0</m:t>
              </m:r>
            </m:e>
          </m:d>
          <m:r>
            <m:rPr>
              <m:sty m:val="p"/>
            </m:rPr>
            <w:rPr>
              <w:rFonts w:ascii="Cambria Math" w:hAnsi="Cambria Math"/>
              <w:szCs w:val="24"/>
              <w:lang w:val="en-GB"/>
            </w:rPr>
            <m:t>×0.05</m:t>
          </m:r>
          <m:r>
            <m:rPr>
              <m:sty m:val="p"/>
            </m:rPr>
            <w:rPr>
              <w:rFonts w:ascii="Cambria Math" w:hAnsi="Cambria Math"/>
              <w:szCs w:val="24"/>
              <w:lang w:val="en-GB"/>
            </w:rPr>
            <w:br/>
          </m:r>
        </m:oMath>
        <m:oMath>
          <m:r>
            <m:rPr>
              <m:sty m:val="p"/>
            </m:rPr>
            <w:rPr>
              <w:rFonts w:ascii="Cambria Math" w:hAnsi="Cambria Math"/>
              <w:szCs w:val="24"/>
              <w:lang w:val="en-GB"/>
            </w:rPr>
            <m:t>=0.9 mg/L</m:t>
          </m:r>
        </m:oMath>
      </m:oMathPara>
    </w:p>
    <w:p w14:paraId="59DCD437" w14:textId="77777777" w:rsidR="00C46175" w:rsidRPr="00D93FF9" w:rsidRDefault="00E811B8" w:rsidP="003807A1">
      <w:pPr>
        <w:pStyle w:val="BodyText"/>
        <w:spacing w:after="0"/>
        <w:rPr>
          <w:lang w:val="en-GB"/>
        </w:rPr>
      </w:pPr>
      <w:r w:rsidRPr="00D93FF9">
        <w:rPr>
          <w:lang w:val="en-GB"/>
        </w:rPr>
        <w:t>From the above</w:t>
      </w:r>
      <w:r w:rsidRPr="00D93FF9">
        <w:rPr>
          <w:spacing w:val="-4"/>
          <w:lang w:val="en-GB"/>
        </w:rPr>
        <w:t xml:space="preserve"> </w:t>
      </w:r>
      <w:r w:rsidRPr="00D93FF9">
        <w:rPr>
          <w:lang w:val="en-GB"/>
        </w:rPr>
        <w:t>examples:</w:t>
      </w:r>
    </w:p>
    <w:p w14:paraId="59DCD438" w14:textId="12F5FEC7" w:rsidR="00EF5F16" w:rsidRPr="00D93FF9" w:rsidRDefault="00E811B8" w:rsidP="003807A1">
      <w:pPr>
        <w:pStyle w:val="BodyText"/>
        <w:tabs>
          <w:tab w:val="left" w:pos="1319"/>
          <w:tab w:val="left" w:pos="1743"/>
        </w:tabs>
        <w:spacing w:after="0" w:line="326" w:lineRule="auto"/>
        <w:rPr>
          <w:rFonts w:ascii="Cambria Math" w:hAnsi="Cambria Math"/>
          <w:bCs/>
          <w:iCs/>
          <w:szCs w:val="24"/>
          <w:lang w:val="en-GB"/>
        </w:rPr>
      </w:pPr>
      <m:oMathPara>
        <m:oMathParaPr>
          <m:jc m:val="left"/>
        </m:oMathParaPr>
        <m:oMath>
          <m:r>
            <w:rPr>
              <w:rFonts w:ascii="Cambria Math" w:hAnsi="Cambria Math"/>
              <w:szCs w:val="24"/>
              <w:lang w:val="en-GB"/>
            </w:rPr>
            <m:t>SG</m:t>
          </m:r>
          <m:sSub>
            <m:sSubPr>
              <m:ctrlPr>
                <w:rPr>
                  <w:rFonts w:ascii="Cambria Math" w:hAnsi="Cambria Math"/>
                  <w:bCs/>
                  <w:iCs/>
                  <w:szCs w:val="24"/>
                  <w:lang w:val="en-GB"/>
                </w:rPr>
              </m:ctrlPr>
            </m:sSubPr>
            <m:e>
              <m:r>
                <w:rPr>
                  <w:rFonts w:ascii="Cambria Math" w:hAnsi="Cambria Math"/>
                  <w:szCs w:val="24"/>
                  <w:lang w:val="en-GB"/>
                </w:rPr>
                <m:t>V</m:t>
              </m:r>
            </m:e>
            <m:sub>
              <m:r>
                <w:rPr>
                  <w:rFonts w:ascii="Cambria Math" w:hAnsi="Cambria Math"/>
                  <w:szCs w:val="24"/>
                  <w:lang w:val="en-GB"/>
                </w:rPr>
                <m:t>N</m:t>
              </m:r>
            </m:sub>
          </m:sSub>
          <m:r>
            <m:rPr>
              <m:sty m:val="p"/>
            </m:rPr>
            <w:rPr>
              <w:rFonts w:ascii="Cambria Math" w:hAnsi="Cambria Math"/>
              <w:szCs w:val="24"/>
              <w:lang w:val="en-GB"/>
            </w:rPr>
            <m:t>=11+7.0+0.9</m:t>
          </m:r>
          <m:r>
            <m:rPr>
              <m:sty m:val="p"/>
            </m:rPr>
            <w:rPr>
              <w:rFonts w:ascii="Cambria Math" w:hAnsi="Cambria Math"/>
              <w:szCs w:val="24"/>
              <w:lang w:val="en-GB"/>
            </w:rPr>
            <w:br/>
          </m:r>
        </m:oMath>
        <m:oMath>
          <m:r>
            <m:rPr>
              <m:sty m:val="p"/>
            </m:rPr>
            <w:rPr>
              <w:rFonts w:ascii="Cambria Math" w:hAnsi="Cambria Math"/>
              <w:szCs w:val="24"/>
              <w:lang w:val="en-GB"/>
            </w:rPr>
            <m:t>=18.9 mg/L</m:t>
          </m:r>
        </m:oMath>
      </m:oMathPara>
    </w:p>
    <w:p w14:paraId="59DCD439" w14:textId="77777777" w:rsidR="00C46175" w:rsidRPr="00D93FF9" w:rsidRDefault="00C46175" w:rsidP="003807A1">
      <w:pPr>
        <w:pStyle w:val="BodyText"/>
        <w:spacing w:after="0"/>
        <w:rPr>
          <w:sz w:val="19"/>
          <w:lang w:val="en-GB"/>
        </w:rPr>
      </w:pPr>
    </w:p>
    <w:p w14:paraId="59DCD43A" w14:textId="77777777" w:rsidR="00DF199A" w:rsidRPr="00D93FF9" w:rsidRDefault="00E811B8">
      <w:pPr>
        <w:pStyle w:val="BodyText"/>
        <w:tabs>
          <w:tab w:val="left" w:pos="1885"/>
          <w:tab w:val="left" w:pos="2310"/>
        </w:tabs>
        <w:spacing w:after="0" w:line="304" w:lineRule="auto"/>
        <w:ind w:firstLine="33"/>
        <w:rPr>
          <w:lang w:val="en-GB"/>
        </w:rPr>
      </w:pPr>
      <w:r w:rsidRPr="00D93FF9">
        <w:rPr>
          <w:lang w:val="en-GB"/>
        </w:rPr>
        <w:t xml:space="preserve">Assumptions for calculating the </w:t>
      </w:r>
      <w:r w:rsidR="00553FF9" w:rsidRPr="00D93FF9">
        <w:rPr>
          <w:lang w:val="en-GB"/>
        </w:rPr>
        <w:t>SGV</w:t>
      </w:r>
      <w:r w:rsidRPr="00D93FF9">
        <w:rPr>
          <w:lang w:val="en-GB"/>
        </w:rPr>
        <w:t xml:space="preserve"> range </w:t>
      </w:r>
    </w:p>
    <w:p w14:paraId="59DCD43B" w14:textId="77777777" w:rsidR="00C46175" w:rsidRPr="00D93FF9" w:rsidRDefault="00E811B8" w:rsidP="00DF199A">
      <w:pPr>
        <w:pStyle w:val="BodyText"/>
        <w:tabs>
          <w:tab w:val="left" w:pos="1885"/>
          <w:tab w:val="left" w:pos="2310"/>
        </w:tabs>
        <w:spacing w:after="0" w:line="304" w:lineRule="auto"/>
        <w:ind w:firstLine="33"/>
        <w:rPr>
          <w:lang w:val="en-GB"/>
        </w:rPr>
      </w:pPr>
      <w:r w:rsidRPr="00D93FF9">
        <w:rPr>
          <w:lang w:val="en-GB"/>
        </w:rPr>
        <w:t>Irrigation</w:t>
      </w:r>
      <w:r w:rsidRPr="00D93FF9">
        <w:rPr>
          <w:spacing w:val="-2"/>
          <w:lang w:val="en-GB"/>
        </w:rPr>
        <w:t xml:space="preserve"> </w:t>
      </w:r>
      <w:r w:rsidRPr="00D93FF9">
        <w:rPr>
          <w:lang w:val="en-GB"/>
        </w:rPr>
        <w:t>height</w:t>
      </w:r>
      <w:r w:rsidRPr="00D93FF9">
        <w:rPr>
          <w:lang w:val="en-GB"/>
        </w:rPr>
        <w:tab/>
        <w:t>=</w:t>
      </w:r>
      <w:r w:rsidRPr="00D93FF9">
        <w:rPr>
          <w:lang w:val="en-GB"/>
        </w:rPr>
        <w:tab/>
      </w:r>
      <w:r w:rsidRPr="00D93FF9">
        <w:rPr>
          <w:position w:val="2"/>
          <w:lang w:val="en-GB"/>
        </w:rPr>
        <w:t>1.00 m</w:t>
      </w:r>
    </w:p>
    <w:p w14:paraId="59DCD43C" w14:textId="77777777" w:rsidR="00C46175" w:rsidRPr="00D93FF9" w:rsidRDefault="00E811B8" w:rsidP="003807A1">
      <w:pPr>
        <w:tabs>
          <w:tab w:val="left" w:pos="1885"/>
          <w:tab w:val="left" w:pos="2310"/>
        </w:tabs>
        <w:spacing w:after="0"/>
        <w:rPr>
          <w:lang w:val="en-GB"/>
        </w:rPr>
      </w:pPr>
      <w:r w:rsidRPr="00D93FF9">
        <w:rPr>
          <w:position w:val="-1"/>
          <w:lang w:val="en-GB"/>
        </w:rPr>
        <w:t>N</w:t>
      </w:r>
      <w:r w:rsidRPr="00D93FF9">
        <w:rPr>
          <w:position w:val="-6"/>
          <w:sz w:val="15"/>
          <w:lang w:val="en-GB"/>
        </w:rPr>
        <w:t>e</w:t>
      </w:r>
      <w:r w:rsidR="009F4A9B" w:rsidRPr="00D93FF9">
        <w:rPr>
          <w:position w:val="-6"/>
          <w:sz w:val="15"/>
          <w:lang w:val="en-GB"/>
        </w:rPr>
        <w:t>nv</w:t>
      </w:r>
      <w:r w:rsidRPr="00D93FF9">
        <w:rPr>
          <w:position w:val="-6"/>
          <w:sz w:val="15"/>
          <w:lang w:val="en-GB"/>
        </w:rPr>
        <w:tab/>
      </w:r>
      <w:r w:rsidRPr="00D93FF9">
        <w:rPr>
          <w:position w:val="-1"/>
          <w:lang w:val="en-GB"/>
        </w:rPr>
        <w:t>=</w:t>
      </w:r>
      <w:r w:rsidRPr="00D93FF9">
        <w:rPr>
          <w:position w:val="-1"/>
          <w:lang w:val="en-GB"/>
        </w:rPr>
        <w:tab/>
      </w:r>
      <w:r w:rsidR="009F4A9B" w:rsidRPr="00D93FF9">
        <w:rPr>
          <w:lang w:val="en-GB"/>
        </w:rPr>
        <w:t>11</w:t>
      </w:r>
      <w:r w:rsidRPr="00D93FF9">
        <w:rPr>
          <w:spacing w:val="-1"/>
          <w:lang w:val="en-GB"/>
        </w:rPr>
        <w:t xml:space="preserve"> </w:t>
      </w:r>
      <w:r w:rsidRPr="00D93FF9">
        <w:rPr>
          <w:lang w:val="en-GB"/>
        </w:rPr>
        <w:t>mg/L</w:t>
      </w:r>
    </w:p>
    <w:p w14:paraId="59DCD43D" w14:textId="5CFBF603" w:rsidR="00C46175" w:rsidRPr="00D93FF9" w:rsidRDefault="00E811B8" w:rsidP="00354100">
      <w:pPr>
        <w:pStyle w:val="BodyText"/>
        <w:tabs>
          <w:tab w:val="left" w:pos="1885"/>
          <w:tab w:val="left" w:pos="2268"/>
        </w:tabs>
        <w:spacing w:after="0" w:line="220" w:lineRule="auto"/>
        <w:ind w:left="2268" w:hanging="2268"/>
        <w:rPr>
          <w:lang w:val="en-GB"/>
        </w:rPr>
      </w:pPr>
      <w:r w:rsidRPr="00D93FF9">
        <w:rPr>
          <w:position w:val="-1"/>
          <w:lang w:val="en-GB"/>
        </w:rPr>
        <w:t>N</w:t>
      </w:r>
      <w:r w:rsidR="00AF1CC8" w:rsidRPr="00D93FF9">
        <w:rPr>
          <w:position w:val="-6"/>
          <w:sz w:val="15"/>
          <w:lang w:val="en-GB"/>
        </w:rPr>
        <w:t>removed</w:t>
      </w:r>
      <w:r w:rsidRPr="00D93FF9">
        <w:rPr>
          <w:position w:val="-6"/>
          <w:sz w:val="15"/>
          <w:lang w:val="en-GB"/>
        </w:rPr>
        <w:tab/>
      </w:r>
      <w:r w:rsidRPr="00D93FF9">
        <w:rPr>
          <w:position w:val="-1"/>
          <w:lang w:val="en-GB"/>
        </w:rPr>
        <w:t>=</w:t>
      </w:r>
      <w:r w:rsidR="00AF1CC8" w:rsidRPr="00D93FF9">
        <w:rPr>
          <w:position w:val="-1"/>
          <w:lang w:val="en-GB"/>
        </w:rPr>
        <w:tab/>
        <w:t xml:space="preserve"> </w:t>
      </w:r>
      <w:r w:rsidRPr="00D93FF9">
        <w:rPr>
          <w:spacing w:val="-4"/>
          <w:lang w:val="en-GB"/>
        </w:rPr>
        <w:t xml:space="preserve">minimum </w:t>
      </w:r>
      <w:r w:rsidRPr="00D93FF9">
        <w:rPr>
          <w:lang w:val="en-GB"/>
        </w:rPr>
        <w:t xml:space="preserve">(20 </w:t>
      </w:r>
      <w:r w:rsidRPr="00D93FF9">
        <w:rPr>
          <w:spacing w:val="-3"/>
          <w:lang w:val="en-GB"/>
        </w:rPr>
        <w:t xml:space="preserve">kg/ha) </w:t>
      </w:r>
      <w:r w:rsidRPr="00D93FF9">
        <w:rPr>
          <w:lang w:val="en-GB"/>
        </w:rPr>
        <w:t xml:space="preserve">and </w:t>
      </w:r>
      <w:r w:rsidRPr="00D93FF9">
        <w:rPr>
          <w:spacing w:val="-4"/>
          <w:lang w:val="en-GB"/>
        </w:rPr>
        <w:t xml:space="preserve">maximum </w:t>
      </w:r>
      <w:r w:rsidRPr="00D93FF9">
        <w:rPr>
          <w:spacing w:val="-3"/>
          <w:lang w:val="en-GB"/>
        </w:rPr>
        <w:t xml:space="preserve">(1015 kg/ha) </w:t>
      </w:r>
      <w:r w:rsidRPr="00D93FF9">
        <w:rPr>
          <w:lang w:val="en-GB"/>
        </w:rPr>
        <w:t xml:space="preserve">N </w:t>
      </w:r>
      <w:r w:rsidRPr="00D93FF9">
        <w:rPr>
          <w:spacing w:val="-4"/>
          <w:lang w:val="en-GB"/>
        </w:rPr>
        <w:t xml:space="preserve">removal </w:t>
      </w:r>
      <w:r w:rsidRPr="00D93FF9">
        <w:rPr>
          <w:lang w:val="en-GB"/>
        </w:rPr>
        <w:t xml:space="preserve">by </w:t>
      </w:r>
      <w:r w:rsidRPr="00D93FF9">
        <w:rPr>
          <w:spacing w:val="-3"/>
          <w:lang w:val="en-GB"/>
        </w:rPr>
        <w:t xml:space="preserve">crops </w:t>
      </w:r>
      <w:r w:rsidRPr="00D93FF9">
        <w:rPr>
          <w:lang w:val="en-GB"/>
        </w:rPr>
        <w:t xml:space="preserve">listed in </w:t>
      </w:r>
      <w:r w:rsidR="0088165F" w:rsidRPr="00D93FF9">
        <w:rPr>
          <w:lang w:val="en-GB"/>
        </w:rPr>
        <w:fldChar w:fldCharType="begin"/>
      </w:r>
      <w:r w:rsidR="0088165F" w:rsidRPr="00D93FF9">
        <w:rPr>
          <w:lang w:val="en-GB"/>
        </w:rPr>
        <w:instrText xml:space="preserve"> REF _Ref81394808 \h </w:instrText>
      </w:r>
      <w:r w:rsidR="00D93FF9">
        <w:rPr>
          <w:lang w:val="en-GB"/>
        </w:rPr>
        <w:instrText xml:space="preserve"> \* MERGEFORMAT </w:instrText>
      </w:r>
      <w:r w:rsidR="0088165F" w:rsidRPr="00D93FF9">
        <w:rPr>
          <w:lang w:val="en-GB"/>
        </w:rPr>
      </w:r>
      <w:r w:rsidR="0088165F" w:rsidRPr="00D93FF9">
        <w:rPr>
          <w:lang w:val="en-GB"/>
        </w:rPr>
        <w:fldChar w:fldCharType="separate"/>
      </w:r>
      <w:r w:rsidR="0069302C" w:rsidRPr="00D93FF9">
        <w:t xml:space="preserve">Table </w:t>
      </w:r>
      <w:r w:rsidR="0069302C">
        <w:rPr>
          <w:noProof/>
        </w:rPr>
        <w:t>26</w:t>
      </w:r>
      <w:r w:rsidR="0088165F" w:rsidRPr="00D93FF9">
        <w:rPr>
          <w:lang w:val="en-GB"/>
        </w:rPr>
        <w:fldChar w:fldCharType="end"/>
      </w:r>
      <w:r w:rsidR="0088165F" w:rsidRPr="00D93FF9">
        <w:rPr>
          <w:lang w:val="en-GB"/>
        </w:rPr>
        <w:t xml:space="preserve"> </w:t>
      </w:r>
      <w:r w:rsidRPr="00D93FF9">
        <w:rPr>
          <w:spacing w:val="-3"/>
          <w:lang w:val="en-GB"/>
        </w:rPr>
        <w:t xml:space="preserve">(excludes stubble </w:t>
      </w:r>
      <w:r w:rsidRPr="00D93FF9">
        <w:rPr>
          <w:lang w:val="en-GB"/>
        </w:rPr>
        <w:t xml:space="preserve">crops) </w:t>
      </w:r>
      <w:r w:rsidRPr="00D93FF9">
        <w:rPr>
          <w:spacing w:val="-3"/>
          <w:lang w:val="en-GB"/>
        </w:rPr>
        <w:t xml:space="preserve">with </w:t>
      </w:r>
      <w:r w:rsidRPr="00D93FF9">
        <w:rPr>
          <w:lang w:val="en-GB"/>
        </w:rPr>
        <w:t xml:space="preserve">no N added </w:t>
      </w:r>
      <w:r w:rsidRPr="00D93FF9">
        <w:rPr>
          <w:spacing w:val="-3"/>
          <w:lang w:val="en-GB"/>
        </w:rPr>
        <w:t xml:space="preserve">in </w:t>
      </w:r>
      <w:r w:rsidRPr="00D93FF9">
        <w:rPr>
          <w:spacing w:val="-2"/>
          <w:lang w:val="en-GB"/>
        </w:rPr>
        <w:t>fertilisers.</w:t>
      </w:r>
    </w:p>
    <w:p w14:paraId="59DCD43E" w14:textId="75A11CBF" w:rsidR="00C46175" w:rsidRPr="00D93FF9" w:rsidRDefault="00E811B8" w:rsidP="0088165F">
      <w:pPr>
        <w:tabs>
          <w:tab w:val="left" w:pos="1985"/>
          <w:tab w:val="left" w:pos="2410"/>
        </w:tabs>
        <w:spacing w:after="0"/>
        <w:jc w:val="both"/>
        <w:rPr>
          <w:position w:val="5"/>
          <w:lang w:val="en-GB"/>
        </w:rPr>
      </w:pPr>
      <w:r w:rsidRPr="00D93FF9">
        <w:rPr>
          <w:position w:val="5"/>
          <w:lang w:val="en-GB"/>
        </w:rPr>
        <w:t>N</w:t>
      </w:r>
      <w:r w:rsidRPr="00D93FF9">
        <w:rPr>
          <w:sz w:val="15"/>
          <w:lang w:val="en-GB"/>
        </w:rPr>
        <w:t>gasloss</w:t>
      </w:r>
      <w:r w:rsidRPr="00D93FF9">
        <w:rPr>
          <w:sz w:val="15"/>
          <w:lang w:val="en-GB"/>
        </w:rPr>
        <w:tab/>
      </w:r>
      <w:r w:rsidRPr="00D93FF9">
        <w:rPr>
          <w:position w:val="5"/>
          <w:lang w:val="en-GB"/>
        </w:rPr>
        <w:t>=</w:t>
      </w:r>
      <w:r w:rsidRPr="00D93FF9">
        <w:rPr>
          <w:spacing w:val="25"/>
          <w:position w:val="5"/>
          <w:lang w:val="en-GB"/>
        </w:rPr>
        <w:t xml:space="preserve"> </w:t>
      </w:r>
      <w:r w:rsidR="00AF1CC8" w:rsidRPr="00D93FF9">
        <w:rPr>
          <w:spacing w:val="25"/>
          <w:position w:val="5"/>
          <w:lang w:val="en-GB"/>
        </w:rPr>
        <w:tab/>
      </w:r>
      <w:r w:rsidRPr="00D93FF9">
        <w:rPr>
          <w:position w:val="5"/>
          <w:lang w:val="en-GB"/>
        </w:rPr>
        <w:t>nil</w:t>
      </w:r>
    </w:p>
    <w:p w14:paraId="6B5D8991" w14:textId="77777777" w:rsidR="00AF1CC8" w:rsidRPr="00D93FF9" w:rsidRDefault="00AF1CC8" w:rsidP="003807A1">
      <w:pPr>
        <w:tabs>
          <w:tab w:val="left" w:pos="1885"/>
        </w:tabs>
        <w:spacing w:after="0"/>
        <w:jc w:val="both"/>
        <w:rPr>
          <w:lang w:val="en-GB"/>
        </w:rPr>
      </w:pPr>
    </w:p>
    <w:p w14:paraId="59DCD43F" w14:textId="791791AD" w:rsidR="00C46175" w:rsidRPr="00D93FF9" w:rsidRDefault="00E811B8" w:rsidP="003807A1">
      <w:pPr>
        <w:pStyle w:val="BodyText"/>
        <w:spacing w:after="0" w:line="256" w:lineRule="auto"/>
        <w:jc w:val="both"/>
        <w:rPr>
          <w:lang w:val="en-GB"/>
        </w:rPr>
      </w:pPr>
      <w:r w:rsidRPr="00D93FF9">
        <w:rPr>
          <w:lang w:val="en-GB"/>
        </w:rPr>
        <w:t xml:space="preserve">The </w:t>
      </w:r>
      <w:r w:rsidR="00553FF9" w:rsidRPr="00D93FF9">
        <w:rPr>
          <w:lang w:val="en-GB"/>
        </w:rPr>
        <w:t>SGV</w:t>
      </w:r>
      <w:r w:rsidRPr="00D93FF9">
        <w:rPr>
          <w:lang w:val="en-GB"/>
        </w:rPr>
        <w:t xml:space="preserve"> range recommended for nitrogen in irrigation water (25–125 mg/L, based on interactions between groundwater protection and crop usage) is a broader range than that quoted by DWAF (1996a) which ranged from 5–30 mg/L. However, using the median nitrogen removed (94 kg/ha) with </w:t>
      </w:r>
      <w:r w:rsidRPr="00D93FF9">
        <w:rPr>
          <w:lang w:val="en-GB"/>
        </w:rPr>
        <w:lastRenderedPageBreak/>
        <w:t>harvestable portions (</w:t>
      </w:r>
      <w:r w:rsidR="0088165F" w:rsidRPr="00D93FF9">
        <w:rPr>
          <w:lang w:val="en-GB"/>
        </w:rPr>
        <w:fldChar w:fldCharType="begin"/>
      </w:r>
      <w:r w:rsidR="0088165F" w:rsidRPr="00D93FF9">
        <w:rPr>
          <w:lang w:val="en-GB"/>
        </w:rPr>
        <w:instrText xml:space="preserve"> REF _Ref81394808 \h </w:instrText>
      </w:r>
      <w:r w:rsidR="00D93FF9">
        <w:rPr>
          <w:lang w:val="en-GB"/>
        </w:rPr>
        <w:instrText xml:space="preserve"> \* MERGEFORMAT </w:instrText>
      </w:r>
      <w:r w:rsidR="0088165F" w:rsidRPr="00D93FF9">
        <w:rPr>
          <w:lang w:val="en-GB"/>
        </w:rPr>
      </w:r>
      <w:r w:rsidR="0088165F" w:rsidRPr="00D93FF9">
        <w:rPr>
          <w:lang w:val="en-GB"/>
        </w:rPr>
        <w:fldChar w:fldCharType="separate"/>
      </w:r>
      <w:r w:rsidR="0069302C" w:rsidRPr="00D93FF9">
        <w:t xml:space="preserve">Table </w:t>
      </w:r>
      <w:r w:rsidR="0069302C">
        <w:rPr>
          <w:noProof/>
        </w:rPr>
        <w:t>26</w:t>
      </w:r>
      <w:r w:rsidR="0088165F" w:rsidRPr="00D93FF9">
        <w:rPr>
          <w:lang w:val="en-GB"/>
        </w:rPr>
        <w:fldChar w:fldCharType="end"/>
      </w:r>
      <w:r w:rsidRPr="00D93FF9">
        <w:rPr>
          <w:lang w:val="en-GB"/>
        </w:rPr>
        <w:t xml:space="preserve">), the </w:t>
      </w:r>
      <w:r w:rsidR="00553FF9" w:rsidRPr="00D93FF9">
        <w:rPr>
          <w:lang w:val="en-GB"/>
        </w:rPr>
        <w:t>SGV</w:t>
      </w:r>
      <w:r w:rsidRPr="00D93FF9">
        <w:rPr>
          <w:lang w:val="en-GB"/>
        </w:rPr>
        <w:t xml:space="preserve"> = 32 mg N/L. The DWAF (1996) guidelines do not allow for site-specific assessment as is recommended above. Incorporation of a site-specific assessment has allowed high concentrations of nitrogen in irrigation water in some situations while still minimising off-site</w:t>
      </w:r>
      <w:r w:rsidRPr="00D93FF9">
        <w:rPr>
          <w:spacing w:val="-5"/>
          <w:lang w:val="en-GB"/>
        </w:rPr>
        <w:t xml:space="preserve"> </w:t>
      </w:r>
      <w:r w:rsidRPr="00D93FF9">
        <w:rPr>
          <w:lang w:val="en-GB"/>
        </w:rPr>
        <w:t>impacts.</w:t>
      </w:r>
    </w:p>
    <w:p w14:paraId="4BB88FD6" w14:textId="77777777" w:rsidR="004F67E3" w:rsidRPr="00D93FF9" w:rsidRDefault="004F67E3" w:rsidP="003807A1">
      <w:pPr>
        <w:pStyle w:val="BodyText"/>
        <w:spacing w:after="0" w:line="256" w:lineRule="auto"/>
        <w:jc w:val="both"/>
        <w:rPr>
          <w:lang w:val="en-GB"/>
        </w:rPr>
      </w:pPr>
    </w:p>
    <w:p w14:paraId="59DCD441" w14:textId="453C9A21" w:rsidR="00C46175" w:rsidRPr="00D93FF9" w:rsidRDefault="0088165F" w:rsidP="0088165F">
      <w:pPr>
        <w:pStyle w:val="Caption"/>
        <w:rPr>
          <w:rFonts w:ascii="Arial" w:eastAsiaTheme="minorHAnsi" w:hAnsi="Arial" w:cs="Arial"/>
          <w:bCs w:val="0"/>
          <w:color w:val="auto"/>
          <w:sz w:val="16"/>
          <w:szCs w:val="16"/>
          <w:lang w:val="en-GB" w:eastAsia="en-AU" w:bidi="ar-SA"/>
        </w:rPr>
      </w:pPr>
      <w:bookmarkStart w:id="289" w:name="_Ref81394808"/>
      <w:bookmarkStart w:id="290" w:name="_Toc96518240"/>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26</w:t>
      </w:r>
      <w:r w:rsidR="00477102" w:rsidRPr="00D93FF9">
        <w:fldChar w:fldCharType="end"/>
      </w:r>
      <w:bookmarkEnd w:id="289"/>
      <w:r w:rsidRPr="00D93FF9">
        <w:t xml:space="preserve"> </w:t>
      </w:r>
      <w:bookmarkStart w:id="291" w:name="_Hlk153812763"/>
      <w:r w:rsidR="00C376A4" w:rsidRPr="00D93FF9">
        <w:rPr>
          <w:bCs w:val="0"/>
          <w:szCs w:val="22"/>
          <w:lang w:val="en-GB"/>
        </w:rPr>
        <w:t xml:space="preserve">Indicative </w:t>
      </w:r>
      <w:r w:rsidR="00C376A4" w:rsidRPr="00D93FF9">
        <w:rPr>
          <w:szCs w:val="22"/>
          <w:lang w:val="en-GB"/>
        </w:rPr>
        <w:t>n</w:t>
      </w:r>
      <w:r w:rsidR="00E90CE0" w:rsidRPr="00D93FF9">
        <w:rPr>
          <w:szCs w:val="22"/>
          <w:lang w:val="en-GB"/>
        </w:rPr>
        <w:t>itrogen and phosphorus removal with harvestable portions of crops</w:t>
      </w:r>
      <w:bookmarkEnd w:id="290"/>
      <w:r w:rsidR="00E90CE0" w:rsidRPr="00D93FF9">
        <w:rPr>
          <w:szCs w:val="22"/>
          <w:lang w:val="en-GB"/>
        </w:rPr>
        <w:t xml:space="preserve"> </w:t>
      </w:r>
      <w:bookmarkEnd w:id="291"/>
    </w:p>
    <w:tbl>
      <w:tblPr>
        <w:tblW w:w="8188" w:type="dxa"/>
        <w:tblLook w:val="04A0" w:firstRow="1" w:lastRow="0" w:firstColumn="1" w:lastColumn="0" w:noHBand="0" w:noVBand="1"/>
        <w:tblCaption w:val="Indicative nitrogen and phosphorus removal with harvestable portions of crops"/>
        <w:tblDescription w:val="The table shows the indicative concentrations of nitrogen and phosphorus removal with harvestable portions for a wide range of crops. "/>
      </w:tblPr>
      <w:tblGrid>
        <w:gridCol w:w="1895"/>
        <w:gridCol w:w="908"/>
        <w:gridCol w:w="1786"/>
        <w:gridCol w:w="1756"/>
        <w:gridCol w:w="1843"/>
      </w:tblGrid>
      <w:tr w:rsidR="00BE3AA8" w:rsidRPr="00D93FF9" w14:paraId="59DCD447" w14:textId="77777777" w:rsidTr="000E1354">
        <w:trPr>
          <w:trHeight w:val="227"/>
          <w:tblHeader/>
        </w:trPr>
        <w:tc>
          <w:tcPr>
            <w:tcW w:w="1895" w:type="dxa"/>
            <w:tcBorders>
              <w:top w:val="single" w:sz="4" w:space="0" w:color="auto"/>
              <w:bottom w:val="single" w:sz="4" w:space="0" w:color="auto"/>
            </w:tcBorders>
            <w:vAlign w:val="center"/>
            <w:hideMark/>
          </w:tcPr>
          <w:p w14:paraId="59DCD442" w14:textId="77777777" w:rsidR="00C376A4" w:rsidRPr="00D93FF9" w:rsidRDefault="00E811B8" w:rsidP="003807A1">
            <w:pPr>
              <w:spacing w:after="0"/>
              <w:jc w:val="center"/>
              <w:rPr>
                <w:rFonts w:ascii="Arial" w:hAnsi="Arial" w:cs="Arial"/>
                <w:b/>
                <w:sz w:val="16"/>
                <w:szCs w:val="16"/>
                <w:lang w:val="en-GB" w:eastAsia="en-AU"/>
              </w:rPr>
            </w:pPr>
            <w:r w:rsidRPr="00D93FF9">
              <w:rPr>
                <w:rFonts w:ascii="Arial" w:hAnsi="Arial" w:cs="Arial"/>
                <w:b/>
                <w:sz w:val="16"/>
                <w:szCs w:val="16"/>
                <w:lang w:val="en-GB" w:eastAsia="en-AU"/>
              </w:rPr>
              <w:t>Crop</w:t>
            </w:r>
          </w:p>
        </w:tc>
        <w:tc>
          <w:tcPr>
            <w:tcW w:w="908" w:type="dxa"/>
            <w:tcBorders>
              <w:top w:val="single" w:sz="4" w:space="0" w:color="auto"/>
              <w:bottom w:val="single" w:sz="4" w:space="0" w:color="auto"/>
            </w:tcBorders>
            <w:vAlign w:val="center"/>
            <w:hideMark/>
          </w:tcPr>
          <w:p w14:paraId="59DCD443" w14:textId="77777777" w:rsidR="00C376A4" w:rsidRPr="00D93FF9" w:rsidRDefault="00E811B8" w:rsidP="003807A1">
            <w:pPr>
              <w:spacing w:after="0"/>
              <w:jc w:val="center"/>
              <w:rPr>
                <w:rFonts w:ascii="Arial" w:hAnsi="Arial" w:cs="Arial"/>
                <w:b/>
                <w:sz w:val="16"/>
                <w:szCs w:val="16"/>
                <w:lang w:val="en-GB" w:eastAsia="en-AU"/>
              </w:rPr>
            </w:pPr>
            <w:r w:rsidRPr="00D93FF9">
              <w:rPr>
                <w:rFonts w:ascii="Arial" w:hAnsi="Arial" w:cs="Arial"/>
                <w:b/>
                <w:sz w:val="16"/>
                <w:szCs w:val="16"/>
                <w:lang w:val="en-GB" w:eastAsia="en-AU"/>
              </w:rPr>
              <w:t>Moisture (%)</w:t>
            </w:r>
          </w:p>
        </w:tc>
        <w:tc>
          <w:tcPr>
            <w:tcW w:w="1786" w:type="dxa"/>
            <w:tcBorders>
              <w:top w:val="single" w:sz="4" w:space="0" w:color="auto"/>
              <w:bottom w:val="single" w:sz="4" w:space="0" w:color="auto"/>
            </w:tcBorders>
            <w:vAlign w:val="center"/>
            <w:hideMark/>
          </w:tcPr>
          <w:p w14:paraId="59DCD444" w14:textId="77777777" w:rsidR="00C376A4" w:rsidRPr="00D93FF9" w:rsidRDefault="00E811B8" w:rsidP="003807A1">
            <w:pPr>
              <w:spacing w:after="0"/>
              <w:jc w:val="center"/>
              <w:rPr>
                <w:rFonts w:ascii="Arial" w:hAnsi="Arial" w:cs="Arial"/>
                <w:b/>
                <w:sz w:val="16"/>
                <w:szCs w:val="16"/>
                <w:lang w:val="en-GB" w:eastAsia="en-AU"/>
              </w:rPr>
            </w:pPr>
            <w:r w:rsidRPr="00D93FF9">
              <w:rPr>
                <w:rFonts w:ascii="Arial" w:hAnsi="Arial" w:cs="Arial"/>
                <w:b/>
                <w:sz w:val="16"/>
                <w:szCs w:val="16"/>
                <w:lang w:val="en-GB" w:eastAsia="en-AU"/>
              </w:rPr>
              <w:t>Harvestable Portion (t/ha)</w:t>
            </w:r>
          </w:p>
        </w:tc>
        <w:tc>
          <w:tcPr>
            <w:tcW w:w="1756" w:type="dxa"/>
            <w:tcBorders>
              <w:top w:val="single" w:sz="4" w:space="0" w:color="auto"/>
              <w:bottom w:val="single" w:sz="4" w:space="0" w:color="auto"/>
            </w:tcBorders>
            <w:vAlign w:val="center"/>
            <w:hideMark/>
          </w:tcPr>
          <w:p w14:paraId="59DCD445" w14:textId="77777777" w:rsidR="00C376A4" w:rsidRPr="00D93FF9" w:rsidRDefault="00E811B8" w:rsidP="003807A1">
            <w:pPr>
              <w:spacing w:after="0"/>
              <w:jc w:val="center"/>
              <w:rPr>
                <w:rFonts w:ascii="Arial" w:hAnsi="Arial" w:cs="Arial"/>
                <w:b/>
                <w:sz w:val="16"/>
                <w:szCs w:val="16"/>
                <w:lang w:val="en-GB" w:eastAsia="en-AU"/>
              </w:rPr>
            </w:pPr>
            <w:r w:rsidRPr="00D93FF9">
              <w:rPr>
                <w:rFonts w:ascii="Arial" w:hAnsi="Arial" w:cs="Arial"/>
                <w:b/>
                <w:sz w:val="16"/>
                <w:szCs w:val="16"/>
                <w:lang w:val="en-GB" w:eastAsia="en-AU"/>
              </w:rPr>
              <w:t>N (kg/t)</w:t>
            </w:r>
          </w:p>
        </w:tc>
        <w:tc>
          <w:tcPr>
            <w:tcW w:w="1843" w:type="dxa"/>
            <w:tcBorders>
              <w:top w:val="single" w:sz="4" w:space="0" w:color="auto"/>
              <w:bottom w:val="single" w:sz="4" w:space="0" w:color="auto"/>
            </w:tcBorders>
            <w:vAlign w:val="center"/>
            <w:hideMark/>
          </w:tcPr>
          <w:p w14:paraId="59DCD446" w14:textId="77777777" w:rsidR="00C376A4" w:rsidRPr="00D93FF9" w:rsidRDefault="00E811B8" w:rsidP="003807A1">
            <w:pPr>
              <w:spacing w:after="0"/>
              <w:jc w:val="center"/>
              <w:rPr>
                <w:rFonts w:ascii="Arial" w:hAnsi="Arial" w:cs="Arial"/>
                <w:b/>
                <w:sz w:val="16"/>
                <w:szCs w:val="16"/>
                <w:lang w:val="en-GB" w:eastAsia="en-AU"/>
              </w:rPr>
            </w:pPr>
            <w:r w:rsidRPr="00D93FF9">
              <w:rPr>
                <w:rFonts w:ascii="Arial" w:hAnsi="Arial" w:cs="Arial"/>
                <w:b/>
                <w:sz w:val="16"/>
                <w:szCs w:val="16"/>
                <w:lang w:val="en-GB" w:eastAsia="en-AU"/>
              </w:rPr>
              <w:t>P(kg/t)</w:t>
            </w:r>
          </w:p>
        </w:tc>
      </w:tr>
      <w:tr w:rsidR="00BE3AA8" w:rsidRPr="00D93FF9" w14:paraId="59DCD44D" w14:textId="77777777" w:rsidTr="000E1354">
        <w:trPr>
          <w:trHeight w:val="227"/>
        </w:trPr>
        <w:tc>
          <w:tcPr>
            <w:tcW w:w="1895" w:type="dxa"/>
            <w:tcBorders>
              <w:top w:val="single" w:sz="4" w:space="0" w:color="auto"/>
            </w:tcBorders>
            <w:noWrap/>
            <w:hideMark/>
          </w:tcPr>
          <w:p w14:paraId="59DCD44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Apple</w:t>
            </w:r>
          </w:p>
        </w:tc>
        <w:tc>
          <w:tcPr>
            <w:tcW w:w="908" w:type="dxa"/>
            <w:tcBorders>
              <w:top w:val="single" w:sz="4" w:space="0" w:color="auto"/>
            </w:tcBorders>
            <w:noWrap/>
            <w:hideMark/>
          </w:tcPr>
          <w:p w14:paraId="59DCD44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84.0</w:t>
            </w:r>
          </w:p>
        </w:tc>
        <w:tc>
          <w:tcPr>
            <w:tcW w:w="1786" w:type="dxa"/>
            <w:tcBorders>
              <w:top w:val="single" w:sz="4" w:space="0" w:color="auto"/>
            </w:tcBorders>
            <w:noWrap/>
            <w:hideMark/>
          </w:tcPr>
          <w:p w14:paraId="59DCD44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tcBorders>
              <w:top w:val="single" w:sz="4" w:space="0" w:color="auto"/>
            </w:tcBorders>
            <w:noWrap/>
            <w:hideMark/>
          </w:tcPr>
          <w:p w14:paraId="59DCD44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c>
          <w:tcPr>
            <w:tcW w:w="1843" w:type="dxa"/>
            <w:tcBorders>
              <w:top w:val="single" w:sz="4" w:space="0" w:color="auto"/>
            </w:tcBorders>
            <w:noWrap/>
            <w:hideMark/>
          </w:tcPr>
          <w:p w14:paraId="59DCD44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0.1</w:t>
            </w:r>
          </w:p>
        </w:tc>
      </w:tr>
      <w:tr w:rsidR="00BE3AA8" w:rsidRPr="00D93FF9" w14:paraId="59DCD453" w14:textId="77777777" w:rsidTr="000E1354">
        <w:trPr>
          <w:trHeight w:val="227"/>
        </w:trPr>
        <w:tc>
          <w:tcPr>
            <w:tcW w:w="1895" w:type="dxa"/>
            <w:noWrap/>
            <w:hideMark/>
          </w:tcPr>
          <w:p w14:paraId="59DCD44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Apricot</w:t>
            </w:r>
          </w:p>
        </w:tc>
        <w:tc>
          <w:tcPr>
            <w:tcW w:w="908" w:type="dxa"/>
            <w:noWrap/>
            <w:hideMark/>
          </w:tcPr>
          <w:p w14:paraId="59DCD44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83.0</w:t>
            </w:r>
          </w:p>
        </w:tc>
        <w:tc>
          <w:tcPr>
            <w:tcW w:w="1786" w:type="dxa"/>
            <w:noWrap/>
            <w:hideMark/>
          </w:tcPr>
          <w:p w14:paraId="59DCD45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5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2.3</w:t>
            </w:r>
          </w:p>
        </w:tc>
        <w:tc>
          <w:tcPr>
            <w:tcW w:w="1843" w:type="dxa"/>
            <w:noWrap/>
            <w:hideMark/>
          </w:tcPr>
          <w:p w14:paraId="59DCD45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459" w14:textId="77777777" w:rsidTr="000E1354">
        <w:trPr>
          <w:trHeight w:val="227"/>
        </w:trPr>
        <w:tc>
          <w:tcPr>
            <w:tcW w:w="1895" w:type="dxa"/>
            <w:noWrap/>
            <w:hideMark/>
          </w:tcPr>
          <w:p w14:paraId="59DCD45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Artichoke</w:t>
            </w:r>
          </w:p>
        </w:tc>
        <w:tc>
          <w:tcPr>
            <w:tcW w:w="908" w:type="dxa"/>
            <w:noWrap/>
            <w:hideMark/>
          </w:tcPr>
          <w:p w14:paraId="59DCD45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84.0</w:t>
            </w:r>
          </w:p>
        </w:tc>
        <w:tc>
          <w:tcPr>
            <w:tcW w:w="1786" w:type="dxa"/>
            <w:noWrap/>
            <w:hideMark/>
          </w:tcPr>
          <w:p w14:paraId="59DCD45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5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4.3</w:t>
            </w:r>
          </w:p>
        </w:tc>
        <w:tc>
          <w:tcPr>
            <w:tcW w:w="1843" w:type="dxa"/>
            <w:noWrap/>
            <w:hideMark/>
          </w:tcPr>
          <w:p w14:paraId="59DCD45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0.8</w:t>
            </w:r>
          </w:p>
        </w:tc>
      </w:tr>
      <w:tr w:rsidR="00BE3AA8" w:rsidRPr="00D93FF9" w14:paraId="59DCD45F" w14:textId="77777777" w:rsidTr="000E1354">
        <w:trPr>
          <w:trHeight w:val="227"/>
        </w:trPr>
        <w:tc>
          <w:tcPr>
            <w:tcW w:w="1895" w:type="dxa"/>
            <w:noWrap/>
            <w:hideMark/>
          </w:tcPr>
          <w:p w14:paraId="59DCD45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Asparagus</w:t>
            </w:r>
          </w:p>
        </w:tc>
        <w:tc>
          <w:tcPr>
            <w:tcW w:w="908" w:type="dxa"/>
            <w:noWrap/>
            <w:hideMark/>
          </w:tcPr>
          <w:p w14:paraId="59DCD45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94.0</w:t>
            </w:r>
          </w:p>
        </w:tc>
        <w:tc>
          <w:tcPr>
            <w:tcW w:w="1786" w:type="dxa"/>
            <w:noWrap/>
            <w:hideMark/>
          </w:tcPr>
          <w:p w14:paraId="59DCD45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5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2.2</w:t>
            </w:r>
          </w:p>
        </w:tc>
        <w:tc>
          <w:tcPr>
            <w:tcW w:w="1843" w:type="dxa"/>
            <w:noWrap/>
            <w:hideMark/>
          </w:tcPr>
          <w:p w14:paraId="59DCD45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465" w14:textId="77777777" w:rsidTr="000E1354">
        <w:trPr>
          <w:trHeight w:val="227"/>
        </w:trPr>
        <w:tc>
          <w:tcPr>
            <w:tcW w:w="1895" w:type="dxa"/>
            <w:noWrap/>
            <w:hideMark/>
          </w:tcPr>
          <w:p w14:paraId="59DCD46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Avocado</w:t>
            </w:r>
          </w:p>
        </w:tc>
        <w:tc>
          <w:tcPr>
            <w:tcW w:w="908" w:type="dxa"/>
            <w:noWrap/>
            <w:hideMark/>
          </w:tcPr>
          <w:p w14:paraId="59DCD46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46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6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1.3</w:t>
            </w:r>
          </w:p>
        </w:tc>
        <w:tc>
          <w:tcPr>
            <w:tcW w:w="1843" w:type="dxa"/>
            <w:noWrap/>
            <w:hideMark/>
          </w:tcPr>
          <w:p w14:paraId="59DCD46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46B" w14:textId="77777777" w:rsidTr="000E1354">
        <w:trPr>
          <w:trHeight w:val="227"/>
        </w:trPr>
        <w:tc>
          <w:tcPr>
            <w:tcW w:w="1895" w:type="dxa"/>
            <w:noWrap/>
            <w:hideMark/>
          </w:tcPr>
          <w:p w14:paraId="59DCD46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Babaco</w:t>
            </w:r>
          </w:p>
        </w:tc>
        <w:tc>
          <w:tcPr>
            <w:tcW w:w="908" w:type="dxa"/>
            <w:noWrap/>
            <w:hideMark/>
          </w:tcPr>
          <w:p w14:paraId="59DCD46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94.0</w:t>
            </w:r>
          </w:p>
        </w:tc>
        <w:tc>
          <w:tcPr>
            <w:tcW w:w="1786" w:type="dxa"/>
            <w:noWrap/>
            <w:hideMark/>
          </w:tcPr>
          <w:p w14:paraId="59DCD46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6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2.1</w:t>
            </w:r>
          </w:p>
        </w:tc>
        <w:tc>
          <w:tcPr>
            <w:tcW w:w="1843" w:type="dxa"/>
            <w:noWrap/>
            <w:hideMark/>
          </w:tcPr>
          <w:p w14:paraId="59DCD46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r>
      <w:tr w:rsidR="00BE3AA8" w:rsidRPr="00D93FF9" w14:paraId="59DCD471" w14:textId="77777777" w:rsidTr="000E1354">
        <w:trPr>
          <w:trHeight w:val="227"/>
        </w:trPr>
        <w:tc>
          <w:tcPr>
            <w:tcW w:w="1895" w:type="dxa"/>
            <w:noWrap/>
            <w:hideMark/>
          </w:tcPr>
          <w:p w14:paraId="59DCD46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Banana</w:t>
            </w:r>
          </w:p>
        </w:tc>
        <w:tc>
          <w:tcPr>
            <w:tcW w:w="908" w:type="dxa"/>
            <w:noWrap/>
            <w:hideMark/>
          </w:tcPr>
          <w:p w14:paraId="59DCD46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75.0</w:t>
            </w:r>
          </w:p>
        </w:tc>
        <w:tc>
          <w:tcPr>
            <w:tcW w:w="1786" w:type="dxa"/>
            <w:noWrap/>
            <w:hideMark/>
          </w:tcPr>
          <w:p w14:paraId="59DCD46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6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2.2</w:t>
            </w:r>
          </w:p>
        </w:tc>
        <w:tc>
          <w:tcPr>
            <w:tcW w:w="1843" w:type="dxa"/>
            <w:noWrap/>
            <w:hideMark/>
          </w:tcPr>
          <w:p w14:paraId="59DCD47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0.5</w:t>
            </w:r>
          </w:p>
        </w:tc>
      </w:tr>
      <w:tr w:rsidR="00BE3AA8" w:rsidRPr="00D93FF9" w14:paraId="59DCD477" w14:textId="77777777" w:rsidTr="000E1354">
        <w:trPr>
          <w:trHeight w:val="227"/>
        </w:trPr>
        <w:tc>
          <w:tcPr>
            <w:tcW w:w="1895" w:type="dxa"/>
            <w:noWrap/>
            <w:hideMark/>
          </w:tcPr>
          <w:p w14:paraId="59DCD47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Barley</w:t>
            </w:r>
          </w:p>
        </w:tc>
        <w:tc>
          <w:tcPr>
            <w:tcW w:w="908" w:type="dxa"/>
            <w:noWrap/>
            <w:hideMark/>
          </w:tcPr>
          <w:p w14:paraId="59DCD47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11.0</w:t>
            </w:r>
          </w:p>
        </w:tc>
        <w:tc>
          <w:tcPr>
            <w:tcW w:w="1786" w:type="dxa"/>
            <w:noWrap/>
            <w:hideMark/>
          </w:tcPr>
          <w:p w14:paraId="59DCD47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1.6 (1.5, 1.7)</w:t>
            </w:r>
          </w:p>
        </w:tc>
        <w:tc>
          <w:tcPr>
            <w:tcW w:w="1756" w:type="dxa"/>
            <w:noWrap/>
            <w:hideMark/>
          </w:tcPr>
          <w:p w14:paraId="59DCD47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17.6 (16.0, 18.2)</w:t>
            </w:r>
          </w:p>
        </w:tc>
        <w:tc>
          <w:tcPr>
            <w:tcW w:w="1843" w:type="dxa"/>
            <w:noWrap/>
            <w:hideMark/>
          </w:tcPr>
          <w:p w14:paraId="59DCD47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3.5 (2.7, 4.1)</w:t>
            </w:r>
          </w:p>
        </w:tc>
      </w:tr>
      <w:tr w:rsidR="00BE3AA8" w:rsidRPr="00D93FF9" w14:paraId="59DCD47D" w14:textId="77777777" w:rsidTr="000E1354">
        <w:trPr>
          <w:trHeight w:val="227"/>
        </w:trPr>
        <w:tc>
          <w:tcPr>
            <w:tcW w:w="1895" w:type="dxa"/>
            <w:noWrap/>
            <w:hideMark/>
          </w:tcPr>
          <w:p w14:paraId="59DCD47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Barley straw</w:t>
            </w:r>
          </w:p>
        </w:tc>
        <w:tc>
          <w:tcPr>
            <w:tcW w:w="908" w:type="dxa"/>
            <w:noWrap/>
            <w:hideMark/>
          </w:tcPr>
          <w:p w14:paraId="59DCD47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47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1.6 (1.5, 1.7)</w:t>
            </w:r>
          </w:p>
        </w:tc>
        <w:tc>
          <w:tcPr>
            <w:tcW w:w="1756" w:type="dxa"/>
            <w:noWrap/>
            <w:hideMark/>
          </w:tcPr>
          <w:p w14:paraId="59DCD47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5.3</w:t>
            </w:r>
          </w:p>
        </w:tc>
        <w:tc>
          <w:tcPr>
            <w:tcW w:w="1843" w:type="dxa"/>
            <w:noWrap/>
            <w:hideMark/>
          </w:tcPr>
          <w:p w14:paraId="59DCD47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1.2 (1.2, 1.3)</w:t>
            </w:r>
          </w:p>
        </w:tc>
      </w:tr>
      <w:tr w:rsidR="00BE3AA8" w:rsidRPr="00D93FF9" w14:paraId="59DCD483" w14:textId="77777777" w:rsidTr="000E1354">
        <w:trPr>
          <w:trHeight w:val="227"/>
        </w:trPr>
        <w:tc>
          <w:tcPr>
            <w:tcW w:w="1895" w:type="dxa"/>
            <w:noWrap/>
            <w:hideMark/>
          </w:tcPr>
          <w:p w14:paraId="59DCD47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Bean Fresh</w:t>
            </w:r>
          </w:p>
        </w:tc>
        <w:tc>
          <w:tcPr>
            <w:tcW w:w="908" w:type="dxa"/>
            <w:noWrap/>
            <w:hideMark/>
          </w:tcPr>
          <w:p w14:paraId="59DCD47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91.0</w:t>
            </w:r>
          </w:p>
        </w:tc>
        <w:tc>
          <w:tcPr>
            <w:tcW w:w="1786" w:type="dxa"/>
            <w:noWrap/>
            <w:hideMark/>
          </w:tcPr>
          <w:p w14:paraId="59DCD48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9.8 (4.5, 15.0)</w:t>
            </w:r>
          </w:p>
        </w:tc>
        <w:tc>
          <w:tcPr>
            <w:tcW w:w="1756" w:type="dxa"/>
            <w:noWrap/>
            <w:hideMark/>
          </w:tcPr>
          <w:p w14:paraId="59DCD48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14.0 (2.5, 35.6)</w:t>
            </w:r>
          </w:p>
        </w:tc>
        <w:tc>
          <w:tcPr>
            <w:tcW w:w="1843" w:type="dxa"/>
            <w:noWrap/>
            <w:hideMark/>
          </w:tcPr>
          <w:p w14:paraId="59DCD48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0.6 (0.4, 0.9)</w:t>
            </w:r>
          </w:p>
        </w:tc>
      </w:tr>
      <w:tr w:rsidR="00BE3AA8" w:rsidRPr="00D93FF9" w14:paraId="59DCD489" w14:textId="77777777" w:rsidTr="000E1354">
        <w:trPr>
          <w:trHeight w:val="227"/>
        </w:trPr>
        <w:tc>
          <w:tcPr>
            <w:tcW w:w="1895" w:type="dxa"/>
            <w:noWrap/>
            <w:hideMark/>
          </w:tcPr>
          <w:p w14:paraId="59DCD48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Bean Grain</w:t>
            </w:r>
          </w:p>
        </w:tc>
        <w:tc>
          <w:tcPr>
            <w:tcW w:w="908" w:type="dxa"/>
            <w:noWrap/>
            <w:hideMark/>
          </w:tcPr>
          <w:p w14:paraId="59DCD48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9.8</w:t>
            </w:r>
          </w:p>
        </w:tc>
        <w:tc>
          <w:tcPr>
            <w:tcW w:w="1786" w:type="dxa"/>
            <w:noWrap/>
            <w:hideMark/>
          </w:tcPr>
          <w:p w14:paraId="59DCD48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1.8 (1.2, 2.3)</w:t>
            </w:r>
          </w:p>
        </w:tc>
        <w:tc>
          <w:tcPr>
            <w:tcW w:w="1756" w:type="dxa"/>
            <w:noWrap/>
            <w:hideMark/>
          </w:tcPr>
          <w:p w14:paraId="59DCD48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40.1 (38.0, 42.0)</w:t>
            </w:r>
          </w:p>
        </w:tc>
        <w:tc>
          <w:tcPr>
            <w:tcW w:w="1843" w:type="dxa"/>
            <w:noWrap/>
            <w:hideMark/>
          </w:tcPr>
          <w:p w14:paraId="59DCD48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5.5 (3.6, 7.7)</w:t>
            </w:r>
          </w:p>
        </w:tc>
      </w:tr>
      <w:tr w:rsidR="00BE3AA8" w:rsidRPr="00D93FF9" w14:paraId="59DCD48F" w14:textId="77777777" w:rsidTr="000E1354">
        <w:trPr>
          <w:trHeight w:val="227"/>
        </w:trPr>
        <w:tc>
          <w:tcPr>
            <w:tcW w:w="1895" w:type="dxa"/>
            <w:noWrap/>
            <w:hideMark/>
          </w:tcPr>
          <w:p w14:paraId="59DCD48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Beetroot</w:t>
            </w:r>
          </w:p>
        </w:tc>
        <w:tc>
          <w:tcPr>
            <w:tcW w:w="908" w:type="dxa"/>
            <w:noWrap/>
            <w:hideMark/>
          </w:tcPr>
          <w:p w14:paraId="59DCD48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91.0</w:t>
            </w:r>
          </w:p>
        </w:tc>
        <w:tc>
          <w:tcPr>
            <w:tcW w:w="1786" w:type="dxa"/>
            <w:noWrap/>
            <w:hideMark/>
          </w:tcPr>
          <w:p w14:paraId="59DCD48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38.9 (17.7, 60.0)</w:t>
            </w:r>
          </w:p>
        </w:tc>
        <w:tc>
          <w:tcPr>
            <w:tcW w:w="1756" w:type="dxa"/>
            <w:noWrap/>
            <w:hideMark/>
          </w:tcPr>
          <w:p w14:paraId="59DCD48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2.5 (2.0, 2.8)</w:t>
            </w:r>
          </w:p>
        </w:tc>
        <w:tc>
          <w:tcPr>
            <w:tcW w:w="1843" w:type="dxa"/>
            <w:noWrap/>
            <w:hideMark/>
          </w:tcPr>
          <w:p w14:paraId="59DCD48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 (0.3, 0.5)</w:t>
            </w:r>
          </w:p>
        </w:tc>
      </w:tr>
      <w:tr w:rsidR="00BE3AA8" w:rsidRPr="00D93FF9" w14:paraId="59DCD495" w14:textId="77777777" w:rsidTr="000E1354">
        <w:trPr>
          <w:trHeight w:val="227"/>
        </w:trPr>
        <w:tc>
          <w:tcPr>
            <w:tcW w:w="1895" w:type="dxa"/>
            <w:noWrap/>
            <w:hideMark/>
          </w:tcPr>
          <w:p w14:paraId="59DCD49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Black currant</w:t>
            </w:r>
          </w:p>
        </w:tc>
        <w:tc>
          <w:tcPr>
            <w:tcW w:w="908" w:type="dxa"/>
            <w:noWrap/>
            <w:hideMark/>
          </w:tcPr>
          <w:p w14:paraId="59DCD49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80.0</w:t>
            </w:r>
          </w:p>
        </w:tc>
        <w:tc>
          <w:tcPr>
            <w:tcW w:w="1786" w:type="dxa"/>
            <w:noWrap/>
            <w:hideMark/>
          </w:tcPr>
          <w:p w14:paraId="59DCD49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9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1.8</w:t>
            </w:r>
          </w:p>
        </w:tc>
        <w:tc>
          <w:tcPr>
            <w:tcW w:w="1843" w:type="dxa"/>
            <w:noWrap/>
            <w:hideMark/>
          </w:tcPr>
          <w:p w14:paraId="59DCD49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49B" w14:textId="77777777" w:rsidTr="000E1354">
        <w:trPr>
          <w:trHeight w:val="227"/>
        </w:trPr>
        <w:tc>
          <w:tcPr>
            <w:tcW w:w="1895" w:type="dxa"/>
            <w:noWrap/>
            <w:hideMark/>
          </w:tcPr>
          <w:p w14:paraId="59DCD49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Blackberry</w:t>
            </w:r>
          </w:p>
        </w:tc>
        <w:tc>
          <w:tcPr>
            <w:tcW w:w="908" w:type="dxa"/>
            <w:noWrap/>
            <w:hideMark/>
          </w:tcPr>
          <w:p w14:paraId="59DCD49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84.0</w:t>
            </w:r>
          </w:p>
        </w:tc>
        <w:tc>
          <w:tcPr>
            <w:tcW w:w="1786" w:type="dxa"/>
            <w:noWrap/>
            <w:hideMark/>
          </w:tcPr>
          <w:p w14:paraId="59DCD49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9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1.9</w:t>
            </w:r>
          </w:p>
        </w:tc>
        <w:tc>
          <w:tcPr>
            <w:tcW w:w="1843" w:type="dxa"/>
            <w:noWrap/>
            <w:hideMark/>
          </w:tcPr>
          <w:p w14:paraId="59DCD49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4A1" w14:textId="77777777" w:rsidTr="000E1354">
        <w:trPr>
          <w:trHeight w:val="227"/>
        </w:trPr>
        <w:tc>
          <w:tcPr>
            <w:tcW w:w="1895" w:type="dxa"/>
            <w:noWrap/>
            <w:hideMark/>
          </w:tcPr>
          <w:p w14:paraId="59DCD49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Blueberry</w:t>
            </w:r>
          </w:p>
        </w:tc>
        <w:tc>
          <w:tcPr>
            <w:tcW w:w="908" w:type="dxa"/>
            <w:noWrap/>
            <w:hideMark/>
          </w:tcPr>
          <w:p w14:paraId="59DCD49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85.0</w:t>
            </w:r>
          </w:p>
        </w:tc>
        <w:tc>
          <w:tcPr>
            <w:tcW w:w="1786" w:type="dxa"/>
            <w:noWrap/>
            <w:hideMark/>
          </w:tcPr>
          <w:p w14:paraId="59DCD49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9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w:t>
            </w:r>
          </w:p>
        </w:tc>
        <w:tc>
          <w:tcPr>
            <w:tcW w:w="1843" w:type="dxa"/>
            <w:noWrap/>
            <w:hideMark/>
          </w:tcPr>
          <w:p w14:paraId="59DCD4A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0.1</w:t>
            </w:r>
          </w:p>
        </w:tc>
      </w:tr>
      <w:tr w:rsidR="00BE3AA8" w:rsidRPr="00D93FF9" w14:paraId="59DCD4A7" w14:textId="77777777" w:rsidTr="000E1354">
        <w:trPr>
          <w:trHeight w:val="227"/>
        </w:trPr>
        <w:tc>
          <w:tcPr>
            <w:tcW w:w="1895" w:type="dxa"/>
            <w:noWrap/>
            <w:hideMark/>
          </w:tcPr>
          <w:p w14:paraId="59DCD4A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Broccoli</w:t>
            </w:r>
          </w:p>
        </w:tc>
        <w:tc>
          <w:tcPr>
            <w:tcW w:w="908" w:type="dxa"/>
            <w:noWrap/>
            <w:hideMark/>
          </w:tcPr>
          <w:p w14:paraId="59DCD4A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90.0</w:t>
            </w:r>
          </w:p>
        </w:tc>
        <w:tc>
          <w:tcPr>
            <w:tcW w:w="1786" w:type="dxa"/>
            <w:noWrap/>
            <w:hideMark/>
          </w:tcPr>
          <w:p w14:paraId="59DCD4A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20.0</w:t>
            </w:r>
          </w:p>
        </w:tc>
        <w:tc>
          <w:tcPr>
            <w:tcW w:w="1756" w:type="dxa"/>
            <w:noWrap/>
            <w:hideMark/>
          </w:tcPr>
          <w:p w14:paraId="59DCD4A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5.0 (4.5, 5.4)</w:t>
            </w:r>
          </w:p>
        </w:tc>
        <w:tc>
          <w:tcPr>
            <w:tcW w:w="1843" w:type="dxa"/>
            <w:noWrap/>
            <w:hideMark/>
          </w:tcPr>
          <w:p w14:paraId="59DCD4A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0.7 (0.7, 0.8)</w:t>
            </w:r>
          </w:p>
        </w:tc>
      </w:tr>
      <w:tr w:rsidR="00BE3AA8" w:rsidRPr="00D93FF9" w14:paraId="59DCD4AD" w14:textId="77777777" w:rsidTr="000E1354">
        <w:trPr>
          <w:trHeight w:val="227"/>
        </w:trPr>
        <w:tc>
          <w:tcPr>
            <w:tcW w:w="1895" w:type="dxa"/>
            <w:noWrap/>
            <w:hideMark/>
          </w:tcPr>
          <w:p w14:paraId="59DCD4A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Brussels sprouts</w:t>
            </w:r>
          </w:p>
        </w:tc>
        <w:tc>
          <w:tcPr>
            <w:tcW w:w="908" w:type="dxa"/>
            <w:noWrap/>
            <w:hideMark/>
          </w:tcPr>
          <w:p w14:paraId="59DCD4A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88.0</w:t>
            </w:r>
          </w:p>
        </w:tc>
        <w:tc>
          <w:tcPr>
            <w:tcW w:w="1786" w:type="dxa"/>
            <w:noWrap/>
            <w:hideMark/>
          </w:tcPr>
          <w:p w14:paraId="59DCD4A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25.0</w:t>
            </w:r>
          </w:p>
        </w:tc>
        <w:tc>
          <w:tcPr>
            <w:tcW w:w="1756" w:type="dxa"/>
            <w:noWrap/>
            <w:hideMark/>
          </w:tcPr>
          <w:p w14:paraId="59DCD4A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6.2 (5.9, 6.5)</w:t>
            </w:r>
          </w:p>
        </w:tc>
        <w:tc>
          <w:tcPr>
            <w:tcW w:w="1843" w:type="dxa"/>
            <w:noWrap/>
            <w:hideMark/>
          </w:tcPr>
          <w:p w14:paraId="59DCD4A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0.9 (0.8, 0.9)</w:t>
            </w:r>
          </w:p>
        </w:tc>
      </w:tr>
      <w:tr w:rsidR="00BE3AA8" w:rsidRPr="00D93FF9" w14:paraId="59DCD4B3" w14:textId="77777777" w:rsidTr="000E1354">
        <w:trPr>
          <w:trHeight w:val="227"/>
        </w:trPr>
        <w:tc>
          <w:tcPr>
            <w:tcW w:w="1895" w:type="dxa"/>
            <w:noWrap/>
            <w:hideMark/>
          </w:tcPr>
          <w:p w14:paraId="59DCD4A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Cabbage</w:t>
            </w:r>
          </w:p>
        </w:tc>
        <w:tc>
          <w:tcPr>
            <w:tcW w:w="908" w:type="dxa"/>
            <w:noWrap/>
            <w:hideMark/>
          </w:tcPr>
          <w:p w14:paraId="59DCD4A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92.0</w:t>
            </w:r>
          </w:p>
        </w:tc>
        <w:tc>
          <w:tcPr>
            <w:tcW w:w="1786" w:type="dxa"/>
            <w:noWrap/>
            <w:hideMark/>
          </w:tcPr>
          <w:p w14:paraId="59DCD4B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51.3 (17.5, 80.0)</w:t>
            </w:r>
          </w:p>
        </w:tc>
        <w:tc>
          <w:tcPr>
            <w:tcW w:w="1756" w:type="dxa"/>
            <w:noWrap/>
            <w:hideMark/>
          </w:tcPr>
          <w:p w14:paraId="59DCD4B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2.4 (1.5, 3.5)</w:t>
            </w:r>
          </w:p>
        </w:tc>
        <w:tc>
          <w:tcPr>
            <w:tcW w:w="1843" w:type="dxa"/>
            <w:noWrap/>
            <w:hideMark/>
          </w:tcPr>
          <w:p w14:paraId="59DCD4B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 (0.3, 0.6)</w:t>
            </w:r>
          </w:p>
        </w:tc>
      </w:tr>
      <w:tr w:rsidR="00BE3AA8" w:rsidRPr="00D93FF9" w14:paraId="59DCD4B9" w14:textId="77777777" w:rsidTr="000E1354">
        <w:trPr>
          <w:trHeight w:val="227"/>
        </w:trPr>
        <w:tc>
          <w:tcPr>
            <w:tcW w:w="1895" w:type="dxa"/>
            <w:noWrap/>
            <w:hideMark/>
          </w:tcPr>
          <w:p w14:paraId="59DCD4B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Canola</w:t>
            </w:r>
          </w:p>
        </w:tc>
        <w:tc>
          <w:tcPr>
            <w:tcW w:w="908" w:type="dxa"/>
            <w:noWrap/>
            <w:hideMark/>
          </w:tcPr>
          <w:p w14:paraId="59DCD4B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4B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1.5</w:t>
            </w:r>
          </w:p>
        </w:tc>
        <w:tc>
          <w:tcPr>
            <w:tcW w:w="1756" w:type="dxa"/>
            <w:noWrap/>
            <w:hideMark/>
          </w:tcPr>
          <w:p w14:paraId="59DCD4B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46.0</w:t>
            </w:r>
          </w:p>
        </w:tc>
        <w:tc>
          <w:tcPr>
            <w:tcW w:w="1843" w:type="dxa"/>
            <w:noWrap/>
            <w:hideMark/>
          </w:tcPr>
          <w:p w14:paraId="59DCD4B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7.3</w:t>
            </w:r>
          </w:p>
        </w:tc>
      </w:tr>
      <w:tr w:rsidR="00BE3AA8" w:rsidRPr="00D93FF9" w14:paraId="59DCD4BF" w14:textId="77777777" w:rsidTr="000E1354">
        <w:trPr>
          <w:trHeight w:val="227"/>
        </w:trPr>
        <w:tc>
          <w:tcPr>
            <w:tcW w:w="1895" w:type="dxa"/>
            <w:noWrap/>
            <w:hideMark/>
          </w:tcPr>
          <w:p w14:paraId="59DCD4B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Canola / Rape</w:t>
            </w:r>
          </w:p>
        </w:tc>
        <w:tc>
          <w:tcPr>
            <w:tcW w:w="908" w:type="dxa"/>
            <w:noWrap/>
            <w:hideMark/>
          </w:tcPr>
          <w:p w14:paraId="59DCD4B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8.5</w:t>
            </w:r>
          </w:p>
        </w:tc>
        <w:tc>
          <w:tcPr>
            <w:tcW w:w="1786" w:type="dxa"/>
            <w:noWrap/>
            <w:hideMark/>
          </w:tcPr>
          <w:p w14:paraId="59DCD4B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B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35.0</w:t>
            </w:r>
          </w:p>
        </w:tc>
        <w:tc>
          <w:tcPr>
            <w:tcW w:w="1843" w:type="dxa"/>
            <w:noWrap/>
            <w:hideMark/>
          </w:tcPr>
          <w:p w14:paraId="59DCD4B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5.1</w:t>
            </w:r>
          </w:p>
        </w:tc>
      </w:tr>
      <w:tr w:rsidR="00BE3AA8" w:rsidRPr="00D93FF9" w14:paraId="59DCD4C5" w14:textId="77777777" w:rsidTr="000E1354">
        <w:trPr>
          <w:trHeight w:val="227"/>
        </w:trPr>
        <w:tc>
          <w:tcPr>
            <w:tcW w:w="1895" w:type="dxa"/>
            <w:noWrap/>
            <w:hideMark/>
          </w:tcPr>
          <w:p w14:paraId="59DCD4C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Cantaloupe/melon</w:t>
            </w:r>
          </w:p>
        </w:tc>
        <w:tc>
          <w:tcPr>
            <w:tcW w:w="908" w:type="dxa"/>
            <w:noWrap/>
            <w:hideMark/>
          </w:tcPr>
          <w:p w14:paraId="59DCD4C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87.0</w:t>
            </w:r>
          </w:p>
        </w:tc>
        <w:tc>
          <w:tcPr>
            <w:tcW w:w="1786" w:type="dxa"/>
            <w:noWrap/>
            <w:hideMark/>
          </w:tcPr>
          <w:p w14:paraId="59DCD4C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C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1.9</w:t>
            </w:r>
          </w:p>
        </w:tc>
        <w:tc>
          <w:tcPr>
            <w:tcW w:w="1843" w:type="dxa"/>
            <w:noWrap/>
            <w:hideMark/>
          </w:tcPr>
          <w:p w14:paraId="59DCD4C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0.6</w:t>
            </w:r>
          </w:p>
        </w:tc>
      </w:tr>
      <w:tr w:rsidR="00BE3AA8" w:rsidRPr="00D93FF9" w14:paraId="59DCD4CB" w14:textId="77777777" w:rsidTr="000E1354">
        <w:trPr>
          <w:trHeight w:val="227"/>
        </w:trPr>
        <w:tc>
          <w:tcPr>
            <w:tcW w:w="1895" w:type="dxa"/>
            <w:noWrap/>
            <w:hideMark/>
          </w:tcPr>
          <w:p w14:paraId="59DCD4C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Capsicum</w:t>
            </w:r>
          </w:p>
        </w:tc>
        <w:tc>
          <w:tcPr>
            <w:tcW w:w="908" w:type="dxa"/>
            <w:noWrap/>
            <w:hideMark/>
          </w:tcPr>
          <w:p w14:paraId="59DCD4C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92.0</w:t>
            </w:r>
          </w:p>
        </w:tc>
        <w:tc>
          <w:tcPr>
            <w:tcW w:w="1786" w:type="dxa"/>
            <w:noWrap/>
            <w:hideMark/>
          </w:tcPr>
          <w:p w14:paraId="59DCD4C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C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2.2</w:t>
            </w:r>
          </w:p>
        </w:tc>
        <w:tc>
          <w:tcPr>
            <w:tcW w:w="1843" w:type="dxa"/>
            <w:noWrap/>
            <w:hideMark/>
          </w:tcPr>
          <w:p w14:paraId="59DCD4C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4D1" w14:textId="77777777" w:rsidTr="000E1354">
        <w:trPr>
          <w:trHeight w:val="227"/>
        </w:trPr>
        <w:tc>
          <w:tcPr>
            <w:tcW w:w="1895" w:type="dxa"/>
            <w:noWrap/>
            <w:hideMark/>
          </w:tcPr>
          <w:p w14:paraId="59DCD4C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Carambola</w:t>
            </w:r>
          </w:p>
        </w:tc>
        <w:tc>
          <w:tcPr>
            <w:tcW w:w="908" w:type="dxa"/>
            <w:noWrap/>
            <w:hideMark/>
          </w:tcPr>
          <w:p w14:paraId="59DCD4C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91.0</w:t>
            </w:r>
          </w:p>
        </w:tc>
        <w:tc>
          <w:tcPr>
            <w:tcW w:w="1786" w:type="dxa"/>
            <w:noWrap/>
            <w:hideMark/>
          </w:tcPr>
          <w:p w14:paraId="59DCD4C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C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1.2</w:t>
            </w:r>
          </w:p>
        </w:tc>
        <w:tc>
          <w:tcPr>
            <w:tcW w:w="1843" w:type="dxa"/>
            <w:noWrap/>
            <w:hideMark/>
          </w:tcPr>
          <w:p w14:paraId="59DCD4D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4D7" w14:textId="77777777" w:rsidTr="000E1354">
        <w:trPr>
          <w:trHeight w:val="227"/>
        </w:trPr>
        <w:tc>
          <w:tcPr>
            <w:tcW w:w="1895" w:type="dxa"/>
            <w:noWrap/>
            <w:hideMark/>
          </w:tcPr>
          <w:p w14:paraId="59DCD4D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Carrot</w:t>
            </w:r>
          </w:p>
        </w:tc>
        <w:tc>
          <w:tcPr>
            <w:tcW w:w="908" w:type="dxa"/>
            <w:noWrap/>
            <w:hideMark/>
          </w:tcPr>
          <w:p w14:paraId="59DCD4D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89.0</w:t>
            </w:r>
          </w:p>
        </w:tc>
        <w:tc>
          <w:tcPr>
            <w:tcW w:w="1786" w:type="dxa"/>
            <w:noWrap/>
            <w:hideMark/>
          </w:tcPr>
          <w:p w14:paraId="59DCD4D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53.1 (35.4, 80.0)</w:t>
            </w:r>
          </w:p>
        </w:tc>
        <w:tc>
          <w:tcPr>
            <w:tcW w:w="1756" w:type="dxa"/>
            <w:noWrap/>
            <w:hideMark/>
          </w:tcPr>
          <w:p w14:paraId="59DCD4D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1.9 (1.3, 2.3)</w:t>
            </w:r>
          </w:p>
        </w:tc>
        <w:tc>
          <w:tcPr>
            <w:tcW w:w="1843" w:type="dxa"/>
            <w:noWrap/>
            <w:hideMark/>
          </w:tcPr>
          <w:p w14:paraId="59DCD4D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 (0.3, 0.4)</w:t>
            </w:r>
          </w:p>
        </w:tc>
      </w:tr>
      <w:tr w:rsidR="00BE3AA8" w:rsidRPr="00D93FF9" w14:paraId="59DCD4DD" w14:textId="77777777" w:rsidTr="000E1354">
        <w:trPr>
          <w:trHeight w:val="227"/>
        </w:trPr>
        <w:tc>
          <w:tcPr>
            <w:tcW w:w="1895" w:type="dxa"/>
            <w:noWrap/>
            <w:hideMark/>
          </w:tcPr>
          <w:p w14:paraId="59DCD4D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Casimiroa</w:t>
            </w:r>
          </w:p>
        </w:tc>
        <w:tc>
          <w:tcPr>
            <w:tcW w:w="908" w:type="dxa"/>
            <w:noWrap/>
            <w:hideMark/>
          </w:tcPr>
          <w:p w14:paraId="59DCD4D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80.0</w:t>
            </w:r>
          </w:p>
        </w:tc>
        <w:tc>
          <w:tcPr>
            <w:tcW w:w="1786" w:type="dxa"/>
            <w:noWrap/>
            <w:hideMark/>
          </w:tcPr>
          <w:p w14:paraId="59DCD4D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D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0.1</w:t>
            </w:r>
          </w:p>
        </w:tc>
        <w:tc>
          <w:tcPr>
            <w:tcW w:w="1843" w:type="dxa"/>
            <w:noWrap/>
            <w:hideMark/>
          </w:tcPr>
          <w:p w14:paraId="59DCD4D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4E3" w14:textId="77777777" w:rsidTr="000E1354">
        <w:trPr>
          <w:trHeight w:val="227"/>
        </w:trPr>
        <w:tc>
          <w:tcPr>
            <w:tcW w:w="1895" w:type="dxa"/>
            <w:noWrap/>
            <w:hideMark/>
          </w:tcPr>
          <w:p w14:paraId="59DCD4D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Cassava</w:t>
            </w:r>
          </w:p>
        </w:tc>
        <w:tc>
          <w:tcPr>
            <w:tcW w:w="908" w:type="dxa"/>
            <w:noWrap/>
            <w:hideMark/>
          </w:tcPr>
          <w:p w14:paraId="59DCD4D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66.0</w:t>
            </w:r>
          </w:p>
        </w:tc>
        <w:tc>
          <w:tcPr>
            <w:tcW w:w="1786" w:type="dxa"/>
            <w:noWrap/>
            <w:hideMark/>
          </w:tcPr>
          <w:p w14:paraId="59DCD4E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E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2.6</w:t>
            </w:r>
          </w:p>
        </w:tc>
        <w:tc>
          <w:tcPr>
            <w:tcW w:w="1843" w:type="dxa"/>
            <w:noWrap/>
            <w:hideMark/>
          </w:tcPr>
          <w:p w14:paraId="59DCD4E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4E9" w14:textId="77777777" w:rsidTr="000E1354">
        <w:trPr>
          <w:trHeight w:val="227"/>
        </w:trPr>
        <w:tc>
          <w:tcPr>
            <w:tcW w:w="1895" w:type="dxa"/>
            <w:noWrap/>
            <w:hideMark/>
          </w:tcPr>
          <w:p w14:paraId="59DCD4E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Cauliflower</w:t>
            </w:r>
          </w:p>
        </w:tc>
        <w:tc>
          <w:tcPr>
            <w:tcW w:w="908" w:type="dxa"/>
            <w:noWrap/>
            <w:hideMark/>
          </w:tcPr>
          <w:p w14:paraId="59DCD4E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91.0</w:t>
            </w:r>
          </w:p>
        </w:tc>
        <w:tc>
          <w:tcPr>
            <w:tcW w:w="1786" w:type="dxa"/>
            <w:noWrap/>
            <w:hideMark/>
          </w:tcPr>
          <w:p w14:paraId="59DCD4E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42.7 (38.0, 50.0)</w:t>
            </w:r>
          </w:p>
        </w:tc>
        <w:tc>
          <w:tcPr>
            <w:tcW w:w="1756" w:type="dxa"/>
            <w:noWrap/>
            <w:hideMark/>
          </w:tcPr>
          <w:p w14:paraId="59DCD4E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2.7 (2.4, 3.1)</w:t>
            </w:r>
          </w:p>
        </w:tc>
        <w:tc>
          <w:tcPr>
            <w:tcW w:w="1843" w:type="dxa"/>
            <w:noWrap/>
            <w:hideMark/>
          </w:tcPr>
          <w:p w14:paraId="59DCD4E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0.5 (0.4, 0.6)</w:t>
            </w:r>
          </w:p>
        </w:tc>
      </w:tr>
      <w:tr w:rsidR="00BE3AA8" w:rsidRPr="00D93FF9" w14:paraId="59DCD4EF" w14:textId="77777777" w:rsidTr="000E1354">
        <w:trPr>
          <w:trHeight w:val="227"/>
        </w:trPr>
        <w:tc>
          <w:tcPr>
            <w:tcW w:w="1895" w:type="dxa"/>
            <w:noWrap/>
            <w:hideMark/>
          </w:tcPr>
          <w:p w14:paraId="59DCD4E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Celery</w:t>
            </w:r>
          </w:p>
        </w:tc>
        <w:tc>
          <w:tcPr>
            <w:tcW w:w="908" w:type="dxa"/>
            <w:noWrap/>
            <w:hideMark/>
          </w:tcPr>
          <w:p w14:paraId="59DCD4E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95.0</w:t>
            </w:r>
          </w:p>
        </w:tc>
        <w:tc>
          <w:tcPr>
            <w:tcW w:w="1786" w:type="dxa"/>
            <w:noWrap/>
            <w:hideMark/>
          </w:tcPr>
          <w:p w14:paraId="59DCD4E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111.9 (50.0, 190.0)</w:t>
            </w:r>
          </w:p>
        </w:tc>
        <w:tc>
          <w:tcPr>
            <w:tcW w:w="1756" w:type="dxa"/>
            <w:noWrap/>
            <w:hideMark/>
          </w:tcPr>
          <w:p w14:paraId="59DCD4E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1.8 (1.3, 2.5)</w:t>
            </w:r>
          </w:p>
        </w:tc>
        <w:tc>
          <w:tcPr>
            <w:tcW w:w="1843" w:type="dxa"/>
            <w:noWrap/>
            <w:hideMark/>
          </w:tcPr>
          <w:p w14:paraId="59DCD4E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 (0.3, 0.7)</w:t>
            </w:r>
          </w:p>
        </w:tc>
      </w:tr>
      <w:tr w:rsidR="00BE3AA8" w:rsidRPr="00D93FF9" w14:paraId="59DCD4F5" w14:textId="77777777" w:rsidTr="000E1354">
        <w:trPr>
          <w:trHeight w:val="227"/>
        </w:trPr>
        <w:tc>
          <w:tcPr>
            <w:tcW w:w="1895" w:type="dxa"/>
            <w:noWrap/>
            <w:hideMark/>
          </w:tcPr>
          <w:p w14:paraId="59DCD4F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Cereal rye</w:t>
            </w:r>
          </w:p>
        </w:tc>
        <w:tc>
          <w:tcPr>
            <w:tcW w:w="908" w:type="dxa"/>
            <w:noWrap/>
            <w:hideMark/>
          </w:tcPr>
          <w:p w14:paraId="59DCD4F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11.0</w:t>
            </w:r>
          </w:p>
        </w:tc>
        <w:tc>
          <w:tcPr>
            <w:tcW w:w="1786" w:type="dxa"/>
            <w:noWrap/>
            <w:hideMark/>
          </w:tcPr>
          <w:p w14:paraId="59DCD4F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F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14.0</w:t>
            </w:r>
          </w:p>
        </w:tc>
        <w:tc>
          <w:tcPr>
            <w:tcW w:w="1843" w:type="dxa"/>
            <w:noWrap/>
            <w:hideMark/>
          </w:tcPr>
          <w:p w14:paraId="59DCD4F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3.4</w:t>
            </w:r>
          </w:p>
        </w:tc>
      </w:tr>
      <w:tr w:rsidR="00BE3AA8" w:rsidRPr="00D93FF9" w14:paraId="59DCD4FB" w14:textId="77777777" w:rsidTr="000E1354">
        <w:trPr>
          <w:trHeight w:val="227"/>
        </w:trPr>
        <w:tc>
          <w:tcPr>
            <w:tcW w:w="1895" w:type="dxa"/>
            <w:noWrap/>
            <w:hideMark/>
          </w:tcPr>
          <w:p w14:paraId="59DCD4F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Cherry</w:t>
            </w:r>
          </w:p>
        </w:tc>
        <w:tc>
          <w:tcPr>
            <w:tcW w:w="908" w:type="dxa"/>
            <w:noWrap/>
            <w:hideMark/>
          </w:tcPr>
          <w:p w14:paraId="59DCD4F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80.0</w:t>
            </w:r>
          </w:p>
        </w:tc>
        <w:tc>
          <w:tcPr>
            <w:tcW w:w="1786" w:type="dxa"/>
            <w:noWrap/>
            <w:hideMark/>
          </w:tcPr>
          <w:p w14:paraId="59DCD4F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F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1.5</w:t>
            </w:r>
          </w:p>
        </w:tc>
        <w:tc>
          <w:tcPr>
            <w:tcW w:w="1843" w:type="dxa"/>
            <w:noWrap/>
            <w:hideMark/>
          </w:tcPr>
          <w:p w14:paraId="59DCD4F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501" w14:textId="77777777" w:rsidTr="000E1354">
        <w:trPr>
          <w:trHeight w:val="227"/>
        </w:trPr>
        <w:tc>
          <w:tcPr>
            <w:tcW w:w="1895" w:type="dxa"/>
            <w:noWrap/>
            <w:hideMark/>
          </w:tcPr>
          <w:p w14:paraId="59DCD4F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Chickpea</w:t>
            </w:r>
          </w:p>
        </w:tc>
        <w:tc>
          <w:tcPr>
            <w:tcW w:w="908" w:type="dxa"/>
            <w:noWrap/>
            <w:hideMark/>
          </w:tcPr>
          <w:p w14:paraId="59DCD4F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c>
          <w:tcPr>
            <w:tcW w:w="1786" w:type="dxa"/>
            <w:noWrap/>
            <w:hideMark/>
          </w:tcPr>
          <w:p w14:paraId="59DCD4F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4F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33.0</w:t>
            </w:r>
          </w:p>
        </w:tc>
        <w:tc>
          <w:tcPr>
            <w:tcW w:w="1843" w:type="dxa"/>
            <w:noWrap/>
            <w:hideMark/>
          </w:tcPr>
          <w:p w14:paraId="59DCD50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3.8</w:t>
            </w:r>
          </w:p>
        </w:tc>
      </w:tr>
      <w:tr w:rsidR="00BE3AA8" w:rsidRPr="00D93FF9" w14:paraId="59DCD507" w14:textId="77777777" w:rsidTr="000E1354">
        <w:trPr>
          <w:trHeight w:val="227"/>
        </w:trPr>
        <w:tc>
          <w:tcPr>
            <w:tcW w:w="1895" w:type="dxa"/>
            <w:noWrap/>
            <w:hideMark/>
          </w:tcPr>
          <w:p w14:paraId="59DCD50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Chicory</w:t>
            </w:r>
          </w:p>
        </w:tc>
        <w:tc>
          <w:tcPr>
            <w:tcW w:w="908" w:type="dxa"/>
            <w:noWrap/>
            <w:hideMark/>
          </w:tcPr>
          <w:p w14:paraId="59DCD50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80.0</w:t>
            </w:r>
          </w:p>
        </w:tc>
        <w:tc>
          <w:tcPr>
            <w:tcW w:w="1786" w:type="dxa"/>
            <w:noWrap/>
            <w:hideMark/>
          </w:tcPr>
          <w:p w14:paraId="59DCD50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0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2.2</w:t>
            </w:r>
          </w:p>
        </w:tc>
        <w:tc>
          <w:tcPr>
            <w:tcW w:w="1843" w:type="dxa"/>
            <w:noWrap/>
            <w:hideMark/>
          </w:tcPr>
          <w:p w14:paraId="59DCD50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0.6</w:t>
            </w:r>
          </w:p>
        </w:tc>
      </w:tr>
      <w:tr w:rsidR="00BE3AA8" w:rsidRPr="00D93FF9" w14:paraId="59DCD50D" w14:textId="77777777" w:rsidTr="000E1354">
        <w:trPr>
          <w:trHeight w:val="227"/>
        </w:trPr>
        <w:tc>
          <w:tcPr>
            <w:tcW w:w="1895" w:type="dxa"/>
            <w:noWrap/>
            <w:hideMark/>
          </w:tcPr>
          <w:p w14:paraId="59DCD50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Chilli</w:t>
            </w:r>
          </w:p>
        </w:tc>
        <w:tc>
          <w:tcPr>
            <w:tcW w:w="908" w:type="dxa"/>
            <w:noWrap/>
            <w:hideMark/>
          </w:tcPr>
          <w:p w14:paraId="59DCD50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81.5</w:t>
            </w:r>
          </w:p>
        </w:tc>
        <w:tc>
          <w:tcPr>
            <w:tcW w:w="1786" w:type="dxa"/>
            <w:noWrap/>
            <w:hideMark/>
          </w:tcPr>
          <w:p w14:paraId="59DCD50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0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3.4 (2.2, 4.5)</w:t>
            </w:r>
          </w:p>
        </w:tc>
        <w:tc>
          <w:tcPr>
            <w:tcW w:w="1843" w:type="dxa"/>
            <w:noWrap/>
            <w:hideMark/>
          </w:tcPr>
          <w:p w14:paraId="59DCD50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1.2</w:t>
            </w:r>
          </w:p>
        </w:tc>
      </w:tr>
      <w:tr w:rsidR="00BE3AA8" w:rsidRPr="00D93FF9" w14:paraId="59DCD513" w14:textId="77777777" w:rsidTr="000E1354">
        <w:trPr>
          <w:trHeight w:val="227"/>
        </w:trPr>
        <w:tc>
          <w:tcPr>
            <w:tcW w:w="1895" w:type="dxa"/>
            <w:noWrap/>
            <w:hideMark/>
          </w:tcPr>
          <w:p w14:paraId="59DCD50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Chives</w:t>
            </w:r>
          </w:p>
        </w:tc>
        <w:tc>
          <w:tcPr>
            <w:tcW w:w="908" w:type="dxa"/>
            <w:noWrap/>
            <w:hideMark/>
          </w:tcPr>
          <w:p w14:paraId="59DCD50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90.0</w:t>
            </w:r>
          </w:p>
        </w:tc>
        <w:tc>
          <w:tcPr>
            <w:tcW w:w="1786" w:type="dxa"/>
            <w:noWrap/>
            <w:hideMark/>
          </w:tcPr>
          <w:p w14:paraId="59DCD51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1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2.4</w:t>
            </w:r>
          </w:p>
        </w:tc>
        <w:tc>
          <w:tcPr>
            <w:tcW w:w="1843" w:type="dxa"/>
            <w:noWrap/>
            <w:hideMark/>
          </w:tcPr>
          <w:p w14:paraId="59DCD51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0.5</w:t>
            </w:r>
          </w:p>
        </w:tc>
      </w:tr>
      <w:tr w:rsidR="00BE3AA8" w:rsidRPr="00D93FF9" w14:paraId="59DCD519" w14:textId="77777777" w:rsidTr="000E1354">
        <w:trPr>
          <w:trHeight w:val="227"/>
        </w:trPr>
        <w:tc>
          <w:tcPr>
            <w:tcW w:w="1895" w:type="dxa"/>
            <w:noWrap/>
            <w:hideMark/>
          </w:tcPr>
          <w:p w14:paraId="59DCD51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Chopped corn</w:t>
            </w:r>
          </w:p>
        </w:tc>
        <w:tc>
          <w:tcPr>
            <w:tcW w:w="908" w:type="dxa"/>
            <w:noWrap/>
            <w:hideMark/>
          </w:tcPr>
          <w:p w14:paraId="59DCD51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1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1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12.0</w:t>
            </w:r>
          </w:p>
        </w:tc>
        <w:tc>
          <w:tcPr>
            <w:tcW w:w="1843" w:type="dxa"/>
            <w:noWrap/>
            <w:hideMark/>
          </w:tcPr>
          <w:p w14:paraId="59DCD51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2.4</w:t>
            </w:r>
          </w:p>
        </w:tc>
      </w:tr>
      <w:tr w:rsidR="00BE3AA8" w:rsidRPr="00D93FF9" w14:paraId="59DCD51F" w14:textId="77777777" w:rsidTr="000E1354">
        <w:trPr>
          <w:trHeight w:val="227"/>
        </w:trPr>
        <w:tc>
          <w:tcPr>
            <w:tcW w:w="1895" w:type="dxa"/>
            <w:noWrap/>
            <w:hideMark/>
          </w:tcPr>
          <w:p w14:paraId="59DCD51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Citrus fruit</w:t>
            </w:r>
          </w:p>
        </w:tc>
        <w:tc>
          <w:tcPr>
            <w:tcW w:w="908" w:type="dxa"/>
            <w:noWrap/>
            <w:hideMark/>
          </w:tcPr>
          <w:p w14:paraId="59DCD51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1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1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2.9</w:t>
            </w:r>
          </w:p>
        </w:tc>
        <w:tc>
          <w:tcPr>
            <w:tcW w:w="1843" w:type="dxa"/>
            <w:noWrap/>
            <w:hideMark/>
          </w:tcPr>
          <w:p w14:paraId="59DCD51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525" w14:textId="77777777" w:rsidTr="000E1354">
        <w:trPr>
          <w:trHeight w:val="227"/>
        </w:trPr>
        <w:tc>
          <w:tcPr>
            <w:tcW w:w="1895" w:type="dxa"/>
            <w:noWrap/>
            <w:hideMark/>
          </w:tcPr>
          <w:p w14:paraId="59DCD52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Clover/grass</w:t>
            </w:r>
          </w:p>
        </w:tc>
        <w:tc>
          <w:tcPr>
            <w:tcW w:w="908" w:type="dxa"/>
            <w:noWrap/>
            <w:hideMark/>
          </w:tcPr>
          <w:p w14:paraId="59DCD52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2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2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21.5 (21.0, 22.0)</w:t>
            </w:r>
          </w:p>
        </w:tc>
        <w:tc>
          <w:tcPr>
            <w:tcW w:w="1843" w:type="dxa"/>
            <w:noWrap/>
            <w:hideMark/>
          </w:tcPr>
          <w:p w14:paraId="59DCD52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1.9 (1.7, 2.0)</w:t>
            </w:r>
          </w:p>
        </w:tc>
      </w:tr>
      <w:tr w:rsidR="00BE3AA8" w:rsidRPr="00D93FF9" w14:paraId="59DCD52B" w14:textId="77777777" w:rsidTr="000E1354">
        <w:trPr>
          <w:trHeight w:val="227"/>
        </w:trPr>
        <w:tc>
          <w:tcPr>
            <w:tcW w:w="1895" w:type="dxa"/>
            <w:noWrap/>
            <w:hideMark/>
          </w:tcPr>
          <w:p w14:paraId="59DCD52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Coffee</w:t>
            </w:r>
          </w:p>
        </w:tc>
        <w:tc>
          <w:tcPr>
            <w:tcW w:w="908" w:type="dxa"/>
            <w:noWrap/>
            <w:hideMark/>
          </w:tcPr>
          <w:p w14:paraId="59DCD52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2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2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46.0</w:t>
            </w:r>
          </w:p>
        </w:tc>
        <w:tc>
          <w:tcPr>
            <w:tcW w:w="1843" w:type="dxa"/>
            <w:noWrap/>
            <w:hideMark/>
          </w:tcPr>
          <w:p w14:paraId="59DCD52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3.4</w:t>
            </w:r>
          </w:p>
        </w:tc>
      </w:tr>
      <w:tr w:rsidR="00BE3AA8" w:rsidRPr="00D93FF9" w14:paraId="59DCD531" w14:textId="77777777" w:rsidTr="000E1354">
        <w:trPr>
          <w:trHeight w:val="227"/>
        </w:trPr>
        <w:tc>
          <w:tcPr>
            <w:tcW w:w="1895" w:type="dxa"/>
            <w:noWrap/>
            <w:hideMark/>
          </w:tcPr>
          <w:p w14:paraId="59DCD52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Cotton</w:t>
            </w:r>
          </w:p>
        </w:tc>
        <w:tc>
          <w:tcPr>
            <w:tcW w:w="908" w:type="dxa"/>
            <w:noWrap/>
            <w:hideMark/>
          </w:tcPr>
          <w:p w14:paraId="59DCD52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2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2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22.0</w:t>
            </w:r>
          </w:p>
        </w:tc>
        <w:tc>
          <w:tcPr>
            <w:tcW w:w="1843" w:type="dxa"/>
            <w:noWrap/>
            <w:hideMark/>
          </w:tcPr>
          <w:p w14:paraId="59DCD53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6.6</w:t>
            </w:r>
          </w:p>
        </w:tc>
      </w:tr>
      <w:tr w:rsidR="00BE3AA8" w:rsidRPr="00D93FF9" w14:paraId="59DCD537" w14:textId="77777777" w:rsidTr="000E1354">
        <w:trPr>
          <w:trHeight w:val="227"/>
        </w:trPr>
        <w:tc>
          <w:tcPr>
            <w:tcW w:w="1895" w:type="dxa"/>
            <w:noWrap/>
            <w:hideMark/>
          </w:tcPr>
          <w:p w14:paraId="59DCD53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Cowpea</w:t>
            </w:r>
          </w:p>
        </w:tc>
        <w:tc>
          <w:tcPr>
            <w:tcW w:w="908" w:type="dxa"/>
            <w:noWrap/>
            <w:hideMark/>
          </w:tcPr>
          <w:p w14:paraId="59DCD53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c>
          <w:tcPr>
            <w:tcW w:w="1786" w:type="dxa"/>
            <w:noWrap/>
            <w:hideMark/>
          </w:tcPr>
          <w:p w14:paraId="59DCD53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3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39.0</w:t>
            </w:r>
          </w:p>
        </w:tc>
        <w:tc>
          <w:tcPr>
            <w:tcW w:w="1843" w:type="dxa"/>
            <w:noWrap/>
            <w:hideMark/>
          </w:tcPr>
          <w:p w14:paraId="59DCD53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6.9</w:t>
            </w:r>
          </w:p>
        </w:tc>
      </w:tr>
      <w:tr w:rsidR="00BE3AA8" w:rsidRPr="00D93FF9" w14:paraId="59DCD53D" w14:textId="77777777" w:rsidTr="000E1354">
        <w:trPr>
          <w:trHeight w:val="227"/>
        </w:trPr>
        <w:tc>
          <w:tcPr>
            <w:tcW w:w="1895" w:type="dxa"/>
            <w:noWrap/>
            <w:hideMark/>
          </w:tcPr>
          <w:p w14:paraId="59DCD53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Cranberry</w:t>
            </w:r>
          </w:p>
        </w:tc>
        <w:tc>
          <w:tcPr>
            <w:tcW w:w="908" w:type="dxa"/>
            <w:noWrap/>
            <w:hideMark/>
          </w:tcPr>
          <w:p w14:paraId="59DCD53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88.0</w:t>
            </w:r>
          </w:p>
        </w:tc>
        <w:tc>
          <w:tcPr>
            <w:tcW w:w="1786" w:type="dxa"/>
            <w:noWrap/>
            <w:hideMark/>
          </w:tcPr>
          <w:p w14:paraId="59DCD53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3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0.5</w:t>
            </w:r>
          </w:p>
        </w:tc>
        <w:tc>
          <w:tcPr>
            <w:tcW w:w="1843" w:type="dxa"/>
            <w:noWrap/>
            <w:hideMark/>
          </w:tcPr>
          <w:p w14:paraId="59DCD53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0.1</w:t>
            </w:r>
          </w:p>
        </w:tc>
      </w:tr>
      <w:tr w:rsidR="00BE3AA8" w:rsidRPr="00D93FF9" w14:paraId="59DCD543" w14:textId="77777777" w:rsidTr="000E1354">
        <w:trPr>
          <w:trHeight w:val="227"/>
        </w:trPr>
        <w:tc>
          <w:tcPr>
            <w:tcW w:w="1895" w:type="dxa"/>
            <w:noWrap/>
            <w:hideMark/>
          </w:tcPr>
          <w:p w14:paraId="59DCD53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Cucumber</w:t>
            </w:r>
          </w:p>
        </w:tc>
        <w:tc>
          <w:tcPr>
            <w:tcW w:w="908" w:type="dxa"/>
            <w:noWrap/>
            <w:hideMark/>
          </w:tcPr>
          <w:p w14:paraId="59DCD53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96.0</w:t>
            </w:r>
          </w:p>
        </w:tc>
        <w:tc>
          <w:tcPr>
            <w:tcW w:w="1786" w:type="dxa"/>
            <w:noWrap/>
            <w:hideMark/>
          </w:tcPr>
          <w:p w14:paraId="59DCD54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41.9 (18.0, 70.0)</w:t>
            </w:r>
          </w:p>
        </w:tc>
        <w:tc>
          <w:tcPr>
            <w:tcW w:w="1756" w:type="dxa"/>
            <w:noWrap/>
            <w:hideMark/>
          </w:tcPr>
          <w:p w14:paraId="59DCD54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1.5 (1.4, 1.6)</w:t>
            </w:r>
          </w:p>
        </w:tc>
        <w:tc>
          <w:tcPr>
            <w:tcW w:w="1843" w:type="dxa"/>
            <w:noWrap/>
            <w:hideMark/>
          </w:tcPr>
          <w:p w14:paraId="59DCD54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549" w14:textId="77777777" w:rsidTr="000E1354">
        <w:trPr>
          <w:trHeight w:val="227"/>
        </w:trPr>
        <w:tc>
          <w:tcPr>
            <w:tcW w:w="1895" w:type="dxa"/>
            <w:noWrap/>
            <w:hideMark/>
          </w:tcPr>
          <w:p w14:paraId="59DCD54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Currants</w:t>
            </w:r>
          </w:p>
        </w:tc>
        <w:tc>
          <w:tcPr>
            <w:tcW w:w="908" w:type="dxa"/>
            <w:noWrap/>
            <w:hideMark/>
          </w:tcPr>
          <w:p w14:paraId="59DCD54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82.0</w:t>
            </w:r>
          </w:p>
        </w:tc>
        <w:tc>
          <w:tcPr>
            <w:tcW w:w="1786" w:type="dxa"/>
            <w:noWrap/>
            <w:hideMark/>
          </w:tcPr>
          <w:p w14:paraId="59DCD54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4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2.2</w:t>
            </w:r>
          </w:p>
        </w:tc>
        <w:tc>
          <w:tcPr>
            <w:tcW w:w="1843" w:type="dxa"/>
            <w:noWrap/>
            <w:hideMark/>
          </w:tcPr>
          <w:p w14:paraId="59DCD54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0.5</w:t>
            </w:r>
          </w:p>
        </w:tc>
      </w:tr>
      <w:tr w:rsidR="00BE3AA8" w:rsidRPr="00D93FF9" w14:paraId="59DCD54F" w14:textId="77777777" w:rsidTr="000E1354">
        <w:trPr>
          <w:trHeight w:val="227"/>
        </w:trPr>
        <w:tc>
          <w:tcPr>
            <w:tcW w:w="1895" w:type="dxa"/>
            <w:noWrap/>
            <w:hideMark/>
          </w:tcPr>
          <w:p w14:paraId="59DCD54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Custard apple</w:t>
            </w:r>
          </w:p>
        </w:tc>
        <w:tc>
          <w:tcPr>
            <w:tcW w:w="908" w:type="dxa"/>
            <w:noWrap/>
            <w:hideMark/>
          </w:tcPr>
          <w:p w14:paraId="59DCD54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4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4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2.6</w:t>
            </w:r>
          </w:p>
        </w:tc>
        <w:tc>
          <w:tcPr>
            <w:tcW w:w="1843" w:type="dxa"/>
            <w:noWrap/>
            <w:hideMark/>
          </w:tcPr>
          <w:p w14:paraId="59DCD54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555" w14:textId="77777777" w:rsidTr="000E1354">
        <w:trPr>
          <w:trHeight w:val="227"/>
        </w:trPr>
        <w:tc>
          <w:tcPr>
            <w:tcW w:w="1895" w:type="dxa"/>
            <w:noWrap/>
            <w:hideMark/>
          </w:tcPr>
          <w:p w14:paraId="59DCD55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Date</w:t>
            </w:r>
          </w:p>
        </w:tc>
        <w:tc>
          <w:tcPr>
            <w:tcW w:w="908" w:type="dxa"/>
            <w:noWrap/>
            <w:hideMark/>
          </w:tcPr>
          <w:p w14:paraId="59DCD55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21.0</w:t>
            </w:r>
          </w:p>
        </w:tc>
        <w:tc>
          <w:tcPr>
            <w:tcW w:w="1786" w:type="dxa"/>
            <w:noWrap/>
            <w:hideMark/>
          </w:tcPr>
          <w:p w14:paraId="59DCD55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5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3.6</w:t>
            </w:r>
          </w:p>
        </w:tc>
        <w:tc>
          <w:tcPr>
            <w:tcW w:w="1843" w:type="dxa"/>
            <w:noWrap/>
            <w:hideMark/>
          </w:tcPr>
          <w:p w14:paraId="59DCD55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0.5</w:t>
            </w:r>
          </w:p>
        </w:tc>
      </w:tr>
      <w:tr w:rsidR="00BE3AA8" w:rsidRPr="00D93FF9" w14:paraId="59DCD55B" w14:textId="77777777" w:rsidTr="000E1354">
        <w:trPr>
          <w:trHeight w:val="227"/>
        </w:trPr>
        <w:tc>
          <w:tcPr>
            <w:tcW w:w="1895" w:type="dxa"/>
            <w:noWrap/>
            <w:hideMark/>
          </w:tcPr>
          <w:p w14:paraId="59DCD55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Eggplant</w:t>
            </w:r>
          </w:p>
        </w:tc>
        <w:tc>
          <w:tcPr>
            <w:tcW w:w="908" w:type="dxa"/>
            <w:noWrap/>
            <w:hideMark/>
          </w:tcPr>
          <w:p w14:paraId="59DCD55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93.0</w:t>
            </w:r>
          </w:p>
        </w:tc>
        <w:tc>
          <w:tcPr>
            <w:tcW w:w="1786" w:type="dxa"/>
            <w:noWrap/>
            <w:hideMark/>
          </w:tcPr>
          <w:p w14:paraId="59DCD55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5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1.8</w:t>
            </w:r>
          </w:p>
        </w:tc>
        <w:tc>
          <w:tcPr>
            <w:tcW w:w="1843" w:type="dxa"/>
            <w:noWrap/>
            <w:hideMark/>
          </w:tcPr>
          <w:p w14:paraId="59DCD55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561" w14:textId="77777777" w:rsidTr="000E1354">
        <w:trPr>
          <w:trHeight w:val="227"/>
        </w:trPr>
        <w:tc>
          <w:tcPr>
            <w:tcW w:w="1895" w:type="dxa"/>
            <w:noWrap/>
            <w:hideMark/>
          </w:tcPr>
          <w:p w14:paraId="59DCD55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Fennell</w:t>
            </w:r>
          </w:p>
        </w:tc>
        <w:tc>
          <w:tcPr>
            <w:tcW w:w="908" w:type="dxa"/>
            <w:noWrap/>
            <w:hideMark/>
          </w:tcPr>
          <w:p w14:paraId="59DCD55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94.0</w:t>
            </w:r>
          </w:p>
        </w:tc>
        <w:tc>
          <w:tcPr>
            <w:tcW w:w="1786" w:type="dxa"/>
            <w:noWrap/>
            <w:hideMark/>
          </w:tcPr>
          <w:p w14:paraId="59DCD55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5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1.5</w:t>
            </w:r>
          </w:p>
        </w:tc>
        <w:tc>
          <w:tcPr>
            <w:tcW w:w="1843" w:type="dxa"/>
            <w:noWrap/>
            <w:hideMark/>
          </w:tcPr>
          <w:p w14:paraId="59DCD56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567" w14:textId="77777777" w:rsidTr="000E1354">
        <w:trPr>
          <w:trHeight w:val="227"/>
        </w:trPr>
        <w:tc>
          <w:tcPr>
            <w:tcW w:w="1895" w:type="dxa"/>
            <w:noWrap/>
            <w:hideMark/>
          </w:tcPr>
          <w:p w14:paraId="59DCD56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Fescue</w:t>
            </w:r>
          </w:p>
        </w:tc>
        <w:tc>
          <w:tcPr>
            <w:tcW w:w="908" w:type="dxa"/>
            <w:noWrap/>
            <w:hideMark/>
          </w:tcPr>
          <w:p w14:paraId="59DCD56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6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11.0</w:t>
            </w:r>
          </w:p>
        </w:tc>
        <w:tc>
          <w:tcPr>
            <w:tcW w:w="1756" w:type="dxa"/>
            <w:noWrap/>
            <w:hideMark/>
          </w:tcPr>
          <w:p w14:paraId="59DCD56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24.0</w:t>
            </w:r>
          </w:p>
        </w:tc>
        <w:tc>
          <w:tcPr>
            <w:tcW w:w="1843" w:type="dxa"/>
            <w:noWrap/>
            <w:hideMark/>
          </w:tcPr>
          <w:p w14:paraId="59DCD56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4.0</w:t>
            </w:r>
          </w:p>
        </w:tc>
      </w:tr>
      <w:tr w:rsidR="00BE3AA8" w:rsidRPr="00D93FF9" w14:paraId="59DCD56D" w14:textId="77777777" w:rsidTr="000E1354">
        <w:trPr>
          <w:trHeight w:val="227"/>
        </w:trPr>
        <w:tc>
          <w:tcPr>
            <w:tcW w:w="1895" w:type="dxa"/>
            <w:noWrap/>
            <w:hideMark/>
          </w:tcPr>
          <w:p w14:paraId="59DCD56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Field Pea</w:t>
            </w:r>
          </w:p>
        </w:tc>
        <w:tc>
          <w:tcPr>
            <w:tcW w:w="908" w:type="dxa"/>
            <w:noWrap/>
            <w:hideMark/>
          </w:tcPr>
          <w:p w14:paraId="59DCD56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c>
          <w:tcPr>
            <w:tcW w:w="1786" w:type="dxa"/>
            <w:noWrap/>
            <w:hideMark/>
          </w:tcPr>
          <w:p w14:paraId="59DCD56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w:t>
            </w:r>
          </w:p>
        </w:tc>
        <w:tc>
          <w:tcPr>
            <w:tcW w:w="1756" w:type="dxa"/>
            <w:noWrap/>
            <w:hideMark/>
          </w:tcPr>
          <w:p w14:paraId="59DCD56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37.5 (35.0, 40.0)</w:t>
            </w:r>
          </w:p>
        </w:tc>
        <w:tc>
          <w:tcPr>
            <w:tcW w:w="1843" w:type="dxa"/>
            <w:noWrap/>
            <w:hideMark/>
          </w:tcPr>
          <w:p w14:paraId="59DCD56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2.8 (2.0, 3.6)</w:t>
            </w:r>
          </w:p>
        </w:tc>
      </w:tr>
      <w:tr w:rsidR="00BE3AA8" w:rsidRPr="00D93FF9" w14:paraId="59DCD573" w14:textId="77777777" w:rsidTr="000E1354">
        <w:trPr>
          <w:trHeight w:val="227"/>
        </w:trPr>
        <w:tc>
          <w:tcPr>
            <w:tcW w:w="1895" w:type="dxa"/>
            <w:noWrap/>
            <w:hideMark/>
          </w:tcPr>
          <w:p w14:paraId="59DCD56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Fig</w:t>
            </w:r>
          </w:p>
        </w:tc>
        <w:tc>
          <w:tcPr>
            <w:tcW w:w="908" w:type="dxa"/>
            <w:noWrap/>
            <w:hideMark/>
          </w:tcPr>
          <w:p w14:paraId="59DCD56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83.0</w:t>
            </w:r>
          </w:p>
        </w:tc>
        <w:tc>
          <w:tcPr>
            <w:tcW w:w="1786" w:type="dxa"/>
            <w:noWrap/>
            <w:hideMark/>
          </w:tcPr>
          <w:p w14:paraId="59DCD57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7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2.2</w:t>
            </w:r>
          </w:p>
        </w:tc>
        <w:tc>
          <w:tcPr>
            <w:tcW w:w="1843" w:type="dxa"/>
            <w:noWrap/>
            <w:hideMark/>
          </w:tcPr>
          <w:p w14:paraId="59DCD57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579" w14:textId="77777777" w:rsidTr="000E1354">
        <w:trPr>
          <w:trHeight w:val="227"/>
        </w:trPr>
        <w:tc>
          <w:tcPr>
            <w:tcW w:w="1895" w:type="dxa"/>
            <w:noWrap/>
            <w:hideMark/>
          </w:tcPr>
          <w:p w14:paraId="59DCD57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Florence fennel</w:t>
            </w:r>
          </w:p>
        </w:tc>
        <w:tc>
          <w:tcPr>
            <w:tcW w:w="908" w:type="dxa"/>
            <w:noWrap/>
            <w:hideMark/>
          </w:tcPr>
          <w:p w14:paraId="59DCD57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7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40.0</w:t>
            </w:r>
          </w:p>
        </w:tc>
        <w:tc>
          <w:tcPr>
            <w:tcW w:w="1756" w:type="dxa"/>
            <w:noWrap/>
            <w:hideMark/>
          </w:tcPr>
          <w:p w14:paraId="59DCD57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2.0</w:t>
            </w:r>
          </w:p>
        </w:tc>
        <w:tc>
          <w:tcPr>
            <w:tcW w:w="1843" w:type="dxa"/>
            <w:noWrap/>
            <w:hideMark/>
          </w:tcPr>
          <w:p w14:paraId="59DCD57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57F" w14:textId="77777777" w:rsidTr="000E1354">
        <w:trPr>
          <w:trHeight w:val="227"/>
        </w:trPr>
        <w:tc>
          <w:tcPr>
            <w:tcW w:w="1895" w:type="dxa"/>
            <w:noWrap/>
            <w:hideMark/>
          </w:tcPr>
          <w:p w14:paraId="59DCD57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lastRenderedPageBreak/>
              <w:t>Forage millet</w:t>
            </w:r>
          </w:p>
        </w:tc>
        <w:tc>
          <w:tcPr>
            <w:tcW w:w="908" w:type="dxa"/>
            <w:noWrap/>
            <w:hideMark/>
          </w:tcPr>
          <w:p w14:paraId="59DCD57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7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6.7 (5.0, 9.0)</w:t>
            </w:r>
          </w:p>
        </w:tc>
        <w:tc>
          <w:tcPr>
            <w:tcW w:w="1756" w:type="dxa"/>
            <w:noWrap/>
            <w:hideMark/>
          </w:tcPr>
          <w:p w14:paraId="59DCD57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17.0</w:t>
            </w:r>
          </w:p>
        </w:tc>
        <w:tc>
          <w:tcPr>
            <w:tcW w:w="1843" w:type="dxa"/>
            <w:noWrap/>
            <w:hideMark/>
          </w:tcPr>
          <w:p w14:paraId="59DCD57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2.0</w:t>
            </w:r>
          </w:p>
        </w:tc>
      </w:tr>
      <w:tr w:rsidR="00BE3AA8" w:rsidRPr="00D93FF9" w14:paraId="59DCD585" w14:textId="77777777" w:rsidTr="000E1354">
        <w:trPr>
          <w:trHeight w:val="227"/>
        </w:trPr>
        <w:tc>
          <w:tcPr>
            <w:tcW w:w="1895" w:type="dxa"/>
            <w:noWrap/>
            <w:hideMark/>
          </w:tcPr>
          <w:p w14:paraId="59DCD58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Forage sorghum</w:t>
            </w:r>
          </w:p>
        </w:tc>
        <w:tc>
          <w:tcPr>
            <w:tcW w:w="908" w:type="dxa"/>
            <w:noWrap/>
            <w:hideMark/>
          </w:tcPr>
          <w:p w14:paraId="59DCD58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8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7.7 (6.0, 10.0)</w:t>
            </w:r>
          </w:p>
        </w:tc>
        <w:tc>
          <w:tcPr>
            <w:tcW w:w="1756" w:type="dxa"/>
            <w:noWrap/>
            <w:hideMark/>
          </w:tcPr>
          <w:p w14:paraId="59DCD58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18.0</w:t>
            </w:r>
          </w:p>
        </w:tc>
        <w:tc>
          <w:tcPr>
            <w:tcW w:w="1843" w:type="dxa"/>
            <w:noWrap/>
            <w:hideMark/>
          </w:tcPr>
          <w:p w14:paraId="59DCD58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w:t>
            </w:r>
          </w:p>
        </w:tc>
      </w:tr>
      <w:tr w:rsidR="00BE3AA8" w:rsidRPr="00D93FF9" w14:paraId="59DCD58B" w14:textId="77777777" w:rsidTr="000E1354">
        <w:trPr>
          <w:trHeight w:val="227"/>
        </w:trPr>
        <w:tc>
          <w:tcPr>
            <w:tcW w:w="1895" w:type="dxa"/>
            <w:noWrap/>
            <w:hideMark/>
          </w:tcPr>
          <w:p w14:paraId="59DCD58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Garlic</w:t>
            </w:r>
          </w:p>
        </w:tc>
        <w:tc>
          <w:tcPr>
            <w:tcW w:w="908" w:type="dxa"/>
            <w:noWrap/>
            <w:hideMark/>
          </w:tcPr>
          <w:p w14:paraId="59DCD58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61.0</w:t>
            </w:r>
          </w:p>
        </w:tc>
        <w:tc>
          <w:tcPr>
            <w:tcW w:w="1786" w:type="dxa"/>
            <w:noWrap/>
            <w:hideMark/>
          </w:tcPr>
          <w:p w14:paraId="59DCD58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8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8.2</w:t>
            </w:r>
          </w:p>
        </w:tc>
        <w:tc>
          <w:tcPr>
            <w:tcW w:w="1843" w:type="dxa"/>
            <w:noWrap/>
            <w:hideMark/>
          </w:tcPr>
          <w:p w14:paraId="59DCD58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1.7</w:t>
            </w:r>
          </w:p>
        </w:tc>
      </w:tr>
      <w:tr w:rsidR="00BE3AA8" w:rsidRPr="00D93FF9" w14:paraId="59DCD591" w14:textId="77777777" w:rsidTr="000E1354">
        <w:trPr>
          <w:trHeight w:val="227"/>
        </w:trPr>
        <w:tc>
          <w:tcPr>
            <w:tcW w:w="1895" w:type="dxa"/>
            <w:noWrap/>
            <w:hideMark/>
          </w:tcPr>
          <w:p w14:paraId="59DCD58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Gherkin</w:t>
            </w:r>
          </w:p>
        </w:tc>
        <w:tc>
          <w:tcPr>
            <w:tcW w:w="908" w:type="dxa"/>
            <w:noWrap/>
            <w:hideMark/>
          </w:tcPr>
          <w:p w14:paraId="59DCD58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93.0</w:t>
            </w:r>
          </w:p>
        </w:tc>
        <w:tc>
          <w:tcPr>
            <w:tcW w:w="1786" w:type="dxa"/>
            <w:noWrap/>
            <w:hideMark/>
          </w:tcPr>
          <w:p w14:paraId="59DCD58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8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2.2</w:t>
            </w:r>
          </w:p>
        </w:tc>
        <w:tc>
          <w:tcPr>
            <w:tcW w:w="1843" w:type="dxa"/>
            <w:noWrap/>
            <w:hideMark/>
          </w:tcPr>
          <w:p w14:paraId="59DCD59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597" w14:textId="77777777" w:rsidTr="000E1354">
        <w:trPr>
          <w:trHeight w:val="227"/>
        </w:trPr>
        <w:tc>
          <w:tcPr>
            <w:tcW w:w="1895" w:type="dxa"/>
            <w:noWrap/>
            <w:hideMark/>
          </w:tcPr>
          <w:p w14:paraId="59DCD59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Ginger</w:t>
            </w:r>
          </w:p>
        </w:tc>
        <w:tc>
          <w:tcPr>
            <w:tcW w:w="908" w:type="dxa"/>
            <w:noWrap/>
            <w:hideMark/>
          </w:tcPr>
          <w:p w14:paraId="59DCD59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89.0</w:t>
            </w:r>
          </w:p>
        </w:tc>
        <w:tc>
          <w:tcPr>
            <w:tcW w:w="1786" w:type="dxa"/>
            <w:noWrap/>
            <w:hideMark/>
          </w:tcPr>
          <w:p w14:paraId="59DCD59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9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1.8</w:t>
            </w:r>
          </w:p>
        </w:tc>
        <w:tc>
          <w:tcPr>
            <w:tcW w:w="1843" w:type="dxa"/>
            <w:noWrap/>
            <w:hideMark/>
          </w:tcPr>
          <w:p w14:paraId="59DCD59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59D" w14:textId="77777777" w:rsidTr="000E1354">
        <w:trPr>
          <w:trHeight w:val="227"/>
        </w:trPr>
        <w:tc>
          <w:tcPr>
            <w:tcW w:w="1895" w:type="dxa"/>
            <w:noWrap/>
            <w:hideMark/>
          </w:tcPr>
          <w:p w14:paraId="59DCD59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Gooseberry</w:t>
            </w:r>
          </w:p>
        </w:tc>
        <w:tc>
          <w:tcPr>
            <w:tcW w:w="908" w:type="dxa"/>
            <w:noWrap/>
            <w:hideMark/>
          </w:tcPr>
          <w:p w14:paraId="59DCD59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87.0</w:t>
            </w:r>
          </w:p>
        </w:tc>
        <w:tc>
          <w:tcPr>
            <w:tcW w:w="1786" w:type="dxa"/>
            <w:noWrap/>
            <w:hideMark/>
          </w:tcPr>
          <w:p w14:paraId="59DCD59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9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1.3</w:t>
            </w:r>
          </w:p>
        </w:tc>
        <w:tc>
          <w:tcPr>
            <w:tcW w:w="1843" w:type="dxa"/>
            <w:noWrap/>
            <w:hideMark/>
          </w:tcPr>
          <w:p w14:paraId="59DCD59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5A3" w14:textId="77777777" w:rsidTr="000E1354">
        <w:trPr>
          <w:trHeight w:val="227"/>
        </w:trPr>
        <w:tc>
          <w:tcPr>
            <w:tcW w:w="1895" w:type="dxa"/>
            <w:noWrap/>
            <w:hideMark/>
          </w:tcPr>
          <w:p w14:paraId="59DCD59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Grain Sorghum</w:t>
            </w:r>
          </w:p>
        </w:tc>
        <w:tc>
          <w:tcPr>
            <w:tcW w:w="908" w:type="dxa"/>
            <w:noWrap/>
            <w:hideMark/>
          </w:tcPr>
          <w:p w14:paraId="59DCD59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A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2.9 (2.5, 3.5)</w:t>
            </w:r>
          </w:p>
        </w:tc>
        <w:tc>
          <w:tcPr>
            <w:tcW w:w="1756" w:type="dxa"/>
            <w:noWrap/>
            <w:hideMark/>
          </w:tcPr>
          <w:p w14:paraId="59DCD5A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16.6 (12.0, 21.2)</w:t>
            </w:r>
          </w:p>
        </w:tc>
        <w:tc>
          <w:tcPr>
            <w:tcW w:w="1843" w:type="dxa"/>
            <w:noWrap/>
            <w:hideMark/>
          </w:tcPr>
          <w:p w14:paraId="59DCD5A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2.5 (2.0, 3.2)</w:t>
            </w:r>
          </w:p>
        </w:tc>
      </w:tr>
      <w:tr w:rsidR="00BE3AA8" w:rsidRPr="00D93FF9" w14:paraId="59DCD5A9" w14:textId="77777777" w:rsidTr="000E1354">
        <w:trPr>
          <w:trHeight w:val="227"/>
        </w:trPr>
        <w:tc>
          <w:tcPr>
            <w:tcW w:w="1895" w:type="dxa"/>
            <w:noWrap/>
            <w:hideMark/>
          </w:tcPr>
          <w:p w14:paraId="59DCD5A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Grape</w:t>
            </w:r>
          </w:p>
        </w:tc>
        <w:tc>
          <w:tcPr>
            <w:tcW w:w="908" w:type="dxa"/>
            <w:noWrap/>
            <w:hideMark/>
          </w:tcPr>
          <w:p w14:paraId="59DCD5A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80.0</w:t>
            </w:r>
          </w:p>
        </w:tc>
        <w:tc>
          <w:tcPr>
            <w:tcW w:w="1786" w:type="dxa"/>
            <w:noWrap/>
            <w:hideMark/>
          </w:tcPr>
          <w:p w14:paraId="59DCD5A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A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1.2 (1.0, 1.3)</w:t>
            </w:r>
          </w:p>
        </w:tc>
        <w:tc>
          <w:tcPr>
            <w:tcW w:w="1843" w:type="dxa"/>
            <w:noWrap/>
            <w:hideMark/>
          </w:tcPr>
          <w:p w14:paraId="59DCD5A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5AF" w14:textId="77777777" w:rsidTr="000E1354">
        <w:trPr>
          <w:trHeight w:val="227"/>
        </w:trPr>
        <w:tc>
          <w:tcPr>
            <w:tcW w:w="1895" w:type="dxa"/>
            <w:noWrap/>
            <w:hideMark/>
          </w:tcPr>
          <w:p w14:paraId="59DCD5A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Grapefruit</w:t>
            </w:r>
          </w:p>
        </w:tc>
        <w:tc>
          <w:tcPr>
            <w:tcW w:w="908" w:type="dxa"/>
            <w:noWrap/>
            <w:hideMark/>
          </w:tcPr>
          <w:p w14:paraId="59DCD5A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89.0</w:t>
            </w:r>
          </w:p>
        </w:tc>
        <w:tc>
          <w:tcPr>
            <w:tcW w:w="1786" w:type="dxa"/>
            <w:noWrap/>
            <w:hideMark/>
          </w:tcPr>
          <w:p w14:paraId="59DCD5A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A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w:t>
            </w:r>
          </w:p>
        </w:tc>
        <w:tc>
          <w:tcPr>
            <w:tcW w:w="1843" w:type="dxa"/>
            <w:noWrap/>
            <w:hideMark/>
          </w:tcPr>
          <w:p w14:paraId="59DCD5A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5B5" w14:textId="77777777" w:rsidTr="000E1354">
        <w:trPr>
          <w:trHeight w:val="227"/>
        </w:trPr>
        <w:tc>
          <w:tcPr>
            <w:tcW w:w="1895" w:type="dxa"/>
            <w:noWrap/>
            <w:hideMark/>
          </w:tcPr>
          <w:p w14:paraId="59DCD5B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Grass</w:t>
            </w:r>
          </w:p>
        </w:tc>
        <w:tc>
          <w:tcPr>
            <w:tcW w:w="908" w:type="dxa"/>
            <w:noWrap/>
            <w:hideMark/>
          </w:tcPr>
          <w:p w14:paraId="59DCD5B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B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B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24.0</w:t>
            </w:r>
          </w:p>
        </w:tc>
        <w:tc>
          <w:tcPr>
            <w:tcW w:w="1843" w:type="dxa"/>
            <w:noWrap/>
            <w:hideMark/>
          </w:tcPr>
          <w:p w14:paraId="59DCD5B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2.8</w:t>
            </w:r>
          </w:p>
        </w:tc>
      </w:tr>
      <w:tr w:rsidR="00BE3AA8" w:rsidRPr="00D93FF9" w14:paraId="59DCD5BB" w14:textId="77777777" w:rsidTr="000E1354">
        <w:trPr>
          <w:trHeight w:val="227"/>
        </w:trPr>
        <w:tc>
          <w:tcPr>
            <w:tcW w:w="1895" w:type="dxa"/>
            <w:noWrap/>
            <w:hideMark/>
          </w:tcPr>
          <w:p w14:paraId="59DCD5B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Guava</w:t>
            </w:r>
          </w:p>
        </w:tc>
        <w:tc>
          <w:tcPr>
            <w:tcW w:w="908" w:type="dxa"/>
            <w:noWrap/>
            <w:hideMark/>
          </w:tcPr>
          <w:p w14:paraId="59DCD5B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83.0</w:t>
            </w:r>
          </w:p>
        </w:tc>
        <w:tc>
          <w:tcPr>
            <w:tcW w:w="1786" w:type="dxa"/>
            <w:noWrap/>
            <w:hideMark/>
          </w:tcPr>
          <w:p w14:paraId="59DCD5B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B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1.2</w:t>
            </w:r>
          </w:p>
        </w:tc>
        <w:tc>
          <w:tcPr>
            <w:tcW w:w="1843" w:type="dxa"/>
            <w:noWrap/>
            <w:hideMark/>
          </w:tcPr>
          <w:p w14:paraId="59DCD5B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5C1" w14:textId="77777777" w:rsidTr="000E1354">
        <w:trPr>
          <w:trHeight w:val="227"/>
        </w:trPr>
        <w:tc>
          <w:tcPr>
            <w:tcW w:w="1895" w:type="dxa"/>
            <w:noWrap/>
            <w:hideMark/>
          </w:tcPr>
          <w:p w14:paraId="59DCD5B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Hops</w:t>
            </w:r>
          </w:p>
        </w:tc>
        <w:tc>
          <w:tcPr>
            <w:tcW w:w="908" w:type="dxa"/>
            <w:noWrap/>
            <w:hideMark/>
          </w:tcPr>
          <w:p w14:paraId="59DCD5B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0.0</w:t>
            </w:r>
          </w:p>
        </w:tc>
        <w:tc>
          <w:tcPr>
            <w:tcW w:w="1786" w:type="dxa"/>
            <w:noWrap/>
            <w:hideMark/>
          </w:tcPr>
          <w:p w14:paraId="59DCD5B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B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54.0</w:t>
            </w:r>
          </w:p>
        </w:tc>
        <w:tc>
          <w:tcPr>
            <w:tcW w:w="1843" w:type="dxa"/>
            <w:noWrap/>
            <w:hideMark/>
          </w:tcPr>
          <w:p w14:paraId="59DCD5C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7.4</w:t>
            </w:r>
          </w:p>
        </w:tc>
      </w:tr>
      <w:tr w:rsidR="00BE3AA8" w:rsidRPr="00D93FF9" w14:paraId="59DCD5C7" w14:textId="77777777" w:rsidTr="000E1354">
        <w:trPr>
          <w:trHeight w:val="227"/>
        </w:trPr>
        <w:tc>
          <w:tcPr>
            <w:tcW w:w="1895" w:type="dxa"/>
            <w:noWrap/>
            <w:hideMark/>
          </w:tcPr>
          <w:p w14:paraId="59DCD5C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Horseradish</w:t>
            </w:r>
          </w:p>
        </w:tc>
        <w:tc>
          <w:tcPr>
            <w:tcW w:w="908" w:type="dxa"/>
            <w:noWrap/>
            <w:hideMark/>
          </w:tcPr>
          <w:p w14:paraId="59DCD5C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76.0</w:t>
            </w:r>
          </w:p>
        </w:tc>
        <w:tc>
          <w:tcPr>
            <w:tcW w:w="1786" w:type="dxa"/>
            <w:noWrap/>
            <w:hideMark/>
          </w:tcPr>
          <w:p w14:paraId="59DCD5C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C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7.2</w:t>
            </w:r>
          </w:p>
        </w:tc>
        <w:tc>
          <w:tcPr>
            <w:tcW w:w="1843" w:type="dxa"/>
            <w:noWrap/>
            <w:hideMark/>
          </w:tcPr>
          <w:p w14:paraId="59DCD5C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0.8</w:t>
            </w:r>
          </w:p>
        </w:tc>
      </w:tr>
      <w:tr w:rsidR="00BE3AA8" w:rsidRPr="00D93FF9" w14:paraId="59DCD5CD" w14:textId="77777777" w:rsidTr="000E1354">
        <w:trPr>
          <w:trHeight w:val="227"/>
        </w:trPr>
        <w:tc>
          <w:tcPr>
            <w:tcW w:w="1895" w:type="dxa"/>
            <w:noWrap/>
            <w:hideMark/>
          </w:tcPr>
          <w:p w14:paraId="59DCD5C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Iceberg</w:t>
            </w:r>
          </w:p>
        </w:tc>
        <w:tc>
          <w:tcPr>
            <w:tcW w:w="908" w:type="dxa"/>
            <w:noWrap/>
            <w:hideMark/>
          </w:tcPr>
          <w:p w14:paraId="59DCD5C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C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60.0</w:t>
            </w:r>
          </w:p>
        </w:tc>
        <w:tc>
          <w:tcPr>
            <w:tcW w:w="1756" w:type="dxa"/>
            <w:noWrap/>
            <w:hideMark/>
          </w:tcPr>
          <w:p w14:paraId="59DCD5C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1.3</w:t>
            </w:r>
          </w:p>
        </w:tc>
        <w:tc>
          <w:tcPr>
            <w:tcW w:w="1843" w:type="dxa"/>
            <w:noWrap/>
            <w:hideMark/>
          </w:tcPr>
          <w:p w14:paraId="59DCD5C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5D3" w14:textId="77777777" w:rsidTr="000E1354">
        <w:trPr>
          <w:trHeight w:val="227"/>
        </w:trPr>
        <w:tc>
          <w:tcPr>
            <w:tcW w:w="1895" w:type="dxa"/>
            <w:noWrap/>
            <w:hideMark/>
          </w:tcPr>
          <w:p w14:paraId="59DCD5C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Kale</w:t>
            </w:r>
          </w:p>
        </w:tc>
        <w:tc>
          <w:tcPr>
            <w:tcW w:w="908" w:type="dxa"/>
            <w:noWrap/>
            <w:hideMark/>
          </w:tcPr>
          <w:p w14:paraId="59DCD5C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D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20.0</w:t>
            </w:r>
          </w:p>
        </w:tc>
        <w:tc>
          <w:tcPr>
            <w:tcW w:w="1756" w:type="dxa"/>
            <w:noWrap/>
            <w:hideMark/>
          </w:tcPr>
          <w:p w14:paraId="59DCD5D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6.0</w:t>
            </w:r>
          </w:p>
        </w:tc>
        <w:tc>
          <w:tcPr>
            <w:tcW w:w="1843" w:type="dxa"/>
            <w:noWrap/>
            <w:hideMark/>
          </w:tcPr>
          <w:p w14:paraId="59DCD5D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0.8</w:t>
            </w:r>
          </w:p>
        </w:tc>
      </w:tr>
      <w:tr w:rsidR="00BE3AA8" w:rsidRPr="00D93FF9" w14:paraId="59DCD5D9" w14:textId="77777777" w:rsidTr="000E1354">
        <w:trPr>
          <w:trHeight w:val="227"/>
        </w:trPr>
        <w:tc>
          <w:tcPr>
            <w:tcW w:w="1895" w:type="dxa"/>
            <w:noWrap/>
            <w:hideMark/>
          </w:tcPr>
          <w:p w14:paraId="59DCD5D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Kikuyu</w:t>
            </w:r>
          </w:p>
        </w:tc>
        <w:tc>
          <w:tcPr>
            <w:tcW w:w="908" w:type="dxa"/>
            <w:noWrap/>
            <w:hideMark/>
          </w:tcPr>
          <w:p w14:paraId="59DCD5D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D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30.0</w:t>
            </w:r>
          </w:p>
        </w:tc>
        <w:tc>
          <w:tcPr>
            <w:tcW w:w="1756" w:type="dxa"/>
            <w:noWrap/>
            <w:hideMark/>
          </w:tcPr>
          <w:p w14:paraId="59DCD5D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26.0</w:t>
            </w:r>
          </w:p>
        </w:tc>
        <w:tc>
          <w:tcPr>
            <w:tcW w:w="1843" w:type="dxa"/>
            <w:noWrap/>
            <w:hideMark/>
          </w:tcPr>
          <w:p w14:paraId="59DCD5D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w:t>
            </w:r>
          </w:p>
        </w:tc>
      </w:tr>
      <w:tr w:rsidR="00BE3AA8" w:rsidRPr="00D93FF9" w14:paraId="59DCD5DF" w14:textId="77777777" w:rsidTr="000E1354">
        <w:trPr>
          <w:trHeight w:val="227"/>
        </w:trPr>
        <w:tc>
          <w:tcPr>
            <w:tcW w:w="1895" w:type="dxa"/>
            <w:noWrap/>
            <w:hideMark/>
          </w:tcPr>
          <w:p w14:paraId="59DCD5D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Kiwifruit</w:t>
            </w:r>
          </w:p>
        </w:tc>
        <w:tc>
          <w:tcPr>
            <w:tcW w:w="908" w:type="dxa"/>
            <w:noWrap/>
            <w:hideMark/>
          </w:tcPr>
          <w:p w14:paraId="59DCD5D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84.0</w:t>
            </w:r>
          </w:p>
        </w:tc>
        <w:tc>
          <w:tcPr>
            <w:tcW w:w="1786" w:type="dxa"/>
            <w:noWrap/>
            <w:hideMark/>
          </w:tcPr>
          <w:p w14:paraId="59DCD5D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D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1.5</w:t>
            </w:r>
          </w:p>
        </w:tc>
        <w:tc>
          <w:tcPr>
            <w:tcW w:w="1843" w:type="dxa"/>
            <w:noWrap/>
            <w:hideMark/>
          </w:tcPr>
          <w:p w14:paraId="59DCD5D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5E5" w14:textId="77777777" w:rsidTr="000E1354">
        <w:trPr>
          <w:trHeight w:val="227"/>
        </w:trPr>
        <w:tc>
          <w:tcPr>
            <w:tcW w:w="1895" w:type="dxa"/>
            <w:noWrap/>
            <w:hideMark/>
          </w:tcPr>
          <w:p w14:paraId="59DCD5E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Kohlrabi</w:t>
            </w:r>
          </w:p>
        </w:tc>
        <w:tc>
          <w:tcPr>
            <w:tcW w:w="908" w:type="dxa"/>
            <w:noWrap/>
            <w:hideMark/>
          </w:tcPr>
          <w:p w14:paraId="59DCD5E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5E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45.0</w:t>
            </w:r>
          </w:p>
        </w:tc>
        <w:tc>
          <w:tcPr>
            <w:tcW w:w="1756" w:type="dxa"/>
            <w:noWrap/>
            <w:hideMark/>
          </w:tcPr>
          <w:p w14:paraId="59DCD5E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2.8</w:t>
            </w:r>
          </w:p>
        </w:tc>
        <w:tc>
          <w:tcPr>
            <w:tcW w:w="1843" w:type="dxa"/>
            <w:noWrap/>
            <w:hideMark/>
          </w:tcPr>
          <w:p w14:paraId="59DCD5E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5EB" w14:textId="77777777" w:rsidTr="000E1354">
        <w:trPr>
          <w:trHeight w:val="227"/>
        </w:trPr>
        <w:tc>
          <w:tcPr>
            <w:tcW w:w="1895" w:type="dxa"/>
            <w:noWrap/>
            <w:hideMark/>
          </w:tcPr>
          <w:p w14:paraId="59DCD5E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Lablab</w:t>
            </w:r>
          </w:p>
        </w:tc>
        <w:tc>
          <w:tcPr>
            <w:tcW w:w="908" w:type="dxa"/>
            <w:noWrap/>
            <w:hideMark/>
          </w:tcPr>
          <w:p w14:paraId="59DCD5E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11.0</w:t>
            </w:r>
          </w:p>
        </w:tc>
        <w:tc>
          <w:tcPr>
            <w:tcW w:w="1786" w:type="dxa"/>
            <w:noWrap/>
            <w:hideMark/>
          </w:tcPr>
          <w:p w14:paraId="59DCD5E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E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36.0</w:t>
            </w:r>
          </w:p>
        </w:tc>
        <w:tc>
          <w:tcPr>
            <w:tcW w:w="1843" w:type="dxa"/>
            <w:noWrap/>
            <w:hideMark/>
          </w:tcPr>
          <w:p w14:paraId="59DCD5E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r>
      <w:tr w:rsidR="00BE3AA8" w:rsidRPr="00D93FF9" w14:paraId="59DCD5F1" w14:textId="77777777" w:rsidTr="000E1354">
        <w:trPr>
          <w:trHeight w:val="227"/>
        </w:trPr>
        <w:tc>
          <w:tcPr>
            <w:tcW w:w="1895" w:type="dxa"/>
            <w:noWrap/>
            <w:hideMark/>
          </w:tcPr>
          <w:p w14:paraId="59DCD5E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Lavender</w:t>
            </w:r>
          </w:p>
        </w:tc>
        <w:tc>
          <w:tcPr>
            <w:tcW w:w="908" w:type="dxa"/>
            <w:noWrap/>
            <w:hideMark/>
          </w:tcPr>
          <w:p w14:paraId="59DCD5E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30.0</w:t>
            </w:r>
          </w:p>
        </w:tc>
        <w:tc>
          <w:tcPr>
            <w:tcW w:w="1786" w:type="dxa"/>
            <w:noWrap/>
            <w:hideMark/>
          </w:tcPr>
          <w:p w14:paraId="59DCD5E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E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4.5</w:t>
            </w:r>
          </w:p>
        </w:tc>
        <w:tc>
          <w:tcPr>
            <w:tcW w:w="1843" w:type="dxa"/>
            <w:noWrap/>
            <w:hideMark/>
          </w:tcPr>
          <w:p w14:paraId="59DCD5F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0.5</w:t>
            </w:r>
          </w:p>
        </w:tc>
      </w:tr>
      <w:tr w:rsidR="00BE3AA8" w:rsidRPr="00D93FF9" w14:paraId="59DCD5F7" w14:textId="77777777" w:rsidTr="000E1354">
        <w:trPr>
          <w:trHeight w:val="227"/>
        </w:trPr>
        <w:tc>
          <w:tcPr>
            <w:tcW w:w="1895" w:type="dxa"/>
            <w:noWrap/>
            <w:hideMark/>
          </w:tcPr>
          <w:p w14:paraId="59DCD5F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Leek</w:t>
            </w:r>
          </w:p>
        </w:tc>
        <w:tc>
          <w:tcPr>
            <w:tcW w:w="908" w:type="dxa"/>
            <w:noWrap/>
            <w:hideMark/>
          </w:tcPr>
          <w:p w14:paraId="59DCD5F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91.0</w:t>
            </w:r>
          </w:p>
        </w:tc>
        <w:tc>
          <w:tcPr>
            <w:tcW w:w="1786" w:type="dxa"/>
            <w:noWrap/>
            <w:hideMark/>
          </w:tcPr>
          <w:p w14:paraId="59DCD5F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55.0</w:t>
            </w:r>
          </w:p>
        </w:tc>
        <w:tc>
          <w:tcPr>
            <w:tcW w:w="1756" w:type="dxa"/>
            <w:noWrap/>
            <w:hideMark/>
          </w:tcPr>
          <w:p w14:paraId="59DCD5F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2.3 (2.0, 2.5)</w:t>
            </w:r>
          </w:p>
        </w:tc>
        <w:tc>
          <w:tcPr>
            <w:tcW w:w="1843" w:type="dxa"/>
            <w:noWrap/>
            <w:hideMark/>
          </w:tcPr>
          <w:p w14:paraId="59DCD5F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 (0.2, 0.3)</w:t>
            </w:r>
          </w:p>
        </w:tc>
      </w:tr>
      <w:tr w:rsidR="00BE3AA8" w:rsidRPr="00D93FF9" w14:paraId="59DCD5FD" w14:textId="77777777" w:rsidTr="000E1354">
        <w:trPr>
          <w:trHeight w:val="227"/>
        </w:trPr>
        <w:tc>
          <w:tcPr>
            <w:tcW w:w="1895" w:type="dxa"/>
            <w:noWrap/>
            <w:hideMark/>
          </w:tcPr>
          <w:p w14:paraId="59DCD5F8" w14:textId="2C0B7EAC"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 xml:space="preserve">Lemon </w:t>
            </w:r>
            <w:r w:rsidR="00FA6E9E" w:rsidRPr="00D93FF9">
              <w:rPr>
                <w:rFonts w:ascii="Arial" w:hAnsi="Arial" w:cs="Arial"/>
                <w:sz w:val="16"/>
                <w:szCs w:val="16"/>
                <w:lang w:val="en-GB" w:eastAsia="en-AU"/>
              </w:rPr>
              <w:t>and</w:t>
            </w:r>
            <w:r w:rsidRPr="00D93FF9">
              <w:rPr>
                <w:rFonts w:ascii="Arial" w:hAnsi="Arial" w:cs="Arial"/>
                <w:sz w:val="16"/>
                <w:szCs w:val="16"/>
                <w:lang w:val="en-GB" w:eastAsia="en-AU"/>
              </w:rPr>
              <w:t xml:space="preserve"> Limes</w:t>
            </w:r>
          </w:p>
        </w:tc>
        <w:tc>
          <w:tcPr>
            <w:tcW w:w="908" w:type="dxa"/>
            <w:noWrap/>
            <w:hideMark/>
          </w:tcPr>
          <w:p w14:paraId="59DCD5F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87.0</w:t>
            </w:r>
          </w:p>
        </w:tc>
        <w:tc>
          <w:tcPr>
            <w:tcW w:w="1786" w:type="dxa"/>
            <w:noWrap/>
            <w:hideMark/>
          </w:tcPr>
          <w:p w14:paraId="59DCD5F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5F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1.9</w:t>
            </w:r>
          </w:p>
        </w:tc>
        <w:tc>
          <w:tcPr>
            <w:tcW w:w="1843" w:type="dxa"/>
            <w:noWrap/>
            <w:hideMark/>
          </w:tcPr>
          <w:p w14:paraId="59DCD5F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603" w14:textId="77777777" w:rsidTr="000E1354">
        <w:trPr>
          <w:trHeight w:val="227"/>
        </w:trPr>
        <w:tc>
          <w:tcPr>
            <w:tcW w:w="1895" w:type="dxa"/>
            <w:noWrap/>
            <w:hideMark/>
          </w:tcPr>
          <w:p w14:paraId="59DCD5F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Lentil</w:t>
            </w:r>
          </w:p>
        </w:tc>
        <w:tc>
          <w:tcPr>
            <w:tcW w:w="908" w:type="dxa"/>
            <w:noWrap/>
            <w:hideMark/>
          </w:tcPr>
          <w:p w14:paraId="59DCD5F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c>
          <w:tcPr>
            <w:tcW w:w="1786" w:type="dxa"/>
            <w:noWrap/>
            <w:hideMark/>
          </w:tcPr>
          <w:p w14:paraId="59DCD60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0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37.0</w:t>
            </w:r>
          </w:p>
        </w:tc>
        <w:tc>
          <w:tcPr>
            <w:tcW w:w="1843" w:type="dxa"/>
            <w:noWrap/>
            <w:hideMark/>
          </w:tcPr>
          <w:p w14:paraId="59DCD60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3.3</w:t>
            </w:r>
          </w:p>
        </w:tc>
      </w:tr>
      <w:tr w:rsidR="00BE3AA8" w:rsidRPr="00D93FF9" w14:paraId="59DCD609" w14:textId="77777777" w:rsidTr="000E1354">
        <w:trPr>
          <w:trHeight w:val="227"/>
        </w:trPr>
        <w:tc>
          <w:tcPr>
            <w:tcW w:w="1895" w:type="dxa"/>
            <w:noWrap/>
            <w:hideMark/>
          </w:tcPr>
          <w:p w14:paraId="59DCD60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Lettuce</w:t>
            </w:r>
          </w:p>
        </w:tc>
        <w:tc>
          <w:tcPr>
            <w:tcW w:w="908" w:type="dxa"/>
            <w:noWrap/>
            <w:hideMark/>
          </w:tcPr>
          <w:p w14:paraId="59DCD60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96.0</w:t>
            </w:r>
          </w:p>
        </w:tc>
        <w:tc>
          <w:tcPr>
            <w:tcW w:w="1786" w:type="dxa"/>
            <w:noWrap/>
            <w:hideMark/>
          </w:tcPr>
          <w:p w14:paraId="59DCD60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41.8 (25.4, 50.0)</w:t>
            </w:r>
          </w:p>
        </w:tc>
        <w:tc>
          <w:tcPr>
            <w:tcW w:w="1756" w:type="dxa"/>
            <w:noWrap/>
            <w:hideMark/>
          </w:tcPr>
          <w:p w14:paraId="59DCD60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1.9 (1.8, 2.0)</w:t>
            </w:r>
          </w:p>
        </w:tc>
        <w:tc>
          <w:tcPr>
            <w:tcW w:w="1843" w:type="dxa"/>
            <w:noWrap/>
            <w:hideMark/>
          </w:tcPr>
          <w:p w14:paraId="59DCD60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 (0.3, 0.4)</w:t>
            </w:r>
          </w:p>
        </w:tc>
      </w:tr>
      <w:tr w:rsidR="00BE3AA8" w:rsidRPr="00D93FF9" w14:paraId="59DCD60F" w14:textId="77777777" w:rsidTr="000E1354">
        <w:trPr>
          <w:trHeight w:val="227"/>
        </w:trPr>
        <w:tc>
          <w:tcPr>
            <w:tcW w:w="1895" w:type="dxa"/>
            <w:noWrap/>
            <w:hideMark/>
          </w:tcPr>
          <w:p w14:paraId="59DCD60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Linola</w:t>
            </w:r>
          </w:p>
        </w:tc>
        <w:tc>
          <w:tcPr>
            <w:tcW w:w="908" w:type="dxa"/>
            <w:noWrap/>
            <w:hideMark/>
          </w:tcPr>
          <w:p w14:paraId="59DCD60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0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0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31.0</w:t>
            </w:r>
          </w:p>
        </w:tc>
        <w:tc>
          <w:tcPr>
            <w:tcW w:w="1843" w:type="dxa"/>
            <w:noWrap/>
            <w:hideMark/>
          </w:tcPr>
          <w:p w14:paraId="59DCD60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4.4</w:t>
            </w:r>
          </w:p>
        </w:tc>
      </w:tr>
      <w:tr w:rsidR="00BE3AA8" w:rsidRPr="00D93FF9" w14:paraId="59DCD615" w14:textId="77777777" w:rsidTr="000E1354">
        <w:trPr>
          <w:trHeight w:val="227"/>
        </w:trPr>
        <w:tc>
          <w:tcPr>
            <w:tcW w:w="1895" w:type="dxa"/>
            <w:noWrap/>
            <w:hideMark/>
          </w:tcPr>
          <w:p w14:paraId="59DCD61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Linseed/Flax</w:t>
            </w:r>
          </w:p>
        </w:tc>
        <w:tc>
          <w:tcPr>
            <w:tcW w:w="908" w:type="dxa"/>
            <w:noWrap/>
            <w:hideMark/>
          </w:tcPr>
          <w:p w14:paraId="59DCD61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8.5</w:t>
            </w:r>
          </w:p>
        </w:tc>
        <w:tc>
          <w:tcPr>
            <w:tcW w:w="1786" w:type="dxa"/>
            <w:noWrap/>
            <w:hideMark/>
          </w:tcPr>
          <w:p w14:paraId="59DCD61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1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25.0</w:t>
            </w:r>
          </w:p>
        </w:tc>
        <w:tc>
          <w:tcPr>
            <w:tcW w:w="1843" w:type="dxa"/>
            <w:noWrap/>
            <w:hideMark/>
          </w:tcPr>
          <w:p w14:paraId="59DCD61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3.8</w:t>
            </w:r>
          </w:p>
        </w:tc>
      </w:tr>
      <w:tr w:rsidR="00BE3AA8" w:rsidRPr="00D93FF9" w14:paraId="59DCD61B" w14:textId="77777777" w:rsidTr="000E1354">
        <w:trPr>
          <w:trHeight w:val="227"/>
        </w:trPr>
        <w:tc>
          <w:tcPr>
            <w:tcW w:w="1895" w:type="dxa"/>
            <w:noWrap/>
            <w:hideMark/>
          </w:tcPr>
          <w:p w14:paraId="59DCD61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Longan</w:t>
            </w:r>
          </w:p>
        </w:tc>
        <w:tc>
          <w:tcPr>
            <w:tcW w:w="908" w:type="dxa"/>
            <w:noWrap/>
            <w:hideMark/>
          </w:tcPr>
          <w:p w14:paraId="59DCD61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72.0</w:t>
            </w:r>
          </w:p>
        </w:tc>
        <w:tc>
          <w:tcPr>
            <w:tcW w:w="1786" w:type="dxa"/>
            <w:noWrap/>
            <w:hideMark/>
          </w:tcPr>
          <w:p w14:paraId="59DCD61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1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1.6</w:t>
            </w:r>
          </w:p>
        </w:tc>
        <w:tc>
          <w:tcPr>
            <w:tcW w:w="1843" w:type="dxa"/>
            <w:noWrap/>
            <w:hideMark/>
          </w:tcPr>
          <w:p w14:paraId="59DCD61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0.1</w:t>
            </w:r>
          </w:p>
        </w:tc>
      </w:tr>
      <w:tr w:rsidR="00BE3AA8" w:rsidRPr="00D93FF9" w14:paraId="59DCD621" w14:textId="77777777" w:rsidTr="000E1354">
        <w:trPr>
          <w:trHeight w:val="227"/>
        </w:trPr>
        <w:tc>
          <w:tcPr>
            <w:tcW w:w="1895" w:type="dxa"/>
            <w:noWrap/>
            <w:hideMark/>
          </w:tcPr>
          <w:p w14:paraId="59DCD61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Longanberry</w:t>
            </w:r>
          </w:p>
        </w:tc>
        <w:tc>
          <w:tcPr>
            <w:tcW w:w="908" w:type="dxa"/>
            <w:noWrap/>
            <w:hideMark/>
          </w:tcPr>
          <w:p w14:paraId="59DCD61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1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1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2.8</w:t>
            </w:r>
          </w:p>
        </w:tc>
        <w:tc>
          <w:tcPr>
            <w:tcW w:w="1843" w:type="dxa"/>
            <w:noWrap/>
            <w:hideMark/>
          </w:tcPr>
          <w:p w14:paraId="59DCD62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627" w14:textId="77777777" w:rsidTr="000E1354">
        <w:trPr>
          <w:trHeight w:val="227"/>
        </w:trPr>
        <w:tc>
          <w:tcPr>
            <w:tcW w:w="1895" w:type="dxa"/>
            <w:noWrap/>
            <w:hideMark/>
          </w:tcPr>
          <w:p w14:paraId="59DCD62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Lucerne</w:t>
            </w:r>
          </w:p>
        </w:tc>
        <w:tc>
          <w:tcPr>
            <w:tcW w:w="908" w:type="dxa"/>
            <w:noWrap/>
            <w:hideMark/>
          </w:tcPr>
          <w:p w14:paraId="59DCD62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2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29.0</w:t>
            </w:r>
          </w:p>
        </w:tc>
        <w:tc>
          <w:tcPr>
            <w:tcW w:w="1756" w:type="dxa"/>
            <w:noWrap/>
            <w:hideMark/>
          </w:tcPr>
          <w:p w14:paraId="59DCD62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31.5 (28.0, 35.0)</w:t>
            </w:r>
          </w:p>
        </w:tc>
        <w:tc>
          <w:tcPr>
            <w:tcW w:w="1843" w:type="dxa"/>
            <w:noWrap/>
            <w:hideMark/>
          </w:tcPr>
          <w:p w14:paraId="59DCD62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 (2.0, 4.0)</w:t>
            </w:r>
          </w:p>
        </w:tc>
      </w:tr>
      <w:tr w:rsidR="00BE3AA8" w:rsidRPr="00D93FF9" w14:paraId="59DCD62D" w14:textId="77777777" w:rsidTr="000E1354">
        <w:trPr>
          <w:trHeight w:val="227"/>
        </w:trPr>
        <w:tc>
          <w:tcPr>
            <w:tcW w:w="1895" w:type="dxa"/>
            <w:noWrap/>
            <w:hideMark/>
          </w:tcPr>
          <w:p w14:paraId="59DCD62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Lucerne seed</w:t>
            </w:r>
          </w:p>
        </w:tc>
        <w:tc>
          <w:tcPr>
            <w:tcW w:w="908" w:type="dxa"/>
            <w:noWrap/>
            <w:hideMark/>
          </w:tcPr>
          <w:p w14:paraId="59DCD62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2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2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60.0</w:t>
            </w:r>
          </w:p>
        </w:tc>
        <w:tc>
          <w:tcPr>
            <w:tcW w:w="1843" w:type="dxa"/>
            <w:noWrap/>
            <w:hideMark/>
          </w:tcPr>
          <w:p w14:paraId="59DCD62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6.8</w:t>
            </w:r>
          </w:p>
        </w:tc>
      </w:tr>
      <w:tr w:rsidR="00BE3AA8" w:rsidRPr="00D93FF9" w14:paraId="59DCD633" w14:textId="77777777" w:rsidTr="000E1354">
        <w:trPr>
          <w:trHeight w:val="227"/>
        </w:trPr>
        <w:tc>
          <w:tcPr>
            <w:tcW w:w="1895" w:type="dxa"/>
            <w:noWrap/>
            <w:hideMark/>
          </w:tcPr>
          <w:p w14:paraId="59DCD62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Lupin</w:t>
            </w:r>
          </w:p>
        </w:tc>
        <w:tc>
          <w:tcPr>
            <w:tcW w:w="908" w:type="dxa"/>
            <w:noWrap/>
            <w:hideMark/>
          </w:tcPr>
          <w:p w14:paraId="59DCD62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8.8</w:t>
            </w:r>
          </w:p>
        </w:tc>
        <w:tc>
          <w:tcPr>
            <w:tcW w:w="1786" w:type="dxa"/>
            <w:noWrap/>
            <w:hideMark/>
          </w:tcPr>
          <w:p w14:paraId="59DCD63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3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54.3 (48.0, 61.0)</w:t>
            </w:r>
          </w:p>
        </w:tc>
        <w:tc>
          <w:tcPr>
            <w:tcW w:w="1843" w:type="dxa"/>
            <w:noWrap/>
            <w:hideMark/>
          </w:tcPr>
          <w:p w14:paraId="59DCD63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3.8 (3.3, 4.3)</w:t>
            </w:r>
          </w:p>
        </w:tc>
      </w:tr>
      <w:tr w:rsidR="00BE3AA8" w:rsidRPr="00D93FF9" w14:paraId="59DCD639" w14:textId="77777777" w:rsidTr="000E1354">
        <w:trPr>
          <w:trHeight w:val="227"/>
        </w:trPr>
        <w:tc>
          <w:tcPr>
            <w:tcW w:w="1895" w:type="dxa"/>
            <w:noWrap/>
            <w:hideMark/>
          </w:tcPr>
          <w:p w14:paraId="59DCD63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Lupins</w:t>
            </w:r>
          </w:p>
        </w:tc>
        <w:tc>
          <w:tcPr>
            <w:tcW w:w="908" w:type="dxa"/>
            <w:noWrap/>
            <w:hideMark/>
          </w:tcPr>
          <w:p w14:paraId="59DCD63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3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1.4 (1.3, 1.4)</w:t>
            </w:r>
          </w:p>
        </w:tc>
        <w:tc>
          <w:tcPr>
            <w:tcW w:w="1756" w:type="dxa"/>
            <w:noWrap/>
            <w:hideMark/>
          </w:tcPr>
          <w:p w14:paraId="59DCD63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50.0</w:t>
            </w:r>
          </w:p>
        </w:tc>
        <w:tc>
          <w:tcPr>
            <w:tcW w:w="1843" w:type="dxa"/>
            <w:noWrap/>
            <w:hideMark/>
          </w:tcPr>
          <w:p w14:paraId="59DCD63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5.2 (5.0, 5.4)</w:t>
            </w:r>
          </w:p>
        </w:tc>
      </w:tr>
      <w:tr w:rsidR="00BE3AA8" w:rsidRPr="00D93FF9" w14:paraId="59DCD63F" w14:textId="77777777" w:rsidTr="000E1354">
        <w:trPr>
          <w:trHeight w:val="227"/>
        </w:trPr>
        <w:tc>
          <w:tcPr>
            <w:tcW w:w="1895" w:type="dxa"/>
            <w:noWrap/>
            <w:hideMark/>
          </w:tcPr>
          <w:p w14:paraId="59DCD63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Lychee</w:t>
            </w:r>
          </w:p>
        </w:tc>
        <w:tc>
          <w:tcPr>
            <w:tcW w:w="908" w:type="dxa"/>
            <w:noWrap/>
            <w:hideMark/>
          </w:tcPr>
          <w:p w14:paraId="59DCD63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3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3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2.0</w:t>
            </w:r>
          </w:p>
        </w:tc>
        <w:tc>
          <w:tcPr>
            <w:tcW w:w="1843" w:type="dxa"/>
            <w:noWrap/>
            <w:hideMark/>
          </w:tcPr>
          <w:p w14:paraId="59DCD63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645" w14:textId="77777777" w:rsidTr="000E1354">
        <w:trPr>
          <w:trHeight w:val="227"/>
        </w:trPr>
        <w:tc>
          <w:tcPr>
            <w:tcW w:w="1895" w:type="dxa"/>
            <w:noWrap/>
            <w:hideMark/>
          </w:tcPr>
          <w:p w14:paraId="59DCD64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Maize</w:t>
            </w:r>
          </w:p>
        </w:tc>
        <w:tc>
          <w:tcPr>
            <w:tcW w:w="908" w:type="dxa"/>
            <w:noWrap/>
            <w:hideMark/>
          </w:tcPr>
          <w:p w14:paraId="59DCD64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c>
          <w:tcPr>
            <w:tcW w:w="1786" w:type="dxa"/>
            <w:noWrap/>
            <w:hideMark/>
          </w:tcPr>
          <w:p w14:paraId="59DCD64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7.6 (1.1, 13.0)</w:t>
            </w:r>
          </w:p>
        </w:tc>
        <w:tc>
          <w:tcPr>
            <w:tcW w:w="1756" w:type="dxa"/>
            <w:noWrap/>
            <w:hideMark/>
          </w:tcPr>
          <w:p w14:paraId="59DCD64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11.9 (8.2, 16.1)</w:t>
            </w:r>
          </w:p>
        </w:tc>
        <w:tc>
          <w:tcPr>
            <w:tcW w:w="1843" w:type="dxa"/>
            <w:noWrap/>
            <w:hideMark/>
          </w:tcPr>
          <w:p w14:paraId="59DCD64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2.5 (0.9, 3.0)</w:t>
            </w:r>
          </w:p>
        </w:tc>
      </w:tr>
      <w:tr w:rsidR="00BE3AA8" w:rsidRPr="00D93FF9" w14:paraId="59DCD64B" w14:textId="77777777" w:rsidTr="000E1354">
        <w:trPr>
          <w:trHeight w:val="227"/>
        </w:trPr>
        <w:tc>
          <w:tcPr>
            <w:tcW w:w="1895" w:type="dxa"/>
            <w:noWrap/>
            <w:hideMark/>
          </w:tcPr>
          <w:p w14:paraId="59DCD64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Mandarin</w:t>
            </w:r>
          </w:p>
        </w:tc>
        <w:tc>
          <w:tcPr>
            <w:tcW w:w="908" w:type="dxa"/>
            <w:noWrap/>
            <w:hideMark/>
          </w:tcPr>
          <w:p w14:paraId="59DCD64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4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4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1.6</w:t>
            </w:r>
          </w:p>
        </w:tc>
        <w:tc>
          <w:tcPr>
            <w:tcW w:w="1843" w:type="dxa"/>
            <w:noWrap/>
            <w:hideMark/>
          </w:tcPr>
          <w:p w14:paraId="59DCD64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651" w14:textId="77777777" w:rsidTr="000E1354">
        <w:trPr>
          <w:trHeight w:val="227"/>
        </w:trPr>
        <w:tc>
          <w:tcPr>
            <w:tcW w:w="1895" w:type="dxa"/>
            <w:noWrap/>
            <w:hideMark/>
          </w:tcPr>
          <w:p w14:paraId="59DCD64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Mango</w:t>
            </w:r>
          </w:p>
        </w:tc>
        <w:tc>
          <w:tcPr>
            <w:tcW w:w="908" w:type="dxa"/>
            <w:noWrap/>
            <w:hideMark/>
          </w:tcPr>
          <w:p w14:paraId="59DCD64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90.0</w:t>
            </w:r>
          </w:p>
        </w:tc>
        <w:tc>
          <w:tcPr>
            <w:tcW w:w="1786" w:type="dxa"/>
            <w:noWrap/>
            <w:hideMark/>
          </w:tcPr>
          <w:p w14:paraId="59DCD64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4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6.5</w:t>
            </w:r>
          </w:p>
        </w:tc>
        <w:tc>
          <w:tcPr>
            <w:tcW w:w="1843" w:type="dxa"/>
            <w:noWrap/>
            <w:hideMark/>
          </w:tcPr>
          <w:p w14:paraId="59DCD65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0.8</w:t>
            </w:r>
          </w:p>
        </w:tc>
      </w:tr>
      <w:tr w:rsidR="00BE3AA8" w:rsidRPr="00D93FF9" w14:paraId="59DCD657" w14:textId="77777777" w:rsidTr="000E1354">
        <w:trPr>
          <w:trHeight w:val="227"/>
        </w:trPr>
        <w:tc>
          <w:tcPr>
            <w:tcW w:w="1895" w:type="dxa"/>
            <w:noWrap/>
            <w:hideMark/>
          </w:tcPr>
          <w:p w14:paraId="59DCD65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Mangosteen</w:t>
            </w:r>
          </w:p>
        </w:tc>
        <w:tc>
          <w:tcPr>
            <w:tcW w:w="908" w:type="dxa"/>
            <w:noWrap/>
            <w:hideMark/>
          </w:tcPr>
          <w:p w14:paraId="59DCD65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85.0</w:t>
            </w:r>
          </w:p>
        </w:tc>
        <w:tc>
          <w:tcPr>
            <w:tcW w:w="1786" w:type="dxa"/>
            <w:noWrap/>
            <w:hideMark/>
          </w:tcPr>
          <w:p w14:paraId="59DCD65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5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0.8</w:t>
            </w:r>
          </w:p>
        </w:tc>
        <w:tc>
          <w:tcPr>
            <w:tcW w:w="1843" w:type="dxa"/>
            <w:noWrap/>
            <w:hideMark/>
          </w:tcPr>
          <w:p w14:paraId="59DCD65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65D" w14:textId="77777777" w:rsidTr="000E1354">
        <w:trPr>
          <w:trHeight w:val="227"/>
        </w:trPr>
        <w:tc>
          <w:tcPr>
            <w:tcW w:w="1895" w:type="dxa"/>
            <w:noWrap/>
            <w:hideMark/>
          </w:tcPr>
          <w:p w14:paraId="59DCD65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Medic seed</w:t>
            </w:r>
          </w:p>
        </w:tc>
        <w:tc>
          <w:tcPr>
            <w:tcW w:w="908" w:type="dxa"/>
            <w:noWrap/>
            <w:hideMark/>
          </w:tcPr>
          <w:p w14:paraId="59DCD65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c>
          <w:tcPr>
            <w:tcW w:w="1786" w:type="dxa"/>
            <w:noWrap/>
            <w:hideMark/>
          </w:tcPr>
          <w:p w14:paraId="59DCD65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5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64.0</w:t>
            </w:r>
          </w:p>
        </w:tc>
        <w:tc>
          <w:tcPr>
            <w:tcW w:w="1843" w:type="dxa"/>
            <w:noWrap/>
            <w:hideMark/>
          </w:tcPr>
          <w:p w14:paraId="59DCD65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6.8</w:t>
            </w:r>
          </w:p>
        </w:tc>
      </w:tr>
      <w:tr w:rsidR="00BE3AA8" w:rsidRPr="00D93FF9" w14:paraId="59DCD663" w14:textId="77777777" w:rsidTr="000E1354">
        <w:trPr>
          <w:trHeight w:val="227"/>
        </w:trPr>
        <w:tc>
          <w:tcPr>
            <w:tcW w:w="1895" w:type="dxa"/>
            <w:noWrap/>
            <w:hideMark/>
          </w:tcPr>
          <w:p w14:paraId="59DCD65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Millet/Canary Seed</w:t>
            </w:r>
          </w:p>
        </w:tc>
        <w:tc>
          <w:tcPr>
            <w:tcW w:w="908" w:type="dxa"/>
            <w:noWrap/>
            <w:hideMark/>
          </w:tcPr>
          <w:p w14:paraId="59DCD65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11.0</w:t>
            </w:r>
          </w:p>
        </w:tc>
        <w:tc>
          <w:tcPr>
            <w:tcW w:w="1786" w:type="dxa"/>
            <w:noWrap/>
            <w:hideMark/>
          </w:tcPr>
          <w:p w14:paraId="59DCD66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6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20.0</w:t>
            </w:r>
          </w:p>
        </w:tc>
        <w:tc>
          <w:tcPr>
            <w:tcW w:w="1843" w:type="dxa"/>
            <w:noWrap/>
            <w:hideMark/>
          </w:tcPr>
          <w:p w14:paraId="59DCD66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3.3</w:t>
            </w:r>
          </w:p>
        </w:tc>
      </w:tr>
      <w:tr w:rsidR="00BE3AA8" w:rsidRPr="00D93FF9" w14:paraId="59DCD669" w14:textId="77777777" w:rsidTr="000E1354">
        <w:trPr>
          <w:trHeight w:val="227"/>
        </w:trPr>
        <w:tc>
          <w:tcPr>
            <w:tcW w:w="1895" w:type="dxa"/>
            <w:noWrap/>
            <w:hideMark/>
          </w:tcPr>
          <w:p w14:paraId="59DCD66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Mulberry</w:t>
            </w:r>
          </w:p>
        </w:tc>
        <w:tc>
          <w:tcPr>
            <w:tcW w:w="908" w:type="dxa"/>
            <w:noWrap/>
            <w:hideMark/>
          </w:tcPr>
          <w:p w14:paraId="59DCD66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89.0</w:t>
            </w:r>
          </w:p>
        </w:tc>
        <w:tc>
          <w:tcPr>
            <w:tcW w:w="1786" w:type="dxa"/>
            <w:noWrap/>
            <w:hideMark/>
          </w:tcPr>
          <w:p w14:paraId="59DCD66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6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3.5</w:t>
            </w:r>
          </w:p>
        </w:tc>
        <w:tc>
          <w:tcPr>
            <w:tcW w:w="1843" w:type="dxa"/>
            <w:noWrap/>
            <w:hideMark/>
          </w:tcPr>
          <w:p w14:paraId="59DCD66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66F" w14:textId="77777777" w:rsidTr="000E1354">
        <w:trPr>
          <w:trHeight w:val="227"/>
        </w:trPr>
        <w:tc>
          <w:tcPr>
            <w:tcW w:w="1895" w:type="dxa"/>
            <w:noWrap/>
            <w:hideMark/>
          </w:tcPr>
          <w:p w14:paraId="59DCD66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Mushroom</w:t>
            </w:r>
          </w:p>
        </w:tc>
        <w:tc>
          <w:tcPr>
            <w:tcW w:w="908" w:type="dxa"/>
            <w:noWrap/>
            <w:hideMark/>
          </w:tcPr>
          <w:p w14:paraId="59DCD66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91.0</w:t>
            </w:r>
          </w:p>
        </w:tc>
        <w:tc>
          <w:tcPr>
            <w:tcW w:w="1786" w:type="dxa"/>
            <w:noWrap/>
            <w:hideMark/>
          </w:tcPr>
          <w:p w14:paraId="59DCD66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6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6.0</w:t>
            </w:r>
          </w:p>
        </w:tc>
        <w:tc>
          <w:tcPr>
            <w:tcW w:w="1843" w:type="dxa"/>
            <w:noWrap/>
            <w:hideMark/>
          </w:tcPr>
          <w:p w14:paraId="59DCD66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0.8</w:t>
            </w:r>
          </w:p>
        </w:tc>
      </w:tr>
      <w:tr w:rsidR="00BE3AA8" w:rsidRPr="00D93FF9" w14:paraId="59DCD675" w14:textId="77777777" w:rsidTr="000E1354">
        <w:trPr>
          <w:trHeight w:val="227"/>
        </w:trPr>
        <w:tc>
          <w:tcPr>
            <w:tcW w:w="1895" w:type="dxa"/>
            <w:noWrap/>
            <w:hideMark/>
          </w:tcPr>
          <w:p w14:paraId="59DCD67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Mustard</w:t>
            </w:r>
          </w:p>
        </w:tc>
        <w:tc>
          <w:tcPr>
            <w:tcW w:w="908" w:type="dxa"/>
            <w:noWrap/>
            <w:hideMark/>
          </w:tcPr>
          <w:p w14:paraId="59DCD67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8.5</w:t>
            </w:r>
          </w:p>
        </w:tc>
        <w:tc>
          <w:tcPr>
            <w:tcW w:w="1786" w:type="dxa"/>
            <w:noWrap/>
            <w:hideMark/>
          </w:tcPr>
          <w:p w14:paraId="59DCD67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7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33.0</w:t>
            </w:r>
          </w:p>
        </w:tc>
        <w:tc>
          <w:tcPr>
            <w:tcW w:w="1843" w:type="dxa"/>
            <w:noWrap/>
            <w:hideMark/>
          </w:tcPr>
          <w:p w14:paraId="59DCD67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8.1</w:t>
            </w:r>
          </w:p>
        </w:tc>
      </w:tr>
      <w:tr w:rsidR="00BE3AA8" w:rsidRPr="00D93FF9" w14:paraId="59DCD67B" w14:textId="77777777" w:rsidTr="000E1354">
        <w:trPr>
          <w:trHeight w:val="227"/>
        </w:trPr>
        <w:tc>
          <w:tcPr>
            <w:tcW w:w="1895" w:type="dxa"/>
            <w:noWrap/>
            <w:hideMark/>
          </w:tcPr>
          <w:p w14:paraId="59DCD67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Nectarine</w:t>
            </w:r>
          </w:p>
        </w:tc>
        <w:tc>
          <w:tcPr>
            <w:tcW w:w="908" w:type="dxa"/>
            <w:noWrap/>
            <w:hideMark/>
          </w:tcPr>
          <w:p w14:paraId="59DCD67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86.0</w:t>
            </w:r>
          </w:p>
        </w:tc>
        <w:tc>
          <w:tcPr>
            <w:tcW w:w="1786" w:type="dxa"/>
            <w:noWrap/>
            <w:hideMark/>
          </w:tcPr>
          <w:p w14:paraId="59DCD67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7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1.4</w:t>
            </w:r>
          </w:p>
        </w:tc>
        <w:tc>
          <w:tcPr>
            <w:tcW w:w="1843" w:type="dxa"/>
            <w:noWrap/>
            <w:hideMark/>
          </w:tcPr>
          <w:p w14:paraId="59DCD67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681" w14:textId="77777777" w:rsidTr="000E1354">
        <w:trPr>
          <w:trHeight w:val="227"/>
        </w:trPr>
        <w:tc>
          <w:tcPr>
            <w:tcW w:w="1895" w:type="dxa"/>
            <w:noWrap/>
            <w:hideMark/>
          </w:tcPr>
          <w:p w14:paraId="59DCD67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Oat straw</w:t>
            </w:r>
          </w:p>
        </w:tc>
        <w:tc>
          <w:tcPr>
            <w:tcW w:w="908" w:type="dxa"/>
            <w:noWrap/>
            <w:hideMark/>
          </w:tcPr>
          <w:p w14:paraId="59DCD67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7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1.3 (1.1, 1.6)</w:t>
            </w:r>
          </w:p>
        </w:tc>
        <w:tc>
          <w:tcPr>
            <w:tcW w:w="1756" w:type="dxa"/>
            <w:noWrap/>
            <w:hideMark/>
          </w:tcPr>
          <w:p w14:paraId="59DCD67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7.1 (6.9, 7.3)</w:t>
            </w:r>
          </w:p>
        </w:tc>
        <w:tc>
          <w:tcPr>
            <w:tcW w:w="1843" w:type="dxa"/>
            <w:noWrap/>
            <w:hideMark/>
          </w:tcPr>
          <w:p w14:paraId="59DCD68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0.9 (0.7, 1.3)</w:t>
            </w:r>
          </w:p>
        </w:tc>
      </w:tr>
      <w:tr w:rsidR="00BE3AA8" w:rsidRPr="00D93FF9" w14:paraId="59DCD687" w14:textId="77777777" w:rsidTr="000E1354">
        <w:trPr>
          <w:trHeight w:val="227"/>
        </w:trPr>
        <w:tc>
          <w:tcPr>
            <w:tcW w:w="1895" w:type="dxa"/>
            <w:noWrap/>
            <w:hideMark/>
          </w:tcPr>
          <w:p w14:paraId="59DCD68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Oaten</w:t>
            </w:r>
          </w:p>
        </w:tc>
        <w:tc>
          <w:tcPr>
            <w:tcW w:w="908" w:type="dxa"/>
            <w:noWrap/>
            <w:hideMark/>
          </w:tcPr>
          <w:p w14:paraId="59DCD68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8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8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16.5 (13.0, 20.0)</w:t>
            </w:r>
          </w:p>
        </w:tc>
        <w:tc>
          <w:tcPr>
            <w:tcW w:w="1843" w:type="dxa"/>
            <w:noWrap/>
            <w:hideMark/>
          </w:tcPr>
          <w:p w14:paraId="59DCD68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2.1 (1.6, 2.5)</w:t>
            </w:r>
          </w:p>
        </w:tc>
      </w:tr>
      <w:tr w:rsidR="00BE3AA8" w:rsidRPr="00D93FF9" w14:paraId="59DCD68D" w14:textId="77777777" w:rsidTr="000E1354">
        <w:trPr>
          <w:trHeight w:val="227"/>
        </w:trPr>
        <w:tc>
          <w:tcPr>
            <w:tcW w:w="1895" w:type="dxa"/>
            <w:noWrap/>
            <w:hideMark/>
          </w:tcPr>
          <w:p w14:paraId="59DCD68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Oats</w:t>
            </w:r>
          </w:p>
        </w:tc>
        <w:tc>
          <w:tcPr>
            <w:tcW w:w="908" w:type="dxa"/>
            <w:noWrap/>
            <w:hideMark/>
          </w:tcPr>
          <w:p w14:paraId="59DCD68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11.0</w:t>
            </w:r>
          </w:p>
        </w:tc>
        <w:tc>
          <w:tcPr>
            <w:tcW w:w="1786" w:type="dxa"/>
            <w:noWrap/>
            <w:hideMark/>
          </w:tcPr>
          <w:p w14:paraId="59DCD68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1.3 (1.1, 1.6)</w:t>
            </w:r>
          </w:p>
        </w:tc>
        <w:tc>
          <w:tcPr>
            <w:tcW w:w="1756" w:type="dxa"/>
            <w:noWrap/>
            <w:hideMark/>
          </w:tcPr>
          <w:p w14:paraId="59DCD68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16.6 (15.0, 17.3)</w:t>
            </w:r>
          </w:p>
        </w:tc>
        <w:tc>
          <w:tcPr>
            <w:tcW w:w="1843" w:type="dxa"/>
            <w:noWrap/>
            <w:hideMark/>
          </w:tcPr>
          <w:p w14:paraId="59DCD68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3.5 (2.7, 4.3)</w:t>
            </w:r>
          </w:p>
        </w:tc>
      </w:tr>
      <w:tr w:rsidR="00BE3AA8" w:rsidRPr="00D93FF9" w14:paraId="59DCD693" w14:textId="77777777" w:rsidTr="000E1354">
        <w:trPr>
          <w:trHeight w:val="227"/>
        </w:trPr>
        <w:tc>
          <w:tcPr>
            <w:tcW w:w="1895" w:type="dxa"/>
            <w:noWrap/>
            <w:hideMark/>
          </w:tcPr>
          <w:p w14:paraId="59DCD68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Okra</w:t>
            </w:r>
          </w:p>
        </w:tc>
        <w:tc>
          <w:tcPr>
            <w:tcW w:w="908" w:type="dxa"/>
            <w:noWrap/>
            <w:hideMark/>
          </w:tcPr>
          <w:p w14:paraId="59DCD68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90.0</w:t>
            </w:r>
          </w:p>
        </w:tc>
        <w:tc>
          <w:tcPr>
            <w:tcW w:w="1786" w:type="dxa"/>
            <w:noWrap/>
            <w:hideMark/>
          </w:tcPr>
          <w:p w14:paraId="59DCD69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9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3.1</w:t>
            </w:r>
          </w:p>
        </w:tc>
        <w:tc>
          <w:tcPr>
            <w:tcW w:w="1843" w:type="dxa"/>
            <w:noWrap/>
            <w:hideMark/>
          </w:tcPr>
          <w:p w14:paraId="59DCD69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0.6</w:t>
            </w:r>
          </w:p>
        </w:tc>
      </w:tr>
      <w:tr w:rsidR="00BE3AA8" w:rsidRPr="00D93FF9" w14:paraId="59DCD699" w14:textId="77777777" w:rsidTr="000E1354">
        <w:trPr>
          <w:trHeight w:val="227"/>
        </w:trPr>
        <w:tc>
          <w:tcPr>
            <w:tcW w:w="1895" w:type="dxa"/>
            <w:noWrap/>
            <w:hideMark/>
          </w:tcPr>
          <w:p w14:paraId="59DCD69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Onion</w:t>
            </w:r>
          </w:p>
        </w:tc>
        <w:tc>
          <w:tcPr>
            <w:tcW w:w="908" w:type="dxa"/>
            <w:noWrap/>
            <w:hideMark/>
          </w:tcPr>
          <w:p w14:paraId="59DCD69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89.0</w:t>
            </w:r>
          </w:p>
        </w:tc>
        <w:tc>
          <w:tcPr>
            <w:tcW w:w="1786" w:type="dxa"/>
            <w:noWrap/>
            <w:hideMark/>
          </w:tcPr>
          <w:p w14:paraId="59DCD69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52.0 (44.0, 60.0)</w:t>
            </w:r>
          </w:p>
        </w:tc>
        <w:tc>
          <w:tcPr>
            <w:tcW w:w="1756" w:type="dxa"/>
            <w:noWrap/>
            <w:hideMark/>
          </w:tcPr>
          <w:p w14:paraId="59DCD69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1.8 (1.8, 1.9)</w:t>
            </w:r>
          </w:p>
        </w:tc>
        <w:tc>
          <w:tcPr>
            <w:tcW w:w="1843" w:type="dxa"/>
            <w:noWrap/>
            <w:hideMark/>
          </w:tcPr>
          <w:p w14:paraId="59DCD69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 (0.3, 0.4)</w:t>
            </w:r>
          </w:p>
        </w:tc>
      </w:tr>
      <w:tr w:rsidR="00BE3AA8" w:rsidRPr="00D93FF9" w14:paraId="59DCD69F" w14:textId="77777777" w:rsidTr="000E1354">
        <w:trPr>
          <w:trHeight w:val="227"/>
        </w:trPr>
        <w:tc>
          <w:tcPr>
            <w:tcW w:w="1895" w:type="dxa"/>
            <w:noWrap/>
            <w:hideMark/>
          </w:tcPr>
          <w:p w14:paraId="59DCD69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Orange</w:t>
            </w:r>
          </w:p>
        </w:tc>
        <w:tc>
          <w:tcPr>
            <w:tcW w:w="908" w:type="dxa"/>
            <w:noWrap/>
            <w:hideMark/>
          </w:tcPr>
          <w:p w14:paraId="59DCD69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82.0</w:t>
            </w:r>
          </w:p>
        </w:tc>
        <w:tc>
          <w:tcPr>
            <w:tcW w:w="1786" w:type="dxa"/>
            <w:noWrap/>
            <w:hideMark/>
          </w:tcPr>
          <w:p w14:paraId="59DCD69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9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1.3</w:t>
            </w:r>
          </w:p>
        </w:tc>
        <w:tc>
          <w:tcPr>
            <w:tcW w:w="1843" w:type="dxa"/>
            <w:noWrap/>
            <w:hideMark/>
          </w:tcPr>
          <w:p w14:paraId="59DCD69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6A5" w14:textId="77777777" w:rsidTr="000E1354">
        <w:trPr>
          <w:trHeight w:val="227"/>
        </w:trPr>
        <w:tc>
          <w:tcPr>
            <w:tcW w:w="1895" w:type="dxa"/>
            <w:noWrap/>
            <w:hideMark/>
          </w:tcPr>
          <w:p w14:paraId="59DCD6A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Parsley</w:t>
            </w:r>
          </w:p>
        </w:tc>
        <w:tc>
          <w:tcPr>
            <w:tcW w:w="908" w:type="dxa"/>
            <w:noWrap/>
            <w:hideMark/>
          </w:tcPr>
          <w:p w14:paraId="59DCD6A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83.0</w:t>
            </w:r>
          </w:p>
        </w:tc>
        <w:tc>
          <w:tcPr>
            <w:tcW w:w="1786" w:type="dxa"/>
            <w:noWrap/>
            <w:hideMark/>
          </w:tcPr>
          <w:p w14:paraId="59DCD6A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A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5.8</w:t>
            </w:r>
          </w:p>
        </w:tc>
        <w:tc>
          <w:tcPr>
            <w:tcW w:w="1843" w:type="dxa"/>
            <w:noWrap/>
            <w:hideMark/>
          </w:tcPr>
          <w:p w14:paraId="59DCD6A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0.7</w:t>
            </w:r>
          </w:p>
        </w:tc>
      </w:tr>
      <w:tr w:rsidR="00BE3AA8" w:rsidRPr="00D93FF9" w14:paraId="59DCD6AB" w14:textId="77777777" w:rsidTr="000E1354">
        <w:trPr>
          <w:trHeight w:val="227"/>
        </w:trPr>
        <w:tc>
          <w:tcPr>
            <w:tcW w:w="1895" w:type="dxa"/>
            <w:noWrap/>
            <w:hideMark/>
          </w:tcPr>
          <w:p w14:paraId="59DCD6A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Parsnip</w:t>
            </w:r>
          </w:p>
        </w:tc>
        <w:tc>
          <w:tcPr>
            <w:tcW w:w="908" w:type="dxa"/>
            <w:noWrap/>
            <w:hideMark/>
          </w:tcPr>
          <w:p w14:paraId="59DCD6A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81.0</w:t>
            </w:r>
          </w:p>
        </w:tc>
        <w:tc>
          <w:tcPr>
            <w:tcW w:w="1786" w:type="dxa"/>
            <w:noWrap/>
            <w:hideMark/>
          </w:tcPr>
          <w:p w14:paraId="59DCD6A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A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3.8</w:t>
            </w:r>
          </w:p>
        </w:tc>
        <w:tc>
          <w:tcPr>
            <w:tcW w:w="1843" w:type="dxa"/>
            <w:noWrap/>
            <w:hideMark/>
          </w:tcPr>
          <w:p w14:paraId="59DCD6A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0.9</w:t>
            </w:r>
          </w:p>
        </w:tc>
      </w:tr>
      <w:tr w:rsidR="00BE3AA8" w:rsidRPr="00D93FF9" w14:paraId="59DCD6B1" w14:textId="77777777" w:rsidTr="000E1354">
        <w:trPr>
          <w:trHeight w:val="227"/>
        </w:trPr>
        <w:tc>
          <w:tcPr>
            <w:tcW w:w="1895" w:type="dxa"/>
            <w:noWrap/>
            <w:hideMark/>
          </w:tcPr>
          <w:p w14:paraId="59DCD6A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Passionfruit</w:t>
            </w:r>
          </w:p>
        </w:tc>
        <w:tc>
          <w:tcPr>
            <w:tcW w:w="908" w:type="dxa"/>
            <w:noWrap/>
            <w:hideMark/>
          </w:tcPr>
          <w:p w14:paraId="59DCD6A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A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A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3.3</w:t>
            </w:r>
          </w:p>
        </w:tc>
        <w:tc>
          <w:tcPr>
            <w:tcW w:w="1843" w:type="dxa"/>
            <w:noWrap/>
            <w:hideMark/>
          </w:tcPr>
          <w:p w14:paraId="59DCD6B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6B7" w14:textId="77777777" w:rsidTr="000E1354">
        <w:trPr>
          <w:trHeight w:val="227"/>
        </w:trPr>
        <w:tc>
          <w:tcPr>
            <w:tcW w:w="1895" w:type="dxa"/>
            <w:noWrap/>
            <w:hideMark/>
          </w:tcPr>
          <w:p w14:paraId="59DCD6B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Pasture</w:t>
            </w:r>
          </w:p>
        </w:tc>
        <w:tc>
          <w:tcPr>
            <w:tcW w:w="908" w:type="dxa"/>
            <w:noWrap/>
            <w:hideMark/>
          </w:tcPr>
          <w:p w14:paraId="59DCD6B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B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B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22.0 (18.0, 26.0)</w:t>
            </w:r>
          </w:p>
        </w:tc>
        <w:tc>
          <w:tcPr>
            <w:tcW w:w="1843" w:type="dxa"/>
            <w:noWrap/>
            <w:hideMark/>
          </w:tcPr>
          <w:p w14:paraId="59DCD6B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2.3 (1.8, 2.8)</w:t>
            </w:r>
          </w:p>
        </w:tc>
      </w:tr>
      <w:tr w:rsidR="00BE3AA8" w:rsidRPr="00D93FF9" w14:paraId="59DCD6BD" w14:textId="77777777" w:rsidTr="000E1354">
        <w:trPr>
          <w:trHeight w:val="227"/>
        </w:trPr>
        <w:tc>
          <w:tcPr>
            <w:tcW w:w="1895" w:type="dxa"/>
            <w:noWrap/>
            <w:hideMark/>
          </w:tcPr>
          <w:p w14:paraId="59DCD6B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Pawpaw</w:t>
            </w:r>
          </w:p>
        </w:tc>
        <w:tc>
          <w:tcPr>
            <w:tcW w:w="908" w:type="dxa"/>
            <w:noWrap/>
            <w:hideMark/>
          </w:tcPr>
          <w:p w14:paraId="59DCD6B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B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B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1.3</w:t>
            </w:r>
          </w:p>
        </w:tc>
        <w:tc>
          <w:tcPr>
            <w:tcW w:w="1843" w:type="dxa"/>
            <w:noWrap/>
            <w:hideMark/>
          </w:tcPr>
          <w:p w14:paraId="59DCD6B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6C3" w14:textId="77777777" w:rsidTr="000E1354">
        <w:trPr>
          <w:trHeight w:val="227"/>
        </w:trPr>
        <w:tc>
          <w:tcPr>
            <w:tcW w:w="1895" w:type="dxa"/>
            <w:noWrap/>
            <w:hideMark/>
          </w:tcPr>
          <w:p w14:paraId="59DCD6B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Pea straw</w:t>
            </w:r>
          </w:p>
        </w:tc>
        <w:tc>
          <w:tcPr>
            <w:tcW w:w="908" w:type="dxa"/>
            <w:noWrap/>
            <w:hideMark/>
          </w:tcPr>
          <w:p w14:paraId="59DCD6B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C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0.5</w:t>
            </w:r>
          </w:p>
        </w:tc>
        <w:tc>
          <w:tcPr>
            <w:tcW w:w="1756" w:type="dxa"/>
            <w:noWrap/>
            <w:hideMark/>
          </w:tcPr>
          <w:p w14:paraId="59DCD6C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12.0</w:t>
            </w:r>
          </w:p>
        </w:tc>
        <w:tc>
          <w:tcPr>
            <w:tcW w:w="1843" w:type="dxa"/>
            <w:noWrap/>
            <w:hideMark/>
          </w:tcPr>
          <w:p w14:paraId="59DCD6C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2.0</w:t>
            </w:r>
          </w:p>
        </w:tc>
      </w:tr>
      <w:tr w:rsidR="00BE3AA8" w:rsidRPr="00D93FF9" w14:paraId="59DCD6C9" w14:textId="77777777" w:rsidTr="000E1354">
        <w:trPr>
          <w:trHeight w:val="227"/>
        </w:trPr>
        <w:tc>
          <w:tcPr>
            <w:tcW w:w="1895" w:type="dxa"/>
            <w:noWrap/>
            <w:hideMark/>
          </w:tcPr>
          <w:p w14:paraId="59DCD6C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Peach/Peacharine</w:t>
            </w:r>
          </w:p>
        </w:tc>
        <w:tc>
          <w:tcPr>
            <w:tcW w:w="908" w:type="dxa"/>
            <w:noWrap/>
            <w:hideMark/>
          </w:tcPr>
          <w:p w14:paraId="59DCD6C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86.0</w:t>
            </w:r>
          </w:p>
        </w:tc>
        <w:tc>
          <w:tcPr>
            <w:tcW w:w="1786" w:type="dxa"/>
            <w:noWrap/>
            <w:hideMark/>
          </w:tcPr>
          <w:p w14:paraId="59DCD6C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C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1.2</w:t>
            </w:r>
          </w:p>
        </w:tc>
        <w:tc>
          <w:tcPr>
            <w:tcW w:w="1843" w:type="dxa"/>
            <w:noWrap/>
            <w:hideMark/>
          </w:tcPr>
          <w:p w14:paraId="59DCD6C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6CF" w14:textId="77777777" w:rsidTr="000E1354">
        <w:trPr>
          <w:trHeight w:val="227"/>
        </w:trPr>
        <w:tc>
          <w:tcPr>
            <w:tcW w:w="1895" w:type="dxa"/>
            <w:noWrap/>
            <w:hideMark/>
          </w:tcPr>
          <w:p w14:paraId="59DCD6C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Peanut</w:t>
            </w:r>
          </w:p>
        </w:tc>
        <w:tc>
          <w:tcPr>
            <w:tcW w:w="908" w:type="dxa"/>
            <w:noWrap/>
            <w:hideMark/>
          </w:tcPr>
          <w:p w14:paraId="59DCD6C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c>
          <w:tcPr>
            <w:tcW w:w="1786" w:type="dxa"/>
            <w:noWrap/>
            <w:hideMark/>
          </w:tcPr>
          <w:p w14:paraId="59DCD6C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C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36.0</w:t>
            </w:r>
          </w:p>
        </w:tc>
        <w:tc>
          <w:tcPr>
            <w:tcW w:w="1843" w:type="dxa"/>
            <w:noWrap/>
            <w:hideMark/>
          </w:tcPr>
          <w:p w14:paraId="59DCD6C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3.2</w:t>
            </w:r>
          </w:p>
        </w:tc>
      </w:tr>
      <w:tr w:rsidR="00BE3AA8" w:rsidRPr="00D93FF9" w14:paraId="59DCD6D5" w14:textId="77777777" w:rsidTr="000E1354">
        <w:trPr>
          <w:trHeight w:val="227"/>
        </w:trPr>
        <w:tc>
          <w:tcPr>
            <w:tcW w:w="1895" w:type="dxa"/>
            <w:noWrap/>
            <w:hideMark/>
          </w:tcPr>
          <w:p w14:paraId="59DCD6D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Pear</w:t>
            </w:r>
          </w:p>
        </w:tc>
        <w:tc>
          <w:tcPr>
            <w:tcW w:w="908" w:type="dxa"/>
            <w:noWrap/>
            <w:hideMark/>
          </w:tcPr>
          <w:p w14:paraId="59DCD6D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85.0</w:t>
            </w:r>
          </w:p>
        </w:tc>
        <w:tc>
          <w:tcPr>
            <w:tcW w:w="1786" w:type="dxa"/>
            <w:noWrap/>
            <w:hideMark/>
          </w:tcPr>
          <w:p w14:paraId="59DCD6D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D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c>
          <w:tcPr>
            <w:tcW w:w="1843" w:type="dxa"/>
            <w:noWrap/>
            <w:hideMark/>
          </w:tcPr>
          <w:p w14:paraId="59DCD6D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0.0</w:t>
            </w:r>
          </w:p>
        </w:tc>
      </w:tr>
      <w:tr w:rsidR="00BE3AA8" w:rsidRPr="00D93FF9" w14:paraId="59DCD6DB" w14:textId="77777777" w:rsidTr="000E1354">
        <w:trPr>
          <w:trHeight w:val="227"/>
        </w:trPr>
        <w:tc>
          <w:tcPr>
            <w:tcW w:w="1895" w:type="dxa"/>
            <w:noWrap/>
            <w:hideMark/>
          </w:tcPr>
          <w:p w14:paraId="59DCD6D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Peas</w:t>
            </w:r>
          </w:p>
        </w:tc>
        <w:tc>
          <w:tcPr>
            <w:tcW w:w="908" w:type="dxa"/>
            <w:noWrap/>
            <w:hideMark/>
          </w:tcPr>
          <w:p w14:paraId="59DCD6D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81.5</w:t>
            </w:r>
          </w:p>
        </w:tc>
        <w:tc>
          <w:tcPr>
            <w:tcW w:w="1786" w:type="dxa"/>
            <w:noWrap/>
            <w:hideMark/>
          </w:tcPr>
          <w:p w14:paraId="59DCD6D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D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8.0 (4.8, 11.2)</w:t>
            </w:r>
          </w:p>
        </w:tc>
        <w:tc>
          <w:tcPr>
            <w:tcW w:w="1843" w:type="dxa"/>
            <w:noWrap/>
            <w:hideMark/>
          </w:tcPr>
          <w:p w14:paraId="59DCD6D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1.3</w:t>
            </w:r>
          </w:p>
        </w:tc>
      </w:tr>
      <w:tr w:rsidR="00BE3AA8" w:rsidRPr="00D93FF9" w14:paraId="59DCD6E1" w14:textId="77777777" w:rsidTr="000E1354">
        <w:trPr>
          <w:trHeight w:val="227"/>
        </w:trPr>
        <w:tc>
          <w:tcPr>
            <w:tcW w:w="1895" w:type="dxa"/>
            <w:noWrap/>
            <w:hideMark/>
          </w:tcPr>
          <w:p w14:paraId="59DCD6D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lastRenderedPageBreak/>
              <w:t>Pepino</w:t>
            </w:r>
          </w:p>
        </w:tc>
        <w:tc>
          <w:tcPr>
            <w:tcW w:w="908" w:type="dxa"/>
            <w:noWrap/>
            <w:hideMark/>
          </w:tcPr>
          <w:p w14:paraId="59DCD6D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93.0</w:t>
            </w:r>
          </w:p>
        </w:tc>
        <w:tc>
          <w:tcPr>
            <w:tcW w:w="1786" w:type="dxa"/>
            <w:noWrap/>
            <w:hideMark/>
          </w:tcPr>
          <w:p w14:paraId="59DCD6D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D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w:t>
            </w:r>
          </w:p>
        </w:tc>
        <w:tc>
          <w:tcPr>
            <w:tcW w:w="1843" w:type="dxa"/>
            <w:noWrap/>
            <w:hideMark/>
          </w:tcPr>
          <w:p w14:paraId="59DCD6E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r>
      <w:tr w:rsidR="00BE3AA8" w:rsidRPr="00D93FF9" w14:paraId="59DCD6E7" w14:textId="77777777" w:rsidTr="000E1354">
        <w:trPr>
          <w:trHeight w:val="227"/>
        </w:trPr>
        <w:tc>
          <w:tcPr>
            <w:tcW w:w="1895" w:type="dxa"/>
            <w:noWrap/>
            <w:hideMark/>
          </w:tcPr>
          <w:p w14:paraId="59DCD6E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Peppers</w:t>
            </w:r>
          </w:p>
        </w:tc>
        <w:tc>
          <w:tcPr>
            <w:tcW w:w="908" w:type="dxa"/>
            <w:noWrap/>
            <w:hideMark/>
          </w:tcPr>
          <w:p w14:paraId="59DCD6E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74.0</w:t>
            </w:r>
          </w:p>
        </w:tc>
        <w:tc>
          <w:tcPr>
            <w:tcW w:w="1786" w:type="dxa"/>
            <w:noWrap/>
            <w:hideMark/>
          </w:tcPr>
          <w:p w14:paraId="59DCD6E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E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5.9</w:t>
            </w:r>
          </w:p>
        </w:tc>
        <w:tc>
          <w:tcPr>
            <w:tcW w:w="1843" w:type="dxa"/>
            <w:noWrap/>
            <w:hideMark/>
          </w:tcPr>
          <w:p w14:paraId="59DCD6E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0.8</w:t>
            </w:r>
          </w:p>
        </w:tc>
      </w:tr>
      <w:tr w:rsidR="00BE3AA8" w:rsidRPr="00D93FF9" w14:paraId="59DCD6ED" w14:textId="77777777" w:rsidTr="000E1354">
        <w:trPr>
          <w:trHeight w:val="227"/>
        </w:trPr>
        <w:tc>
          <w:tcPr>
            <w:tcW w:w="1895" w:type="dxa"/>
            <w:noWrap/>
            <w:hideMark/>
          </w:tcPr>
          <w:p w14:paraId="59DCD6E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Perennial ryegrass</w:t>
            </w:r>
          </w:p>
        </w:tc>
        <w:tc>
          <w:tcPr>
            <w:tcW w:w="908" w:type="dxa"/>
            <w:noWrap/>
            <w:hideMark/>
          </w:tcPr>
          <w:p w14:paraId="59DCD6E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E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6.0</w:t>
            </w:r>
          </w:p>
        </w:tc>
        <w:tc>
          <w:tcPr>
            <w:tcW w:w="1756" w:type="dxa"/>
            <w:noWrap/>
            <w:hideMark/>
          </w:tcPr>
          <w:p w14:paraId="59DCD6E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35.0</w:t>
            </w:r>
          </w:p>
        </w:tc>
        <w:tc>
          <w:tcPr>
            <w:tcW w:w="1843" w:type="dxa"/>
            <w:noWrap/>
            <w:hideMark/>
          </w:tcPr>
          <w:p w14:paraId="59DCD6E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w:t>
            </w:r>
          </w:p>
        </w:tc>
      </w:tr>
      <w:tr w:rsidR="00BE3AA8" w:rsidRPr="00D93FF9" w14:paraId="59DCD6F3" w14:textId="77777777" w:rsidTr="000E1354">
        <w:trPr>
          <w:trHeight w:val="227"/>
        </w:trPr>
        <w:tc>
          <w:tcPr>
            <w:tcW w:w="1895" w:type="dxa"/>
            <w:noWrap/>
            <w:hideMark/>
          </w:tcPr>
          <w:p w14:paraId="59DCD6E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Persimmon</w:t>
            </w:r>
          </w:p>
        </w:tc>
        <w:tc>
          <w:tcPr>
            <w:tcW w:w="908" w:type="dxa"/>
            <w:noWrap/>
            <w:hideMark/>
          </w:tcPr>
          <w:p w14:paraId="59DCD6E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F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F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w:t>
            </w:r>
          </w:p>
        </w:tc>
        <w:tc>
          <w:tcPr>
            <w:tcW w:w="1843" w:type="dxa"/>
            <w:noWrap/>
            <w:hideMark/>
          </w:tcPr>
          <w:p w14:paraId="59DCD6F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6F9" w14:textId="77777777" w:rsidTr="000E1354">
        <w:trPr>
          <w:trHeight w:val="227"/>
        </w:trPr>
        <w:tc>
          <w:tcPr>
            <w:tcW w:w="1895" w:type="dxa"/>
            <w:noWrap/>
            <w:hideMark/>
          </w:tcPr>
          <w:p w14:paraId="59DCD6F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Phalaris</w:t>
            </w:r>
          </w:p>
        </w:tc>
        <w:tc>
          <w:tcPr>
            <w:tcW w:w="908" w:type="dxa"/>
            <w:noWrap/>
            <w:hideMark/>
          </w:tcPr>
          <w:p w14:paraId="59DCD6F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6F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9.0</w:t>
            </w:r>
          </w:p>
        </w:tc>
        <w:tc>
          <w:tcPr>
            <w:tcW w:w="1756" w:type="dxa"/>
            <w:noWrap/>
            <w:hideMark/>
          </w:tcPr>
          <w:p w14:paraId="59DCD6F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11.0</w:t>
            </w:r>
          </w:p>
        </w:tc>
        <w:tc>
          <w:tcPr>
            <w:tcW w:w="1843" w:type="dxa"/>
            <w:noWrap/>
            <w:hideMark/>
          </w:tcPr>
          <w:p w14:paraId="59DCD6F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w:t>
            </w:r>
          </w:p>
        </w:tc>
      </w:tr>
      <w:tr w:rsidR="00BE3AA8" w:rsidRPr="00D93FF9" w14:paraId="59DCD6FF" w14:textId="77777777" w:rsidTr="000E1354">
        <w:trPr>
          <w:trHeight w:val="227"/>
        </w:trPr>
        <w:tc>
          <w:tcPr>
            <w:tcW w:w="1895" w:type="dxa"/>
            <w:noWrap/>
            <w:hideMark/>
          </w:tcPr>
          <w:p w14:paraId="59DCD6F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Pigeon pea</w:t>
            </w:r>
          </w:p>
        </w:tc>
        <w:tc>
          <w:tcPr>
            <w:tcW w:w="908" w:type="dxa"/>
            <w:noWrap/>
            <w:hideMark/>
          </w:tcPr>
          <w:p w14:paraId="59DCD6F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c>
          <w:tcPr>
            <w:tcW w:w="1786" w:type="dxa"/>
            <w:noWrap/>
            <w:hideMark/>
          </w:tcPr>
          <w:p w14:paraId="59DCD6F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6F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31.0</w:t>
            </w:r>
          </w:p>
        </w:tc>
        <w:tc>
          <w:tcPr>
            <w:tcW w:w="1843" w:type="dxa"/>
            <w:noWrap/>
            <w:hideMark/>
          </w:tcPr>
          <w:p w14:paraId="59DCD6F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7.6</w:t>
            </w:r>
          </w:p>
        </w:tc>
      </w:tr>
      <w:tr w:rsidR="00BE3AA8" w:rsidRPr="00D93FF9" w14:paraId="59DCD705" w14:textId="77777777" w:rsidTr="000E1354">
        <w:trPr>
          <w:trHeight w:val="227"/>
        </w:trPr>
        <w:tc>
          <w:tcPr>
            <w:tcW w:w="1895" w:type="dxa"/>
            <w:noWrap/>
            <w:hideMark/>
          </w:tcPr>
          <w:p w14:paraId="59DCD70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Pineapple</w:t>
            </w:r>
          </w:p>
        </w:tc>
        <w:tc>
          <w:tcPr>
            <w:tcW w:w="908" w:type="dxa"/>
            <w:noWrap/>
            <w:hideMark/>
          </w:tcPr>
          <w:p w14:paraId="59DCD70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0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0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0.8</w:t>
            </w:r>
          </w:p>
        </w:tc>
        <w:tc>
          <w:tcPr>
            <w:tcW w:w="1843" w:type="dxa"/>
            <w:noWrap/>
            <w:hideMark/>
          </w:tcPr>
          <w:p w14:paraId="59DCD70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0.1</w:t>
            </w:r>
          </w:p>
        </w:tc>
      </w:tr>
      <w:tr w:rsidR="00BE3AA8" w:rsidRPr="00D93FF9" w14:paraId="59DCD70B" w14:textId="77777777" w:rsidTr="000E1354">
        <w:trPr>
          <w:trHeight w:val="227"/>
        </w:trPr>
        <w:tc>
          <w:tcPr>
            <w:tcW w:w="1895" w:type="dxa"/>
            <w:noWrap/>
            <w:hideMark/>
          </w:tcPr>
          <w:p w14:paraId="59DCD70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Plum</w:t>
            </w:r>
          </w:p>
        </w:tc>
        <w:tc>
          <w:tcPr>
            <w:tcW w:w="908" w:type="dxa"/>
            <w:noWrap/>
            <w:hideMark/>
          </w:tcPr>
          <w:p w14:paraId="59DCD70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86.0</w:t>
            </w:r>
          </w:p>
        </w:tc>
        <w:tc>
          <w:tcPr>
            <w:tcW w:w="1786" w:type="dxa"/>
            <w:noWrap/>
            <w:hideMark/>
          </w:tcPr>
          <w:p w14:paraId="59DCD70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0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1.5</w:t>
            </w:r>
          </w:p>
        </w:tc>
        <w:tc>
          <w:tcPr>
            <w:tcW w:w="1843" w:type="dxa"/>
            <w:noWrap/>
            <w:hideMark/>
          </w:tcPr>
          <w:p w14:paraId="59DCD70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711" w14:textId="77777777" w:rsidTr="000E1354">
        <w:trPr>
          <w:trHeight w:val="227"/>
        </w:trPr>
        <w:tc>
          <w:tcPr>
            <w:tcW w:w="1895" w:type="dxa"/>
            <w:noWrap/>
            <w:hideMark/>
          </w:tcPr>
          <w:p w14:paraId="59DCD70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Poppy</w:t>
            </w:r>
          </w:p>
        </w:tc>
        <w:tc>
          <w:tcPr>
            <w:tcW w:w="908" w:type="dxa"/>
            <w:noWrap/>
            <w:hideMark/>
          </w:tcPr>
          <w:p w14:paraId="59DCD70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11.5</w:t>
            </w:r>
          </w:p>
        </w:tc>
        <w:tc>
          <w:tcPr>
            <w:tcW w:w="1786" w:type="dxa"/>
            <w:noWrap/>
            <w:hideMark/>
          </w:tcPr>
          <w:p w14:paraId="59DCD70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0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21.0</w:t>
            </w:r>
          </w:p>
        </w:tc>
        <w:tc>
          <w:tcPr>
            <w:tcW w:w="1843" w:type="dxa"/>
            <w:noWrap/>
            <w:hideMark/>
          </w:tcPr>
          <w:p w14:paraId="59DCD71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5.7</w:t>
            </w:r>
          </w:p>
        </w:tc>
      </w:tr>
      <w:tr w:rsidR="00BE3AA8" w:rsidRPr="00D93FF9" w14:paraId="59DCD717" w14:textId="77777777" w:rsidTr="000E1354">
        <w:trPr>
          <w:trHeight w:val="227"/>
        </w:trPr>
        <w:tc>
          <w:tcPr>
            <w:tcW w:w="1895" w:type="dxa"/>
            <w:noWrap/>
            <w:hideMark/>
          </w:tcPr>
          <w:p w14:paraId="59DCD71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Potato</w:t>
            </w:r>
          </w:p>
        </w:tc>
        <w:tc>
          <w:tcPr>
            <w:tcW w:w="908" w:type="dxa"/>
            <w:noWrap/>
            <w:hideMark/>
          </w:tcPr>
          <w:p w14:paraId="59DCD71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76.0</w:t>
            </w:r>
          </w:p>
        </w:tc>
        <w:tc>
          <w:tcPr>
            <w:tcW w:w="1786" w:type="dxa"/>
            <w:noWrap/>
            <w:hideMark/>
          </w:tcPr>
          <w:p w14:paraId="59DCD71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35.9 (31.7, 40.0)</w:t>
            </w:r>
          </w:p>
        </w:tc>
        <w:tc>
          <w:tcPr>
            <w:tcW w:w="1756" w:type="dxa"/>
            <w:noWrap/>
            <w:hideMark/>
          </w:tcPr>
          <w:p w14:paraId="59DCD71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 (2.4, 3.3)</w:t>
            </w:r>
          </w:p>
        </w:tc>
        <w:tc>
          <w:tcPr>
            <w:tcW w:w="1843" w:type="dxa"/>
            <w:noWrap/>
            <w:hideMark/>
          </w:tcPr>
          <w:p w14:paraId="59DCD71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 (0.4, 0.5)</w:t>
            </w:r>
          </w:p>
        </w:tc>
      </w:tr>
      <w:tr w:rsidR="00BE3AA8" w:rsidRPr="00D93FF9" w14:paraId="59DCD71D" w14:textId="77777777" w:rsidTr="000E1354">
        <w:trPr>
          <w:trHeight w:val="227"/>
        </w:trPr>
        <w:tc>
          <w:tcPr>
            <w:tcW w:w="1895" w:type="dxa"/>
            <w:noWrap/>
            <w:hideMark/>
          </w:tcPr>
          <w:p w14:paraId="59DCD71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Potato (tubers)</w:t>
            </w:r>
          </w:p>
        </w:tc>
        <w:tc>
          <w:tcPr>
            <w:tcW w:w="908" w:type="dxa"/>
            <w:noWrap/>
            <w:hideMark/>
          </w:tcPr>
          <w:p w14:paraId="59DCD71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80.0</w:t>
            </w:r>
          </w:p>
        </w:tc>
        <w:tc>
          <w:tcPr>
            <w:tcW w:w="1786" w:type="dxa"/>
            <w:noWrap/>
            <w:hideMark/>
          </w:tcPr>
          <w:p w14:paraId="59DCD71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1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w:t>
            </w:r>
          </w:p>
        </w:tc>
        <w:tc>
          <w:tcPr>
            <w:tcW w:w="1843" w:type="dxa"/>
            <w:noWrap/>
            <w:hideMark/>
          </w:tcPr>
          <w:p w14:paraId="59DCD71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723" w14:textId="77777777" w:rsidTr="000E1354">
        <w:trPr>
          <w:trHeight w:val="227"/>
        </w:trPr>
        <w:tc>
          <w:tcPr>
            <w:tcW w:w="1895" w:type="dxa"/>
            <w:noWrap/>
            <w:hideMark/>
          </w:tcPr>
          <w:p w14:paraId="59DCD71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Prune</w:t>
            </w:r>
          </w:p>
        </w:tc>
        <w:tc>
          <w:tcPr>
            <w:tcW w:w="908" w:type="dxa"/>
            <w:noWrap/>
            <w:hideMark/>
          </w:tcPr>
          <w:p w14:paraId="59DCD71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2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2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5.6</w:t>
            </w:r>
          </w:p>
        </w:tc>
        <w:tc>
          <w:tcPr>
            <w:tcW w:w="1843" w:type="dxa"/>
            <w:noWrap/>
            <w:hideMark/>
          </w:tcPr>
          <w:p w14:paraId="59DCD72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0.9</w:t>
            </w:r>
          </w:p>
        </w:tc>
      </w:tr>
      <w:tr w:rsidR="00BE3AA8" w:rsidRPr="00D93FF9" w14:paraId="59DCD729" w14:textId="77777777" w:rsidTr="000E1354">
        <w:trPr>
          <w:trHeight w:val="227"/>
        </w:trPr>
        <w:tc>
          <w:tcPr>
            <w:tcW w:w="1895" w:type="dxa"/>
            <w:noWrap/>
            <w:hideMark/>
          </w:tcPr>
          <w:p w14:paraId="59DCD72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Pumpkin</w:t>
            </w:r>
          </w:p>
        </w:tc>
        <w:tc>
          <w:tcPr>
            <w:tcW w:w="908" w:type="dxa"/>
            <w:noWrap/>
            <w:hideMark/>
          </w:tcPr>
          <w:p w14:paraId="59DCD72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90.0</w:t>
            </w:r>
          </w:p>
        </w:tc>
        <w:tc>
          <w:tcPr>
            <w:tcW w:w="1786" w:type="dxa"/>
            <w:noWrap/>
            <w:hideMark/>
          </w:tcPr>
          <w:p w14:paraId="59DCD72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2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2.1</w:t>
            </w:r>
          </w:p>
        </w:tc>
        <w:tc>
          <w:tcPr>
            <w:tcW w:w="1843" w:type="dxa"/>
            <w:noWrap/>
            <w:hideMark/>
          </w:tcPr>
          <w:p w14:paraId="59DCD72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0.6</w:t>
            </w:r>
          </w:p>
        </w:tc>
      </w:tr>
      <w:tr w:rsidR="00BE3AA8" w:rsidRPr="00D93FF9" w14:paraId="59DCD72F" w14:textId="77777777" w:rsidTr="000E1354">
        <w:trPr>
          <w:trHeight w:val="227"/>
        </w:trPr>
        <w:tc>
          <w:tcPr>
            <w:tcW w:w="1895" w:type="dxa"/>
            <w:noWrap/>
            <w:hideMark/>
          </w:tcPr>
          <w:p w14:paraId="59DCD72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Pyrethrum</w:t>
            </w:r>
          </w:p>
        </w:tc>
        <w:tc>
          <w:tcPr>
            <w:tcW w:w="908" w:type="dxa"/>
            <w:noWrap/>
            <w:hideMark/>
          </w:tcPr>
          <w:p w14:paraId="59DCD72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2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2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17.0</w:t>
            </w:r>
          </w:p>
        </w:tc>
        <w:tc>
          <w:tcPr>
            <w:tcW w:w="1843" w:type="dxa"/>
            <w:noWrap/>
            <w:hideMark/>
          </w:tcPr>
          <w:p w14:paraId="59DCD72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2.2</w:t>
            </w:r>
          </w:p>
        </w:tc>
      </w:tr>
      <w:tr w:rsidR="00BE3AA8" w:rsidRPr="00D93FF9" w14:paraId="59DCD735" w14:textId="77777777" w:rsidTr="000E1354">
        <w:trPr>
          <w:trHeight w:val="227"/>
        </w:trPr>
        <w:tc>
          <w:tcPr>
            <w:tcW w:w="1895" w:type="dxa"/>
            <w:noWrap/>
            <w:hideMark/>
          </w:tcPr>
          <w:p w14:paraId="59DCD73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Radicchio</w:t>
            </w:r>
          </w:p>
        </w:tc>
        <w:tc>
          <w:tcPr>
            <w:tcW w:w="908" w:type="dxa"/>
            <w:noWrap/>
            <w:hideMark/>
          </w:tcPr>
          <w:p w14:paraId="59DCD73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3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25.0</w:t>
            </w:r>
          </w:p>
        </w:tc>
        <w:tc>
          <w:tcPr>
            <w:tcW w:w="1756" w:type="dxa"/>
            <w:noWrap/>
            <w:hideMark/>
          </w:tcPr>
          <w:p w14:paraId="59DCD73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2.5</w:t>
            </w:r>
          </w:p>
        </w:tc>
        <w:tc>
          <w:tcPr>
            <w:tcW w:w="1843" w:type="dxa"/>
            <w:noWrap/>
            <w:hideMark/>
          </w:tcPr>
          <w:p w14:paraId="59DCD73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73B" w14:textId="77777777" w:rsidTr="000E1354">
        <w:trPr>
          <w:trHeight w:val="227"/>
        </w:trPr>
        <w:tc>
          <w:tcPr>
            <w:tcW w:w="1895" w:type="dxa"/>
            <w:noWrap/>
            <w:hideMark/>
          </w:tcPr>
          <w:p w14:paraId="59DCD73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Radish</w:t>
            </w:r>
          </w:p>
        </w:tc>
        <w:tc>
          <w:tcPr>
            <w:tcW w:w="908" w:type="dxa"/>
            <w:noWrap/>
            <w:hideMark/>
          </w:tcPr>
          <w:p w14:paraId="59DCD73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93.0</w:t>
            </w:r>
          </w:p>
        </w:tc>
        <w:tc>
          <w:tcPr>
            <w:tcW w:w="1786" w:type="dxa"/>
            <w:noWrap/>
            <w:hideMark/>
          </w:tcPr>
          <w:p w14:paraId="59DCD73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30.0</w:t>
            </w:r>
          </w:p>
        </w:tc>
        <w:tc>
          <w:tcPr>
            <w:tcW w:w="1756" w:type="dxa"/>
            <w:noWrap/>
            <w:hideMark/>
          </w:tcPr>
          <w:p w14:paraId="59DCD73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2.8 (2.0, 3.5)</w:t>
            </w:r>
          </w:p>
        </w:tc>
        <w:tc>
          <w:tcPr>
            <w:tcW w:w="1843" w:type="dxa"/>
            <w:noWrap/>
            <w:hideMark/>
          </w:tcPr>
          <w:p w14:paraId="59DCD73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741" w14:textId="77777777" w:rsidTr="000E1354">
        <w:trPr>
          <w:trHeight w:val="227"/>
        </w:trPr>
        <w:tc>
          <w:tcPr>
            <w:tcW w:w="1895" w:type="dxa"/>
            <w:noWrap/>
            <w:hideMark/>
          </w:tcPr>
          <w:p w14:paraId="59DCD73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Raspberry</w:t>
            </w:r>
          </w:p>
        </w:tc>
        <w:tc>
          <w:tcPr>
            <w:tcW w:w="908" w:type="dxa"/>
            <w:noWrap/>
            <w:hideMark/>
          </w:tcPr>
          <w:p w14:paraId="59DCD73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84.0</w:t>
            </w:r>
          </w:p>
        </w:tc>
        <w:tc>
          <w:tcPr>
            <w:tcW w:w="1786" w:type="dxa"/>
            <w:noWrap/>
            <w:hideMark/>
          </w:tcPr>
          <w:p w14:paraId="59DCD73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3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1.8</w:t>
            </w:r>
          </w:p>
        </w:tc>
        <w:tc>
          <w:tcPr>
            <w:tcW w:w="1843" w:type="dxa"/>
            <w:noWrap/>
            <w:hideMark/>
          </w:tcPr>
          <w:p w14:paraId="59DCD74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747" w14:textId="77777777" w:rsidTr="000E1354">
        <w:trPr>
          <w:trHeight w:val="227"/>
        </w:trPr>
        <w:tc>
          <w:tcPr>
            <w:tcW w:w="1895" w:type="dxa"/>
            <w:noWrap/>
            <w:hideMark/>
          </w:tcPr>
          <w:p w14:paraId="59DCD74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Rhubarb</w:t>
            </w:r>
          </w:p>
        </w:tc>
        <w:tc>
          <w:tcPr>
            <w:tcW w:w="908" w:type="dxa"/>
            <w:noWrap/>
            <w:hideMark/>
          </w:tcPr>
          <w:p w14:paraId="59DCD74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95.0</w:t>
            </w:r>
          </w:p>
        </w:tc>
        <w:tc>
          <w:tcPr>
            <w:tcW w:w="1786" w:type="dxa"/>
            <w:noWrap/>
            <w:hideMark/>
          </w:tcPr>
          <w:p w14:paraId="59DCD74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4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w:t>
            </w:r>
          </w:p>
        </w:tc>
        <w:tc>
          <w:tcPr>
            <w:tcW w:w="1843" w:type="dxa"/>
            <w:noWrap/>
            <w:hideMark/>
          </w:tcPr>
          <w:p w14:paraId="59DCD74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0.2</w:t>
            </w:r>
          </w:p>
        </w:tc>
      </w:tr>
      <w:tr w:rsidR="00BE3AA8" w:rsidRPr="00D93FF9" w14:paraId="59DCD74D" w14:textId="77777777" w:rsidTr="000E1354">
        <w:trPr>
          <w:trHeight w:val="227"/>
        </w:trPr>
        <w:tc>
          <w:tcPr>
            <w:tcW w:w="1895" w:type="dxa"/>
            <w:noWrap/>
            <w:hideMark/>
          </w:tcPr>
          <w:p w14:paraId="59DCD74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Rice</w:t>
            </w:r>
          </w:p>
        </w:tc>
        <w:tc>
          <w:tcPr>
            <w:tcW w:w="908" w:type="dxa"/>
            <w:noWrap/>
            <w:hideMark/>
          </w:tcPr>
          <w:p w14:paraId="59DCD74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14.0</w:t>
            </w:r>
          </w:p>
        </w:tc>
        <w:tc>
          <w:tcPr>
            <w:tcW w:w="1786" w:type="dxa"/>
            <w:noWrap/>
            <w:hideMark/>
          </w:tcPr>
          <w:p w14:paraId="59DCD74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4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10.3</w:t>
            </w:r>
          </w:p>
        </w:tc>
        <w:tc>
          <w:tcPr>
            <w:tcW w:w="1843" w:type="dxa"/>
            <w:noWrap/>
            <w:hideMark/>
          </w:tcPr>
          <w:p w14:paraId="59DCD74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2.4</w:t>
            </w:r>
          </w:p>
        </w:tc>
      </w:tr>
      <w:tr w:rsidR="00BE3AA8" w:rsidRPr="00D93FF9" w14:paraId="59DCD753" w14:textId="77777777" w:rsidTr="000E1354">
        <w:trPr>
          <w:trHeight w:val="227"/>
        </w:trPr>
        <w:tc>
          <w:tcPr>
            <w:tcW w:w="1895" w:type="dxa"/>
            <w:noWrap/>
            <w:hideMark/>
          </w:tcPr>
          <w:p w14:paraId="59DCD74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Safflower</w:t>
            </w:r>
          </w:p>
        </w:tc>
        <w:tc>
          <w:tcPr>
            <w:tcW w:w="908" w:type="dxa"/>
            <w:noWrap/>
            <w:hideMark/>
          </w:tcPr>
          <w:p w14:paraId="59DCD74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5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5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29.0</w:t>
            </w:r>
          </w:p>
        </w:tc>
        <w:tc>
          <w:tcPr>
            <w:tcW w:w="1843" w:type="dxa"/>
            <w:noWrap/>
            <w:hideMark/>
          </w:tcPr>
          <w:p w14:paraId="59DCD75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3.1</w:t>
            </w:r>
          </w:p>
        </w:tc>
      </w:tr>
      <w:tr w:rsidR="00BE3AA8" w:rsidRPr="00D93FF9" w14:paraId="59DCD759" w14:textId="77777777" w:rsidTr="000E1354">
        <w:trPr>
          <w:trHeight w:val="227"/>
        </w:trPr>
        <w:tc>
          <w:tcPr>
            <w:tcW w:w="1895" w:type="dxa"/>
            <w:noWrap/>
            <w:hideMark/>
          </w:tcPr>
          <w:p w14:paraId="59DCD75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Serradella</w:t>
            </w:r>
          </w:p>
        </w:tc>
        <w:tc>
          <w:tcPr>
            <w:tcW w:w="908" w:type="dxa"/>
            <w:noWrap/>
            <w:hideMark/>
          </w:tcPr>
          <w:p w14:paraId="59DCD75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c>
          <w:tcPr>
            <w:tcW w:w="1786" w:type="dxa"/>
            <w:noWrap/>
            <w:hideMark/>
          </w:tcPr>
          <w:p w14:paraId="59DCD75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5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843" w:type="dxa"/>
            <w:noWrap/>
            <w:hideMark/>
          </w:tcPr>
          <w:p w14:paraId="59DCD75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4.9</w:t>
            </w:r>
          </w:p>
        </w:tc>
      </w:tr>
      <w:tr w:rsidR="00BE3AA8" w:rsidRPr="00D93FF9" w14:paraId="59DCD75F" w14:textId="77777777" w:rsidTr="000E1354">
        <w:trPr>
          <w:trHeight w:val="227"/>
        </w:trPr>
        <w:tc>
          <w:tcPr>
            <w:tcW w:w="1895" w:type="dxa"/>
            <w:noWrap/>
            <w:hideMark/>
          </w:tcPr>
          <w:p w14:paraId="59DCD75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Sesame</w:t>
            </w:r>
          </w:p>
        </w:tc>
        <w:tc>
          <w:tcPr>
            <w:tcW w:w="908" w:type="dxa"/>
            <w:noWrap/>
            <w:hideMark/>
          </w:tcPr>
          <w:p w14:paraId="59DCD75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5.0</w:t>
            </w:r>
          </w:p>
        </w:tc>
        <w:tc>
          <w:tcPr>
            <w:tcW w:w="1786" w:type="dxa"/>
            <w:noWrap/>
            <w:hideMark/>
          </w:tcPr>
          <w:p w14:paraId="59DCD75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5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34.0</w:t>
            </w:r>
          </w:p>
        </w:tc>
        <w:tc>
          <w:tcPr>
            <w:tcW w:w="1843" w:type="dxa"/>
            <w:noWrap/>
            <w:hideMark/>
          </w:tcPr>
          <w:p w14:paraId="59DCD75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7.2</w:t>
            </w:r>
          </w:p>
        </w:tc>
      </w:tr>
      <w:tr w:rsidR="00BE3AA8" w:rsidRPr="00D93FF9" w14:paraId="59DCD765" w14:textId="77777777" w:rsidTr="000E1354">
        <w:trPr>
          <w:trHeight w:val="227"/>
        </w:trPr>
        <w:tc>
          <w:tcPr>
            <w:tcW w:w="1895" w:type="dxa"/>
            <w:noWrap/>
            <w:hideMark/>
          </w:tcPr>
          <w:p w14:paraId="59DCD76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Silverbeet</w:t>
            </w:r>
          </w:p>
        </w:tc>
        <w:tc>
          <w:tcPr>
            <w:tcW w:w="908" w:type="dxa"/>
            <w:noWrap/>
            <w:hideMark/>
          </w:tcPr>
          <w:p w14:paraId="59DCD76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93.0</w:t>
            </w:r>
          </w:p>
        </w:tc>
        <w:tc>
          <w:tcPr>
            <w:tcW w:w="1786" w:type="dxa"/>
            <w:noWrap/>
            <w:hideMark/>
          </w:tcPr>
          <w:p w14:paraId="59DCD76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6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2.9</w:t>
            </w:r>
          </w:p>
        </w:tc>
        <w:tc>
          <w:tcPr>
            <w:tcW w:w="1843" w:type="dxa"/>
            <w:noWrap/>
            <w:hideMark/>
          </w:tcPr>
          <w:p w14:paraId="59DCD76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w:t>
            </w:r>
          </w:p>
        </w:tc>
      </w:tr>
      <w:tr w:rsidR="00BE3AA8" w:rsidRPr="00D93FF9" w14:paraId="59DCD76B" w14:textId="77777777" w:rsidTr="000E1354">
        <w:trPr>
          <w:trHeight w:val="227"/>
        </w:trPr>
        <w:tc>
          <w:tcPr>
            <w:tcW w:w="1895" w:type="dxa"/>
            <w:noWrap/>
            <w:hideMark/>
          </w:tcPr>
          <w:p w14:paraId="59DCD76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Sorghum</w:t>
            </w:r>
          </w:p>
        </w:tc>
        <w:tc>
          <w:tcPr>
            <w:tcW w:w="908" w:type="dxa"/>
            <w:noWrap/>
            <w:hideMark/>
          </w:tcPr>
          <w:p w14:paraId="59DCD76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c>
          <w:tcPr>
            <w:tcW w:w="1786" w:type="dxa"/>
            <w:noWrap/>
            <w:hideMark/>
          </w:tcPr>
          <w:p w14:paraId="59DCD76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6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15.8 (15.0, 17.0)</w:t>
            </w:r>
          </w:p>
        </w:tc>
        <w:tc>
          <w:tcPr>
            <w:tcW w:w="1843" w:type="dxa"/>
            <w:noWrap/>
            <w:hideMark/>
          </w:tcPr>
          <w:p w14:paraId="59DCD76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2.8 (2.3, 3.2)</w:t>
            </w:r>
          </w:p>
        </w:tc>
      </w:tr>
      <w:tr w:rsidR="00BE3AA8" w:rsidRPr="00D93FF9" w14:paraId="59DCD771" w14:textId="77777777" w:rsidTr="000E1354">
        <w:trPr>
          <w:trHeight w:val="227"/>
        </w:trPr>
        <w:tc>
          <w:tcPr>
            <w:tcW w:w="1895" w:type="dxa"/>
            <w:noWrap/>
            <w:hideMark/>
          </w:tcPr>
          <w:p w14:paraId="59DCD76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Soybean</w:t>
            </w:r>
          </w:p>
        </w:tc>
        <w:tc>
          <w:tcPr>
            <w:tcW w:w="908" w:type="dxa"/>
            <w:noWrap/>
            <w:hideMark/>
          </w:tcPr>
          <w:p w14:paraId="59DCD76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6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1.6 (0.9, 2.2)</w:t>
            </w:r>
          </w:p>
        </w:tc>
        <w:tc>
          <w:tcPr>
            <w:tcW w:w="1756" w:type="dxa"/>
            <w:noWrap/>
            <w:hideMark/>
          </w:tcPr>
          <w:p w14:paraId="59DCD76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50.4 (7.8, 66.1)</w:t>
            </w:r>
          </w:p>
        </w:tc>
        <w:tc>
          <w:tcPr>
            <w:tcW w:w="1843" w:type="dxa"/>
            <w:noWrap/>
            <w:hideMark/>
          </w:tcPr>
          <w:p w14:paraId="59DCD77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4.7 (1.1, 6.1)</w:t>
            </w:r>
          </w:p>
        </w:tc>
      </w:tr>
      <w:tr w:rsidR="00BE3AA8" w:rsidRPr="00D93FF9" w14:paraId="59DCD777" w14:textId="77777777" w:rsidTr="000E1354">
        <w:trPr>
          <w:trHeight w:val="227"/>
        </w:trPr>
        <w:tc>
          <w:tcPr>
            <w:tcW w:w="1895" w:type="dxa"/>
            <w:noWrap/>
            <w:hideMark/>
          </w:tcPr>
          <w:p w14:paraId="59DCD77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Spinach</w:t>
            </w:r>
          </w:p>
        </w:tc>
        <w:tc>
          <w:tcPr>
            <w:tcW w:w="908" w:type="dxa"/>
            <w:noWrap/>
            <w:hideMark/>
          </w:tcPr>
          <w:p w14:paraId="59DCD77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93.0</w:t>
            </w:r>
          </w:p>
        </w:tc>
        <w:tc>
          <w:tcPr>
            <w:tcW w:w="1786" w:type="dxa"/>
            <w:noWrap/>
            <w:hideMark/>
          </w:tcPr>
          <w:p w14:paraId="59DCD77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30.0</w:t>
            </w:r>
          </w:p>
        </w:tc>
        <w:tc>
          <w:tcPr>
            <w:tcW w:w="1756" w:type="dxa"/>
            <w:noWrap/>
            <w:hideMark/>
          </w:tcPr>
          <w:p w14:paraId="59DCD77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3.4 (3.2, 3.6)</w:t>
            </w:r>
          </w:p>
        </w:tc>
        <w:tc>
          <w:tcPr>
            <w:tcW w:w="1843" w:type="dxa"/>
            <w:noWrap/>
            <w:hideMark/>
          </w:tcPr>
          <w:p w14:paraId="59DCD77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0.4 (0.3, 0.5)</w:t>
            </w:r>
          </w:p>
        </w:tc>
      </w:tr>
      <w:tr w:rsidR="00BE3AA8" w:rsidRPr="00D93FF9" w14:paraId="59DCD77D" w14:textId="77777777" w:rsidTr="000E1354">
        <w:trPr>
          <w:trHeight w:val="227"/>
        </w:trPr>
        <w:tc>
          <w:tcPr>
            <w:tcW w:w="1895" w:type="dxa"/>
            <w:noWrap/>
            <w:hideMark/>
          </w:tcPr>
          <w:p w14:paraId="59DCD77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Squash</w:t>
            </w:r>
          </w:p>
        </w:tc>
        <w:tc>
          <w:tcPr>
            <w:tcW w:w="908" w:type="dxa"/>
            <w:noWrap/>
            <w:hideMark/>
          </w:tcPr>
          <w:p w14:paraId="59DCD77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92.0</w:t>
            </w:r>
          </w:p>
        </w:tc>
        <w:tc>
          <w:tcPr>
            <w:tcW w:w="1786" w:type="dxa"/>
            <w:noWrap/>
            <w:hideMark/>
          </w:tcPr>
          <w:p w14:paraId="59DCD77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7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3.9</w:t>
            </w:r>
          </w:p>
        </w:tc>
        <w:tc>
          <w:tcPr>
            <w:tcW w:w="1843" w:type="dxa"/>
            <w:noWrap/>
            <w:hideMark/>
          </w:tcPr>
          <w:p w14:paraId="59DCD77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783" w14:textId="77777777" w:rsidTr="000E1354">
        <w:trPr>
          <w:trHeight w:val="227"/>
        </w:trPr>
        <w:tc>
          <w:tcPr>
            <w:tcW w:w="1895" w:type="dxa"/>
            <w:noWrap/>
            <w:hideMark/>
          </w:tcPr>
          <w:p w14:paraId="59DCD77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Stonefruit</w:t>
            </w:r>
          </w:p>
        </w:tc>
        <w:tc>
          <w:tcPr>
            <w:tcW w:w="908" w:type="dxa"/>
            <w:noWrap/>
            <w:hideMark/>
          </w:tcPr>
          <w:p w14:paraId="59DCD77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8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8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1.2</w:t>
            </w:r>
          </w:p>
        </w:tc>
        <w:tc>
          <w:tcPr>
            <w:tcW w:w="1843" w:type="dxa"/>
            <w:noWrap/>
            <w:hideMark/>
          </w:tcPr>
          <w:p w14:paraId="59DCD78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0.1</w:t>
            </w:r>
          </w:p>
        </w:tc>
      </w:tr>
      <w:tr w:rsidR="00BE3AA8" w:rsidRPr="00D93FF9" w14:paraId="59DCD789" w14:textId="77777777" w:rsidTr="000E1354">
        <w:trPr>
          <w:trHeight w:val="227"/>
        </w:trPr>
        <w:tc>
          <w:tcPr>
            <w:tcW w:w="1895" w:type="dxa"/>
            <w:noWrap/>
            <w:hideMark/>
          </w:tcPr>
          <w:p w14:paraId="59DCD78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Strawberry</w:t>
            </w:r>
          </w:p>
        </w:tc>
        <w:tc>
          <w:tcPr>
            <w:tcW w:w="908" w:type="dxa"/>
            <w:noWrap/>
            <w:hideMark/>
          </w:tcPr>
          <w:p w14:paraId="59DCD78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91.0</w:t>
            </w:r>
          </w:p>
        </w:tc>
        <w:tc>
          <w:tcPr>
            <w:tcW w:w="1786" w:type="dxa"/>
            <w:noWrap/>
            <w:hideMark/>
          </w:tcPr>
          <w:p w14:paraId="59DCD78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8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1.9</w:t>
            </w:r>
          </w:p>
        </w:tc>
        <w:tc>
          <w:tcPr>
            <w:tcW w:w="1843" w:type="dxa"/>
            <w:noWrap/>
            <w:hideMark/>
          </w:tcPr>
          <w:p w14:paraId="59DCD78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78F" w14:textId="77777777" w:rsidTr="000E1354">
        <w:trPr>
          <w:trHeight w:val="227"/>
        </w:trPr>
        <w:tc>
          <w:tcPr>
            <w:tcW w:w="1895" w:type="dxa"/>
            <w:noWrap/>
            <w:hideMark/>
          </w:tcPr>
          <w:p w14:paraId="59DCD78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Sugar Cane</w:t>
            </w:r>
          </w:p>
        </w:tc>
        <w:tc>
          <w:tcPr>
            <w:tcW w:w="908" w:type="dxa"/>
            <w:noWrap/>
            <w:hideMark/>
          </w:tcPr>
          <w:p w14:paraId="59DCD78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8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8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0.9 (0.7, 1.2)</w:t>
            </w:r>
          </w:p>
        </w:tc>
        <w:tc>
          <w:tcPr>
            <w:tcW w:w="1843" w:type="dxa"/>
            <w:noWrap/>
            <w:hideMark/>
          </w:tcPr>
          <w:p w14:paraId="59DCD78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0.1 (0.1, 0.2)</w:t>
            </w:r>
          </w:p>
        </w:tc>
      </w:tr>
      <w:tr w:rsidR="00BE3AA8" w:rsidRPr="00D93FF9" w14:paraId="59DCD795" w14:textId="77777777" w:rsidTr="000E1354">
        <w:trPr>
          <w:trHeight w:val="227"/>
        </w:trPr>
        <w:tc>
          <w:tcPr>
            <w:tcW w:w="1895" w:type="dxa"/>
            <w:noWrap/>
            <w:hideMark/>
          </w:tcPr>
          <w:p w14:paraId="59DCD79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Summer grain legumes</w:t>
            </w:r>
          </w:p>
        </w:tc>
        <w:tc>
          <w:tcPr>
            <w:tcW w:w="908" w:type="dxa"/>
            <w:noWrap/>
            <w:hideMark/>
          </w:tcPr>
          <w:p w14:paraId="59DCD79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9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w:t>
            </w:r>
          </w:p>
        </w:tc>
        <w:tc>
          <w:tcPr>
            <w:tcW w:w="1756" w:type="dxa"/>
            <w:noWrap/>
            <w:hideMark/>
          </w:tcPr>
          <w:p w14:paraId="59DCD79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17.0</w:t>
            </w:r>
          </w:p>
        </w:tc>
        <w:tc>
          <w:tcPr>
            <w:tcW w:w="1843" w:type="dxa"/>
            <w:noWrap/>
            <w:hideMark/>
          </w:tcPr>
          <w:p w14:paraId="59DCD79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4.0</w:t>
            </w:r>
          </w:p>
        </w:tc>
      </w:tr>
      <w:tr w:rsidR="00BE3AA8" w:rsidRPr="00D93FF9" w14:paraId="59DCD79B" w14:textId="77777777" w:rsidTr="000E1354">
        <w:trPr>
          <w:trHeight w:val="227"/>
        </w:trPr>
        <w:tc>
          <w:tcPr>
            <w:tcW w:w="1895" w:type="dxa"/>
            <w:noWrap/>
            <w:hideMark/>
          </w:tcPr>
          <w:p w14:paraId="59DCD79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Sunflower</w:t>
            </w:r>
          </w:p>
        </w:tc>
        <w:tc>
          <w:tcPr>
            <w:tcW w:w="908" w:type="dxa"/>
            <w:noWrap/>
            <w:hideMark/>
          </w:tcPr>
          <w:p w14:paraId="59DCD79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9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1.5 (1.2, 1.7)</w:t>
            </w:r>
          </w:p>
        </w:tc>
        <w:tc>
          <w:tcPr>
            <w:tcW w:w="1756" w:type="dxa"/>
            <w:noWrap/>
            <w:hideMark/>
          </w:tcPr>
          <w:p w14:paraId="59DCD79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44.5 (30.0, 51.8)</w:t>
            </w:r>
          </w:p>
        </w:tc>
        <w:tc>
          <w:tcPr>
            <w:tcW w:w="1843" w:type="dxa"/>
            <w:noWrap/>
            <w:hideMark/>
          </w:tcPr>
          <w:p w14:paraId="59DCD79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6.5 (5.8, 7.8)</w:t>
            </w:r>
          </w:p>
        </w:tc>
      </w:tr>
      <w:tr w:rsidR="00BE3AA8" w:rsidRPr="00D93FF9" w14:paraId="59DCD7A1" w14:textId="77777777" w:rsidTr="000E1354">
        <w:trPr>
          <w:trHeight w:val="227"/>
        </w:trPr>
        <w:tc>
          <w:tcPr>
            <w:tcW w:w="1895" w:type="dxa"/>
            <w:noWrap/>
            <w:hideMark/>
          </w:tcPr>
          <w:p w14:paraId="59DCD79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Sweet Corn</w:t>
            </w:r>
          </w:p>
        </w:tc>
        <w:tc>
          <w:tcPr>
            <w:tcW w:w="908" w:type="dxa"/>
            <w:noWrap/>
            <w:hideMark/>
          </w:tcPr>
          <w:p w14:paraId="59DCD79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9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9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3.9</w:t>
            </w:r>
          </w:p>
        </w:tc>
        <w:tc>
          <w:tcPr>
            <w:tcW w:w="1843" w:type="dxa"/>
            <w:noWrap/>
            <w:hideMark/>
          </w:tcPr>
          <w:p w14:paraId="59DCD7A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0.6</w:t>
            </w:r>
          </w:p>
        </w:tc>
      </w:tr>
      <w:tr w:rsidR="00BE3AA8" w:rsidRPr="00D93FF9" w14:paraId="59DCD7A7" w14:textId="77777777" w:rsidTr="000E1354">
        <w:trPr>
          <w:trHeight w:val="227"/>
        </w:trPr>
        <w:tc>
          <w:tcPr>
            <w:tcW w:w="1895" w:type="dxa"/>
            <w:noWrap/>
            <w:hideMark/>
          </w:tcPr>
          <w:p w14:paraId="59DCD7A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Sweet Potato</w:t>
            </w:r>
          </w:p>
        </w:tc>
        <w:tc>
          <w:tcPr>
            <w:tcW w:w="908" w:type="dxa"/>
            <w:noWrap/>
            <w:hideMark/>
          </w:tcPr>
          <w:p w14:paraId="59DCD7A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A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24.0</w:t>
            </w:r>
          </w:p>
        </w:tc>
        <w:tc>
          <w:tcPr>
            <w:tcW w:w="1756" w:type="dxa"/>
            <w:noWrap/>
            <w:hideMark/>
          </w:tcPr>
          <w:p w14:paraId="59DCD7A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2.5</w:t>
            </w:r>
          </w:p>
        </w:tc>
        <w:tc>
          <w:tcPr>
            <w:tcW w:w="1843" w:type="dxa"/>
            <w:noWrap/>
            <w:hideMark/>
          </w:tcPr>
          <w:p w14:paraId="59DCD7A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0.6</w:t>
            </w:r>
          </w:p>
        </w:tc>
      </w:tr>
      <w:tr w:rsidR="00BE3AA8" w:rsidRPr="00D93FF9" w14:paraId="59DCD7AD" w14:textId="77777777" w:rsidTr="000E1354">
        <w:trPr>
          <w:trHeight w:val="227"/>
        </w:trPr>
        <w:tc>
          <w:tcPr>
            <w:tcW w:w="1895" w:type="dxa"/>
            <w:noWrap/>
            <w:hideMark/>
          </w:tcPr>
          <w:p w14:paraId="59DCD7A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Tea</w:t>
            </w:r>
          </w:p>
        </w:tc>
        <w:tc>
          <w:tcPr>
            <w:tcW w:w="908" w:type="dxa"/>
            <w:noWrap/>
            <w:hideMark/>
          </w:tcPr>
          <w:p w14:paraId="59DCD7A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A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A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40.0</w:t>
            </w:r>
          </w:p>
        </w:tc>
        <w:tc>
          <w:tcPr>
            <w:tcW w:w="1843" w:type="dxa"/>
            <w:noWrap/>
            <w:hideMark/>
          </w:tcPr>
          <w:p w14:paraId="59DCD7A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4.0</w:t>
            </w:r>
          </w:p>
        </w:tc>
      </w:tr>
      <w:tr w:rsidR="00BE3AA8" w:rsidRPr="00D93FF9" w14:paraId="59DCD7B3" w14:textId="77777777" w:rsidTr="000E1354">
        <w:trPr>
          <w:trHeight w:val="227"/>
        </w:trPr>
        <w:tc>
          <w:tcPr>
            <w:tcW w:w="1895" w:type="dxa"/>
            <w:noWrap/>
            <w:hideMark/>
          </w:tcPr>
          <w:p w14:paraId="59DCD7A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Tobacco</w:t>
            </w:r>
          </w:p>
        </w:tc>
        <w:tc>
          <w:tcPr>
            <w:tcW w:w="908" w:type="dxa"/>
            <w:noWrap/>
            <w:hideMark/>
          </w:tcPr>
          <w:p w14:paraId="59DCD7A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B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B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39.0</w:t>
            </w:r>
          </w:p>
        </w:tc>
        <w:tc>
          <w:tcPr>
            <w:tcW w:w="1843" w:type="dxa"/>
            <w:noWrap/>
            <w:hideMark/>
          </w:tcPr>
          <w:p w14:paraId="59DCD7B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2.5</w:t>
            </w:r>
          </w:p>
        </w:tc>
      </w:tr>
      <w:tr w:rsidR="00BE3AA8" w:rsidRPr="00D93FF9" w14:paraId="59DCD7B9" w14:textId="77777777" w:rsidTr="000E1354">
        <w:trPr>
          <w:trHeight w:val="227"/>
        </w:trPr>
        <w:tc>
          <w:tcPr>
            <w:tcW w:w="1895" w:type="dxa"/>
            <w:noWrap/>
            <w:hideMark/>
          </w:tcPr>
          <w:p w14:paraId="59DCD7B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Tomato</w:t>
            </w:r>
          </w:p>
        </w:tc>
        <w:tc>
          <w:tcPr>
            <w:tcW w:w="908" w:type="dxa"/>
            <w:noWrap/>
            <w:hideMark/>
          </w:tcPr>
          <w:p w14:paraId="59DCD7B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94.0</w:t>
            </w:r>
          </w:p>
        </w:tc>
        <w:tc>
          <w:tcPr>
            <w:tcW w:w="1786" w:type="dxa"/>
            <w:noWrap/>
            <w:hideMark/>
          </w:tcPr>
          <w:p w14:paraId="59DCD7B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85.1 (38.0, 194.0)</w:t>
            </w:r>
          </w:p>
        </w:tc>
        <w:tc>
          <w:tcPr>
            <w:tcW w:w="1756" w:type="dxa"/>
            <w:noWrap/>
            <w:hideMark/>
          </w:tcPr>
          <w:p w14:paraId="59DCD7B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1.6 (1.4, 1.9)</w:t>
            </w:r>
          </w:p>
        </w:tc>
        <w:tc>
          <w:tcPr>
            <w:tcW w:w="1843" w:type="dxa"/>
            <w:noWrap/>
            <w:hideMark/>
          </w:tcPr>
          <w:p w14:paraId="59DCD7B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0.5 (0.3, 0.6)</w:t>
            </w:r>
          </w:p>
        </w:tc>
      </w:tr>
      <w:tr w:rsidR="00BE3AA8" w:rsidRPr="00D93FF9" w14:paraId="59DCD7BF" w14:textId="77777777" w:rsidTr="000E1354">
        <w:trPr>
          <w:trHeight w:val="227"/>
        </w:trPr>
        <w:tc>
          <w:tcPr>
            <w:tcW w:w="1895" w:type="dxa"/>
            <w:noWrap/>
            <w:hideMark/>
          </w:tcPr>
          <w:p w14:paraId="59DCD7B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Triticale</w:t>
            </w:r>
          </w:p>
        </w:tc>
        <w:tc>
          <w:tcPr>
            <w:tcW w:w="908" w:type="dxa"/>
            <w:noWrap/>
            <w:hideMark/>
          </w:tcPr>
          <w:p w14:paraId="59DCD7B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11.0</w:t>
            </w:r>
          </w:p>
        </w:tc>
        <w:tc>
          <w:tcPr>
            <w:tcW w:w="1786" w:type="dxa"/>
            <w:noWrap/>
            <w:hideMark/>
          </w:tcPr>
          <w:p w14:paraId="59DCD7B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2.2 (2.1, 2.3)</w:t>
            </w:r>
          </w:p>
        </w:tc>
        <w:tc>
          <w:tcPr>
            <w:tcW w:w="1756" w:type="dxa"/>
            <w:noWrap/>
            <w:hideMark/>
          </w:tcPr>
          <w:p w14:paraId="59DCD7B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13.3 (5.2, 20.0)</w:t>
            </w:r>
          </w:p>
        </w:tc>
        <w:tc>
          <w:tcPr>
            <w:tcW w:w="1843" w:type="dxa"/>
            <w:noWrap/>
            <w:hideMark/>
          </w:tcPr>
          <w:p w14:paraId="59DCD7B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2.4 (0.9, 3.9)</w:t>
            </w:r>
          </w:p>
        </w:tc>
      </w:tr>
      <w:tr w:rsidR="00BE3AA8" w:rsidRPr="00D93FF9" w14:paraId="59DCD7C5" w14:textId="77777777" w:rsidTr="000E1354">
        <w:trPr>
          <w:trHeight w:val="227"/>
        </w:trPr>
        <w:tc>
          <w:tcPr>
            <w:tcW w:w="1895" w:type="dxa"/>
            <w:noWrap/>
            <w:hideMark/>
          </w:tcPr>
          <w:p w14:paraId="59DCD7C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Turnip</w:t>
            </w:r>
          </w:p>
        </w:tc>
        <w:tc>
          <w:tcPr>
            <w:tcW w:w="908" w:type="dxa"/>
            <w:noWrap/>
            <w:hideMark/>
          </w:tcPr>
          <w:p w14:paraId="59DCD7C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93.0</w:t>
            </w:r>
          </w:p>
        </w:tc>
        <w:tc>
          <w:tcPr>
            <w:tcW w:w="1786" w:type="dxa"/>
            <w:noWrap/>
            <w:hideMark/>
          </w:tcPr>
          <w:p w14:paraId="59DCD7C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C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1.9</w:t>
            </w:r>
          </w:p>
        </w:tc>
        <w:tc>
          <w:tcPr>
            <w:tcW w:w="1843" w:type="dxa"/>
            <w:noWrap/>
            <w:hideMark/>
          </w:tcPr>
          <w:p w14:paraId="59DCD7C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0.5</w:t>
            </w:r>
          </w:p>
        </w:tc>
      </w:tr>
      <w:tr w:rsidR="00BE3AA8" w:rsidRPr="00D93FF9" w14:paraId="59DCD7CB" w14:textId="77777777" w:rsidTr="000E1354">
        <w:trPr>
          <w:trHeight w:val="227"/>
        </w:trPr>
        <w:tc>
          <w:tcPr>
            <w:tcW w:w="1895" w:type="dxa"/>
            <w:noWrap/>
            <w:hideMark/>
          </w:tcPr>
          <w:p w14:paraId="59DCD7C6"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Vetch</w:t>
            </w:r>
          </w:p>
        </w:tc>
        <w:tc>
          <w:tcPr>
            <w:tcW w:w="908" w:type="dxa"/>
            <w:noWrap/>
            <w:hideMark/>
          </w:tcPr>
          <w:p w14:paraId="59DCD7C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10.0</w:t>
            </w:r>
          </w:p>
        </w:tc>
        <w:tc>
          <w:tcPr>
            <w:tcW w:w="1786" w:type="dxa"/>
            <w:noWrap/>
            <w:hideMark/>
          </w:tcPr>
          <w:p w14:paraId="59DCD7C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C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42.0</w:t>
            </w:r>
          </w:p>
        </w:tc>
        <w:tc>
          <w:tcPr>
            <w:tcW w:w="1843" w:type="dxa"/>
            <w:noWrap/>
            <w:hideMark/>
          </w:tcPr>
          <w:p w14:paraId="59DCD7C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4.2</w:t>
            </w:r>
          </w:p>
        </w:tc>
      </w:tr>
      <w:tr w:rsidR="00BE3AA8" w:rsidRPr="00D93FF9" w14:paraId="59DCD7D1" w14:textId="77777777" w:rsidTr="000E1354">
        <w:trPr>
          <w:trHeight w:val="227"/>
        </w:trPr>
        <w:tc>
          <w:tcPr>
            <w:tcW w:w="1895" w:type="dxa"/>
            <w:noWrap/>
            <w:hideMark/>
          </w:tcPr>
          <w:p w14:paraId="59DCD7CC"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Watermelon</w:t>
            </w:r>
          </w:p>
        </w:tc>
        <w:tc>
          <w:tcPr>
            <w:tcW w:w="908" w:type="dxa"/>
            <w:noWrap/>
            <w:hideMark/>
          </w:tcPr>
          <w:p w14:paraId="59DCD7C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94.0</w:t>
            </w:r>
          </w:p>
        </w:tc>
        <w:tc>
          <w:tcPr>
            <w:tcW w:w="1786" w:type="dxa"/>
            <w:noWrap/>
            <w:hideMark/>
          </w:tcPr>
          <w:p w14:paraId="59DCD7C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noWrap/>
            <w:hideMark/>
          </w:tcPr>
          <w:p w14:paraId="59DCD7C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1.5</w:t>
            </w:r>
          </w:p>
        </w:tc>
        <w:tc>
          <w:tcPr>
            <w:tcW w:w="1843" w:type="dxa"/>
            <w:noWrap/>
            <w:hideMark/>
          </w:tcPr>
          <w:p w14:paraId="59DCD7D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r w:rsidR="00BE3AA8" w:rsidRPr="00D93FF9" w14:paraId="59DCD7D7" w14:textId="77777777" w:rsidTr="000E1354">
        <w:trPr>
          <w:trHeight w:val="227"/>
        </w:trPr>
        <w:tc>
          <w:tcPr>
            <w:tcW w:w="1895" w:type="dxa"/>
            <w:noWrap/>
            <w:hideMark/>
          </w:tcPr>
          <w:p w14:paraId="59DCD7D2"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Wheat</w:t>
            </w:r>
          </w:p>
        </w:tc>
        <w:tc>
          <w:tcPr>
            <w:tcW w:w="908" w:type="dxa"/>
            <w:noWrap/>
            <w:hideMark/>
          </w:tcPr>
          <w:p w14:paraId="59DCD7D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11.0</w:t>
            </w:r>
          </w:p>
        </w:tc>
        <w:tc>
          <w:tcPr>
            <w:tcW w:w="1786" w:type="dxa"/>
            <w:noWrap/>
            <w:hideMark/>
          </w:tcPr>
          <w:p w14:paraId="59DCD7D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1.7 (1.5, 1.9)</w:t>
            </w:r>
          </w:p>
        </w:tc>
        <w:tc>
          <w:tcPr>
            <w:tcW w:w="1756" w:type="dxa"/>
            <w:noWrap/>
            <w:hideMark/>
          </w:tcPr>
          <w:p w14:paraId="59DCD7D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23.5 (21.8, 28.0)</w:t>
            </w:r>
          </w:p>
        </w:tc>
        <w:tc>
          <w:tcPr>
            <w:tcW w:w="1843" w:type="dxa"/>
            <w:noWrap/>
            <w:hideMark/>
          </w:tcPr>
          <w:p w14:paraId="59DCD7D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3.6 (2.5, 4.2)</w:t>
            </w:r>
          </w:p>
        </w:tc>
      </w:tr>
      <w:tr w:rsidR="00BE3AA8" w:rsidRPr="00D93FF9" w14:paraId="59DCD7DD" w14:textId="77777777" w:rsidTr="000E1354">
        <w:trPr>
          <w:trHeight w:val="227"/>
        </w:trPr>
        <w:tc>
          <w:tcPr>
            <w:tcW w:w="1895" w:type="dxa"/>
            <w:noWrap/>
            <w:hideMark/>
          </w:tcPr>
          <w:p w14:paraId="59DCD7D8"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Wheat straw</w:t>
            </w:r>
          </w:p>
        </w:tc>
        <w:tc>
          <w:tcPr>
            <w:tcW w:w="908" w:type="dxa"/>
            <w:noWrap/>
            <w:hideMark/>
          </w:tcPr>
          <w:p w14:paraId="59DCD7D9"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DA"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1.7 (1.5, 1.9)</w:t>
            </w:r>
          </w:p>
        </w:tc>
        <w:tc>
          <w:tcPr>
            <w:tcW w:w="1756" w:type="dxa"/>
            <w:noWrap/>
            <w:hideMark/>
          </w:tcPr>
          <w:p w14:paraId="59DCD7D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5.3</w:t>
            </w:r>
          </w:p>
        </w:tc>
        <w:tc>
          <w:tcPr>
            <w:tcW w:w="1843" w:type="dxa"/>
            <w:noWrap/>
            <w:hideMark/>
          </w:tcPr>
          <w:p w14:paraId="59DCD7D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1.2 (1.1, 1.3)</w:t>
            </w:r>
          </w:p>
        </w:tc>
      </w:tr>
      <w:tr w:rsidR="00BE3AA8" w:rsidRPr="00D93FF9" w14:paraId="59DCD7E3" w14:textId="77777777" w:rsidTr="000E1354">
        <w:trPr>
          <w:trHeight w:val="227"/>
        </w:trPr>
        <w:tc>
          <w:tcPr>
            <w:tcW w:w="1895" w:type="dxa"/>
            <w:noWrap/>
            <w:hideMark/>
          </w:tcPr>
          <w:p w14:paraId="59DCD7DE"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White clover</w:t>
            </w:r>
          </w:p>
        </w:tc>
        <w:tc>
          <w:tcPr>
            <w:tcW w:w="908" w:type="dxa"/>
            <w:noWrap/>
            <w:hideMark/>
          </w:tcPr>
          <w:p w14:paraId="59DCD7DF"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E0"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20.0</w:t>
            </w:r>
          </w:p>
        </w:tc>
        <w:tc>
          <w:tcPr>
            <w:tcW w:w="1756" w:type="dxa"/>
            <w:noWrap/>
            <w:hideMark/>
          </w:tcPr>
          <w:p w14:paraId="59DCD7E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37.0</w:t>
            </w:r>
          </w:p>
        </w:tc>
        <w:tc>
          <w:tcPr>
            <w:tcW w:w="1843" w:type="dxa"/>
            <w:noWrap/>
            <w:hideMark/>
          </w:tcPr>
          <w:p w14:paraId="59DCD7E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4.0</w:t>
            </w:r>
          </w:p>
        </w:tc>
      </w:tr>
      <w:tr w:rsidR="00BE3AA8" w:rsidRPr="00D93FF9" w14:paraId="59DCD7E9" w14:textId="77777777" w:rsidTr="000E1354">
        <w:trPr>
          <w:trHeight w:val="227"/>
        </w:trPr>
        <w:tc>
          <w:tcPr>
            <w:tcW w:w="1895" w:type="dxa"/>
            <w:noWrap/>
            <w:hideMark/>
          </w:tcPr>
          <w:p w14:paraId="59DCD7E4"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Winter cereals</w:t>
            </w:r>
          </w:p>
        </w:tc>
        <w:tc>
          <w:tcPr>
            <w:tcW w:w="908" w:type="dxa"/>
            <w:noWrap/>
            <w:hideMark/>
          </w:tcPr>
          <w:p w14:paraId="59DCD7E5"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E6"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5.0</w:t>
            </w:r>
          </w:p>
        </w:tc>
        <w:tc>
          <w:tcPr>
            <w:tcW w:w="1756" w:type="dxa"/>
            <w:noWrap/>
            <w:hideMark/>
          </w:tcPr>
          <w:p w14:paraId="59DCD7E7"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15.0</w:t>
            </w:r>
          </w:p>
        </w:tc>
        <w:tc>
          <w:tcPr>
            <w:tcW w:w="1843" w:type="dxa"/>
            <w:noWrap/>
            <w:hideMark/>
          </w:tcPr>
          <w:p w14:paraId="59DCD7E8"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w:t>
            </w:r>
          </w:p>
        </w:tc>
      </w:tr>
      <w:tr w:rsidR="00BE3AA8" w:rsidRPr="00D93FF9" w14:paraId="59DCD7EF" w14:textId="77777777" w:rsidTr="000E1354">
        <w:trPr>
          <w:trHeight w:val="227"/>
        </w:trPr>
        <w:tc>
          <w:tcPr>
            <w:tcW w:w="1895" w:type="dxa"/>
            <w:noWrap/>
            <w:hideMark/>
          </w:tcPr>
          <w:p w14:paraId="59DCD7EA"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Winter grain legumes</w:t>
            </w:r>
          </w:p>
        </w:tc>
        <w:tc>
          <w:tcPr>
            <w:tcW w:w="908" w:type="dxa"/>
            <w:noWrap/>
            <w:hideMark/>
          </w:tcPr>
          <w:p w14:paraId="59DCD7EB"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86" w:type="dxa"/>
            <w:noWrap/>
            <w:hideMark/>
          </w:tcPr>
          <w:p w14:paraId="59DCD7EC"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4.0</w:t>
            </w:r>
          </w:p>
        </w:tc>
        <w:tc>
          <w:tcPr>
            <w:tcW w:w="1756" w:type="dxa"/>
            <w:noWrap/>
            <w:hideMark/>
          </w:tcPr>
          <w:p w14:paraId="59DCD7ED"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27.0</w:t>
            </w:r>
          </w:p>
        </w:tc>
        <w:tc>
          <w:tcPr>
            <w:tcW w:w="1843" w:type="dxa"/>
            <w:noWrap/>
            <w:hideMark/>
          </w:tcPr>
          <w:p w14:paraId="59DCD7EE"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3.0</w:t>
            </w:r>
          </w:p>
        </w:tc>
      </w:tr>
      <w:tr w:rsidR="00BE3AA8" w:rsidRPr="00D93FF9" w14:paraId="59DCD7F5" w14:textId="77777777" w:rsidTr="000E1354">
        <w:trPr>
          <w:trHeight w:val="227"/>
        </w:trPr>
        <w:tc>
          <w:tcPr>
            <w:tcW w:w="1895" w:type="dxa"/>
            <w:tcBorders>
              <w:bottom w:val="single" w:sz="4" w:space="0" w:color="auto"/>
            </w:tcBorders>
            <w:noWrap/>
            <w:hideMark/>
          </w:tcPr>
          <w:p w14:paraId="59DCD7F0" w14:textId="77777777" w:rsidR="00C376A4" w:rsidRPr="00D93FF9" w:rsidRDefault="00E811B8" w:rsidP="003807A1">
            <w:pPr>
              <w:spacing w:after="0"/>
              <w:rPr>
                <w:rFonts w:ascii="Arial" w:hAnsi="Arial" w:cs="Arial"/>
                <w:sz w:val="16"/>
                <w:szCs w:val="16"/>
                <w:lang w:val="en-GB" w:eastAsia="en-AU"/>
              </w:rPr>
            </w:pPr>
            <w:r w:rsidRPr="00D93FF9">
              <w:rPr>
                <w:rFonts w:ascii="Arial" w:hAnsi="Arial" w:cs="Arial"/>
                <w:sz w:val="16"/>
                <w:szCs w:val="16"/>
                <w:lang w:val="en-GB" w:eastAsia="en-AU"/>
              </w:rPr>
              <w:t>Zucchini</w:t>
            </w:r>
          </w:p>
        </w:tc>
        <w:tc>
          <w:tcPr>
            <w:tcW w:w="908" w:type="dxa"/>
            <w:tcBorders>
              <w:bottom w:val="single" w:sz="4" w:space="0" w:color="auto"/>
            </w:tcBorders>
            <w:noWrap/>
            <w:hideMark/>
          </w:tcPr>
          <w:p w14:paraId="59DCD7F1"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94.0</w:t>
            </w:r>
          </w:p>
        </w:tc>
        <w:tc>
          <w:tcPr>
            <w:tcW w:w="1786" w:type="dxa"/>
            <w:tcBorders>
              <w:bottom w:val="single" w:sz="4" w:space="0" w:color="auto"/>
            </w:tcBorders>
            <w:noWrap/>
            <w:hideMark/>
          </w:tcPr>
          <w:p w14:paraId="59DCD7F2"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w:t>
            </w:r>
          </w:p>
        </w:tc>
        <w:tc>
          <w:tcPr>
            <w:tcW w:w="1756" w:type="dxa"/>
            <w:tcBorders>
              <w:bottom w:val="single" w:sz="4" w:space="0" w:color="auto"/>
            </w:tcBorders>
            <w:noWrap/>
            <w:hideMark/>
          </w:tcPr>
          <w:p w14:paraId="59DCD7F3"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2.9</w:t>
            </w:r>
          </w:p>
        </w:tc>
        <w:tc>
          <w:tcPr>
            <w:tcW w:w="1843" w:type="dxa"/>
            <w:tcBorders>
              <w:bottom w:val="single" w:sz="4" w:space="0" w:color="auto"/>
            </w:tcBorders>
            <w:noWrap/>
            <w:hideMark/>
          </w:tcPr>
          <w:p w14:paraId="59DCD7F4" w14:textId="77777777" w:rsidR="00C376A4" w:rsidRPr="00D93FF9" w:rsidRDefault="00E811B8" w:rsidP="003807A1">
            <w:pPr>
              <w:spacing w:after="0"/>
              <w:jc w:val="right"/>
              <w:rPr>
                <w:rFonts w:ascii="Arial" w:hAnsi="Arial" w:cs="Arial"/>
                <w:sz w:val="16"/>
                <w:szCs w:val="16"/>
                <w:lang w:val="en-GB" w:eastAsia="en-AU"/>
              </w:rPr>
            </w:pPr>
            <w:r w:rsidRPr="00D93FF9">
              <w:rPr>
                <w:rFonts w:ascii="Arial" w:hAnsi="Arial" w:cs="Arial"/>
                <w:sz w:val="16"/>
                <w:szCs w:val="16"/>
                <w:lang w:val="en-GB" w:eastAsia="en-AU"/>
              </w:rPr>
              <w:t>0.3</w:t>
            </w:r>
          </w:p>
        </w:tc>
      </w:tr>
    </w:tbl>
    <w:p w14:paraId="59DCD7F6" w14:textId="1B6E98AB" w:rsidR="00C376A4" w:rsidRPr="00D93FF9" w:rsidRDefault="00E811B8" w:rsidP="003807A1">
      <w:pPr>
        <w:spacing w:after="0" w:line="283" w:lineRule="auto"/>
        <w:rPr>
          <w:rFonts w:ascii="Arial"/>
          <w:sz w:val="18"/>
          <w:lang w:val="en-GB"/>
        </w:rPr>
      </w:pPr>
      <w:r w:rsidRPr="00D93FF9">
        <w:rPr>
          <w:rFonts w:ascii="Arial" w:hAnsi="Arial" w:cs="Arial"/>
          <w:sz w:val="14"/>
          <w:szCs w:val="14"/>
          <w:lang w:val="en-GB"/>
        </w:rPr>
        <w:t xml:space="preserve">Sourced from: Sceswell </w:t>
      </w:r>
      <w:r w:rsidR="00FA6E9E" w:rsidRPr="00D93FF9">
        <w:rPr>
          <w:rFonts w:ascii="Arial" w:hAnsi="Arial" w:cs="Arial"/>
          <w:sz w:val="14"/>
          <w:szCs w:val="14"/>
          <w:lang w:val="en-GB"/>
        </w:rPr>
        <w:t>and</w:t>
      </w:r>
      <w:r w:rsidRPr="00D93FF9">
        <w:rPr>
          <w:rFonts w:ascii="Arial" w:hAnsi="Arial" w:cs="Arial"/>
          <w:sz w:val="14"/>
          <w:szCs w:val="14"/>
          <w:lang w:val="en-GB"/>
        </w:rPr>
        <w:t xml:space="preserve"> Huett 1998; Fink et al. 1999; SACES 1995; NSW Agriculture 1995;  DL</w:t>
      </w:r>
      <w:r w:rsidRPr="00D93FF9">
        <w:rPr>
          <w:rFonts w:ascii="Arial" w:hAnsi="Arial" w:cs="Arial"/>
          <w:spacing w:val="-6"/>
          <w:sz w:val="14"/>
          <w:szCs w:val="14"/>
          <w:lang w:val="en-GB"/>
        </w:rPr>
        <w:t xml:space="preserve"> </w:t>
      </w:r>
      <w:r w:rsidRPr="00D93FF9">
        <w:rPr>
          <w:rFonts w:ascii="Arial" w:hAnsi="Arial" w:cs="Arial"/>
          <w:sz w:val="14"/>
          <w:szCs w:val="14"/>
          <w:lang w:val="en-GB"/>
        </w:rPr>
        <w:t>Reuter</w:t>
      </w:r>
      <w:r w:rsidRPr="00D93FF9">
        <w:rPr>
          <w:rFonts w:ascii="Arial" w:hAnsi="Arial" w:cs="Arial"/>
          <w:spacing w:val="-5"/>
          <w:sz w:val="14"/>
          <w:szCs w:val="14"/>
          <w:lang w:val="en-GB"/>
        </w:rPr>
        <w:t xml:space="preserve"> </w:t>
      </w:r>
      <w:r w:rsidRPr="00D93FF9">
        <w:rPr>
          <w:rFonts w:ascii="Arial" w:hAnsi="Arial" w:cs="Arial"/>
          <w:sz w:val="14"/>
          <w:szCs w:val="14"/>
          <w:lang w:val="en-GB"/>
        </w:rPr>
        <w:t>pers</w:t>
      </w:r>
      <w:r w:rsidRPr="00D93FF9">
        <w:rPr>
          <w:rFonts w:ascii="Arial" w:hAnsi="Arial" w:cs="Arial"/>
          <w:spacing w:val="-5"/>
          <w:sz w:val="14"/>
          <w:szCs w:val="14"/>
          <w:lang w:val="en-GB"/>
        </w:rPr>
        <w:t xml:space="preserve"> </w:t>
      </w:r>
      <w:r w:rsidRPr="00D93FF9">
        <w:rPr>
          <w:rFonts w:ascii="Arial" w:hAnsi="Arial" w:cs="Arial"/>
          <w:sz w:val="14"/>
          <w:szCs w:val="14"/>
          <w:lang w:val="en-GB"/>
        </w:rPr>
        <w:t>comm;</w:t>
      </w:r>
      <w:r w:rsidRPr="00D93FF9">
        <w:rPr>
          <w:rFonts w:ascii="Arial" w:hAnsi="Arial" w:cs="Arial"/>
          <w:spacing w:val="-5"/>
          <w:sz w:val="14"/>
          <w:szCs w:val="14"/>
          <w:lang w:val="en-GB"/>
        </w:rPr>
        <w:t xml:space="preserve"> </w:t>
      </w:r>
      <w:r w:rsidRPr="00D93FF9">
        <w:rPr>
          <w:rFonts w:ascii="Arial" w:hAnsi="Arial" w:cs="Arial"/>
          <w:sz w:val="14"/>
          <w:szCs w:val="14"/>
          <w:lang w:val="en-GB"/>
        </w:rPr>
        <w:t>interim</w:t>
      </w:r>
      <w:r w:rsidRPr="00D93FF9">
        <w:rPr>
          <w:rFonts w:ascii="Arial" w:hAnsi="Arial" w:cs="Arial"/>
          <w:spacing w:val="-4"/>
          <w:sz w:val="14"/>
          <w:szCs w:val="14"/>
          <w:lang w:val="en-GB"/>
        </w:rPr>
        <w:t xml:space="preserve"> </w:t>
      </w:r>
      <w:r w:rsidRPr="00D93FF9">
        <w:rPr>
          <w:rFonts w:ascii="Arial" w:hAnsi="Arial" w:cs="Arial"/>
          <w:sz w:val="14"/>
          <w:szCs w:val="14"/>
          <w:lang w:val="en-GB"/>
        </w:rPr>
        <w:t>data</w:t>
      </w:r>
      <w:r w:rsidRPr="00D93FF9">
        <w:rPr>
          <w:rFonts w:ascii="Arial" w:hAnsi="Arial" w:cs="Arial"/>
          <w:spacing w:val="-5"/>
          <w:sz w:val="14"/>
          <w:szCs w:val="14"/>
          <w:lang w:val="en-GB"/>
        </w:rPr>
        <w:t xml:space="preserve"> </w:t>
      </w:r>
      <w:r w:rsidRPr="00D93FF9">
        <w:rPr>
          <w:rFonts w:ascii="Arial" w:hAnsi="Arial" w:cs="Arial"/>
          <w:sz w:val="14"/>
          <w:szCs w:val="14"/>
          <w:lang w:val="en-GB"/>
        </w:rPr>
        <w:t>from</w:t>
      </w:r>
      <w:r w:rsidRPr="00D93FF9">
        <w:rPr>
          <w:rFonts w:ascii="Arial" w:hAnsi="Arial" w:cs="Arial"/>
          <w:spacing w:val="-3"/>
          <w:sz w:val="14"/>
          <w:szCs w:val="14"/>
          <w:lang w:val="en-GB"/>
        </w:rPr>
        <w:t xml:space="preserve"> </w:t>
      </w:r>
      <w:r w:rsidRPr="00D93FF9">
        <w:rPr>
          <w:rFonts w:ascii="Arial" w:hAnsi="Arial" w:cs="Arial"/>
          <w:sz w:val="14"/>
          <w:szCs w:val="14"/>
          <w:lang w:val="en-GB"/>
        </w:rPr>
        <w:t>project</w:t>
      </w:r>
      <w:r w:rsidRPr="00D93FF9">
        <w:rPr>
          <w:rFonts w:ascii="Arial" w:hAnsi="Arial" w:cs="Arial"/>
          <w:spacing w:val="-5"/>
          <w:sz w:val="14"/>
          <w:szCs w:val="14"/>
          <w:lang w:val="en-GB"/>
        </w:rPr>
        <w:t xml:space="preserve"> </w:t>
      </w:r>
      <w:r w:rsidRPr="00D93FF9">
        <w:rPr>
          <w:rFonts w:ascii="Arial" w:hAnsi="Arial" w:cs="Arial"/>
          <w:sz w:val="14"/>
          <w:szCs w:val="14"/>
          <w:lang w:val="en-GB"/>
        </w:rPr>
        <w:t>5.4D</w:t>
      </w:r>
      <w:r w:rsidRPr="00D93FF9">
        <w:rPr>
          <w:rFonts w:ascii="Arial" w:hAnsi="Arial" w:cs="Arial"/>
          <w:spacing w:val="-5"/>
          <w:sz w:val="14"/>
          <w:szCs w:val="14"/>
          <w:lang w:val="en-GB"/>
        </w:rPr>
        <w:t xml:space="preserve"> </w:t>
      </w:r>
      <w:r w:rsidRPr="00D93FF9">
        <w:rPr>
          <w:rFonts w:ascii="Arial" w:hAnsi="Arial" w:cs="Arial"/>
          <w:sz w:val="14"/>
          <w:szCs w:val="14"/>
          <w:lang w:val="en-GB"/>
        </w:rPr>
        <w:t>of</w:t>
      </w:r>
      <w:r w:rsidRPr="00D93FF9">
        <w:rPr>
          <w:rFonts w:ascii="Arial" w:hAnsi="Arial" w:cs="Arial"/>
          <w:spacing w:val="-5"/>
          <w:sz w:val="14"/>
          <w:szCs w:val="14"/>
          <w:lang w:val="en-GB"/>
        </w:rPr>
        <w:t xml:space="preserve"> </w:t>
      </w:r>
      <w:r w:rsidRPr="00D93FF9">
        <w:rPr>
          <w:rFonts w:ascii="Arial" w:hAnsi="Arial" w:cs="Arial"/>
          <w:sz w:val="14"/>
          <w:szCs w:val="14"/>
          <w:lang w:val="en-GB"/>
        </w:rPr>
        <w:t>the</w:t>
      </w:r>
      <w:r w:rsidRPr="00D93FF9">
        <w:rPr>
          <w:rFonts w:ascii="Arial" w:hAnsi="Arial" w:cs="Arial"/>
          <w:spacing w:val="-5"/>
          <w:sz w:val="14"/>
          <w:szCs w:val="14"/>
          <w:lang w:val="en-GB"/>
        </w:rPr>
        <w:t xml:space="preserve"> </w:t>
      </w:r>
      <w:r w:rsidRPr="00D93FF9">
        <w:rPr>
          <w:rFonts w:ascii="Arial" w:hAnsi="Arial" w:cs="Arial"/>
          <w:sz w:val="14"/>
          <w:szCs w:val="14"/>
          <w:lang w:val="en-GB"/>
        </w:rPr>
        <w:t>National</w:t>
      </w:r>
      <w:r w:rsidRPr="00D93FF9">
        <w:rPr>
          <w:rFonts w:ascii="Arial" w:hAnsi="Arial" w:cs="Arial"/>
          <w:spacing w:val="-5"/>
          <w:sz w:val="14"/>
          <w:szCs w:val="14"/>
          <w:lang w:val="en-GB"/>
        </w:rPr>
        <w:t xml:space="preserve"> </w:t>
      </w:r>
      <w:r w:rsidRPr="00D93FF9">
        <w:rPr>
          <w:rFonts w:ascii="Arial" w:hAnsi="Arial" w:cs="Arial"/>
          <w:sz w:val="14"/>
          <w:szCs w:val="14"/>
          <w:lang w:val="en-GB"/>
        </w:rPr>
        <w:t>Land</w:t>
      </w:r>
      <w:r w:rsidRPr="00D93FF9">
        <w:rPr>
          <w:rFonts w:ascii="Arial" w:hAnsi="Arial" w:cs="Arial"/>
          <w:spacing w:val="-5"/>
          <w:sz w:val="14"/>
          <w:szCs w:val="14"/>
          <w:lang w:val="en-GB"/>
        </w:rPr>
        <w:t xml:space="preserve"> </w:t>
      </w:r>
      <w:r w:rsidRPr="00D93FF9">
        <w:rPr>
          <w:rFonts w:ascii="Arial" w:hAnsi="Arial" w:cs="Arial"/>
          <w:sz w:val="14"/>
          <w:szCs w:val="14"/>
          <w:lang w:val="en-GB"/>
        </w:rPr>
        <w:t>and</w:t>
      </w:r>
      <w:r w:rsidRPr="00D93FF9">
        <w:rPr>
          <w:rFonts w:ascii="Arial" w:hAnsi="Arial" w:cs="Arial"/>
          <w:spacing w:val="-5"/>
          <w:sz w:val="14"/>
          <w:szCs w:val="14"/>
          <w:lang w:val="en-GB"/>
        </w:rPr>
        <w:t xml:space="preserve"> </w:t>
      </w:r>
      <w:r w:rsidRPr="00D93FF9">
        <w:rPr>
          <w:rFonts w:ascii="Arial" w:hAnsi="Arial" w:cs="Arial"/>
          <w:sz w:val="14"/>
          <w:szCs w:val="14"/>
          <w:lang w:val="en-GB"/>
        </w:rPr>
        <w:t>Water</w:t>
      </w:r>
      <w:r w:rsidRPr="00D93FF9">
        <w:rPr>
          <w:rFonts w:ascii="Arial" w:hAnsi="Arial" w:cs="Arial"/>
          <w:spacing w:val="-5"/>
          <w:sz w:val="14"/>
          <w:szCs w:val="14"/>
          <w:lang w:val="en-GB"/>
        </w:rPr>
        <w:t xml:space="preserve"> </w:t>
      </w:r>
      <w:r w:rsidRPr="00D93FF9">
        <w:rPr>
          <w:rFonts w:ascii="Arial" w:hAnsi="Arial" w:cs="Arial"/>
          <w:sz w:val="14"/>
          <w:szCs w:val="14"/>
          <w:lang w:val="en-GB"/>
        </w:rPr>
        <w:t>Resources</w:t>
      </w:r>
      <w:r w:rsidR="00086A5A" w:rsidRPr="00D93FF9">
        <w:rPr>
          <w:rFonts w:ascii="Arial" w:hAnsi="Arial" w:cs="Arial"/>
          <w:sz w:val="14"/>
          <w:szCs w:val="14"/>
          <w:lang w:val="en-GB"/>
        </w:rPr>
        <w:t xml:space="preserve"> (NLWRA)</w:t>
      </w:r>
      <w:r w:rsidRPr="00D93FF9">
        <w:rPr>
          <w:rFonts w:ascii="Arial" w:hAnsi="Arial" w:cs="Arial"/>
          <w:spacing w:val="-6"/>
          <w:sz w:val="14"/>
          <w:szCs w:val="14"/>
          <w:lang w:val="en-GB"/>
        </w:rPr>
        <w:t xml:space="preserve"> </w:t>
      </w:r>
      <w:r w:rsidRPr="00D93FF9">
        <w:rPr>
          <w:rFonts w:ascii="Arial" w:hAnsi="Arial" w:cs="Arial"/>
          <w:sz w:val="14"/>
          <w:szCs w:val="14"/>
          <w:lang w:val="en-GB"/>
        </w:rPr>
        <w:t>Audit,</w:t>
      </w:r>
      <w:r w:rsidRPr="00D93FF9">
        <w:rPr>
          <w:rFonts w:ascii="Arial" w:hAnsi="Arial" w:cs="Arial"/>
          <w:spacing w:val="-5"/>
          <w:sz w:val="14"/>
          <w:szCs w:val="14"/>
          <w:lang w:val="en-GB"/>
        </w:rPr>
        <w:t xml:space="preserve"> </w:t>
      </w:r>
      <w:r w:rsidRPr="00D93FF9">
        <w:rPr>
          <w:rFonts w:ascii="Arial" w:hAnsi="Arial" w:cs="Arial"/>
          <w:sz w:val="14"/>
          <w:szCs w:val="14"/>
          <w:lang w:val="en-GB"/>
        </w:rPr>
        <w:t>2000</w:t>
      </w:r>
      <w:r w:rsidR="00086A5A" w:rsidRPr="00D93FF9">
        <w:rPr>
          <w:rFonts w:ascii="Arial" w:hAnsi="Arial" w:cs="Arial"/>
          <w:sz w:val="14"/>
          <w:szCs w:val="14"/>
          <w:lang w:val="en-GB"/>
        </w:rPr>
        <w:t xml:space="preserve"> (NLWRA 2001)</w:t>
      </w:r>
      <w:r w:rsidRPr="00D93FF9">
        <w:rPr>
          <w:rFonts w:ascii="Arial" w:hAnsi="Arial" w:cs="Arial"/>
          <w:sz w:val="14"/>
          <w:szCs w:val="14"/>
          <w:lang w:val="en-GB"/>
        </w:rPr>
        <w:t xml:space="preserve">; and </w:t>
      </w:r>
      <w:r w:rsidRPr="00D93FF9">
        <w:rPr>
          <w:rFonts w:ascii="Arial" w:hAnsi="Arial" w:cs="Arial"/>
          <w:sz w:val="14"/>
          <w:szCs w:val="14"/>
          <w:lang w:val="en-GB"/>
        </w:rPr>
        <w:fldChar w:fldCharType="begin"/>
      </w:r>
      <w:r w:rsidR="007C2051" w:rsidRPr="00D93FF9">
        <w:rPr>
          <w:rFonts w:ascii="Arial" w:hAnsi="Arial" w:cs="Arial"/>
          <w:sz w:val="14"/>
          <w:szCs w:val="14"/>
          <w:lang w:val="en-GB"/>
        </w:rPr>
        <w:instrText xml:space="preserve"> ADDIN ZOTERO_ITEM CSL_CITATION {"citationID":"rqAdJEG6","properties":{"formattedCitation":"(ANZECC and ARMCANZ, 2000c)","plainCitation":"(ANZECC and ARMCANZ, 2000c)","noteIndex":0},"citationItems":[{"id":696,"uris":["http://zotero.org/users/1938757/items/5P82V4E9"],"uri":["http://zotero.org/users/1938757/items/5P82V4E9"],"itemData":{"id":696,"type":"book","event-place":"Canberra, Commonwealth of Australia","note":"http://www.mincos.gov.au/publications/australian_and_new_zealand_guidelines_for_fresh_and_marine_water_quality/volume_3","publisher":"National Water Quality Management Strategy (NWQMS). Australian and New Zealand Environment and Conservation Council, Agriculture and Resource Management Council of Australia and New Zealand","publisher-place":"Canberra, Commonwealth of Australia","title":"Australian and New Zealand Guidelines for Fresh and Marine Water Quality. Volume 3, Chapter 9. Primary Industries — Rationale and Background Information (Irrigation and general water uses, stock drinking water, aquaculture and human consumers of aquatic foods)","URL":"http://www.mincos.gov.au/publications/australian_and_new_zealand_guidelines_for_fresh_and_marine_water_quality/volume_3","author":[{"family":"ANZECC","given":""},{"family":"ARMCANZ","given":""}],"issued":{"date-parts":[["2000"]]}}}],"schema":"https://github.com/citation-style-language/schema/raw/master/csl-citation.json"} </w:instrText>
      </w:r>
      <w:r w:rsidRPr="00D93FF9">
        <w:rPr>
          <w:rFonts w:ascii="Arial" w:hAnsi="Arial" w:cs="Arial"/>
          <w:sz w:val="14"/>
          <w:szCs w:val="14"/>
          <w:lang w:val="en-GB"/>
        </w:rPr>
        <w:fldChar w:fldCharType="separate"/>
      </w:r>
      <w:r w:rsidR="007C2051" w:rsidRPr="00D93FF9">
        <w:rPr>
          <w:rFonts w:ascii="Arial" w:hAnsi="Arial" w:cs="Arial"/>
          <w:sz w:val="14"/>
        </w:rPr>
        <w:t>(ANZECC and ARMCANZ 2000)</w:t>
      </w:r>
      <w:r w:rsidRPr="00D93FF9">
        <w:rPr>
          <w:rFonts w:ascii="Arial" w:hAnsi="Arial" w:cs="Arial"/>
          <w:sz w:val="14"/>
          <w:szCs w:val="14"/>
          <w:lang w:val="en-GB"/>
        </w:rPr>
        <w:fldChar w:fldCharType="end"/>
      </w:r>
      <w:r w:rsidRPr="00D93FF9">
        <w:rPr>
          <w:rFonts w:ascii="Arial" w:hAnsi="Arial" w:cs="Arial"/>
          <w:sz w:val="14"/>
          <w:szCs w:val="14"/>
          <w:lang w:val="en-GB"/>
        </w:rPr>
        <w:t>. Values are averages if more than one data point and parenthesis are minimum and maximums reported</w:t>
      </w:r>
    </w:p>
    <w:p w14:paraId="59DCD7F7" w14:textId="77777777" w:rsidR="00C46175" w:rsidRPr="00D93FF9" w:rsidRDefault="00C46175" w:rsidP="003807A1">
      <w:pPr>
        <w:spacing w:after="0"/>
        <w:jc w:val="center"/>
        <w:rPr>
          <w:sz w:val="16"/>
          <w:lang w:val="en-GB"/>
        </w:rPr>
        <w:sectPr w:rsidR="00C46175" w:rsidRPr="00D93FF9" w:rsidSect="003807A1">
          <w:headerReference w:type="even" r:id="rId54"/>
          <w:headerReference w:type="default" r:id="rId55"/>
          <w:footerReference w:type="default" r:id="rId56"/>
          <w:headerReference w:type="first" r:id="rId57"/>
          <w:pgSz w:w="11900" w:h="16840"/>
          <w:pgMar w:top="1440" w:right="1440" w:bottom="1440" w:left="1440" w:header="0" w:footer="738" w:gutter="0"/>
          <w:cols w:space="720"/>
        </w:sectPr>
      </w:pPr>
    </w:p>
    <w:p w14:paraId="59DCD7F8" w14:textId="77777777" w:rsidR="00C46175" w:rsidRPr="00D93FF9" w:rsidRDefault="00E811B8" w:rsidP="007C248C">
      <w:pPr>
        <w:pStyle w:val="Heading4"/>
        <w:rPr>
          <w:lang w:val="en-GB"/>
        </w:rPr>
      </w:pPr>
      <w:bookmarkStart w:id="292" w:name="Nitrogen_gaseous_losses"/>
      <w:bookmarkEnd w:id="292"/>
      <w:r w:rsidRPr="00D93FF9">
        <w:rPr>
          <w:lang w:val="en-GB"/>
        </w:rPr>
        <w:lastRenderedPageBreak/>
        <w:t>Nitrogen gaseous losses</w:t>
      </w:r>
    </w:p>
    <w:p w14:paraId="59DCD7F9" w14:textId="77777777" w:rsidR="00C46175" w:rsidRPr="00D93FF9" w:rsidRDefault="00E811B8" w:rsidP="003807A1">
      <w:pPr>
        <w:pStyle w:val="BodyText"/>
        <w:spacing w:after="0" w:line="254" w:lineRule="auto"/>
        <w:jc w:val="both"/>
        <w:rPr>
          <w:lang w:val="en-GB"/>
        </w:rPr>
      </w:pPr>
      <w:r w:rsidRPr="00D93FF9">
        <w:rPr>
          <w:lang w:val="en-GB"/>
        </w:rPr>
        <w:t>Nitrogen losses are generally through either denitrification (microbial conversion of NO</w:t>
      </w:r>
      <w:r w:rsidRPr="00D93FF9">
        <w:rPr>
          <w:vertAlign w:val="subscript"/>
          <w:lang w:val="en-GB"/>
        </w:rPr>
        <w:t>3</w:t>
      </w:r>
      <w:r w:rsidRPr="00D93FF9">
        <w:rPr>
          <w:vertAlign w:val="superscript"/>
          <w:lang w:val="en-GB"/>
        </w:rPr>
        <w:t>-</w:t>
      </w:r>
      <w:r w:rsidRPr="00D93FF9">
        <w:rPr>
          <w:lang w:val="en-GB"/>
        </w:rPr>
        <w:t xml:space="preserve"> to N</w:t>
      </w:r>
      <w:r w:rsidRPr="00D93FF9">
        <w:rPr>
          <w:position w:val="-4"/>
          <w:sz w:val="15"/>
          <w:lang w:val="en-GB"/>
        </w:rPr>
        <w:t xml:space="preserve">2 </w:t>
      </w:r>
      <w:r w:rsidRPr="00D93FF9">
        <w:rPr>
          <w:lang w:val="en-GB"/>
        </w:rPr>
        <w:t>or N</w:t>
      </w:r>
      <w:r w:rsidRPr="00D93FF9">
        <w:rPr>
          <w:position w:val="-4"/>
          <w:sz w:val="15"/>
          <w:lang w:val="en-GB"/>
        </w:rPr>
        <w:t>2</w:t>
      </w:r>
      <w:r w:rsidRPr="00D93FF9">
        <w:rPr>
          <w:lang w:val="en-GB"/>
        </w:rPr>
        <w:t>O) or volatilisation (chemically NH</w:t>
      </w:r>
      <w:r w:rsidRPr="00D93FF9">
        <w:rPr>
          <w:vertAlign w:val="subscript"/>
          <w:lang w:val="en-GB"/>
        </w:rPr>
        <w:t>3</w:t>
      </w:r>
      <w:r w:rsidRPr="00D93FF9">
        <w:rPr>
          <w:lang w:val="en-GB"/>
        </w:rPr>
        <w:t xml:space="preserve"> (aqueous) is converted to NH</w:t>
      </w:r>
      <w:r w:rsidRPr="00D93FF9">
        <w:rPr>
          <w:vertAlign w:val="subscript"/>
          <w:lang w:val="en-GB"/>
        </w:rPr>
        <w:t>3</w:t>
      </w:r>
      <w:r w:rsidRPr="00D93FF9">
        <w:rPr>
          <w:lang w:val="en-GB"/>
        </w:rPr>
        <w:t xml:space="preserve"> (gaseous) under favourable conditions).</w:t>
      </w:r>
    </w:p>
    <w:p w14:paraId="59DCD7FA" w14:textId="77777777" w:rsidR="00C46175" w:rsidRPr="00D93FF9" w:rsidRDefault="00E811B8" w:rsidP="003807A1">
      <w:pPr>
        <w:pStyle w:val="BodyText"/>
        <w:spacing w:after="0" w:line="266" w:lineRule="auto"/>
        <w:jc w:val="both"/>
        <w:rPr>
          <w:lang w:val="en-GB"/>
        </w:rPr>
      </w:pPr>
      <w:r w:rsidRPr="00D93FF9">
        <w:rPr>
          <w:lang w:val="en-GB"/>
        </w:rPr>
        <w:t xml:space="preserve">Monnett et al. (1995) found that </w:t>
      </w:r>
      <w:r w:rsidRPr="00D93FF9">
        <w:rPr>
          <w:spacing w:val="-3"/>
          <w:lang w:val="en-GB"/>
        </w:rPr>
        <w:t xml:space="preserve">nitrogen removal via </w:t>
      </w:r>
      <w:r w:rsidRPr="00D93FF9">
        <w:rPr>
          <w:lang w:val="en-GB"/>
        </w:rPr>
        <w:t xml:space="preserve">denitrification from spray </w:t>
      </w:r>
      <w:r w:rsidRPr="00D93FF9">
        <w:rPr>
          <w:spacing w:val="-3"/>
          <w:lang w:val="en-GB"/>
        </w:rPr>
        <w:t xml:space="preserve">irrigation </w:t>
      </w:r>
      <w:r w:rsidRPr="00D93FF9">
        <w:rPr>
          <w:lang w:val="en-GB"/>
        </w:rPr>
        <w:t xml:space="preserve">of </w:t>
      </w:r>
      <w:r w:rsidRPr="00D93FF9">
        <w:rPr>
          <w:spacing w:val="-3"/>
          <w:lang w:val="en-GB"/>
        </w:rPr>
        <w:t xml:space="preserve">reclaimed </w:t>
      </w:r>
      <w:r w:rsidRPr="00D93FF9">
        <w:rPr>
          <w:lang w:val="en-GB"/>
        </w:rPr>
        <w:t xml:space="preserve">water fluctuated due to the alternating aerobic and anaerobic (anoxic) conditions caused by </w:t>
      </w:r>
      <w:r w:rsidRPr="00D93FF9">
        <w:rPr>
          <w:spacing w:val="-3"/>
          <w:lang w:val="en-GB"/>
        </w:rPr>
        <w:t xml:space="preserve">irrigation frequency. Gaseous </w:t>
      </w:r>
      <w:r w:rsidR="00C376A4" w:rsidRPr="00D93FF9">
        <w:rPr>
          <w:spacing w:val="-3"/>
          <w:lang w:val="en-GB"/>
        </w:rPr>
        <w:t>nitrogen</w:t>
      </w:r>
      <w:r w:rsidR="00C376A4" w:rsidRPr="00D93FF9">
        <w:rPr>
          <w:lang w:val="en-GB"/>
        </w:rPr>
        <w:t xml:space="preserve"> </w:t>
      </w:r>
      <w:r w:rsidRPr="00D93FF9">
        <w:rPr>
          <w:lang w:val="en-GB"/>
        </w:rPr>
        <w:t xml:space="preserve">losses </w:t>
      </w:r>
      <w:r w:rsidRPr="00D93FF9">
        <w:rPr>
          <w:spacing w:val="-3"/>
          <w:lang w:val="en-GB"/>
        </w:rPr>
        <w:t xml:space="preserve">averaged </w:t>
      </w:r>
      <w:r w:rsidRPr="00D93FF9">
        <w:rPr>
          <w:lang w:val="en-GB"/>
        </w:rPr>
        <w:t xml:space="preserve">5.3 and </w:t>
      </w:r>
      <w:r w:rsidRPr="00D93FF9">
        <w:rPr>
          <w:spacing w:val="-3"/>
          <w:lang w:val="en-GB"/>
        </w:rPr>
        <w:t xml:space="preserve">26.2% </w:t>
      </w:r>
      <w:r w:rsidRPr="00D93FF9">
        <w:rPr>
          <w:lang w:val="en-GB"/>
        </w:rPr>
        <w:t xml:space="preserve">of </w:t>
      </w:r>
      <w:r w:rsidRPr="00D93FF9">
        <w:rPr>
          <w:spacing w:val="-3"/>
          <w:lang w:val="en-GB"/>
        </w:rPr>
        <w:t xml:space="preserve">applied nitrogen </w:t>
      </w:r>
      <w:r w:rsidRPr="00D93FF9">
        <w:rPr>
          <w:lang w:val="en-GB"/>
        </w:rPr>
        <w:t xml:space="preserve">at the 12 and 25 </w:t>
      </w:r>
      <w:r w:rsidRPr="00D93FF9">
        <w:rPr>
          <w:spacing w:val="-4"/>
          <w:lang w:val="en-GB"/>
        </w:rPr>
        <w:t xml:space="preserve">mm </w:t>
      </w:r>
      <w:r w:rsidRPr="00D93FF9">
        <w:rPr>
          <w:lang w:val="en-GB"/>
        </w:rPr>
        <w:t xml:space="preserve">per </w:t>
      </w:r>
      <w:r w:rsidRPr="00D93FF9">
        <w:rPr>
          <w:spacing w:val="-3"/>
          <w:lang w:val="en-GB"/>
        </w:rPr>
        <w:t xml:space="preserve">week </w:t>
      </w:r>
      <w:r w:rsidRPr="00D93FF9">
        <w:rPr>
          <w:lang w:val="en-GB"/>
        </w:rPr>
        <w:t xml:space="preserve">loading </w:t>
      </w:r>
      <w:r w:rsidRPr="00D93FF9">
        <w:rPr>
          <w:spacing w:val="-3"/>
          <w:lang w:val="en-GB"/>
        </w:rPr>
        <w:t xml:space="preserve">rates, respectively. Monnett </w:t>
      </w:r>
      <w:r w:rsidRPr="00D93FF9">
        <w:rPr>
          <w:lang w:val="en-GB"/>
        </w:rPr>
        <w:t xml:space="preserve">et al. </w:t>
      </w:r>
      <w:r w:rsidRPr="00D93FF9">
        <w:rPr>
          <w:spacing w:val="-3"/>
          <w:lang w:val="en-GB"/>
        </w:rPr>
        <w:t xml:space="preserve">(1995) summarised </w:t>
      </w:r>
      <w:r w:rsidRPr="00D93FF9">
        <w:rPr>
          <w:lang w:val="en-GB"/>
        </w:rPr>
        <w:t xml:space="preserve">that both </w:t>
      </w:r>
      <w:r w:rsidRPr="00D93FF9">
        <w:rPr>
          <w:spacing w:val="-3"/>
          <w:lang w:val="en-GB"/>
        </w:rPr>
        <w:t xml:space="preserve">nitrogen </w:t>
      </w:r>
      <w:r w:rsidRPr="00D93FF9">
        <w:rPr>
          <w:lang w:val="en-GB"/>
        </w:rPr>
        <w:t>and carbon</w:t>
      </w:r>
      <w:r w:rsidR="00D2753D" w:rsidRPr="00D93FF9">
        <w:rPr>
          <w:lang w:val="en-GB"/>
        </w:rPr>
        <w:t xml:space="preserve"> limited the soils’ denitrifying capacity and</w:t>
      </w:r>
      <w:r w:rsidRPr="00D93FF9">
        <w:rPr>
          <w:lang w:val="en-GB"/>
        </w:rPr>
        <w:t xml:space="preserve"> </w:t>
      </w:r>
      <w:r w:rsidRPr="00D93FF9">
        <w:rPr>
          <w:spacing w:val="-3"/>
          <w:lang w:val="en-GB"/>
        </w:rPr>
        <w:t>maintain</w:t>
      </w:r>
      <w:r w:rsidR="00D2753D" w:rsidRPr="00D93FF9">
        <w:rPr>
          <w:spacing w:val="-3"/>
          <w:lang w:val="en-GB"/>
        </w:rPr>
        <w:t>ed</w:t>
      </w:r>
      <w:r w:rsidRPr="00D93FF9">
        <w:rPr>
          <w:spacing w:val="-3"/>
          <w:lang w:val="en-GB"/>
        </w:rPr>
        <w:t xml:space="preserve"> reclaimed </w:t>
      </w:r>
      <w:r w:rsidRPr="00D93FF9">
        <w:rPr>
          <w:lang w:val="en-GB"/>
        </w:rPr>
        <w:t xml:space="preserve">water in the upper, </w:t>
      </w:r>
      <w:r w:rsidRPr="00D93FF9">
        <w:rPr>
          <w:spacing w:val="-3"/>
          <w:lang w:val="en-GB"/>
        </w:rPr>
        <w:t xml:space="preserve">more microbially active, </w:t>
      </w:r>
      <w:r w:rsidRPr="00D93FF9">
        <w:rPr>
          <w:lang w:val="en-GB"/>
        </w:rPr>
        <w:t xml:space="preserve">part of the soil </w:t>
      </w:r>
      <w:r w:rsidRPr="00D93FF9">
        <w:rPr>
          <w:spacing w:val="-3"/>
          <w:lang w:val="en-GB"/>
        </w:rPr>
        <w:t xml:space="preserve">column through </w:t>
      </w:r>
      <w:r w:rsidRPr="00D93FF9">
        <w:rPr>
          <w:lang w:val="en-GB"/>
        </w:rPr>
        <w:t xml:space="preserve">split applications, </w:t>
      </w:r>
      <w:r w:rsidR="00D2753D" w:rsidRPr="00D93FF9">
        <w:rPr>
          <w:lang w:val="en-GB"/>
        </w:rPr>
        <w:t xml:space="preserve">which </w:t>
      </w:r>
      <w:r w:rsidRPr="00D93FF9">
        <w:rPr>
          <w:spacing w:val="-2"/>
          <w:lang w:val="en-GB"/>
        </w:rPr>
        <w:t xml:space="preserve">was </w:t>
      </w:r>
      <w:r w:rsidRPr="00D93FF9">
        <w:rPr>
          <w:spacing w:val="-3"/>
          <w:lang w:val="en-GB"/>
        </w:rPr>
        <w:t xml:space="preserve">important </w:t>
      </w:r>
      <w:r w:rsidRPr="00D93FF9">
        <w:rPr>
          <w:lang w:val="en-GB"/>
        </w:rPr>
        <w:t xml:space="preserve">to </w:t>
      </w:r>
      <w:r w:rsidRPr="00D93FF9">
        <w:rPr>
          <w:spacing w:val="-3"/>
          <w:lang w:val="en-GB"/>
        </w:rPr>
        <w:t xml:space="preserve">nitrogen removal via </w:t>
      </w:r>
      <w:r w:rsidRPr="00D93FF9">
        <w:rPr>
          <w:lang w:val="en-GB"/>
        </w:rPr>
        <w:t>denitrification.</w:t>
      </w:r>
    </w:p>
    <w:p w14:paraId="59DCD7FB" w14:textId="77777777" w:rsidR="00C46175" w:rsidRPr="00D93FF9" w:rsidRDefault="00E811B8" w:rsidP="003807A1">
      <w:pPr>
        <w:pStyle w:val="BodyText"/>
        <w:spacing w:after="0" w:line="266" w:lineRule="auto"/>
        <w:jc w:val="both"/>
        <w:rPr>
          <w:lang w:val="en-GB"/>
        </w:rPr>
      </w:pPr>
      <w:r w:rsidRPr="00D93FF9">
        <w:rPr>
          <w:lang w:val="en-GB"/>
        </w:rPr>
        <w:t xml:space="preserve">Denitrification is enhanced by anaerobic conditions and </w:t>
      </w:r>
      <w:r w:rsidRPr="00D93FF9">
        <w:rPr>
          <w:spacing w:val="-3"/>
          <w:lang w:val="en-GB"/>
        </w:rPr>
        <w:t xml:space="preserve">greater </w:t>
      </w:r>
      <w:r w:rsidRPr="00D93FF9">
        <w:rPr>
          <w:lang w:val="en-GB"/>
        </w:rPr>
        <w:t xml:space="preserve">nitrate concentrations in </w:t>
      </w:r>
      <w:r w:rsidRPr="00D93FF9">
        <w:rPr>
          <w:spacing w:val="-2"/>
          <w:lang w:val="en-GB"/>
        </w:rPr>
        <w:t xml:space="preserve">the </w:t>
      </w:r>
      <w:r w:rsidRPr="00D93FF9">
        <w:rPr>
          <w:spacing w:val="-3"/>
          <w:lang w:val="en-GB"/>
        </w:rPr>
        <w:t xml:space="preserve">more microbially active </w:t>
      </w:r>
      <w:r w:rsidRPr="00D93FF9">
        <w:rPr>
          <w:lang w:val="en-GB"/>
        </w:rPr>
        <w:t xml:space="preserve">topsoil (Monnett et al. 1995). </w:t>
      </w:r>
      <w:r w:rsidR="00D2753D" w:rsidRPr="00D93FF9">
        <w:rPr>
          <w:spacing w:val="-4"/>
        </w:rPr>
        <w:t>Suppose forms of nitrogen are transformed during water storage or irrigation to nitrate. In that cas</w:t>
      </w:r>
      <w:r w:rsidR="00D2753D" w:rsidRPr="00D93FF9">
        <w:t>e</w:t>
      </w:r>
      <w:r w:rsidR="00D2753D" w:rsidRPr="00D93FF9">
        <w:rPr>
          <w:spacing w:val="-4"/>
          <w:lang w:val="en-GB"/>
        </w:rPr>
        <w:t xml:space="preserve"> </w:t>
      </w:r>
      <w:r w:rsidRPr="00D93FF9">
        <w:rPr>
          <w:lang w:val="en-GB"/>
        </w:rPr>
        <w:t xml:space="preserve">this form is </w:t>
      </w:r>
      <w:r w:rsidRPr="00D93FF9">
        <w:rPr>
          <w:spacing w:val="-3"/>
          <w:lang w:val="en-GB"/>
        </w:rPr>
        <w:t xml:space="preserve">more </w:t>
      </w:r>
      <w:r w:rsidRPr="00D93FF9">
        <w:rPr>
          <w:lang w:val="en-GB"/>
        </w:rPr>
        <w:t xml:space="preserve">readily </w:t>
      </w:r>
      <w:r w:rsidRPr="00D93FF9">
        <w:rPr>
          <w:spacing w:val="-3"/>
          <w:lang w:val="en-GB"/>
        </w:rPr>
        <w:t xml:space="preserve">available </w:t>
      </w:r>
      <w:r w:rsidRPr="00D93FF9">
        <w:rPr>
          <w:lang w:val="en-GB"/>
        </w:rPr>
        <w:t xml:space="preserve">to the plant, </w:t>
      </w:r>
      <w:r w:rsidRPr="00D93FF9">
        <w:rPr>
          <w:spacing w:val="-2"/>
          <w:lang w:val="en-GB"/>
        </w:rPr>
        <w:t xml:space="preserve">but </w:t>
      </w:r>
      <w:r w:rsidRPr="00D93FF9">
        <w:rPr>
          <w:lang w:val="en-GB"/>
        </w:rPr>
        <w:t xml:space="preserve">also readily </w:t>
      </w:r>
      <w:r w:rsidRPr="00D93FF9">
        <w:rPr>
          <w:spacing w:val="-3"/>
          <w:lang w:val="en-GB"/>
        </w:rPr>
        <w:t xml:space="preserve">undergoes </w:t>
      </w:r>
      <w:r w:rsidRPr="00D93FF9">
        <w:rPr>
          <w:lang w:val="en-GB"/>
        </w:rPr>
        <w:t xml:space="preserve">denitrification to a </w:t>
      </w:r>
      <w:r w:rsidRPr="00D93FF9">
        <w:rPr>
          <w:spacing w:val="-3"/>
          <w:lang w:val="en-GB"/>
        </w:rPr>
        <w:t xml:space="preserve">gaseous </w:t>
      </w:r>
      <w:r w:rsidRPr="00D93FF9">
        <w:rPr>
          <w:lang w:val="en-GB"/>
        </w:rPr>
        <w:t xml:space="preserve">form that is lost from the plant/soil </w:t>
      </w:r>
      <w:r w:rsidRPr="00D93FF9">
        <w:rPr>
          <w:spacing w:val="-3"/>
          <w:lang w:val="en-GB"/>
        </w:rPr>
        <w:t>system.</w:t>
      </w:r>
    </w:p>
    <w:p w14:paraId="59DCD7FC" w14:textId="1CB2F572" w:rsidR="00C46175" w:rsidRPr="00D93FF9" w:rsidRDefault="00E811B8" w:rsidP="003807A1">
      <w:pPr>
        <w:pStyle w:val="BodyText"/>
        <w:spacing w:after="0" w:line="266" w:lineRule="auto"/>
        <w:jc w:val="both"/>
        <w:rPr>
          <w:lang w:val="en-GB"/>
        </w:rPr>
      </w:pPr>
      <w:r w:rsidRPr="00D93FF9">
        <w:rPr>
          <w:lang w:val="en-GB"/>
        </w:rPr>
        <w:t>Smith et al. (1996) found losses of ammonia through volatilisation following reclaimed water irrigation of pasture at Wagga Wagga, New South Wales. Ammonia flux density was strongly related to evaporation</w:t>
      </w:r>
      <w:r w:rsidR="00D2753D" w:rsidRPr="00D93FF9">
        <w:rPr>
          <w:lang w:val="en-GB"/>
        </w:rPr>
        <w:t>. W</w:t>
      </w:r>
      <w:r w:rsidRPr="00D93FF9">
        <w:rPr>
          <w:lang w:val="en-GB"/>
        </w:rPr>
        <w:t xml:space="preserve">hen the reclaimed water evaporated, ammonia was lost to the atmosphere. Under high evaporative conditions, a maximum of 24% of the ammoniacal-N in the reclaimed water was lost by volatilisation within 2 days of application. Growing vegetables under commercial conditions near Melbourne, Smith et al. (1983) showed that during irrigation with reclaimed water, 38–82% of the ammonia was lost by volatilisation during storage and, in addition, 25% of the remaining ammonia was lost during irrigation and from the soil’s surface. The major factors </w:t>
      </w:r>
      <w:r w:rsidR="00D2753D" w:rsidRPr="00D93FF9">
        <w:rPr>
          <w:lang w:val="en-GB"/>
        </w:rPr>
        <w:t xml:space="preserve">that </w:t>
      </w:r>
      <w:r w:rsidRPr="00D93FF9">
        <w:rPr>
          <w:lang w:val="en-GB"/>
        </w:rPr>
        <w:t>influence ammonia</w:t>
      </w:r>
      <w:r w:rsidR="00D2753D" w:rsidRPr="00D93FF9">
        <w:rPr>
          <w:lang w:val="en-GB"/>
        </w:rPr>
        <w:t>’s volatilisation</w:t>
      </w:r>
      <w:r w:rsidRPr="00D93FF9">
        <w:rPr>
          <w:lang w:val="en-GB"/>
        </w:rPr>
        <w:t xml:space="preserve"> are wind speed, soil/air temperature, and pH (Freney et al. 1983</w:t>
      </w:r>
      <w:r w:rsidR="002A6496" w:rsidRPr="00D93FF9">
        <w:rPr>
          <w:lang w:val="en-GB"/>
        </w:rPr>
        <w:t>;</w:t>
      </w:r>
      <w:r w:rsidRPr="00D93FF9">
        <w:rPr>
          <w:lang w:val="en-GB"/>
        </w:rPr>
        <w:t xml:space="preserve"> Smith et al. 1996), as they increas</w:t>
      </w:r>
      <w:r w:rsidR="0062140A" w:rsidRPr="00D93FF9">
        <w:rPr>
          <w:lang w:val="en-GB"/>
        </w:rPr>
        <w:t>e</w:t>
      </w:r>
      <w:r w:rsidR="00D2753D" w:rsidRPr="00D93FF9">
        <w:rPr>
          <w:lang w:val="en-GB"/>
        </w:rPr>
        <w:t>d</w:t>
      </w:r>
      <w:r w:rsidRPr="00D93FF9">
        <w:rPr>
          <w:lang w:val="en-GB"/>
        </w:rPr>
        <w:t xml:space="preserve"> (pH&gt;7) volatilisation increases.</w:t>
      </w:r>
      <w:r w:rsidR="00EE6BF5" w:rsidRPr="00D93FF9">
        <w:rPr>
          <w:lang w:val="en-GB"/>
        </w:rPr>
        <w:t xml:space="preserve"> The m</w:t>
      </w:r>
      <w:r w:rsidR="00EE6BF5" w:rsidRPr="00D93FF9">
        <w:t xml:space="preserve">ethod of irrigation also has major impact on ammonia volatilisation during irrigation application </w:t>
      </w:r>
      <w:r w:rsidR="00EE6BF5" w:rsidRPr="00D93FF9">
        <w:fldChar w:fldCharType="begin"/>
      </w:r>
      <w:r w:rsidR="00EE6BF5" w:rsidRPr="00D93FF9">
        <w:instrText xml:space="preserve"> ADDIN ZOTERO_ITEM CSL_CITATION {"citationID":"1ROxmJ5o","properties":{"formattedCitation":"(Smith et al., 1996; DES QLD, 2015)","plainCitation":"(Smith et al., 1996; DES QLD, 2015)","noteIndex":0},"citationItems":[{"id":2055,"uris":["http://zotero.org/users/1938757/items/CMB58T6M"],"uri":["http://zotero.org/users/1938757/items/CMB58T6M"],"itemData":{"id":2055,"type":"article-journal","abstract":"Losses of ammonia (NH3) following sewage effluent irrigation of pasture were measured under different climatic conditions at Wagga Wagga, New South Wales. Ammonia volatilisation was measured by the micrometeorological mass balance technique using 2 different passive samplers, and by an indirect technique based on the measurements of ammoniacal-N (NH4++NH3) concentration, pH, and temperature of the soil solution in the 0-3 mm soil layer, and wind speed at 1.2 m above the soil surface. Maximal NH3 emission rates were measured directly following the effluent-irrigation. There was reasonable agreement between the 2 different passive gas samplers used to measure NH3 volatilisation. The NH3 volatilised was well related to the product of wind speed and the equilibrium ammonia concentration (calculated from the soil solution measurements) as was found in other studies. In addition, NH3 flux density was strongly related to evaporation; that is, when the water (effluent) evaporated NH3 was lost to the atmosphere. Under high evaporative conditions, a maximum of 24% of the ammoniacal-N in the effluent was lost by volatilisation within 2 days of application. [References: 33]","container-title":"Australian Journal of Soil Research","note":"https://www.publish.csiro.au/SR/SR9960789","page":"789-802","title":"Ammonia volatilisation from soil irrigated with urban sewage effluent","URL":"https://doi.org/10.1071/SR9960789","volume":"34","author":[{"family":"Smith","given":"C. J."},{"family":"Freney","given":"J. R."},{"family":"Bond","given":"W. J."}],"issued":{"date-parts":[["1996"]]}}},{"id":35212,"uris":["http://zotero.org/users/1938757/items/4AFKAITM"],"uri":["http://zotero.org/users/1938757/items/4AFKAITM"],"itemData":{"id":35212,"type":"webpage","note":"https://www.daf.qld.gov.au/__data/assets/pdf_file/0003/68088/MedBrochureV1_3.pdf","title":"MEDLI - Software for effluent reuse schemes. Version 2","URL":"https://science.des.qld.gov.au/government/science-division/medli","author":[{"family":"DES QLD","given":""}],"issued":{"date-parts":[["2015"]]}}}],"schema":"https://github.com/citation-style-language/schema/raw/master/csl-citation.json"} </w:instrText>
      </w:r>
      <w:r w:rsidR="00EE6BF5" w:rsidRPr="00D93FF9">
        <w:fldChar w:fldCharType="separate"/>
      </w:r>
      <w:r w:rsidR="00EE6BF5" w:rsidRPr="00D93FF9">
        <w:rPr>
          <w:rFonts w:ascii="Calibri" w:hAnsi="Calibri" w:cs="Calibri"/>
        </w:rPr>
        <w:t>(Smith et al. 1996; DES QLD 2015)</w:t>
      </w:r>
      <w:r w:rsidR="00EE6BF5" w:rsidRPr="00D93FF9">
        <w:fldChar w:fldCharType="end"/>
      </w:r>
      <w:r w:rsidR="00EE6BF5" w:rsidRPr="00D93FF9">
        <w:t>.</w:t>
      </w:r>
    </w:p>
    <w:p w14:paraId="59DCD7FD" w14:textId="77777777" w:rsidR="00C46175" w:rsidRPr="00D93FF9" w:rsidRDefault="00C46175" w:rsidP="003807A1">
      <w:pPr>
        <w:pStyle w:val="BodyText"/>
        <w:spacing w:after="0" w:line="20" w:lineRule="exact"/>
        <w:rPr>
          <w:rFonts w:ascii="Arial"/>
          <w:sz w:val="2"/>
          <w:lang w:val="en-GB"/>
        </w:rPr>
      </w:pPr>
    </w:p>
    <w:p w14:paraId="59DCD7FE" w14:textId="77777777" w:rsidR="00C46175" w:rsidRPr="00D93FF9" w:rsidRDefault="00C46175" w:rsidP="003807A1">
      <w:pPr>
        <w:pStyle w:val="BodyText"/>
        <w:spacing w:after="0" w:line="20" w:lineRule="exact"/>
        <w:rPr>
          <w:rFonts w:ascii="Arial"/>
          <w:sz w:val="2"/>
          <w:lang w:val="en-GB"/>
        </w:rPr>
      </w:pPr>
      <w:bookmarkStart w:id="293" w:name="9.2.6.3__Phosphorus"/>
      <w:bookmarkStart w:id="294" w:name="Effects_on_crop_growth_and_off-site_cons"/>
      <w:bookmarkEnd w:id="293"/>
      <w:bookmarkEnd w:id="294"/>
    </w:p>
    <w:p w14:paraId="59DCD7FF" w14:textId="77777777" w:rsidR="00C46175" w:rsidRPr="00D93FF9" w:rsidRDefault="00E811B8" w:rsidP="007C248C">
      <w:pPr>
        <w:pStyle w:val="Heading3"/>
        <w:rPr>
          <w:lang w:val="en-GB"/>
        </w:rPr>
      </w:pPr>
      <w:bookmarkStart w:id="295" w:name="_Ref73303003"/>
      <w:bookmarkStart w:id="296" w:name="_Toc96693604"/>
      <w:r w:rsidRPr="00D93FF9">
        <w:rPr>
          <w:lang w:val="en-GB"/>
        </w:rPr>
        <w:t>Phosphorus</w:t>
      </w:r>
      <w:bookmarkEnd w:id="295"/>
      <w:bookmarkEnd w:id="296"/>
    </w:p>
    <w:p w14:paraId="59DCD800" w14:textId="77777777" w:rsidR="00C46175" w:rsidRPr="00D93FF9" w:rsidRDefault="00E811B8" w:rsidP="00DF199A">
      <w:pPr>
        <w:pStyle w:val="Heading5"/>
        <w:spacing w:before="200" w:after="200" w:line="245" w:lineRule="auto"/>
        <w:ind w:left="284"/>
        <w:rPr>
          <w:i/>
          <w:iCs/>
          <w:lang w:val="en-GB"/>
        </w:rPr>
      </w:pPr>
      <w:r w:rsidRPr="00D93FF9">
        <w:rPr>
          <w:i/>
          <w:iCs/>
          <w:lang w:val="en-GB"/>
        </w:rPr>
        <w:t>It is recommended that the concentration of phosphorus in irrigation waters should be less than the following:</w:t>
      </w:r>
    </w:p>
    <w:tbl>
      <w:tblPr>
        <w:tblW w:w="0" w:type="auto"/>
        <w:tblInd w:w="22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240"/>
        <w:gridCol w:w="2160"/>
      </w:tblGrid>
      <w:tr w:rsidR="00BE3AA8" w:rsidRPr="00D93FF9" w14:paraId="59DCD803" w14:textId="77777777" w:rsidTr="00265563">
        <w:trPr>
          <w:trHeight w:val="378"/>
        </w:trPr>
        <w:tc>
          <w:tcPr>
            <w:tcW w:w="6240" w:type="dxa"/>
          </w:tcPr>
          <w:p w14:paraId="59DCD801" w14:textId="77777777" w:rsidR="00DF199A" w:rsidRPr="00D93FF9" w:rsidRDefault="00E811B8" w:rsidP="00265563">
            <w:pPr>
              <w:pStyle w:val="TableParagraph"/>
              <w:spacing w:before="0" w:after="0"/>
              <w:rPr>
                <w:sz w:val="16"/>
                <w:lang w:val="en-GB"/>
              </w:rPr>
            </w:pPr>
            <w:r w:rsidRPr="00D93FF9">
              <w:rPr>
                <w:rFonts w:asciiTheme="minorHAnsi" w:hAnsiTheme="minorHAnsi"/>
                <w:sz w:val="18"/>
                <w:szCs w:val="18"/>
                <w:lang w:val="en-GB"/>
              </w:rPr>
              <w:t>DGV Default guideline value in irrigation water</w:t>
            </w:r>
          </w:p>
        </w:tc>
        <w:tc>
          <w:tcPr>
            <w:tcW w:w="2160" w:type="dxa"/>
          </w:tcPr>
          <w:p w14:paraId="59DCD802" w14:textId="77777777" w:rsidR="00DF199A" w:rsidRPr="00D93FF9" w:rsidRDefault="00E811B8" w:rsidP="00265563">
            <w:pPr>
              <w:pStyle w:val="TableParagraph"/>
              <w:spacing w:before="0" w:after="0"/>
              <w:rPr>
                <w:sz w:val="16"/>
                <w:lang w:val="en-GB"/>
              </w:rPr>
            </w:pPr>
            <w:r w:rsidRPr="00D93FF9">
              <w:rPr>
                <w:sz w:val="16"/>
                <w:lang w:val="en-GB"/>
              </w:rPr>
              <w:t>0.05 mg/L</w:t>
            </w:r>
          </w:p>
        </w:tc>
      </w:tr>
      <w:tr w:rsidR="00BE3AA8" w:rsidRPr="00D93FF9" w14:paraId="59DCD806" w14:textId="77777777" w:rsidTr="00265563">
        <w:trPr>
          <w:trHeight w:val="378"/>
        </w:trPr>
        <w:tc>
          <w:tcPr>
            <w:tcW w:w="6240" w:type="dxa"/>
          </w:tcPr>
          <w:p w14:paraId="59DCD804" w14:textId="77777777" w:rsidR="00DF199A" w:rsidRPr="00D93FF9" w:rsidRDefault="00E811B8" w:rsidP="00265563">
            <w:pPr>
              <w:pStyle w:val="TableParagraph"/>
              <w:tabs>
                <w:tab w:val="left" w:pos="4679"/>
              </w:tabs>
              <w:spacing w:before="0" w:after="0"/>
              <w:rPr>
                <w:b/>
                <w:sz w:val="16"/>
                <w:lang w:val="en-GB"/>
              </w:rPr>
            </w:pPr>
            <w:r w:rsidRPr="00D93FF9">
              <w:rPr>
                <w:rFonts w:asciiTheme="minorHAnsi" w:hAnsiTheme="minorHAnsi"/>
                <w:sz w:val="18"/>
                <w:szCs w:val="18"/>
                <w:lang w:val="en-GB"/>
              </w:rPr>
              <w:t>SGV Site specific guideline value in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irrigation</w:t>
            </w:r>
            <w:r w:rsidRPr="00D93FF9">
              <w:rPr>
                <w:rFonts w:asciiTheme="minorHAnsi" w:hAnsiTheme="minorHAnsi"/>
                <w:spacing w:val="-2"/>
                <w:sz w:val="18"/>
                <w:szCs w:val="18"/>
                <w:lang w:val="en-GB"/>
              </w:rPr>
              <w:t xml:space="preserve"> </w:t>
            </w:r>
            <w:r w:rsidRPr="00D93FF9">
              <w:rPr>
                <w:rFonts w:asciiTheme="minorHAnsi" w:hAnsiTheme="minorHAnsi"/>
                <w:sz w:val="18"/>
                <w:szCs w:val="18"/>
                <w:lang w:val="en-GB"/>
              </w:rPr>
              <w:t>water</w:t>
            </w:r>
          </w:p>
        </w:tc>
        <w:tc>
          <w:tcPr>
            <w:tcW w:w="2160" w:type="dxa"/>
          </w:tcPr>
          <w:p w14:paraId="59DCD805" w14:textId="242CB6CC" w:rsidR="00DF199A" w:rsidRPr="00D93FF9" w:rsidRDefault="003005A4" w:rsidP="00265563">
            <w:pPr>
              <w:pStyle w:val="TableParagraph"/>
              <w:spacing w:before="0" w:after="0"/>
              <w:rPr>
                <w:sz w:val="16"/>
                <w:lang w:val="en-GB"/>
              </w:rPr>
            </w:pPr>
            <w:r w:rsidRPr="00D93FF9">
              <w:rPr>
                <w:sz w:val="16"/>
                <w:lang w:val="en-GB"/>
              </w:rPr>
              <w:t>as calculated</w:t>
            </w:r>
            <w:r w:rsidR="00E811B8" w:rsidRPr="00D93FF9">
              <w:rPr>
                <w:sz w:val="16"/>
                <w:lang w:val="en-GB"/>
              </w:rPr>
              <w:t xml:space="preserve"> mg/L</w:t>
            </w:r>
            <w:r w:rsidR="00E811B8" w:rsidRPr="00D93FF9">
              <w:rPr>
                <w:sz w:val="16"/>
                <w:vertAlign w:val="superscript"/>
                <w:lang w:val="en-GB"/>
              </w:rPr>
              <w:t>a</w:t>
            </w:r>
          </w:p>
        </w:tc>
      </w:tr>
    </w:tbl>
    <w:p w14:paraId="59DCD807" w14:textId="77777777" w:rsidR="00C46175" w:rsidRPr="00D93FF9" w:rsidRDefault="00E811B8" w:rsidP="003807A1">
      <w:pPr>
        <w:spacing w:after="0"/>
        <w:jc w:val="both"/>
        <w:rPr>
          <w:rFonts w:ascii="Arial"/>
          <w:sz w:val="14"/>
          <w:lang w:val="en-GB"/>
        </w:rPr>
      </w:pPr>
      <w:r w:rsidRPr="00D93FF9">
        <w:rPr>
          <w:rFonts w:ascii="Arial"/>
          <w:sz w:val="14"/>
          <w:lang w:val="en-GB"/>
        </w:rPr>
        <w:t>a Requires site-specific assessment. See below.</w:t>
      </w:r>
    </w:p>
    <w:p w14:paraId="59DCD808" w14:textId="77777777" w:rsidR="00C46175" w:rsidRPr="00D93FF9" w:rsidRDefault="00C46175" w:rsidP="003807A1">
      <w:pPr>
        <w:pStyle w:val="BodyText"/>
        <w:spacing w:after="0"/>
        <w:rPr>
          <w:rFonts w:ascii="Arial"/>
          <w:sz w:val="16"/>
          <w:lang w:val="en-GB"/>
        </w:rPr>
      </w:pPr>
    </w:p>
    <w:p w14:paraId="59DCD809" w14:textId="77777777" w:rsidR="00C46175" w:rsidRPr="00D93FF9" w:rsidRDefault="00E811B8" w:rsidP="003807A1">
      <w:pPr>
        <w:pStyle w:val="BodyText"/>
        <w:spacing w:after="0" w:line="266" w:lineRule="auto"/>
        <w:jc w:val="both"/>
        <w:rPr>
          <w:lang w:val="en-GB"/>
        </w:rPr>
      </w:pPr>
      <w:r w:rsidRPr="00D93FF9">
        <w:rPr>
          <w:lang w:val="en-GB"/>
        </w:rPr>
        <w:t xml:space="preserve">Phosphorus exists </w:t>
      </w:r>
      <w:r w:rsidR="008A3D74" w:rsidRPr="00D93FF9">
        <w:rPr>
          <w:lang w:val="en-GB"/>
        </w:rPr>
        <w:t xml:space="preserve">in </w:t>
      </w:r>
      <w:r w:rsidRPr="00D93FF9">
        <w:rPr>
          <w:lang w:val="en-GB"/>
        </w:rPr>
        <w:t>three allotropic forms: white, black and red. The above chemical and physical data refer to the white form. Phosphorus does not occur free in nature and is usually found in the form of phosphates in minerals, which are more soluble than the pure form.</w:t>
      </w:r>
    </w:p>
    <w:p w14:paraId="59DCD80A" w14:textId="77777777" w:rsidR="00C46175" w:rsidRPr="00D93FF9" w:rsidRDefault="00E811B8" w:rsidP="007C248C">
      <w:pPr>
        <w:pStyle w:val="Heading4"/>
        <w:rPr>
          <w:lang w:val="en-GB"/>
        </w:rPr>
      </w:pPr>
      <w:r w:rsidRPr="00D93FF9">
        <w:rPr>
          <w:lang w:val="en-GB"/>
        </w:rPr>
        <w:t>Effects on crop growth and off-site considerations</w:t>
      </w:r>
    </w:p>
    <w:p w14:paraId="59DCD80B" w14:textId="01B2B3B6" w:rsidR="00C46175" w:rsidRPr="00D93FF9" w:rsidRDefault="00E811B8" w:rsidP="003807A1">
      <w:pPr>
        <w:pStyle w:val="BodyText"/>
        <w:spacing w:after="0" w:line="266" w:lineRule="auto"/>
        <w:jc w:val="both"/>
        <w:rPr>
          <w:lang w:val="en-GB"/>
        </w:rPr>
      </w:pPr>
      <w:r w:rsidRPr="00D93FF9">
        <w:rPr>
          <w:lang w:val="en-GB"/>
        </w:rPr>
        <w:t xml:space="preserve">Phosphorus is a major nutrient required for plant growth. It is usually present in irrigation water in two forms: dissolved inorganic phosphate ions, or colloidal phosphate (bound with solid minerals and/or organics). Dissolved inorganic phosphate ions (predominantly orthophosphate) are immediately bioavailable. Colloidal phosphates may contain phosphorus which is potentially bioavailable through desorption and decomposition, or phosphorus which is so strongly bound that it </w:t>
      </w:r>
      <w:r w:rsidRPr="00D93FF9">
        <w:rPr>
          <w:lang w:val="en-GB"/>
        </w:rPr>
        <w:lastRenderedPageBreak/>
        <w:t>not bioavailable in the short to medium term. The form of phosphate is dependent on water or soil pH. When phosphorus is added to soil it is usually strongly sorbed. Soils that sorb phosphorus strongly are all high in iron or aluminium (Barrow 1989). The total amount of phosphorus that a soil can sorb out of solution can be determined from P sorption curves. The reserve of phosphorus that the soil can release back into the soil solution is buffered by the</w:t>
      </w:r>
      <w:r w:rsidRPr="00D93FF9">
        <w:rPr>
          <w:spacing w:val="-2"/>
          <w:lang w:val="en-GB"/>
        </w:rPr>
        <w:t xml:space="preserve"> </w:t>
      </w:r>
      <w:r w:rsidRPr="00D93FF9">
        <w:rPr>
          <w:lang w:val="en-GB"/>
        </w:rPr>
        <w:t>soil.</w:t>
      </w:r>
    </w:p>
    <w:p w14:paraId="59DCD80C" w14:textId="479AF576" w:rsidR="00C46175" w:rsidRPr="00D93FF9" w:rsidRDefault="00E811B8" w:rsidP="003807A1">
      <w:pPr>
        <w:pStyle w:val="BodyText"/>
        <w:spacing w:after="0" w:line="266" w:lineRule="auto"/>
        <w:jc w:val="both"/>
        <w:rPr>
          <w:lang w:val="en-GB"/>
        </w:rPr>
      </w:pPr>
      <w:r w:rsidRPr="00D93FF9">
        <w:rPr>
          <w:lang w:val="en-GB"/>
        </w:rPr>
        <w:t>Excessive phosphorus in irrigation water is not a direct nutritional problem to plants (Papadopoulos 1993). However, phosphorus is often the limiting nutrient preventing many microorganisms</w:t>
      </w:r>
      <w:r w:rsidR="008A3D74" w:rsidRPr="00D93FF9">
        <w:rPr>
          <w:lang w:val="en-GB"/>
        </w:rPr>
        <w:t>’</w:t>
      </w:r>
      <w:r w:rsidRPr="00D93FF9">
        <w:rPr>
          <w:lang w:val="en-GB"/>
        </w:rPr>
        <w:t xml:space="preserve"> </w:t>
      </w:r>
      <w:r w:rsidR="008A3D74" w:rsidRPr="00D93FF9">
        <w:rPr>
          <w:lang w:val="en-GB"/>
        </w:rPr>
        <w:t xml:space="preserve">rapid growth </w:t>
      </w:r>
      <w:r w:rsidRPr="00D93FF9">
        <w:rPr>
          <w:lang w:val="en-GB"/>
        </w:rPr>
        <w:t xml:space="preserve">(e.g. algal blooms; Schmitz 1996). If all other conditions are ideal for microbial growth and phosphorus is the limiting nutrient, increased phosphorus </w:t>
      </w:r>
      <w:r w:rsidR="008A3D74" w:rsidRPr="00D93FF9">
        <w:rPr>
          <w:lang w:val="en-GB"/>
        </w:rPr>
        <w:t xml:space="preserve">concentrations </w:t>
      </w:r>
      <w:r w:rsidRPr="00D93FF9">
        <w:rPr>
          <w:lang w:val="en-GB"/>
        </w:rPr>
        <w:t xml:space="preserve">in irrigation water (&gt;0.05 mg/L, Foy </w:t>
      </w:r>
      <w:r w:rsidR="00FA6E9E" w:rsidRPr="00D93FF9">
        <w:rPr>
          <w:lang w:val="en-GB"/>
        </w:rPr>
        <w:t>and</w:t>
      </w:r>
      <w:r w:rsidRPr="00D93FF9">
        <w:rPr>
          <w:lang w:val="en-GB"/>
        </w:rPr>
        <w:t xml:space="preserve"> Withers 1995) could lead to enhanced algal growth, causing blocking of irrigation filters, pipes and outlets when using certain irrigation methods. In some crops there is also the potential for algae contamination of produce. More favourable environmental conditions (i.e. light and warmth) in water storage facilities also have the potential to increase algal growth (Whitton 1973) if phosphorus is not limited.</w:t>
      </w:r>
    </w:p>
    <w:p w14:paraId="59DCD80D" w14:textId="78B9B746" w:rsidR="00C46175" w:rsidRPr="00D93FF9" w:rsidRDefault="00E811B8" w:rsidP="003807A1">
      <w:pPr>
        <w:pStyle w:val="BodyText"/>
        <w:spacing w:after="0" w:line="266" w:lineRule="auto"/>
        <w:jc w:val="both"/>
        <w:rPr>
          <w:lang w:val="en-GB"/>
        </w:rPr>
      </w:pPr>
      <w:r w:rsidRPr="00D93FF9">
        <w:rPr>
          <w:lang w:val="en-GB"/>
        </w:rPr>
        <w:t>Environmentally significant concentrations of phosphorus (i.e. concentrations which could cause algal blooms in water bodies) may be transported in dissolved or particulate forms (Kirkby et al. 1997</w:t>
      </w:r>
      <w:r w:rsidR="002A6496" w:rsidRPr="00D93FF9">
        <w:rPr>
          <w:lang w:val="en-GB"/>
        </w:rPr>
        <w:t>;</w:t>
      </w:r>
      <w:r w:rsidRPr="00D93FF9">
        <w:rPr>
          <w:lang w:val="en-GB"/>
        </w:rPr>
        <w:t xml:space="preserve"> Nash </w:t>
      </w:r>
      <w:r w:rsidR="00FA6E9E" w:rsidRPr="00D93FF9">
        <w:rPr>
          <w:lang w:val="en-GB"/>
        </w:rPr>
        <w:t>and</w:t>
      </w:r>
      <w:r w:rsidRPr="00D93FF9">
        <w:rPr>
          <w:lang w:val="en-GB"/>
        </w:rPr>
        <w:t xml:space="preserve"> Murdoch 1997</w:t>
      </w:r>
      <w:r w:rsidR="002A6496" w:rsidRPr="00D93FF9">
        <w:rPr>
          <w:lang w:val="en-GB"/>
        </w:rPr>
        <w:t>;</w:t>
      </w:r>
      <w:r w:rsidRPr="00D93FF9">
        <w:rPr>
          <w:lang w:val="en-GB"/>
        </w:rPr>
        <w:t xml:space="preserve"> Sharpley 1993</w:t>
      </w:r>
      <w:r w:rsidR="002A6496" w:rsidRPr="00D93FF9">
        <w:rPr>
          <w:lang w:val="en-GB"/>
        </w:rPr>
        <w:t>;</w:t>
      </w:r>
      <w:r w:rsidRPr="00D93FF9">
        <w:rPr>
          <w:lang w:val="en-GB"/>
        </w:rPr>
        <w:t xml:space="preserve"> Stevens et al. 1999). The availability of phosphorus to be taken up by algae varies depending on the form of the phosphorus in solution. However, for these guidelines it is assumed that all phosphorus (in the long term) is potentially available and guideline values have been set using total phosphorus concentrations.</w:t>
      </w:r>
    </w:p>
    <w:p w14:paraId="59DCD80E" w14:textId="77777777" w:rsidR="00C46175" w:rsidRPr="00D93FF9" w:rsidRDefault="00E811B8" w:rsidP="0071172C">
      <w:pPr>
        <w:pStyle w:val="BodyText"/>
        <w:spacing w:after="0" w:line="266" w:lineRule="auto"/>
        <w:jc w:val="both"/>
        <w:rPr>
          <w:lang w:val="en-GB"/>
        </w:rPr>
      </w:pPr>
      <w:r w:rsidRPr="00D93FF9">
        <w:rPr>
          <w:lang w:val="en-GB"/>
        </w:rPr>
        <w:t xml:space="preserve">The </w:t>
      </w:r>
      <w:r w:rsidR="00553FF9" w:rsidRPr="00D93FF9">
        <w:rPr>
          <w:lang w:val="en-GB"/>
        </w:rPr>
        <w:t>DGV</w:t>
      </w:r>
      <w:r w:rsidRPr="00D93FF9">
        <w:rPr>
          <w:lang w:val="en-GB"/>
        </w:rPr>
        <w:t xml:space="preserve"> for phosphorus has been set to minimise the risk of algal blooms developing in storage facilities, and to reduce the likelihood of biofouling in irrigation equipment. This value should not be seen as a default value for phosphorus in irrigation waters if biofouling of equipment is not a potential issue. An interim </w:t>
      </w:r>
      <w:r w:rsidR="00553FF9" w:rsidRPr="00D93FF9">
        <w:rPr>
          <w:lang w:val="en-GB"/>
        </w:rPr>
        <w:t>SGV</w:t>
      </w:r>
      <w:r w:rsidRPr="00D93FF9">
        <w:rPr>
          <w:lang w:val="en-GB"/>
        </w:rPr>
        <w:t xml:space="preserve"> range for phosphorus has been set, as</w:t>
      </w:r>
      <w:r w:rsidR="00F923E8" w:rsidRPr="00D93FF9">
        <w:rPr>
          <w:lang w:val="en-GB"/>
        </w:rPr>
        <w:t xml:space="preserve"> </w:t>
      </w:r>
      <w:bookmarkStart w:id="297" w:name="Calculating_interim_site-specific_short-"/>
      <w:bookmarkEnd w:id="297"/>
      <w:r w:rsidRPr="00D93FF9">
        <w:rPr>
          <w:lang w:val="en-GB"/>
        </w:rPr>
        <w:t xml:space="preserve">there is currently insufficient data available to allow accurate site-specific assessments to be calculated in all cases. </w:t>
      </w:r>
    </w:p>
    <w:p w14:paraId="59DCD80F" w14:textId="0245D67F" w:rsidR="00C46175" w:rsidRPr="00D93FF9" w:rsidRDefault="00E811B8" w:rsidP="003807A1">
      <w:pPr>
        <w:pStyle w:val="BodyText"/>
        <w:spacing w:after="0"/>
        <w:jc w:val="both"/>
        <w:rPr>
          <w:lang w:val="en-GB"/>
        </w:rPr>
      </w:pPr>
      <w:r w:rsidRPr="00D93FF9">
        <w:rPr>
          <w:lang w:val="en-GB"/>
        </w:rPr>
        <w:t>As phosphorus is a major plant nutrient it is inappropriate to set a</w:t>
      </w:r>
      <w:r w:rsidR="00667180" w:rsidRPr="00D93FF9">
        <w:rPr>
          <w:lang w:val="en-GB"/>
        </w:rPr>
        <w:t>n</w:t>
      </w:r>
      <w:r w:rsidRPr="00D93FF9">
        <w:rPr>
          <w:lang w:val="en-GB"/>
        </w:rPr>
        <w:t xml:space="preserve"> </w:t>
      </w:r>
      <w:r w:rsidR="006D735C" w:rsidRPr="00D93FF9">
        <w:rPr>
          <w:lang w:val="en-GB"/>
        </w:rPr>
        <w:t>ACL</w:t>
      </w:r>
      <w:r w:rsidRPr="00D93FF9">
        <w:rPr>
          <w:lang w:val="en-GB"/>
        </w:rPr>
        <w:t xml:space="preserve"> limit for this</w:t>
      </w:r>
      <w:r w:rsidRPr="00D93FF9">
        <w:rPr>
          <w:spacing w:val="17"/>
          <w:lang w:val="en-GB"/>
        </w:rPr>
        <w:t xml:space="preserve"> </w:t>
      </w:r>
      <w:r w:rsidRPr="00D93FF9">
        <w:rPr>
          <w:lang w:val="en-GB"/>
        </w:rPr>
        <w:t>element.</w:t>
      </w:r>
    </w:p>
    <w:p w14:paraId="59DCD810" w14:textId="77777777" w:rsidR="00C46175" w:rsidRPr="00D93FF9" w:rsidRDefault="00E811B8" w:rsidP="007C248C">
      <w:pPr>
        <w:pStyle w:val="Heading4"/>
        <w:rPr>
          <w:lang w:val="en-GB"/>
        </w:rPr>
      </w:pPr>
      <w:r w:rsidRPr="00D93FF9">
        <w:rPr>
          <w:lang w:val="en-GB"/>
        </w:rPr>
        <w:t xml:space="preserve">Calculating site-specific </w:t>
      </w:r>
      <w:r w:rsidR="008A3D74" w:rsidRPr="00D93FF9">
        <w:rPr>
          <w:lang w:val="en-GB"/>
        </w:rPr>
        <w:t>guideline</w:t>
      </w:r>
      <w:r w:rsidRPr="00D93FF9">
        <w:rPr>
          <w:lang w:val="en-GB"/>
        </w:rPr>
        <w:t xml:space="preserve"> value for phosphorus</w:t>
      </w:r>
    </w:p>
    <w:p w14:paraId="59DCD811" w14:textId="16D8F070" w:rsidR="00C46175" w:rsidRPr="00D93FF9" w:rsidRDefault="00E811B8" w:rsidP="003807A1">
      <w:pPr>
        <w:pStyle w:val="BodyText"/>
        <w:spacing w:after="0" w:line="266" w:lineRule="auto"/>
        <w:jc w:val="both"/>
        <w:rPr>
          <w:lang w:val="en-GB"/>
        </w:rPr>
      </w:pPr>
      <w:r w:rsidRPr="00D93FF9">
        <w:rPr>
          <w:spacing w:val="-4"/>
          <w:lang w:val="en-GB"/>
        </w:rPr>
        <w:t xml:space="preserve">In </w:t>
      </w:r>
      <w:r w:rsidRPr="00D93FF9">
        <w:rPr>
          <w:lang w:val="en-GB"/>
        </w:rPr>
        <w:t xml:space="preserve">the </w:t>
      </w:r>
      <w:r w:rsidRPr="00D93FF9">
        <w:rPr>
          <w:spacing w:val="-3"/>
          <w:lang w:val="en-GB"/>
        </w:rPr>
        <w:t xml:space="preserve">wake </w:t>
      </w:r>
      <w:r w:rsidRPr="00D93FF9">
        <w:rPr>
          <w:lang w:val="en-GB"/>
        </w:rPr>
        <w:t xml:space="preserve">of </w:t>
      </w:r>
      <w:r w:rsidRPr="00D93FF9">
        <w:rPr>
          <w:spacing w:val="-3"/>
          <w:lang w:val="en-GB"/>
        </w:rPr>
        <w:t xml:space="preserve">recent </w:t>
      </w:r>
      <w:r w:rsidRPr="00D93FF9">
        <w:rPr>
          <w:spacing w:val="-4"/>
          <w:lang w:val="en-GB"/>
        </w:rPr>
        <w:t xml:space="preserve">blue-green </w:t>
      </w:r>
      <w:r w:rsidRPr="00D93FF9">
        <w:rPr>
          <w:spacing w:val="-3"/>
          <w:lang w:val="en-GB"/>
        </w:rPr>
        <w:t xml:space="preserve">algal </w:t>
      </w:r>
      <w:r w:rsidRPr="00D93FF9">
        <w:rPr>
          <w:spacing w:val="-4"/>
          <w:lang w:val="en-GB"/>
        </w:rPr>
        <w:t xml:space="preserve">blooms </w:t>
      </w:r>
      <w:r w:rsidRPr="00D93FF9">
        <w:rPr>
          <w:lang w:val="en-GB"/>
        </w:rPr>
        <w:t xml:space="preserve">in </w:t>
      </w:r>
      <w:r w:rsidRPr="00D93FF9">
        <w:rPr>
          <w:spacing w:val="-3"/>
          <w:lang w:val="en-GB"/>
        </w:rPr>
        <w:t xml:space="preserve">Australia and </w:t>
      </w:r>
      <w:r w:rsidRPr="00D93FF9">
        <w:rPr>
          <w:lang w:val="en-GB"/>
        </w:rPr>
        <w:t xml:space="preserve">the rapidly expanding body of literature </w:t>
      </w:r>
      <w:r w:rsidRPr="00D93FF9">
        <w:rPr>
          <w:spacing w:val="-3"/>
          <w:lang w:val="en-GB"/>
        </w:rPr>
        <w:t xml:space="preserve">which </w:t>
      </w:r>
      <w:r w:rsidRPr="00D93FF9">
        <w:rPr>
          <w:lang w:val="en-GB"/>
        </w:rPr>
        <w:t xml:space="preserve">identifies diffuse </w:t>
      </w:r>
      <w:r w:rsidRPr="00D93FF9">
        <w:rPr>
          <w:spacing w:val="-3"/>
          <w:lang w:val="en-GB"/>
        </w:rPr>
        <w:t xml:space="preserve">agricultural </w:t>
      </w:r>
      <w:r w:rsidRPr="00D93FF9">
        <w:rPr>
          <w:lang w:val="en-GB"/>
        </w:rPr>
        <w:t xml:space="preserve">sources of </w:t>
      </w:r>
      <w:r w:rsidRPr="00D93FF9">
        <w:rPr>
          <w:spacing w:val="-3"/>
          <w:lang w:val="en-GB"/>
        </w:rPr>
        <w:t xml:space="preserve">phosphorus responsible </w:t>
      </w:r>
      <w:r w:rsidRPr="00D93FF9">
        <w:rPr>
          <w:lang w:val="en-GB"/>
        </w:rPr>
        <w:t xml:space="preserve">for </w:t>
      </w:r>
      <w:r w:rsidRPr="00D93FF9">
        <w:rPr>
          <w:spacing w:val="-3"/>
          <w:lang w:val="en-GB"/>
        </w:rPr>
        <w:t xml:space="preserve">phosphorus </w:t>
      </w:r>
      <w:r w:rsidRPr="00D93FF9">
        <w:rPr>
          <w:lang w:val="en-GB"/>
        </w:rPr>
        <w:t xml:space="preserve">loading in </w:t>
      </w:r>
      <w:r w:rsidRPr="00D93FF9">
        <w:rPr>
          <w:spacing w:val="-3"/>
          <w:lang w:val="en-GB"/>
        </w:rPr>
        <w:t>water bodies (Correll 1998</w:t>
      </w:r>
      <w:r w:rsidR="002A6496" w:rsidRPr="00D93FF9">
        <w:rPr>
          <w:spacing w:val="-3"/>
          <w:lang w:val="en-GB"/>
        </w:rPr>
        <w:t>;</w:t>
      </w:r>
      <w:r w:rsidRPr="00D93FF9">
        <w:rPr>
          <w:spacing w:val="-3"/>
          <w:lang w:val="en-GB"/>
        </w:rPr>
        <w:t xml:space="preserve"> Daniel </w:t>
      </w:r>
      <w:r w:rsidRPr="00D93FF9">
        <w:rPr>
          <w:lang w:val="en-GB"/>
        </w:rPr>
        <w:t xml:space="preserve">et </w:t>
      </w:r>
      <w:r w:rsidRPr="00D93FF9">
        <w:rPr>
          <w:spacing w:val="-2"/>
          <w:lang w:val="en-GB"/>
        </w:rPr>
        <w:t xml:space="preserve">al. </w:t>
      </w:r>
      <w:r w:rsidRPr="00D93FF9">
        <w:rPr>
          <w:spacing w:val="-3"/>
          <w:lang w:val="en-GB"/>
        </w:rPr>
        <w:t>1998</w:t>
      </w:r>
      <w:r w:rsidR="002A6496" w:rsidRPr="00D93FF9">
        <w:rPr>
          <w:spacing w:val="-3"/>
          <w:lang w:val="en-GB"/>
        </w:rPr>
        <w:t>;</w:t>
      </w:r>
      <w:r w:rsidRPr="00D93FF9">
        <w:rPr>
          <w:spacing w:val="-3"/>
          <w:lang w:val="en-GB"/>
        </w:rPr>
        <w:t xml:space="preserve"> Haygarth </w:t>
      </w:r>
      <w:r w:rsidR="00FA6E9E" w:rsidRPr="00D93FF9">
        <w:rPr>
          <w:lang w:val="en-GB"/>
        </w:rPr>
        <w:t>and</w:t>
      </w:r>
      <w:r w:rsidRPr="00D93FF9">
        <w:rPr>
          <w:lang w:val="en-GB"/>
        </w:rPr>
        <w:t xml:space="preserve"> </w:t>
      </w:r>
      <w:r w:rsidRPr="00D93FF9">
        <w:rPr>
          <w:spacing w:val="-3"/>
          <w:lang w:val="en-GB"/>
        </w:rPr>
        <w:t>Jarvis 1999</w:t>
      </w:r>
      <w:r w:rsidR="008A3D74" w:rsidRPr="00D93FF9">
        <w:rPr>
          <w:lang w:val="en-GB"/>
        </w:rPr>
        <w:t xml:space="preserve">; </w:t>
      </w:r>
      <w:r w:rsidR="008A3D74" w:rsidRPr="00D93FF9">
        <w:t>Brodie 2012; Mekonnen and Hoekstra 2018</w:t>
      </w:r>
      <w:r w:rsidRPr="00D93FF9">
        <w:rPr>
          <w:lang w:val="en-GB"/>
        </w:rPr>
        <w:t xml:space="preserve">), a </w:t>
      </w:r>
      <w:r w:rsidRPr="00D93FF9">
        <w:rPr>
          <w:spacing w:val="-3"/>
          <w:lang w:val="en-GB"/>
        </w:rPr>
        <w:t xml:space="preserve">guideline value </w:t>
      </w:r>
      <w:r w:rsidRPr="00D93FF9">
        <w:rPr>
          <w:lang w:val="en-GB"/>
        </w:rPr>
        <w:t xml:space="preserve">for phosphorus in </w:t>
      </w:r>
      <w:r w:rsidRPr="00D93FF9">
        <w:rPr>
          <w:spacing w:val="-3"/>
          <w:lang w:val="en-GB"/>
        </w:rPr>
        <w:t>irrigation water</w:t>
      </w:r>
      <w:r w:rsidR="001436E9" w:rsidRPr="00D93FF9">
        <w:rPr>
          <w:spacing w:val="-3"/>
          <w:lang w:val="en-GB"/>
        </w:rPr>
        <w:t xml:space="preserve"> has been set</w:t>
      </w:r>
      <w:r w:rsidRPr="00D93FF9">
        <w:rPr>
          <w:spacing w:val="-3"/>
          <w:lang w:val="en-GB"/>
        </w:rPr>
        <w:t xml:space="preserve">. </w:t>
      </w:r>
      <w:r w:rsidR="001436E9" w:rsidRPr="00D93FF9">
        <w:rPr>
          <w:spacing w:val="-3"/>
          <w:lang w:val="en-GB"/>
        </w:rPr>
        <w:t xml:space="preserve">Site-specific guidance </w:t>
      </w:r>
      <w:r w:rsidRPr="00D93FF9">
        <w:rPr>
          <w:spacing w:val="-3"/>
          <w:lang w:val="en-GB"/>
        </w:rPr>
        <w:t xml:space="preserve">should </w:t>
      </w:r>
      <w:r w:rsidRPr="00D93FF9">
        <w:rPr>
          <w:lang w:val="en-GB"/>
        </w:rPr>
        <w:t xml:space="preserve">restrict </w:t>
      </w:r>
      <w:r w:rsidRPr="00D93FF9">
        <w:rPr>
          <w:spacing w:val="-3"/>
          <w:lang w:val="en-GB"/>
        </w:rPr>
        <w:t xml:space="preserve">environmentally significant </w:t>
      </w:r>
      <w:r w:rsidRPr="00D93FF9">
        <w:rPr>
          <w:lang w:val="en-GB"/>
        </w:rPr>
        <w:t xml:space="preserve">concentrations of phosphorus (i.e. concentrations which could cause </w:t>
      </w:r>
      <w:r w:rsidRPr="00D93FF9">
        <w:rPr>
          <w:spacing w:val="-3"/>
          <w:lang w:val="en-GB"/>
        </w:rPr>
        <w:t xml:space="preserve">algal </w:t>
      </w:r>
      <w:r w:rsidRPr="00D93FF9">
        <w:rPr>
          <w:spacing w:val="-4"/>
          <w:lang w:val="en-GB"/>
        </w:rPr>
        <w:t xml:space="preserve">blooms) moving </w:t>
      </w:r>
      <w:r w:rsidRPr="00D93FF9">
        <w:rPr>
          <w:lang w:val="en-GB"/>
        </w:rPr>
        <w:t xml:space="preserve">in to </w:t>
      </w:r>
      <w:r w:rsidRPr="00D93FF9">
        <w:rPr>
          <w:spacing w:val="-3"/>
          <w:lang w:val="en-GB"/>
        </w:rPr>
        <w:t>water bodies</w:t>
      </w:r>
      <w:r w:rsidR="001436E9" w:rsidRPr="00D93FF9">
        <w:rPr>
          <w:spacing w:val="-3"/>
          <w:lang w:val="en-GB"/>
        </w:rPr>
        <w:t xml:space="preserve">. </w:t>
      </w:r>
    </w:p>
    <w:p w14:paraId="59DCD812" w14:textId="596866E7" w:rsidR="00C46175" w:rsidRPr="00D93FF9" w:rsidRDefault="00E811B8" w:rsidP="003807A1">
      <w:pPr>
        <w:pStyle w:val="BodyText"/>
        <w:spacing w:after="0" w:line="266" w:lineRule="auto"/>
        <w:jc w:val="both"/>
        <w:rPr>
          <w:lang w:val="en-GB"/>
        </w:rPr>
      </w:pPr>
      <w:r w:rsidRPr="00D93FF9">
        <w:rPr>
          <w:lang w:val="en-GB"/>
        </w:rPr>
        <w:t xml:space="preserve">The guideline was designed to consider </w:t>
      </w:r>
      <w:r w:rsidR="00E90CE0" w:rsidRPr="00D93FF9">
        <w:rPr>
          <w:lang w:val="en-GB"/>
        </w:rPr>
        <w:t xml:space="preserve">the major sinks of phosphorus in the soil environment, and the variable nature of its reactions in soils (Holford 1997). Yet, be kept as simple as possible. To minimise off-site impacts, the model </w:t>
      </w:r>
      <w:r w:rsidRPr="00D93FF9">
        <w:rPr>
          <w:lang w:val="en-GB"/>
        </w:rPr>
        <w:t xml:space="preserve">for calculating the SGV </w:t>
      </w:r>
      <w:r w:rsidR="00E90CE0" w:rsidRPr="00D93FF9">
        <w:rPr>
          <w:lang w:val="en-GB"/>
        </w:rPr>
        <w:t>consider</w:t>
      </w:r>
      <w:r w:rsidRPr="00D93FF9">
        <w:rPr>
          <w:lang w:val="en-GB"/>
        </w:rPr>
        <w:t>s</w:t>
      </w:r>
      <w:r w:rsidR="00E90CE0" w:rsidRPr="00D93FF9">
        <w:rPr>
          <w:lang w:val="en-GB"/>
        </w:rPr>
        <w:t xml:space="preserve"> phosphorus removal from irrigated soils through the harvestable portion of crops, soil phosphorus sorption/retention capacities of soils and other phosphorus fertiliser inputs </w:t>
      </w:r>
      <w:r w:rsidR="002A11BB" w:rsidRPr="00D93FF9">
        <w:rPr>
          <w:lang w:val="en-GB"/>
        </w:rPr>
        <w:t>into</w:t>
      </w:r>
      <w:r w:rsidR="00E90CE0" w:rsidRPr="00D93FF9">
        <w:rPr>
          <w:lang w:val="en-GB"/>
        </w:rPr>
        <w:t xml:space="preserve"> the</w:t>
      </w:r>
      <w:r w:rsidR="00E90CE0" w:rsidRPr="00D93FF9">
        <w:rPr>
          <w:spacing w:val="1"/>
          <w:lang w:val="en-GB"/>
        </w:rPr>
        <w:t xml:space="preserve"> </w:t>
      </w:r>
      <w:r w:rsidR="00E90CE0" w:rsidRPr="00D93FF9">
        <w:rPr>
          <w:lang w:val="en-GB"/>
        </w:rPr>
        <w:t>soil.</w:t>
      </w:r>
    </w:p>
    <w:p w14:paraId="59DCD813" w14:textId="04D14CA6" w:rsidR="00C46175" w:rsidRPr="00D93FF9" w:rsidRDefault="00E811B8" w:rsidP="003807A1">
      <w:pPr>
        <w:pStyle w:val="BodyText"/>
        <w:spacing w:after="0" w:line="266" w:lineRule="auto"/>
        <w:jc w:val="both"/>
        <w:rPr>
          <w:lang w:val="en-GB"/>
        </w:rPr>
      </w:pPr>
      <w:r w:rsidRPr="00D93FF9">
        <w:rPr>
          <w:lang w:val="en-GB"/>
        </w:rPr>
        <w:t>The model</w:t>
      </w:r>
      <w:r w:rsidR="00E90CE0" w:rsidRPr="00D93FF9">
        <w:rPr>
          <w:lang w:val="en-GB"/>
        </w:rPr>
        <w:t xml:space="preserve"> should also consider soil colloidal phosphorus, preferential macropore flow and surface fluxes of phosphorus. However, there are limited data presently available to </w:t>
      </w:r>
      <w:r w:rsidRPr="00D93FF9">
        <w:rPr>
          <w:lang w:val="en-GB"/>
        </w:rPr>
        <w:t>easily quantify these phosphorus fluxes</w:t>
      </w:r>
      <w:r w:rsidR="00E90CE0" w:rsidRPr="00D93FF9">
        <w:rPr>
          <w:lang w:val="en-GB"/>
        </w:rPr>
        <w:t>. Therefore, these phosphorus pools have been excluded from the model described</w:t>
      </w:r>
      <w:r w:rsidR="00E90CE0" w:rsidRPr="00D93FF9">
        <w:rPr>
          <w:spacing w:val="-7"/>
          <w:lang w:val="en-GB"/>
        </w:rPr>
        <w:t xml:space="preserve"> </w:t>
      </w:r>
      <w:r w:rsidR="00E90CE0" w:rsidRPr="00D93FF9">
        <w:rPr>
          <w:lang w:val="en-GB"/>
        </w:rPr>
        <w:t>below.</w:t>
      </w:r>
    </w:p>
    <w:p w14:paraId="59DCD814" w14:textId="53D9A509" w:rsidR="00C46175" w:rsidRPr="00D93FF9" w:rsidRDefault="00E811B8" w:rsidP="003807A1">
      <w:pPr>
        <w:pStyle w:val="BodyText"/>
        <w:spacing w:after="0" w:line="266" w:lineRule="auto"/>
        <w:jc w:val="both"/>
        <w:rPr>
          <w:lang w:val="en-GB"/>
        </w:rPr>
      </w:pPr>
      <w:r w:rsidRPr="00D93FF9">
        <w:t xml:space="preserve">The soil phosphorus buffering capacities (PBC), or sorption capacities, assumptions based on the dominant soil order will be required or should be assessed on-site. However, consideration of plant-available soil phosphorus is also important to obtain suitable yields while minimising phosphorus </w:t>
      </w:r>
      <w:r w:rsidRPr="00D93FF9">
        <w:lastRenderedPageBreak/>
        <w:t xml:space="preserve">movement off-site </w:t>
      </w:r>
      <w:r w:rsidRPr="00D93FF9">
        <w:fldChar w:fldCharType="begin"/>
      </w:r>
      <w:r w:rsidR="00BE6DF0" w:rsidRPr="00D93FF9">
        <w:instrText xml:space="preserve"> ADDIN ZOTERO_ITEM CSL_CITATION {"citationID":"XGWWTdF9","properties":{"formattedCitation":"(Burkitt et al., 2002; Gourley et al., 2019)","plainCitation":"(Burkitt et al., 2002; Gourley et al., 2019)","noteIndex":0},"citationItems":[{"id":19976,"uris":["http://zotero.org/users/1938757/items/CEQZ3SNU"],"uri":["http://zotero.org/users/1938757/items/CEQZ3SNU"],"itemData":{"id":19976,"type":"article-journal","container-title":"Australian Journal of Soil Research","DOI":"10.1071/SR01050","ISSN":"0004-9573","issue":"3","journalAbbreviation":"Aust. J. Soil Res.","note":"http://eprints.utas.edu.au/547/","page":"497","source":"CrossRef","title":"A simple phosphorus buffering index for Australian soils","volume":"40","author":[{"family":"Burkitt","given":"L. L."},{"family":"Moody","given":"P. W."},{"family":"Gourley","given":"C. J. P."},{"family":"Hannah","given":"M. C."}],"issued":{"date-parts":[["2002"]]}}},{"id":33255,"uris":["http://zotero.org/users/1938757/items/N6DYJ5NC"],"uri":["http://zotero.org/users/1938757/items/N6DYJ5NC"],"itemData":{"id":33255,"type":"article-journal","abstract":"An improved ability to predict pasture dry matter (DM) yield response to applied phosphorus (P), potassium (K) and sulfur (S) is a crucial step in determining the production and economic benefits of fertiliser inputs and the environmental benefits associated with efficient nutrient use. The adoption and application of soil testing can make substantial improvements to nutrient use efficiency, but soil test interpretation needs to be based on the best available and most relevant experimental data. This paper reports on the development of improved national and regionally specific soil test–pasture yield response functions and critical soil test P, K and S values for near-maximum growth of improved pastures across Australia. A comprehensive dataset of pasture yield responses to fertiliser applications was collated from field experiments conducted in all improved pasture regions of Australia. The Better Fertiliser Decisions for Pastures (BFDP) database contains data from 3032 experiment sites, 21 918 yield response measures and 5548 experiment site years. These data were converted to standard measurement units and compiled within a specifically designed relational database, where the data could be explored and interpreted. Key data included soil and site descriptions, pasture type, fertiliser type and rate, nutrient application rate, DM yield measures and soil test results (i.e. Olsen P, Colwell P, P buffering, Colwell K, Skene K, exchangeable K, CPC S, KCl S). These data were analysed, and quantitative non-linear mixed effects models based upon the Mitscherlich function were developed. Where appropriate, disparate datasets were integrated to derive the most appropriate response relationships for different soil texture and P buffering index classes, as well as interpretation at the regional, state, and national scale. Overall, the fitted models provided a good fit to the large body of data, using readily interpretable coefficients, but were at times limited by patchiness of meta-data and uneven representation of different soil types and regions. The models provided improved predictions of relative pasture yield response to soil nutrient status and can be scaled to absolute yield using a specified maximal yield by the user. Importantly, the response function exhibits diminishing returns, enabling marginal economic analysis and determination of optimum fertiliser application rate to a specific situation. These derived relationships form the basis of national standards for soil test interpretation and fertiliser recommendations for Australian pastures and grazing industries, and are incorporated within the major Australian fertiliser company decision support systems. However, the utility of the national database is limited without a contemporary web-based interface, like that developed for the Better Fertiliser Decisions for Cropping (BFDC) national database. An integrated approach between the BFDP and the BFDC would facilitate the interrogation of the database by advisors and farmers to generate yield response curves relevant to the region and/or pasture system of interest and provides the capacity to accommodate new data in the future.","container-title":"Crop and Pasture Science","DOI":"10.1071/CP19068","ISSN":"1836-0947, 1836-5795","issue":"12","journalAbbreviation":"cpsc","note":"publisher: CSIRO Publishing","page":"1065-1079","source":"bioone.org","title":"The development and application of functions describing pasture yield responses to phosphorus, potassium and sulfur in Australia using meta-data analysis and derived soil-test calibration relationships","volume":"70","author":[{"family":"Gourley","given":"Cameron J. P."},{"family":"Weaver","given":"David M."},{"family":"Simpson","given":"Richard J."},{"family":"Aarons","given":"Sharon R."},{"family":"Hannah","given":"Murray M."},{"family":"Peverill","given":"Ken I."}],"issued":{"date-parts":[["2019",10]]}}}],"schema":"https://github.com/citation-style-language/schema/raw/master/csl-citation.json"} </w:instrText>
      </w:r>
      <w:r w:rsidRPr="00D93FF9">
        <w:fldChar w:fldCharType="separate"/>
      </w:r>
      <w:r w:rsidR="007C2051" w:rsidRPr="00D93FF9">
        <w:rPr>
          <w:rFonts w:ascii="Calibri" w:hAnsi="Calibri" w:cs="Calibri"/>
        </w:rPr>
        <w:t>(Burkitt et al. 2002; Gourley et al. 2019)</w:t>
      </w:r>
      <w:r w:rsidRPr="00D93FF9">
        <w:fldChar w:fldCharType="end"/>
      </w:r>
      <w:r w:rsidRPr="00D93FF9">
        <w:t>.</w:t>
      </w:r>
      <w:r w:rsidR="00E90CE0" w:rsidRPr="00D93FF9">
        <w:rPr>
          <w:lang w:val="en-GB"/>
        </w:rPr>
        <w:t xml:space="preserve"> </w:t>
      </w:r>
      <w:r w:rsidRPr="00D93FF9">
        <w:rPr>
          <w:lang w:val="en-GB"/>
        </w:rPr>
        <w:t>D</w:t>
      </w:r>
      <w:r w:rsidR="00E90CE0" w:rsidRPr="00D93FF9">
        <w:rPr>
          <w:lang w:val="en-GB"/>
        </w:rPr>
        <w:t>ata relating soil solution or soil extractant phosphorus concentrations to phosphorus movement through or over soils are limited (Daniel et al. 1998</w:t>
      </w:r>
      <w:r w:rsidR="002A6496" w:rsidRPr="00D93FF9">
        <w:rPr>
          <w:lang w:val="en-GB"/>
        </w:rPr>
        <w:t>;</w:t>
      </w:r>
      <w:r w:rsidR="00E90CE0" w:rsidRPr="00D93FF9">
        <w:rPr>
          <w:lang w:val="en-GB"/>
        </w:rPr>
        <w:t xml:space="preserve"> Dils et al. 1999</w:t>
      </w:r>
      <w:r w:rsidR="002A6496" w:rsidRPr="00D93FF9">
        <w:rPr>
          <w:lang w:val="en-GB"/>
        </w:rPr>
        <w:t>;</w:t>
      </w:r>
      <w:r w:rsidR="00E90CE0" w:rsidRPr="00D93FF9">
        <w:rPr>
          <w:lang w:val="en-GB"/>
        </w:rPr>
        <w:t xml:space="preserve"> Edwards </w:t>
      </w:r>
      <w:r w:rsidR="00FA6E9E" w:rsidRPr="00D93FF9">
        <w:rPr>
          <w:lang w:val="en-GB"/>
        </w:rPr>
        <w:t>and</w:t>
      </w:r>
      <w:r w:rsidR="00E90CE0" w:rsidRPr="00D93FF9">
        <w:rPr>
          <w:lang w:val="en-GB"/>
        </w:rPr>
        <w:t xml:space="preserve"> Withers 1998</w:t>
      </w:r>
      <w:r w:rsidR="002A6496" w:rsidRPr="00D93FF9">
        <w:rPr>
          <w:lang w:val="en-GB"/>
        </w:rPr>
        <w:t>;</w:t>
      </w:r>
      <w:r w:rsidR="00E90CE0" w:rsidRPr="00D93FF9">
        <w:rPr>
          <w:lang w:val="en-GB"/>
        </w:rPr>
        <w:t xml:space="preserve"> Ulen 1998). Many of the limitations above require further research, focusing on achieving a balance between plant availability of phosphorus in soil and restriction of phosphorus leaching/moving into waterways.</w:t>
      </w:r>
    </w:p>
    <w:p w14:paraId="59DCD815" w14:textId="77777777" w:rsidR="00C46175" w:rsidRPr="00D93FF9" w:rsidRDefault="00E811B8" w:rsidP="003807A1">
      <w:pPr>
        <w:pStyle w:val="BodyText"/>
        <w:spacing w:after="0" w:line="266" w:lineRule="auto"/>
        <w:jc w:val="both"/>
        <w:rPr>
          <w:lang w:val="en-GB"/>
        </w:rPr>
      </w:pPr>
      <w:r w:rsidRPr="00D93FF9">
        <w:rPr>
          <w:lang w:val="en-GB"/>
        </w:rPr>
        <w:t xml:space="preserve">The expanding wastewater reuse industry, where there are often high phosphorus loadings, is developing </w:t>
      </w:r>
      <w:r w:rsidR="001436E9" w:rsidRPr="00D93FF9">
        <w:rPr>
          <w:lang w:val="en-GB"/>
        </w:rPr>
        <w:t xml:space="preserve">waster reuse </w:t>
      </w:r>
      <w:r w:rsidRPr="00D93FF9">
        <w:rPr>
          <w:lang w:val="en-GB"/>
        </w:rPr>
        <w:t xml:space="preserve">guidelines that balance plant nutrient demands with nutrients applied through irrigation. This is </w:t>
      </w:r>
      <w:r w:rsidR="003F19D8" w:rsidRPr="00D93FF9">
        <w:rPr>
          <w:lang w:val="en-GB"/>
        </w:rPr>
        <w:t>attempts</w:t>
      </w:r>
      <w:r w:rsidRPr="00D93FF9">
        <w:rPr>
          <w:lang w:val="en-GB"/>
        </w:rPr>
        <w:t xml:space="preserve"> to reduce off-site impacts of excessive applications of nutrients </w:t>
      </w:r>
      <w:r w:rsidR="003F19D8" w:rsidRPr="00D93FF9">
        <w:rPr>
          <w:lang w:val="en-GB"/>
        </w:rPr>
        <w:t xml:space="preserve">by ensuring nutrients supplied do not exceed plant demands </w:t>
      </w:r>
      <w:r w:rsidR="003F19D8" w:rsidRPr="00D93FF9">
        <w:t>NRMMC et al. 2006</w:t>
      </w:r>
      <w:r w:rsidRPr="00D93FF9">
        <w:rPr>
          <w:lang w:val="en-GB"/>
        </w:rPr>
        <w:t>.</w:t>
      </w:r>
    </w:p>
    <w:p w14:paraId="59DCD816" w14:textId="77777777" w:rsidR="00C46175" w:rsidRPr="00D93FF9" w:rsidRDefault="00E811B8" w:rsidP="0071172C">
      <w:pPr>
        <w:pStyle w:val="BodyText"/>
        <w:spacing w:after="0" w:line="266" w:lineRule="auto"/>
        <w:jc w:val="both"/>
        <w:rPr>
          <w:lang w:val="en-GB"/>
        </w:rPr>
      </w:pPr>
      <w:r w:rsidRPr="00D93FF9">
        <w:rPr>
          <w:lang w:val="en-GB"/>
        </w:rPr>
        <w:t xml:space="preserve">Proposed changes to guideline values for other inorganic contaminants in irrigation water include two guideline values, the </w:t>
      </w:r>
      <w:r w:rsidR="00553FF9" w:rsidRPr="00D93FF9">
        <w:rPr>
          <w:lang w:val="en-GB"/>
        </w:rPr>
        <w:t>DGV</w:t>
      </w:r>
      <w:r w:rsidRPr="00D93FF9">
        <w:rPr>
          <w:lang w:val="en-GB"/>
        </w:rPr>
        <w:t xml:space="preserve"> and </w:t>
      </w:r>
      <w:r w:rsidR="00553FF9" w:rsidRPr="00D93FF9">
        <w:rPr>
          <w:lang w:val="en-GB"/>
        </w:rPr>
        <w:t>SGV</w:t>
      </w:r>
      <w:r w:rsidRPr="00D93FF9">
        <w:rPr>
          <w:lang w:val="en-GB"/>
        </w:rPr>
        <w:t xml:space="preserve">. From the viewpoint of bioclogging of irrigation equipment (e.g. filters and drippers), or decreases in product quality due to algal contamination on some crops, it is recommended that the </w:t>
      </w:r>
      <w:r w:rsidR="00553FF9" w:rsidRPr="00D93FF9">
        <w:rPr>
          <w:lang w:val="en-GB"/>
        </w:rPr>
        <w:t>DGV</w:t>
      </w:r>
      <w:r w:rsidRPr="00D93FF9">
        <w:rPr>
          <w:lang w:val="en-GB"/>
        </w:rPr>
        <w:t xml:space="preserve"> for phosphorus be low enough to restrict algal growth (i.e. 0.05 mg P/L), assuming all other conditions for algal growth are adequate. It is recommended that the </w:t>
      </w:r>
      <w:r w:rsidR="00553FF9" w:rsidRPr="00D93FF9">
        <w:rPr>
          <w:lang w:val="en-GB"/>
        </w:rPr>
        <w:t>SGV</w:t>
      </w:r>
      <w:r w:rsidRPr="00D93FF9">
        <w:rPr>
          <w:lang w:val="en-GB"/>
        </w:rPr>
        <w:t xml:space="preserve"> be low enough to prevent phosphorus in irrigation water overloading soil with phosphorus and allow environmentally significant phosphorus </w:t>
      </w:r>
      <w:r w:rsidR="003F19D8" w:rsidRPr="00D93FF9">
        <w:rPr>
          <w:lang w:val="en-GB"/>
        </w:rPr>
        <w:t xml:space="preserve">concentrations </w:t>
      </w:r>
      <w:r w:rsidRPr="00D93FF9">
        <w:rPr>
          <w:lang w:val="en-GB"/>
        </w:rPr>
        <w:t>to move from soils into water bodies.</w:t>
      </w:r>
    </w:p>
    <w:p w14:paraId="4E224FF6" w14:textId="013CE925" w:rsidR="0041136E" w:rsidRPr="00D93FF9" w:rsidRDefault="00E811B8" w:rsidP="003807A1">
      <w:pPr>
        <w:pStyle w:val="BodyText"/>
        <w:spacing w:after="0" w:line="266" w:lineRule="auto"/>
        <w:jc w:val="both"/>
        <w:rPr>
          <w:lang w:val="en-GB"/>
        </w:rPr>
      </w:pPr>
      <w:r w:rsidRPr="00D93FF9">
        <w:rPr>
          <w:lang w:val="en-GB"/>
        </w:rPr>
        <w:t>The</w:t>
      </w:r>
      <w:r w:rsidR="00E90CE0" w:rsidRPr="00D93FF9">
        <w:rPr>
          <w:lang w:val="en-GB"/>
        </w:rPr>
        <w:t xml:space="preserve"> model for calculating site-specific </w:t>
      </w:r>
      <w:r w:rsidR="00553FF9" w:rsidRPr="00D93FF9">
        <w:rPr>
          <w:lang w:val="en-GB"/>
        </w:rPr>
        <w:t>SGV</w:t>
      </w:r>
      <w:r w:rsidR="00E90CE0" w:rsidRPr="00D93FF9">
        <w:rPr>
          <w:lang w:val="en-GB"/>
        </w:rPr>
        <w:t>s for phosphorus</w:t>
      </w:r>
      <w:r w:rsidRPr="00D93FF9">
        <w:rPr>
          <w:lang w:val="en-GB"/>
        </w:rPr>
        <w:t xml:space="preserve"> described below</w:t>
      </w:r>
      <w:r w:rsidR="00E90CE0" w:rsidRPr="00D93FF9">
        <w:rPr>
          <w:lang w:val="en-GB"/>
        </w:rPr>
        <w:t xml:space="preserve"> balance</w:t>
      </w:r>
      <w:r w:rsidRPr="00D93FF9">
        <w:rPr>
          <w:lang w:val="en-GB"/>
        </w:rPr>
        <w:t>s</w:t>
      </w:r>
      <w:r w:rsidR="00E90CE0" w:rsidRPr="00D93FF9">
        <w:rPr>
          <w:lang w:val="en-GB"/>
        </w:rPr>
        <w:t xml:space="preserve"> phosphorus inputs and output as a means of restricting excesses entering water bodies (Daniel et al. 1998). However, good irrigation management should also be adopted to restrict water movement and soil erosion (Daniel et al. 1998).</w:t>
      </w:r>
      <w:r w:rsidR="00DB4A87" w:rsidRPr="00D93FF9">
        <w:rPr>
          <w:lang w:val="en-GB"/>
        </w:rPr>
        <w:t xml:space="preserve"> The SGV for phosphorus can be calculated for site specific uses based on the plant available P required for crop growth, considering the current soil P status (Colwell P </w:t>
      </w:r>
      <w:r w:rsidR="00061BE7" w:rsidRPr="00D93FF9">
        <w:rPr>
          <w:lang w:val="en-GB"/>
        </w:rPr>
        <w:t xml:space="preserve">or Olsen P) </w:t>
      </w:r>
      <w:r w:rsidR="00DB4A87" w:rsidRPr="00D93FF9">
        <w:rPr>
          <w:lang w:val="en-GB"/>
        </w:rPr>
        <w:t>and the environmentally significant P in water for the site considered as:</w:t>
      </w:r>
    </w:p>
    <w:p w14:paraId="6E530692" w14:textId="02300C66" w:rsidR="004F44F8" w:rsidRPr="00D93FF9" w:rsidRDefault="004F44F8" w:rsidP="004F44F8">
      <w:pPr>
        <w:pStyle w:val="BodyText"/>
        <w:tabs>
          <w:tab w:val="left" w:pos="1134"/>
          <w:tab w:val="left" w:pos="1602"/>
        </w:tabs>
        <w:spacing w:after="0" w:line="284" w:lineRule="exact"/>
        <w:ind w:left="1134" w:hanging="1134"/>
        <w:rPr>
          <w:lang w:val="en-GB"/>
        </w:rPr>
      </w:pPr>
    </w:p>
    <w:p w14:paraId="29C1B6B6" w14:textId="73A65190" w:rsidR="0041136E" w:rsidRPr="00D93FF9" w:rsidRDefault="00735642" w:rsidP="003807A1">
      <w:pPr>
        <w:pStyle w:val="BodyText"/>
        <w:spacing w:after="0" w:line="266" w:lineRule="auto"/>
        <w:jc w:val="both"/>
        <w:rPr>
          <w:iCs/>
          <w:sz w:val="20"/>
          <w:szCs w:val="20"/>
          <w:lang w:val="en-GB"/>
        </w:rPr>
      </w:pPr>
      <m:oMathPara>
        <m:oMathParaPr>
          <m:jc m:val="left"/>
        </m:oMathParaPr>
        <m:oMath>
          <m:sSub>
            <m:sSubPr>
              <m:ctrlPr>
                <w:rPr>
                  <w:rFonts w:ascii="Cambria Math" w:hAnsi="Cambria Math"/>
                  <w:iCs/>
                  <w:sz w:val="20"/>
                  <w:szCs w:val="20"/>
                  <w:lang w:val="en-GB"/>
                </w:rPr>
              </m:ctrlPr>
            </m:sSubPr>
            <m:e>
              <m:r>
                <m:rPr>
                  <m:sty m:val="p"/>
                </m:rPr>
                <w:rPr>
                  <w:rFonts w:ascii="Cambria Math" w:hAnsi="Cambria Math"/>
                  <w:sz w:val="20"/>
                  <w:szCs w:val="20"/>
                  <w:lang w:val="en-GB"/>
                </w:rPr>
                <m:t>SGV</m:t>
              </m:r>
            </m:e>
            <m:sub>
              <m:r>
                <m:rPr>
                  <m:sty m:val="p"/>
                </m:rPr>
                <w:rPr>
                  <w:rFonts w:ascii="Cambria Math" w:hAnsi="Cambria Math"/>
                  <w:sz w:val="20"/>
                  <w:szCs w:val="20"/>
                  <w:lang w:val="en-GB"/>
                </w:rPr>
                <m:t>P</m:t>
              </m:r>
            </m:sub>
          </m:sSub>
          <m:r>
            <m:rPr>
              <m:sty m:val="p"/>
            </m:rPr>
            <w:rPr>
              <w:rFonts w:ascii="Cambria Math" w:hAnsi="Cambria Math"/>
              <w:sz w:val="20"/>
              <w:szCs w:val="20"/>
              <w:lang w:val="en-GB"/>
            </w:rPr>
            <m:t>=</m:t>
          </m:r>
          <m:f>
            <m:fPr>
              <m:ctrlPr>
                <w:rPr>
                  <w:rFonts w:ascii="Cambria Math" w:hAnsi="Cambria Math"/>
                  <w:iCs/>
                  <w:sz w:val="20"/>
                  <w:szCs w:val="20"/>
                  <w:lang w:val="en-GB"/>
                </w:rPr>
              </m:ctrlPr>
            </m:fPr>
            <m:num>
              <m:r>
                <m:rPr>
                  <m:sty m:val="p"/>
                </m:rPr>
                <w:rPr>
                  <w:rFonts w:ascii="Cambria Math" w:hAnsi="Cambria Math"/>
                  <w:sz w:val="20"/>
                  <w:szCs w:val="20"/>
                  <w:lang w:val="en-GB"/>
                </w:rPr>
                <m:t>(</m:t>
              </m:r>
              <m:sSup>
                <m:sSupPr>
                  <m:ctrlPr>
                    <w:rPr>
                      <w:rFonts w:ascii="Cambria Math" w:hAnsi="Cambria Math"/>
                      <w:iCs/>
                      <w:sz w:val="20"/>
                      <w:szCs w:val="20"/>
                      <w:lang w:val="en-GB"/>
                    </w:rPr>
                  </m:ctrlPr>
                </m:sSupPr>
                <m:e>
                  <m:r>
                    <m:rPr>
                      <m:sty m:val="p"/>
                    </m:rPr>
                    <w:rPr>
                      <w:rFonts w:ascii="Cambria Math" w:hAnsi="Cambria Math"/>
                      <w:sz w:val="20"/>
                      <w:szCs w:val="20"/>
                      <w:lang w:val="en-GB"/>
                    </w:rPr>
                    <m:t>2.413PBI</m:t>
                  </m:r>
                </m:e>
                <m:sup>
                  <m:r>
                    <m:rPr>
                      <m:sty m:val="p"/>
                    </m:rPr>
                    <w:rPr>
                      <w:rFonts w:ascii="Cambria Math" w:hAnsi="Cambria Math"/>
                      <w:sz w:val="20"/>
                      <w:szCs w:val="20"/>
                      <w:lang w:val="en-GB"/>
                    </w:rPr>
                    <m:t>0.119</m:t>
                  </m:r>
                </m:sup>
              </m:sSup>
              <m:r>
                <m:rPr>
                  <m:sty m:val="p"/>
                </m:rPr>
                <w:rPr>
                  <w:rFonts w:ascii="Cambria Math" w:hAnsi="Cambria Math"/>
                  <w:sz w:val="20"/>
                  <w:szCs w:val="20"/>
                  <w:lang w:val="en-GB"/>
                </w:rPr>
                <m:t>-1.43)×(Ptarget-Psoil)</m:t>
              </m:r>
            </m:num>
            <m:den>
              <m:r>
                <m:rPr>
                  <m:sty m:val="p"/>
                </m:rPr>
                <w:rPr>
                  <w:rFonts w:ascii="Cambria Math" w:hAnsi="Cambria Math"/>
                  <w:sz w:val="20"/>
                  <w:szCs w:val="20"/>
                  <w:lang w:val="en-GB"/>
                </w:rPr>
                <m:t>Irrigation Depth×10</m:t>
              </m:r>
            </m:den>
          </m:f>
          <m:r>
            <m:rPr>
              <m:sty m:val="p"/>
            </m:rPr>
            <w:rPr>
              <w:rFonts w:ascii="Cambria Math" w:hAnsi="Cambria Math"/>
              <w:sz w:val="20"/>
              <w:szCs w:val="20"/>
              <w:lang w:val="en-GB"/>
            </w:rPr>
            <m:t>+Penv</m:t>
          </m:r>
        </m:oMath>
      </m:oMathPara>
    </w:p>
    <w:p w14:paraId="70E5D7E9" w14:textId="5418753E" w:rsidR="00DB4A87" w:rsidRPr="00D93FF9" w:rsidRDefault="00DB4A87" w:rsidP="00DB4A87">
      <w:r w:rsidRPr="00D93FF9">
        <w:t>Where:</w:t>
      </w:r>
    </w:p>
    <w:p w14:paraId="2958CB95" w14:textId="74BD4083" w:rsidR="00DB4A87" w:rsidRPr="00D93FF9" w:rsidRDefault="00DB4A87" w:rsidP="002201B6">
      <w:pPr>
        <w:pStyle w:val="BodyText"/>
        <w:spacing w:after="0" w:line="266" w:lineRule="auto"/>
        <w:jc w:val="both"/>
        <w:rPr>
          <w:lang w:val="en-GB"/>
        </w:rPr>
      </w:pPr>
      <w:r w:rsidRPr="00D93FF9">
        <w:rPr>
          <w:lang w:val="en-GB"/>
        </w:rPr>
        <w:t xml:space="preserve">Ptarget = </w:t>
      </w:r>
      <w:r w:rsidRPr="00D93FF9">
        <w:rPr>
          <w:lang w:val="en-GB"/>
        </w:rPr>
        <w:tab/>
        <w:t>Colwell P target in soil for crop production (mg/kg)</w:t>
      </w:r>
      <w:r w:rsidR="002F7116" w:rsidRPr="00D93FF9">
        <w:rPr>
          <w:lang w:val="en-GB"/>
        </w:rPr>
        <w:t xml:space="preserve"> (e.g.</w:t>
      </w:r>
      <w:r w:rsidR="00F51D3A" w:rsidRPr="00D93FF9">
        <w:rPr>
          <w:lang w:val="en-GB"/>
        </w:rPr>
        <w:fldChar w:fldCharType="begin"/>
      </w:r>
      <w:r w:rsidR="00F51D3A" w:rsidRPr="00D93FF9">
        <w:rPr>
          <w:lang w:val="en-GB"/>
        </w:rPr>
        <w:instrText xml:space="preserve"> REF _Ref87971844 \h </w:instrText>
      </w:r>
      <w:r w:rsidR="00D93FF9">
        <w:rPr>
          <w:lang w:val="en-GB"/>
        </w:rPr>
        <w:instrText xml:space="preserve"> \* MERGEFORMAT </w:instrText>
      </w:r>
      <w:r w:rsidR="00F51D3A" w:rsidRPr="00D93FF9">
        <w:rPr>
          <w:lang w:val="en-GB"/>
        </w:rPr>
      </w:r>
      <w:r w:rsidR="00F51D3A" w:rsidRPr="00D93FF9">
        <w:rPr>
          <w:lang w:val="en-GB"/>
        </w:rPr>
        <w:fldChar w:fldCharType="separate"/>
      </w:r>
      <w:r w:rsidR="0069302C" w:rsidRPr="00D93FF9">
        <w:t xml:space="preserve">Table </w:t>
      </w:r>
      <w:r w:rsidR="0069302C">
        <w:rPr>
          <w:noProof/>
        </w:rPr>
        <w:t>27</w:t>
      </w:r>
      <w:r w:rsidR="00F51D3A" w:rsidRPr="00D93FF9">
        <w:rPr>
          <w:lang w:val="en-GB"/>
        </w:rPr>
        <w:fldChar w:fldCharType="end"/>
      </w:r>
      <w:r w:rsidR="002F7116" w:rsidRPr="00D93FF9">
        <w:rPr>
          <w:lang w:val="en-GB"/>
        </w:rPr>
        <w:t>)</w:t>
      </w:r>
    </w:p>
    <w:p w14:paraId="4E86E074" w14:textId="4176DB88" w:rsidR="00DB4A87" w:rsidRPr="00D93FF9" w:rsidRDefault="00DB4A87" w:rsidP="002201B6">
      <w:pPr>
        <w:pStyle w:val="BodyText"/>
        <w:spacing w:after="0" w:line="266" w:lineRule="auto"/>
        <w:jc w:val="both"/>
        <w:rPr>
          <w:lang w:val="en-GB"/>
        </w:rPr>
      </w:pPr>
      <w:r w:rsidRPr="00D93FF9">
        <w:rPr>
          <w:lang w:val="en-GB"/>
        </w:rPr>
        <w:t xml:space="preserve">PBI = </w:t>
      </w:r>
      <w:r w:rsidRPr="00D93FF9">
        <w:rPr>
          <w:lang w:val="en-GB"/>
        </w:rPr>
        <w:tab/>
        <w:t>Phosphate buffer index</w:t>
      </w:r>
      <w:r w:rsidR="00506BFE" w:rsidRPr="00D93FF9">
        <w:rPr>
          <w:lang w:val="en-GB"/>
        </w:rPr>
        <w:t xml:space="preserve">, PBI equation from </w:t>
      </w:r>
      <w:r w:rsidR="00F51D3A" w:rsidRPr="00D93FF9">
        <w:rPr>
          <w:lang w:val="en-GB"/>
        </w:rPr>
        <w:fldChar w:fldCharType="begin"/>
      </w:r>
      <w:r w:rsidR="00F51D3A" w:rsidRPr="00D93FF9">
        <w:rPr>
          <w:lang w:val="en-GB"/>
        </w:rPr>
        <w:instrText xml:space="preserve"> REF _Ref81395251 \h </w:instrText>
      </w:r>
      <w:r w:rsidR="00D93FF9">
        <w:rPr>
          <w:lang w:val="en-GB"/>
        </w:rPr>
        <w:instrText xml:space="preserve"> \* MERGEFORMAT </w:instrText>
      </w:r>
      <w:r w:rsidR="00F51D3A" w:rsidRPr="00D93FF9">
        <w:rPr>
          <w:lang w:val="en-GB"/>
        </w:rPr>
      </w:r>
      <w:r w:rsidR="00F51D3A" w:rsidRPr="00D93FF9">
        <w:rPr>
          <w:lang w:val="en-GB"/>
        </w:rPr>
        <w:fldChar w:fldCharType="separate"/>
      </w:r>
      <w:r w:rsidR="0069302C" w:rsidRPr="00D93FF9">
        <w:t xml:space="preserve">Figure </w:t>
      </w:r>
      <w:r w:rsidR="0069302C">
        <w:rPr>
          <w:noProof/>
        </w:rPr>
        <w:t>14</w:t>
      </w:r>
      <w:r w:rsidR="00F51D3A" w:rsidRPr="00D93FF9">
        <w:rPr>
          <w:lang w:val="en-GB"/>
        </w:rPr>
        <w:fldChar w:fldCharType="end"/>
      </w:r>
    </w:p>
    <w:p w14:paraId="275DAD5D" w14:textId="2FFF2483" w:rsidR="00DB4A87" w:rsidRPr="00D93FF9" w:rsidRDefault="00DB4A87" w:rsidP="002201B6">
      <w:pPr>
        <w:pStyle w:val="BodyText"/>
        <w:spacing w:after="0" w:line="266" w:lineRule="auto"/>
        <w:jc w:val="both"/>
        <w:rPr>
          <w:lang w:val="en-GB"/>
        </w:rPr>
      </w:pPr>
      <w:r w:rsidRPr="00D93FF9">
        <w:rPr>
          <w:lang w:val="en-GB"/>
        </w:rPr>
        <w:t xml:space="preserve">Psoil = </w:t>
      </w:r>
      <w:r w:rsidRPr="00D93FF9">
        <w:rPr>
          <w:lang w:val="en-GB"/>
        </w:rPr>
        <w:tab/>
        <w:t>Colwell P measured in soil (mg/kg)</w:t>
      </w:r>
    </w:p>
    <w:p w14:paraId="4FD09FDA" w14:textId="77777777" w:rsidR="00DB4A87" w:rsidRPr="00D93FF9" w:rsidRDefault="00DB4A87" w:rsidP="002201B6">
      <w:pPr>
        <w:pStyle w:val="BodyText"/>
        <w:tabs>
          <w:tab w:val="left" w:pos="1134"/>
          <w:tab w:val="left" w:pos="1602"/>
        </w:tabs>
        <w:spacing w:after="0" w:line="284" w:lineRule="exact"/>
        <w:rPr>
          <w:lang w:val="en-GB"/>
        </w:rPr>
      </w:pPr>
      <w:r w:rsidRPr="00D93FF9">
        <w:rPr>
          <w:lang w:val="en-GB"/>
        </w:rPr>
        <w:t xml:space="preserve">Penv = </w:t>
      </w:r>
      <w:r w:rsidRPr="00D93FF9">
        <w:rPr>
          <w:lang w:val="en-GB"/>
        </w:rPr>
        <w:tab/>
        <w:t>The environmentally significant phosphorus concentration in water, i.e. algal blooms</w:t>
      </w:r>
      <w:r w:rsidRPr="00D93FF9">
        <w:rPr>
          <w:spacing w:val="35"/>
          <w:lang w:val="en-GB"/>
        </w:rPr>
        <w:t xml:space="preserve"> </w:t>
      </w:r>
      <w:r w:rsidRPr="00D93FF9">
        <w:rPr>
          <w:lang w:val="en-GB"/>
        </w:rPr>
        <w:t>occur &gt; 0.05 mg P/L</w:t>
      </w:r>
    </w:p>
    <w:p w14:paraId="241060CA" w14:textId="2F350E6C" w:rsidR="00C6491C" w:rsidRPr="00D93FF9" w:rsidRDefault="00DB4A87" w:rsidP="00C6491C">
      <w:pPr>
        <w:spacing w:after="0"/>
      </w:pPr>
      <w:r w:rsidRPr="00D93FF9">
        <w:t>10 is the conversion of kg/ha to the irrigation water equivalent of mg/L</w:t>
      </w:r>
      <w:r w:rsidR="00C6491C" w:rsidRPr="00D93FF9">
        <w:t xml:space="preserve">. </w:t>
      </w:r>
      <w:r w:rsidR="00061BE7" w:rsidRPr="00D93FF9">
        <w:t>For Olsen P use the alternate equation in</w:t>
      </w:r>
      <w:r w:rsidR="00667180" w:rsidRPr="00D93FF9">
        <w:t xml:space="preserve"> </w:t>
      </w:r>
      <w:r w:rsidR="00667180" w:rsidRPr="00D93FF9">
        <w:fldChar w:fldCharType="begin"/>
      </w:r>
      <w:r w:rsidR="00667180" w:rsidRPr="00D93FF9">
        <w:instrText xml:space="preserve"> REF _Ref81395251 \h </w:instrText>
      </w:r>
      <w:r w:rsidR="00D93FF9">
        <w:instrText xml:space="preserve"> \* MERGEFORMAT </w:instrText>
      </w:r>
      <w:r w:rsidR="00667180" w:rsidRPr="00D93FF9">
        <w:fldChar w:fldCharType="separate"/>
      </w:r>
      <w:r w:rsidR="0069302C" w:rsidRPr="00D93FF9">
        <w:t xml:space="preserve">Figure </w:t>
      </w:r>
      <w:r w:rsidR="0069302C">
        <w:rPr>
          <w:noProof/>
        </w:rPr>
        <w:t>14</w:t>
      </w:r>
      <w:r w:rsidR="00667180" w:rsidRPr="00D93FF9">
        <w:fldChar w:fldCharType="end"/>
      </w:r>
      <w:r w:rsidR="00061BE7" w:rsidRPr="00D93FF9">
        <w:t>.</w:t>
      </w:r>
    </w:p>
    <w:p w14:paraId="5402FEC9" w14:textId="1B0FC300" w:rsidR="00506BFE" w:rsidRPr="00D93FF9" w:rsidRDefault="00506BFE" w:rsidP="00C6491C">
      <w:pPr>
        <w:spacing w:after="0"/>
      </w:pPr>
      <w:r w:rsidRPr="00D93FF9">
        <w:t>Irrigation</w:t>
      </w:r>
      <w:r w:rsidR="0050030E" w:rsidRPr="00D93FF9">
        <w:t xml:space="preserve"> </w:t>
      </w:r>
      <w:r w:rsidRPr="00D93FF9">
        <w:t>Depth = 1 m.</w:t>
      </w:r>
    </w:p>
    <w:p w14:paraId="46B887C7" w14:textId="77777777" w:rsidR="00C6491C" w:rsidRPr="00D93FF9" w:rsidRDefault="00C6491C" w:rsidP="00C6491C">
      <w:pPr>
        <w:spacing w:after="0"/>
      </w:pPr>
    </w:p>
    <w:p w14:paraId="7FC1894E" w14:textId="5755810B" w:rsidR="00506BFE" w:rsidRPr="00D93FF9" w:rsidRDefault="00506BFE" w:rsidP="002201B6">
      <w:r w:rsidRPr="00D93FF9">
        <w:t>For example, if the soil had a very low PBI of 50, the Ptarget = 22 mg/kg of Colwell P, the current soil Collwell P concentration (0 to 10 cm depth) was 15 mg/kg, the depth of irrigation depth was 1 m, and Penv = 0.05, then SGV</w:t>
      </w:r>
      <w:r w:rsidRPr="00D93FF9">
        <w:rPr>
          <w:vertAlign w:val="subscript"/>
        </w:rPr>
        <w:t>P</w:t>
      </w:r>
      <w:r w:rsidRPr="00D93FF9">
        <w:t xml:space="preserve"> =  </w:t>
      </w:r>
      <w:r w:rsidR="00830DE5" w:rsidRPr="00D93FF9">
        <w:t>1.74,</w:t>
      </w:r>
    </w:p>
    <w:p w14:paraId="292BD176" w14:textId="16EB32B9" w:rsidR="00506BFE" w:rsidRPr="00D93FF9" w:rsidRDefault="00735642" w:rsidP="00506BFE">
      <w:pPr>
        <w:pStyle w:val="BodyText"/>
        <w:spacing w:after="0" w:line="266" w:lineRule="auto"/>
        <w:jc w:val="both"/>
        <w:rPr>
          <w:iCs/>
          <w:sz w:val="20"/>
          <w:szCs w:val="20"/>
          <w:lang w:val="en-GB"/>
        </w:rPr>
      </w:pPr>
      <m:oMathPara>
        <m:oMathParaPr>
          <m:jc m:val="left"/>
        </m:oMathParaPr>
        <m:oMath>
          <m:sSub>
            <m:sSubPr>
              <m:ctrlPr>
                <w:rPr>
                  <w:rFonts w:ascii="Cambria Math" w:hAnsi="Cambria Math"/>
                  <w:iCs/>
                  <w:sz w:val="20"/>
                  <w:szCs w:val="20"/>
                  <w:lang w:val="en-GB"/>
                </w:rPr>
              </m:ctrlPr>
            </m:sSubPr>
            <m:e>
              <m:r>
                <m:rPr>
                  <m:sty m:val="p"/>
                </m:rPr>
                <w:rPr>
                  <w:rFonts w:ascii="Cambria Math" w:hAnsi="Cambria Math"/>
                  <w:sz w:val="20"/>
                  <w:szCs w:val="20"/>
                  <w:lang w:val="en-GB"/>
                </w:rPr>
                <m:t>SGV</m:t>
              </m:r>
            </m:e>
            <m:sub>
              <m:r>
                <m:rPr>
                  <m:sty m:val="p"/>
                </m:rPr>
                <w:rPr>
                  <w:rFonts w:ascii="Cambria Math" w:hAnsi="Cambria Math"/>
                  <w:sz w:val="20"/>
                  <w:szCs w:val="20"/>
                  <w:lang w:val="en-GB"/>
                </w:rPr>
                <m:t>P</m:t>
              </m:r>
            </m:sub>
          </m:sSub>
          <m:r>
            <m:rPr>
              <m:sty m:val="p"/>
            </m:rPr>
            <w:rPr>
              <w:rFonts w:ascii="Cambria Math" w:hAnsi="Cambria Math"/>
              <w:sz w:val="20"/>
              <w:szCs w:val="20"/>
              <w:lang w:val="en-GB"/>
            </w:rPr>
            <m:t>=</m:t>
          </m:r>
          <m:f>
            <m:fPr>
              <m:ctrlPr>
                <w:rPr>
                  <w:rFonts w:ascii="Cambria Math" w:hAnsi="Cambria Math"/>
                  <w:iCs/>
                  <w:sz w:val="20"/>
                  <w:szCs w:val="20"/>
                  <w:lang w:val="en-GB"/>
                </w:rPr>
              </m:ctrlPr>
            </m:fPr>
            <m:num>
              <m:r>
                <m:rPr>
                  <m:sty m:val="p"/>
                </m:rPr>
                <w:rPr>
                  <w:rFonts w:ascii="Cambria Math" w:hAnsi="Cambria Math"/>
                  <w:sz w:val="20"/>
                  <w:szCs w:val="20"/>
                  <w:lang w:val="en-GB"/>
                </w:rPr>
                <m:t>(</m:t>
              </m:r>
              <m:sSup>
                <m:sSupPr>
                  <m:ctrlPr>
                    <w:rPr>
                      <w:rFonts w:ascii="Cambria Math" w:hAnsi="Cambria Math"/>
                      <w:iCs/>
                      <w:sz w:val="20"/>
                      <w:szCs w:val="20"/>
                      <w:lang w:val="en-GB"/>
                    </w:rPr>
                  </m:ctrlPr>
                </m:sSupPr>
                <m:e>
                  <m:r>
                    <m:rPr>
                      <m:sty m:val="p"/>
                    </m:rPr>
                    <w:rPr>
                      <w:rFonts w:ascii="Cambria Math" w:hAnsi="Cambria Math"/>
                      <w:sz w:val="20"/>
                      <w:szCs w:val="20"/>
                      <w:lang w:val="en-GB"/>
                    </w:rPr>
                    <m:t>2.413×50</m:t>
                  </m:r>
                </m:e>
                <m:sup>
                  <m:r>
                    <m:rPr>
                      <m:sty m:val="p"/>
                    </m:rPr>
                    <w:rPr>
                      <w:rFonts w:ascii="Cambria Math" w:hAnsi="Cambria Math"/>
                      <w:sz w:val="20"/>
                      <w:szCs w:val="20"/>
                      <w:lang w:val="en-GB"/>
                    </w:rPr>
                    <m:t>0.119</m:t>
                  </m:r>
                </m:sup>
              </m:sSup>
              <m:r>
                <m:rPr>
                  <m:sty m:val="p"/>
                </m:rPr>
                <w:rPr>
                  <w:rFonts w:ascii="Cambria Math" w:hAnsi="Cambria Math"/>
                  <w:sz w:val="20"/>
                  <w:szCs w:val="20"/>
                  <w:lang w:val="en-GB"/>
                </w:rPr>
                <m:t>-1.43)×(22-15)</m:t>
              </m:r>
            </m:num>
            <m:den>
              <m:r>
                <m:rPr>
                  <m:sty m:val="p"/>
                </m:rPr>
                <w:rPr>
                  <w:rFonts w:ascii="Cambria Math" w:hAnsi="Cambria Math"/>
                  <w:sz w:val="20"/>
                  <w:szCs w:val="20"/>
                  <w:lang w:val="en-GB"/>
                </w:rPr>
                <m:t>1×10</m:t>
              </m:r>
            </m:den>
          </m:f>
          <m:r>
            <m:rPr>
              <m:sty m:val="p"/>
            </m:rPr>
            <w:rPr>
              <w:rFonts w:ascii="Cambria Math" w:hAnsi="Cambria Math"/>
              <w:sz w:val="20"/>
              <w:szCs w:val="20"/>
              <w:lang w:val="en-GB"/>
            </w:rPr>
            <m:t>+0.05</m:t>
          </m:r>
        </m:oMath>
      </m:oMathPara>
    </w:p>
    <w:p w14:paraId="028FE0B3" w14:textId="77777777" w:rsidR="00506BFE" w:rsidRPr="00D93FF9" w:rsidRDefault="00506BFE" w:rsidP="002201B6">
      <w:pPr>
        <w:ind w:left="1077"/>
      </w:pPr>
    </w:p>
    <w:p w14:paraId="544D46B1" w14:textId="77777777" w:rsidR="00061BE7" w:rsidRPr="00D93FF9" w:rsidRDefault="00061BE7" w:rsidP="002201B6">
      <w:pPr>
        <w:pStyle w:val="BodyText"/>
        <w:keepNext/>
        <w:kinsoku w:val="0"/>
        <w:overflowPunct w:val="0"/>
        <w:spacing w:before="1"/>
      </w:pPr>
      <w:r w:rsidRPr="00D93FF9">
        <w:rPr>
          <w:noProof/>
          <w:sz w:val="20"/>
          <w:szCs w:val="20"/>
        </w:rPr>
        <w:lastRenderedPageBreak/>
        <w:drawing>
          <wp:inline distT="0" distB="0" distL="0" distR="0" wp14:anchorId="0AA0A273" wp14:editId="0486F341">
            <wp:extent cx="5111750" cy="3901072"/>
            <wp:effectExtent l="0" t="0" r="0" b="0"/>
            <wp:docPr id="16" name="Picture 16" descr="Estimates of phosphorous required to increase Colwell and Olsen P by 1 mg/kg in soil. These values should be confirmed with agronomists or suitably qualified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stimates of phosphorous required to increase Colwell and Olsen P by 1 mg/kg in soil. These values should be confirmed with agronomists or suitably qualified advisors."/>
                    <pic:cNvPicPr>
                      <a:picLocks noChangeAspect="1" noChangeArrowheads="1"/>
                    </pic:cNvPicPr>
                  </pic:nvPicPr>
                  <pic:blipFill rotWithShape="1">
                    <a:blip r:embed="rId58">
                      <a:extLst>
                        <a:ext uri="{28A0092B-C50C-407E-A947-70E740481C1C}">
                          <a14:useLocalDpi xmlns:a14="http://schemas.microsoft.com/office/drawing/2010/main" val="0"/>
                        </a:ext>
                      </a:extLst>
                    </a:blip>
                    <a:srcRect r="35359" b="3791"/>
                    <a:stretch/>
                  </pic:blipFill>
                  <pic:spPr bwMode="auto">
                    <a:xfrm>
                      <a:off x="0" y="0"/>
                      <a:ext cx="5113545" cy="3902442"/>
                    </a:xfrm>
                    <a:prstGeom prst="rect">
                      <a:avLst/>
                    </a:prstGeom>
                    <a:noFill/>
                    <a:ln>
                      <a:noFill/>
                    </a:ln>
                    <a:extLst>
                      <a:ext uri="{53640926-AAD7-44D8-BBD7-CCE9431645EC}">
                        <a14:shadowObscured xmlns:a14="http://schemas.microsoft.com/office/drawing/2010/main"/>
                      </a:ext>
                    </a:extLst>
                  </pic:spPr>
                </pic:pic>
              </a:graphicData>
            </a:graphic>
          </wp:inline>
        </w:drawing>
      </w:r>
    </w:p>
    <w:p w14:paraId="2C35CC56" w14:textId="6F4EEC18" w:rsidR="00061BE7" w:rsidRPr="00D93FF9" w:rsidRDefault="00667180" w:rsidP="00667180">
      <w:pPr>
        <w:pStyle w:val="Caption"/>
      </w:pPr>
      <w:bookmarkStart w:id="298" w:name="_Ref81395251"/>
      <w:bookmarkStart w:id="299" w:name="_Toc96518214"/>
      <w:r w:rsidRPr="00D93FF9">
        <w:t xml:space="preserve">Figure </w:t>
      </w:r>
      <w:r w:rsidR="007B28AC" w:rsidRPr="00D93FF9">
        <w:fldChar w:fldCharType="begin"/>
      </w:r>
      <w:r w:rsidR="007B28AC" w:rsidRPr="00D93FF9">
        <w:instrText xml:space="preserve"> SEQ Figure \* ARABIC </w:instrText>
      </w:r>
      <w:r w:rsidR="007B28AC" w:rsidRPr="00D93FF9">
        <w:fldChar w:fldCharType="separate"/>
      </w:r>
      <w:r w:rsidR="0069302C">
        <w:rPr>
          <w:noProof/>
        </w:rPr>
        <w:t>14</w:t>
      </w:r>
      <w:r w:rsidR="007B28AC" w:rsidRPr="00D93FF9">
        <w:fldChar w:fldCharType="end"/>
      </w:r>
      <w:bookmarkEnd w:id="298"/>
      <w:r w:rsidRPr="00D93FF9">
        <w:t xml:space="preserve"> </w:t>
      </w:r>
      <w:bookmarkStart w:id="300" w:name="_Hlk153812776"/>
      <w:r w:rsidR="00061BE7" w:rsidRPr="00D93FF9">
        <w:t>Estimates of phosphorous required to increase Colwell and Olsen P by 1 mg/kg in soil</w:t>
      </w:r>
      <w:r w:rsidR="00A875EC" w:rsidRPr="00D93FF9">
        <w:t xml:space="preserve">. </w:t>
      </w:r>
      <w:r w:rsidR="00061BE7" w:rsidRPr="00D93FF9">
        <w:t>These values should be confirmed with agronomist</w:t>
      </w:r>
      <w:r w:rsidR="000124F6">
        <w:t>s</w:t>
      </w:r>
      <w:r w:rsidR="00061BE7" w:rsidRPr="00D93FF9">
        <w:t xml:space="preserve"> or suitably qualified advisors.</w:t>
      </w:r>
      <w:bookmarkEnd w:id="299"/>
      <w:bookmarkEnd w:id="300"/>
    </w:p>
    <w:p w14:paraId="75D6AC7A" w14:textId="27A27D90" w:rsidR="00582EA6" w:rsidRDefault="00A875EC" w:rsidP="00A875EC">
      <w:pPr>
        <w:pStyle w:val="FootnoteText"/>
      </w:pPr>
      <w:r w:rsidRPr="00D93FF9">
        <w:t xml:space="preserve">Source: </w:t>
      </w:r>
      <w:r w:rsidR="00582EA6" w:rsidRPr="00D93FF9">
        <w:t xml:space="preserve"> Simpson et al</w:t>
      </w:r>
      <w:r w:rsidR="002850C2" w:rsidRPr="00D93FF9">
        <w:t>.</w:t>
      </w:r>
      <w:r w:rsidR="00582EA6" w:rsidRPr="00D93FF9">
        <w:t xml:space="preserve"> 2009; APAL 2013</w:t>
      </w:r>
    </w:p>
    <w:p w14:paraId="60E416DD" w14:textId="77777777" w:rsidR="006975D0" w:rsidRDefault="006975D0" w:rsidP="00A875EC">
      <w:pPr>
        <w:pStyle w:val="FootnoteText"/>
      </w:pPr>
    </w:p>
    <w:p w14:paraId="3282B1C9" w14:textId="77777777" w:rsidR="006975D0" w:rsidRDefault="006975D0" w:rsidP="00A875EC">
      <w:pPr>
        <w:pStyle w:val="FootnoteText"/>
      </w:pPr>
    </w:p>
    <w:p w14:paraId="400F02F4" w14:textId="77777777" w:rsidR="006975D0" w:rsidRPr="00D93FF9" w:rsidRDefault="006975D0" w:rsidP="00A875EC">
      <w:pPr>
        <w:pStyle w:val="FootnoteText"/>
      </w:pPr>
    </w:p>
    <w:p w14:paraId="697D29D3" w14:textId="10ED1FFD" w:rsidR="002F7116" w:rsidRPr="00D93FF9" w:rsidRDefault="00002A68" w:rsidP="00542082">
      <w:pPr>
        <w:pStyle w:val="Caption"/>
      </w:pPr>
      <w:bookmarkStart w:id="301" w:name="_Ref87971844"/>
      <w:bookmarkStart w:id="302" w:name="_Toc96518241"/>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27</w:t>
      </w:r>
      <w:r w:rsidR="00477102" w:rsidRPr="00D93FF9">
        <w:fldChar w:fldCharType="end"/>
      </w:r>
      <w:bookmarkEnd w:id="301"/>
      <w:r w:rsidRPr="00D93FF9">
        <w:t xml:space="preserve"> </w:t>
      </w:r>
      <w:bookmarkStart w:id="303" w:name="_Hlk153812794"/>
      <w:r w:rsidR="002F7116" w:rsidRPr="00D93FF9">
        <w:t>Interpolated critical Colwell-P values (mg/kg) for several crops at different P buffer</w:t>
      </w:r>
      <w:r w:rsidRPr="00D93FF9">
        <w:t xml:space="preserve"> </w:t>
      </w:r>
      <w:r w:rsidR="002F7116" w:rsidRPr="00D93FF9">
        <w:t>capacity categories</w:t>
      </w:r>
      <w:bookmarkEnd w:id="302"/>
      <w:bookmarkEnd w:id="303"/>
    </w:p>
    <w:tbl>
      <w:tblPr>
        <w:tblStyle w:val="ListTable6ColourfulAccent21"/>
        <w:tblW w:w="8291" w:type="dxa"/>
        <w:tblBorders>
          <w:bottom w:val="none" w:sz="0" w:space="0" w:color="auto"/>
        </w:tblBorders>
        <w:tblLook w:val="04A0" w:firstRow="1" w:lastRow="0" w:firstColumn="1" w:lastColumn="0" w:noHBand="0" w:noVBand="1"/>
        <w:tblCaption w:val="Interpolated critical Colwell-P values in milligrams per kilogram for several crops at different P buffer capacity categories"/>
        <w:tblDescription w:val="The P buffer capacity category ranges from an extremely low PBI of less than 15, to a very high PBI of greater than 840. Values for temperate pastures, wheat, potato, and Medicago species are shown in columns two to five for each P buffer category. "/>
      </w:tblPr>
      <w:tblGrid>
        <w:gridCol w:w="2642"/>
        <w:gridCol w:w="1357"/>
        <w:gridCol w:w="1201"/>
        <w:gridCol w:w="1416"/>
        <w:gridCol w:w="1675"/>
      </w:tblGrid>
      <w:tr w:rsidR="00C6491C" w:rsidRPr="00D93FF9" w14:paraId="55B30850" w14:textId="77777777" w:rsidTr="000C1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4" w:space="0" w:color="auto"/>
            </w:tcBorders>
          </w:tcPr>
          <w:p w14:paraId="5443518A" w14:textId="77777777" w:rsidR="002F7116" w:rsidRPr="00D93FF9" w:rsidRDefault="002F7116" w:rsidP="00542082">
            <w:pPr>
              <w:pStyle w:val="TableText"/>
            </w:pPr>
            <w:bookmarkStart w:id="304" w:name="_bookmark0"/>
            <w:bookmarkStart w:id="305" w:name="_bookmark1"/>
            <w:bookmarkEnd w:id="304"/>
            <w:bookmarkEnd w:id="305"/>
            <w:r w:rsidRPr="00D93FF9">
              <w:t>P</w:t>
            </w:r>
            <w:r w:rsidRPr="00D93FF9">
              <w:rPr>
                <w:spacing w:val="-3"/>
              </w:rPr>
              <w:t xml:space="preserve"> </w:t>
            </w:r>
            <w:r w:rsidRPr="00D93FF9">
              <w:t>buffer</w:t>
            </w:r>
            <w:r w:rsidRPr="00D93FF9">
              <w:rPr>
                <w:spacing w:val="-3"/>
              </w:rPr>
              <w:t xml:space="preserve"> </w:t>
            </w:r>
            <w:r w:rsidRPr="00D93FF9">
              <w:t>capacity</w:t>
            </w:r>
            <w:r w:rsidRPr="00D93FF9">
              <w:rPr>
                <w:spacing w:val="-3"/>
              </w:rPr>
              <w:t xml:space="preserve"> </w:t>
            </w:r>
            <w:r w:rsidRPr="00D93FF9">
              <w:t>category</w:t>
            </w:r>
          </w:p>
        </w:tc>
        <w:tc>
          <w:tcPr>
            <w:tcW w:w="1357" w:type="dxa"/>
            <w:tcBorders>
              <w:top w:val="single" w:sz="4" w:space="0" w:color="auto"/>
              <w:bottom w:val="single" w:sz="4" w:space="0" w:color="auto"/>
            </w:tcBorders>
          </w:tcPr>
          <w:p w14:paraId="359C0B60" w14:textId="78754F3D" w:rsidR="002F7116" w:rsidRPr="00D93FF9" w:rsidRDefault="002F7116" w:rsidP="00542082">
            <w:pPr>
              <w:pStyle w:val="TableText"/>
              <w:cnfStyle w:val="100000000000" w:firstRow="1" w:lastRow="0" w:firstColumn="0" w:lastColumn="0" w:oddVBand="0" w:evenVBand="0" w:oddHBand="0" w:evenHBand="0" w:firstRowFirstColumn="0" w:firstRowLastColumn="0" w:lastRowFirstColumn="0" w:lastRowLastColumn="0"/>
              <w:rPr>
                <w:color w:val="auto"/>
              </w:rPr>
            </w:pPr>
            <w:r w:rsidRPr="00D93FF9">
              <w:rPr>
                <w:color w:val="auto"/>
              </w:rPr>
              <w:t>Temperate pasture</w:t>
            </w:r>
          </w:p>
        </w:tc>
        <w:tc>
          <w:tcPr>
            <w:tcW w:w="1201" w:type="dxa"/>
            <w:tcBorders>
              <w:top w:val="single" w:sz="4" w:space="0" w:color="auto"/>
              <w:bottom w:val="single" w:sz="4" w:space="0" w:color="auto"/>
            </w:tcBorders>
          </w:tcPr>
          <w:p w14:paraId="3E6D3F76" w14:textId="77777777" w:rsidR="002F7116" w:rsidRPr="00D93FF9" w:rsidRDefault="002F7116" w:rsidP="00542082">
            <w:pPr>
              <w:pStyle w:val="TableText"/>
              <w:cnfStyle w:val="100000000000" w:firstRow="1" w:lastRow="0" w:firstColumn="0" w:lastColumn="0" w:oddVBand="0" w:evenVBand="0" w:oddHBand="0" w:evenHBand="0" w:firstRowFirstColumn="0" w:firstRowLastColumn="0" w:lastRowFirstColumn="0" w:lastRowLastColumn="0"/>
              <w:rPr>
                <w:color w:val="auto"/>
              </w:rPr>
            </w:pPr>
            <w:r w:rsidRPr="00D93FF9">
              <w:rPr>
                <w:color w:val="auto"/>
              </w:rPr>
              <w:t>Wheat</w:t>
            </w:r>
          </w:p>
        </w:tc>
        <w:tc>
          <w:tcPr>
            <w:tcW w:w="1416" w:type="dxa"/>
            <w:tcBorders>
              <w:top w:val="single" w:sz="4" w:space="0" w:color="auto"/>
              <w:bottom w:val="single" w:sz="4" w:space="0" w:color="auto"/>
            </w:tcBorders>
          </w:tcPr>
          <w:p w14:paraId="002866B1" w14:textId="77777777" w:rsidR="002F7116" w:rsidRPr="00D93FF9" w:rsidRDefault="002F7116" w:rsidP="00542082">
            <w:pPr>
              <w:pStyle w:val="TableText"/>
              <w:cnfStyle w:val="100000000000" w:firstRow="1" w:lastRow="0" w:firstColumn="0" w:lastColumn="0" w:oddVBand="0" w:evenVBand="0" w:oddHBand="0" w:evenHBand="0" w:firstRowFirstColumn="0" w:firstRowLastColumn="0" w:lastRowFirstColumn="0" w:lastRowLastColumn="0"/>
              <w:rPr>
                <w:color w:val="auto"/>
              </w:rPr>
            </w:pPr>
            <w:r w:rsidRPr="00D93FF9">
              <w:rPr>
                <w:color w:val="auto"/>
              </w:rPr>
              <w:t>Potato</w:t>
            </w:r>
          </w:p>
        </w:tc>
        <w:tc>
          <w:tcPr>
            <w:tcW w:w="1675" w:type="dxa"/>
            <w:tcBorders>
              <w:top w:val="single" w:sz="4" w:space="0" w:color="auto"/>
              <w:bottom w:val="single" w:sz="4" w:space="0" w:color="auto"/>
            </w:tcBorders>
          </w:tcPr>
          <w:p w14:paraId="28F83918" w14:textId="542E2C16" w:rsidR="002F7116" w:rsidRPr="00D93FF9" w:rsidRDefault="002F7116" w:rsidP="00542082">
            <w:pPr>
              <w:pStyle w:val="TableText"/>
              <w:cnfStyle w:val="100000000000" w:firstRow="1" w:lastRow="0" w:firstColumn="0" w:lastColumn="0" w:oddVBand="0" w:evenVBand="0" w:oddHBand="0" w:evenHBand="0" w:firstRowFirstColumn="0" w:firstRowLastColumn="0" w:lastRowFirstColumn="0" w:lastRowLastColumn="0"/>
              <w:rPr>
                <w:i/>
                <w:iCs/>
                <w:color w:val="auto"/>
              </w:rPr>
            </w:pPr>
            <w:r w:rsidRPr="00D93FF9">
              <w:rPr>
                <w:i/>
                <w:iCs/>
                <w:color w:val="auto"/>
              </w:rPr>
              <w:t xml:space="preserve">Medicago </w:t>
            </w:r>
            <w:r w:rsidRPr="00D93FF9">
              <w:rPr>
                <w:color w:val="auto"/>
              </w:rPr>
              <w:t>spp.</w:t>
            </w:r>
          </w:p>
        </w:tc>
      </w:tr>
      <w:tr w:rsidR="00C6491C" w:rsidRPr="00D93FF9" w14:paraId="735BC87B" w14:textId="77777777" w:rsidTr="000C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tcBorders>
          </w:tcPr>
          <w:p w14:paraId="6461DDBA" w14:textId="77777777" w:rsidR="002F7116" w:rsidRPr="00D93FF9" w:rsidRDefault="002F7116" w:rsidP="00542082">
            <w:pPr>
              <w:pStyle w:val="TableText"/>
            </w:pPr>
            <w:r w:rsidRPr="00D93FF9">
              <w:t>Extremely</w:t>
            </w:r>
            <w:r w:rsidRPr="00D93FF9">
              <w:rPr>
                <w:spacing w:val="-6"/>
              </w:rPr>
              <w:t xml:space="preserve"> </w:t>
            </w:r>
            <w:r w:rsidRPr="00D93FF9">
              <w:t>low</w:t>
            </w:r>
            <w:r w:rsidRPr="00D93FF9">
              <w:rPr>
                <w:spacing w:val="-5"/>
              </w:rPr>
              <w:t xml:space="preserve"> </w:t>
            </w:r>
            <w:r w:rsidRPr="00D93FF9">
              <w:t>(PBI</w:t>
            </w:r>
            <w:r w:rsidRPr="00D93FF9">
              <w:rPr>
                <w:spacing w:val="-5"/>
              </w:rPr>
              <w:t xml:space="preserve"> </w:t>
            </w:r>
            <w:r w:rsidRPr="00D93FF9">
              <w:rPr>
                <w:rFonts w:ascii="Verdana" w:hAnsi="Verdana" w:cs="Verdana"/>
                <w:i/>
                <w:iCs/>
              </w:rPr>
              <w:t>&lt;</w:t>
            </w:r>
            <w:r w:rsidRPr="00D93FF9">
              <w:t>15)</w:t>
            </w:r>
          </w:p>
        </w:tc>
        <w:tc>
          <w:tcPr>
            <w:tcW w:w="1357" w:type="dxa"/>
            <w:tcBorders>
              <w:top w:val="single" w:sz="4" w:space="0" w:color="auto"/>
            </w:tcBorders>
          </w:tcPr>
          <w:p w14:paraId="19842255" w14:textId="7777777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16</w:t>
            </w:r>
          </w:p>
        </w:tc>
        <w:tc>
          <w:tcPr>
            <w:tcW w:w="1201" w:type="dxa"/>
            <w:tcBorders>
              <w:top w:val="single" w:sz="4" w:space="0" w:color="auto"/>
            </w:tcBorders>
          </w:tcPr>
          <w:p w14:paraId="7D25D0B8" w14:textId="7777777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10</w:t>
            </w:r>
          </w:p>
        </w:tc>
        <w:tc>
          <w:tcPr>
            <w:tcW w:w="1416" w:type="dxa"/>
            <w:tcBorders>
              <w:top w:val="single" w:sz="4" w:space="0" w:color="auto"/>
            </w:tcBorders>
          </w:tcPr>
          <w:p w14:paraId="2EC52BBD" w14:textId="7777777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14</w:t>
            </w:r>
          </w:p>
        </w:tc>
        <w:tc>
          <w:tcPr>
            <w:tcW w:w="1675" w:type="dxa"/>
            <w:tcBorders>
              <w:top w:val="single" w:sz="4" w:space="0" w:color="auto"/>
            </w:tcBorders>
          </w:tcPr>
          <w:p w14:paraId="5D2BC61A" w14:textId="7777777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32</w:t>
            </w:r>
          </w:p>
        </w:tc>
      </w:tr>
      <w:tr w:rsidR="00C6491C" w:rsidRPr="00D93FF9" w14:paraId="2C8C93D0" w14:textId="77777777" w:rsidTr="000C1D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tcBorders>
          </w:tcPr>
          <w:p w14:paraId="23270C40" w14:textId="77777777" w:rsidR="002F7116" w:rsidRPr="00D93FF9" w:rsidRDefault="002F7116" w:rsidP="00542082">
            <w:pPr>
              <w:pStyle w:val="TableText"/>
            </w:pPr>
            <w:r w:rsidRPr="00D93FF9">
              <w:t>Very</w:t>
            </w:r>
            <w:r w:rsidRPr="00D93FF9">
              <w:rPr>
                <w:spacing w:val="-6"/>
              </w:rPr>
              <w:t xml:space="preserve"> </w:t>
            </w:r>
            <w:r w:rsidRPr="00D93FF9">
              <w:t>very</w:t>
            </w:r>
            <w:r w:rsidRPr="00D93FF9">
              <w:rPr>
                <w:spacing w:val="-5"/>
              </w:rPr>
              <w:t xml:space="preserve"> </w:t>
            </w:r>
            <w:r w:rsidRPr="00D93FF9">
              <w:t>low</w:t>
            </w:r>
            <w:r w:rsidRPr="00D93FF9">
              <w:rPr>
                <w:spacing w:val="-6"/>
              </w:rPr>
              <w:t xml:space="preserve"> </w:t>
            </w:r>
            <w:r w:rsidRPr="00D93FF9">
              <w:t>(PBI</w:t>
            </w:r>
            <w:r w:rsidRPr="00D93FF9">
              <w:rPr>
                <w:spacing w:val="-5"/>
              </w:rPr>
              <w:t xml:space="preserve"> </w:t>
            </w:r>
            <w:r w:rsidRPr="00D93FF9">
              <w:t>15-35)</w:t>
            </w:r>
          </w:p>
        </w:tc>
        <w:tc>
          <w:tcPr>
            <w:tcW w:w="1357" w:type="dxa"/>
            <w:tcBorders>
              <w:top w:val="none" w:sz="0" w:space="0" w:color="auto"/>
            </w:tcBorders>
          </w:tcPr>
          <w:p w14:paraId="2C0DA694" w14:textId="77777777"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22</w:t>
            </w:r>
          </w:p>
        </w:tc>
        <w:tc>
          <w:tcPr>
            <w:tcW w:w="1201" w:type="dxa"/>
            <w:tcBorders>
              <w:top w:val="none" w:sz="0" w:space="0" w:color="auto"/>
            </w:tcBorders>
          </w:tcPr>
          <w:p w14:paraId="22BC3F81" w14:textId="77777777"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16</w:t>
            </w:r>
          </w:p>
        </w:tc>
        <w:tc>
          <w:tcPr>
            <w:tcW w:w="1416" w:type="dxa"/>
            <w:tcBorders>
              <w:top w:val="none" w:sz="0" w:space="0" w:color="auto"/>
            </w:tcBorders>
          </w:tcPr>
          <w:p w14:paraId="2ADCF322" w14:textId="77777777"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29</w:t>
            </w:r>
          </w:p>
        </w:tc>
        <w:tc>
          <w:tcPr>
            <w:tcW w:w="1675" w:type="dxa"/>
            <w:tcBorders>
              <w:top w:val="none" w:sz="0" w:space="0" w:color="auto"/>
            </w:tcBorders>
          </w:tcPr>
          <w:p w14:paraId="79682CD3" w14:textId="77777777"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36</w:t>
            </w:r>
          </w:p>
        </w:tc>
      </w:tr>
      <w:tr w:rsidR="00C6491C" w:rsidRPr="00D93FF9" w14:paraId="40353610" w14:textId="77777777" w:rsidTr="000C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tcBorders>
          </w:tcPr>
          <w:p w14:paraId="280F6177" w14:textId="77777777" w:rsidR="002F7116" w:rsidRPr="00D93FF9" w:rsidRDefault="002F7116" w:rsidP="00542082">
            <w:pPr>
              <w:pStyle w:val="TableText"/>
            </w:pPr>
            <w:r w:rsidRPr="00D93FF9">
              <w:t>Very</w:t>
            </w:r>
            <w:r w:rsidRPr="00D93FF9">
              <w:rPr>
                <w:spacing w:val="-6"/>
              </w:rPr>
              <w:t xml:space="preserve"> </w:t>
            </w:r>
            <w:r w:rsidRPr="00D93FF9">
              <w:t>low</w:t>
            </w:r>
            <w:r w:rsidRPr="00D93FF9">
              <w:rPr>
                <w:spacing w:val="-7"/>
              </w:rPr>
              <w:t xml:space="preserve"> </w:t>
            </w:r>
            <w:r w:rsidRPr="00D93FF9">
              <w:t>(PBI</w:t>
            </w:r>
            <w:r w:rsidRPr="00D93FF9">
              <w:rPr>
                <w:spacing w:val="-6"/>
              </w:rPr>
              <w:t xml:space="preserve"> </w:t>
            </w:r>
            <w:r w:rsidRPr="00D93FF9">
              <w:t>36-70)</w:t>
            </w:r>
          </w:p>
        </w:tc>
        <w:tc>
          <w:tcPr>
            <w:tcW w:w="1357" w:type="dxa"/>
            <w:tcBorders>
              <w:top w:val="none" w:sz="0" w:space="0" w:color="auto"/>
            </w:tcBorders>
          </w:tcPr>
          <w:p w14:paraId="711ACFF8" w14:textId="7777777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27</w:t>
            </w:r>
          </w:p>
        </w:tc>
        <w:tc>
          <w:tcPr>
            <w:tcW w:w="1201" w:type="dxa"/>
            <w:tcBorders>
              <w:top w:val="none" w:sz="0" w:space="0" w:color="auto"/>
            </w:tcBorders>
          </w:tcPr>
          <w:p w14:paraId="2CA950B6" w14:textId="7777777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22</w:t>
            </w:r>
          </w:p>
        </w:tc>
        <w:tc>
          <w:tcPr>
            <w:tcW w:w="1416" w:type="dxa"/>
            <w:tcBorders>
              <w:top w:val="none" w:sz="0" w:space="0" w:color="auto"/>
            </w:tcBorders>
          </w:tcPr>
          <w:p w14:paraId="768A1414" w14:textId="7777777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44</w:t>
            </w:r>
          </w:p>
        </w:tc>
        <w:tc>
          <w:tcPr>
            <w:tcW w:w="1675" w:type="dxa"/>
            <w:tcBorders>
              <w:top w:val="none" w:sz="0" w:space="0" w:color="auto"/>
            </w:tcBorders>
          </w:tcPr>
          <w:p w14:paraId="2A314BC9" w14:textId="7777777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39</w:t>
            </w:r>
          </w:p>
        </w:tc>
      </w:tr>
      <w:tr w:rsidR="00C6491C" w:rsidRPr="00D93FF9" w14:paraId="79C23905" w14:textId="77777777" w:rsidTr="000C1D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tcBorders>
          </w:tcPr>
          <w:p w14:paraId="5467C7B2" w14:textId="77777777" w:rsidR="002F7116" w:rsidRPr="00D93FF9" w:rsidRDefault="002F7116" w:rsidP="00542082">
            <w:pPr>
              <w:pStyle w:val="TableText"/>
            </w:pPr>
            <w:r w:rsidRPr="00D93FF9">
              <w:t>Low</w:t>
            </w:r>
            <w:r w:rsidRPr="00D93FF9">
              <w:rPr>
                <w:spacing w:val="-4"/>
              </w:rPr>
              <w:t xml:space="preserve"> </w:t>
            </w:r>
            <w:r w:rsidRPr="00D93FF9">
              <w:t>(PBI</w:t>
            </w:r>
            <w:r w:rsidRPr="00D93FF9">
              <w:rPr>
                <w:spacing w:val="-4"/>
              </w:rPr>
              <w:t xml:space="preserve"> </w:t>
            </w:r>
            <w:r w:rsidRPr="00D93FF9">
              <w:t>71-140)</w:t>
            </w:r>
          </w:p>
        </w:tc>
        <w:tc>
          <w:tcPr>
            <w:tcW w:w="1357" w:type="dxa"/>
            <w:tcBorders>
              <w:top w:val="none" w:sz="0" w:space="0" w:color="auto"/>
            </w:tcBorders>
          </w:tcPr>
          <w:p w14:paraId="2C64E73C" w14:textId="77777777"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32</w:t>
            </w:r>
          </w:p>
        </w:tc>
        <w:tc>
          <w:tcPr>
            <w:tcW w:w="1201" w:type="dxa"/>
            <w:tcBorders>
              <w:top w:val="none" w:sz="0" w:space="0" w:color="auto"/>
            </w:tcBorders>
          </w:tcPr>
          <w:p w14:paraId="3607AE08" w14:textId="77777777"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29</w:t>
            </w:r>
          </w:p>
        </w:tc>
        <w:tc>
          <w:tcPr>
            <w:tcW w:w="1416" w:type="dxa"/>
            <w:tcBorders>
              <w:top w:val="none" w:sz="0" w:space="0" w:color="auto"/>
            </w:tcBorders>
          </w:tcPr>
          <w:p w14:paraId="5FAC3C73" w14:textId="77777777"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65</w:t>
            </w:r>
          </w:p>
        </w:tc>
        <w:tc>
          <w:tcPr>
            <w:tcW w:w="1675" w:type="dxa"/>
            <w:tcBorders>
              <w:top w:val="none" w:sz="0" w:space="0" w:color="auto"/>
            </w:tcBorders>
          </w:tcPr>
          <w:p w14:paraId="6D97F5EB" w14:textId="77777777"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41</w:t>
            </w:r>
          </w:p>
        </w:tc>
      </w:tr>
      <w:tr w:rsidR="00C6491C" w:rsidRPr="00D93FF9" w14:paraId="17A779AD" w14:textId="77777777" w:rsidTr="000C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tcBorders>
          </w:tcPr>
          <w:p w14:paraId="2B127060" w14:textId="77777777" w:rsidR="002F7116" w:rsidRPr="00D93FF9" w:rsidRDefault="002F7116" w:rsidP="00542082">
            <w:pPr>
              <w:pStyle w:val="TableText"/>
            </w:pPr>
            <w:r w:rsidRPr="00D93FF9">
              <w:t>Moderate</w:t>
            </w:r>
            <w:r w:rsidRPr="00D93FF9">
              <w:rPr>
                <w:spacing w:val="-3"/>
              </w:rPr>
              <w:t xml:space="preserve"> </w:t>
            </w:r>
            <w:r w:rsidRPr="00D93FF9">
              <w:t>(PBI</w:t>
            </w:r>
            <w:r w:rsidRPr="00D93FF9">
              <w:rPr>
                <w:spacing w:val="-2"/>
              </w:rPr>
              <w:t xml:space="preserve"> </w:t>
            </w:r>
            <w:r w:rsidRPr="00D93FF9">
              <w:t>141-280)</w:t>
            </w:r>
          </w:p>
        </w:tc>
        <w:tc>
          <w:tcPr>
            <w:tcW w:w="1357" w:type="dxa"/>
            <w:tcBorders>
              <w:top w:val="none" w:sz="0" w:space="0" w:color="auto"/>
            </w:tcBorders>
          </w:tcPr>
          <w:p w14:paraId="7D6DDA94" w14:textId="7777777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39</w:t>
            </w:r>
          </w:p>
        </w:tc>
        <w:tc>
          <w:tcPr>
            <w:tcW w:w="1201" w:type="dxa"/>
            <w:tcBorders>
              <w:top w:val="none" w:sz="0" w:space="0" w:color="auto"/>
            </w:tcBorders>
          </w:tcPr>
          <w:p w14:paraId="7A675972" w14:textId="7777777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38</w:t>
            </w:r>
          </w:p>
        </w:tc>
        <w:tc>
          <w:tcPr>
            <w:tcW w:w="1416" w:type="dxa"/>
            <w:tcBorders>
              <w:top w:val="none" w:sz="0" w:space="0" w:color="auto"/>
            </w:tcBorders>
          </w:tcPr>
          <w:p w14:paraId="69DF6A04" w14:textId="7777777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96</w:t>
            </w:r>
          </w:p>
        </w:tc>
        <w:tc>
          <w:tcPr>
            <w:tcW w:w="1675" w:type="dxa"/>
            <w:tcBorders>
              <w:top w:val="none" w:sz="0" w:space="0" w:color="auto"/>
            </w:tcBorders>
          </w:tcPr>
          <w:p w14:paraId="3AF3022E" w14:textId="049C6E5C"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n/a</w:t>
            </w:r>
          </w:p>
        </w:tc>
      </w:tr>
      <w:tr w:rsidR="00C6491C" w:rsidRPr="00D93FF9" w14:paraId="4098A055" w14:textId="77777777" w:rsidTr="000C1DA6">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tcBorders>
          </w:tcPr>
          <w:p w14:paraId="0EF3A8F5" w14:textId="77777777" w:rsidR="002F7116" w:rsidRPr="00D93FF9" w:rsidRDefault="002F7116" w:rsidP="00542082">
            <w:pPr>
              <w:pStyle w:val="TableText"/>
            </w:pPr>
            <w:r w:rsidRPr="00D93FF9">
              <w:rPr>
                <w:noProof/>
              </w:rPr>
              <mc:AlternateContent>
                <mc:Choice Requires="wps">
                  <w:drawing>
                    <wp:anchor distT="0" distB="0" distL="114300" distR="114300" simplePos="0" relativeHeight="251693056" behindDoc="1" locked="0" layoutInCell="0" allowOverlap="1" wp14:anchorId="2A4C5E5D" wp14:editId="4ECCD77F">
                      <wp:simplePos x="0" y="0"/>
                      <wp:positionH relativeFrom="page">
                        <wp:posOffset>3492500</wp:posOffset>
                      </wp:positionH>
                      <wp:positionV relativeFrom="paragraph">
                        <wp:posOffset>24130</wp:posOffset>
                      </wp:positionV>
                      <wp:extent cx="1809115" cy="177165"/>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AA2A" w14:textId="77777777" w:rsidR="002F7116" w:rsidRDefault="002F7116" w:rsidP="002F7116">
                                  <w:pPr>
                                    <w:pStyle w:val="BodyText"/>
                                    <w:tabs>
                                      <w:tab w:val="left" w:pos="1322"/>
                                      <w:tab w:val="left" w:pos="2724"/>
                                    </w:tabs>
                                    <w:kinsoku w:val="0"/>
                                    <w:overflowPunct w:val="0"/>
                                    <w:spacing w:line="279" w:lineRule="exact"/>
                                    <w:rPr>
                                      <w:rFonts w:ascii="DejaVu Math TeX Gyre" w:hAnsi="DejaVu Math TeX Gyre" w:cs="DejaVu Math TeX Gyre"/>
                                      <w:spacing w:val="-8"/>
                                    </w:rPr>
                                  </w:pPr>
                                  <w:r>
                                    <w:rPr>
                                      <w:rFonts w:ascii="DejaVu Math TeX Gyre" w:hAnsi="DejaVu Math TeX Gyre" w:cs="DejaVu Math TeX Gyre"/>
                                    </w:rPr>
                                    <w:t>=</w:t>
                                  </w:r>
                                  <w:r>
                                    <w:rPr>
                                      <w:rFonts w:ascii="DejaVu Math TeX Gyre" w:hAnsi="DejaVu Math TeX Gyre" w:cs="DejaVu Math TeX Gyre"/>
                                    </w:rPr>
                                    <w:tab/>
                                    <w:t>=</w:t>
                                  </w:r>
                                  <w:r>
                                    <w:rPr>
                                      <w:rFonts w:ascii="DejaVu Math TeX Gyre" w:hAnsi="DejaVu Math TeX Gyre" w:cs="DejaVu Math TeX Gyre"/>
                                    </w:rPr>
                                    <w:tab/>
                                  </w:r>
                                  <w:r>
                                    <w:rPr>
                                      <w:rFonts w:ascii="DejaVu Math TeX Gyre" w:hAnsi="DejaVu Math TeX Gyre" w:cs="DejaVu Math TeX Gyre"/>
                                      <w:spacing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5E5D" id="Text Box 8" o:spid="_x0000_s1029" type="#_x0000_t202" style="position:absolute;margin-left:275pt;margin-top:1.9pt;width:142.45pt;height:13.9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" o:allowincell="f" filled="f" stroked="f">
                      <v:textbox inset="0,0,0,0">
                        <w:txbxContent>
                          <w:p w14:paraId="7924AA2A" w14:textId="77777777" w:rsidR="002F7116" w:rsidRDefault="002F7116" w:rsidP="002F7116">
                            <w:pPr>
                              <w:pStyle w:val="BodyText"/>
                              <w:tabs>
                                <w:tab w:val="left" w:pos="1322"/>
                                <w:tab w:val="left" w:pos="2724"/>
                              </w:tabs>
                              <w:kinsoku w:val="0"/>
                              <w:overflowPunct w:val="0"/>
                              <w:spacing w:line="279" w:lineRule="exact"/>
                              <w:rPr>
                                <w:rFonts w:ascii="DejaVu Math TeX Gyre" w:hAnsi="DejaVu Math TeX Gyre" w:cs="DejaVu Math TeX Gyre"/>
                                <w:spacing w:val="-8"/>
                              </w:rPr>
                            </w:pPr>
                            <w:r>
                              <w:rPr>
                                <w:rFonts w:ascii="DejaVu Math TeX Gyre" w:hAnsi="DejaVu Math TeX Gyre" w:cs="DejaVu Math TeX Gyre"/>
                              </w:rPr>
                              <w:t>=</w:t>
                            </w:r>
                            <w:r>
                              <w:rPr>
                                <w:rFonts w:ascii="DejaVu Math TeX Gyre" w:hAnsi="DejaVu Math TeX Gyre" w:cs="DejaVu Math TeX Gyre"/>
                              </w:rPr>
                              <w:tab/>
                              <w:t>=</w:t>
                            </w:r>
                            <w:r>
                              <w:rPr>
                                <w:rFonts w:ascii="DejaVu Math TeX Gyre" w:hAnsi="DejaVu Math TeX Gyre" w:cs="DejaVu Math TeX Gyre"/>
                              </w:rPr>
                              <w:tab/>
                            </w:r>
                            <w:r>
                              <w:rPr>
                                <w:rFonts w:ascii="DejaVu Math TeX Gyre" w:hAnsi="DejaVu Math TeX Gyre" w:cs="DejaVu Math TeX Gyre"/>
                                <w:spacing w:val="-8"/>
                              </w:rPr>
                              <w:t>=</w:t>
                            </w:r>
                          </w:p>
                        </w:txbxContent>
                      </v:textbox>
                      <w10:wrap anchorx="page"/>
                    </v:shape>
                  </w:pict>
                </mc:Fallback>
              </mc:AlternateContent>
            </w:r>
            <w:r w:rsidRPr="00D93FF9">
              <w:t>High</w:t>
            </w:r>
            <w:r w:rsidRPr="00D93FF9">
              <w:rPr>
                <w:spacing w:val="-3"/>
              </w:rPr>
              <w:t xml:space="preserve"> </w:t>
            </w:r>
            <w:r w:rsidRPr="00D93FF9">
              <w:t>(PBI</w:t>
            </w:r>
            <w:r w:rsidRPr="00D93FF9">
              <w:rPr>
                <w:spacing w:val="-2"/>
              </w:rPr>
              <w:t xml:space="preserve"> </w:t>
            </w:r>
            <w:r w:rsidRPr="00D93FF9">
              <w:t>281-840)</w:t>
            </w:r>
          </w:p>
        </w:tc>
        <w:tc>
          <w:tcPr>
            <w:tcW w:w="1357" w:type="dxa"/>
            <w:tcBorders>
              <w:top w:val="none" w:sz="0" w:space="0" w:color="auto"/>
            </w:tcBorders>
          </w:tcPr>
          <w:p w14:paraId="34A580F1" w14:textId="77777777"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43</w:t>
            </w:r>
            <w:r w:rsidRPr="00D93FF9">
              <w:rPr>
                <w:color w:val="auto"/>
                <w:spacing w:val="-1"/>
              </w:rPr>
              <w:t xml:space="preserve"> </w:t>
            </w:r>
            <w:r w:rsidRPr="00D93FF9">
              <w:rPr>
                <w:color w:val="auto"/>
              </w:rPr>
              <w:t>@</w:t>
            </w:r>
            <w:r w:rsidRPr="00D93FF9">
              <w:rPr>
                <w:color w:val="auto"/>
                <w:spacing w:val="-1"/>
              </w:rPr>
              <w:t xml:space="preserve"> </w:t>
            </w:r>
            <w:r w:rsidRPr="00D93FF9">
              <w:rPr>
                <w:color w:val="auto"/>
              </w:rPr>
              <w:t xml:space="preserve">PBI   </w:t>
            </w:r>
            <w:r w:rsidRPr="00D93FF9">
              <w:rPr>
                <w:color w:val="auto"/>
                <w:spacing w:val="15"/>
              </w:rPr>
              <w:t xml:space="preserve"> </w:t>
            </w:r>
            <w:r w:rsidRPr="00D93FF9">
              <w:rPr>
                <w:color w:val="auto"/>
              </w:rPr>
              <w:t>300</w:t>
            </w:r>
          </w:p>
        </w:tc>
        <w:tc>
          <w:tcPr>
            <w:tcW w:w="1201" w:type="dxa"/>
            <w:tcBorders>
              <w:top w:val="none" w:sz="0" w:space="0" w:color="auto"/>
            </w:tcBorders>
          </w:tcPr>
          <w:p w14:paraId="4C507165" w14:textId="77777777"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43</w:t>
            </w:r>
            <w:r w:rsidRPr="00D93FF9">
              <w:rPr>
                <w:color w:val="auto"/>
                <w:spacing w:val="-1"/>
              </w:rPr>
              <w:t xml:space="preserve"> </w:t>
            </w:r>
            <w:r w:rsidRPr="00D93FF9">
              <w:rPr>
                <w:color w:val="auto"/>
              </w:rPr>
              <w:t>@</w:t>
            </w:r>
            <w:r w:rsidRPr="00D93FF9">
              <w:rPr>
                <w:color w:val="auto"/>
                <w:spacing w:val="-1"/>
              </w:rPr>
              <w:t xml:space="preserve"> </w:t>
            </w:r>
            <w:r w:rsidRPr="00D93FF9">
              <w:rPr>
                <w:color w:val="auto"/>
              </w:rPr>
              <w:t xml:space="preserve">PBI   </w:t>
            </w:r>
            <w:r w:rsidRPr="00D93FF9">
              <w:rPr>
                <w:color w:val="auto"/>
                <w:spacing w:val="15"/>
              </w:rPr>
              <w:t xml:space="preserve"> </w:t>
            </w:r>
            <w:r w:rsidRPr="00D93FF9">
              <w:rPr>
                <w:color w:val="auto"/>
              </w:rPr>
              <w:t>300</w:t>
            </w:r>
          </w:p>
        </w:tc>
        <w:tc>
          <w:tcPr>
            <w:tcW w:w="1416" w:type="dxa"/>
            <w:tcBorders>
              <w:top w:val="none" w:sz="0" w:space="0" w:color="auto"/>
            </w:tcBorders>
          </w:tcPr>
          <w:p w14:paraId="451B1359" w14:textId="77777777"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118</w:t>
            </w:r>
            <w:r w:rsidRPr="00D93FF9">
              <w:rPr>
                <w:color w:val="auto"/>
                <w:spacing w:val="-1"/>
              </w:rPr>
              <w:t xml:space="preserve"> </w:t>
            </w:r>
            <w:r w:rsidRPr="00D93FF9">
              <w:rPr>
                <w:color w:val="auto"/>
              </w:rPr>
              <w:t>@</w:t>
            </w:r>
            <w:r w:rsidRPr="00D93FF9">
              <w:rPr>
                <w:color w:val="auto"/>
                <w:spacing w:val="-2"/>
              </w:rPr>
              <w:t xml:space="preserve"> </w:t>
            </w:r>
            <w:r w:rsidRPr="00D93FF9">
              <w:rPr>
                <w:color w:val="auto"/>
              </w:rPr>
              <w:t xml:space="preserve">PBI   </w:t>
            </w:r>
            <w:r w:rsidRPr="00D93FF9">
              <w:rPr>
                <w:color w:val="auto"/>
                <w:spacing w:val="16"/>
              </w:rPr>
              <w:t xml:space="preserve"> </w:t>
            </w:r>
            <w:r w:rsidRPr="00D93FF9">
              <w:rPr>
                <w:color w:val="auto"/>
              </w:rPr>
              <w:t>300</w:t>
            </w:r>
          </w:p>
        </w:tc>
        <w:tc>
          <w:tcPr>
            <w:tcW w:w="1675" w:type="dxa"/>
            <w:tcBorders>
              <w:top w:val="none" w:sz="0" w:space="0" w:color="auto"/>
            </w:tcBorders>
          </w:tcPr>
          <w:p w14:paraId="3AC20723" w14:textId="6DCFBA2A" w:rsidR="002F7116" w:rsidRPr="00D93FF9" w:rsidRDefault="002F7116" w:rsidP="00542082">
            <w:pPr>
              <w:pStyle w:val="TableText"/>
              <w:cnfStyle w:val="000000010000" w:firstRow="0" w:lastRow="0" w:firstColumn="0" w:lastColumn="0" w:oddVBand="0" w:evenVBand="0" w:oddHBand="0" w:evenHBand="1" w:firstRowFirstColumn="0" w:firstRowLastColumn="0" w:lastRowFirstColumn="0" w:lastRowLastColumn="0"/>
              <w:rPr>
                <w:color w:val="auto"/>
              </w:rPr>
            </w:pPr>
            <w:r w:rsidRPr="00D93FF9">
              <w:rPr>
                <w:color w:val="auto"/>
              </w:rPr>
              <w:t>n/a</w:t>
            </w:r>
          </w:p>
        </w:tc>
      </w:tr>
      <w:tr w:rsidR="00C6491C" w:rsidRPr="00D93FF9" w14:paraId="73E81A78" w14:textId="77777777" w:rsidTr="000C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none" w:sz="0" w:space="0" w:color="auto"/>
              <w:bottom w:val="single" w:sz="4" w:space="0" w:color="auto"/>
            </w:tcBorders>
          </w:tcPr>
          <w:p w14:paraId="3A4BB5D2" w14:textId="77777777" w:rsidR="002F7116" w:rsidRPr="00D93FF9" w:rsidRDefault="002F7116" w:rsidP="00542082">
            <w:pPr>
              <w:pStyle w:val="TableText"/>
            </w:pPr>
            <w:r w:rsidRPr="00D93FF9">
              <w:t>Very</w:t>
            </w:r>
            <w:r w:rsidRPr="00D93FF9">
              <w:rPr>
                <w:spacing w:val="-6"/>
              </w:rPr>
              <w:t xml:space="preserve"> </w:t>
            </w:r>
            <w:r w:rsidRPr="00D93FF9">
              <w:t>high</w:t>
            </w:r>
            <w:r w:rsidRPr="00D93FF9">
              <w:rPr>
                <w:spacing w:val="-6"/>
              </w:rPr>
              <w:t xml:space="preserve"> </w:t>
            </w:r>
            <w:r w:rsidRPr="00D93FF9">
              <w:t>(PBI</w:t>
            </w:r>
            <w:r w:rsidRPr="00D93FF9">
              <w:rPr>
                <w:spacing w:val="-6"/>
              </w:rPr>
              <w:t xml:space="preserve"> </w:t>
            </w:r>
            <w:r w:rsidRPr="00D93FF9">
              <w:rPr>
                <w:rFonts w:ascii="Verdana" w:hAnsi="Verdana" w:cs="Verdana"/>
                <w:i/>
                <w:iCs/>
              </w:rPr>
              <w:t>&gt;</w:t>
            </w:r>
            <w:r w:rsidRPr="00D93FF9">
              <w:t>840)</w:t>
            </w:r>
          </w:p>
        </w:tc>
        <w:tc>
          <w:tcPr>
            <w:tcW w:w="1357" w:type="dxa"/>
            <w:tcBorders>
              <w:top w:val="none" w:sz="0" w:space="0" w:color="auto"/>
              <w:bottom w:val="single" w:sz="4" w:space="0" w:color="auto"/>
            </w:tcBorders>
          </w:tcPr>
          <w:p w14:paraId="058B0412" w14:textId="24EDA893"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n/a</w:t>
            </w:r>
          </w:p>
        </w:tc>
        <w:tc>
          <w:tcPr>
            <w:tcW w:w="1201" w:type="dxa"/>
            <w:tcBorders>
              <w:top w:val="none" w:sz="0" w:space="0" w:color="auto"/>
              <w:bottom w:val="single" w:sz="4" w:space="0" w:color="auto"/>
            </w:tcBorders>
          </w:tcPr>
          <w:p w14:paraId="4127E4A8" w14:textId="6F9DA322"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n/a</w:t>
            </w:r>
          </w:p>
        </w:tc>
        <w:tc>
          <w:tcPr>
            <w:tcW w:w="1416" w:type="dxa"/>
            <w:tcBorders>
              <w:top w:val="none" w:sz="0" w:space="0" w:color="auto"/>
              <w:bottom w:val="single" w:sz="4" w:space="0" w:color="auto"/>
            </w:tcBorders>
          </w:tcPr>
          <w:p w14:paraId="327BCAC3" w14:textId="3F1386EB"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n/a</w:t>
            </w:r>
          </w:p>
        </w:tc>
        <w:tc>
          <w:tcPr>
            <w:tcW w:w="1675" w:type="dxa"/>
            <w:tcBorders>
              <w:top w:val="none" w:sz="0" w:space="0" w:color="auto"/>
              <w:bottom w:val="single" w:sz="4" w:space="0" w:color="auto"/>
            </w:tcBorders>
          </w:tcPr>
          <w:p w14:paraId="521E6A7D" w14:textId="0A785397" w:rsidR="002F7116" w:rsidRPr="00D93FF9" w:rsidRDefault="002F7116" w:rsidP="00542082">
            <w:pPr>
              <w:pStyle w:val="TableText"/>
              <w:cnfStyle w:val="000000100000" w:firstRow="0" w:lastRow="0" w:firstColumn="0" w:lastColumn="0" w:oddVBand="0" w:evenVBand="0" w:oddHBand="1" w:evenHBand="0" w:firstRowFirstColumn="0" w:firstRowLastColumn="0" w:lastRowFirstColumn="0" w:lastRowLastColumn="0"/>
              <w:rPr>
                <w:color w:val="auto"/>
              </w:rPr>
            </w:pPr>
            <w:r w:rsidRPr="00D93FF9">
              <w:rPr>
                <w:color w:val="auto"/>
              </w:rPr>
              <w:t>n/a</w:t>
            </w:r>
          </w:p>
        </w:tc>
      </w:tr>
    </w:tbl>
    <w:p w14:paraId="2003EDC1" w14:textId="1F6A3C80" w:rsidR="00DB4A87" w:rsidRPr="00D93FF9" w:rsidRDefault="002F7116" w:rsidP="00DB4A87">
      <w:pPr>
        <w:rPr>
          <w:sz w:val="18"/>
          <w:szCs w:val="18"/>
          <w:lang w:bidi="en-US"/>
        </w:rPr>
      </w:pPr>
      <w:r w:rsidRPr="00D93FF9">
        <w:rPr>
          <w:sz w:val="18"/>
          <w:szCs w:val="18"/>
          <w:lang w:bidi="en-US"/>
        </w:rPr>
        <w:fldChar w:fldCharType="begin"/>
      </w:r>
      <w:r w:rsidR="00BE6DF0" w:rsidRPr="00D93FF9">
        <w:rPr>
          <w:sz w:val="18"/>
          <w:szCs w:val="18"/>
          <w:lang w:bidi="en-US"/>
        </w:rPr>
        <w:instrText xml:space="preserve"> ADDIN ZOTERO_ITEM CSL_CITATION {"citationID":"TONTX8q6","properties":{"formattedCitation":"(Moody, 2007)","plainCitation":"(Moody, 2007)","noteIndex":0},"citationItems":[{"id":35277,"uris":["http://zotero.org/users/1938757/items/R45FMT7G"],"uri":["http://zotero.org/users/1938757/items/R45FMT7G"],"itemData":{"id":35277,"type":"article-journal","abstract":"Soil phosphorus (P) buffer capacity is the change in the quantity of sorbed P required per unit change in solution P concentration. Because P availability to crops is mainly determined by solution P concentration, as P buffer capacity increases, so does the quantity of P required to maintain a solution P concentration that is adequate for crop demand. Bicarbonate-extractable P using the Colwell method is the most common soil P test used in Australia, and Colwell-P can be considered to estimate P quantity. Therefore, as P buffer capacity increases, the Colwell-P concentration required for maximum yield also increases. Data from several published and unpublished studies are used to derive relationships between the ‘critical’ Colwell-P value (Colwell-P at 90% maximum yield) and the single-point P buffer index (PBI) for annual medics, soybean, potato, wheat, and temperate pasture. The rate of increase in critical Colwell-P with increasing PBI increases in the order: temperate pasture &lt; medics &lt; wheat &lt; potato. Indicative critical Colwell-P values are given for the 5 crops at each of the PBI categories used to describe soil P buffer capacity as it increases from extremely low to very high.","container-title":"Soil Research","DOI":"10.1071/SR06056","ISSN":"1838-6768, 1838-6768","issue":"1","journalAbbreviation":"Soil Res.","language":"en","note":"publisher: CSIRO PUBLISHING","page":"55-62","source":"www.publish.csiro.au","title":"Interpretation of a single-point P buffering index for adjusting critical levels of the Colwell soil P test","volume":"45","author":[{"family":"Moody","given":"P. W."}],"issued":{"date-parts":[["2007",2,14]]}}}],"schema":"https://github.com/citation-style-language/schema/raw/master/csl-citation.json"} </w:instrText>
      </w:r>
      <w:r w:rsidRPr="00D93FF9">
        <w:rPr>
          <w:sz w:val="18"/>
          <w:szCs w:val="18"/>
          <w:lang w:bidi="en-US"/>
        </w:rPr>
        <w:fldChar w:fldCharType="separate"/>
      </w:r>
      <w:r w:rsidR="000C1DA6" w:rsidRPr="00D93FF9">
        <w:rPr>
          <w:rFonts w:ascii="Calibri" w:hAnsi="Calibri" w:cs="Calibri"/>
          <w:sz w:val="18"/>
          <w:szCs w:val="18"/>
        </w:rPr>
        <w:t xml:space="preserve">After </w:t>
      </w:r>
      <w:r w:rsidRPr="00D93FF9">
        <w:rPr>
          <w:rFonts w:ascii="Calibri" w:hAnsi="Calibri" w:cs="Calibri"/>
          <w:sz w:val="18"/>
          <w:szCs w:val="18"/>
        </w:rPr>
        <w:t>Moody</w:t>
      </w:r>
      <w:r w:rsidR="00AC6FA7" w:rsidRPr="00D93FF9">
        <w:rPr>
          <w:rFonts w:ascii="Calibri" w:hAnsi="Calibri" w:cs="Calibri"/>
          <w:sz w:val="18"/>
          <w:szCs w:val="18"/>
        </w:rPr>
        <w:t xml:space="preserve"> (</w:t>
      </w:r>
      <w:r w:rsidRPr="00D93FF9">
        <w:rPr>
          <w:rFonts w:ascii="Calibri" w:hAnsi="Calibri" w:cs="Calibri"/>
          <w:sz w:val="18"/>
          <w:szCs w:val="18"/>
        </w:rPr>
        <w:t>2007)</w:t>
      </w:r>
      <w:r w:rsidRPr="00D93FF9">
        <w:rPr>
          <w:sz w:val="18"/>
          <w:szCs w:val="18"/>
          <w:lang w:bidi="en-US"/>
        </w:rPr>
        <w:fldChar w:fldCharType="end"/>
      </w:r>
    </w:p>
    <w:p w14:paraId="59DCD890" w14:textId="499139FE" w:rsidR="00F71775" w:rsidRPr="00D93FF9" w:rsidRDefault="00F71775" w:rsidP="003807A1">
      <w:pPr>
        <w:pStyle w:val="BodyText"/>
        <w:spacing w:after="0"/>
      </w:pPr>
    </w:p>
    <w:p w14:paraId="636AB3A4" w14:textId="2FC801A3" w:rsidR="00542082" w:rsidRPr="00D93FF9" w:rsidRDefault="00542082" w:rsidP="003807A1">
      <w:pPr>
        <w:pStyle w:val="BodyText"/>
        <w:spacing w:after="0"/>
      </w:pPr>
    </w:p>
    <w:p w14:paraId="26F38CC1" w14:textId="686B86FA" w:rsidR="00A875EC" w:rsidRPr="00D93FF9" w:rsidRDefault="00A875EC" w:rsidP="003807A1">
      <w:pPr>
        <w:pStyle w:val="BodyText"/>
        <w:spacing w:after="0"/>
      </w:pPr>
    </w:p>
    <w:p w14:paraId="00260DE0" w14:textId="4EEEF0D0" w:rsidR="00A875EC" w:rsidRPr="00D93FF9" w:rsidRDefault="00A875EC" w:rsidP="003807A1">
      <w:pPr>
        <w:pStyle w:val="BodyText"/>
        <w:spacing w:after="0"/>
      </w:pPr>
    </w:p>
    <w:p w14:paraId="3F993C5F" w14:textId="77777777" w:rsidR="00A875EC" w:rsidRPr="00D93FF9" w:rsidRDefault="00A875EC" w:rsidP="003807A1">
      <w:pPr>
        <w:pStyle w:val="BodyText"/>
        <w:spacing w:after="0"/>
      </w:pPr>
    </w:p>
    <w:p w14:paraId="59DCD891" w14:textId="77777777" w:rsidR="006A03D0" w:rsidRPr="00D93FF9" w:rsidRDefault="00E811B8" w:rsidP="003807A1">
      <w:pPr>
        <w:pStyle w:val="BodyText"/>
        <w:spacing w:after="0"/>
      </w:pPr>
      <w:r w:rsidRPr="00D93FF9">
        <w:lastRenderedPageBreak/>
        <w:t>Note:</w:t>
      </w:r>
    </w:p>
    <w:p w14:paraId="59DCD892" w14:textId="0D4C4035" w:rsidR="006A03D0" w:rsidRPr="00D93FF9" w:rsidRDefault="00E811B8" w:rsidP="0071172C">
      <w:pPr>
        <w:pStyle w:val="ListNumber"/>
        <w:jc w:val="both"/>
        <w:rPr>
          <w:lang w:val="en-GB"/>
        </w:rPr>
      </w:pPr>
      <w:r w:rsidRPr="00D93FF9">
        <w:rPr>
          <w:lang w:val="en-GB"/>
        </w:rPr>
        <w:t>Given the range of values obtained for phosphorus sorption capacity</w:t>
      </w:r>
      <w:r w:rsidR="00830DE5" w:rsidRPr="00D93FF9">
        <w:rPr>
          <w:lang w:val="en-GB"/>
        </w:rPr>
        <w:t>,</w:t>
      </w:r>
      <w:r w:rsidRPr="00D93FF9">
        <w:rPr>
          <w:lang w:val="en-GB"/>
        </w:rPr>
        <w:t xml:space="preserve"> plant </w:t>
      </w:r>
      <w:r w:rsidR="00830DE5" w:rsidRPr="00D93FF9">
        <w:rPr>
          <w:lang w:val="en-GB"/>
        </w:rPr>
        <w:t xml:space="preserve">requirements and </w:t>
      </w:r>
      <w:r w:rsidRPr="00D93FF9">
        <w:rPr>
          <w:lang w:val="en-GB"/>
        </w:rPr>
        <w:t xml:space="preserve">removal of phosphorus, </w:t>
      </w:r>
      <w:r w:rsidR="00830DE5" w:rsidRPr="00D93FF9">
        <w:rPr>
          <w:lang w:val="en-GB"/>
        </w:rPr>
        <w:t xml:space="preserve">and potential impact from movement of P off-site, </w:t>
      </w:r>
      <w:r w:rsidRPr="00D93FF9">
        <w:rPr>
          <w:lang w:val="en-GB"/>
        </w:rPr>
        <w:t>it is recommended that site-specific data be assessed when assessing the SGV for</w:t>
      </w:r>
      <w:r w:rsidRPr="00D93FF9">
        <w:rPr>
          <w:spacing w:val="-2"/>
          <w:lang w:val="en-GB"/>
        </w:rPr>
        <w:t xml:space="preserve"> </w:t>
      </w:r>
      <w:r w:rsidRPr="00D93FF9">
        <w:rPr>
          <w:lang w:val="en-GB"/>
        </w:rPr>
        <w:t>phosphorus.</w:t>
      </w:r>
    </w:p>
    <w:p w14:paraId="59DCD893" w14:textId="521385E2" w:rsidR="006A03D0" w:rsidRPr="00D93FF9" w:rsidRDefault="00E811B8" w:rsidP="0071172C">
      <w:pPr>
        <w:pStyle w:val="ListNumber"/>
        <w:jc w:val="both"/>
        <w:rPr>
          <w:lang w:val="en-GB"/>
        </w:rPr>
      </w:pPr>
      <w:r w:rsidRPr="00D93FF9">
        <w:rPr>
          <w:lang w:val="en-GB"/>
        </w:rPr>
        <w:t>Current research suggests that, in some soils, phosphorus can move overland or through some soils (preferential flow). This phosphorus will not be exposed to the soil matrix where sorption occurs. In this case, a large portion of the phosphorus sorbed (P</w:t>
      </w:r>
      <w:r w:rsidRPr="00D93FF9">
        <w:rPr>
          <w:vertAlign w:val="subscript"/>
          <w:lang w:val="en-GB"/>
        </w:rPr>
        <w:t>sorb</w:t>
      </w:r>
      <w:r w:rsidRPr="00D93FF9">
        <w:rPr>
          <w:lang w:val="en-GB"/>
        </w:rPr>
        <w:t>) and phosphorus taken up by plants (P</w:t>
      </w:r>
      <w:r w:rsidRPr="00D93FF9">
        <w:rPr>
          <w:vertAlign w:val="subscript"/>
          <w:lang w:val="en-GB"/>
        </w:rPr>
        <w:t>harv</w:t>
      </w:r>
      <w:r w:rsidRPr="00D93FF9">
        <w:rPr>
          <w:lang w:val="en-GB"/>
        </w:rPr>
        <w:t>) would not apply, and a more environmentally protective SGV derived from the above equation would be 0.05 mg P/L. This would not be practical considering plants</w:t>
      </w:r>
      <w:r w:rsidR="00EC2C7B" w:rsidRPr="00D93FF9">
        <w:rPr>
          <w:lang w:val="en-GB"/>
        </w:rPr>
        <w:t>’</w:t>
      </w:r>
      <w:r w:rsidRPr="00D93FF9">
        <w:rPr>
          <w:lang w:val="en-GB"/>
        </w:rPr>
        <w:t xml:space="preserve"> nutritional requirements for phosphorus and current phosphorus fertilisation practices.</w:t>
      </w:r>
    </w:p>
    <w:p w14:paraId="59DCD894" w14:textId="55AB5C1C" w:rsidR="006A03D0" w:rsidRPr="00D93FF9" w:rsidRDefault="00E811B8" w:rsidP="0071172C">
      <w:pPr>
        <w:pStyle w:val="BodyText"/>
        <w:spacing w:after="0" w:line="266" w:lineRule="auto"/>
        <w:jc w:val="both"/>
      </w:pPr>
      <w:r w:rsidRPr="00D93FF9">
        <w:t>It may also be appropriate to include a factor of soil texture or/and soil erod</w:t>
      </w:r>
      <w:r w:rsidR="00771A80" w:rsidRPr="00D93FF9">
        <w:t>i</w:t>
      </w:r>
      <w:r w:rsidRPr="00D93FF9">
        <w:t>bility into the model for determining the SGV. However, there are currently insufficient data available to quantify such a</w:t>
      </w:r>
      <w:r w:rsidRPr="00D93FF9">
        <w:rPr>
          <w:spacing w:val="-3"/>
        </w:rPr>
        <w:t xml:space="preserve"> </w:t>
      </w:r>
      <w:r w:rsidRPr="00D93FF9">
        <w:t>factor.</w:t>
      </w:r>
    </w:p>
    <w:p w14:paraId="59DCD8A1" w14:textId="751C8F68" w:rsidR="00F71775" w:rsidRPr="00D93FF9" w:rsidRDefault="00F71775" w:rsidP="00F71775">
      <w:pPr>
        <w:pStyle w:val="BodyText"/>
        <w:spacing w:after="0" w:line="266" w:lineRule="auto"/>
        <w:jc w:val="both"/>
        <w:rPr>
          <w:lang w:val="en-GB"/>
        </w:rPr>
      </w:pPr>
      <w:bookmarkStart w:id="306" w:name="9.2.7__Pesticides"/>
      <w:bookmarkEnd w:id="306"/>
    </w:p>
    <w:p w14:paraId="060E4109" w14:textId="77777777" w:rsidR="00156453" w:rsidRPr="00D93FF9" w:rsidRDefault="00156453" w:rsidP="007C248C">
      <w:pPr>
        <w:pStyle w:val="Heading2"/>
        <w:rPr>
          <w:lang w:val="en-GB"/>
        </w:rPr>
      </w:pPr>
      <w:bookmarkStart w:id="307" w:name="_Toc96693605"/>
      <w:r w:rsidRPr="00D93FF9">
        <w:rPr>
          <w:lang w:val="en-GB"/>
        </w:rPr>
        <w:t>Organic matter</w:t>
      </w:r>
      <w:bookmarkEnd w:id="307"/>
    </w:p>
    <w:p w14:paraId="7D0E2374" w14:textId="13E5C1A5" w:rsidR="00020526" w:rsidRPr="00D93FF9" w:rsidRDefault="00156453" w:rsidP="002201B6">
      <w:pPr>
        <w:spacing w:after="0" w:line="266" w:lineRule="auto"/>
        <w:jc w:val="both"/>
      </w:pPr>
      <w:r w:rsidRPr="00D93FF9">
        <w:t xml:space="preserve">In some situations, the irrigation water may contain more organic matter than the soil can assimilate, causing the clogging of pores and anaerobic conditions to develop therefore impeding the soil microbial processes and plant root development. This is particularly the case when irrigating with effluent. </w:t>
      </w:r>
      <w:r w:rsidR="006372CD" w:rsidRPr="00D93FF9">
        <w:t xml:space="preserve">The NSW guideline for the </w:t>
      </w:r>
      <w:r w:rsidR="00020526" w:rsidRPr="00D93FF9">
        <w:t>use of effluent for irrigation (NSW DEC 200</w:t>
      </w:r>
      <w:r w:rsidR="0050234B" w:rsidRPr="00D93FF9">
        <w:t>4</w:t>
      </w:r>
      <w:r w:rsidR="00020526" w:rsidRPr="00D93FF9">
        <w:t xml:space="preserve">) specifies that an </w:t>
      </w:r>
      <w:r w:rsidRPr="00D93FF9">
        <w:t xml:space="preserve">average loading rate of 1500kg/ha/month can be taken as the maximum organic loading for most soils. The minimum irrigation area required based on organic loading can be estimated as follows: </w:t>
      </w:r>
    </w:p>
    <w:p w14:paraId="3294EE41" w14:textId="1ED5DF62" w:rsidR="00020526" w:rsidRPr="00D93FF9" w:rsidRDefault="00020526" w:rsidP="00020526">
      <w:pPr>
        <w:spacing w:after="0" w:line="26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497"/>
      </w:tblGrid>
      <w:tr w:rsidR="00F117FB" w:rsidRPr="00D93FF9" w14:paraId="4D51CA1C" w14:textId="77777777" w:rsidTr="002201B6">
        <w:tc>
          <w:tcPr>
            <w:tcW w:w="7513" w:type="dxa"/>
          </w:tcPr>
          <w:p w14:paraId="56AF200A" w14:textId="42AA14B5" w:rsidR="00F117FB" w:rsidRPr="00D93FF9" w:rsidRDefault="00F117FB" w:rsidP="00020526">
            <w:pPr>
              <w:spacing w:after="0" w:line="266" w:lineRule="auto"/>
              <w:rPr>
                <w:sz w:val="20"/>
              </w:rPr>
            </w:pPr>
            <w:r w:rsidRPr="00D93FF9">
              <w:rPr>
                <w:sz w:val="20"/>
              </w:rPr>
              <w:t xml:space="preserve">Minimum irrigation area A = CQ / (1,000 x Lc) </w:t>
            </w:r>
          </w:p>
        </w:tc>
        <w:tc>
          <w:tcPr>
            <w:tcW w:w="1497" w:type="dxa"/>
          </w:tcPr>
          <w:p w14:paraId="176D0B28" w14:textId="0567449A" w:rsidR="00F117FB" w:rsidRPr="00D93FF9" w:rsidRDefault="00F117FB" w:rsidP="00020526">
            <w:pPr>
              <w:spacing w:after="0" w:line="266" w:lineRule="auto"/>
              <w:rPr>
                <w:sz w:val="20"/>
              </w:rPr>
            </w:pPr>
            <w:r w:rsidRPr="00D93FF9">
              <w:rPr>
                <w:sz w:val="20"/>
              </w:rPr>
              <w:t xml:space="preserve">Equation </w:t>
            </w:r>
            <w:r w:rsidRPr="00D93FF9">
              <w:rPr>
                <w:sz w:val="20"/>
              </w:rPr>
              <w:fldChar w:fldCharType="begin"/>
            </w:r>
            <w:r w:rsidRPr="00D93FF9">
              <w:rPr>
                <w:sz w:val="20"/>
              </w:rPr>
              <w:instrText xml:space="preserve"> SEQ Equation \* ARABIC </w:instrText>
            </w:r>
            <w:r w:rsidRPr="00D93FF9">
              <w:rPr>
                <w:sz w:val="20"/>
              </w:rPr>
              <w:fldChar w:fldCharType="separate"/>
            </w:r>
            <w:r w:rsidR="0069302C">
              <w:rPr>
                <w:noProof/>
                <w:sz w:val="20"/>
              </w:rPr>
              <w:t>32</w:t>
            </w:r>
            <w:r w:rsidRPr="00D93FF9">
              <w:rPr>
                <w:sz w:val="20"/>
              </w:rPr>
              <w:fldChar w:fldCharType="end"/>
            </w:r>
          </w:p>
        </w:tc>
      </w:tr>
    </w:tbl>
    <w:p w14:paraId="0DE78075" w14:textId="77777777" w:rsidR="00F117FB" w:rsidRPr="00D93FF9" w:rsidRDefault="00F117FB" w:rsidP="00020526">
      <w:pPr>
        <w:spacing w:after="0" w:line="266" w:lineRule="auto"/>
      </w:pPr>
    </w:p>
    <w:p w14:paraId="00F410E4" w14:textId="168502BE" w:rsidR="00020526" w:rsidRPr="00D93FF9" w:rsidRDefault="00156453" w:rsidP="002201B6">
      <w:pPr>
        <w:spacing w:after="0" w:line="266" w:lineRule="auto"/>
      </w:pPr>
      <w:r w:rsidRPr="00D93FF9">
        <w:t xml:space="preserve">Where: </w:t>
      </w:r>
    </w:p>
    <w:p w14:paraId="50D9C89E" w14:textId="77777777" w:rsidR="00020526" w:rsidRPr="00D93FF9" w:rsidRDefault="00156453" w:rsidP="002201B6">
      <w:pPr>
        <w:spacing w:after="0" w:line="266" w:lineRule="auto"/>
      </w:pPr>
      <w:r w:rsidRPr="00D93FF9">
        <w:t xml:space="preserve">A = irrigation area (ha) </w:t>
      </w:r>
    </w:p>
    <w:p w14:paraId="61F2175D" w14:textId="77777777" w:rsidR="00020526" w:rsidRPr="00D93FF9" w:rsidRDefault="00156453" w:rsidP="002201B6">
      <w:pPr>
        <w:spacing w:after="0" w:line="266" w:lineRule="auto"/>
      </w:pPr>
      <w:r w:rsidRPr="00D93FF9">
        <w:t>C = concentration of BOD</w:t>
      </w:r>
      <w:r w:rsidRPr="00D93FF9">
        <w:rPr>
          <w:vertAlign w:val="subscript"/>
        </w:rPr>
        <w:t>5</w:t>
      </w:r>
      <w:r w:rsidRPr="00D93FF9">
        <w:t xml:space="preserve"> (mg/L) </w:t>
      </w:r>
    </w:p>
    <w:p w14:paraId="39829743" w14:textId="77777777" w:rsidR="00020526" w:rsidRPr="00D93FF9" w:rsidRDefault="00156453" w:rsidP="002201B6">
      <w:pPr>
        <w:spacing w:after="0" w:line="266" w:lineRule="auto"/>
      </w:pPr>
      <w:r w:rsidRPr="00D93FF9">
        <w:t xml:space="preserve">Q = average effluent flow rate (kL/month) </w:t>
      </w:r>
    </w:p>
    <w:p w14:paraId="2011E158" w14:textId="5006CD8B" w:rsidR="00156453" w:rsidRPr="00D93FF9" w:rsidRDefault="00156453" w:rsidP="00020526">
      <w:pPr>
        <w:spacing w:after="0" w:line="266" w:lineRule="auto"/>
      </w:pPr>
      <w:r w:rsidRPr="00D93FF9">
        <w:t>Lc = critical loading rate of constituent (kg/ha/month)</w:t>
      </w:r>
    </w:p>
    <w:p w14:paraId="3008252A" w14:textId="438683AA" w:rsidR="00F8080D" w:rsidRPr="00D93FF9" w:rsidRDefault="00F8080D" w:rsidP="00020526">
      <w:pPr>
        <w:spacing w:after="0" w:line="266" w:lineRule="auto"/>
      </w:pPr>
    </w:p>
    <w:p w14:paraId="417914E5" w14:textId="2CF23E37" w:rsidR="00886A85" w:rsidRPr="00D93FF9" w:rsidRDefault="00DB7674" w:rsidP="002201B6">
      <w:pPr>
        <w:spacing w:after="0" w:line="266" w:lineRule="auto"/>
        <w:jc w:val="both"/>
      </w:pPr>
      <w:r w:rsidRPr="00D93FF9">
        <w:t xml:space="preserve">Other regulations internationally specify various maximum levels of BODs for effluents depending on the type of crop irrigated. </w:t>
      </w:r>
      <w:r w:rsidR="00EE75B4" w:rsidRPr="00D93FF9">
        <w:t>These values vary from a BOD of 5mg/L for crops eaten raw (ISO, 20</w:t>
      </w:r>
      <w:r w:rsidR="00236A4C" w:rsidRPr="00D93FF9">
        <w:t>20</w:t>
      </w:r>
      <w:r w:rsidR="00EE75B4" w:rsidRPr="00D93FF9">
        <w:t>) to 60mg/L for irrigation of industrial and seeded crops (ISO, 20</w:t>
      </w:r>
      <w:r w:rsidR="00236A4C" w:rsidRPr="00D93FF9">
        <w:t>20</w:t>
      </w:r>
      <w:r w:rsidR="00EE75B4" w:rsidRPr="00D93FF9">
        <w:t>)</w:t>
      </w:r>
      <w:r w:rsidR="006B7941" w:rsidRPr="00D93FF9">
        <w:t>. The US EPA recommends 10mg/L for food crop and 30mg/L for process food crops/non</w:t>
      </w:r>
      <w:r w:rsidR="0003238B" w:rsidRPr="00D93FF9">
        <w:t>-</w:t>
      </w:r>
      <w:r w:rsidR="006B7941" w:rsidRPr="00D93FF9">
        <w:t>food crops</w:t>
      </w:r>
      <w:r w:rsidR="00886A85" w:rsidRPr="00D93FF9">
        <w:t xml:space="preserve">. In Australia, the organic loads are </w:t>
      </w:r>
      <w:r w:rsidR="0003238B" w:rsidRPr="00D93FF9">
        <w:t>specified in each jurisdiction and in the AGWR (</w:t>
      </w:r>
      <w:r w:rsidR="00D230F6" w:rsidRPr="00D93FF9">
        <w:rPr>
          <w:rFonts w:cs="Arial"/>
        </w:rPr>
        <w:t xml:space="preserve">NRMMC, EPHC </w:t>
      </w:r>
      <w:r w:rsidR="00FA6E9E" w:rsidRPr="00D93FF9">
        <w:rPr>
          <w:rFonts w:cs="Arial"/>
        </w:rPr>
        <w:t>and</w:t>
      </w:r>
      <w:r w:rsidR="00D230F6" w:rsidRPr="00D93FF9">
        <w:rPr>
          <w:rFonts w:cs="Arial"/>
        </w:rPr>
        <w:t xml:space="preserve"> AHMC </w:t>
      </w:r>
      <w:r w:rsidR="0003238B" w:rsidRPr="00D93FF9">
        <w:t>2006).</w:t>
      </w:r>
      <w:r w:rsidR="007A0A56" w:rsidRPr="00D93FF9">
        <w:t xml:space="preserve"> They vary depending on the type of land use </w:t>
      </w:r>
      <w:r w:rsidR="009A2118" w:rsidRPr="00D93FF9">
        <w:t xml:space="preserve">(recreational, forestry, etc) </w:t>
      </w:r>
      <w:r w:rsidR="007A0A56" w:rsidRPr="00D93FF9">
        <w:t>and crop irrigated (food/non</w:t>
      </w:r>
      <w:r w:rsidR="00A875EC" w:rsidRPr="00D93FF9">
        <w:t>-</w:t>
      </w:r>
      <w:r w:rsidR="007A0A56" w:rsidRPr="00D93FF9">
        <w:t xml:space="preserve">food). The range for these values is 10-80mg/L. </w:t>
      </w:r>
    </w:p>
    <w:p w14:paraId="4BCCEA75" w14:textId="77777777" w:rsidR="00D43C9B" w:rsidRPr="00D93FF9" w:rsidRDefault="00D43C9B" w:rsidP="002201B6">
      <w:pPr>
        <w:spacing w:after="0" w:line="266" w:lineRule="auto"/>
        <w:jc w:val="both"/>
      </w:pPr>
    </w:p>
    <w:p w14:paraId="5A01F964" w14:textId="77777777" w:rsidR="00D43C9B" w:rsidRPr="00D93FF9" w:rsidRDefault="00D43C9B" w:rsidP="002201B6">
      <w:pPr>
        <w:spacing w:after="0" w:line="266" w:lineRule="auto"/>
        <w:jc w:val="both"/>
      </w:pPr>
    </w:p>
    <w:p w14:paraId="7DEDDB6F" w14:textId="77777777" w:rsidR="00D43C9B" w:rsidRPr="00D93FF9" w:rsidRDefault="00D43C9B" w:rsidP="002201B6">
      <w:pPr>
        <w:spacing w:after="0" w:line="266" w:lineRule="auto"/>
        <w:jc w:val="both"/>
      </w:pPr>
    </w:p>
    <w:p w14:paraId="3C12E656" w14:textId="77777777" w:rsidR="00D43C9B" w:rsidRPr="00D93FF9" w:rsidRDefault="00D43C9B" w:rsidP="002201B6">
      <w:pPr>
        <w:spacing w:after="0" w:line="266" w:lineRule="auto"/>
        <w:jc w:val="both"/>
      </w:pPr>
    </w:p>
    <w:p w14:paraId="7EDCCDA2" w14:textId="77777777" w:rsidR="00D43C9B" w:rsidRPr="00D93FF9" w:rsidRDefault="00D43C9B" w:rsidP="002201B6">
      <w:pPr>
        <w:spacing w:after="0" w:line="266" w:lineRule="auto"/>
        <w:jc w:val="both"/>
      </w:pPr>
    </w:p>
    <w:p w14:paraId="7D5FB11E" w14:textId="77777777" w:rsidR="007C248C" w:rsidRPr="00D93FF9" w:rsidRDefault="007C248C" w:rsidP="002201B6">
      <w:pPr>
        <w:spacing w:after="0" w:line="266" w:lineRule="auto"/>
        <w:jc w:val="both"/>
      </w:pPr>
    </w:p>
    <w:p w14:paraId="59DCD8A2" w14:textId="77777777" w:rsidR="00C46175" w:rsidRPr="00D93FF9" w:rsidRDefault="00E811B8" w:rsidP="007C248C">
      <w:pPr>
        <w:pStyle w:val="Heading2"/>
        <w:rPr>
          <w:lang w:val="en-GB"/>
        </w:rPr>
      </w:pPr>
      <w:bookmarkStart w:id="308" w:name="_Toc87981470"/>
      <w:bookmarkStart w:id="309" w:name="_Toc87981580"/>
      <w:bookmarkStart w:id="310" w:name="_Toc87981699"/>
      <w:bookmarkStart w:id="311" w:name="_Toc87981785"/>
      <w:bookmarkStart w:id="312" w:name="_Toc87988328"/>
      <w:bookmarkStart w:id="313" w:name="_Toc87988505"/>
      <w:bookmarkStart w:id="314" w:name="_Toc87988572"/>
      <w:bookmarkStart w:id="315" w:name="_Toc87988770"/>
      <w:bookmarkStart w:id="316" w:name="_Toc87989107"/>
      <w:bookmarkStart w:id="317" w:name="_Toc87989174"/>
      <w:bookmarkStart w:id="318" w:name="_Toc96693606"/>
      <w:bookmarkEnd w:id="308"/>
      <w:bookmarkEnd w:id="309"/>
      <w:bookmarkEnd w:id="310"/>
      <w:bookmarkEnd w:id="311"/>
      <w:bookmarkEnd w:id="312"/>
      <w:bookmarkEnd w:id="313"/>
      <w:bookmarkEnd w:id="314"/>
      <w:bookmarkEnd w:id="315"/>
      <w:bookmarkEnd w:id="316"/>
      <w:bookmarkEnd w:id="317"/>
      <w:r w:rsidRPr="00D93FF9">
        <w:rPr>
          <w:lang w:val="en-GB"/>
        </w:rPr>
        <w:lastRenderedPageBreak/>
        <w:t>Pesticides</w:t>
      </w:r>
      <w:bookmarkEnd w:id="318"/>
    </w:p>
    <w:p w14:paraId="59DCD8A3" w14:textId="77777777" w:rsidR="00C46175" w:rsidRPr="00D93FF9" w:rsidRDefault="00C46175" w:rsidP="003807A1">
      <w:pPr>
        <w:pStyle w:val="BodyText"/>
        <w:spacing w:after="0"/>
        <w:rPr>
          <w:rFonts w:ascii="Arial"/>
          <w:b/>
          <w:sz w:val="23"/>
          <w:lang w:val="en-GB"/>
        </w:rPr>
      </w:pPr>
    </w:p>
    <w:p w14:paraId="59DCD8A4" w14:textId="2587D4BD" w:rsidR="00C46175" w:rsidRPr="00D93FF9" w:rsidRDefault="00E811B8" w:rsidP="003807A1">
      <w:pPr>
        <w:pStyle w:val="Heading5"/>
        <w:spacing w:before="0" w:line="244" w:lineRule="auto"/>
        <w:jc w:val="both"/>
        <w:rPr>
          <w:lang w:val="en-GB"/>
        </w:rPr>
      </w:pPr>
      <w:r w:rsidRPr="00D93FF9">
        <w:rPr>
          <w:i/>
          <w:iCs/>
          <w:lang w:val="en-GB"/>
        </w:rPr>
        <w:t xml:space="preserve">Guideline </w:t>
      </w:r>
      <w:r w:rsidR="00E90CE0" w:rsidRPr="00D93FF9">
        <w:rPr>
          <w:i/>
          <w:iCs/>
          <w:lang w:val="en-GB"/>
        </w:rPr>
        <w:t xml:space="preserve">values </w:t>
      </w:r>
      <w:r w:rsidR="00E90CE0" w:rsidRPr="006975D0">
        <w:rPr>
          <w:i/>
          <w:iCs/>
          <w:lang w:val="en-GB"/>
        </w:rPr>
        <w:t>for pesticides</w:t>
      </w:r>
      <w:r w:rsidR="00E90CE0" w:rsidRPr="00D93FF9">
        <w:rPr>
          <w:i/>
          <w:iCs/>
          <w:lang w:val="en-GB"/>
        </w:rPr>
        <w:t xml:space="preserve"> in irrigation waters are listed in</w:t>
      </w:r>
      <w:r w:rsidR="007245CD" w:rsidRPr="00D93FF9">
        <w:rPr>
          <w:i/>
          <w:iCs/>
          <w:lang w:val="en-GB"/>
        </w:rPr>
        <w:t xml:space="preserve"> </w:t>
      </w:r>
      <w:r w:rsidR="007245CD" w:rsidRPr="00D93FF9">
        <w:rPr>
          <w:i/>
          <w:iCs/>
          <w:lang w:val="en-GB"/>
        </w:rPr>
        <w:fldChar w:fldCharType="begin"/>
      </w:r>
      <w:r w:rsidR="007245CD" w:rsidRPr="00D93FF9">
        <w:rPr>
          <w:i/>
          <w:iCs/>
          <w:lang w:val="en-GB"/>
        </w:rPr>
        <w:instrText xml:space="preserve"> REF _Ref81395626 \h </w:instrText>
      </w:r>
      <w:r w:rsidR="00D93FF9">
        <w:rPr>
          <w:i/>
          <w:iCs/>
          <w:lang w:val="en-GB"/>
        </w:rPr>
        <w:instrText xml:space="preserve"> \* MERGEFORMAT </w:instrText>
      </w:r>
      <w:r w:rsidR="007245CD" w:rsidRPr="00D93FF9">
        <w:rPr>
          <w:i/>
          <w:iCs/>
          <w:lang w:val="en-GB"/>
        </w:rPr>
      </w:r>
      <w:r w:rsidR="007245CD" w:rsidRPr="00D93FF9">
        <w:rPr>
          <w:i/>
          <w:iCs/>
          <w:lang w:val="en-GB"/>
        </w:rPr>
        <w:fldChar w:fldCharType="separate"/>
      </w:r>
      <w:r w:rsidR="0069302C" w:rsidRPr="00D93FF9">
        <w:t xml:space="preserve">Table </w:t>
      </w:r>
      <w:r w:rsidR="0069302C">
        <w:rPr>
          <w:noProof/>
        </w:rPr>
        <w:t>28</w:t>
      </w:r>
      <w:r w:rsidR="007245CD" w:rsidRPr="00D93FF9">
        <w:rPr>
          <w:i/>
          <w:iCs/>
          <w:lang w:val="en-GB"/>
        </w:rPr>
        <w:fldChar w:fldCharType="end"/>
      </w:r>
      <w:r w:rsidR="00E90CE0" w:rsidRPr="00D93FF9">
        <w:rPr>
          <w:i/>
          <w:iCs/>
          <w:lang w:val="en-GB"/>
        </w:rPr>
        <w:t>. They consider likely adverse effects of herbicides on crop growth but do not consider potential impacts on aquatic ecosystems</w:t>
      </w:r>
      <w:r w:rsidR="009E2143" w:rsidRPr="00D93FF9">
        <w:rPr>
          <w:i/>
          <w:iCs/>
          <w:lang w:val="en-GB"/>
        </w:rPr>
        <w:t xml:space="preserve">, </w:t>
      </w:r>
      <w:r w:rsidR="00E93C8D" w:rsidRPr="00D93FF9">
        <w:rPr>
          <w:i/>
          <w:iCs/>
          <w:lang w:val="en-GB"/>
        </w:rPr>
        <w:t>residue accumulation in irrigated crops</w:t>
      </w:r>
      <w:r w:rsidR="009E2143" w:rsidRPr="00D93FF9">
        <w:rPr>
          <w:i/>
          <w:iCs/>
          <w:lang w:val="en-GB"/>
        </w:rPr>
        <w:t xml:space="preserve"> or human health impacts</w:t>
      </w:r>
      <w:r w:rsidR="00E90CE0" w:rsidRPr="00D93FF9">
        <w:rPr>
          <w:i/>
          <w:iCs/>
          <w:lang w:val="en-GB"/>
        </w:rPr>
        <w:t>. They are based on relatively limited information and include only a sub-set of herbicides (and no other pesticides) that might be found in irrigation</w:t>
      </w:r>
      <w:r w:rsidR="00E90CE0" w:rsidRPr="00D93FF9">
        <w:rPr>
          <w:i/>
          <w:iCs/>
          <w:spacing w:val="-2"/>
          <w:lang w:val="en-GB"/>
        </w:rPr>
        <w:t xml:space="preserve"> </w:t>
      </w:r>
      <w:r w:rsidR="00E90CE0" w:rsidRPr="00D93FF9">
        <w:rPr>
          <w:i/>
          <w:iCs/>
          <w:lang w:val="en-GB"/>
        </w:rPr>
        <w:t>waters.</w:t>
      </w:r>
    </w:p>
    <w:p w14:paraId="59DCD8A7" w14:textId="77777777" w:rsidR="00D62340" w:rsidRPr="00D93FF9" w:rsidRDefault="00D62340" w:rsidP="003807A1">
      <w:pPr>
        <w:pStyle w:val="BodyText"/>
        <w:spacing w:after="0" w:line="266" w:lineRule="auto"/>
        <w:rPr>
          <w:lang w:val="en-GB"/>
        </w:rPr>
      </w:pPr>
    </w:p>
    <w:p w14:paraId="59DCD8A8" w14:textId="16E0C264" w:rsidR="00C46175" w:rsidRPr="00D93FF9" w:rsidRDefault="007245CD" w:rsidP="007245CD">
      <w:pPr>
        <w:pStyle w:val="Caption"/>
        <w:rPr>
          <w:rFonts w:ascii="Arial"/>
          <w:sz w:val="18"/>
          <w:lang w:val="en-GB"/>
        </w:rPr>
      </w:pPr>
      <w:bookmarkStart w:id="319" w:name="_Ref81395626"/>
      <w:bookmarkStart w:id="320" w:name="_Toc96518242"/>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28</w:t>
      </w:r>
      <w:r w:rsidR="00477102" w:rsidRPr="00D93FF9">
        <w:fldChar w:fldCharType="end"/>
      </w:r>
      <w:bookmarkEnd w:id="319"/>
      <w:r w:rsidRPr="00D93FF9">
        <w:t xml:space="preserve"> </w:t>
      </w:r>
      <w:bookmarkStart w:id="321" w:name="_Hlk153812804"/>
      <w:r w:rsidRPr="00D93FF9">
        <w:t xml:space="preserve">Interim </w:t>
      </w:r>
      <w:r w:rsidR="00237052" w:rsidRPr="00D93FF9">
        <w:rPr>
          <w:rFonts w:ascii="Arial"/>
          <w:sz w:val="18"/>
          <w:lang w:val="en-GB"/>
        </w:rPr>
        <w:t xml:space="preserve">guideline </w:t>
      </w:r>
      <w:r w:rsidR="00E90CE0" w:rsidRPr="00D93FF9">
        <w:rPr>
          <w:rFonts w:ascii="Arial"/>
          <w:sz w:val="18"/>
          <w:lang w:val="en-GB"/>
        </w:rPr>
        <w:t>value concentrations for a range of herbicides registered in Australia for use in or near waters</w:t>
      </w:r>
      <w:r w:rsidR="00E90CE0" w:rsidRPr="00D93FF9">
        <w:rPr>
          <w:rFonts w:ascii="Arial"/>
          <w:sz w:val="18"/>
          <w:vertAlign w:val="superscript"/>
          <w:lang w:val="en-GB"/>
        </w:rPr>
        <w:t>a</w:t>
      </w:r>
      <w:bookmarkEnd w:id="320"/>
      <w:bookmarkEnd w:id="321"/>
    </w:p>
    <w:p w14:paraId="59DCD8A9" w14:textId="77777777" w:rsidR="00C46175" w:rsidRPr="00D93FF9" w:rsidRDefault="00C46175" w:rsidP="003807A1">
      <w:pPr>
        <w:pStyle w:val="BodyText"/>
        <w:spacing w:after="0"/>
        <w:rPr>
          <w:rFonts w:ascii="Arial"/>
          <w:sz w:val="7"/>
          <w:lang w:val="en-GB"/>
        </w:rPr>
      </w:pPr>
    </w:p>
    <w:tbl>
      <w:tblPr>
        <w:tblW w:w="8972" w:type="dxa"/>
        <w:tblInd w:w="124" w:type="dxa"/>
        <w:tblLayout w:type="fixed"/>
        <w:tblCellMar>
          <w:left w:w="0" w:type="dxa"/>
          <w:right w:w="0" w:type="dxa"/>
        </w:tblCellMar>
        <w:tblLook w:val="01E0" w:firstRow="1" w:lastRow="1" w:firstColumn="1" w:lastColumn="1" w:noHBand="0" w:noVBand="0"/>
        <w:tblCaption w:val="Interim guideline value concentrations for a range of herbicides registered in Australia for use in or near waters"/>
        <w:tblDescription w:val="The table shows guideline values for herbicides in irrigation water, considering potential hazards to crops."/>
      </w:tblPr>
      <w:tblGrid>
        <w:gridCol w:w="1927"/>
        <w:gridCol w:w="1646"/>
        <w:gridCol w:w="1609"/>
        <w:gridCol w:w="3790"/>
      </w:tblGrid>
      <w:tr w:rsidR="00BE3AA8" w:rsidRPr="00D93FF9" w14:paraId="59DCD8AE" w14:textId="77777777" w:rsidTr="001A7A43">
        <w:trPr>
          <w:trHeight w:val="713"/>
        </w:trPr>
        <w:tc>
          <w:tcPr>
            <w:tcW w:w="1927" w:type="dxa"/>
            <w:tcBorders>
              <w:top w:val="single" w:sz="6" w:space="0" w:color="000000"/>
              <w:bottom w:val="single" w:sz="6" w:space="0" w:color="000000"/>
            </w:tcBorders>
          </w:tcPr>
          <w:p w14:paraId="59DCD8AA" w14:textId="77777777" w:rsidR="00C46175" w:rsidRPr="00D93FF9" w:rsidRDefault="00E811B8" w:rsidP="003807A1">
            <w:pPr>
              <w:pStyle w:val="TableParagraph"/>
              <w:spacing w:before="0" w:after="0"/>
              <w:rPr>
                <w:rFonts w:asciiTheme="minorHAnsi" w:hAnsiTheme="minorHAnsi"/>
                <w:b/>
                <w:sz w:val="18"/>
                <w:szCs w:val="18"/>
                <w:lang w:val="en-GB"/>
              </w:rPr>
            </w:pPr>
            <w:r w:rsidRPr="00D93FF9">
              <w:rPr>
                <w:rFonts w:asciiTheme="minorHAnsi" w:hAnsiTheme="minorHAnsi"/>
                <w:b/>
                <w:sz w:val="18"/>
                <w:szCs w:val="18"/>
                <w:lang w:val="en-GB"/>
              </w:rPr>
              <w:t>Herbicide</w:t>
            </w:r>
          </w:p>
        </w:tc>
        <w:tc>
          <w:tcPr>
            <w:tcW w:w="1646" w:type="dxa"/>
            <w:tcBorders>
              <w:top w:val="single" w:sz="6" w:space="0" w:color="000000"/>
              <w:bottom w:val="single" w:sz="6" w:space="0" w:color="000000"/>
            </w:tcBorders>
          </w:tcPr>
          <w:p w14:paraId="59DCD8AB" w14:textId="731DC748" w:rsidR="00C46175" w:rsidRPr="00D93FF9" w:rsidRDefault="00E811B8" w:rsidP="003807A1">
            <w:pPr>
              <w:pStyle w:val="TableParagraph"/>
              <w:spacing w:before="0" w:after="0" w:line="259" w:lineRule="auto"/>
              <w:rPr>
                <w:rFonts w:asciiTheme="minorHAnsi" w:hAnsiTheme="minorHAnsi"/>
                <w:b/>
                <w:sz w:val="18"/>
                <w:szCs w:val="18"/>
                <w:lang w:val="en-GB"/>
              </w:rPr>
            </w:pPr>
            <w:r w:rsidRPr="00D93FF9">
              <w:rPr>
                <w:rFonts w:asciiTheme="minorHAnsi" w:hAnsiTheme="minorHAnsi"/>
                <w:b/>
                <w:sz w:val="18"/>
                <w:szCs w:val="18"/>
                <w:lang w:val="en-GB"/>
              </w:rPr>
              <w:t xml:space="preserve">Residue limits in irrigation water </w:t>
            </w:r>
            <w:r w:rsidRPr="00D93FF9">
              <w:rPr>
                <w:rFonts w:asciiTheme="minorHAnsi" w:hAnsiTheme="minorHAnsi"/>
                <w:b/>
                <w:sz w:val="18"/>
                <w:szCs w:val="18"/>
                <w:vertAlign w:val="superscript"/>
                <w:lang w:val="en-GB"/>
              </w:rPr>
              <w:t>b</w:t>
            </w:r>
          </w:p>
        </w:tc>
        <w:tc>
          <w:tcPr>
            <w:tcW w:w="1609" w:type="dxa"/>
            <w:tcBorders>
              <w:top w:val="single" w:sz="6" w:space="0" w:color="000000"/>
              <w:bottom w:val="single" w:sz="6" w:space="0" w:color="000000"/>
            </w:tcBorders>
          </w:tcPr>
          <w:p w14:paraId="59DCD8AC" w14:textId="77777777" w:rsidR="00C46175" w:rsidRPr="00D93FF9" w:rsidRDefault="00E811B8" w:rsidP="003807A1">
            <w:pPr>
              <w:pStyle w:val="TableParagraph"/>
              <w:spacing w:before="0" w:after="0" w:line="259" w:lineRule="auto"/>
              <w:rPr>
                <w:rFonts w:asciiTheme="minorHAnsi" w:hAnsiTheme="minorHAnsi"/>
                <w:b/>
                <w:sz w:val="18"/>
                <w:szCs w:val="18"/>
                <w:lang w:val="en-GB"/>
              </w:rPr>
            </w:pPr>
            <w:r w:rsidRPr="00D93FF9">
              <w:rPr>
                <w:rFonts w:asciiTheme="minorHAnsi" w:hAnsiTheme="minorHAnsi"/>
                <w:b/>
                <w:sz w:val="18"/>
                <w:szCs w:val="18"/>
                <w:lang w:val="en-GB"/>
              </w:rPr>
              <w:t>Hazard to crops from residue in water</w:t>
            </w:r>
            <w:r w:rsidRPr="00D93FF9">
              <w:rPr>
                <w:rFonts w:asciiTheme="minorHAnsi" w:hAnsiTheme="minorHAnsi"/>
                <w:b/>
                <w:sz w:val="18"/>
                <w:szCs w:val="18"/>
                <w:vertAlign w:val="superscript"/>
                <w:lang w:val="en-GB"/>
              </w:rPr>
              <w:t>c</w:t>
            </w:r>
          </w:p>
        </w:tc>
        <w:tc>
          <w:tcPr>
            <w:tcW w:w="3790" w:type="dxa"/>
            <w:tcBorders>
              <w:top w:val="single" w:sz="6" w:space="0" w:color="000000"/>
              <w:bottom w:val="single" w:sz="6" w:space="0" w:color="000000"/>
            </w:tcBorders>
          </w:tcPr>
          <w:p w14:paraId="59DCD8AD" w14:textId="77777777" w:rsidR="00C46175" w:rsidRPr="00D93FF9" w:rsidRDefault="00E811B8" w:rsidP="003807A1">
            <w:pPr>
              <w:pStyle w:val="TableParagraph"/>
              <w:spacing w:before="0" w:after="0" w:line="259" w:lineRule="auto"/>
              <w:rPr>
                <w:rFonts w:asciiTheme="minorHAnsi" w:hAnsiTheme="minorHAnsi"/>
                <w:b/>
                <w:sz w:val="18"/>
                <w:szCs w:val="18"/>
                <w:lang w:val="en-GB"/>
              </w:rPr>
            </w:pPr>
            <w:r w:rsidRPr="00D93FF9">
              <w:rPr>
                <w:rFonts w:asciiTheme="minorHAnsi" w:hAnsiTheme="minorHAnsi"/>
                <w:b/>
                <w:sz w:val="18"/>
                <w:szCs w:val="18"/>
                <w:lang w:val="en-GB"/>
              </w:rPr>
              <w:t>Crop injury threshold in irrigation water (mg/L)</w:t>
            </w:r>
          </w:p>
        </w:tc>
      </w:tr>
      <w:tr w:rsidR="00BE3AA8" w:rsidRPr="00D93FF9" w14:paraId="59DCD8B3" w14:textId="77777777" w:rsidTr="001A7A43">
        <w:trPr>
          <w:trHeight w:val="264"/>
        </w:trPr>
        <w:tc>
          <w:tcPr>
            <w:tcW w:w="1927" w:type="dxa"/>
            <w:tcBorders>
              <w:top w:val="single" w:sz="6" w:space="0" w:color="000000"/>
            </w:tcBorders>
          </w:tcPr>
          <w:p w14:paraId="59DCD8AF"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Acrolein</w:t>
            </w:r>
          </w:p>
        </w:tc>
        <w:tc>
          <w:tcPr>
            <w:tcW w:w="1646" w:type="dxa"/>
            <w:tcBorders>
              <w:top w:val="single" w:sz="6" w:space="0" w:color="000000"/>
            </w:tcBorders>
          </w:tcPr>
          <w:p w14:paraId="59DCD8B0" w14:textId="78750A6E"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0.1</w:t>
            </w:r>
            <w:r w:rsidR="00077FEE" w:rsidRPr="00D93FF9">
              <w:rPr>
                <w:rFonts w:asciiTheme="minorHAnsi" w:hAnsiTheme="minorHAnsi"/>
                <w:sz w:val="18"/>
                <w:szCs w:val="18"/>
                <w:lang w:val="en-GB"/>
              </w:rPr>
              <w:t xml:space="preserve"> mg/L</w:t>
            </w:r>
          </w:p>
        </w:tc>
        <w:tc>
          <w:tcPr>
            <w:tcW w:w="1609" w:type="dxa"/>
            <w:tcBorders>
              <w:top w:val="single" w:sz="6" w:space="0" w:color="000000"/>
            </w:tcBorders>
          </w:tcPr>
          <w:p w14:paraId="59DCD8B1"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w:t>
            </w:r>
          </w:p>
        </w:tc>
        <w:tc>
          <w:tcPr>
            <w:tcW w:w="3790" w:type="dxa"/>
            <w:tcBorders>
              <w:top w:val="single" w:sz="6" w:space="0" w:color="000000"/>
            </w:tcBorders>
          </w:tcPr>
          <w:p w14:paraId="59DCD8B2"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Flood or furrow: beans 60, corn 60, cotton 80,</w:t>
            </w:r>
          </w:p>
        </w:tc>
      </w:tr>
      <w:tr w:rsidR="00BE3AA8" w:rsidRPr="00D93FF9" w14:paraId="59DCD8B8" w14:textId="77777777" w:rsidTr="001A7A43">
        <w:trPr>
          <w:trHeight w:val="198"/>
        </w:trPr>
        <w:tc>
          <w:tcPr>
            <w:tcW w:w="1927" w:type="dxa"/>
          </w:tcPr>
          <w:p w14:paraId="59DCD8B4" w14:textId="77777777" w:rsidR="00C46175" w:rsidRPr="00D93FF9" w:rsidRDefault="00C46175" w:rsidP="003807A1">
            <w:pPr>
              <w:pStyle w:val="TableParagraph"/>
              <w:spacing w:before="0" w:after="0"/>
              <w:rPr>
                <w:rFonts w:asciiTheme="minorHAnsi" w:hAnsiTheme="minorHAnsi"/>
                <w:sz w:val="18"/>
                <w:szCs w:val="18"/>
                <w:lang w:val="en-GB"/>
              </w:rPr>
            </w:pPr>
          </w:p>
        </w:tc>
        <w:tc>
          <w:tcPr>
            <w:tcW w:w="1646" w:type="dxa"/>
          </w:tcPr>
          <w:p w14:paraId="59DCD8B5" w14:textId="77777777"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8B6" w14:textId="77777777" w:rsidR="00C46175" w:rsidRPr="00D93FF9" w:rsidRDefault="00C46175" w:rsidP="003807A1">
            <w:pPr>
              <w:pStyle w:val="TableParagraph"/>
              <w:spacing w:before="0" w:after="0"/>
              <w:rPr>
                <w:rFonts w:asciiTheme="minorHAnsi" w:hAnsiTheme="minorHAnsi"/>
                <w:sz w:val="18"/>
                <w:szCs w:val="18"/>
                <w:lang w:val="en-GB"/>
              </w:rPr>
            </w:pPr>
          </w:p>
        </w:tc>
        <w:tc>
          <w:tcPr>
            <w:tcW w:w="3790" w:type="dxa"/>
          </w:tcPr>
          <w:p w14:paraId="59DCD8B7"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soybeans 20, sugar-beets 60. Sprinkler: corn</w:t>
            </w:r>
          </w:p>
        </w:tc>
      </w:tr>
      <w:tr w:rsidR="00BE3AA8" w:rsidRPr="00D93FF9" w14:paraId="59DCD8BD" w14:textId="77777777" w:rsidTr="001A7A43">
        <w:trPr>
          <w:trHeight w:val="257"/>
        </w:trPr>
        <w:tc>
          <w:tcPr>
            <w:tcW w:w="1927" w:type="dxa"/>
          </w:tcPr>
          <w:p w14:paraId="59DCD8B9" w14:textId="77777777" w:rsidR="00C46175" w:rsidRPr="00D93FF9" w:rsidRDefault="00C46175" w:rsidP="003807A1">
            <w:pPr>
              <w:pStyle w:val="TableParagraph"/>
              <w:spacing w:before="0" w:after="0"/>
              <w:rPr>
                <w:rFonts w:asciiTheme="minorHAnsi" w:hAnsiTheme="minorHAnsi"/>
                <w:sz w:val="18"/>
                <w:szCs w:val="18"/>
                <w:lang w:val="en-GB"/>
              </w:rPr>
            </w:pPr>
          </w:p>
        </w:tc>
        <w:tc>
          <w:tcPr>
            <w:tcW w:w="1646" w:type="dxa"/>
          </w:tcPr>
          <w:p w14:paraId="59DCD8BA" w14:textId="77777777"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8BB" w14:textId="77777777" w:rsidR="00C46175" w:rsidRPr="00D93FF9" w:rsidRDefault="00C46175" w:rsidP="003807A1">
            <w:pPr>
              <w:pStyle w:val="TableParagraph"/>
              <w:spacing w:before="0" w:after="0"/>
              <w:rPr>
                <w:rFonts w:asciiTheme="minorHAnsi" w:hAnsiTheme="minorHAnsi"/>
                <w:sz w:val="18"/>
                <w:szCs w:val="18"/>
                <w:lang w:val="en-GB"/>
              </w:rPr>
            </w:pPr>
          </w:p>
        </w:tc>
        <w:tc>
          <w:tcPr>
            <w:tcW w:w="3790" w:type="dxa"/>
          </w:tcPr>
          <w:p w14:paraId="59DCD8BC"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60, soybeans 15, sugar-beets 15</w:t>
            </w:r>
          </w:p>
        </w:tc>
      </w:tr>
      <w:tr w:rsidR="00BE3AA8" w:rsidRPr="00D93FF9" w14:paraId="59DCD8C2" w14:textId="77777777" w:rsidTr="001A7A43">
        <w:trPr>
          <w:trHeight w:val="317"/>
        </w:trPr>
        <w:tc>
          <w:tcPr>
            <w:tcW w:w="1927" w:type="dxa"/>
          </w:tcPr>
          <w:p w14:paraId="59DCD8BE" w14:textId="5140E52B" w:rsidR="00C46175" w:rsidRPr="00D93FF9" w:rsidRDefault="00C46175" w:rsidP="003807A1">
            <w:pPr>
              <w:pStyle w:val="TableParagraph"/>
              <w:spacing w:before="0" w:after="0"/>
              <w:rPr>
                <w:rFonts w:asciiTheme="minorHAnsi" w:hAnsiTheme="minorHAnsi"/>
                <w:sz w:val="18"/>
                <w:szCs w:val="18"/>
                <w:lang w:val="en-GB"/>
              </w:rPr>
            </w:pPr>
          </w:p>
        </w:tc>
        <w:tc>
          <w:tcPr>
            <w:tcW w:w="1646" w:type="dxa"/>
          </w:tcPr>
          <w:p w14:paraId="59DCD8BF" w14:textId="3642FAC1"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8C0" w14:textId="41A47365" w:rsidR="00C46175" w:rsidRPr="00D93FF9" w:rsidRDefault="00C46175" w:rsidP="003807A1">
            <w:pPr>
              <w:pStyle w:val="TableParagraph"/>
              <w:spacing w:before="0" w:after="0"/>
              <w:rPr>
                <w:rFonts w:asciiTheme="minorHAnsi" w:hAnsiTheme="minorHAnsi"/>
                <w:sz w:val="18"/>
                <w:szCs w:val="18"/>
                <w:lang w:val="en-GB"/>
              </w:rPr>
            </w:pPr>
          </w:p>
        </w:tc>
        <w:tc>
          <w:tcPr>
            <w:tcW w:w="3790" w:type="dxa"/>
          </w:tcPr>
          <w:p w14:paraId="59DCD8C1" w14:textId="5CEBBC30"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8C7" w14:textId="77777777" w:rsidTr="001A7A43">
        <w:trPr>
          <w:trHeight w:val="257"/>
        </w:trPr>
        <w:tc>
          <w:tcPr>
            <w:tcW w:w="1927" w:type="dxa"/>
          </w:tcPr>
          <w:p w14:paraId="59DCD8C3" w14:textId="33222905"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Amitrol</w:t>
            </w:r>
            <w:r w:rsidR="009F6620" w:rsidRPr="00D93FF9">
              <w:rPr>
                <w:rFonts w:asciiTheme="minorHAnsi" w:hAnsiTheme="minorHAnsi"/>
                <w:sz w:val="18"/>
                <w:szCs w:val="18"/>
                <w:lang w:val="en-GB"/>
              </w:rPr>
              <w:t>e</w:t>
            </w:r>
          </w:p>
        </w:tc>
        <w:tc>
          <w:tcPr>
            <w:tcW w:w="1646" w:type="dxa"/>
          </w:tcPr>
          <w:p w14:paraId="59DCD8C4" w14:textId="34CA28A4"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0.002</w:t>
            </w:r>
            <w:r w:rsidR="00077FEE" w:rsidRPr="00D93FF9">
              <w:rPr>
                <w:rFonts w:asciiTheme="minorHAnsi" w:hAnsiTheme="minorHAnsi"/>
                <w:sz w:val="18"/>
                <w:szCs w:val="18"/>
                <w:lang w:val="en-GB"/>
              </w:rPr>
              <w:t xml:space="preserve"> mg/L</w:t>
            </w:r>
          </w:p>
        </w:tc>
        <w:tc>
          <w:tcPr>
            <w:tcW w:w="1609" w:type="dxa"/>
          </w:tcPr>
          <w:p w14:paraId="59DCD8C5"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8C6"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Lucerne 1600, beans 1200, carrots 1600,</w:t>
            </w:r>
          </w:p>
        </w:tc>
      </w:tr>
      <w:tr w:rsidR="00BE3AA8" w:rsidRPr="00D93FF9" w14:paraId="59DCD8CC" w14:textId="77777777" w:rsidTr="001A7A43">
        <w:trPr>
          <w:trHeight w:val="257"/>
        </w:trPr>
        <w:tc>
          <w:tcPr>
            <w:tcW w:w="1927" w:type="dxa"/>
          </w:tcPr>
          <w:p w14:paraId="59DCD8C8" w14:textId="77777777" w:rsidR="00C46175" w:rsidRPr="00D93FF9" w:rsidRDefault="00C46175" w:rsidP="003807A1">
            <w:pPr>
              <w:pStyle w:val="TableParagraph"/>
              <w:spacing w:before="0" w:after="0"/>
              <w:rPr>
                <w:rFonts w:asciiTheme="minorHAnsi" w:hAnsiTheme="minorHAnsi"/>
                <w:sz w:val="18"/>
                <w:szCs w:val="18"/>
                <w:lang w:val="en-GB"/>
              </w:rPr>
            </w:pPr>
          </w:p>
        </w:tc>
        <w:tc>
          <w:tcPr>
            <w:tcW w:w="1646" w:type="dxa"/>
          </w:tcPr>
          <w:p w14:paraId="59DCD8C9" w14:textId="77777777"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8CA" w14:textId="77777777" w:rsidR="00C46175" w:rsidRPr="00D93FF9" w:rsidRDefault="00C46175" w:rsidP="003807A1">
            <w:pPr>
              <w:pStyle w:val="TableParagraph"/>
              <w:spacing w:before="0" w:after="0"/>
              <w:rPr>
                <w:rFonts w:asciiTheme="minorHAnsi" w:hAnsiTheme="minorHAnsi"/>
                <w:sz w:val="18"/>
                <w:szCs w:val="18"/>
                <w:lang w:val="en-GB"/>
              </w:rPr>
            </w:pPr>
          </w:p>
        </w:tc>
        <w:tc>
          <w:tcPr>
            <w:tcW w:w="3790" w:type="dxa"/>
          </w:tcPr>
          <w:p w14:paraId="59DCD8CB"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corn 3000, cotton 1600, grains sorghum 800</w:t>
            </w:r>
          </w:p>
        </w:tc>
      </w:tr>
      <w:tr w:rsidR="00BE3AA8" w:rsidRPr="00D93FF9" w14:paraId="59DCD8D1" w14:textId="77777777" w:rsidTr="001A7A43">
        <w:trPr>
          <w:trHeight w:val="257"/>
        </w:trPr>
        <w:tc>
          <w:tcPr>
            <w:tcW w:w="1927" w:type="dxa"/>
          </w:tcPr>
          <w:p w14:paraId="59DCD8CD" w14:textId="5A9F56C0" w:rsidR="00C46175" w:rsidRPr="00D93FF9" w:rsidRDefault="00C46175" w:rsidP="003807A1">
            <w:pPr>
              <w:pStyle w:val="TableParagraph"/>
              <w:spacing w:before="0" w:after="0" w:line="174" w:lineRule="exact"/>
              <w:rPr>
                <w:rFonts w:asciiTheme="minorHAnsi" w:hAnsiTheme="minorHAnsi"/>
                <w:sz w:val="18"/>
                <w:szCs w:val="18"/>
                <w:lang w:val="en-GB"/>
              </w:rPr>
            </w:pPr>
          </w:p>
        </w:tc>
        <w:tc>
          <w:tcPr>
            <w:tcW w:w="1646" w:type="dxa"/>
          </w:tcPr>
          <w:p w14:paraId="59DCD8CE" w14:textId="429AA0F2" w:rsidR="00C46175" w:rsidRPr="00D93FF9" w:rsidRDefault="00C46175" w:rsidP="003807A1">
            <w:pPr>
              <w:pStyle w:val="TableParagraph"/>
              <w:spacing w:before="0" w:after="0" w:line="174" w:lineRule="exact"/>
              <w:rPr>
                <w:rFonts w:asciiTheme="minorHAnsi" w:hAnsiTheme="minorHAnsi"/>
                <w:sz w:val="18"/>
                <w:szCs w:val="18"/>
                <w:lang w:val="en-GB"/>
              </w:rPr>
            </w:pPr>
          </w:p>
        </w:tc>
        <w:tc>
          <w:tcPr>
            <w:tcW w:w="1609" w:type="dxa"/>
          </w:tcPr>
          <w:p w14:paraId="59DCD8CF" w14:textId="2DCFF15F" w:rsidR="00C46175" w:rsidRPr="00D93FF9" w:rsidRDefault="00C46175" w:rsidP="003807A1">
            <w:pPr>
              <w:pStyle w:val="TableParagraph"/>
              <w:spacing w:before="0" w:after="0" w:line="174" w:lineRule="exact"/>
              <w:rPr>
                <w:rFonts w:asciiTheme="minorHAnsi" w:hAnsiTheme="minorHAnsi"/>
                <w:sz w:val="18"/>
                <w:szCs w:val="18"/>
                <w:lang w:val="en-GB"/>
              </w:rPr>
            </w:pPr>
          </w:p>
        </w:tc>
        <w:tc>
          <w:tcPr>
            <w:tcW w:w="3790" w:type="dxa"/>
          </w:tcPr>
          <w:p w14:paraId="59DCD8D0" w14:textId="1D6B9963" w:rsidR="00C46175" w:rsidRPr="00D93FF9" w:rsidRDefault="00C46175" w:rsidP="003807A1">
            <w:pPr>
              <w:pStyle w:val="TableParagraph"/>
              <w:spacing w:before="0" w:after="0" w:line="174" w:lineRule="exact"/>
              <w:rPr>
                <w:rFonts w:asciiTheme="minorHAnsi" w:hAnsiTheme="minorHAnsi"/>
                <w:sz w:val="18"/>
                <w:szCs w:val="18"/>
                <w:lang w:val="en-GB"/>
              </w:rPr>
            </w:pPr>
          </w:p>
        </w:tc>
      </w:tr>
      <w:tr w:rsidR="00BE3AA8" w:rsidRPr="00D93FF9" w14:paraId="59DCD8D6" w14:textId="77777777" w:rsidTr="001A7A43">
        <w:trPr>
          <w:trHeight w:val="257"/>
        </w:trPr>
        <w:tc>
          <w:tcPr>
            <w:tcW w:w="1927" w:type="dxa"/>
          </w:tcPr>
          <w:p w14:paraId="59DCD8D2" w14:textId="43E83691" w:rsidR="00C46175" w:rsidRPr="00D93FF9" w:rsidRDefault="00C46175" w:rsidP="003807A1">
            <w:pPr>
              <w:pStyle w:val="TableParagraph"/>
              <w:spacing w:before="0" w:after="0"/>
              <w:rPr>
                <w:rFonts w:asciiTheme="minorHAnsi" w:hAnsiTheme="minorHAnsi"/>
                <w:sz w:val="18"/>
                <w:szCs w:val="18"/>
                <w:lang w:val="en-GB"/>
              </w:rPr>
            </w:pPr>
          </w:p>
        </w:tc>
        <w:tc>
          <w:tcPr>
            <w:tcW w:w="1646" w:type="dxa"/>
          </w:tcPr>
          <w:p w14:paraId="59DCD8D3" w14:textId="77777777"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8D4" w14:textId="77777777" w:rsidR="00C46175" w:rsidRPr="00D93FF9" w:rsidRDefault="00C46175" w:rsidP="003807A1">
            <w:pPr>
              <w:pStyle w:val="TableParagraph"/>
              <w:spacing w:before="0" w:after="0"/>
              <w:rPr>
                <w:rFonts w:asciiTheme="minorHAnsi" w:hAnsiTheme="minorHAnsi"/>
                <w:sz w:val="18"/>
                <w:szCs w:val="18"/>
                <w:lang w:val="en-GB"/>
              </w:rPr>
            </w:pPr>
          </w:p>
        </w:tc>
        <w:tc>
          <w:tcPr>
            <w:tcW w:w="3790" w:type="dxa"/>
          </w:tcPr>
          <w:p w14:paraId="59DCD8D5"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8DB" w14:textId="77777777" w:rsidTr="001A7A43">
        <w:trPr>
          <w:trHeight w:val="317"/>
        </w:trPr>
        <w:tc>
          <w:tcPr>
            <w:tcW w:w="1927" w:type="dxa"/>
          </w:tcPr>
          <w:p w14:paraId="59DCD8D7"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Asulam</w:t>
            </w:r>
          </w:p>
        </w:tc>
        <w:tc>
          <w:tcPr>
            <w:tcW w:w="1646" w:type="dxa"/>
          </w:tcPr>
          <w:p w14:paraId="59DCD8D8" w14:textId="411D2DCB"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8D9"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8DA"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8E0" w14:textId="77777777" w:rsidTr="001A7A43">
        <w:trPr>
          <w:trHeight w:val="317"/>
        </w:trPr>
        <w:tc>
          <w:tcPr>
            <w:tcW w:w="1927" w:type="dxa"/>
          </w:tcPr>
          <w:p w14:paraId="59DCD8DC"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Atrazine</w:t>
            </w:r>
          </w:p>
        </w:tc>
        <w:tc>
          <w:tcPr>
            <w:tcW w:w="1646" w:type="dxa"/>
          </w:tcPr>
          <w:p w14:paraId="59DCD8DD" w14:textId="2D947FE4" w:rsidR="00C46175" w:rsidRPr="00D93FF9" w:rsidRDefault="00077FEE"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 xml:space="preserve">10 </w:t>
            </w:r>
            <w:r w:rsidRPr="00D93FF9">
              <w:rPr>
                <w:rFonts w:asciiTheme="minorHAnsi" w:hAnsiTheme="minorHAnsi" w:cstheme="minorHAnsi"/>
                <w:sz w:val="18"/>
                <w:szCs w:val="18"/>
                <w:lang w:val="en-GB"/>
              </w:rPr>
              <w:t>µ</w:t>
            </w:r>
            <w:r w:rsidRPr="00D93FF9">
              <w:rPr>
                <w:rFonts w:asciiTheme="minorHAnsi" w:hAnsiTheme="minorHAnsi"/>
                <w:sz w:val="18"/>
                <w:szCs w:val="18"/>
                <w:lang w:val="en-GB"/>
              </w:rPr>
              <w:t>g/L</w:t>
            </w:r>
          </w:p>
        </w:tc>
        <w:tc>
          <w:tcPr>
            <w:tcW w:w="1609" w:type="dxa"/>
          </w:tcPr>
          <w:p w14:paraId="59DCD8DE"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8DF"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8E5" w14:textId="77777777" w:rsidTr="001A7A43">
        <w:trPr>
          <w:trHeight w:val="317"/>
        </w:trPr>
        <w:tc>
          <w:tcPr>
            <w:tcW w:w="1927" w:type="dxa"/>
          </w:tcPr>
          <w:p w14:paraId="59DCD8E1" w14:textId="68540B2B"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Broma</w:t>
            </w:r>
            <w:r w:rsidR="009F6620" w:rsidRPr="00D93FF9">
              <w:rPr>
                <w:rFonts w:asciiTheme="minorHAnsi" w:hAnsiTheme="minorHAnsi"/>
                <w:sz w:val="18"/>
                <w:szCs w:val="18"/>
                <w:lang w:val="en-GB"/>
              </w:rPr>
              <w:t>c</w:t>
            </w:r>
            <w:r w:rsidRPr="00D93FF9">
              <w:rPr>
                <w:rFonts w:asciiTheme="minorHAnsi" w:hAnsiTheme="minorHAnsi"/>
                <w:sz w:val="18"/>
                <w:szCs w:val="18"/>
                <w:lang w:val="en-GB"/>
              </w:rPr>
              <w:t>il</w:t>
            </w:r>
          </w:p>
        </w:tc>
        <w:tc>
          <w:tcPr>
            <w:tcW w:w="1646" w:type="dxa"/>
          </w:tcPr>
          <w:p w14:paraId="59DCD8E2" w14:textId="7CC5918B" w:rsidR="00C46175" w:rsidRPr="00D93FF9" w:rsidRDefault="00077FEE"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 xml:space="preserve">0.2 </w:t>
            </w:r>
            <w:r w:rsidRPr="00D93FF9">
              <w:rPr>
                <w:rFonts w:asciiTheme="minorHAnsi" w:hAnsiTheme="minorHAnsi" w:cstheme="minorHAnsi"/>
                <w:sz w:val="18"/>
                <w:szCs w:val="18"/>
                <w:lang w:val="en-GB"/>
              </w:rPr>
              <w:t>µ</w:t>
            </w:r>
            <w:r w:rsidRPr="00D93FF9">
              <w:rPr>
                <w:rFonts w:asciiTheme="minorHAnsi" w:hAnsiTheme="minorHAnsi"/>
                <w:sz w:val="18"/>
                <w:szCs w:val="18"/>
                <w:lang w:val="en-GB"/>
              </w:rPr>
              <w:t>g/L</w:t>
            </w:r>
          </w:p>
        </w:tc>
        <w:tc>
          <w:tcPr>
            <w:tcW w:w="1609" w:type="dxa"/>
          </w:tcPr>
          <w:p w14:paraId="59DCD8E3"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8E4"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8EA" w14:textId="77777777" w:rsidTr="001A7A43">
        <w:trPr>
          <w:trHeight w:val="317"/>
        </w:trPr>
        <w:tc>
          <w:tcPr>
            <w:tcW w:w="1927" w:type="dxa"/>
          </w:tcPr>
          <w:p w14:paraId="72612602" w14:textId="0C855D4F" w:rsidR="00C347B4" w:rsidRPr="00D93FF9" w:rsidRDefault="00C347B4"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Chlorpyrifos</w:t>
            </w:r>
          </w:p>
          <w:p w14:paraId="59DCD8E6" w14:textId="2570C5CE"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Chlorthiamid</w:t>
            </w:r>
            <w:r w:rsidR="00FE5C1B" w:rsidRPr="00D93FF9">
              <w:rPr>
                <w:rFonts w:asciiTheme="minorHAnsi" w:hAnsiTheme="minorHAnsi"/>
                <w:sz w:val="18"/>
                <w:szCs w:val="18"/>
                <w:vertAlign w:val="superscript"/>
                <w:lang w:val="en-GB"/>
              </w:rPr>
              <w:t>¥</w:t>
            </w:r>
          </w:p>
        </w:tc>
        <w:tc>
          <w:tcPr>
            <w:tcW w:w="1646" w:type="dxa"/>
          </w:tcPr>
          <w:p w14:paraId="59DCD8E7" w14:textId="27927D2F"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8E8"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8E9"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8EF" w14:textId="77777777" w:rsidTr="001A7A43">
        <w:trPr>
          <w:trHeight w:val="257"/>
        </w:trPr>
        <w:tc>
          <w:tcPr>
            <w:tcW w:w="1927" w:type="dxa"/>
          </w:tcPr>
          <w:p w14:paraId="59DCD8EB"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Copper sulfate</w:t>
            </w:r>
          </w:p>
        </w:tc>
        <w:tc>
          <w:tcPr>
            <w:tcW w:w="1646" w:type="dxa"/>
          </w:tcPr>
          <w:p w14:paraId="59DCD8EC" w14:textId="39D92EAB" w:rsidR="00C46175" w:rsidRPr="00D93FF9" w:rsidRDefault="00C46175" w:rsidP="003807A1">
            <w:pPr>
              <w:pStyle w:val="TableParagraph"/>
              <w:spacing w:before="0" w:after="0" w:line="174" w:lineRule="exact"/>
              <w:rPr>
                <w:rFonts w:asciiTheme="minorHAnsi" w:hAnsiTheme="minorHAnsi"/>
                <w:sz w:val="18"/>
                <w:szCs w:val="18"/>
                <w:lang w:val="en-GB"/>
              </w:rPr>
            </w:pPr>
          </w:p>
        </w:tc>
        <w:tc>
          <w:tcPr>
            <w:tcW w:w="1609" w:type="dxa"/>
          </w:tcPr>
          <w:p w14:paraId="59DCD8ED"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8EE"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Apparently above concentrations used for</w:t>
            </w:r>
          </w:p>
        </w:tc>
      </w:tr>
      <w:tr w:rsidR="00BE3AA8" w:rsidRPr="00D93FF9" w14:paraId="59DCD8F4" w14:textId="77777777" w:rsidTr="001A7A43">
        <w:trPr>
          <w:trHeight w:val="257"/>
        </w:trPr>
        <w:tc>
          <w:tcPr>
            <w:tcW w:w="1927" w:type="dxa"/>
          </w:tcPr>
          <w:p w14:paraId="59DCD8F0" w14:textId="77777777" w:rsidR="00C46175" w:rsidRPr="00D93FF9" w:rsidRDefault="00C46175" w:rsidP="003807A1">
            <w:pPr>
              <w:pStyle w:val="TableParagraph"/>
              <w:spacing w:before="0" w:after="0"/>
              <w:rPr>
                <w:rFonts w:asciiTheme="minorHAnsi" w:hAnsiTheme="minorHAnsi"/>
                <w:sz w:val="18"/>
                <w:szCs w:val="18"/>
                <w:lang w:val="en-GB"/>
              </w:rPr>
            </w:pPr>
          </w:p>
        </w:tc>
        <w:tc>
          <w:tcPr>
            <w:tcW w:w="1646" w:type="dxa"/>
          </w:tcPr>
          <w:p w14:paraId="59DCD8F1" w14:textId="77777777"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8F2" w14:textId="77777777" w:rsidR="00C46175" w:rsidRPr="00D93FF9" w:rsidRDefault="00C46175" w:rsidP="003807A1">
            <w:pPr>
              <w:pStyle w:val="TableParagraph"/>
              <w:spacing w:before="0" w:after="0"/>
              <w:rPr>
                <w:rFonts w:asciiTheme="minorHAnsi" w:hAnsiTheme="minorHAnsi"/>
                <w:sz w:val="18"/>
                <w:szCs w:val="18"/>
                <w:lang w:val="en-GB"/>
              </w:rPr>
            </w:pPr>
          </w:p>
        </w:tc>
        <w:tc>
          <w:tcPr>
            <w:tcW w:w="3790" w:type="dxa"/>
          </w:tcPr>
          <w:p w14:paraId="59DCD8F3"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weed control</w:t>
            </w:r>
          </w:p>
        </w:tc>
      </w:tr>
      <w:tr w:rsidR="00BE3AA8" w:rsidRPr="00D93FF9" w14:paraId="59DCD8F9" w14:textId="77777777" w:rsidTr="001A7A43">
        <w:trPr>
          <w:trHeight w:val="257"/>
        </w:trPr>
        <w:tc>
          <w:tcPr>
            <w:tcW w:w="1927" w:type="dxa"/>
          </w:tcPr>
          <w:p w14:paraId="59DCD8F5"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2,4-D</w:t>
            </w:r>
          </w:p>
        </w:tc>
        <w:tc>
          <w:tcPr>
            <w:tcW w:w="1646" w:type="dxa"/>
          </w:tcPr>
          <w:p w14:paraId="59DCD8F6" w14:textId="5BE0319B" w:rsidR="00C46175" w:rsidRPr="00D93FF9" w:rsidRDefault="00C46175" w:rsidP="003807A1">
            <w:pPr>
              <w:pStyle w:val="TableParagraph"/>
              <w:spacing w:before="0" w:after="0" w:line="174" w:lineRule="exact"/>
              <w:rPr>
                <w:rFonts w:asciiTheme="minorHAnsi" w:hAnsiTheme="minorHAnsi"/>
                <w:sz w:val="18"/>
                <w:szCs w:val="18"/>
                <w:lang w:val="en-GB"/>
              </w:rPr>
            </w:pPr>
          </w:p>
        </w:tc>
        <w:tc>
          <w:tcPr>
            <w:tcW w:w="1609" w:type="dxa"/>
          </w:tcPr>
          <w:p w14:paraId="59DCD8F7"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8F8"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Field beans 3.5–10, grapes 0.7–1.5, sugar-</w:t>
            </w:r>
          </w:p>
        </w:tc>
      </w:tr>
      <w:tr w:rsidR="00BE3AA8" w:rsidRPr="00D93FF9" w14:paraId="59DCD8FE" w14:textId="77777777" w:rsidTr="001A7A43">
        <w:trPr>
          <w:trHeight w:val="257"/>
        </w:trPr>
        <w:tc>
          <w:tcPr>
            <w:tcW w:w="1927" w:type="dxa"/>
          </w:tcPr>
          <w:p w14:paraId="59DCD8FA" w14:textId="77777777" w:rsidR="00C46175" w:rsidRPr="00D93FF9" w:rsidRDefault="00C46175" w:rsidP="003807A1">
            <w:pPr>
              <w:pStyle w:val="TableParagraph"/>
              <w:spacing w:before="0" w:after="0"/>
              <w:rPr>
                <w:rFonts w:asciiTheme="minorHAnsi" w:hAnsiTheme="minorHAnsi"/>
                <w:sz w:val="18"/>
                <w:szCs w:val="18"/>
                <w:lang w:val="en-GB"/>
              </w:rPr>
            </w:pPr>
          </w:p>
        </w:tc>
        <w:tc>
          <w:tcPr>
            <w:tcW w:w="1646" w:type="dxa"/>
          </w:tcPr>
          <w:p w14:paraId="59DCD8FB" w14:textId="77777777"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8FC" w14:textId="77777777" w:rsidR="00C46175" w:rsidRPr="00D93FF9" w:rsidRDefault="00C46175" w:rsidP="003807A1">
            <w:pPr>
              <w:pStyle w:val="TableParagraph"/>
              <w:spacing w:before="0" w:after="0"/>
              <w:rPr>
                <w:rFonts w:asciiTheme="minorHAnsi" w:hAnsiTheme="minorHAnsi"/>
                <w:sz w:val="18"/>
                <w:szCs w:val="18"/>
                <w:lang w:val="en-GB"/>
              </w:rPr>
            </w:pPr>
          </w:p>
        </w:tc>
        <w:tc>
          <w:tcPr>
            <w:tcW w:w="3790" w:type="dxa"/>
          </w:tcPr>
          <w:p w14:paraId="59DCD8FD"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beets 1.0–10</w:t>
            </w:r>
          </w:p>
        </w:tc>
      </w:tr>
      <w:tr w:rsidR="00C347B4" w:rsidRPr="00D93FF9" w14:paraId="5BAF96A4" w14:textId="77777777" w:rsidTr="001A7A43">
        <w:trPr>
          <w:trHeight w:val="257"/>
        </w:trPr>
        <w:tc>
          <w:tcPr>
            <w:tcW w:w="1927" w:type="dxa"/>
          </w:tcPr>
          <w:p w14:paraId="7D38695E" w14:textId="51504977" w:rsidR="00C347B4" w:rsidRPr="00D93FF9" w:rsidRDefault="00C347B4"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Diazinon</w:t>
            </w:r>
          </w:p>
        </w:tc>
        <w:tc>
          <w:tcPr>
            <w:tcW w:w="1646" w:type="dxa"/>
          </w:tcPr>
          <w:p w14:paraId="782F3654" w14:textId="77777777" w:rsidR="00C347B4" w:rsidRPr="00D93FF9" w:rsidRDefault="00C347B4" w:rsidP="003807A1">
            <w:pPr>
              <w:pStyle w:val="TableParagraph"/>
              <w:spacing w:before="0" w:after="0"/>
              <w:rPr>
                <w:rFonts w:asciiTheme="minorHAnsi" w:hAnsiTheme="minorHAnsi"/>
                <w:sz w:val="18"/>
                <w:szCs w:val="18"/>
                <w:lang w:val="en-GB"/>
              </w:rPr>
            </w:pPr>
          </w:p>
        </w:tc>
        <w:tc>
          <w:tcPr>
            <w:tcW w:w="1609" w:type="dxa"/>
          </w:tcPr>
          <w:p w14:paraId="46442608" w14:textId="77777777" w:rsidR="00C347B4" w:rsidRPr="00D93FF9" w:rsidRDefault="00C347B4" w:rsidP="003807A1">
            <w:pPr>
              <w:pStyle w:val="TableParagraph"/>
              <w:spacing w:before="0" w:after="0"/>
              <w:rPr>
                <w:rFonts w:asciiTheme="minorHAnsi" w:hAnsiTheme="minorHAnsi"/>
                <w:sz w:val="18"/>
                <w:szCs w:val="18"/>
                <w:lang w:val="en-GB"/>
              </w:rPr>
            </w:pPr>
          </w:p>
        </w:tc>
        <w:tc>
          <w:tcPr>
            <w:tcW w:w="3790" w:type="dxa"/>
          </w:tcPr>
          <w:p w14:paraId="3F73E1F0" w14:textId="77777777" w:rsidR="00C347B4" w:rsidRPr="00D93FF9" w:rsidRDefault="00C347B4" w:rsidP="003807A1">
            <w:pPr>
              <w:pStyle w:val="TableParagraph"/>
              <w:spacing w:before="0" w:after="0"/>
              <w:rPr>
                <w:rFonts w:asciiTheme="minorHAnsi" w:hAnsiTheme="minorHAnsi"/>
                <w:sz w:val="18"/>
                <w:szCs w:val="18"/>
                <w:lang w:val="en-GB"/>
              </w:rPr>
            </w:pPr>
          </w:p>
        </w:tc>
      </w:tr>
      <w:tr w:rsidR="00BE3AA8" w:rsidRPr="00D93FF9" w14:paraId="59DCD903" w14:textId="77777777" w:rsidTr="001A7A43">
        <w:trPr>
          <w:trHeight w:val="317"/>
        </w:trPr>
        <w:tc>
          <w:tcPr>
            <w:tcW w:w="1927" w:type="dxa"/>
          </w:tcPr>
          <w:p w14:paraId="59DCD8FF"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Dicamba</w:t>
            </w:r>
          </w:p>
        </w:tc>
        <w:tc>
          <w:tcPr>
            <w:tcW w:w="1646" w:type="dxa"/>
          </w:tcPr>
          <w:p w14:paraId="59DCD900" w14:textId="4A85F3D8" w:rsidR="00C46175" w:rsidRPr="00D93FF9" w:rsidRDefault="00077FEE"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 xml:space="preserve">0.006 </w:t>
            </w:r>
            <w:r w:rsidRPr="00D93FF9">
              <w:rPr>
                <w:rFonts w:asciiTheme="minorHAnsi" w:hAnsiTheme="minorHAnsi" w:cstheme="minorHAnsi"/>
                <w:sz w:val="18"/>
                <w:szCs w:val="18"/>
                <w:lang w:val="en-GB"/>
              </w:rPr>
              <w:t>µ</w:t>
            </w:r>
            <w:r w:rsidRPr="00D93FF9">
              <w:rPr>
                <w:rFonts w:asciiTheme="minorHAnsi" w:hAnsiTheme="minorHAnsi"/>
                <w:sz w:val="18"/>
                <w:szCs w:val="18"/>
                <w:lang w:val="en-GB"/>
              </w:rPr>
              <w:t>g/L</w:t>
            </w:r>
          </w:p>
        </w:tc>
        <w:tc>
          <w:tcPr>
            <w:tcW w:w="1609" w:type="dxa"/>
          </w:tcPr>
          <w:p w14:paraId="59DCD901"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02"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Cotton 0.18</w:t>
            </w:r>
          </w:p>
        </w:tc>
      </w:tr>
      <w:tr w:rsidR="00BE3AA8" w:rsidRPr="00D93FF9" w14:paraId="59DCD908" w14:textId="77777777" w:rsidTr="001A7A43">
        <w:trPr>
          <w:trHeight w:val="257"/>
        </w:trPr>
        <w:tc>
          <w:tcPr>
            <w:tcW w:w="1927" w:type="dxa"/>
          </w:tcPr>
          <w:p w14:paraId="59DCD904"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Dichlobenil</w:t>
            </w:r>
          </w:p>
        </w:tc>
        <w:tc>
          <w:tcPr>
            <w:tcW w:w="1646" w:type="dxa"/>
          </w:tcPr>
          <w:p w14:paraId="59DCD905" w14:textId="0CD9EC9F" w:rsidR="00C46175" w:rsidRPr="00D93FF9" w:rsidRDefault="00C46175" w:rsidP="003807A1">
            <w:pPr>
              <w:pStyle w:val="TableParagraph"/>
              <w:spacing w:before="0" w:after="0" w:line="174" w:lineRule="exact"/>
              <w:rPr>
                <w:rFonts w:asciiTheme="minorHAnsi" w:hAnsiTheme="minorHAnsi"/>
                <w:sz w:val="18"/>
                <w:szCs w:val="18"/>
                <w:lang w:val="en-GB"/>
              </w:rPr>
            </w:pPr>
          </w:p>
        </w:tc>
        <w:tc>
          <w:tcPr>
            <w:tcW w:w="1609" w:type="dxa"/>
          </w:tcPr>
          <w:p w14:paraId="59DCD906"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07" w14:textId="77777777" w:rsidR="00C46175" w:rsidRPr="00D93FF9" w:rsidRDefault="00E811B8" w:rsidP="003807A1">
            <w:pPr>
              <w:pStyle w:val="TableParagraph"/>
              <w:spacing w:before="0" w:after="0" w:line="174" w:lineRule="exact"/>
              <w:rPr>
                <w:rFonts w:asciiTheme="minorHAnsi" w:hAnsiTheme="minorHAnsi"/>
                <w:sz w:val="18"/>
                <w:szCs w:val="18"/>
                <w:lang w:val="en-GB"/>
              </w:rPr>
            </w:pPr>
            <w:r w:rsidRPr="00D93FF9">
              <w:rPr>
                <w:rFonts w:asciiTheme="minorHAnsi" w:hAnsiTheme="minorHAnsi"/>
                <w:sz w:val="18"/>
                <w:szCs w:val="18"/>
                <w:lang w:val="en-GB"/>
              </w:rPr>
              <w:t>Lucerne 10, corn 10, soybeans 1.0, sugar-</w:t>
            </w:r>
          </w:p>
        </w:tc>
      </w:tr>
      <w:tr w:rsidR="00BE3AA8" w:rsidRPr="00D93FF9" w14:paraId="59DCD90D" w14:textId="77777777" w:rsidTr="001A7A43">
        <w:trPr>
          <w:trHeight w:val="257"/>
        </w:trPr>
        <w:tc>
          <w:tcPr>
            <w:tcW w:w="1927" w:type="dxa"/>
          </w:tcPr>
          <w:p w14:paraId="59DCD909" w14:textId="77777777" w:rsidR="00C46175" w:rsidRPr="00D93FF9" w:rsidRDefault="00C46175" w:rsidP="003807A1">
            <w:pPr>
              <w:pStyle w:val="TableParagraph"/>
              <w:spacing w:before="0" w:after="0"/>
              <w:rPr>
                <w:rFonts w:asciiTheme="minorHAnsi" w:hAnsiTheme="minorHAnsi"/>
                <w:sz w:val="18"/>
                <w:szCs w:val="18"/>
                <w:lang w:val="en-GB"/>
              </w:rPr>
            </w:pPr>
          </w:p>
        </w:tc>
        <w:tc>
          <w:tcPr>
            <w:tcW w:w="1646" w:type="dxa"/>
          </w:tcPr>
          <w:p w14:paraId="59DCD90A" w14:textId="77777777"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90B" w14:textId="77777777" w:rsidR="00C46175" w:rsidRPr="00D93FF9" w:rsidRDefault="00C46175" w:rsidP="003807A1">
            <w:pPr>
              <w:pStyle w:val="TableParagraph"/>
              <w:spacing w:before="0" w:after="0"/>
              <w:rPr>
                <w:rFonts w:asciiTheme="minorHAnsi" w:hAnsiTheme="minorHAnsi"/>
                <w:sz w:val="18"/>
                <w:szCs w:val="18"/>
                <w:lang w:val="en-GB"/>
              </w:rPr>
            </w:pPr>
          </w:p>
        </w:tc>
        <w:tc>
          <w:tcPr>
            <w:tcW w:w="3790" w:type="dxa"/>
          </w:tcPr>
          <w:p w14:paraId="59DCD90C"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beets 1.0–10, corn 125, beans 5</w:t>
            </w:r>
          </w:p>
        </w:tc>
      </w:tr>
      <w:tr w:rsidR="00BE3AA8" w:rsidRPr="00D93FF9" w14:paraId="59DCD912" w14:textId="77777777" w:rsidTr="001A7A43">
        <w:trPr>
          <w:trHeight w:val="317"/>
        </w:trPr>
        <w:tc>
          <w:tcPr>
            <w:tcW w:w="1927" w:type="dxa"/>
          </w:tcPr>
          <w:p w14:paraId="59DCD90E"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Diquat</w:t>
            </w:r>
          </w:p>
        </w:tc>
        <w:tc>
          <w:tcPr>
            <w:tcW w:w="1646" w:type="dxa"/>
          </w:tcPr>
          <w:p w14:paraId="59DCD90F" w14:textId="1F573FDE"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910"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11"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917" w14:textId="77777777" w:rsidTr="001A7A43">
        <w:trPr>
          <w:trHeight w:val="317"/>
        </w:trPr>
        <w:tc>
          <w:tcPr>
            <w:tcW w:w="1927" w:type="dxa"/>
          </w:tcPr>
          <w:p w14:paraId="59DCD913"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Diuron</w:t>
            </w:r>
          </w:p>
        </w:tc>
        <w:tc>
          <w:tcPr>
            <w:tcW w:w="1646" w:type="dxa"/>
          </w:tcPr>
          <w:p w14:paraId="59DCD914" w14:textId="0FE87E43"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0.002</w:t>
            </w:r>
            <w:r w:rsidR="00077FEE" w:rsidRPr="00D93FF9">
              <w:rPr>
                <w:rFonts w:asciiTheme="minorHAnsi" w:hAnsiTheme="minorHAnsi"/>
                <w:sz w:val="18"/>
                <w:szCs w:val="18"/>
                <w:lang w:val="en-GB"/>
              </w:rPr>
              <w:t xml:space="preserve"> mg/L</w:t>
            </w:r>
          </w:p>
        </w:tc>
        <w:tc>
          <w:tcPr>
            <w:tcW w:w="1609" w:type="dxa"/>
          </w:tcPr>
          <w:p w14:paraId="59DCD915"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16"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91C" w14:textId="77777777" w:rsidTr="001A7A43">
        <w:trPr>
          <w:trHeight w:val="317"/>
        </w:trPr>
        <w:tc>
          <w:tcPr>
            <w:tcW w:w="1927" w:type="dxa"/>
          </w:tcPr>
          <w:p w14:paraId="59DCD918"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2,2-DPA (Dalapon)</w:t>
            </w:r>
          </w:p>
        </w:tc>
        <w:tc>
          <w:tcPr>
            <w:tcW w:w="1646" w:type="dxa"/>
          </w:tcPr>
          <w:p w14:paraId="59DCD919" w14:textId="65408D2E"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0.004</w:t>
            </w:r>
            <w:r w:rsidR="00077FEE" w:rsidRPr="00D93FF9">
              <w:rPr>
                <w:rFonts w:asciiTheme="minorHAnsi" w:hAnsiTheme="minorHAnsi"/>
                <w:sz w:val="18"/>
                <w:szCs w:val="18"/>
                <w:lang w:val="en-GB"/>
              </w:rPr>
              <w:t xml:space="preserve"> mg/L</w:t>
            </w:r>
          </w:p>
        </w:tc>
        <w:tc>
          <w:tcPr>
            <w:tcW w:w="1609" w:type="dxa"/>
          </w:tcPr>
          <w:p w14:paraId="59DCD91A"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1B"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Beets 7.0, corn 0.35</w:t>
            </w:r>
          </w:p>
        </w:tc>
      </w:tr>
      <w:tr w:rsidR="00077FEE" w:rsidRPr="00D93FF9" w14:paraId="0D23658C" w14:textId="77777777" w:rsidTr="001A7A43">
        <w:trPr>
          <w:trHeight w:val="317"/>
        </w:trPr>
        <w:tc>
          <w:tcPr>
            <w:tcW w:w="1927" w:type="dxa"/>
          </w:tcPr>
          <w:p w14:paraId="21892B72" w14:textId="4DCDA336" w:rsidR="00077FEE" w:rsidRPr="00D93FF9" w:rsidRDefault="00077FEE"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Endosulfan</w:t>
            </w:r>
          </w:p>
        </w:tc>
        <w:tc>
          <w:tcPr>
            <w:tcW w:w="1646" w:type="dxa"/>
          </w:tcPr>
          <w:p w14:paraId="26547A8D" w14:textId="77777777" w:rsidR="00077FEE" w:rsidRPr="00D93FF9" w:rsidRDefault="00077FEE" w:rsidP="003807A1">
            <w:pPr>
              <w:pStyle w:val="TableParagraph"/>
              <w:spacing w:before="0" w:after="0"/>
              <w:rPr>
                <w:rFonts w:asciiTheme="minorHAnsi" w:hAnsiTheme="minorHAnsi"/>
                <w:sz w:val="18"/>
                <w:szCs w:val="18"/>
                <w:lang w:val="en-GB"/>
              </w:rPr>
            </w:pPr>
          </w:p>
        </w:tc>
        <w:tc>
          <w:tcPr>
            <w:tcW w:w="1609" w:type="dxa"/>
          </w:tcPr>
          <w:p w14:paraId="11EE274D" w14:textId="77777777" w:rsidR="00077FEE" w:rsidRPr="00D93FF9" w:rsidRDefault="00077FEE" w:rsidP="003807A1">
            <w:pPr>
              <w:pStyle w:val="TableParagraph"/>
              <w:spacing w:before="0" w:after="0"/>
              <w:rPr>
                <w:rFonts w:asciiTheme="minorHAnsi" w:hAnsiTheme="minorHAnsi"/>
                <w:sz w:val="18"/>
                <w:szCs w:val="18"/>
                <w:lang w:val="en-GB"/>
              </w:rPr>
            </w:pPr>
          </w:p>
        </w:tc>
        <w:tc>
          <w:tcPr>
            <w:tcW w:w="3790" w:type="dxa"/>
          </w:tcPr>
          <w:p w14:paraId="786671A9" w14:textId="77777777" w:rsidR="00077FEE" w:rsidRPr="00D93FF9" w:rsidRDefault="00077FEE" w:rsidP="003807A1">
            <w:pPr>
              <w:pStyle w:val="TableParagraph"/>
              <w:spacing w:before="0" w:after="0"/>
              <w:rPr>
                <w:rFonts w:asciiTheme="minorHAnsi" w:hAnsiTheme="minorHAnsi"/>
                <w:sz w:val="18"/>
                <w:szCs w:val="18"/>
                <w:lang w:val="en-GB"/>
              </w:rPr>
            </w:pPr>
          </w:p>
        </w:tc>
      </w:tr>
      <w:tr w:rsidR="00BE3AA8" w:rsidRPr="00D93FF9" w14:paraId="59DCD921" w14:textId="77777777" w:rsidTr="001A7A43">
        <w:trPr>
          <w:trHeight w:val="317"/>
        </w:trPr>
        <w:tc>
          <w:tcPr>
            <w:tcW w:w="1927" w:type="dxa"/>
          </w:tcPr>
          <w:p w14:paraId="59DCD91D"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Fosamine</w:t>
            </w:r>
            <w:r w:rsidR="00FE5C1B" w:rsidRPr="00D93FF9">
              <w:rPr>
                <w:rFonts w:asciiTheme="minorHAnsi" w:hAnsiTheme="minorHAnsi"/>
                <w:sz w:val="18"/>
                <w:szCs w:val="18"/>
                <w:vertAlign w:val="superscript"/>
                <w:lang w:val="en-GB"/>
              </w:rPr>
              <w:t>¥</w:t>
            </w:r>
          </w:p>
        </w:tc>
        <w:tc>
          <w:tcPr>
            <w:tcW w:w="1646" w:type="dxa"/>
          </w:tcPr>
          <w:p w14:paraId="59DCD91E" w14:textId="7139F2A6"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91F"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20"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926" w14:textId="77777777" w:rsidTr="001A7A43">
        <w:trPr>
          <w:trHeight w:val="317"/>
        </w:trPr>
        <w:tc>
          <w:tcPr>
            <w:tcW w:w="1927" w:type="dxa"/>
          </w:tcPr>
          <w:p w14:paraId="59DCD922"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Fluometuron</w:t>
            </w:r>
          </w:p>
        </w:tc>
        <w:tc>
          <w:tcPr>
            <w:tcW w:w="1646" w:type="dxa"/>
          </w:tcPr>
          <w:p w14:paraId="59DCD923" w14:textId="571EC3B0"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924"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25"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Sugar-beets, alfalfa, tomatoes, squash 2.2</w:t>
            </w:r>
          </w:p>
        </w:tc>
      </w:tr>
      <w:tr w:rsidR="00BE3AA8" w:rsidRPr="00D93FF9" w14:paraId="59DCD92B" w14:textId="77777777" w:rsidTr="001A7A43">
        <w:trPr>
          <w:trHeight w:val="317"/>
        </w:trPr>
        <w:tc>
          <w:tcPr>
            <w:tcW w:w="1927" w:type="dxa"/>
          </w:tcPr>
          <w:p w14:paraId="59DCD927"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Glyphosate</w:t>
            </w:r>
          </w:p>
        </w:tc>
        <w:tc>
          <w:tcPr>
            <w:tcW w:w="1646" w:type="dxa"/>
          </w:tcPr>
          <w:p w14:paraId="59DCD928" w14:textId="52461AAB"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929"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2A"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930" w14:textId="77777777" w:rsidTr="001A7A43">
        <w:trPr>
          <w:trHeight w:val="317"/>
        </w:trPr>
        <w:tc>
          <w:tcPr>
            <w:tcW w:w="1927" w:type="dxa"/>
          </w:tcPr>
          <w:p w14:paraId="59DCD92C"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Hexazinone</w:t>
            </w:r>
          </w:p>
        </w:tc>
        <w:tc>
          <w:tcPr>
            <w:tcW w:w="1646" w:type="dxa"/>
          </w:tcPr>
          <w:p w14:paraId="59DCD92D" w14:textId="6679E2E4"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92E"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2F"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935" w14:textId="77777777" w:rsidTr="001A7A43">
        <w:trPr>
          <w:trHeight w:val="317"/>
        </w:trPr>
        <w:tc>
          <w:tcPr>
            <w:tcW w:w="1927" w:type="dxa"/>
          </w:tcPr>
          <w:p w14:paraId="59DCD931"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Karbutilate</w:t>
            </w:r>
            <w:r w:rsidR="00FE5C1B" w:rsidRPr="00D93FF9">
              <w:rPr>
                <w:rFonts w:asciiTheme="minorHAnsi" w:hAnsiTheme="minorHAnsi"/>
                <w:sz w:val="18"/>
                <w:szCs w:val="18"/>
                <w:vertAlign w:val="superscript"/>
                <w:lang w:val="en-GB"/>
              </w:rPr>
              <w:t>¥</w:t>
            </w:r>
          </w:p>
        </w:tc>
        <w:tc>
          <w:tcPr>
            <w:tcW w:w="1646" w:type="dxa"/>
          </w:tcPr>
          <w:p w14:paraId="59DCD932" w14:textId="6D023DAF"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933"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34" w14:textId="77777777" w:rsidR="00C46175" w:rsidRPr="00D93FF9" w:rsidRDefault="00C46175" w:rsidP="003807A1">
            <w:pPr>
              <w:pStyle w:val="TableParagraph"/>
              <w:spacing w:before="0" w:after="0"/>
              <w:rPr>
                <w:rFonts w:asciiTheme="minorHAnsi" w:hAnsiTheme="minorHAnsi"/>
                <w:sz w:val="18"/>
                <w:szCs w:val="18"/>
                <w:lang w:val="en-GB"/>
              </w:rPr>
            </w:pPr>
          </w:p>
        </w:tc>
      </w:tr>
      <w:tr w:rsidR="00C347B4" w:rsidRPr="00D93FF9" w14:paraId="7B53AF1E" w14:textId="77777777" w:rsidTr="001A7A43">
        <w:trPr>
          <w:trHeight w:val="317"/>
        </w:trPr>
        <w:tc>
          <w:tcPr>
            <w:tcW w:w="1927" w:type="dxa"/>
          </w:tcPr>
          <w:p w14:paraId="6CD8DA47" w14:textId="5666F3A2" w:rsidR="00C347B4" w:rsidRPr="00D93FF9" w:rsidRDefault="00C347B4"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Malathion</w:t>
            </w:r>
          </w:p>
        </w:tc>
        <w:tc>
          <w:tcPr>
            <w:tcW w:w="1646" w:type="dxa"/>
          </w:tcPr>
          <w:p w14:paraId="563AD758" w14:textId="77777777" w:rsidR="00C347B4" w:rsidRPr="00D93FF9" w:rsidRDefault="00C347B4" w:rsidP="003807A1">
            <w:pPr>
              <w:pStyle w:val="TableParagraph"/>
              <w:spacing w:before="0" w:after="0"/>
              <w:rPr>
                <w:rFonts w:asciiTheme="minorHAnsi" w:hAnsiTheme="minorHAnsi"/>
                <w:sz w:val="18"/>
                <w:szCs w:val="18"/>
                <w:lang w:val="en-GB"/>
              </w:rPr>
            </w:pPr>
          </w:p>
        </w:tc>
        <w:tc>
          <w:tcPr>
            <w:tcW w:w="1609" w:type="dxa"/>
          </w:tcPr>
          <w:p w14:paraId="2A64270F" w14:textId="77777777" w:rsidR="00C347B4" w:rsidRPr="00D93FF9" w:rsidRDefault="00C347B4" w:rsidP="003807A1">
            <w:pPr>
              <w:pStyle w:val="TableParagraph"/>
              <w:spacing w:before="0" w:after="0"/>
              <w:rPr>
                <w:rFonts w:asciiTheme="minorHAnsi" w:hAnsiTheme="minorHAnsi"/>
                <w:sz w:val="18"/>
                <w:szCs w:val="18"/>
                <w:lang w:val="en-GB"/>
              </w:rPr>
            </w:pPr>
          </w:p>
        </w:tc>
        <w:tc>
          <w:tcPr>
            <w:tcW w:w="3790" w:type="dxa"/>
          </w:tcPr>
          <w:p w14:paraId="5F3B26FD" w14:textId="77777777" w:rsidR="00C347B4" w:rsidRPr="00D93FF9" w:rsidRDefault="00C347B4" w:rsidP="003807A1">
            <w:pPr>
              <w:pStyle w:val="TableParagraph"/>
              <w:spacing w:before="0" w:after="0"/>
              <w:rPr>
                <w:rFonts w:asciiTheme="minorHAnsi" w:hAnsiTheme="minorHAnsi"/>
                <w:sz w:val="18"/>
                <w:szCs w:val="18"/>
                <w:lang w:val="en-GB"/>
              </w:rPr>
            </w:pPr>
          </w:p>
        </w:tc>
      </w:tr>
      <w:tr w:rsidR="00C347B4" w:rsidRPr="00D93FF9" w14:paraId="466A1851" w14:textId="77777777" w:rsidTr="001A7A43">
        <w:trPr>
          <w:trHeight w:val="317"/>
        </w:trPr>
        <w:tc>
          <w:tcPr>
            <w:tcW w:w="1927" w:type="dxa"/>
          </w:tcPr>
          <w:p w14:paraId="51B845A1" w14:textId="5D851890" w:rsidR="00C347B4" w:rsidRPr="00D93FF9" w:rsidRDefault="00C347B4"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Metolachlor</w:t>
            </w:r>
          </w:p>
        </w:tc>
        <w:tc>
          <w:tcPr>
            <w:tcW w:w="1646" w:type="dxa"/>
          </w:tcPr>
          <w:p w14:paraId="255412BF" w14:textId="77777777" w:rsidR="00C347B4" w:rsidRPr="00D93FF9" w:rsidRDefault="00C347B4" w:rsidP="003807A1">
            <w:pPr>
              <w:pStyle w:val="TableParagraph"/>
              <w:spacing w:before="0" w:after="0"/>
              <w:rPr>
                <w:rFonts w:asciiTheme="minorHAnsi" w:hAnsiTheme="minorHAnsi"/>
                <w:sz w:val="18"/>
                <w:szCs w:val="18"/>
                <w:lang w:val="en-GB"/>
              </w:rPr>
            </w:pPr>
          </w:p>
        </w:tc>
        <w:tc>
          <w:tcPr>
            <w:tcW w:w="1609" w:type="dxa"/>
          </w:tcPr>
          <w:p w14:paraId="255FFA63" w14:textId="77777777" w:rsidR="00C347B4" w:rsidRPr="00D93FF9" w:rsidRDefault="00C347B4" w:rsidP="003807A1">
            <w:pPr>
              <w:pStyle w:val="TableParagraph"/>
              <w:spacing w:before="0" w:after="0"/>
              <w:rPr>
                <w:rFonts w:asciiTheme="minorHAnsi" w:hAnsiTheme="minorHAnsi"/>
                <w:sz w:val="18"/>
                <w:szCs w:val="18"/>
                <w:lang w:val="en-GB"/>
              </w:rPr>
            </w:pPr>
          </w:p>
        </w:tc>
        <w:tc>
          <w:tcPr>
            <w:tcW w:w="3790" w:type="dxa"/>
          </w:tcPr>
          <w:p w14:paraId="6E156900" w14:textId="77777777" w:rsidR="00C347B4" w:rsidRPr="00D93FF9" w:rsidRDefault="00C347B4" w:rsidP="003807A1">
            <w:pPr>
              <w:pStyle w:val="TableParagraph"/>
              <w:spacing w:before="0" w:after="0"/>
              <w:rPr>
                <w:rFonts w:asciiTheme="minorHAnsi" w:hAnsiTheme="minorHAnsi"/>
                <w:sz w:val="18"/>
                <w:szCs w:val="18"/>
                <w:lang w:val="en-GB"/>
              </w:rPr>
            </w:pPr>
          </w:p>
        </w:tc>
      </w:tr>
      <w:tr w:rsidR="00BE3AA8" w:rsidRPr="00D93FF9" w14:paraId="59DCD93A" w14:textId="77777777" w:rsidTr="001A7A43">
        <w:trPr>
          <w:trHeight w:val="317"/>
        </w:trPr>
        <w:tc>
          <w:tcPr>
            <w:tcW w:w="1927" w:type="dxa"/>
          </w:tcPr>
          <w:p w14:paraId="59DCD936"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Molinate</w:t>
            </w:r>
          </w:p>
        </w:tc>
        <w:tc>
          <w:tcPr>
            <w:tcW w:w="1646" w:type="dxa"/>
          </w:tcPr>
          <w:p w14:paraId="59DCD937" w14:textId="0A056241"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938"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39"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93F" w14:textId="77777777" w:rsidTr="001A7A43">
        <w:trPr>
          <w:trHeight w:val="317"/>
        </w:trPr>
        <w:tc>
          <w:tcPr>
            <w:tcW w:w="1927" w:type="dxa"/>
          </w:tcPr>
          <w:p w14:paraId="59DCD93B"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lastRenderedPageBreak/>
              <w:t>Paraquat</w:t>
            </w:r>
          </w:p>
        </w:tc>
        <w:tc>
          <w:tcPr>
            <w:tcW w:w="1646" w:type="dxa"/>
          </w:tcPr>
          <w:p w14:paraId="59DCD93C" w14:textId="0B971EE0"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93D"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3E"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Corn 10, field beans 0.1, sugar-beets 1.0</w:t>
            </w:r>
          </w:p>
        </w:tc>
      </w:tr>
      <w:tr w:rsidR="00BE3AA8" w:rsidRPr="00D93FF9" w14:paraId="59DCD944" w14:textId="77777777" w:rsidTr="001A7A43">
        <w:trPr>
          <w:trHeight w:val="317"/>
        </w:trPr>
        <w:tc>
          <w:tcPr>
            <w:tcW w:w="1927" w:type="dxa"/>
          </w:tcPr>
          <w:p w14:paraId="59DCD940"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Picloram</w:t>
            </w:r>
          </w:p>
        </w:tc>
        <w:tc>
          <w:tcPr>
            <w:tcW w:w="1646" w:type="dxa"/>
          </w:tcPr>
          <w:p w14:paraId="59DCD941" w14:textId="3F8820E3" w:rsidR="00C46175" w:rsidRPr="00D93FF9" w:rsidRDefault="00C46175" w:rsidP="003807A1">
            <w:pPr>
              <w:pStyle w:val="TableParagraph"/>
              <w:spacing w:before="0" w:after="0"/>
              <w:rPr>
                <w:rFonts w:asciiTheme="minorHAnsi" w:hAnsiTheme="minorHAnsi"/>
                <w:sz w:val="18"/>
                <w:szCs w:val="18"/>
                <w:lang w:val="en-GB"/>
              </w:rPr>
            </w:pPr>
          </w:p>
        </w:tc>
        <w:tc>
          <w:tcPr>
            <w:tcW w:w="1609" w:type="dxa"/>
          </w:tcPr>
          <w:p w14:paraId="59DCD942"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43" w14:textId="77777777" w:rsidR="00C46175" w:rsidRPr="00D93FF9" w:rsidRDefault="00C46175" w:rsidP="003807A1">
            <w:pPr>
              <w:pStyle w:val="TableParagraph"/>
              <w:spacing w:before="0" w:after="0"/>
              <w:rPr>
                <w:rFonts w:asciiTheme="minorHAnsi" w:hAnsiTheme="minorHAnsi"/>
                <w:sz w:val="18"/>
                <w:szCs w:val="18"/>
                <w:lang w:val="en-GB"/>
              </w:rPr>
            </w:pPr>
          </w:p>
        </w:tc>
      </w:tr>
      <w:tr w:rsidR="00BE3AA8" w:rsidRPr="00D93FF9" w14:paraId="59DCD949" w14:textId="77777777" w:rsidTr="001A7A43">
        <w:trPr>
          <w:trHeight w:val="317"/>
        </w:trPr>
        <w:tc>
          <w:tcPr>
            <w:tcW w:w="1927" w:type="dxa"/>
          </w:tcPr>
          <w:p w14:paraId="59DCD945"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Propanil</w:t>
            </w:r>
          </w:p>
        </w:tc>
        <w:tc>
          <w:tcPr>
            <w:tcW w:w="1646" w:type="dxa"/>
          </w:tcPr>
          <w:p w14:paraId="59DCD946" w14:textId="3FB1B7AE" w:rsidR="00C46175" w:rsidRPr="00D93FF9" w:rsidRDefault="00BF3B7C"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 xml:space="preserve">0.5 </w:t>
            </w:r>
            <w:r w:rsidRPr="00D93FF9">
              <w:rPr>
                <w:rFonts w:asciiTheme="minorHAnsi" w:hAnsiTheme="minorHAnsi" w:cstheme="minorHAnsi"/>
                <w:sz w:val="18"/>
                <w:szCs w:val="18"/>
                <w:lang w:val="en-GB"/>
              </w:rPr>
              <w:t>µ</w:t>
            </w:r>
            <w:r w:rsidRPr="00D93FF9">
              <w:rPr>
                <w:rFonts w:asciiTheme="minorHAnsi" w:hAnsiTheme="minorHAnsi"/>
                <w:sz w:val="18"/>
                <w:szCs w:val="18"/>
                <w:lang w:val="en-GB"/>
              </w:rPr>
              <w:t>g/L</w:t>
            </w:r>
          </w:p>
        </w:tc>
        <w:tc>
          <w:tcPr>
            <w:tcW w:w="1609" w:type="dxa"/>
          </w:tcPr>
          <w:p w14:paraId="59DCD947"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48" w14:textId="77777777" w:rsidR="00C46175"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Alfalfa 0.15, brome grass (eradicated) 0.15</w:t>
            </w:r>
          </w:p>
        </w:tc>
      </w:tr>
      <w:tr w:rsidR="00BE3AA8" w:rsidRPr="00D93FF9" w14:paraId="59DCD94E" w14:textId="77777777" w:rsidTr="001A7A43">
        <w:trPr>
          <w:trHeight w:val="317"/>
        </w:trPr>
        <w:tc>
          <w:tcPr>
            <w:tcW w:w="1927" w:type="dxa"/>
          </w:tcPr>
          <w:p w14:paraId="59DCD94A" w14:textId="77777777" w:rsidR="0052457E"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Simazine</w:t>
            </w:r>
          </w:p>
        </w:tc>
        <w:tc>
          <w:tcPr>
            <w:tcW w:w="1646" w:type="dxa"/>
          </w:tcPr>
          <w:p w14:paraId="59DCD94B" w14:textId="5086DCA2" w:rsidR="0052457E" w:rsidRPr="00D93FF9" w:rsidRDefault="00077FEE"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 xml:space="preserve">0.5 </w:t>
            </w:r>
            <w:r w:rsidRPr="00D93FF9">
              <w:rPr>
                <w:rFonts w:asciiTheme="minorHAnsi" w:hAnsiTheme="minorHAnsi" w:cstheme="minorHAnsi"/>
                <w:sz w:val="18"/>
                <w:szCs w:val="18"/>
                <w:lang w:val="en-GB"/>
              </w:rPr>
              <w:t>µ</w:t>
            </w:r>
            <w:r w:rsidRPr="00D93FF9">
              <w:rPr>
                <w:rFonts w:asciiTheme="minorHAnsi" w:hAnsiTheme="minorHAnsi"/>
                <w:sz w:val="18"/>
                <w:szCs w:val="18"/>
                <w:lang w:val="en-GB"/>
              </w:rPr>
              <w:t>g/L</w:t>
            </w:r>
          </w:p>
        </w:tc>
        <w:tc>
          <w:tcPr>
            <w:tcW w:w="1609" w:type="dxa"/>
          </w:tcPr>
          <w:p w14:paraId="59DCD94C" w14:textId="77777777" w:rsidR="0052457E"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4D" w14:textId="77777777" w:rsidR="0052457E" w:rsidRPr="00D93FF9" w:rsidRDefault="0052457E" w:rsidP="003807A1">
            <w:pPr>
              <w:pStyle w:val="TableParagraph"/>
              <w:spacing w:before="0" w:after="0"/>
              <w:rPr>
                <w:rFonts w:asciiTheme="minorHAnsi" w:hAnsiTheme="minorHAnsi"/>
                <w:sz w:val="18"/>
                <w:szCs w:val="18"/>
                <w:lang w:val="en-GB"/>
              </w:rPr>
            </w:pPr>
          </w:p>
        </w:tc>
      </w:tr>
      <w:tr w:rsidR="00BE3AA8" w:rsidRPr="00D93FF9" w14:paraId="59DCD953" w14:textId="77777777" w:rsidTr="001A7A43">
        <w:trPr>
          <w:trHeight w:val="317"/>
        </w:trPr>
        <w:tc>
          <w:tcPr>
            <w:tcW w:w="1927" w:type="dxa"/>
          </w:tcPr>
          <w:p w14:paraId="59DCD94F" w14:textId="3E823D15" w:rsidR="0052457E" w:rsidRPr="00D93FF9" w:rsidRDefault="0052457E" w:rsidP="003807A1">
            <w:pPr>
              <w:pStyle w:val="TableParagraph"/>
              <w:spacing w:before="0" w:after="0"/>
              <w:rPr>
                <w:rFonts w:asciiTheme="minorHAnsi" w:hAnsiTheme="minorHAnsi"/>
                <w:sz w:val="18"/>
                <w:szCs w:val="18"/>
                <w:lang w:val="en-GB"/>
              </w:rPr>
            </w:pPr>
          </w:p>
        </w:tc>
        <w:tc>
          <w:tcPr>
            <w:tcW w:w="1646" w:type="dxa"/>
          </w:tcPr>
          <w:p w14:paraId="59DCD950" w14:textId="4858B6E4" w:rsidR="0052457E" w:rsidRPr="00D93FF9" w:rsidRDefault="0052457E" w:rsidP="003807A1">
            <w:pPr>
              <w:pStyle w:val="TableParagraph"/>
              <w:spacing w:before="0" w:after="0"/>
              <w:rPr>
                <w:rFonts w:asciiTheme="minorHAnsi" w:hAnsiTheme="minorHAnsi"/>
                <w:sz w:val="18"/>
                <w:szCs w:val="18"/>
                <w:lang w:val="en-GB"/>
              </w:rPr>
            </w:pPr>
          </w:p>
        </w:tc>
        <w:tc>
          <w:tcPr>
            <w:tcW w:w="1609" w:type="dxa"/>
          </w:tcPr>
          <w:p w14:paraId="59DCD951" w14:textId="256E1164" w:rsidR="0052457E" w:rsidRPr="00D93FF9" w:rsidRDefault="0052457E" w:rsidP="003807A1">
            <w:pPr>
              <w:pStyle w:val="TableParagraph"/>
              <w:spacing w:before="0" w:after="0"/>
              <w:rPr>
                <w:rFonts w:asciiTheme="minorHAnsi" w:hAnsiTheme="minorHAnsi"/>
                <w:sz w:val="18"/>
                <w:szCs w:val="18"/>
                <w:lang w:val="en-GB"/>
              </w:rPr>
            </w:pPr>
          </w:p>
        </w:tc>
        <w:tc>
          <w:tcPr>
            <w:tcW w:w="3790" w:type="dxa"/>
          </w:tcPr>
          <w:p w14:paraId="59DCD952" w14:textId="6A0384C4" w:rsidR="0052457E" w:rsidRPr="00D93FF9" w:rsidRDefault="0052457E" w:rsidP="003807A1">
            <w:pPr>
              <w:pStyle w:val="TableParagraph"/>
              <w:spacing w:before="0" w:after="0"/>
              <w:rPr>
                <w:rFonts w:asciiTheme="minorHAnsi" w:hAnsiTheme="minorHAnsi"/>
                <w:sz w:val="18"/>
                <w:szCs w:val="18"/>
                <w:lang w:val="en-GB"/>
              </w:rPr>
            </w:pPr>
          </w:p>
        </w:tc>
      </w:tr>
      <w:tr w:rsidR="00BE3AA8" w:rsidRPr="00D93FF9" w14:paraId="59DCD958" w14:textId="77777777" w:rsidTr="001A7A43">
        <w:trPr>
          <w:trHeight w:val="317"/>
        </w:trPr>
        <w:tc>
          <w:tcPr>
            <w:tcW w:w="1927" w:type="dxa"/>
          </w:tcPr>
          <w:p w14:paraId="59DCD954" w14:textId="77777777" w:rsidR="0052457E"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TCA (Trichloroacetic Acid)</w:t>
            </w:r>
          </w:p>
        </w:tc>
        <w:tc>
          <w:tcPr>
            <w:tcW w:w="1646" w:type="dxa"/>
          </w:tcPr>
          <w:p w14:paraId="59DCD955" w14:textId="77777777" w:rsidR="0052457E"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1609" w:type="dxa"/>
          </w:tcPr>
          <w:p w14:paraId="59DCD956" w14:textId="77777777" w:rsidR="0052457E"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57" w14:textId="77777777" w:rsidR="0052457E"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0.5</w:t>
            </w:r>
          </w:p>
        </w:tc>
      </w:tr>
      <w:tr w:rsidR="00BE3AA8" w:rsidRPr="00D93FF9" w14:paraId="59DCD95D" w14:textId="77777777" w:rsidTr="001A7A43">
        <w:trPr>
          <w:trHeight w:val="317"/>
        </w:trPr>
        <w:tc>
          <w:tcPr>
            <w:tcW w:w="1927" w:type="dxa"/>
          </w:tcPr>
          <w:p w14:paraId="59DCD959" w14:textId="77777777" w:rsidR="0052457E"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Terbutryne</w:t>
            </w:r>
          </w:p>
        </w:tc>
        <w:tc>
          <w:tcPr>
            <w:tcW w:w="1646" w:type="dxa"/>
          </w:tcPr>
          <w:p w14:paraId="59DCD95A" w14:textId="0E6D1C9A" w:rsidR="0052457E" w:rsidRPr="00D93FF9" w:rsidRDefault="0052457E" w:rsidP="003807A1">
            <w:pPr>
              <w:pStyle w:val="TableParagraph"/>
              <w:spacing w:before="0" w:after="0"/>
              <w:rPr>
                <w:rFonts w:asciiTheme="minorHAnsi" w:hAnsiTheme="minorHAnsi"/>
                <w:sz w:val="18"/>
                <w:szCs w:val="18"/>
                <w:lang w:val="en-GB"/>
              </w:rPr>
            </w:pPr>
          </w:p>
        </w:tc>
        <w:tc>
          <w:tcPr>
            <w:tcW w:w="1609" w:type="dxa"/>
          </w:tcPr>
          <w:p w14:paraId="59DCD95B" w14:textId="77777777" w:rsidR="0052457E"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5C" w14:textId="77777777" w:rsidR="0052457E" w:rsidRPr="00D93FF9" w:rsidRDefault="0052457E" w:rsidP="003807A1">
            <w:pPr>
              <w:pStyle w:val="TableParagraph"/>
              <w:spacing w:before="0" w:after="0"/>
              <w:rPr>
                <w:rFonts w:asciiTheme="minorHAnsi" w:hAnsiTheme="minorHAnsi"/>
                <w:sz w:val="18"/>
                <w:szCs w:val="18"/>
                <w:lang w:val="en-GB"/>
              </w:rPr>
            </w:pPr>
          </w:p>
        </w:tc>
      </w:tr>
      <w:tr w:rsidR="00C347B4" w:rsidRPr="00D93FF9" w14:paraId="3624F329" w14:textId="77777777" w:rsidTr="001A7A43">
        <w:trPr>
          <w:trHeight w:val="317"/>
        </w:trPr>
        <w:tc>
          <w:tcPr>
            <w:tcW w:w="1927" w:type="dxa"/>
          </w:tcPr>
          <w:p w14:paraId="00824EBE" w14:textId="14A800DE" w:rsidR="00C347B4" w:rsidRPr="00D93FF9" w:rsidRDefault="00C347B4"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Thiobencarb</w:t>
            </w:r>
          </w:p>
        </w:tc>
        <w:tc>
          <w:tcPr>
            <w:tcW w:w="1646" w:type="dxa"/>
          </w:tcPr>
          <w:p w14:paraId="2213764A" w14:textId="77777777" w:rsidR="00C347B4" w:rsidRPr="00D93FF9" w:rsidRDefault="00C347B4" w:rsidP="003807A1">
            <w:pPr>
              <w:pStyle w:val="TableParagraph"/>
              <w:spacing w:before="0" w:after="0"/>
              <w:rPr>
                <w:rFonts w:asciiTheme="minorHAnsi" w:hAnsiTheme="minorHAnsi"/>
                <w:sz w:val="18"/>
                <w:szCs w:val="18"/>
                <w:lang w:val="en-GB"/>
              </w:rPr>
            </w:pPr>
          </w:p>
        </w:tc>
        <w:tc>
          <w:tcPr>
            <w:tcW w:w="1609" w:type="dxa"/>
          </w:tcPr>
          <w:p w14:paraId="5FADAF40" w14:textId="77777777" w:rsidR="00C347B4" w:rsidRPr="00D93FF9" w:rsidRDefault="00C347B4" w:rsidP="003807A1">
            <w:pPr>
              <w:pStyle w:val="TableParagraph"/>
              <w:spacing w:before="0" w:after="0"/>
              <w:rPr>
                <w:rFonts w:asciiTheme="minorHAnsi" w:hAnsiTheme="minorHAnsi"/>
                <w:sz w:val="18"/>
                <w:szCs w:val="18"/>
                <w:lang w:val="en-GB"/>
              </w:rPr>
            </w:pPr>
          </w:p>
        </w:tc>
        <w:tc>
          <w:tcPr>
            <w:tcW w:w="3790" w:type="dxa"/>
          </w:tcPr>
          <w:p w14:paraId="252922B3" w14:textId="77777777" w:rsidR="00C347B4" w:rsidRPr="00D93FF9" w:rsidRDefault="00C347B4" w:rsidP="003807A1">
            <w:pPr>
              <w:pStyle w:val="TableParagraph"/>
              <w:spacing w:before="0" w:after="0"/>
              <w:rPr>
                <w:rFonts w:asciiTheme="minorHAnsi" w:hAnsiTheme="minorHAnsi"/>
                <w:sz w:val="18"/>
                <w:szCs w:val="18"/>
                <w:lang w:val="en-GB"/>
              </w:rPr>
            </w:pPr>
          </w:p>
        </w:tc>
      </w:tr>
      <w:tr w:rsidR="00BE3AA8" w:rsidRPr="00D93FF9" w14:paraId="59DCD962" w14:textId="77777777" w:rsidTr="001A7A43">
        <w:trPr>
          <w:trHeight w:val="317"/>
        </w:trPr>
        <w:tc>
          <w:tcPr>
            <w:tcW w:w="1927" w:type="dxa"/>
          </w:tcPr>
          <w:p w14:paraId="59DCD95E" w14:textId="77777777" w:rsidR="0052457E"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Triclopyr</w:t>
            </w:r>
          </w:p>
        </w:tc>
        <w:tc>
          <w:tcPr>
            <w:tcW w:w="1646" w:type="dxa"/>
          </w:tcPr>
          <w:p w14:paraId="59DCD95F" w14:textId="0AEEF646" w:rsidR="0052457E" w:rsidRPr="00D93FF9" w:rsidRDefault="0052457E" w:rsidP="003807A1">
            <w:pPr>
              <w:pStyle w:val="TableParagraph"/>
              <w:spacing w:before="0" w:after="0"/>
              <w:rPr>
                <w:rFonts w:asciiTheme="minorHAnsi" w:hAnsiTheme="minorHAnsi"/>
                <w:sz w:val="18"/>
                <w:szCs w:val="18"/>
                <w:lang w:val="en-GB"/>
              </w:rPr>
            </w:pPr>
          </w:p>
        </w:tc>
        <w:tc>
          <w:tcPr>
            <w:tcW w:w="1609" w:type="dxa"/>
          </w:tcPr>
          <w:p w14:paraId="59DCD960" w14:textId="77777777" w:rsidR="0052457E"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w:t>
            </w:r>
          </w:p>
        </w:tc>
        <w:tc>
          <w:tcPr>
            <w:tcW w:w="3790" w:type="dxa"/>
          </w:tcPr>
          <w:p w14:paraId="59DCD961" w14:textId="77777777" w:rsidR="0052457E" w:rsidRPr="00D93FF9" w:rsidRDefault="0052457E" w:rsidP="003807A1">
            <w:pPr>
              <w:pStyle w:val="TableParagraph"/>
              <w:spacing w:before="0" w:after="0"/>
              <w:rPr>
                <w:rFonts w:asciiTheme="minorHAnsi" w:hAnsiTheme="minorHAnsi"/>
                <w:sz w:val="18"/>
                <w:szCs w:val="18"/>
                <w:lang w:val="en-GB"/>
              </w:rPr>
            </w:pPr>
          </w:p>
        </w:tc>
      </w:tr>
      <w:tr w:rsidR="00BE3AA8" w:rsidRPr="00D93FF9" w14:paraId="59DCD967" w14:textId="77777777" w:rsidTr="001A7A43">
        <w:trPr>
          <w:trHeight w:val="309"/>
        </w:trPr>
        <w:tc>
          <w:tcPr>
            <w:tcW w:w="1927" w:type="dxa"/>
            <w:tcBorders>
              <w:bottom w:val="single" w:sz="4" w:space="0" w:color="000000"/>
            </w:tcBorders>
          </w:tcPr>
          <w:p w14:paraId="59DCD963" w14:textId="32B53C66" w:rsidR="0052457E" w:rsidRPr="00D93FF9" w:rsidRDefault="00C347B4"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Trifluralin</w:t>
            </w:r>
          </w:p>
        </w:tc>
        <w:tc>
          <w:tcPr>
            <w:tcW w:w="1646" w:type="dxa"/>
            <w:tcBorders>
              <w:bottom w:val="single" w:sz="4" w:space="0" w:color="000000"/>
            </w:tcBorders>
          </w:tcPr>
          <w:p w14:paraId="59DCD964" w14:textId="77777777" w:rsidR="0052457E" w:rsidRPr="00D93FF9" w:rsidRDefault="0052457E" w:rsidP="003807A1">
            <w:pPr>
              <w:pStyle w:val="TableParagraph"/>
              <w:spacing w:before="0" w:after="0"/>
              <w:rPr>
                <w:rFonts w:asciiTheme="minorHAnsi" w:hAnsiTheme="minorHAnsi"/>
                <w:sz w:val="18"/>
                <w:szCs w:val="18"/>
                <w:lang w:val="en-GB"/>
              </w:rPr>
            </w:pPr>
          </w:p>
        </w:tc>
        <w:tc>
          <w:tcPr>
            <w:tcW w:w="1609" w:type="dxa"/>
            <w:tcBorders>
              <w:bottom w:val="single" w:sz="4" w:space="0" w:color="000000"/>
            </w:tcBorders>
          </w:tcPr>
          <w:p w14:paraId="59DCD965" w14:textId="77777777" w:rsidR="0052457E" w:rsidRPr="00D93FF9" w:rsidRDefault="0052457E" w:rsidP="003807A1">
            <w:pPr>
              <w:pStyle w:val="TableParagraph"/>
              <w:spacing w:before="0" w:after="0"/>
              <w:rPr>
                <w:rFonts w:asciiTheme="minorHAnsi" w:hAnsiTheme="minorHAnsi"/>
                <w:sz w:val="18"/>
                <w:szCs w:val="18"/>
                <w:lang w:val="en-GB"/>
              </w:rPr>
            </w:pPr>
          </w:p>
        </w:tc>
        <w:tc>
          <w:tcPr>
            <w:tcW w:w="3790" w:type="dxa"/>
            <w:tcBorders>
              <w:bottom w:val="single" w:sz="4" w:space="0" w:color="000000"/>
            </w:tcBorders>
          </w:tcPr>
          <w:p w14:paraId="59DCD966" w14:textId="77777777" w:rsidR="0052457E" w:rsidRPr="00D93FF9" w:rsidRDefault="0052457E" w:rsidP="003807A1">
            <w:pPr>
              <w:pStyle w:val="TableParagraph"/>
              <w:spacing w:before="0" w:after="0"/>
              <w:rPr>
                <w:rFonts w:asciiTheme="minorHAnsi" w:hAnsiTheme="minorHAnsi"/>
                <w:sz w:val="18"/>
                <w:szCs w:val="18"/>
                <w:lang w:val="en-GB"/>
              </w:rPr>
            </w:pPr>
          </w:p>
        </w:tc>
      </w:tr>
    </w:tbl>
    <w:p w14:paraId="59DCD968" w14:textId="77777777" w:rsidR="001A7A43" w:rsidRPr="00D93FF9" w:rsidRDefault="00E811B8" w:rsidP="00C55FB1">
      <w:pPr>
        <w:pStyle w:val="ListParagraph"/>
        <w:numPr>
          <w:ilvl w:val="0"/>
          <w:numId w:val="1"/>
        </w:numPr>
        <w:tabs>
          <w:tab w:val="left" w:pos="456"/>
        </w:tabs>
        <w:spacing w:after="0" w:line="357" w:lineRule="auto"/>
        <w:ind w:left="142" w:hanging="142"/>
        <w:rPr>
          <w:rFonts w:ascii="Arial"/>
          <w:sz w:val="14"/>
          <w:lang w:val="en-GB"/>
        </w:rPr>
      </w:pPr>
      <w:bookmarkStart w:id="322" w:name="9.2.7.1__Description"/>
      <w:bookmarkEnd w:id="322"/>
      <w:r w:rsidRPr="00D93FF9">
        <w:rPr>
          <w:rFonts w:ascii="Arial"/>
          <w:sz w:val="14"/>
          <w:lang w:val="en-GB"/>
        </w:rPr>
        <w:t xml:space="preserve">From ANZECC (1992). These should be regarded as interim </w:t>
      </w:r>
      <w:r w:rsidR="00C652A2" w:rsidRPr="00D93FF9">
        <w:rPr>
          <w:rFonts w:ascii="Arial"/>
          <w:sz w:val="14"/>
          <w:lang w:val="en-GB"/>
        </w:rPr>
        <w:t xml:space="preserve">guideline </w:t>
      </w:r>
      <w:r w:rsidRPr="00D93FF9">
        <w:rPr>
          <w:rFonts w:ascii="Arial"/>
          <w:sz w:val="14"/>
          <w:lang w:val="en-GB"/>
        </w:rPr>
        <w:t>values</w:t>
      </w:r>
      <w:r w:rsidRPr="00D93FF9">
        <w:rPr>
          <w:rFonts w:ascii="Arial"/>
          <w:spacing w:val="-21"/>
          <w:sz w:val="14"/>
          <w:lang w:val="en-GB"/>
        </w:rPr>
        <w:t xml:space="preserve"> </w:t>
      </w:r>
      <w:r w:rsidRPr="00D93FF9">
        <w:rPr>
          <w:rFonts w:ascii="Arial"/>
          <w:sz w:val="14"/>
          <w:lang w:val="en-GB"/>
        </w:rPr>
        <w:t>only.</w:t>
      </w:r>
    </w:p>
    <w:p w14:paraId="30DA1E2B" w14:textId="77777777" w:rsidR="00077FEE" w:rsidRPr="00D93FF9" w:rsidRDefault="00E811B8" w:rsidP="00C55FB1">
      <w:pPr>
        <w:pStyle w:val="ListParagraph"/>
        <w:numPr>
          <w:ilvl w:val="0"/>
          <w:numId w:val="1"/>
        </w:numPr>
        <w:tabs>
          <w:tab w:val="left" w:pos="456"/>
        </w:tabs>
        <w:spacing w:after="0" w:line="357" w:lineRule="auto"/>
        <w:ind w:left="142" w:hanging="142"/>
        <w:rPr>
          <w:rFonts w:ascii="Arial"/>
          <w:sz w:val="14"/>
          <w:lang w:val="en-GB"/>
        </w:rPr>
      </w:pPr>
      <w:r w:rsidRPr="00D93FF9">
        <w:rPr>
          <w:rFonts w:ascii="Arial"/>
          <w:sz w:val="14"/>
          <w:lang w:val="en-GB"/>
        </w:rPr>
        <w:t>Trigger</w:t>
      </w:r>
      <w:r w:rsidRPr="00D93FF9">
        <w:rPr>
          <w:rFonts w:ascii="Arial"/>
          <w:spacing w:val="-6"/>
          <w:sz w:val="14"/>
          <w:lang w:val="en-GB"/>
        </w:rPr>
        <w:t xml:space="preserve"> </w:t>
      </w:r>
      <w:r w:rsidRPr="00D93FF9">
        <w:rPr>
          <w:rFonts w:ascii="Arial"/>
          <w:sz w:val="14"/>
          <w:lang w:val="en-GB"/>
        </w:rPr>
        <w:t>values</w:t>
      </w:r>
      <w:r w:rsidRPr="00D93FF9">
        <w:rPr>
          <w:rFonts w:ascii="Arial"/>
          <w:spacing w:val="-5"/>
          <w:sz w:val="14"/>
          <w:lang w:val="en-GB"/>
        </w:rPr>
        <w:t xml:space="preserve"> </w:t>
      </w:r>
      <w:r w:rsidRPr="00D93FF9">
        <w:rPr>
          <w:rFonts w:ascii="Arial"/>
          <w:sz w:val="14"/>
          <w:lang w:val="en-GB"/>
        </w:rPr>
        <w:t>not</w:t>
      </w:r>
      <w:r w:rsidRPr="00D93FF9">
        <w:rPr>
          <w:rFonts w:ascii="Arial"/>
          <w:spacing w:val="-5"/>
          <w:sz w:val="14"/>
          <w:lang w:val="en-GB"/>
        </w:rPr>
        <w:t xml:space="preserve"> </w:t>
      </w:r>
      <w:r w:rsidRPr="00D93FF9">
        <w:rPr>
          <w:rFonts w:ascii="Arial"/>
          <w:sz w:val="14"/>
          <w:lang w:val="en-GB"/>
        </w:rPr>
        <w:t>set</w:t>
      </w:r>
      <w:r w:rsidRPr="00D93FF9">
        <w:rPr>
          <w:rFonts w:ascii="Arial"/>
          <w:spacing w:val="-5"/>
          <w:sz w:val="14"/>
          <w:lang w:val="en-GB"/>
        </w:rPr>
        <w:t xml:space="preserve"> </w:t>
      </w:r>
      <w:r w:rsidRPr="00D93FF9">
        <w:rPr>
          <w:rFonts w:ascii="Arial"/>
          <w:sz w:val="14"/>
          <w:lang w:val="en-GB"/>
        </w:rPr>
        <w:t>except</w:t>
      </w:r>
      <w:r w:rsidRPr="00D93FF9">
        <w:rPr>
          <w:rFonts w:ascii="Arial"/>
          <w:spacing w:val="-5"/>
          <w:sz w:val="14"/>
          <w:lang w:val="en-GB"/>
        </w:rPr>
        <w:t xml:space="preserve"> </w:t>
      </w:r>
      <w:r w:rsidRPr="00D93FF9">
        <w:rPr>
          <w:rFonts w:ascii="Arial"/>
          <w:sz w:val="14"/>
          <w:lang w:val="en-GB"/>
        </w:rPr>
        <w:t>as</w:t>
      </w:r>
      <w:r w:rsidRPr="00D93FF9">
        <w:rPr>
          <w:rFonts w:ascii="Arial"/>
          <w:spacing w:val="-5"/>
          <w:sz w:val="14"/>
          <w:lang w:val="en-GB"/>
        </w:rPr>
        <w:t xml:space="preserve"> </w:t>
      </w:r>
      <w:r w:rsidRPr="00D93FF9">
        <w:rPr>
          <w:rFonts w:ascii="Arial"/>
          <w:sz w:val="14"/>
          <w:lang w:val="en-GB"/>
        </w:rPr>
        <w:t>a</w:t>
      </w:r>
      <w:r w:rsidRPr="00D93FF9">
        <w:rPr>
          <w:rFonts w:ascii="Arial"/>
          <w:spacing w:val="-5"/>
          <w:sz w:val="14"/>
          <w:lang w:val="en-GB"/>
        </w:rPr>
        <w:t xml:space="preserve"> </w:t>
      </w:r>
      <w:r w:rsidRPr="00D93FF9">
        <w:rPr>
          <w:rFonts w:ascii="Arial"/>
          <w:sz w:val="14"/>
          <w:lang w:val="en-GB"/>
        </w:rPr>
        <w:t>general</w:t>
      </w:r>
      <w:r w:rsidRPr="00D93FF9">
        <w:rPr>
          <w:rFonts w:ascii="Arial"/>
          <w:spacing w:val="-5"/>
          <w:sz w:val="14"/>
          <w:lang w:val="en-GB"/>
        </w:rPr>
        <w:t xml:space="preserve"> </w:t>
      </w:r>
      <w:r w:rsidRPr="00D93FF9">
        <w:rPr>
          <w:rFonts w:ascii="Arial"/>
          <w:sz w:val="14"/>
          <w:lang w:val="en-GB"/>
        </w:rPr>
        <w:t>limit</w:t>
      </w:r>
      <w:r w:rsidRPr="00D93FF9">
        <w:rPr>
          <w:rFonts w:ascii="Arial"/>
          <w:spacing w:val="-5"/>
          <w:sz w:val="14"/>
          <w:lang w:val="en-GB"/>
        </w:rPr>
        <w:t xml:space="preserve"> </w:t>
      </w:r>
      <w:r w:rsidRPr="00D93FF9">
        <w:rPr>
          <w:rFonts w:ascii="Arial"/>
          <w:sz w:val="14"/>
          <w:lang w:val="en-GB"/>
        </w:rPr>
        <w:t>(0.1</w:t>
      </w:r>
      <w:r w:rsidRPr="00D93FF9">
        <w:rPr>
          <w:rFonts w:ascii="Arial"/>
          <w:spacing w:val="-5"/>
          <w:sz w:val="14"/>
          <w:lang w:val="en-GB"/>
        </w:rPr>
        <w:t xml:space="preserve"> </w:t>
      </w:r>
      <w:r w:rsidRPr="00D93FF9">
        <w:rPr>
          <w:rFonts w:ascii="Arial"/>
          <w:sz w:val="14"/>
          <w:lang w:val="en-GB"/>
        </w:rPr>
        <w:t>mg/L)</w:t>
      </w:r>
      <w:r w:rsidRPr="00D93FF9">
        <w:rPr>
          <w:rFonts w:ascii="Arial"/>
          <w:spacing w:val="-5"/>
          <w:sz w:val="14"/>
          <w:lang w:val="en-GB"/>
        </w:rPr>
        <w:t xml:space="preserve"> </w:t>
      </w:r>
      <w:r w:rsidRPr="00D93FF9">
        <w:rPr>
          <w:rFonts w:ascii="Arial"/>
          <w:sz w:val="14"/>
          <w:lang w:val="en-GB"/>
        </w:rPr>
        <w:t>for</w:t>
      </w:r>
      <w:r w:rsidRPr="00D93FF9">
        <w:rPr>
          <w:rFonts w:ascii="Arial"/>
          <w:spacing w:val="-5"/>
          <w:sz w:val="14"/>
          <w:lang w:val="en-GB"/>
        </w:rPr>
        <w:t xml:space="preserve"> </w:t>
      </w:r>
      <w:r w:rsidRPr="00D93FF9">
        <w:rPr>
          <w:rFonts w:ascii="Arial"/>
          <w:sz w:val="14"/>
          <w:lang w:val="en-GB"/>
        </w:rPr>
        <w:t>specific</w:t>
      </w:r>
      <w:r w:rsidRPr="00D93FF9">
        <w:rPr>
          <w:rFonts w:ascii="Arial"/>
          <w:spacing w:val="-5"/>
          <w:sz w:val="14"/>
          <w:lang w:val="en-GB"/>
        </w:rPr>
        <w:t xml:space="preserve"> </w:t>
      </w:r>
      <w:r w:rsidRPr="00D93FF9">
        <w:rPr>
          <w:rFonts w:ascii="Arial"/>
          <w:sz w:val="14"/>
          <w:lang w:val="en-GB"/>
        </w:rPr>
        <w:t>herbicides</w:t>
      </w:r>
      <w:r w:rsidRPr="00D93FF9">
        <w:rPr>
          <w:rFonts w:ascii="Arial"/>
          <w:spacing w:val="-5"/>
          <w:sz w:val="14"/>
          <w:lang w:val="en-GB"/>
        </w:rPr>
        <w:t xml:space="preserve"> </w:t>
      </w:r>
      <w:r w:rsidRPr="00D93FF9">
        <w:rPr>
          <w:rFonts w:ascii="Arial"/>
          <w:sz w:val="14"/>
          <w:lang w:val="en-GB"/>
        </w:rPr>
        <w:t>in</w:t>
      </w:r>
      <w:r w:rsidRPr="00D93FF9">
        <w:rPr>
          <w:rFonts w:ascii="Arial"/>
          <w:spacing w:val="-6"/>
          <w:sz w:val="14"/>
          <w:lang w:val="en-GB"/>
        </w:rPr>
        <w:t xml:space="preserve"> </w:t>
      </w:r>
      <w:r w:rsidRPr="00D93FF9">
        <w:rPr>
          <w:rFonts w:ascii="Arial"/>
          <w:sz w:val="14"/>
          <w:lang w:val="en-GB"/>
        </w:rPr>
        <w:t>Tasmania</w:t>
      </w:r>
      <w:r w:rsidRPr="00D93FF9">
        <w:rPr>
          <w:rFonts w:ascii="Arial"/>
          <w:spacing w:val="-5"/>
          <w:sz w:val="14"/>
          <w:lang w:val="en-GB"/>
        </w:rPr>
        <w:t xml:space="preserve"> </w:t>
      </w:r>
      <w:r w:rsidRPr="00D93FF9">
        <w:rPr>
          <w:rFonts w:ascii="Arial"/>
          <w:sz w:val="14"/>
          <w:lang w:val="en-GB"/>
        </w:rPr>
        <w:t>and</w:t>
      </w:r>
      <w:r w:rsidRPr="00D93FF9">
        <w:rPr>
          <w:rFonts w:ascii="Arial"/>
          <w:spacing w:val="-5"/>
          <w:sz w:val="14"/>
          <w:lang w:val="en-GB"/>
        </w:rPr>
        <w:t xml:space="preserve"> </w:t>
      </w:r>
      <w:r w:rsidRPr="00D93FF9">
        <w:rPr>
          <w:rFonts w:ascii="Arial"/>
          <w:sz w:val="14"/>
          <w:lang w:val="en-GB"/>
        </w:rPr>
        <w:t>all</w:t>
      </w:r>
      <w:r w:rsidRPr="00D93FF9">
        <w:rPr>
          <w:rFonts w:ascii="Arial"/>
          <w:spacing w:val="-6"/>
          <w:sz w:val="14"/>
          <w:lang w:val="en-GB"/>
        </w:rPr>
        <w:t xml:space="preserve"> </w:t>
      </w:r>
      <w:r w:rsidRPr="00D93FF9">
        <w:rPr>
          <w:rFonts w:ascii="Arial"/>
          <w:sz w:val="14"/>
          <w:lang w:val="en-GB"/>
        </w:rPr>
        <w:t>herbicides</w:t>
      </w:r>
      <w:r w:rsidRPr="00D93FF9">
        <w:rPr>
          <w:rFonts w:ascii="Arial"/>
          <w:spacing w:val="-5"/>
          <w:sz w:val="14"/>
          <w:lang w:val="en-GB"/>
        </w:rPr>
        <w:t xml:space="preserve"> </w:t>
      </w:r>
      <w:r w:rsidRPr="00D93FF9">
        <w:rPr>
          <w:rFonts w:ascii="Arial"/>
          <w:sz w:val="14"/>
          <w:lang w:val="en-GB"/>
        </w:rPr>
        <w:t>in</w:t>
      </w:r>
      <w:r w:rsidRPr="00D93FF9">
        <w:rPr>
          <w:rFonts w:ascii="Arial"/>
          <w:spacing w:val="-6"/>
          <w:sz w:val="14"/>
          <w:lang w:val="en-GB"/>
        </w:rPr>
        <w:t xml:space="preserve"> </w:t>
      </w:r>
      <w:r w:rsidRPr="00D93FF9">
        <w:rPr>
          <w:rFonts w:ascii="Arial"/>
          <w:sz w:val="14"/>
          <w:lang w:val="en-GB"/>
        </w:rPr>
        <w:t xml:space="preserve">NSW. </w:t>
      </w:r>
    </w:p>
    <w:p w14:paraId="59DCD969" w14:textId="13088305" w:rsidR="00C46175" w:rsidRPr="00D93FF9" w:rsidRDefault="00E811B8" w:rsidP="00C55FB1">
      <w:pPr>
        <w:pStyle w:val="ListParagraph"/>
        <w:numPr>
          <w:ilvl w:val="0"/>
          <w:numId w:val="1"/>
        </w:numPr>
        <w:tabs>
          <w:tab w:val="left" w:pos="456"/>
        </w:tabs>
        <w:spacing w:after="0" w:line="357" w:lineRule="auto"/>
        <w:ind w:left="142" w:hanging="142"/>
        <w:rPr>
          <w:rFonts w:ascii="Arial"/>
          <w:sz w:val="14"/>
          <w:lang w:val="en-GB"/>
        </w:rPr>
      </w:pPr>
      <w:r w:rsidRPr="00D93FF9">
        <w:rPr>
          <w:rFonts w:ascii="Arial"/>
          <w:sz w:val="14"/>
          <w:lang w:val="en-GB"/>
        </w:rPr>
        <w:t>Hazard from residue at the expected maximum concentration: + = low, ++ = moderate, +++ = high.</w:t>
      </w:r>
    </w:p>
    <w:p w14:paraId="59DCD96A" w14:textId="77777777" w:rsidR="00FE5C1B" w:rsidRPr="00D93FF9" w:rsidRDefault="00E811B8" w:rsidP="001A7A43">
      <w:pPr>
        <w:pStyle w:val="ListParagraph"/>
        <w:tabs>
          <w:tab w:val="left" w:pos="456"/>
        </w:tabs>
        <w:spacing w:after="0" w:line="358" w:lineRule="auto"/>
        <w:ind w:left="142" w:hanging="142"/>
        <w:rPr>
          <w:sz w:val="16"/>
          <w:lang w:val="en-GB"/>
        </w:rPr>
      </w:pPr>
      <w:r w:rsidRPr="00D93FF9">
        <w:rPr>
          <w:sz w:val="16"/>
          <w:vertAlign w:val="superscript"/>
          <w:lang w:val="en-GB"/>
        </w:rPr>
        <w:t>¥</w:t>
      </w:r>
      <w:r w:rsidRPr="00D93FF9">
        <w:rPr>
          <w:sz w:val="16"/>
          <w:lang w:val="en-GB"/>
        </w:rPr>
        <w:t xml:space="preserve"> Pesticide not registered or approved </w:t>
      </w:r>
      <w:r w:rsidR="00C652A2" w:rsidRPr="00D93FF9">
        <w:rPr>
          <w:sz w:val="16"/>
          <w:lang w:val="en-GB"/>
        </w:rPr>
        <w:t xml:space="preserve">anymore </w:t>
      </w:r>
      <w:r w:rsidRPr="00D93FF9">
        <w:rPr>
          <w:sz w:val="16"/>
          <w:lang w:val="en-GB"/>
        </w:rPr>
        <w:t>by APVMA as of April 2021</w:t>
      </w:r>
    </w:p>
    <w:p w14:paraId="59DCD96B" w14:textId="77777777" w:rsidR="00FE5C1B" w:rsidRPr="00D93FF9" w:rsidRDefault="00FE5C1B" w:rsidP="003807A1">
      <w:pPr>
        <w:pStyle w:val="ListParagraph"/>
        <w:tabs>
          <w:tab w:val="left" w:pos="456"/>
        </w:tabs>
        <w:spacing w:after="0" w:line="357" w:lineRule="auto"/>
        <w:ind w:left="0"/>
        <w:rPr>
          <w:sz w:val="16"/>
          <w:lang w:val="en-GB"/>
        </w:rPr>
      </w:pPr>
    </w:p>
    <w:p w14:paraId="59DCD96C" w14:textId="5FC82EA3" w:rsidR="00FE5C1B" w:rsidRPr="00D93FF9" w:rsidRDefault="00E811B8" w:rsidP="003807A1">
      <w:pPr>
        <w:pStyle w:val="ListParagraph"/>
        <w:tabs>
          <w:tab w:val="left" w:pos="217"/>
        </w:tabs>
        <w:spacing w:after="0" w:line="357" w:lineRule="auto"/>
        <w:ind w:left="0"/>
        <w:rPr>
          <w:lang w:val="en-GB"/>
        </w:rPr>
      </w:pPr>
      <w:r w:rsidRPr="00D93FF9">
        <w:rPr>
          <w:lang w:val="en-GB"/>
        </w:rPr>
        <w:t>Other regulation guideline values are summarised in</w:t>
      </w:r>
      <w:r w:rsidR="007245CD" w:rsidRPr="00D93FF9">
        <w:rPr>
          <w:lang w:val="en-GB"/>
        </w:rPr>
        <w:t xml:space="preserve"> </w:t>
      </w:r>
      <w:r w:rsidR="007245CD" w:rsidRPr="00D93FF9">
        <w:rPr>
          <w:lang w:val="en-GB"/>
        </w:rPr>
        <w:fldChar w:fldCharType="begin"/>
      </w:r>
      <w:r w:rsidR="007245CD" w:rsidRPr="00D93FF9">
        <w:rPr>
          <w:lang w:val="en-GB"/>
        </w:rPr>
        <w:instrText xml:space="preserve"> REF _Ref81395604 \h </w:instrText>
      </w:r>
      <w:r w:rsidR="00D93FF9">
        <w:rPr>
          <w:lang w:val="en-GB"/>
        </w:rPr>
        <w:instrText xml:space="preserve"> \* MERGEFORMAT </w:instrText>
      </w:r>
      <w:r w:rsidR="007245CD" w:rsidRPr="00D93FF9">
        <w:rPr>
          <w:lang w:val="en-GB"/>
        </w:rPr>
      </w:r>
      <w:r w:rsidR="007245CD" w:rsidRPr="00D93FF9">
        <w:rPr>
          <w:lang w:val="en-GB"/>
        </w:rPr>
        <w:fldChar w:fldCharType="separate"/>
      </w:r>
      <w:r w:rsidR="0069302C" w:rsidRPr="00D93FF9">
        <w:t xml:space="preserve">Table </w:t>
      </w:r>
      <w:r w:rsidR="0069302C">
        <w:rPr>
          <w:noProof/>
        </w:rPr>
        <w:t>29</w:t>
      </w:r>
      <w:r w:rsidR="007245CD" w:rsidRPr="00D93FF9">
        <w:rPr>
          <w:lang w:val="en-GB"/>
        </w:rPr>
        <w:fldChar w:fldCharType="end"/>
      </w:r>
      <w:r w:rsidR="00E55602" w:rsidRPr="00D93FF9">
        <w:rPr>
          <w:lang w:val="en-GB"/>
        </w:rPr>
        <w:t xml:space="preserve">. </w:t>
      </w:r>
    </w:p>
    <w:p w14:paraId="59DCD96D" w14:textId="33D9CA3A" w:rsidR="00625DAD" w:rsidRPr="00D93FF9" w:rsidRDefault="007245CD" w:rsidP="007245CD">
      <w:pPr>
        <w:pStyle w:val="Caption"/>
        <w:rPr>
          <w:lang w:val="en-GB"/>
        </w:rPr>
      </w:pPr>
      <w:bookmarkStart w:id="323" w:name="_Ref81395604"/>
      <w:bookmarkStart w:id="324" w:name="_Toc96518243"/>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29</w:t>
      </w:r>
      <w:r w:rsidR="00477102" w:rsidRPr="00D93FF9">
        <w:fldChar w:fldCharType="end"/>
      </w:r>
      <w:bookmarkEnd w:id="323"/>
      <w:r w:rsidRPr="00D93FF9">
        <w:t xml:space="preserve"> </w:t>
      </w:r>
      <w:bookmarkStart w:id="325" w:name="_Hlk153812814"/>
      <w:r w:rsidR="00C548DF" w:rsidRPr="00D93FF9">
        <w:rPr>
          <w:lang w:val="en-GB"/>
        </w:rPr>
        <w:t xml:space="preserve">Residue limits for selected pesticides in </w:t>
      </w:r>
      <w:r w:rsidR="00C159F2" w:rsidRPr="00D93FF9">
        <w:rPr>
          <w:lang w:val="en-GB"/>
        </w:rPr>
        <w:t>Canada (CCME 200</w:t>
      </w:r>
      <w:r w:rsidR="00A220BF" w:rsidRPr="00D93FF9">
        <w:rPr>
          <w:lang w:val="en-GB"/>
        </w:rPr>
        <w:t>9</w:t>
      </w:r>
      <w:r w:rsidR="00C159F2" w:rsidRPr="00D93FF9">
        <w:rPr>
          <w:lang w:val="en-GB"/>
        </w:rPr>
        <w:t>)</w:t>
      </w:r>
      <w:bookmarkEnd w:id="324"/>
      <w:bookmarkEnd w:id="325"/>
    </w:p>
    <w:tbl>
      <w:tblPr>
        <w:tblW w:w="0" w:type="auto"/>
        <w:tblInd w:w="124" w:type="dxa"/>
        <w:tblLayout w:type="fixed"/>
        <w:tblCellMar>
          <w:left w:w="0" w:type="dxa"/>
          <w:right w:w="0" w:type="dxa"/>
        </w:tblCellMar>
        <w:tblLook w:val="01E0" w:firstRow="1" w:lastRow="1" w:firstColumn="1" w:lastColumn="1" w:noHBand="0" w:noVBand="0"/>
        <w:tblCaption w:val="Residue limits for selected pesticides in Canada"/>
        <w:tblDescription w:val="A list of five pesticides and their residue limits for irrigation water in Canada."/>
      </w:tblPr>
      <w:tblGrid>
        <w:gridCol w:w="1799"/>
        <w:gridCol w:w="1536"/>
      </w:tblGrid>
      <w:tr w:rsidR="00BE3AA8" w:rsidRPr="00D93FF9" w14:paraId="59DCD970" w14:textId="77777777" w:rsidTr="0092770F">
        <w:trPr>
          <w:trHeight w:val="717"/>
        </w:trPr>
        <w:tc>
          <w:tcPr>
            <w:tcW w:w="1799" w:type="dxa"/>
            <w:tcBorders>
              <w:top w:val="single" w:sz="6" w:space="0" w:color="000000"/>
              <w:bottom w:val="single" w:sz="6" w:space="0" w:color="000000"/>
            </w:tcBorders>
          </w:tcPr>
          <w:p w14:paraId="59DCD96E" w14:textId="77777777" w:rsidR="00A220BF" w:rsidRPr="00D93FF9" w:rsidRDefault="00E811B8" w:rsidP="003807A1">
            <w:pPr>
              <w:pStyle w:val="TableParagraph"/>
              <w:spacing w:before="0" w:after="0"/>
              <w:rPr>
                <w:rFonts w:asciiTheme="minorHAnsi" w:hAnsiTheme="minorHAnsi"/>
                <w:b/>
                <w:sz w:val="18"/>
                <w:szCs w:val="18"/>
                <w:lang w:val="en-GB"/>
              </w:rPr>
            </w:pPr>
            <w:r w:rsidRPr="00D93FF9">
              <w:rPr>
                <w:rFonts w:asciiTheme="minorHAnsi" w:hAnsiTheme="minorHAnsi"/>
                <w:b/>
                <w:sz w:val="18"/>
                <w:szCs w:val="18"/>
                <w:lang w:val="en-GB"/>
              </w:rPr>
              <w:t>Pesticide</w:t>
            </w:r>
          </w:p>
        </w:tc>
        <w:tc>
          <w:tcPr>
            <w:tcW w:w="1536" w:type="dxa"/>
            <w:tcBorders>
              <w:top w:val="single" w:sz="6" w:space="0" w:color="000000"/>
              <w:bottom w:val="single" w:sz="6" w:space="0" w:color="000000"/>
            </w:tcBorders>
          </w:tcPr>
          <w:p w14:paraId="59DCD96F" w14:textId="77777777" w:rsidR="00A220BF" w:rsidRPr="00D93FF9" w:rsidRDefault="00E811B8" w:rsidP="003807A1">
            <w:pPr>
              <w:pStyle w:val="TableParagraph"/>
              <w:spacing w:before="0" w:after="0" w:line="259" w:lineRule="auto"/>
              <w:rPr>
                <w:rFonts w:asciiTheme="minorHAnsi" w:hAnsiTheme="minorHAnsi"/>
                <w:b/>
                <w:sz w:val="18"/>
                <w:szCs w:val="18"/>
                <w:lang w:val="en-GB"/>
              </w:rPr>
            </w:pPr>
            <w:r w:rsidRPr="00D93FF9">
              <w:rPr>
                <w:rFonts w:asciiTheme="minorHAnsi" w:hAnsiTheme="minorHAnsi"/>
                <w:b/>
                <w:sz w:val="18"/>
                <w:szCs w:val="18"/>
                <w:lang w:val="en-GB"/>
              </w:rPr>
              <w:t>Residue limits in irrigation water (µg/L)</w:t>
            </w:r>
          </w:p>
        </w:tc>
      </w:tr>
      <w:tr w:rsidR="00BE3AA8" w:rsidRPr="00D93FF9" w14:paraId="59DCD973" w14:textId="77777777" w:rsidTr="00D908AB">
        <w:trPr>
          <w:trHeight w:val="319"/>
        </w:trPr>
        <w:tc>
          <w:tcPr>
            <w:tcW w:w="1799" w:type="dxa"/>
          </w:tcPr>
          <w:p w14:paraId="59DCD971" w14:textId="77777777" w:rsidR="00A220BF"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Atrazine</w:t>
            </w:r>
          </w:p>
        </w:tc>
        <w:tc>
          <w:tcPr>
            <w:tcW w:w="1536" w:type="dxa"/>
            <w:vAlign w:val="center"/>
          </w:tcPr>
          <w:p w14:paraId="59DCD972" w14:textId="77777777" w:rsidR="00A220BF" w:rsidRPr="00D93FF9" w:rsidRDefault="00E811B8" w:rsidP="00D908AB">
            <w:pPr>
              <w:pStyle w:val="TableParagraph"/>
              <w:spacing w:before="0" w:after="0"/>
              <w:jc w:val="right"/>
              <w:rPr>
                <w:rFonts w:asciiTheme="minorHAnsi" w:hAnsiTheme="minorHAnsi"/>
                <w:sz w:val="18"/>
                <w:szCs w:val="18"/>
                <w:lang w:val="en-GB"/>
              </w:rPr>
            </w:pPr>
            <w:r w:rsidRPr="00D93FF9">
              <w:rPr>
                <w:rFonts w:asciiTheme="minorHAnsi" w:hAnsiTheme="minorHAnsi"/>
                <w:sz w:val="18"/>
                <w:szCs w:val="18"/>
                <w:lang w:val="en-GB"/>
              </w:rPr>
              <w:t>10</w:t>
            </w:r>
          </w:p>
        </w:tc>
      </w:tr>
      <w:tr w:rsidR="00BE3AA8" w:rsidRPr="00D93FF9" w14:paraId="59DCD976" w14:textId="77777777" w:rsidTr="00D908AB">
        <w:trPr>
          <w:trHeight w:val="319"/>
        </w:trPr>
        <w:tc>
          <w:tcPr>
            <w:tcW w:w="1799" w:type="dxa"/>
          </w:tcPr>
          <w:p w14:paraId="59DCD974" w14:textId="7B6F4ABD" w:rsidR="00A220BF"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Broma</w:t>
            </w:r>
            <w:r w:rsidR="009F6620" w:rsidRPr="00D93FF9">
              <w:rPr>
                <w:rFonts w:asciiTheme="minorHAnsi" w:hAnsiTheme="minorHAnsi"/>
                <w:sz w:val="18"/>
                <w:szCs w:val="18"/>
                <w:lang w:val="en-GB"/>
              </w:rPr>
              <w:t>c</w:t>
            </w:r>
            <w:r w:rsidRPr="00D93FF9">
              <w:rPr>
                <w:rFonts w:asciiTheme="minorHAnsi" w:hAnsiTheme="minorHAnsi"/>
                <w:sz w:val="18"/>
                <w:szCs w:val="18"/>
                <w:lang w:val="en-GB"/>
              </w:rPr>
              <w:t>il</w:t>
            </w:r>
          </w:p>
        </w:tc>
        <w:tc>
          <w:tcPr>
            <w:tcW w:w="1536" w:type="dxa"/>
            <w:vAlign w:val="center"/>
          </w:tcPr>
          <w:p w14:paraId="59DCD975" w14:textId="77777777" w:rsidR="00A220BF" w:rsidRPr="00D93FF9" w:rsidRDefault="00E811B8" w:rsidP="00D908AB">
            <w:pPr>
              <w:pStyle w:val="TableParagraph"/>
              <w:spacing w:before="0" w:after="0"/>
              <w:jc w:val="right"/>
              <w:rPr>
                <w:rFonts w:asciiTheme="minorHAnsi" w:hAnsiTheme="minorHAnsi"/>
                <w:sz w:val="18"/>
                <w:szCs w:val="18"/>
                <w:lang w:val="en-GB"/>
              </w:rPr>
            </w:pPr>
            <w:r w:rsidRPr="00D93FF9">
              <w:rPr>
                <w:rFonts w:asciiTheme="minorHAnsi" w:hAnsiTheme="minorHAnsi"/>
                <w:sz w:val="18"/>
                <w:szCs w:val="18"/>
                <w:lang w:val="en-GB"/>
              </w:rPr>
              <w:t>0.2</w:t>
            </w:r>
          </w:p>
        </w:tc>
      </w:tr>
      <w:tr w:rsidR="00BE3AA8" w:rsidRPr="00D93FF9" w14:paraId="59DCD979" w14:textId="77777777" w:rsidTr="00D908AB">
        <w:trPr>
          <w:trHeight w:val="319"/>
        </w:trPr>
        <w:tc>
          <w:tcPr>
            <w:tcW w:w="1799" w:type="dxa"/>
          </w:tcPr>
          <w:p w14:paraId="59DCD977" w14:textId="77777777" w:rsidR="00A220BF"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Dicamba</w:t>
            </w:r>
          </w:p>
        </w:tc>
        <w:tc>
          <w:tcPr>
            <w:tcW w:w="1536" w:type="dxa"/>
            <w:vAlign w:val="center"/>
          </w:tcPr>
          <w:p w14:paraId="59DCD978" w14:textId="77777777" w:rsidR="00A220BF" w:rsidRPr="00D93FF9" w:rsidRDefault="00E811B8" w:rsidP="00D908AB">
            <w:pPr>
              <w:pStyle w:val="TableParagraph"/>
              <w:spacing w:before="0" w:after="0"/>
              <w:jc w:val="right"/>
              <w:rPr>
                <w:rFonts w:asciiTheme="minorHAnsi" w:hAnsiTheme="minorHAnsi"/>
                <w:sz w:val="18"/>
                <w:szCs w:val="18"/>
                <w:lang w:val="en-GB"/>
              </w:rPr>
            </w:pPr>
            <w:r w:rsidRPr="00D93FF9">
              <w:rPr>
                <w:rFonts w:asciiTheme="minorHAnsi" w:hAnsiTheme="minorHAnsi"/>
                <w:sz w:val="18"/>
                <w:szCs w:val="18"/>
                <w:lang w:val="en-GB"/>
              </w:rPr>
              <w:t>0.006</w:t>
            </w:r>
          </w:p>
        </w:tc>
      </w:tr>
      <w:tr w:rsidR="00BE3AA8" w:rsidRPr="00D93FF9" w14:paraId="59DCD97C" w14:textId="77777777" w:rsidTr="00D908AB">
        <w:trPr>
          <w:trHeight w:val="319"/>
        </w:trPr>
        <w:tc>
          <w:tcPr>
            <w:tcW w:w="1799" w:type="dxa"/>
          </w:tcPr>
          <w:p w14:paraId="59DCD97A" w14:textId="77777777" w:rsidR="00A220BF"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Propanil</w:t>
            </w:r>
          </w:p>
        </w:tc>
        <w:tc>
          <w:tcPr>
            <w:tcW w:w="1536" w:type="dxa"/>
            <w:vAlign w:val="center"/>
          </w:tcPr>
          <w:p w14:paraId="59DCD97B" w14:textId="77777777" w:rsidR="00A220BF" w:rsidRPr="00D93FF9" w:rsidRDefault="00E811B8" w:rsidP="00D908AB">
            <w:pPr>
              <w:pStyle w:val="TableParagraph"/>
              <w:spacing w:before="0" w:after="0"/>
              <w:jc w:val="right"/>
              <w:rPr>
                <w:rFonts w:asciiTheme="minorHAnsi" w:hAnsiTheme="minorHAnsi"/>
                <w:sz w:val="18"/>
                <w:szCs w:val="18"/>
                <w:lang w:val="en-GB"/>
              </w:rPr>
            </w:pPr>
            <w:r w:rsidRPr="00D93FF9">
              <w:rPr>
                <w:rFonts w:asciiTheme="minorHAnsi" w:hAnsiTheme="minorHAnsi"/>
                <w:sz w:val="18"/>
                <w:szCs w:val="18"/>
                <w:lang w:val="en-GB"/>
              </w:rPr>
              <w:t>0.5</w:t>
            </w:r>
          </w:p>
        </w:tc>
      </w:tr>
      <w:tr w:rsidR="00BE3AA8" w:rsidRPr="00D93FF9" w14:paraId="59DCD97F" w14:textId="77777777" w:rsidTr="00D908AB">
        <w:trPr>
          <w:trHeight w:val="311"/>
        </w:trPr>
        <w:tc>
          <w:tcPr>
            <w:tcW w:w="1799" w:type="dxa"/>
            <w:tcBorders>
              <w:bottom w:val="single" w:sz="4" w:space="0" w:color="auto"/>
            </w:tcBorders>
          </w:tcPr>
          <w:p w14:paraId="59DCD97D" w14:textId="77777777" w:rsidR="00A220BF" w:rsidRPr="00D93FF9" w:rsidRDefault="00E811B8" w:rsidP="003807A1">
            <w:pPr>
              <w:pStyle w:val="TableParagraph"/>
              <w:spacing w:before="0" w:after="0"/>
              <w:rPr>
                <w:rFonts w:asciiTheme="minorHAnsi" w:hAnsiTheme="minorHAnsi"/>
                <w:sz w:val="18"/>
                <w:szCs w:val="18"/>
                <w:lang w:val="en-GB"/>
              </w:rPr>
            </w:pPr>
            <w:r w:rsidRPr="00D93FF9">
              <w:rPr>
                <w:rFonts w:asciiTheme="minorHAnsi" w:hAnsiTheme="minorHAnsi"/>
                <w:sz w:val="18"/>
                <w:szCs w:val="18"/>
                <w:lang w:val="en-GB"/>
              </w:rPr>
              <w:t>Simazine</w:t>
            </w:r>
          </w:p>
        </w:tc>
        <w:tc>
          <w:tcPr>
            <w:tcW w:w="1536" w:type="dxa"/>
            <w:tcBorders>
              <w:bottom w:val="single" w:sz="4" w:space="0" w:color="auto"/>
            </w:tcBorders>
            <w:vAlign w:val="center"/>
          </w:tcPr>
          <w:p w14:paraId="59DCD97E" w14:textId="77777777" w:rsidR="00A220BF" w:rsidRPr="00D93FF9" w:rsidRDefault="00E811B8" w:rsidP="00D908AB">
            <w:pPr>
              <w:pStyle w:val="TableParagraph"/>
              <w:spacing w:before="0" w:after="0"/>
              <w:jc w:val="right"/>
              <w:rPr>
                <w:rFonts w:asciiTheme="minorHAnsi" w:hAnsiTheme="minorHAnsi"/>
                <w:sz w:val="18"/>
                <w:szCs w:val="18"/>
                <w:lang w:val="en-GB"/>
              </w:rPr>
            </w:pPr>
            <w:r w:rsidRPr="00D93FF9">
              <w:rPr>
                <w:rFonts w:asciiTheme="minorHAnsi" w:hAnsiTheme="minorHAnsi"/>
                <w:sz w:val="18"/>
                <w:szCs w:val="18"/>
                <w:lang w:val="en-GB"/>
              </w:rPr>
              <w:t>0.5</w:t>
            </w:r>
          </w:p>
        </w:tc>
      </w:tr>
    </w:tbl>
    <w:p w14:paraId="59DCD980" w14:textId="77777777" w:rsidR="00FE5C1B" w:rsidRPr="00D93FF9" w:rsidRDefault="00FE5C1B" w:rsidP="003807A1">
      <w:pPr>
        <w:pStyle w:val="ListParagraph"/>
        <w:tabs>
          <w:tab w:val="left" w:pos="217"/>
        </w:tabs>
        <w:spacing w:after="0" w:line="357" w:lineRule="auto"/>
        <w:ind w:left="0"/>
        <w:rPr>
          <w:lang w:val="en-GB"/>
        </w:rPr>
      </w:pPr>
    </w:p>
    <w:p w14:paraId="59DCD981" w14:textId="3BFCE44B" w:rsidR="002C08E8" w:rsidRPr="00D93FF9" w:rsidRDefault="00E811B8" w:rsidP="003807A1">
      <w:pPr>
        <w:pStyle w:val="ListParagraph"/>
        <w:tabs>
          <w:tab w:val="left" w:pos="217"/>
        </w:tabs>
        <w:spacing w:after="0" w:line="266" w:lineRule="auto"/>
        <w:ind w:left="0"/>
        <w:jc w:val="both"/>
        <w:rPr>
          <w:lang w:val="en-GB"/>
        </w:rPr>
      </w:pPr>
      <w:r w:rsidRPr="00D93FF9">
        <w:rPr>
          <w:lang w:val="en-GB"/>
        </w:rPr>
        <w:t>In Canada, irrigation water quality guidelines are based on the most sensitive crops grown, allowing t</w:t>
      </w:r>
      <w:r w:rsidR="009F6620" w:rsidRPr="00D93FF9">
        <w:rPr>
          <w:lang w:val="en-GB"/>
        </w:rPr>
        <w:t xml:space="preserve">he derivation of </w:t>
      </w:r>
      <w:r w:rsidRPr="00D93FF9">
        <w:rPr>
          <w:lang w:val="en-GB"/>
        </w:rPr>
        <w:t>acceptable soil concentration or acceptable application rates of the pesticide and a species maximum acceptable toxicant concentration (SMATC), provided the maximum irrigation rate is known (volume per unit area per year). The lowest SMATC in each crop group is selected and represents the GV</w:t>
      </w:r>
      <w:r w:rsidR="00C42F6F" w:rsidRPr="00D93FF9">
        <w:rPr>
          <w:lang w:val="en-GB"/>
        </w:rPr>
        <w:t xml:space="preserve"> (Hamilton et al. 2003)</w:t>
      </w:r>
      <w:r w:rsidRPr="00D93FF9">
        <w:rPr>
          <w:lang w:val="en-GB"/>
        </w:rPr>
        <w:t>.</w:t>
      </w:r>
      <w:r w:rsidR="00551A28" w:rsidRPr="00D93FF9">
        <w:rPr>
          <w:lang w:val="en-GB"/>
        </w:rPr>
        <w:t xml:space="preserve"> </w:t>
      </w:r>
    </w:p>
    <w:p w14:paraId="59DCD982" w14:textId="38ED4D41" w:rsidR="002C08E8" w:rsidRPr="00D93FF9" w:rsidRDefault="00E811B8" w:rsidP="003807A1">
      <w:pPr>
        <w:pStyle w:val="ListParagraph"/>
        <w:tabs>
          <w:tab w:val="left" w:pos="217"/>
        </w:tabs>
        <w:spacing w:after="0" w:line="266" w:lineRule="auto"/>
        <w:ind w:left="0"/>
        <w:jc w:val="both"/>
        <w:rPr>
          <w:lang w:val="en-GB"/>
        </w:rPr>
      </w:pPr>
      <w:r w:rsidRPr="00D93FF9">
        <w:rPr>
          <w:lang w:val="en-GB"/>
        </w:rPr>
        <w:t xml:space="preserve">In </w:t>
      </w:r>
      <w:r w:rsidR="006D5A8A" w:rsidRPr="00D93FF9">
        <w:rPr>
          <w:lang w:val="en-GB"/>
        </w:rPr>
        <w:t xml:space="preserve">the European Union, </w:t>
      </w:r>
      <w:r w:rsidR="003E69D3" w:rsidRPr="00D93FF9">
        <w:rPr>
          <w:lang w:val="en-GB"/>
        </w:rPr>
        <w:t>t</w:t>
      </w:r>
      <w:r w:rsidR="006D5A8A" w:rsidRPr="00D93FF9">
        <w:rPr>
          <w:lang w:val="en-GB"/>
        </w:rPr>
        <w:t xml:space="preserve">he presence of pesticides in water is regulated through the Ground Water Directive </w:t>
      </w:r>
      <w:r w:rsidR="00CF4E6B" w:rsidRPr="00D93FF9">
        <w:rPr>
          <w:lang w:val="en-GB"/>
        </w:rPr>
        <w:t>(European Parliament and Council 2006)</w:t>
      </w:r>
      <w:r w:rsidR="006D5A8A" w:rsidRPr="00D93FF9">
        <w:rPr>
          <w:lang w:val="en-GB"/>
        </w:rPr>
        <w:t xml:space="preserve">, the Drinking Water Directive </w:t>
      </w:r>
      <w:r w:rsidR="00CF4E6B" w:rsidRPr="00D93FF9">
        <w:rPr>
          <w:lang w:val="en-GB"/>
        </w:rPr>
        <w:t>(EPC 1998)</w:t>
      </w:r>
      <w:r w:rsidR="006D5A8A" w:rsidRPr="00D93FF9">
        <w:rPr>
          <w:lang w:val="en-GB"/>
        </w:rPr>
        <w:t xml:space="preserve"> and the Water Framework Directive</w:t>
      </w:r>
      <w:r w:rsidR="001A7A43" w:rsidRPr="00D93FF9">
        <w:rPr>
          <w:lang w:val="en-GB"/>
        </w:rPr>
        <w:t xml:space="preserve"> (</w:t>
      </w:r>
      <w:r w:rsidR="0059120D" w:rsidRPr="00D93FF9">
        <w:rPr>
          <w:lang w:val="en-GB"/>
        </w:rPr>
        <w:t>EC 2000</w:t>
      </w:r>
      <w:r w:rsidR="001A7A43" w:rsidRPr="00D93FF9">
        <w:rPr>
          <w:lang w:val="en-GB"/>
        </w:rPr>
        <w:t>)</w:t>
      </w:r>
      <w:r w:rsidR="006D5A8A" w:rsidRPr="00D93FF9">
        <w:rPr>
          <w:lang w:val="en-GB"/>
        </w:rPr>
        <w:t>,</w:t>
      </w:r>
      <w:r w:rsidR="00223070" w:rsidRPr="00D93FF9">
        <w:rPr>
          <w:lang w:val="en-GB"/>
        </w:rPr>
        <w:t xml:space="preserve"> They set</w:t>
      </w:r>
      <w:r w:rsidR="006D5A8A" w:rsidRPr="00D93FF9">
        <w:rPr>
          <w:lang w:val="en-GB"/>
        </w:rPr>
        <w:t xml:space="preserve"> a maximum concentration of </w:t>
      </w:r>
      <w:r w:rsidR="00223070" w:rsidRPr="00D93FF9">
        <w:rPr>
          <w:lang w:val="en-GB"/>
        </w:rPr>
        <w:t>0.1</w:t>
      </w:r>
      <w:r w:rsidR="00590E01" w:rsidRPr="00D93FF9">
        <w:rPr>
          <w:lang w:val="en-GB"/>
        </w:rPr>
        <w:t xml:space="preserve"> </w:t>
      </w:r>
      <w:r w:rsidR="00223070" w:rsidRPr="00D93FF9">
        <w:rPr>
          <w:lang w:val="en-GB"/>
        </w:rPr>
        <w:t>µ</w:t>
      </w:r>
      <w:r w:rsidR="006D5A8A" w:rsidRPr="00D93FF9">
        <w:rPr>
          <w:lang w:val="en-GB"/>
        </w:rPr>
        <w:t xml:space="preserve">g/L for individual pesticides and their degradation products, and </w:t>
      </w:r>
      <w:r w:rsidR="00223070" w:rsidRPr="00D93FF9">
        <w:rPr>
          <w:lang w:val="en-GB"/>
        </w:rPr>
        <w:t>0.5</w:t>
      </w:r>
      <w:r w:rsidR="00590E01" w:rsidRPr="00D93FF9">
        <w:rPr>
          <w:lang w:val="en-GB"/>
        </w:rPr>
        <w:t xml:space="preserve"> </w:t>
      </w:r>
      <w:r w:rsidR="00223070" w:rsidRPr="00D93FF9">
        <w:rPr>
          <w:lang w:val="en-GB"/>
        </w:rPr>
        <w:t>µ</w:t>
      </w:r>
      <w:r w:rsidR="006D5A8A" w:rsidRPr="00D93FF9">
        <w:rPr>
          <w:lang w:val="en-GB"/>
        </w:rPr>
        <w:t xml:space="preserve">g/L for total pesticide residues present in </w:t>
      </w:r>
      <w:r w:rsidR="00223070" w:rsidRPr="00D93FF9">
        <w:rPr>
          <w:lang w:val="en-GB"/>
        </w:rPr>
        <w:t xml:space="preserve">a water sample. </w:t>
      </w:r>
      <w:r w:rsidR="003E69D3" w:rsidRPr="00D93FF9">
        <w:rPr>
          <w:lang w:val="en-GB"/>
        </w:rPr>
        <w:t>There is no specific Directive on the pesticide concentration in irrigation waters</w:t>
      </w:r>
      <w:r w:rsidR="00CF0F00" w:rsidRPr="00D93FF9">
        <w:rPr>
          <w:lang w:val="en-GB"/>
        </w:rPr>
        <w:t xml:space="preserve"> though</w:t>
      </w:r>
      <w:r w:rsidR="003E69D3" w:rsidRPr="00D93FF9">
        <w:rPr>
          <w:lang w:val="en-GB"/>
        </w:rPr>
        <w:t>.</w:t>
      </w:r>
      <w:r w:rsidR="000F6653" w:rsidRPr="00D93FF9">
        <w:rPr>
          <w:lang w:val="en-GB"/>
        </w:rPr>
        <w:t xml:space="preserve"> </w:t>
      </w:r>
      <w:r w:rsidR="00585D69" w:rsidRPr="00D93FF9">
        <w:rPr>
          <w:lang w:val="en-GB"/>
        </w:rPr>
        <w:t xml:space="preserve">Environmental Quality Standards </w:t>
      </w:r>
      <w:r w:rsidR="00223070" w:rsidRPr="00D93FF9">
        <w:rPr>
          <w:lang w:val="en-GB"/>
        </w:rPr>
        <w:t xml:space="preserve">have been set for priority substances and other pollutants, amongst which </w:t>
      </w:r>
      <w:r w:rsidR="003B23E2" w:rsidRPr="00D93FF9">
        <w:rPr>
          <w:lang w:val="en-GB"/>
        </w:rPr>
        <w:t xml:space="preserve">there are </w:t>
      </w:r>
      <w:r w:rsidR="00223070" w:rsidRPr="00D93FF9">
        <w:rPr>
          <w:lang w:val="en-GB"/>
        </w:rPr>
        <w:t xml:space="preserve">a number of pesticides. They specify an annual average and maximum allowable concentration not to </w:t>
      </w:r>
      <w:r w:rsidR="00C65DDF" w:rsidRPr="00D93FF9">
        <w:rPr>
          <w:lang w:val="en-GB"/>
        </w:rPr>
        <w:t xml:space="preserve">be </w:t>
      </w:r>
      <w:r w:rsidR="00223070" w:rsidRPr="00D93FF9">
        <w:rPr>
          <w:lang w:val="en-GB"/>
        </w:rPr>
        <w:t>exceed</w:t>
      </w:r>
      <w:r w:rsidR="00C65DDF" w:rsidRPr="00D93FF9">
        <w:rPr>
          <w:lang w:val="en-GB"/>
        </w:rPr>
        <w:t>ed</w:t>
      </w:r>
      <w:r w:rsidR="00223070" w:rsidRPr="00D93FF9">
        <w:rPr>
          <w:lang w:val="en-GB"/>
        </w:rPr>
        <w:t xml:space="preserve"> in different inland or other surface waters</w:t>
      </w:r>
      <w:r w:rsidR="000C509E" w:rsidRPr="00D93FF9">
        <w:rPr>
          <w:lang w:val="en-GB"/>
        </w:rPr>
        <w:t xml:space="preserve"> (</w:t>
      </w:r>
      <w:r w:rsidR="00A30CFD" w:rsidRPr="00D93FF9">
        <w:rPr>
          <w:lang w:val="en-GB"/>
        </w:rPr>
        <w:t>European Parliament and Council</w:t>
      </w:r>
      <w:r w:rsidR="000C509E" w:rsidRPr="00D93FF9">
        <w:rPr>
          <w:lang w:val="en-GB"/>
        </w:rPr>
        <w:t xml:space="preserve"> 2008)</w:t>
      </w:r>
      <w:r w:rsidR="008A095B" w:rsidRPr="00D93FF9">
        <w:rPr>
          <w:lang w:val="en-GB"/>
        </w:rPr>
        <w:t xml:space="preserve"> (</w:t>
      </w:r>
      <w:r w:rsidR="003D0548" w:rsidRPr="00D93FF9">
        <w:rPr>
          <w:lang w:val="en-GB"/>
        </w:rPr>
        <w:fldChar w:fldCharType="begin"/>
      </w:r>
      <w:r w:rsidR="003D0548" w:rsidRPr="00D93FF9">
        <w:rPr>
          <w:lang w:val="en-GB"/>
        </w:rPr>
        <w:instrText xml:space="preserve"> REF _Ref81395718 \h </w:instrText>
      </w:r>
      <w:r w:rsidR="00D93FF9">
        <w:rPr>
          <w:lang w:val="en-GB"/>
        </w:rPr>
        <w:instrText xml:space="preserve"> \* MERGEFORMAT </w:instrText>
      </w:r>
      <w:r w:rsidR="003D0548" w:rsidRPr="00D93FF9">
        <w:rPr>
          <w:lang w:val="en-GB"/>
        </w:rPr>
      </w:r>
      <w:r w:rsidR="003D0548" w:rsidRPr="00D93FF9">
        <w:rPr>
          <w:lang w:val="en-GB"/>
        </w:rPr>
        <w:fldChar w:fldCharType="separate"/>
      </w:r>
      <w:r w:rsidR="0069302C" w:rsidRPr="00D93FF9">
        <w:t xml:space="preserve">Table </w:t>
      </w:r>
      <w:r w:rsidR="0069302C">
        <w:rPr>
          <w:noProof/>
        </w:rPr>
        <w:t>30</w:t>
      </w:r>
      <w:r w:rsidR="003D0548" w:rsidRPr="00D93FF9">
        <w:rPr>
          <w:lang w:val="en-GB"/>
        </w:rPr>
        <w:fldChar w:fldCharType="end"/>
      </w:r>
      <w:r w:rsidR="008A095B" w:rsidRPr="00D93FF9">
        <w:rPr>
          <w:lang w:val="en-GB"/>
        </w:rPr>
        <w:t>)</w:t>
      </w:r>
      <w:r w:rsidR="00223070" w:rsidRPr="00D93FF9">
        <w:rPr>
          <w:lang w:val="en-GB"/>
        </w:rPr>
        <w:t xml:space="preserve">. </w:t>
      </w:r>
    </w:p>
    <w:p w14:paraId="59DCD983" w14:textId="77777777" w:rsidR="00A30CFD" w:rsidRPr="00D93FF9" w:rsidRDefault="00A30CFD" w:rsidP="003807A1">
      <w:pPr>
        <w:pStyle w:val="ListParagraph"/>
        <w:tabs>
          <w:tab w:val="left" w:pos="217"/>
        </w:tabs>
        <w:spacing w:after="0" w:line="266" w:lineRule="auto"/>
        <w:ind w:left="0"/>
        <w:jc w:val="both"/>
        <w:rPr>
          <w:lang w:val="en-GB"/>
        </w:rPr>
      </w:pPr>
    </w:p>
    <w:p w14:paraId="59DCD984" w14:textId="5BFA030F" w:rsidR="000F6653" w:rsidRPr="00D93FF9" w:rsidRDefault="003D0548" w:rsidP="003D0548">
      <w:pPr>
        <w:pStyle w:val="Caption"/>
        <w:rPr>
          <w:lang w:val="en-GB"/>
        </w:rPr>
      </w:pPr>
      <w:bookmarkStart w:id="326" w:name="_Ref81395718"/>
      <w:bookmarkStart w:id="327" w:name="_Toc96518244"/>
      <w:r w:rsidRPr="00D93FF9">
        <w:lastRenderedPageBreak/>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30</w:t>
      </w:r>
      <w:r w:rsidR="00477102" w:rsidRPr="00D93FF9">
        <w:fldChar w:fldCharType="end"/>
      </w:r>
      <w:bookmarkEnd w:id="326"/>
      <w:r w:rsidRPr="00D93FF9">
        <w:t xml:space="preserve"> </w:t>
      </w:r>
      <w:bookmarkStart w:id="328" w:name="_Hlk153812819"/>
      <w:r w:rsidR="00E811B8" w:rsidRPr="00D93FF9">
        <w:rPr>
          <w:lang w:val="en-GB"/>
        </w:rPr>
        <w:t xml:space="preserve">Environmental Quality Standards (EQS) for priority </w:t>
      </w:r>
      <w:r w:rsidR="00590E01" w:rsidRPr="00D93FF9">
        <w:rPr>
          <w:lang w:val="en-GB"/>
        </w:rPr>
        <w:t xml:space="preserve">pesticides </w:t>
      </w:r>
      <w:r w:rsidR="00E811B8" w:rsidRPr="00D93FF9">
        <w:rPr>
          <w:lang w:val="en-GB"/>
        </w:rPr>
        <w:t>and certain other pollutants in the European Union</w:t>
      </w:r>
      <w:bookmarkEnd w:id="327"/>
      <w:bookmarkEnd w:id="328"/>
    </w:p>
    <w:tbl>
      <w:tblPr>
        <w:tblStyle w:val="TableGrid"/>
        <w:tblW w:w="85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Quality Standards for priority pesticides and certain other pollutants in the European Union"/>
        <w:tblDescription w:val="A list of eight priority pesticides and other pollutants and their environmental quality standards in four types of surface waters in the European Union. "/>
      </w:tblPr>
      <w:tblGrid>
        <w:gridCol w:w="2037"/>
        <w:gridCol w:w="1632"/>
        <w:gridCol w:w="1633"/>
        <w:gridCol w:w="1573"/>
        <w:gridCol w:w="1633"/>
      </w:tblGrid>
      <w:tr w:rsidR="00BE3AA8" w:rsidRPr="00D93FF9" w14:paraId="59DCD98A" w14:textId="77777777" w:rsidTr="007F0A7C">
        <w:trPr>
          <w:trHeight w:val="795"/>
        </w:trPr>
        <w:tc>
          <w:tcPr>
            <w:tcW w:w="2037" w:type="dxa"/>
          </w:tcPr>
          <w:p w14:paraId="59DCD985" w14:textId="77777777" w:rsidR="00A30CFD" w:rsidRPr="00D93FF9" w:rsidRDefault="00E811B8" w:rsidP="00174737">
            <w:pPr>
              <w:pStyle w:val="ListParagraph"/>
              <w:tabs>
                <w:tab w:val="left" w:pos="217"/>
              </w:tabs>
              <w:spacing w:before="0" w:after="0" w:line="266" w:lineRule="auto"/>
              <w:ind w:left="0"/>
              <w:jc w:val="both"/>
              <w:rPr>
                <w:rFonts w:asciiTheme="minorHAnsi" w:hAnsiTheme="minorHAnsi" w:cs="Arial"/>
                <w:b/>
                <w:bCs/>
                <w:szCs w:val="18"/>
                <w:lang w:val="en-GB"/>
              </w:rPr>
            </w:pPr>
            <w:r w:rsidRPr="00D93FF9">
              <w:rPr>
                <w:rFonts w:asciiTheme="minorHAnsi" w:hAnsiTheme="minorHAnsi" w:cs="Arial"/>
                <w:b/>
                <w:bCs/>
                <w:szCs w:val="18"/>
                <w:lang w:val="en-GB"/>
              </w:rPr>
              <w:t>Name of substance</w:t>
            </w:r>
          </w:p>
        </w:tc>
        <w:tc>
          <w:tcPr>
            <w:tcW w:w="1632" w:type="dxa"/>
          </w:tcPr>
          <w:p w14:paraId="59DCD986" w14:textId="77777777" w:rsidR="00A30CFD" w:rsidRPr="00D93FF9" w:rsidRDefault="00E811B8" w:rsidP="002201B6">
            <w:pPr>
              <w:pStyle w:val="ListParagraph"/>
              <w:tabs>
                <w:tab w:val="left" w:pos="217"/>
              </w:tabs>
              <w:spacing w:before="0" w:after="0" w:line="266" w:lineRule="auto"/>
              <w:ind w:left="0"/>
              <w:jc w:val="center"/>
              <w:rPr>
                <w:rFonts w:asciiTheme="minorHAnsi" w:hAnsiTheme="minorHAnsi" w:cs="Arial"/>
                <w:b/>
                <w:bCs/>
                <w:szCs w:val="18"/>
                <w:lang w:val="en-GB"/>
              </w:rPr>
            </w:pPr>
            <w:r w:rsidRPr="00D93FF9">
              <w:rPr>
                <w:rFonts w:asciiTheme="minorHAnsi" w:hAnsiTheme="minorHAnsi" w:cs="Arial"/>
                <w:b/>
                <w:bCs/>
                <w:szCs w:val="18"/>
                <w:lang w:val="en-GB"/>
              </w:rPr>
              <w:t>AA</w:t>
            </w:r>
            <w:r w:rsidR="00C609D8" w:rsidRPr="00D93FF9">
              <w:rPr>
                <w:rFonts w:asciiTheme="minorHAnsi" w:hAnsiTheme="minorHAnsi" w:cs="Arial"/>
                <w:b/>
                <w:bCs/>
                <w:szCs w:val="18"/>
                <w:vertAlign w:val="superscript"/>
                <w:lang w:val="en-GB"/>
              </w:rPr>
              <w:t>¥</w:t>
            </w:r>
            <w:r w:rsidRPr="00D93FF9">
              <w:rPr>
                <w:rFonts w:asciiTheme="minorHAnsi" w:hAnsiTheme="minorHAnsi" w:cs="Arial"/>
                <w:b/>
                <w:bCs/>
                <w:szCs w:val="18"/>
                <w:lang w:val="en-GB"/>
              </w:rPr>
              <w:t>-EQS inland surface waters</w:t>
            </w:r>
          </w:p>
        </w:tc>
        <w:tc>
          <w:tcPr>
            <w:tcW w:w="1633" w:type="dxa"/>
          </w:tcPr>
          <w:p w14:paraId="59DCD987" w14:textId="77777777" w:rsidR="00A30CFD" w:rsidRPr="00D93FF9" w:rsidRDefault="00E811B8" w:rsidP="002201B6">
            <w:pPr>
              <w:pStyle w:val="ListParagraph"/>
              <w:tabs>
                <w:tab w:val="left" w:pos="217"/>
              </w:tabs>
              <w:spacing w:before="0" w:after="0" w:line="266" w:lineRule="auto"/>
              <w:ind w:left="0"/>
              <w:jc w:val="center"/>
              <w:rPr>
                <w:rFonts w:asciiTheme="minorHAnsi" w:hAnsiTheme="minorHAnsi" w:cs="Arial"/>
                <w:b/>
                <w:bCs/>
                <w:szCs w:val="18"/>
                <w:lang w:val="en-GB"/>
              </w:rPr>
            </w:pPr>
            <w:r w:rsidRPr="00D93FF9">
              <w:rPr>
                <w:rFonts w:asciiTheme="minorHAnsi" w:hAnsiTheme="minorHAnsi" w:cs="Arial"/>
                <w:b/>
                <w:bCs/>
                <w:szCs w:val="18"/>
                <w:lang w:val="en-GB"/>
              </w:rPr>
              <w:t>AA-EQS other surface waters</w:t>
            </w:r>
          </w:p>
        </w:tc>
        <w:tc>
          <w:tcPr>
            <w:tcW w:w="1573" w:type="dxa"/>
          </w:tcPr>
          <w:p w14:paraId="59DCD988" w14:textId="77777777" w:rsidR="00A30CFD" w:rsidRPr="00D93FF9" w:rsidRDefault="00E811B8" w:rsidP="002201B6">
            <w:pPr>
              <w:pStyle w:val="ListParagraph"/>
              <w:tabs>
                <w:tab w:val="left" w:pos="217"/>
              </w:tabs>
              <w:spacing w:before="0" w:after="0" w:line="266" w:lineRule="auto"/>
              <w:ind w:left="0"/>
              <w:jc w:val="center"/>
              <w:rPr>
                <w:rFonts w:asciiTheme="minorHAnsi" w:hAnsiTheme="minorHAnsi" w:cs="Arial"/>
                <w:b/>
                <w:bCs/>
                <w:szCs w:val="18"/>
                <w:lang w:val="en-GB"/>
              </w:rPr>
            </w:pPr>
            <w:r w:rsidRPr="00D93FF9">
              <w:rPr>
                <w:rFonts w:asciiTheme="minorHAnsi" w:hAnsiTheme="minorHAnsi" w:cs="Arial"/>
                <w:b/>
                <w:bCs/>
                <w:szCs w:val="18"/>
                <w:lang w:val="en-GB"/>
              </w:rPr>
              <w:t>MAC</w:t>
            </w:r>
            <w:r w:rsidR="00C609D8" w:rsidRPr="00D93FF9">
              <w:rPr>
                <w:rFonts w:asciiTheme="minorHAnsi" w:hAnsiTheme="minorHAnsi" w:cs="Arial"/>
                <w:b/>
                <w:bCs/>
                <w:szCs w:val="18"/>
                <w:lang w:val="en-GB"/>
              </w:rPr>
              <w:t>*</w:t>
            </w:r>
            <w:r w:rsidRPr="00D93FF9">
              <w:rPr>
                <w:rFonts w:asciiTheme="minorHAnsi" w:hAnsiTheme="minorHAnsi" w:cs="Arial"/>
                <w:b/>
                <w:bCs/>
                <w:szCs w:val="18"/>
                <w:lang w:val="en-GB"/>
              </w:rPr>
              <w:t>-EQS inland surface waters</w:t>
            </w:r>
          </w:p>
        </w:tc>
        <w:tc>
          <w:tcPr>
            <w:tcW w:w="1633" w:type="dxa"/>
          </w:tcPr>
          <w:p w14:paraId="59DCD989" w14:textId="77777777" w:rsidR="00A30CFD" w:rsidRPr="00D93FF9" w:rsidRDefault="00E811B8" w:rsidP="002201B6">
            <w:pPr>
              <w:pStyle w:val="ListParagraph"/>
              <w:tabs>
                <w:tab w:val="left" w:pos="217"/>
              </w:tabs>
              <w:spacing w:before="0" w:after="0" w:line="266" w:lineRule="auto"/>
              <w:ind w:left="0"/>
              <w:jc w:val="center"/>
              <w:rPr>
                <w:rFonts w:asciiTheme="minorHAnsi" w:hAnsiTheme="minorHAnsi" w:cs="Arial"/>
                <w:b/>
                <w:bCs/>
                <w:szCs w:val="18"/>
                <w:lang w:val="en-GB"/>
              </w:rPr>
            </w:pPr>
            <w:r w:rsidRPr="00D93FF9">
              <w:rPr>
                <w:rFonts w:asciiTheme="minorHAnsi" w:hAnsiTheme="minorHAnsi" w:cs="Arial"/>
                <w:b/>
                <w:bCs/>
                <w:szCs w:val="18"/>
                <w:lang w:val="en-GB"/>
              </w:rPr>
              <w:t>MAC-EQS other surface waters</w:t>
            </w:r>
          </w:p>
        </w:tc>
      </w:tr>
      <w:tr w:rsidR="00BE3AA8" w:rsidRPr="00D93FF9" w14:paraId="59DCD990" w14:textId="77777777" w:rsidTr="00D908AB">
        <w:trPr>
          <w:trHeight w:val="312"/>
        </w:trPr>
        <w:tc>
          <w:tcPr>
            <w:tcW w:w="2037" w:type="dxa"/>
          </w:tcPr>
          <w:p w14:paraId="59DCD98B" w14:textId="77777777" w:rsidR="00A30CFD" w:rsidRPr="00D93FF9" w:rsidRDefault="00E811B8" w:rsidP="00174737">
            <w:pPr>
              <w:pStyle w:val="ListParagraph"/>
              <w:tabs>
                <w:tab w:val="left" w:pos="217"/>
              </w:tabs>
              <w:spacing w:before="0" w:after="0" w:line="266" w:lineRule="auto"/>
              <w:ind w:left="0"/>
              <w:jc w:val="both"/>
              <w:rPr>
                <w:rFonts w:ascii="Arial" w:hAnsi="Arial" w:cs="Arial"/>
                <w:sz w:val="16"/>
                <w:szCs w:val="16"/>
                <w:lang w:val="en-GB"/>
              </w:rPr>
            </w:pPr>
            <w:r w:rsidRPr="00D93FF9">
              <w:rPr>
                <w:rFonts w:ascii="Arial" w:hAnsi="Arial" w:cs="Arial"/>
                <w:sz w:val="16"/>
                <w:szCs w:val="16"/>
                <w:lang w:val="en-GB"/>
              </w:rPr>
              <w:t>Atrazine</w:t>
            </w:r>
          </w:p>
        </w:tc>
        <w:tc>
          <w:tcPr>
            <w:tcW w:w="1632" w:type="dxa"/>
            <w:vAlign w:val="center"/>
          </w:tcPr>
          <w:p w14:paraId="59DCD98C"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0.6</w:t>
            </w:r>
          </w:p>
        </w:tc>
        <w:tc>
          <w:tcPr>
            <w:tcW w:w="1633" w:type="dxa"/>
            <w:vAlign w:val="center"/>
          </w:tcPr>
          <w:p w14:paraId="59DCD98D"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0.6</w:t>
            </w:r>
          </w:p>
        </w:tc>
        <w:tc>
          <w:tcPr>
            <w:tcW w:w="1573" w:type="dxa"/>
            <w:vAlign w:val="center"/>
          </w:tcPr>
          <w:p w14:paraId="59DCD98E"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2.0</w:t>
            </w:r>
          </w:p>
        </w:tc>
        <w:tc>
          <w:tcPr>
            <w:tcW w:w="1633" w:type="dxa"/>
            <w:vAlign w:val="center"/>
          </w:tcPr>
          <w:p w14:paraId="59DCD98F"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2.0</w:t>
            </w:r>
          </w:p>
        </w:tc>
      </w:tr>
      <w:tr w:rsidR="00BE3AA8" w:rsidRPr="00D93FF9" w14:paraId="59DCD996" w14:textId="77777777" w:rsidTr="00D908AB">
        <w:trPr>
          <w:trHeight w:val="299"/>
        </w:trPr>
        <w:tc>
          <w:tcPr>
            <w:tcW w:w="2037" w:type="dxa"/>
          </w:tcPr>
          <w:p w14:paraId="59DCD991" w14:textId="77777777" w:rsidR="00A30CFD" w:rsidRPr="00D93FF9" w:rsidRDefault="00E811B8" w:rsidP="00174737">
            <w:pPr>
              <w:pStyle w:val="ListParagraph"/>
              <w:tabs>
                <w:tab w:val="left" w:pos="217"/>
              </w:tabs>
              <w:spacing w:before="0" w:after="0" w:line="266" w:lineRule="auto"/>
              <w:ind w:left="0"/>
              <w:jc w:val="both"/>
              <w:rPr>
                <w:rFonts w:ascii="Arial" w:hAnsi="Arial" w:cs="Arial"/>
                <w:sz w:val="16"/>
                <w:szCs w:val="16"/>
                <w:lang w:val="en-GB"/>
              </w:rPr>
            </w:pPr>
            <w:r w:rsidRPr="00D93FF9">
              <w:rPr>
                <w:rFonts w:ascii="Arial" w:hAnsi="Arial" w:cs="Arial"/>
                <w:sz w:val="16"/>
                <w:szCs w:val="16"/>
              </w:rPr>
              <w:t>Chlorfenvinphos</w:t>
            </w:r>
          </w:p>
        </w:tc>
        <w:tc>
          <w:tcPr>
            <w:tcW w:w="1632" w:type="dxa"/>
            <w:vAlign w:val="center"/>
          </w:tcPr>
          <w:p w14:paraId="59DCD992"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0.1</w:t>
            </w:r>
          </w:p>
        </w:tc>
        <w:tc>
          <w:tcPr>
            <w:tcW w:w="1633" w:type="dxa"/>
            <w:vAlign w:val="center"/>
          </w:tcPr>
          <w:p w14:paraId="59DCD993"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0.1</w:t>
            </w:r>
          </w:p>
        </w:tc>
        <w:tc>
          <w:tcPr>
            <w:tcW w:w="1573" w:type="dxa"/>
            <w:vAlign w:val="center"/>
          </w:tcPr>
          <w:p w14:paraId="59DCD994"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0.3</w:t>
            </w:r>
          </w:p>
        </w:tc>
        <w:tc>
          <w:tcPr>
            <w:tcW w:w="1633" w:type="dxa"/>
            <w:vAlign w:val="center"/>
          </w:tcPr>
          <w:p w14:paraId="59DCD995"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0.3</w:t>
            </w:r>
          </w:p>
        </w:tc>
      </w:tr>
      <w:tr w:rsidR="00BE3AA8" w:rsidRPr="00D93FF9" w14:paraId="59DCD99C" w14:textId="77777777" w:rsidTr="00D908AB">
        <w:trPr>
          <w:trHeight w:val="312"/>
        </w:trPr>
        <w:tc>
          <w:tcPr>
            <w:tcW w:w="2037" w:type="dxa"/>
          </w:tcPr>
          <w:p w14:paraId="59DCD997" w14:textId="77777777" w:rsidR="00A30CFD" w:rsidRPr="00D93FF9" w:rsidRDefault="00E811B8" w:rsidP="00174737">
            <w:pPr>
              <w:pStyle w:val="ListParagraph"/>
              <w:tabs>
                <w:tab w:val="left" w:pos="217"/>
              </w:tabs>
              <w:spacing w:before="0" w:after="0" w:line="266" w:lineRule="auto"/>
              <w:ind w:left="0"/>
              <w:jc w:val="both"/>
              <w:rPr>
                <w:rFonts w:ascii="Arial" w:hAnsi="Arial" w:cs="Arial"/>
                <w:sz w:val="16"/>
                <w:szCs w:val="16"/>
                <w:lang w:val="en-GB"/>
              </w:rPr>
            </w:pPr>
            <w:r w:rsidRPr="00D93FF9">
              <w:rPr>
                <w:rFonts w:ascii="Arial" w:hAnsi="Arial" w:cs="Arial"/>
                <w:sz w:val="16"/>
                <w:szCs w:val="16"/>
              </w:rPr>
              <w:t>Chlorpyrifos</w:t>
            </w:r>
          </w:p>
        </w:tc>
        <w:tc>
          <w:tcPr>
            <w:tcW w:w="1632" w:type="dxa"/>
            <w:vAlign w:val="center"/>
          </w:tcPr>
          <w:p w14:paraId="59DCD998"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0.03</w:t>
            </w:r>
          </w:p>
        </w:tc>
        <w:tc>
          <w:tcPr>
            <w:tcW w:w="1633" w:type="dxa"/>
            <w:vAlign w:val="center"/>
          </w:tcPr>
          <w:p w14:paraId="59DCD999"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0.03</w:t>
            </w:r>
          </w:p>
        </w:tc>
        <w:tc>
          <w:tcPr>
            <w:tcW w:w="1573" w:type="dxa"/>
            <w:vAlign w:val="center"/>
          </w:tcPr>
          <w:p w14:paraId="59DCD99A"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0.1</w:t>
            </w:r>
          </w:p>
        </w:tc>
        <w:tc>
          <w:tcPr>
            <w:tcW w:w="1633" w:type="dxa"/>
            <w:vAlign w:val="center"/>
          </w:tcPr>
          <w:p w14:paraId="59DCD99B"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0.1</w:t>
            </w:r>
          </w:p>
        </w:tc>
      </w:tr>
      <w:tr w:rsidR="00BE3AA8" w:rsidRPr="00D93FF9" w14:paraId="59DCD9A2" w14:textId="77777777" w:rsidTr="00D908AB">
        <w:trPr>
          <w:trHeight w:val="312"/>
        </w:trPr>
        <w:tc>
          <w:tcPr>
            <w:tcW w:w="2037" w:type="dxa"/>
          </w:tcPr>
          <w:p w14:paraId="59DCD99D" w14:textId="77777777" w:rsidR="00A30CFD" w:rsidRPr="00D93FF9" w:rsidRDefault="00E811B8" w:rsidP="00174737">
            <w:pPr>
              <w:pStyle w:val="ListParagraph"/>
              <w:tabs>
                <w:tab w:val="left" w:pos="217"/>
              </w:tabs>
              <w:spacing w:before="0" w:after="0" w:line="266" w:lineRule="auto"/>
              <w:ind w:left="0"/>
              <w:jc w:val="both"/>
              <w:rPr>
                <w:rFonts w:ascii="Arial" w:hAnsi="Arial" w:cs="Arial"/>
                <w:sz w:val="16"/>
                <w:szCs w:val="16"/>
                <w:lang w:val="en-GB"/>
              </w:rPr>
            </w:pPr>
            <w:r w:rsidRPr="00D93FF9">
              <w:rPr>
                <w:rFonts w:ascii="Arial" w:hAnsi="Arial" w:cs="Arial"/>
                <w:sz w:val="16"/>
                <w:szCs w:val="16"/>
                <w:lang w:val="en-GB"/>
              </w:rPr>
              <w:t>Diuron</w:t>
            </w:r>
          </w:p>
        </w:tc>
        <w:tc>
          <w:tcPr>
            <w:tcW w:w="1632" w:type="dxa"/>
            <w:vAlign w:val="center"/>
          </w:tcPr>
          <w:p w14:paraId="59DCD99E"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0.2</w:t>
            </w:r>
          </w:p>
        </w:tc>
        <w:tc>
          <w:tcPr>
            <w:tcW w:w="1633" w:type="dxa"/>
            <w:vAlign w:val="center"/>
          </w:tcPr>
          <w:p w14:paraId="59DCD99F"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0.2</w:t>
            </w:r>
          </w:p>
        </w:tc>
        <w:tc>
          <w:tcPr>
            <w:tcW w:w="1573" w:type="dxa"/>
            <w:vAlign w:val="center"/>
          </w:tcPr>
          <w:p w14:paraId="59DCD9A0"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1.8</w:t>
            </w:r>
          </w:p>
        </w:tc>
        <w:tc>
          <w:tcPr>
            <w:tcW w:w="1633" w:type="dxa"/>
            <w:vAlign w:val="center"/>
          </w:tcPr>
          <w:p w14:paraId="59DCD9A1"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1.8</w:t>
            </w:r>
          </w:p>
        </w:tc>
      </w:tr>
      <w:tr w:rsidR="00BE3AA8" w:rsidRPr="00D93FF9" w14:paraId="59DCD9A8" w14:textId="77777777" w:rsidTr="00D908AB">
        <w:trPr>
          <w:trHeight w:val="299"/>
        </w:trPr>
        <w:tc>
          <w:tcPr>
            <w:tcW w:w="2037" w:type="dxa"/>
          </w:tcPr>
          <w:p w14:paraId="59DCD9A3" w14:textId="77777777" w:rsidR="00A30CFD" w:rsidRPr="00D93FF9" w:rsidRDefault="00E811B8" w:rsidP="00174737">
            <w:pPr>
              <w:pStyle w:val="ListParagraph"/>
              <w:tabs>
                <w:tab w:val="left" w:pos="217"/>
              </w:tabs>
              <w:spacing w:before="0" w:after="0" w:line="266" w:lineRule="auto"/>
              <w:ind w:left="0"/>
              <w:jc w:val="both"/>
              <w:rPr>
                <w:rFonts w:ascii="Arial" w:hAnsi="Arial" w:cs="Arial"/>
                <w:sz w:val="16"/>
                <w:szCs w:val="16"/>
                <w:lang w:val="en-GB"/>
              </w:rPr>
            </w:pPr>
            <w:r w:rsidRPr="00D93FF9">
              <w:rPr>
                <w:rFonts w:ascii="Arial" w:hAnsi="Arial" w:cs="Arial"/>
                <w:sz w:val="16"/>
                <w:szCs w:val="16"/>
                <w:lang w:val="en-GB"/>
              </w:rPr>
              <w:t>Endosulfan</w:t>
            </w:r>
          </w:p>
        </w:tc>
        <w:tc>
          <w:tcPr>
            <w:tcW w:w="1632" w:type="dxa"/>
            <w:vAlign w:val="center"/>
          </w:tcPr>
          <w:p w14:paraId="59DCD9A4"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0.005</w:t>
            </w:r>
          </w:p>
        </w:tc>
        <w:tc>
          <w:tcPr>
            <w:tcW w:w="1633" w:type="dxa"/>
            <w:vAlign w:val="center"/>
          </w:tcPr>
          <w:p w14:paraId="59DCD9A5"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0.005</w:t>
            </w:r>
          </w:p>
        </w:tc>
        <w:tc>
          <w:tcPr>
            <w:tcW w:w="1573" w:type="dxa"/>
            <w:vAlign w:val="center"/>
          </w:tcPr>
          <w:p w14:paraId="59DCD9A6"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0.01</w:t>
            </w:r>
          </w:p>
        </w:tc>
        <w:tc>
          <w:tcPr>
            <w:tcW w:w="1633" w:type="dxa"/>
            <w:vAlign w:val="center"/>
          </w:tcPr>
          <w:p w14:paraId="59DCD9A7"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0.004</w:t>
            </w:r>
          </w:p>
        </w:tc>
      </w:tr>
      <w:tr w:rsidR="00BE3AA8" w:rsidRPr="00D93FF9" w14:paraId="59DCD9AE" w14:textId="77777777" w:rsidTr="009B6411">
        <w:trPr>
          <w:trHeight w:val="2097"/>
        </w:trPr>
        <w:tc>
          <w:tcPr>
            <w:tcW w:w="2037" w:type="dxa"/>
          </w:tcPr>
          <w:p w14:paraId="59DCD9A9" w14:textId="77777777" w:rsidR="00A30CFD" w:rsidRPr="00D93FF9" w:rsidRDefault="00E811B8" w:rsidP="00174737">
            <w:pPr>
              <w:pStyle w:val="ListParagraph"/>
              <w:tabs>
                <w:tab w:val="left" w:pos="217"/>
              </w:tabs>
              <w:spacing w:before="0" w:after="0" w:line="266" w:lineRule="auto"/>
              <w:ind w:left="0"/>
              <w:jc w:val="both"/>
              <w:rPr>
                <w:rFonts w:ascii="Arial" w:hAnsi="Arial" w:cs="Arial"/>
                <w:sz w:val="16"/>
                <w:szCs w:val="16"/>
                <w:lang w:val="en-GB"/>
              </w:rPr>
            </w:pPr>
            <w:r w:rsidRPr="00D93FF9">
              <w:rPr>
                <w:rFonts w:ascii="Arial" w:hAnsi="Arial" w:cs="Arial"/>
                <w:sz w:val="16"/>
                <w:szCs w:val="16"/>
                <w:lang w:val="en-GB"/>
              </w:rPr>
              <w:t>Isoproturon</w:t>
            </w:r>
          </w:p>
        </w:tc>
        <w:tc>
          <w:tcPr>
            <w:tcW w:w="1632" w:type="dxa"/>
            <w:vAlign w:val="center"/>
          </w:tcPr>
          <w:p w14:paraId="59DCD9AA"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0.3</w:t>
            </w:r>
          </w:p>
        </w:tc>
        <w:tc>
          <w:tcPr>
            <w:tcW w:w="1633" w:type="dxa"/>
            <w:vAlign w:val="center"/>
          </w:tcPr>
          <w:p w14:paraId="59DCD9AB"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0.3</w:t>
            </w:r>
          </w:p>
        </w:tc>
        <w:tc>
          <w:tcPr>
            <w:tcW w:w="1573" w:type="dxa"/>
            <w:vAlign w:val="center"/>
          </w:tcPr>
          <w:p w14:paraId="59DCD9AC"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1.0</w:t>
            </w:r>
          </w:p>
        </w:tc>
        <w:tc>
          <w:tcPr>
            <w:tcW w:w="1633" w:type="dxa"/>
            <w:vAlign w:val="center"/>
          </w:tcPr>
          <w:p w14:paraId="59DCD9AD"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1.0</w:t>
            </w:r>
          </w:p>
        </w:tc>
      </w:tr>
      <w:tr w:rsidR="00BE3AA8" w:rsidRPr="00D93FF9" w14:paraId="59DCD9B4" w14:textId="77777777" w:rsidTr="00D908AB">
        <w:trPr>
          <w:trHeight w:val="299"/>
        </w:trPr>
        <w:tc>
          <w:tcPr>
            <w:tcW w:w="2037" w:type="dxa"/>
          </w:tcPr>
          <w:p w14:paraId="59DCD9AF" w14:textId="77777777" w:rsidR="00A30CFD" w:rsidRPr="00D93FF9" w:rsidRDefault="00E811B8" w:rsidP="00174737">
            <w:pPr>
              <w:pStyle w:val="ListParagraph"/>
              <w:tabs>
                <w:tab w:val="left" w:pos="217"/>
              </w:tabs>
              <w:spacing w:before="0" w:after="0" w:line="266" w:lineRule="auto"/>
              <w:ind w:left="0"/>
              <w:jc w:val="both"/>
              <w:rPr>
                <w:rFonts w:ascii="Arial" w:hAnsi="Arial" w:cs="Arial"/>
                <w:sz w:val="16"/>
                <w:szCs w:val="16"/>
                <w:lang w:val="en-GB"/>
              </w:rPr>
            </w:pPr>
            <w:r w:rsidRPr="00D93FF9">
              <w:rPr>
                <w:rFonts w:ascii="Arial" w:hAnsi="Arial" w:cs="Arial"/>
                <w:sz w:val="16"/>
                <w:szCs w:val="16"/>
                <w:lang w:val="en-GB"/>
              </w:rPr>
              <w:t>Simazine</w:t>
            </w:r>
          </w:p>
        </w:tc>
        <w:tc>
          <w:tcPr>
            <w:tcW w:w="1632" w:type="dxa"/>
            <w:vAlign w:val="center"/>
          </w:tcPr>
          <w:p w14:paraId="59DCD9B0"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1</w:t>
            </w:r>
          </w:p>
        </w:tc>
        <w:tc>
          <w:tcPr>
            <w:tcW w:w="1633" w:type="dxa"/>
            <w:vAlign w:val="center"/>
          </w:tcPr>
          <w:p w14:paraId="59DCD9B1"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1</w:t>
            </w:r>
          </w:p>
        </w:tc>
        <w:tc>
          <w:tcPr>
            <w:tcW w:w="1573" w:type="dxa"/>
            <w:vAlign w:val="center"/>
          </w:tcPr>
          <w:p w14:paraId="59DCD9B2"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4</w:t>
            </w:r>
          </w:p>
        </w:tc>
        <w:tc>
          <w:tcPr>
            <w:tcW w:w="1633" w:type="dxa"/>
            <w:vAlign w:val="center"/>
          </w:tcPr>
          <w:p w14:paraId="59DCD9B3"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4</w:t>
            </w:r>
          </w:p>
        </w:tc>
      </w:tr>
      <w:tr w:rsidR="00BE3AA8" w:rsidRPr="00D93FF9" w14:paraId="59DCD9BA" w14:textId="77777777" w:rsidTr="00D908AB">
        <w:trPr>
          <w:trHeight w:val="299"/>
        </w:trPr>
        <w:tc>
          <w:tcPr>
            <w:tcW w:w="2037" w:type="dxa"/>
          </w:tcPr>
          <w:p w14:paraId="59DCD9B5" w14:textId="77777777" w:rsidR="00A30CFD" w:rsidRPr="00D93FF9" w:rsidRDefault="00E811B8" w:rsidP="00174737">
            <w:pPr>
              <w:pStyle w:val="ListParagraph"/>
              <w:tabs>
                <w:tab w:val="left" w:pos="217"/>
              </w:tabs>
              <w:spacing w:before="0" w:after="0" w:line="266" w:lineRule="auto"/>
              <w:ind w:left="0"/>
              <w:jc w:val="both"/>
              <w:rPr>
                <w:rFonts w:ascii="Arial" w:hAnsi="Arial" w:cs="Arial"/>
                <w:sz w:val="16"/>
                <w:szCs w:val="16"/>
                <w:lang w:val="en-GB"/>
              </w:rPr>
            </w:pPr>
            <w:r w:rsidRPr="00D93FF9">
              <w:rPr>
                <w:rFonts w:ascii="Arial" w:hAnsi="Arial" w:cs="Arial"/>
                <w:sz w:val="16"/>
                <w:szCs w:val="16"/>
                <w:lang w:val="en-GB"/>
              </w:rPr>
              <w:t>Trifluralin</w:t>
            </w:r>
          </w:p>
        </w:tc>
        <w:tc>
          <w:tcPr>
            <w:tcW w:w="1632" w:type="dxa"/>
            <w:vAlign w:val="center"/>
          </w:tcPr>
          <w:p w14:paraId="59DCD9B6"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0.03</w:t>
            </w:r>
          </w:p>
        </w:tc>
        <w:tc>
          <w:tcPr>
            <w:tcW w:w="1633" w:type="dxa"/>
            <w:vAlign w:val="center"/>
          </w:tcPr>
          <w:p w14:paraId="59DCD9B7"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0.03</w:t>
            </w:r>
          </w:p>
        </w:tc>
        <w:tc>
          <w:tcPr>
            <w:tcW w:w="1573" w:type="dxa"/>
            <w:vAlign w:val="center"/>
          </w:tcPr>
          <w:p w14:paraId="59DCD9B8"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NA</w:t>
            </w:r>
          </w:p>
        </w:tc>
        <w:tc>
          <w:tcPr>
            <w:tcW w:w="1633" w:type="dxa"/>
            <w:vAlign w:val="center"/>
          </w:tcPr>
          <w:p w14:paraId="59DCD9B9" w14:textId="77777777" w:rsidR="00A30CFD" w:rsidRPr="00D93FF9" w:rsidRDefault="00E811B8" w:rsidP="002201B6">
            <w:pPr>
              <w:pStyle w:val="ListParagraph"/>
              <w:tabs>
                <w:tab w:val="left" w:pos="217"/>
              </w:tabs>
              <w:spacing w:before="0" w:after="0" w:line="266" w:lineRule="auto"/>
              <w:ind w:left="0"/>
              <w:jc w:val="center"/>
              <w:rPr>
                <w:rFonts w:ascii="Arial" w:hAnsi="Arial" w:cs="Arial"/>
                <w:sz w:val="16"/>
                <w:szCs w:val="16"/>
                <w:lang w:val="en-GB"/>
              </w:rPr>
            </w:pPr>
            <w:r w:rsidRPr="00D93FF9">
              <w:rPr>
                <w:rFonts w:ascii="Arial" w:hAnsi="Arial" w:cs="Arial"/>
                <w:sz w:val="16"/>
                <w:szCs w:val="16"/>
                <w:lang w:val="en-GB"/>
              </w:rPr>
              <w:t>NA</w:t>
            </w:r>
          </w:p>
        </w:tc>
      </w:tr>
    </w:tbl>
    <w:p w14:paraId="59DCD9BB" w14:textId="77777777" w:rsidR="00223070" w:rsidRPr="00D93FF9" w:rsidRDefault="00E811B8" w:rsidP="003807A1">
      <w:pPr>
        <w:pStyle w:val="ListParagraph"/>
        <w:tabs>
          <w:tab w:val="left" w:pos="217"/>
        </w:tabs>
        <w:spacing w:after="0" w:line="266" w:lineRule="auto"/>
        <w:ind w:left="0"/>
        <w:jc w:val="both"/>
        <w:rPr>
          <w:sz w:val="18"/>
          <w:szCs w:val="18"/>
          <w:lang w:val="en-GB"/>
        </w:rPr>
      </w:pPr>
      <w:r w:rsidRPr="00D93FF9">
        <w:rPr>
          <w:sz w:val="18"/>
          <w:szCs w:val="18"/>
          <w:vertAlign w:val="superscript"/>
          <w:lang w:val="en-GB"/>
        </w:rPr>
        <w:t>¥</w:t>
      </w:r>
      <w:r w:rsidRPr="00D93FF9">
        <w:rPr>
          <w:sz w:val="18"/>
          <w:szCs w:val="18"/>
          <w:lang w:val="en-GB"/>
        </w:rPr>
        <w:t>AA: annual average (µg/L)</w:t>
      </w:r>
    </w:p>
    <w:p w14:paraId="59DCD9BC" w14:textId="77777777" w:rsidR="00C609D8" w:rsidRPr="00D93FF9" w:rsidRDefault="00E811B8" w:rsidP="003807A1">
      <w:pPr>
        <w:pStyle w:val="ListParagraph"/>
        <w:tabs>
          <w:tab w:val="left" w:pos="217"/>
        </w:tabs>
        <w:spacing w:after="0" w:line="266" w:lineRule="auto"/>
        <w:ind w:left="0"/>
        <w:jc w:val="both"/>
        <w:rPr>
          <w:sz w:val="18"/>
          <w:szCs w:val="18"/>
          <w:lang w:val="en-GB"/>
        </w:rPr>
      </w:pPr>
      <w:r w:rsidRPr="00D93FF9">
        <w:rPr>
          <w:sz w:val="18"/>
          <w:szCs w:val="18"/>
          <w:lang w:val="en-GB"/>
        </w:rPr>
        <w:t>*MAC: maximum allowable concentration (µg/L)</w:t>
      </w:r>
    </w:p>
    <w:p w14:paraId="59DCD9BD" w14:textId="77777777" w:rsidR="00223070" w:rsidRPr="00D93FF9" w:rsidRDefault="00223070" w:rsidP="00174737">
      <w:pPr>
        <w:pStyle w:val="ListParagraph"/>
        <w:tabs>
          <w:tab w:val="left" w:pos="217"/>
        </w:tabs>
        <w:spacing w:after="0" w:line="266" w:lineRule="auto"/>
        <w:ind w:left="0"/>
        <w:jc w:val="both"/>
        <w:rPr>
          <w:lang w:val="en-GB"/>
        </w:rPr>
      </w:pPr>
    </w:p>
    <w:p w14:paraId="59DCD9BE" w14:textId="77777777" w:rsidR="00C46175" w:rsidRPr="00D93FF9" w:rsidRDefault="00E811B8" w:rsidP="00992F66">
      <w:pPr>
        <w:pStyle w:val="Heading3"/>
        <w:rPr>
          <w:lang w:val="en-GB"/>
        </w:rPr>
      </w:pPr>
      <w:bookmarkStart w:id="329" w:name="_Toc96693607"/>
      <w:r w:rsidRPr="00D93FF9">
        <w:rPr>
          <w:lang w:val="en-GB"/>
        </w:rPr>
        <w:t>Description</w:t>
      </w:r>
      <w:bookmarkEnd w:id="329"/>
    </w:p>
    <w:p w14:paraId="59DCD9BF" w14:textId="2BD703C8" w:rsidR="00C46175" w:rsidRPr="00D93FF9" w:rsidRDefault="00E811B8" w:rsidP="003807A1">
      <w:pPr>
        <w:pStyle w:val="BodyText"/>
        <w:spacing w:after="0" w:line="266" w:lineRule="auto"/>
        <w:jc w:val="both"/>
        <w:rPr>
          <w:lang w:val="en-GB"/>
        </w:rPr>
      </w:pPr>
      <w:r w:rsidRPr="00D93FF9">
        <w:rPr>
          <w:lang w:val="en-GB"/>
        </w:rPr>
        <w:t>The presence of pesticide residues in waters has become an issue of public concern in recent years. In waters used for irrigation, issues concerning potentially harmful impacts include not only those to crops and pastures under irrigation, but also to the health of human consumers and to aquatic ecosystems receiving drainage waters. There is currently very limited scientific information on pesticide levels in irrigation waters and their likely impacts.</w:t>
      </w:r>
      <w:r w:rsidR="001C0CA3" w:rsidRPr="00D93FF9">
        <w:rPr>
          <w:lang w:val="en-GB"/>
        </w:rPr>
        <w:t xml:space="preserve"> There is however a wealth of information on pesticide residues in surface and groundwaters worldwide. </w:t>
      </w:r>
      <w:r w:rsidR="004951D3" w:rsidRPr="00D93FF9">
        <w:rPr>
          <w:lang w:val="en-GB"/>
        </w:rPr>
        <w:t xml:space="preserve">In </w:t>
      </w:r>
      <w:r w:rsidR="001A586E" w:rsidRPr="00D93FF9">
        <w:rPr>
          <w:lang w:val="en-GB"/>
        </w:rPr>
        <w:t xml:space="preserve">Australia, in </w:t>
      </w:r>
      <w:r w:rsidR="004951D3" w:rsidRPr="00D93FF9">
        <w:rPr>
          <w:lang w:val="en-GB"/>
        </w:rPr>
        <w:t xml:space="preserve">a survey </w:t>
      </w:r>
      <w:r w:rsidR="007F6711" w:rsidRPr="00D93FF9">
        <w:rPr>
          <w:lang w:val="en-GB"/>
        </w:rPr>
        <w:t xml:space="preserve">of surface water quality </w:t>
      </w:r>
      <w:r w:rsidR="004951D3" w:rsidRPr="00D93FF9">
        <w:rPr>
          <w:lang w:val="en-GB"/>
        </w:rPr>
        <w:t>across 73 sites, pesticide residues were detected in 28% of the</w:t>
      </w:r>
      <w:r w:rsidR="00DA6680" w:rsidRPr="00D93FF9">
        <w:rPr>
          <w:lang w:val="en-GB"/>
        </w:rPr>
        <w:t xml:space="preserve"> water</w:t>
      </w:r>
      <w:r w:rsidR="004951D3" w:rsidRPr="00D93FF9">
        <w:rPr>
          <w:lang w:val="en-GB"/>
        </w:rPr>
        <w:t xml:space="preserve"> samples (along with a range of </w:t>
      </w:r>
      <w:r w:rsidR="007F6711" w:rsidRPr="00D93FF9">
        <w:rPr>
          <w:lang w:val="en-GB"/>
        </w:rPr>
        <w:t xml:space="preserve">personal care and pharmaceutical products) (Scott et al. 2014). </w:t>
      </w:r>
      <w:r w:rsidR="0081064D" w:rsidRPr="00D93FF9">
        <w:rPr>
          <w:lang w:val="en-GB"/>
        </w:rPr>
        <w:t>Herbicides have been found to be the most commonly occurring pollutants found in the Great Barrier Reef marine environment</w:t>
      </w:r>
      <w:r w:rsidR="001A586E" w:rsidRPr="00D93FF9">
        <w:rPr>
          <w:lang w:val="en-GB"/>
        </w:rPr>
        <w:t xml:space="preserve"> </w:t>
      </w:r>
      <w:r w:rsidR="00F24D0E" w:rsidRPr="00D93FF9">
        <w:rPr>
          <w:lang w:val="en-GB"/>
        </w:rPr>
        <w:t xml:space="preserve">as a result of runoff from agricultural areas </w:t>
      </w:r>
      <w:r w:rsidR="001A586E" w:rsidRPr="00D93FF9">
        <w:rPr>
          <w:lang w:val="en-GB"/>
        </w:rPr>
        <w:t xml:space="preserve">(Thorburn et al. 2013). </w:t>
      </w:r>
    </w:p>
    <w:p w14:paraId="59DCD9C0" w14:textId="11F6BE71" w:rsidR="00C46175" w:rsidRPr="00D93FF9" w:rsidRDefault="00E811B8" w:rsidP="003807A1">
      <w:pPr>
        <w:pStyle w:val="BodyText"/>
        <w:spacing w:after="0" w:line="266" w:lineRule="auto"/>
        <w:jc w:val="both"/>
        <w:rPr>
          <w:lang w:val="en-GB"/>
        </w:rPr>
      </w:pPr>
      <w:r w:rsidRPr="00D93FF9">
        <w:rPr>
          <w:lang w:val="en-GB"/>
        </w:rPr>
        <w:t>Pesticides are mainly organic compounds, or in some cases organo-metallic compounds</w:t>
      </w:r>
      <w:r w:rsidR="00DA6680" w:rsidRPr="00D93FF9">
        <w:rPr>
          <w:lang w:val="en-GB"/>
        </w:rPr>
        <w:t xml:space="preserve"> (eg </w:t>
      </w:r>
      <w:r w:rsidR="008D3DD6" w:rsidRPr="00D93FF9">
        <w:rPr>
          <w:lang w:val="en-GB"/>
        </w:rPr>
        <w:t>arsenic pesticides although their use is now prohibited in most countries</w:t>
      </w:r>
      <w:r w:rsidR="00DA6680" w:rsidRPr="00D93FF9">
        <w:rPr>
          <w:lang w:val="en-GB"/>
        </w:rPr>
        <w:t>)</w:t>
      </w:r>
      <w:r w:rsidRPr="00D93FF9">
        <w:rPr>
          <w:lang w:val="en-GB"/>
        </w:rPr>
        <w:t>, and are categorised according to their intended use; as insecticides (controlling insect pests), herbicides (controlling weeds), fungicides (control of fungal pests)</w:t>
      </w:r>
      <w:r w:rsidR="008D3DD6" w:rsidRPr="00D93FF9">
        <w:rPr>
          <w:lang w:val="en-GB"/>
        </w:rPr>
        <w:t xml:space="preserve"> or</w:t>
      </w:r>
      <w:r w:rsidR="001C0CA3" w:rsidRPr="00D93FF9">
        <w:rPr>
          <w:lang w:val="en-GB"/>
        </w:rPr>
        <w:t xml:space="preserve"> nematicides (control</w:t>
      </w:r>
      <w:r w:rsidR="00DA6680" w:rsidRPr="00D93FF9">
        <w:rPr>
          <w:lang w:val="en-GB"/>
        </w:rPr>
        <w:t>ling</w:t>
      </w:r>
      <w:r w:rsidR="001C0CA3" w:rsidRPr="00D93FF9">
        <w:rPr>
          <w:lang w:val="en-GB"/>
        </w:rPr>
        <w:t xml:space="preserve"> nematodes)</w:t>
      </w:r>
      <w:r w:rsidRPr="00D93FF9">
        <w:rPr>
          <w:lang w:val="en-GB"/>
        </w:rPr>
        <w:t xml:space="preserve">. </w:t>
      </w:r>
      <w:r w:rsidR="008D3DD6" w:rsidRPr="00D93FF9">
        <w:rPr>
          <w:lang w:val="en-GB"/>
        </w:rPr>
        <w:t xml:space="preserve">Pesticides encompass a broad range of natural and synthetic compounds of widely differing chemical composition. </w:t>
      </w:r>
      <w:r w:rsidRPr="00D93FF9">
        <w:rPr>
          <w:lang w:val="en-GB"/>
        </w:rPr>
        <w:t xml:space="preserve">Each category of pesticide is often grouped into classes of chemically similar compounds; for example, the organochlorine and organophosphate insecticides, </w:t>
      </w:r>
      <w:r w:rsidR="008D3DD6" w:rsidRPr="00D93FF9">
        <w:rPr>
          <w:lang w:val="en-GB"/>
        </w:rPr>
        <w:t>pyrethroids, triazines, triazoles, neonicotinoids</w:t>
      </w:r>
      <w:r w:rsidRPr="00D93FF9">
        <w:rPr>
          <w:lang w:val="en-GB"/>
        </w:rPr>
        <w:t>.</w:t>
      </w:r>
      <w:r w:rsidR="002775FA" w:rsidRPr="00D93FF9">
        <w:rPr>
          <w:lang w:val="en-GB"/>
        </w:rPr>
        <w:t xml:space="preserve"> </w:t>
      </w:r>
    </w:p>
    <w:p w14:paraId="59DCD9C1" w14:textId="527CB1D2" w:rsidR="00C46175" w:rsidRPr="00D93FF9" w:rsidRDefault="00E811B8" w:rsidP="003807A1">
      <w:pPr>
        <w:pStyle w:val="BodyText"/>
        <w:spacing w:after="0" w:line="266" w:lineRule="auto"/>
        <w:jc w:val="both"/>
        <w:rPr>
          <w:lang w:val="en-GB"/>
        </w:rPr>
      </w:pPr>
      <w:r w:rsidRPr="00D93FF9">
        <w:rPr>
          <w:lang w:val="en-GB"/>
        </w:rPr>
        <w:t xml:space="preserve">All are screened for health and environmental effects prior to registration for use. </w:t>
      </w:r>
      <w:r w:rsidR="00872FE7" w:rsidRPr="00D93FF9">
        <w:t>Agricultural chemical products must be registered by the Australian Pesticides and Veterinary Medicines Authority (APVMA) prior to use in Australia</w:t>
      </w:r>
      <w:r w:rsidR="00E40EC5" w:rsidRPr="00D93FF9">
        <w:t xml:space="preserve"> or by the Environmental Protection Authority and Ministry for Primary Industries in New Zealand</w:t>
      </w:r>
      <w:r w:rsidR="00872FE7" w:rsidRPr="00D93FF9">
        <w:t xml:space="preserve">. Information about registered products and molecules can be obtained on the databases Pubcris or Infopest. </w:t>
      </w:r>
      <w:r w:rsidRPr="00D93FF9">
        <w:rPr>
          <w:lang w:val="en-GB"/>
        </w:rPr>
        <w:t xml:space="preserve">The use of pesticides for crop protection varies </w:t>
      </w:r>
      <w:r w:rsidRPr="00D93FF9">
        <w:rPr>
          <w:lang w:val="en-GB"/>
        </w:rPr>
        <w:lastRenderedPageBreak/>
        <w:t xml:space="preserve">depending on the nature of the cropping or pasture system, crop value, pest pressure, environmental conditions and industry culture (Schofield </w:t>
      </w:r>
      <w:r w:rsidR="00FA6E9E" w:rsidRPr="00D93FF9">
        <w:rPr>
          <w:lang w:val="en-GB"/>
        </w:rPr>
        <w:t>and</w:t>
      </w:r>
      <w:r w:rsidRPr="00D93FF9">
        <w:rPr>
          <w:lang w:val="en-GB"/>
        </w:rPr>
        <w:t xml:space="preserve"> Simpson</w:t>
      </w:r>
      <w:r w:rsidRPr="00D93FF9">
        <w:rPr>
          <w:spacing w:val="-5"/>
          <w:lang w:val="en-GB"/>
        </w:rPr>
        <w:t xml:space="preserve"> </w:t>
      </w:r>
      <w:r w:rsidRPr="00D93FF9">
        <w:rPr>
          <w:lang w:val="en-GB"/>
        </w:rPr>
        <w:t>1996).</w:t>
      </w:r>
    </w:p>
    <w:p w14:paraId="59DCD9C2" w14:textId="382EEE5D" w:rsidR="00C46175" w:rsidRPr="00D93FF9" w:rsidRDefault="00E811B8" w:rsidP="003807A1">
      <w:pPr>
        <w:pStyle w:val="BodyText"/>
        <w:spacing w:after="0" w:line="266" w:lineRule="auto"/>
        <w:jc w:val="both"/>
        <w:rPr>
          <w:lang w:val="en-GB"/>
        </w:rPr>
      </w:pPr>
      <w:r w:rsidRPr="00D93FF9">
        <w:rPr>
          <w:lang w:val="en-GB"/>
        </w:rPr>
        <w:t xml:space="preserve">Pesticide residues </w:t>
      </w:r>
      <w:r w:rsidR="00B6156F" w:rsidRPr="00D93FF9">
        <w:rPr>
          <w:lang w:val="en-GB"/>
        </w:rPr>
        <w:t>are ubiquitous in the environment</w:t>
      </w:r>
      <w:r w:rsidRPr="00D93FF9">
        <w:rPr>
          <w:lang w:val="en-GB"/>
        </w:rPr>
        <w:t>, as a result of direct application (e.g. for weed control); careless use or disposal of pesticides and their containers; aerial drift and wind erosion; transport in runoff waters (Hunter 1992</w:t>
      </w:r>
      <w:r w:rsidR="002112B9" w:rsidRPr="00D93FF9">
        <w:rPr>
          <w:lang w:val="en-GB"/>
        </w:rPr>
        <w:t>;</w:t>
      </w:r>
      <w:r w:rsidRPr="00D93FF9">
        <w:rPr>
          <w:lang w:val="en-GB"/>
        </w:rPr>
        <w:t xml:space="preserve"> CCREM 1987</w:t>
      </w:r>
      <w:r w:rsidR="002112B9" w:rsidRPr="00D93FF9">
        <w:rPr>
          <w:lang w:val="en-GB"/>
        </w:rPr>
        <w:t>;</w:t>
      </w:r>
      <w:r w:rsidRPr="00D93FF9">
        <w:rPr>
          <w:lang w:val="en-GB"/>
        </w:rPr>
        <w:t xml:space="preserve"> Schofield </w:t>
      </w:r>
      <w:r w:rsidR="00FA6E9E" w:rsidRPr="00D93FF9">
        <w:rPr>
          <w:lang w:val="en-GB"/>
        </w:rPr>
        <w:t>and</w:t>
      </w:r>
      <w:r w:rsidRPr="00D93FF9">
        <w:rPr>
          <w:lang w:val="en-GB"/>
        </w:rPr>
        <w:t xml:space="preserve"> Simpson 1996)</w:t>
      </w:r>
      <w:r w:rsidR="00B6156F" w:rsidRPr="00D93FF9">
        <w:rPr>
          <w:lang w:val="en-GB"/>
        </w:rPr>
        <w:t xml:space="preserve"> and groundwaters</w:t>
      </w:r>
      <w:r w:rsidRPr="00D93FF9">
        <w:rPr>
          <w:lang w:val="en-GB"/>
        </w:rPr>
        <w:t xml:space="preserve">. </w:t>
      </w:r>
      <w:r w:rsidR="000E0902" w:rsidRPr="00D93FF9">
        <w:rPr>
          <w:lang w:val="en-GB"/>
        </w:rPr>
        <w:t>In runoff waters, pesticides can be mobilised either under soluble form or sorbed on soil and colloidal particles</w:t>
      </w:r>
      <w:r w:rsidR="00DA6680" w:rsidRPr="00D93FF9">
        <w:rPr>
          <w:lang w:val="en-GB"/>
        </w:rPr>
        <w:t xml:space="preserve"> (Oliver et al. 2012)</w:t>
      </w:r>
      <w:r w:rsidRPr="00D93FF9">
        <w:rPr>
          <w:lang w:val="en-GB"/>
        </w:rPr>
        <w:t xml:space="preserve">. Leaching of pesticide residues to groundwaters can occur, with the extent of leaching dependent on </w:t>
      </w:r>
      <w:r w:rsidR="00104B56" w:rsidRPr="00D93FF9">
        <w:rPr>
          <w:lang w:val="en-GB"/>
        </w:rPr>
        <w:t xml:space="preserve">a range of factors such as </w:t>
      </w:r>
      <w:r w:rsidRPr="00D93FF9">
        <w:rPr>
          <w:lang w:val="en-GB"/>
        </w:rPr>
        <w:t xml:space="preserve">the chemical and physical properties of both the pesticide </w:t>
      </w:r>
      <w:r w:rsidR="00F97A3A" w:rsidRPr="00D93FF9">
        <w:rPr>
          <w:lang w:val="en-GB"/>
        </w:rPr>
        <w:t>(K</w:t>
      </w:r>
      <w:r w:rsidR="004951D3" w:rsidRPr="00D93FF9">
        <w:rPr>
          <w:vertAlign w:val="subscript"/>
          <w:lang w:val="en-GB"/>
        </w:rPr>
        <w:t>OC</w:t>
      </w:r>
      <w:r w:rsidR="00F97A3A" w:rsidRPr="00D93FF9">
        <w:rPr>
          <w:lang w:val="en-GB"/>
        </w:rPr>
        <w:t>, K</w:t>
      </w:r>
      <w:r w:rsidR="004951D3" w:rsidRPr="00D93FF9">
        <w:rPr>
          <w:vertAlign w:val="subscript"/>
          <w:lang w:val="en-GB"/>
        </w:rPr>
        <w:t>OW</w:t>
      </w:r>
      <w:r w:rsidR="00F97A3A" w:rsidRPr="00D93FF9">
        <w:rPr>
          <w:lang w:val="en-GB"/>
        </w:rPr>
        <w:t xml:space="preserve">, </w:t>
      </w:r>
      <w:r w:rsidR="00A220BF" w:rsidRPr="00D93FF9">
        <w:rPr>
          <w:lang w:val="en-GB"/>
        </w:rPr>
        <w:t xml:space="preserve">pKa, </w:t>
      </w:r>
      <w:r w:rsidR="00F97A3A" w:rsidRPr="00D93FF9">
        <w:rPr>
          <w:lang w:val="en-GB"/>
        </w:rPr>
        <w:t>solubility in water)</w:t>
      </w:r>
      <w:r w:rsidR="001C10C0" w:rsidRPr="00D93FF9">
        <w:rPr>
          <w:lang w:val="en-GB"/>
        </w:rPr>
        <w:t xml:space="preserve">, </w:t>
      </w:r>
      <w:r w:rsidRPr="00D93FF9">
        <w:rPr>
          <w:lang w:val="en-GB"/>
        </w:rPr>
        <w:t>the soil</w:t>
      </w:r>
      <w:r w:rsidR="00F97A3A" w:rsidRPr="00D93FF9">
        <w:rPr>
          <w:lang w:val="en-GB"/>
        </w:rPr>
        <w:t xml:space="preserve"> (organic matter </w:t>
      </w:r>
      <w:r w:rsidR="00A220BF" w:rsidRPr="00D93FF9">
        <w:rPr>
          <w:lang w:val="en-GB"/>
        </w:rPr>
        <w:t xml:space="preserve">nature and </w:t>
      </w:r>
      <w:r w:rsidR="00F97A3A" w:rsidRPr="00D93FF9">
        <w:rPr>
          <w:lang w:val="en-GB"/>
        </w:rPr>
        <w:t>content, porosity</w:t>
      </w:r>
      <w:r w:rsidR="004951D3" w:rsidRPr="00D93FF9">
        <w:rPr>
          <w:lang w:val="en-GB"/>
        </w:rPr>
        <w:t>)</w:t>
      </w:r>
      <w:r w:rsidR="00F97A3A" w:rsidRPr="00D93FF9">
        <w:rPr>
          <w:lang w:val="en-GB"/>
        </w:rPr>
        <w:t xml:space="preserve"> the rainfall regime</w:t>
      </w:r>
      <w:r w:rsidR="00104B56" w:rsidRPr="00D93FF9">
        <w:rPr>
          <w:lang w:val="en-GB"/>
        </w:rPr>
        <w:t xml:space="preserve"> (volume and intensity of rainfall events</w:t>
      </w:r>
      <w:r w:rsidR="005D7A7A" w:rsidRPr="00D93FF9">
        <w:rPr>
          <w:lang w:val="en-GB"/>
        </w:rPr>
        <w:t xml:space="preserve"> – McGrath et al. 2010</w:t>
      </w:r>
      <w:r w:rsidR="00104B56" w:rsidRPr="00D93FF9">
        <w:rPr>
          <w:lang w:val="en-GB"/>
        </w:rPr>
        <w:t>)</w:t>
      </w:r>
      <w:r w:rsidRPr="00D93FF9">
        <w:rPr>
          <w:lang w:val="en-GB"/>
        </w:rPr>
        <w:t>. Residues of several pesticides, notably the herbicide atrazine, have been found in surveys of some Australian groundwaters, (Keating et al. 1996</w:t>
      </w:r>
      <w:r w:rsidR="004045AD" w:rsidRPr="00D93FF9">
        <w:rPr>
          <w:lang w:val="en-GB"/>
        </w:rPr>
        <w:t>;</w:t>
      </w:r>
      <w:r w:rsidRPr="00D93FF9">
        <w:rPr>
          <w:lang w:val="en-GB"/>
        </w:rPr>
        <w:t xml:space="preserve"> Schofield </w:t>
      </w:r>
      <w:r w:rsidR="00FA6E9E" w:rsidRPr="00D93FF9">
        <w:rPr>
          <w:lang w:val="en-GB"/>
        </w:rPr>
        <w:t>and</w:t>
      </w:r>
      <w:r w:rsidRPr="00D93FF9">
        <w:rPr>
          <w:lang w:val="en-GB"/>
        </w:rPr>
        <w:t xml:space="preserve"> Simpson 1996</w:t>
      </w:r>
      <w:r w:rsidR="004045AD" w:rsidRPr="00D93FF9">
        <w:rPr>
          <w:lang w:val="en-GB"/>
        </w:rPr>
        <w:t>;</w:t>
      </w:r>
      <w:r w:rsidR="007F0A7C" w:rsidRPr="00D93FF9">
        <w:rPr>
          <w:lang w:val="en-GB"/>
        </w:rPr>
        <w:t xml:space="preserve"> </w:t>
      </w:r>
      <w:r w:rsidR="0050384C" w:rsidRPr="00D93FF9">
        <w:rPr>
          <w:lang w:val="en-GB"/>
        </w:rPr>
        <w:t>Shaw et al. 2012</w:t>
      </w:r>
      <w:r w:rsidRPr="00D93FF9">
        <w:rPr>
          <w:lang w:val="en-GB"/>
        </w:rPr>
        <w:t>).</w:t>
      </w:r>
    </w:p>
    <w:p w14:paraId="59DCD9C3" w14:textId="0442C816" w:rsidR="00C46175" w:rsidRPr="00D93FF9" w:rsidRDefault="00E811B8" w:rsidP="00174737">
      <w:pPr>
        <w:pStyle w:val="BodyText"/>
        <w:spacing w:after="0" w:line="266" w:lineRule="auto"/>
        <w:jc w:val="both"/>
        <w:rPr>
          <w:rFonts w:ascii="Arial"/>
          <w:sz w:val="20"/>
          <w:lang w:val="en-GB"/>
        </w:rPr>
      </w:pPr>
      <w:r w:rsidRPr="00D93FF9">
        <w:rPr>
          <w:lang w:val="en-GB"/>
        </w:rPr>
        <w:t xml:space="preserve">Many factors influence the persistence of pesticide residues in </w:t>
      </w:r>
      <w:r w:rsidR="00872FE7" w:rsidRPr="00D93FF9">
        <w:rPr>
          <w:lang w:val="en-GB"/>
        </w:rPr>
        <w:t>the soil/plant</w:t>
      </w:r>
      <w:r w:rsidR="00FB1AA6" w:rsidRPr="00D93FF9">
        <w:rPr>
          <w:lang w:val="en-GB"/>
        </w:rPr>
        <w:t>/</w:t>
      </w:r>
      <w:r w:rsidR="007350EF" w:rsidRPr="00D93FF9">
        <w:rPr>
          <w:lang w:val="en-GB"/>
        </w:rPr>
        <w:t>aquatic</w:t>
      </w:r>
      <w:r w:rsidRPr="00D93FF9">
        <w:rPr>
          <w:lang w:val="en-GB"/>
        </w:rPr>
        <w:t xml:space="preserve"> environment, including processes such as decomposition by sunlight, chemical transformation and microbial decomposition. Residues of some persistent organochlorines, such as DDT and dieldrin, can still be found in the environment although they were withdrawn from use, or have had restricted use in Australian agriculture </w:t>
      </w:r>
      <w:r w:rsidR="00600B65" w:rsidRPr="00D93FF9">
        <w:rPr>
          <w:lang w:val="en-GB"/>
        </w:rPr>
        <w:t xml:space="preserve">and in other regions around the world </w:t>
      </w:r>
      <w:r w:rsidRPr="00D93FF9">
        <w:rPr>
          <w:lang w:val="en-GB"/>
        </w:rPr>
        <w:t xml:space="preserve">for decades (Schofield </w:t>
      </w:r>
      <w:r w:rsidR="00FA6E9E" w:rsidRPr="00D93FF9">
        <w:rPr>
          <w:lang w:val="en-GB"/>
        </w:rPr>
        <w:t>and</w:t>
      </w:r>
      <w:r w:rsidRPr="00D93FF9">
        <w:rPr>
          <w:lang w:val="en-GB"/>
        </w:rPr>
        <w:t xml:space="preserve"> Simpson</w:t>
      </w:r>
      <w:r w:rsidRPr="00D93FF9">
        <w:rPr>
          <w:spacing w:val="7"/>
          <w:lang w:val="en-GB"/>
        </w:rPr>
        <w:t xml:space="preserve"> </w:t>
      </w:r>
      <w:r w:rsidRPr="00D93FF9">
        <w:rPr>
          <w:lang w:val="en-GB"/>
        </w:rPr>
        <w:t>1996</w:t>
      </w:r>
      <w:r w:rsidR="00600B65" w:rsidRPr="00D93FF9">
        <w:rPr>
          <w:lang w:val="en-GB"/>
        </w:rPr>
        <w:t>;</w:t>
      </w:r>
      <w:r w:rsidR="00655108" w:rsidRPr="00D93FF9">
        <w:rPr>
          <w:lang w:val="en-GB"/>
        </w:rPr>
        <w:t xml:space="preserve"> Weaver et al. 2012</w:t>
      </w:r>
      <w:r w:rsidRPr="00D93FF9">
        <w:rPr>
          <w:lang w:val="en-GB"/>
        </w:rPr>
        <w:t>).</w:t>
      </w:r>
      <w:r w:rsidR="00655108" w:rsidRPr="00D93FF9">
        <w:rPr>
          <w:lang w:val="en-GB"/>
        </w:rPr>
        <w:t xml:space="preserve"> </w:t>
      </w:r>
      <w:bookmarkStart w:id="330" w:name="9.2.7.2__Derivation_of_guidelines"/>
      <w:bookmarkStart w:id="331" w:name="9.2.8__Radiological_quality"/>
      <w:bookmarkStart w:id="332" w:name="9.2.8.1__Description"/>
      <w:bookmarkEnd w:id="330"/>
      <w:bookmarkEnd w:id="331"/>
      <w:bookmarkEnd w:id="332"/>
    </w:p>
    <w:p w14:paraId="59DCD9C4" w14:textId="77777777" w:rsidR="00C46175" w:rsidRPr="00D93FF9" w:rsidRDefault="00C46175" w:rsidP="003807A1">
      <w:pPr>
        <w:pStyle w:val="BodyText"/>
        <w:spacing w:after="0"/>
        <w:rPr>
          <w:rFonts w:ascii="Arial"/>
          <w:sz w:val="15"/>
          <w:lang w:val="en-GB"/>
        </w:rPr>
      </w:pPr>
    </w:p>
    <w:p w14:paraId="59DCD9C5" w14:textId="77777777" w:rsidR="00C46175" w:rsidRPr="00D93FF9" w:rsidRDefault="00E811B8" w:rsidP="00992F66">
      <w:pPr>
        <w:pStyle w:val="Heading3"/>
        <w:rPr>
          <w:lang w:val="en-GB"/>
        </w:rPr>
      </w:pPr>
      <w:bookmarkStart w:id="333" w:name="_Toc96693608"/>
      <w:r w:rsidRPr="00D93FF9">
        <w:rPr>
          <w:lang w:val="en-GB"/>
        </w:rPr>
        <w:t>Derivation of</w:t>
      </w:r>
      <w:r w:rsidRPr="00D93FF9">
        <w:rPr>
          <w:spacing w:val="-1"/>
          <w:lang w:val="en-GB"/>
        </w:rPr>
        <w:t xml:space="preserve"> </w:t>
      </w:r>
      <w:r w:rsidRPr="00D93FF9">
        <w:rPr>
          <w:lang w:val="en-GB"/>
        </w:rPr>
        <w:t>guidelines</w:t>
      </w:r>
      <w:bookmarkEnd w:id="333"/>
    </w:p>
    <w:p w14:paraId="7CE75867" w14:textId="6E320EE9" w:rsidR="00B20D8C" w:rsidRPr="00D93FF9" w:rsidRDefault="00E811B8" w:rsidP="003807A1">
      <w:pPr>
        <w:pStyle w:val="BodyText"/>
        <w:spacing w:after="0" w:line="266" w:lineRule="auto"/>
        <w:jc w:val="both"/>
        <w:rPr>
          <w:lang w:val="en-GB"/>
        </w:rPr>
      </w:pPr>
      <w:r w:rsidRPr="00D93FF9">
        <w:rPr>
          <w:lang w:val="en-GB"/>
        </w:rPr>
        <w:t>While there is a comprehensive list of guideline values for pesticide residues in drinking water in Australia (</w:t>
      </w:r>
      <w:r w:rsidR="00872FE7" w:rsidRPr="00D93FF9">
        <w:t>NHMRC</w:t>
      </w:r>
      <w:r w:rsidR="00850330" w:rsidRPr="00D93FF9">
        <w:t xml:space="preserve"> </w:t>
      </w:r>
      <w:r w:rsidR="00FA6E9E" w:rsidRPr="00D93FF9">
        <w:t>and</w:t>
      </w:r>
      <w:r w:rsidR="00872FE7" w:rsidRPr="00D93FF9">
        <w:t xml:space="preserve"> NRMMC 2011</w:t>
      </w:r>
      <w:r w:rsidRPr="00D93FF9">
        <w:rPr>
          <w:lang w:val="en-GB"/>
        </w:rPr>
        <w:t>), few guidelines exist for residues in waters used for irrigation purposes. In light of the limited information available, the ANZECC</w:t>
      </w:r>
      <w:r w:rsidR="0062482A" w:rsidRPr="00D93FF9">
        <w:rPr>
          <w:lang w:val="en-GB"/>
        </w:rPr>
        <w:t xml:space="preserve"> </w:t>
      </w:r>
      <w:r w:rsidR="00FA6E9E" w:rsidRPr="00D93FF9">
        <w:rPr>
          <w:lang w:val="en-GB"/>
        </w:rPr>
        <w:t>and</w:t>
      </w:r>
      <w:r w:rsidR="00480E46" w:rsidRPr="00D93FF9">
        <w:rPr>
          <w:lang w:val="en-GB"/>
        </w:rPr>
        <w:t xml:space="preserve"> </w:t>
      </w:r>
      <w:r w:rsidR="0062482A" w:rsidRPr="00D93FF9">
        <w:rPr>
          <w:lang w:val="en-GB"/>
        </w:rPr>
        <w:t>ARMCANZ</w:t>
      </w:r>
      <w:r w:rsidRPr="00D93FF9">
        <w:rPr>
          <w:lang w:val="en-GB"/>
        </w:rPr>
        <w:t xml:space="preserve"> (</w:t>
      </w:r>
      <w:r w:rsidR="00872FE7" w:rsidRPr="00D93FF9">
        <w:rPr>
          <w:lang w:val="en-GB"/>
        </w:rPr>
        <w:t>2000</w:t>
      </w:r>
      <w:r w:rsidRPr="00D93FF9">
        <w:rPr>
          <w:lang w:val="en-GB"/>
        </w:rPr>
        <w:t>) guideline values have been included here for use as interim guidelines. However, the guidelines consider only likely adverse effects of herbicides on crop growth and do not account for potential impacts on aquatic or terrestrial ecosystems</w:t>
      </w:r>
      <w:r w:rsidR="00EE5049" w:rsidRPr="00D93FF9">
        <w:rPr>
          <w:lang w:val="en-GB"/>
        </w:rPr>
        <w:t xml:space="preserve"> or accumulation of residues in crops</w:t>
      </w:r>
      <w:r w:rsidRPr="00D93FF9">
        <w:rPr>
          <w:lang w:val="en-GB"/>
        </w:rPr>
        <w:t xml:space="preserve">. Moreover, the guidelines are based on relatively limited information and include only a sub-set of all herbicides (and no other pesticides) that potentially could be found in irrigation waters. </w:t>
      </w:r>
    </w:p>
    <w:p w14:paraId="69BF1794" w14:textId="28261825" w:rsidR="00B20D8C" w:rsidRPr="00D93FF9" w:rsidRDefault="00B20D8C" w:rsidP="00542082">
      <w:pPr>
        <w:pStyle w:val="BodyText"/>
        <w:spacing w:after="0"/>
        <w:jc w:val="both"/>
        <w:rPr>
          <w:lang w:val="en-GB"/>
        </w:rPr>
      </w:pPr>
      <w:r w:rsidRPr="00D93FF9">
        <w:rPr>
          <w:lang w:val="en-GB"/>
        </w:rPr>
        <w:t>While there is a comprehensive list of guideline values for pesticide residues in drinking water in Australia (</w:t>
      </w:r>
      <w:r w:rsidRPr="00D93FF9">
        <w:t>NHMRC</w:t>
      </w:r>
      <w:r w:rsidR="00AC6FA7" w:rsidRPr="00D93FF9">
        <w:t xml:space="preserve"> and</w:t>
      </w:r>
      <w:r w:rsidRPr="00D93FF9">
        <w:t xml:space="preserve"> NRMMC 2011</w:t>
      </w:r>
      <w:r w:rsidRPr="00D93FF9">
        <w:rPr>
          <w:lang w:val="en-GB"/>
        </w:rPr>
        <w:t xml:space="preserve">), few guidelines exist for residues in waters used for irrigation purposes. The guidelines consider only likely adverse effects of herbicides on crop growth and do not account for potential impacts on aquatic or terrestrial ecosystems or accumulation of residues in crops. Moreover, the guidelines are based on relatively limited information and include only a sub-set of all herbicides (and no other pesticides) that potentially could be found in irrigation waters. </w:t>
      </w:r>
    </w:p>
    <w:p w14:paraId="4C6008A9" w14:textId="53C654A2" w:rsidR="00B20D8C" w:rsidRPr="00D93FF9" w:rsidRDefault="00B20D8C" w:rsidP="00542082">
      <w:pPr>
        <w:pStyle w:val="BodyText"/>
        <w:spacing w:after="0"/>
        <w:jc w:val="both"/>
        <w:rPr>
          <w:lang w:val="en-GB"/>
        </w:rPr>
      </w:pPr>
      <w:r w:rsidRPr="00D93FF9">
        <w:rPr>
          <w:lang w:val="en-GB"/>
        </w:rPr>
        <w:t xml:space="preserve">Aquatic ecosystems impacts are addressed in Chapters 3 and 8 of the Australian and New Zealand guidelines for fresh and marine water quality. </w:t>
      </w:r>
    </w:p>
    <w:p w14:paraId="59DCD9C6" w14:textId="549D6B38" w:rsidR="00A81632" w:rsidRPr="00D93FF9" w:rsidRDefault="00E811B8" w:rsidP="003807A1">
      <w:pPr>
        <w:pStyle w:val="BodyText"/>
        <w:spacing w:after="0" w:line="266" w:lineRule="auto"/>
        <w:jc w:val="both"/>
        <w:rPr>
          <w:lang w:val="en-GB"/>
        </w:rPr>
      </w:pPr>
      <w:r w:rsidRPr="00D93FF9">
        <w:rPr>
          <w:lang w:val="en-GB"/>
        </w:rPr>
        <w:t xml:space="preserve">Finally, new </w:t>
      </w:r>
      <w:r w:rsidR="00A5500D" w:rsidRPr="00D93FF9">
        <w:rPr>
          <w:lang w:val="en-GB"/>
        </w:rPr>
        <w:t xml:space="preserve">compounds </w:t>
      </w:r>
      <w:r w:rsidRPr="00D93FF9">
        <w:rPr>
          <w:lang w:val="en-GB"/>
        </w:rPr>
        <w:t>are constantly being developed by agrochemical companies and submitted to approval by the competent regulatory bodies (APVMA</w:t>
      </w:r>
      <w:r w:rsidR="00326AF5" w:rsidRPr="00D93FF9">
        <w:rPr>
          <w:lang w:val="en-GB"/>
        </w:rPr>
        <w:t xml:space="preserve"> in Australia</w:t>
      </w:r>
      <w:r w:rsidRPr="00D93FF9">
        <w:rPr>
          <w:lang w:val="en-GB"/>
        </w:rPr>
        <w:t>)</w:t>
      </w:r>
      <w:r w:rsidR="00326AF5" w:rsidRPr="00D93FF9">
        <w:rPr>
          <w:lang w:val="en-GB"/>
        </w:rPr>
        <w:t>. As a result</w:t>
      </w:r>
      <w:r w:rsidRPr="00D93FF9">
        <w:rPr>
          <w:lang w:val="en-GB"/>
        </w:rPr>
        <w:t>, the list</w:t>
      </w:r>
      <w:r w:rsidR="00326AF5" w:rsidRPr="00D93FF9">
        <w:rPr>
          <w:lang w:val="en-GB"/>
        </w:rPr>
        <w:t xml:space="preserve"> presented</w:t>
      </w:r>
      <w:r w:rsidRPr="00D93FF9">
        <w:rPr>
          <w:lang w:val="en-GB"/>
        </w:rPr>
        <w:t xml:space="preserve"> in </w:t>
      </w:r>
      <w:r w:rsidR="009A2118" w:rsidRPr="00D93FF9">
        <w:rPr>
          <w:lang w:val="en-GB"/>
        </w:rPr>
        <w:fldChar w:fldCharType="begin"/>
      </w:r>
      <w:r w:rsidR="009A2118" w:rsidRPr="00D93FF9">
        <w:rPr>
          <w:lang w:val="en-GB"/>
        </w:rPr>
        <w:instrText xml:space="preserve"> REF _Ref81395626 \h </w:instrText>
      </w:r>
      <w:r w:rsidR="00D93FF9">
        <w:rPr>
          <w:lang w:val="en-GB"/>
        </w:rPr>
        <w:instrText xml:space="preserve"> \* MERGEFORMAT </w:instrText>
      </w:r>
      <w:r w:rsidR="009A2118" w:rsidRPr="00D93FF9">
        <w:rPr>
          <w:lang w:val="en-GB"/>
        </w:rPr>
      </w:r>
      <w:r w:rsidR="009A2118" w:rsidRPr="00D93FF9">
        <w:rPr>
          <w:lang w:val="en-GB"/>
        </w:rPr>
        <w:fldChar w:fldCharType="separate"/>
      </w:r>
      <w:r w:rsidR="0069302C" w:rsidRPr="00D93FF9">
        <w:t xml:space="preserve">Table </w:t>
      </w:r>
      <w:r w:rsidR="0069302C">
        <w:rPr>
          <w:noProof/>
        </w:rPr>
        <w:t>28</w:t>
      </w:r>
      <w:r w:rsidR="009A2118" w:rsidRPr="00D93FF9">
        <w:rPr>
          <w:lang w:val="en-GB"/>
        </w:rPr>
        <w:fldChar w:fldCharType="end"/>
      </w:r>
      <w:r w:rsidR="009A2118" w:rsidRPr="00D93FF9">
        <w:rPr>
          <w:lang w:val="en-GB"/>
        </w:rPr>
        <w:t xml:space="preserve"> </w:t>
      </w:r>
      <w:r w:rsidRPr="00D93FF9">
        <w:rPr>
          <w:lang w:val="en-GB"/>
        </w:rPr>
        <w:t xml:space="preserve">can never be exhaustive. A robust method of deriving guideline values (GV) and SGV </w:t>
      </w:r>
      <w:r w:rsidR="00032674" w:rsidRPr="00D93FF9">
        <w:rPr>
          <w:lang w:val="en-GB"/>
        </w:rPr>
        <w:t xml:space="preserve">for terrestrial systems </w:t>
      </w:r>
      <w:r w:rsidRPr="00D93FF9">
        <w:rPr>
          <w:lang w:val="en-GB"/>
        </w:rPr>
        <w:t>is therefore necessary</w:t>
      </w:r>
      <w:r w:rsidR="00B20D8C" w:rsidRPr="00D93FF9">
        <w:rPr>
          <w:lang w:val="en-GB"/>
        </w:rPr>
        <w:t xml:space="preserve"> using similar methodology as the technical briefs developed for aquatic ecosystems</w:t>
      </w:r>
      <w:r w:rsidR="00032674" w:rsidRPr="00D93FF9">
        <w:rPr>
          <w:lang w:val="en-GB"/>
        </w:rPr>
        <w:t xml:space="preserve">. </w:t>
      </w:r>
      <w:r w:rsidR="00B20D8C" w:rsidRPr="00D93FF9">
        <w:rPr>
          <w:lang w:val="en-GB"/>
        </w:rPr>
        <w:t xml:space="preserve">Technical briefs for the toxicant aquatic ecosystem default guideline values in water have been developed and provide additional data on the guideline value derivations, including information on toxicant use and sources, toxicity and factors affecting toxicity. </w:t>
      </w:r>
      <w:r w:rsidR="00B20D8C" w:rsidRPr="00D93FF9">
        <w:rPr>
          <w:rFonts w:cs="Times New Roman"/>
          <w:lang w:val="en-GB"/>
        </w:rPr>
        <w:t xml:space="preserve">Two types of technical briefs are provided, depending on when the toxicant DGV was published (2000 or post 2017) (ANZG 2018). Each technical brief details the chemistry and ecotoxicity of the toxicant, followed by a </w:t>
      </w:r>
      <w:r w:rsidR="00B20D8C" w:rsidRPr="00D93FF9">
        <w:rPr>
          <w:rFonts w:cs="Times New Roman"/>
          <w:lang w:val="en-GB"/>
        </w:rPr>
        <w:lastRenderedPageBreak/>
        <w:t>comprehensive tabulation of all the toxicity data considered in the guideline value derivation and evidence that the data used passed the necessary quality assurance checks (Warne et al. 2018). Burrlioz 2.0 SSD plots are included, as are details of toxicity testing data, including physicochemistry of the test media, such as pH, temperature and hardness. Full references to all data sources are provided in each technical brief</w:t>
      </w:r>
      <w:r w:rsidR="00B20D8C" w:rsidRPr="00D93FF9">
        <w:rPr>
          <w:lang w:val="en-GB"/>
        </w:rPr>
        <w:t>. They are accessible on https://www.waterquality.gov.au/anz-guidelines/guideline-values/default/water-quality-toxicants/search (accessed 7 April, 2021).</w:t>
      </w:r>
    </w:p>
    <w:p w14:paraId="59DCD9C7" w14:textId="2507771F" w:rsidR="00C46175" w:rsidRPr="00D93FF9" w:rsidRDefault="00E811B8" w:rsidP="003807A1">
      <w:pPr>
        <w:pStyle w:val="BodyText"/>
        <w:spacing w:after="0" w:line="266" w:lineRule="auto"/>
        <w:jc w:val="both"/>
        <w:rPr>
          <w:lang w:val="en-GB"/>
        </w:rPr>
      </w:pPr>
      <w:r w:rsidRPr="00D93FF9">
        <w:rPr>
          <w:lang w:val="en-GB"/>
        </w:rPr>
        <w:t>The</w:t>
      </w:r>
      <w:r w:rsidR="00032674" w:rsidRPr="00D93FF9">
        <w:rPr>
          <w:lang w:val="en-GB"/>
        </w:rPr>
        <w:t>se</w:t>
      </w:r>
      <w:r w:rsidRPr="00D93FF9">
        <w:rPr>
          <w:lang w:val="en-GB"/>
        </w:rPr>
        <w:t xml:space="preserve"> topic</w:t>
      </w:r>
      <w:r w:rsidR="00032674" w:rsidRPr="00D93FF9">
        <w:rPr>
          <w:lang w:val="en-GB"/>
        </w:rPr>
        <w:t>s</w:t>
      </w:r>
      <w:r w:rsidRPr="00D93FF9">
        <w:rPr>
          <w:lang w:val="en-GB"/>
        </w:rPr>
        <w:t xml:space="preserve"> </w:t>
      </w:r>
      <w:r w:rsidR="00032674" w:rsidRPr="00D93FF9">
        <w:rPr>
          <w:lang w:val="en-GB"/>
        </w:rPr>
        <w:t xml:space="preserve">are </w:t>
      </w:r>
      <w:r w:rsidRPr="00D93FF9">
        <w:rPr>
          <w:lang w:val="en-GB"/>
        </w:rPr>
        <w:t xml:space="preserve">further discussed in Section </w:t>
      </w:r>
      <w:r w:rsidR="003C13B1" w:rsidRPr="00D93FF9">
        <w:rPr>
          <w:lang w:val="en-GB"/>
        </w:rPr>
        <w:fldChar w:fldCharType="begin"/>
      </w:r>
      <w:r w:rsidR="003C13B1" w:rsidRPr="00D93FF9">
        <w:rPr>
          <w:lang w:val="en-GB"/>
        </w:rPr>
        <w:instrText xml:space="preserve"> REF _Ref96333080 \r \h </w:instrText>
      </w:r>
      <w:r w:rsidR="00D93FF9">
        <w:rPr>
          <w:lang w:val="en-GB"/>
        </w:rPr>
        <w:instrText xml:space="preserve"> \* MERGEFORMAT </w:instrText>
      </w:r>
      <w:r w:rsidR="003C13B1" w:rsidRPr="00D93FF9">
        <w:rPr>
          <w:lang w:val="en-GB"/>
        </w:rPr>
      </w:r>
      <w:r w:rsidR="003C13B1" w:rsidRPr="00D93FF9">
        <w:rPr>
          <w:lang w:val="en-GB"/>
        </w:rPr>
        <w:fldChar w:fldCharType="separate"/>
      </w:r>
      <w:r w:rsidR="0069302C">
        <w:rPr>
          <w:lang w:val="en-GB"/>
        </w:rPr>
        <w:t>11</w:t>
      </w:r>
      <w:r w:rsidR="003C13B1" w:rsidRPr="00D93FF9">
        <w:rPr>
          <w:lang w:val="en-GB"/>
        </w:rPr>
        <w:fldChar w:fldCharType="end"/>
      </w:r>
      <w:r w:rsidR="007F0A7C" w:rsidRPr="00D93FF9">
        <w:rPr>
          <w:lang w:val="en-GB"/>
        </w:rPr>
        <w:fldChar w:fldCharType="begin"/>
      </w:r>
      <w:r w:rsidR="007F0A7C" w:rsidRPr="00D93FF9">
        <w:rPr>
          <w:lang w:val="en-GB"/>
        </w:rPr>
        <w:instrText xml:space="preserve"> REF _Ref71720513 \r \h </w:instrText>
      </w:r>
      <w:r w:rsidR="00D93FF9">
        <w:rPr>
          <w:lang w:val="en-GB"/>
        </w:rPr>
        <w:instrText xml:space="preserve"> \* MERGEFORMAT </w:instrText>
      </w:r>
      <w:r w:rsidR="007F0A7C" w:rsidRPr="00D93FF9">
        <w:rPr>
          <w:lang w:val="en-GB"/>
        </w:rPr>
      </w:r>
      <w:r w:rsidR="007F0A7C" w:rsidRPr="00D93FF9">
        <w:rPr>
          <w:lang w:val="en-GB"/>
        </w:rPr>
        <w:fldChar w:fldCharType="separate"/>
      </w:r>
      <w:r w:rsidR="0069302C">
        <w:rPr>
          <w:b/>
          <w:bCs/>
          <w:lang w:val="en-US"/>
        </w:rPr>
        <w:t>Error! Reference source not found.</w:t>
      </w:r>
      <w:r w:rsidR="007F0A7C" w:rsidRPr="00D93FF9">
        <w:rPr>
          <w:lang w:val="en-GB"/>
        </w:rPr>
        <w:fldChar w:fldCharType="end"/>
      </w:r>
      <w:r w:rsidR="007F0A7C" w:rsidRPr="00D93FF9">
        <w:rPr>
          <w:lang w:val="en-GB"/>
        </w:rPr>
        <w:t xml:space="preserve"> </w:t>
      </w:r>
      <w:r w:rsidRPr="00D93FF9">
        <w:rPr>
          <w:lang w:val="en-GB"/>
        </w:rPr>
        <w:t>regarding further research and information needs.</w:t>
      </w:r>
    </w:p>
    <w:p w14:paraId="59DCD9C9" w14:textId="77777777" w:rsidR="00C46175" w:rsidRPr="00D93FF9" w:rsidRDefault="00C46175" w:rsidP="003807A1">
      <w:pPr>
        <w:pStyle w:val="BodyText"/>
        <w:spacing w:after="0"/>
        <w:rPr>
          <w:sz w:val="30"/>
          <w:lang w:val="en-GB"/>
        </w:rPr>
      </w:pPr>
    </w:p>
    <w:p w14:paraId="59DCD9CA" w14:textId="77777777" w:rsidR="00C46175" w:rsidRPr="00D93FF9" w:rsidRDefault="00E811B8" w:rsidP="00992F66">
      <w:pPr>
        <w:pStyle w:val="Heading2"/>
        <w:rPr>
          <w:lang w:val="en-GB"/>
        </w:rPr>
      </w:pPr>
      <w:bookmarkStart w:id="334" w:name="_Toc96693609"/>
      <w:r w:rsidRPr="00D93FF9">
        <w:rPr>
          <w:lang w:val="en-GB"/>
        </w:rPr>
        <w:t>Radiological</w:t>
      </w:r>
      <w:r w:rsidRPr="00D93FF9">
        <w:rPr>
          <w:spacing w:val="2"/>
          <w:lang w:val="en-GB"/>
        </w:rPr>
        <w:t xml:space="preserve"> </w:t>
      </w:r>
      <w:r w:rsidRPr="00D93FF9">
        <w:rPr>
          <w:lang w:val="en-GB"/>
        </w:rPr>
        <w:t>quality</w:t>
      </w:r>
      <w:bookmarkEnd w:id="334"/>
    </w:p>
    <w:p w14:paraId="59DCD9CB" w14:textId="3C472D57" w:rsidR="00C46175" w:rsidRPr="00D93FF9" w:rsidRDefault="005F44B7" w:rsidP="00FC10E0">
      <w:pPr>
        <w:spacing w:before="200"/>
        <w:ind w:left="142"/>
        <w:rPr>
          <w:b/>
          <w:bCs/>
          <w:i/>
          <w:iCs/>
          <w:lang w:val="en-GB"/>
        </w:rPr>
      </w:pPr>
      <w:r w:rsidRPr="00D93FF9">
        <w:rPr>
          <w:b/>
          <w:bCs/>
          <w:i/>
          <w:iCs/>
          <w:lang w:val="en-GB"/>
        </w:rPr>
        <w:t>Guideline</w:t>
      </w:r>
      <w:r w:rsidR="00664635" w:rsidRPr="00D93FF9">
        <w:rPr>
          <w:b/>
          <w:bCs/>
          <w:i/>
          <w:iCs/>
          <w:lang w:val="en-GB"/>
        </w:rPr>
        <w:t xml:space="preserve"> values</w:t>
      </w:r>
      <w:r w:rsidR="00E811B8" w:rsidRPr="00D93FF9">
        <w:rPr>
          <w:b/>
          <w:bCs/>
          <w:i/>
          <w:iCs/>
          <w:lang w:val="en-GB"/>
        </w:rPr>
        <w:t xml:space="preserve"> for the radiological quality of irrigation waters are given in</w:t>
      </w:r>
      <w:r w:rsidR="003D0548" w:rsidRPr="00D93FF9">
        <w:rPr>
          <w:b/>
          <w:bCs/>
          <w:i/>
          <w:iCs/>
          <w:lang w:val="en-GB"/>
        </w:rPr>
        <w:t xml:space="preserve"> </w:t>
      </w:r>
      <w:r w:rsidR="003D0548" w:rsidRPr="00D93FF9">
        <w:rPr>
          <w:b/>
          <w:bCs/>
          <w:i/>
          <w:iCs/>
          <w:lang w:val="en-GB"/>
        </w:rPr>
        <w:fldChar w:fldCharType="begin"/>
      </w:r>
      <w:r w:rsidR="003D0548" w:rsidRPr="00D93FF9">
        <w:rPr>
          <w:b/>
          <w:bCs/>
          <w:i/>
          <w:iCs/>
          <w:lang w:val="en-GB"/>
        </w:rPr>
        <w:instrText xml:space="preserve"> REF _Ref81395746 \h  \* MERGEFORMAT </w:instrText>
      </w:r>
      <w:r w:rsidR="003D0548" w:rsidRPr="00D93FF9">
        <w:rPr>
          <w:b/>
          <w:bCs/>
          <w:i/>
          <w:iCs/>
          <w:lang w:val="en-GB"/>
        </w:rPr>
      </w:r>
      <w:r w:rsidR="003D0548" w:rsidRPr="00D93FF9">
        <w:rPr>
          <w:b/>
          <w:bCs/>
          <w:i/>
          <w:iCs/>
          <w:lang w:val="en-GB"/>
        </w:rPr>
        <w:fldChar w:fldCharType="separate"/>
      </w:r>
      <w:r w:rsidR="0069302C" w:rsidRPr="0069302C">
        <w:rPr>
          <w:b/>
          <w:bCs/>
          <w:i/>
          <w:iCs/>
        </w:rPr>
        <w:t xml:space="preserve">Table </w:t>
      </w:r>
      <w:r w:rsidR="0069302C" w:rsidRPr="0069302C">
        <w:rPr>
          <w:b/>
          <w:bCs/>
          <w:i/>
          <w:iCs/>
          <w:noProof/>
        </w:rPr>
        <w:t>31</w:t>
      </w:r>
      <w:r w:rsidR="003D0548" w:rsidRPr="00D93FF9">
        <w:rPr>
          <w:b/>
          <w:bCs/>
          <w:i/>
          <w:iCs/>
          <w:lang w:val="en-GB"/>
        </w:rPr>
        <w:fldChar w:fldCharType="end"/>
      </w:r>
      <w:r w:rsidR="00E811B8" w:rsidRPr="00D93FF9">
        <w:rPr>
          <w:b/>
          <w:bCs/>
          <w:i/>
          <w:iCs/>
          <w:lang w:val="en-GB"/>
        </w:rPr>
        <w:t xml:space="preserve">. The same </w:t>
      </w:r>
      <w:r w:rsidR="00855C80" w:rsidRPr="00D93FF9">
        <w:rPr>
          <w:b/>
          <w:bCs/>
          <w:i/>
          <w:iCs/>
          <w:lang w:val="en-GB"/>
        </w:rPr>
        <w:t>guideline value</w:t>
      </w:r>
      <w:r w:rsidR="00E811B8" w:rsidRPr="00D93FF9">
        <w:rPr>
          <w:b/>
          <w:bCs/>
          <w:i/>
          <w:iCs/>
          <w:lang w:val="en-GB"/>
        </w:rPr>
        <w:t>s also apply for livestock drinking water use.</w:t>
      </w:r>
    </w:p>
    <w:p w14:paraId="59DCD9CC" w14:textId="7CFC9C43" w:rsidR="00C46175" w:rsidRPr="00D93FF9" w:rsidRDefault="003D0548" w:rsidP="003D0548">
      <w:pPr>
        <w:pStyle w:val="Caption"/>
        <w:rPr>
          <w:rFonts w:ascii="Arial"/>
          <w:sz w:val="18"/>
          <w:vertAlign w:val="superscript"/>
          <w:lang w:val="en-GB"/>
        </w:rPr>
      </w:pPr>
      <w:bookmarkStart w:id="335" w:name="_Ref81395746"/>
      <w:bookmarkStart w:id="336" w:name="_Toc96518245"/>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31</w:t>
      </w:r>
      <w:r w:rsidR="00477102" w:rsidRPr="00D93FF9">
        <w:fldChar w:fldCharType="end"/>
      </w:r>
      <w:bookmarkEnd w:id="335"/>
      <w:r w:rsidRPr="00D93FF9">
        <w:t xml:space="preserve"> </w:t>
      </w:r>
      <w:bookmarkStart w:id="337" w:name="_Hlk153812827"/>
      <w:r w:rsidR="00222F1F" w:rsidRPr="00D93FF9">
        <w:rPr>
          <w:rFonts w:ascii="Arial"/>
          <w:sz w:val="18"/>
          <w:lang w:val="en-GB"/>
        </w:rPr>
        <w:t>Guideline</w:t>
      </w:r>
      <w:r w:rsidR="00E90CE0" w:rsidRPr="00D93FF9">
        <w:rPr>
          <w:rFonts w:ascii="Arial"/>
          <w:sz w:val="18"/>
          <w:lang w:val="en-GB"/>
        </w:rPr>
        <w:t xml:space="preserve"> values for radiological contaminants in irrigation water</w:t>
      </w:r>
      <w:r w:rsidR="00E90CE0" w:rsidRPr="00D93FF9">
        <w:rPr>
          <w:rFonts w:ascii="Arial"/>
          <w:sz w:val="18"/>
          <w:vertAlign w:val="superscript"/>
          <w:lang w:val="en-GB"/>
        </w:rPr>
        <w:t>a</w:t>
      </w:r>
      <w:bookmarkEnd w:id="336"/>
      <w:bookmarkEnd w:id="337"/>
    </w:p>
    <w:tbl>
      <w:tblPr>
        <w:tblW w:w="3914" w:type="dxa"/>
        <w:tblLayout w:type="fixed"/>
        <w:tblCellMar>
          <w:left w:w="0" w:type="dxa"/>
          <w:right w:w="0" w:type="dxa"/>
        </w:tblCellMar>
        <w:tblLook w:val="01E0" w:firstRow="1" w:lastRow="1" w:firstColumn="1" w:lastColumn="1" w:noHBand="0" w:noVBand="0"/>
        <w:tblCaption w:val="Guideline values for radiological contaminants in irrigation water"/>
        <w:tblDescription w:val="A list of guideline values for the radiological quality of irrigation waters. "/>
      </w:tblPr>
      <w:tblGrid>
        <w:gridCol w:w="2304"/>
        <w:gridCol w:w="1610"/>
      </w:tblGrid>
      <w:tr w:rsidR="00BE3AA8" w:rsidRPr="00D93FF9" w14:paraId="59DCD9CF" w14:textId="77777777" w:rsidTr="009800CB">
        <w:trPr>
          <w:trHeight w:val="295"/>
        </w:trPr>
        <w:tc>
          <w:tcPr>
            <w:tcW w:w="2304" w:type="dxa"/>
            <w:tcBorders>
              <w:top w:val="single" w:sz="6" w:space="0" w:color="000000"/>
              <w:left w:val="nil"/>
              <w:bottom w:val="single" w:sz="6" w:space="0" w:color="000000"/>
              <w:right w:val="nil"/>
            </w:tcBorders>
            <w:hideMark/>
          </w:tcPr>
          <w:p w14:paraId="59DCD9CD" w14:textId="77777777" w:rsidR="007D1233" w:rsidRPr="00D93FF9" w:rsidRDefault="00E811B8" w:rsidP="007D1233">
            <w:pPr>
              <w:pStyle w:val="TableParagraph"/>
              <w:spacing w:before="70" w:after="0"/>
              <w:ind w:left="115"/>
              <w:rPr>
                <w:b/>
                <w:sz w:val="16"/>
                <w:lang w:val="en-GB"/>
              </w:rPr>
            </w:pPr>
            <w:r w:rsidRPr="00D93FF9">
              <w:rPr>
                <w:b/>
                <w:sz w:val="16"/>
                <w:lang w:val="en-GB"/>
              </w:rPr>
              <w:t>Radionuclide</w:t>
            </w:r>
          </w:p>
        </w:tc>
        <w:tc>
          <w:tcPr>
            <w:tcW w:w="1610" w:type="dxa"/>
            <w:tcBorders>
              <w:top w:val="single" w:sz="6" w:space="0" w:color="000000"/>
              <w:left w:val="nil"/>
              <w:bottom w:val="single" w:sz="6" w:space="0" w:color="000000"/>
              <w:right w:val="nil"/>
            </w:tcBorders>
            <w:hideMark/>
          </w:tcPr>
          <w:p w14:paraId="59DCD9CE" w14:textId="7B48BEC1" w:rsidR="007D1233" w:rsidRPr="00D93FF9" w:rsidRDefault="00E811B8" w:rsidP="007D1233">
            <w:pPr>
              <w:pStyle w:val="TableParagraph"/>
              <w:spacing w:before="70" w:after="0"/>
              <w:ind w:left="159"/>
              <w:rPr>
                <w:b/>
                <w:sz w:val="16"/>
                <w:lang w:val="en-GB"/>
              </w:rPr>
            </w:pPr>
            <w:r w:rsidRPr="00D93FF9">
              <w:rPr>
                <w:b/>
                <w:sz w:val="16"/>
                <w:lang w:val="en-GB"/>
              </w:rPr>
              <w:t>Guideline value</w:t>
            </w:r>
            <w:r w:rsidR="005F44B7" w:rsidRPr="00D93FF9">
              <w:rPr>
                <w:b/>
                <w:sz w:val="16"/>
                <w:lang w:val="en-GB"/>
              </w:rPr>
              <w:t xml:space="preserve"> (DGV)</w:t>
            </w:r>
          </w:p>
        </w:tc>
      </w:tr>
      <w:tr w:rsidR="00BE3AA8" w:rsidRPr="00D93FF9" w14:paraId="59DCD9D2" w14:textId="77777777" w:rsidTr="009800CB">
        <w:trPr>
          <w:trHeight w:val="264"/>
        </w:trPr>
        <w:tc>
          <w:tcPr>
            <w:tcW w:w="2304" w:type="dxa"/>
            <w:tcBorders>
              <w:top w:val="single" w:sz="6" w:space="0" w:color="000000"/>
              <w:left w:val="nil"/>
              <w:bottom w:val="nil"/>
              <w:right w:val="nil"/>
            </w:tcBorders>
          </w:tcPr>
          <w:p w14:paraId="59DCD9D0" w14:textId="77777777" w:rsidR="007D1233" w:rsidRPr="00D93FF9" w:rsidRDefault="00E811B8" w:rsidP="007D1233">
            <w:pPr>
              <w:pStyle w:val="TableParagraph"/>
              <w:spacing w:before="49" w:after="0"/>
              <w:ind w:left="115"/>
              <w:rPr>
                <w:sz w:val="16"/>
                <w:lang w:val="en-GB"/>
              </w:rPr>
            </w:pPr>
            <w:r w:rsidRPr="00D93FF9">
              <w:rPr>
                <w:sz w:val="16"/>
                <w:lang w:val="en-GB"/>
              </w:rPr>
              <w:t>Radium 226</w:t>
            </w:r>
          </w:p>
        </w:tc>
        <w:tc>
          <w:tcPr>
            <w:tcW w:w="1610" w:type="dxa"/>
            <w:tcBorders>
              <w:top w:val="single" w:sz="6" w:space="0" w:color="000000"/>
              <w:left w:val="nil"/>
              <w:bottom w:val="nil"/>
              <w:right w:val="nil"/>
            </w:tcBorders>
          </w:tcPr>
          <w:p w14:paraId="59DCD9D1" w14:textId="77777777" w:rsidR="007D1233" w:rsidRPr="00D93FF9" w:rsidRDefault="00E811B8" w:rsidP="007D1233">
            <w:pPr>
              <w:pStyle w:val="TableParagraph"/>
              <w:spacing w:before="49" w:after="0"/>
              <w:ind w:left="301"/>
              <w:rPr>
                <w:sz w:val="16"/>
                <w:lang w:val="en-GB"/>
              </w:rPr>
            </w:pPr>
            <w:r w:rsidRPr="00D93FF9">
              <w:rPr>
                <w:sz w:val="16"/>
                <w:lang w:val="en-GB"/>
              </w:rPr>
              <w:t>5 Bq/L</w:t>
            </w:r>
          </w:p>
        </w:tc>
      </w:tr>
      <w:tr w:rsidR="00BE3AA8" w:rsidRPr="00D93FF9" w14:paraId="59DCD9D5" w14:textId="77777777" w:rsidTr="009800CB">
        <w:trPr>
          <w:trHeight w:val="264"/>
        </w:trPr>
        <w:tc>
          <w:tcPr>
            <w:tcW w:w="2304" w:type="dxa"/>
          </w:tcPr>
          <w:p w14:paraId="59DCD9D3" w14:textId="77777777" w:rsidR="007D1233" w:rsidRPr="00D93FF9" w:rsidRDefault="00E811B8" w:rsidP="007D1233">
            <w:pPr>
              <w:pStyle w:val="TableParagraph"/>
              <w:spacing w:before="47" w:after="0"/>
              <w:ind w:left="115"/>
              <w:rPr>
                <w:sz w:val="16"/>
                <w:lang w:val="en-GB"/>
              </w:rPr>
            </w:pPr>
            <w:r w:rsidRPr="00D93FF9">
              <w:rPr>
                <w:sz w:val="16"/>
                <w:lang w:val="en-GB"/>
              </w:rPr>
              <w:t>Radium 228</w:t>
            </w:r>
          </w:p>
        </w:tc>
        <w:tc>
          <w:tcPr>
            <w:tcW w:w="1610" w:type="dxa"/>
          </w:tcPr>
          <w:p w14:paraId="59DCD9D4" w14:textId="77777777" w:rsidR="007D1233" w:rsidRPr="00D93FF9" w:rsidRDefault="00E811B8" w:rsidP="007D1233">
            <w:pPr>
              <w:pStyle w:val="TableParagraph"/>
              <w:spacing w:before="47" w:after="0"/>
              <w:ind w:left="301"/>
              <w:rPr>
                <w:sz w:val="16"/>
                <w:lang w:val="en-GB"/>
              </w:rPr>
            </w:pPr>
            <w:r w:rsidRPr="00D93FF9">
              <w:rPr>
                <w:sz w:val="16"/>
                <w:lang w:val="en-GB"/>
              </w:rPr>
              <w:t>2 Bq/L</w:t>
            </w:r>
          </w:p>
        </w:tc>
      </w:tr>
      <w:tr w:rsidR="00BE3AA8" w:rsidRPr="00D93FF9" w14:paraId="59DCD9D8" w14:textId="77777777" w:rsidTr="009800CB">
        <w:trPr>
          <w:trHeight w:val="264"/>
        </w:trPr>
        <w:tc>
          <w:tcPr>
            <w:tcW w:w="2304" w:type="dxa"/>
          </w:tcPr>
          <w:p w14:paraId="59DCD9D6" w14:textId="77777777" w:rsidR="007D1233" w:rsidRPr="00D93FF9" w:rsidRDefault="00E811B8" w:rsidP="007D1233">
            <w:pPr>
              <w:pStyle w:val="TableParagraph"/>
              <w:spacing w:before="48" w:after="0"/>
              <w:ind w:left="115"/>
              <w:rPr>
                <w:sz w:val="16"/>
                <w:lang w:val="en-GB"/>
              </w:rPr>
            </w:pPr>
            <w:r w:rsidRPr="00D93FF9">
              <w:rPr>
                <w:sz w:val="16"/>
                <w:lang w:val="en-GB"/>
              </w:rPr>
              <w:t>Uranium 238</w:t>
            </w:r>
          </w:p>
        </w:tc>
        <w:tc>
          <w:tcPr>
            <w:tcW w:w="1610" w:type="dxa"/>
          </w:tcPr>
          <w:p w14:paraId="59DCD9D7" w14:textId="77777777" w:rsidR="007D1233" w:rsidRPr="00D93FF9" w:rsidRDefault="00E811B8" w:rsidP="007D1233">
            <w:pPr>
              <w:pStyle w:val="TableParagraph"/>
              <w:spacing w:before="48" w:after="0"/>
              <w:ind w:left="301"/>
              <w:rPr>
                <w:sz w:val="16"/>
                <w:lang w:val="en-GB"/>
              </w:rPr>
            </w:pPr>
            <w:r w:rsidRPr="00D93FF9">
              <w:rPr>
                <w:sz w:val="16"/>
                <w:lang w:val="en-GB"/>
              </w:rPr>
              <w:t>0.2 Bq/L</w:t>
            </w:r>
          </w:p>
        </w:tc>
      </w:tr>
      <w:tr w:rsidR="00BE3AA8" w:rsidRPr="00D93FF9" w14:paraId="59DCD9DB" w14:textId="77777777" w:rsidTr="009800CB">
        <w:trPr>
          <w:trHeight w:val="264"/>
        </w:trPr>
        <w:tc>
          <w:tcPr>
            <w:tcW w:w="2304" w:type="dxa"/>
          </w:tcPr>
          <w:p w14:paraId="59DCD9D9" w14:textId="77777777" w:rsidR="007D1233" w:rsidRPr="00D93FF9" w:rsidRDefault="00E811B8" w:rsidP="007D1233">
            <w:pPr>
              <w:pStyle w:val="TableParagraph"/>
              <w:spacing w:before="48" w:after="0"/>
              <w:ind w:left="115"/>
              <w:rPr>
                <w:sz w:val="16"/>
                <w:lang w:val="en-GB"/>
              </w:rPr>
            </w:pPr>
            <w:r w:rsidRPr="00D93FF9">
              <w:rPr>
                <w:sz w:val="16"/>
                <w:lang w:val="en-GB"/>
              </w:rPr>
              <w:t>Gross alpha</w:t>
            </w:r>
          </w:p>
        </w:tc>
        <w:tc>
          <w:tcPr>
            <w:tcW w:w="1610" w:type="dxa"/>
          </w:tcPr>
          <w:p w14:paraId="59DCD9DA" w14:textId="77777777" w:rsidR="007D1233" w:rsidRPr="00D93FF9" w:rsidRDefault="00E811B8" w:rsidP="007D1233">
            <w:pPr>
              <w:pStyle w:val="TableParagraph"/>
              <w:spacing w:before="48" w:after="0"/>
              <w:ind w:left="301"/>
              <w:rPr>
                <w:sz w:val="16"/>
                <w:lang w:val="en-GB"/>
              </w:rPr>
            </w:pPr>
            <w:r w:rsidRPr="00D93FF9">
              <w:rPr>
                <w:sz w:val="16"/>
                <w:lang w:val="en-GB"/>
              </w:rPr>
              <w:t>0.5 Bq/L</w:t>
            </w:r>
          </w:p>
        </w:tc>
      </w:tr>
      <w:tr w:rsidR="00BE3AA8" w:rsidRPr="00D93FF9" w14:paraId="59DCD9DE" w14:textId="77777777" w:rsidTr="009800CB">
        <w:trPr>
          <w:trHeight w:val="264"/>
        </w:trPr>
        <w:tc>
          <w:tcPr>
            <w:tcW w:w="2304" w:type="dxa"/>
          </w:tcPr>
          <w:p w14:paraId="59DCD9DC" w14:textId="77777777" w:rsidR="007D1233" w:rsidRPr="00D93FF9" w:rsidRDefault="00E811B8" w:rsidP="007D1233">
            <w:pPr>
              <w:pStyle w:val="TableParagraph"/>
              <w:spacing w:before="48" w:after="0"/>
              <w:ind w:left="115"/>
              <w:rPr>
                <w:sz w:val="16"/>
                <w:lang w:val="en-GB"/>
              </w:rPr>
            </w:pPr>
            <w:r w:rsidRPr="00D93FF9">
              <w:rPr>
                <w:sz w:val="16"/>
                <w:lang w:val="en-GB"/>
              </w:rPr>
              <w:t>Gross beta (excluding K-40)</w:t>
            </w:r>
          </w:p>
        </w:tc>
        <w:tc>
          <w:tcPr>
            <w:tcW w:w="1610" w:type="dxa"/>
          </w:tcPr>
          <w:p w14:paraId="59DCD9DD" w14:textId="77777777" w:rsidR="007D1233" w:rsidRPr="00D93FF9" w:rsidRDefault="00E811B8" w:rsidP="007D1233">
            <w:pPr>
              <w:pStyle w:val="TableParagraph"/>
              <w:spacing w:before="48" w:after="0"/>
              <w:ind w:left="301"/>
              <w:rPr>
                <w:sz w:val="16"/>
                <w:lang w:val="en-GB"/>
              </w:rPr>
            </w:pPr>
            <w:r w:rsidRPr="00D93FF9">
              <w:rPr>
                <w:sz w:val="16"/>
                <w:lang w:val="en-GB"/>
              </w:rPr>
              <w:t>0.5 Bq/L</w:t>
            </w:r>
          </w:p>
        </w:tc>
      </w:tr>
    </w:tbl>
    <w:p w14:paraId="59DCD9DF" w14:textId="3B6C8E68" w:rsidR="00C46175" w:rsidRPr="00D93FF9" w:rsidRDefault="00E811B8" w:rsidP="003807A1">
      <w:pPr>
        <w:spacing w:after="0"/>
        <w:jc w:val="both"/>
        <w:rPr>
          <w:rFonts w:ascii="Arial"/>
          <w:sz w:val="14"/>
          <w:lang w:val="en-GB"/>
        </w:rPr>
      </w:pPr>
      <w:r w:rsidRPr="00D93FF9">
        <w:rPr>
          <w:rFonts w:ascii="Arial"/>
          <w:sz w:val="14"/>
          <w:lang w:val="en-GB"/>
        </w:rPr>
        <w:t xml:space="preserve">a These </w:t>
      </w:r>
      <w:r w:rsidR="005F44B7" w:rsidRPr="00D93FF9">
        <w:rPr>
          <w:rFonts w:ascii="Arial"/>
          <w:sz w:val="14"/>
          <w:lang w:val="en-GB"/>
        </w:rPr>
        <w:t>DGVs</w:t>
      </w:r>
      <w:r w:rsidRPr="00D93FF9">
        <w:rPr>
          <w:rFonts w:ascii="Arial"/>
          <w:sz w:val="14"/>
          <w:lang w:val="en-GB"/>
        </w:rPr>
        <w:t xml:space="preserve"> also apply for livestock drinking water.</w:t>
      </w:r>
    </w:p>
    <w:p w14:paraId="59DCD9E0" w14:textId="77777777" w:rsidR="00C46175" w:rsidRPr="00D93FF9" w:rsidRDefault="00C46175" w:rsidP="003807A1">
      <w:pPr>
        <w:pStyle w:val="BodyText"/>
        <w:spacing w:after="0"/>
        <w:rPr>
          <w:rFonts w:ascii="Arial"/>
          <w:sz w:val="16"/>
          <w:lang w:val="en-GB"/>
        </w:rPr>
      </w:pPr>
    </w:p>
    <w:p w14:paraId="59DCD9E2" w14:textId="7525D77A" w:rsidR="00B36E0D" w:rsidRPr="00D93FF9" w:rsidRDefault="00E811B8" w:rsidP="003807A1">
      <w:pPr>
        <w:pStyle w:val="BodyText"/>
        <w:spacing w:after="0" w:line="266" w:lineRule="auto"/>
        <w:jc w:val="both"/>
        <w:rPr>
          <w:spacing w:val="-3"/>
          <w:lang w:val="en-GB"/>
        </w:rPr>
      </w:pPr>
      <w:r w:rsidRPr="00D93FF9">
        <w:rPr>
          <w:spacing w:val="-3"/>
          <w:lang w:val="en-GB"/>
        </w:rPr>
        <w:t xml:space="preserve">Guidelines values internationally are not specifically derived for irrigation water but mostly for drinking purposes. </w:t>
      </w:r>
      <w:r w:rsidR="001B1263" w:rsidRPr="00D93FF9">
        <w:rPr>
          <w:spacing w:val="-3"/>
          <w:lang w:val="en-GB"/>
        </w:rPr>
        <w:t xml:space="preserve">Most drinking guideline value assume an annual dose of 0.1mS/year. </w:t>
      </w:r>
      <w:r w:rsidRPr="00D93FF9">
        <w:rPr>
          <w:spacing w:val="-3"/>
          <w:lang w:val="en-GB"/>
        </w:rPr>
        <w:t xml:space="preserve">They are summarised </w:t>
      </w:r>
      <w:r w:rsidR="008A095B" w:rsidRPr="00D93FF9">
        <w:rPr>
          <w:spacing w:val="-3"/>
          <w:lang w:val="en-GB"/>
        </w:rPr>
        <w:t>in</w:t>
      </w:r>
      <w:r w:rsidR="003D0548" w:rsidRPr="00D93FF9">
        <w:rPr>
          <w:spacing w:val="-3"/>
          <w:lang w:val="en-GB"/>
        </w:rPr>
        <w:t xml:space="preserve"> </w:t>
      </w:r>
      <w:r w:rsidR="003D0548" w:rsidRPr="00D93FF9">
        <w:rPr>
          <w:spacing w:val="-3"/>
          <w:lang w:val="en-GB"/>
        </w:rPr>
        <w:fldChar w:fldCharType="begin"/>
      </w:r>
      <w:r w:rsidR="003D0548" w:rsidRPr="00D93FF9">
        <w:rPr>
          <w:spacing w:val="-3"/>
          <w:lang w:val="en-GB"/>
        </w:rPr>
        <w:instrText xml:space="preserve"> REF _Ref81395790 \h </w:instrText>
      </w:r>
      <w:r w:rsidR="00D93FF9">
        <w:rPr>
          <w:spacing w:val="-3"/>
          <w:lang w:val="en-GB"/>
        </w:rPr>
        <w:instrText xml:space="preserve"> \* MERGEFORMAT </w:instrText>
      </w:r>
      <w:r w:rsidR="003D0548" w:rsidRPr="00D93FF9">
        <w:rPr>
          <w:spacing w:val="-3"/>
          <w:lang w:val="en-GB"/>
        </w:rPr>
      </w:r>
      <w:r w:rsidR="003D0548" w:rsidRPr="00D93FF9">
        <w:rPr>
          <w:spacing w:val="-3"/>
          <w:lang w:val="en-GB"/>
        </w:rPr>
        <w:fldChar w:fldCharType="separate"/>
      </w:r>
      <w:r w:rsidR="0069302C" w:rsidRPr="00D93FF9">
        <w:t xml:space="preserve">Table </w:t>
      </w:r>
      <w:r w:rsidR="0069302C">
        <w:rPr>
          <w:noProof/>
        </w:rPr>
        <w:t>32</w:t>
      </w:r>
      <w:r w:rsidR="003D0548" w:rsidRPr="00D93FF9">
        <w:rPr>
          <w:spacing w:val="-3"/>
          <w:lang w:val="en-GB"/>
        </w:rPr>
        <w:fldChar w:fldCharType="end"/>
      </w:r>
      <w:r w:rsidR="008A095B" w:rsidRPr="00D93FF9">
        <w:rPr>
          <w:spacing w:val="-3"/>
          <w:lang w:val="en-GB"/>
        </w:rPr>
        <w:t xml:space="preserve">. </w:t>
      </w:r>
    </w:p>
    <w:p w14:paraId="59DCD9E3" w14:textId="77777777" w:rsidR="007D1233" w:rsidRPr="00D93FF9" w:rsidRDefault="007D1233" w:rsidP="003807A1">
      <w:pPr>
        <w:pStyle w:val="BodyText"/>
        <w:spacing w:after="0" w:line="266" w:lineRule="auto"/>
        <w:jc w:val="both"/>
        <w:rPr>
          <w:spacing w:val="-3"/>
          <w:lang w:val="en-GB"/>
        </w:rPr>
      </w:pPr>
    </w:p>
    <w:p w14:paraId="59DCD9E4" w14:textId="0B2C15B3" w:rsidR="001A2493" w:rsidRPr="00D93FF9" w:rsidRDefault="003D0548" w:rsidP="003D0548">
      <w:pPr>
        <w:pStyle w:val="Caption"/>
        <w:rPr>
          <w:spacing w:val="-3"/>
          <w:lang w:val="en-GB"/>
        </w:rPr>
      </w:pPr>
      <w:bookmarkStart w:id="338" w:name="_Ref81395790"/>
      <w:bookmarkStart w:id="339" w:name="_Toc96518246"/>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32</w:t>
      </w:r>
      <w:r w:rsidR="00477102" w:rsidRPr="00D93FF9">
        <w:fldChar w:fldCharType="end"/>
      </w:r>
      <w:bookmarkEnd w:id="338"/>
      <w:r w:rsidRPr="00D93FF9">
        <w:t xml:space="preserve"> </w:t>
      </w:r>
      <w:bookmarkStart w:id="340" w:name="_Hlk153812832"/>
      <w:r w:rsidR="00E811B8" w:rsidRPr="00D93FF9">
        <w:rPr>
          <w:spacing w:val="-3"/>
          <w:lang w:val="en-GB"/>
        </w:rPr>
        <w:t>Summary of international guidelines for radiological quality in drinking water.</w:t>
      </w:r>
      <w:bookmarkEnd w:id="339"/>
      <w:r w:rsidR="00E811B8" w:rsidRPr="00D93FF9">
        <w:rPr>
          <w:spacing w:val="-3"/>
          <w:lang w:val="en-GB"/>
        </w:rPr>
        <w:t xml:space="preserve"> </w:t>
      </w:r>
      <w:bookmarkEnd w:id="340"/>
    </w:p>
    <w:tbl>
      <w:tblPr>
        <w:tblStyle w:val="TableGrid"/>
        <w:tblW w:w="8822" w:type="dxa"/>
        <w:tblInd w:w="21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ummary of international guidelines for radiological quality in drinking water"/>
        <w:tblDescription w:val="A summary of international guidelines for radiological quality in drinking water, including those for Canada, Australia, United states, and the world health organisation. "/>
      </w:tblPr>
      <w:tblGrid>
        <w:gridCol w:w="1626"/>
        <w:gridCol w:w="138"/>
        <w:gridCol w:w="1764"/>
        <w:gridCol w:w="1765"/>
        <w:gridCol w:w="1764"/>
        <w:gridCol w:w="1765"/>
      </w:tblGrid>
      <w:tr w:rsidR="00BE3AA8" w:rsidRPr="00D93FF9" w14:paraId="59DCD9E7" w14:textId="77777777" w:rsidTr="00791F88">
        <w:trPr>
          <w:trHeight w:val="362"/>
        </w:trPr>
        <w:tc>
          <w:tcPr>
            <w:tcW w:w="1626" w:type="dxa"/>
            <w:tcBorders>
              <w:top w:val="single" w:sz="4" w:space="0" w:color="auto"/>
              <w:bottom w:val="single" w:sz="4" w:space="0" w:color="auto"/>
            </w:tcBorders>
          </w:tcPr>
          <w:p w14:paraId="59DCD9E5" w14:textId="77777777" w:rsidR="00AB5A4A" w:rsidRPr="00D93FF9" w:rsidRDefault="00E811B8" w:rsidP="00FC10E0">
            <w:pPr>
              <w:pStyle w:val="BodyText"/>
              <w:spacing w:before="0" w:after="0"/>
              <w:jc w:val="both"/>
              <w:rPr>
                <w:rFonts w:asciiTheme="minorHAnsi" w:hAnsiTheme="minorHAnsi" w:cs="Arial"/>
                <w:b/>
                <w:bCs/>
                <w:spacing w:val="-3"/>
                <w:szCs w:val="18"/>
                <w:lang w:val="en-GB"/>
              </w:rPr>
            </w:pPr>
            <w:r w:rsidRPr="00D93FF9">
              <w:rPr>
                <w:rFonts w:asciiTheme="minorHAnsi" w:hAnsiTheme="minorHAnsi" w:cs="Arial"/>
                <w:b/>
                <w:bCs/>
                <w:spacing w:val="-3"/>
                <w:szCs w:val="18"/>
                <w:lang w:val="en-GB"/>
              </w:rPr>
              <w:t>Parameter</w:t>
            </w:r>
          </w:p>
        </w:tc>
        <w:tc>
          <w:tcPr>
            <w:tcW w:w="7196" w:type="dxa"/>
            <w:gridSpan w:val="5"/>
            <w:tcBorders>
              <w:top w:val="single" w:sz="4" w:space="0" w:color="auto"/>
              <w:bottom w:val="single" w:sz="4" w:space="0" w:color="auto"/>
            </w:tcBorders>
          </w:tcPr>
          <w:p w14:paraId="59DCD9E6" w14:textId="77777777" w:rsidR="00AB5A4A" w:rsidRPr="00D93FF9" w:rsidRDefault="00E811B8" w:rsidP="00FC10E0">
            <w:pPr>
              <w:pStyle w:val="BodyText"/>
              <w:spacing w:before="0" w:after="0"/>
              <w:jc w:val="center"/>
              <w:rPr>
                <w:rFonts w:asciiTheme="minorHAnsi" w:hAnsiTheme="minorHAnsi" w:cs="Arial"/>
                <w:b/>
                <w:bCs/>
                <w:spacing w:val="-3"/>
                <w:szCs w:val="18"/>
                <w:lang w:val="en-GB"/>
              </w:rPr>
            </w:pPr>
            <w:r w:rsidRPr="00D93FF9">
              <w:rPr>
                <w:rFonts w:asciiTheme="minorHAnsi" w:hAnsiTheme="minorHAnsi" w:cs="Arial"/>
                <w:b/>
                <w:bCs/>
                <w:spacing w:val="-3"/>
                <w:szCs w:val="18"/>
                <w:lang w:val="en-GB"/>
              </w:rPr>
              <w:t>Guideline value</w:t>
            </w:r>
          </w:p>
        </w:tc>
      </w:tr>
      <w:tr w:rsidR="00BE3AA8" w:rsidRPr="00D93FF9" w14:paraId="59DCD9ED" w14:textId="77777777" w:rsidTr="00791F88">
        <w:trPr>
          <w:trHeight w:val="838"/>
        </w:trPr>
        <w:tc>
          <w:tcPr>
            <w:tcW w:w="1764" w:type="dxa"/>
            <w:gridSpan w:val="2"/>
            <w:tcBorders>
              <w:top w:val="single" w:sz="4" w:space="0" w:color="auto"/>
              <w:bottom w:val="single" w:sz="4" w:space="0" w:color="auto"/>
            </w:tcBorders>
          </w:tcPr>
          <w:p w14:paraId="59DCD9E8" w14:textId="77777777" w:rsidR="00AB5A4A" w:rsidRPr="00D93FF9" w:rsidRDefault="00AB5A4A" w:rsidP="00FC10E0">
            <w:pPr>
              <w:pStyle w:val="BodyText"/>
              <w:spacing w:before="0" w:after="0"/>
              <w:jc w:val="both"/>
              <w:rPr>
                <w:rFonts w:asciiTheme="minorHAnsi" w:hAnsiTheme="minorHAnsi" w:cs="Arial"/>
                <w:spacing w:val="-3"/>
                <w:szCs w:val="18"/>
                <w:lang w:val="en-GB"/>
              </w:rPr>
            </w:pPr>
          </w:p>
        </w:tc>
        <w:tc>
          <w:tcPr>
            <w:tcW w:w="1764" w:type="dxa"/>
            <w:tcBorders>
              <w:top w:val="single" w:sz="4" w:space="0" w:color="auto"/>
              <w:bottom w:val="single" w:sz="4" w:space="0" w:color="auto"/>
            </w:tcBorders>
          </w:tcPr>
          <w:p w14:paraId="59DCD9E9" w14:textId="77777777" w:rsidR="00AB5A4A" w:rsidRPr="00D93FF9" w:rsidRDefault="00E811B8" w:rsidP="00791F88">
            <w:pPr>
              <w:pStyle w:val="BodyText"/>
              <w:spacing w:before="0" w:after="0"/>
              <w:rPr>
                <w:rFonts w:asciiTheme="minorHAnsi" w:hAnsiTheme="minorHAnsi" w:cs="Arial"/>
                <w:spacing w:val="-3"/>
                <w:szCs w:val="18"/>
                <w:lang w:val="en-GB"/>
              </w:rPr>
            </w:pPr>
            <w:r w:rsidRPr="00D93FF9">
              <w:rPr>
                <w:rFonts w:asciiTheme="minorHAnsi" w:hAnsiTheme="minorHAnsi" w:cs="Arial"/>
                <w:spacing w:val="-3"/>
                <w:szCs w:val="18"/>
                <w:lang w:val="en-GB"/>
              </w:rPr>
              <w:t xml:space="preserve">Canadian </w:t>
            </w:r>
            <w:r w:rsidR="005E6527" w:rsidRPr="00D93FF9">
              <w:rPr>
                <w:rFonts w:asciiTheme="minorHAnsi" w:hAnsiTheme="minorHAnsi" w:cs="Arial"/>
                <w:spacing w:val="-3"/>
                <w:szCs w:val="18"/>
                <w:lang w:val="en-GB"/>
              </w:rPr>
              <w:t xml:space="preserve">drinking water </w:t>
            </w:r>
            <w:r w:rsidRPr="00D93FF9">
              <w:rPr>
                <w:rFonts w:asciiTheme="minorHAnsi" w:hAnsiTheme="minorHAnsi" w:cs="Arial"/>
                <w:spacing w:val="-3"/>
                <w:szCs w:val="18"/>
                <w:lang w:val="en-GB"/>
              </w:rPr>
              <w:t xml:space="preserve">guidelines </w:t>
            </w:r>
            <w:r w:rsidR="009A0E13" w:rsidRPr="00D93FF9">
              <w:rPr>
                <w:rFonts w:asciiTheme="minorHAnsi" w:hAnsiTheme="minorHAnsi" w:cs="Arial"/>
                <w:spacing w:val="-3"/>
                <w:szCs w:val="18"/>
                <w:lang w:val="en-GB"/>
              </w:rPr>
              <w:t>(2009)</w:t>
            </w:r>
          </w:p>
        </w:tc>
        <w:tc>
          <w:tcPr>
            <w:tcW w:w="1765" w:type="dxa"/>
            <w:tcBorders>
              <w:top w:val="single" w:sz="4" w:space="0" w:color="auto"/>
              <w:bottom w:val="single" w:sz="4" w:space="0" w:color="auto"/>
            </w:tcBorders>
          </w:tcPr>
          <w:p w14:paraId="59DCD9EA" w14:textId="77777777" w:rsidR="00AB5A4A" w:rsidRPr="00D93FF9" w:rsidRDefault="00E811B8" w:rsidP="00791F88">
            <w:pPr>
              <w:pStyle w:val="BodyText"/>
              <w:spacing w:before="0" w:after="0"/>
              <w:rPr>
                <w:rFonts w:asciiTheme="minorHAnsi" w:hAnsiTheme="minorHAnsi" w:cs="Arial"/>
                <w:spacing w:val="-3"/>
                <w:szCs w:val="18"/>
                <w:lang w:val="en-GB"/>
              </w:rPr>
            </w:pPr>
            <w:r w:rsidRPr="00D93FF9">
              <w:rPr>
                <w:rFonts w:asciiTheme="minorHAnsi" w:hAnsiTheme="minorHAnsi" w:cs="Arial"/>
                <w:spacing w:val="-3"/>
                <w:szCs w:val="18"/>
                <w:lang w:val="en-GB"/>
              </w:rPr>
              <w:t>Australian drinking water guidelines (2011)</w:t>
            </w:r>
          </w:p>
        </w:tc>
        <w:tc>
          <w:tcPr>
            <w:tcW w:w="1764" w:type="dxa"/>
            <w:tcBorders>
              <w:top w:val="single" w:sz="4" w:space="0" w:color="auto"/>
              <w:bottom w:val="single" w:sz="4" w:space="0" w:color="auto"/>
            </w:tcBorders>
          </w:tcPr>
          <w:p w14:paraId="59DCD9EB" w14:textId="77777777" w:rsidR="00AB5A4A" w:rsidRPr="00D93FF9" w:rsidRDefault="00E811B8" w:rsidP="00791F88">
            <w:pPr>
              <w:pStyle w:val="BodyText"/>
              <w:spacing w:before="0" w:after="0"/>
              <w:rPr>
                <w:rFonts w:asciiTheme="minorHAnsi" w:hAnsiTheme="minorHAnsi" w:cs="Arial"/>
                <w:spacing w:val="-3"/>
                <w:szCs w:val="18"/>
                <w:lang w:val="en-GB"/>
              </w:rPr>
            </w:pPr>
            <w:r w:rsidRPr="00D93FF9">
              <w:rPr>
                <w:rFonts w:asciiTheme="minorHAnsi" w:hAnsiTheme="minorHAnsi" w:cs="Arial"/>
                <w:spacing w:val="-3"/>
                <w:szCs w:val="18"/>
                <w:lang w:val="en-GB"/>
              </w:rPr>
              <w:t>US</w:t>
            </w:r>
            <w:r w:rsidR="00B75A15" w:rsidRPr="00D93FF9">
              <w:rPr>
                <w:rFonts w:asciiTheme="minorHAnsi" w:hAnsiTheme="minorHAnsi" w:cs="Arial"/>
                <w:spacing w:val="-3"/>
                <w:szCs w:val="18"/>
                <w:lang w:val="en-GB"/>
              </w:rPr>
              <w:t xml:space="preserve"> EPA</w:t>
            </w:r>
            <w:r w:rsidRPr="00D93FF9">
              <w:rPr>
                <w:rFonts w:asciiTheme="minorHAnsi" w:hAnsiTheme="minorHAnsi" w:cs="Arial"/>
                <w:spacing w:val="-3"/>
                <w:szCs w:val="18"/>
                <w:lang w:val="en-GB"/>
              </w:rPr>
              <w:t xml:space="preserve"> </w:t>
            </w:r>
            <w:r w:rsidR="00B75A15" w:rsidRPr="00D93FF9">
              <w:rPr>
                <w:rFonts w:asciiTheme="minorHAnsi" w:hAnsiTheme="minorHAnsi" w:cs="Arial"/>
                <w:spacing w:val="-3"/>
                <w:szCs w:val="18"/>
                <w:lang w:val="en-GB"/>
              </w:rPr>
              <w:t xml:space="preserve">National Primary </w:t>
            </w:r>
            <w:r w:rsidRPr="00D93FF9">
              <w:rPr>
                <w:rFonts w:asciiTheme="minorHAnsi" w:hAnsiTheme="minorHAnsi" w:cs="Arial"/>
                <w:spacing w:val="-3"/>
                <w:szCs w:val="18"/>
                <w:lang w:val="en-GB"/>
              </w:rPr>
              <w:t xml:space="preserve">Drinking water </w:t>
            </w:r>
            <w:r w:rsidR="00B75A15" w:rsidRPr="00D93FF9">
              <w:rPr>
                <w:rFonts w:asciiTheme="minorHAnsi" w:hAnsiTheme="minorHAnsi" w:cs="Arial"/>
                <w:spacing w:val="-3"/>
                <w:szCs w:val="18"/>
                <w:lang w:val="en-GB"/>
              </w:rPr>
              <w:t>Regulations</w:t>
            </w:r>
          </w:p>
        </w:tc>
        <w:tc>
          <w:tcPr>
            <w:tcW w:w="1765" w:type="dxa"/>
            <w:tcBorders>
              <w:top w:val="single" w:sz="4" w:space="0" w:color="auto"/>
              <w:bottom w:val="single" w:sz="4" w:space="0" w:color="auto"/>
            </w:tcBorders>
          </w:tcPr>
          <w:p w14:paraId="59DCD9EC" w14:textId="77777777"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WHO (2017)</w:t>
            </w:r>
          </w:p>
        </w:tc>
      </w:tr>
      <w:tr w:rsidR="00BE3AA8" w:rsidRPr="00D93FF9" w14:paraId="59DCD9F3" w14:textId="77777777" w:rsidTr="00791F88">
        <w:trPr>
          <w:trHeight w:val="567"/>
        </w:trPr>
        <w:tc>
          <w:tcPr>
            <w:tcW w:w="1764" w:type="dxa"/>
            <w:gridSpan w:val="2"/>
            <w:tcBorders>
              <w:top w:val="single" w:sz="4" w:space="0" w:color="auto"/>
            </w:tcBorders>
          </w:tcPr>
          <w:p w14:paraId="59DCD9EE" w14:textId="77777777"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zCs w:val="18"/>
                <w:lang w:val="en-GB"/>
              </w:rPr>
              <w:t>Radium 226</w:t>
            </w:r>
          </w:p>
        </w:tc>
        <w:tc>
          <w:tcPr>
            <w:tcW w:w="1764" w:type="dxa"/>
            <w:tcBorders>
              <w:top w:val="single" w:sz="4" w:space="0" w:color="auto"/>
            </w:tcBorders>
          </w:tcPr>
          <w:p w14:paraId="59DCD9EF" w14:textId="77777777" w:rsidR="00AB5A4A" w:rsidRPr="00D93FF9" w:rsidRDefault="00AB5A4A" w:rsidP="00FC10E0">
            <w:pPr>
              <w:pStyle w:val="BodyText"/>
              <w:spacing w:before="0" w:after="0"/>
              <w:jc w:val="both"/>
              <w:rPr>
                <w:rFonts w:asciiTheme="minorHAnsi" w:hAnsiTheme="minorHAnsi" w:cs="Arial"/>
                <w:spacing w:val="-3"/>
                <w:szCs w:val="18"/>
                <w:lang w:val="en-GB"/>
              </w:rPr>
            </w:pPr>
          </w:p>
        </w:tc>
        <w:tc>
          <w:tcPr>
            <w:tcW w:w="1765" w:type="dxa"/>
            <w:tcBorders>
              <w:top w:val="single" w:sz="4" w:space="0" w:color="auto"/>
            </w:tcBorders>
          </w:tcPr>
          <w:p w14:paraId="59DCD9F0" w14:textId="77777777"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Must be screened if gross α or β guideline values exceeded</w:t>
            </w:r>
          </w:p>
        </w:tc>
        <w:tc>
          <w:tcPr>
            <w:tcW w:w="1764" w:type="dxa"/>
            <w:tcBorders>
              <w:top w:val="single" w:sz="4" w:space="0" w:color="auto"/>
            </w:tcBorders>
          </w:tcPr>
          <w:p w14:paraId="59DCD9F1" w14:textId="4DA7CAFB"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0.19</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Bq/L</w:t>
            </w:r>
          </w:p>
        </w:tc>
        <w:tc>
          <w:tcPr>
            <w:tcW w:w="1765" w:type="dxa"/>
            <w:tcBorders>
              <w:top w:val="single" w:sz="4" w:space="0" w:color="auto"/>
            </w:tcBorders>
          </w:tcPr>
          <w:p w14:paraId="59DCD9F2" w14:textId="77777777"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1 Bq/L</w:t>
            </w:r>
          </w:p>
        </w:tc>
      </w:tr>
      <w:tr w:rsidR="00BE3AA8" w:rsidRPr="00D93FF9" w14:paraId="59DCD9FA" w14:textId="77777777" w:rsidTr="00791F88">
        <w:trPr>
          <w:trHeight w:val="567"/>
        </w:trPr>
        <w:tc>
          <w:tcPr>
            <w:tcW w:w="1764" w:type="dxa"/>
            <w:gridSpan w:val="2"/>
          </w:tcPr>
          <w:p w14:paraId="59DCD9F4" w14:textId="77777777" w:rsidR="00AB5A4A" w:rsidRPr="00D93FF9" w:rsidRDefault="00E811B8" w:rsidP="00FC10E0">
            <w:pPr>
              <w:spacing w:before="0" w:after="0"/>
              <w:rPr>
                <w:rFonts w:asciiTheme="minorHAnsi" w:hAnsiTheme="minorHAnsi" w:cs="Arial"/>
                <w:szCs w:val="18"/>
                <w:lang w:val="en-GB"/>
              </w:rPr>
            </w:pPr>
            <w:r w:rsidRPr="00D93FF9">
              <w:rPr>
                <w:rFonts w:asciiTheme="minorHAnsi" w:hAnsiTheme="minorHAnsi" w:cs="Arial"/>
                <w:szCs w:val="18"/>
                <w:lang w:val="en-GB"/>
              </w:rPr>
              <w:t>Radium 228</w:t>
            </w:r>
          </w:p>
          <w:p w14:paraId="59DCD9F5" w14:textId="77777777" w:rsidR="00AB5A4A" w:rsidRPr="00D93FF9" w:rsidRDefault="00AB5A4A" w:rsidP="00FC10E0">
            <w:pPr>
              <w:pStyle w:val="BodyText"/>
              <w:spacing w:before="0" w:after="0"/>
              <w:jc w:val="both"/>
              <w:rPr>
                <w:rFonts w:asciiTheme="minorHAnsi" w:hAnsiTheme="minorHAnsi" w:cs="Arial"/>
                <w:spacing w:val="-3"/>
                <w:szCs w:val="18"/>
                <w:lang w:val="en-GB"/>
              </w:rPr>
            </w:pPr>
          </w:p>
        </w:tc>
        <w:tc>
          <w:tcPr>
            <w:tcW w:w="1764" w:type="dxa"/>
          </w:tcPr>
          <w:p w14:paraId="59DCD9F6" w14:textId="77777777"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0.5 Bq/L</w:t>
            </w:r>
          </w:p>
        </w:tc>
        <w:tc>
          <w:tcPr>
            <w:tcW w:w="1765" w:type="dxa"/>
          </w:tcPr>
          <w:p w14:paraId="59DCD9F7" w14:textId="77777777"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Same as above</w:t>
            </w:r>
          </w:p>
        </w:tc>
        <w:tc>
          <w:tcPr>
            <w:tcW w:w="1764" w:type="dxa"/>
          </w:tcPr>
          <w:p w14:paraId="59DCD9F8" w14:textId="6BDF4250"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0.19</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Bq/L</w:t>
            </w:r>
          </w:p>
        </w:tc>
        <w:tc>
          <w:tcPr>
            <w:tcW w:w="1765" w:type="dxa"/>
          </w:tcPr>
          <w:p w14:paraId="59DCD9F9" w14:textId="5A81E407"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0.1</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Bq/L</w:t>
            </w:r>
          </w:p>
        </w:tc>
      </w:tr>
      <w:tr w:rsidR="00BE3AA8" w:rsidRPr="00D93FF9" w14:paraId="59DCDA00" w14:textId="77777777" w:rsidTr="00791F88">
        <w:trPr>
          <w:trHeight w:val="567"/>
        </w:trPr>
        <w:tc>
          <w:tcPr>
            <w:tcW w:w="1764" w:type="dxa"/>
            <w:gridSpan w:val="2"/>
          </w:tcPr>
          <w:p w14:paraId="59DCD9FB" w14:textId="77777777" w:rsidR="00AB5A4A" w:rsidRPr="00D93FF9" w:rsidRDefault="00E811B8" w:rsidP="00FC10E0">
            <w:pPr>
              <w:pStyle w:val="BodyText"/>
              <w:tabs>
                <w:tab w:val="left" w:pos="750"/>
              </w:tabs>
              <w:spacing w:before="0" w:after="0"/>
              <w:jc w:val="both"/>
              <w:rPr>
                <w:rFonts w:asciiTheme="minorHAnsi" w:hAnsiTheme="minorHAnsi" w:cs="Arial"/>
                <w:spacing w:val="-3"/>
                <w:szCs w:val="18"/>
                <w:lang w:val="en-GB"/>
              </w:rPr>
            </w:pPr>
            <w:r w:rsidRPr="00D93FF9">
              <w:rPr>
                <w:rFonts w:asciiTheme="minorHAnsi" w:hAnsiTheme="minorHAnsi" w:cs="Arial"/>
                <w:szCs w:val="18"/>
                <w:lang w:val="en-GB"/>
              </w:rPr>
              <w:t xml:space="preserve">Uranium </w:t>
            </w:r>
            <w:r w:rsidRPr="00D93FF9">
              <w:rPr>
                <w:rFonts w:asciiTheme="minorHAnsi" w:hAnsiTheme="minorHAnsi" w:cs="Arial"/>
                <w:spacing w:val="-6"/>
                <w:szCs w:val="18"/>
                <w:lang w:val="en-GB"/>
              </w:rPr>
              <w:t>238</w:t>
            </w:r>
          </w:p>
        </w:tc>
        <w:tc>
          <w:tcPr>
            <w:tcW w:w="1764" w:type="dxa"/>
          </w:tcPr>
          <w:p w14:paraId="59DCD9FC" w14:textId="77777777"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0.02 mg/L (total U)</w:t>
            </w:r>
          </w:p>
        </w:tc>
        <w:tc>
          <w:tcPr>
            <w:tcW w:w="1765" w:type="dxa"/>
          </w:tcPr>
          <w:p w14:paraId="59DCD9FD" w14:textId="77777777"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See a</w:t>
            </w:r>
          </w:p>
        </w:tc>
        <w:tc>
          <w:tcPr>
            <w:tcW w:w="1764" w:type="dxa"/>
          </w:tcPr>
          <w:p w14:paraId="59DCD9FE" w14:textId="77777777" w:rsidR="00AB5A4A" w:rsidRPr="00D93FF9" w:rsidRDefault="00AB5A4A" w:rsidP="00FC10E0">
            <w:pPr>
              <w:pStyle w:val="BodyText"/>
              <w:spacing w:before="0" w:after="0"/>
              <w:jc w:val="both"/>
              <w:rPr>
                <w:rFonts w:asciiTheme="minorHAnsi" w:hAnsiTheme="minorHAnsi" w:cs="Arial"/>
                <w:spacing w:val="-3"/>
                <w:szCs w:val="18"/>
                <w:lang w:val="en-GB"/>
              </w:rPr>
            </w:pPr>
          </w:p>
        </w:tc>
        <w:tc>
          <w:tcPr>
            <w:tcW w:w="1765" w:type="dxa"/>
          </w:tcPr>
          <w:p w14:paraId="59DCD9FF" w14:textId="71720862"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10</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 xml:space="preserve">Bq/L or 30µg/L for total U b  </w:t>
            </w:r>
          </w:p>
        </w:tc>
      </w:tr>
      <w:tr w:rsidR="00BE3AA8" w:rsidRPr="00D93FF9" w14:paraId="59DCDA06" w14:textId="77777777" w:rsidTr="00791F88">
        <w:trPr>
          <w:trHeight w:val="567"/>
        </w:trPr>
        <w:tc>
          <w:tcPr>
            <w:tcW w:w="1764" w:type="dxa"/>
            <w:gridSpan w:val="2"/>
          </w:tcPr>
          <w:p w14:paraId="59DCDA01" w14:textId="77777777" w:rsidR="00AB5A4A" w:rsidRPr="00D93FF9" w:rsidRDefault="00E811B8" w:rsidP="00FC10E0">
            <w:pPr>
              <w:pStyle w:val="BodyText"/>
              <w:spacing w:before="0" w:after="0"/>
              <w:jc w:val="both"/>
              <w:rPr>
                <w:rFonts w:asciiTheme="minorHAnsi" w:hAnsiTheme="minorHAnsi" w:cs="Arial"/>
                <w:szCs w:val="18"/>
                <w:lang w:val="en-GB"/>
              </w:rPr>
            </w:pPr>
            <w:r w:rsidRPr="00D93FF9">
              <w:rPr>
                <w:rFonts w:asciiTheme="minorHAnsi" w:hAnsiTheme="minorHAnsi" w:cs="Arial"/>
                <w:szCs w:val="18"/>
                <w:lang w:val="en-GB"/>
              </w:rPr>
              <w:t>Lead 210</w:t>
            </w:r>
          </w:p>
        </w:tc>
        <w:tc>
          <w:tcPr>
            <w:tcW w:w="1764" w:type="dxa"/>
          </w:tcPr>
          <w:p w14:paraId="59DCDA02" w14:textId="1633CACD"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0.2</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Bq/L</w:t>
            </w:r>
          </w:p>
        </w:tc>
        <w:tc>
          <w:tcPr>
            <w:tcW w:w="1765" w:type="dxa"/>
          </w:tcPr>
          <w:p w14:paraId="59DCDA03" w14:textId="77777777" w:rsidR="00AB5A4A" w:rsidRPr="00D93FF9" w:rsidRDefault="00AB5A4A" w:rsidP="00FC10E0">
            <w:pPr>
              <w:pStyle w:val="BodyText"/>
              <w:spacing w:before="0" w:after="0"/>
              <w:jc w:val="both"/>
              <w:rPr>
                <w:rFonts w:asciiTheme="minorHAnsi" w:hAnsiTheme="minorHAnsi" w:cs="Arial"/>
                <w:spacing w:val="-3"/>
                <w:szCs w:val="18"/>
                <w:lang w:val="en-GB"/>
              </w:rPr>
            </w:pPr>
          </w:p>
        </w:tc>
        <w:tc>
          <w:tcPr>
            <w:tcW w:w="1764" w:type="dxa"/>
          </w:tcPr>
          <w:p w14:paraId="59DCDA04" w14:textId="77777777" w:rsidR="00AB5A4A" w:rsidRPr="00D93FF9" w:rsidRDefault="00AB5A4A" w:rsidP="00FC10E0">
            <w:pPr>
              <w:pStyle w:val="BodyText"/>
              <w:spacing w:before="0" w:after="0"/>
              <w:jc w:val="both"/>
              <w:rPr>
                <w:rFonts w:asciiTheme="minorHAnsi" w:hAnsiTheme="minorHAnsi" w:cs="Arial"/>
                <w:spacing w:val="-3"/>
                <w:szCs w:val="18"/>
                <w:lang w:val="en-GB"/>
              </w:rPr>
            </w:pPr>
          </w:p>
        </w:tc>
        <w:tc>
          <w:tcPr>
            <w:tcW w:w="1765" w:type="dxa"/>
          </w:tcPr>
          <w:p w14:paraId="59DCDA05" w14:textId="2513C313"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0.1</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Bq/L</w:t>
            </w:r>
          </w:p>
        </w:tc>
      </w:tr>
      <w:tr w:rsidR="00BE3AA8" w:rsidRPr="00D93FF9" w14:paraId="59DCDA0C" w14:textId="77777777" w:rsidTr="00791F88">
        <w:trPr>
          <w:trHeight w:val="567"/>
        </w:trPr>
        <w:tc>
          <w:tcPr>
            <w:tcW w:w="1764" w:type="dxa"/>
            <w:gridSpan w:val="2"/>
          </w:tcPr>
          <w:p w14:paraId="59DCDA07" w14:textId="6C868476"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zCs w:val="18"/>
                <w:lang w:val="en-GB"/>
              </w:rPr>
              <w:t>Gross</w:t>
            </w:r>
            <w:r w:rsidRPr="00D93FF9">
              <w:rPr>
                <w:rFonts w:asciiTheme="minorHAnsi" w:hAnsiTheme="minorHAnsi" w:cs="Arial"/>
                <w:spacing w:val="1"/>
                <w:szCs w:val="18"/>
                <w:lang w:val="en-GB"/>
              </w:rPr>
              <w:t xml:space="preserve"> </w:t>
            </w:r>
            <w:r w:rsidRPr="00D93FF9">
              <w:rPr>
                <w:rFonts w:asciiTheme="minorHAnsi" w:hAnsiTheme="minorHAnsi" w:cs="Arial"/>
                <w:szCs w:val="18"/>
                <w:lang w:val="en-GB"/>
              </w:rPr>
              <w:t>alpha</w:t>
            </w:r>
            <w:r w:rsidR="00B36C0A" w:rsidRPr="00D93FF9">
              <w:rPr>
                <w:rFonts w:asciiTheme="minorHAnsi" w:hAnsiTheme="minorHAnsi" w:cs="Arial"/>
                <w:szCs w:val="18"/>
                <w:lang w:val="en-GB"/>
              </w:rPr>
              <w:t xml:space="preserve"> (</w:t>
            </w:r>
            <w:r w:rsidR="00B36C0A" w:rsidRPr="00D93FF9">
              <w:rPr>
                <w:rFonts w:asciiTheme="minorHAnsi" w:hAnsiTheme="minorHAnsi" w:cs="Arial"/>
                <w:spacing w:val="-3"/>
                <w:szCs w:val="18"/>
                <w:lang w:val="en-GB"/>
              </w:rPr>
              <w:t>α)</w:t>
            </w:r>
          </w:p>
        </w:tc>
        <w:tc>
          <w:tcPr>
            <w:tcW w:w="1764" w:type="dxa"/>
          </w:tcPr>
          <w:p w14:paraId="59DCDA08" w14:textId="77777777" w:rsidR="00AB5A4A" w:rsidRPr="00D93FF9" w:rsidRDefault="00AB5A4A" w:rsidP="00FC10E0">
            <w:pPr>
              <w:pStyle w:val="BodyText"/>
              <w:spacing w:before="0" w:after="0"/>
              <w:jc w:val="both"/>
              <w:rPr>
                <w:rFonts w:asciiTheme="minorHAnsi" w:hAnsiTheme="minorHAnsi" w:cs="Arial"/>
                <w:spacing w:val="-3"/>
                <w:szCs w:val="18"/>
                <w:lang w:val="en-GB"/>
              </w:rPr>
            </w:pPr>
          </w:p>
        </w:tc>
        <w:tc>
          <w:tcPr>
            <w:tcW w:w="1765" w:type="dxa"/>
          </w:tcPr>
          <w:p w14:paraId="59DCDA09" w14:textId="18FD7535"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0.5</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Bq/L</w:t>
            </w:r>
          </w:p>
        </w:tc>
        <w:tc>
          <w:tcPr>
            <w:tcW w:w="1764" w:type="dxa"/>
          </w:tcPr>
          <w:p w14:paraId="59DCDA0A" w14:textId="58CAD91A"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0.56</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Bq/L</w:t>
            </w:r>
          </w:p>
        </w:tc>
        <w:tc>
          <w:tcPr>
            <w:tcW w:w="1765" w:type="dxa"/>
          </w:tcPr>
          <w:p w14:paraId="59DCDA0B" w14:textId="3D5F5919"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0.5</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Bq/L</w:t>
            </w:r>
          </w:p>
        </w:tc>
      </w:tr>
      <w:tr w:rsidR="00BE3AA8" w:rsidRPr="00D93FF9" w14:paraId="59DCDA13" w14:textId="77777777" w:rsidTr="00791F88">
        <w:trPr>
          <w:trHeight w:val="567"/>
        </w:trPr>
        <w:tc>
          <w:tcPr>
            <w:tcW w:w="1764" w:type="dxa"/>
            <w:gridSpan w:val="2"/>
          </w:tcPr>
          <w:p w14:paraId="59DCDA0D" w14:textId="356E975B" w:rsidR="00FC10E0" w:rsidRPr="00D93FF9" w:rsidRDefault="00E811B8" w:rsidP="00FC10E0">
            <w:pPr>
              <w:spacing w:before="0" w:after="0"/>
              <w:rPr>
                <w:rFonts w:asciiTheme="minorHAnsi" w:hAnsiTheme="minorHAnsi" w:cs="Arial"/>
                <w:szCs w:val="18"/>
                <w:lang w:val="en-GB"/>
              </w:rPr>
            </w:pPr>
            <w:r w:rsidRPr="00D93FF9">
              <w:rPr>
                <w:rFonts w:asciiTheme="minorHAnsi" w:hAnsiTheme="minorHAnsi" w:cs="Arial"/>
                <w:szCs w:val="18"/>
                <w:lang w:val="en-GB"/>
              </w:rPr>
              <w:t>Gross beta</w:t>
            </w:r>
            <w:r w:rsidR="00B36C0A" w:rsidRPr="00D93FF9">
              <w:rPr>
                <w:rFonts w:asciiTheme="minorHAnsi" w:hAnsiTheme="minorHAnsi" w:cs="Arial"/>
                <w:szCs w:val="18"/>
                <w:lang w:val="en-GB"/>
              </w:rPr>
              <w:t xml:space="preserve"> (</w:t>
            </w:r>
            <w:r w:rsidR="00B36C0A" w:rsidRPr="00D93FF9">
              <w:rPr>
                <w:rFonts w:asciiTheme="minorHAnsi" w:hAnsiTheme="minorHAnsi" w:cs="Arial"/>
                <w:spacing w:val="-3"/>
                <w:szCs w:val="18"/>
                <w:lang w:val="en-GB"/>
              </w:rPr>
              <w:t>β)</w:t>
            </w:r>
          </w:p>
          <w:p w14:paraId="59DCDA0E" w14:textId="77777777" w:rsidR="00AB5A4A" w:rsidRPr="00D93FF9" w:rsidRDefault="00E811B8" w:rsidP="00FC10E0">
            <w:pPr>
              <w:spacing w:before="0" w:after="0"/>
              <w:rPr>
                <w:rFonts w:asciiTheme="minorHAnsi" w:hAnsiTheme="minorHAnsi" w:cs="Arial"/>
                <w:szCs w:val="18"/>
                <w:lang w:val="en-GB"/>
              </w:rPr>
            </w:pPr>
            <w:r w:rsidRPr="00D93FF9">
              <w:rPr>
                <w:rFonts w:asciiTheme="minorHAnsi" w:hAnsiTheme="minorHAnsi" w:cs="Arial"/>
                <w:szCs w:val="18"/>
                <w:lang w:val="en-GB"/>
              </w:rPr>
              <w:t>(excluding K-40)</w:t>
            </w:r>
          </w:p>
        </w:tc>
        <w:tc>
          <w:tcPr>
            <w:tcW w:w="1764" w:type="dxa"/>
          </w:tcPr>
          <w:p w14:paraId="59DCDA0F" w14:textId="77777777" w:rsidR="00AB5A4A" w:rsidRPr="00D93FF9" w:rsidRDefault="00AB5A4A" w:rsidP="00FC10E0">
            <w:pPr>
              <w:pStyle w:val="BodyText"/>
              <w:spacing w:before="0" w:after="0"/>
              <w:jc w:val="both"/>
              <w:rPr>
                <w:rFonts w:asciiTheme="minorHAnsi" w:hAnsiTheme="minorHAnsi" w:cs="Arial"/>
                <w:spacing w:val="-3"/>
                <w:szCs w:val="18"/>
                <w:lang w:val="en-GB"/>
              </w:rPr>
            </w:pPr>
          </w:p>
        </w:tc>
        <w:tc>
          <w:tcPr>
            <w:tcW w:w="1765" w:type="dxa"/>
          </w:tcPr>
          <w:p w14:paraId="59DCDA10" w14:textId="1A1C2A73"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0.5</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Bq/L</w:t>
            </w:r>
          </w:p>
        </w:tc>
        <w:tc>
          <w:tcPr>
            <w:tcW w:w="1764" w:type="dxa"/>
          </w:tcPr>
          <w:p w14:paraId="59DCDA11" w14:textId="7E008064"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1.85</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Bq/L</w:t>
            </w:r>
          </w:p>
        </w:tc>
        <w:tc>
          <w:tcPr>
            <w:tcW w:w="1765" w:type="dxa"/>
          </w:tcPr>
          <w:p w14:paraId="59DCDA12" w14:textId="7DB85541" w:rsidR="00AB5A4A" w:rsidRPr="00D93FF9" w:rsidRDefault="00E811B8" w:rsidP="00FC10E0">
            <w:pPr>
              <w:pStyle w:val="BodyText"/>
              <w:spacing w:before="0" w:after="0"/>
              <w:jc w:val="both"/>
              <w:rPr>
                <w:rFonts w:asciiTheme="minorHAnsi" w:hAnsiTheme="minorHAnsi" w:cs="Arial"/>
                <w:spacing w:val="-3"/>
                <w:szCs w:val="18"/>
                <w:lang w:val="en-GB"/>
              </w:rPr>
            </w:pPr>
            <w:r w:rsidRPr="00D93FF9">
              <w:rPr>
                <w:rFonts w:asciiTheme="minorHAnsi" w:hAnsiTheme="minorHAnsi" w:cs="Arial"/>
                <w:spacing w:val="-3"/>
                <w:szCs w:val="18"/>
                <w:lang w:val="en-GB"/>
              </w:rPr>
              <w:t>1</w:t>
            </w:r>
            <w:r w:rsidR="00590E01" w:rsidRPr="00D93FF9">
              <w:rPr>
                <w:rFonts w:asciiTheme="minorHAnsi" w:hAnsiTheme="minorHAnsi" w:cs="Arial"/>
                <w:spacing w:val="-3"/>
                <w:szCs w:val="18"/>
                <w:lang w:val="en-GB"/>
              </w:rPr>
              <w:t xml:space="preserve"> </w:t>
            </w:r>
            <w:r w:rsidRPr="00D93FF9">
              <w:rPr>
                <w:rFonts w:asciiTheme="minorHAnsi" w:hAnsiTheme="minorHAnsi" w:cs="Arial"/>
                <w:spacing w:val="-3"/>
                <w:szCs w:val="18"/>
                <w:lang w:val="en-GB"/>
              </w:rPr>
              <w:t>Bq/L</w:t>
            </w:r>
          </w:p>
        </w:tc>
      </w:tr>
    </w:tbl>
    <w:p w14:paraId="59DCDA14" w14:textId="77777777" w:rsidR="001A2493" w:rsidRPr="00D93FF9" w:rsidRDefault="00E811B8" w:rsidP="003807A1">
      <w:pPr>
        <w:adjustRightInd w:val="0"/>
        <w:spacing w:after="0"/>
        <w:rPr>
          <w:sz w:val="18"/>
          <w:szCs w:val="18"/>
        </w:rPr>
      </w:pPr>
      <w:r w:rsidRPr="00D93FF9">
        <w:rPr>
          <w:spacing w:val="-3"/>
          <w:sz w:val="18"/>
          <w:szCs w:val="18"/>
          <w:lang w:val="en-GB"/>
        </w:rPr>
        <w:lastRenderedPageBreak/>
        <w:t xml:space="preserve">a concentration, as well as that of other radionuclides, should be determined </w:t>
      </w:r>
      <w:r w:rsidRPr="00D93FF9">
        <w:rPr>
          <w:sz w:val="18"/>
          <w:szCs w:val="18"/>
        </w:rPr>
        <w:t>to ensure all gross alpha and beta activity is</w:t>
      </w:r>
      <w:r w:rsidR="00AB5A4A" w:rsidRPr="00D93FF9">
        <w:rPr>
          <w:sz w:val="18"/>
          <w:szCs w:val="18"/>
        </w:rPr>
        <w:t xml:space="preserve"> </w:t>
      </w:r>
      <w:r w:rsidRPr="00D93FF9">
        <w:rPr>
          <w:sz w:val="18"/>
          <w:szCs w:val="18"/>
        </w:rPr>
        <w:t>accounted for, after taking into account the counting and other analytical uncertainties involved in their determination (NHMRC, 2011)</w:t>
      </w:r>
    </w:p>
    <w:p w14:paraId="59DCDA15" w14:textId="77777777" w:rsidR="001A2493" w:rsidRPr="00D93FF9" w:rsidRDefault="00E811B8" w:rsidP="003807A1">
      <w:pPr>
        <w:adjustRightInd w:val="0"/>
        <w:spacing w:after="0"/>
        <w:rPr>
          <w:spacing w:val="-3"/>
          <w:sz w:val="18"/>
          <w:szCs w:val="18"/>
          <w:lang w:val="en-GB"/>
        </w:rPr>
      </w:pPr>
      <w:r w:rsidRPr="00D93FF9">
        <w:rPr>
          <w:spacing w:val="-3"/>
          <w:sz w:val="18"/>
          <w:szCs w:val="18"/>
          <w:lang w:val="en-GB"/>
        </w:rPr>
        <w:t xml:space="preserve">b </w:t>
      </w:r>
      <w:r w:rsidRPr="00D93FF9">
        <w:rPr>
          <w:rFonts w:eastAsia="MyriadPro-Regular"/>
          <w:sz w:val="18"/>
          <w:szCs w:val="18"/>
        </w:rPr>
        <w:t>Separate guidance levels are provided for individual uranium radioisotopes in terms of radioactivity (i.e. expressed as Bq/l). The provisional guideline value for total content of uranium in drinking-water is 30 μg/l based on its chemical toxicity, which is predominant compared with its radiological toxicity (WHO, 2017)</w:t>
      </w:r>
    </w:p>
    <w:p w14:paraId="59DCDA16" w14:textId="77777777" w:rsidR="00B36E0D" w:rsidRPr="00D93FF9" w:rsidRDefault="00B36E0D" w:rsidP="003807A1">
      <w:pPr>
        <w:pStyle w:val="BodyText"/>
        <w:spacing w:after="0"/>
        <w:rPr>
          <w:rFonts w:ascii="Arial"/>
          <w:sz w:val="16"/>
          <w:lang w:val="en-GB"/>
        </w:rPr>
      </w:pPr>
    </w:p>
    <w:p w14:paraId="59DCDA17" w14:textId="77777777" w:rsidR="00C46175" w:rsidRPr="00D93FF9" w:rsidRDefault="00E811B8" w:rsidP="00992F66">
      <w:pPr>
        <w:pStyle w:val="Heading3"/>
        <w:rPr>
          <w:lang w:val="en-GB"/>
        </w:rPr>
      </w:pPr>
      <w:bookmarkStart w:id="341" w:name="_Toc96693610"/>
      <w:r w:rsidRPr="00D93FF9">
        <w:rPr>
          <w:lang w:val="en-GB"/>
        </w:rPr>
        <w:t>Description</w:t>
      </w:r>
      <w:bookmarkEnd w:id="341"/>
    </w:p>
    <w:p w14:paraId="59DCDA18" w14:textId="77777777" w:rsidR="00AD16DB" w:rsidRPr="00D93FF9" w:rsidRDefault="00E811B8" w:rsidP="003807A1">
      <w:pPr>
        <w:pStyle w:val="BodyText"/>
        <w:spacing w:after="0" w:line="266" w:lineRule="auto"/>
        <w:jc w:val="both"/>
        <w:rPr>
          <w:lang w:val="en-GB"/>
        </w:rPr>
      </w:pPr>
      <w:r w:rsidRPr="00D93FF9">
        <w:rPr>
          <w:lang w:val="en-GB"/>
        </w:rPr>
        <w:t>Radioactive elements in the environment originate both from terrestrial and cosmogenic sources. Cosmogenically produced radi</w:t>
      </w:r>
      <w:r w:rsidR="003E09BF" w:rsidRPr="00D93FF9">
        <w:rPr>
          <w:lang w:val="en-GB"/>
        </w:rPr>
        <w:t>onuclides</w:t>
      </w:r>
      <w:r w:rsidRPr="00D93FF9">
        <w:rPr>
          <w:lang w:val="en-GB"/>
        </w:rPr>
        <w:t xml:space="preserve"> are deposited onto the terrestrial environment through rainfall or dry deposition, an</w:t>
      </w:r>
      <w:r w:rsidR="006763E4" w:rsidRPr="00D93FF9">
        <w:rPr>
          <w:lang w:val="en-GB"/>
        </w:rPr>
        <w:t>d</w:t>
      </w:r>
      <w:r w:rsidRPr="00D93FF9">
        <w:rPr>
          <w:lang w:val="en-GB"/>
        </w:rPr>
        <w:t xml:space="preserve"> </w:t>
      </w:r>
      <w:r w:rsidR="006763E4" w:rsidRPr="00D93FF9">
        <w:rPr>
          <w:lang w:val="en-GB"/>
        </w:rPr>
        <w:t xml:space="preserve">subsequently </w:t>
      </w:r>
      <w:r w:rsidR="003E09BF" w:rsidRPr="00D93FF9">
        <w:rPr>
          <w:lang w:val="en-GB"/>
        </w:rPr>
        <w:t xml:space="preserve">become part of the hydrological </w:t>
      </w:r>
      <w:r w:rsidR="00DE4FAA" w:rsidRPr="00D93FF9">
        <w:rPr>
          <w:lang w:val="en-GB"/>
        </w:rPr>
        <w:t>cycle.</w:t>
      </w:r>
      <w:r w:rsidR="00722787" w:rsidRPr="00D93FF9">
        <w:rPr>
          <w:lang w:val="en-GB"/>
        </w:rPr>
        <w:t xml:space="preserve"> </w:t>
      </w:r>
    </w:p>
    <w:p w14:paraId="59DCDA19" w14:textId="156F49FE" w:rsidR="00C46175" w:rsidRPr="00D93FF9" w:rsidRDefault="00E811B8" w:rsidP="003807A1">
      <w:pPr>
        <w:pStyle w:val="BodyText"/>
        <w:spacing w:after="0" w:line="266" w:lineRule="auto"/>
        <w:jc w:val="both"/>
        <w:rPr>
          <w:lang w:val="en-GB"/>
        </w:rPr>
      </w:pPr>
      <w:r w:rsidRPr="00D93FF9">
        <w:rPr>
          <w:lang w:val="en-GB"/>
        </w:rPr>
        <w:t>G</w:t>
      </w:r>
      <w:r w:rsidR="00E90CE0" w:rsidRPr="00D93FF9">
        <w:rPr>
          <w:lang w:val="en-GB"/>
        </w:rPr>
        <w:t xml:space="preserve">roundwater is </w:t>
      </w:r>
      <w:r w:rsidRPr="00D93FF9">
        <w:rPr>
          <w:lang w:val="en-GB"/>
        </w:rPr>
        <w:t>a</w:t>
      </w:r>
      <w:r w:rsidR="00E90CE0" w:rsidRPr="00D93FF9">
        <w:rPr>
          <w:lang w:val="en-GB"/>
        </w:rPr>
        <w:t xml:space="preserve"> major source of water for agriculture in Australia</w:t>
      </w:r>
      <w:r w:rsidRPr="00D93FF9">
        <w:rPr>
          <w:lang w:val="en-GB"/>
        </w:rPr>
        <w:t xml:space="preserve"> and</w:t>
      </w:r>
      <w:r w:rsidR="001F43FF" w:rsidRPr="00D93FF9">
        <w:rPr>
          <w:lang w:val="en-GB"/>
        </w:rPr>
        <w:t xml:space="preserve"> </w:t>
      </w:r>
      <w:r w:rsidR="00E90CE0" w:rsidRPr="00D93FF9">
        <w:rPr>
          <w:lang w:val="en-GB"/>
        </w:rPr>
        <w:t xml:space="preserve">the most significant </w:t>
      </w:r>
      <w:r w:rsidR="00603AE6" w:rsidRPr="00D93FF9">
        <w:rPr>
          <w:lang w:val="en-GB"/>
        </w:rPr>
        <w:t xml:space="preserve">radionuclides </w:t>
      </w:r>
      <w:r w:rsidR="00E90CE0" w:rsidRPr="00D93FF9">
        <w:rPr>
          <w:lang w:val="en-GB"/>
        </w:rPr>
        <w:t xml:space="preserve">naturally occurring </w:t>
      </w:r>
      <w:r w:rsidR="00603AE6" w:rsidRPr="00D93FF9">
        <w:rPr>
          <w:lang w:val="en-GB"/>
        </w:rPr>
        <w:t>in groundwaters are those associated with the uranium and thorium</w:t>
      </w:r>
      <w:r w:rsidR="00E90CE0" w:rsidRPr="00D93FF9">
        <w:rPr>
          <w:lang w:val="en-GB"/>
        </w:rPr>
        <w:t xml:space="preserve"> series</w:t>
      </w:r>
      <w:r w:rsidR="00603AE6" w:rsidRPr="00D93FF9">
        <w:rPr>
          <w:lang w:val="en-GB"/>
        </w:rPr>
        <w:t xml:space="preserve"> as the parent nuclides are considered to have been present during the formation of the earth (Kleinschmidt 2011)</w:t>
      </w:r>
      <w:r w:rsidR="00E90CE0" w:rsidRPr="00D93FF9">
        <w:rPr>
          <w:lang w:val="en-GB"/>
        </w:rPr>
        <w:t xml:space="preserve">. </w:t>
      </w:r>
      <w:r w:rsidR="00603AE6" w:rsidRPr="00D93FF9">
        <w:rPr>
          <w:lang w:val="en-GB"/>
        </w:rPr>
        <w:t xml:space="preserve">More specifically, </w:t>
      </w:r>
      <w:r w:rsidR="00E90CE0" w:rsidRPr="00D93FF9">
        <w:rPr>
          <w:lang w:val="en-GB"/>
        </w:rPr>
        <w:t>Radium-226, radium-228 and uranium- 238 are the natural radionuclides which are often detectable in groundwater supplies</w:t>
      </w:r>
      <w:r w:rsidR="00785B5E" w:rsidRPr="00D93FF9">
        <w:rPr>
          <w:lang w:val="en-GB"/>
        </w:rPr>
        <w:t>.</w:t>
      </w:r>
      <w:r w:rsidR="00F13955" w:rsidRPr="00D93FF9">
        <w:rPr>
          <w:lang w:val="en-GB"/>
        </w:rPr>
        <w:t xml:space="preserve"> </w:t>
      </w:r>
      <w:r w:rsidR="00785B5E" w:rsidRPr="00D93FF9">
        <w:rPr>
          <w:lang w:val="en-GB"/>
        </w:rPr>
        <w:t>T</w:t>
      </w:r>
      <w:r w:rsidR="00546366" w:rsidRPr="00D93FF9">
        <w:rPr>
          <w:lang w:val="en-GB"/>
        </w:rPr>
        <w:t>herefore</w:t>
      </w:r>
      <w:r w:rsidR="00F13955" w:rsidRPr="00D93FF9">
        <w:rPr>
          <w:lang w:val="en-GB"/>
        </w:rPr>
        <w:t>,</w:t>
      </w:r>
      <w:r w:rsidR="00546366" w:rsidRPr="00D93FF9">
        <w:rPr>
          <w:lang w:val="en-GB"/>
        </w:rPr>
        <w:t xml:space="preserve"> </w:t>
      </w:r>
      <w:r w:rsidR="00785B5E" w:rsidRPr="00D93FF9">
        <w:rPr>
          <w:lang w:val="en-GB"/>
        </w:rPr>
        <w:t>it is important to determine the radiation dose associated to their presence in water bodies</w:t>
      </w:r>
      <w:r w:rsidR="00E90CE0" w:rsidRPr="00D93FF9">
        <w:rPr>
          <w:lang w:val="en-GB"/>
        </w:rPr>
        <w:t xml:space="preserve">. Surface water generally contains considerably lower concentrations of these radionuclides. Other long-lived natural radionuclides, for example thorium isotopes and lead-210, are normally not found in surface waters or groundwaters in significant quantities (UN 1993). The possibility of enhanced levels of radionuclides arising from activities such as processing of minerals containing uranium and thorium </w:t>
      </w:r>
      <w:r w:rsidR="00B40597" w:rsidRPr="00D93FF9">
        <w:rPr>
          <w:lang w:val="en-GB"/>
        </w:rPr>
        <w:t>(e</w:t>
      </w:r>
      <w:r w:rsidR="0006688D" w:rsidRPr="00D93FF9">
        <w:rPr>
          <w:lang w:val="en-GB"/>
        </w:rPr>
        <w:t>.</w:t>
      </w:r>
      <w:r w:rsidR="00B40597" w:rsidRPr="00D93FF9">
        <w:rPr>
          <w:lang w:val="en-GB"/>
        </w:rPr>
        <w:t>g</w:t>
      </w:r>
      <w:r w:rsidR="0006688D" w:rsidRPr="00D93FF9">
        <w:rPr>
          <w:lang w:val="en-GB"/>
        </w:rPr>
        <w:t>.</w:t>
      </w:r>
      <w:r w:rsidR="004045AD" w:rsidRPr="00D93FF9">
        <w:rPr>
          <w:lang w:val="en-GB"/>
        </w:rPr>
        <w:t>,</w:t>
      </w:r>
      <w:r w:rsidR="00B40597" w:rsidRPr="00D93FF9">
        <w:rPr>
          <w:lang w:val="en-GB"/>
        </w:rPr>
        <w:t xml:space="preserve"> from the processing of phosphate ores for fertiliser production, </w:t>
      </w:r>
      <w:r w:rsidR="00C41905" w:rsidRPr="00D93FF9">
        <w:rPr>
          <w:lang w:val="en-GB"/>
        </w:rPr>
        <w:t>(</w:t>
      </w:r>
      <w:r w:rsidR="00B40597" w:rsidRPr="00D93FF9">
        <w:rPr>
          <w:lang w:val="en-GB"/>
        </w:rPr>
        <w:t>Pearson et al. 2019</w:t>
      </w:r>
      <w:r w:rsidR="00C41905" w:rsidRPr="00D93FF9">
        <w:rPr>
          <w:lang w:val="en-GB"/>
        </w:rPr>
        <w:t>)</w:t>
      </w:r>
      <w:r w:rsidR="00B40597" w:rsidRPr="00D93FF9">
        <w:rPr>
          <w:lang w:val="en-GB"/>
        </w:rPr>
        <w:t xml:space="preserve">) </w:t>
      </w:r>
      <w:r w:rsidR="00E90CE0" w:rsidRPr="00D93FF9">
        <w:rPr>
          <w:lang w:val="en-GB"/>
        </w:rPr>
        <w:t>also needs to be considered in assessing the radiological quality of stock or irrigation</w:t>
      </w:r>
      <w:r w:rsidR="00E90CE0" w:rsidRPr="00D93FF9">
        <w:rPr>
          <w:spacing w:val="-6"/>
          <w:lang w:val="en-GB"/>
        </w:rPr>
        <w:t xml:space="preserve"> </w:t>
      </w:r>
      <w:r w:rsidR="00E90CE0" w:rsidRPr="00D93FF9">
        <w:rPr>
          <w:lang w:val="en-GB"/>
        </w:rPr>
        <w:t>waters.</w:t>
      </w:r>
      <w:r w:rsidR="00115E52" w:rsidRPr="00D93FF9">
        <w:rPr>
          <w:lang w:val="en-GB"/>
        </w:rPr>
        <w:t xml:space="preserve"> Similarly, radionuclides used for medical purposes (for diagnosis or therapeutic activities)</w:t>
      </w:r>
      <w:r w:rsidR="005570DE" w:rsidRPr="00D93FF9">
        <w:rPr>
          <w:lang w:val="en-GB"/>
        </w:rPr>
        <w:t xml:space="preserve"> and research</w:t>
      </w:r>
      <w:r w:rsidR="00115E52" w:rsidRPr="00D93FF9">
        <w:rPr>
          <w:lang w:val="en-GB"/>
        </w:rPr>
        <w:t xml:space="preserve"> </w:t>
      </w:r>
      <w:r w:rsidR="002013BE" w:rsidRPr="00D93FF9">
        <w:rPr>
          <w:lang w:val="en-GB"/>
        </w:rPr>
        <w:t>end up in wastewater treatment plants and the reuse of water in irrigation can present a risk to the environment even after treatment</w:t>
      </w:r>
      <w:r w:rsidR="00785B5E" w:rsidRPr="00D93FF9">
        <w:rPr>
          <w:lang w:val="en-GB"/>
        </w:rPr>
        <w:t xml:space="preserve">. </w:t>
      </w:r>
    </w:p>
    <w:p w14:paraId="59DCDA1A" w14:textId="0639DD61" w:rsidR="00C46175" w:rsidRPr="00D93FF9" w:rsidRDefault="00E811B8" w:rsidP="00C94C1D">
      <w:pPr>
        <w:pStyle w:val="BodyText"/>
        <w:spacing w:after="0" w:line="266" w:lineRule="auto"/>
        <w:jc w:val="both"/>
        <w:rPr>
          <w:rFonts w:ascii="Arial"/>
          <w:sz w:val="20"/>
          <w:lang w:val="en-GB"/>
        </w:rPr>
      </w:pPr>
      <w:r w:rsidRPr="00D93FF9">
        <w:rPr>
          <w:lang w:val="en-GB"/>
        </w:rPr>
        <w:t>Potassium-40 is a common radioactive constituent of groundwater. However, this radionuclide occurs in a fixed ratio to stable potassium and is not considered a health risk because a constant level is maintained in the human body (UN</w:t>
      </w:r>
      <w:r w:rsidRPr="00D93FF9">
        <w:rPr>
          <w:spacing w:val="-3"/>
          <w:lang w:val="en-GB"/>
        </w:rPr>
        <w:t xml:space="preserve"> </w:t>
      </w:r>
      <w:r w:rsidRPr="00D93FF9">
        <w:rPr>
          <w:lang w:val="en-GB"/>
        </w:rPr>
        <w:t>1993).</w:t>
      </w:r>
      <w:r w:rsidR="00EA2803" w:rsidRPr="00D93FF9">
        <w:rPr>
          <w:lang w:val="en-GB"/>
        </w:rPr>
        <w:t xml:space="preserve"> </w:t>
      </w:r>
      <w:r w:rsidRPr="00D93FF9">
        <w:rPr>
          <w:lang w:val="en-GB"/>
        </w:rPr>
        <w:t xml:space="preserve">Levels of radionuclides </w:t>
      </w:r>
      <w:r w:rsidR="006A2E47" w:rsidRPr="00D93FF9">
        <w:rPr>
          <w:lang w:val="en-GB"/>
        </w:rPr>
        <w:t xml:space="preserve">in soils </w:t>
      </w:r>
      <w:r w:rsidRPr="00D93FF9">
        <w:rPr>
          <w:lang w:val="en-GB"/>
        </w:rPr>
        <w:t xml:space="preserve">from nuclear fallout </w:t>
      </w:r>
      <w:r w:rsidR="006A2E47" w:rsidRPr="00D93FF9">
        <w:rPr>
          <w:lang w:val="en-GB"/>
        </w:rPr>
        <w:t xml:space="preserve">have </w:t>
      </w:r>
      <w:r w:rsidR="00F501C3" w:rsidRPr="00D93FF9">
        <w:rPr>
          <w:lang w:val="en-GB"/>
        </w:rPr>
        <w:t>decreased substantially in the Australian environment since the tests of nuclear weapons in the 1950s and 1960s</w:t>
      </w:r>
      <w:r w:rsidR="00640395" w:rsidRPr="00D93FF9">
        <w:rPr>
          <w:lang w:val="en-GB"/>
        </w:rPr>
        <w:t xml:space="preserve"> and are no longer significant. They have still been detected in some Australian soils, however their concentrations are well below the levels of natural radionuclides (M Cooper unpublished)</w:t>
      </w:r>
      <w:r w:rsidR="00F501C3" w:rsidRPr="00D93FF9">
        <w:rPr>
          <w:lang w:val="en-GB"/>
        </w:rPr>
        <w:t xml:space="preserve">. </w:t>
      </w:r>
      <w:r w:rsidR="007472A0" w:rsidRPr="00D93FF9">
        <w:rPr>
          <w:lang w:val="en-GB"/>
        </w:rPr>
        <w:t>UNSCEAR (2000) estimated that the Southern hemisphere received about a third of global fallout from nuclear atmospheric tests</w:t>
      </w:r>
      <w:r w:rsidR="006B552C" w:rsidRPr="00D93FF9">
        <w:rPr>
          <w:lang w:val="en-GB"/>
        </w:rPr>
        <w:t xml:space="preserve">. </w:t>
      </w:r>
      <w:r w:rsidR="00F501C3" w:rsidRPr="00D93FF9">
        <w:rPr>
          <w:lang w:val="en-GB"/>
        </w:rPr>
        <w:t xml:space="preserve">Nearly sixty years later at the time of the update of these Guidelines, almost two half-lives of </w:t>
      </w:r>
      <w:r w:rsidR="00F501C3" w:rsidRPr="00D93FF9">
        <w:rPr>
          <w:vertAlign w:val="superscript"/>
          <w:lang w:val="en-GB"/>
        </w:rPr>
        <w:t>137</w:t>
      </w:r>
      <w:r w:rsidR="00F501C3" w:rsidRPr="00D93FF9">
        <w:rPr>
          <w:lang w:val="en-GB"/>
        </w:rPr>
        <w:t>Cs have passed (30.07</w:t>
      </w:r>
      <w:r w:rsidR="00C267CA" w:rsidRPr="00D93FF9">
        <w:rPr>
          <w:lang w:val="en-GB"/>
        </w:rPr>
        <w:t xml:space="preserve"> </w:t>
      </w:r>
      <w:r w:rsidR="00F501C3" w:rsidRPr="00D93FF9">
        <w:rPr>
          <w:lang w:val="en-GB"/>
        </w:rPr>
        <w:t>y</w:t>
      </w:r>
      <w:r w:rsidR="0062482A" w:rsidRPr="00D93FF9">
        <w:rPr>
          <w:lang w:val="en-GB"/>
        </w:rPr>
        <w:t>ear</w:t>
      </w:r>
      <w:r w:rsidR="00F501C3" w:rsidRPr="00D93FF9">
        <w:rPr>
          <w:lang w:val="en-GB"/>
        </w:rPr>
        <w:t xml:space="preserve"> half-life) and </w:t>
      </w:r>
      <w:r w:rsidR="000D0198" w:rsidRPr="00D93FF9">
        <w:rPr>
          <w:lang w:val="en-GB"/>
        </w:rPr>
        <w:t>it is therefore difficult to detect this radionuclide in the soil</w:t>
      </w:r>
      <w:r w:rsidR="006B552C" w:rsidRPr="00D93FF9">
        <w:rPr>
          <w:lang w:val="en-GB"/>
        </w:rPr>
        <w:t xml:space="preserve"> hence the need to develop new radioisotopes for soil erosion and sediment tracing </w:t>
      </w:r>
      <w:r w:rsidR="00C30B7B" w:rsidRPr="00D93FF9">
        <w:rPr>
          <w:lang w:val="en-GB"/>
        </w:rPr>
        <w:t xml:space="preserve">and in order to baseline in case of future radionuclide fallout. Plutonium can be one of them </w:t>
      </w:r>
      <w:r w:rsidR="006B552C" w:rsidRPr="00D93FF9">
        <w:rPr>
          <w:lang w:val="en-GB"/>
        </w:rPr>
        <w:t>(Lal et al. 2017</w:t>
      </w:r>
      <w:r w:rsidR="00C30B7B" w:rsidRPr="00D93FF9">
        <w:rPr>
          <w:lang w:val="en-GB"/>
        </w:rPr>
        <w:t>; Meusburger et al. 2020</w:t>
      </w:r>
      <w:r w:rsidR="006B552C" w:rsidRPr="00D93FF9">
        <w:rPr>
          <w:lang w:val="en-GB"/>
        </w:rPr>
        <w:t>)</w:t>
      </w:r>
      <w:r w:rsidR="000D0198" w:rsidRPr="00D93FF9">
        <w:rPr>
          <w:lang w:val="en-GB"/>
        </w:rPr>
        <w:t xml:space="preserve">. </w:t>
      </w:r>
      <w:r w:rsidR="00B429A2" w:rsidRPr="00D93FF9">
        <w:rPr>
          <w:lang w:val="en-GB"/>
        </w:rPr>
        <w:t xml:space="preserve">In the Sydney region, ratios of </w:t>
      </w:r>
      <w:r w:rsidR="00B429A2" w:rsidRPr="00D93FF9">
        <w:rPr>
          <w:vertAlign w:val="superscript"/>
          <w:lang w:val="en-GB"/>
        </w:rPr>
        <w:t>240</w:t>
      </w:r>
      <w:r w:rsidR="00B429A2" w:rsidRPr="00D93FF9">
        <w:rPr>
          <w:lang w:val="en-GB"/>
        </w:rPr>
        <w:t>Pu/</w:t>
      </w:r>
      <w:r w:rsidR="00B429A2" w:rsidRPr="00D93FF9">
        <w:rPr>
          <w:vertAlign w:val="superscript"/>
          <w:lang w:val="en-GB"/>
        </w:rPr>
        <w:t>239</w:t>
      </w:r>
      <w:r w:rsidR="00B429A2" w:rsidRPr="00D93FF9">
        <w:rPr>
          <w:lang w:val="en-GB"/>
        </w:rPr>
        <w:t xml:space="preserve">Pu in creek sediments were found to be lower than the global average </w:t>
      </w:r>
      <w:r w:rsidR="007472A0" w:rsidRPr="00D93FF9">
        <w:rPr>
          <w:lang w:val="en-GB"/>
        </w:rPr>
        <w:t xml:space="preserve">(estimated to be around 0.18) </w:t>
      </w:r>
      <w:r w:rsidR="00B429A2" w:rsidRPr="00D93FF9">
        <w:rPr>
          <w:lang w:val="en-GB"/>
        </w:rPr>
        <w:t>and similar to those reported for other locations away from nuclear testing sites (Smith et al. 201</w:t>
      </w:r>
      <w:r w:rsidR="000D390E" w:rsidRPr="00D93FF9">
        <w:rPr>
          <w:lang w:val="en-GB"/>
        </w:rPr>
        <w:t>6</w:t>
      </w:r>
      <w:r w:rsidR="00C267CA" w:rsidRPr="00D93FF9">
        <w:rPr>
          <w:lang w:val="en-GB"/>
        </w:rPr>
        <w:t xml:space="preserve">. </w:t>
      </w:r>
      <w:r w:rsidR="009C4B8E" w:rsidRPr="00D93FF9">
        <w:rPr>
          <w:lang w:val="en-GB"/>
        </w:rPr>
        <w:t xml:space="preserve">Plutonium ratios in soils from locations close to nuclear weapons test sites in Australia (Maralinga in SA, Montebello Islands off the coast of WA) were different from the global mean, making it possible for the nuclear testing to have influenced regional fallout concentrations (Child </w:t>
      </w:r>
      <w:r w:rsidR="00FA6E9E" w:rsidRPr="00D93FF9">
        <w:rPr>
          <w:lang w:val="en-GB"/>
        </w:rPr>
        <w:t>and</w:t>
      </w:r>
      <w:r w:rsidR="006B56D4" w:rsidRPr="00D93FF9">
        <w:rPr>
          <w:lang w:val="en-GB"/>
        </w:rPr>
        <w:t xml:space="preserve"> Hochkis</w:t>
      </w:r>
      <w:r w:rsidR="009C4B8E" w:rsidRPr="00D93FF9">
        <w:rPr>
          <w:lang w:val="en-GB"/>
        </w:rPr>
        <w:t xml:space="preserve"> 2013</w:t>
      </w:r>
      <w:r w:rsidR="007472A0" w:rsidRPr="00D93FF9">
        <w:rPr>
          <w:lang w:val="en-GB"/>
        </w:rPr>
        <w:t>;</w:t>
      </w:r>
      <w:r w:rsidR="006B552C" w:rsidRPr="00D93FF9">
        <w:rPr>
          <w:lang w:val="en-GB"/>
        </w:rPr>
        <w:t xml:space="preserve"> Lal et al. 2017</w:t>
      </w:r>
      <w:r w:rsidR="009C4B8E" w:rsidRPr="00D93FF9">
        <w:rPr>
          <w:lang w:val="en-GB"/>
        </w:rPr>
        <w:t>)</w:t>
      </w:r>
      <w:r w:rsidR="007472A0" w:rsidRPr="00D93FF9">
        <w:rPr>
          <w:lang w:val="en-GB"/>
        </w:rPr>
        <w:t xml:space="preserve">. </w:t>
      </w:r>
      <w:r w:rsidR="009C4B8E" w:rsidRPr="00D93FF9">
        <w:rPr>
          <w:lang w:val="en-GB"/>
        </w:rPr>
        <w:t xml:space="preserve"> </w:t>
      </w:r>
    </w:p>
    <w:p w14:paraId="59DCDA1B" w14:textId="77777777" w:rsidR="00C46175" w:rsidRPr="00D93FF9" w:rsidRDefault="00C46175" w:rsidP="0069690A">
      <w:pPr>
        <w:pStyle w:val="BodyText"/>
        <w:spacing w:after="0" w:line="266" w:lineRule="auto"/>
        <w:rPr>
          <w:rFonts w:ascii="Arial"/>
          <w:sz w:val="15"/>
          <w:lang w:val="en-GB"/>
        </w:rPr>
      </w:pPr>
    </w:p>
    <w:p w14:paraId="59DCDA1C" w14:textId="77777777" w:rsidR="00C46175" w:rsidRPr="00D93FF9" w:rsidRDefault="00E811B8" w:rsidP="00992F66">
      <w:pPr>
        <w:pStyle w:val="Heading3"/>
        <w:rPr>
          <w:lang w:val="en-GB"/>
        </w:rPr>
      </w:pPr>
      <w:bookmarkStart w:id="342" w:name="_Toc96693611"/>
      <w:r w:rsidRPr="00D93FF9">
        <w:rPr>
          <w:lang w:val="en-GB"/>
        </w:rPr>
        <w:lastRenderedPageBreak/>
        <w:t>Effect on human and animal health</w:t>
      </w:r>
      <w:bookmarkEnd w:id="342"/>
    </w:p>
    <w:p w14:paraId="59DCDA1D" w14:textId="77777777" w:rsidR="00C46175" w:rsidRPr="00D93FF9" w:rsidRDefault="00E811B8" w:rsidP="003807A1">
      <w:pPr>
        <w:pStyle w:val="BodyText"/>
        <w:spacing w:after="0" w:line="266" w:lineRule="auto"/>
        <w:jc w:val="both"/>
        <w:rPr>
          <w:lang w:val="en-GB"/>
        </w:rPr>
      </w:pPr>
      <w:r w:rsidRPr="00D93FF9">
        <w:rPr>
          <w:lang w:val="en-GB"/>
        </w:rPr>
        <w:t>The main risks to health due to radioactivity in water will arise from the transfer of radionuclides from irrigation or stock water to crop or animal products (such as grains, meat and milk) and their subsequent consumption. Cancer is the potential health concern for humans associated with exposure to natural radionuclides.</w:t>
      </w:r>
    </w:p>
    <w:p w14:paraId="59DCDA1E" w14:textId="21FB397C" w:rsidR="00C46175" w:rsidRPr="00D93FF9" w:rsidRDefault="00E811B8" w:rsidP="003807A1">
      <w:pPr>
        <w:pStyle w:val="BodyText"/>
        <w:spacing w:after="0" w:line="266" w:lineRule="auto"/>
        <w:jc w:val="both"/>
        <w:rPr>
          <w:lang w:val="en-GB"/>
        </w:rPr>
      </w:pPr>
      <w:r w:rsidRPr="00D93FF9">
        <w:rPr>
          <w:lang w:val="en-GB"/>
        </w:rPr>
        <w:t>An important consideration is that the naturally occurring radionuclides representing the most significant radiological health risk, radium isotopes and uranium-238, are not taken up readily into animal tissues or organs. Moreover, these radionuclides do not concentrate in meat tissue or milk (International Atomic Energy Agency 1994</w:t>
      </w:r>
      <w:r w:rsidR="002112B9" w:rsidRPr="00D93FF9">
        <w:rPr>
          <w:lang w:val="en-GB"/>
        </w:rPr>
        <w:t>;</w:t>
      </w:r>
      <w:r w:rsidRPr="00D93FF9">
        <w:rPr>
          <w:lang w:val="en-GB"/>
        </w:rPr>
        <w:t xml:space="preserve"> Brown </w:t>
      </w:r>
      <w:r w:rsidR="00FA6E9E" w:rsidRPr="00D93FF9">
        <w:rPr>
          <w:lang w:val="en-GB"/>
        </w:rPr>
        <w:t>and</w:t>
      </w:r>
      <w:r w:rsidRPr="00D93FF9">
        <w:rPr>
          <w:lang w:val="en-GB"/>
        </w:rPr>
        <w:t xml:space="preserve"> Simmonds</w:t>
      </w:r>
      <w:r w:rsidRPr="00D93FF9">
        <w:rPr>
          <w:spacing w:val="-14"/>
          <w:lang w:val="en-GB"/>
        </w:rPr>
        <w:t xml:space="preserve"> </w:t>
      </w:r>
      <w:r w:rsidRPr="00D93FF9">
        <w:rPr>
          <w:lang w:val="en-GB"/>
        </w:rPr>
        <w:t>1995).</w:t>
      </w:r>
    </w:p>
    <w:p w14:paraId="59DCDA1F" w14:textId="300DA575" w:rsidR="00C46175" w:rsidRPr="00D93FF9" w:rsidRDefault="00E811B8" w:rsidP="003807A1">
      <w:pPr>
        <w:pStyle w:val="BodyText"/>
        <w:spacing w:after="0" w:line="266" w:lineRule="auto"/>
        <w:jc w:val="both"/>
        <w:rPr>
          <w:lang w:val="en-GB"/>
        </w:rPr>
      </w:pPr>
      <w:r w:rsidRPr="00D93FF9">
        <w:rPr>
          <w:lang w:val="en-GB"/>
        </w:rPr>
        <w:t>Radiologically significant natural radionuclides do not concentrate in plants and crops (with rare exceptions) and transfer factors in the human food chain are usually well below unity. It is not considered feasible that levels of radioactivity in stock drinking water or irrigation waters used on pastures would be a direct threat to the health of the animals (UN 1993, International Atomic Energy Agency</w:t>
      </w:r>
      <w:r w:rsidRPr="00D93FF9">
        <w:rPr>
          <w:spacing w:val="-7"/>
          <w:lang w:val="en-GB"/>
        </w:rPr>
        <w:t xml:space="preserve"> </w:t>
      </w:r>
      <w:r w:rsidRPr="00D93FF9">
        <w:rPr>
          <w:lang w:val="en-GB"/>
        </w:rPr>
        <w:t>1994).</w:t>
      </w:r>
    </w:p>
    <w:p w14:paraId="59DCDA20" w14:textId="575ED3F1" w:rsidR="00C46175" w:rsidRPr="00D93FF9" w:rsidRDefault="00E811B8" w:rsidP="003807A1">
      <w:pPr>
        <w:pStyle w:val="BodyText"/>
        <w:spacing w:after="0" w:line="266" w:lineRule="auto"/>
        <w:jc w:val="both"/>
        <w:rPr>
          <w:lang w:val="en-GB"/>
        </w:rPr>
      </w:pPr>
      <w:r w:rsidRPr="00D93FF9">
        <w:rPr>
          <w:lang w:val="en-GB"/>
        </w:rPr>
        <w:t xml:space="preserve">Internal radiation exposure is measured in terms of ‘committed effective dose’ which is the dose received over a lifetime following the intake of a radionuclide. The unit of dose is the sievert (Sv). </w:t>
      </w:r>
      <w:r w:rsidR="002A77E7" w:rsidRPr="00D93FF9">
        <w:rPr>
          <w:lang w:val="en-GB"/>
        </w:rPr>
        <w:t xml:space="preserve">Estimations of the </w:t>
      </w:r>
      <w:r w:rsidRPr="00D93FF9">
        <w:rPr>
          <w:lang w:val="en-GB"/>
        </w:rPr>
        <w:t xml:space="preserve">average annual radiation dose from natural sources in Australia </w:t>
      </w:r>
      <w:r w:rsidR="00640395" w:rsidRPr="00D93FF9">
        <w:rPr>
          <w:lang w:val="en-GB"/>
        </w:rPr>
        <w:t>is estimated to be about</w:t>
      </w:r>
      <w:r w:rsidRPr="00D93FF9">
        <w:rPr>
          <w:lang w:val="en-GB"/>
        </w:rPr>
        <w:t xml:space="preserve"> </w:t>
      </w:r>
      <w:r w:rsidR="002013BE" w:rsidRPr="00D93FF9">
        <w:rPr>
          <w:lang w:val="en-GB"/>
        </w:rPr>
        <w:t>1.5</w:t>
      </w:r>
      <w:r w:rsidRPr="00D93FF9">
        <w:rPr>
          <w:lang w:val="en-GB"/>
        </w:rPr>
        <w:t xml:space="preserve"> mSv (</w:t>
      </w:r>
      <w:r w:rsidR="002013BE" w:rsidRPr="00D93FF9">
        <w:rPr>
          <w:lang w:val="en-GB"/>
        </w:rPr>
        <w:t xml:space="preserve">ARPANSA, accessed </w:t>
      </w:r>
      <w:r w:rsidR="00222F1F" w:rsidRPr="00D93FF9">
        <w:rPr>
          <w:lang w:val="en-GB"/>
        </w:rPr>
        <w:t xml:space="preserve">15 april </w:t>
      </w:r>
      <w:r w:rsidR="002013BE" w:rsidRPr="00D93FF9">
        <w:rPr>
          <w:lang w:val="en-GB"/>
        </w:rPr>
        <w:t>2021</w:t>
      </w:r>
      <w:r w:rsidR="00A538A8" w:rsidRPr="00D93FF9">
        <w:rPr>
          <w:lang w:val="en-GB"/>
        </w:rPr>
        <w:t xml:space="preserve"> </w:t>
      </w:r>
      <w:r w:rsidR="002A77E7" w:rsidRPr="00D93FF9">
        <w:rPr>
          <w:lang w:val="en-GB"/>
        </w:rPr>
        <w:t>an</w:t>
      </w:r>
      <w:r w:rsidR="00A538A8" w:rsidRPr="00D93FF9">
        <w:rPr>
          <w:lang w:val="en-GB"/>
        </w:rPr>
        <w:t>d</w:t>
      </w:r>
      <w:r w:rsidR="002A77E7" w:rsidRPr="00D93FF9">
        <w:rPr>
          <w:lang w:val="en-GB"/>
        </w:rPr>
        <w:t xml:space="preserve"> Drinking water guidelines 2011)</w:t>
      </w:r>
      <w:r w:rsidRPr="00D93FF9">
        <w:rPr>
          <w:lang w:val="en-GB"/>
        </w:rPr>
        <w:t xml:space="preserve">. </w:t>
      </w:r>
      <w:r w:rsidR="004E7588" w:rsidRPr="00D93FF9">
        <w:rPr>
          <w:lang w:val="en-GB"/>
        </w:rPr>
        <w:t>Webb et al. (1999) estimated the annual dose in Australia to be at approximately 2mS</w:t>
      </w:r>
      <w:r w:rsidR="004B36D5" w:rsidRPr="00D93FF9">
        <w:rPr>
          <w:lang w:val="en-GB"/>
        </w:rPr>
        <w:t>v</w:t>
      </w:r>
      <w:r w:rsidR="004E7588" w:rsidRPr="00D93FF9">
        <w:rPr>
          <w:lang w:val="en-GB"/>
        </w:rPr>
        <w:t xml:space="preserve">/year. </w:t>
      </w:r>
      <w:r w:rsidRPr="00D93FF9">
        <w:rPr>
          <w:lang w:val="en-GB"/>
        </w:rPr>
        <w:t xml:space="preserve">National guidelines for drinking water quality in Australia </w:t>
      </w:r>
      <w:r w:rsidR="0092416D" w:rsidRPr="00D93FF9">
        <w:rPr>
          <w:lang w:val="en-GB"/>
        </w:rPr>
        <w:t xml:space="preserve">(NHMRC 2011) </w:t>
      </w:r>
      <w:r w:rsidRPr="00D93FF9">
        <w:rPr>
          <w:lang w:val="en-GB"/>
        </w:rPr>
        <w:t>were based upon an annual committed effective dose of 0.1 mSv. For an individual, this represents an annual additional risk of developing cancer of about 5 x 10</w:t>
      </w:r>
      <w:r w:rsidRPr="00D93FF9">
        <w:rPr>
          <w:position w:val="5"/>
          <w:sz w:val="15"/>
          <w:lang w:val="en-GB"/>
        </w:rPr>
        <w:t>-6</w:t>
      </w:r>
      <w:r w:rsidRPr="00D93FF9">
        <w:rPr>
          <w:lang w:val="en-GB"/>
        </w:rPr>
        <w:t>.</w:t>
      </w:r>
    </w:p>
    <w:p w14:paraId="59DCDA21" w14:textId="77777777" w:rsidR="00C46175" w:rsidRPr="00D93FF9" w:rsidRDefault="00E811B8" w:rsidP="003807A1">
      <w:pPr>
        <w:pStyle w:val="BodyText"/>
        <w:spacing w:after="0" w:line="266" w:lineRule="auto"/>
        <w:jc w:val="both"/>
        <w:rPr>
          <w:lang w:val="en-GB"/>
        </w:rPr>
      </w:pPr>
      <w:r w:rsidRPr="00D93FF9">
        <w:rPr>
          <w:lang w:val="en-GB"/>
        </w:rPr>
        <w:t>In applying these guidelines</w:t>
      </w:r>
      <w:r w:rsidR="0069690A" w:rsidRPr="00D93FF9">
        <w:rPr>
          <w:lang w:val="en-GB"/>
        </w:rPr>
        <w:t>,</w:t>
      </w:r>
      <w:r w:rsidRPr="00D93FF9">
        <w:rPr>
          <w:lang w:val="en-GB"/>
        </w:rPr>
        <w:t xml:space="preserve"> it should be noted that the gross alpha and beta recommendations are given to simplify screening measurements and monitoring procedures. Specific radionuclide analysis would only be appropriate if these values are exceeded.</w:t>
      </w:r>
    </w:p>
    <w:p w14:paraId="59DCDA22" w14:textId="77777777" w:rsidR="00C46175" w:rsidRPr="00D93FF9" w:rsidRDefault="00E811B8" w:rsidP="003807A1">
      <w:pPr>
        <w:pStyle w:val="BodyText"/>
        <w:spacing w:after="0" w:line="266" w:lineRule="auto"/>
        <w:jc w:val="both"/>
        <w:rPr>
          <w:lang w:val="en-GB"/>
        </w:rPr>
      </w:pPr>
      <w:r w:rsidRPr="00D93FF9">
        <w:rPr>
          <w:lang w:val="en-GB"/>
        </w:rPr>
        <w:t>A water supply should not be considered to be unsafe for irrigation or stock water if specific radionuclide levels are exceeded. In such cases, further assessment of the supply should be conducted, including possible alternatives. If all or most other water quality parameters are acceptable, it may be possible to accept higher radionuclide concentrations without jeopardising health risks.</w:t>
      </w:r>
    </w:p>
    <w:p w14:paraId="59DCDA23" w14:textId="77777777" w:rsidR="00C46175" w:rsidRPr="00D93FF9" w:rsidRDefault="00C46175" w:rsidP="003807A1">
      <w:pPr>
        <w:pStyle w:val="BodyText"/>
        <w:spacing w:after="0"/>
        <w:rPr>
          <w:sz w:val="25"/>
          <w:lang w:val="en-GB"/>
        </w:rPr>
      </w:pPr>
    </w:p>
    <w:p w14:paraId="59DCDA24" w14:textId="77777777" w:rsidR="00C46175" w:rsidRPr="00D93FF9" w:rsidRDefault="00E811B8" w:rsidP="00992F66">
      <w:pPr>
        <w:pStyle w:val="Heading3"/>
        <w:rPr>
          <w:lang w:val="en-GB"/>
        </w:rPr>
      </w:pPr>
      <w:bookmarkStart w:id="343" w:name="_Toc96693612"/>
      <w:r w:rsidRPr="00D93FF9">
        <w:rPr>
          <w:lang w:val="en-GB"/>
        </w:rPr>
        <w:t>Derivation of guideline values</w:t>
      </w:r>
      <w:bookmarkEnd w:id="343"/>
    </w:p>
    <w:p w14:paraId="59DCDA25" w14:textId="77777777" w:rsidR="00C46175" w:rsidRPr="00D93FF9" w:rsidRDefault="00E811B8" w:rsidP="003807A1">
      <w:pPr>
        <w:pStyle w:val="BodyText"/>
        <w:spacing w:after="0" w:line="266" w:lineRule="auto"/>
        <w:jc w:val="both"/>
        <w:rPr>
          <w:lang w:val="en-GB"/>
        </w:rPr>
      </w:pPr>
      <w:r w:rsidRPr="00D93FF9">
        <w:rPr>
          <w:lang w:val="en-GB"/>
        </w:rPr>
        <w:t>Minimising human exposure to radiation where possible should be a major consideration in establishing guidelines for radiological water quality. An ideal approach may be to maintain the same set of radiological guidelines for stock water as apply for drinking water quality in Australia and New Zealand. However, in most cases this would be impractical. Given that the main source of potential contamination will be naturally occurring radioactivity, it would be sensible to derive guideline values based upon the same dose limit (0.1 mSv) as applies to drinking water but to take into account the low transfer factors for such radionuclides into the human food chain via the animal pathway.</w:t>
      </w:r>
    </w:p>
    <w:p w14:paraId="59DCDA26" w14:textId="4FD54D80" w:rsidR="0045659B" w:rsidRPr="00D93FF9" w:rsidRDefault="00E811B8" w:rsidP="003807A1">
      <w:pPr>
        <w:pStyle w:val="BodyText"/>
        <w:spacing w:after="0" w:line="266" w:lineRule="auto"/>
        <w:jc w:val="both"/>
        <w:rPr>
          <w:lang w:val="en-GB"/>
        </w:rPr>
      </w:pPr>
      <w:r w:rsidRPr="00D93FF9">
        <w:rPr>
          <w:lang w:val="en-GB"/>
        </w:rPr>
        <w:t xml:space="preserve">This </w:t>
      </w:r>
      <w:r w:rsidRPr="00D93FF9">
        <w:rPr>
          <w:spacing w:val="-3"/>
          <w:lang w:val="en-GB"/>
        </w:rPr>
        <w:t xml:space="preserve">review </w:t>
      </w:r>
      <w:r w:rsidRPr="00D93FF9">
        <w:rPr>
          <w:lang w:val="en-GB"/>
        </w:rPr>
        <w:t xml:space="preserve">follows the </w:t>
      </w:r>
      <w:r w:rsidRPr="00D93FF9">
        <w:rPr>
          <w:spacing w:val="-3"/>
          <w:lang w:val="en-GB"/>
        </w:rPr>
        <w:t xml:space="preserve">methodology </w:t>
      </w:r>
      <w:r w:rsidRPr="00D93FF9">
        <w:rPr>
          <w:lang w:val="en-GB"/>
        </w:rPr>
        <w:t xml:space="preserve">outlined in the </w:t>
      </w:r>
      <w:r w:rsidRPr="00D93FF9">
        <w:rPr>
          <w:i/>
          <w:lang w:val="en-GB"/>
        </w:rPr>
        <w:t xml:space="preserve">Australian Drinking </w:t>
      </w:r>
      <w:r w:rsidRPr="00D93FF9">
        <w:rPr>
          <w:i/>
          <w:spacing w:val="-3"/>
          <w:lang w:val="en-GB"/>
        </w:rPr>
        <w:t xml:space="preserve">Water Quality Guidelines </w:t>
      </w:r>
      <w:r w:rsidRPr="00D93FF9">
        <w:rPr>
          <w:spacing w:val="-3"/>
          <w:lang w:val="en-GB"/>
        </w:rPr>
        <w:t xml:space="preserve">(NHMRC </w:t>
      </w:r>
      <w:r w:rsidR="00A642E7" w:rsidRPr="00D93FF9">
        <w:rPr>
          <w:lang w:val="en-GB"/>
        </w:rPr>
        <w:t>2011</w:t>
      </w:r>
      <w:r w:rsidRPr="00D93FF9">
        <w:rPr>
          <w:lang w:val="en-GB"/>
        </w:rPr>
        <w:t>)</w:t>
      </w:r>
      <w:r w:rsidR="00966379" w:rsidRPr="00D93FF9">
        <w:rPr>
          <w:lang w:val="en-GB"/>
        </w:rPr>
        <w:t xml:space="preserve"> and WHO (2017)</w:t>
      </w:r>
      <w:r w:rsidRPr="00D93FF9">
        <w:rPr>
          <w:lang w:val="en-GB"/>
        </w:rPr>
        <w:t xml:space="preserve">, but using an annual </w:t>
      </w:r>
      <w:r w:rsidRPr="00D93FF9">
        <w:rPr>
          <w:spacing w:val="-3"/>
          <w:lang w:val="en-GB"/>
        </w:rPr>
        <w:t>committed</w:t>
      </w:r>
      <w:r w:rsidRPr="00D93FF9">
        <w:rPr>
          <w:spacing w:val="49"/>
          <w:lang w:val="en-GB"/>
        </w:rPr>
        <w:t xml:space="preserve"> </w:t>
      </w:r>
      <w:r w:rsidRPr="00D93FF9">
        <w:rPr>
          <w:spacing w:val="-3"/>
          <w:lang w:val="en-GB"/>
        </w:rPr>
        <w:t>effective</w:t>
      </w:r>
      <w:r w:rsidRPr="00D93FF9">
        <w:rPr>
          <w:spacing w:val="49"/>
          <w:lang w:val="en-GB"/>
        </w:rPr>
        <w:t xml:space="preserve"> </w:t>
      </w:r>
      <w:r w:rsidRPr="00D93FF9">
        <w:rPr>
          <w:lang w:val="en-GB"/>
        </w:rPr>
        <w:t xml:space="preserve">dose of 1 </w:t>
      </w:r>
      <w:r w:rsidRPr="00D93FF9">
        <w:rPr>
          <w:spacing w:val="-4"/>
          <w:lang w:val="en-GB"/>
        </w:rPr>
        <w:t xml:space="preserve">mSv </w:t>
      </w:r>
      <w:r w:rsidRPr="00D93FF9">
        <w:rPr>
          <w:lang w:val="en-GB"/>
        </w:rPr>
        <w:t xml:space="preserve">instead of 0.1 </w:t>
      </w:r>
      <w:r w:rsidRPr="00D93FF9">
        <w:rPr>
          <w:spacing w:val="-4"/>
          <w:lang w:val="en-GB"/>
        </w:rPr>
        <w:t xml:space="preserve">mSv </w:t>
      </w:r>
      <w:r w:rsidRPr="00D93FF9">
        <w:rPr>
          <w:lang w:val="en-GB"/>
        </w:rPr>
        <w:t xml:space="preserve">to calculate </w:t>
      </w:r>
      <w:r w:rsidR="00DF1E37" w:rsidRPr="00D93FF9">
        <w:rPr>
          <w:spacing w:val="-3"/>
          <w:lang w:val="en-GB"/>
        </w:rPr>
        <w:t>guideline</w:t>
      </w:r>
      <w:r w:rsidRPr="00D93FF9">
        <w:rPr>
          <w:spacing w:val="-3"/>
          <w:lang w:val="en-GB"/>
        </w:rPr>
        <w:t xml:space="preserve"> values </w:t>
      </w:r>
      <w:r w:rsidRPr="00D93FF9">
        <w:rPr>
          <w:lang w:val="en-GB"/>
        </w:rPr>
        <w:t xml:space="preserve">for specific radionuclides in </w:t>
      </w:r>
      <w:r w:rsidRPr="00D93FF9">
        <w:rPr>
          <w:spacing w:val="-3"/>
          <w:lang w:val="en-GB"/>
        </w:rPr>
        <w:t xml:space="preserve">irrigation </w:t>
      </w:r>
      <w:r w:rsidRPr="00D93FF9">
        <w:rPr>
          <w:spacing w:val="-2"/>
          <w:lang w:val="en-GB"/>
        </w:rPr>
        <w:t xml:space="preserve">and </w:t>
      </w:r>
      <w:r w:rsidRPr="00D93FF9">
        <w:rPr>
          <w:lang w:val="en-GB"/>
        </w:rPr>
        <w:t>stock</w:t>
      </w:r>
      <w:r w:rsidRPr="00D93FF9">
        <w:rPr>
          <w:spacing w:val="-10"/>
          <w:lang w:val="en-GB"/>
        </w:rPr>
        <w:t xml:space="preserve"> </w:t>
      </w:r>
      <w:r w:rsidRPr="00D93FF9">
        <w:rPr>
          <w:lang w:val="en-GB"/>
        </w:rPr>
        <w:t>waters</w:t>
      </w:r>
      <w:r w:rsidR="00EC4ED4" w:rsidRPr="00D93FF9">
        <w:rPr>
          <w:lang w:val="en-GB"/>
        </w:rPr>
        <w:t>. T</w:t>
      </w:r>
      <w:r w:rsidRPr="00D93FF9">
        <w:rPr>
          <w:lang w:val="en-GB"/>
        </w:rPr>
        <w:t>he following background information</w:t>
      </w:r>
      <w:r w:rsidR="00EC4ED4" w:rsidRPr="00D93FF9">
        <w:rPr>
          <w:lang w:val="en-GB"/>
        </w:rPr>
        <w:t xml:space="preserve"> </w:t>
      </w:r>
      <w:r w:rsidR="00A82D82" w:rsidRPr="00D93FF9">
        <w:rPr>
          <w:lang w:val="en-GB"/>
        </w:rPr>
        <w:t>and assumptions are as follows</w:t>
      </w:r>
      <w:r w:rsidR="00791F88">
        <w:rPr>
          <w:lang w:val="en-GB"/>
        </w:rPr>
        <w:t xml:space="preserve"> (Table 33)</w:t>
      </w:r>
      <w:r w:rsidR="00A82D82" w:rsidRPr="00D93FF9">
        <w:rPr>
          <w:lang w:val="en-GB"/>
        </w:rPr>
        <w:t>:</w:t>
      </w:r>
    </w:p>
    <w:p w14:paraId="59DCDA27" w14:textId="77777777" w:rsidR="0045659B" w:rsidRPr="00D93FF9" w:rsidRDefault="0045659B" w:rsidP="003807A1">
      <w:pPr>
        <w:pStyle w:val="BodyText"/>
        <w:spacing w:after="0" w:line="266" w:lineRule="auto"/>
        <w:jc w:val="both"/>
        <w:rPr>
          <w:lang w:val="en-GB"/>
        </w:rPr>
      </w:pPr>
    </w:p>
    <w:p w14:paraId="59DCDA28" w14:textId="0C88AF4E" w:rsidR="0045659B" w:rsidRPr="00D93FF9" w:rsidRDefault="003D0548" w:rsidP="003D0548">
      <w:pPr>
        <w:pStyle w:val="Caption"/>
        <w:rPr>
          <w:spacing w:val="-8"/>
          <w:lang w:val="en-GB"/>
        </w:rPr>
      </w:pPr>
      <w:bookmarkStart w:id="344" w:name="_Toc96518247"/>
      <w:r w:rsidRPr="00D93FF9">
        <w:lastRenderedPageBreak/>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33</w:t>
      </w:r>
      <w:r w:rsidR="00477102" w:rsidRPr="00D93FF9">
        <w:fldChar w:fldCharType="end"/>
      </w:r>
      <w:r w:rsidRPr="00D93FF9">
        <w:t xml:space="preserve"> </w:t>
      </w:r>
      <w:bookmarkStart w:id="345" w:name="_Hlk153812842"/>
      <w:r w:rsidR="00E811B8" w:rsidRPr="00D93FF9">
        <w:rPr>
          <w:spacing w:val="-8"/>
          <w:lang w:val="en-GB"/>
        </w:rPr>
        <w:t>Dose coefficients for ingestion of radionuclides by adult members of the public</w:t>
      </w:r>
      <w:r w:rsidR="00640395" w:rsidRPr="00D93FF9">
        <w:rPr>
          <w:spacing w:val="-8"/>
          <w:lang w:val="en-GB"/>
        </w:rPr>
        <w:t xml:space="preserve"> </w:t>
      </w:r>
      <w:r w:rsidR="00C109EC" w:rsidRPr="00D93FF9">
        <w:rPr>
          <w:spacing w:val="-8"/>
          <w:lang w:val="en-GB"/>
        </w:rPr>
        <w:t>(ICRP 1996)</w:t>
      </w:r>
      <w:r w:rsidR="00836357" w:rsidRPr="00D93FF9">
        <w:rPr>
          <w:spacing w:val="-8"/>
          <w:lang w:val="en-GB"/>
        </w:rPr>
        <w:t>.</w:t>
      </w:r>
      <w:bookmarkEnd w:id="344"/>
      <w:r w:rsidR="00836357" w:rsidRPr="00D93FF9">
        <w:rPr>
          <w:spacing w:val="-8"/>
          <w:lang w:val="en-GB"/>
        </w:rPr>
        <w:t xml:space="preserve"> </w:t>
      </w:r>
      <w:bookmarkEnd w:id="345"/>
    </w:p>
    <w:tbl>
      <w:tblPr>
        <w:tblStyle w:val="TableGrid"/>
        <w:tblW w:w="0" w:type="auto"/>
        <w:tblInd w:w="2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Dose coefficients for ingestion of radionuclides by adult members of the public"/>
        <w:tblDescription w:val=" The table shows dose coefficients for the radionuclides uranium 238, radium 226 and radium 228 for human adults."/>
      </w:tblPr>
      <w:tblGrid>
        <w:gridCol w:w="2755"/>
        <w:gridCol w:w="1985"/>
        <w:gridCol w:w="1984"/>
        <w:gridCol w:w="1843"/>
      </w:tblGrid>
      <w:tr w:rsidR="00BE3AA8" w:rsidRPr="00D93FF9" w14:paraId="59DCDA2D" w14:textId="77777777" w:rsidTr="0069690A">
        <w:trPr>
          <w:trHeight w:val="764"/>
        </w:trPr>
        <w:tc>
          <w:tcPr>
            <w:tcW w:w="2755" w:type="dxa"/>
            <w:tcBorders>
              <w:top w:val="single" w:sz="4" w:space="0" w:color="auto"/>
              <w:bottom w:val="single" w:sz="4" w:space="0" w:color="auto"/>
            </w:tcBorders>
          </w:tcPr>
          <w:p w14:paraId="59DCDA29"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Category</w:t>
            </w:r>
          </w:p>
        </w:tc>
        <w:tc>
          <w:tcPr>
            <w:tcW w:w="1985" w:type="dxa"/>
            <w:tcBorders>
              <w:top w:val="single" w:sz="4" w:space="0" w:color="auto"/>
              <w:bottom w:val="single" w:sz="4" w:space="0" w:color="auto"/>
            </w:tcBorders>
          </w:tcPr>
          <w:p w14:paraId="59DCDA2A"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Radionuclide</w:t>
            </w:r>
          </w:p>
        </w:tc>
        <w:tc>
          <w:tcPr>
            <w:tcW w:w="1984" w:type="dxa"/>
            <w:tcBorders>
              <w:top w:val="single" w:sz="4" w:space="0" w:color="auto"/>
              <w:bottom w:val="single" w:sz="4" w:space="0" w:color="auto"/>
            </w:tcBorders>
          </w:tcPr>
          <w:p w14:paraId="59DCDA2B"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Dose coefficient (mS/Bq)</w:t>
            </w:r>
          </w:p>
        </w:tc>
        <w:tc>
          <w:tcPr>
            <w:tcW w:w="1843" w:type="dxa"/>
            <w:tcBorders>
              <w:top w:val="single" w:sz="4" w:space="0" w:color="auto"/>
              <w:bottom w:val="single" w:sz="4" w:space="0" w:color="auto"/>
            </w:tcBorders>
          </w:tcPr>
          <w:p w14:paraId="59DCDA2C"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Type of emitter</w:t>
            </w:r>
          </w:p>
        </w:tc>
      </w:tr>
      <w:tr w:rsidR="00BE3AA8" w:rsidRPr="00D93FF9" w14:paraId="59DCDA32" w14:textId="77777777" w:rsidTr="0069690A">
        <w:trPr>
          <w:trHeight w:val="358"/>
        </w:trPr>
        <w:tc>
          <w:tcPr>
            <w:tcW w:w="2755" w:type="dxa"/>
            <w:tcBorders>
              <w:top w:val="single" w:sz="4" w:space="0" w:color="auto"/>
            </w:tcBorders>
          </w:tcPr>
          <w:p w14:paraId="59DCDA2E"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Natural Uranium series</w:t>
            </w:r>
          </w:p>
        </w:tc>
        <w:tc>
          <w:tcPr>
            <w:tcW w:w="1985" w:type="dxa"/>
            <w:tcBorders>
              <w:top w:val="single" w:sz="4" w:space="0" w:color="auto"/>
            </w:tcBorders>
          </w:tcPr>
          <w:p w14:paraId="59DCDA2F"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Uranium -238</w:t>
            </w:r>
          </w:p>
        </w:tc>
        <w:tc>
          <w:tcPr>
            <w:tcW w:w="1984" w:type="dxa"/>
            <w:tcBorders>
              <w:top w:val="single" w:sz="4" w:space="0" w:color="auto"/>
            </w:tcBorders>
          </w:tcPr>
          <w:p w14:paraId="59DCDA30"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4.5 x 10</w:t>
            </w:r>
            <w:r w:rsidRPr="00D93FF9">
              <w:rPr>
                <w:rFonts w:asciiTheme="minorHAnsi" w:hAnsiTheme="minorHAnsi"/>
                <w:spacing w:val="-8"/>
                <w:szCs w:val="18"/>
                <w:vertAlign w:val="superscript"/>
                <w:lang w:val="en-GB"/>
              </w:rPr>
              <w:t>-5</w:t>
            </w:r>
          </w:p>
        </w:tc>
        <w:tc>
          <w:tcPr>
            <w:tcW w:w="1843" w:type="dxa"/>
            <w:tcBorders>
              <w:top w:val="single" w:sz="4" w:space="0" w:color="auto"/>
            </w:tcBorders>
          </w:tcPr>
          <w:p w14:paraId="59DCDA31"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alpha</w:t>
            </w:r>
          </w:p>
        </w:tc>
      </w:tr>
      <w:tr w:rsidR="00BE3AA8" w:rsidRPr="00D93FF9" w14:paraId="59DCDA37" w14:textId="77777777" w:rsidTr="0069690A">
        <w:trPr>
          <w:trHeight w:val="358"/>
        </w:trPr>
        <w:tc>
          <w:tcPr>
            <w:tcW w:w="2755" w:type="dxa"/>
          </w:tcPr>
          <w:p w14:paraId="59DCDA33" w14:textId="77777777" w:rsidR="009E4846" w:rsidRPr="00D93FF9" w:rsidRDefault="009E4846" w:rsidP="003807A1">
            <w:pPr>
              <w:pStyle w:val="BodyText"/>
              <w:spacing w:before="0" w:after="0" w:line="266" w:lineRule="auto"/>
              <w:jc w:val="both"/>
              <w:rPr>
                <w:rFonts w:asciiTheme="minorHAnsi" w:hAnsiTheme="minorHAnsi"/>
                <w:spacing w:val="-8"/>
                <w:szCs w:val="18"/>
                <w:lang w:val="en-GB"/>
              </w:rPr>
            </w:pPr>
          </w:p>
        </w:tc>
        <w:tc>
          <w:tcPr>
            <w:tcW w:w="1985" w:type="dxa"/>
          </w:tcPr>
          <w:p w14:paraId="59DCDA34"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Radium 226</w:t>
            </w:r>
          </w:p>
        </w:tc>
        <w:tc>
          <w:tcPr>
            <w:tcW w:w="1984" w:type="dxa"/>
          </w:tcPr>
          <w:p w14:paraId="59DCDA35"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2.8 x 10</w:t>
            </w:r>
            <w:r w:rsidRPr="00D93FF9">
              <w:rPr>
                <w:rFonts w:asciiTheme="minorHAnsi" w:hAnsiTheme="minorHAnsi"/>
                <w:spacing w:val="-8"/>
                <w:szCs w:val="18"/>
                <w:vertAlign w:val="superscript"/>
                <w:lang w:val="en-GB"/>
              </w:rPr>
              <w:t>-4</w:t>
            </w:r>
          </w:p>
        </w:tc>
        <w:tc>
          <w:tcPr>
            <w:tcW w:w="1843" w:type="dxa"/>
          </w:tcPr>
          <w:p w14:paraId="59DCDA36"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alpha</w:t>
            </w:r>
          </w:p>
        </w:tc>
      </w:tr>
      <w:tr w:rsidR="00BE3AA8" w:rsidRPr="00D93FF9" w14:paraId="59DCDA3C" w14:textId="77777777" w:rsidTr="0069690A">
        <w:trPr>
          <w:trHeight w:val="372"/>
        </w:trPr>
        <w:tc>
          <w:tcPr>
            <w:tcW w:w="2755" w:type="dxa"/>
          </w:tcPr>
          <w:p w14:paraId="59DCDA38"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Natural Thorium series</w:t>
            </w:r>
          </w:p>
        </w:tc>
        <w:tc>
          <w:tcPr>
            <w:tcW w:w="1985" w:type="dxa"/>
          </w:tcPr>
          <w:p w14:paraId="59DCDA39"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Radium 228</w:t>
            </w:r>
          </w:p>
        </w:tc>
        <w:tc>
          <w:tcPr>
            <w:tcW w:w="1984" w:type="dxa"/>
          </w:tcPr>
          <w:p w14:paraId="59DCDA3A"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6.9 x 10</w:t>
            </w:r>
            <w:r w:rsidRPr="00D93FF9">
              <w:rPr>
                <w:rFonts w:asciiTheme="minorHAnsi" w:hAnsiTheme="minorHAnsi"/>
                <w:spacing w:val="-8"/>
                <w:szCs w:val="18"/>
                <w:vertAlign w:val="superscript"/>
                <w:lang w:val="en-GB"/>
              </w:rPr>
              <w:t>-4</w:t>
            </w:r>
          </w:p>
        </w:tc>
        <w:tc>
          <w:tcPr>
            <w:tcW w:w="1843" w:type="dxa"/>
          </w:tcPr>
          <w:p w14:paraId="59DCDA3B" w14:textId="77777777" w:rsidR="009E4846" w:rsidRPr="00D93FF9" w:rsidRDefault="00E811B8" w:rsidP="003807A1">
            <w:pPr>
              <w:pStyle w:val="BodyText"/>
              <w:spacing w:before="0" w:after="0" w:line="266" w:lineRule="auto"/>
              <w:jc w:val="both"/>
              <w:rPr>
                <w:rFonts w:asciiTheme="minorHAnsi" w:hAnsiTheme="minorHAnsi"/>
                <w:spacing w:val="-8"/>
                <w:szCs w:val="18"/>
                <w:lang w:val="en-GB"/>
              </w:rPr>
            </w:pPr>
            <w:r w:rsidRPr="00D93FF9">
              <w:rPr>
                <w:rFonts w:asciiTheme="minorHAnsi" w:hAnsiTheme="minorHAnsi"/>
                <w:spacing w:val="-8"/>
                <w:szCs w:val="18"/>
                <w:lang w:val="en-GB"/>
              </w:rPr>
              <w:t>beta</w:t>
            </w:r>
          </w:p>
        </w:tc>
      </w:tr>
    </w:tbl>
    <w:p w14:paraId="59DCDA3D" w14:textId="77777777" w:rsidR="0045659B" w:rsidRPr="00D93FF9" w:rsidRDefault="0045659B" w:rsidP="003807A1">
      <w:pPr>
        <w:pStyle w:val="BodyText"/>
        <w:spacing w:after="0" w:line="266" w:lineRule="auto"/>
        <w:jc w:val="both"/>
        <w:rPr>
          <w:spacing w:val="-8"/>
          <w:lang w:val="en-GB"/>
        </w:rPr>
      </w:pPr>
    </w:p>
    <w:p w14:paraId="59DCDA3E" w14:textId="77777777" w:rsidR="00966379" w:rsidRPr="00D93FF9" w:rsidRDefault="00E811B8" w:rsidP="0069690A">
      <w:pPr>
        <w:pStyle w:val="BodyText"/>
        <w:spacing w:after="0" w:line="266" w:lineRule="auto"/>
        <w:jc w:val="both"/>
        <w:rPr>
          <w:spacing w:val="-8"/>
          <w:lang w:val="en-GB"/>
        </w:rPr>
      </w:pPr>
      <w:r w:rsidRPr="00D93FF9">
        <w:rPr>
          <w:spacing w:val="-8"/>
          <w:lang w:val="en-GB"/>
        </w:rPr>
        <w:t xml:space="preserve">The guideline value (Bq/L) for radionuclides in drinking-water are calculated using the following equation: </w:t>
      </w:r>
    </w:p>
    <w:p w14:paraId="59DCDA3F" w14:textId="5CD89798" w:rsidR="00966379" w:rsidRPr="00D93FF9" w:rsidRDefault="00E811B8" w:rsidP="0069690A">
      <w:pPr>
        <w:pStyle w:val="BodyText"/>
        <w:spacing w:after="0" w:line="266" w:lineRule="auto"/>
        <w:jc w:val="both"/>
      </w:pPr>
      <w:r w:rsidRPr="00D93FF9">
        <w:t>Annual dose</w:t>
      </w:r>
      <w:r w:rsidR="008D6D45" w:rsidRPr="00D93FF9">
        <w:t xml:space="preserve"> (mS</w:t>
      </w:r>
      <w:r w:rsidR="004B36D5" w:rsidRPr="00D93FF9">
        <w:t>v</w:t>
      </w:r>
      <w:r w:rsidR="008D6D45" w:rsidRPr="00D93FF9">
        <w:t>/year)</w:t>
      </w:r>
      <w:r w:rsidRPr="00D93FF9">
        <w:t xml:space="preserve"> = </w:t>
      </w:r>
      <w:r w:rsidR="008D6D45" w:rsidRPr="00D93FF9">
        <w:t>D</w:t>
      </w:r>
      <w:r w:rsidRPr="00D93FF9">
        <w:t>ose per unit intake</w:t>
      </w:r>
      <w:r w:rsidR="008D6D45" w:rsidRPr="00D93FF9">
        <w:t xml:space="preserve"> (mS</w:t>
      </w:r>
      <w:r w:rsidR="004B36D5" w:rsidRPr="00D93FF9">
        <w:t>v</w:t>
      </w:r>
      <w:r w:rsidR="008D6D45" w:rsidRPr="00D93FF9">
        <w:t>/Bq)</w:t>
      </w:r>
      <w:r w:rsidRPr="00D93FF9">
        <w:t xml:space="preserve"> x </w:t>
      </w:r>
      <w:r w:rsidR="008D6D45" w:rsidRPr="00D93FF9">
        <w:t>A</w:t>
      </w:r>
      <w:r w:rsidRPr="00D93FF9">
        <w:t xml:space="preserve">nnual water consumption </w:t>
      </w:r>
      <w:r w:rsidR="008D6D45" w:rsidRPr="00D93FF9">
        <w:t xml:space="preserve">(L) </w:t>
      </w:r>
      <w:r w:rsidRPr="00D93FF9">
        <w:t xml:space="preserve">x </w:t>
      </w:r>
      <w:r w:rsidR="008D6D45" w:rsidRPr="00D93FF9">
        <w:t>R</w:t>
      </w:r>
      <w:r w:rsidRPr="00D93FF9">
        <w:t>adionuclide concentration (Bq/L)</w:t>
      </w:r>
      <w:r w:rsidR="0069690A" w:rsidRPr="00D93FF9">
        <w:t>.</w:t>
      </w:r>
    </w:p>
    <w:p w14:paraId="59DCDA40" w14:textId="1B9D08C4" w:rsidR="00966379" w:rsidRPr="00D93FF9" w:rsidRDefault="00E811B8" w:rsidP="0069690A">
      <w:pPr>
        <w:pStyle w:val="BodyText"/>
        <w:spacing w:after="0" w:line="266" w:lineRule="auto"/>
        <w:jc w:val="both"/>
      </w:pPr>
      <w:r w:rsidRPr="00D93FF9">
        <w:t>The annual water consumption is estimated at 730L/year (WHO 2017)</w:t>
      </w:r>
      <w:r w:rsidR="00D95248" w:rsidRPr="00D93FF9">
        <w:t xml:space="preserve">, which is a daily intake of 2L per adult person. </w:t>
      </w:r>
    </w:p>
    <w:p w14:paraId="59DCDA41" w14:textId="02D641D5" w:rsidR="00CA7EF6" w:rsidRPr="00D93FF9" w:rsidRDefault="00E811B8" w:rsidP="003807A1">
      <w:pPr>
        <w:pStyle w:val="BodyText"/>
        <w:spacing w:after="0" w:line="266" w:lineRule="auto"/>
        <w:jc w:val="both"/>
        <w:rPr>
          <w:spacing w:val="-3"/>
          <w:lang w:val="en-GB"/>
        </w:rPr>
      </w:pPr>
      <w:r w:rsidRPr="00D93FF9">
        <w:rPr>
          <w:spacing w:val="-3"/>
          <w:lang w:val="en-GB"/>
        </w:rPr>
        <w:t xml:space="preserve">Only key </w:t>
      </w:r>
      <w:r w:rsidRPr="00D93FF9">
        <w:rPr>
          <w:lang w:val="en-GB"/>
        </w:rPr>
        <w:t xml:space="preserve">natural radionuclides </w:t>
      </w:r>
      <w:r w:rsidRPr="00D93FF9">
        <w:rPr>
          <w:spacing w:val="-3"/>
          <w:lang w:val="en-GB"/>
        </w:rPr>
        <w:t xml:space="preserve">have </w:t>
      </w:r>
      <w:r w:rsidRPr="00D93FF9">
        <w:rPr>
          <w:lang w:val="en-GB"/>
        </w:rPr>
        <w:t xml:space="preserve">been considered. </w:t>
      </w:r>
      <w:r w:rsidRPr="00D93FF9">
        <w:rPr>
          <w:spacing w:val="-4"/>
          <w:lang w:val="en-GB"/>
        </w:rPr>
        <w:t xml:space="preserve">It </w:t>
      </w:r>
      <w:r w:rsidRPr="00D93FF9">
        <w:rPr>
          <w:spacing w:val="-3"/>
          <w:lang w:val="en-GB"/>
        </w:rPr>
        <w:t xml:space="preserve">should </w:t>
      </w:r>
      <w:r w:rsidRPr="00D93FF9">
        <w:rPr>
          <w:lang w:val="en-GB"/>
        </w:rPr>
        <w:t xml:space="preserve">be noted that the </w:t>
      </w:r>
      <w:r w:rsidR="005F44B7" w:rsidRPr="00D93FF9">
        <w:rPr>
          <w:spacing w:val="-3"/>
          <w:lang w:val="en-GB"/>
        </w:rPr>
        <w:t>DGV</w:t>
      </w:r>
      <w:r w:rsidRPr="00D93FF9">
        <w:rPr>
          <w:spacing w:val="-3"/>
          <w:lang w:val="en-GB"/>
        </w:rPr>
        <w:t xml:space="preserve"> </w:t>
      </w:r>
      <w:r w:rsidRPr="00D93FF9">
        <w:rPr>
          <w:spacing w:val="-2"/>
          <w:lang w:val="en-GB"/>
        </w:rPr>
        <w:t xml:space="preserve">for </w:t>
      </w:r>
      <w:r w:rsidRPr="00D93FF9">
        <w:rPr>
          <w:spacing w:val="-3"/>
          <w:lang w:val="en-GB"/>
        </w:rPr>
        <w:t>uranium-238</w:t>
      </w:r>
      <w:r w:rsidRPr="00D93FF9">
        <w:rPr>
          <w:spacing w:val="13"/>
          <w:lang w:val="en-GB"/>
        </w:rPr>
        <w:t xml:space="preserve"> </w:t>
      </w:r>
      <w:r w:rsidRPr="00D93FF9">
        <w:rPr>
          <w:lang w:val="en-GB"/>
        </w:rPr>
        <w:t>is</w:t>
      </w:r>
      <w:r w:rsidRPr="00D93FF9">
        <w:rPr>
          <w:spacing w:val="14"/>
          <w:lang w:val="en-GB"/>
        </w:rPr>
        <w:t xml:space="preserve"> </w:t>
      </w:r>
      <w:r w:rsidRPr="00D93FF9">
        <w:rPr>
          <w:lang w:val="en-GB"/>
        </w:rPr>
        <w:t>based</w:t>
      </w:r>
      <w:r w:rsidRPr="00D93FF9">
        <w:rPr>
          <w:spacing w:val="14"/>
          <w:lang w:val="en-GB"/>
        </w:rPr>
        <w:t xml:space="preserve"> </w:t>
      </w:r>
      <w:r w:rsidRPr="00D93FF9">
        <w:rPr>
          <w:lang w:val="en-GB"/>
        </w:rPr>
        <w:t>on</w:t>
      </w:r>
      <w:r w:rsidRPr="00D93FF9">
        <w:rPr>
          <w:spacing w:val="14"/>
          <w:lang w:val="en-GB"/>
        </w:rPr>
        <w:t xml:space="preserve"> </w:t>
      </w:r>
      <w:r w:rsidRPr="00D93FF9">
        <w:rPr>
          <w:spacing w:val="-3"/>
          <w:lang w:val="en-GB"/>
        </w:rPr>
        <w:t>chemical</w:t>
      </w:r>
      <w:r w:rsidRPr="00D93FF9">
        <w:rPr>
          <w:spacing w:val="14"/>
          <w:lang w:val="en-GB"/>
        </w:rPr>
        <w:t xml:space="preserve"> </w:t>
      </w:r>
      <w:r w:rsidRPr="00D93FF9">
        <w:rPr>
          <w:lang w:val="en-GB"/>
        </w:rPr>
        <w:t>toxicity</w:t>
      </w:r>
      <w:r w:rsidRPr="00D93FF9">
        <w:rPr>
          <w:spacing w:val="11"/>
          <w:lang w:val="en-GB"/>
        </w:rPr>
        <w:t xml:space="preserve"> </w:t>
      </w:r>
      <w:r w:rsidRPr="00D93FF9">
        <w:rPr>
          <w:lang w:val="en-GB"/>
        </w:rPr>
        <w:t>considerations</w:t>
      </w:r>
      <w:r w:rsidRPr="00D93FF9">
        <w:rPr>
          <w:spacing w:val="14"/>
          <w:lang w:val="en-GB"/>
        </w:rPr>
        <w:t xml:space="preserve"> </w:t>
      </w:r>
      <w:r w:rsidRPr="00D93FF9">
        <w:rPr>
          <w:spacing w:val="-3"/>
          <w:lang w:val="en-GB"/>
        </w:rPr>
        <w:t>rather</w:t>
      </w:r>
      <w:r w:rsidRPr="00D93FF9">
        <w:rPr>
          <w:spacing w:val="14"/>
          <w:lang w:val="en-GB"/>
        </w:rPr>
        <w:t xml:space="preserve"> </w:t>
      </w:r>
      <w:r w:rsidRPr="00D93FF9">
        <w:rPr>
          <w:lang w:val="en-GB"/>
        </w:rPr>
        <w:t>than</w:t>
      </w:r>
      <w:r w:rsidRPr="00D93FF9">
        <w:rPr>
          <w:spacing w:val="16"/>
          <w:lang w:val="en-GB"/>
        </w:rPr>
        <w:t xml:space="preserve"> </w:t>
      </w:r>
      <w:r w:rsidRPr="00D93FF9">
        <w:rPr>
          <w:lang w:val="en-GB"/>
        </w:rPr>
        <w:t>on</w:t>
      </w:r>
      <w:r w:rsidRPr="00D93FF9">
        <w:rPr>
          <w:spacing w:val="16"/>
          <w:lang w:val="en-GB"/>
        </w:rPr>
        <w:t xml:space="preserve"> </w:t>
      </w:r>
      <w:r w:rsidRPr="00D93FF9">
        <w:rPr>
          <w:spacing w:val="-3"/>
          <w:lang w:val="en-GB"/>
        </w:rPr>
        <w:t>radiological</w:t>
      </w:r>
      <w:r w:rsidRPr="00D93FF9">
        <w:rPr>
          <w:spacing w:val="16"/>
          <w:lang w:val="en-GB"/>
        </w:rPr>
        <w:t xml:space="preserve"> </w:t>
      </w:r>
      <w:r w:rsidRPr="00D93FF9">
        <w:rPr>
          <w:spacing w:val="-3"/>
          <w:lang w:val="en-GB"/>
        </w:rPr>
        <w:t>grounds</w:t>
      </w:r>
      <w:r w:rsidR="00A82D82" w:rsidRPr="00D93FF9">
        <w:rPr>
          <w:spacing w:val="-3"/>
          <w:lang w:val="en-GB"/>
        </w:rPr>
        <w:t xml:space="preserve">. </w:t>
      </w:r>
    </w:p>
    <w:p w14:paraId="59DCDA42" w14:textId="77777777" w:rsidR="00C46175" w:rsidRPr="00D93FF9" w:rsidRDefault="00C46175" w:rsidP="003807A1">
      <w:pPr>
        <w:pStyle w:val="BodyText"/>
        <w:spacing w:after="0"/>
        <w:rPr>
          <w:rFonts w:ascii="Arial"/>
          <w:sz w:val="16"/>
          <w:lang w:val="en-GB"/>
        </w:rPr>
      </w:pPr>
      <w:bookmarkStart w:id="346" w:name="9.2.9__General_water_uses"/>
      <w:bookmarkStart w:id="347" w:name="9.2.9.1__pH"/>
      <w:bookmarkStart w:id="348" w:name="Effect_on_agriculture"/>
      <w:bookmarkEnd w:id="346"/>
      <w:bookmarkEnd w:id="347"/>
      <w:bookmarkEnd w:id="348"/>
    </w:p>
    <w:p w14:paraId="59DCDA43" w14:textId="77777777" w:rsidR="00C46175" w:rsidRPr="00D93FF9" w:rsidRDefault="00E811B8" w:rsidP="003807A1">
      <w:pPr>
        <w:pStyle w:val="BodyText"/>
        <w:spacing w:after="0" w:line="266" w:lineRule="auto"/>
        <w:jc w:val="both"/>
        <w:rPr>
          <w:lang w:val="en-GB"/>
        </w:rPr>
      </w:pPr>
      <w:r w:rsidRPr="00D93FF9">
        <w:rPr>
          <w:lang w:val="en-GB"/>
        </w:rPr>
        <w:t xml:space="preserve">No </w:t>
      </w:r>
      <w:r w:rsidR="00DF1E37" w:rsidRPr="00D93FF9">
        <w:rPr>
          <w:spacing w:val="-3"/>
          <w:lang w:val="en-GB"/>
        </w:rPr>
        <w:t>guideline</w:t>
      </w:r>
      <w:r w:rsidRPr="00D93FF9">
        <w:rPr>
          <w:spacing w:val="-3"/>
          <w:lang w:val="en-GB"/>
        </w:rPr>
        <w:t xml:space="preserve"> values </w:t>
      </w:r>
      <w:r w:rsidRPr="00D93FF9">
        <w:rPr>
          <w:lang w:val="en-GB"/>
        </w:rPr>
        <w:t xml:space="preserve">are presented for other natural </w:t>
      </w:r>
      <w:r w:rsidR="004E7588" w:rsidRPr="00D93FF9">
        <w:rPr>
          <w:lang w:val="en-GB"/>
        </w:rPr>
        <w:t>radio</w:t>
      </w:r>
      <w:r w:rsidRPr="00D93FF9">
        <w:rPr>
          <w:lang w:val="en-GB"/>
        </w:rPr>
        <w:t xml:space="preserve">nuclides, </w:t>
      </w:r>
      <w:r w:rsidRPr="00D93FF9">
        <w:rPr>
          <w:spacing w:val="-3"/>
          <w:lang w:val="en-GB"/>
        </w:rPr>
        <w:t xml:space="preserve">such </w:t>
      </w:r>
      <w:r w:rsidRPr="00D93FF9">
        <w:rPr>
          <w:lang w:val="en-GB"/>
        </w:rPr>
        <w:t xml:space="preserve">as thorium isotopes, </w:t>
      </w:r>
      <w:r w:rsidRPr="00D93FF9">
        <w:rPr>
          <w:spacing w:val="-3"/>
          <w:lang w:val="en-GB"/>
        </w:rPr>
        <w:t>lead-210</w:t>
      </w:r>
      <w:r w:rsidRPr="00D93FF9">
        <w:rPr>
          <w:spacing w:val="-36"/>
          <w:lang w:val="en-GB"/>
        </w:rPr>
        <w:t xml:space="preserve"> </w:t>
      </w:r>
      <w:r w:rsidRPr="00D93FF9">
        <w:rPr>
          <w:lang w:val="en-GB"/>
        </w:rPr>
        <w:t xml:space="preserve">or </w:t>
      </w:r>
      <w:r w:rsidRPr="00D93FF9">
        <w:rPr>
          <w:spacing w:val="-3"/>
          <w:lang w:val="en-GB"/>
        </w:rPr>
        <w:t xml:space="preserve">polonium-210, </w:t>
      </w:r>
      <w:r w:rsidRPr="00D93FF9">
        <w:rPr>
          <w:lang w:val="en-GB"/>
        </w:rPr>
        <w:t xml:space="preserve">because they are </w:t>
      </w:r>
      <w:r w:rsidRPr="00D93FF9">
        <w:rPr>
          <w:spacing w:val="-3"/>
          <w:lang w:val="en-GB"/>
        </w:rPr>
        <w:t xml:space="preserve">rarely found </w:t>
      </w:r>
      <w:r w:rsidRPr="00D93FF9">
        <w:rPr>
          <w:lang w:val="en-GB"/>
        </w:rPr>
        <w:t xml:space="preserve">in </w:t>
      </w:r>
      <w:r w:rsidRPr="00D93FF9">
        <w:rPr>
          <w:spacing w:val="-3"/>
          <w:lang w:val="en-GB"/>
        </w:rPr>
        <w:t xml:space="preserve">surface </w:t>
      </w:r>
      <w:r w:rsidRPr="00D93FF9">
        <w:rPr>
          <w:lang w:val="en-GB"/>
        </w:rPr>
        <w:t xml:space="preserve">or </w:t>
      </w:r>
      <w:r w:rsidRPr="00D93FF9">
        <w:rPr>
          <w:spacing w:val="-3"/>
          <w:lang w:val="en-GB"/>
        </w:rPr>
        <w:t xml:space="preserve">groundwater </w:t>
      </w:r>
      <w:r w:rsidRPr="00D93FF9">
        <w:rPr>
          <w:lang w:val="en-GB"/>
        </w:rPr>
        <w:t>in</w:t>
      </w:r>
      <w:r w:rsidRPr="00D93FF9">
        <w:rPr>
          <w:spacing w:val="-40"/>
          <w:lang w:val="en-GB"/>
        </w:rPr>
        <w:t xml:space="preserve"> </w:t>
      </w:r>
      <w:r w:rsidRPr="00D93FF9">
        <w:rPr>
          <w:spacing w:val="-3"/>
          <w:lang w:val="en-GB"/>
        </w:rPr>
        <w:t xml:space="preserve">significant </w:t>
      </w:r>
      <w:r w:rsidRPr="00D93FF9">
        <w:rPr>
          <w:lang w:val="en-GB"/>
        </w:rPr>
        <w:t>quantities.</w:t>
      </w:r>
    </w:p>
    <w:p w14:paraId="59DCDA44" w14:textId="77777777" w:rsidR="00C46175" w:rsidRPr="00D93FF9" w:rsidRDefault="00E811B8" w:rsidP="003807A1">
      <w:pPr>
        <w:pStyle w:val="BodyText"/>
        <w:spacing w:after="0" w:line="266" w:lineRule="auto"/>
        <w:jc w:val="both"/>
        <w:rPr>
          <w:lang w:val="en-GB"/>
        </w:rPr>
      </w:pPr>
      <w:r w:rsidRPr="00D93FF9">
        <w:rPr>
          <w:spacing w:val="-4"/>
          <w:lang w:val="en-GB"/>
        </w:rPr>
        <w:t xml:space="preserve">In </w:t>
      </w:r>
      <w:r w:rsidRPr="00D93FF9">
        <w:rPr>
          <w:lang w:val="en-GB"/>
        </w:rPr>
        <w:t xml:space="preserve">order to </w:t>
      </w:r>
      <w:r w:rsidRPr="00D93FF9">
        <w:rPr>
          <w:spacing w:val="-3"/>
          <w:lang w:val="en-GB"/>
        </w:rPr>
        <w:t xml:space="preserve">have </w:t>
      </w:r>
      <w:r w:rsidRPr="00D93FF9">
        <w:rPr>
          <w:lang w:val="en-GB"/>
        </w:rPr>
        <w:t xml:space="preserve">a practical </w:t>
      </w:r>
      <w:r w:rsidRPr="00D93FF9">
        <w:rPr>
          <w:spacing w:val="-3"/>
          <w:lang w:val="en-GB"/>
        </w:rPr>
        <w:t xml:space="preserve">monitoring program, </w:t>
      </w:r>
      <w:r w:rsidRPr="00D93FF9">
        <w:rPr>
          <w:lang w:val="en-GB"/>
        </w:rPr>
        <w:t xml:space="preserve">it </w:t>
      </w:r>
      <w:r w:rsidRPr="00D93FF9">
        <w:rPr>
          <w:spacing w:val="-3"/>
          <w:lang w:val="en-GB"/>
        </w:rPr>
        <w:t xml:space="preserve">would </w:t>
      </w:r>
      <w:r w:rsidRPr="00D93FF9">
        <w:rPr>
          <w:lang w:val="en-GB"/>
        </w:rPr>
        <w:t xml:space="preserve">be appropriate to use </w:t>
      </w:r>
      <w:r w:rsidRPr="00D93FF9">
        <w:rPr>
          <w:spacing w:val="-3"/>
          <w:lang w:val="en-GB"/>
        </w:rPr>
        <w:t xml:space="preserve">gross radioactivity </w:t>
      </w:r>
      <w:r w:rsidRPr="00D93FF9">
        <w:rPr>
          <w:lang w:val="en-GB"/>
        </w:rPr>
        <w:t xml:space="preserve">as a screening technique with a </w:t>
      </w:r>
      <w:r w:rsidRPr="00D93FF9">
        <w:rPr>
          <w:spacing w:val="-3"/>
          <w:lang w:val="en-GB"/>
        </w:rPr>
        <w:t xml:space="preserve">level </w:t>
      </w:r>
      <w:r w:rsidRPr="00D93FF9">
        <w:rPr>
          <w:lang w:val="en-GB"/>
        </w:rPr>
        <w:t xml:space="preserve">established </w:t>
      </w:r>
      <w:r w:rsidRPr="00D93FF9">
        <w:rPr>
          <w:spacing w:val="-3"/>
          <w:lang w:val="en-GB"/>
        </w:rPr>
        <w:t xml:space="preserve">above which </w:t>
      </w:r>
      <w:r w:rsidRPr="00D93FF9">
        <w:rPr>
          <w:lang w:val="en-GB"/>
        </w:rPr>
        <w:t xml:space="preserve">specific radionuclide </w:t>
      </w:r>
      <w:r w:rsidRPr="00D93FF9">
        <w:rPr>
          <w:spacing w:val="-3"/>
          <w:lang w:val="en-GB"/>
        </w:rPr>
        <w:t xml:space="preserve">analysis </w:t>
      </w:r>
      <w:r w:rsidRPr="00D93FF9">
        <w:rPr>
          <w:lang w:val="en-GB"/>
        </w:rPr>
        <w:t xml:space="preserve">should be carried out. Gross alpha </w:t>
      </w:r>
      <w:r w:rsidRPr="00D93FF9">
        <w:rPr>
          <w:spacing w:val="-3"/>
          <w:lang w:val="en-GB"/>
        </w:rPr>
        <w:t xml:space="preserve">radioactivity </w:t>
      </w:r>
      <w:r w:rsidRPr="00D93FF9">
        <w:rPr>
          <w:lang w:val="en-GB"/>
        </w:rPr>
        <w:t>will indicate the</w:t>
      </w:r>
      <w:r w:rsidRPr="00D93FF9">
        <w:rPr>
          <w:spacing w:val="-17"/>
          <w:lang w:val="en-GB"/>
        </w:rPr>
        <w:t xml:space="preserve"> </w:t>
      </w:r>
      <w:r w:rsidRPr="00D93FF9">
        <w:rPr>
          <w:lang w:val="en-GB"/>
        </w:rPr>
        <w:t xml:space="preserve">presence of </w:t>
      </w:r>
      <w:r w:rsidRPr="00D93FF9">
        <w:rPr>
          <w:spacing w:val="-3"/>
          <w:lang w:val="en-GB"/>
        </w:rPr>
        <w:t xml:space="preserve">radium-226 </w:t>
      </w:r>
      <w:r w:rsidRPr="00D93FF9">
        <w:rPr>
          <w:lang w:val="en-GB"/>
        </w:rPr>
        <w:t xml:space="preserve">and uranium isotopes. </w:t>
      </w:r>
      <w:r w:rsidRPr="00D93FF9">
        <w:rPr>
          <w:spacing w:val="-4"/>
          <w:lang w:val="en-GB"/>
        </w:rPr>
        <w:t xml:space="preserve">Potassium-40 </w:t>
      </w:r>
      <w:r w:rsidRPr="00D93FF9">
        <w:rPr>
          <w:lang w:val="en-GB"/>
        </w:rPr>
        <w:t xml:space="preserve">will be the </w:t>
      </w:r>
      <w:r w:rsidRPr="00D93FF9">
        <w:rPr>
          <w:spacing w:val="-4"/>
          <w:lang w:val="en-GB"/>
        </w:rPr>
        <w:t xml:space="preserve">most </w:t>
      </w:r>
      <w:r w:rsidRPr="00D93FF9">
        <w:rPr>
          <w:spacing w:val="-3"/>
          <w:lang w:val="en-GB"/>
        </w:rPr>
        <w:t xml:space="preserve">likely </w:t>
      </w:r>
      <w:r w:rsidRPr="00D93FF9">
        <w:rPr>
          <w:lang w:val="en-GB"/>
        </w:rPr>
        <w:t xml:space="preserve">contributor to </w:t>
      </w:r>
      <w:r w:rsidRPr="00D93FF9">
        <w:rPr>
          <w:spacing w:val="-3"/>
          <w:lang w:val="en-GB"/>
        </w:rPr>
        <w:t xml:space="preserve">gross </w:t>
      </w:r>
      <w:r w:rsidRPr="00D93FF9">
        <w:rPr>
          <w:lang w:val="en-GB"/>
        </w:rPr>
        <w:t xml:space="preserve">beta </w:t>
      </w:r>
      <w:r w:rsidRPr="00D93FF9">
        <w:rPr>
          <w:spacing w:val="-3"/>
          <w:lang w:val="en-GB"/>
        </w:rPr>
        <w:t xml:space="preserve">radioactivity, </w:t>
      </w:r>
      <w:r w:rsidRPr="00D93FF9">
        <w:rPr>
          <w:lang w:val="en-GB"/>
        </w:rPr>
        <w:t xml:space="preserve">along </w:t>
      </w:r>
      <w:r w:rsidRPr="00D93FF9">
        <w:rPr>
          <w:spacing w:val="-3"/>
          <w:lang w:val="en-GB"/>
        </w:rPr>
        <w:t xml:space="preserve">with radium-228. </w:t>
      </w:r>
      <w:r w:rsidRPr="00D93FF9">
        <w:rPr>
          <w:lang w:val="en-GB"/>
        </w:rPr>
        <w:t xml:space="preserve">The contribution of </w:t>
      </w:r>
      <w:r w:rsidRPr="00D93FF9">
        <w:rPr>
          <w:spacing w:val="-3"/>
          <w:lang w:val="en-GB"/>
        </w:rPr>
        <w:t xml:space="preserve">potassium-40 </w:t>
      </w:r>
      <w:r w:rsidRPr="00D93FF9">
        <w:rPr>
          <w:lang w:val="en-GB"/>
        </w:rPr>
        <w:t xml:space="preserve">to the </w:t>
      </w:r>
      <w:r w:rsidRPr="00D93FF9">
        <w:rPr>
          <w:spacing w:val="-3"/>
          <w:lang w:val="en-GB"/>
        </w:rPr>
        <w:t xml:space="preserve">gross </w:t>
      </w:r>
      <w:r w:rsidRPr="00D93FF9">
        <w:rPr>
          <w:lang w:val="en-GB"/>
        </w:rPr>
        <w:t xml:space="preserve">beta </w:t>
      </w:r>
      <w:r w:rsidRPr="00D93FF9">
        <w:rPr>
          <w:spacing w:val="-3"/>
          <w:lang w:val="en-GB"/>
        </w:rPr>
        <w:t>activity</w:t>
      </w:r>
      <w:r w:rsidRPr="00D93FF9">
        <w:rPr>
          <w:spacing w:val="-8"/>
          <w:lang w:val="en-GB"/>
        </w:rPr>
        <w:t xml:space="preserve"> </w:t>
      </w:r>
      <w:r w:rsidRPr="00D93FF9">
        <w:rPr>
          <w:lang w:val="en-GB"/>
        </w:rPr>
        <w:t>should</w:t>
      </w:r>
      <w:r w:rsidRPr="00D93FF9">
        <w:rPr>
          <w:spacing w:val="-5"/>
          <w:lang w:val="en-GB"/>
        </w:rPr>
        <w:t xml:space="preserve"> </w:t>
      </w:r>
      <w:r w:rsidRPr="00D93FF9">
        <w:rPr>
          <w:lang w:val="en-GB"/>
        </w:rPr>
        <w:t>be</w:t>
      </w:r>
      <w:r w:rsidRPr="00D93FF9">
        <w:rPr>
          <w:spacing w:val="-6"/>
          <w:lang w:val="en-GB"/>
        </w:rPr>
        <w:t xml:space="preserve"> </w:t>
      </w:r>
      <w:r w:rsidRPr="00D93FF9">
        <w:rPr>
          <w:spacing w:val="-3"/>
          <w:lang w:val="en-GB"/>
        </w:rPr>
        <w:t>determined</w:t>
      </w:r>
      <w:r w:rsidRPr="00D93FF9">
        <w:rPr>
          <w:spacing w:val="-5"/>
          <w:lang w:val="en-GB"/>
        </w:rPr>
        <w:t xml:space="preserve"> </w:t>
      </w:r>
      <w:r w:rsidRPr="00D93FF9">
        <w:rPr>
          <w:lang w:val="en-GB"/>
        </w:rPr>
        <w:t>prior</w:t>
      </w:r>
      <w:r w:rsidRPr="00D93FF9">
        <w:rPr>
          <w:spacing w:val="-5"/>
          <w:lang w:val="en-GB"/>
        </w:rPr>
        <w:t xml:space="preserve"> </w:t>
      </w:r>
      <w:r w:rsidRPr="00D93FF9">
        <w:rPr>
          <w:lang w:val="en-GB"/>
        </w:rPr>
        <w:t>to</w:t>
      </w:r>
      <w:r w:rsidRPr="00D93FF9">
        <w:rPr>
          <w:spacing w:val="-6"/>
          <w:lang w:val="en-GB"/>
        </w:rPr>
        <w:t xml:space="preserve"> </w:t>
      </w:r>
      <w:r w:rsidRPr="00D93FF9">
        <w:rPr>
          <w:lang w:val="en-GB"/>
        </w:rPr>
        <w:t>further</w:t>
      </w:r>
      <w:r w:rsidRPr="00D93FF9">
        <w:rPr>
          <w:spacing w:val="-5"/>
          <w:lang w:val="en-GB"/>
        </w:rPr>
        <w:t xml:space="preserve"> </w:t>
      </w:r>
      <w:r w:rsidRPr="00D93FF9">
        <w:rPr>
          <w:spacing w:val="-3"/>
          <w:lang w:val="en-GB"/>
        </w:rPr>
        <w:t>assessment</w:t>
      </w:r>
      <w:r w:rsidRPr="00D93FF9">
        <w:rPr>
          <w:spacing w:val="-6"/>
          <w:lang w:val="en-GB"/>
        </w:rPr>
        <w:t xml:space="preserve"> </w:t>
      </w:r>
      <w:r w:rsidRPr="00D93FF9">
        <w:rPr>
          <w:lang w:val="en-GB"/>
        </w:rPr>
        <w:t>being</w:t>
      </w:r>
      <w:r w:rsidRPr="00D93FF9">
        <w:rPr>
          <w:spacing w:val="-7"/>
          <w:lang w:val="en-GB"/>
        </w:rPr>
        <w:t xml:space="preserve"> </w:t>
      </w:r>
      <w:r w:rsidRPr="00D93FF9">
        <w:rPr>
          <w:lang w:val="en-GB"/>
        </w:rPr>
        <w:t>carried</w:t>
      </w:r>
      <w:r w:rsidRPr="00D93FF9">
        <w:rPr>
          <w:spacing w:val="-5"/>
          <w:lang w:val="en-GB"/>
        </w:rPr>
        <w:t xml:space="preserve"> </w:t>
      </w:r>
      <w:r w:rsidRPr="00D93FF9">
        <w:rPr>
          <w:lang w:val="en-GB"/>
        </w:rPr>
        <w:t>out.</w:t>
      </w:r>
    </w:p>
    <w:p w14:paraId="59DCDA45" w14:textId="78027214" w:rsidR="00C46175" w:rsidRPr="00D93FF9" w:rsidRDefault="00E811B8" w:rsidP="003807A1">
      <w:pPr>
        <w:pStyle w:val="BodyText"/>
        <w:spacing w:after="0" w:line="266" w:lineRule="auto"/>
        <w:jc w:val="both"/>
        <w:rPr>
          <w:lang w:val="en-GB"/>
        </w:rPr>
      </w:pPr>
      <w:r w:rsidRPr="00D93FF9">
        <w:rPr>
          <w:lang w:val="en-GB"/>
        </w:rPr>
        <w:t xml:space="preserve">Taking into account the recommended </w:t>
      </w:r>
      <w:r w:rsidR="00533FC5" w:rsidRPr="00D93FF9">
        <w:rPr>
          <w:lang w:val="en-GB"/>
        </w:rPr>
        <w:t>guideline</w:t>
      </w:r>
      <w:r w:rsidRPr="00D93FF9">
        <w:rPr>
          <w:lang w:val="en-GB"/>
        </w:rPr>
        <w:t xml:space="preserve"> value concentrations for specific radionuclides, it is recommended that screening values should be established with a gross alpha level o</w:t>
      </w:r>
      <w:r w:rsidR="00264EDE" w:rsidRPr="00D93FF9">
        <w:rPr>
          <w:lang w:val="en-GB"/>
        </w:rPr>
        <w:t xml:space="preserve">f </w:t>
      </w:r>
      <w:r w:rsidRPr="00D93FF9">
        <w:rPr>
          <w:lang w:val="en-GB"/>
        </w:rPr>
        <w:t>0.5 becquerel per litre (Bq/L) and a gross beta concentration of 0.5 Bq/L, after discounting the contribution due to potassium-40.</w:t>
      </w:r>
    </w:p>
    <w:p w14:paraId="59DCDA46" w14:textId="77777777" w:rsidR="00C46175" w:rsidRPr="00D93FF9" w:rsidRDefault="00C46175" w:rsidP="003807A1">
      <w:pPr>
        <w:pStyle w:val="BodyText"/>
        <w:spacing w:after="0"/>
        <w:rPr>
          <w:sz w:val="30"/>
          <w:lang w:val="en-GB"/>
        </w:rPr>
      </w:pPr>
    </w:p>
    <w:p w14:paraId="59DCDA47" w14:textId="77777777" w:rsidR="00C46175" w:rsidRPr="00D93FF9" w:rsidRDefault="00E811B8" w:rsidP="00992F66">
      <w:pPr>
        <w:pStyle w:val="Heading2"/>
        <w:rPr>
          <w:lang w:val="en-GB"/>
        </w:rPr>
      </w:pPr>
      <w:bookmarkStart w:id="349" w:name="_Toc96693613"/>
      <w:r w:rsidRPr="00D93FF9">
        <w:rPr>
          <w:lang w:val="en-GB"/>
        </w:rPr>
        <w:t>General water</w:t>
      </w:r>
      <w:r w:rsidRPr="00D93FF9">
        <w:rPr>
          <w:spacing w:val="2"/>
          <w:lang w:val="en-GB"/>
        </w:rPr>
        <w:t xml:space="preserve"> </w:t>
      </w:r>
      <w:r w:rsidRPr="00D93FF9">
        <w:rPr>
          <w:lang w:val="en-GB"/>
        </w:rPr>
        <w:t>uses</w:t>
      </w:r>
      <w:bookmarkEnd w:id="349"/>
    </w:p>
    <w:p w14:paraId="59DCDA48" w14:textId="77777777" w:rsidR="00C46175" w:rsidRPr="00D93FF9" w:rsidRDefault="00E811B8" w:rsidP="00992F66">
      <w:pPr>
        <w:pStyle w:val="Heading3"/>
        <w:rPr>
          <w:lang w:val="en-GB"/>
        </w:rPr>
      </w:pPr>
      <w:bookmarkStart w:id="350" w:name="_Ref70414755"/>
      <w:bookmarkStart w:id="351" w:name="_Toc96693614"/>
      <w:r w:rsidRPr="00D93FF9">
        <w:rPr>
          <w:lang w:val="en-GB"/>
        </w:rPr>
        <w:t>pH</w:t>
      </w:r>
      <w:bookmarkEnd w:id="350"/>
      <w:bookmarkEnd w:id="351"/>
    </w:p>
    <w:p w14:paraId="59DCDA49" w14:textId="77777777" w:rsidR="00C62E49" w:rsidRPr="00D93FF9" w:rsidRDefault="00E811B8" w:rsidP="007171BC">
      <w:pPr>
        <w:pStyle w:val="Heading5"/>
        <w:tabs>
          <w:tab w:val="left" w:pos="284"/>
        </w:tabs>
        <w:spacing w:before="200" w:after="200" w:line="245" w:lineRule="auto"/>
        <w:ind w:left="284"/>
        <w:jc w:val="both"/>
        <w:rPr>
          <w:i/>
          <w:iCs/>
          <w:lang w:val="en-GB"/>
        </w:rPr>
      </w:pPr>
      <w:r w:rsidRPr="00D93FF9">
        <w:rPr>
          <w:i/>
          <w:iCs/>
          <w:lang w:val="en-GB"/>
        </w:rPr>
        <w:t>To limit corrosion and fouling of pumping, irrigation and stock watering systems, pH should be maintained between 6 and 8.5 for groundwater systems and between 6 and 9 for surface water systems.</w:t>
      </w:r>
    </w:p>
    <w:tbl>
      <w:tblPr>
        <w:tblStyle w:val="TableGrid"/>
        <w:tblW w:w="8247" w:type="dxa"/>
        <w:tblInd w:w="57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846"/>
        <w:gridCol w:w="1869"/>
        <w:gridCol w:w="1775"/>
        <w:gridCol w:w="1749"/>
      </w:tblGrid>
      <w:tr w:rsidR="00BE3AA8" w:rsidRPr="00D93FF9" w14:paraId="59DCDA4F" w14:textId="77777777" w:rsidTr="007171BC">
        <w:trPr>
          <w:trHeight w:val="268"/>
        </w:trPr>
        <w:tc>
          <w:tcPr>
            <w:tcW w:w="982" w:type="dxa"/>
          </w:tcPr>
          <w:p w14:paraId="59DCDA4A" w14:textId="77777777" w:rsidR="00C62E49" w:rsidRPr="00D93FF9" w:rsidRDefault="00E811B8" w:rsidP="003807A1">
            <w:pPr>
              <w:pStyle w:val="Heading5"/>
              <w:spacing w:before="0" w:after="0" w:line="244" w:lineRule="auto"/>
              <w:jc w:val="both"/>
              <w:rPr>
                <w:rFonts w:asciiTheme="minorHAnsi" w:hAnsiTheme="minorHAnsi"/>
                <w:iCs/>
                <w:lang w:val="en-GB"/>
              </w:rPr>
            </w:pPr>
            <w:r w:rsidRPr="00D93FF9">
              <w:rPr>
                <w:rFonts w:asciiTheme="minorHAnsi" w:hAnsiTheme="minorHAnsi"/>
                <w:iCs/>
                <w:lang w:val="en-GB"/>
              </w:rPr>
              <w:t>Parameter</w:t>
            </w:r>
          </w:p>
        </w:tc>
        <w:tc>
          <w:tcPr>
            <w:tcW w:w="1853" w:type="dxa"/>
          </w:tcPr>
          <w:p w14:paraId="59DCDA4B" w14:textId="77777777" w:rsidR="00C62E49" w:rsidRPr="00D93FF9" w:rsidRDefault="00E811B8" w:rsidP="00C94C1D">
            <w:pPr>
              <w:pStyle w:val="Heading5"/>
              <w:spacing w:before="0" w:after="0" w:line="244" w:lineRule="auto"/>
              <w:jc w:val="both"/>
              <w:rPr>
                <w:rFonts w:asciiTheme="minorHAnsi" w:hAnsiTheme="minorHAnsi"/>
                <w:iCs/>
                <w:lang w:val="en-GB"/>
              </w:rPr>
            </w:pPr>
            <w:r w:rsidRPr="00D93FF9">
              <w:rPr>
                <w:rFonts w:asciiTheme="minorHAnsi" w:hAnsiTheme="minorHAnsi"/>
                <w:iCs/>
                <w:lang w:val="en-GB"/>
              </w:rPr>
              <w:t>LSGV</w:t>
            </w:r>
          </w:p>
        </w:tc>
        <w:tc>
          <w:tcPr>
            <w:tcW w:w="1876" w:type="dxa"/>
          </w:tcPr>
          <w:p w14:paraId="59DCDA4C" w14:textId="77777777" w:rsidR="00C62E49" w:rsidRPr="00D93FF9" w:rsidRDefault="00E811B8" w:rsidP="003807A1">
            <w:pPr>
              <w:pStyle w:val="Heading5"/>
              <w:spacing w:before="0" w:after="0" w:line="244" w:lineRule="auto"/>
              <w:jc w:val="both"/>
              <w:rPr>
                <w:rFonts w:asciiTheme="minorHAnsi" w:hAnsiTheme="minorHAnsi"/>
                <w:iCs/>
                <w:lang w:val="en-GB"/>
              </w:rPr>
            </w:pPr>
            <w:r w:rsidRPr="00D93FF9">
              <w:rPr>
                <w:rFonts w:asciiTheme="minorHAnsi" w:hAnsiTheme="minorHAnsi"/>
                <w:iCs/>
                <w:lang w:val="en-GB"/>
              </w:rPr>
              <w:t>LDGV</w:t>
            </w:r>
          </w:p>
        </w:tc>
        <w:tc>
          <w:tcPr>
            <w:tcW w:w="1781" w:type="dxa"/>
          </w:tcPr>
          <w:p w14:paraId="59DCDA4D" w14:textId="77777777" w:rsidR="00C62E49" w:rsidRPr="00D93FF9" w:rsidRDefault="00E811B8" w:rsidP="003807A1">
            <w:pPr>
              <w:pStyle w:val="Heading5"/>
              <w:spacing w:before="0" w:after="0" w:line="244" w:lineRule="auto"/>
              <w:jc w:val="both"/>
              <w:rPr>
                <w:rFonts w:asciiTheme="minorHAnsi" w:hAnsiTheme="minorHAnsi"/>
                <w:iCs/>
                <w:lang w:val="en-GB"/>
              </w:rPr>
            </w:pPr>
            <w:r w:rsidRPr="00D93FF9">
              <w:rPr>
                <w:rFonts w:asciiTheme="minorHAnsi" w:hAnsiTheme="minorHAnsi"/>
                <w:iCs/>
                <w:lang w:val="en-GB"/>
              </w:rPr>
              <w:t>DGV</w:t>
            </w:r>
          </w:p>
        </w:tc>
        <w:tc>
          <w:tcPr>
            <w:tcW w:w="1755" w:type="dxa"/>
          </w:tcPr>
          <w:p w14:paraId="59DCDA4E" w14:textId="77777777" w:rsidR="00C62E49" w:rsidRPr="00D93FF9" w:rsidRDefault="00E811B8" w:rsidP="00C94C1D">
            <w:pPr>
              <w:pStyle w:val="Heading5"/>
              <w:spacing w:before="0" w:after="0" w:line="244" w:lineRule="auto"/>
              <w:jc w:val="both"/>
              <w:rPr>
                <w:rFonts w:asciiTheme="minorHAnsi" w:hAnsiTheme="minorHAnsi"/>
                <w:iCs/>
                <w:lang w:val="en-GB"/>
              </w:rPr>
            </w:pPr>
            <w:r w:rsidRPr="00D93FF9">
              <w:rPr>
                <w:rFonts w:asciiTheme="minorHAnsi" w:hAnsiTheme="minorHAnsi"/>
                <w:iCs/>
                <w:lang w:val="en-GB"/>
              </w:rPr>
              <w:t>SGV</w:t>
            </w:r>
          </w:p>
        </w:tc>
      </w:tr>
      <w:tr w:rsidR="00BE3AA8" w:rsidRPr="00D93FF9" w14:paraId="59DCDA55" w14:textId="77777777" w:rsidTr="007171BC">
        <w:trPr>
          <w:trHeight w:val="253"/>
        </w:trPr>
        <w:tc>
          <w:tcPr>
            <w:tcW w:w="982" w:type="dxa"/>
          </w:tcPr>
          <w:p w14:paraId="59DCDA50" w14:textId="77777777" w:rsidR="00C62E49" w:rsidRPr="00D93FF9" w:rsidRDefault="00E811B8" w:rsidP="00C94C1D">
            <w:pPr>
              <w:pStyle w:val="Heading5"/>
              <w:spacing w:before="0" w:after="0" w:line="244" w:lineRule="auto"/>
              <w:jc w:val="both"/>
              <w:rPr>
                <w:rFonts w:asciiTheme="minorHAnsi" w:hAnsiTheme="minorHAnsi"/>
                <w:iCs/>
                <w:lang w:val="en-GB"/>
              </w:rPr>
            </w:pPr>
            <w:r w:rsidRPr="00D93FF9">
              <w:rPr>
                <w:rFonts w:asciiTheme="minorHAnsi" w:hAnsiTheme="minorHAnsi"/>
                <w:iCs/>
                <w:lang w:val="en-GB"/>
              </w:rPr>
              <w:t>pH</w:t>
            </w:r>
          </w:p>
        </w:tc>
        <w:tc>
          <w:tcPr>
            <w:tcW w:w="1853" w:type="dxa"/>
          </w:tcPr>
          <w:p w14:paraId="59DCDA51" w14:textId="77777777" w:rsidR="00C62E49" w:rsidRPr="00D93FF9" w:rsidRDefault="00E811B8" w:rsidP="003807A1">
            <w:pPr>
              <w:pStyle w:val="Heading5"/>
              <w:spacing w:before="0" w:after="0" w:line="244" w:lineRule="auto"/>
              <w:jc w:val="both"/>
              <w:rPr>
                <w:rFonts w:asciiTheme="minorHAnsi" w:hAnsiTheme="minorHAnsi"/>
                <w:iCs/>
                <w:lang w:val="en-GB"/>
              </w:rPr>
            </w:pPr>
            <w:r w:rsidRPr="00D93FF9">
              <w:rPr>
                <w:rFonts w:asciiTheme="minorHAnsi" w:hAnsiTheme="minorHAnsi"/>
                <w:iCs/>
                <w:lang w:val="en-GB"/>
              </w:rPr>
              <w:t>5.0</w:t>
            </w:r>
          </w:p>
        </w:tc>
        <w:tc>
          <w:tcPr>
            <w:tcW w:w="1876" w:type="dxa"/>
          </w:tcPr>
          <w:p w14:paraId="59DCDA52" w14:textId="77777777" w:rsidR="00C62E49" w:rsidRPr="00D93FF9" w:rsidRDefault="00E811B8" w:rsidP="00C94C1D">
            <w:pPr>
              <w:pStyle w:val="Heading5"/>
              <w:spacing w:before="0" w:after="0" w:line="244" w:lineRule="auto"/>
              <w:jc w:val="both"/>
              <w:rPr>
                <w:rFonts w:asciiTheme="minorHAnsi" w:hAnsiTheme="minorHAnsi"/>
                <w:iCs/>
                <w:lang w:val="en-GB"/>
              </w:rPr>
            </w:pPr>
            <w:r w:rsidRPr="00D93FF9">
              <w:rPr>
                <w:rFonts w:asciiTheme="minorHAnsi" w:hAnsiTheme="minorHAnsi"/>
                <w:iCs/>
                <w:lang w:val="en-GB"/>
              </w:rPr>
              <w:t>6.0</w:t>
            </w:r>
          </w:p>
        </w:tc>
        <w:tc>
          <w:tcPr>
            <w:tcW w:w="1781" w:type="dxa"/>
          </w:tcPr>
          <w:p w14:paraId="59DCDA53" w14:textId="77777777" w:rsidR="00C62E49" w:rsidRPr="00D93FF9" w:rsidRDefault="00E811B8" w:rsidP="003807A1">
            <w:pPr>
              <w:pStyle w:val="Heading5"/>
              <w:spacing w:before="0" w:after="0" w:line="244" w:lineRule="auto"/>
              <w:jc w:val="both"/>
              <w:rPr>
                <w:rFonts w:asciiTheme="minorHAnsi" w:hAnsiTheme="minorHAnsi"/>
                <w:iCs/>
                <w:lang w:val="en-GB"/>
              </w:rPr>
            </w:pPr>
            <w:r w:rsidRPr="00D93FF9">
              <w:rPr>
                <w:rFonts w:asciiTheme="minorHAnsi" w:hAnsiTheme="minorHAnsi"/>
                <w:iCs/>
                <w:lang w:val="en-GB"/>
              </w:rPr>
              <w:t>8.5</w:t>
            </w:r>
          </w:p>
        </w:tc>
        <w:tc>
          <w:tcPr>
            <w:tcW w:w="1755" w:type="dxa"/>
          </w:tcPr>
          <w:p w14:paraId="59DCDA54" w14:textId="77777777" w:rsidR="00C62E49" w:rsidRPr="00D93FF9" w:rsidRDefault="00E811B8" w:rsidP="003807A1">
            <w:pPr>
              <w:pStyle w:val="Heading5"/>
              <w:spacing w:before="0" w:after="0" w:line="244" w:lineRule="auto"/>
              <w:jc w:val="both"/>
              <w:rPr>
                <w:rFonts w:asciiTheme="minorHAnsi" w:hAnsiTheme="minorHAnsi"/>
                <w:iCs/>
                <w:lang w:val="en-GB"/>
              </w:rPr>
            </w:pPr>
            <w:r w:rsidRPr="00D93FF9">
              <w:rPr>
                <w:rFonts w:asciiTheme="minorHAnsi" w:hAnsiTheme="minorHAnsi"/>
                <w:iCs/>
                <w:lang w:val="en-GB"/>
              </w:rPr>
              <w:t>9.0</w:t>
            </w:r>
          </w:p>
        </w:tc>
      </w:tr>
    </w:tbl>
    <w:p w14:paraId="59DCDA56" w14:textId="77777777" w:rsidR="00C62E49" w:rsidRPr="00D93FF9" w:rsidRDefault="00C62E49" w:rsidP="003807A1">
      <w:pPr>
        <w:pStyle w:val="Heading5"/>
        <w:spacing w:before="0" w:line="244" w:lineRule="auto"/>
        <w:jc w:val="both"/>
        <w:rPr>
          <w:lang w:val="en-GB"/>
        </w:rPr>
      </w:pPr>
    </w:p>
    <w:p w14:paraId="59DCDA57" w14:textId="77777777" w:rsidR="00C46175" w:rsidRPr="00D93FF9" w:rsidRDefault="00E811B8" w:rsidP="00992F66">
      <w:pPr>
        <w:pStyle w:val="Heading4"/>
        <w:rPr>
          <w:lang w:val="en-GB"/>
        </w:rPr>
      </w:pPr>
      <w:r w:rsidRPr="00D93FF9">
        <w:rPr>
          <w:lang w:val="en-GB"/>
        </w:rPr>
        <w:t>Description</w:t>
      </w:r>
    </w:p>
    <w:p w14:paraId="59DCDA58" w14:textId="77777777" w:rsidR="00C46175" w:rsidRPr="00D93FF9" w:rsidRDefault="00E811B8" w:rsidP="003807A1">
      <w:pPr>
        <w:pStyle w:val="BodyText"/>
        <w:spacing w:after="0" w:line="266" w:lineRule="auto"/>
        <w:jc w:val="both"/>
        <w:rPr>
          <w:lang w:val="en-GB"/>
        </w:rPr>
      </w:pPr>
      <w:r w:rsidRPr="00D93FF9">
        <w:rPr>
          <w:lang w:val="en-GB"/>
        </w:rPr>
        <w:t>Measurement of pH is made to assess the acidity or alkalinity of a particular water in terms of its hydrogen ion (H</w:t>
      </w:r>
      <w:r w:rsidRPr="00D93FF9">
        <w:rPr>
          <w:position w:val="5"/>
          <w:sz w:val="15"/>
          <w:lang w:val="en-GB"/>
        </w:rPr>
        <w:t>+</w:t>
      </w:r>
      <w:r w:rsidRPr="00D93FF9">
        <w:rPr>
          <w:lang w:val="en-GB"/>
        </w:rPr>
        <w:t>) activity where:</w:t>
      </w:r>
    </w:p>
    <w:p w14:paraId="59DCDA59" w14:textId="77777777" w:rsidR="00C46175" w:rsidRPr="00D93FF9" w:rsidRDefault="00E811B8" w:rsidP="003C44DB">
      <w:pPr>
        <w:pStyle w:val="BodyText"/>
        <w:tabs>
          <w:tab w:val="left" w:pos="7904"/>
        </w:tabs>
        <w:spacing w:before="120" w:after="120"/>
        <w:jc w:val="both"/>
        <w:rPr>
          <w:lang w:val="en-GB"/>
        </w:rPr>
      </w:pPr>
      <w:r w:rsidRPr="00D93FF9">
        <w:rPr>
          <w:lang w:val="en-GB"/>
        </w:rPr>
        <w:t>pH = -</w:t>
      </w:r>
      <w:r w:rsidRPr="00D93FF9">
        <w:rPr>
          <w:spacing w:val="-3"/>
          <w:lang w:val="en-GB"/>
        </w:rPr>
        <w:t xml:space="preserve"> </w:t>
      </w:r>
      <w:r w:rsidRPr="00D93FF9">
        <w:rPr>
          <w:lang w:val="en-GB"/>
        </w:rPr>
        <w:t>log</w:t>
      </w:r>
      <w:r w:rsidRPr="00D93FF9">
        <w:rPr>
          <w:spacing w:val="-2"/>
          <w:lang w:val="en-GB"/>
        </w:rPr>
        <w:t xml:space="preserve"> </w:t>
      </w:r>
      <w:r w:rsidRPr="00D93FF9">
        <w:rPr>
          <w:lang w:val="en-GB"/>
        </w:rPr>
        <w:t>[H</w:t>
      </w:r>
      <w:r w:rsidRPr="00D93FF9">
        <w:rPr>
          <w:vertAlign w:val="superscript"/>
          <w:lang w:val="en-GB"/>
        </w:rPr>
        <w:t>+</w:t>
      </w:r>
      <w:r w:rsidRPr="00D93FF9">
        <w:rPr>
          <w:lang w:val="en-GB"/>
        </w:rPr>
        <w:t>]</w:t>
      </w:r>
      <w:r w:rsidRPr="00D93FF9">
        <w:rPr>
          <w:lang w:val="en-GB"/>
        </w:rPr>
        <w:tab/>
      </w:r>
    </w:p>
    <w:p w14:paraId="59DCDA5A" w14:textId="77777777" w:rsidR="00C46175" w:rsidRPr="00D93FF9" w:rsidRDefault="00E811B8" w:rsidP="003807A1">
      <w:pPr>
        <w:pStyle w:val="BodyText"/>
        <w:spacing w:after="0" w:line="266" w:lineRule="auto"/>
        <w:jc w:val="both"/>
        <w:rPr>
          <w:lang w:val="en-GB"/>
        </w:rPr>
      </w:pPr>
      <w:r w:rsidRPr="00D93FF9">
        <w:rPr>
          <w:lang w:val="en-GB"/>
        </w:rPr>
        <w:lastRenderedPageBreak/>
        <w:t>A unit change in pH corresponds to a logarithmic (10x) change in H</w:t>
      </w:r>
      <w:r w:rsidRPr="00D93FF9">
        <w:rPr>
          <w:position w:val="5"/>
          <w:sz w:val="15"/>
          <w:lang w:val="en-GB"/>
        </w:rPr>
        <w:t xml:space="preserve">+ </w:t>
      </w:r>
      <w:r w:rsidRPr="00D93FF9">
        <w:rPr>
          <w:lang w:val="en-GB"/>
        </w:rPr>
        <w:t>activity. The pH scale ranges between 0 and 14, with 7 considered neutral, values &lt;7 acidic, and values &gt;7</w:t>
      </w:r>
      <w:r w:rsidRPr="00D93FF9">
        <w:rPr>
          <w:spacing w:val="13"/>
          <w:lang w:val="en-GB"/>
        </w:rPr>
        <w:t xml:space="preserve"> </w:t>
      </w:r>
      <w:r w:rsidRPr="00D93FF9">
        <w:rPr>
          <w:lang w:val="en-GB"/>
        </w:rPr>
        <w:t>alkaline.</w:t>
      </w:r>
    </w:p>
    <w:p w14:paraId="59DCDA5B" w14:textId="5DF5973C" w:rsidR="00C46175" w:rsidRPr="00D93FF9" w:rsidRDefault="00E811B8" w:rsidP="003807A1">
      <w:pPr>
        <w:pStyle w:val="BodyText"/>
        <w:spacing w:after="0" w:line="266" w:lineRule="auto"/>
        <w:jc w:val="both"/>
        <w:rPr>
          <w:lang w:val="en-GB"/>
        </w:rPr>
      </w:pPr>
      <w:r w:rsidRPr="00D93FF9">
        <w:rPr>
          <w:lang w:val="en-GB"/>
        </w:rPr>
        <w:t>In itself, pH does not actually represent a water quality issue, but rather it can give an indication of the presence of a number of water quality related problems. The greatest hazard encountered with low or high levels of pH is the potential for deterioration as a result of corrosion or fouling. Elevated levels of pH (&gt;8.3) can indicate the presence of bicarbonate</w:t>
      </w:r>
      <w:r w:rsidR="00C62E49" w:rsidRPr="00D93FF9">
        <w:rPr>
          <w:lang w:val="en-GB"/>
        </w:rPr>
        <w:t xml:space="preserve"> and</w:t>
      </w:r>
      <w:r w:rsidRPr="00D93FF9">
        <w:rPr>
          <w:lang w:val="en-GB"/>
        </w:rPr>
        <w:t xml:space="preserve"> carbonate and </w:t>
      </w:r>
      <w:r w:rsidR="00C62E49" w:rsidRPr="00D93FF9">
        <w:rPr>
          <w:lang w:val="en-GB"/>
        </w:rPr>
        <w:t xml:space="preserve">indirectly </w:t>
      </w:r>
      <w:r w:rsidRPr="00D93FF9">
        <w:rPr>
          <w:lang w:val="en-GB"/>
        </w:rPr>
        <w:t>sodium</w:t>
      </w:r>
      <w:r w:rsidR="00C62E49" w:rsidRPr="00D93FF9">
        <w:rPr>
          <w:lang w:val="en-GB"/>
        </w:rPr>
        <w:t xml:space="preserve"> ratios with calcium and magnesium</w:t>
      </w:r>
      <w:r w:rsidRPr="00D93FF9">
        <w:rPr>
          <w:lang w:val="en-GB"/>
        </w:rPr>
        <w:t xml:space="preserve">; these issues are addressed separately (see Sections </w:t>
      </w:r>
      <w:r w:rsidR="007171BC" w:rsidRPr="00D93FF9">
        <w:rPr>
          <w:lang w:val="en-GB"/>
        </w:rPr>
        <w:fldChar w:fldCharType="begin"/>
      </w:r>
      <w:r w:rsidR="007171BC" w:rsidRPr="00D93FF9">
        <w:rPr>
          <w:lang w:val="en-GB"/>
        </w:rPr>
        <w:instrText xml:space="preserve"> REF _Ref70500637 \r \h  \* MERGEFORMAT </w:instrText>
      </w:r>
      <w:r w:rsidR="007171BC" w:rsidRPr="00D93FF9">
        <w:rPr>
          <w:lang w:val="en-GB"/>
        </w:rPr>
      </w:r>
      <w:r w:rsidR="007171BC" w:rsidRPr="00D93FF9">
        <w:rPr>
          <w:lang w:val="en-GB"/>
        </w:rPr>
        <w:fldChar w:fldCharType="separate"/>
      </w:r>
      <w:r w:rsidR="0069302C">
        <w:rPr>
          <w:lang w:val="en-GB"/>
        </w:rPr>
        <w:t>4.1</w:t>
      </w:r>
      <w:r w:rsidR="007171BC" w:rsidRPr="00D93FF9">
        <w:rPr>
          <w:lang w:val="en-GB"/>
        </w:rPr>
        <w:fldChar w:fldCharType="end"/>
      </w:r>
      <w:r w:rsidR="007171BC" w:rsidRPr="00D93FF9">
        <w:rPr>
          <w:lang w:val="en-GB"/>
        </w:rPr>
        <w:t xml:space="preserve"> </w:t>
      </w:r>
      <w:r w:rsidRPr="00D93FF9">
        <w:rPr>
          <w:lang w:val="en-GB"/>
        </w:rPr>
        <w:t>and</w:t>
      </w:r>
      <w:r w:rsidR="007171BC" w:rsidRPr="00D93FF9">
        <w:rPr>
          <w:lang w:val="en-GB"/>
        </w:rPr>
        <w:t xml:space="preserve"> </w:t>
      </w:r>
      <w:r w:rsidR="007171BC" w:rsidRPr="00D93FF9">
        <w:rPr>
          <w:lang w:val="en-GB"/>
        </w:rPr>
        <w:fldChar w:fldCharType="begin"/>
      </w:r>
      <w:r w:rsidR="007171BC" w:rsidRPr="00D93FF9">
        <w:rPr>
          <w:lang w:val="en-GB"/>
        </w:rPr>
        <w:instrText xml:space="preserve"> REF _Ref71721684 \r \h </w:instrText>
      </w:r>
      <w:r w:rsidR="00D93FF9">
        <w:rPr>
          <w:lang w:val="en-GB"/>
        </w:rPr>
        <w:instrText xml:space="preserve"> \* MERGEFORMAT </w:instrText>
      </w:r>
      <w:r w:rsidR="007171BC" w:rsidRPr="00D93FF9">
        <w:rPr>
          <w:lang w:val="en-GB"/>
        </w:rPr>
      </w:r>
      <w:r w:rsidR="007171BC" w:rsidRPr="00D93FF9">
        <w:rPr>
          <w:lang w:val="en-GB"/>
        </w:rPr>
        <w:fldChar w:fldCharType="separate"/>
      </w:r>
      <w:r w:rsidR="0069302C">
        <w:rPr>
          <w:lang w:val="en-GB"/>
        </w:rPr>
        <w:t>4.3</w:t>
      </w:r>
      <w:r w:rsidR="007171BC" w:rsidRPr="00D93FF9">
        <w:rPr>
          <w:lang w:val="en-GB"/>
        </w:rPr>
        <w:fldChar w:fldCharType="end"/>
      </w:r>
      <w:r w:rsidRPr="00D93FF9">
        <w:rPr>
          <w:lang w:val="en-GB"/>
        </w:rPr>
        <w:t>).</w:t>
      </w:r>
    </w:p>
    <w:p w14:paraId="59DCDA5C" w14:textId="77777777" w:rsidR="00C46175" w:rsidRPr="00D93FF9" w:rsidRDefault="00E811B8" w:rsidP="00992F66">
      <w:pPr>
        <w:pStyle w:val="Heading4"/>
        <w:rPr>
          <w:lang w:val="en-GB"/>
        </w:rPr>
      </w:pPr>
      <w:r w:rsidRPr="00D93FF9">
        <w:rPr>
          <w:lang w:val="en-GB"/>
        </w:rPr>
        <w:t>Effect on agriculture</w:t>
      </w:r>
    </w:p>
    <w:p w14:paraId="59DCDA5D" w14:textId="77777777" w:rsidR="00C46175" w:rsidRPr="00D93FF9" w:rsidRDefault="00E811B8" w:rsidP="003807A1">
      <w:pPr>
        <w:pStyle w:val="BodyText"/>
        <w:spacing w:after="0" w:line="266" w:lineRule="auto"/>
        <w:jc w:val="both"/>
        <w:rPr>
          <w:lang w:val="en-GB"/>
        </w:rPr>
      </w:pPr>
      <w:r w:rsidRPr="00D93FF9">
        <w:rPr>
          <w:lang w:val="en-GB"/>
        </w:rPr>
        <w:t>Besides corrosion and fouling of water infrastructure, high or low pH can give an indication of potentially adverse conditions which may affect soil and crop health. In the case of irrigation water, slight deviations from guideline values will not greatly affect soil which is generally well buffered and can withstand change. However</w:t>
      </w:r>
      <w:r w:rsidR="00174737" w:rsidRPr="00D93FF9">
        <w:rPr>
          <w:lang w:val="en-GB"/>
        </w:rPr>
        <w:t>,</w:t>
      </w:r>
      <w:r w:rsidRPr="00D93FF9">
        <w:rPr>
          <w:lang w:val="en-GB"/>
        </w:rPr>
        <w:t xml:space="preserve"> with significant variations, soil may be affected resulting in an overall modification of soil</w:t>
      </w:r>
      <w:r w:rsidRPr="00D93FF9">
        <w:rPr>
          <w:spacing w:val="-6"/>
          <w:lang w:val="en-GB"/>
        </w:rPr>
        <w:t xml:space="preserve"> </w:t>
      </w:r>
      <w:r w:rsidRPr="00D93FF9">
        <w:rPr>
          <w:lang w:val="en-GB"/>
        </w:rPr>
        <w:t>pH.</w:t>
      </w:r>
    </w:p>
    <w:p w14:paraId="59DCDA5E" w14:textId="3CF8845D" w:rsidR="00C46175" w:rsidRPr="00D93FF9" w:rsidRDefault="00E811B8" w:rsidP="003807A1">
      <w:pPr>
        <w:pStyle w:val="BodyText"/>
        <w:spacing w:after="0" w:line="266" w:lineRule="auto"/>
        <w:jc w:val="both"/>
        <w:rPr>
          <w:rFonts w:ascii="Arial"/>
          <w:sz w:val="20"/>
          <w:lang w:val="en-GB"/>
        </w:rPr>
      </w:pPr>
      <w:r w:rsidRPr="00D93FF9">
        <w:rPr>
          <w:lang w:val="en-GB"/>
        </w:rPr>
        <w:t>Acidic irrigation water can result in the mobilisation of various ions in the upper soil profile, for example, metals such as aluminium and manganese, in concentrations large enough to be toxic to plant growth (Gill 1986). Alkaline irrigation water can affect plant growth when applied to soil by reducing the availability of trace elements and potentially causing nutrient imbalance (Slattery et al. 1999).</w:t>
      </w:r>
      <w:bookmarkStart w:id="352" w:name="9.2.9.2__Corrosion"/>
      <w:bookmarkStart w:id="353" w:name="Description"/>
      <w:bookmarkEnd w:id="352"/>
      <w:bookmarkEnd w:id="353"/>
      <w:r w:rsidR="00A538A8" w:rsidRPr="00D93FF9">
        <w:rPr>
          <w:rFonts w:ascii="Arial"/>
          <w:sz w:val="20"/>
          <w:lang w:val="en-GB"/>
        </w:rPr>
        <w:t xml:space="preserve"> </w:t>
      </w:r>
    </w:p>
    <w:p w14:paraId="59DCDA5F" w14:textId="77777777" w:rsidR="00C46175" w:rsidRPr="00D93FF9" w:rsidRDefault="00C46175" w:rsidP="003807A1">
      <w:pPr>
        <w:pStyle w:val="BodyText"/>
        <w:spacing w:after="0"/>
        <w:rPr>
          <w:rFonts w:ascii="Arial"/>
          <w:lang w:val="en-GB"/>
        </w:rPr>
      </w:pPr>
    </w:p>
    <w:p w14:paraId="59DCDA60" w14:textId="70A82C1E" w:rsidR="00C46175" w:rsidRPr="00D93FF9" w:rsidRDefault="00E811B8" w:rsidP="00992F66">
      <w:pPr>
        <w:pStyle w:val="Heading4"/>
        <w:rPr>
          <w:lang w:val="en-GB"/>
        </w:rPr>
      </w:pPr>
      <w:r w:rsidRPr="00D93FF9">
        <w:rPr>
          <w:lang w:val="en-GB"/>
        </w:rPr>
        <w:t xml:space="preserve">Derivation of </w:t>
      </w:r>
      <w:r w:rsidR="005F44B7" w:rsidRPr="00D93FF9">
        <w:rPr>
          <w:lang w:val="en-GB"/>
        </w:rPr>
        <w:t>DGVs</w:t>
      </w:r>
    </w:p>
    <w:p w14:paraId="59DCDA61" w14:textId="73D6298B" w:rsidR="00C46175" w:rsidRPr="00D93FF9" w:rsidRDefault="00E811B8" w:rsidP="003807A1">
      <w:pPr>
        <w:pStyle w:val="BodyText"/>
        <w:spacing w:after="0" w:line="264" w:lineRule="auto"/>
        <w:jc w:val="both"/>
        <w:rPr>
          <w:lang w:val="en-GB"/>
        </w:rPr>
      </w:pPr>
      <w:r w:rsidRPr="00D93FF9">
        <w:rPr>
          <w:lang w:val="en-GB"/>
        </w:rPr>
        <w:t xml:space="preserve">Guidelines for pH levels to minimise corrosion and fouling are provided for agricultural waters by Gill (1986). These indicate that a pH &lt;5 could potentially be corrosive. Values between 5 and 6 should be regarded with caution and an overall pH of &gt;6 should be maintained to limit the level of corrosion in a system. Because of the increased potential in groundwaters for encrustation and fouling (McLaughlan 1996), their recommended upper limit (pH </w:t>
      </w:r>
      <w:r w:rsidR="00962EA1" w:rsidRPr="00D93FF9">
        <w:rPr>
          <w:rFonts w:ascii="Symbol" w:hAnsi="Symbol"/>
          <w:lang w:val="en-GB"/>
        </w:rPr>
        <w:sym w:font="Symbol" w:char="F03C"/>
      </w:r>
      <w:r w:rsidRPr="00D93FF9">
        <w:rPr>
          <w:lang w:val="en-GB"/>
        </w:rPr>
        <w:t>8.5) is slightly lower than for surface waters (pH</w:t>
      </w:r>
      <w:r w:rsidRPr="00D93FF9">
        <w:rPr>
          <w:spacing w:val="-4"/>
          <w:lang w:val="en-GB"/>
        </w:rPr>
        <w:t xml:space="preserve"> </w:t>
      </w:r>
      <w:r w:rsidR="00962EA1" w:rsidRPr="00D93FF9">
        <w:rPr>
          <w:rFonts w:ascii="Symbol" w:hAnsi="Symbol"/>
          <w:lang w:val="en-GB"/>
        </w:rPr>
        <w:sym w:font="Symbol" w:char="F03C"/>
      </w:r>
      <w:r w:rsidRPr="00D93FF9">
        <w:rPr>
          <w:lang w:val="en-GB"/>
        </w:rPr>
        <w:t>9).</w:t>
      </w:r>
      <w:r w:rsidR="00C62E49" w:rsidRPr="00D93FF9">
        <w:rPr>
          <w:lang w:val="en-GB"/>
        </w:rPr>
        <w:t xml:space="preserve"> The World Health Organisation indicates that a normal pH range in irrigation water ranges from 6.5 to 8.0 </w:t>
      </w:r>
      <w:r w:rsidR="00C62E49" w:rsidRPr="00D93FF9">
        <w:rPr>
          <w:lang w:val="en-GB"/>
        </w:rPr>
        <w:fldChar w:fldCharType="begin"/>
      </w:r>
      <w:r w:rsidR="007C2051" w:rsidRPr="00D93FF9">
        <w:rPr>
          <w:lang w:val="en-GB"/>
        </w:rPr>
        <w:instrText xml:space="preserve"> ADDIN ZOTERO_ITEM CSL_CITATION {"citationID":"vEOEWGWs","properties":{"formattedCitation":"(WHO, 2006)","plainCitation":"(WHO, 2006)","noteIndex":0},"citationItems":[{"id":745,"uris":["http://zotero.org/users/1938757/items/5VGB53CD"],"uri":["http://zotero.org/users/1938757/items/5VGB53CD"],"itemData":{"id":745,"type":"report","event-place":"Geneva, Switzerland","publisher":"World Health Organization","publisher-place":"Geneva, Switzerland","title":"Guidelines for the safe use of wastewater, excreta and greywater: Volume II Wastewater use in Agriculture","URL":"https://www.who.int/water_sanitation_health/publications/gsuweg2/en/","author":[{"family":"WHO","given":""}],"issued":{"date-parts":[["2006"]]}}}],"schema":"https://github.com/citation-style-language/schema/raw/master/csl-citation.json"} </w:instrText>
      </w:r>
      <w:r w:rsidR="00C62E49" w:rsidRPr="00D93FF9">
        <w:rPr>
          <w:lang w:val="en-GB"/>
        </w:rPr>
        <w:fldChar w:fldCharType="separate"/>
      </w:r>
      <w:r w:rsidR="007C2051" w:rsidRPr="00D93FF9">
        <w:rPr>
          <w:rFonts w:ascii="Calibri" w:hAnsi="Calibri" w:cs="Calibri"/>
        </w:rPr>
        <w:t>(WHO 2006)</w:t>
      </w:r>
      <w:r w:rsidR="00C62E49" w:rsidRPr="00D93FF9">
        <w:rPr>
          <w:lang w:val="en-GB"/>
        </w:rPr>
        <w:fldChar w:fldCharType="end"/>
      </w:r>
      <w:r w:rsidR="00C62E49" w:rsidRPr="00D93FF9">
        <w:rPr>
          <w:lang w:val="en-GB"/>
        </w:rPr>
        <w:t xml:space="preserve">. </w:t>
      </w:r>
    </w:p>
    <w:p w14:paraId="59DCDA62" w14:textId="77777777" w:rsidR="00C46175" w:rsidRPr="00D93FF9" w:rsidRDefault="00C46175" w:rsidP="003807A1">
      <w:pPr>
        <w:pStyle w:val="BodyText"/>
        <w:spacing w:after="0"/>
        <w:rPr>
          <w:sz w:val="25"/>
          <w:lang w:val="en-GB"/>
        </w:rPr>
      </w:pPr>
    </w:p>
    <w:p w14:paraId="59DCDA63" w14:textId="77777777" w:rsidR="00C46175" w:rsidRPr="00D93FF9" w:rsidRDefault="00E811B8" w:rsidP="00992F66">
      <w:pPr>
        <w:pStyle w:val="Heading3"/>
        <w:rPr>
          <w:lang w:val="en-GB"/>
        </w:rPr>
      </w:pPr>
      <w:r w:rsidRPr="00D93FF9">
        <w:rPr>
          <w:lang w:val="en-GB"/>
        </w:rPr>
        <w:t xml:space="preserve"> </w:t>
      </w:r>
      <w:bookmarkStart w:id="354" w:name="_Ref71723022"/>
      <w:bookmarkStart w:id="355" w:name="_Toc96693615"/>
      <w:r w:rsidRPr="00D93FF9">
        <w:rPr>
          <w:lang w:val="en-GB"/>
        </w:rPr>
        <w:t>Corrosion</w:t>
      </w:r>
      <w:bookmarkEnd w:id="354"/>
      <w:bookmarkEnd w:id="355"/>
    </w:p>
    <w:p w14:paraId="59DCDA64" w14:textId="42AC9C35" w:rsidR="00C46175" w:rsidRPr="00D93FF9" w:rsidRDefault="00E811B8" w:rsidP="007171BC">
      <w:pPr>
        <w:pStyle w:val="BodyText"/>
        <w:spacing w:before="200"/>
        <w:ind w:left="284"/>
        <w:rPr>
          <w:b/>
          <w:bCs/>
          <w:i/>
          <w:iCs/>
          <w:lang w:val="en-GB"/>
        </w:rPr>
      </w:pPr>
      <w:r w:rsidRPr="00D93FF9">
        <w:rPr>
          <w:b/>
          <w:bCs/>
          <w:i/>
          <w:iCs/>
          <w:lang w:val="en-GB"/>
        </w:rPr>
        <w:t>Guideline</w:t>
      </w:r>
      <w:r w:rsidR="00E90CE0" w:rsidRPr="00D93FF9">
        <w:rPr>
          <w:b/>
          <w:bCs/>
          <w:i/>
          <w:iCs/>
          <w:lang w:val="en-GB"/>
        </w:rPr>
        <w:t xml:space="preserve"> values for assessing the corrosiveness of water are given in</w:t>
      </w:r>
      <w:r w:rsidR="00DF4E4E" w:rsidRPr="00D93FF9">
        <w:rPr>
          <w:b/>
          <w:bCs/>
          <w:i/>
          <w:iCs/>
          <w:lang w:val="en-GB"/>
        </w:rPr>
        <w:t xml:space="preserve"> </w:t>
      </w:r>
      <w:r w:rsidR="00DF4E4E" w:rsidRPr="00D93FF9">
        <w:rPr>
          <w:b/>
          <w:bCs/>
          <w:i/>
          <w:iCs/>
          <w:lang w:val="en-GB"/>
        </w:rPr>
        <w:fldChar w:fldCharType="begin"/>
      </w:r>
      <w:r w:rsidR="00DF4E4E" w:rsidRPr="00D93FF9">
        <w:rPr>
          <w:b/>
          <w:bCs/>
          <w:i/>
          <w:iCs/>
          <w:lang w:val="en-GB"/>
        </w:rPr>
        <w:instrText xml:space="preserve"> REF _Ref81395873 \h  \* MERGEFORMAT </w:instrText>
      </w:r>
      <w:r w:rsidR="00DF4E4E" w:rsidRPr="00D93FF9">
        <w:rPr>
          <w:b/>
          <w:bCs/>
          <w:i/>
          <w:iCs/>
          <w:lang w:val="en-GB"/>
        </w:rPr>
      </w:r>
      <w:r w:rsidR="00DF4E4E" w:rsidRPr="00D93FF9">
        <w:rPr>
          <w:b/>
          <w:bCs/>
          <w:i/>
          <w:iCs/>
          <w:lang w:val="en-GB"/>
        </w:rPr>
        <w:fldChar w:fldCharType="separate"/>
      </w:r>
      <w:r w:rsidR="0069302C" w:rsidRPr="0069302C">
        <w:rPr>
          <w:b/>
          <w:bCs/>
          <w:i/>
          <w:iCs/>
        </w:rPr>
        <w:t xml:space="preserve">Table </w:t>
      </w:r>
      <w:r w:rsidR="0069302C" w:rsidRPr="0069302C">
        <w:rPr>
          <w:b/>
          <w:bCs/>
          <w:i/>
          <w:iCs/>
          <w:noProof/>
        </w:rPr>
        <w:t>34</w:t>
      </w:r>
      <w:r w:rsidR="00DF4E4E" w:rsidRPr="00D93FF9">
        <w:rPr>
          <w:b/>
          <w:bCs/>
          <w:i/>
          <w:iCs/>
          <w:lang w:val="en-GB"/>
        </w:rPr>
        <w:fldChar w:fldCharType="end"/>
      </w:r>
      <w:r w:rsidR="00E90CE0" w:rsidRPr="00D93FF9">
        <w:rPr>
          <w:b/>
          <w:bCs/>
          <w:i/>
          <w:iCs/>
          <w:lang w:val="en-GB"/>
        </w:rPr>
        <w:t>.</w:t>
      </w:r>
    </w:p>
    <w:p w14:paraId="59DCDA65" w14:textId="0E2BA74A" w:rsidR="00C46175" w:rsidRPr="00D93FF9" w:rsidRDefault="00DF4E4E" w:rsidP="00DF4E4E">
      <w:pPr>
        <w:pStyle w:val="Caption"/>
        <w:rPr>
          <w:rFonts w:ascii="Arial"/>
          <w:sz w:val="18"/>
          <w:lang w:val="en-GB"/>
        </w:rPr>
      </w:pPr>
      <w:bookmarkStart w:id="356" w:name="_Ref81395873"/>
      <w:bookmarkStart w:id="357" w:name="_Toc96518248"/>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34</w:t>
      </w:r>
      <w:r w:rsidR="00477102" w:rsidRPr="00D93FF9">
        <w:fldChar w:fldCharType="end"/>
      </w:r>
      <w:bookmarkEnd w:id="356"/>
      <w:r w:rsidRPr="00D93FF9">
        <w:t xml:space="preserve"> </w:t>
      </w:r>
      <w:bookmarkStart w:id="358" w:name="_Hlk153812853"/>
      <w:r w:rsidR="00E90CE0" w:rsidRPr="00D93FF9">
        <w:rPr>
          <w:rFonts w:ascii="Arial"/>
          <w:sz w:val="18"/>
          <w:lang w:val="en-GB"/>
        </w:rPr>
        <w:t>Corrosion potential of waters on metal surfaces as indicated by pH, hardness, Langelier index, Ryznar index and the log of chloride to carbonate ratio</w:t>
      </w:r>
      <w:bookmarkEnd w:id="357"/>
      <w:bookmarkEnd w:id="35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Corrosion potential of waters on metal surfaces as indicated by pH, hardness, Langelier index, Ryznar index and the log of chloride to carbonate ratio"/>
        <w:tblDescription w:val="This table shows the guideline values for assessing the corrosiveness of water. Parameters include pH, hardness, Langelier index, Ryznar index, and the log of chloride to carbonate ratio. "/>
      </w:tblPr>
      <w:tblGrid>
        <w:gridCol w:w="3369"/>
        <w:gridCol w:w="2634"/>
        <w:gridCol w:w="3007"/>
      </w:tblGrid>
      <w:tr w:rsidR="00BE3AA8" w:rsidRPr="00D93FF9" w14:paraId="59DCDA69" w14:textId="77777777" w:rsidTr="007171BC">
        <w:tc>
          <w:tcPr>
            <w:tcW w:w="3369" w:type="dxa"/>
            <w:tcBorders>
              <w:top w:val="single" w:sz="4" w:space="0" w:color="auto"/>
              <w:bottom w:val="single" w:sz="4" w:space="0" w:color="auto"/>
            </w:tcBorders>
          </w:tcPr>
          <w:p w14:paraId="59DCDA66" w14:textId="77777777" w:rsidR="00897720" w:rsidRPr="00D93FF9" w:rsidRDefault="00E811B8" w:rsidP="009800CB">
            <w:pPr>
              <w:spacing w:before="0" w:after="0"/>
              <w:rPr>
                <w:rFonts w:asciiTheme="minorHAnsi" w:hAnsiTheme="minorHAnsi"/>
                <w:b/>
                <w:bCs/>
                <w:szCs w:val="18"/>
                <w:lang w:val="en-GB"/>
              </w:rPr>
            </w:pPr>
            <w:r w:rsidRPr="00D93FF9">
              <w:rPr>
                <w:rFonts w:asciiTheme="minorHAnsi" w:hAnsiTheme="minorHAnsi"/>
                <w:b/>
                <w:bCs/>
                <w:szCs w:val="18"/>
                <w:lang w:val="en-GB"/>
              </w:rPr>
              <w:t>Parameter</w:t>
            </w:r>
          </w:p>
        </w:tc>
        <w:tc>
          <w:tcPr>
            <w:tcW w:w="2634" w:type="dxa"/>
            <w:tcBorders>
              <w:top w:val="single" w:sz="4" w:space="0" w:color="auto"/>
              <w:bottom w:val="single" w:sz="4" w:space="0" w:color="auto"/>
            </w:tcBorders>
          </w:tcPr>
          <w:p w14:paraId="59DCDA67" w14:textId="77777777" w:rsidR="00897720" w:rsidRPr="00D93FF9" w:rsidRDefault="00E811B8" w:rsidP="009800CB">
            <w:pPr>
              <w:spacing w:before="0" w:after="0"/>
              <w:rPr>
                <w:rFonts w:asciiTheme="minorHAnsi" w:hAnsiTheme="minorHAnsi"/>
                <w:b/>
                <w:bCs/>
                <w:szCs w:val="18"/>
                <w:lang w:val="en-GB"/>
              </w:rPr>
            </w:pPr>
            <w:r w:rsidRPr="00D93FF9">
              <w:rPr>
                <w:rFonts w:asciiTheme="minorHAnsi" w:hAnsiTheme="minorHAnsi"/>
                <w:b/>
                <w:bCs/>
                <w:szCs w:val="18"/>
                <w:lang w:val="en-GB"/>
              </w:rPr>
              <w:t>Value</w:t>
            </w:r>
          </w:p>
        </w:tc>
        <w:tc>
          <w:tcPr>
            <w:tcW w:w="3007" w:type="dxa"/>
            <w:tcBorders>
              <w:top w:val="single" w:sz="4" w:space="0" w:color="auto"/>
              <w:bottom w:val="single" w:sz="4" w:space="0" w:color="auto"/>
            </w:tcBorders>
          </w:tcPr>
          <w:p w14:paraId="59DCDA68" w14:textId="77777777" w:rsidR="00897720" w:rsidRPr="00D93FF9" w:rsidRDefault="00E811B8" w:rsidP="009800CB">
            <w:pPr>
              <w:spacing w:before="0" w:after="0"/>
              <w:rPr>
                <w:rFonts w:asciiTheme="minorHAnsi" w:hAnsiTheme="minorHAnsi"/>
                <w:b/>
                <w:bCs/>
                <w:szCs w:val="18"/>
                <w:lang w:val="en-GB"/>
              </w:rPr>
            </w:pPr>
            <w:r w:rsidRPr="00D93FF9">
              <w:rPr>
                <w:rFonts w:asciiTheme="minorHAnsi" w:hAnsiTheme="minorHAnsi"/>
                <w:b/>
                <w:bCs/>
                <w:szCs w:val="18"/>
                <w:lang w:val="en-GB"/>
              </w:rPr>
              <w:t>Comments</w:t>
            </w:r>
          </w:p>
        </w:tc>
      </w:tr>
      <w:tr w:rsidR="00BE3AA8" w:rsidRPr="00D93FF9" w14:paraId="59DCDA6D" w14:textId="77777777" w:rsidTr="007171BC">
        <w:tc>
          <w:tcPr>
            <w:tcW w:w="3369" w:type="dxa"/>
            <w:tcBorders>
              <w:top w:val="single" w:sz="4" w:space="0" w:color="auto"/>
            </w:tcBorders>
          </w:tcPr>
          <w:p w14:paraId="59DCDA6A"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pH</w:t>
            </w:r>
          </w:p>
        </w:tc>
        <w:tc>
          <w:tcPr>
            <w:tcW w:w="2634" w:type="dxa"/>
            <w:tcBorders>
              <w:top w:val="single" w:sz="4" w:space="0" w:color="auto"/>
            </w:tcBorders>
          </w:tcPr>
          <w:p w14:paraId="59DCDA6B"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&lt;5</w:t>
            </w:r>
          </w:p>
        </w:tc>
        <w:tc>
          <w:tcPr>
            <w:tcW w:w="3007" w:type="dxa"/>
            <w:tcBorders>
              <w:top w:val="single" w:sz="4" w:space="0" w:color="auto"/>
            </w:tcBorders>
          </w:tcPr>
          <w:p w14:paraId="59DCDA6C"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High corrosion potential</w:t>
            </w:r>
          </w:p>
        </w:tc>
      </w:tr>
      <w:tr w:rsidR="00BE3AA8" w:rsidRPr="00D93FF9" w14:paraId="59DCDA71" w14:textId="77777777" w:rsidTr="007171BC">
        <w:tc>
          <w:tcPr>
            <w:tcW w:w="3369" w:type="dxa"/>
          </w:tcPr>
          <w:p w14:paraId="59DCDA6E" w14:textId="77777777" w:rsidR="00897720" w:rsidRPr="00D93FF9" w:rsidRDefault="00897720" w:rsidP="009800CB">
            <w:pPr>
              <w:spacing w:before="0" w:after="0"/>
              <w:rPr>
                <w:rFonts w:asciiTheme="minorHAnsi" w:hAnsiTheme="minorHAnsi"/>
                <w:szCs w:val="18"/>
                <w:lang w:val="en-GB"/>
              </w:rPr>
            </w:pPr>
          </w:p>
        </w:tc>
        <w:tc>
          <w:tcPr>
            <w:tcW w:w="2634" w:type="dxa"/>
          </w:tcPr>
          <w:p w14:paraId="59DCDA6F"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5 to 6</w:t>
            </w:r>
          </w:p>
        </w:tc>
        <w:tc>
          <w:tcPr>
            <w:tcW w:w="3007" w:type="dxa"/>
          </w:tcPr>
          <w:p w14:paraId="59DCDA70"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Likelihood of corrosion</w:t>
            </w:r>
          </w:p>
        </w:tc>
      </w:tr>
      <w:tr w:rsidR="00BE3AA8" w:rsidRPr="00D93FF9" w14:paraId="59DCDA75" w14:textId="77777777" w:rsidTr="007171BC">
        <w:tc>
          <w:tcPr>
            <w:tcW w:w="3369" w:type="dxa"/>
          </w:tcPr>
          <w:p w14:paraId="59DCDA72" w14:textId="77777777" w:rsidR="00897720" w:rsidRPr="00D93FF9" w:rsidRDefault="00897720" w:rsidP="009800CB">
            <w:pPr>
              <w:spacing w:before="0" w:after="0"/>
              <w:rPr>
                <w:rFonts w:asciiTheme="minorHAnsi" w:hAnsiTheme="minorHAnsi"/>
                <w:szCs w:val="18"/>
                <w:lang w:val="en-GB"/>
              </w:rPr>
            </w:pPr>
          </w:p>
        </w:tc>
        <w:tc>
          <w:tcPr>
            <w:tcW w:w="2634" w:type="dxa"/>
          </w:tcPr>
          <w:p w14:paraId="59DCDA73"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&gt;6</w:t>
            </w:r>
          </w:p>
        </w:tc>
        <w:tc>
          <w:tcPr>
            <w:tcW w:w="3007" w:type="dxa"/>
          </w:tcPr>
          <w:p w14:paraId="59DCDA74"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Limited corrosion potential</w:t>
            </w:r>
          </w:p>
        </w:tc>
      </w:tr>
      <w:tr w:rsidR="00BE3AA8" w:rsidRPr="00D93FF9" w14:paraId="59DCDA79" w14:textId="77777777" w:rsidTr="007171BC">
        <w:tc>
          <w:tcPr>
            <w:tcW w:w="3369" w:type="dxa"/>
          </w:tcPr>
          <w:p w14:paraId="59DCDA76"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Hardness</w:t>
            </w:r>
          </w:p>
        </w:tc>
        <w:tc>
          <w:tcPr>
            <w:tcW w:w="2634" w:type="dxa"/>
          </w:tcPr>
          <w:p w14:paraId="59DCDA77"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&lt;60mg/L CaCO</w:t>
            </w:r>
            <w:r w:rsidRPr="00D93FF9">
              <w:rPr>
                <w:rFonts w:asciiTheme="minorHAnsi" w:hAnsiTheme="minorHAnsi"/>
                <w:szCs w:val="18"/>
                <w:vertAlign w:val="subscript"/>
                <w:lang w:val="en-GB"/>
              </w:rPr>
              <w:t>3</w:t>
            </w:r>
          </w:p>
        </w:tc>
        <w:tc>
          <w:tcPr>
            <w:tcW w:w="3007" w:type="dxa"/>
          </w:tcPr>
          <w:p w14:paraId="59DCDA78"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Increased corrosion potential</w:t>
            </w:r>
          </w:p>
        </w:tc>
      </w:tr>
      <w:tr w:rsidR="00BE3AA8" w:rsidRPr="00D93FF9" w14:paraId="59DCDA7D" w14:textId="77777777" w:rsidTr="007171BC">
        <w:tc>
          <w:tcPr>
            <w:tcW w:w="3369" w:type="dxa"/>
          </w:tcPr>
          <w:p w14:paraId="59DCDA7A"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Langelier Index</w:t>
            </w:r>
          </w:p>
        </w:tc>
        <w:tc>
          <w:tcPr>
            <w:tcW w:w="2634" w:type="dxa"/>
          </w:tcPr>
          <w:p w14:paraId="59DCDA7B"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&lt;-0.5</w:t>
            </w:r>
          </w:p>
        </w:tc>
        <w:tc>
          <w:tcPr>
            <w:tcW w:w="3007" w:type="dxa"/>
          </w:tcPr>
          <w:p w14:paraId="59DCDA7C"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Increased corrosion potential</w:t>
            </w:r>
          </w:p>
        </w:tc>
      </w:tr>
      <w:tr w:rsidR="00BE3AA8" w:rsidRPr="00D93FF9" w14:paraId="59DCDA81" w14:textId="77777777" w:rsidTr="007171BC">
        <w:tc>
          <w:tcPr>
            <w:tcW w:w="3369" w:type="dxa"/>
          </w:tcPr>
          <w:p w14:paraId="59DCDA7E" w14:textId="77777777" w:rsidR="00897720" w:rsidRPr="00D93FF9" w:rsidRDefault="00897720" w:rsidP="009800CB">
            <w:pPr>
              <w:spacing w:before="0" w:after="0"/>
              <w:rPr>
                <w:rFonts w:asciiTheme="minorHAnsi" w:hAnsiTheme="minorHAnsi"/>
                <w:szCs w:val="18"/>
                <w:lang w:val="en-GB"/>
              </w:rPr>
            </w:pPr>
          </w:p>
        </w:tc>
        <w:tc>
          <w:tcPr>
            <w:tcW w:w="2634" w:type="dxa"/>
          </w:tcPr>
          <w:p w14:paraId="59DCDA7F"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-0.5 to 05</w:t>
            </w:r>
          </w:p>
        </w:tc>
        <w:tc>
          <w:tcPr>
            <w:tcW w:w="3007" w:type="dxa"/>
          </w:tcPr>
          <w:p w14:paraId="59DCDA80"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Limited corrosion potential</w:t>
            </w:r>
          </w:p>
        </w:tc>
      </w:tr>
      <w:tr w:rsidR="00BE3AA8" w:rsidRPr="00D93FF9" w14:paraId="59DCDA85" w14:textId="77777777" w:rsidTr="007171BC">
        <w:tc>
          <w:tcPr>
            <w:tcW w:w="3369" w:type="dxa"/>
          </w:tcPr>
          <w:p w14:paraId="59DCDA82"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Ryznar Index</w:t>
            </w:r>
          </w:p>
        </w:tc>
        <w:tc>
          <w:tcPr>
            <w:tcW w:w="2634" w:type="dxa"/>
          </w:tcPr>
          <w:p w14:paraId="59DCDA83"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&lt;6</w:t>
            </w:r>
          </w:p>
        </w:tc>
        <w:tc>
          <w:tcPr>
            <w:tcW w:w="3007" w:type="dxa"/>
          </w:tcPr>
          <w:p w14:paraId="59DCDA84" w14:textId="77777777" w:rsidR="00897720" w:rsidRPr="00D93FF9" w:rsidRDefault="00E811B8" w:rsidP="009800CB">
            <w:pPr>
              <w:spacing w:before="0" w:after="0"/>
              <w:rPr>
                <w:rFonts w:asciiTheme="minorHAnsi" w:hAnsiTheme="minorHAnsi"/>
                <w:szCs w:val="18"/>
                <w:lang w:val="en-GB"/>
              </w:rPr>
            </w:pPr>
            <w:r w:rsidRPr="00D93FF9">
              <w:rPr>
                <w:rFonts w:asciiTheme="minorHAnsi" w:hAnsiTheme="minorHAnsi"/>
                <w:szCs w:val="18"/>
                <w:lang w:val="en-GB"/>
              </w:rPr>
              <w:t>Limited corrosion potential</w:t>
            </w:r>
          </w:p>
        </w:tc>
      </w:tr>
      <w:tr w:rsidR="00BE3AA8" w:rsidRPr="00D93FF9" w14:paraId="59DCDA89" w14:textId="77777777" w:rsidTr="007171BC">
        <w:tc>
          <w:tcPr>
            <w:tcW w:w="3369" w:type="dxa"/>
          </w:tcPr>
          <w:p w14:paraId="59DCDA86" w14:textId="77777777" w:rsidR="00897720" w:rsidRPr="00D93FF9" w:rsidRDefault="00897720" w:rsidP="009800CB">
            <w:pPr>
              <w:spacing w:after="0"/>
              <w:rPr>
                <w:rFonts w:asciiTheme="minorHAnsi" w:hAnsiTheme="minorHAnsi"/>
                <w:szCs w:val="18"/>
                <w:lang w:val="en-GB"/>
              </w:rPr>
            </w:pPr>
          </w:p>
        </w:tc>
        <w:tc>
          <w:tcPr>
            <w:tcW w:w="2634" w:type="dxa"/>
          </w:tcPr>
          <w:p w14:paraId="59DCDA87" w14:textId="77777777" w:rsidR="00897720" w:rsidRPr="00D93FF9" w:rsidRDefault="00E811B8" w:rsidP="009800CB">
            <w:pPr>
              <w:spacing w:after="0"/>
              <w:rPr>
                <w:rFonts w:asciiTheme="minorHAnsi" w:hAnsiTheme="minorHAnsi"/>
                <w:szCs w:val="18"/>
                <w:lang w:val="en-GB"/>
              </w:rPr>
            </w:pPr>
            <w:r w:rsidRPr="00D93FF9">
              <w:rPr>
                <w:rFonts w:asciiTheme="minorHAnsi" w:hAnsiTheme="minorHAnsi"/>
                <w:szCs w:val="18"/>
                <w:lang w:val="en-GB"/>
              </w:rPr>
              <w:t>&gt;7</w:t>
            </w:r>
          </w:p>
        </w:tc>
        <w:tc>
          <w:tcPr>
            <w:tcW w:w="3007" w:type="dxa"/>
          </w:tcPr>
          <w:p w14:paraId="59DCDA88" w14:textId="77777777" w:rsidR="00897720" w:rsidRPr="00D93FF9" w:rsidRDefault="00E811B8" w:rsidP="009800CB">
            <w:pPr>
              <w:spacing w:after="0"/>
              <w:rPr>
                <w:rFonts w:asciiTheme="minorHAnsi" w:hAnsiTheme="minorHAnsi"/>
                <w:szCs w:val="18"/>
                <w:lang w:val="en-GB"/>
              </w:rPr>
            </w:pPr>
            <w:r w:rsidRPr="00D93FF9">
              <w:rPr>
                <w:rFonts w:asciiTheme="minorHAnsi" w:hAnsiTheme="minorHAnsi"/>
                <w:szCs w:val="18"/>
                <w:lang w:val="en-GB"/>
              </w:rPr>
              <w:t>Increased corrosion potential</w:t>
            </w:r>
          </w:p>
        </w:tc>
      </w:tr>
      <w:tr w:rsidR="00BE3AA8" w:rsidRPr="00D93FF9" w14:paraId="59DCDA8D" w14:textId="77777777" w:rsidTr="007171BC">
        <w:tc>
          <w:tcPr>
            <w:tcW w:w="3369" w:type="dxa"/>
          </w:tcPr>
          <w:p w14:paraId="59DCDA8A" w14:textId="77777777" w:rsidR="00897720" w:rsidRPr="00D93FF9" w:rsidRDefault="00E811B8" w:rsidP="009800CB">
            <w:pPr>
              <w:spacing w:after="0"/>
              <w:rPr>
                <w:rFonts w:asciiTheme="minorHAnsi" w:hAnsiTheme="minorHAnsi"/>
                <w:szCs w:val="18"/>
                <w:lang w:val="en-GB"/>
              </w:rPr>
            </w:pPr>
            <w:r w:rsidRPr="00D93FF9">
              <w:rPr>
                <w:rFonts w:asciiTheme="minorHAnsi" w:hAnsiTheme="minorHAnsi"/>
                <w:szCs w:val="18"/>
                <w:lang w:val="en-GB"/>
              </w:rPr>
              <w:t>Log of chloride to carbonate ratio</w:t>
            </w:r>
          </w:p>
        </w:tc>
        <w:tc>
          <w:tcPr>
            <w:tcW w:w="2634" w:type="dxa"/>
          </w:tcPr>
          <w:p w14:paraId="59DCDA8B" w14:textId="77777777" w:rsidR="00897720" w:rsidRPr="00D93FF9" w:rsidRDefault="00E811B8" w:rsidP="009800CB">
            <w:pPr>
              <w:spacing w:after="0"/>
              <w:rPr>
                <w:rFonts w:asciiTheme="minorHAnsi" w:hAnsiTheme="minorHAnsi"/>
                <w:szCs w:val="18"/>
                <w:lang w:val="en-GB"/>
              </w:rPr>
            </w:pPr>
            <w:r w:rsidRPr="00D93FF9">
              <w:rPr>
                <w:rFonts w:asciiTheme="minorHAnsi" w:hAnsiTheme="minorHAnsi"/>
                <w:szCs w:val="18"/>
                <w:lang w:val="en-GB"/>
              </w:rPr>
              <w:t>&gt;2</w:t>
            </w:r>
          </w:p>
        </w:tc>
        <w:tc>
          <w:tcPr>
            <w:tcW w:w="3007" w:type="dxa"/>
          </w:tcPr>
          <w:p w14:paraId="59DCDA8C" w14:textId="77777777" w:rsidR="00897720" w:rsidRPr="00D93FF9" w:rsidRDefault="00E811B8" w:rsidP="009800CB">
            <w:pPr>
              <w:spacing w:after="0"/>
              <w:rPr>
                <w:rFonts w:asciiTheme="minorHAnsi" w:hAnsiTheme="minorHAnsi"/>
                <w:szCs w:val="18"/>
                <w:lang w:val="en-GB"/>
              </w:rPr>
            </w:pPr>
            <w:r w:rsidRPr="00D93FF9">
              <w:rPr>
                <w:rFonts w:asciiTheme="minorHAnsi" w:hAnsiTheme="minorHAnsi"/>
                <w:szCs w:val="18"/>
                <w:lang w:val="en-GB"/>
              </w:rPr>
              <w:t>Increased corrosion potential</w:t>
            </w:r>
          </w:p>
        </w:tc>
      </w:tr>
    </w:tbl>
    <w:p w14:paraId="59DCDA8E" w14:textId="77777777" w:rsidR="00897720" w:rsidRPr="00D93FF9" w:rsidRDefault="00897720" w:rsidP="003807A1">
      <w:pPr>
        <w:spacing w:after="0" w:line="283" w:lineRule="auto"/>
        <w:rPr>
          <w:rFonts w:ascii="Arial"/>
          <w:sz w:val="18"/>
          <w:lang w:val="en-GB"/>
        </w:rPr>
      </w:pPr>
    </w:p>
    <w:p w14:paraId="59DCDA8F" w14:textId="020D5727" w:rsidR="00CC1AF2" w:rsidRPr="00D93FF9" w:rsidRDefault="00E811B8" w:rsidP="003807A1">
      <w:pPr>
        <w:pStyle w:val="BodyText"/>
        <w:spacing w:after="0" w:line="264" w:lineRule="auto"/>
        <w:jc w:val="both"/>
        <w:rPr>
          <w:lang w:val="en-GB"/>
        </w:rPr>
      </w:pPr>
      <w:r w:rsidRPr="00D93FF9">
        <w:rPr>
          <w:lang w:val="en-GB"/>
        </w:rPr>
        <w:lastRenderedPageBreak/>
        <w:t>C</w:t>
      </w:r>
      <w:r w:rsidR="00E90CE0" w:rsidRPr="00D93FF9">
        <w:rPr>
          <w:lang w:val="en-GB"/>
        </w:rPr>
        <w:t>orrosion of pumping, irrigation and stock watering equipment is a common problem in many agricultural areas of Australia, particularly where groundwater sources are used. It often results in the deterioration of well and pumping equipment, pipelines, channels, sprinkler devices and storage tanks, leading to decreased or uneven water distribution. Corrosion can be based on chemical, physical or microbiological processes acting on metal surfaces in contact with water. Plastics and concrete may also deteriorate through processes similar to corrosion, if elevated levels of certain constituents are</w:t>
      </w:r>
      <w:r w:rsidR="00E90CE0" w:rsidRPr="00D93FF9">
        <w:rPr>
          <w:spacing w:val="2"/>
          <w:lang w:val="en-GB"/>
        </w:rPr>
        <w:t xml:space="preserve"> </w:t>
      </w:r>
      <w:r w:rsidR="00E90CE0" w:rsidRPr="00D93FF9">
        <w:rPr>
          <w:lang w:val="en-GB"/>
        </w:rPr>
        <w:t>present.</w:t>
      </w:r>
      <w:r w:rsidRPr="00D93FF9">
        <w:rPr>
          <w:lang w:val="en-GB"/>
        </w:rPr>
        <w:t xml:space="preserve"> (</w:t>
      </w:r>
      <w:r w:rsidRPr="00D93FF9">
        <w:t>NHMRC</w:t>
      </w:r>
      <w:r w:rsidR="006B5B0C" w:rsidRPr="00D93FF9">
        <w:t xml:space="preserve"> </w:t>
      </w:r>
      <w:r w:rsidR="00FA6E9E" w:rsidRPr="00D93FF9">
        <w:t>and</w:t>
      </w:r>
      <w:r w:rsidRPr="00D93FF9">
        <w:t xml:space="preserve"> NRMMC 2011)</w:t>
      </w:r>
      <w:r w:rsidRPr="00D93FF9">
        <w:rPr>
          <w:lang w:val="en-GB"/>
        </w:rPr>
        <w:t>. The rate of corrosion is depend</w:t>
      </w:r>
      <w:r w:rsidR="002D12D2" w:rsidRPr="00D93FF9">
        <w:rPr>
          <w:lang w:val="en-GB"/>
        </w:rPr>
        <w:t>e</w:t>
      </w:r>
      <w:r w:rsidRPr="00D93FF9">
        <w:rPr>
          <w:lang w:val="en-GB"/>
        </w:rPr>
        <w:t>nt on a range of interacting factors including pH, electrical conductivity, dissolved oxygen, and temperature (McFarland</w:t>
      </w:r>
      <w:r w:rsidR="00FA3FC2" w:rsidRPr="00D93FF9">
        <w:rPr>
          <w:lang w:val="en-GB"/>
        </w:rPr>
        <w:t xml:space="preserve"> et al.</w:t>
      </w:r>
      <w:r w:rsidRPr="00D93FF9">
        <w:rPr>
          <w:lang w:val="en-GB"/>
        </w:rPr>
        <w:t xml:space="preserve"> 2008).</w:t>
      </w:r>
    </w:p>
    <w:p w14:paraId="59DCDA90" w14:textId="77777777" w:rsidR="00C46175" w:rsidRPr="00D93FF9" w:rsidRDefault="00C46175" w:rsidP="003807A1">
      <w:pPr>
        <w:pStyle w:val="BodyText"/>
        <w:spacing w:after="0" w:line="266" w:lineRule="auto"/>
        <w:jc w:val="both"/>
        <w:rPr>
          <w:lang w:val="en-GB"/>
        </w:rPr>
      </w:pPr>
    </w:p>
    <w:p w14:paraId="59DCDA91" w14:textId="77777777" w:rsidR="00C46175" w:rsidRPr="00D93FF9" w:rsidRDefault="00E811B8" w:rsidP="00992F66">
      <w:pPr>
        <w:pStyle w:val="Heading4"/>
        <w:rPr>
          <w:lang w:val="en-GB"/>
        </w:rPr>
      </w:pPr>
      <w:r w:rsidRPr="00D93FF9">
        <w:rPr>
          <w:lang w:val="en-GB"/>
        </w:rPr>
        <w:t>Description</w:t>
      </w:r>
    </w:p>
    <w:p w14:paraId="59DCDA92" w14:textId="77777777" w:rsidR="00C46175" w:rsidRPr="00D93FF9" w:rsidRDefault="00E811B8" w:rsidP="003807A1">
      <w:pPr>
        <w:pStyle w:val="BodyText"/>
        <w:spacing w:after="0" w:line="266" w:lineRule="auto"/>
        <w:jc w:val="both"/>
        <w:rPr>
          <w:lang w:val="en-GB"/>
        </w:rPr>
      </w:pPr>
      <w:r w:rsidRPr="00D93FF9">
        <w:rPr>
          <w:lang w:val="en-GB"/>
        </w:rPr>
        <w:t>Most corrosion problems in relation to agriculture are generally associated with the use of groundwater rather than surface waters, due to differences in their chemical composition. Corrosive failure of pipes and groundwater wells may also occur from contact with certain soil types.</w:t>
      </w:r>
    </w:p>
    <w:p w14:paraId="59DCDA93" w14:textId="77777777" w:rsidR="00C46175" w:rsidRPr="00D93FF9" w:rsidRDefault="00E811B8" w:rsidP="003807A1">
      <w:pPr>
        <w:pStyle w:val="BodyText"/>
        <w:spacing w:after="0" w:line="266" w:lineRule="auto"/>
        <w:jc w:val="both"/>
        <w:rPr>
          <w:lang w:val="en-GB"/>
        </w:rPr>
      </w:pPr>
      <w:r w:rsidRPr="00D93FF9">
        <w:rPr>
          <w:lang w:val="en-GB"/>
        </w:rPr>
        <w:t>The extent and likelihood of corrosion depends on a number of parameters including water quality, flow rate, temperature, pressure and the types of materials which are in direct contact with water. These factors form the basis of a complex set of interactions which may lead to the corrosion of surfaces and fittings.</w:t>
      </w:r>
    </w:p>
    <w:p w14:paraId="59DCDA94" w14:textId="074402C2" w:rsidR="00C46175" w:rsidRPr="00D93FF9" w:rsidRDefault="00E811B8" w:rsidP="003807A1">
      <w:pPr>
        <w:pStyle w:val="BodyText"/>
        <w:spacing w:after="0" w:line="266" w:lineRule="auto"/>
        <w:jc w:val="both"/>
        <w:rPr>
          <w:rFonts w:ascii="Arial"/>
          <w:sz w:val="20"/>
          <w:lang w:val="en-GB"/>
        </w:rPr>
      </w:pPr>
      <w:r w:rsidRPr="00D93FF9">
        <w:rPr>
          <w:lang w:val="en-GB"/>
        </w:rPr>
        <w:t>The economic cost of maintaining and replacing corroded equipment is often a significant component of overall farm expenditure, and as a result should be taken into account when considering agricultural water quality. The following Section outlines the main types of corrosion which can affect water pumping and distribution equipment through a number of different mechanisms (for further information see review of McLaughlan 1996).</w:t>
      </w:r>
      <w:bookmarkStart w:id="359" w:name="Metal_corrosion"/>
      <w:bookmarkStart w:id="360" w:name="Degradation_of_synthetic_materials"/>
      <w:bookmarkEnd w:id="359"/>
      <w:bookmarkEnd w:id="360"/>
      <w:r w:rsidR="002D12D2" w:rsidRPr="00D93FF9">
        <w:rPr>
          <w:rFonts w:ascii="Arial"/>
          <w:sz w:val="20"/>
          <w:lang w:val="en-GB"/>
        </w:rPr>
        <w:t xml:space="preserve"> </w:t>
      </w:r>
    </w:p>
    <w:p w14:paraId="59DCDA95" w14:textId="77777777" w:rsidR="00C46175" w:rsidRPr="00D93FF9" w:rsidRDefault="00C46175" w:rsidP="003807A1">
      <w:pPr>
        <w:pStyle w:val="BodyText"/>
        <w:spacing w:after="0"/>
        <w:rPr>
          <w:rFonts w:ascii="Arial"/>
          <w:lang w:val="en-GB"/>
        </w:rPr>
      </w:pPr>
    </w:p>
    <w:p w14:paraId="59DCDA96" w14:textId="77777777" w:rsidR="00C46175" w:rsidRPr="00D93FF9" w:rsidRDefault="00E811B8" w:rsidP="00590E3C">
      <w:pPr>
        <w:pStyle w:val="Heading5"/>
        <w:rPr>
          <w:lang w:val="en-GB"/>
        </w:rPr>
      </w:pPr>
      <w:r w:rsidRPr="00D93FF9">
        <w:rPr>
          <w:lang w:val="en-GB"/>
        </w:rPr>
        <w:t xml:space="preserve">Metal </w:t>
      </w:r>
      <w:r w:rsidRPr="00D93FF9">
        <w:t>corrosion</w:t>
      </w:r>
    </w:p>
    <w:p w14:paraId="59DCDA97" w14:textId="77777777" w:rsidR="00C46175" w:rsidRPr="00D93FF9" w:rsidRDefault="00E811B8" w:rsidP="00590E3C">
      <w:pPr>
        <w:pStyle w:val="ListBullet"/>
        <w:rPr>
          <w:lang w:val="en-GB"/>
        </w:rPr>
      </w:pPr>
      <w:r w:rsidRPr="00D93FF9">
        <w:rPr>
          <w:lang w:val="en-GB"/>
        </w:rPr>
        <w:t>Chemical processes</w:t>
      </w:r>
    </w:p>
    <w:p w14:paraId="59DCDA98" w14:textId="33D9F22D" w:rsidR="00C46175" w:rsidRPr="00D93FF9" w:rsidRDefault="00E811B8" w:rsidP="003807A1">
      <w:pPr>
        <w:pStyle w:val="BodyText"/>
        <w:spacing w:after="0" w:line="266" w:lineRule="auto"/>
        <w:jc w:val="both"/>
        <w:rPr>
          <w:lang w:val="en-GB"/>
        </w:rPr>
      </w:pPr>
      <w:r w:rsidRPr="00D93FF9">
        <w:rPr>
          <w:lang w:val="en-GB"/>
        </w:rPr>
        <w:t>Metal corrosion is most commonly the result of electrochemical reactions based on the transfer of electrons through oxidation-reduction reactions. Electrons are generated at the anode (the site where oxidation and corrosion occur) and are transferred through the metal to the cathode (the site where reduction occurs). An electric current is generated between the two points and transferred via dissolved ions present in the water to form a closed circuit. For the corrosion process to occur, there must be the formation of ions and release of electrons simultaneously and at an equivalent rate to the acceptance of electrons at the cathode (McLaughlan 1996).</w:t>
      </w:r>
    </w:p>
    <w:p w14:paraId="59DCDA99" w14:textId="77777777" w:rsidR="00CC1AF2" w:rsidRPr="00D93FF9" w:rsidRDefault="00E811B8" w:rsidP="003807A1">
      <w:pPr>
        <w:pStyle w:val="BodyText"/>
        <w:spacing w:after="0" w:line="264" w:lineRule="auto"/>
        <w:jc w:val="both"/>
        <w:rPr>
          <w:lang w:val="en-GB"/>
        </w:rPr>
      </w:pPr>
      <w:r w:rsidRPr="00D93FF9">
        <w:rPr>
          <w:lang w:val="en-GB"/>
        </w:rPr>
        <w:t>The extent of metal corrosion can be influenced by other parameters including polarisation and external electrical currents. Polarisation is the retardation of electrochemical reactions due to the formation of a protective film (or scale) over the metal surface. This scale may be formed from corrosion products, or ions in solution which may precipitate out. External currents (e.g. currents produced from the grounding of electrical equipment such as pumps) can increase corrosion rates at the anode where it enters groundwater or adjacent</w:t>
      </w:r>
      <w:r w:rsidRPr="00D93FF9">
        <w:rPr>
          <w:spacing w:val="10"/>
          <w:lang w:val="en-GB"/>
        </w:rPr>
        <w:t xml:space="preserve"> </w:t>
      </w:r>
      <w:r w:rsidRPr="00D93FF9">
        <w:rPr>
          <w:lang w:val="en-GB"/>
        </w:rPr>
        <w:t xml:space="preserve">soil. </w:t>
      </w:r>
    </w:p>
    <w:p w14:paraId="59DCDA9A" w14:textId="19BF5DE5" w:rsidR="00CC1AF2" w:rsidRPr="00D93FF9" w:rsidRDefault="00E811B8" w:rsidP="003807A1">
      <w:pPr>
        <w:pStyle w:val="BodyText"/>
        <w:spacing w:after="0" w:line="264" w:lineRule="auto"/>
        <w:jc w:val="both"/>
        <w:rPr>
          <w:lang w:val="en-GB"/>
        </w:rPr>
      </w:pPr>
      <w:r w:rsidRPr="00D93FF9">
        <w:rPr>
          <w:lang w:val="en-GB"/>
        </w:rPr>
        <w:t>Importantly, all metals will react and corrode differently in response to different physiochemical parameter concentrations (WHO 2017).</w:t>
      </w:r>
    </w:p>
    <w:p w14:paraId="59DCDA9B" w14:textId="77777777" w:rsidR="00C46175" w:rsidRPr="00D93FF9" w:rsidRDefault="00C46175" w:rsidP="003807A1">
      <w:pPr>
        <w:pStyle w:val="BodyText"/>
        <w:spacing w:after="0" w:line="266" w:lineRule="auto"/>
        <w:jc w:val="both"/>
        <w:rPr>
          <w:lang w:val="en-GB"/>
        </w:rPr>
      </w:pPr>
    </w:p>
    <w:p w14:paraId="59DCDA9C" w14:textId="77777777" w:rsidR="00C46175" w:rsidRPr="00D93FF9" w:rsidRDefault="00E811B8" w:rsidP="00590E3C">
      <w:pPr>
        <w:pStyle w:val="ListBullet"/>
        <w:rPr>
          <w:lang w:val="en-GB"/>
        </w:rPr>
      </w:pPr>
      <w:r w:rsidRPr="00D93FF9">
        <w:rPr>
          <w:lang w:val="en-GB"/>
        </w:rPr>
        <w:t>Biological processes</w:t>
      </w:r>
    </w:p>
    <w:p w14:paraId="59DCDA9D" w14:textId="38A5207B" w:rsidR="00CC1AF2" w:rsidRPr="00D93FF9" w:rsidRDefault="00E811B8" w:rsidP="003807A1">
      <w:pPr>
        <w:pStyle w:val="BodyText"/>
        <w:spacing w:after="0" w:line="264" w:lineRule="auto"/>
        <w:jc w:val="both"/>
        <w:rPr>
          <w:lang w:val="en-GB"/>
        </w:rPr>
      </w:pPr>
      <w:r w:rsidRPr="00D93FF9">
        <w:rPr>
          <w:lang w:val="en-GB"/>
        </w:rPr>
        <w:lastRenderedPageBreak/>
        <w:t>Microorganisms can also increase the rate of corrosion through the formation of biofilms on the metal surface. Microorganisms can cause corrosion through depletion of dissolved oxygen, producing sulfuric acid, preventing corrosive metabolites and participating in the cathodic process (</w:t>
      </w:r>
      <w:r w:rsidRPr="00D93FF9">
        <w:t>NHMRC</w:t>
      </w:r>
      <w:r w:rsidR="00FA3FC2" w:rsidRPr="00D93FF9">
        <w:t xml:space="preserve"> </w:t>
      </w:r>
      <w:r w:rsidR="00FA6E9E" w:rsidRPr="00D93FF9">
        <w:t>and</w:t>
      </w:r>
      <w:r w:rsidRPr="00D93FF9">
        <w:t xml:space="preserve"> NRMMC 2011). </w:t>
      </w:r>
      <w:r w:rsidRPr="00D93FF9">
        <w:rPr>
          <w:lang w:val="en-GB"/>
        </w:rPr>
        <w:t>Biocorrosion may then occur through electrochemical reactions within this micro-environment. These reactions generally do not occur in the water away from these surface sites. Iron and sulfur bacteria particularly of iron and steel components (</w:t>
      </w:r>
      <w:r w:rsidRPr="00D93FF9">
        <w:t>NHMRC</w:t>
      </w:r>
      <w:r w:rsidR="00A076F3" w:rsidRPr="00D93FF9">
        <w:t xml:space="preserve"> </w:t>
      </w:r>
      <w:r w:rsidR="00FA6E9E" w:rsidRPr="00D93FF9">
        <w:t>and</w:t>
      </w:r>
      <w:r w:rsidRPr="00D93FF9">
        <w:t xml:space="preserve"> NRMMC 2011).</w:t>
      </w:r>
    </w:p>
    <w:p w14:paraId="59DCDA9E" w14:textId="77777777" w:rsidR="00C46175" w:rsidRPr="00D93FF9" w:rsidRDefault="00C46175" w:rsidP="003807A1">
      <w:pPr>
        <w:pStyle w:val="BodyText"/>
        <w:spacing w:after="0" w:line="266" w:lineRule="auto"/>
        <w:jc w:val="both"/>
        <w:rPr>
          <w:lang w:val="en-GB"/>
        </w:rPr>
      </w:pPr>
    </w:p>
    <w:p w14:paraId="59DCDA9F" w14:textId="77777777" w:rsidR="00C46175" w:rsidRPr="00D93FF9" w:rsidRDefault="00E811B8" w:rsidP="00590E3C">
      <w:pPr>
        <w:pStyle w:val="ListBullet"/>
        <w:rPr>
          <w:lang w:val="en-GB"/>
        </w:rPr>
      </w:pPr>
      <w:r w:rsidRPr="00D93FF9">
        <w:rPr>
          <w:lang w:val="en-GB"/>
        </w:rPr>
        <w:t>Physical processes</w:t>
      </w:r>
    </w:p>
    <w:p w14:paraId="59DCDAA0" w14:textId="08E8D4BC" w:rsidR="00C46175" w:rsidRPr="00D93FF9" w:rsidRDefault="00E811B8" w:rsidP="003807A1">
      <w:pPr>
        <w:pStyle w:val="BodyText"/>
        <w:spacing w:after="0" w:line="266" w:lineRule="auto"/>
        <w:jc w:val="both"/>
        <w:rPr>
          <w:lang w:val="en-GB"/>
        </w:rPr>
      </w:pPr>
      <w:r w:rsidRPr="00D93FF9">
        <w:rPr>
          <w:lang w:val="en-GB"/>
        </w:rPr>
        <w:t xml:space="preserve">Erosion of protective layers on the metal surface can lead to corrosion. Artificial coatings (e.g. precoated metal) or natural coatings (e.g. build-up of iron oxides and carbonates) can be removed as a result of particles in suspension impacting on a surface in combination with elevated flow rate. The critical level of particles </w:t>
      </w:r>
      <w:r w:rsidR="00CC1AF2" w:rsidRPr="00D93FF9">
        <w:rPr>
          <w:lang w:val="en-GB"/>
        </w:rPr>
        <w:t xml:space="preserve">(total dissolved solids) </w:t>
      </w:r>
      <w:r w:rsidRPr="00D93FF9">
        <w:rPr>
          <w:lang w:val="en-GB"/>
        </w:rPr>
        <w:t>above which corrosion will establish varies, depending on the individual flow</w:t>
      </w:r>
      <w:r w:rsidRPr="00D93FF9">
        <w:rPr>
          <w:spacing w:val="-3"/>
          <w:lang w:val="en-GB"/>
        </w:rPr>
        <w:t xml:space="preserve"> </w:t>
      </w:r>
      <w:r w:rsidRPr="00D93FF9">
        <w:rPr>
          <w:lang w:val="en-GB"/>
        </w:rPr>
        <w:t>situation.</w:t>
      </w:r>
      <w:r w:rsidR="00CC1AF2" w:rsidRPr="00D93FF9">
        <w:rPr>
          <w:lang w:val="en-GB"/>
        </w:rPr>
        <w:t xml:space="preserve"> As total dissolved solid concentration increases, corrosion (and fouling) typically increases as well (CCME 2008).</w:t>
      </w:r>
    </w:p>
    <w:p w14:paraId="59DCDAA1" w14:textId="251B1A9E" w:rsidR="00C46175" w:rsidRPr="00D93FF9" w:rsidRDefault="00E811B8" w:rsidP="003807A1">
      <w:pPr>
        <w:pStyle w:val="BodyText"/>
        <w:spacing w:after="0" w:line="266" w:lineRule="auto"/>
        <w:jc w:val="both"/>
        <w:rPr>
          <w:lang w:val="en-GB"/>
        </w:rPr>
      </w:pPr>
      <w:r w:rsidRPr="00D93FF9">
        <w:rPr>
          <w:lang w:val="en-GB"/>
        </w:rPr>
        <w:t>Erosion can also occur through the formation and subsequent collapse of gas bubbles during groundwater pumping. Water entering the pump at low pressure vaporises, forming pockets which implode when subjected to high pressure on flowing through the pump. When this occurs against a solid surface, the localised pressure change can damage the metal surface or remove protective surface films, leaving a roughened surface which can then provide sites for further bubble formation (McLaughlan 1996).</w:t>
      </w:r>
    </w:p>
    <w:p w14:paraId="59DCDAA2" w14:textId="77777777" w:rsidR="00C46175" w:rsidRPr="00D93FF9" w:rsidRDefault="00E811B8" w:rsidP="00590E3C">
      <w:pPr>
        <w:pStyle w:val="Heading5"/>
        <w:rPr>
          <w:lang w:val="en-GB"/>
        </w:rPr>
      </w:pPr>
      <w:r w:rsidRPr="00D93FF9">
        <w:rPr>
          <w:lang w:val="en-GB"/>
        </w:rPr>
        <w:t>Degradation of synthetic materials</w:t>
      </w:r>
    </w:p>
    <w:p w14:paraId="59DCDAA3" w14:textId="77777777" w:rsidR="00C46175" w:rsidRPr="00D93FF9" w:rsidRDefault="00E811B8" w:rsidP="003807A1">
      <w:pPr>
        <w:pStyle w:val="BodyText"/>
        <w:spacing w:after="0" w:line="266" w:lineRule="auto"/>
        <w:jc w:val="both"/>
        <w:rPr>
          <w:lang w:val="en-GB"/>
        </w:rPr>
      </w:pPr>
      <w:r w:rsidRPr="00D93FF9">
        <w:rPr>
          <w:lang w:val="en-GB"/>
        </w:rPr>
        <w:t>With increasing use of synthetic material in smaller-scale agricultural systems, the structural degradation of materials such as plastics and PVC has become a significant issue. The mechanisms involved differ from the standard corrosion processes, with organic contaminants carried in groundwater being primarily responsible for degradation of these materials.</w:t>
      </w:r>
    </w:p>
    <w:p w14:paraId="59DCDAA4" w14:textId="77777777" w:rsidR="00C46175" w:rsidRPr="00D93FF9" w:rsidRDefault="00E811B8" w:rsidP="003807A1">
      <w:pPr>
        <w:pStyle w:val="BodyText"/>
        <w:spacing w:after="0" w:line="266" w:lineRule="auto"/>
        <w:jc w:val="both"/>
        <w:rPr>
          <w:lang w:val="en-GB"/>
        </w:rPr>
      </w:pPr>
      <w:r w:rsidRPr="00D93FF9">
        <w:rPr>
          <w:lang w:val="en-GB"/>
        </w:rPr>
        <w:t>Penetration of synthetic materials by chemical compounds may alter their structural properties through swelling and softening, leading to potential failure. This has normally been associated with waters containing relatively high contaminant loads, which should not be present in a raw water source, but it may potentially be an important issue in regard to on- site reuse of wastewaters.</w:t>
      </w:r>
    </w:p>
    <w:p w14:paraId="59DCDAA5" w14:textId="77777777" w:rsidR="00C46175" w:rsidRPr="00D93FF9" w:rsidRDefault="00C46175" w:rsidP="003807A1">
      <w:pPr>
        <w:pStyle w:val="BodyText"/>
        <w:spacing w:after="0"/>
        <w:rPr>
          <w:rFonts w:ascii="Arial"/>
          <w:lang w:val="en-GB"/>
        </w:rPr>
      </w:pPr>
      <w:bookmarkStart w:id="361" w:name="Concrete_corrosion"/>
      <w:bookmarkStart w:id="362" w:name="Water_quality_parameters_which_influence"/>
      <w:bookmarkEnd w:id="361"/>
      <w:bookmarkEnd w:id="362"/>
    </w:p>
    <w:p w14:paraId="59DCDAA6" w14:textId="77777777" w:rsidR="00C46175" w:rsidRPr="00D93FF9" w:rsidRDefault="00E811B8" w:rsidP="00590E3C">
      <w:pPr>
        <w:pStyle w:val="Heading5"/>
        <w:rPr>
          <w:lang w:val="en-GB"/>
        </w:rPr>
      </w:pPr>
      <w:r w:rsidRPr="00D93FF9">
        <w:rPr>
          <w:lang w:val="en-GB"/>
        </w:rPr>
        <w:t>Concrete corrosion</w:t>
      </w:r>
    </w:p>
    <w:p w14:paraId="59DCDAA7" w14:textId="6B34A622" w:rsidR="00C46175" w:rsidRPr="00D93FF9" w:rsidRDefault="00E811B8" w:rsidP="003807A1">
      <w:pPr>
        <w:pStyle w:val="BodyText"/>
        <w:spacing w:after="0" w:line="266" w:lineRule="auto"/>
        <w:jc w:val="both"/>
        <w:rPr>
          <w:lang w:val="en-GB"/>
        </w:rPr>
      </w:pPr>
      <w:r w:rsidRPr="00D93FF9">
        <w:rPr>
          <w:lang w:val="en-GB"/>
        </w:rPr>
        <w:t xml:space="preserve">Corrosion of concrete irrigation channels and pipelines occurs through the three mechanisms of leaching, ion exchange and expansion (Ayers </w:t>
      </w:r>
      <w:r w:rsidR="00FA6E9E" w:rsidRPr="00D93FF9">
        <w:rPr>
          <w:lang w:val="en-GB"/>
        </w:rPr>
        <w:t>and</w:t>
      </w:r>
      <w:r w:rsidRPr="00D93FF9">
        <w:rPr>
          <w:lang w:val="en-GB"/>
        </w:rPr>
        <w:t xml:space="preserve"> Westcot 1985), which may interact or act independently. Moreover, bacteria can cause biocorrosion in concrete through the breakdown of exposed surfaces in contact with water. This is often associated with the conversion of hydrogen sulfide gas to sulfuric acid by certain species of bacteria e.g.</w:t>
      </w:r>
      <w:r w:rsidR="00A076F3" w:rsidRPr="00D93FF9">
        <w:rPr>
          <w:lang w:val="en-GB"/>
        </w:rPr>
        <w:t>,</w:t>
      </w:r>
      <w:r w:rsidRPr="00D93FF9">
        <w:rPr>
          <w:lang w:val="en-GB"/>
        </w:rPr>
        <w:t xml:space="preserve"> </w:t>
      </w:r>
      <w:r w:rsidRPr="00D93FF9">
        <w:rPr>
          <w:i/>
          <w:lang w:val="en-GB"/>
        </w:rPr>
        <w:t xml:space="preserve">Thiobacillus </w:t>
      </w:r>
      <w:r w:rsidRPr="00D93FF9">
        <w:rPr>
          <w:lang w:val="en-GB"/>
        </w:rPr>
        <w:t>sp (Tiller 1982).</w:t>
      </w:r>
    </w:p>
    <w:p w14:paraId="59DCDAA8" w14:textId="61DB0CFB" w:rsidR="00C46175" w:rsidRPr="00D93FF9" w:rsidRDefault="00E811B8" w:rsidP="003807A1">
      <w:pPr>
        <w:pStyle w:val="BodyText"/>
        <w:spacing w:after="0" w:line="266" w:lineRule="auto"/>
        <w:jc w:val="both"/>
        <w:rPr>
          <w:lang w:val="en-GB"/>
        </w:rPr>
      </w:pPr>
      <w:r w:rsidRPr="00D93FF9">
        <w:rPr>
          <w:lang w:val="en-GB"/>
        </w:rPr>
        <w:t xml:space="preserve">Leaching occurs when lime in concrete is dissolved by water containing free carbon dioxide in the form of carbonic acid or by low salinity soft water (low carbonate hardness) (Ayers </w:t>
      </w:r>
      <w:r w:rsidR="00FA6E9E" w:rsidRPr="00D93FF9">
        <w:rPr>
          <w:lang w:val="en-GB"/>
        </w:rPr>
        <w:t>and</w:t>
      </w:r>
      <w:r w:rsidRPr="00D93FF9">
        <w:rPr>
          <w:lang w:val="en-GB"/>
        </w:rPr>
        <w:t xml:space="preserve"> Westcot 1985). </w:t>
      </w:r>
      <w:r w:rsidR="00816DB5" w:rsidRPr="00D93FF9">
        <w:rPr>
          <w:lang w:val="en-GB"/>
        </w:rPr>
        <w:t xml:space="preserve">Aggressive ions such as chloride and sulphate can also contribute to dissolution of lime in concrete (WHO 2017). </w:t>
      </w:r>
      <w:r w:rsidRPr="00D93FF9">
        <w:rPr>
          <w:lang w:val="en-GB"/>
        </w:rPr>
        <w:t>Although this form of corrosion does not cause major damage to expansive areas of concrete, it can significantly affect jointing fixtures which may lead to structural weakness</w:t>
      </w:r>
      <w:r w:rsidR="00816DB5" w:rsidRPr="00D93FF9">
        <w:rPr>
          <w:lang w:val="en-GB"/>
        </w:rPr>
        <w:t xml:space="preserve"> and potential failure (WHO 2017)</w:t>
      </w:r>
      <w:r w:rsidRPr="00D93FF9">
        <w:rPr>
          <w:lang w:val="en-GB"/>
        </w:rPr>
        <w:t>.</w:t>
      </w:r>
    </w:p>
    <w:p w14:paraId="59DCDAA9" w14:textId="6F1450C6" w:rsidR="00C46175" w:rsidRPr="00D93FF9" w:rsidRDefault="00E811B8" w:rsidP="003807A1">
      <w:pPr>
        <w:pStyle w:val="BodyText"/>
        <w:spacing w:after="0" w:line="266" w:lineRule="auto"/>
        <w:jc w:val="both"/>
        <w:rPr>
          <w:lang w:val="en-GB"/>
        </w:rPr>
      </w:pPr>
      <w:r w:rsidRPr="00D93FF9">
        <w:rPr>
          <w:lang w:val="en-GB"/>
        </w:rPr>
        <w:t>Alkaline cations (e.g.</w:t>
      </w:r>
      <w:r w:rsidR="00A076F3" w:rsidRPr="00D93FF9">
        <w:rPr>
          <w:lang w:val="en-GB"/>
        </w:rPr>
        <w:t>,</w:t>
      </w:r>
      <w:r w:rsidRPr="00D93FF9">
        <w:rPr>
          <w:lang w:val="en-GB"/>
        </w:rPr>
        <w:t xml:space="preserve"> calcium, magnesium, potassium and ammonium) in irrigation water react with soluble compounds in cement through base-exchange reactions to produce exchange products. These may then be leached or remain in situ as non-binding components, reducing concrete</w:t>
      </w:r>
      <w:r w:rsidRPr="00D93FF9">
        <w:rPr>
          <w:spacing w:val="-3"/>
          <w:lang w:val="en-GB"/>
        </w:rPr>
        <w:t xml:space="preserve"> </w:t>
      </w:r>
      <w:r w:rsidRPr="00D93FF9">
        <w:rPr>
          <w:lang w:val="en-GB"/>
        </w:rPr>
        <w:t>strength.</w:t>
      </w:r>
    </w:p>
    <w:p w14:paraId="59DCDAAA" w14:textId="3924CAAC" w:rsidR="00C46175" w:rsidRPr="00D93FF9" w:rsidRDefault="00E811B8" w:rsidP="003807A1">
      <w:pPr>
        <w:pStyle w:val="BodyText"/>
        <w:spacing w:after="0" w:line="266" w:lineRule="auto"/>
        <w:jc w:val="both"/>
        <w:rPr>
          <w:lang w:val="en-GB"/>
        </w:rPr>
      </w:pPr>
      <w:r w:rsidRPr="00D93FF9">
        <w:rPr>
          <w:lang w:val="en-GB"/>
        </w:rPr>
        <w:lastRenderedPageBreak/>
        <w:t>Concrete compounds chemically react with components in groundwater (e.g.</w:t>
      </w:r>
      <w:r w:rsidR="00A076F3" w:rsidRPr="00D93FF9">
        <w:rPr>
          <w:lang w:val="en-GB"/>
        </w:rPr>
        <w:t>,</w:t>
      </w:r>
      <w:r w:rsidRPr="00D93FF9">
        <w:rPr>
          <w:lang w:val="en-GB"/>
        </w:rPr>
        <w:t xml:space="preserve"> sulfate) and are replaced by new compounds which occupy a larger volume. This leads to swelling and internal stress, resulting in the potential breakdown of concrete structure.</w:t>
      </w:r>
    </w:p>
    <w:p w14:paraId="59DCDAAB" w14:textId="77777777" w:rsidR="00C46175" w:rsidRPr="00D93FF9" w:rsidRDefault="00E811B8" w:rsidP="00992F66">
      <w:pPr>
        <w:pStyle w:val="Heading4"/>
        <w:rPr>
          <w:lang w:val="en-GB"/>
        </w:rPr>
      </w:pPr>
      <w:r w:rsidRPr="00D93FF9">
        <w:rPr>
          <w:lang w:val="en-GB"/>
        </w:rPr>
        <w:t>Water quality parameters which influence corrosion</w:t>
      </w:r>
    </w:p>
    <w:p w14:paraId="59DCDAAC" w14:textId="77777777" w:rsidR="00C46175" w:rsidRPr="00D93FF9" w:rsidRDefault="00E811B8" w:rsidP="00590E3C">
      <w:pPr>
        <w:pStyle w:val="ListBullet"/>
        <w:rPr>
          <w:lang w:val="en-GB"/>
        </w:rPr>
      </w:pPr>
      <w:r w:rsidRPr="00D93FF9">
        <w:rPr>
          <w:lang w:val="en-GB"/>
        </w:rPr>
        <w:t>pH</w:t>
      </w:r>
    </w:p>
    <w:p w14:paraId="59DCDAAD" w14:textId="77777777" w:rsidR="00C46175" w:rsidRPr="00D93FF9" w:rsidRDefault="00E811B8" w:rsidP="003807A1">
      <w:pPr>
        <w:pStyle w:val="BodyText"/>
        <w:spacing w:after="0" w:line="266" w:lineRule="auto"/>
        <w:jc w:val="both"/>
        <w:rPr>
          <w:lang w:val="en-GB"/>
        </w:rPr>
      </w:pPr>
      <w:r w:rsidRPr="00D93FF9">
        <w:rPr>
          <w:lang w:val="en-GB"/>
        </w:rPr>
        <w:t>Acidity is one of the important factors which influences the extent of corrosion in an irrigation system. Guidelines provided for agricultural waters by Gill (1986) indicate that a pH &lt;5 could potentially be corrosive. Values between 5 and 6 should be regarded with caution, and a pH of</w:t>
      </w:r>
    </w:p>
    <w:p w14:paraId="59DCDAAE" w14:textId="27E7F48C" w:rsidR="00C46175" w:rsidRPr="00D93FF9" w:rsidRDefault="00E811B8" w:rsidP="003807A1">
      <w:pPr>
        <w:pStyle w:val="BodyText"/>
        <w:spacing w:after="0" w:line="266" w:lineRule="auto"/>
        <w:jc w:val="both"/>
        <w:rPr>
          <w:lang w:val="en-GB"/>
        </w:rPr>
      </w:pPr>
      <w:r w:rsidRPr="00D93FF9">
        <w:rPr>
          <w:lang w:val="en-GB"/>
        </w:rPr>
        <w:t xml:space="preserve">&gt;6 should be maintained to limit the level of corrosion in a system. NHRMC and ARMCANZ (1996) give a slightly more conservative pH limit of &gt;6.5, based on studies of reticulation systems for potable water supply. </w:t>
      </w:r>
      <w:r w:rsidR="00816DB5" w:rsidRPr="00D93FF9">
        <w:rPr>
          <w:lang w:val="en-GB"/>
        </w:rPr>
        <w:t>Several sources conclude that a pH of 6.5-8.5 is the ideal range to limit both corrosion and fouling (</w:t>
      </w:r>
      <w:r w:rsidR="00816DB5" w:rsidRPr="00D93FF9">
        <w:t>NHMRC</w:t>
      </w:r>
      <w:r w:rsidR="00A076F3" w:rsidRPr="00D93FF9">
        <w:t xml:space="preserve"> </w:t>
      </w:r>
      <w:r w:rsidR="00FA6E9E" w:rsidRPr="00D93FF9">
        <w:t>and</w:t>
      </w:r>
      <w:r w:rsidR="00877DBF" w:rsidRPr="00D93FF9">
        <w:t xml:space="preserve"> </w:t>
      </w:r>
      <w:r w:rsidR="00816DB5" w:rsidRPr="00D93FF9">
        <w:t xml:space="preserve">NRMMC 2011; CCME 2008; WHO 2017). </w:t>
      </w:r>
      <w:r w:rsidRPr="00D93FF9">
        <w:rPr>
          <w:lang w:val="en-GB"/>
        </w:rPr>
        <w:t>Along with several other parameters</w:t>
      </w:r>
      <w:r w:rsidR="00816DB5" w:rsidRPr="00D93FF9">
        <w:rPr>
          <w:lang w:val="en-GB"/>
        </w:rPr>
        <w:t xml:space="preserve"> (eg. </w:t>
      </w:r>
      <w:r w:rsidR="00EC2C7B" w:rsidRPr="00D93FF9">
        <w:rPr>
          <w:lang w:val="en-GB"/>
        </w:rPr>
        <w:t>D</w:t>
      </w:r>
      <w:r w:rsidR="00816DB5" w:rsidRPr="00D93FF9">
        <w:rPr>
          <w:lang w:val="en-GB"/>
        </w:rPr>
        <w:t xml:space="preserve">issolved oxygen, temperature, ions in water), </w:t>
      </w:r>
      <w:r w:rsidRPr="00D93FF9">
        <w:rPr>
          <w:lang w:val="en-GB"/>
        </w:rPr>
        <w:t>pH is used in the calculation of the Langelier Index, which provides an indication of the corrosion or scaling potential of a water</w:t>
      </w:r>
      <w:r w:rsidR="00816DB5" w:rsidRPr="00D93FF9">
        <w:rPr>
          <w:lang w:val="en-GB"/>
        </w:rPr>
        <w:t xml:space="preserve"> (</w:t>
      </w:r>
      <w:r w:rsidR="00816DB5" w:rsidRPr="00D93FF9">
        <w:t>NHMRC</w:t>
      </w:r>
      <w:r w:rsidR="00A076F3" w:rsidRPr="00D93FF9">
        <w:t xml:space="preserve"> </w:t>
      </w:r>
      <w:r w:rsidR="00FA6E9E" w:rsidRPr="00D93FF9">
        <w:t>and</w:t>
      </w:r>
      <w:r w:rsidR="00816DB5" w:rsidRPr="00D93FF9">
        <w:t xml:space="preserve"> NRMMC 2011)</w:t>
      </w:r>
      <w:r w:rsidRPr="00D93FF9">
        <w:rPr>
          <w:lang w:val="en-GB"/>
        </w:rPr>
        <w:t>.</w:t>
      </w:r>
    </w:p>
    <w:p w14:paraId="59DCDAAF" w14:textId="601C5823" w:rsidR="00C46175" w:rsidRPr="00D93FF9" w:rsidRDefault="00E811B8" w:rsidP="003807A1">
      <w:pPr>
        <w:pStyle w:val="BodyText"/>
        <w:spacing w:after="0" w:line="266" w:lineRule="auto"/>
        <w:jc w:val="both"/>
        <w:rPr>
          <w:lang w:val="en-GB"/>
        </w:rPr>
      </w:pPr>
      <w:r w:rsidRPr="00D93FF9">
        <w:rPr>
          <w:lang w:val="en-GB"/>
        </w:rPr>
        <w:t>One of the constraints in using pH as a corrosion indicator in groundwater is that it may be difficult to get an accurate measurement. There is often an increase in pH once water has come in contact with the atmosphere, which means that water bought to the surface or measured sometime later in a laboratory may not accurately reflect in situ levels. Using equipment designed to overcome these limitations, a study by the Australian Geological Survey Organisation of several bores in the Great Artesian Basin identified a strong inverse relationship between borewater pH and initial rates of corrosion (Larsen et al.</w:t>
      </w:r>
      <w:r w:rsidRPr="00D93FF9">
        <w:rPr>
          <w:spacing w:val="8"/>
          <w:lang w:val="en-GB"/>
        </w:rPr>
        <w:t xml:space="preserve"> </w:t>
      </w:r>
      <w:r w:rsidRPr="00D93FF9">
        <w:rPr>
          <w:lang w:val="en-GB"/>
        </w:rPr>
        <w:t>1996).</w:t>
      </w:r>
    </w:p>
    <w:p w14:paraId="59DCDAB0" w14:textId="77777777" w:rsidR="00C46175" w:rsidRPr="00D93FF9" w:rsidRDefault="00E811B8" w:rsidP="00590E3C">
      <w:pPr>
        <w:pStyle w:val="ListBullet"/>
        <w:rPr>
          <w:lang w:val="en-GB"/>
        </w:rPr>
      </w:pPr>
      <w:r w:rsidRPr="00D93FF9">
        <w:rPr>
          <w:lang w:val="en-GB"/>
        </w:rPr>
        <w:t>Hardness</w:t>
      </w:r>
    </w:p>
    <w:p w14:paraId="59DCDAB1" w14:textId="77777777" w:rsidR="00C46175" w:rsidRPr="00D93FF9" w:rsidRDefault="00E811B8" w:rsidP="003807A1">
      <w:pPr>
        <w:pStyle w:val="BodyText"/>
        <w:spacing w:after="0" w:line="249" w:lineRule="auto"/>
        <w:jc w:val="both"/>
        <w:rPr>
          <w:lang w:val="en-GB"/>
        </w:rPr>
      </w:pPr>
      <w:r w:rsidRPr="00D93FF9">
        <w:rPr>
          <w:lang w:val="en-GB"/>
        </w:rPr>
        <w:t xml:space="preserve">The hardness or </w:t>
      </w:r>
      <w:r w:rsidRPr="00D93FF9">
        <w:rPr>
          <w:spacing w:val="-3"/>
          <w:lang w:val="en-GB"/>
        </w:rPr>
        <w:t xml:space="preserve">softness </w:t>
      </w:r>
      <w:r w:rsidRPr="00D93FF9">
        <w:rPr>
          <w:lang w:val="en-GB"/>
        </w:rPr>
        <w:t xml:space="preserve">of </w:t>
      </w:r>
      <w:r w:rsidRPr="00D93FF9">
        <w:rPr>
          <w:spacing w:val="-3"/>
          <w:lang w:val="en-GB"/>
        </w:rPr>
        <w:t xml:space="preserve">water </w:t>
      </w:r>
      <w:r w:rsidRPr="00D93FF9">
        <w:rPr>
          <w:lang w:val="en-GB"/>
        </w:rPr>
        <w:t xml:space="preserve">is based on the </w:t>
      </w:r>
      <w:r w:rsidRPr="00D93FF9">
        <w:rPr>
          <w:spacing w:val="-3"/>
          <w:lang w:val="en-GB"/>
        </w:rPr>
        <w:t xml:space="preserve">level </w:t>
      </w:r>
      <w:r w:rsidRPr="00D93FF9">
        <w:rPr>
          <w:lang w:val="en-GB"/>
        </w:rPr>
        <w:t xml:space="preserve">of </w:t>
      </w:r>
      <w:r w:rsidRPr="00D93FF9">
        <w:rPr>
          <w:spacing w:val="-3"/>
          <w:lang w:val="en-GB"/>
        </w:rPr>
        <w:t xml:space="preserve">dissolved </w:t>
      </w:r>
      <w:r w:rsidRPr="00D93FF9">
        <w:rPr>
          <w:lang w:val="en-GB"/>
        </w:rPr>
        <w:t xml:space="preserve">calcium and/or </w:t>
      </w:r>
      <w:r w:rsidRPr="00D93FF9">
        <w:rPr>
          <w:spacing w:val="-3"/>
          <w:lang w:val="en-GB"/>
        </w:rPr>
        <w:t xml:space="preserve">magnesium salts. </w:t>
      </w:r>
      <w:r w:rsidRPr="00D93FF9">
        <w:rPr>
          <w:lang w:val="en-GB"/>
        </w:rPr>
        <w:t xml:space="preserve">This is </w:t>
      </w:r>
      <w:r w:rsidRPr="00D93FF9">
        <w:rPr>
          <w:spacing w:val="-3"/>
          <w:lang w:val="en-GB"/>
        </w:rPr>
        <w:t xml:space="preserve">normally </w:t>
      </w:r>
      <w:r w:rsidRPr="00D93FF9">
        <w:rPr>
          <w:lang w:val="en-GB"/>
        </w:rPr>
        <w:t xml:space="preserve">expressed as a calcium carbonate </w:t>
      </w:r>
      <w:r w:rsidRPr="00D93FF9">
        <w:rPr>
          <w:spacing w:val="-3"/>
          <w:lang w:val="en-GB"/>
        </w:rPr>
        <w:t xml:space="preserve">equivalent </w:t>
      </w:r>
      <w:r w:rsidRPr="00D93FF9">
        <w:rPr>
          <w:spacing w:val="-4"/>
          <w:lang w:val="en-GB"/>
        </w:rPr>
        <w:t xml:space="preserve">(mg/L </w:t>
      </w:r>
      <w:r w:rsidRPr="00D93FF9">
        <w:rPr>
          <w:spacing w:val="-3"/>
          <w:lang w:val="en-GB"/>
        </w:rPr>
        <w:t>CaCO</w:t>
      </w:r>
      <w:r w:rsidRPr="00D93FF9">
        <w:rPr>
          <w:spacing w:val="-3"/>
          <w:position w:val="-4"/>
          <w:sz w:val="15"/>
          <w:lang w:val="en-GB"/>
        </w:rPr>
        <w:t>3</w:t>
      </w:r>
      <w:r w:rsidRPr="00D93FF9">
        <w:rPr>
          <w:spacing w:val="-3"/>
          <w:lang w:val="en-GB"/>
        </w:rPr>
        <w:t xml:space="preserve">). Other </w:t>
      </w:r>
      <w:r w:rsidRPr="00D93FF9">
        <w:rPr>
          <w:lang w:val="en-GB"/>
        </w:rPr>
        <w:t xml:space="preserve">cations </w:t>
      </w:r>
      <w:r w:rsidRPr="00D93FF9">
        <w:rPr>
          <w:spacing w:val="-3"/>
          <w:lang w:val="en-GB"/>
        </w:rPr>
        <w:t xml:space="preserve">(e.g. </w:t>
      </w:r>
      <w:r w:rsidRPr="00D93FF9">
        <w:rPr>
          <w:spacing w:val="-4"/>
          <w:lang w:val="en-GB"/>
        </w:rPr>
        <w:t xml:space="preserve">barium, </w:t>
      </w:r>
      <w:r w:rsidRPr="00D93FF9">
        <w:rPr>
          <w:lang w:val="en-GB"/>
        </w:rPr>
        <w:t xml:space="preserve">iron, </w:t>
      </w:r>
      <w:r w:rsidRPr="00D93FF9">
        <w:rPr>
          <w:spacing w:val="-3"/>
          <w:lang w:val="en-GB"/>
        </w:rPr>
        <w:t xml:space="preserve">manganese </w:t>
      </w:r>
      <w:r w:rsidRPr="00D93FF9">
        <w:rPr>
          <w:lang w:val="en-GB"/>
        </w:rPr>
        <w:t xml:space="preserve">and </w:t>
      </w:r>
      <w:r w:rsidRPr="00D93FF9">
        <w:rPr>
          <w:spacing w:val="-4"/>
          <w:lang w:val="en-GB"/>
        </w:rPr>
        <w:t xml:space="preserve">strontium) </w:t>
      </w:r>
      <w:r w:rsidRPr="00D93FF9">
        <w:rPr>
          <w:lang w:val="en-GB"/>
        </w:rPr>
        <w:t xml:space="preserve">can also influence the </w:t>
      </w:r>
      <w:r w:rsidRPr="00D93FF9">
        <w:rPr>
          <w:spacing w:val="-3"/>
          <w:lang w:val="en-GB"/>
        </w:rPr>
        <w:t xml:space="preserve">level </w:t>
      </w:r>
      <w:r w:rsidRPr="00D93FF9">
        <w:rPr>
          <w:lang w:val="en-GB"/>
        </w:rPr>
        <w:t xml:space="preserve">of </w:t>
      </w:r>
      <w:r w:rsidRPr="00D93FF9">
        <w:rPr>
          <w:spacing w:val="-3"/>
          <w:lang w:val="en-GB"/>
        </w:rPr>
        <w:t>hardness.</w:t>
      </w:r>
    </w:p>
    <w:p w14:paraId="59DCDAB2" w14:textId="40B0A42A" w:rsidR="00C46175" w:rsidRPr="00D93FF9" w:rsidRDefault="00E811B8" w:rsidP="003807A1">
      <w:pPr>
        <w:pStyle w:val="BodyText"/>
        <w:spacing w:after="0" w:line="266" w:lineRule="auto"/>
        <w:jc w:val="both"/>
        <w:rPr>
          <w:lang w:val="en-GB"/>
        </w:rPr>
      </w:pPr>
      <w:r w:rsidRPr="00D93FF9">
        <w:rPr>
          <w:lang w:val="en-GB"/>
        </w:rPr>
        <w:t>Two types of hardness have been identified, carbonate (temporary) and non-carbonate (permanent). This classification can be used to determine the potential for corrosion or fouling of pumping, irrigation and distribution equipment in waters. NHMRC and ARMCANZ (1996) define carbonate hardness as the total alkalinity expressed as calcium carbonate</w:t>
      </w:r>
      <w:r w:rsidRPr="00D93FF9">
        <w:rPr>
          <w:spacing w:val="13"/>
          <w:lang w:val="en-GB"/>
        </w:rPr>
        <w:t xml:space="preserve"> </w:t>
      </w:r>
      <w:r w:rsidRPr="00D93FF9">
        <w:rPr>
          <w:lang w:val="en-GB"/>
        </w:rPr>
        <w:t>(where</w:t>
      </w:r>
      <w:r w:rsidRPr="00D93FF9">
        <w:rPr>
          <w:spacing w:val="14"/>
          <w:lang w:val="en-GB"/>
        </w:rPr>
        <w:t xml:space="preserve"> </w:t>
      </w:r>
      <w:r w:rsidRPr="00D93FF9">
        <w:rPr>
          <w:lang w:val="en-GB"/>
        </w:rPr>
        <w:t>alkalinity</w:t>
      </w:r>
      <w:r w:rsidRPr="00D93FF9">
        <w:rPr>
          <w:spacing w:val="10"/>
          <w:lang w:val="en-GB"/>
        </w:rPr>
        <w:t xml:space="preserve"> </w:t>
      </w:r>
      <w:r w:rsidRPr="00D93FF9">
        <w:rPr>
          <w:lang w:val="en-GB"/>
        </w:rPr>
        <w:t>is</w:t>
      </w:r>
      <w:r w:rsidRPr="00D93FF9">
        <w:rPr>
          <w:spacing w:val="14"/>
          <w:lang w:val="en-GB"/>
        </w:rPr>
        <w:t xml:space="preserve"> </w:t>
      </w:r>
      <w:r w:rsidRPr="00D93FF9">
        <w:rPr>
          <w:lang w:val="en-GB"/>
        </w:rPr>
        <w:t>the</w:t>
      </w:r>
      <w:r w:rsidRPr="00D93FF9">
        <w:rPr>
          <w:spacing w:val="14"/>
          <w:lang w:val="en-GB"/>
        </w:rPr>
        <w:t xml:space="preserve"> </w:t>
      </w:r>
      <w:r w:rsidRPr="00D93FF9">
        <w:rPr>
          <w:lang w:val="en-GB"/>
        </w:rPr>
        <w:t>sum</w:t>
      </w:r>
      <w:r w:rsidRPr="00D93FF9">
        <w:rPr>
          <w:spacing w:val="9"/>
          <w:lang w:val="en-GB"/>
        </w:rPr>
        <w:t xml:space="preserve"> </w:t>
      </w:r>
      <w:r w:rsidRPr="00D93FF9">
        <w:rPr>
          <w:lang w:val="en-GB"/>
        </w:rPr>
        <w:t>of</w:t>
      </w:r>
      <w:r w:rsidRPr="00D93FF9">
        <w:rPr>
          <w:spacing w:val="14"/>
          <w:lang w:val="en-GB"/>
        </w:rPr>
        <w:t xml:space="preserve"> </w:t>
      </w:r>
      <w:r w:rsidRPr="00D93FF9">
        <w:rPr>
          <w:lang w:val="en-GB"/>
        </w:rPr>
        <w:t>the</w:t>
      </w:r>
      <w:r w:rsidRPr="00D93FF9">
        <w:rPr>
          <w:spacing w:val="14"/>
          <w:lang w:val="en-GB"/>
        </w:rPr>
        <w:t xml:space="preserve"> </w:t>
      </w:r>
      <w:r w:rsidRPr="00D93FF9">
        <w:rPr>
          <w:lang w:val="en-GB"/>
        </w:rPr>
        <w:t>carbonate,</w:t>
      </w:r>
      <w:r w:rsidRPr="00D93FF9">
        <w:rPr>
          <w:spacing w:val="13"/>
          <w:lang w:val="en-GB"/>
        </w:rPr>
        <w:t xml:space="preserve"> </w:t>
      </w:r>
      <w:r w:rsidRPr="00D93FF9">
        <w:rPr>
          <w:lang w:val="en-GB"/>
        </w:rPr>
        <w:t>bicarbonate</w:t>
      </w:r>
      <w:r w:rsidRPr="00D93FF9">
        <w:rPr>
          <w:spacing w:val="14"/>
          <w:lang w:val="en-GB"/>
        </w:rPr>
        <w:t xml:space="preserve"> </w:t>
      </w:r>
      <w:r w:rsidRPr="00D93FF9">
        <w:rPr>
          <w:lang w:val="en-GB"/>
        </w:rPr>
        <w:t>and</w:t>
      </w:r>
      <w:r w:rsidRPr="00D93FF9">
        <w:rPr>
          <w:spacing w:val="17"/>
          <w:lang w:val="en-GB"/>
        </w:rPr>
        <w:t xml:space="preserve"> </w:t>
      </w:r>
      <w:r w:rsidRPr="00D93FF9">
        <w:rPr>
          <w:lang w:val="en-GB"/>
        </w:rPr>
        <w:t>hydroxide</w:t>
      </w:r>
      <w:r w:rsidRPr="00D93FF9">
        <w:rPr>
          <w:spacing w:val="17"/>
          <w:lang w:val="en-GB"/>
        </w:rPr>
        <w:t xml:space="preserve"> </w:t>
      </w:r>
      <w:r w:rsidRPr="00D93FF9">
        <w:rPr>
          <w:lang w:val="en-GB"/>
        </w:rPr>
        <w:t>content),</w:t>
      </w:r>
      <w:r w:rsidR="00A0319D" w:rsidRPr="00D93FF9">
        <w:rPr>
          <w:lang w:val="en-GB"/>
        </w:rPr>
        <w:t xml:space="preserve"> </w:t>
      </w:r>
      <w:r w:rsidRPr="00D93FF9">
        <w:rPr>
          <w:lang w:val="en-GB"/>
        </w:rPr>
        <w:t xml:space="preserve">and non-carbonate hardness as the difference between the total and carbonate hardness. Soft water has a tendency to be more corrosive than hard water (Awad 1989). </w:t>
      </w:r>
      <w:r w:rsidR="00A0319D" w:rsidRPr="00D93FF9">
        <w:rPr>
          <w:lang w:val="en-GB"/>
        </w:rPr>
        <w:t>Although other factors such as pH, alkalinity and dissolved oxygen can also influence water corrosiveness (</w:t>
      </w:r>
      <w:r w:rsidR="00A0319D" w:rsidRPr="00D93FF9">
        <w:t>NHMRC</w:t>
      </w:r>
      <w:r w:rsidR="009E62F6" w:rsidRPr="00D93FF9">
        <w:t xml:space="preserve"> </w:t>
      </w:r>
      <w:r w:rsidR="00FA6E9E" w:rsidRPr="00D93FF9">
        <w:t>and</w:t>
      </w:r>
      <w:r w:rsidR="00A0319D" w:rsidRPr="00D93FF9">
        <w:t xml:space="preserve"> NRMMC 2011), </w:t>
      </w:r>
      <w:r w:rsidR="00A0319D" w:rsidRPr="00D93FF9">
        <w:rPr>
          <w:lang w:val="en-GB"/>
        </w:rPr>
        <w:t>it</w:t>
      </w:r>
      <w:r w:rsidRPr="00D93FF9">
        <w:rPr>
          <w:lang w:val="en-GB"/>
        </w:rPr>
        <w:t xml:space="preserve"> is recommended that waters be maintained at a hardness level of &gt;60 mg/L (CaCO</w:t>
      </w:r>
      <w:r w:rsidRPr="00D93FF9">
        <w:rPr>
          <w:vertAlign w:val="subscript"/>
          <w:lang w:val="en-GB"/>
        </w:rPr>
        <w:t>3</w:t>
      </w:r>
      <w:r w:rsidRPr="00D93FF9">
        <w:rPr>
          <w:lang w:val="en-GB"/>
        </w:rPr>
        <w:t>) to minimise corrosion (</w:t>
      </w:r>
      <w:r w:rsidR="00A076F3" w:rsidRPr="00D93FF9">
        <w:rPr>
          <w:lang w:val="en-GB"/>
        </w:rPr>
        <w:t xml:space="preserve">EEC 1997; </w:t>
      </w:r>
      <w:r w:rsidRPr="00D93FF9">
        <w:rPr>
          <w:lang w:val="en-GB"/>
        </w:rPr>
        <w:t xml:space="preserve">NHMRC </w:t>
      </w:r>
      <w:r w:rsidR="00FA6E9E" w:rsidRPr="00D93FF9">
        <w:rPr>
          <w:lang w:val="en-GB"/>
        </w:rPr>
        <w:t>and</w:t>
      </w:r>
      <w:r w:rsidRPr="00D93FF9">
        <w:rPr>
          <w:lang w:val="en-GB"/>
        </w:rPr>
        <w:t xml:space="preserve"> ARMCANZ 1996).</w:t>
      </w:r>
    </w:p>
    <w:p w14:paraId="59DCDAB3" w14:textId="77777777" w:rsidR="00C46175" w:rsidRPr="00D93FF9" w:rsidRDefault="00E811B8" w:rsidP="00590E3C">
      <w:pPr>
        <w:pStyle w:val="ListBullet"/>
        <w:rPr>
          <w:lang w:val="en-GB"/>
        </w:rPr>
      </w:pPr>
      <w:r w:rsidRPr="00D93FF9">
        <w:rPr>
          <w:lang w:val="en-GB"/>
        </w:rPr>
        <w:t xml:space="preserve">Dissolved </w:t>
      </w:r>
      <w:r w:rsidRPr="00D93FF9">
        <w:t>oxygen</w:t>
      </w:r>
    </w:p>
    <w:p w14:paraId="59DCDAB4" w14:textId="6C191FBB" w:rsidR="00C46175" w:rsidRPr="00D93FF9" w:rsidRDefault="00E811B8" w:rsidP="003807A1">
      <w:pPr>
        <w:pStyle w:val="BodyText"/>
        <w:spacing w:after="0" w:line="266" w:lineRule="auto"/>
        <w:jc w:val="both"/>
        <w:rPr>
          <w:lang w:val="en-GB"/>
        </w:rPr>
      </w:pPr>
      <w:r w:rsidRPr="00D93FF9">
        <w:rPr>
          <w:lang w:val="en-GB"/>
        </w:rPr>
        <w:t>Dissolved oxygen (DO) is the main oxidising agent which causes corrosion, with the tendency to corrode increasing with increasing DO concentration</w:t>
      </w:r>
      <w:r w:rsidR="00A0319D" w:rsidRPr="00D93FF9">
        <w:rPr>
          <w:lang w:val="en-GB"/>
        </w:rPr>
        <w:t xml:space="preserve"> (WHO 2017)</w:t>
      </w:r>
      <w:r w:rsidRPr="00D93FF9">
        <w:rPr>
          <w:lang w:val="en-GB"/>
        </w:rPr>
        <w:t>. The rate of corrosion in iron and steel increases with increased DO concentrations to a maximum and then decreases. A number of reasons for the decrease have been put forward, including the passivity behaviour of iron at high oxygen concentrations (Frese 1938</w:t>
      </w:r>
      <w:r w:rsidR="00FA3FC2" w:rsidRPr="00D93FF9">
        <w:rPr>
          <w:lang w:val="en-GB"/>
        </w:rPr>
        <w:t>;</w:t>
      </w:r>
      <w:r w:rsidRPr="00D93FF9">
        <w:rPr>
          <w:lang w:val="en-GB"/>
        </w:rPr>
        <w:t xml:space="preserve"> Streichner</w:t>
      </w:r>
      <w:r w:rsidRPr="00D93FF9">
        <w:rPr>
          <w:spacing w:val="3"/>
          <w:lang w:val="en-GB"/>
        </w:rPr>
        <w:t xml:space="preserve"> </w:t>
      </w:r>
      <w:r w:rsidRPr="00D93FF9">
        <w:rPr>
          <w:lang w:val="en-GB"/>
        </w:rPr>
        <w:t>1949).</w:t>
      </w:r>
    </w:p>
    <w:p w14:paraId="59DCDAB5" w14:textId="4F296AAF" w:rsidR="00A0319D" w:rsidRPr="00D93FF9" w:rsidRDefault="00E811B8" w:rsidP="003807A1">
      <w:pPr>
        <w:pStyle w:val="BodyText"/>
        <w:spacing w:after="0" w:line="264" w:lineRule="auto"/>
        <w:jc w:val="both"/>
        <w:rPr>
          <w:lang w:val="en-GB"/>
        </w:rPr>
      </w:pPr>
      <w:r w:rsidRPr="00D93FF9">
        <w:rPr>
          <w:lang w:val="en-GB"/>
        </w:rPr>
        <w:t xml:space="preserve">The rate of oxygen transfer to the cathode is basically a function of temperature, time, flow rate and the presence of a scale (McLaughlan </w:t>
      </w:r>
      <w:r w:rsidR="00FA6E9E" w:rsidRPr="00D93FF9">
        <w:rPr>
          <w:lang w:val="en-GB"/>
        </w:rPr>
        <w:t>and</w:t>
      </w:r>
      <w:r w:rsidRPr="00D93FF9">
        <w:rPr>
          <w:lang w:val="en-GB"/>
        </w:rPr>
        <w:t xml:space="preserve"> Knight 1989). The complex interaction of these factors makes </w:t>
      </w:r>
      <w:r w:rsidRPr="00D93FF9">
        <w:rPr>
          <w:lang w:val="en-GB"/>
        </w:rPr>
        <w:lastRenderedPageBreak/>
        <w:t>it difficult to determine a threshold value for corrosion based on DO concentration. It is recognised, however, that although elevated levels of DO can cause corrosion, low DO levels can also create environments where biocorrosion may occur (WHO 2017). Low DO can enable nuisance anaerobic microorganisms to grow producing by-products that can increase corrosiveness, and increase scaling (</w:t>
      </w:r>
      <w:r w:rsidRPr="00D93FF9">
        <w:t>NHMRC</w:t>
      </w:r>
      <w:r w:rsidR="00A076F3" w:rsidRPr="00D93FF9">
        <w:t xml:space="preserve"> </w:t>
      </w:r>
      <w:r w:rsidR="00FA6E9E" w:rsidRPr="00D93FF9">
        <w:t>and</w:t>
      </w:r>
      <w:r w:rsidRPr="00D93FF9">
        <w:t xml:space="preserve"> NRMMC 2011)</w:t>
      </w:r>
      <w:r w:rsidRPr="00D93FF9">
        <w:rPr>
          <w:lang w:val="en-GB"/>
        </w:rPr>
        <w:t>.</w:t>
      </w:r>
    </w:p>
    <w:p w14:paraId="59DCDAB6" w14:textId="77777777" w:rsidR="00C46175" w:rsidRPr="00D93FF9" w:rsidRDefault="00C46175" w:rsidP="003807A1">
      <w:pPr>
        <w:pStyle w:val="BodyText"/>
        <w:spacing w:after="0" w:line="266" w:lineRule="auto"/>
        <w:jc w:val="both"/>
        <w:rPr>
          <w:lang w:val="en-GB"/>
        </w:rPr>
      </w:pPr>
    </w:p>
    <w:p w14:paraId="59DCDAB7" w14:textId="0A415C14" w:rsidR="003528B9" w:rsidRPr="00D93FF9" w:rsidRDefault="00E811B8" w:rsidP="003807A1">
      <w:pPr>
        <w:pStyle w:val="BodyText"/>
        <w:spacing w:after="0" w:line="264" w:lineRule="auto"/>
        <w:jc w:val="both"/>
        <w:rPr>
          <w:lang w:val="en-GB"/>
        </w:rPr>
      </w:pPr>
      <w:r w:rsidRPr="00D93FF9">
        <w:rPr>
          <w:lang w:val="en-GB"/>
        </w:rPr>
        <w:t>Dissolved oxygen is not commonly used as a corrosion indicator in agricultural water due to the problems encountered in accurate sampling and analysis. Although special precautions can be taken to ‘fix’ the DO in the sample at the time of sampling, this is a costly option which, furthermore, does not give conclusive evidence of corrosion. The Australian Drinking Water Guidelines suggest a DO concentration of &gt;85% saturation can limit corrosion (</w:t>
      </w:r>
      <w:r w:rsidRPr="00D93FF9">
        <w:t>NHMRC</w:t>
      </w:r>
      <w:r w:rsidR="00A076F3" w:rsidRPr="00D93FF9">
        <w:t xml:space="preserve"> </w:t>
      </w:r>
      <w:r w:rsidR="00FA6E9E" w:rsidRPr="00D93FF9">
        <w:t>and</w:t>
      </w:r>
      <w:r w:rsidRPr="00D93FF9">
        <w:t xml:space="preserve"> NRMMC 2011)</w:t>
      </w:r>
      <w:r w:rsidRPr="00D93FF9">
        <w:rPr>
          <w:lang w:val="en-GB"/>
        </w:rPr>
        <w:t>.</w:t>
      </w:r>
    </w:p>
    <w:p w14:paraId="59DCDAB8" w14:textId="77777777" w:rsidR="00C46175" w:rsidRPr="00D93FF9" w:rsidRDefault="00C46175" w:rsidP="003807A1">
      <w:pPr>
        <w:pStyle w:val="BodyText"/>
        <w:spacing w:after="0" w:line="266" w:lineRule="auto"/>
        <w:jc w:val="both"/>
        <w:rPr>
          <w:lang w:val="en-GB"/>
        </w:rPr>
      </w:pPr>
    </w:p>
    <w:p w14:paraId="59DCDAB9" w14:textId="77777777" w:rsidR="00C46175" w:rsidRPr="00D93FF9" w:rsidRDefault="00E811B8" w:rsidP="00590E3C">
      <w:pPr>
        <w:pStyle w:val="ListBullet"/>
        <w:rPr>
          <w:lang w:val="en-GB"/>
        </w:rPr>
      </w:pPr>
      <w:r w:rsidRPr="00D93FF9">
        <w:rPr>
          <w:lang w:val="en-GB"/>
        </w:rPr>
        <w:t>Carbon dioxide</w:t>
      </w:r>
    </w:p>
    <w:p w14:paraId="59DCDABA" w14:textId="7F0B864D" w:rsidR="00C46175" w:rsidRPr="00D93FF9" w:rsidRDefault="00E811B8" w:rsidP="001F43FF">
      <w:pPr>
        <w:pStyle w:val="BodyText"/>
        <w:spacing w:after="0" w:line="266" w:lineRule="auto"/>
        <w:jc w:val="both"/>
        <w:rPr>
          <w:lang w:val="en-GB"/>
        </w:rPr>
      </w:pPr>
      <w:r w:rsidRPr="00D93FF9">
        <w:rPr>
          <w:lang w:val="en-GB"/>
        </w:rPr>
        <w:t>Free or ‘aggressive’ carbon dioxide (CO</w:t>
      </w:r>
      <w:r w:rsidRPr="00D93FF9">
        <w:rPr>
          <w:position w:val="-4"/>
          <w:sz w:val="15"/>
          <w:lang w:val="en-GB"/>
        </w:rPr>
        <w:t>2</w:t>
      </w:r>
      <w:r w:rsidRPr="00D93FF9">
        <w:rPr>
          <w:sz w:val="20"/>
          <w:lang w:val="en-GB"/>
        </w:rPr>
        <w:t xml:space="preserve">) </w:t>
      </w:r>
      <w:r w:rsidRPr="00D93FF9">
        <w:rPr>
          <w:lang w:val="en-GB"/>
        </w:rPr>
        <w:t>is defined as the amount of dissolved CO</w:t>
      </w:r>
      <w:r w:rsidRPr="00D93FF9">
        <w:rPr>
          <w:position w:val="-4"/>
          <w:sz w:val="15"/>
          <w:lang w:val="en-GB"/>
        </w:rPr>
        <w:t xml:space="preserve">2 </w:t>
      </w:r>
      <w:r w:rsidRPr="00D93FF9">
        <w:rPr>
          <w:lang w:val="en-GB"/>
        </w:rPr>
        <w:t>in excess of that required to stabilise the bicarbonate ion present in water (Denaro 1991). This excess CO</w:t>
      </w:r>
      <w:r w:rsidRPr="00D93FF9">
        <w:rPr>
          <w:position w:val="-4"/>
          <w:sz w:val="15"/>
          <w:lang w:val="en-GB"/>
        </w:rPr>
        <w:t xml:space="preserve">2 </w:t>
      </w:r>
      <w:r w:rsidRPr="00D93FF9">
        <w:rPr>
          <w:lang w:val="en-GB"/>
        </w:rPr>
        <w:t>combines with water to form carbonic acid, which can further dissociate to form hydrogen ions, according to the following</w:t>
      </w:r>
      <w:r w:rsidRPr="00D93FF9">
        <w:rPr>
          <w:spacing w:val="-6"/>
          <w:lang w:val="en-GB"/>
        </w:rPr>
        <w:t xml:space="preserve"> </w:t>
      </w:r>
      <w:r w:rsidRPr="00D93FF9">
        <w:rPr>
          <w:lang w:val="en-GB"/>
        </w:rPr>
        <w:t>reaction:</w:t>
      </w:r>
    </w:p>
    <w:p w14:paraId="59DCDABB" w14:textId="60D19548" w:rsidR="00C46175" w:rsidRPr="00D93FF9" w:rsidRDefault="00E811B8" w:rsidP="001F43FF">
      <w:pPr>
        <w:pStyle w:val="Caption"/>
        <w:spacing w:line="266" w:lineRule="auto"/>
        <w:rPr>
          <w:lang w:val="en-GB"/>
        </w:rPr>
      </w:pPr>
      <w:r w:rsidRPr="00D93FF9">
        <w:rPr>
          <w:b w:val="0"/>
          <w:bCs w:val="0"/>
          <w:lang w:val="en-GB"/>
        </w:rPr>
        <w:t>CO</w:t>
      </w:r>
      <w:r w:rsidRPr="00D93FF9">
        <w:rPr>
          <w:b w:val="0"/>
          <w:bCs w:val="0"/>
          <w:position w:val="-4"/>
          <w:sz w:val="15"/>
          <w:lang w:val="en-GB"/>
        </w:rPr>
        <w:t xml:space="preserve">2 </w:t>
      </w:r>
      <w:r w:rsidRPr="00D93FF9">
        <w:rPr>
          <w:b w:val="0"/>
          <w:bCs w:val="0"/>
          <w:lang w:val="en-GB"/>
        </w:rPr>
        <w:t>+ H</w:t>
      </w:r>
      <w:r w:rsidRPr="00D93FF9">
        <w:rPr>
          <w:b w:val="0"/>
          <w:bCs w:val="0"/>
          <w:position w:val="-4"/>
          <w:sz w:val="15"/>
          <w:lang w:val="en-GB"/>
        </w:rPr>
        <w:t>2</w:t>
      </w:r>
      <w:r w:rsidRPr="00D93FF9">
        <w:rPr>
          <w:b w:val="0"/>
          <w:bCs w:val="0"/>
          <w:lang w:val="en-GB"/>
        </w:rPr>
        <w:t xml:space="preserve">O </w:t>
      </w:r>
      <w:r w:rsidR="00962EA1" w:rsidRPr="00D93FF9">
        <w:rPr>
          <w:rFonts w:ascii="Symbol" w:hAnsi="Symbol"/>
          <w:b w:val="0"/>
          <w:bCs w:val="0"/>
          <w:lang w:val="en-GB"/>
        </w:rPr>
        <w:sym w:font="Symbol" w:char="F0AB"/>
      </w:r>
      <w:r w:rsidRPr="00D93FF9">
        <w:rPr>
          <w:b w:val="0"/>
          <w:bCs w:val="0"/>
          <w:lang w:val="en-GB"/>
        </w:rPr>
        <w:t xml:space="preserve"> H</w:t>
      </w:r>
      <w:r w:rsidRPr="00D93FF9">
        <w:rPr>
          <w:b w:val="0"/>
          <w:bCs w:val="0"/>
          <w:position w:val="-4"/>
          <w:sz w:val="15"/>
          <w:lang w:val="en-GB"/>
        </w:rPr>
        <w:t>2</w:t>
      </w:r>
      <w:r w:rsidRPr="00D93FF9">
        <w:rPr>
          <w:b w:val="0"/>
          <w:bCs w:val="0"/>
          <w:lang w:val="en-GB"/>
        </w:rPr>
        <w:t>CO</w:t>
      </w:r>
      <w:r w:rsidRPr="00D93FF9">
        <w:rPr>
          <w:b w:val="0"/>
          <w:bCs w:val="0"/>
          <w:position w:val="-4"/>
          <w:sz w:val="15"/>
          <w:lang w:val="en-GB"/>
        </w:rPr>
        <w:t xml:space="preserve">3 </w:t>
      </w:r>
      <w:r w:rsidR="00962EA1" w:rsidRPr="00D93FF9">
        <w:rPr>
          <w:rFonts w:ascii="Symbol" w:hAnsi="Symbol"/>
          <w:b w:val="0"/>
          <w:bCs w:val="0"/>
          <w:lang w:val="en-GB"/>
        </w:rPr>
        <w:sym w:font="Symbol" w:char="F0AB"/>
      </w:r>
      <w:r w:rsidRPr="00D93FF9">
        <w:rPr>
          <w:b w:val="0"/>
          <w:bCs w:val="0"/>
          <w:lang w:val="en-GB"/>
        </w:rPr>
        <w:t xml:space="preserve"> H</w:t>
      </w:r>
      <w:r w:rsidRPr="00D93FF9">
        <w:rPr>
          <w:b w:val="0"/>
          <w:bCs w:val="0"/>
          <w:position w:val="5"/>
          <w:sz w:val="15"/>
          <w:lang w:val="en-GB"/>
        </w:rPr>
        <w:t>+</w:t>
      </w:r>
      <w:r w:rsidRPr="00D93FF9">
        <w:rPr>
          <w:b w:val="0"/>
          <w:bCs w:val="0"/>
          <w:spacing w:val="-20"/>
          <w:position w:val="5"/>
          <w:sz w:val="15"/>
          <w:lang w:val="en-GB"/>
        </w:rPr>
        <w:t xml:space="preserve"> </w:t>
      </w:r>
      <w:r w:rsidRPr="00D93FF9">
        <w:rPr>
          <w:b w:val="0"/>
          <w:bCs w:val="0"/>
          <w:lang w:val="en-GB"/>
        </w:rPr>
        <w:t>+ HCO</w:t>
      </w:r>
      <w:r w:rsidRPr="00D93FF9">
        <w:rPr>
          <w:b w:val="0"/>
          <w:bCs w:val="0"/>
          <w:position w:val="-4"/>
          <w:sz w:val="15"/>
          <w:lang w:val="en-GB"/>
        </w:rPr>
        <w:t>3</w:t>
      </w:r>
      <w:r w:rsidRPr="00D93FF9">
        <w:rPr>
          <w:b w:val="0"/>
          <w:bCs w:val="0"/>
          <w:position w:val="5"/>
          <w:sz w:val="15"/>
          <w:lang w:val="en-GB"/>
        </w:rPr>
        <w:t>-</w:t>
      </w:r>
    </w:p>
    <w:p w14:paraId="59DCDABC" w14:textId="77777777" w:rsidR="00C46175" w:rsidRPr="00D93FF9" w:rsidRDefault="00E811B8" w:rsidP="001F43FF">
      <w:pPr>
        <w:pStyle w:val="BodyText"/>
        <w:spacing w:after="0" w:line="266" w:lineRule="auto"/>
        <w:jc w:val="both"/>
        <w:rPr>
          <w:lang w:val="en-GB"/>
        </w:rPr>
      </w:pPr>
      <w:r w:rsidRPr="00D93FF9">
        <w:rPr>
          <w:lang w:val="en-GB"/>
        </w:rPr>
        <w:t>This gives an acidic solution which provides a suitable environment for metal corrosion.</w:t>
      </w:r>
    </w:p>
    <w:p w14:paraId="59DCDABD" w14:textId="6358D82D" w:rsidR="00C46175" w:rsidRPr="00D93FF9" w:rsidRDefault="00855C80" w:rsidP="001F43FF">
      <w:pPr>
        <w:pStyle w:val="BodyText"/>
        <w:spacing w:after="0" w:line="266" w:lineRule="auto"/>
        <w:jc w:val="both"/>
        <w:rPr>
          <w:lang w:val="en-GB"/>
        </w:rPr>
      </w:pPr>
      <w:r w:rsidRPr="00D93FF9">
        <w:rPr>
          <w:lang w:val="en-GB"/>
        </w:rPr>
        <w:t>Guideline value</w:t>
      </w:r>
      <w:r w:rsidR="00E811B8" w:rsidRPr="00D93FF9">
        <w:rPr>
          <w:lang w:val="en-GB"/>
        </w:rPr>
        <w:t>s for CO</w:t>
      </w:r>
      <w:r w:rsidR="00E811B8" w:rsidRPr="00D93FF9">
        <w:rPr>
          <w:position w:val="-4"/>
          <w:sz w:val="15"/>
          <w:lang w:val="en-GB"/>
        </w:rPr>
        <w:t xml:space="preserve">2 </w:t>
      </w:r>
      <w:r w:rsidR="00E811B8" w:rsidRPr="00D93FF9">
        <w:rPr>
          <w:lang w:val="en-GB"/>
        </w:rPr>
        <w:t>in water are hard to define in a general sense due to the complexity of interactive factors involved and the difficulty of accurate analysis. Crolet (1983) noted that to predict CO</w:t>
      </w:r>
      <w:r w:rsidR="00E811B8" w:rsidRPr="00D93FF9">
        <w:rPr>
          <w:position w:val="-4"/>
          <w:sz w:val="15"/>
          <w:lang w:val="en-GB"/>
        </w:rPr>
        <w:t xml:space="preserve">2 </w:t>
      </w:r>
      <w:r w:rsidR="00E811B8" w:rsidRPr="00D93FF9">
        <w:rPr>
          <w:lang w:val="en-GB"/>
        </w:rPr>
        <w:t>corrosion, temperature, partial pressure of CO</w:t>
      </w:r>
      <w:r w:rsidR="00E811B8" w:rsidRPr="00D93FF9">
        <w:rPr>
          <w:position w:val="-4"/>
          <w:sz w:val="15"/>
          <w:lang w:val="en-GB"/>
        </w:rPr>
        <w:t>2</w:t>
      </w:r>
      <w:r w:rsidR="00E811B8" w:rsidRPr="00D93FF9">
        <w:rPr>
          <w:lang w:val="en-GB"/>
        </w:rPr>
        <w:t>, fluid velocity and chemistry of the water must be considered. ‘Aggressive’ carbon dioxide can only be measured accurately at the water source, as levels are likely to decline due to degassing of the water sample during collection and transportation.</w:t>
      </w:r>
    </w:p>
    <w:p w14:paraId="59DCDABE" w14:textId="7261E7AA" w:rsidR="00C46175" w:rsidRPr="00D93FF9" w:rsidRDefault="00E811B8" w:rsidP="001F43FF">
      <w:pPr>
        <w:pStyle w:val="BodyText"/>
        <w:spacing w:after="0" w:line="266" w:lineRule="auto"/>
        <w:jc w:val="both"/>
        <w:rPr>
          <w:lang w:val="en-GB"/>
        </w:rPr>
      </w:pPr>
      <w:r w:rsidRPr="00D93FF9">
        <w:rPr>
          <w:lang w:val="en-GB"/>
        </w:rPr>
        <w:t>Corrosion of steel by CO</w:t>
      </w:r>
      <w:r w:rsidRPr="00D93FF9">
        <w:rPr>
          <w:position w:val="-4"/>
          <w:sz w:val="15"/>
          <w:lang w:val="en-GB"/>
        </w:rPr>
        <w:t xml:space="preserve">2 </w:t>
      </w:r>
      <w:r w:rsidRPr="00D93FF9">
        <w:rPr>
          <w:lang w:val="en-GB"/>
        </w:rPr>
        <w:t>is often very localised in the form of pits, gutters or attached areas with abrupt changes from corroded to non-corroded areas (Crolet 1983</w:t>
      </w:r>
      <w:r w:rsidR="00A076F3" w:rsidRPr="00D93FF9">
        <w:rPr>
          <w:lang w:val="en-GB"/>
        </w:rPr>
        <w:t>;</w:t>
      </w:r>
      <w:r w:rsidRPr="00D93FF9">
        <w:rPr>
          <w:lang w:val="en-GB"/>
        </w:rPr>
        <w:t xml:space="preserve"> Denaro 1991).</w:t>
      </w:r>
    </w:p>
    <w:p w14:paraId="59DCDABF" w14:textId="77777777" w:rsidR="00C46175" w:rsidRPr="00D93FF9" w:rsidRDefault="00C46175" w:rsidP="001F43FF">
      <w:pPr>
        <w:pStyle w:val="BodyText"/>
        <w:spacing w:after="0" w:line="266" w:lineRule="auto"/>
        <w:rPr>
          <w:sz w:val="20"/>
          <w:lang w:val="en-GB"/>
        </w:rPr>
      </w:pPr>
    </w:p>
    <w:p w14:paraId="59DCDAC0" w14:textId="77777777" w:rsidR="00C46175" w:rsidRPr="00D93FF9" w:rsidRDefault="00E811B8" w:rsidP="001F43FF">
      <w:pPr>
        <w:pStyle w:val="ListBullet"/>
        <w:spacing w:line="266" w:lineRule="auto"/>
        <w:rPr>
          <w:lang w:val="en-GB"/>
        </w:rPr>
      </w:pPr>
      <w:r w:rsidRPr="00D93FF9">
        <w:rPr>
          <w:lang w:val="en-GB"/>
        </w:rPr>
        <w:t>Hydrogen sulfide</w:t>
      </w:r>
    </w:p>
    <w:p w14:paraId="59DCDAC1" w14:textId="1F0A4A2E" w:rsidR="00C46175" w:rsidRPr="00D93FF9" w:rsidRDefault="00E811B8" w:rsidP="001F43FF">
      <w:pPr>
        <w:pStyle w:val="BodyText"/>
        <w:spacing w:after="0" w:line="266" w:lineRule="auto"/>
        <w:jc w:val="both"/>
        <w:rPr>
          <w:lang w:val="en-GB"/>
        </w:rPr>
      </w:pPr>
      <w:r w:rsidRPr="00D93FF9">
        <w:rPr>
          <w:lang w:val="en-GB"/>
        </w:rPr>
        <w:t>Hydrogen sulfide (H</w:t>
      </w:r>
      <w:r w:rsidRPr="00D93FF9">
        <w:rPr>
          <w:position w:val="-4"/>
          <w:sz w:val="15"/>
          <w:lang w:val="en-GB"/>
        </w:rPr>
        <w:t>2</w:t>
      </w:r>
      <w:r w:rsidRPr="00D93FF9">
        <w:rPr>
          <w:lang w:val="en-GB"/>
        </w:rPr>
        <w:t xml:space="preserve">S) is a common constituent of many groundwaters, and forms as a result of the breakdown of organic matter or mineral release. Corrosion from hydrogen sulfide occurs in two different forms, sulfide stress cracking and hydrogen stress corrosion cracking (McLaughlan </w:t>
      </w:r>
      <w:r w:rsidR="00FA6E9E" w:rsidRPr="00D93FF9">
        <w:rPr>
          <w:lang w:val="en-GB"/>
        </w:rPr>
        <w:t>and</w:t>
      </w:r>
      <w:r w:rsidRPr="00D93FF9">
        <w:rPr>
          <w:lang w:val="en-GB"/>
        </w:rPr>
        <w:t xml:space="preserve"> Knight 1989).</w:t>
      </w:r>
    </w:p>
    <w:p w14:paraId="59DCDAC2" w14:textId="77777777" w:rsidR="00C46175" w:rsidRPr="00D93FF9" w:rsidRDefault="00E811B8" w:rsidP="001F43FF">
      <w:pPr>
        <w:pStyle w:val="BodyText"/>
        <w:spacing w:after="0" w:line="266" w:lineRule="auto"/>
        <w:jc w:val="both"/>
        <w:rPr>
          <w:rFonts w:ascii="Arial"/>
          <w:sz w:val="20"/>
          <w:lang w:val="en-GB"/>
        </w:rPr>
      </w:pPr>
      <w:r w:rsidRPr="00D93FF9">
        <w:rPr>
          <w:lang w:val="en-GB"/>
        </w:rPr>
        <w:t>Sulfide stress cracking is the result of brittle failure caused by tensile stress and corrosion by water and hydrogen sulfide. Hydrogen stress corrosion cracking occurs through cracking caused by a combination of tensile stress and a specific corrosive medium. Further details of the processes involved are provided by McLaughlan and Knight (1989), Treseder (1981) and Fontana (1986).</w:t>
      </w:r>
      <w:bookmarkStart w:id="363" w:name="Corrosion_indices"/>
      <w:bookmarkEnd w:id="363"/>
      <w:r w:rsidR="002D12D2" w:rsidRPr="00D93FF9">
        <w:rPr>
          <w:rFonts w:ascii="Arial"/>
          <w:sz w:val="20"/>
          <w:lang w:val="en-GB"/>
        </w:rPr>
        <w:t xml:space="preserve"> </w:t>
      </w:r>
    </w:p>
    <w:p w14:paraId="59DCDAC3" w14:textId="77777777" w:rsidR="00C46175" w:rsidRPr="00D93FF9" w:rsidRDefault="00C46175" w:rsidP="001F43FF">
      <w:pPr>
        <w:pStyle w:val="BodyText"/>
        <w:spacing w:after="0" w:line="266" w:lineRule="auto"/>
        <w:rPr>
          <w:rFonts w:ascii="Arial"/>
          <w:sz w:val="16"/>
          <w:lang w:val="en-GB"/>
        </w:rPr>
      </w:pPr>
    </w:p>
    <w:p w14:paraId="59DCDAC4" w14:textId="77777777" w:rsidR="00C46175" w:rsidRPr="00D93FF9" w:rsidRDefault="00E811B8" w:rsidP="003807A1">
      <w:pPr>
        <w:pStyle w:val="BodyText"/>
        <w:spacing w:after="0" w:line="266" w:lineRule="auto"/>
        <w:jc w:val="both"/>
        <w:rPr>
          <w:lang w:val="en-GB"/>
        </w:rPr>
      </w:pPr>
      <w:r w:rsidRPr="00D93FF9">
        <w:rPr>
          <w:lang w:val="en-GB"/>
        </w:rPr>
        <w:t>In certain environments, hydrogen sulphide can be converted to sulfuric acid, leading to the potential acidification of waters and possible corrosion of exposed surfaces and fittings in distribution systems.</w:t>
      </w:r>
    </w:p>
    <w:p w14:paraId="59DCDAC5" w14:textId="77777777" w:rsidR="00C46175" w:rsidRPr="00D93FF9" w:rsidRDefault="00E811B8" w:rsidP="00590E3C">
      <w:pPr>
        <w:pStyle w:val="ListBullet"/>
        <w:rPr>
          <w:lang w:val="en-GB"/>
        </w:rPr>
      </w:pPr>
      <w:r w:rsidRPr="00D93FF9">
        <w:rPr>
          <w:lang w:val="en-GB"/>
        </w:rPr>
        <w:t>Electrical conductivity</w:t>
      </w:r>
    </w:p>
    <w:p w14:paraId="59DCDAC6" w14:textId="77777777" w:rsidR="00C46175" w:rsidRPr="00D93FF9" w:rsidRDefault="00E811B8" w:rsidP="003807A1">
      <w:pPr>
        <w:pStyle w:val="BodyText"/>
        <w:spacing w:after="0" w:line="266" w:lineRule="auto"/>
        <w:jc w:val="both"/>
        <w:rPr>
          <w:lang w:val="en-GB"/>
        </w:rPr>
      </w:pPr>
      <w:r w:rsidRPr="00D93FF9">
        <w:rPr>
          <w:lang w:val="en-GB"/>
        </w:rPr>
        <w:t xml:space="preserve">Electrical conductivity (EC) is a measure of the ability of water to conduct an electric current, which is dependent on the concentration of dissolved ions. In general, agricultural waters with high EC values are more corrosive than those with low EC values. This, however, is dependent on the types of ions present, as some are more corrosive than others (e.g. elevated levels of sodium in waters are more </w:t>
      </w:r>
      <w:r w:rsidRPr="00D93FF9">
        <w:rPr>
          <w:lang w:val="en-GB"/>
        </w:rPr>
        <w:lastRenderedPageBreak/>
        <w:t>likely to cause corrosion than calcium). Electrical conductivity is not generally used as a specific indicator of corrosion because it represents the total ion content rather than types of ions present in</w:t>
      </w:r>
      <w:r w:rsidRPr="00D93FF9">
        <w:rPr>
          <w:spacing w:val="4"/>
          <w:lang w:val="en-GB"/>
        </w:rPr>
        <w:t xml:space="preserve"> </w:t>
      </w:r>
      <w:r w:rsidRPr="00D93FF9">
        <w:rPr>
          <w:lang w:val="en-GB"/>
        </w:rPr>
        <w:t>water.</w:t>
      </w:r>
    </w:p>
    <w:p w14:paraId="59DCDAC7" w14:textId="77777777" w:rsidR="00C46175" w:rsidRPr="00D93FF9" w:rsidRDefault="00E811B8" w:rsidP="00992F66">
      <w:pPr>
        <w:pStyle w:val="Heading4"/>
        <w:rPr>
          <w:lang w:val="en-GB"/>
        </w:rPr>
      </w:pPr>
      <w:r w:rsidRPr="00D93FF9">
        <w:t>Corrosion</w:t>
      </w:r>
      <w:r w:rsidRPr="00D93FF9">
        <w:rPr>
          <w:lang w:val="en-GB"/>
        </w:rPr>
        <w:t xml:space="preserve"> indices</w:t>
      </w:r>
    </w:p>
    <w:p w14:paraId="59DCDAC8" w14:textId="77777777" w:rsidR="00C46175" w:rsidRPr="00D93FF9" w:rsidRDefault="00E811B8" w:rsidP="00590E3C">
      <w:pPr>
        <w:pStyle w:val="ListBullet"/>
        <w:rPr>
          <w:lang w:val="en-GB"/>
        </w:rPr>
      </w:pPr>
      <w:r w:rsidRPr="00D93FF9">
        <w:rPr>
          <w:lang w:val="en-GB"/>
        </w:rPr>
        <w:t>Langelier Saturation Index (LI)</w:t>
      </w:r>
    </w:p>
    <w:p w14:paraId="59DCDAC9" w14:textId="77777777" w:rsidR="003528B9" w:rsidRPr="00D93FF9" w:rsidRDefault="00E811B8" w:rsidP="003807A1">
      <w:pPr>
        <w:pStyle w:val="BodyText"/>
        <w:spacing w:after="0" w:line="264" w:lineRule="auto"/>
        <w:jc w:val="both"/>
        <w:rPr>
          <w:lang w:val="en-GB"/>
        </w:rPr>
      </w:pPr>
      <w:r w:rsidRPr="00D93FF9">
        <w:rPr>
          <w:lang w:val="en-GB"/>
        </w:rPr>
        <w:t>It is important to be aware that no corrosion index can apply to all types of materials and they are best used as one aspect of understanding water corrosion (WHO 2017).</w:t>
      </w:r>
    </w:p>
    <w:p w14:paraId="59DCDACA" w14:textId="77777777" w:rsidR="00C46175" w:rsidRPr="00D93FF9" w:rsidRDefault="00E811B8" w:rsidP="003807A1">
      <w:pPr>
        <w:pStyle w:val="BodyText"/>
        <w:spacing w:after="0" w:line="266" w:lineRule="auto"/>
        <w:jc w:val="both"/>
        <w:rPr>
          <w:lang w:val="en-GB"/>
        </w:rPr>
      </w:pPr>
      <w:r w:rsidRPr="00D93FF9">
        <w:rPr>
          <w:lang w:val="en-GB"/>
        </w:rPr>
        <w:t>Langelier (1946) developed a saturation index (LI) based on the tendency of a water to deposit or dissolve calcium carbonate. The index gives an estimate of its corrosion potential by indicating whether a protective film (or scale) may be formed on a metal surface, based on the reaction:</w:t>
      </w:r>
    </w:p>
    <w:p w14:paraId="59DCDACB" w14:textId="77777777" w:rsidR="005A6A1E" w:rsidRPr="00D93FF9" w:rsidRDefault="005A6A1E" w:rsidP="003807A1">
      <w:pPr>
        <w:pStyle w:val="BodyText"/>
        <w:spacing w:after="0" w:line="266" w:lineRule="auto"/>
        <w:jc w:val="both"/>
        <w:rPr>
          <w:lang w:val="en-GB"/>
        </w:rPr>
      </w:pPr>
    </w:p>
    <w:p w14:paraId="59DCDACC" w14:textId="77777777" w:rsidR="00F14C4F" w:rsidRPr="00D93FF9" w:rsidRDefault="00E811B8" w:rsidP="003807A1">
      <w:pPr>
        <w:pStyle w:val="BodyText"/>
        <w:spacing w:after="0" w:line="266" w:lineRule="auto"/>
        <w:jc w:val="both"/>
        <w:rPr>
          <w:iCs/>
          <w:lang w:val="en-GB"/>
        </w:rPr>
      </w:pPr>
      <m:oMathPara>
        <m:oMathParaPr>
          <m:jc m:val="left"/>
        </m:oMathParaPr>
        <m:oMath>
          <m:r>
            <m:rPr>
              <m:sty m:val="p"/>
            </m:rPr>
            <w:rPr>
              <w:rFonts w:ascii="Cambria Math" w:hAnsi="Cambria Math"/>
              <w:lang w:val="en-GB"/>
            </w:rPr>
            <m:t>Ca</m:t>
          </m:r>
          <m:sSub>
            <m:sSubPr>
              <m:ctrlPr>
                <w:rPr>
                  <w:rFonts w:ascii="Cambria Math" w:hAnsi="Cambria Math"/>
                  <w:iCs/>
                  <w:lang w:val="en-GB"/>
                </w:rPr>
              </m:ctrlPr>
            </m:sSubPr>
            <m:e>
              <m:r>
                <m:rPr>
                  <m:sty m:val="p"/>
                </m:rPr>
                <w:rPr>
                  <w:rFonts w:ascii="Cambria Math" w:hAnsi="Cambria Math"/>
                  <w:lang w:val="en-GB"/>
                </w:rPr>
                <m:t>CO</m:t>
              </m:r>
            </m:e>
            <m:sub>
              <m:r>
                <m:rPr>
                  <m:sty m:val="p"/>
                </m:rPr>
                <w:rPr>
                  <w:rFonts w:ascii="Cambria Math" w:hAnsi="Cambria Math"/>
                  <w:lang w:val="en-GB"/>
                </w:rPr>
                <m:t>3</m:t>
              </m:r>
            </m:sub>
          </m:sSub>
          <m:r>
            <m:rPr>
              <m:sty m:val="p"/>
            </m:rPr>
            <w:rPr>
              <w:rFonts w:ascii="Cambria Math" w:hAnsi="Cambria Math"/>
              <w:lang w:val="en-GB"/>
            </w:rPr>
            <m:t>+</m:t>
          </m:r>
          <m:sSup>
            <m:sSupPr>
              <m:ctrlPr>
                <w:rPr>
                  <w:rFonts w:ascii="Cambria Math" w:hAnsi="Cambria Math"/>
                  <w:iCs/>
                  <w:lang w:val="en-GB"/>
                </w:rPr>
              </m:ctrlPr>
            </m:sSupPr>
            <m:e>
              <m:r>
                <m:rPr>
                  <m:sty m:val="p"/>
                </m:rPr>
                <w:rPr>
                  <w:rFonts w:ascii="Cambria Math" w:hAnsi="Cambria Math"/>
                  <w:lang w:val="en-GB"/>
                </w:rPr>
                <m:t>H</m:t>
              </m:r>
            </m:e>
            <m:sup>
              <m:r>
                <m:rPr>
                  <m:sty m:val="p"/>
                </m:rPr>
                <w:rPr>
                  <w:rFonts w:ascii="Cambria Math" w:hAnsi="Cambria Math"/>
                  <w:lang w:val="en-GB"/>
                </w:rPr>
                <m:t>+</m:t>
              </m:r>
            </m:sup>
          </m:sSup>
          <m:r>
            <m:rPr>
              <m:sty m:val="p"/>
            </m:rPr>
            <w:rPr>
              <w:rFonts w:ascii="Cambria Math" w:hAnsi="Cambria Math"/>
              <w:lang w:val="en-GB"/>
            </w:rPr>
            <m:t>→</m:t>
          </m:r>
          <m:sSup>
            <m:sSupPr>
              <m:ctrlPr>
                <w:rPr>
                  <w:rFonts w:ascii="Cambria Math" w:hAnsi="Cambria Math"/>
                  <w:iCs/>
                  <w:lang w:val="en-GB"/>
                </w:rPr>
              </m:ctrlPr>
            </m:sSupPr>
            <m:e>
              <m:r>
                <m:rPr>
                  <m:sty m:val="p"/>
                </m:rPr>
                <w:rPr>
                  <w:rFonts w:ascii="Cambria Math" w:hAnsi="Cambria Math"/>
                  <w:lang w:val="en-GB"/>
                </w:rPr>
                <m:t>Ca</m:t>
              </m:r>
            </m:e>
            <m:sup>
              <m:r>
                <m:rPr>
                  <m:sty m:val="p"/>
                </m:rPr>
                <w:rPr>
                  <w:rFonts w:ascii="Cambria Math" w:hAnsi="Cambria Math"/>
                  <w:lang w:val="en-GB"/>
                </w:rPr>
                <m:t>2+</m:t>
              </m:r>
            </m:sup>
          </m:sSup>
          <m:r>
            <m:rPr>
              <m:sty m:val="p"/>
            </m:rPr>
            <w:rPr>
              <w:rFonts w:ascii="Cambria Math" w:hAnsi="Cambria Math"/>
              <w:lang w:val="en-GB"/>
            </w:rPr>
            <m:t>+H</m:t>
          </m:r>
          <m:sSub>
            <m:sSubPr>
              <m:ctrlPr>
                <w:rPr>
                  <w:rFonts w:ascii="Cambria Math" w:hAnsi="Cambria Math"/>
                  <w:iCs/>
                  <w:lang w:val="en-GB"/>
                </w:rPr>
              </m:ctrlPr>
            </m:sSubPr>
            <m:e>
              <m:r>
                <m:rPr>
                  <m:sty m:val="p"/>
                </m:rPr>
                <w:rPr>
                  <w:rFonts w:ascii="Cambria Math" w:hAnsi="Cambria Math"/>
                  <w:lang w:val="en-GB"/>
                </w:rPr>
                <m:t>CO</m:t>
              </m:r>
            </m:e>
            <m:sub>
              <m:sSup>
                <m:sSupPr>
                  <m:ctrlPr>
                    <w:rPr>
                      <w:rFonts w:ascii="Cambria Math" w:hAnsi="Cambria Math"/>
                      <w:iCs/>
                      <w:lang w:val="en-GB"/>
                    </w:rPr>
                  </m:ctrlPr>
                </m:sSupPr>
                <m:e>
                  <m:r>
                    <m:rPr>
                      <m:sty m:val="p"/>
                    </m:rPr>
                    <w:rPr>
                      <w:rFonts w:ascii="Cambria Math" w:hAnsi="Cambria Math"/>
                      <w:lang w:val="en-GB"/>
                    </w:rPr>
                    <m:t>3</m:t>
                  </m:r>
                </m:e>
                <m:sup>
                  <m:r>
                    <m:rPr>
                      <m:sty m:val="p"/>
                    </m:rPr>
                    <w:rPr>
                      <w:rFonts w:ascii="Cambria Math" w:hAnsi="Cambria Math"/>
                      <w:lang w:val="en-GB"/>
                    </w:rPr>
                    <m:t>-</m:t>
                  </m:r>
                </m:sup>
              </m:sSup>
            </m:sub>
          </m:sSub>
        </m:oMath>
      </m:oMathPara>
    </w:p>
    <w:p w14:paraId="59DCDACD" w14:textId="77777777" w:rsidR="00C46175" w:rsidRPr="00D93FF9" w:rsidRDefault="00E811B8" w:rsidP="003807A1">
      <w:pPr>
        <w:pStyle w:val="BodyText"/>
        <w:spacing w:after="0"/>
        <w:rPr>
          <w:lang w:val="en-GB"/>
        </w:rPr>
      </w:pPr>
      <w:r w:rsidRPr="00D93FF9">
        <w:rPr>
          <w:lang w:val="en-GB"/>
        </w:rPr>
        <w:t>The saturation index is calculated as:</w:t>
      </w:r>
    </w:p>
    <w:p w14:paraId="59DCDACE" w14:textId="77777777" w:rsidR="00C46175" w:rsidRPr="00D93FF9" w:rsidRDefault="00E811B8" w:rsidP="009800CB">
      <w:pPr>
        <w:pStyle w:val="Caption"/>
        <w:rPr>
          <w:lang w:val="en-GB"/>
        </w:rPr>
      </w:pPr>
      <w:r w:rsidRPr="00D93FF9">
        <w:rPr>
          <w:b w:val="0"/>
          <w:bCs w:val="0"/>
          <w:lang w:val="en-GB"/>
        </w:rPr>
        <w:t>LI = pH</w:t>
      </w:r>
      <w:r w:rsidRPr="00D93FF9">
        <w:rPr>
          <w:b w:val="0"/>
          <w:bCs w:val="0"/>
          <w:spacing w:val="-5"/>
          <w:lang w:val="en-GB"/>
        </w:rPr>
        <w:t xml:space="preserve"> </w:t>
      </w:r>
      <w:r w:rsidRPr="00D93FF9">
        <w:rPr>
          <w:b w:val="0"/>
          <w:bCs w:val="0"/>
          <w:lang w:val="en-GB"/>
        </w:rPr>
        <w:t>-</w:t>
      </w:r>
      <w:r w:rsidRPr="00D93FF9">
        <w:rPr>
          <w:b w:val="0"/>
          <w:bCs w:val="0"/>
          <w:spacing w:val="-4"/>
          <w:lang w:val="en-GB"/>
        </w:rPr>
        <w:t xml:space="preserve"> </w:t>
      </w:r>
      <w:r w:rsidRPr="00D93FF9">
        <w:rPr>
          <w:b w:val="0"/>
          <w:bCs w:val="0"/>
          <w:lang w:val="en-GB"/>
        </w:rPr>
        <w:t>pH</w:t>
      </w:r>
      <w:r w:rsidRPr="00D93FF9">
        <w:rPr>
          <w:b w:val="0"/>
          <w:bCs w:val="0"/>
          <w:position w:val="-4"/>
          <w:sz w:val="15"/>
          <w:lang w:val="en-GB"/>
        </w:rPr>
        <w:t>s</w:t>
      </w:r>
      <w:r w:rsidRPr="00D93FF9">
        <w:rPr>
          <w:position w:val="-4"/>
          <w:sz w:val="15"/>
          <w:lang w:val="en-GB"/>
        </w:rPr>
        <w:tab/>
      </w:r>
      <w:r w:rsidR="009800CB" w:rsidRPr="00D93FF9">
        <w:rPr>
          <w:position w:val="-4"/>
          <w:sz w:val="15"/>
          <w:lang w:val="en-GB"/>
        </w:rPr>
        <w:tab/>
      </w:r>
      <w:r w:rsidR="009800CB" w:rsidRPr="00D93FF9">
        <w:rPr>
          <w:position w:val="-4"/>
          <w:sz w:val="15"/>
          <w:lang w:val="en-GB"/>
        </w:rPr>
        <w:tab/>
      </w:r>
      <w:r w:rsidR="009800CB" w:rsidRPr="00D93FF9">
        <w:rPr>
          <w:position w:val="-4"/>
          <w:sz w:val="15"/>
          <w:lang w:val="en-GB"/>
        </w:rPr>
        <w:tab/>
      </w:r>
      <w:r w:rsidR="009800CB" w:rsidRPr="00D93FF9">
        <w:rPr>
          <w:position w:val="-4"/>
          <w:sz w:val="15"/>
          <w:lang w:val="en-GB"/>
        </w:rPr>
        <w:tab/>
      </w:r>
    </w:p>
    <w:p w14:paraId="59DCDACF" w14:textId="77777777" w:rsidR="00C46175" w:rsidRPr="00D93FF9" w:rsidRDefault="00E811B8" w:rsidP="003807A1">
      <w:pPr>
        <w:pStyle w:val="BodyText"/>
        <w:spacing w:after="0"/>
        <w:rPr>
          <w:lang w:val="en-GB"/>
        </w:rPr>
      </w:pPr>
      <w:r w:rsidRPr="00D93FF9">
        <w:rPr>
          <w:lang w:val="en-GB"/>
        </w:rPr>
        <w:t>where:</w:t>
      </w:r>
    </w:p>
    <w:p w14:paraId="59DCDAD0" w14:textId="77777777" w:rsidR="00C46175" w:rsidRPr="00D93FF9" w:rsidRDefault="00E811B8" w:rsidP="003807A1">
      <w:pPr>
        <w:pStyle w:val="BodyText"/>
        <w:spacing w:after="0"/>
        <w:rPr>
          <w:lang w:val="en-GB"/>
        </w:rPr>
      </w:pPr>
      <w:r w:rsidRPr="00D93FF9">
        <w:rPr>
          <w:lang w:val="en-GB"/>
        </w:rPr>
        <w:t>pH = measured pH of water;</w:t>
      </w:r>
    </w:p>
    <w:p w14:paraId="59DCDAD1" w14:textId="13B7A092" w:rsidR="00C46175" w:rsidRPr="00D93FF9" w:rsidRDefault="00E811B8" w:rsidP="001F43FF">
      <w:pPr>
        <w:pStyle w:val="BodyText"/>
        <w:spacing w:after="0" w:line="266" w:lineRule="auto"/>
        <w:jc w:val="both"/>
        <w:rPr>
          <w:lang w:val="en-GB"/>
        </w:rPr>
      </w:pPr>
      <w:r w:rsidRPr="00D93FF9">
        <w:rPr>
          <w:spacing w:val="-4"/>
          <w:lang w:val="en-GB"/>
        </w:rPr>
        <w:t>pH</w:t>
      </w:r>
      <w:r w:rsidRPr="00D93FF9">
        <w:rPr>
          <w:spacing w:val="-4"/>
          <w:position w:val="-4"/>
          <w:sz w:val="15"/>
          <w:lang w:val="en-GB"/>
        </w:rPr>
        <w:t>s</w:t>
      </w:r>
      <w:r w:rsidRPr="00D93FF9">
        <w:rPr>
          <w:spacing w:val="-4"/>
          <w:lang w:val="en-GB"/>
        </w:rPr>
        <w:t xml:space="preserve">= </w:t>
      </w:r>
      <w:r w:rsidRPr="00D93FF9">
        <w:rPr>
          <w:spacing w:val="-3"/>
          <w:lang w:val="en-GB"/>
        </w:rPr>
        <w:t xml:space="preserve">pH of </w:t>
      </w:r>
      <w:r w:rsidRPr="00D93FF9">
        <w:rPr>
          <w:spacing w:val="-4"/>
          <w:lang w:val="en-GB"/>
        </w:rPr>
        <w:t xml:space="preserve">the </w:t>
      </w:r>
      <w:r w:rsidRPr="00D93FF9">
        <w:rPr>
          <w:spacing w:val="-5"/>
          <w:lang w:val="en-GB"/>
        </w:rPr>
        <w:t xml:space="preserve">water </w:t>
      </w:r>
      <w:r w:rsidRPr="00D93FF9">
        <w:rPr>
          <w:spacing w:val="-3"/>
          <w:lang w:val="en-GB"/>
        </w:rPr>
        <w:t xml:space="preserve">if </w:t>
      </w:r>
      <w:r w:rsidRPr="00D93FF9">
        <w:rPr>
          <w:spacing w:val="-5"/>
          <w:lang w:val="en-GB"/>
        </w:rPr>
        <w:t xml:space="preserve">saturated </w:t>
      </w:r>
      <w:r w:rsidRPr="00D93FF9">
        <w:rPr>
          <w:spacing w:val="-4"/>
          <w:lang w:val="en-GB"/>
        </w:rPr>
        <w:t xml:space="preserve">with </w:t>
      </w:r>
      <w:r w:rsidRPr="00D93FF9">
        <w:rPr>
          <w:spacing w:val="-5"/>
          <w:lang w:val="en-GB"/>
        </w:rPr>
        <w:t>CaCO</w:t>
      </w:r>
      <w:r w:rsidRPr="00D93FF9">
        <w:rPr>
          <w:spacing w:val="-5"/>
          <w:position w:val="-4"/>
          <w:sz w:val="15"/>
          <w:lang w:val="en-GB"/>
        </w:rPr>
        <w:t xml:space="preserve">3 </w:t>
      </w:r>
      <w:r w:rsidRPr="00D93FF9">
        <w:rPr>
          <w:spacing w:val="-3"/>
          <w:lang w:val="en-GB"/>
        </w:rPr>
        <w:t xml:space="preserve">at </w:t>
      </w:r>
      <w:r w:rsidRPr="00D93FF9">
        <w:rPr>
          <w:spacing w:val="-4"/>
          <w:lang w:val="en-GB"/>
        </w:rPr>
        <w:t xml:space="preserve">the </w:t>
      </w:r>
      <w:r w:rsidRPr="00D93FF9">
        <w:rPr>
          <w:spacing w:val="-5"/>
          <w:lang w:val="en-GB"/>
        </w:rPr>
        <w:t xml:space="preserve">measured calcium </w:t>
      </w:r>
      <w:r w:rsidRPr="00D93FF9">
        <w:rPr>
          <w:spacing w:val="-4"/>
          <w:lang w:val="en-GB"/>
        </w:rPr>
        <w:t xml:space="preserve">and </w:t>
      </w:r>
      <w:r w:rsidRPr="00D93FF9">
        <w:rPr>
          <w:spacing w:val="-5"/>
          <w:lang w:val="en-GB"/>
        </w:rPr>
        <w:t xml:space="preserve">alkalinity </w:t>
      </w:r>
      <w:r w:rsidRPr="00D93FF9">
        <w:rPr>
          <w:spacing w:val="-6"/>
          <w:lang w:val="en-GB"/>
        </w:rPr>
        <w:t xml:space="preserve">value. </w:t>
      </w:r>
      <w:r w:rsidRPr="00D93FF9">
        <w:rPr>
          <w:spacing w:val="-5"/>
          <w:lang w:val="en-GB"/>
        </w:rPr>
        <w:t xml:space="preserve">Values </w:t>
      </w:r>
      <w:r w:rsidRPr="00D93FF9">
        <w:rPr>
          <w:spacing w:val="-4"/>
          <w:lang w:val="en-GB"/>
        </w:rPr>
        <w:t>for pH</w:t>
      </w:r>
      <w:r w:rsidRPr="00D93FF9">
        <w:rPr>
          <w:spacing w:val="-4"/>
          <w:position w:val="-4"/>
          <w:sz w:val="15"/>
          <w:lang w:val="en-GB"/>
        </w:rPr>
        <w:t xml:space="preserve">s </w:t>
      </w:r>
      <w:r w:rsidRPr="00D93FF9">
        <w:rPr>
          <w:spacing w:val="-4"/>
          <w:lang w:val="en-GB"/>
        </w:rPr>
        <w:t xml:space="preserve">can </w:t>
      </w:r>
      <w:r w:rsidRPr="00D93FF9">
        <w:rPr>
          <w:spacing w:val="-3"/>
          <w:lang w:val="en-GB"/>
        </w:rPr>
        <w:t xml:space="preserve">be </w:t>
      </w:r>
      <w:r w:rsidRPr="00D93FF9">
        <w:rPr>
          <w:spacing w:val="-4"/>
          <w:lang w:val="en-GB"/>
        </w:rPr>
        <w:t xml:space="preserve">found </w:t>
      </w:r>
      <w:r w:rsidRPr="00D93FF9">
        <w:rPr>
          <w:spacing w:val="-3"/>
          <w:lang w:val="en-GB"/>
        </w:rPr>
        <w:t xml:space="preserve">in </w:t>
      </w:r>
      <w:r w:rsidRPr="00D93FF9">
        <w:rPr>
          <w:spacing w:val="-4"/>
          <w:lang w:val="en-GB"/>
        </w:rPr>
        <w:t xml:space="preserve">texts </w:t>
      </w:r>
      <w:r w:rsidRPr="00D93FF9">
        <w:rPr>
          <w:spacing w:val="-5"/>
          <w:lang w:val="en-GB"/>
        </w:rPr>
        <w:t xml:space="preserve">detailing corrosion </w:t>
      </w:r>
      <w:r w:rsidRPr="00D93FF9">
        <w:rPr>
          <w:spacing w:val="-6"/>
          <w:lang w:val="en-GB"/>
        </w:rPr>
        <w:t xml:space="preserve">mechanisms </w:t>
      </w:r>
      <w:r w:rsidRPr="00D93FF9">
        <w:rPr>
          <w:spacing w:val="-5"/>
          <w:lang w:val="en-GB"/>
        </w:rPr>
        <w:t>(e.g.</w:t>
      </w:r>
      <w:r w:rsidR="00925FFC" w:rsidRPr="00D93FF9">
        <w:rPr>
          <w:spacing w:val="-5"/>
          <w:lang w:val="en-GB"/>
        </w:rPr>
        <w:t>,</w:t>
      </w:r>
      <w:r w:rsidRPr="00D93FF9">
        <w:rPr>
          <w:spacing w:val="-5"/>
          <w:lang w:val="en-GB"/>
        </w:rPr>
        <w:t xml:space="preserve"> </w:t>
      </w:r>
      <w:r w:rsidRPr="00D93FF9">
        <w:rPr>
          <w:spacing w:val="-4"/>
          <w:lang w:val="en-GB"/>
        </w:rPr>
        <w:t xml:space="preserve">Kelly </w:t>
      </w:r>
      <w:r w:rsidR="00FA6E9E" w:rsidRPr="00D93FF9">
        <w:rPr>
          <w:lang w:val="en-GB"/>
        </w:rPr>
        <w:t>and</w:t>
      </w:r>
      <w:r w:rsidRPr="00D93FF9">
        <w:rPr>
          <w:lang w:val="en-GB"/>
        </w:rPr>
        <w:t xml:space="preserve"> </w:t>
      </w:r>
      <w:r w:rsidRPr="00D93FF9">
        <w:rPr>
          <w:spacing w:val="-5"/>
          <w:lang w:val="en-GB"/>
        </w:rPr>
        <w:t>Kemp</w:t>
      </w:r>
      <w:r w:rsidRPr="00D93FF9">
        <w:rPr>
          <w:spacing w:val="-29"/>
          <w:lang w:val="en-GB"/>
        </w:rPr>
        <w:t xml:space="preserve"> </w:t>
      </w:r>
      <w:r w:rsidR="00925FFC" w:rsidRPr="00D93FF9">
        <w:rPr>
          <w:spacing w:val="-29"/>
          <w:lang w:val="en-GB"/>
        </w:rPr>
        <w:t xml:space="preserve"> </w:t>
      </w:r>
      <w:r w:rsidRPr="00D93FF9">
        <w:rPr>
          <w:spacing w:val="-5"/>
          <w:lang w:val="en-GB"/>
        </w:rPr>
        <w:t>1975).</w:t>
      </w:r>
    </w:p>
    <w:p w14:paraId="59DCDAD2" w14:textId="344497A6" w:rsidR="00C46175" w:rsidRPr="00D93FF9" w:rsidRDefault="00E811B8" w:rsidP="001F43FF">
      <w:pPr>
        <w:pStyle w:val="BodyText"/>
        <w:spacing w:after="0" w:line="266" w:lineRule="auto"/>
        <w:jc w:val="both"/>
        <w:rPr>
          <w:lang w:val="en-GB"/>
        </w:rPr>
      </w:pPr>
      <w:r w:rsidRPr="00D93FF9">
        <w:rPr>
          <w:lang w:val="en-GB"/>
        </w:rPr>
        <w:t>Thus, waters that have a negative LI are undersaturated, a value of 0 is saturated and a positive LI is supersaturated with respect to CaCO</w:t>
      </w:r>
      <w:r w:rsidRPr="00D93FF9">
        <w:rPr>
          <w:position w:val="-4"/>
          <w:sz w:val="15"/>
          <w:lang w:val="en-GB"/>
        </w:rPr>
        <w:t>3</w:t>
      </w:r>
      <w:r w:rsidRPr="00D93FF9">
        <w:rPr>
          <w:lang w:val="en-GB"/>
        </w:rPr>
        <w:t>. For agricultural waters, Awad (1989) suggested that values ranging between -0.5 and 0.5 should not lead to corrosion or carbonate encrustation</w:t>
      </w:r>
      <w:r w:rsidRPr="00D93FF9">
        <w:rPr>
          <w:spacing w:val="10"/>
          <w:lang w:val="en-GB"/>
        </w:rPr>
        <w:t xml:space="preserve"> </w:t>
      </w:r>
      <w:r w:rsidRPr="00D93FF9">
        <w:rPr>
          <w:lang w:val="en-GB"/>
        </w:rPr>
        <w:t>problems.</w:t>
      </w:r>
      <w:r w:rsidRPr="00D93FF9">
        <w:rPr>
          <w:spacing w:val="11"/>
          <w:lang w:val="en-GB"/>
        </w:rPr>
        <w:t xml:space="preserve"> </w:t>
      </w:r>
      <w:r w:rsidRPr="00D93FF9">
        <w:rPr>
          <w:lang w:val="en-GB"/>
        </w:rPr>
        <w:t>Values</w:t>
      </w:r>
      <w:r w:rsidRPr="00D93FF9">
        <w:rPr>
          <w:spacing w:val="11"/>
          <w:lang w:val="en-GB"/>
        </w:rPr>
        <w:t xml:space="preserve"> </w:t>
      </w:r>
      <w:r w:rsidRPr="00D93FF9">
        <w:rPr>
          <w:lang w:val="en-GB"/>
        </w:rPr>
        <w:t>below</w:t>
      </w:r>
      <w:r w:rsidRPr="00D93FF9">
        <w:rPr>
          <w:spacing w:val="11"/>
          <w:lang w:val="en-GB"/>
        </w:rPr>
        <w:t xml:space="preserve"> </w:t>
      </w:r>
      <w:r w:rsidRPr="00D93FF9">
        <w:rPr>
          <w:lang w:val="en-GB"/>
        </w:rPr>
        <w:t>-0.5</w:t>
      </w:r>
      <w:r w:rsidRPr="00D93FF9">
        <w:rPr>
          <w:spacing w:val="13"/>
          <w:lang w:val="en-GB"/>
        </w:rPr>
        <w:t xml:space="preserve"> </w:t>
      </w:r>
      <w:r w:rsidRPr="00D93FF9">
        <w:rPr>
          <w:lang w:val="en-GB"/>
        </w:rPr>
        <w:t>indicated</w:t>
      </w:r>
      <w:r w:rsidRPr="00D93FF9">
        <w:rPr>
          <w:spacing w:val="12"/>
          <w:lang w:val="en-GB"/>
        </w:rPr>
        <w:t xml:space="preserve"> </w:t>
      </w:r>
      <w:r w:rsidRPr="00D93FF9">
        <w:rPr>
          <w:lang w:val="en-GB"/>
        </w:rPr>
        <w:t>potential</w:t>
      </w:r>
      <w:r w:rsidRPr="00D93FF9">
        <w:rPr>
          <w:spacing w:val="13"/>
          <w:lang w:val="en-GB"/>
        </w:rPr>
        <w:t xml:space="preserve"> </w:t>
      </w:r>
      <w:r w:rsidRPr="00D93FF9">
        <w:rPr>
          <w:lang w:val="en-GB"/>
        </w:rPr>
        <w:t>corrosivity,</w:t>
      </w:r>
      <w:r w:rsidRPr="00D93FF9">
        <w:rPr>
          <w:spacing w:val="13"/>
          <w:lang w:val="en-GB"/>
        </w:rPr>
        <w:t xml:space="preserve"> </w:t>
      </w:r>
      <w:r w:rsidRPr="00D93FF9">
        <w:rPr>
          <w:lang w:val="en-GB"/>
        </w:rPr>
        <w:t>while</w:t>
      </w:r>
      <w:r w:rsidRPr="00D93FF9">
        <w:rPr>
          <w:spacing w:val="13"/>
          <w:lang w:val="en-GB"/>
        </w:rPr>
        <w:t xml:space="preserve"> </w:t>
      </w:r>
      <w:r w:rsidRPr="00D93FF9">
        <w:rPr>
          <w:lang w:val="en-GB"/>
        </w:rPr>
        <w:t>values</w:t>
      </w:r>
      <w:r w:rsidRPr="00D93FF9">
        <w:rPr>
          <w:spacing w:val="13"/>
          <w:lang w:val="en-GB"/>
        </w:rPr>
        <w:t xml:space="preserve"> </w:t>
      </w:r>
      <w:r w:rsidRPr="00D93FF9">
        <w:rPr>
          <w:lang w:val="en-GB"/>
        </w:rPr>
        <w:t>above</w:t>
      </w:r>
      <w:r w:rsidR="008F5C01" w:rsidRPr="00D93FF9">
        <w:rPr>
          <w:lang w:val="en-GB"/>
        </w:rPr>
        <w:t xml:space="preserve"> </w:t>
      </w:r>
      <w:r w:rsidRPr="00D93FF9">
        <w:rPr>
          <w:lang w:val="en-GB"/>
        </w:rPr>
        <w:t>0.5 indicated the likelihood of excess encrustation.</w:t>
      </w:r>
      <w:r w:rsidR="008F5C01" w:rsidRPr="00D93FF9">
        <w:rPr>
          <w:lang w:val="en-GB"/>
        </w:rPr>
        <w:t xml:space="preserve"> In South Africa, the target water quality range </w:t>
      </w:r>
      <w:r w:rsidR="00A61704" w:rsidRPr="00D93FF9">
        <w:rPr>
          <w:lang w:val="en-GB"/>
        </w:rPr>
        <w:t xml:space="preserve">for LI </w:t>
      </w:r>
      <w:r w:rsidR="008F5C01" w:rsidRPr="00D93FF9">
        <w:rPr>
          <w:lang w:val="en-GB"/>
        </w:rPr>
        <w:t xml:space="preserve">is -0.2 to +0.2 where no major problem with either corrosion or scaling of irrigation equipment is to be expected (DWAF 1996). </w:t>
      </w:r>
    </w:p>
    <w:p w14:paraId="59DCDAD3" w14:textId="666A0228" w:rsidR="00C46175" w:rsidRPr="00D93FF9" w:rsidRDefault="00E811B8" w:rsidP="001F43FF">
      <w:pPr>
        <w:pStyle w:val="BodyText"/>
        <w:spacing w:after="0" w:line="266" w:lineRule="auto"/>
        <w:jc w:val="both"/>
        <w:rPr>
          <w:lang w:val="en-GB"/>
        </w:rPr>
      </w:pPr>
      <w:r w:rsidRPr="00D93FF9">
        <w:rPr>
          <w:lang w:val="en-GB"/>
        </w:rPr>
        <w:t>Although the LI does not consider other parameters such as flow rate, organic content and the influence of other chemical compounds in water (e.g.</w:t>
      </w:r>
      <w:r w:rsidR="00925FFC" w:rsidRPr="00D93FF9">
        <w:rPr>
          <w:lang w:val="en-GB"/>
        </w:rPr>
        <w:t>,</w:t>
      </w:r>
      <w:r w:rsidRPr="00D93FF9">
        <w:rPr>
          <w:lang w:val="en-GB"/>
        </w:rPr>
        <w:t xml:space="preserve"> phosphates and silicates) and is therefore limited in its accuracy, it is one of the few methods available.</w:t>
      </w:r>
    </w:p>
    <w:p w14:paraId="59DCDAD4" w14:textId="77777777" w:rsidR="00C46175" w:rsidRPr="00D93FF9" w:rsidRDefault="00E811B8" w:rsidP="001F43FF">
      <w:pPr>
        <w:pStyle w:val="BodyText"/>
        <w:spacing w:after="0" w:line="266" w:lineRule="auto"/>
        <w:jc w:val="both"/>
        <w:rPr>
          <w:lang w:val="en-GB"/>
        </w:rPr>
      </w:pPr>
      <w:r w:rsidRPr="00D93FF9">
        <w:rPr>
          <w:lang w:val="en-GB"/>
        </w:rPr>
        <w:t>An adaptation by Snoeyink and Jenkins (1980) measures pH</w:t>
      </w:r>
      <w:r w:rsidRPr="00D93FF9">
        <w:rPr>
          <w:position w:val="-4"/>
          <w:sz w:val="15"/>
          <w:lang w:val="en-GB"/>
        </w:rPr>
        <w:t xml:space="preserve">s </w:t>
      </w:r>
      <w:r w:rsidRPr="00D93FF9">
        <w:rPr>
          <w:lang w:val="en-GB"/>
        </w:rPr>
        <w:t>in terms of calcium and bicarbonate values (replacing alkalinity). Rossum and Merrill (1983) found that this adaptation provided a more accurate approximation when compared with theoretical precipitation potential.</w:t>
      </w:r>
    </w:p>
    <w:p w14:paraId="59DCDAD5" w14:textId="77777777" w:rsidR="00C46175" w:rsidRPr="00D93FF9" w:rsidRDefault="00E811B8" w:rsidP="00590E3C">
      <w:pPr>
        <w:pStyle w:val="ListBullet"/>
        <w:rPr>
          <w:lang w:val="en-GB"/>
        </w:rPr>
      </w:pPr>
      <w:r w:rsidRPr="00D93FF9">
        <w:rPr>
          <w:lang w:val="en-GB"/>
        </w:rPr>
        <w:t>Ryznar Index</w:t>
      </w:r>
    </w:p>
    <w:p w14:paraId="59DCDAD6" w14:textId="77777777" w:rsidR="00DB65C5" w:rsidRPr="00D93FF9" w:rsidRDefault="00E811B8" w:rsidP="00C94C1D">
      <w:pPr>
        <w:pStyle w:val="BodyText"/>
        <w:spacing w:after="0" w:line="266" w:lineRule="auto"/>
        <w:rPr>
          <w:lang w:val="en-GB"/>
        </w:rPr>
      </w:pPr>
      <w:r w:rsidRPr="00D93FF9">
        <w:rPr>
          <w:lang w:val="en-GB"/>
        </w:rPr>
        <w:t>Ryznar (1944) developed a stability index (RI) which is used quite often as a corrosion predictor. It is based on the following empirical equation. He found that with RI values &lt;6, a film of CaCO</w:t>
      </w:r>
      <w:r w:rsidRPr="00D93FF9">
        <w:rPr>
          <w:position w:val="-4"/>
          <w:sz w:val="15"/>
          <w:lang w:val="en-GB"/>
        </w:rPr>
        <w:t xml:space="preserve">3 </w:t>
      </w:r>
      <w:r w:rsidRPr="00D93FF9">
        <w:rPr>
          <w:lang w:val="en-GB"/>
        </w:rPr>
        <w:t>was deposited, however, for values &gt;7 there may not be a film. DWAF (1996) specifies that the corrosive tendencies appear when RI&gt;6.5</w:t>
      </w:r>
    </w:p>
    <w:p w14:paraId="59DCDAD7" w14:textId="77777777" w:rsidR="00C46175" w:rsidRPr="00D93FF9" w:rsidRDefault="00C46175" w:rsidP="003807A1">
      <w:pPr>
        <w:pStyle w:val="BodyText"/>
        <w:spacing w:after="0" w:line="266" w:lineRule="auto"/>
        <w:jc w:val="both"/>
        <w:rPr>
          <w:lang w:val="en-GB"/>
        </w:rPr>
      </w:pPr>
    </w:p>
    <w:p w14:paraId="59DCDAD8" w14:textId="77777777" w:rsidR="00C46175" w:rsidRPr="00D93FF9" w:rsidRDefault="00E811B8" w:rsidP="009800CB">
      <w:pPr>
        <w:pStyle w:val="Caption"/>
        <w:rPr>
          <w:lang w:val="en-GB"/>
        </w:rPr>
      </w:pPr>
      <w:r w:rsidRPr="00D93FF9">
        <w:rPr>
          <w:b w:val="0"/>
          <w:bCs w:val="0"/>
          <w:lang w:val="en-GB"/>
        </w:rPr>
        <w:t>RI = 2pH</w:t>
      </w:r>
      <w:r w:rsidRPr="00D93FF9">
        <w:rPr>
          <w:b w:val="0"/>
          <w:bCs w:val="0"/>
          <w:position w:val="-4"/>
          <w:sz w:val="15"/>
          <w:lang w:val="en-GB"/>
        </w:rPr>
        <w:t>s</w:t>
      </w:r>
      <w:r w:rsidRPr="00D93FF9">
        <w:rPr>
          <w:b w:val="0"/>
          <w:bCs w:val="0"/>
          <w:spacing w:val="14"/>
          <w:position w:val="-4"/>
          <w:sz w:val="15"/>
          <w:lang w:val="en-GB"/>
        </w:rPr>
        <w:t xml:space="preserve"> </w:t>
      </w:r>
      <w:r w:rsidRPr="00D93FF9">
        <w:rPr>
          <w:b w:val="0"/>
          <w:bCs w:val="0"/>
          <w:lang w:val="en-GB"/>
        </w:rPr>
        <w:t>-</w:t>
      </w:r>
      <w:r w:rsidRPr="00D93FF9">
        <w:rPr>
          <w:b w:val="0"/>
          <w:bCs w:val="0"/>
          <w:spacing w:val="-4"/>
          <w:lang w:val="en-GB"/>
        </w:rPr>
        <w:t xml:space="preserve"> </w:t>
      </w:r>
      <w:r w:rsidRPr="00D93FF9">
        <w:rPr>
          <w:b w:val="0"/>
          <w:bCs w:val="0"/>
          <w:lang w:val="en-GB"/>
        </w:rPr>
        <w:t>p</w:t>
      </w:r>
      <w:r w:rsidR="005A6A1E" w:rsidRPr="00D93FF9">
        <w:rPr>
          <w:b w:val="0"/>
          <w:bCs w:val="0"/>
          <w:lang w:val="en-GB"/>
        </w:rPr>
        <w:t>H</w:t>
      </w:r>
    </w:p>
    <w:p w14:paraId="59DCDAD9" w14:textId="77777777" w:rsidR="002D12D2" w:rsidRPr="00D93FF9" w:rsidRDefault="002D12D2" w:rsidP="003807A1">
      <w:pPr>
        <w:pStyle w:val="BodyText"/>
        <w:spacing w:after="0"/>
        <w:rPr>
          <w:lang w:val="en-GB"/>
        </w:rPr>
      </w:pPr>
    </w:p>
    <w:p w14:paraId="59DCDADA" w14:textId="77777777" w:rsidR="00C46175" w:rsidRPr="00D93FF9" w:rsidRDefault="00E811B8" w:rsidP="003807A1">
      <w:pPr>
        <w:pStyle w:val="BodyText"/>
        <w:spacing w:after="0"/>
        <w:rPr>
          <w:lang w:val="en-GB"/>
        </w:rPr>
      </w:pPr>
      <w:r w:rsidRPr="00D93FF9">
        <w:rPr>
          <w:lang w:val="en-GB"/>
        </w:rPr>
        <w:t>where:</w:t>
      </w:r>
    </w:p>
    <w:p w14:paraId="59DCDADB" w14:textId="77777777" w:rsidR="005A6A1E" w:rsidRPr="00D93FF9" w:rsidRDefault="00E811B8" w:rsidP="003807A1">
      <w:pPr>
        <w:pStyle w:val="BodyText"/>
        <w:spacing w:after="0" w:line="348" w:lineRule="auto"/>
        <w:rPr>
          <w:lang w:val="en-GB"/>
        </w:rPr>
      </w:pPr>
      <w:r w:rsidRPr="00D93FF9">
        <w:rPr>
          <w:lang w:val="en-GB"/>
        </w:rPr>
        <w:t>pH</w:t>
      </w:r>
      <w:r w:rsidRPr="00D93FF9">
        <w:rPr>
          <w:position w:val="-4"/>
          <w:sz w:val="15"/>
          <w:lang w:val="en-GB"/>
        </w:rPr>
        <w:t>s</w:t>
      </w:r>
      <w:r w:rsidRPr="00D93FF9">
        <w:rPr>
          <w:lang w:val="en-GB"/>
        </w:rPr>
        <w:t>= pH of the system if saturated with CaCO</w:t>
      </w:r>
      <w:r w:rsidRPr="00D93FF9">
        <w:rPr>
          <w:position w:val="-4"/>
          <w:sz w:val="15"/>
          <w:lang w:val="en-GB"/>
        </w:rPr>
        <w:t xml:space="preserve">3 </w:t>
      </w:r>
      <w:r w:rsidRPr="00D93FF9">
        <w:rPr>
          <w:lang w:val="en-GB"/>
        </w:rPr>
        <w:t xml:space="preserve">at the measured calcium and alkalinity value; </w:t>
      </w:r>
    </w:p>
    <w:p w14:paraId="59DCDADC" w14:textId="77777777" w:rsidR="00C46175" w:rsidRPr="00D93FF9" w:rsidRDefault="00E811B8" w:rsidP="003807A1">
      <w:pPr>
        <w:pStyle w:val="BodyText"/>
        <w:spacing w:after="0" w:line="348" w:lineRule="auto"/>
        <w:rPr>
          <w:lang w:val="en-GB"/>
        </w:rPr>
      </w:pPr>
      <w:r w:rsidRPr="00D93FF9">
        <w:rPr>
          <w:lang w:val="en-GB"/>
        </w:rPr>
        <w:t>pH = measured pH of water.</w:t>
      </w:r>
    </w:p>
    <w:p w14:paraId="59DCDADD" w14:textId="77777777" w:rsidR="00C46175" w:rsidRPr="00D93FF9" w:rsidRDefault="00E811B8" w:rsidP="00590E3C">
      <w:pPr>
        <w:pStyle w:val="ListBullet"/>
        <w:rPr>
          <w:lang w:val="en-GB"/>
        </w:rPr>
      </w:pPr>
      <w:r w:rsidRPr="00D93FF9">
        <w:rPr>
          <w:lang w:val="en-GB"/>
        </w:rPr>
        <w:t>Ratio of chloride to carbonate</w:t>
      </w:r>
    </w:p>
    <w:p w14:paraId="59DCDADE" w14:textId="77777777" w:rsidR="00C46175" w:rsidRPr="00D93FF9" w:rsidRDefault="00E811B8" w:rsidP="003807A1">
      <w:pPr>
        <w:pStyle w:val="BodyText"/>
        <w:spacing w:after="0" w:line="266" w:lineRule="auto"/>
        <w:jc w:val="both"/>
        <w:rPr>
          <w:lang w:val="en-GB"/>
        </w:rPr>
      </w:pPr>
      <w:r w:rsidRPr="00D93FF9">
        <w:rPr>
          <w:lang w:val="en-GB"/>
        </w:rPr>
        <w:lastRenderedPageBreak/>
        <w:t>High chloride content in water has often been associated with corrosion, however this is not an accurate assumption. Although chloride is an active agent in the corrosion process, it is dependent on other water quality parameters such as pH, temperature and the presence of other dissolved ions.</w:t>
      </w:r>
    </w:p>
    <w:p w14:paraId="59DCDADF" w14:textId="77777777" w:rsidR="00C46175" w:rsidRPr="00D93FF9" w:rsidRDefault="00E811B8" w:rsidP="003807A1">
      <w:pPr>
        <w:pStyle w:val="BodyText"/>
        <w:spacing w:after="0" w:line="266" w:lineRule="auto"/>
        <w:jc w:val="both"/>
        <w:rPr>
          <w:lang w:val="en-GB"/>
        </w:rPr>
      </w:pPr>
      <w:r w:rsidRPr="00D93FF9">
        <w:rPr>
          <w:lang w:val="en-GB"/>
        </w:rPr>
        <w:t>Kelly and Kemp (1975) noted that a relationship existed between chloride content and the passivating ions bicarbonate and carbonate. A useful approximation of potential corrosiveness is based on the log of the ratio of chloride to carbonate concentrations, which assesses the level of corrosive agent (chloride) to the potential of scale formation</w:t>
      </w:r>
      <w:r w:rsidRPr="00D93FF9">
        <w:rPr>
          <w:spacing w:val="13"/>
          <w:lang w:val="en-GB"/>
        </w:rPr>
        <w:t xml:space="preserve"> </w:t>
      </w:r>
      <w:r w:rsidRPr="00D93FF9">
        <w:rPr>
          <w:lang w:val="en-GB"/>
        </w:rPr>
        <w:t>(carbonate).</w:t>
      </w:r>
    </w:p>
    <w:p w14:paraId="59DCDAE0" w14:textId="77777777" w:rsidR="00C46175" w:rsidRPr="00D93FF9" w:rsidRDefault="00E811B8" w:rsidP="003807A1">
      <w:pPr>
        <w:pStyle w:val="BodyText"/>
        <w:spacing w:after="0" w:line="266" w:lineRule="auto"/>
        <w:jc w:val="both"/>
        <w:rPr>
          <w:lang w:val="en-GB"/>
        </w:rPr>
      </w:pPr>
      <w:r w:rsidRPr="00D93FF9">
        <w:rPr>
          <w:lang w:val="en-GB"/>
        </w:rPr>
        <w:t>To calculate the ratio of chloride to carbonate, the pH, temperature, chloride content, alkalinity and conductivity of the irrigation water need to be known from laboratory analysis. The procedure for calculation is explained simply in Kelly and Kemp</w:t>
      </w:r>
      <w:r w:rsidRPr="00D93FF9">
        <w:rPr>
          <w:spacing w:val="-1"/>
          <w:lang w:val="en-GB"/>
        </w:rPr>
        <w:t xml:space="preserve"> </w:t>
      </w:r>
      <w:r w:rsidRPr="00D93FF9">
        <w:rPr>
          <w:lang w:val="en-GB"/>
        </w:rPr>
        <w:t>(1975).</w:t>
      </w:r>
    </w:p>
    <w:p w14:paraId="59DCDAE1" w14:textId="273F5687" w:rsidR="00C46175" w:rsidRPr="00D93FF9" w:rsidRDefault="00E811B8" w:rsidP="003807A1">
      <w:pPr>
        <w:pStyle w:val="BodyText"/>
        <w:spacing w:after="0" w:line="268" w:lineRule="auto"/>
        <w:jc w:val="both"/>
        <w:rPr>
          <w:position w:val="2"/>
          <w:lang w:val="en-GB"/>
        </w:rPr>
      </w:pPr>
      <w:r w:rsidRPr="00D93FF9">
        <w:rPr>
          <w:noProof/>
          <w:lang w:val="en-GB"/>
        </w:rPr>
        <mc:AlternateContent>
          <mc:Choice Requires="wps">
            <w:drawing>
              <wp:anchor distT="0" distB="0" distL="114300" distR="114300" simplePos="0" relativeHeight="251684864" behindDoc="1" locked="0" layoutInCell="1" allowOverlap="1" wp14:anchorId="59DCDC69" wp14:editId="59DCDC6A">
                <wp:simplePos x="0" y="0"/>
                <wp:positionH relativeFrom="page">
                  <wp:posOffset>2738755</wp:posOffset>
                </wp:positionH>
                <wp:positionV relativeFrom="paragraph">
                  <wp:posOffset>45085</wp:posOffset>
                </wp:positionV>
                <wp:extent cx="29845" cy="98425"/>
                <wp:effectExtent l="0" t="0" r="0" b="0"/>
                <wp:wrapNone/>
                <wp:docPr id="85034346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DD33" w14:textId="77777777" w:rsidR="00EA5964" w:rsidRDefault="00E811B8">
                            <w:pPr>
                              <w:spacing w:line="154" w:lineRule="exact"/>
                              <w:rPr>
                                <w:sz w:val="14"/>
                              </w:rPr>
                            </w:pPr>
                            <w:r>
                              <w:rPr>
                                <w:w w:val="99"/>
                                <w:sz w:val="14"/>
                              </w:rPr>
                              <w: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9DCDC69" id="Text Box 121" o:spid="_x0000_s1030" type="#_x0000_t202" style="position:absolute;left:0;text-align:left;margin-left:215.65pt;margin-top:3.55pt;width:2.35pt;height:7.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" filled="f" stroked="f">
                <v:textbox inset="0,0,0,0">
                  <w:txbxContent>
                    <w:p w14:paraId="59DCDD33" w14:textId="77777777" w:rsidR="00EA5964" w:rsidRDefault="00E811B8">
                      <w:pPr>
                        <w:spacing w:line="154" w:lineRule="exact"/>
                        <w:rPr>
                          <w:sz w:val="14"/>
                        </w:rPr>
                      </w:pPr>
                      <w:r>
                        <w:rPr>
                          <w:w w:val="99"/>
                          <w:sz w:val="14"/>
                        </w:rPr>
                        <w:t>-</w:t>
                      </w:r>
                    </w:p>
                  </w:txbxContent>
                </v:textbox>
                <w10:wrap anchorx="page"/>
              </v:shape>
            </w:pict>
          </mc:Fallback>
        </mc:AlternateContent>
      </w:r>
      <w:r w:rsidRPr="00D93FF9">
        <w:rPr>
          <w:noProof/>
          <w:lang w:val="en-GB"/>
        </w:rPr>
        <mc:AlternateContent>
          <mc:Choice Requires="wps">
            <w:drawing>
              <wp:anchor distT="0" distB="0" distL="114300" distR="114300" simplePos="0" relativeHeight="251686912" behindDoc="1" locked="0" layoutInCell="1" allowOverlap="1" wp14:anchorId="59DCDC6B" wp14:editId="59DCDC6C">
                <wp:simplePos x="0" y="0"/>
                <wp:positionH relativeFrom="page">
                  <wp:posOffset>1593850</wp:posOffset>
                </wp:positionH>
                <wp:positionV relativeFrom="paragraph">
                  <wp:posOffset>414020</wp:posOffset>
                </wp:positionV>
                <wp:extent cx="29845" cy="98425"/>
                <wp:effectExtent l="0" t="0" r="0" b="0"/>
                <wp:wrapNone/>
                <wp:docPr id="8503434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DD34" w14:textId="77777777" w:rsidR="00EA5964" w:rsidRDefault="00E811B8">
                            <w:pPr>
                              <w:spacing w:line="154" w:lineRule="exact"/>
                              <w:rPr>
                                <w:sz w:val="14"/>
                              </w:rPr>
                            </w:pPr>
                            <w:r>
                              <w:rPr>
                                <w:w w:val="99"/>
                                <w:sz w:val="14"/>
                              </w:rPr>
                              <w: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9DCDC6B" id="Text Box 120" o:spid="_x0000_s1031" type="#_x0000_t202" style="position:absolute;left:0;text-align:left;margin-left:125.5pt;margin-top:32.6pt;width:2.35pt;height:7.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" filled="f" stroked="f">
                <v:textbox inset="0,0,0,0">
                  <w:txbxContent>
                    <w:p w14:paraId="59DCDD34" w14:textId="77777777" w:rsidR="00EA5964" w:rsidRDefault="00E811B8">
                      <w:pPr>
                        <w:spacing w:line="154" w:lineRule="exact"/>
                        <w:rPr>
                          <w:sz w:val="14"/>
                        </w:rPr>
                      </w:pPr>
                      <w:r>
                        <w:rPr>
                          <w:w w:val="99"/>
                          <w:sz w:val="14"/>
                        </w:rPr>
                        <w:t>-</w:t>
                      </w:r>
                    </w:p>
                  </w:txbxContent>
                </v:textbox>
                <w10:wrap anchorx="page"/>
              </v:shape>
            </w:pict>
          </mc:Fallback>
        </mc:AlternateContent>
      </w:r>
      <w:r w:rsidR="00E90CE0" w:rsidRPr="00D93FF9">
        <w:rPr>
          <w:position w:val="2"/>
          <w:lang w:val="en-GB"/>
        </w:rPr>
        <w:t xml:space="preserve">When the ratio of log </w:t>
      </w:r>
      <w:r w:rsidR="00E90CE0" w:rsidRPr="00D93FF9">
        <w:rPr>
          <w:position w:val="2"/>
          <w:sz w:val="20"/>
          <w:lang w:val="en-GB"/>
        </w:rPr>
        <w:t>(</w:t>
      </w:r>
      <w:r w:rsidR="00E90CE0" w:rsidRPr="00D93FF9">
        <w:rPr>
          <w:position w:val="2"/>
          <w:sz w:val="20"/>
          <w:vertAlign w:val="superscript"/>
          <w:lang w:val="en-GB"/>
        </w:rPr>
        <w:t>[Cl</w:t>
      </w:r>
      <w:r w:rsidR="00E90CE0" w:rsidRPr="00D93FF9">
        <w:rPr>
          <w:position w:val="2"/>
          <w:sz w:val="20"/>
          <w:lang w:val="en-GB"/>
        </w:rPr>
        <w:t xml:space="preserve"> </w:t>
      </w:r>
      <w:r w:rsidR="00E90CE0" w:rsidRPr="00D93FF9">
        <w:rPr>
          <w:position w:val="2"/>
          <w:sz w:val="20"/>
          <w:vertAlign w:val="superscript"/>
          <w:lang w:val="en-GB"/>
        </w:rPr>
        <w:t>]</w:t>
      </w:r>
      <w:r w:rsidR="00E90CE0" w:rsidRPr="00D93FF9">
        <w:rPr>
          <w:position w:val="2"/>
          <w:sz w:val="14"/>
          <w:lang w:val="en-GB"/>
        </w:rPr>
        <w:t>/</w:t>
      </w:r>
      <w:r w:rsidR="00E90CE0" w:rsidRPr="00D93FF9">
        <w:rPr>
          <w:sz w:val="14"/>
          <w:lang w:val="en-GB"/>
        </w:rPr>
        <w:t>[CO</w:t>
      </w:r>
      <w:r w:rsidR="00E90CE0" w:rsidRPr="00D93FF9">
        <w:rPr>
          <w:sz w:val="14"/>
          <w:vertAlign w:val="superscript"/>
          <w:lang w:val="en-GB"/>
        </w:rPr>
        <w:t>3-</w:t>
      </w:r>
      <w:r w:rsidR="00E90CE0" w:rsidRPr="00D93FF9">
        <w:rPr>
          <w:sz w:val="14"/>
          <w:lang w:val="en-GB"/>
        </w:rPr>
        <w:t>]</w:t>
      </w:r>
      <w:r w:rsidR="00E90CE0" w:rsidRPr="00D93FF9">
        <w:rPr>
          <w:position w:val="2"/>
          <w:sz w:val="20"/>
          <w:lang w:val="en-GB"/>
        </w:rPr>
        <w:t xml:space="preserve">) </w:t>
      </w:r>
      <w:r w:rsidR="00E90CE0" w:rsidRPr="00D93FF9">
        <w:rPr>
          <w:position w:val="2"/>
          <w:lang w:val="en-GB"/>
        </w:rPr>
        <w:t xml:space="preserve">is small, corrosion potential is considered to be low. </w:t>
      </w:r>
      <w:r w:rsidR="00E90CE0" w:rsidRPr="00D93FF9">
        <w:rPr>
          <w:lang w:val="en-GB"/>
        </w:rPr>
        <w:t xml:space="preserve">However, as the chloride concentration increases relative to carbonate, and the log of the </w:t>
      </w:r>
      <w:r w:rsidR="00E90CE0" w:rsidRPr="00D93FF9">
        <w:rPr>
          <w:position w:val="2"/>
          <w:lang w:val="en-GB"/>
        </w:rPr>
        <w:t>ratio (</w:t>
      </w:r>
      <w:r w:rsidR="00E90CE0" w:rsidRPr="00D93FF9">
        <w:rPr>
          <w:position w:val="2"/>
          <w:vertAlign w:val="superscript"/>
          <w:lang w:val="en-GB"/>
        </w:rPr>
        <w:t>[Cl</w:t>
      </w:r>
      <w:r w:rsidR="00E90CE0" w:rsidRPr="00D93FF9">
        <w:rPr>
          <w:position w:val="2"/>
          <w:lang w:val="en-GB"/>
        </w:rPr>
        <w:t xml:space="preserve"> </w:t>
      </w:r>
      <w:r w:rsidR="00E90CE0" w:rsidRPr="00D93FF9">
        <w:rPr>
          <w:position w:val="2"/>
          <w:vertAlign w:val="superscript"/>
          <w:lang w:val="en-GB"/>
        </w:rPr>
        <w:t>]</w:t>
      </w:r>
      <w:r w:rsidR="00E90CE0" w:rsidRPr="00D93FF9">
        <w:rPr>
          <w:position w:val="2"/>
          <w:sz w:val="14"/>
          <w:lang w:val="en-GB"/>
        </w:rPr>
        <w:t>/</w:t>
      </w:r>
      <w:r w:rsidR="00E90CE0" w:rsidRPr="00D93FF9">
        <w:rPr>
          <w:sz w:val="14"/>
          <w:lang w:val="en-GB"/>
        </w:rPr>
        <w:t>[CO</w:t>
      </w:r>
      <w:r w:rsidR="00E90CE0" w:rsidRPr="00D93FF9">
        <w:rPr>
          <w:sz w:val="14"/>
          <w:vertAlign w:val="superscript"/>
          <w:lang w:val="en-GB"/>
        </w:rPr>
        <w:t>3-</w:t>
      </w:r>
      <w:r w:rsidR="00E90CE0" w:rsidRPr="00D93FF9">
        <w:rPr>
          <w:sz w:val="14"/>
          <w:lang w:val="en-GB"/>
        </w:rPr>
        <w:t>]</w:t>
      </w:r>
      <w:r w:rsidR="00E90CE0" w:rsidRPr="00D93FF9">
        <w:rPr>
          <w:position w:val="2"/>
          <w:sz w:val="20"/>
          <w:lang w:val="en-GB"/>
        </w:rPr>
        <w:t xml:space="preserve">) </w:t>
      </w:r>
      <w:r w:rsidR="00E90CE0" w:rsidRPr="00D93FF9">
        <w:rPr>
          <w:position w:val="2"/>
          <w:lang w:val="en-GB"/>
        </w:rPr>
        <w:t xml:space="preserve">exceeds about 2, pump metals are likely to corrode (Kelly </w:t>
      </w:r>
      <w:r w:rsidR="00FA6E9E" w:rsidRPr="00D93FF9">
        <w:rPr>
          <w:position w:val="2"/>
          <w:lang w:val="en-GB"/>
        </w:rPr>
        <w:t>and</w:t>
      </w:r>
      <w:r w:rsidR="00E90CE0" w:rsidRPr="00D93FF9">
        <w:rPr>
          <w:position w:val="2"/>
          <w:lang w:val="en-GB"/>
        </w:rPr>
        <w:t xml:space="preserve"> Kemp</w:t>
      </w:r>
      <w:r w:rsidR="00E90CE0" w:rsidRPr="00D93FF9">
        <w:rPr>
          <w:spacing w:val="-11"/>
          <w:position w:val="2"/>
          <w:lang w:val="en-GB"/>
        </w:rPr>
        <w:t xml:space="preserve"> </w:t>
      </w:r>
      <w:r w:rsidR="00E90CE0" w:rsidRPr="00D93FF9">
        <w:rPr>
          <w:position w:val="2"/>
          <w:lang w:val="en-GB"/>
        </w:rPr>
        <w:t>1975).</w:t>
      </w:r>
      <w:r w:rsidR="003528B9" w:rsidRPr="00D93FF9">
        <w:rPr>
          <w:position w:val="2"/>
          <w:lang w:val="en-GB"/>
        </w:rPr>
        <w:t xml:space="preserve"> </w:t>
      </w:r>
    </w:p>
    <w:p w14:paraId="59DCDAE2" w14:textId="2558E5E4" w:rsidR="003528B9" w:rsidRPr="00D93FF9" w:rsidRDefault="00E811B8" w:rsidP="003807A1">
      <w:pPr>
        <w:pStyle w:val="BodyText"/>
        <w:spacing w:after="0" w:line="266" w:lineRule="auto"/>
        <w:jc w:val="both"/>
        <w:rPr>
          <w:lang w:val="en-GB"/>
        </w:rPr>
      </w:pPr>
      <w:r w:rsidRPr="00D93FF9">
        <w:rPr>
          <w:position w:val="2"/>
          <w:lang w:val="en-GB"/>
        </w:rPr>
        <w:t>The ratio of chloride to carbonate is especially relevant in relation to cast iron and steel water infrastructure (WHO 2017).</w:t>
      </w:r>
    </w:p>
    <w:p w14:paraId="59DCDAE3" w14:textId="77777777" w:rsidR="00C46175" w:rsidRPr="00D93FF9" w:rsidRDefault="00E811B8" w:rsidP="00992F66">
      <w:pPr>
        <w:pStyle w:val="Heading4"/>
        <w:rPr>
          <w:lang w:val="en-GB"/>
        </w:rPr>
      </w:pPr>
      <w:r w:rsidRPr="00D93FF9">
        <w:t>Control</w:t>
      </w:r>
      <w:r w:rsidRPr="00D93FF9">
        <w:rPr>
          <w:lang w:val="en-GB"/>
        </w:rPr>
        <w:t xml:space="preserve"> measures</w:t>
      </w:r>
    </w:p>
    <w:p w14:paraId="59DCDAE4" w14:textId="4C88D05D" w:rsidR="00C46175" w:rsidRPr="00D93FF9" w:rsidRDefault="00E811B8" w:rsidP="003807A1">
      <w:pPr>
        <w:pStyle w:val="BodyText"/>
        <w:spacing w:after="0" w:line="266" w:lineRule="auto"/>
        <w:jc w:val="both"/>
        <w:rPr>
          <w:lang w:val="en-GB"/>
        </w:rPr>
      </w:pPr>
      <w:r w:rsidRPr="00D93FF9">
        <w:rPr>
          <w:lang w:val="en-GB"/>
        </w:rPr>
        <w:t xml:space="preserve">The parameters described previously can only give a rough estimate of whether corrosion is likely to occur. Even if water quality meets the guideline values, corrosion still may occur. For further information on methods of analysis for corrosion the reader is referred to APHA, AWWA </w:t>
      </w:r>
      <w:r w:rsidR="00FA6E9E" w:rsidRPr="00D93FF9">
        <w:rPr>
          <w:lang w:val="en-GB"/>
        </w:rPr>
        <w:t>and</w:t>
      </w:r>
      <w:r w:rsidRPr="00D93FF9">
        <w:rPr>
          <w:lang w:val="en-GB"/>
        </w:rPr>
        <w:t xml:space="preserve"> WEF (1998). A brief description is provided below of the three main approaches to minimising the effect of corrosion in agricultural water</w:t>
      </w:r>
      <w:r w:rsidRPr="00D93FF9">
        <w:rPr>
          <w:spacing w:val="-3"/>
          <w:lang w:val="en-GB"/>
        </w:rPr>
        <w:t xml:space="preserve"> </w:t>
      </w:r>
      <w:r w:rsidRPr="00D93FF9">
        <w:rPr>
          <w:lang w:val="en-GB"/>
        </w:rPr>
        <w:t>systems.</w:t>
      </w:r>
    </w:p>
    <w:p w14:paraId="59DCDAE5" w14:textId="77777777" w:rsidR="00C46175" w:rsidRPr="00D93FF9" w:rsidRDefault="00E811B8" w:rsidP="00590E3C">
      <w:pPr>
        <w:pStyle w:val="ListBullet"/>
        <w:rPr>
          <w:lang w:val="en-GB"/>
        </w:rPr>
      </w:pPr>
      <w:r w:rsidRPr="00D93FF9">
        <w:rPr>
          <w:lang w:val="en-GB"/>
        </w:rPr>
        <w:t>Monitoring</w:t>
      </w:r>
    </w:p>
    <w:p w14:paraId="59DCDAE6" w14:textId="77777777" w:rsidR="00C46175" w:rsidRPr="00D93FF9" w:rsidRDefault="00E811B8" w:rsidP="003807A1">
      <w:pPr>
        <w:pStyle w:val="BodyText"/>
        <w:spacing w:after="0" w:line="266" w:lineRule="auto"/>
        <w:jc w:val="both"/>
        <w:rPr>
          <w:lang w:val="en-GB"/>
        </w:rPr>
      </w:pPr>
      <w:r w:rsidRPr="00D93FF9">
        <w:rPr>
          <w:lang w:val="en-GB"/>
        </w:rPr>
        <w:t>Part of the maintenance of an agricultural water distribution system should be the keeping of adequate records covering issues like relevant water quality parameters, power usage, construction, maintenance and hydraulic details. The collection frequency of water quality data for an agricultural well need not be as stringent as for domestic water supply. Visual assessment of water quality for increased turbidity and suspended solids can be done at the time of pump start, as this may indicate an increase in corrosion. An analysis of water quality, taking into consideration the parameters and appropriate guidelines outlined above, should be conducted before construction of the distribution system. Monitoring should be undertaken on a regular basis.</w:t>
      </w:r>
    </w:p>
    <w:p w14:paraId="59DCDAE7" w14:textId="77777777" w:rsidR="00C46175" w:rsidRPr="00D93FF9" w:rsidRDefault="00E811B8" w:rsidP="00590E3C">
      <w:pPr>
        <w:pStyle w:val="ListBullet"/>
        <w:rPr>
          <w:lang w:val="en-GB"/>
        </w:rPr>
      </w:pPr>
      <w:r w:rsidRPr="00D93FF9">
        <w:rPr>
          <w:lang w:val="en-GB"/>
        </w:rPr>
        <w:t>Materials</w:t>
      </w:r>
    </w:p>
    <w:p w14:paraId="59DCDAE8" w14:textId="0D3D4D1A" w:rsidR="00C46175" w:rsidRPr="00D93FF9" w:rsidRDefault="00E811B8" w:rsidP="003807A1">
      <w:pPr>
        <w:pStyle w:val="BodyText"/>
        <w:spacing w:after="0" w:line="266" w:lineRule="auto"/>
        <w:jc w:val="both"/>
        <w:rPr>
          <w:rFonts w:ascii="Arial"/>
          <w:sz w:val="16"/>
          <w:lang w:val="en-GB"/>
        </w:rPr>
      </w:pPr>
      <w:r w:rsidRPr="00D93FF9">
        <w:rPr>
          <w:lang w:val="en-GB"/>
        </w:rPr>
        <w:t>When establishing a distribution system, the material chosen for construction is important, as this will influence the extent of corrosion in the system. Materials found to be the most resistant to corrosive waters include austenitic stainless steel (e.g.</w:t>
      </w:r>
      <w:r w:rsidR="00DE41FE" w:rsidRPr="00D93FF9">
        <w:rPr>
          <w:lang w:val="en-GB"/>
        </w:rPr>
        <w:t>,</w:t>
      </w:r>
      <w:r w:rsidRPr="00D93FF9">
        <w:rPr>
          <w:lang w:val="en-GB"/>
        </w:rPr>
        <w:t xml:space="preserve"> 316 stainless steel, 904 L stainless steel), zinc-free bronze for pumping equipment (with the option of coating with epoxy if needed) and synthetic materials such as plastics (for piping and fittings). Corrosion- resistant pumps and fittings are also available. Although corrosion-resistant materials are generally more expensive during initial establishment, long-term savings can occur as a result of decreased maintenance and replacement costs.</w:t>
      </w:r>
      <w:bookmarkStart w:id="364" w:name="9.2.9.3__Fouling"/>
      <w:bookmarkEnd w:id="364"/>
      <w:r w:rsidR="00A61704" w:rsidRPr="00D93FF9">
        <w:rPr>
          <w:rFonts w:ascii="Arial"/>
          <w:sz w:val="16"/>
          <w:lang w:val="en-GB"/>
        </w:rPr>
        <w:t xml:space="preserve"> </w:t>
      </w:r>
    </w:p>
    <w:p w14:paraId="59DCDAE9" w14:textId="77777777" w:rsidR="00C46175" w:rsidRPr="00D93FF9" w:rsidRDefault="00E811B8" w:rsidP="003807A1">
      <w:pPr>
        <w:pStyle w:val="BodyText"/>
        <w:spacing w:after="0" w:line="266" w:lineRule="auto"/>
        <w:jc w:val="both"/>
        <w:rPr>
          <w:lang w:val="en-GB"/>
        </w:rPr>
      </w:pPr>
      <w:r w:rsidRPr="00D93FF9">
        <w:rPr>
          <w:lang w:val="en-GB"/>
        </w:rPr>
        <w:t xml:space="preserve">If possible, McLaughlan (1996) recommends the use of inert or corrosion-resistant thermoplastic, fibreglass or PVC wells with plastic or stainless steel screens. It is also recommended that sulfate-resistant cement is used in the upper casing areas where saline water may be intersected. Oxygen should also be limited within the system, as it is one of the primary influences on corrosion. Lining an already existing system with inert material is also an option. This method is particularly suited to joints and fittings, which are often the most vulnerable parts of water infrastructure. There are a number of </w:t>
      </w:r>
      <w:r w:rsidRPr="00D93FF9">
        <w:rPr>
          <w:lang w:val="en-GB"/>
        </w:rPr>
        <w:lastRenderedPageBreak/>
        <w:t>different options available including abrading the surface, cementing and coating with coal tar</w:t>
      </w:r>
      <w:r w:rsidRPr="00D93FF9">
        <w:rPr>
          <w:spacing w:val="-8"/>
          <w:lang w:val="en-GB"/>
        </w:rPr>
        <w:t xml:space="preserve"> </w:t>
      </w:r>
      <w:r w:rsidRPr="00D93FF9">
        <w:rPr>
          <w:lang w:val="en-GB"/>
        </w:rPr>
        <w:t>products.</w:t>
      </w:r>
    </w:p>
    <w:p w14:paraId="59DCDAEA" w14:textId="11D7AE1C" w:rsidR="003528B9" w:rsidRPr="00D93FF9" w:rsidRDefault="00E811B8" w:rsidP="003807A1">
      <w:pPr>
        <w:pStyle w:val="BodyText"/>
        <w:spacing w:after="0" w:line="264" w:lineRule="auto"/>
        <w:jc w:val="both"/>
        <w:rPr>
          <w:lang w:val="en-GB"/>
        </w:rPr>
      </w:pPr>
      <w:r w:rsidRPr="00D93FF9">
        <w:rPr>
          <w:lang w:val="en-GB"/>
        </w:rPr>
        <w:t>All materials react, and corrode, differently in response to varying water parameters (WHO 2017). It is therefore important to test water quality before constructing (or replacing) water infrastructure to ensure selection of the most suitable materials.</w:t>
      </w:r>
    </w:p>
    <w:p w14:paraId="59DCDAEB" w14:textId="77777777" w:rsidR="00C46175" w:rsidRPr="00D93FF9" w:rsidRDefault="00E811B8" w:rsidP="00590E3C">
      <w:pPr>
        <w:pStyle w:val="ListBullet"/>
        <w:rPr>
          <w:lang w:val="en-GB"/>
        </w:rPr>
      </w:pPr>
      <w:r w:rsidRPr="00D93FF9">
        <w:rPr>
          <w:lang w:val="en-GB"/>
        </w:rPr>
        <w:t>Chemical treatment</w:t>
      </w:r>
    </w:p>
    <w:p w14:paraId="59DCDAEC" w14:textId="77777777" w:rsidR="00C46175" w:rsidRPr="00D93FF9" w:rsidRDefault="00E811B8" w:rsidP="003807A1">
      <w:pPr>
        <w:pStyle w:val="BodyText"/>
        <w:spacing w:after="0" w:line="266" w:lineRule="auto"/>
        <w:jc w:val="both"/>
        <w:rPr>
          <w:lang w:val="en-GB"/>
        </w:rPr>
      </w:pPr>
      <w:r w:rsidRPr="00D93FF9">
        <w:rPr>
          <w:lang w:val="en-GB"/>
        </w:rPr>
        <w:t xml:space="preserve">In some cases of corrosion, chemical treatment of water can be used. This will not overcome problems in flow rate or the distribution system itself, however it can be implemented in some instances in the short term. Awad (1989) </w:t>
      </w:r>
      <w:r w:rsidR="003528B9" w:rsidRPr="00D93FF9">
        <w:rPr>
          <w:lang w:val="en-GB"/>
        </w:rPr>
        <w:t xml:space="preserve">and the CCME (2008) </w:t>
      </w:r>
      <w:r w:rsidRPr="00D93FF9">
        <w:rPr>
          <w:lang w:val="en-GB"/>
        </w:rPr>
        <w:t>recommends the use of lime or soda ash, which can make water less corrosive by increasing pH. The amount needed is based on the hardness or softness of water. It is recommended that alkalinity levels of 50–100 mg/L and calcium levels of 30–50 mg/L be maintained at normal temperatures to minimise</w:t>
      </w:r>
      <w:r w:rsidRPr="00D93FF9">
        <w:rPr>
          <w:spacing w:val="-5"/>
          <w:lang w:val="en-GB"/>
        </w:rPr>
        <w:t xml:space="preserve"> </w:t>
      </w:r>
      <w:r w:rsidRPr="00D93FF9">
        <w:rPr>
          <w:lang w:val="en-GB"/>
        </w:rPr>
        <w:t>corrosion.</w:t>
      </w:r>
    </w:p>
    <w:p w14:paraId="59DCDAED" w14:textId="2B9A2BEE" w:rsidR="00C46175" w:rsidRPr="00D93FF9" w:rsidRDefault="00E811B8" w:rsidP="0070761D">
      <w:pPr>
        <w:pStyle w:val="Heading4"/>
        <w:rPr>
          <w:lang w:val="en-GB"/>
        </w:rPr>
      </w:pPr>
      <w:r w:rsidRPr="00D93FF9">
        <w:t>Derivation</w:t>
      </w:r>
      <w:r w:rsidRPr="00D93FF9">
        <w:rPr>
          <w:lang w:val="en-GB"/>
        </w:rPr>
        <w:t xml:space="preserve"> of </w:t>
      </w:r>
      <w:r w:rsidR="00855C80" w:rsidRPr="00D93FF9">
        <w:rPr>
          <w:lang w:val="en-GB"/>
        </w:rPr>
        <w:t>guideline values</w:t>
      </w:r>
    </w:p>
    <w:p w14:paraId="59DCDAEE" w14:textId="77777777" w:rsidR="00C46175" w:rsidRPr="00D93FF9" w:rsidRDefault="00E811B8" w:rsidP="003807A1">
      <w:pPr>
        <w:pStyle w:val="BodyText"/>
        <w:spacing w:after="0" w:line="266" w:lineRule="auto"/>
        <w:jc w:val="both"/>
        <w:rPr>
          <w:lang w:val="en-GB"/>
        </w:rPr>
      </w:pPr>
      <w:r w:rsidRPr="00D93FF9">
        <w:rPr>
          <w:lang w:val="en-GB"/>
        </w:rPr>
        <w:t>A literature review was undertaken on corrosion in relation to water quality and agricultural issues. Limited research was found directly relating to agriculture, however information was available on groundwater extraction and corrosion, directly applicable to agricultural systems using groundwater resources.</w:t>
      </w:r>
    </w:p>
    <w:p w14:paraId="59DCDAEF" w14:textId="60000F15" w:rsidR="00C46175" w:rsidRPr="00D93FF9" w:rsidRDefault="00E811B8" w:rsidP="003807A1">
      <w:pPr>
        <w:pStyle w:val="BodyText"/>
        <w:spacing w:after="0" w:line="266" w:lineRule="auto"/>
        <w:jc w:val="both"/>
        <w:rPr>
          <w:lang w:val="en-GB"/>
        </w:rPr>
      </w:pPr>
      <w:r w:rsidRPr="00D93FF9">
        <w:rPr>
          <w:lang w:val="en-GB"/>
        </w:rPr>
        <w:t xml:space="preserve">At the time of the 2000 update, </w:t>
      </w:r>
      <w:r w:rsidR="00664DA2" w:rsidRPr="00D93FF9">
        <w:rPr>
          <w:lang w:val="en-GB"/>
        </w:rPr>
        <w:t>t</w:t>
      </w:r>
      <w:r w:rsidR="00E90CE0" w:rsidRPr="00D93FF9">
        <w:rPr>
          <w:lang w:val="en-GB"/>
        </w:rPr>
        <w:t>he National Centre for Groundwater Management (University of Technology, Sydney) ha</w:t>
      </w:r>
      <w:r w:rsidRPr="00D93FF9">
        <w:rPr>
          <w:lang w:val="en-GB"/>
        </w:rPr>
        <w:t>d</w:t>
      </w:r>
      <w:r w:rsidR="00E90CE0" w:rsidRPr="00D93FF9">
        <w:rPr>
          <w:lang w:val="en-GB"/>
        </w:rPr>
        <w:t xml:space="preserve"> released a number of publications based on extensive research, bringing together current issues on corrosion and groundwater wells</w:t>
      </w:r>
      <w:r w:rsidR="008264AE" w:rsidRPr="00D93FF9">
        <w:rPr>
          <w:lang w:val="en-GB"/>
        </w:rPr>
        <w:t xml:space="preserve"> which ha</w:t>
      </w:r>
      <w:r w:rsidRPr="00D93FF9">
        <w:rPr>
          <w:lang w:val="en-GB"/>
        </w:rPr>
        <w:t>d</w:t>
      </w:r>
      <w:r w:rsidR="008264AE" w:rsidRPr="00D93FF9">
        <w:rPr>
          <w:lang w:val="en-GB"/>
        </w:rPr>
        <w:t xml:space="preserve"> been used for the </w:t>
      </w:r>
      <w:r w:rsidR="00664DA2" w:rsidRPr="00D93FF9">
        <w:rPr>
          <w:lang w:val="en-GB"/>
        </w:rPr>
        <w:t>derivation of guideline values</w:t>
      </w:r>
      <w:r w:rsidR="00E90CE0" w:rsidRPr="00D93FF9">
        <w:rPr>
          <w:lang w:val="en-GB"/>
        </w:rPr>
        <w:t xml:space="preserve">. The research </w:t>
      </w:r>
      <w:r w:rsidR="00BE2DAB" w:rsidRPr="00D93FF9">
        <w:rPr>
          <w:lang w:val="en-GB"/>
        </w:rPr>
        <w:t xml:space="preserve">had </w:t>
      </w:r>
      <w:r w:rsidR="00E90CE0" w:rsidRPr="00D93FF9">
        <w:rPr>
          <w:lang w:val="en-GB"/>
        </w:rPr>
        <w:t xml:space="preserve">involved a critical literature review on corrosion mechanisms and data, and incorporated relevant information from the petroleum and water supply industries. These provide a valuable guide to corrosion-related issues and solutions in Australia, and have been used as a basis for several of the </w:t>
      </w:r>
      <w:r w:rsidR="00664DA2" w:rsidRPr="00D93FF9">
        <w:rPr>
          <w:lang w:val="en-GB"/>
        </w:rPr>
        <w:t>guideline</w:t>
      </w:r>
      <w:r w:rsidR="00E90CE0" w:rsidRPr="00D93FF9">
        <w:rPr>
          <w:lang w:val="en-GB"/>
        </w:rPr>
        <w:t xml:space="preserve"> values given in this</w:t>
      </w:r>
      <w:r w:rsidR="00E90CE0" w:rsidRPr="00D93FF9">
        <w:rPr>
          <w:spacing w:val="-1"/>
          <w:lang w:val="en-GB"/>
        </w:rPr>
        <w:t xml:space="preserve"> </w:t>
      </w:r>
      <w:r w:rsidR="00E90CE0" w:rsidRPr="00D93FF9">
        <w:rPr>
          <w:lang w:val="en-GB"/>
        </w:rPr>
        <w:t>review</w:t>
      </w:r>
      <w:r w:rsidR="00115D44" w:rsidRPr="00D93FF9">
        <w:rPr>
          <w:lang w:val="en-GB"/>
        </w:rPr>
        <w:t>.</w:t>
      </w:r>
      <w:r w:rsidR="00664DA2" w:rsidRPr="00D93FF9">
        <w:rPr>
          <w:lang w:val="en-GB"/>
        </w:rPr>
        <w:t xml:space="preserve"> The</w:t>
      </w:r>
      <w:r w:rsidR="00BE2DAB" w:rsidRPr="00D93FF9">
        <w:rPr>
          <w:lang w:val="en-GB"/>
        </w:rPr>
        <w:t xml:space="preserve"> 2021</w:t>
      </w:r>
      <w:r w:rsidR="00DE17C0" w:rsidRPr="00D93FF9">
        <w:rPr>
          <w:lang w:val="en-GB"/>
        </w:rPr>
        <w:t xml:space="preserve"> </w:t>
      </w:r>
      <w:r w:rsidR="00025C6C" w:rsidRPr="00D93FF9">
        <w:rPr>
          <w:lang w:val="en-GB"/>
        </w:rPr>
        <w:t>update and literature</w:t>
      </w:r>
      <w:r w:rsidR="00BE2DAB" w:rsidRPr="00D93FF9">
        <w:rPr>
          <w:lang w:val="en-GB"/>
        </w:rPr>
        <w:t xml:space="preserve"> </w:t>
      </w:r>
      <w:r w:rsidR="001F43FF" w:rsidRPr="00D93FF9">
        <w:rPr>
          <w:lang w:val="en-GB"/>
        </w:rPr>
        <w:t xml:space="preserve">review </w:t>
      </w:r>
      <w:r w:rsidR="00664DA2" w:rsidRPr="00D93FF9">
        <w:rPr>
          <w:lang w:val="en-GB"/>
        </w:rPr>
        <w:t>did not identify any significant changes in these guideline values</w:t>
      </w:r>
      <w:r w:rsidR="00025C6C" w:rsidRPr="00D93FF9">
        <w:rPr>
          <w:lang w:val="en-GB"/>
        </w:rPr>
        <w:t xml:space="preserve">. </w:t>
      </w:r>
    </w:p>
    <w:p w14:paraId="59DCDAF0" w14:textId="77777777" w:rsidR="00C46175" w:rsidRPr="00D93FF9" w:rsidRDefault="00C46175" w:rsidP="003807A1">
      <w:pPr>
        <w:pStyle w:val="BodyText"/>
        <w:spacing w:after="0"/>
        <w:rPr>
          <w:sz w:val="25"/>
          <w:lang w:val="en-GB"/>
        </w:rPr>
      </w:pPr>
    </w:p>
    <w:p w14:paraId="59DCDAF1" w14:textId="77777777" w:rsidR="00C46175" w:rsidRPr="00D93FF9" w:rsidRDefault="00E811B8" w:rsidP="0070761D">
      <w:pPr>
        <w:pStyle w:val="Heading3"/>
        <w:rPr>
          <w:lang w:val="en-GB"/>
        </w:rPr>
      </w:pPr>
      <w:bookmarkStart w:id="365" w:name="_Toc96693616"/>
      <w:r w:rsidRPr="00D93FF9">
        <w:t>Fouling</w:t>
      </w:r>
      <w:bookmarkEnd w:id="365"/>
    </w:p>
    <w:p w14:paraId="59DCDAF2" w14:textId="4137C366" w:rsidR="00C46175" w:rsidRPr="00D93FF9" w:rsidRDefault="00E811B8" w:rsidP="009B208B">
      <w:pPr>
        <w:pStyle w:val="BodyText"/>
        <w:spacing w:before="200"/>
        <w:ind w:left="284"/>
        <w:rPr>
          <w:b/>
          <w:bCs/>
          <w:i/>
          <w:iCs/>
          <w:lang w:val="en-GB"/>
        </w:rPr>
      </w:pPr>
      <w:r w:rsidRPr="00D93FF9">
        <w:rPr>
          <w:b/>
          <w:bCs/>
          <w:i/>
          <w:iCs/>
          <w:lang w:val="en-GB"/>
        </w:rPr>
        <w:t>Guideline</w:t>
      </w:r>
      <w:r w:rsidR="00E90CE0" w:rsidRPr="00D93FF9">
        <w:rPr>
          <w:b/>
          <w:bCs/>
          <w:i/>
          <w:iCs/>
          <w:lang w:val="en-GB"/>
        </w:rPr>
        <w:t xml:space="preserve"> values for assessing the fouling potential of waters are given in</w:t>
      </w:r>
      <w:r w:rsidR="00DF4E4E" w:rsidRPr="00D93FF9">
        <w:rPr>
          <w:b/>
          <w:bCs/>
          <w:i/>
          <w:iCs/>
          <w:lang w:val="en-GB"/>
        </w:rPr>
        <w:t xml:space="preserve"> </w:t>
      </w:r>
      <w:r w:rsidR="00DF4E4E" w:rsidRPr="00D93FF9">
        <w:rPr>
          <w:b/>
          <w:bCs/>
          <w:i/>
          <w:iCs/>
          <w:lang w:val="en-GB"/>
        </w:rPr>
        <w:fldChar w:fldCharType="begin"/>
      </w:r>
      <w:r w:rsidR="00DF4E4E" w:rsidRPr="00D93FF9">
        <w:rPr>
          <w:b/>
          <w:bCs/>
          <w:i/>
          <w:iCs/>
          <w:lang w:val="en-GB"/>
        </w:rPr>
        <w:instrText xml:space="preserve"> REF _Ref81395999 \h  \* MERGEFORMAT </w:instrText>
      </w:r>
      <w:r w:rsidR="00DF4E4E" w:rsidRPr="00D93FF9">
        <w:rPr>
          <w:b/>
          <w:bCs/>
          <w:i/>
          <w:iCs/>
          <w:lang w:val="en-GB"/>
        </w:rPr>
      </w:r>
      <w:r w:rsidR="00DF4E4E" w:rsidRPr="00D93FF9">
        <w:rPr>
          <w:b/>
          <w:bCs/>
          <w:i/>
          <w:iCs/>
          <w:lang w:val="en-GB"/>
        </w:rPr>
        <w:fldChar w:fldCharType="separate"/>
      </w:r>
      <w:r w:rsidR="0069302C" w:rsidRPr="0069302C">
        <w:rPr>
          <w:b/>
          <w:bCs/>
          <w:i/>
          <w:iCs/>
        </w:rPr>
        <w:t xml:space="preserve">Table </w:t>
      </w:r>
      <w:r w:rsidR="0069302C" w:rsidRPr="0069302C">
        <w:rPr>
          <w:b/>
          <w:bCs/>
          <w:i/>
          <w:iCs/>
          <w:noProof/>
        </w:rPr>
        <w:t>35</w:t>
      </w:r>
      <w:r w:rsidR="00DF4E4E" w:rsidRPr="00D93FF9">
        <w:rPr>
          <w:b/>
          <w:bCs/>
          <w:i/>
          <w:iCs/>
          <w:lang w:val="en-GB"/>
        </w:rPr>
        <w:fldChar w:fldCharType="end"/>
      </w:r>
      <w:r w:rsidR="00E90CE0" w:rsidRPr="00D93FF9">
        <w:rPr>
          <w:b/>
          <w:bCs/>
          <w:i/>
          <w:iCs/>
          <w:lang w:val="en-GB"/>
        </w:rPr>
        <w:t>.</w:t>
      </w:r>
    </w:p>
    <w:p w14:paraId="59DCDAF3" w14:textId="77777777" w:rsidR="001D77C2" w:rsidRPr="00D93FF9" w:rsidRDefault="001D77C2" w:rsidP="009B208B">
      <w:pPr>
        <w:pStyle w:val="BodyText"/>
        <w:spacing w:before="200"/>
        <w:ind w:left="284"/>
        <w:rPr>
          <w:b/>
          <w:bCs/>
          <w:i/>
          <w:iCs/>
          <w:lang w:val="en-GB"/>
        </w:rPr>
      </w:pPr>
    </w:p>
    <w:p w14:paraId="59DCDAF4" w14:textId="2DB94575" w:rsidR="00C46175" w:rsidRPr="00D93FF9" w:rsidRDefault="00DF4E4E" w:rsidP="00DF4E4E">
      <w:pPr>
        <w:pStyle w:val="Caption"/>
        <w:rPr>
          <w:rFonts w:ascii="Arial"/>
          <w:sz w:val="18"/>
          <w:lang w:val="en-GB"/>
        </w:rPr>
      </w:pPr>
      <w:bookmarkStart w:id="366" w:name="_Ref81395999"/>
      <w:bookmarkStart w:id="367" w:name="_Toc96518249"/>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35</w:t>
      </w:r>
      <w:r w:rsidR="00477102" w:rsidRPr="00D93FF9">
        <w:fldChar w:fldCharType="end"/>
      </w:r>
      <w:bookmarkEnd w:id="366"/>
      <w:r w:rsidRPr="00D93FF9">
        <w:t xml:space="preserve"> </w:t>
      </w:r>
      <w:bookmarkStart w:id="368" w:name="_Hlk153812866"/>
      <w:r w:rsidR="00E90CE0" w:rsidRPr="00D93FF9">
        <w:rPr>
          <w:rFonts w:ascii="Arial"/>
          <w:sz w:val="18"/>
          <w:lang w:val="en-GB"/>
        </w:rPr>
        <w:t>Fouling potential of waters as indicated by pH, hardness, Langelier index, Ryznar index and the log of chloride to carbonate ratio</w:t>
      </w:r>
      <w:bookmarkEnd w:id="367"/>
      <w:bookmarkEnd w:id="36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Fouling potential of waters as indicated by pH, hardness, Langelier index, Ryznar index and the log of chloride to carbonate ratio"/>
        <w:tblDescription w:val="This table lists the guideline values for assessing the fouling potential of irrigation water. Parameters include pH, hardness, Langelier index, Ryznar index, and the log of chloride to carbonate ratio. "/>
      </w:tblPr>
      <w:tblGrid>
        <w:gridCol w:w="3003"/>
        <w:gridCol w:w="2995"/>
        <w:gridCol w:w="3022"/>
      </w:tblGrid>
      <w:tr w:rsidR="00BE3AA8" w:rsidRPr="00D93FF9" w14:paraId="59DCDAF8" w14:textId="77777777" w:rsidTr="00B93C65">
        <w:tc>
          <w:tcPr>
            <w:tcW w:w="3150" w:type="dxa"/>
            <w:tcBorders>
              <w:top w:val="single" w:sz="4" w:space="0" w:color="auto"/>
              <w:bottom w:val="single" w:sz="4" w:space="0" w:color="auto"/>
            </w:tcBorders>
          </w:tcPr>
          <w:p w14:paraId="59DCDAF5" w14:textId="77777777" w:rsidR="00897720" w:rsidRPr="00D93FF9" w:rsidRDefault="00E811B8" w:rsidP="00897720">
            <w:pPr>
              <w:pStyle w:val="BodyText"/>
              <w:spacing w:before="0" w:after="0"/>
              <w:rPr>
                <w:rFonts w:asciiTheme="minorHAnsi" w:hAnsiTheme="minorHAnsi"/>
                <w:b/>
                <w:bCs/>
                <w:szCs w:val="18"/>
                <w:lang w:val="en-GB"/>
              </w:rPr>
            </w:pPr>
            <w:r w:rsidRPr="00D93FF9">
              <w:rPr>
                <w:rFonts w:asciiTheme="minorHAnsi" w:hAnsiTheme="minorHAnsi"/>
                <w:b/>
                <w:bCs/>
                <w:szCs w:val="18"/>
                <w:lang w:val="en-GB"/>
              </w:rPr>
              <w:t>Parameter</w:t>
            </w:r>
            <w:r w:rsidRPr="00D93FF9">
              <w:rPr>
                <w:rFonts w:asciiTheme="minorHAnsi" w:hAnsiTheme="minorHAnsi"/>
                <w:b/>
                <w:bCs/>
                <w:szCs w:val="18"/>
                <w:vertAlign w:val="superscript"/>
                <w:lang w:val="en-GB"/>
              </w:rPr>
              <w:t>a</w:t>
            </w:r>
          </w:p>
        </w:tc>
        <w:tc>
          <w:tcPr>
            <w:tcW w:w="3150" w:type="dxa"/>
            <w:tcBorders>
              <w:top w:val="single" w:sz="4" w:space="0" w:color="auto"/>
              <w:bottom w:val="single" w:sz="4" w:space="0" w:color="auto"/>
            </w:tcBorders>
          </w:tcPr>
          <w:p w14:paraId="59DCDAF6" w14:textId="77777777" w:rsidR="00897720" w:rsidRPr="00D93FF9" w:rsidRDefault="00E811B8" w:rsidP="00897720">
            <w:pPr>
              <w:pStyle w:val="BodyText"/>
              <w:spacing w:before="0" w:after="0"/>
              <w:rPr>
                <w:rFonts w:asciiTheme="minorHAnsi" w:hAnsiTheme="minorHAnsi"/>
                <w:b/>
                <w:bCs/>
                <w:szCs w:val="18"/>
                <w:lang w:val="en-GB"/>
              </w:rPr>
            </w:pPr>
            <w:r w:rsidRPr="00D93FF9">
              <w:rPr>
                <w:rFonts w:asciiTheme="minorHAnsi" w:hAnsiTheme="minorHAnsi"/>
                <w:b/>
                <w:bCs/>
                <w:szCs w:val="18"/>
                <w:lang w:val="en-GB"/>
              </w:rPr>
              <w:t>Value</w:t>
            </w:r>
          </w:p>
        </w:tc>
        <w:tc>
          <w:tcPr>
            <w:tcW w:w="3150" w:type="dxa"/>
            <w:tcBorders>
              <w:top w:val="single" w:sz="4" w:space="0" w:color="auto"/>
              <w:bottom w:val="single" w:sz="4" w:space="0" w:color="auto"/>
            </w:tcBorders>
          </w:tcPr>
          <w:p w14:paraId="59DCDAF7" w14:textId="77777777" w:rsidR="00897720" w:rsidRPr="00D93FF9" w:rsidRDefault="00E811B8" w:rsidP="00897720">
            <w:pPr>
              <w:pStyle w:val="BodyText"/>
              <w:spacing w:before="0" w:after="0"/>
              <w:rPr>
                <w:rFonts w:asciiTheme="minorHAnsi" w:hAnsiTheme="minorHAnsi"/>
                <w:b/>
                <w:bCs/>
                <w:szCs w:val="18"/>
                <w:lang w:val="en-GB"/>
              </w:rPr>
            </w:pPr>
            <w:r w:rsidRPr="00D93FF9">
              <w:rPr>
                <w:rFonts w:asciiTheme="minorHAnsi" w:hAnsiTheme="minorHAnsi"/>
                <w:b/>
                <w:bCs/>
                <w:szCs w:val="18"/>
                <w:lang w:val="en-GB"/>
              </w:rPr>
              <w:t>Comments</w:t>
            </w:r>
          </w:p>
        </w:tc>
      </w:tr>
      <w:tr w:rsidR="00BE3AA8" w:rsidRPr="00D93FF9" w14:paraId="59DCDAFC" w14:textId="77777777" w:rsidTr="00B93C65">
        <w:tc>
          <w:tcPr>
            <w:tcW w:w="3150" w:type="dxa"/>
            <w:tcBorders>
              <w:top w:val="single" w:sz="4" w:space="0" w:color="auto"/>
            </w:tcBorders>
          </w:tcPr>
          <w:p w14:paraId="59DCDAF9"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pH</w:t>
            </w:r>
          </w:p>
        </w:tc>
        <w:tc>
          <w:tcPr>
            <w:tcW w:w="3150" w:type="dxa"/>
            <w:tcBorders>
              <w:top w:val="single" w:sz="4" w:space="0" w:color="auto"/>
            </w:tcBorders>
          </w:tcPr>
          <w:p w14:paraId="59DCDAFA"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&lt;</w:t>
            </w:r>
            <w:r w:rsidR="002A6B7B" w:rsidRPr="00D93FF9">
              <w:rPr>
                <w:rFonts w:asciiTheme="minorHAnsi" w:hAnsiTheme="minorHAnsi"/>
                <w:szCs w:val="18"/>
                <w:lang w:val="en-GB"/>
              </w:rPr>
              <w:t>6.5</w:t>
            </w:r>
          </w:p>
        </w:tc>
        <w:tc>
          <w:tcPr>
            <w:tcW w:w="3150" w:type="dxa"/>
            <w:tcBorders>
              <w:top w:val="single" w:sz="4" w:space="0" w:color="auto"/>
            </w:tcBorders>
          </w:tcPr>
          <w:p w14:paraId="59DCDAFB"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Limited fouling potential</w:t>
            </w:r>
          </w:p>
        </w:tc>
      </w:tr>
      <w:tr w:rsidR="00BE3AA8" w:rsidRPr="00D93FF9" w14:paraId="59DCDB00" w14:textId="77777777" w:rsidTr="00B93C65">
        <w:tc>
          <w:tcPr>
            <w:tcW w:w="3150" w:type="dxa"/>
          </w:tcPr>
          <w:p w14:paraId="59DCDAFD" w14:textId="77777777" w:rsidR="00897720" w:rsidRPr="00D93FF9" w:rsidRDefault="00897720" w:rsidP="00897720">
            <w:pPr>
              <w:pStyle w:val="BodyText"/>
              <w:spacing w:before="0" w:after="0"/>
              <w:rPr>
                <w:rFonts w:asciiTheme="minorHAnsi" w:hAnsiTheme="minorHAnsi"/>
                <w:szCs w:val="18"/>
                <w:lang w:val="en-GB"/>
              </w:rPr>
            </w:pPr>
          </w:p>
        </w:tc>
        <w:tc>
          <w:tcPr>
            <w:tcW w:w="3150" w:type="dxa"/>
          </w:tcPr>
          <w:p w14:paraId="59DCDAFE"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7 to 8.5</w:t>
            </w:r>
          </w:p>
        </w:tc>
        <w:tc>
          <w:tcPr>
            <w:tcW w:w="3150" w:type="dxa"/>
          </w:tcPr>
          <w:p w14:paraId="59DCDAFF"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Moderate fouling potential (groundwater)</w:t>
            </w:r>
            <w:r w:rsidR="009B208B" w:rsidRPr="00D93FF9">
              <w:rPr>
                <w:rFonts w:asciiTheme="minorHAnsi" w:hAnsiTheme="minorHAnsi"/>
                <w:szCs w:val="18"/>
                <w:vertAlign w:val="superscript"/>
                <w:lang w:val="en-GB"/>
              </w:rPr>
              <w:t>a</w:t>
            </w:r>
          </w:p>
        </w:tc>
      </w:tr>
      <w:tr w:rsidR="00BE3AA8" w:rsidRPr="00D93FF9" w14:paraId="59DCDB04" w14:textId="77777777" w:rsidTr="00B93C65">
        <w:tc>
          <w:tcPr>
            <w:tcW w:w="3150" w:type="dxa"/>
          </w:tcPr>
          <w:p w14:paraId="59DCDB01" w14:textId="77777777" w:rsidR="00897720" w:rsidRPr="00D93FF9" w:rsidRDefault="00897720" w:rsidP="00897720">
            <w:pPr>
              <w:pStyle w:val="BodyText"/>
              <w:spacing w:before="0" w:after="0"/>
              <w:rPr>
                <w:rFonts w:asciiTheme="minorHAnsi" w:hAnsiTheme="minorHAnsi"/>
                <w:szCs w:val="18"/>
                <w:lang w:val="en-GB"/>
              </w:rPr>
            </w:pPr>
          </w:p>
        </w:tc>
        <w:tc>
          <w:tcPr>
            <w:tcW w:w="3150" w:type="dxa"/>
          </w:tcPr>
          <w:p w14:paraId="59DCDB02"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&gt;8.5</w:t>
            </w:r>
          </w:p>
        </w:tc>
        <w:tc>
          <w:tcPr>
            <w:tcW w:w="3150" w:type="dxa"/>
          </w:tcPr>
          <w:p w14:paraId="59DCDB03"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Increased fouling potential (groundwater)</w:t>
            </w:r>
            <w:r w:rsidR="009B208B" w:rsidRPr="00D93FF9">
              <w:rPr>
                <w:rFonts w:asciiTheme="minorHAnsi" w:hAnsiTheme="minorHAnsi"/>
                <w:szCs w:val="18"/>
                <w:vertAlign w:val="superscript"/>
                <w:lang w:val="en-GB"/>
              </w:rPr>
              <w:t>b</w:t>
            </w:r>
          </w:p>
        </w:tc>
      </w:tr>
      <w:tr w:rsidR="00BE3AA8" w:rsidRPr="00D93FF9" w14:paraId="59DCDB08" w14:textId="77777777" w:rsidTr="00B93C65">
        <w:tc>
          <w:tcPr>
            <w:tcW w:w="3150" w:type="dxa"/>
          </w:tcPr>
          <w:p w14:paraId="59DCDB05"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Hardness</w:t>
            </w:r>
          </w:p>
        </w:tc>
        <w:tc>
          <w:tcPr>
            <w:tcW w:w="3150" w:type="dxa"/>
          </w:tcPr>
          <w:p w14:paraId="59DCDB06"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&gt;350mg/L CaCO</w:t>
            </w:r>
            <w:r w:rsidRPr="00D93FF9">
              <w:rPr>
                <w:rFonts w:asciiTheme="minorHAnsi" w:hAnsiTheme="minorHAnsi"/>
                <w:szCs w:val="18"/>
                <w:vertAlign w:val="subscript"/>
                <w:lang w:val="en-GB"/>
              </w:rPr>
              <w:t>3</w:t>
            </w:r>
          </w:p>
        </w:tc>
        <w:tc>
          <w:tcPr>
            <w:tcW w:w="3150" w:type="dxa"/>
          </w:tcPr>
          <w:p w14:paraId="59DCDB07"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Increased fouling potential</w:t>
            </w:r>
          </w:p>
        </w:tc>
      </w:tr>
      <w:tr w:rsidR="00BE3AA8" w:rsidRPr="00D93FF9" w14:paraId="59DCDB0C" w14:textId="77777777" w:rsidTr="00B93C65">
        <w:tc>
          <w:tcPr>
            <w:tcW w:w="3150" w:type="dxa"/>
          </w:tcPr>
          <w:p w14:paraId="59DCDB09"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Langelier Index</w:t>
            </w:r>
          </w:p>
        </w:tc>
        <w:tc>
          <w:tcPr>
            <w:tcW w:w="3150" w:type="dxa"/>
          </w:tcPr>
          <w:p w14:paraId="59DCDB0A"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&gt;0.5</w:t>
            </w:r>
          </w:p>
        </w:tc>
        <w:tc>
          <w:tcPr>
            <w:tcW w:w="3150" w:type="dxa"/>
          </w:tcPr>
          <w:p w14:paraId="59DCDB0B"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Increased fouling potential</w:t>
            </w:r>
          </w:p>
        </w:tc>
      </w:tr>
      <w:tr w:rsidR="00BE3AA8" w:rsidRPr="00D93FF9" w14:paraId="59DCDB10" w14:textId="77777777" w:rsidTr="00B93C65">
        <w:tc>
          <w:tcPr>
            <w:tcW w:w="3150" w:type="dxa"/>
          </w:tcPr>
          <w:p w14:paraId="59DCDB0D" w14:textId="77777777" w:rsidR="00897720" w:rsidRPr="00D93FF9" w:rsidRDefault="00897720" w:rsidP="00897720">
            <w:pPr>
              <w:pStyle w:val="BodyText"/>
              <w:spacing w:before="0" w:after="0"/>
              <w:rPr>
                <w:rFonts w:asciiTheme="minorHAnsi" w:hAnsiTheme="minorHAnsi"/>
                <w:szCs w:val="18"/>
                <w:lang w:val="en-GB"/>
              </w:rPr>
            </w:pPr>
          </w:p>
        </w:tc>
        <w:tc>
          <w:tcPr>
            <w:tcW w:w="3150" w:type="dxa"/>
          </w:tcPr>
          <w:p w14:paraId="59DCDB0E"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-0.5 to 0.5</w:t>
            </w:r>
          </w:p>
        </w:tc>
        <w:tc>
          <w:tcPr>
            <w:tcW w:w="3150" w:type="dxa"/>
          </w:tcPr>
          <w:p w14:paraId="59DCDB0F"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Limited fouling potential</w:t>
            </w:r>
          </w:p>
        </w:tc>
      </w:tr>
      <w:tr w:rsidR="00BE3AA8" w:rsidRPr="00D93FF9" w14:paraId="59DCDB14" w14:textId="77777777" w:rsidTr="00B93C65">
        <w:tc>
          <w:tcPr>
            <w:tcW w:w="3150" w:type="dxa"/>
          </w:tcPr>
          <w:p w14:paraId="59DCDB11"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Ryznar index</w:t>
            </w:r>
          </w:p>
        </w:tc>
        <w:tc>
          <w:tcPr>
            <w:tcW w:w="3150" w:type="dxa"/>
          </w:tcPr>
          <w:p w14:paraId="59DCDB12"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&lt;6</w:t>
            </w:r>
          </w:p>
        </w:tc>
        <w:tc>
          <w:tcPr>
            <w:tcW w:w="3150" w:type="dxa"/>
          </w:tcPr>
          <w:p w14:paraId="59DCDB13"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Increased fouling potential</w:t>
            </w:r>
          </w:p>
        </w:tc>
      </w:tr>
      <w:tr w:rsidR="00BE3AA8" w:rsidRPr="00D93FF9" w14:paraId="59DCDB18" w14:textId="77777777" w:rsidTr="00B93C65">
        <w:tc>
          <w:tcPr>
            <w:tcW w:w="3150" w:type="dxa"/>
          </w:tcPr>
          <w:p w14:paraId="59DCDB15" w14:textId="77777777" w:rsidR="00897720" w:rsidRPr="00D93FF9" w:rsidRDefault="00897720" w:rsidP="00897720">
            <w:pPr>
              <w:pStyle w:val="BodyText"/>
              <w:spacing w:before="0" w:after="0"/>
              <w:rPr>
                <w:rFonts w:asciiTheme="minorHAnsi" w:hAnsiTheme="minorHAnsi"/>
                <w:szCs w:val="18"/>
                <w:lang w:val="en-GB"/>
              </w:rPr>
            </w:pPr>
          </w:p>
        </w:tc>
        <w:tc>
          <w:tcPr>
            <w:tcW w:w="3150" w:type="dxa"/>
          </w:tcPr>
          <w:p w14:paraId="59DCDB16"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&gt;7</w:t>
            </w:r>
          </w:p>
        </w:tc>
        <w:tc>
          <w:tcPr>
            <w:tcW w:w="3150" w:type="dxa"/>
          </w:tcPr>
          <w:p w14:paraId="59DCDB17"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Limited fouling potential</w:t>
            </w:r>
          </w:p>
        </w:tc>
      </w:tr>
      <w:tr w:rsidR="00BE3AA8" w:rsidRPr="00D93FF9" w14:paraId="59DCDB1C" w14:textId="77777777" w:rsidTr="00B93C65">
        <w:tc>
          <w:tcPr>
            <w:tcW w:w="3150" w:type="dxa"/>
          </w:tcPr>
          <w:p w14:paraId="59DCDB19"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Log of chloride to carbonate ratio</w:t>
            </w:r>
          </w:p>
        </w:tc>
        <w:tc>
          <w:tcPr>
            <w:tcW w:w="3150" w:type="dxa"/>
          </w:tcPr>
          <w:p w14:paraId="59DCDB1A"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&lt;2</w:t>
            </w:r>
          </w:p>
        </w:tc>
        <w:tc>
          <w:tcPr>
            <w:tcW w:w="3150" w:type="dxa"/>
          </w:tcPr>
          <w:p w14:paraId="59DCDB1B" w14:textId="77777777" w:rsidR="00897720" w:rsidRPr="00D93FF9" w:rsidRDefault="00E811B8" w:rsidP="00897720">
            <w:pPr>
              <w:pStyle w:val="BodyText"/>
              <w:spacing w:before="0" w:after="0"/>
              <w:rPr>
                <w:rFonts w:asciiTheme="minorHAnsi" w:hAnsiTheme="minorHAnsi"/>
                <w:szCs w:val="18"/>
                <w:lang w:val="en-GB"/>
              </w:rPr>
            </w:pPr>
            <w:r w:rsidRPr="00D93FF9">
              <w:rPr>
                <w:rFonts w:asciiTheme="minorHAnsi" w:hAnsiTheme="minorHAnsi"/>
                <w:szCs w:val="18"/>
                <w:lang w:val="en-GB"/>
              </w:rPr>
              <w:t>Increased fouling potential</w:t>
            </w:r>
          </w:p>
        </w:tc>
      </w:tr>
    </w:tbl>
    <w:p w14:paraId="59DCDB1D" w14:textId="77777777" w:rsidR="00897720" w:rsidRPr="00D93FF9" w:rsidRDefault="00E811B8" w:rsidP="00897720">
      <w:pPr>
        <w:autoSpaceDE w:val="0"/>
        <w:autoSpaceDN w:val="0"/>
        <w:adjustRightInd w:val="0"/>
        <w:spacing w:after="0" w:line="240" w:lineRule="auto"/>
        <w:ind w:left="284"/>
        <w:rPr>
          <w:rFonts w:eastAsia="Cambria" w:cs="Arial"/>
          <w:sz w:val="16"/>
          <w:szCs w:val="16"/>
          <w:lang w:eastAsia="en-AU"/>
        </w:rPr>
      </w:pPr>
      <w:r w:rsidRPr="00D93FF9">
        <w:rPr>
          <w:rFonts w:eastAsia="Cambria" w:cs="Arial"/>
          <w:sz w:val="16"/>
          <w:szCs w:val="16"/>
          <w:lang w:eastAsia="en-AU"/>
        </w:rPr>
        <w:lastRenderedPageBreak/>
        <w:t>a For surface waters, pH range 7 to 9</w:t>
      </w:r>
    </w:p>
    <w:p w14:paraId="59DCDB1E" w14:textId="77777777" w:rsidR="00897720" w:rsidRPr="00D93FF9" w:rsidRDefault="00E811B8" w:rsidP="00897720">
      <w:pPr>
        <w:pStyle w:val="BodyText"/>
        <w:spacing w:before="9"/>
        <w:ind w:left="284"/>
        <w:rPr>
          <w:sz w:val="16"/>
          <w:szCs w:val="16"/>
          <w:lang w:val="en-GB"/>
        </w:rPr>
      </w:pPr>
      <w:r w:rsidRPr="00D93FF9">
        <w:rPr>
          <w:rFonts w:eastAsia="Cambria" w:cs="Arial"/>
          <w:sz w:val="16"/>
          <w:szCs w:val="16"/>
          <w:lang w:eastAsia="en-AU"/>
        </w:rPr>
        <w:t>b For surface waters, pH &gt;9</w:t>
      </w:r>
    </w:p>
    <w:p w14:paraId="59DCDB1F" w14:textId="77777777" w:rsidR="00897720" w:rsidRPr="00D93FF9" w:rsidRDefault="00897720" w:rsidP="003807A1">
      <w:pPr>
        <w:spacing w:after="0" w:line="283" w:lineRule="auto"/>
        <w:rPr>
          <w:rFonts w:ascii="Arial"/>
          <w:sz w:val="18"/>
          <w:lang w:val="en-GB"/>
        </w:rPr>
      </w:pPr>
    </w:p>
    <w:p w14:paraId="59DCDB20" w14:textId="77777777" w:rsidR="00C46175" w:rsidRPr="00D93FF9" w:rsidRDefault="00E811B8" w:rsidP="00897720">
      <w:pPr>
        <w:spacing w:after="0"/>
        <w:rPr>
          <w:lang w:val="en-GB"/>
        </w:rPr>
      </w:pPr>
      <w:r w:rsidRPr="00D93FF9">
        <w:rPr>
          <w:lang w:val="en-GB"/>
        </w:rPr>
        <w:t xml:space="preserve">Fouling of </w:t>
      </w:r>
      <w:r w:rsidRPr="00D93FF9">
        <w:rPr>
          <w:spacing w:val="-3"/>
          <w:lang w:val="en-GB"/>
        </w:rPr>
        <w:t xml:space="preserve">agricultural </w:t>
      </w:r>
      <w:r w:rsidRPr="00D93FF9">
        <w:rPr>
          <w:lang w:val="en-GB"/>
        </w:rPr>
        <w:t xml:space="preserve">water </w:t>
      </w:r>
      <w:r w:rsidRPr="00D93FF9">
        <w:rPr>
          <w:spacing w:val="-3"/>
          <w:lang w:val="en-GB"/>
        </w:rPr>
        <w:t xml:space="preserve">systems </w:t>
      </w:r>
      <w:r w:rsidRPr="00D93FF9">
        <w:rPr>
          <w:lang w:val="en-GB"/>
        </w:rPr>
        <w:t xml:space="preserve">can lead to decreased water quality and </w:t>
      </w:r>
      <w:r w:rsidRPr="00D93FF9">
        <w:rPr>
          <w:spacing w:val="-3"/>
          <w:lang w:val="en-GB"/>
        </w:rPr>
        <w:t xml:space="preserve">yield </w:t>
      </w:r>
      <w:r w:rsidRPr="00D93FF9">
        <w:rPr>
          <w:lang w:val="en-GB"/>
        </w:rPr>
        <w:t xml:space="preserve">as a result of </w:t>
      </w:r>
      <w:r w:rsidRPr="00D93FF9">
        <w:rPr>
          <w:spacing w:val="-3"/>
          <w:lang w:val="en-GB"/>
        </w:rPr>
        <w:t xml:space="preserve">clogging, </w:t>
      </w:r>
      <w:r w:rsidRPr="00D93FF9">
        <w:rPr>
          <w:lang w:val="en-GB"/>
        </w:rPr>
        <w:t xml:space="preserve">encrustation and </w:t>
      </w:r>
      <w:r w:rsidRPr="00D93FF9">
        <w:rPr>
          <w:spacing w:val="-3"/>
          <w:lang w:val="en-GB"/>
        </w:rPr>
        <w:t xml:space="preserve">scaling. </w:t>
      </w:r>
      <w:r w:rsidRPr="00D93FF9">
        <w:rPr>
          <w:spacing w:val="-2"/>
          <w:lang w:val="en-GB"/>
        </w:rPr>
        <w:t xml:space="preserve">All </w:t>
      </w:r>
      <w:r w:rsidRPr="00D93FF9">
        <w:rPr>
          <w:lang w:val="en-GB"/>
        </w:rPr>
        <w:t xml:space="preserve">parts of the </w:t>
      </w:r>
      <w:r w:rsidRPr="00D93FF9">
        <w:rPr>
          <w:spacing w:val="-3"/>
          <w:lang w:val="en-GB"/>
        </w:rPr>
        <w:t xml:space="preserve">system </w:t>
      </w:r>
      <w:r w:rsidRPr="00D93FF9">
        <w:rPr>
          <w:lang w:val="en-GB"/>
        </w:rPr>
        <w:t xml:space="preserve">can be affected including </w:t>
      </w:r>
      <w:r w:rsidRPr="00D93FF9">
        <w:rPr>
          <w:spacing w:val="-3"/>
          <w:lang w:val="en-GB"/>
        </w:rPr>
        <w:t>wells,</w:t>
      </w:r>
      <w:bookmarkStart w:id="369" w:name="Types_of_fouling"/>
      <w:bookmarkEnd w:id="369"/>
      <w:r w:rsidR="002D12D2" w:rsidRPr="00D93FF9">
        <w:rPr>
          <w:spacing w:val="-3"/>
          <w:lang w:val="en-GB"/>
        </w:rPr>
        <w:t xml:space="preserve"> </w:t>
      </w:r>
      <w:r w:rsidRPr="00D93FF9">
        <w:rPr>
          <w:lang w:val="en-GB"/>
        </w:rPr>
        <w:t>pumping equipment, pipes and sprinklers. The main causes of fouling in agricultural water distribution systems can be attributed to physical, chemical and biological properties of the water.</w:t>
      </w:r>
    </w:p>
    <w:p w14:paraId="59DCDB21" w14:textId="77777777" w:rsidR="00C46175" w:rsidRPr="00D93FF9" w:rsidRDefault="00E811B8" w:rsidP="0070761D">
      <w:pPr>
        <w:pStyle w:val="Heading4"/>
        <w:rPr>
          <w:lang w:val="en-GB"/>
        </w:rPr>
      </w:pPr>
      <w:r w:rsidRPr="00D93FF9">
        <w:rPr>
          <w:lang w:val="en-GB"/>
        </w:rPr>
        <w:t>Types of fouling</w:t>
      </w:r>
    </w:p>
    <w:p w14:paraId="59DCDB22" w14:textId="39692EC8" w:rsidR="00C46175" w:rsidRPr="00D93FF9" w:rsidRDefault="00E811B8" w:rsidP="003807A1">
      <w:pPr>
        <w:pStyle w:val="BodyText"/>
        <w:spacing w:after="0" w:line="266" w:lineRule="auto"/>
        <w:jc w:val="both"/>
        <w:rPr>
          <w:lang w:val="en-GB"/>
        </w:rPr>
      </w:pPr>
      <w:r w:rsidRPr="00D93FF9">
        <w:rPr>
          <w:lang w:val="en-GB"/>
        </w:rPr>
        <w:t>The main causes of fouling in agricultural water distribution systems are associated with water quality. Physical, chemical and biological parameters can affect the type of fouling (</w:t>
      </w:r>
      <w:r w:rsidR="00DF4E4E" w:rsidRPr="00D93FF9">
        <w:rPr>
          <w:lang w:val="en-GB"/>
        </w:rPr>
        <w:fldChar w:fldCharType="begin"/>
      </w:r>
      <w:r w:rsidR="00DF4E4E" w:rsidRPr="00D93FF9">
        <w:rPr>
          <w:lang w:val="en-GB"/>
        </w:rPr>
        <w:instrText xml:space="preserve"> REF _Ref81396038 \h </w:instrText>
      </w:r>
      <w:r w:rsidR="00D93FF9">
        <w:rPr>
          <w:lang w:val="en-GB"/>
        </w:rPr>
        <w:instrText xml:space="preserve"> \* MERGEFORMAT </w:instrText>
      </w:r>
      <w:r w:rsidR="00DF4E4E" w:rsidRPr="00D93FF9">
        <w:rPr>
          <w:lang w:val="en-GB"/>
        </w:rPr>
      </w:r>
      <w:r w:rsidR="00DF4E4E" w:rsidRPr="00D93FF9">
        <w:rPr>
          <w:lang w:val="en-GB"/>
        </w:rPr>
        <w:fldChar w:fldCharType="separate"/>
      </w:r>
      <w:r w:rsidR="0069302C" w:rsidRPr="00D93FF9">
        <w:t xml:space="preserve">Table </w:t>
      </w:r>
      <w:r w:rsidR="0069302C">
        <w:rPr>
          <w:noProof/>
        </w:rPr>
        <w:t>36</w:t>
      </w:r>
      <w:r w:rsidR="00DF4E4E" w:rsidRPr="00D93FF9">
        <w:rPr>
          <w:lang w:val="en-GB"/>
        </w:rPr>
        <w:fldChar w:fldCharType="end"/>
      </w:r>
      <w:r w:rsidRPr="00D93FF9">
        <w:rPr>
          <w:lang w:val="en-GB"/>
        </w:rPr>
        <w:t xml:space="preserve">), which is also influenced to some extent by the materials used in construction. </w:t>
      </w:r>
    </w:p>
    <w:p w14:paraId="59DCDB23" w14:textId="77777777" w:rsidR="00C46175" w:rsidRPr="00D93FF9" w:rsidRDefault="00C46175" w:rsidP="003807A1">
      <w:pPr>
        <w:pStyle w:val="BodyText"/>
        <w:spacing w:after="0"/>
        <w:rPr>
          <w:sz w:val="21"/>
          <w:lang w:val="en-GB"/>
        </w:rPr>
      </w:pPr>
    </w:p>
    <w:p w14:paraId="59DCDB24" w14:textId="5E53D2A2" w:rsidR="00C46175" w:rsidRPr="00D93FF9" w:rsidRDefault="00DF4E4E" w:rsidP="00DF4E4E">
      <w:pPr>
        <w:pStyle w:val="Caption"/>
        <w:rPr>
          <w:rFonts w:ascii="Arial"/>
          <w:sz w:val="18"/>
          <w:lang w:val="en-GB"/>
        </w:rPr>
      </w:pPr>
      <w:bookmarkStart w:id="370" w:name="_Ref81396038"/>
      <w:bookmarkStart w:id="371" w:name="_Toc96518250"/>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36</w:t>
      </w:r>
      <w:r w:rsidR="00477102" w:rsidRPr="00D93FF9">
        <w:fldChar w:fldCharType="end"/>
      </w:r>
      <w:bookmarkEnd w:id="370"/>
      <w:r w:rsidRPr="00D93FF9">
        <w:t xml:space="preserve"> </w:t>
      </w:r>
      <w:bookmarkStart w:id="372" w:name="_Hlk153812872"/>
      <w:r w:rsidR="00E90CE0" w:rsidRPr="00D93FF9">
        <w:rPr>
          <w:rFonts w:ascii="Arial"/>
          <w:sz w:val="18"/>
          <w:lang w:val="en-GB"/>
        </w:rPr>
        <w:t>Principal causes of fouling in agricultural water distribution systems</w:t>
      </w:r>
      <w:bookmarkEnd w:id="371"/>
      <w:bookmarkEnd w:id="37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Principal causes of fouling in agricultural water distribution systems"/>
        <w:tblDescription w:val="Provides a description of the physical, chemical, and biological causes of fouling that may occur in agricultural water distribution systems."/>
      </w:tblPr>
      <w:tblGrid>
        <w:gridCol w:w="1696"/>
        <w:gridCol w:w="7314"/>
      </w:tblGrid>
      <w:tr w:rsidR="00BE3AA8" w:rsidRPr="00D93FF9" w14:paraId="59DCDB27" w14:textId="77777777" w:rsidTr="009B208B">
        <w:tc>
          <w:tcPr>
            <w:tcW w:w="1696" w:type="dxa"/>
            <w:tcBorders>
              <w:top w:val="single" w:sz="4" w:space="0" w:color="auto"/>
              <w:bottom w:val="single" w:sz="4" w:space="0" w:color="auto"/>
            </w:tcBorders>
          </w:tcPr>
          <w:p w14:paraId="59DCDB25" w14:textId="77777777" w:rsidR="00F63E38" w:rsidRPr="00D93FF9" w:rsidRDefault="00E811B8" w:rsidP="003807A1">
            <w:pPr>
              <w:spacing w:after="0"/>
              <w:jc w:val="both"/>
              <w:rPr>
                <w:rFonts w:asciiTheme="minorHAnsi" w:hAnsiTheme="minorHAnsi"/>
                <w:b/>
                <w:bCs/>
                <w:szCs w:val="18"/>
                <w:lang w:val="en-GB"/>
              </w:rPr>
            </w:pPr>
            <w:r w:rsidRPr="00D93FF9">
              <w:rPr>
                <w:rFonts w:asciiTheme="minorHAnsi" w:hAnsiTheme="minorHAnsi"/>
                <w:b/>
                <w:bCs/>
                <w:szCs w:val="18"/>
                <w:lang w:val="en-GB"/>
              </w:rPr>
              <w:t>Parameter</w:t>
            </w:r>
          </w:p>
        </w:tc>
        <w:tc>
          <w:tcPr>
            <w:tcW w:w="7314" w:type="dxa"/>
            <w:tcBorders>
              <w:top w:val="single" w:sz="4" w:space="0" w:color="auto"/>
              <w:bottom w:val="single" w:sz="4" w:space="0" w:color="auto"/>
            </w:tcBorders>
          </w:tcPr>
          <w:p w14:paraId="59DCDB26" w14:textId="77777777" w:rsidR="00F63E38" w:rsidRPr="00D93FF9" w:rsidRDefault="00E811B8" w:rsidP="003807A1">
            <w:pPr>
              <w:spacing w:after="0"/>
              <w:jc w:val="both"/>
              <w:rPr>
                <w:rFonts w:asciiTheme="minorHAnsi" w:hAnsiTheme="minorHAnsi"/>
                <w:b/>
                <w:bCs/>
                <w:szCs w:val="18"/>
                <w:lang w:val="en-GB"/>
              </w:rPr>
            </w:pPr>
            <w:r w:rsidRPr="00D93FF9">
              <w:rPr>
                <w:rFonts w:asciiTheme="minorHAnsi" w:hAnsiTheme="minorHAnsi"/>
                <w:b/>
                <w:bCs/>
                <w:szCs w:val="18"/>
                <w:lang w:val="en-GB"/>
              </w:rPr>
              <w:t>Description</w:t>
            </w:r>
          </w:p>
        </w:tc>
      </w:tr>
      <w:tr w:rsidR="00BE3AA8" w:rsidRPr="00D93FF9" w14:paraId="59DCDB2A" w14:textId="77777777" w:rsidTr="009B208B">
        <w:tc>
          <w:tcPr>
            <w:tcW w:w="1696" w:type="dxa"/>
            <w:tcBorders>
              <w:top w:val="single" w:sz="4" w:space="0" w:color="auto"/>
            </w:tcBorders>
          </w:tcPr>
          <w:p w14:paraId="59DCDB28" w14:textId="77777777" w:rsidR="00F63E38" w:rsidRPr="00D93FF9" w:rsidRDefault="00E811B8" w:rsidP="003807A1">
            <w:pPr>
              <w:spacing w:after="0"/>
              <w:jc w:val="both"/>
              <w:rPr>
                <w:rFonts w:asciiTheme="minorHAnsi" w:hAnsiTheme="minorHAnsi"/>
                <w:szCs w:val="18"/>
                <w:lang w:val="en-GB"/>
              </w:rPr>
            </w:pPr>
            <w:r w:rsidRPr="00D93FF9">
              <w:rPr>
                <w:rFonts w:asciiTheme="minorHAnsi" w:hAnsiTheme="minorHAnsi"/>
                <w:szCs w:val="18"/>
                <w:lang w:val="en-GB"/>
              </w:rPr>
              <w:t>Physical</w:t>
            </w:r>
          </w:p>
        </w:tc>
        <w:tc>
          <w:tcPr>
            <w:tcW w:w="7314" w:type="dxa"/>
            <w:tcBorders>
              <w:top w:val="single" w:sz="4" w:space="0" w:color="auto"/>
            </w:tcBorders>
          </w:tcPr>
          <w:p w14:paraId="59DCDB29" w14:textId="77777777" w:rsidR="00F63E38" w:rsidRPr="00D93FF9" w:rsidRDefault="00E811B8" w:rsidP="003807A1">
            <w:pPr>
              <w:spacing w:after="0"/>
              <w:jc w:val="both"/>
              <w:rPr>
                <w:rFonts w:asciiTheme="minorHAnsi" w:hAnsiTheme="minorHAnsi"/>
                <w:szCs w:val="18"/>
                <w:lang w:val="en-GB"/>
              </w:rPr>
            </w:pPr>
            <w:r w:rsidRPr="00D93FF9">
              <w:rPr>
                <w:rFonts w:asciiTheme="minorHAnsi" w:hAnsiTheme="minorHAnsi"/>
                <w:szCs w:val="18"/>
                <w:lang w:val="en-GB"/>
              </w:rPr>
              <w:t>Accumulation of sand, silt, clay and organic matter causing clogging</w:t>
            </w:r>
          </w:p>
        </w:tc>
      </w:tr>
      <w:tr w:rsidR="00BE3AA8" w:rsidRPr="00D93FF9" w14:paraId="59DCDB2D" w14:textId="77777777" w:rsidTr="009B208B">
        <w:tc>
          <w:tcPr>
            <w:tcW w:w="1696" w:type="dxa"/>
          </w:tcPr>
          <w:p w14:paraId="59DCDB2B" w14:textId="77777777" w:rsidR="00F63E38" w:rsidRPr="00D93FF9" w:rsidRDefault="00E811B8" w:rsidP="003807A1">
            <w:pPr>
              <w:spacing w:after="0"/>
              <w:jc w:val="both"/>
              <w:rPr>
                <w:rFonts w:asciiTheme="minorHAnsi" w:hAnsiTheme="minorHAnsi"/>
                <w:szCs w:val="18"/>
                <w:lang w:val="en-GB"/>
              </w:rPr>
            </w:pPr>
            <w:r w:rsidRPr="00D93FF9">
              <w:rPr>
                <w:rFonts w:asciiTheme="minorHAnsi" w:hAnsiTheme="minorHAnsi"/>
                <w:szCs w:val="18"/>
                <w:lang w:val="en-GB"/>
              </w:rPr>
              <w:t>Chemical</w:t>
            </w:r>
          </w:p>
        </w:tc>
        <w:tc>
          <w:tcPr>
            <w:tcW w:w="7314" w:type="dxa"/>
          </w:tcPr>
          <w:p w14:paraId="59DCDB2C" w14:textId="77777777" w:rsidR="00F63E38" w:rsidRPr="00D93FF9" w:rsidRDefault="00E811B8" w:rsidP="003807A1">
            <w:pPr>
              <w:spacing w:after="0"/>
              <w:jc w:val="both"/>
              <w:rPr>
                <w:rFonts w:asciiTheme="minorHAnsi" w:hAnsiTheme="minorHAnsi"/>
                <w:szCs w:val="18"/>
                <w:lang w:val="en-GB"/>
              </w:rPr>
            </w:pPr>
            <w:r w:rsidRPr="00D93FF9">
              <w:rPr>
                <w:rFonts w:asciiTheme="minorHAnsi" w:hAnsiTheme="minorHAnsi"/>
                <w:szCs w:val="18"/>
                <w:lang w:val="en-GB"/>
              </w:rPr>
              <w:t>Precipitation of chemical compounds (e.g. calcium carbonate, iron compounds) causing encrustation and scaling</w:t>
            </w:r>
          </w:p>
        </w:tc>
      </w:tr>
      <w:tr w:rsidR="00BE3AA8" w:rsidRPr="00D93FF9" w14:paraId="59DCDB30" w14:textId="77777777" w:rsidTr="009B208B">
        <w:tc>
          <w:tcPr>
            <w:tcW w:w="1696" w:type="dxa"/>
          </w:tcPr>
          <w:p w14:paraId="59DCDB2E" w14:textId="77777777" w:rsidR="00F63E38" w:rsidRPr="00D93FF9" w:rsidRDefault="00E811B8" w:rsidP="003807A1">
            <w:pPr>
              <w:spacing w:after="0"/>
              <w:jc w:val="both"/>
              <w:rPr>
                <w:rFonts w:asciiTheme="minorHAnsi" w:hAnsiTheme="minorHAnsi"/>
                <w:szCs w:val="18"/>
                <w:lang w:val="en-GB"/>
              </w:rPr>
            </w:pPr>
            <w:r w:rsidRPr="00D93FF9">
              <w:rPr>
                <w:rFonts w:asciiTheme="minorHAnsi" w:hAnsiTheme="minorHAnsi"/>
                <w:szCs w:val="18"/>
                <w:lang w:val="en-GB"/>
              </w:rPr>
              <w:t>Biological</w:t>
            </w:r>
          </w:p>
        </w:tc>
        <w:tc>
          <w:tcPr>
            <w:tcW w:w="7314" w:type="dxa"/>
          </w:tcPr>
          <w:p w14:paraId="59DCDB2F" w14:textId="77777777" w:rsidR="00F63E38" w:rsidRPr="00D93FF9" w:rsidRDefault="00E811B8" w:rsidP="003807A1">
            <w:pPr>
              <w:spacing w:after="0"/>
              <w:jc w:val="both"/>
              <w:rPr>
                <w:rFonts w:asciiTheme="minorHAnsi" w:hAnsiTheme="minorHAnsi"/>
                <w:szCs w:val="18"/>
                <w:lang w:val="en-GB"/>
              </w:rPr>
            </w:pPr>
            <w:r w:rsidRPr="00D93FF9">
              <w:rPr>
                <w:rFonts w:asciiTheme="minorHAnsi" w:hAnsiTheme="minorHAnsi"/>
                <w:szCs w:val="18"/>
                <w:lang w:val="en-GB"/>
              </w:rPr>
              <w:t>Encrustation or scaling formed as a result of build-up of microbial populations or precipitation of chemical compounds forming a</w:t>
            </w:r>
            <w:r w:rsidRPr="00D93FF9">
              <w:rPr>
                <w:rFonts w:asciiTheme="minorHAnsi" w:hAnsiTheme="minorHAnsi"/>
                <w:spacing w:val="5"/>
                <w:szCs w:val="18"/>
                <w:lang w:val="en-GB"/>
              </w:rPr>
              <w:t xml:space="preserve"> </w:t>
            </w:r>
            <w:r w:rsidRPr="00D93FF9">
              <w:rPr>
                <w:rFonts w:asciiTheme="minorHAnsi" w:hAnsiTheme="minorHAnsi"/>
                <w:szCs w:val="18"/>
                <w:lang w:val="en-GB"/>
              </w:rPr>
              <w:t>biofilm</w:t>
            </w:r>
          </w:p>
        </w:tc>
      </w:tr>
    </w:tbl>
    <w:p w14:paraId="59DCDB31" w14:textId="77777777" w:rsidR="003E1811" w:rsidRPr="00D93FF9" w:rsidRDefault="003E1811" w:rsidP="003807A1">
      <w:pPr>
        <w:spacing w:after="0"/>
        <w:jc w:val="both"/>
        <w:rPr>
          <w:rFonts w:ascii="Arial"/>
          <w:sz w:val="18"/>
          <w:lang w:val="en-GB"/>
        </w:rPr>
      </w:pPr>
    </w:p>
    <w:p w14:paraId="59DCDB32" w14:textId="63E71077" w:rsidR="006A107D" w:rsidRPr="00D93FF9" w:rsidRDefault="00E811B8" w:rsidP="003807A1">
      <w:pPr>
        <w:pStyle w:val="BodyText"/>
        <w:spacing w:after="0" w:line="266" w:lineRule="auto"/>
        <w:jc w:val="both"/>
        <w:rPr>
          <w:lang w:val="en-GB"/>
        </w:rPr>
      </w:pPr>
      <w:r w:rsidRPr="00D93FF9">
        <w:rPr>
          <w:lang w:val="en-GB"/>
        </w:rPr>
        <w:t>Of particular concern is the effect of fouling in localised (drip) irrigation systems, which deliver water to the crop at a low flow rate and have a tendency to become easily clogged</w:t>
      </w:r>
      <w:r w:rsidR="000055E9" w:rsidRPr="00D93FF9">
        <w:rPr>
          <w:lang w:val="en-GB"/>
        </w:rPr>
        <w:t xml:space="preserve"> (</w:t>
      </w:r>
      <w:r w:rsidR="00DF4E4E" w:rsidRPr="00D93FF9">
        <w:rPr>
          <w:lang w:val="en-GB"/>
        </w:rPr>
        <w:fldChar w:fldCharType="begin"/>
      </w:r>
      <w:r w:rsidR="00DF4E4E" w:rsidRPr="00D93FF9">
        <w:rPr>
          <w:lang w:val="en-GB"/>
        </w:rPr>
        <w:instrText xml:space="preserve"> REF _Ref81396064 \h </w:instrText>
      </w:r>
      <w:r w:rsidR="00D93FF9">
        <w:rPr>
          <w:lang w:val="en-GB"/>
        </w:rPr>
        <w:instrText xml:space="preserve"> \* MERGEFORMAT </w:instrText>
      </w:r>
      <w:r w:rsidR="00DF4E4E" w:rsidRPr="00D93FF9">
        <w:rPr>
          <w:lang w:val="en-GB"/>
        </w:rPr>
      </w:r>
      <w:r w:rsidR="00DF4E4E" w:rsidRPr="00D93FF9">
        <w:rPr>
          <w:lang w:val="en-GB"/>
        </w:rPr>
        <w:fldChar w:fldCharType="separate"/>
      </w:r>
      <w:r w:rsidR="0069302C" w:rsidRPr="00D93FF9">
        <w:t xml:space="preserve">Table </w:t>
      </w:r>
      <w:r w:rsidR="0069302C">
        <w:rPr>
          <w:noProof/>
        </w:rPr>
        <w:t>37</w:t>
      </w:r>
      <w:r w:rsidR="00DF4E4E" w:rsidRPr="00D93FF9">
        <w:rPr>
          <w:lang w:val="en-GB"/>
        </w:rPr>
        <w:fldChar w:fldCharType="end"/>
      </w:r>
      <w:r w:rsidR="000055E9" w:rsidRPr="00D93FF9">
        <w:rPr>
          <w:lang w:val="en-GB"/>
        </w:rPr>
        <w:t>)</w:t>
      </w:r>
      <w:r w:rsidRPr="00D93FF9">
        <w:rPr>
          <w:lang w:val="en-GB"/>
        </w:rPr>
        <w:t xml:space="preserve">. </w:t>
      </w:r>
    </w:p>
    <w:p w14:paraId="59DCDB33" w14:textId="77777777" w:rsidR="006A107D" w:rsidRPr="00D93FF9" w:rsidRDefault="006A107D" w:rsidP="003807A1">
      <w:pPr>
        <w:pStyle w:val="BodyText"/>
        <w:spacing w:after="0"/>
        <w:rPr>
          <w:rFonts w:ascii="Arial"/>
          <w:sz w:val="19"/>
          <w:lang w:val="en-GB"/>
        </w:rPr>
      </w:pPr>
    </w:p>
    <w:p w14:paraId="59DCDB34" w14:textId="786E6BF0" w:rsidR="00225F4A" w:rsidRPr="00D93FF9" w:rsidRDefault="00DF4E4E" w:rsidP="00DF4E4E">
      <w:pPr>
        <w:pStyle w:val="Caption"/>
        <w:rPr>
          <w:rFonts w:ascii="Arial"/>
          <w:sz w:val="19"/>
          <w:lang w:val="en-GB"/>
        </w:rPr>
      </w:pPr>
      <w:bookmarkStart w:id="373" w:name="_Ref81396064"/>
      <w:bookmarkStart w:id="374" w:name="_Toc96518251"/>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37</w:t>
      </w:r>
      <w:r w:rsidR="00477102" w:rsidRPr="00D93FF9">
        <w:fldChar w:fldCharType="end"/>
      </w:r>
      <w:bookmarkEnd w:id="373"/>
      <w:r w:rsidRPr="00D93FF9">
        <w:t xml:space="preserve"> </w:t>
      </w:r>
      <w:bookmarkStart w:id="375" w:name="_Hlk153812879"/>
      <w:r w:rsidR="000D4F75" w:rsidRPr="00D93FF9">
        <w:rPr>
          <w:rFonts w:ascii="Arial"/>
          <w:sz w:val="19"/>
          <w:lang w:val="en-GB"/>
        </w:rPr>
        <w:t>Water quality parameters relative to the potential for drip emitter clogging</w:t>
      </w:r>
      <w:bookmarkEnd w:id="374"/>
      <w:bookmarkEnd w:id="375"/>
    </w:p>
    <w:tbl>
      <w:tblPr>
        <w:tblStyle w:val="ListTable6ColourfulAccent21"/>
        <w:tblW w:w="5000" w:type="pct"/>
        <w:tblBorders>
          <w:bottom w:val="none" w:sz="0" w:space="0" w:color="auto"/>
        </w:tblBorders>
        <w:tblLayout w:type="fixed"/>
        <w:tblLook w:val="04A0" w:firstRow="1" w:lastRow="0" w:firstColumn="1" w:lastColumn="0" w:noHBand="0" w:noVBand="1"/>
        <w:tblCaption w:val="Water quality parameters relative to the potential for drip emitter clogging"/>
        <w:tblDescription w:val="A list of water quality parameters and their default impact rating for risk of clogging emitters."/>
      </w:tblPr>
      <w:tblGrid>
        <w:gridCol w:w="1504"/>
        <w:gridCol w:w="1504"/>
        <w:gridCol w:w="1503"/>
        <w:gridCol w:w="1503"/>
        <w:gridCol w:w="1503"/>
        <w:gridCol w:w="1503"/>
      </w:tblGrid>
      <w:tr w:rsidR="00BE3AA8" w:rsidRPr="00D93FF9" w14:paraId="59DCDB39" w14:textId="77777777" w:rsidTr="00556B9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4" w:space="0" w:color="auto"/>
            </w:tcBorders>
            <w:noWrap/>
            <w:hideMark/>
          </w:tcPr>
          <w:p w14:paraId="59DCDB35" w14:textId="77777777" w:rsidR="00225F4A" w:rsidRPr="00D93FF9" w:rsidRDefault="00E811B8" w:rsidP="006D24CE">
            <w:pPr>
              <w:pStyle w:val="TableText"/>
              <w:spacing w:before="0" w:after="0"/>
              <w:rPr>
                <w:b w:val="0"/>
                <w:bCs w:val="0"/>
                <w:sz w:val="20"/>
              </w:rPr>
            </w:pPr>
            <w:r w:rsidRPr="00D93FF9">
              <w:rPr>
                <w:rFonts w:asciiTheme="minorHAnsi" w:hAnsiTheme="minorHAnsi"/>
                <w:sz w:val="20"/>
              </w:rPr>
              <w:t>Water quality parameter</w:t>
            </w:r>
          </w:p>
        </w:tc>
        <w:tc>
          <w:tcPr>
            <w:tcW w:w="0" w:type="pct"/>
            <w:vMerge w:val="restart"/>
            <w:tcBorders>
              <w:top w:val="single" w:sz="4" w:space="0" w:color="auto"/>
            </w:tcBorders>
            <w:noWrap/>
            <w:hideMark/>
          </w:tcPr>
          <w:p w14:paraId="59DCDB36" w14:textId="77777777" w:rsidR="00225F4A" w:rsidRPr="00D93FF9" w:rsidRDefault="00E811B8" w:rsidP="006D24CE">
            <w:pPr>
              <w:pStyle w:val="TableText"/>
              <w:spacing w:before="0" w:after="0"/>
              <w:cnfStyle w:val="100000000000" w:firstRow="1" w:lastRow="0" w:firstColumn="0" w:lastColumn="0" w:oddVBand="0" w:evenVBand="0" w:oddHBand="0" w:evenHBand="0" w:firstRowFirstColumn="0" w:firstRowLastColumn="0" w:lastRowFirstColumn="0" w:lastRowLastColumn="0"/>
              <w:rPr>
                <w:b w:val="0"/>
                <w:bCs w:val="0"/>
                <w:color w:val="auto"/>
                <w:sz w:val="20"/>
              </w:rPr>
            </w:pPr>
            <w:r w:rsidRPr="00D93FF9">
              <w:rPr>
                <w:color w:val="auto"/>
                <w:sz w:val="20"/>
              </w:rPr>
              <w:t>Symbol</w:t>
            </w:r>
          </w:p>
        </w:tc>
        <w:tc>
          <w:tcPr>
            <w:tcW w:w="0" w:type="pct"/>
            <w:vMerge w:val="restart"/>
            <w:tcBorders>
              <w:top w:val="single" w:sz="4" w:space="0" w:color="auto"/>
            </w:tcBorders>
            <w:noWrap/>
            <w:hideMark/>
          </w:tcPr>
          <w:p w14:paraId="59DCDB37" w14:textId="77777777" w:rsidR="00225F4A" w:rsidRPr="00D93FF9" w:rsidRDefault="00E811B8" w:rsidP="006D24CE">
            <w:pPr>
              <w:pStyle w:val="TableText"/>
              <w:spacing w:before="0" w:after="0"/>
              <w:cnfStyle w:val="100000000000" w:firstRow="1" w:lastRow="0" w:firstColumn="0" w:lastColumn="0" w:oddVBand="0" w:evenVBand="0" w:oddHBand="0" w:evenHBand="0" w:firstRowFirstColumn="0" w:firstRowLastColumn="0" w:lastRowFirstColumn="0" w:lastRowLastColumn="0"/>
              <w:rPr>
                <w:b w:val="0"/>
                <w:bCs w:val="0"/>
                <w:color w:val="auto"/>
                <w:sz w:val="20"/>
              </w:rPr>
            </w:pPr>
            <w:r w:rsidRPr="00D93FF9">
              <w:rPr>
                <w:color w:val="auto"/>
                <w:sz w:val="20"/>
              </w:rPr>
              <w:t>Unit</w:t>
            </w:r>
          </w:p>
        </w:tc>
        <w:tc>
          <w:tcPr>
            <w:tcW w:w="0" w:type="pct"/>
            <w:gridSpan w:val="3"/>
            <w:tcBorders>
              <w:top w:val="single" w:sz="4" w:space="0" w:color="auto"/>
              <w:bottom w:val="none" w:sz="0" w:space="0" w:color="auto"/>
            </w:tcBorders>
            <w:noWrap/>
            <w:vAlign w:val="center"/>
            <w:hideMark/>
          </w:tcPr>
          <w:p w14:paraId="59DCDB38" w14:textId="77777777" w:rsidR="00225F4A" w:rsidRPr="00D93FF9" w:rsidRDefault="00E811B8" w:rsidP="00556B91">
            <w:pPr>
              <w:pStyle w:val="TableText"/>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auto"/>
                <w:sz w:val="20"/>
              </w:rPr>
            </w:pPr>
            <w:r w:rsidRPr="00D93FF9">
              <w:rPr>
                <w:color w:val="auto"/>
                <w:sz w:val="20"/>
              </w:rPr>
              <w:t>Default impact rating for risk of clogging emitters</w:t>
            </w:r>
          </w:p>
        </w:tc>
      </w:tr>
      <w:tr w:rsidR="00BE3AA8" w:rsidRPr="00D93FF9" w14:paraId="59DCDB40" w14:textId="77777777" w:rsidTr="00556B9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pct"/>
            <w:vMerge/>
            <w:tcBorders>
              <w:top w:val="single" w:sz="24" w:space="0" w:color="76923C" w:themeColor="accent3" w:themeShade="BF"/>
              <w:bottom w:val="single" w:sz="4" w:space="0" w:color="auto"/>
            </w:tcBorders>
            <w:hideMark/>
          </w:tcPr>
          <w:p w14:paraId="59DCDB3A" w14:textId="77777777" w:rsidR="00225F4A" w:rsidRPr="00D93FF9" w:rsidRDefault="00225F4A" w:rsidP="006D24CE">
            <w:pPr>
              <w:pStyle w:val="TableText"/>
              <w:spacing w:before="0" w:after="0"/>
              <w:rPr>
                <w:b/>
                <w:bCs w:val="0"/>
                <w:sz w:val="20"/>
              </w:rPr>
            </w:pPr>
          </w:p>
        </w:tc>
        <w:tc>
          <w:tcPr>
            <w:tcW w:w="0" w:type="pct"/>
            <w:vMerge/>
            <w:tcBorders>
              <w:top w:val="single" w:sz="24" w:space="0" w:color="76923C" w:themeColor="accent3" w:themeShade="BF"/>
              <w:bottom w:val="single" w:sz="4" w:space="0" w:color="auto"/>
            </w:tcBorders>
            <w:hideMark/>
          </w:tcPr>
          <w:p w14:paraId="59DCDB3B" w14:textId="77777777" w:rsidR="00225F4A" w:rsidRPr="00D93FF9" w:rsidRDefault="00225F4A"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b/>
                <w:bCs/>
                <w:color w:val="auto"/>
                <w:sz w:val="20"/>
              </w:rPr>
            </w:pPr>
          </w:p>
        </w:tc>
        <w:tc>
          <w:tcPr>
            <w:tcW w:w="0" w:type="pct"/>
            <w:vMerge/>
            <w:tcBorders>
              <w:top w:val="single" w:sz="24" w:space="0" w:color="76923C" w:themeColor="accent3" w:themeShade="BF"/>
              <w:bottom w:val="single" w:sz="4" w:space="0" w:color="auto"/>
            </w:tcBorders>
            <w:hideMark/>
          </w:tcPr>
          <w:p w14:paraId="59DCDB3C" w14:textId="77777777" w:rsidR="00225F4A" w:rsidRPr="00D93FF9" w:rsidRDefault="00225F4A"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b/>
                <w:bCs/>
                <w:color w:val="auto"/>
                <w:sz w:val="20"/>
              </w:rPr>
            </w:pPr>
          </w:p>
        </w:tc>
        <w:tc>
          <w:tcPr>
            <w:tcW w:w="0" w:type="pct"/>
            <w:tcBorders>
              <w:top w:val="none" w:sz="0" w:space="0" w:color="auto"/>
              <w:bottom w:val="single" w:sz="4" w:space="0" w:color="auto"/>
            </w:tcBorders>
            <w:noWrap/>
            <w:hideMark/>
          </w:tcPr>
          <w:p w14:paraId="59DCDB3D"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b/>
                <w:bCs/>
                <w:color w:val="auto"/>
                <w:sz w:val="20"/>
              </w:rPr>
            </w:pPr>
            <w:r w:rsidRPr="00D93FF9">
              <w:rPr>
                <w:color w:val="auto"/>
                <w:sz w:val="20"/>
              </w:rPr>
              <w:t>Insignificant</w:t>
            </w:r>
          </w:p>
        </w:tc>
        <w:tc>
          <w:tcPr>
            <w:tcW w:w="0" w:type="pct"/>
            <w:tcBorders>
              <w:top w:val="none" w:sz="0" w:space="0" w:color="auto"/>
              <w:bottom w:val="single" w:sz="4" w:space="0" w:color="auto"/>
            </w:tcBorders>
            <w:noWrap/>
            <w:hideMark/>
          </w:tcPr>
          <w:p w14:paraId="59DCDB3E"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b/>
                <w:bCs/>
                <w:color w:val="auto"/>
                <w:sz w:val="20"/>
              </w:rPr>
            </w:pPr>
            <w:r w:rsidRPr="00D93FF9">
              <w:rPr>
                <w:color w:val="auto"/>
                <w:sz w:val="20"/>
              </w:rPr>
              <w:t>Minor</w:t>
            </w:r>
          </w:p>
        </w:tc>
        <w:tc>
          <w:tcPr>
            <w:tcW w:w="0" w:type="pct"/>
            <w:tcBorders>
              <w:top w:val="none" w:sz="0" w:space="0" w:color="auto"/>
              <w:bottom w:val="single" w:sz="4" w:space="0" w:color="auto"/>
            </w:tcBorders>
            <w:noWrap/>
            <w:hideMark/>
          </w:tcPr>
          <w:p w14:paraId="59DCDB3F"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b/>
                <w:bCs/>
                <w:color w:val="auto"/>
                <w:sz w:val="20"/>
              </w:rPr>
            </w:pPr>
            <w:r w:rsidRPr="00D93FF9">
              <w:rPr>
                <w:color w:val="auto"/>
                <w:sz w:val="20"/>
              </w:rPr>
              <w:t>Moderate to high</w:t>
            </w:r>
          </w:p>
        </w:tc>
      </w:tr>
      <w:tr w:rsidR="00BE3AA8" w:rsidRPr="00D93FF9" w14:paraId="59DCDB47" w14:textId="77777777" w:rsidTr="00556B91">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noWrap/>
            <w:hideMark/>
          </w:tcPr>
          <w:p w14:paraId="59DCDB41" w14:textId="77777777" w:rsidR="00225F4A" w:rsidRPr="00D93FF9" w:rsidRDefault="00E811B8" w:rsidP="006D24CE">
            <w:pPr>
              <w:pStyle w:val="TableText"/>
              <w:spacing w:before="0" w:after="0"/>
              <w:rPr>
                <w:bCs w:val="0"/>
                <w:sz w:val="20"/>
              </w:rPr>
            </w:pPr>
            <w:r w:rsidRPr="00D93FF9">
              <w:rPr>
                <w:rFonts w:asciiTheme="minorHAnsi" w:hAnsiTheme="minorHAnsi"/>
                <w:sz w:val="20"/>
              </w:rPr>
              <w:t>Total suspended solids (includes algae)</w:t>
            </w:r>
          </w:p>
        </w:tc>
        <w:tc>
          <w:tcPr>
            <w:tcW w:w="0" w:type="pct"/>
            <w:tcBorders>
              <w:top w:val="single" w:sz="4" w:space="0" w:color="auto"/>
            </w:tcBorders>
            <w:noWrap/>
            <w:hideMark/>
          </w:tcPr>
          <w:p w14:paraId="59DCDB42"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TSS</w:t>
            </w:r>
          </w:p>
        </w:tc>
        <w:tc>
          <w:tcPr>
            <w:tcW w:w="0" w:type="pct"/>
            <w:tcBorders>
              <w:top w:val="single" w:sz="4" w:space="0" w:color="auto"/>
            </w:tcBorders>
            <w:noWrap/>
            <w:hideMark/>
          </w:tcPr>
          <w:p w14:paraId="59DCDB43"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mg/L</w:t>
            </w:r>
          </w:p>
        </w:tc>
        <w:tc>
          <w:tcPr>
            <w:tcW w:w="0" w:type="pct"/>
            <w:tcBorders>
              <w:top w:val="single" w:sz="4" w:space="0" w:color="auto"/>
            </w:tcBorders>
            <w:noWrap/>
            <w:hideMark/>
          </w:tcPr>
          <w:p w14:paraId="59DCDB44"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&lt;50</w:t>
            </w:r>
          </w:p>
        </w:tc>
        <w:tc>
          <w:tcPr>
            <w:tcW w:w="0" w:type="pct"/>
            <w:tcBorders>
              <w:top w:val="single" w:sz="4" w:space="0" w:color="auto"/>
            </w:tcBorders>
            <w:noWrap/>
            <w:hideMark/>
          </w:tcPr>
          <w:p w14:paraId="59DCDB45"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50 to 100</w:t>
            </w:r>
          </w:p>
        </w:tc>
        <w:tc>
          <w:tcPr>
            <w:tcW w:w="0" w:type="pct"/>
            <w:tcBorders>
              <w:top w:val="single" w:sz="4" w:space="0" w:color="auto"/>
            </w:tcBorders>
            <w:noWrap/>
            <w:hideMark/>
          </w:tcPr>
          <w:p w14:paraId="59DCDB46"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&gt;100</w:t>
            </w:r>
          </w:p>
        </w:tc>
      </w:tr>
      <w:tr w:rsidR="00BE3AA8" w:rsidRPr="00D93FF9" w14:paraId="59DCDB4E" w14:textId="77777777" w:rsidTr="00556B9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tcBorders>
            <w:noWrap/>
            <w:hideMark/>
          </w:tcPr>
          <w:p w14:paraId="59DCDB48" w14:textId="77777777" w:rsidR="00225F4A" w:rsidRPr="00D93FF9" w:rsidRDefault="00E811B8" w:rsidP="006D24CE">
            <w:pPr>
              <w:pStyle w:val="TableText"/>
              <w:spacing w:before="0" w:after="0"/>
              <w:rPr>
                <w:bCs w:val="0"/>
                <w:sz w:val="20"/>
              </w:rPr>
            </w:pPr>
            <w:r w:rsidRPr="00D93FF9">
              <w:rPr>
                <w:rFonts w:asciiTheme="minorHAnsi" w:hAnsiTheme="minorHAnsi"/>
                <w:sz w:val="20"/>
              </w:rPr>
              <w:t>pH</w:t>
            </w:r>
          </w:p>
        </w:tc>
        <w:tc>
          <w:tcPr>
            <w:tcW w:w="0" w:type="pct"/>
            <w:tcBorders>
              <w:top w:val="none" w:sz="0" w:space="0" w:color="auto"/>
            </w:tcBorders>
            <w:noWrap/>
            <w:hideMark/>
          </w:tcPr>
          <w:p w14:paraId="59DCDB49"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pH</w:t>
            </w:r>
          </w:p>
        </w:tc>
        <w:tc>
          <w:tcPr>
            <w:tcW w:w="0" w:type="pct"/>
            <w:tcBorders>
              <w:top w:val="none" w:sz="0" w:space="0" w:color="auto"/>
            </w:tcBorders>
            <w:noWrap/>
            <w:hideMark/>
          </w:tcPr>
          <w:p w14:paraId="59DCDB4A"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-logH</w:t>
            </w:r>
            <w:r w:rsidRPr="00D93FF9">
              <w:rPr>
                <w:color w:val="auto"/>
                <w:sz w:val="20"/>
                <w:vertAlign w:val="superscript"/>
              </w:rPr>
              <w:t>+</w:t>
            </w:r>
          </w:p>
        </w:tc>
        <w:tc>
          <w:tcPr>
            <w:tcW w:w="0" w:type="pct"/>
            <w:tcBorders>
              <w:top w:val="none" w:sz="0" w:space="0" w:color="auto"/>
            </w:tcBorders>
            <w:noWrap/>
            <w:hideMark/>
          </w:tcPr>
          <w:p w14:paraId="59DCDB4B"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&lt;7</w:t>
            </w:r>
          </w:p>
        </w:tc>
        <w:tc>
          <w:tcPr>
            <w:tcW w:w="0" w:type="pct"/>
            <w:tcBorders>
              <w:top w:val="none" w:sz="0" w:space="0" w:color="auto"/>
            </w:tcBorders>
            <w:noWrap/>
            <w:hideMark/>
          </w:tcPr>
          <w:p w14:paraId="59DCDB4C"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7 to 8</w:t>
            </w:r>
          </w:p>
        </w:tc>
        <w:tc>
          <w:tcPr>
            <w:tcW w:w="0" w:type="pct"/>
            <w:tcBorders>
              <w:top w:val="none" w:sz="0" w:space="0" w:color="auto"/>
            </w:tcBorders>
            <w:noWrap/>
            <w:hideMark/>
          </w:tcPr>
          <w:p w14:paraId="59DCDB4D"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&gt;8</w:t>
            </w:r>
          </w:p>
        </w:tc>
      </w:tr>
      <w:tr w:rsidR="00BE3AA8" w:rsidRPr="00D93FF9" w14:paraId="59DCDB55" w14:textId="77777777" w:rsidTr="00556B91">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tcBorders>
            <w:noWrap/>
            <w:hideMark/>
          </w:tcPr>
          <w:p w14:paraId="59DCDB4F" w14:textId="77777777" w:rsidR="00225F4A" w:rsidRPr="00D93FF9" w:rsidRDefault="00E811B8" w:rsidP="006D24CE">
            <w:pPr>
              <w:pStyle w:val="TableText"/>
              <w:spacing w:before="0" w:after="0"/>
              <w:rPr>
                <w:bCs w:val="0"/>
                <w:sz w:val="20"/>
              </w:rPr>
            </w:pPr>
            <w:r w:rsidRPr="00D93FF9">
              <w:rPr>
                <w:rFonts w:asciiTheme="minorHAnsi" w:hAnsiTheme="minorHAnsi"/>
                <w:sz w:val="20"/>
              </w:rPr>
              <w:t>Total Dissolved Solids</w:t>
            </w:r>
          </w:p>
        </w:tc>
        <w:tc>
          <w:tcPr>
            <w:tcW w:w="0" w:type="pct"/>
            <w:tcBorders>
              <w:top w:val="none" w:sz="0" w:space="0" w:color="auto"/>
            </w:tcBorders>
            <w:noWrap/>
            <w:hideMark/>
          </w:tcPr>
          <w:p w14:paraId="59DCDB50"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TDS</w:t>
            </w:r>
          </w:p>
        </w:tc>
        <w:tc>
          <w:tcPr>
            <w:tcW w:w="0" w:type="pct"/>
            <w:tcBorders>
              <w:top w:val="none" w:sz="0" w:space="0" w:color="auto"/>
            </w:tcBorders>
            <w:noWrap/>
            <w:hideMark/>
          </w:tcPr>
          <w:p w14:paraId="59DCDB51"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mg/L</w:t>
            </w:r>
          </w:p>
        </w:tc>
        <w:tc>
          <w:tcPr>
            <w:tcW w:w="0" w:type="pct"/>
            <w:tcBorders>
              <w:top w:val="none" w:sz="0" w:space="0" w:color="auto"/>
            </w:tcBorders>
            <w:noWrap/>
            <w:hideMark/>
          </w:tcPr>
          <w:p w14:paraId="59DCDB52"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&lt;500</w:t>
            </w:r>
          </w:p>
        </w:tc>
        <w:tc>
          <w:tcPr>
            <w:tcW w:w="0" w:type="pct"/>
            <w:tcBorders>
              <w:top w:val="none" w:sz="0" w:space="0" w:color="auto"/>
            </w:tcBorders>
            <w:noWrap/>
            <w:hideMark/>
          </w:tcPr>
          <w:p w14:paraId="59DCDB53"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500 to 2000</w:t>
            </w:r>
          </w:p>
        </w:tc>
        <w:tc>
          <w:tcPr>
            <w:tcW w:w="0" w:type="pct"/>
            <w:tcBorders>
              <w:top w:val="none" w:sz="0" w:space="0" w:color="auto"/>
            </w:tcBorders>
            <w:noWrap/>
            <w:hideMark/>
          </w:tcPr>
          <w:p w14:paraId="59DCDB54"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&gt;2000</w:t>
            </w:r>
          </w:p>
        </w:tc>
      </w:tr>
      <w:tr w:rsidR="00BE3AA8" w:rsidRPr="00D93FF9" w14:paraId="59DCDB5C" w14:textId="77777777" w:rsidTr="00556B9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tcBorders>
            <w:noWrap/>
            <w:hideMark/>
          </w:tcPr>
          <w:p w14:paraId="59DCDB56" w14:textId="77777777" w:rsidR="00225F4A" w:rsidRPr="00D93FF9" w:rsidRDefault="00E811B8" w:rsidP="006D24CE">
            <w:pPr>
              <w:pStyle w:val="TableText"/>
              <w:spacing w:before="0" w:after="0"/>
              <w:rPr>
                <w:bCs w:val="0"/>
                <w:sz w:val="20"/>
              </w:rPr>
            </w:pPr>
            <w:r w:rsidRPr="00D93FF9">
              <w:rPr>
                <w:rFonts w:asciiTheme="minorHAnsi" w:hAnsiTheme="minorHAnsi"/>
                <w:sz w:val="20"/>
              </w:rPr>
              <w:t>Manganese</w:t>
            </w:r>
          </w:p>
        </w:tc>
        <w:tc>
          <w:tcPr>
            <w:tcW w:w="0" w:type="pct"/>
            <w:tcBorders>
              <w:top w:val="none" w:sz="0" w:space="0" w:color="auto"/>
            </w:tcBorders>
            <w:noWrap/>
            <w:hideMark/>
          </w:tcPr>
          <w:p w14:paraId="59DCDB57"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Mn</w:t>
            </w:r>
          </w:p>
        </w:tc>
        <w:tc>
          <w:tcPr>
            <w:tcW w:w="0" w:type="pct"/>
            <w:tcBorders>
              <w:top w:val="none" w:sz="0" w:space="0" w:color="auto"/>
            </w:tcBorders>
            <w:noWrap/>
            <w:hideMark/>
          </w:tcPr>
          <w:p w14:paraId="59DCDB58"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mg/L</w:t>
            </w:r>
          </w:p>
        </w:tc>
        <w:tc>
          <w:tcPr>
            <w:tcW w:w="0" w:type="pct"/>
            <w:tcBorders>
              <w:top w:val="none" w:sz="0" w:space="0" w:color="auto"/>
            </w:tcBorders>
            <w:noWrap/>
            <w:hideMark/>
          </w:tcPr>
          <w:p w14:paraId="59DCDB59"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&lt;0.1</w:t>
            </w:r>
          </w:p>
        </w:tc>
        <w:tc>
          <w:tcPr>
            <w:tcW w:w="0" w:type="pct"/>
            <w:tcBorders>
              <w:top w:val="none" w:sz="0" w:space="0" w:color="auto"/>
            </w:tcBorders>
            <w:noWrap/>
            <w:hideMark/>
          </w:tcPr>
          <w:p w14:paraId="59DCDB5A"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0.1 to 0.5</w:t>
            </w:r>
          </w:p>
        </w:tc>
        <w:tc>
          <w:tcPr>
            <w:tcW w:w="0" w:type="pct"/>
            <w:tcBorders>
              <w:top w:val="none" w:sz="0" w:space="0" w:color="auto"/>
            </w:tcBorders>
            <w:noWrap/>
            <w:hideMark/>
          </w:tcPr>
          <w:p w14:paraId="59DCDB5B"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&gt;1.5</w:t>
            </w:r>
          </w:p>
        </w:tc>
      </w:tr>
      <w:tr w:rsidR="00BE3AA8" w:rsidRPr="00D93FF9" w14:paraId="59DCDB63" w14:textId="77777777" w:rsidTr="00556B91">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tcBorders>
            <w:noWrap/>
            <w:hideMark/>
          </w:tcPr>
          <w:p w14:paraId="59DCDB5D" w14:textId="77777777" w:rsidR="00225F4A" w:rsidRPr="00D93FF9" w:rsidRDefault="00E811B8" w:rsidP="006D24CE">
            <w:pPr>
              <w:pStyle w:val="TableText"/>
              <w:spacing w:before="0" w:after="0"/>
              <w:rPr>
                <w:bCs w:val="0"/>
                <w:sz w:val="20"/>
              </w:rPr>
            </w:pPr>
            <w:r w:rsidRPr="00D93FF9">
              <w:rPr>
                <w:rFonts w:asciiTheme="minorHAnsi" w:hAnsiTheme="minorHAnsi"/>
                <w:sz w:val="20"/>
              </w:rPr>
              <w:t>Total iron</w:t>
            </w:r>
          </w:p>
        </w:tc>
        <w:tc>
          <w:tcPr>
            <w:tcW w:w="0" w:type="pct"/>
            <w:tcBorders>
              <w:top w:val="none" w:sz="0" w:space="0" w:color="auto"/>
            </w:tcBorders>
            <w:noWrap/>
            <w:hideMark/>
          </w:tcPr>
          <w:p w14:paraId="59DCDB5E"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Fe</w:t>
            </w:r>
          </w:p>
        </w:tc>
        <w:tc>
          <w:tcPr>
            <w:tcW w:w="0" w:type="pct"/>
            <w:tcBorders>
              <w:top w:val="none" w:sz="0" w:space="0" w:color="auto"/>
            </w:tcBorders>
            <w:noWrap/>
            <w:hideMark/>
          </w:tcPr>
          <w:p w14:paraId="59DCDB5F"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mg/L</w:t>
            </w:r>
          </w:p>
        </w:tc>
        <w:tc>
          <w:tcPr>
            <w:tcW w:w="0" w:type="pct"/>
            <w:tcBorders>
              <w:top w:val="none" w:sz="0" w:space="0" w:color="auto"/>
            </w:tcBorders>
            <w:noWrap/>
            <w:hideMark/>
          </w:tcPr>
          <w:p w14:paraId="59DCDB60"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&lt;0.2</w:t>
            </w:r>
          </w:p>
        </w:tc>
        <w:tc>
          <w:tcPr>
            <w:tcW w:w="0" w:type="pct"/>
            <w:tcBorders>
              <w:top w:val="none" w:sz="0" w:space="0" w:color="auto"/>
            </w:tcBorders>
            <w:noWrap/>
            <w:hideMark/>
          </w:tcPr>
          <w:p w14:paraId="59DCDB61"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0.2 to 1.5</w:t>
            </w:r>
          </w:p>
        </w:tc>
        <w:tc>
          <w:tcPr>
            <w:tcW w:w="0" w:type="pct"/>
            <w:tcBorders>
              <w:top w:val="none" w:sz="0" w:space="0" w:color="auto"/>
            </w:tcBorders>
            <w:noWrap/>
            <w:hideMark/>
          </w:tcPr>
          <w:p w14:paraId="59DCDB62"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&gt;1.5</w:t>
            </w:r>
          </w:p>
        </w:tc>
      </w:tr>
      <w:tr w:rsidR="00BE3AA8" w:rsidRPr="00D93FF9" w14:paraId="59DCDB6A" w14:textId="77777777" w:rsidTr="00556B9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tcBorders>
            <w:noWrap/>
            <w:hideMark/>
          </w:tcPr>
          <w:p w14:paraId="59DCDB64" w14:textId="77777777" w:rsidR="00225F4A" w:rsidRPr="00D93FF9" w:rsidRDefault="00E811B8" w:rsidP="006D24CE">
            <w:pPr>
              <w:pStyle w:val="TableText"/>
              <w:spacing w:before="0" w:after="0"/>
              <w:rPr>
                <w:bCs w:val="0"/>
                <w:sz w:val="20"/>
              </w:rPr>
            </w:pPr>
            <w:r w:rsidRPr="00D93FF9">
              <w:rPr>
                <w:rFonts w:asciiTheme="minorHAnsi" w:hAnsiTheme="minorHAnsi"/>
                <w:sz w:val="20"/>
              </w:rPr>
              <w:t>Hydrogen sul</w:t>
            </w:r>
            <w:r w:rsidR="002D2942" w:rsidRPr="00D93FF9">
              <w:rPr>
                <w:rFonts w:asciiTheme="minorHAnsi" w:hAnsiTheme="minorHAnsi"/>
                <w:sz w:val="20"/>
              </w:rPr>
              <w:t>f</w:t>
            </w:r>
            <w:r w:rsidRPr="00D93FF9">
              <w:rPr>
                <w:rFonts w:asciiTheme="minorHAnsi" w:hAnsiTheme="minorHAnsi"/>
                <w:sz w:val="20"/>
              </w:rPr>
              <w:t>ide</w:t>
            </w:r>
          </w:p>
        </w:tc>
        <w:tc>
          <w:tcPr>
            <w:tcW w:w="0" w:type="pct"/>
            <w:tcBorders>
              <w:top w:val="none" w:sz="0" w:space="0" w:color="auto"/>
            </w:tcBorders>
            <w:noWrap/>
            <w:hideMark/>
          </w:tcPr>
          <w:p w14:paraId="59DCDB65"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H</w:t>
            </w:r>
            <w:r w:rsidRPr="00D93FF9">
              <w:rPr>
                <w:color w:val="auto"/>
                <w:sz w:val="20"/>
                <w:vertAlign w:val="subscript"/>
              </w:rPr>
              <w:t>2</w:t>
            </w:r>
            <w:r w:rsidRPr="00D93FF9">
              <w:rPr>
                <w:color w:val="auto"/>
                <w:sz w:val="20"/>
              </w:rPr>
              <w:t>S</w:t>
            </w:r>
          </w:p>
        </w:tc>
        <w:tc>
          <w:tcPr>
            <w:tcW w:w="0" w:type="pct"/>
            <w:tcBorders>
              <w:top w:val="none" w:sz="0" w:space="0" w:color="auto"/>
            </w:tcBorders>
            <w:noWrap/>
            <w:hideMark/>
          </w:tcPr>
          <w:p w14:paraId="59DCDB66"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mg/L</w:t>
            </w:r>
          </w:p>
        </w:tc>
        <w:tc>
          <w:tcPr>
            <w:tcW w:w="0" w:type="pct"/>
            <w:tcBorders>
              <w:top w:val="none" w:sz="0" w:space="0" w:color="auto"/>
            </w:tcBorders>
            <w:noWrap/>
            <w:hideMark/>
          </w:tcPr>
          <w:p w14:paraId="59DCDB67"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&lt;0.2</w:t>
            </w:r>
          </w:p>
        </w:tc>
        <w:tc>
          <w:tcPr>
            <w:tcW w:w="0" w:type="pct"/>
            <w:tcBorders>
              <w:top w:val="none" w:sz="0" w:space="0" w:color="auto"/>
            </w:tcBorders>
            <w:noWrap/>
            <w:hideMark/>
          </w:tcPr>
          <w:p w14:paraId="59DCDB68"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0.2 to 1.5</w:t>
            </w:r>
          </w:p>
        </w:tc>
        <w:tc>
          <w:tcPr>
            <w:tcW w:w="0" w:type="pct"/>
            <w:tcBorders>
              <w:top w:val="none" w:sz="0" w:space="0" w:color="auto"/>
            </w:tcBorders>
            <w:noWrap/>
            <w:hideMark/>
          </w:tcPr>
          <w:p w14:paraId="59DCDB69" w14:textId="77777777" w:rsidR="00225F4A" w:rsidRPr="00D93FF9" w:rsidRDefault="00E811B8" w:rsidP="006D24CE">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sz w:val="20"/>
              </w:rPr>
            </w:pPr>
            <w:r w:rsidRPr="00D93FF9">
              <w:rPr>
                <w:color w:val="auto"/>
                <w:sz w:val="20"/>
              </w:rPr>
              <w:t>&gt;1.5</w:t>
            </w:r>
          </w:p>
        </w:tc>
      </w:tr>
      <w:tr w:rsidR="00BE3AA8" w:rsidRPr="00D93FF9" w14:paraId="59DCDB71" w14:textId="77777777" w:rsidTr="00556B91">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single" w:sz="4" w:space="0" w:color="auto"/>
            </w:tcBorders>
            <w:noWrap/>
          </w:tcPr>
          <w:p w14:paraId="59DCDB6B" w14:textId="77777777" w:rsidR="00225F4A" w:rsidRPr="00D93FF9" w:rsidRDefault="00E811B8" w:rsidP="006D24CE">
            <w:pPr>
              <w:pStyle w:val="TableText"/>
              <w:spacing w:before="0" w:after="0"/>
              <w:rPr>
                <w:bCs w:val="0"/>
                <w:sz w:val="20"/>
              </w:rPr>
            </w:pPr>
            <w:r w:rsidRPr="00D93FF9">
              <w:rPr>
                <w:rFonts w:asciiTheme="minorHAnsi" w:hAnsiTheme="minorHAnsi"/>
                <w:sz w:val="20"/>
              </w:rPr>
              <w:t xml:space="preserve">Bacterial number </w:t>
            </w:r>
          </w:p>
        </w:tc>
        <w:tc>
          <w:tcPr>
            <w:tcW w:w="0" w:type="pct"/>
            <w:tcBorders>
              <w:top w:val="none" w:sz="0" w:space="0" w:color="auto"/>
              <w:bottom w:val="single" w:sz="4" w:space="0" w:color="auto"/>
            </w:tcBorders>
            <w:noWrap/>
          </w:tcPr>
          <w:p w14:paraId="59DCDB6C"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n/a</w:t>
            </w:r>
          </w:p>
        </w:tc>
        <w:tc>
          <w:tcPr>
            <w:tcW w:w="0" w:type="pct"/>
            <w:tcBorders>
              <w:top w:val="none" w:sz="0" w:space="0" w:color="auto"/>
              <w:bottom w:val="single" w:sz="4" w:space="0" w:color="auto"/>
            </w:tcBorders>
            <w:noWrap/>
          </w:tcPr>
          <w:p w14:paraId="59DCDB6D"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Count/100ml</w:t>
            </w:r>
          </w:p>
        </w:tc>
        <w:tc>
          <w:tcPr>
            <w:tcW w:w="0" w:type="pct"/>
            <w:tcBorders>
              <w:top w:val="none" w:sz="0" w:space="0" w:color="auto"/>
              <w:bottom w:val="single" w:sz="4" w:space="0" w:color="auto"/>
            </w:tcBorders>
            <w:noWrap/>
          </w:tcPr>
          <w:p w14:paraId="59DCDB6E"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&lt;10,000</w:t>
            </w:r>
          </w:p>
        </w:tc>
        <w:tc>
          <w:tcPr>
            <w:tcW w:w="0" w:type="pct"/>
            <w:tcBorders>
              <w:top w:val="none" w:sz="0" w:space="0" w:color="auto"/>
              <w:bottom w:val="single" w:sz="4" w:space="0" w:color="auto"/>
            </w:tcBorders>
            <w:noWrap/>
          </w:tcPr>
          <w:p w14:paraId="59DCDB6F"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10,000 to 50,000</w:t>
            </w:r>
          </w:p>
        </w:tc>
        <w:tc>
          <w:tcPr>
            <w:tcW w:w="0" w:type="pct"/>
            <w:tcBorders>
              <w:top w:val="none" w:sz="0" w:space="0" w:color="auto"/>
              <w:bottom w:val="single" w:sz="4" w:space="0" w:color="auto"/>
            </w:tcBorders>
            <w:noWrap/>
          </w:tcPr>
          <w:p w14:paraId="59DCDB70" w14:textId="77777777" w:rsidR="00225F4A" w:rsidRPr="00D93FF9" w:rsidRDefault="00E811B8" w:rsidP="006D24CE">
            <w:pPr>
              <w:pStyle w:val="TableText"/>
              <w:spacing w:before="0" w:after="0"/>
              <w:cnfStyle w:val="000000010000" w:firstRow="0" w:lastRow="0" w:firstColumn="0" w:lastColumn="0" w:oddVBand="0" w:evenVBand="0" w:oddHBand="0" w:evenHBand="1" w:firstRowFirstColumn="0" w:firstRowLastColumn="0" w:lastRowFirstColumn="0" w:lastRowLastColumn="0"/>
              <w:rPr>
                <w:color w:val="auto"/>
                <w:sz w:val="20"/>
              </w:rPr>
            </w:pPr>
            <w:r w:rsidRPr="00D93FF9">
              <w:rPr>
                <w:color w:val="auto"/>
                <w:sz w:val="20"/>
              </w:rPr>
              <w:t>&gt;50,000</w:t>
            </w:r>
          </w:p>
        </w:tc>
      </w:tr>
    </w:tbl>
    <w:p w14:paraId="59DCDB72" w14:textId="46524975" w:rsidR="006A107D" w:rsidRPr="00D93FF9" w:rsidRDefault="00E811B8" w:rsidP="003807A1">
      <w:pPr>
        <w:pStyle w:val="BodyText"/>
        <w:spacing w:after="0"/>
        <w:rPr>
          <w:rFonts w:ascii="Arial"/>
          <w:sz w:val="18"/>
          <w:szCs w:val="18"/>
          <w:lang w:val="en-GB"/>
        </w:rPr>
      </w:pPr>
      <w:r w:rsidRPr="00D93FF9">
        <w:rPr>
          <w:sz w:val="18"/>
          <w:szCs w:val="18"/>
        </w:rPr>
        <w:t xml:space="preserve">Source: </w:t>
      </w:r>
      <w:r w:rsidRPr="00D93FF9">
        <w:rPr>
          <w:sz w:val="18"/>
          <w:szCs w:val="18"/>
        </w:rPr>
        <w:fldChar w:fldCharType="begin"/>
      </w:r>
      <w:r w:rsidR="007C2051" w:rsidRPr="00D93FF9">
        <w:rPr>
          <w:sz w:val="18"/>
          <w:szCs w:val="18"/>
        </w:rPr>
        <w:instrText xml:space="preserve"> ADDIN ZOTERO_ITEM CSL_CITATION {"citationID":"Q1noiJSX","properties":{"formattedCitation":"(Asano et al., 2007 p.1068)","plainCitation":"(Asano et al., 2007 p.1068)","dontUpdate":true,"noteIndex":0},"citationItems":[{"id":304,"uris":["http://zotero.org/users/1938757/items/3KTJMKJ8"],"uri":["http://zotero.org/users/1938757/items/3KTJMKJ8"],"itemData":{"id":304,"type":"book","event-place":"New York, USA","note":"FILE://C:/Documents and Settings/Daryl/My Documents/Zotero/Export/Recycled Water_V8.Data/PDF/v3210 p956-1477833216/v3210 p956.jpg","publisher":"McGraw Hill.","publisher-place":"New York, USA","title":"Water Reuse. Issues, Technologies and Applications. Metcalf and Eddy.","author":[{"family":"Asano","given":"T."},{"family":"Burton","given":"F. L."},{"family":"Laeverenz","given":"H.L."},{"family":"Tsuchihashi","given":"R."},{"family":"Tchobanoglous","given":"G."}],"issued":{"date-parts":[["2007"]]}},"locator":"1068"}],"schema":"https://github.com/citation-style-language/schema/raw/master/csl-citation.json"} </w:instrText>
      </w:r>
      <w:r w:rsidRPr="00D93FF9">
        <w:rPr>
          <w:sz w:val="18"/>
          <w:szCs w:val="18"/>
        </w:rPr>
        <w:fldChar w:fldCharType="separate"/>
      </w:r>
      <w:r w:rsidRPr="00D93FF9">
        <w:rPr>
          <w:rFonts w:ascii="Calibri" w:hAnsi="Calibri" w:cs="Calibri"/>
          <w:sz w:val="18"/>
          <w:szCs w:val="18"/>
        </w:rPr>
        <w:t>(Asano et al. 2007)</w:t>
      </w:r>
      <w:r w:rsidRPr="00D93FF9">
        <w:rPr>
          <w:sz w:val="18"/>
          <w:szCs w:val="18"/>
        </w:rPr>
        <w:fldChar w:fldCharType="end"/>
      </w:r>
      <w:r w:rsidRPr="00D93FF9">
        <w:rPr>
          <w:sz w:val="18"/>
          <w:szCs w:val="18"/>
        </w:rPr>
        <w:t>. Default impact assumes no maintenance and emitters are not self-cleaning</w:t>
      </w:r>
    </w:p>
    <w:p w14:paraId="59DCDB73" w14:textId="77777777" w:rsidR="000D4F75" w:rsidRPr="00D93FF9" w:rsidRDefault="000D4F75" w:rsidP="003807A1">
      <w:pPr>
        <w:spacing w:after="0"/>
        <w:rPr>
          <w:rFonts w:ascii="Arial"/>
          <w:b/>
          <w:i/>
          <w:sz w:val="20"/>
          <w:lang w:val="en-GB"/>
        </w:rPr>
      </w:pPr>
    </w:p>
    <w:p w14:paraId="59DCDB74" w14:textId="77777777" w:rsidR="00C46175" w:rsidRPr="00D93FF9" w:rsidRDefault="00E811B8" w:rsidP="0070761D">
      <w:pPr>
        <w:pStyle w:val="Heading5"/>
        <w:rPr>
          <w:lang w:val="en-GB"/>
        </w:rPr>
      </w:pPr>
      <w:r w:rsidRPr="00D93FF9">
        <w:rPr>
          <w:lang w:val="en-GB"/>
        </w:rPr>
        <w:t>Physical</w:t>
      </w:r>
    </w:p>
    <w:p w14:paraId="59DCDB75" w14:textId="77777777" w:rsidR="00C46175" w:rsidRPr="00D93FF9" w:rsidRDefault="00E811B8" w:rsidP="003807A1">
      <w:pPr>
        <w:pStyle w:val="BodyText"/>
        <w:spacing w:after="0" w:line="266" w:lineRule="auto"/>
        <w:jc w:val="both"/>
        <w:rPr>
          <w:lang w:val="en-GB"/>
        </w:rPr>
      </w:pPr>
      <w:r w:rsidRPr="00D93FF9">
        <w:rPr>
          <w:lang w:val="en-GB"/>
        </w:rPr>
        <w:t>Accumulation of particles within the distribution system can occur as a result of construction, poor design, weathering of the surrounding geological strata or transportation in the water source. Sand, silt, clay and organic matter are the most common particulates and these are generally carried in water in the form of suspended material at elevated flow rates. This is particularly the case in surface waters, as groundwater tends to contain limited organic matter and solids in suspension.</w:t>
      </w:r>
    </w:p>
    <w:p w14:paraId="59DCDB76" w14:textId="77777777" w:rsidR="00C46175" w:rsidRPr="00D93FF9" w:rsidRDefault="00E811B8" w:rsidP="003807A1">
      <w:pPr>
        <w:pStyle w:val="BodyText"/>
        <w:spacing w:after="0" w:line="266" w:lineRule="auto"/>
        <w:jc w:val="both"/>
        <w:rPr>
          <w:lang w:val="en-GB"/>
        </w:rPr>
      </w:pPr>
      <w:r w:rsidRPr="00D93FF9">
        <w:rPr>
          <w:lang w:val="en-GB"/>
        </w:rPr>
        <w:lastRenderedPageBreak/>
        <w:t>In groundwater wells, particulate matter tends to enter the system during construction or from natural weathering processes. Accumulation of this material can lead to a decrease in aquifer permeability and clogging of screens, resulting in a potential yield reduction.</w:t>
      </w:r>
    </w:p>
    <w:p w14:paraId="59DCDB77" w14:textId="1D98F7E0" w:rsidR="00C46175" w:rsidRPr="00D93FF9" w:rsidRDefault="00E811B8" w:rsidP="003807A1">
      <w:pPr>
        <w:pStyle w:val="BodyText"/>
        <w:spacing w:after="0" w:line="266" w:lineRule="auto"/>
        <w:jc w:val="both"/>
        <w:rPr>
          <w:lang w:val="en-GB"/>
        </w:rPr>
      </w:pPr>
      <w:r w:rsidRPr="00D93FF9">
        <w:rPr>
          <w:lang w:val="en-GB"/>
        </w:rPr>
        <w:t xml:space="preserve">Filtration is the most effective method of removal of particulate material from the water source. Water is normally passed through graded sand which removes organic matter, sand, silt and clay. Screening may also be used and is adequate for the removal of larger particles, however fine material may still pass through. </w:t>
      </w:r>
      <w:r w:rsidR="003528B9" w:rsidRPr="00D93FF9">
        <w:rPr>
          <w:lang w:val="en-GB"/>
        </w:rPr>
        <w:t xml:space="preserve">These particles are reflected in the concentration of total </w:t>
      </w:r>
      <w:r w:rsidR="00EE6BF5" w:rsidRPr="00D93FF9">
        <w:rPr>
          <w:lang w:val="en-GB"/>
        </w:rPr>
        <w:t xml:space="preserve">suspended </w:t>
      </w:r>
      <w:r w:rsidR="003528B9" w:rsidRPr="00D93FF9">
        <w:rPr>
          <w:lang w:val="en-GB"/>
        </w:rPr>
        <w:t>solids (</w:t>
      </w:r>
      <w:r w:rsidR="00C62455" w:rsidRPr="00D93FF9">
        <w:rPr>
          <w:lang w:val="en-GB"/>
        </w:rPr>
        <w:t>TSS</w:t>
      </w:r>
      <w:r w:rsidR="00787382" w:rsidRPr="00D93FF9">
        <w:rPr>
          <w:lang w:val="en-GB"/>
        </w:rPr>
        <w:t xml:space="preserve">) </w:t>
      </w:r>
      <w:r w:rsidR="003528B9" w:rsidRPr="00D93FF9">
        <w:rPr>
          <w:lang w:val="en-GB"/>
        </w:rPr>
        <w:t xml:space="preserve"> where a high T</w:t>
      </w:r>
      <w:r w:rsidR="00EE6BF5" w:rsidRPr="00D93FF9">
        <w:rPr>
          <w:lang w:val="en-GB"/>
        </w:rPr>
        <w:t>S</w:t>
      </w:r>
      <w:r w:rsidR="003528B9" w:rsidRPr="00D93FF9">
        <w:rPr>
          <w:lang w:val="en-GB"/>
        </w:rPr>
        <w:t>S can often be associated with excessive scaling and build-up (</w:t>
      </w:r>
      <w:r w:rsidR="003528B9" w:rsidRPr="00D93FF9">
        <w:t>NHMRC</w:t>
      </w:r>
      <w:r w:rsidR="00DE41FE" w:rsidRPr="00D93FF9">
        <w:t xml:space="preserve"> </w:t>
      </w:r>
      <w:r w:rsidR="00FA6E9E" w:rsidRPr="00D93FF9">
        <w:t>and</w:t>
      </w:r>
      <w:r w:rsidR="003528B9" w:rsidRPr="00D93FF9">
        <w:t xml:space="preserve"> NRMMC 2011</w:t>
      </w:r>
      <w:r w:rsidR="003528B9" w:rsidRPr="00D93FF9">
        <w:rPr>
          <w:lang w:val="en-GB"/>
        </w:rPr>
        <w:t xml:space="preserve">). </w:t>
      </w:r>
      <w:r w:rsidRPr="00D93FF9">
        <w:rPr>
          <w:lang w:val="en-GB"/>
        </w:rPr>
        <w:t xml:space="preserve">Ayers and Wescot (1985) give recommended guidelines for concentrations of suspended solids </w:t>
      </w:r>
      <w:r w:rsidR="000D5EDC" w:rsidRPr="00D93FF9">
        <w:rPr>
          <w:lang w:val="en-GB"/>
        </w:rPr>
        <w:t xml:space="preserve">(TSS) </w:t>
      </w:r>
      <w:r w:rsidRPr="00D93FF9">
        <w:rPr>
          <w:lang w:val="en-GB"/>
        </w:rPr>
        <w:t>to avoid clogging in localised (drip) irrigation systems. These are given below, based on the degree of restriction of use:</w:t>
      </w:r>
    </w:p>
    <w:p w14:paraId="59DCDB78" w14:textId="77777777" w:rsidR="006D24CE" w:rsidRPr="00D93FF9" w:rsidRDefault="006D24CE" w:rsidP="003807A1">
      <w:pPr>
        <w:pStyle w:val="BodyText"/>
        <w:spacing w:after="0" w:line="266" w:lineRule="auto"/>
        <w:jc w:val="both"/>
        <w:rPr>
          <w:lang w:val="en-GB"/>
        </w:rPr>
      </w:pPr>
    </w:p>
    <w:p w14:paraId="59DCDB79" w14:textId="77777777" w:rsidR="00C46175" w:rsidRPr="00D93FF9" w:rsidRDefault="00E811B8" w:rsidP="003807A1">
      <w:pPr>
        <w:pStyle w:val="BodyText"/>
        <w:tabs>
          <w:tab w:val="left" w:pos="2018"/>
        </w:tabs>
        <w:spacing w:after="0"/>
        <w:rPr>
          <w:lang w:val="en-GB"/>
        </w:rPr>
      </w:pPr>
      <w:r w:rsidRPr="00D93FF9">
        <w:rPr>
          <w:lang w:val="en-GB"/>
        </w:rPr>
        <w:t>&lt;50</w:t>
      </w:r>
      <w:r w:rsidRPr="00D93FF9">
        <w:rPr>
          <w:spacing w:val="-2"/>
          <w:lang w:val="en-GB"/>
        </w:rPr>
        <w:t xml:space="preserve"> </w:t>
      </w:r>
      <w:r w:rsidRPr="00D93FF9">
        <w:rPr>
          <w:lang w:val="en-GB"/>
        </w:rPr>
        <w:t>mg/L</w:t>
      </w:r>
      <w:r w:rsidRPr="00D93FF9">
        <w:rPr>
          <w:lang w:val="en-GB"/>
        </w:rPr>
        <w:tab/>
        <w:t>no restriction</w:t>
      </w:r>
    </w:p>
    <w:p w14:paraId="59DCDB7A" w14:textId="108C280C" w:rsidR="00C46175" w:rsidRPr="00D93FF9" w:rsidRDefault="00E811B8" w:rsidP="003807A1">
      <w:pPr>
        <w:pStyle w:val="BodyText"/>
        <w:tabs>
          <w:tab w:val="left" w:pos="2018"/>
        </w:tabs>
        <w:spacing w:after="0"/>
        <w:rPr>
          <w:lang w:val="en-GB"/>
        </w:rPr>
      </w:pPr>
      <w:r w:rsidRPr="00D93FF9">
        <w:rPr>
          <w:lang w:val="en-GB"/>
        </w:rPr>
        <w:t>50</w:t>
      </w:r>
      <w:r w:rsidR="00962EA1" w:rsidRPr="00D93FF9">
        <w:rPr>
          <w:rFonts w:ascii="Symbol" w:hAnsi="Symbol"/>
          <w:sz w:val="16"/>
          <w:lang w:val="en-GB"/>
        </w:rPr>
        <w:sym w:font="Symbol" w:char="F02D"/>
      </w:r>
      <w:r w:rsidRPr="00D93FF9">
        <w:rPr>
          <w:lang w:val="en-GB"/>
        </w:rPr>
        <w:t>100</w:t>
      </w:r>
      <w:r w:rsidRPr="00D93FF9">
        <w:rPr>
          <w:spacing w:val="-1"/>
          <w:lang w:val="en-GB"/>
        </w:rPr>
        <w:t xml:space="preserve"> </w:t>
      </w:r>
      <w:r w:rsidRPr="00D93FF9">
        <w:rPr>
          <w:lang w:val="en-GB"/>
        </w:rPr>
        <w:t>mg/L</w:t>
      </w:r>
      <w:r w:rsidRPr="00D93FF9">
        <w:rPr>
          <w:lang w:val="en-GB"/>
        </w:rPr>
        <w:tab/>
        <w:t>slight to moderate restriction</w:t>
      </w:r>
    </w:p>
    <w:p w14:paraId="59DCDB7B" w14:textId="77777777" w:rsidR="00C46175" w:rsidRPr="00D93FF9" w:rsidRDefault="00E811B8" w:rsidP="003807A1">
      <w:pPr>
        <w:pStyle w:val="BodyText"/>
        <w:tabs>
          <w:tab w:val="left" w:pos="2018"/>
        </w:tabs>
        <w:spacing w:after="0"/>
        <w:rPr>
          <w:lang w:val="en-GB"/>
        </w:rPr>
      </w:pPr>
      <w:r w:rsidRPr="00D93FF9">
        <w:rPr>
          <w:lang w:val="en-GB"/>
        </w:rPr>
        <w:t>&gt;100</w:t>
      </w:r>
      <w:r w:rsidRPr="00D93FF9">
        <w:rPr>
          <w:spacing w:val="-2"/>
          <w:lang w:val="en-GB"/>
        </w:rPr>
        <w:t xml:space="preserve"> </w:t>
      </w:r>
      <w:r w:rsidRPr="00D93FF9">
        <w:rPr>
          <w:lang w:val="en-GB"/>
        </w:rPr>
        <w:t>mg/L</w:t>
      </w:r>
      <w:r w:rsidRPr="00D93FF9">
        <w:rPr>
          <w:lang w:val="en-GB"/>
        </w:rPr>
        <w:tab/>
        <w:t>severe restriction</w:t>
      </w:r>
    </w:p>
    <w:p w14:paraId="59DCDB7C" w14:textId="77777777" w:rsidR="00C46175" w:rsidRPr="00D93FF9" w:rsidRDefault="00C46175" w:rsidP="003807A1">
      <w:pPr>
        <w:pStyle w:val="BodyText"/>
        <w:spacing w:after="0"/>
        <w:rPr>
          <w:sz w:val="20"/>
          <w:lang w:val="en-GB"/>
        </w:rPr>
      </w:pPr>
    </w:p>
    <w:p w14:paraId="59DCDB7D" w14:textId="77777777" w:rsidR="00C46175" w:rsidRPr="00D93FF9" w:rsidRDefault="00E811B8" w:rsidP="0070761D">
      <w:pPr>
        <w:pStyle w:val="Heading5"/>
        <w:rPr>
          <w:lang w:val="en-GB"/>
        </w:rPr>
      </w:pPr>
      <w:r w:rsidRPr="00D93FF9">
        <w:rPr>
          <w:lang w:val="en-GB"/>
        </w:rPr>
        <w:t>Chemical</w:t>
      </w:r>
    </w:p>
    <w:p w14:paraId="59DCDB7E" w14:textId="3A3D08C9" w:rsidR="00C46175" w:rsidRPr="00D93FF9" w:rsidRDefault="00E811B8" w:rsidP="003807A1">
      <w:pPr>
        <w:pStyle w:val="BodyText"/>
        <w:spacing w:after="0" w:line="266" w:lineRule="auto"/>
        <w:jc w:val="both"/>
        <w:rPr>
          <w:lang w:val="en-GB"/>
        </w:rPr>
      </w:pPr>
      <w:r w:rsidRPr="00D93FF9">
        <w:rPr>
          <w:lang w:val="en-GB"/>
        </w:rPr>
        <w:t xml:space="preserve">Chemical precipitation of compounds can result from an excess of calcium or magnesium carbonates and sulfates, or from iron in the soluble ferrous state which is oxidised to the insoluble ferric form on exposure to oxygen (Ayers </w:t>
      </w:r>
      <w:r w:rsidR="00FA6E9E" w:rsidRPr="00D93FF9">
        <w:rPr>
          <w:lang w:val="en-GB"/>
        </w:rPr>
        <w:t>and</w:t>
      </w:r>
      <w:r w:rsidRPr="00D93FF9">
        <w:rPr>
          <w:lang w:val="en-GB"/>
        </w:rPr>
        <w:t xml:space="preserve"> Westcot 1985). It may also occur as a result of changes in temperature and pressure, or mixing of different quality waters.</w:t>
      </w:r>
    </w:p>
    <w:p w14:paraId="59DCDB7F" w14:textId="77777777" w:rsidR="00C46175" w:rsidRPr="00D93FF9" w:rsidRDefault="00E811B8" w:rsidP="003807A1">
      <w:pPr>
        <w:pStyle w:val="BodyText"/>
        <w:spacing w:after="0" w:line="266" w:lineRule="auto"/>
        <w:jc w:val="both"/>
        <w:rPr>
          <w:rFonts w:ascii="Arial"/>
          <w:sz w:val="16"/>
          <w:lang w:val="en-GB"/>
        </w:rPr>
      </w:pPr>
      <w:r w:rsidRPr="00D93FF9">
        <w:rPr>
          <w:lang w:val="en-GB"/>
        </w:rPr>
        <w:t>Fouling caused by a build-up of precipitates is referred to as scaling, and is more commonly associated with groundwaters. Changes in water temperature and pressure can cause scaling when groundwater is pumped to the surface, through the degassing of carbon dioxide (CO</w:t>
      </w:r>
      <w:r w:rsidRPr="00D93FF9">
        <w:rPr>
          <w:position w:val="-4"/>
          <w:sz w:val="15"/>
          <w:lang w:val="en-GB"/>
        </w:rPr>
        <w:t>2</w:t>
      </w:r>
      <w:r w:rsidRPr="00D93FF9">
        <w:rPr>
          <w:lang w:val="en-GB"/>
        </w:rPr>
        <w:t>).</w:t>
      </w:r>
      <w:bookmarkStart w:id="376" w:name="Iron_and_manganese_precipitation"/>
      <w:bookmarkStart w:id="377" w:name="Carbonate_compounds"/>
      <w:bookmarkEnd w:id="376"/>
      <w:bookmarkEnd w:id="377"/>
    </w:p>
    <w:p w14:paraId="59DCDB80" w14:textId="77777777" w:rsidR="00C46175" w:rsidRPr="00D93FF9" w:rsidRDefault="00E811B8" w:rsidP="003807A1">
      <w:pPr>
        <w:pStyle w:val="BodyText"/>
        <w:spacing w:after="0" w:line="249" w:lineRule="auto"/>
        <w:jc w:val="both"/>
        <w:rPr>
          <w:lang w:val="en-GB"/>
        </w:rPr>
      </w:pPr>
      <w:r w:rsidRPr="00D93FF9">
        <w:rPr>
          <w:lang w:val="en-GB"/>
        </w:rPr>
        <w:t>This process alters the concentration of CO</w:t>
      </w:r>
      <w:r w:rsidRPr="00D93FF9">
        <w:rPr>
          <w:position w:val="-4"/>
          <w:sz w:val="15"/>
          <w:lang w:val="en-GB"/>
        </w:rPr>
        <w:t xml:space="preserve">2 </w:t>
      </w:r>
      <w:r w:rsidRPr="00D93FF9">
        <w:rPr>
          <w:lang w:val="en-GB"/>
        </w:rPr>
        <w:t>in water, and may subsequently trigger the formation of precipitate scale. A detailed description of the chemical processes involved is provided in McLaughlan and Knight (1989).</w:t>
      </w:r>
    </w:p>
    <w:p w14:paraId="59DCDB81" w14:textId="77777777" w:rsidR="00C46175" w:rsidRPr="00D93FF9" w:rsidRDefault="00E811B8" w:rsidP="003807A1">
      <w:pPr>
        <w:pStyle w:val="BodyText"/>
        <w:spacing w:after="0" w:line="266" w:lineRule="auto"/>
        <w:jc w:val="both"/>
        <w:rPr>
          <w:lang w:val="en-GB"/>
        </w:rPr>
      </w:pPr>
      <w:r w:rsidRPr="00D93FF9">
        <w:rPr>
          <w:lang w:val="en-GB"/>
        </w:rPr>
        <w:t>Wells can often intersect several different groundwater chemistries and combining of these waters through parting or corrosion of the well, or screening of the well through different layers, can promote the accumulation of scale (McLaughlan 1996). The main chemical precipitates which can lead to fouling of agricultural and groundwater pumping systems are iron, manganese and carbonates. These will be briefly outlined in the following text.</w:t>
      </w:r>
    </w:p>
    <w:p w14:paraId="59DCDB82" w14:textId="77777777" w:rsidR="00C46175" w:rsidRPr="00D93FF9" w:rsidRDefault="00E811B8" w:rsidP="00797880">
      <w:pPr>
        <w:pStyle w:val="ListBullet2"/>
        <w:rPr>
          <w:lang w:val="en-GB"/>
        </w:rPr>
      </w:pPr>
      <w:r w:rsidRPr="00D93FF9">
        <w:rPr>
          <w:lang w:val="en-GB"/>
        </w:rPr>
        <w:t>Iron and manganese precipitation</w:t>
      </w:r>
    </w:p>
    <w:p w14:paraId="59DCDB83" w14:textId="729BB04C" w:rsidR="00C46175" w:rsidRPr="00D93FF9" w:rsidRDefault="00E811B8" w:rsidP="003807A1">
      <w:pPr>
        <w:pStyle w:val="BodyText"/>
        <w:spacing w:after="0" w:line="254" w:lineRule="auto"/>
        <w:jc w:val="both"/>
        <w:rPr>
          <w:lang w:val="en-GB"/>
        </w:rPr>
      </w:pPr>
      <w:r w:rsidRPr="00D93FF9">
        <w:rPr>
          <w:lang w:val="en-GB"/>
        </w:rPr>
        <w:t>Iron and manganese are common constituents in groundwater and may be present in surface waters depending on the surrounding catchment geology. They can occur in the divalent form as dissolved ions (Fe</w:t>
      </w:r>
      <w:r w:rsidRPr="00D93FF9">
        <w:rPr>
          <w:position w:val="5"/>
          <w:sz w:val="15"/>
          <w:lang w:val="en-GB"/>
        </w:rPr>
        <w:t>2+</w:t>
      </w:r>
      <w:r w:rsidRPr="00D93FF9">
        <w:rPr>
          <w:lang w:val="en-GB"/>
        </w:rPr>
        <w:t>, Mn</w:t>
      </w:r>
      <w:r w:rsidRPr="00D93FF9">
        <w:rPr>
          <w:position w:val="5"/>
          <w:sz w:val="15"/>
          <w:lang w:val="en-GB"/>
        </w:rPr>
        <w:t>2+</w:t>
      </w:r>
      <w:r w:rsidRPr="00D93FF9">
        <w:rPr>
          <w:lang w:val="en-GB"/>
        </w:rPr>
        <w:t>), as solids (FeS</w:t>
      </w:r>
      <w:r w:rsidRPr="00D93FF9">
        <w:rPr>
          <w:position w:val="-4"/>
          <w:sz w:val="15"/>
          <w:lang w:val="en-GB"/>
        </w:rPr>
        <w:t>2</w:t>
      </w:r>
      <w:r w:rsidRPr="00D93FF9">
        <w:rPr>
          <w:lang w:val="en-GB"/>
        </w:rPr>
        <w:t>, FeCO</w:t>
      </w:r>
      <w:r w:rsidRPr="00D93FF9">
        <w:rPr>
          <w:position w:val="-4"/>
          <w:sz w:val="15"/>
          <w:lang w:val="en-GB"/>
        </w:rPr>
        <w:t>3</w:t>
      </w:r>
      <w:r w:rsidRPr="00D93FF9">
        <w:rPr>
          <w:lang w:val="en-GB"/>
        </w:rPr>
        <w:t>), or in more oxidised forms (Fe</w:t>
      </w:r>
      <w:r w:rsidRPr="00D93FF9">
        <w:rPr>
          <w:position w:val="5"/>
          <w:sz w:val="15"/>
          <w:lang w:val="en-GB"/>
        </w:rPr>
        <w:t>3+</w:t>
      </w:r>
      <w:r w:rsidRPr="00D93FF9">
        <w:rPr>
          <w:lang w:val="en-GB"/>
        </w:rPr>
        <w:t>, Mn</w:t>
      </w:r>
      <w:r w:rsidRPr="00D93FF9">
        <w:rPr>
          <w:position w:val="5"/>
          <w:sz w:val="15"/>
          <w:lang w:val="en-GB"/>
        </w:rPr>
        <w:t>3+</w:t>
      </w:r>
      <w:r w:rsidRPr="00D93FF9">
        <w:rPr>
          <w:lang w:val="en-GB"/>
        </w:rPr>
        <w:t>, Mn</w:t>
      </w:r>
      <w:r w:rsidRPr="00D93FF9">
        <w:rPr>
          <w:position w:val="5"/>
          <w:sz w:val="15"/>
          <w:lang w:val="en-GB"/>
        </w:rPr>
        <w:t>4+</w:t>
      </w:r>
      <w:r w:rsidRPr="00D93FF9">
        <w:rPr>
          <w:lang w:val="en-GB"/>
        </w:rPr>
        <w:t>) which can form precipitates (Fe(OH)</w:t>
      </w:r>
      <w:r w:rsidRPr="00D93FF9">
        <w:rPr>
          <w:position w:val="-4"/>
          <w:sz w:val="15"/>
          <w:lang w:val="en-GB"/>
        </w:rPr>
        <w:t>3</w:t>
      </w:r>
      <w:r w:rsidRPr="00D93FF9">
        <w:rPr>
          <w:lang w:val="en-GB"/>
        </w:rPr>
        <w:t>, MnO</w:t>
      </w:r>
      <w:r w:rsidRPr="00D93FF9">
        <w:rPr>
          <w:position w:val="-4"/>
          <w:sz w:val="15"/>
          <w:lang w:val="en-GB"/>
        </w:rPr>
        <w:t>2</w:t>
      </w:r>
      <w:r w:rsidRPr="00D93FF9">
        <w:rPr>
          <w:lang w:val="en-GB"/>
        </w:rPr>
        <w:t xml:space="preserve">) (McLaughlan </w:t>
      </w:r>
      <w:r w:rsidR="00FA6E9E" w:rsidRPr="00D93FF9">
        <w:rPr>
          <w:lang w:val="en-GB"/>
        </w:rPr>
        <w:t>and</w:t>
      </w:r>
      <w:r w:rsidRPr="00D93FF9">
        <w:rPr>
          <w:lang w:val="en-GB"/>
        </w:rPr>
        <w:t xml:space="preserve"> Knight</w:t>
      </w:r>
      <w:r w:rsidRPr="00D93FF9">
        <w:rPr>
          <w:spacing w:val="9"/>
          <w:lang w:val="en-GB"/>
        </w:rPr>
        <w:t xml:space="preserve"> </w:t>
      </w:r>
      <w:r w:rsidRPr="00D93FF9">
        <w:rPr>
          <w:lang w:val="en-GB"/>
        </w:rPr>
        <w:t>1989).</w:t>
      </w:r>
    </w:p>
    <w:p w14:paraId="59DCDB84" w14:textId="418097E3" w:rsidR="00C46175" w:rsidRPr="00D93FF9" w:rsidRDefault="00E811B8" w:rsidP="003807A1">
      <w:pPr>
        <w:pStyle w:val="BodyText"/>
        <w:spacing w:after="0" w:line="280" w:lineRule="exact"/>
        <w:jc w:val="both"/>
        <w:rPr>
          <w:lang w:val="en-GB"/>
        </w:rPr>
      </w:pPr>
      <w:r w:rsidRPr="00D93FF9">
        <w:rPr>
          <w:lang w:val="en-GB"/>
        </w:rPr>
        <w:t>The precipitation of iron and manganese is influenced by various water quality parameters including pH, redox potential (Eh), concentrations of dissolved CO</w:t>
      </w:r>
      <w:r w:rsidRPr="00D93FF9">
        <w:rPr>
          <w:position w:val="-4"/>
          <w:sz w:val="15"/>
          <w:lang w:val="en-GB"/>
        </w:rPr>
        <w:t>2</w:t>
      </w:r>
      <w:r w:rsidRPr="00D93FF9">
        <w:rPr>
          <w:lang w:val="en-GB"/>
        </w:rPr>
        <w:t>, sulfur, organic matter and the presence of microorganisms. Generally, if pH is maintained in the range of 5–9 at a low Eh (0.1–0.2v), then iron will remain in solution (Hem 1970). Manganese, which is generally more stable, will also remain in solution under these conditions.</w:t>
      </w:r>
    </w:p>
    <w:p w14:paraId="59DCDB85" w14:textId="6BE910C0" w:rsidR="00C46175" w:rsidRPr="00D93FF9" w:rsidRDefault="00E811B8" w:rsidP="003807A1">
      <w:pPr>
        <w:pStyle w:val="BodyText"/>
        <w:spacing w:after="0" w:line="249" w:lineRule="auto"/>
        <w:jc w:val="both"/>
        <w:rPr>
          <w:lang w:val="en-GB"/>
        </w:rPr>
      </w:pPr>
      <w:r w:rsidRPr="00D93FF9">
        <w:rPr>
          <w:lang w:val="en-GB"/>
        </w:rPr>
        <w:t>Elevated levels of dissolved CO</w:t>
      </w:r>
      <w:r w:rsidRPr="00D93FF9">
        <w:rPr>
          <w:position w:val="-4"/>
          <w:sz w:val="15"/>
          <w:lang w:val="en-GB"/>
        </w:rPr>
        <w:t>2</w:t>
      </w:r>
      <w:r w:rsidRPr="00D93FF9">
        <w:rPr>
          <w:lang w:val="en-GB"/>
        </w:rPr>
        <w:t xml:space="preserve">, sulfur and organo-metal complexes can also lead to the formation of precipitates, however, </w:t>
      </w:r>
      <w:r w:rsidR="00855C80" w:rsidRPr="00D93FF9">
        <w:rPr>
          <w:lang w:val="en-GB"/>
        </w:rPr>
        <w:t>guideline values</w:t>
      </w:r>
      <w:r w:rsidRPr="00D93FF9">
        <w:rPr>
          <w:lang w:val="en-GB"/>
        </w:rPr>
        <w:t xml:space="preserve"> are hard to define due to the complex interactions involved. A comprehensive description is provided in Hem</w:t>
      </w:r>
      <w:r w:rsidRPr="00D93FF9">
        <w:rPr>
          <w:spacing w:val="-2"/>
          <w:lang w:val="en-GB"/>
        </w:rPr>
        <w:t xml:space="preserve"> </w:t>
      </w:r>
      <w:r w:rsidRPr="00D93FF9">
        <w:rPr>
          <w:lang w:val="en-GB"/>
        </w:rPr>
        <w:t>(1970).</w:t>
      </w:r>
    </w:p>
    <w:p w14:paraId="59DCDB86" w14:textId="77777777" w:rsidR="00C46175" w:rsidRPr="00D93FF9" w:rsidRDefault="00E811B8" w:rsidP="003807A1">
      <w:pPr>
        <w:pStyle w:val="BodyText"/>
        <w:spacing w:after="0" w:line="266" w:lineRule="auto"/>
        <w:jc w:val="both"/>
        <w:rPr>
          <w:lang w:val="en-GB"/>
        </w:rPr>
      </w:pPr>
      <w:r w:rsidRPr="00D93FF9">
        <w:rPr>
          <w:lang w:val="en-GB"/>
        </w:rPr>
        <w:lastRenderedPageBreak/>
        <w:t>Microorganisms often play a substantial role in the formation of scale from iron and manganese precipitates and this issue is discussed in the Section on</w:t>
      </w:r>
      <w:r w:rsidRPr="00D93FF9">
        <w:rPr>
          <w:spacing w:val="4"/>
          <w:lang w:val="en-GB"/>
        </w:rPr>
        <w:t xml:space="preserve"> </w:t>
      </w:r>
      <w:r w:rsidRPr="00D93FF9">
        <w:rPr>
          <w:lang w:val="en-GB"/>
        </w:rPr>
        <w:t>biofouling.</w:t>
      </w:r>
    </w:p>
    <w:p w14:paraId="59DCDB87" w14:textId="77777777" w:rsidR="00C46175" w:rsidRPr="00D93FF9" w:rsidRDefault="00C46175" w:rsidP="003807A1">
      <w:pPr>
        <w:pStyle w:val="BodyText"/>
        <w:spacing w:after="0"/>
        <w:rPr>
          <w:sz w:val="19"/>
          <w:lang w:val="en-GB"/>
        </w:rPr>
      </w:pPr>
    </w:p>
    <w:p w14:paraId="59DCDB88" w14:textId="77777777" w:rsidR="00C46175" w:rsidRPr="00D93FF9" w:rsidRDefault="00E811B8" w:rsidP="00797880">
      <w:pPr>
        <w:pStyle w:val="ListBullet2"/>
        <w:rPr>
          <w:lang w:val="en-GB"/>
        </w:rPr>
      </w:pPr>
      <w:r w:rsidRPr="00D93FF9">
        <w:rPr>
          <w:lang w:val="en-GB"/>
        </w:rPr>
        <w:t>Carbonate compounds</w:t>
      </w:r>
    </w:p>
    <w:p w14:paraId="59DCDB89" w14:textId="0B5AEF40" w:rsidR="00C46175" w:rsidRPr="00D93FF9" w:rsidRDefault="00E811B8" w:rsidP="003807A1">
      <w:pPr>
        <w:pStyle w:val="BodyText"/>
        <w:spacing w:after="0" w:line="254" w:lineRule="auto"/>
        <w:jc w:val="both"/>
        <w:rPr>
          <w:lang w:val="en-GB"/>
        </w:rPr>
      </w:pPr>
      <w:r w:rsidRPr="00D93FF9">
        <w:rPr>
          <w:lang w:val="en-GB"/>
        </w:rPr>
        <w:t xml:space="preserve">Precipitation of carbonate compounds occurs in conjunction with the release of </w:t>
      </w:r>
      <w:r w:rsidRPr="00D93FF9">
        <w:rPr>
          <w:sz w:val="20"/>
          <w:lang w:val="en-GB"/>
        </w:rPr>
        <w:t>CO</w:t>
      </w:r>
      <w:r w:rsidRPr="00D93FF9">
        <w:rPr>
          <w:position w:val="-4"/>
          <w:sz w:val="15"/>
          <w:lang w:val="en-GB"/>
        </w:rPr>
        <w:t>2</w:t>
      </w:r>
      <w:r w:rsidRPr="00D93FF9">
        <w:rPr>
          <w:lang w:val="en-GB"/>
        </w:rPr>
        <w:t xml:space="preserve">, as a mechanism to buffer water against significant changes in pH. It involves the following series of reactions (McLaughlan </w:t>
      </w:r>
      <w:r w:rsidR="00FA6E9E" w:rsidRPr="00D93FF9">
        <w:rPr>
          <w:lang w:val="en-GB"/>
        </w:rPr>
        <w:t>and</w:t>
      </w:r>
      <w:r w:rsidRPr="00D93FF9">
        <w:rPr>
          <w:lang w:val="en-GB"/>
        </w:rPr>
        <w:t xml:space="preserve"> Knight 1989), which are dependent on a number of factors including the temperature and ionic strength of water.</w:t>
      </w:r>
    </w:p>
    <w:p w14:paraId="59DCDB8A" w14:textId="77777777" w:rsidR="00797880" w:rsidRPr="00D93FF9" w:rsidRDefault="00797880" w:rsidP="003807A1">
      <w:pPr>
        <w:pStyle w:val="BodyText"/>
        <w:spacing w:after="0" w:line="254" w:lineRule="auto"/>
        <w:jc w:val="both"/>
        <w:rPr>
          <w:lang w:val="en-GB"/>
        </w:rPr>
      </w:pPr>
    </w:p>
    <w:p w14:paraId="59DCDB8B" w14:textId="60799F56" w:rsidR="00C46175" w:rsidRPr="00D93FF9" w:rsidRDefault="00E811B8" w:rsidP="003807A1">
      <w:pPr>
        <w:tabs>
          <w:tab w:val="left" w:pos="7904"/>
        </w:tabs>
        <w:spacing w:after="0"/>
        <w:rPr>
          <w:lang w:val="en-GB"/>
        </w:rPr>
      </w:pPr>
      <w:r w:rsidRPr="00D93FF9">
        <w:rPr>
          <w:lang w:val="en-GB"/>
        </w:rPr>
        <w:t>CO</w:t>
      </w:r>
      <w:r w:rsidRPr="00D93FF9">
        <w:rPr>
          <w:position w:val="-4"/>
          <w:sz w:val="15"/>
          <w:lang w:val="en-GB"/>
        </w:rPr>
        <w:t xml:space="preserve">2 </w:t>
      </w:r>
      <w:r w:rsidRPr="00D93FF9">
        <w:rPr>
          <w:lang w:val="en-GB"/>
        </w:rPr>
        <w:t>(g)</w:t>
      </w:r>
      <w:r w:rsidRPr="00D93FF9">
        <w:rPr>
          <w:spacing w:val="-20"/>
          <w:lang w:val="en-GB"/>
        </w:rPr>
        <w:t xml:space="preserve"> </w:t>
      </w:r>
      <w:r w:rsidR="00962EA1" w:rsidRPr="00D93FF9">
        <w:rPr>
          <w:rFonts w:ascii="Symbol" w:hAnsi="Symbol"/>
          <w:lang w:val="en-GB"/>
        </w:rPr>
        <w:sym w:font="Symbol" w:char="F0AB"/>
      </w:r>
      <w:r w:rsidRPr="00D93FF9">
        <w:rPr>
          <w:lang w:val="en-GB"/>
        </w:rPr>
        <w:t xml:space="preserve"> H</w:t>
      </w:r>
      <w:r w:rsidRPr="00D93FF9">
        <w:rPr>
          <w:position w:val="-4"/>
          <w:sz w:val="15"/>
          <w:lang w:val="en-GB"/>
        </w:rPr>
        <w:t>2</w:t>
      </w:r>
      <w:r w:rsidRPr="00D93FF9">
        <w:rPr>
          <w:lang w:val="en-GB"/>
        </w:rPr>
        <w:t>CO</w:t>
      </w:r>
      <w:r w:rsidRPr="00D93FF9">
        <w:rPr>
          <w:position w:val="-4"/>
          <w:sz w:val="15"/>
          <w:lang w:val="en-GB"/>
        </w:rPr>
        <w:t>3</w:t>
      </w:r>
    </w:p>
    <w:p w14:paraId="59DCDB8C" w14:textId="34E294C3" w:rsidR="00C46175" w:rsidRPr="00D93FF9" w:rsidRDefault="00E811B8" w:rsidP="003807A1">
      <w:pPr>
        <w:tabs>
          <w:tab w:val="left" w:pos="7904"/>
        </w:tabs>
        <w:spacing w:after="0"/>
        <w:rPr>
          <w:lang w:val="en-GB"/>
        </w:rPr>
      </w:pPr>
      <w:r w:rsidRPr="00D93FF9">
        <w:rPr>
          <w:lang w:val="en-GB"/>
        </w:rPr>
        <w:t>H</w:t>
      </w:r>
      <w:r w:rsidRPr="00D93FF9">
        <w:rPr>
          <w:position w:val="-4"/>
          <w:sz w:val="15"/>
          <w:lang w:val="en-GB"/>
        </w:rPr>
        <w:t>2</w:t>
      </w:r>
      <w:r w:rsidRPr="00D93FF9">
        <w:rPr>
          <w:lang w:val="en-GB"/>
        </w:rPr>
        <w:t>CO</w:t>
      </w:r>
      <w:r w:rsidRPr="00D93FF9">
        <w:rPr>
          <w:position w:val="-4"/>
          <w:sz w:val="15"/>
          <w:lang w:val="en-GB"/>
        </w:rPr>
        <w:t xml:space="preserve">3 </w:t>
      </w:r>
      <w:r w:rsidR="00962EA1" w:rsidRPr="00D93FF9">
        <w:rPr>
          <w:rFonts w:ascii="Symbol" w:hAnsi="Symbol"/>
          <w:lang w:val="en-GB"/>
        </w:rPr>
        <w:sym w:font="Symbol" w:char="F0AB"/>
      </w:r>
      <w:r w:rsidRPr="00D93FF9">
        <w:rPr>
          <w:lang w:val="en-GB"/>
        </w:rPr>
        <w:t xml:space="preserve"> H</w:t>
      </w:r>
      <w:r w:rsidRPr="00D93FF9">
        <w:rPr>
          <w:position w:val="5"/>
          <w:sz w:val="15"/>
          <w:lang w:val="en-GB"/>
        </w:rPr>
        <w:t>+</w:t>
      </w:r>
      <w:r w:rsidRPr="00D93FF9">
        <w:rPr>
          <w:spacing w:val="-4"/>
          <w:position w:val="5"/>
          <w:sz w:val="15"/>
          <w:lang w:val="en-GB"/>
        </w:rPr>
        <w:t xml:space="preserve"> </w:t>
      </w:r>
      <w:r w:rsidRPr="00D93FF9">
        <w:rPr>
          <w:lang w:val="en-GB"/>
        </w:rPr>
        <w:t>+ HCO</w:t>
      </w:r>
      <w:r w:rsidRPr="00D93FF9">
        <w:rPr>
          <w:position w:val="-4"/>
          <w:sz w:val="15"/>
          <w:lang w:val="en-GB"/>
        </w:rPr>
        <w:t>3</w:t>
      </w:r>
      <w:r w:rsidRPr="00D93FF9">
        <w:rPr>
          <w:lang w:val="en-GB"/>
        </w:rPr>
        <w:t>-</w:t>
      </w:r>
    </w:p>
    <w:p w14:paraId="59DCDB8D" w14:textId="70CFC82F" w:rsidR="00C46175" w:rsidRPr="00D93FF9" w:rsidRDefault="00E811B8" w:rsidP="003807A1">
      <w:pPr>
        <w:tabs>
          <w:tab w:val="left" w:pos="1407"/>
          <w:tab w:val="left" w:pos="7904"/>
        </w:tabs>
        <w:spacing w:after="0"/>
        <w:rPr>
          <w:lang w:val="en-GB"/>
        </w:rPr>
      </w:pPr>
      <w:r w:rsidRPr="00D93FF9">
        <w:rPr>
          <w:lang w:val="en-GB"/>
        </w:rPr>
        <w:t>HCO</w:t>
      </w:r>
      <w:r w:rsidRPr="00D93FF9">
        <w:rPr>
          <w:position w:val="-4"/>
          <w:sz w:val="15"/>
          <w:lang w:val="en-GB"/>
        </w:rPr>
        <w:t>3</w:t>
      </w:r>
      <w:r w:rsidR="00962EA1" w:rsidRPr="00D93FF9">
        <w:rPr>
          <w:lang w:val="en-GB"/>
        </w:rPr>
        <w:t>-</w:t>
      </w:r>
      <w:r w:rsidR="00962EA1" w:rsidRPr="00D93FF9">
        <w:rPr>
          <w:rFonts w:ascii="Symbol" w:hAnsi="Symbol"/>
          <w:lang w:val="en-GB"/>
        </w:rPr>
        <w:sym w:font="Symbol" w:char="F0AB"/>
      </w:r>
      <w:r w:rsidRPr="00D93FF9">
        <w:rPr>
          <w:lang w:val="en-GB"/>
        </w:rPr>
        <w:t xml:space="preserve"> H</w:t>
      </w:r>
      <w:r w:rsidRPr="00D93FF9">
        <w:rPr>
          <w:position w:val="5"/>
          <w:sz w:val="15"/>
          <w:lang w:val="en-GB"/>
        </w:rPr>
        <w:t>+</w:t>
      </w:r>
      <w:r w:rsidRPr="00D93FF9">
        <w:rPr>
          <w:spacing w:val="19"/>
          <w:position w:val="5"/>
          <w:sz w:val="15"/>
          <w:lang w:val="en-GB"/>
        </w:rPr>
        <w:t xml:space="preserve"> </w:t>
      </w:r>
      <w:r w:rsidRPr="00D93FF9">
        <w:rPr>
          <w:lang w:val="en-GB"/>
        </w:rPr>
        <w:t>+ CO</w:t>
      </w:r>
      <w:r w:rsidRPr="00D93FF9">
        <w:rPr>
          <w:position w:val="-4"/>
          <w:sz w:val="15"/>
          <w:lang w:val="en-GB"/>
        </w:rPr>
        <w:t>3</w:t>
      </w:r>
      <w:r w:rsidRPr="00D93FF9">
        <w:rPr>
          <w:position w:val="5"/>
          <w:sz w:val="15"/>
          <w:lang w:val="en-GB"/>
        </w:rPr>
        <w:t>2</w:t>
      </w:r>
      <w:r w:rsidRPr="00D93FF9">
        <w:rPr>
          <w:position w:val="10"/>
          <w:sz w:val="14"/>
          <w:lang w:val="en-GB"/>
        </w:rPr>
        <w:t>-</w:t>
      </w:r>
    </w:p>
    <w:p w14:paraId="59DCDB8E" w14:textId="6E3F9C0C" w:rsidR="00C46175" w:rsidRPr="00D93FF9" w:rsidRDefault="00E811B8" w:rsidP="003807A1">
      <w:pPr>
        <w:tabs>
          <w:tab w:val="left" w:pos="7904"/>
        </w:tabs>
        <w:spacing w:after="0"/>
        <w:rPr>
          <w:lang w:val="en-GB"/>
        </w:rPr>
      </w:pPr>
      <w:r w:rsidRPr="00D93FF9">
        <w:rPr>
          <w:lang w:val="en-GB"/>
        </w:rPr>
        <w:t>CO</w:t>
      </w:r>
      <w:r w:rsidRPr="00D93FF9">
        <w:rPr>
          <w:position w:val="-4"/>
          <w:sz w:val="15"/>
          <w:lang w:val="en-GB"/>
        </w:rPr>
        <w:t>3</w:t>
      </w:r>
      <w:r w:rsidRPr="00D93FF9">
        <w:rPr>
          <w:position w:val="5"/>
          <w:sz w:val="15"/>
          <w:lang w:val="en-GB"/>
        </w:rPr>
        <w:t>2</w:t>
      </w:r>
      <w:r w:rsidRPr="00D93FF9">
        <w:rPr>
          <w:position w:val="10"/>
          <w:sz w:val="14"/>
          <w:lang w:val="en-GB"/>
        </w:rPr>
        <w:t xml:space="preserve">- </w:t>
      </w:r>
      <w:r w:rsidRPr="00D93FF9">
        <w:rPr>
          <w:lang w:val="en-GB"/>
        </w:rPr>
        <w:t>+ Ca</w:t>
      </w:r>
      <w:r w:rsidRPr="00D93FF9">
        <w:rPr>
          <w:position w:val="5"/>
          <w:sz w:val="15"/>
          <w:lang w:val="en-GB"/>
        </w:rPr>
        <w:t>2+</w:t>
      </w:r>
      <w:r w:rsidRPr="00D93FF9">
        <w:rPr>
          <w:spacing w:val="20"/>
          <w:position w:val="5"/>
          <w:sz w:val="15"/>
          <w:lang w:val="en-GB"/>
        </w:rPr>
        <w:t xml:space="preserve"> </w:t>
      </w:r>
      <w:r w:rsidR="00962EA1" w:rsidRPr="00D93FF9">
        <w:rPr>
          <w:rFonts w:ascii="Symbol" w:hAnsi="Symbol"/>
          <w:lang w:val="en-GB"/>
        </w:rPr>
        <w:sym w:font="Symbol" w:char="F0AB"/>
      </w:r>
      <w:r w:rsidRPr="00D93FF9">
        <w:rPr>
          <w:spacing w:val="1"/>
          <w:lang w:val="en-GB"/>
        </w:rPr>
        <w:t xml:space="preserve"> </w:t>
      </w:r>
      <w:r w:rsidRPr="00D93FF9">
        <w:rPr>
          <w:lang w:val="en-GB"/>
        </w:rPr>
        <w:t>CaCO</w:t>
      </w:r>
      <w:r w:rsidR="006D24CE" w:rsidRPr="00D93FF9">
        <w:rPr>
          <w:vertAlign w:val="subscript"/>
          <w:lang w:val="en-GB"/>
        </w:rPr>
        <w:t>3</w:t>
      </w:r>
    </w:p>
    <w:p w14:paraId="59DCDB8F" w14:textId="77777777" w:rsidR="00797880" w:rsidRPr="00D93FF9" w:rsidRDefault="00797880" w:rsidP="003807A1">
      <w:pPr>
        <w:pStyle w:val="BodyText"/>
        <w:spacing w:after="0" w:line="280" w:lineRule="exact"/>
        <w:jc w:val="both"/>
        <w:rPr>
          <w:lang w:val="en-GB"/>
        </w:rPr>
      </w:pPr>
    </w:p>
    <w:p w14:paraId="59DCDB90" w14:textId="77777777" w:rsidR="00C46175" w:rsidRPr="00D93FF9" w:rsidRDefault="00E811B8" w:rsidP="003807A1">
      <w:pPr>
        <w:pStyle w:val="BodyText"/>
        <w:spacing w:after="0" w:line="280" w:lineRule="exact"/>
        <w:jc w:val="both"/>
        <w:rPr>
          <w:lang w:val="en-GB"/>
        </w:rPr>
      </w:pPr>
      <w:r w:rsidRPr="00D93FF9">
        <w:rPr>
          <w:lang w:val="en-GB"/>
        </w:rPr>
        <w:t>Calcium carbonate is one of the most common carbonate compounds to cause fouling in agricultural water distribution systems. The potential for fouling of agricultural waters can be predicted using Langelier’s Index. Positive values of the index indicate a tendency for precipitation of CaCO</w:t>
      </w:r>
      <w:r w:rsidRPr="00D93FF9">
        <w:rPr>
          <w:position w:val="-4"/>
          <w:sz w:val="15"/>
          <w:lang w:val="en-GB"/>
        </w:rPr>
        <w:t>3</w:t>
      </w:r>
      <w:r w:rsidRPr="00D93FF9">
        <w:rPr>
          <w:lang w:val="en-GB"/>
        </w:rPr>
        <w:t>, while negative values indicate the potential for CaCO</w:t>
      </w:r>
      <w:r w:rsidRPr="00D93FF9">
        <w:rPr>
          <w:position w:val="-4"/>
          <w:sz w:val="15"/>
          <w:lang w:val="en-GB"/>
        </w:rPr>
        <w:t xml:space="preserve">3 </w:t>
      </w:r>
      <w:r w:rsidRPr="00D93FF9">
        <w:rPr>
          <w:lang w:val="en-GB"/>
        </w:rPr>
        <w:t>to dissolve and for corrosion to occur.</w:t>
      </w:r>
    </w:p>
    <w:p w14:paraId="59DCDB91" w14:textId="77777777" w:rsidR="00C46175" w:rsidRPr="00D93FF9" w:rsidRDefault="00C46175" w:rsidP="003807A1">
      <w:pPr>
        <w:pStyle w:val="BodyText"/>
        <w:spacing w:after="0"/>
        <w:rPr>
          <w:sz w:val="20"/>
          <w:lang w:val="en-GB"/>
        </w:rPr>
      </w:pPr>
    </w:p>
    <w:p w14:paraId="59DCDB92" w14:textId="77777777" w:rsidR="00C46175" w:rsidRPr="00D93FF9" w:rsidRDefault="00E811B8" w:rsidP="00BD3779">
      <w:pPr>
        <w:pStyle w:val="ListBullet"/>
        <w:rPr>
          <w:lang w:val="en-GB"/>
        </w:rPr>
      </w:pPr>
      <w:r w:rsidRPr="00D93FF9">
        <w:rPr>
          <w:lang w:val="en-GB"/>
        </w:rPr>
        <w:t>Biological (biofouling)</w:t>
      </w:r>
    </w:p>
    <w:p w14:paraId="59DCDB93" w14:textId="77777777" w:rsidR="00C46175" w:rsidRPr="00D93FF9" w:rsidRDefault="00E811B8" w:rsidP="003807A1">
      <w:pPr>
        <w:pStyle w:val="BodyText"/>
        <w:spacing w:after="0" w:line="266" w:lineRule="auto"/>
        <w:jc w:val="both"/>
        <w:rPr>
          <w:rFonts w:ascii="Arial"/>
          <w:sz w:val="20"/>
          <w:lang w:val="en-GB"/>
        </w:rPr>
      </w:pPr>
      <w:r w:rsidRPr="00D93FF9">
        <w:rPr>
          <w:lang w:val="en-GB"/>
        </w:rPr>
        <w:t>Fouling as a result of microorganisms such as bacteria, algae, slimes and fungi can occur in groundwater wells, storage tanks, irrigation and pumping equipment. Microorganisms can accelerate the rate of the chemical reactions described in the previous Section or can cause clogging due to excessive growth.</w:t>
      </w:r>
      <w:bookmarkStart w:id="378" w:name="Iron_biofouling"/>
      <w:bookmarkStart w:id="379" w:name="Aluminium_biofouling"/>
      <w:bookmarkStart w:id="380" w:name="Organic_biofouling"/>
      <w:bookmarkStart w:id="381" w:name="Water_quality_parameters_that_influence_"/>
      <w:bookmarkEnd w:id="378"/>
      <w:bookmarkEnd w:id="379"/>
      <w:bookmarkEnd w:id="380"/>
      <w:bookmarkEnd w:id="381"/>
      <w:r w:rsidR="000D4F75" w:rsidRPr="00D93FF9">
        <w:rPr>
          <w:rFonts w:ascii="Arial"/>
          <w:sz w:val="20"/>
          <w:lang w:val="en-GB"/>
        </w:rPr>
        <w:t xml:space="preserve"> </w:t>
      </w:r>
    </w:p>
    <w:p w14:paraId="59DCDB94" w14:textId="14762815" w:rsidR="00C46175" w:rsidRPr="00D93FF9" w:rsidRDefault="00E811B8" w:rsidP="003807A1">
      <w:pPr>
        <w:pStyle w:val="BodyText"/>
        <w:spacing w:after="0" w:line="266" w:lineRule="auto"/>
        <w:jc w:val="both"/>
        <w:rPr>
          <w:lang w:val="en-GB"/>
        </w:rPr>
      </w:pPr>
      <w:r w:rsidRPr="00D93FF9">
        <w:rPr>
          <w:lang w:val="en-GB"/>
        </w:rPr>
        <w:t>Biofouling deposit formation involves the production of extracellular polymeric substances and the subsequent accumulation of inorganic elements and colloids (McLaughlan et al. 1993). A number of different mechanisms can result in different forms of biofouling including iron, sulfur, aluminium and organic based deposits. The most common type of deposit however, is usually a combination of physical, chemical and biological</w:t>
      </w:r>
      <w:r w:rsidRPr="00D93FF9">
        <w:rPr>
          <w:spacing w:val="2"/>
          <w:lang w:val="en-GB"/>
        </w:rPr>
        <w:t xml:space="preserve"> </w:t>
      </w:r>
      <w:r w:rsidRPr="00D93FF9">
        <w:rPr>
          <w:lang w:val="en-GB"/>
        </w:rPr>
        <w:t>processes.</w:t>
      </w:r>
    </w:p>
    <w:p w14:paraId="59DCDB95" w14:textId="5331BC5A" w:rsidR="00C46175" w:rsidRPr="00D93FF9" w:rsidRDefault="00E811B8" w:rsidP="003807A1">
      <w:pPr>
        <w:pStyle w:val="BodyText"/>
        <w:spacing w:after="0"/>
        <w:jc w:val="both"/>
        <w:rPr>
          <w:lang w:val="en-GB"/>
        </w:rPr>
      </w:pPr>
      <w:r w:rsidRPr="00D93FF9">
        <w:rPr>
          <w:lang w:val="en-GB"/>
        </w:rPr>
        <w:t>Important factors influencing the rate of biofouling are listed in</w:t>
      </w:r>
      <w:r w:rsidR="00DF4E4E" w:rsidRPr="00D93FF9">
        <w:rPr>
          <w:lang w:val="en-GB"/>
        </w:rPr>
        <w:fldChar w:fldCharType="begin"/>
      </w:r>
      <w:r w:rsidR="00DF4E4E" w:rsidRPr="00D93FF9">
        <w:rPr>
          <w:lang w:val="en-GB"/>
        </w:rPr>
        <w:instrText xml:space="preserve"> REF _Ref81396091 \h </w:instrText>
      </w:r>
      <w:r w:rsidR="00D93FF9">
        <w:rPr>
          <w:lang w:val="en-GB"/>
        </w:rPr>
        <w:instrText xml:space="preserve"> \* MERGEFORMAT </w:instrText>
      </w:r>
      <w:r w:rsidR="00DF4E4E" w:rsidRPr="00D93FF9">
        <w:rPr>
          <w:lang w:val="en-GB"/>
        </w:rPr>
      </w:r>
      <w:r w:rsidR="00DF4E4E" w:rsidRPr="00D93FF9">
        <w:rPr>
          <w:lang w:val="en-GB"/>
        </w:rPr>
        <w:fldChar w:fldCharType="separate"/>
      </w:r>
      <w:r w:rsidR="0069302C" w:rsidRPr="00D93FF9">
        <w:t xml:space="preserve">Table </w:t>
      </w:r>
      <w:r w:rsidR="0069302C">
        <w:rPr>
          <w:noProof/>
        </w:rPr>
        <w:t>38</w:t>
      </w:r>
      <w:r w:rsidR="00DF4E4E" w:rsidRPr="00D93FF9">
        <w:rPr>
          <w:lang w:val="en-GB"/>
        </w:rPr>
        <w:fldChar w:fldCharType="end"/>
      </w:r>
      <w:r w:rsidRPr="00D93FF9">
        <w:rPr>
          <w:lang w:val="en-GB"/>
        </w:rPr>
        <w:t>.</w:t>
      </w:r>
    </w:p>
    <w:p w14:paraId="59DCDB96" w14:textId="77777777" w:rsidR="00E7074F" w:rsidRPr="00D93FF9" w:rsidRDefault="00E7074F" w:rsidP="003807A1">
      <w:pPr>
        <w:spacing w:after="0"/>
        <w:jc w:val="both"/>
        <w:rPr>
          <w:rFonts w:ascii="Arial"/>
          <w:b/>
          <w:sz w:val="18"/>
          <w:lang w:val="en-GB"/>
        </w:rPr>
      </w:pPr>
    </w:p>
    <w:p w14:paraId="59DCDB97" w14:textId="070B5097" w:rsidR="00C46175" w:rsidRPr="00D93FF9" w:rsidRDefault="00DF4E4E" w:rsidP="00DF4E4E">
      <w:pPr>
        <w:pStyle w:val="Caption"/>
        <w:rPr>
          <w:rFonts w:ascii="Arial"/>
          <w:position w:val="4"/>
          <w:sz w:val="12"/>
          <w:lang w:val="en-GB"/>
        </w:rPr>
      </w:pPr>
      <w:bookmarkStart w:id="382" w:name="_Ref81396091"/>
      <w:bookmarkStart w:id="383" w:name="_Toc96518252"/>
      <w:r w:rsidRPr="00D93FF9">
        <w:t xml:space="preserve">Table </w:t>
      </w:r>
      <w:r w:rsidR="00477102" w:rsidRPr="00D93FF9">
        <w:fldChar w:fldCharType="begin"/>
      </w:r>
      <w:r w:rsidR="00477102" w:rsidRPr="00D93FF9">
        <w:instrText xml:space="preserve"> SEQ Table \* ARABIC </w:instrText>
      </w:r>
      <w:r w:rsidR="00477102" w:rsidRPr="00D93FF9">
        <w:fldChar w:fldCharType="separate"/>
      </w:r>
      <w:r w:rsidR="0069302C">
        <w:rPr>
          <w:noProof/>
        </w:rPr>
        <w:t>38</w:t>
      </w:r>
      <w:r w:rsidR="00477102" w:rsidRPr="00D93FF9">
        <w:fldChar w:fldCharType="end"/>
      </w:r>
      <w:bookmarkEnd w:id="382"/>
      <w:r w:rsidRPr="00D93FF9">
        <w:t xml:space="preserve"> </w:t>
      </w:r>
      <w:bookmarkStart w:id="384" w:name="_Hlk153812889"/>
      <w:r w:rsidR="00E90CE0" w:rsidRPr="00D93FF9">
        <w:rPr>
          <w:rFonts w:ascii="Arial"/>
          <w:sz w:val="18"/>
          <w:lang w:val="en-GB"/>
        </w:rPr>
        <w:t>Factors influencing the rate of biofouling</w:t>
      </w:r>
      <w:r w:rsidR="00E90CE0" w:rsidRPr="00D93FF9">
        <w:rPr>
          <w:rFonts w:ascii="Arial"/>
          <w:position w:val="4"/>
          <w:sz w:val="12"/>
          <w:vertAlign w:val="superscript"/>
          <w:lang w:val="en-GB"/>
        </w:rPr>
        <w:t>a</w:t>
      </w:r>
      <w:bookmarkEnd w:id="383"/>
      <w:bookmarkEnd w:id="38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Factors influencing the rate of biofouling"/>
        <w:tblDescription w:val="Details important factors that influence the rate of biofouling, such as water quality, bacterial activity, particle availability, and biofilm shear forces."/>
      </w:tblPr>
      <w:tblGrid>
        <w:gridCol w:w="2252"/>
        <w:gridCol w:w="2252"/>
        <w:gridCol w:w="2253"/>
        <w:gridCol w:w="2253"/>
      </w:tblGrid>
      <w:tr w:rsidR="00BE3AA8" w:rsidRPr="00D93FF9" w14:paraId="59DCDB9C" w14:textId="77777777" w:rsidTr="006D24CE">
        <w:tc>
          <w:tcPr>
            <w:tcW w:w="2252" w:type="dxa"/>
          </w:tcPr>
          <w:p w14:paraId="59DCDB98" w14:textId="77777777" w:rsidR="008C1D7B" w:rsidRPr="00D93FF9" w:rsidRDefault="00E811B8" w:rsidP="003807A1">
            <w:pPr>
              <w:spacing w:after="0"/>
              <w:jc w:val="both"/>
              <w:rPr>
                <w:rFonts w:asciiTheme="minorHAnsi" w:hAnsiTheme="minorHAnsi"/>
                <w:b/>
                <w:bCs/>
                <w:position w:val="4"/>
                <w:szCs w:val="18"/>
                <w:lang w:val="en-GB"/>
              </w:rPr>
            </w:pPr>
            <w:r w:rsidRPr="00D93FF9">
              <w:rPr>
                <w:rFonts w:asciiTheme="minorHAnsi" w:hAnsiTheme="minorHAnsi"/>
                <w:b/>
                <w:bCs/>
                <w:position w:val="4"/>
                <w:szCs w:val="18"/>
                <w:lang w:val="en-GB"/>
              </w:rPr>
              <w:t>Water quality</w:t>
            </w:r>
          </w:p>
        </w:tc>
        <w:tc>
          <w:tcPr>
            <w:tcW w:w="2252" w:type="dxa"/>
          </w:tcPr>
          <w:p w14:paraId="59DCDB99" w14:textId="77777777" w:rsidR="008C1D7B" w:rsidRPr="00D93FF9" w:rsidRDefault="00E811B8" w:rsidP="003807A1">
            <w:pPr>
              <w:spacing w:after="0"/>
              <w:jc w:val="both"/>
              <w:rPr>
                <w:rFonts w:asciiTheme="minorHAnsi" w:hAnsiTheme="minorHAnsi"/>
                <w:b/>
                <w:bCs/>
                <w:position w:val="4"/>
                <w:szCs w:val="18"/>
                <w:lang w:val="en-GB"/>
              </w:rPr>
            </w:pPr>
            <w:r w:rsidRPr="00D93FF9">
              <w:rPr>
                <w:rFonts w:asciiTheme="minorHAnsi" w:hAnsiTheme="minorHAnsi"/>
                <w:b/>
                <w:bCs/>
                <w:position w:val="4"/>
                <w:szCs w:val="18"/>
                <w:lang w:val="en-GB"/>
              </w:rPr>
              <w:t>Bac</w:t>
            </w:r>
            <w:r w:rsidR="00B86765" w:rsidRPr="00D93FF9">
              <w:rPr>
                <w:rFonts w:asciiTheme="minorHAnsi" w:hAnsiTheme="minorHAnsi"/>
                <w:b/>
                <w:bCs/>
                <w:position w:val="4"/>
                <w:szCs w:val="18"/>
                <w:lang w:val="en-GB"/>
              </w:rPr>
              <w:t>t</w:t>
            </w:r>
            <w:r w:rsidRPr="00D93FF9">
              <w:rPr>
                <w:rFonts w:asciiTheme="minorHAnsi" w:hAnsiTheme="minorHAnsi"/>
                <w:b/>
                <w:bCs/>
                <w:position w:val="4"/>
                <w:szCs w:val="18"/>
                <w:lang w:val="en-GB"/>
              </w:rPr>
              <w:t>erial activity</w:t>
            </w:r>
          </w:p>
        </w:tc>
        <w:tc>
          <w:tcPr>
            <w:tcW w:w="2253" w:type="dxa"/>
          </w:tcPr>
          <w:p w14:paraId="59DCDB9A" w14:textId="77777777" w:rsidR="008C1D7B" w:rsidRPr="00D93FF9" w:rsidRDefault="00E811B8" w:rsidP="003807A1">
            <w:pPr>
              <w:spacing w:after="0"/>
              <w:jc w:val="both"/>
              <w:rPr>
                <w:rFonts w:asciiTheme="minorHAnsi" w:hAnsiTheme="minorHAnsi"/>
                <w:b/>
                <w:bCs/>
                <w:position w:val="4"/>
                <w:szCs w:val="18"/>
                <w:lang w:val="en-GB"/>
              </w:rPr>
            </w:pPr>
            <w:r w:rsidRPr="00D93FF9">
              <w:rPr>
                <w:rFonts w:asciiTheme="minorHAnsi" w:hAnsiTheme="minorHAnsi"/>
                <w:b/>
                <w:bCs/>
                <w:position w:val="4"/>
                <w:szCs w:val="18"/>
                <w:lang w:val="en-GB"/>
              </w:rPr>
              <w:t>Particle availability</w:t>
            </w:r>
          </w:p>
        </w:tc>
        <w:tc>
          <w:tcPr>
            <w:tcW w:w="2253" w:type="dxa"/>
          </w:tcPr>
          <w:p w14:paraId="59DCDB9B" w14:textId="77777777" w:rsidR="008C1D7B" w:rsidRPr="00D93FF9" w:rsidRDefault="00E811B8" w:rsidP="003807A1">
            <w:pPr>
              <w:spacing w:after="0"/>
              <w:jc w:val="both"/>
              <w:rPr>
                <w:rFonts w:asciiTheme="minorHAnsi" w:hAnsiTheme="minorHAnsi"/>
                <w:b/>
                <w:bCs/>
                <w:position w:val="4"/>
                <w:szCs w:val="18"/>
                <w:lang w:val="en-GB"/>
              </w:rPr>
            </w:pPr>
            <w:r w:rsidRPr="00D93FF9">
              <w:rPr>
                <w:rFonts w:asciiTheme="minorHAnsi" w:hAnsiTheme="minorHAnsi"/>
                <w:b/>
                <w:bCs/>
                <w:position w:val="4"/>
                <w:szCs w:val="18"/>
                <w:lang w:val="en-GB"/>
              </w:rPr>
              <w:t>Biofilm shear forces</w:t>
            </w:r>
          </w:p>
        </w:tc>
      </w:tr>
      <w:tr w:rsidR="00BE3AA8" w:rsidRPr="00D93FF9" w14:paraId="59DCDBA1" w14:textId="77777777" w:rsidTr="006D24CE">
        <w:tc>
          <w:tcPr>
            <w:tcW w:w="2252" w:type="dxa"/>
          </w:tcPr>
          <w:p w14:paraId="59DCDB9D" w14:textId="77777777" w:rsidR="008C1D7B" w:rsidRPr="00D93FF9" w:rsidRDefault="00E811B8" w:rsidP="003807A1">
            <w:pPr>
              <w:spacing w:after="0"/>
              <w:jc w:val="both"/>
              <w:rPr>
                <w:rFonts w:asciiTheme="minorHAnsi" w:hAnsiTheme="minorHAnsi"/>
                <w:position w:val="4"/>
                <w:szCs w:val="18"/>
                <w:lang w:val="en-GB"/>
              </w:rPr>
            </w:pPr>
            <w:r w:rsidRPr="00D93FF9">
              <w:rPr>
                <w:rFonts w:asciiTheme="minorHAnsi" w:hAnsiTheme="minorHAnsi"/>
                <w:position w:val="4"/>
                <w:szCs w:val="18"/>
                <w:lang w:val="en-GB"/>
              </w:rPr>
              <w:t>Dissolved ions</w:t>
            </w:r>
          </w:p>
        </w:tc>
        <w:tc>
          <w:tcPr>
            <w:tcW w:w="2252" w:type="dxa"/>
          </w:tcPr>
          <w:p w14:paraId="59DCDB9E" w14:textId="77777777" w:rsidR="008C1D7B" w:rsidRPr="00D93FF9" w:rsidRDefault="00E811B8" w:rsidP="003807A1">
            <w:pPr>
              <w:spacing w:after="0"/>
              <w:jc w:val="both"/>
              <w:rPr>
                <w:rFonts w:asciiTheme="minorHAnsi" w:hAnsiTheme="minorHAnsi"/>
                <w:position w:val="4"/>
                <w:szCs w:val="18"/>
                <w:lang w:val="en-GB"/>
              </w:rPr>
            </w:pPr>
            <w:r w:rsidRPr="00D93FF9">
              <w:rPr>
                <w:rFonts w:asciiTheme="minorHAnsi" w:hAnsiTheme="minorHAnsi"/>
                <w:position w:val="4"/>
                <w:szCs w:val="18"/>
                <w:lang w:val="en-GB"/>
              </w:rPr>
              <w:t>Nutrient availability</w:t>
            </w:r>
          </w:p>
        </w:tc>
        <w:tc>
          <w:tcPr>
            <w:tcW w:w="2253" w:type="dxa"/>
          </w:tcPr>
          <w:p w14:paraId="59DCDB9F" w14:textId="77777777" w:rsidR="008C1D7B" w:rsidRPr="00D93FF9" w:rsidRDefault="00E811B8" w:rsidP="003807A1">
            <w:pPr>
              <w:spacing w:after="0"/>
              <w:jc w:val="both"/>
              <w:rPr>
                <w:rFonts w:asciiTheme="minorHAnsi" w:hAnsiTheme="minorHAnsi"/>
                <w:position w:val="4"/>
                <w:szCs w:val="18"/>
                <w:lang w:val="en-GB"/>
              </w:rPr>
            </w:pPr>
            <w:r w:rsidRPr="00D93FF9">
              <w:rPr>
                <w:rFonts w:asciiTheme="minorHAnsi" w:hAnsiTheme="minorHAnsi"/>
                <w:position w:val="4"/>
                <w:szCs w:val="18"/>
                <w:lang w:val="en-GB"/>
              </w:rPr>
              <w:t>Level of particles in suspension</w:t>
            </w:r>
          </w:p>
        </w:tc>
        <w:tc>
          <w:tcPr>
            <w:tcW w:w="2253" w:type="dxa"/>
          </w:tcPr>
          <w:p w14:paraId="59DCDBA0" w14:textId="77777777" w:rsidR="008C1D7B" w:rsidRPr="00D93FF9" w:rsidRDefault="00E811B8" w:rsidP="003807A1">
            <w:pPr>
              <w:spacing w:after="0"/>
              <w:jc w:val="both"/>
              <w:rPr>
                <w:rFonts w:asciiTheme="minorHAnsi" w:hAnsiTheme="minorHAnsi"/>
                <w:position w:val="4"/>
                <w:szCs w:val="18"/>
                <w:lang w:val="en-GB"/>
              </w:rPr>
            </w:pPr>
            <w:r w:rsidRPr="00D93FF9">
              <w:rPr>
                <w:rFonts w:asciiTheme="minorHAnsi" w:hAnsiTheme="minorHAnsi"/>
                <w:position w:val="4"/>
                <w:szCs w:val="18"/>
                <w:lang w:val="en-GB"/>
              </w:rPr>
              <w:t>Flow rate</w:t>
            </w:r>
          </w:p>
        </w:tc>
      </w:tr>
      <w:tr w:rsidR="00BE3AA8" w:rsidRPr="00D93FF9" w14:paraId="59DCDBA7" w14:textId="77777777" w:rsidTr="006D24CE">
        <w:tc>
          <w:tcPr>
            <w:tcW w:w="2252" w:type="dxa"/>
          </w:tcPr>
          <w:p w14:paraId="59DCDBA2" w14:textId="77777777" w:rsidR="008C1D7B" w:rsidRPr="00D93FF9" w:rsidRDefault="00E811B8" w:rsidP="003807A1">
            <w:pPr>
              <w:spacing w:after="0"/>
              <w:jc w:val="both"/>
              <w:rPr>
                <w:rFonts w:asciiTheme="minorHAnsi" w:hAnsiTheme="minorHAnsi"/>
                <w:position w:val="4"/>
                <w:szCs w:val="18"/>
                <w:lang w:val="en-GB"/>
              </w:rPr>
            </w:pPr>
            <w:r w:rsidRPr="00D93FF9">
              <w:rPr>
                <w:rFonts w:asciiTheme="minorHAnsi" w:hAnsiTheme="minorHAnsi"/>
                <w:szCs w:val="18"/>
                <w:lang w:val="en-GB"/>
              </w:rPr>
              <w:t xml:space="preserve">Precipitation mechanisms </w:t>
            </w:r>
            <w:r w:rsidRPr="00D93FF9">
              <w:rPr>
                <w:rFonts w:asciiTheme="minorHAnsi" w:hAnsiTheme="minorHAnsi"/>
                <w:position w:val="2"/>
                <w:szCs w:val="18"/>
                <w:lang w:val="en-GB"/>
              </w:rPr>
              <w:t>(e.g. CO</w:t>
            </w:r>
            <w:r w:rsidRPr="00D93FF9">
              <w:rPr>
                <w:rFonts w:asciiTheme="minorHAnsi" w:hAnsiTheme="minorHAnsi"/>
                <w:szCs w:val="18"/>
                <w:lang w:val="en-GB"/>
              </w:rPr>
              <w:t xml:space="preserve">2 </w:t>
            </w:r>
            <w:r w:rsidRPr="00D93FF9">
              <w:rPr>
                <w:rFonts w:asciiTheme="minorHAnsi" w:hAnsiTheme="minorHAnsi"/>
                <w:position w:val="2"/>
                <w:szCs w:val="18"/>
                <w:lang w:val="en-GB"/>
              </w:rPr>
              <w:t xml:space="preserve">degassing, </w:t>
            </w:r>
            <w:r w:rsidRPr="00D93FF9">
              <w:rPr>
                <w:rFonts w:asciiTheme="minorHAnsi" w:hAnsiTheme="minorHAnsi"/>
                <w:szCs w:val="18"/>
                <w:lang w:val="en-GB"/>
              </w:rPr>
              <w:t>temperature, pH changes, oxidation)</w:t>
            </w:r>
          </w:p>
        </w:tc>
        <w:tc>
          <w:tcPr>
            <w:tcW w:w="2252" w:type="dxa"/>
          </w:tcPr>
          <w:p w14:paraId="59DCDBA3" w14:textId="77777777" w:rsidR="00B86765" w:rsidRPr="00D93FF9" w:rsidRDefault="00E811B8" w:rsidP="00B86765">
            <w:pPr>
              <w:spacing w:after="0" w:line="259" w:lineRule="auto"/>
              <w:rPr>
                <w:rFonts w:asciiTheme="minorHAnsi" w:hAnsiTheme="minorHAnsi"/>
                <w:szCs w:val="18"/>
                <w:lang w:val="en-GB"/>
              </w:rPr>
            </w:pPr>
            <w:r w:rsidRPr="00D93FF9">
              <w:rPr>
                <w:rFonts w:asciiTheme="minorHAnsi" w:hAnsiTheme="minorHAnsi"/>
                <w:szCs w:val="18"/>
                <w:lang w:val="en-GB"/>
              </w:rPr>
              <w:t>Production of extracellular polymers</w:t>
            </w:r>
          </w:p>
          <w:p w14:paraId="59DCDBA4" w14:textId="77777777" w:rsidR="008C1D7B" w:rsidRPr="00D93FF9" w:rsidRDefault="008C1D7B" w:rsidP="003807A1">
            <w:pPr>
              <w:spacing w:after="0"/>
              <w:jc w:val="both"/>
              <w:rPr>
                <w:rFonts w:asciiTheme="minorHAnsi" w:hAnsiTheme="minorHAnsi"/>
                <w:position w:val="4"/>
                <w:szCs w:val="18"/>
                <w:lang w:val="en-GB"/>
              </w:rPr>
            </w:pPr>
          </w:p>
        </w:tc>
        <w:tc>
          <w:tcPr>
            <w:tcW w:w="2253" w:type="dxa"/>
          </w:tcPr>
          <w:p w14:paraId="59DCDBA5" w14:textId="77777777" w:rsidR="008C1D7B" w:rsidRPr="00D93FF9" w:rsidRDefault="00E811B8" w:rsidP="003807A1">
            <w:pPr>
              <w:spacing w:after="0"/>
              <w:jc w:val="both"/>
              <w:rPr>
                <w:rFonts w:asciiTheme="minorHAnsi" w:hAnsiTheme="minorHAnsi"/>
                <w:position w:val="4"/>
                <w:szCs w:val="18"/>
                <w:lang w:val="en-GB"/>
              </w:rPr>
            </w:pPr>
            <w:r w:rsidRPr="00D93FF9">
              <w:rPr>
                <w:rFonts w:asciiTheme="minorHAnsi" w:hAnsiTheme="minorHAnsi"/>
                <w:position w:val="4"/>
                <w:szCs w:val="18"/>
                <w:lang w:val="en-GB"/>
              </w:rPr>
              <w:t>Volume of flow</w:t>
            </w:r>
          </w:p>
        </w:tc>
        <w:tc>
          <w:tcPr>
            <w:tcW w:w="2253" w:type="dxa"/>
          </w:tcPr>
          <w:p w14:paraId="59DCDBA6" w14:textId="77777777" w:rsidR="008C1D7B" w:rsidRPr="00D93FF9" w:rsidRDefault="00E811B8" w:rsidP="003807A1">
            <w:pPr>
              <w:spacing w:after="0"/>
              <w:jc w:val="both"/>
              <w:rPr>
                <w:rFonts w:asciiTheme="minorHAnsi" w:hAnsiTheme="minorHAnsi"/>
                <w:position w:val="4"/>
                <w:szCs w:val="18"/>
                <w:lang w:val="en-GB"/>
              </w:rPr>
            </w:pPr>
            <w:r w:rsidRPr="00D93FF9">
              <w:rPr>
                <w:rFonts w:asciiTheme="minorHAnsi" w:hAnsiTheme="minorHAnsi"/>
                <w:position w:val="4"/>
                <w:szCs w:val="18"/>
                <w:lang w:val="en-GB"/>
              </w:rPr>
              <w:t>Turbulence</w:t>
            </w:r>
          </w:p>
        </w:tc>
      </w:tr>
      <w:tr w:rsidR="00BE3AA8" w:rsidRPr="00D93FF9" w14:paraId="59DCDBAC" w14:textId="77777777" w:rsidTr="006D24CE">
        <w:tc>
          <w:tcPr>
            <w:tcW w:w="2252" w:type="dxa"/>
          </w:tcPr>
          <w:p w14:paraId="59DCDBA8" w14:textId="77777777" w:rsidR="00B86765" w:rsidRPr="00D93FF9" w:rsidRDefault="00B86765" w:rsidP="003807A1">
            <w:pPr>
              <w:spacing w:after="0"/>
              <w:jc w:val="both"/>
              <w:rPr>
                <w:rFonts w:asciiTheme="minorHAnsi" w:hAnsiTheme="minorHAnsi"/>
                <w:position w:val="4"/>
                <w:szCs w:val="18"/>
                <w:lang w:val="en-GB"/>
              </w:rPr>
            </w:pPr>
          </w:p>
        </w:tc>
        <w:tc>
          <w:tcPr>
            <w:tcW w:w="2252" w:type="dxa"/>
          </w:tcPr>
          <w:p w14:paraId="59DCDBA9" w14:textId="77777777" w:rsidR="00B86765" w:rsidRPr="00D93FF9" w:rsidRDefault="00B86765" w:rsidP="003807A1">
            <w:pPr>
              <w:spacing w:after="0"/>
              <w:jc w:val="both"/>
              <w:rPr>
                <w:rFonts w:asciiTheme="minorHAnsi" w:hAnsiTheme="minorHAnsi"/>
                <w:position w:val="4"/>
                <w:szCs w:val="18"/>
                <w:lang w:val="en-GB"/>
              </w:rPr>
            </w:pPr>
          </w:p>
        </w:tc>
        <w:tc>
          <w:tcPr>
            <w:tcW w:w="2253" w:type="dxa"/>
          </w:tcPr>
          <w:p w14:paraId="59DCDBAA" w14:textId="77777777" w:rsidR="00B86765" w:rsidRPr="00D93FF9" w:rsidRDefault="00E811B8" w:rsidP="003807A1">
            <w:pPr>
              <w:spacing w:after="0"/>
              <w:jc w:val="both"/>
              <w:rPr>
                <w:rFonts w:asciiTheme="minorHAnsi" w:hAnsiTheme="minorHAnsi"/>
                <w:position w:val="4"/>
                <w:szCs w:val="18"/>
                <w:lang w:val="en-GB"/>
              </w:rPr>
            </w:pPr>
            <w:r w:rsidRPr="00D93FF9">
              <w:rPr>
                <w:rFonts w:asciiTheme="minorHAnsi" w:hAnsiTheme="minorHAnsi"/>
                <w:position w:val="4"/>
                <w:szCs w:val="18"/>
                <w:lang w:val="en-GB"/>
              </w:rPr>
              <w:t>Aquifer composition</w:t>
            </w:r>
          </w:p>
        </w:tc>
        <w:tc>
          <w:tcPr>
            <w:tcW w:w="2253" w:type="dxa"/>
          </w:tcPr>
          <w:p w14:paraId="59DCDBAB" w14:textId="77777777" w:rsidR="00B86765" w:rsidRPr="00D93FF9" w:rsidRDefault="00B86765" w:rsidP="003807A1">
            <w:pPr>
              <w:spacing w:after="0"/>
              <w:jc w:val="both"/>
              <w:rPr>
                <w:rFonts w:asciiTheme="minorHAnsi" w:hAnsiTheme="minorHAnsi"/>
                <w:position w:val="4"/>
                <w:szCs w:val="18"/>
                <w:lang w:val="en-GB"/>
              </w:rPr>
            </w:pPr>
          </w:p>
        </w:tc>
      </w:tr>
    </w:tbl>
    <w:p w14:paraId="59DCDBAD" w14:textId="77777777" w:rsidR="00B86765" w:rsidRPr="00D93FF9" w:rsidRDefault="00E811B8" w:rsidP="00B86765">
      <w:pPr>
        <w:spacing w:after="0"/>
        <w:rPr>
          <w:rFonts w:ascii="Arial"/>
          <w:sz w:val="14"/>
          <w:lang w:val="en-GB"/>
        </w:rPr>
      </w:pPr>
      <w:r w:rsidRPr="00D93FF9">
        <w:rPr>
          <w:rFonts w:ascii="Arial"/>
          <w:sz w:val="14"/>
          <w:lang w:val="en-GB"/>
        </w:rPr>
        <w:t>a Adapted from McLaughlan 1996</w:t>
      </w:r>
    </w:p>
    <w:p w14:paraId="59DCDBAE" w14:textId="77777777" w:rsidR="008C1D7B" w:rsidRPr="00D93FF9" w:rsidRDefault="008C1D7B" w:rsidP="003807A1">
      <w:pPr>
        <w:spacing w:after="0"/>
        <w:jc w:val="both"/>
        <w:rPr>
          <w:rFonts w:ascii="Arial"/>
          <w:position w:val="4"/>
          <w:sz w:val="12"/>
          <w:lang w:val="en-GB"/>
        </w:rPr>
      </w:pPr>
    </w:p>
    <w:p w14:paraId="59DCDBAF" w14:textId="77777777" w:rsidR="00C46175" w:rsidRPr="00D93FF9" w:rsidRDefault="00E811B8" w:rsidP="00BD3779">
      <w:pPr>
        <w:pStyle w:val="ListBullet2"/>
        <w:rPr>
          <w:lang w:val="en-GB"/>
        </w:rPr>
      </w:pPr>
      <w:r w:rsidRPr="00D93FF9">
        <w:rPr>
          <w:lang w:val="en-GB"/>
        </w:rPr>
        <w:t>Iron biofouling</w:t>
      </w:r>
    </w:p>
    <w:p w14:paraId="59DCDBB0" w14:textId="03219155" w:rsidR="00C46175" w:rsidRPr="00D93FF9" w:rsidRDefault="00E811B8" w:rsidP="003807A1">
      <w:pPr>
        <w:pStyle w:val="BodyText"/>
        <w:spacing w:after="0" w:line="266" w:lineRule="auto"/>
        <w:jc w:val="both"/>
        <w:rPr>
          <w:lang w:val="en-GB"/>
        </w:rPr>
      </w:pPr>
      <w:r w:rsidRPr="00D93FF9">
        <w:rPr>
          <w:lang w:val="en-GB"/>
        </w:rPr>
        <w:t xml:space="preserve">Iron biofouling is one of the most common causes of deterioration of groundwater wells and pumping equipment. A number of species of iron bacteria are known to cause this form of biofouling including </w:t>
      </w:r>
      <w:r w:rsidRPr="00D93FF9">
        <w:rPr>
          <w:i/>
          <w:lang w:val="en-GB"/>
        </w:rPr>
        <w:lastRenderedPageBreak/>
        <w:t>Gallionella</w:t>
      </w:r>
      <w:r w:rsidRPr="00D93FF9">
        <w:rPr>
          <w:lang w:val="en-GB"/>
        </w:rPr>
        <w:t xml:space="preserve">, </w:t>
      </w:r>
      <w:r w:rsidRPr="00D93FF9">
        <w:rPr>
          <w:i/>
          <w:lang w:val="en-GB"/>
        </w:rPr>
        <w:t xml:space="preserve">Pseudomonads </w:t>
      </w:r>
      <w:r w:rsidRPr="00D93FF9">
        <w:rPr>
          <w:lang w:val="en-GB"/>
        </w:rPr>
        <w:t xml:space="preserve">and </w:t>
      </w:r>
      <w:r w:rsidRPr="00D93FF9">
        <w:rPr>
          <w:i/>
          <w:lang w:val="en-GB"/>
        </w:rPr>
        <w:t xml:space="preserve">Siderocapsaceae </w:t>
      </w:r>
      <w:r w:rsidRPr="00D93FF9">
        <w:rPr>
          <w:lang w:val="en-GB"/>
        </w:rPr>
        <w:t>(Cullimore 1992). A biofilm is produced consisting of bacteria, iron hydroxides and other inorganic precipitates trapped in an extracellular polymeric matrix (McLaughlan 1996) which, under the right conditions can form a thick encrustation leading to flow restriction and eventual blockage</w:t>
      </w:r>
      <w:r w:rsidR="00CB0CFB" w:rsidRPr="00D93FF9">
        <w:rPr>
          <w:lang w:val="en-GB"/>
        </w:rPr>
        <w:t xml:space="preserve"> (</w:t>
      </w:r>
      <w:r w:rsidR="00CB0CFB" w:rsidRPr="00D93FF9">
        <w:t>NHMRC, NRMMC 2011)</w:t>
      </w:r>
      <w:r w:rsidRPr="00D93FF9">
        <w:rPr>
          <w:lang w:val="en-GB"/>
        </w:rPr>
        <w:t xml:space="preserve">. Iron bacteria can be aerobic or anaerobic depending on the species, and generally function by oxidising iron for a number of different metabolic purposes (McLaughlan </w:t>
      </w:r>
      <w:r w:rsidR="00FA6E9E" w:rsidRPr="00D93FF9">
        <w:rPr>
          <w:lang w:val="en-GB"/>
        </w:rPr>
        <w:t>and</w:t>
      </w:r>
      <w:r w:rsidRPr="00D93FF9">
        <w:rPr>
          <w:lang w:val="en-GB"/>
        </w:rPr>
        <w:t xml:space="preserve"> Knight</w:t>
      </w:r>
      <w:r w:rsidRPr="00D93FF9">
        <w:rPr>
          <w:spacing w:val="4"/>
          <w:lang w:val="en-GB"/>
        </w:rPr>
        <w:t xml:space="preserve"> </w:t>
      </w:r>
      <w:r w:rsidRPr="00D93FF9">
        <w:rPr>
          <w:lang w:val="en-GB"/>
        </w:rPr>
        <w:t>1989).</w:t>
      </w:r>
      <w:r w:rsidR="00CB0CFB" w:rsidRPr="00D93FF9">
        <w:rPr>
          <w:lang w:val="en-GB"/>
        </w:rPr>
        <w:t xml:space="preserve"> Iron bacteria growth can lead to blockages and restrictions in water infrastructure (</w:t>
      </w:r>
      <w:r w:rsidR="00CB0CFB" w:rsidRPr="00D93FF9">
        <w:t>NHMRC</w:t>
      </w:r>
      <w:r w:rsidR="00DE41FE" w:rsidRPr="00D93FF9">
        <w:t xml:space="preserve"> </w:t>
      </w:r>
      <w:r w:rsidR="00FA6E9E" w:rsidRPr="00D93FF9">
        <w:t>and</w:t>
      </w:r>
      <w:r w:rsidR="00CB0CFB" w:rsidRPr="00D93FF9">
        <w:t xml:space="preserve"> NRMMC 2011)</w:t>
      </w:r>
      <w:r w:rsidR="00EB1558" w:rsidRPr="00D93FF9">
        <w:t>.</w:t>
      </w:r>
    </w:p>
    <w:p w14:paraId="59DCDBB1" w14:textId="412B9569" w:rsidR="00C46175" w:rsidRPr="00D93FF9" w:rsidRDefault="00E811B8" w:rsidP="003807A1">
      <w:pPr>
        <w:pStyle w:val="BodyText"/>
        <w:spacing w:after="0" w:line="266" w:lineRule="auto"/>
        <w:jc w:val="both"/>
        <w:rPr>
          <w:lang w:val="en-GB"/>
        </w:rPr>
      </w:pPr>
      <w:r w:rsidRPr="00D93FF9">
        <w:rPr>
          <w:lang w:val="en-GB"/>
        </w:rPr>
        <w:t>Manganese is commonly associated with iron in groundwaters and can contribute to biofouling through similar depositional mechanisms</w:t>
      </w:r>
      <w:r w:rsidR="00CB0CFB" w:rsidRPr="00D93FF9">
        <w:rPr>
          <w:lang w:val="en-GB"/>
        </w:rPr>
        <w:t xml:space="preserve"> (</w:t>
      </w:r>
      <w:r w:rsidR="00CB0CFB" w:rsidRPr="00D93FF9">
        <w:t>NHMRC</w:t>
      </w:r>
      <w:r w:rsidR="00F84FA8" w:rsidRPr="00D93FF9">
        <w:t xml:space="preserve"> and</w:t>
      </w:r>
      <w:r w:rsidR="00CB0CFB" w:rsidRPr="00D93FF9">
        <w:t xml:space="preserve"> NRMMC 2011)</w:t>
      </w:r>
      <w:r w:rsidRPr="00D93FF9">
        <w:rPr>
          <w:lang w:val="en-GB"/>
        </w:rPr>
        <w:t>. Precipitation of iron sulfides by sulfate bacteria can also contribute to biofouling. This is believed to be primarily undertaken by sulfate reducing bacteria which require anaerobic conditions and an organic substrate to produce a biofilm.</w:t>
      </w:r>
    </w:p>
    <w:p w14:paraId="59DCDBB2" w14:textId="77777777" w:rsidR="00C46175" w:rsidRPr="00D93FF9" w:rsidRDefault="00C46175" w:rsidP="003807A1">
      <w:pPr>
        <w:pStyle w:val="BodyText"/>
        <w:spacing w:after="0"/>
        <w:rPr>
          <w:sz w:val="19"/>
          <w:lang w:val="en-GB"/>
        </w:rPr>
      </w:pPr>
    </w:p>
    <w:p w14:paraId="59DCDBB3" w14:textId="77777777" w:rsidR="00C46175" w:rsidRPr="00D93FF9" w:rsidRDefault="00E811B8" w:rsidP="00BD3779">
      <w:pPr>
        <w:pStyle w:val="ListBullet2"/>
        <w:rPr>
          <w:lang w:val="en-GB"/>
        </w:rPr>
      </w:pPr>
      <w:r w:rsidRPr="00D93FF9">
        <w:rPr>
          <w:lang w:val="en-GB"/>
        </w:rPr>
        <w:t>Aluminium biofouling</w:t>
      </w:r>
    </w:p>
    <w:p w14:paraId="59DCDBB4" w14:textId="5270B7A1" w:rsidR="00C46175" w:rsidRPr="00D93FF9" w:rsidRDefault="00E811B8" w:rsidP="003807A1">
      <w:pPr>
        <w:pStyle w:val="BodyText"/>
        <w:spacing w:after="0" w:line="266" w:lineRule="auto"/>
        <w:jc w:val="both"/>
        <w:rPr>
          <w:lang w:val="en-GB"/>
        </w:rPr>
      </w:pPr>
      <w:r w:rsidRPr="00D93FF9">
        <w:rPr>
          <w:lang w:val="en-GB"/>
        </w:rPr>
        <w:t>Aluminium biofouling is associated with the use of acidic waters and can cause deterioration of pumping and distribution systems. It usually occurs in the presence of bacteria and sulfate (e.g. in acid sulfate soil environments) and is sometimes related to iron biofouling. This form of microbial encrustation is not as common as iron biofouling (McLaughlan et al. 1993).</w:t>
      </w:r>
    </w:p>
    <w:p w14:paraId="59DCDBB5" w14:textId="77777777" w:rsidR="00C46175" w:rsidRPr="00D93FF9" w:rsidRDefault="00C46175" w:rsidP="003807A1">
      <w:pPr>
        <w:pStyle w:val="BodyText"/>
        <w:spacing w:after="0"/>
        <w:rPr>
          <w:sz w:val="19"/>
          <w:lang w:val="en-GB"/>
        </w:rPr>
      </w:pPr>
    </w:p>
    <w:p w14:paraId="59DCDBB6" w14:textId="77777777" w:rsidR="00C46175" w:rsidRPr="00D93FF9" w:rsidRDefault="00E811B8" w:rsidP="00BD3779">
      <w:pPr>
        <w:pStyle w:val="ListBullet2"/>
        <w:rPr>
          <w:lang w:val="en-GB"/>
        </w:rPr>
      </w:pPr>
      <w:r w:rsidRPr="00D93FF9">
        <w:rPr>
          <w:lang w:val="en-GB"/>
        </w:rPr>
        <w:t>Organic biofouling</w:t>
      </w:r>
    </w:p>
    <w:p w14:paraId="59DCDBB7" w14:textId="23CD2099" w:rsidR="00C46175" w:rsidRPr="00D93FF9" w:rsidRDefault="00E811B8" w:rsidP="003807A1">
      <w:pPr>
        <w:pStyle w:val="BodyText"/>
        <w:spacing w:after="0" w:line="266" w:lineRule="auto"/>
        <w:jc w:val="both"/>
      </w:pPr>
      <w:r w:rsidRPr="00D93FF9">
        <w:rPr>
          <w:lang w:val="en-GB"/>
        </w:rPr>
        <w:t>Organic biofouling requires high levels of available nutrients, organic matter and suitable environmental conditions for the growth and reproduction of microorganisms (in particular bacteria), and is becoming a significant problem with the increasing reuse of effluents in agriculture. It is associated in most cases with other forms of fouling including precipitation of chemical compounds and attachment of particulate matter (McLaughlan et al.</w:t>
      </w:r>
      <w:r w:rsidRPr="00D93FF9">
        <w:rPr>
          <w:spacing w:val="3"/>
          <w:lang w:val="en-GB"/>
        </w:rPr>
        <w:t xml:space="preserve"> </w:t>
      </w:r>
      <w:r w:rsidRPr="00D93FF9">
        <w:rPr>
          <w:lang w:val="en-GB"/>
        </w:rPr>
        <w:t>1993).</w:t>
      </w:r>
      <w:r w:rsidR="00CB0CFB" w:rsidRPr="00D93FF9">
        <w:rPr>
          <w:lang w:val="en-GB"/>
        </w:rPr>
        <w:t xml:space="preserve"> Ammonia concentration levels &gt;0.5 mg/L can also result in nuisance growth of microorganisms (</w:t>
      </w:r>
      <w:r w:rsidR="00CB0CFB" w:rsidRPr="00D93FF9">
        <w:t>NHMRC</w:t>
      </w:r>
      <w:r w:rsidR="00DE41FE" w:rsidRPr="00D93FF9">
        <w:t xml:space="preserve"> </w:t>
      </w:r>
      <w:r w:rsidR="00FA6E9E" w:rsidRPr="00D93FF9">
        <w:t>and</w:t>
      </w:r>
      <w:r w:rsidR="00CB0CFB" w:rsidRPr="00D93FF9">
        <w:t xml:space="preserve"> NRMMC 2011). Nuisance growth of microorganisms can be exacerbated and enabled by low DO levels (NHMRC</w:t>
      </w:r>
      <w:r w:rsidR="00DE41FE" w:rsidRPr="00D93FF9">
        <w:t xml:space="preserve"> </w:t>
      </w:r>
      <w:r w:rsidR="00FA6E9E" w:rsidRPr="00D93FF9">
        <w:t>and</w:t>
      </w:r>
      <w:r w:rsidR="00CB0CFB" w:rsidRPr="00D93FF9">
        <w:t xml:space="preserve"> NRMMC 2011).</w:t>
      </w:r>
    </w:p>
    <w:p w14:paraId="59DCDBB8" w14:textId="77777777" w:rsidR="00BD3779" w:rsidRPr="00D93FF9" w:rsidRDefault="00BD3779" w:rsidP="003807A1">
      <w:pPr>
        <w:pStyle w:val="BodyText"/>
        <w:spacing w:after="0" w:line="266" w:lineRule="auto"/>
        <w:jc w:val="both"/>
        <w:rPr>
          <w:lang w:val="en-GB"/>
        </w:rPr>
      </w:pPr>
    </w:p>
    <w:p w14:paraId="59DCDBB9" w14:textId="77777777" w:rsidR="00C46175" w:rsidRPr="00D93FF9" w:rsidRDefault="00E811B8" w:rsidP="0070761D">
      <w:pPr>
        <w:pStyle w:val="Heading4"/>
        <w:rPr>
          <w:lang w:val="en-GB"/>
        </w:rPr>
      </w:pPr>
      <w:r w:rsidRPr="00D93FF9">
        <w:t>Water</w:t>
      </w:r>
      <w:r w:rsidRPr="00D93FF9">
        <w:rPr>
          <w:lang w:val="en-GB"/>
        </w:rPr>
        <w:t xml:space="preserve"> quality parameters that influence fouling</w:t>
      </w:r>
    </w:p>
    <w:p w14:paraId="59DCDBBA" w14:textId="77777777" w:rsidR="00C46175" w:rsidRPr="00D93FF9" w:rsidRDefault="00E811B8" w:rsidP="005655D9">
      <w:pPr>
        <w:pStyle w:val="Heading5"/>
        <w:spacing w:line="266" w:lineRule="auto"/>
        <w:ind w:left="142"/>
        <w:jc w:val="both"/>
        <w:rPr>
          <w:i/>
          <w:iCs/>
        </w:rPr>
      </w:pPr>
      <w:r w:rsidRPr="00D93FF9">
        <w:rPr>
          <w:i/>
          <w:iCs/>
          <w:lang w:val="en-GB"/>
        </w:rPr>
        <w:t>A</w:t>
      </w:r>
      <w:r w:rsidRPr="00D93FF9">
        <w:rPr>
          <w:i/>
          <w:iCs/>
          <w:spacing w:val="-11"/>
          <w:lang w:val="en-GB"/>
        </w:rPr>
        <w:t xml:space="preserve"> </w:t>
      </w:r>
      <w:r w:rsidRPr="00D93FF9">
        <w:rPr>
          <w:i/>
          <w:iCs/>
          <w:spacing w:val="-3"/>
          <w:lang w:val="en-GB"/>
        </w:rPr>
        <w:t>number</w:t>
      </w:r>
      <w:r w:rsidRPr="00D93FF9">
        <w:rPr>
          <w:i/>
          <w:iCs/>
          <w:spacing w:val="-9"/>
          <w:lang w:val="en-GB"/>
        </w:rPr>
        <w:t xml:space="preserve"> </w:t>
      </w:r>
      <w:r w:rsidRPr="00D93FF9">
        <w:rPr>
          <w:i/>
          <w:iCs/>
          <w:lang w:val="en-GB"/>
        </w:rPr>
        <w:t>of</w:t>
      </w:r>
      <w:r w:rsidRPr="00D93FF9">
        <w:rPr>
          <w:i/>
          <w:iCs/>
          <w:spacing w:val="-9"/>
          <w:lang w:val="en-GB"/>
        </w:rPr>
        <w:t xml:space="preserve"> </w:t>
      </w:r>
      <w:r w:rsidRPr="00D93FF9">
        <w:rPr>
          <w:i/>
          <w:iCs/>
          <w:lang w:val="en-GB"/>
        </w:rPr>
        <w:t>water</w:t>
      </w:r>
      <w:r w:rsidRPr="00D93FF9">
        <w:rPr>
          <w:i/>
          <w:iCs/>
          <w:spacing w:val="-10"/>
          <w:lang w:val="en-GB"/>
        </w:rPr>
        <w:t xml:space="preserve"> </w:t>
      </w:r>
      <w:r w:rsidRPr="00D93FF9">
        <w:rPr>
          <w:i/>
          <w:iCs/>
          <w:lang w:val="en-GB"/>
        </w:rPr>
        <w:t>quality</w:t>
      </w:r>
      <w:r w:rsidRPr="00D93FF9">
        <w:rPr>
          <w:i/>
          <w:iCs/>
          <w:spacing w:val="-11"/>
          <w:lang w:val="en-GB"/>
        </w:rPr>
        <w:t xml:space="preserve"> </w:t>
      </w:r>
      <w:r w:rsidRPr="00D93FF9">
        <w:rPr>
          <w:i/>
          <w:iCs/>
          <w:spacing w:val="-3"/>
          <w:lang w:val="en-GB"/>
        </w:rPr>
        <w:t>parameters</w:t>
      </w:r>
      <w:r w:rsidRPr="00D93FF9">
        <w:rPr>
          <w:i/>
          <w:iCs/>
          <w:spacing w:val="-9"/>
          <w:lang w:val="en-GB"/>
        </w:rPr>
        <w:t xml:space="preserve"> </w:t>
      </w:r>
      <w:r w:rsidRPr="00D93FF9">
        <w:rPr>
          <w:i/>
          <w:iCs/>
          <w:lang w:val="en-GB"/>
        </w:rPr>
        <w:t>can</w:t>
      </w:r>
      <w:r w:rsidRPr="00D93FF9">
        <w:rPr>
          <w:i/>
          <w:iCs/>
          <w:spacing w:val="-10"/>
          <w:lang w:val="en-GB"/>
        </w:rPr>
        <w:t xml:space="preserve"> </w:t>
      </w:r>
      <w:r w:rsidRPr="00D93FF9">
        <w:rPr>
          <w:i/>
          <w:iCs/>
          <w:lang w:val="en-GB"/>
        </w:rPr>
        <w:t>be</w:t>
      </w:r>
      <w:r w:rsidRPr="00D93FF9">
        <w:rPr>
          <w:i/>
          <w:iCs/>
          <w:spacing w:val="-9"/>
          <w:lang w:val="en-GB"/>
        </w:rPr>
        <w:t xml:space="preserve"> </w:t>
      </w:r>
      <w:r w:rsidRPr="00D93FF9">
        <w:rPr>
          <w:i/>
          <w:iCs/>
          <w:lang w:val="en-GB"/>
        </w:rPr>
        <w:t>used</w:t>
      </w:r>
      <w:r w:rsidRPr="00D93FF9">
        <w:rPr>
          <w:i/>
          <w:iCs/>
          <w:spacing w:val="-7"/>
          <w:lang w:val="en-GB"/>
        </w:rPr>
        <w:t xml:space="preserve"> </w:t>
      </w:r>
      <w:r w:rsidRPr="00D93FF9">
        <w:rPr>
          <w:i/>
          <w:iCs/>
          <w:lang w:val="en-GB"/>
        </w:rPr>
        <w:t>to</w:t>
      </w:r>
      <w:r w:rsidRPr="00D93FF9">
        <w:rPr>
          <w:i/>
          <w:iCs/>
          <w:spacing w:val="-6"/>
          <w:lang w:val="en-GB"/>
        </w:rPr>
        <w:t xml:space="preserve"> </w:t>
      </w:r>
      <w:r w:rsidRPr="00D93FF9">
        <w:rPr>
          <w:i/>
          <w:iCs/>
          <w:lang w:val="en-GB"/>
        </w:rPr>
        <w:t>indicate</w:t>
      </w:r>
      <w:r w:rsidRPr="00D93FF9">
        <w:rPr>
          <w:i/>
          <w:iCs/>
          <w:spacing w:val="-7"/>
          <w:lang w:val="en-GB"/>
        </w:rPr>
        <w:t xml:space="preserve"> </w:t>
      </w:r>
      <w:r w:rsidRPr="00D93FF9">
        <w:rPr>
          <w:i/>
          <w:iCs/>
          <w:lang w:val="en-GB"/>
        </w:rPr>
        <w:t>the</w:t>
      </w:r>
      <w:r w:rsidRPr="00D93FF9">
        <w:rPr>
          <w:i/>
          <w:iCs/>
          <w:spacing w:val="-6"/>
          <w:lang w:val="en-GB"/>
        </w:rPr>
        <w:t xml:space="preserve"> </w:t>
      </w:r>
      <w:r w:rsidRPr="00D93FF9">
        <w:rPr>
          <w:i/>
          <w:iCs/>
          <w:lang w:val="en-GB"/>
        </w:rPr>
        <w:t>potential</w:t>
      </w:r>
      <w:r w:rsidRPr="00D93FF9">
        <w:rPr>
          <w:i/>
          <w:iCs/>
          <w:spacing w:val="-7"/>
          <w:lang w:val="en-GB"/>
        </w:rPr>
        <w:t xml:space="preserve"> </w:t>
      </w:r>
      <w:r w:rsidRPr="00D93FF9">
        <w:rPr>
          <w:i/>
          <w:iCs/>
          <w:lang w:val="en-GB"/>
        </w:rPr>
        <w:t>for</w:t>
      </w:r>
      <w:r w:rsidRPr="00D93FF9">
        <w:rPr>
          <w:i/>
          <w:iCs/>
          <w:spacing w:val="-6"/>
          <w:lang w:val="en-GB"/>
        </w:rPr>
        <w:t xml:space="preserve"> </w:t>
      </w:r>
      <w:r w:rsidRPr="00D93FF9">
        <w:rPr>
          <w:i/>
          <w:iCs/>
          <w:lang w:val="en-GB"/>
        </w:rPr>
        <w:t>carbonate</w:t>
      </w:r>
      <w:r w:rsidRPr="00D93FF9">
        <w:rPr>
          <w:i/>
          <w:iCs/>
          <w:spacing w:val="-7"/>
          <w:lang w:val="en-GB"/>
        </w:rPr>
        <w:t xml:space="preserve"> </w:t>
      </w:r>
      <w:r w:rsidRPr="00D93FF9">
        <w:rPr>
          <w:i/>
          <w:iCs/>
          <w:lang w:val="en-GB"/>
        </w:rPr>
        <w:t xml:space="preserve">fouling by </w:t>
      </w:r>
      <w:r w:rsidRPr="00D93FF9">
        <w:rPr>
          <w:i/>
          <w:iCs/>
          <w:spacing w:val="-3"/>
          <w:lang w:val="en-GB"/>
        </w:rPr>
        <w:t xml:space="preserve">agricultural </w:t>
      </w:r>
      <w:r w:rsidRPr="00D93FF9">
        <w:rPr>
          <w:i/>
          <w:iCs/>
          <w:lang w:val="en-GB"/>
        </w:rPr>
        <w:t xml:space="preserve">waters. </w:t>
      </w:r>
      <w:r w:rsidRPr="00D93FF9">
        <w:rPr>
          <w:i/>
          <w:iCs/>
          <w:spacing w:val="-4"/>
          <w:lang w:val="en-GB"/>
        </w:rPr>
        <w:t xml:space="preserve">In </w:t>
      </w:r>
      <w:r w:rsidRPr="00D93FF9">
        <w:rPr>
          <w:i/>
          <w:iCs/>
          <w:spacing w:val="-3"/>
          <w:lang w:val="en-GB"/>
        </w:rPr>
        <w:t xml:space="preserve">some </w:t>
      </w:r>
      <w:r w:rsidRPr="00D93FF9">
        <w:rPr>
          <w:i/>
          <w:iCs/>
          <w:lang w:val="en-GB"/>
        </w:rPr>
        <w:t xml:space="preserve">cases, these are closely related to corrosion indicators and </w:t>
      </w:r>
      <w:r w:rsidRPr="00D93FF9">
        <w:rPr>
          <w:i/>
          <w:iCs/>
          <w:spacing w:val="-2"/>
          <w:lang w:val="en-GB"/>
        </w:rPr>
        <w:t xml:space="preserve">are </w:t>
      </w:r>
      <w:r w:rsidRPr="00D93FF9">
        <w:rPr>
          <w:i/>
          <w:iCs/>
          <w:spacing w:val="-3"/>
          <w:lang w:val="en-GB"/>
        </w:rPr>
        <w:t xml:space="preserve">based </w:t>
      </w:r>
      <w:r w:rsidRPr="00D93FF9">
        <w:rPr>
          <w:i/>
          <w:iCs/>
          <w:lang w:val="en-GB"/>
        </w:rPr>
        <w:t xml:space="preserve">on the </w:t>
      </w:r>
      <w:r w:rsidRPr="00D93FF9">
        <w:rPr>
          <w:i/>
          <w:iCs/>
          <w:spacing w:val="-4"/>
          <w:lang w:val="en-GB"/>
        </w:rPr>
        <w:t xml:space="preserve">same </w:t>
      </w:r>
      <w:r w:rsidRPr="00D93FF9">
        <w:rPr>
          <w:i/>
          <w:iCs/>
          <w:spacing w:val="-3"/>
          <w:lang w:val="en-GB"/>
        </w:rPr>
        <w:t xml:space="preserve">reaction processes. </w:t>
      </w:r>
      <w:r w:rsidRPr="00D93FF9">
        <w:rPr>
          <w:i/>
          <w:iCs/>
          <w:spacing w:val="-4"/>
          <w:lang w:val="en-GB"/>
        </w:rPr>
        <w:t xml:space="preserve">Indices </w:t>
      </w:r>
      <w:r w:rsidRPr="00D93FF9">
        <w:rPr>
          <w:i/>
          <w:iCs/>
          <w:lang w:val="en-GB"/>
        </w:rPr>
        <w:t xml:space="preserve">for </w:t>
      </w:r>
      <w:r w:rsidRPr="00D93FF9">
        <w:rPr>
          <w:i/>
          <w:iCs/>
          <w:spacing w:val="-3"/>
          <w:lang w:val="en-GB"/>
        </w:rPr>
        <w:t xml:space="preserve">biofouling have </w:t>
      </w:r>
      <w:r w:rsidRPr="00D93FF9">
        <w:rPr>
          <w:i/>
          <w:iCs/>
          <w:lang w:val="en-GB"/>
        </w:rPr>
        <w:t xml:space="preserve">not </w:t>
      </w:r>
      <w:r w:rsidRPr="00D93FF9">
        <w:rPr>
          <w:i/>
          <w:iCs/>
          <w:spacing w:val="-3"/>
          <w:lang w:val="en-GB"/>
        </w:rPr>
        <w:t>yet been</w:t>
      </w:r>
      <w:r w:rsidRPr="00D93FF9">
        <w:rPr>
          <w:i/>
          <w:iCs/>
          <w:spacing w:val="-23"/>
          <w:lang w:val="en-GB"/>
        </w:rPr>
        <w:t xml:space="preserve"> </w:t>
      </w:r>
      <w:r w:rsidRPr="00D93FF9">
        <w:rPr>
          <w:i/>
          <w:iCs/>
          <w:spacing w:val="-2"/>
          <w:lang w:val="en-GB"/>
        </w:rPr>
        <w:t>established.</w:t>
      </w:r>
      <w:r w:rsidR="00CB0CFB" w:rsidRPr="00D93FF9">
        <w:rPr>
          <w:i/>
          <w:iCs/>
          <w:spacing w:val="-2"/>
          <w:lang w:val="en-GB"/>
        </w:rPr>
        <w:t xml:space="preserve"> Parameters that can influence fouling include iron, ammonia, silica, TDS, DO and temperature (</w:t>
      </w:r>
      <w:r w:rsidR="00CB0CFB" w:rsidRPr="00D93FF9">
        <w:rPr>
          <w:i/>
          <w:iCs/>
        </w:rPr>
        <w:t>NHMRC, NRMMC 2011).</w:t>
      </w:r>
    </w:p>
    <w:p w14:paraId="59DCDBBB" w14:textId="77777777" w:rsidR="00C46175" w:rsidRPr="00D93FF9" w:rsidRDefault="00E811B8" w:rsidP="0070761D">
      <w:pPr>
        <w:pStyle w:val="Heading5"/>
        <w:rPr>
          <w:lang w:val="en-GB"/>
        </w:rPr>
      </w:pPr>
      <w:bookmarkStart w:id="385" w:name="Fouling_indices"/>
      <w:bookmarkStart w:id="386" w:name="Control_measures"/>
      <w:bookmarkEnd w:id="385"/>
      <w:bookmarkEnd w:id="386"/>
      <w:r w:rsidRPr="00D93FF9">
        <w:rPr>
          <w:lang w:val="en-GB"/>
        </w:rPr>
        <w:t>Hardness</w:t>
      </w:r>
    </w:p>
    <w:p w14:paraId="59DCDBBC" w14:textId="5DD11176" w:rsidR="00C46175" w:rsidRPr="00D93FF9" w:rsidRDefault="00E811B8" w:rsidP="003807A1">
      <w:pPr>
        <w:pStyle w:val="BodyText"/>
        <w:spacing w:after="0" w:line="280" w:lineRule="exact"/>
        <w:jc w:val="both"/>
        <w:rPr>
          <w:lang w:val="en-GB"/>
        </w:rPr>
      </w:pPr>
      <w:r w:rsidRPr="00D93FF9">
        <w:rPr>
          <w:lang w:val="en-GB"/>
        </w:rPr>
        <w:t>The level of hardness of a water can give an indication of the potential for fouling through the precipitation of calcium or magnesium carbonates. It is normally expressed as a calcium carbonate equivalent (mg/L CaCO</w:t>
      </w:r>
      <w:r w:rsidRPr="00D93FF9">
        <w:rPr>
          <w:position w:val="-4"/>
          <w:sz w:val="15"/>
          <w:lang w:val="en-GB"/>
        </w:rPr>
        <w:t>3</w:t>
      </w:r>
      <w:r w:rsidRPr="00D93FF9">
        <w:rPr>
          <w:lang w:val="en-GB"/>
        </w:rPr>
        <w:t>). Soft water can be associated with corrosion while hard water can lead to encrustation and scaling of distribution systems (e.g.</w:t>
      </w:r>
      <w:r w:rsidR="00DE41FE" w:rsidRPr="00D93FF9">
        <w:rPr>
          <w:lang w:val="en-GB"/>
        </w:rPr>
        <w:t>,</w:t>
      </w:r>
      <w:r w:rsidRPr="00D93FF9">
        <w:rPr>
          <w:lang w:val="en-GB"/>
        </w:rPr>
        <w:t xml:space="preserve"> drip irrigation lines) or other equipment.</w:t>
      </w:r>
    </w:p>
    <w:p w14:paraId="59DCDBBD" w14:textId="31FA072B" w:rsidR="00C46175" w:rsidRPr="00D93FF9" w:rsidRDefault="00E811B8" w:rsidP="003807A1">
      <w:pPr>
        <w:pStyle w:val="BodyText"/>
        <w:spacing w:after="0" w:line="249" w:lineRule="auto"/>
        <w:jc w:val="both"/>
        <w:rPr>
          <w:lang w:val="en-GB"/>
        </w:rPr>
      </w:pPr>
      <w:r w:rsidRPr="00D93FF9">
        <w:rPr>
          <w:lang w:val="en-GB"/>
        </w:rPr>
        <w:t xml:space="preserve">For general agricultural water uses a </w:t>
      </w:r>
      <w:r w:rsidR="00855C80" w:rsidRPr="00D93FF9">
        <w:rPr>
          <w:lang w:val="en-GB"/>
        </w:rPr>
        <w:t>guideline value</w:t>
      </w:r>
      <w:r w:rsidRPr="00D93FF9">
        <w:rPr>
          <w:lang w:val="en-GB"/>
        </w:rPr>
        <w:t xml:space="preserve"> of </w:t>
      </w:r>
      <w:r w:rsidR="00135857" w:rsidRPr="00D93FF9">
        <w:rPr>
          <w:lang w:val="en-GB"/>
        </w:rPr>
        <w:t>200</w:t>
      </w:r>
      <w:r w:rsidRPr="00D93FF9">
        <w:rPr>
          <w:lang w:val="en-GB"/>
        </w:rPr>
        <w:t xml:space="preserve"> mg/L CaCO</w:t>
      </w:r>
      <w:r w:rsidRPr="00D93FF9">
        <w:rPr>
          <w:position w:val="-4"/>
          <w:sz w:val="15"/>
          <w:lang w:val="en-GB"/>
        </w:rPr>
        <w:t xml:space="preserve">3 </w:t>
      </w:r>
      <w:r w:rsidRPr="00D93FF9">
        <w:rPr>
          <w:lang w:val="en-GB"/>
        </w:rPr>
        <w:t>is recommended to limit excess encrustation. This value takes into consideration the influence of hardness on fouling rates.</w:t>
      </w:r>
      <w:r w:rsidR="00CB5939" w:rsidRPr="00D93FF9">
        <w:rPr>
          <w:lang w:val="en-GB"/>
        </w:rPr>
        <w:t xml:space="preserve"> </w:t>
      </w:r>
      <w:r w:rsidR="00135857" w:rsidRPr="00D93FF9">
        <w:rPr>
          <w:lang w:val="en-GB"/>
        </w:rPr>
        <w:t>Tis value is also recommended by</w:t>
      </w:r>
      <w:r w:rsidR="00CB5939" w:rsidRPr="00D93FF9">
        <w:rPr>
          <w:lang w:val="en-GB"/>
        </w:rPr>
        <w:t xml:space="preserve"> WHO (2017) and the Australian Drinking Water Guidelines (</w:t>
      </w:r>
      <w:r w:rsidR="00CB5939" w:rsidRPr="00D93FF9">
        <w:t>NHMRC</w:t>
      </w:r>
      <w:r w:rsidR="00DE41FE" w:rsidRPr="00D93FF9">
        <w:t xml:space="preserve"> </w:t>
      </w:r>
      <w:r w:rsidR="00FA6E9E" w:rsidRPr="00D93FF9">
        <w:t>and</w:t>
      </w:r>
      <w:r w:rsidR="00CB5939" w:rsidRPr="00D93FF9">
        <w:t xml:space="preserve"> NRMMC 2011) </w:t>
      </w:r>
      <w:r w:rsidR="00135857" w:rsidRPr="00D93FF9">
        <w:t xml:space="preserve">who </w:t>
      </w:r>
      <w:r w:rsidR="00CB5939" w:rsidRPr="00D93FF9">
        <w:t>suggest that hardness of 200 mg</w:t>
      </w:r>
      <w:r w:rsidR="002A6B7B" w:rsidRPr="00D93FF9">
        <w:t xml:space="preserve"> CaCO</w:t>
      </w:r>
      <w:r w:rsidR="002A6B7B" w:rsidRPr="00D93FF9">
        <w:rPr>
          <w:vertAlign w:val="subscript"/>
        </w:rPr>
        <w:t>3</w:t>
      </w:r>
      <w:r w:rsidR="00CB5939" w:rsidRPr="00D93FF9">
        <w:t>/L can start to increase fouling rates.</w:t>
      </w:r>
    </w:p>
    <w:p w14:paraId="59DCDBBE" w14:textId="77777777" w:rsidR="00C46175" w:rsidRPr="00D93FF9" w:rsidRDefault="00E811B8" w:rsidP="0070761D">
      <w:pPr>
        <w:pStyle w:val="Heading5"/>
        <w:rPr>
          <w:lang w:val="en-GB"/>
        </w:rPr>
      </w:pPr>
      <w:r w:rsidRPr="00D93FF9">
        <w:rPr>
          <w:lang w:val="en-GB"/>
        </w:rPr>
        <w:lastRenderedPageBreak/>
        <w:t>pH</w:t>
      </w:r>
    </w:p>
    <w:p w14:paraId="59DCDBBF" w14:textId="4702FC3D" w:rsidR="00CB5939" w:rsidRPr="00D93FF9" w:rsidRDefault="00E811B8" w:rsidP="003807A1">
      <w:pPr>
        <w:pStyle w:val="BodyText"/>
        <w:spacing w:after="0" w:line="264" w:lineRule="auto"/>
        <w:ind w:hanging="1"/>
        <w:jc w:val="both"/>
      </w:pPr>
      <w:r w:rsidRPr="00D93FF9">
        <w:rPr>
          <w:lang w:val="en-GB"/>
        </w:rPr>
        <w:t>pH, which is a measure of the acidity or alkalinity of a water based on its hydrogen ion [H</w:t>
      </w:r>
      <w:r w:rsidRPr="00D93FF9">
        <w:rPr>
          <w:position w:val="5"/>
          <w:sz w:val="15"/>
          <w:lang w:val="en-GB"/>
        </w:rPr>
        <w:t>+</w:t>
      </w:r>
      <w:r w:rsidRPr="00D93FF9">
        <w:rPr>
          <w:lang w:val="en-GB"/>
        </w:rPr>
        <w:t>] activity, can influence the rate of fouling in distribution systems (see Section</w:t>
      </w:r>
      <w:r w:rsidR="005655D9" w:rsidRPr="00D93FF9">
        <w:rPr>
          <w:lang w:val="en-GB"/>
        </w:rPr>
        <w:t xml:space="preserve"> </w:t>
      </w:r>
      <w:r w:rsidR="005655D9" w:rsidRPr="00D93FF9">
        <w:rPr>
          <w:lang w:val="en-GB"/>
        </w:rPr>
        <w:fldChar w:fldCharType="begin"/>
      </w:r>
      <w:r w:rsidR="005655D9" w:rsidRPr="00D93FF9">
        <w:rPr>
          <w:lang w:val="en-GB"/>
        </w:rPr>
        <w:instrText xml:space="preserve"> REF _Ref70414755 \r \h </w:instrText>
      </w:r>
      <w:r w:rsidR="00D93FF9">
        <w:rPr>
          <w:lang w:val="en-GB"/>
        </w:rPr>
        <w:instrText xml:space="preserve"> \* MERGEFORMAT </w:instrText>
      </w:r>
      <w:r w:rsidR="005655D9" w:rsidRPr="00D93FF9">
        <w:rPr>
          <w:lang w:val="en-GB"/>
        </w:rPr>
      </w:r>
      <w:r w:rsidR="005655D9" w:rsidRPr="00D93FF9">
        <w:rPr>
          <w:lang w:val="en-GB"/>
        </w:rPr>
        <w:fldChar w:fldCharType="separate"/>
      </w:r>
      <w:r w:rsidR="0069302C">
        <w:rPr>
          <w:lang w:val="en-GB"/>
        </w:rPr>
        <w:t>10.1</w:t>
      </w:r>
      <w:r w:rsidR="005655D9" w:rsidRPr="00D93FF9">
        <w:rPr>
          <w:lang w:val="en-GB"/>
        </w:rPr>
        <w:fldChar w:fldCharType="end"/>
      </w:r>
      <w:r w:rsidRPr="00D93FF9">
        <w:rPr>
          <w:lang w:val="en-GB"/>
        </w:rPr>
        <w:t>). A pH range between 6.5 and 8.5 is typically accepted as limiting corrosiveness (</w:t>
      </w:r>
      <w:r w:rsidRPr="00D93FF9">
        <w:t>NHMRC</w:t>
      </w:r>
      <w:r w:rsidR="00DE41FE" w:rsidRPr="00D93FF9">
        <w:t xml:space="preserve"> </w:t>
      </w:r>
      <w:r w:rsidR="00FA6E9E" w:rsidRPr="00D93FF9">
        <w:t>and</w:t>
      </w:r>
      <w:r w:rsidRPr="00D93FF9">
        <w:t xml:space="preserve"> NRMMC 2011).</w:t>
      </w:r>
    </w:p>
    <w:p w14:paraId="59DCDBC0" w14:textId="77777777" w:rsidR="0088352D" w:rsidRPr="00D93FF9" w:rsidRDefault="0088352D" w:rsidP="003807A1">
      <w:pPr>
        <w:pStyle w:val="BodyText"/>
        <w:spacing w:after="0" w:line="264" w:lineRule="auto"/>
        <w:ind w:hanging="1"/>
        <w:jc w:val="both"/>
        <w:rPr>
          <w:lang w:val="en-GB"/>
        </w:rPr>
      </w:pPr>
    </w:p>
    <w:p w14:paraId="59DCDBC1" w14:textId="77777777" w:rsidR="00C46175" w:rsidRPr="00D93FF9" w:rsidRDefault="00E811B8" w:rsidP="0070761D">
      <w:pPr>
        <w:pStyle w:val="Heading4"/>
        <w:rPr>
          <w:lang w:val="en-GB"/>
        </w:rPr>
      </w:pPr>
      <w:r w:rsidRPr="00D93FF9">
        <w:t>Fouling</w:t>
      </w:r>
      <w:r w:rsidRPr="00D93FF9">
        <w:rPr>
          <w:lang w:val="en-GB"/>
        </w:rPr>
        <w:t xml:space="preserve"> indices</w:t>
      </w:r>
    </w:p>
    <w:p w14:paraId="59DCDBC2" w14:textId="77777777" w:rsidR="00C46175" w:rsidRPr="00D93FF9" w:rsidRDefault="00E811B8" w:rsidP="0070761D">
      <w:pPr>
        <w:pStyle w:val="Heading5"/>
        <w:rPr>
          <w:lang w:val="en-GB"/>
        </w:rPr>
      </w:pPr>
      <w:r w:rsidRPr="00D93FF9">
        <w:rPr>
          <w:lang w:val="en-GB"/>
        </w:rPr>
        <w:t>Langelier’s</w:t>
      </w:r>
      <w:r w:rsidRPr="00D93FF9">
        <w:rPr>
          <w:spacing w:val="-14"/>
          <w:lang w:val="en-GB"/>
        </w:rPr>
        <w:t xml:space="preserve"> </w:t>
      </w:r>
      <w:r w:rsidRPr="00D93FF9">
        <w:rPr>
          <w:lang w:val="en-GB"/>
        </w:rPr>
        <w:t>index</w:t>
      </w:r>
    </w:p>
    <w:p w14:paraId="59DCDBC3" w14:textId="30165FAF" w:rsidR="00C46175" w:rsidRPr="00D93FF9" w:rsidRDefault="00E811B8" w:rsidP="003807A1">
      <w:pPr>
        <w:pStyle w:val="BodyText"/>
        <w:spacing w:after="0" w:line="266" w:lineRule="auto"/>
        <w:jc w:val="both"/>
        <w:rPr>
          <w:lang w:val="en-GB"/>
        </w:rPr>
      </w:pPr>
      <w:r w:rsidRPr="00D93FF9">
        <w:rPr>
          <w:lang w:val="en-GB"/>
        </w:rPr>
        <w:t xml:space="preserve">Langelier’s Index (see Section </w:t>
      </w:r>
      <w:r w:rsidR="00E6294B" w:rsidRPr="00D93FF9">
        <w:rPr>
          <w:lang w:val="en-GB"/>
        </w:rPr>
        <w:fldChar w:fldCharType="begin"/>
      </w:r>
      <w:r w:rsidR="00E6294B" w:rsidRPr="00D93FF9">
        <w:rPr>
          <w:lang w:val="en-GB"/>
        </w:rPr>
        <w:instrText xml:space="preserve"> REF _Ref71723022 \r \h </w:instrText>
      </w:r>
      <w:r w:rsidR="00D93FF9">
        <w:rPr>
          <w:lang w:val="en-GB"/>
        </w:rPr>
        <w:instrText xml:space="preserve"> \* MERGEFORMAT </w:instrText>
      </w:r>
      <w:r w:rsidR="00E6294B" w:rsidRPr="00D93FF9">
        <w:rPr>
          <w:lang w:val="en-GB"/>
        </w:rPr>
      </w:r>
      <w:r w:rsidR="00E6294B" w:rsidRPr="00D93FF9">
        <w:rPr>
          <w:lang w:val="en-GB"/>
        </w:rPr>
        <w:fldChar w:fldCharType="separate"/>
      </w:r>
      <w:r w:rsidR="0069302C">
        <w:rPr>
          <w:lang w:val="en-GB"/>
        </w:rPr>
        <w:t>10.2</w:t>
      </w:r>
      <w:r w:rsidR="00E6294B" w:rsidRPr="00D93FF9">
        <w:rPr>
          <w:lang w:val="en-GB"/>
        </w:rPr>
        <w:fldChar w:fldCharType="end"/>
      </w:r>
      <w:r w:rsidR="00E6294B" w:rsidRPr="00D93FF9">
        <w:rPr>
          <w:lang w:val="en-GB"/>
        </w:rPr>
        <w:t xml:space="preserve"> </w:t>
      </w:r>
      <w:r w:rsidRPr="00D93FF9">
        <w:rPr>
          <w:lang w:val="en-GB"/>
        </w:rPr>
        <w:t>on corrosion) uses pH values to estimate the potential for calcium carbonate precipitation. A positive value indicates that precipitation is likely to occur</w:t>
      </w:r>
      <w:r w:rsidR="00CB5939" w:rsidRPr="00D93FF9">
        <w:rPr>
          <w:lang w:val="en-GB"/>
        </w:rPr>
        <w:t>, which can cause encrustation and fouling,</w:t>
      </w:r>
      <w:r w:rsidRPr="00D93FF9">
        <w:rPr>
          <w:lang w:val="en-GB"/>
        </w:rPr>
        <w:t xml:space="preserve"> while a negative value indicates the potential for corrosion.</w:t>
      </w:r>
    </w:p>
    <w:p w14:paraId="59DCDBC4" w14:textId="77777777" w:rsidR="00C46175" w:rsidRPr="00D93FF9" w:rsidRDefault="00E811B8" w:rsidP="0070761D">
      <w:pPr>
        <w:pStyle w:val="Heading5"/>
        <w:rPr>
          <w:lang w:val="en-GB"/>
        </w:rPr>
      </w:pPr>
      <w:r w:rsidRPr="00D93FF9">
        <w:rPr>
          <w:lang w:val="en-GB"/>
        </w:rPr>
        <w:t>Ryznar’s index</w:t>
      </w:r>
    </w:p>
    <w:p w14:paraId="59DCDBC5" w14:textId="69A68B44" w:rsidR="00C46175" w:rsidRPr="00D93FF9" w:rsidRDefault="00E811B8" w:rsidP="003807A1">
      <w:pPr>
        <w:pStyle w:val="BodyText"/>
        <w:spacing w:after="0" w:line="266" w:lineRule="auto"/>
        <w:jc w:val="both"/>
        <w:rPr>
          <w:lang w:val="en-GB"/>
        </w:rPr>
      </w:pPr>
      <w:r w:rsidRPr="00D93FF9">
        <w:rPr>
          <w:lang w:val="en-GB"/>
        </w:rPr>
        <w:t xml:space="preserve">Ryznar’s Index (see Section </w:t>
      </w:r>
      <w:r w:rsidR="00E6294B" w:rsidRPr="00D93FF9">
        <w:rPr>
          <w:lang w:val="en-GB"/>
        </w:rPr>
        <w:fldChar w:fldCharType="begin"/>
      </w:r>
      <w:r w:rsidR="00E6294B" w:rsidRPr="00D93FF9">
        <w:rPr>
          <w:lang w:val="en-GB"/>
        </w:rPr>
        <w:instrText xml:space="preserve"> REF _Ref71723022 \r \h </w:instrText>
      </w:r>
      <w:r w:rsidR="00D93FF9">
        <w:rPr>
          <w:lang w:val="en-GB"/>
        </w:rPr>
        <w:instrText xml:space="preserve"> \* MERGEFORMAT </w:instrText>
      </w:r>
      <w:r w:rsidR="00E6294B" w:rsidRPr="00D93FF9">
        <w:rPr>
          <w:lang w:val="en-GB"/>
        </w:rPr>
      </w:r>
      <w:r w:rsidR="00E6294B" w:rsidRPr="00D93FF9">
        <w:rPr>
          <w:lang w:val="en-GB"/>
        </w:rPr>
        <w:fldChar w:fldCharType="separate"/>
      </w:r>
      <w:r w:rsidR="0069302C">
        <w:rPr>
          <w:lang w:val="en-GB"/>
        </w:rPr>
        <w:t>10.2</w:t>
      </w:r>
      <w:r w:rsidR="00E6294B" w:rsidRPr="00D93FF9">
        <w:rPr>
          <w:lang w:val="en-GB"/>
        </w:rPr>
        <w:fldChar w:fldCharType="end"/>
      </w:r>
      <w:r w:rsidR="00E6294B" w:rsidRPr="00D93FF9">
        <w:rPr>
          <w:lang w:val="en-GB"/>
        </w:rPr>
        <w:t xml:space="preserve"> </w:t>
      </w:r>
      <w:r w:rsidRPr="00D93FF9">
        <w:rPr>
          <w:lang w:val="en-GB"/>
        </w:rPr>
        <w:t>on corrosion) is also used in estimating the potential for fouling or corrosion based on pH of water. All values in this index are positive, with values under 6 indicating a tendency for fouling and values over 7 indicating a tendency for corrosivity.</w:t>
      </w:r>
    </w:p>
    <w:p w14:paraId="59DCDBC6" w14:textId="77777777" w:rsidR="00C46175" w:rsidRPr="00D93FF9" w:rsidRDefault="00E811B8" w:rsidP="0070761D">
      <w:pPr>
        <w:pStyle w:val="Heading5"/>
        <w:rPr>
          <w:lang w:val="en-GB"/>
        </w:rPr>
      </w:pPr>
      <w:r w:rsidRPr="00D93FF9">
        <w:rPr>
          <w:lang w:val="en-GB"/>
        </w:rPr>
        <w:t>Ratio of chloride to carbonate</w:t>
      </w:r>
    </w:p>
    <w:p w14:paraId="59DCDBC7" w14:textId="00213457" w:rsidR="00C46175" w:rsidRPr="00D93FF9" w:rsidRDefault="00E90CE0" w:rsidP="003807A1">
      <w:pPr>
        <w:pStyle w:val="BodyText"/>
        <w:spacing w:after="0" w:line="254" w:lineRule="auto"/>
        <w:jc w:val="both"/>
        <w:rPr>
          <w:lang w:val="en-GB"/>
        </w:rPr>
      </w:pPr>
      <w:r w:rsidRPr="00D93FF9">
        <w:rPr>
          <w:position w:val="2"/>
          <w:lang w:val="en-GB"/>
        </w:rPr>
        <w:t>When the log of (</w:t>
      </w:r>
      <w:r w:rsidRPr="00D93FF9">
        <w:rPr>
          <w:position w:val="6"/>
          <w:sz w:val="16"/>
          <w:lang w:val="en-GB"/>
        </w:rPr>
        <w:t>[Cl</w:t>
      </w:r>
      <w:r w:rsidRPr="00D93FF9">
        <w:rPr>
          <w:position w:val="13"/>
          <w:sz w:val="11"/>
          <w:lang w:val="en-GB"/>
        </w:rPr>
        <w:t>-</w:t>
      </w:r>
      <w:r w:rsidRPr="00D93FF9">
        <w:rPr>
          <w:position w:val="6"/>
          <w:sz w:val="16"/>
          <w:lang w:val="en-GB"/>
        </w:rPr>
        <w:t>]</w:t>
      </w:r>
      <w:r w:rsidRPr="00D93FF9">
        <w:rPr>
          <w:position w:val="2"/>
          <w:sz w:val="16"/>
          <w:lang w:val="en-GB"/>
        </w:rPr>
        <w:t>/</w:t>
      </w:r>
      <w:r w:rsidRPr="00D93FF9">
        <w:rPr>
          <w:sz w:val="16"/>
          <w:lang w:val="en-GB"/>
        </w:rPr>
        <w:t xml:space="preserve">[CO </w:t>
      </w:r>
      <w:r w:rsidRPr="00D93FF9">
        <w:rPr>
          <w:sz w:val="16"/>
          <w:vertAlign w:val="superscript"/>
          <w:lang w:val="en-GB"/>
        </w:rPr>
        <w:t>2-</w:t>
      </w:r>
      <w:r w:rsidRPr="00D93FF9">
        <w:rPr>
          <w:sz w:val="16"/>
          <w:lang w:val="en-GB"/>
        </w:rPr>
        <w:t>]</w:t>
      </w:r>
      <w:r w:rsidRPr="00D93FF9">
        <w:rPr>
          <w:position w:val="2"/>
          <w:lang w:val="en-GB"/>
        </w:rPr>
        <w:t xml:space="preserve">) is </w:t>
      </w:r>
      <w:r w:rsidRPr="00D93FF9">
        <w:rPr>
          <w:spacing w:val="-3"/>
          <w:position w:val="2"/>
          <w:lang w:val="en-GB"/>
        </w:rPr>
        <w:t xml:space="preserve">small </w:t>
      </w:r>
      <w:r w:rsidRPr="00D93FF9">
        <w:rPr>
          <w:position w:val="2"/>
          <w:lang w:val="en-GB"/>
        </w:rPr>
        <w:t xml:space="preserve">(see </w:t>
      </w:r>
      <w:r w:rsidRPr="00D93FF9">
        <w:rPr>
          <w:spacing w:val="-3"/>
          <w:position w:val="2"/>
          <w:lang w:val="en-GB"/>
        </w:rPr>
        <w:t xml:space="preserve">Section </w:t>
      </w:r>
      <w:r w:rsidR="00E6294B" w:rsidRPr="00D93FF9">
        <w:rPr>
          <w:position w:val="2"/>
          <w:lang w:val="en-GB"/>
        </w:rPr>
        <w:fldChar w:fldCharType="begin"/>
      </w:r>
      <w:r w:rsidR="00E6294B" w:rsidRPr="00D93FF9">
        <w:rPr>
          <w:spacing w:val="-3"/>
          <w:position w:val="2"/>
          <w:lang w:val="en-GB"/>
        </w:rPr>
        <w:instrText xml:space="preserve"> REF _Ref71723022 \r \h </w:instrText>
      </w:r>
      <w:r w:rsidR="00D93FF9">
        <w:rPr>
          <w:position w:val="2"/>
          <w:lang w:val="en-GB"/>
        </w:rPr>
        <w:instrText xml:space="preserve"> \* MERGEFORMAT </w:instrText>
      </w:r>
      <w:r w:rsidR="00E6294B" w:rsidRPr="00D93FF9">
        <w:rPr>
          <w:position w:val="2"/>
          <w:lang w:val="en-GB"/>
        </w:rPr>
      </w:r>
      <w:r w:rsidR="00E6294B" w:rsidRPr="00D93FF9">
        <w:rPr>
          <w:position w:val="2"/>
          <w:lang w:val="en-GB"/>
        </w:rPr>
        <w:fldChar w:fldCharType="separate"/>
      </w:r>
      <w:r w:rsidR="0069302C">
        <w:rPr>
          <w:spacing w:val="-3"/>
          <w:position w:val="2"/>
          <w:lang w:val="en-GB"/>
        </w:rPr>
        <w:t>10.2</w:t>
      </w:r>
      <w:r w:rsidR="00E6294B" w:rsidRPr="00D93FF9">
        <w:rPr>
          <w:position w:val="2"/>
          <w:lang w:val="en-GB"/>
        </w:rPr>
        <w:fldChar w:fldCharType="end"/>
      </w:r>
      <w:r w:rsidRPr="00D93FF9">
        <w:rPr>
          <w:position w:val="2"/>
          <w:lang w:val="en-GB"/>
        </w:rPr>
        <w:t xml:space="preserve"> on corrosion), the potential </w:t>
      </w:r>
      <w:r w:rsidRPr="00D93FF9">
        <w:rPr>
          <w:spacing w:val="-2"/>
          <w:position w:val="2"/>
          <w:lang w:val="en-GB"/>
        </w:rPr>
        <w:t xml:space="preserve">for </w:t>
      </w:r>
      <w:r w:rsidRPr="00D93FF9">
        <w:rPr>
          <w:spacing w:val="-3"/>
          <w:lang w:val="en-GB"/>
        </w:rPr>
        <w:t xml:space="preserve">precipitation </w:t>
      </w:r>
      <w:r w:rsidRPr="00D93FF9">
        <w:rPr>
          <w:lang w:val="en-GB"/>
        </w:rPr>
        <w:t xml:space="preserve">of </w:t>
      </w:r>
      <w:r w:rsidRPr="00D93FF9">
        <w:rPr>
          <w:spacing w:val="-3"/>
          <w:lang w:val="en-GB"/>
        </w:rPr>
        <w:t xml:space="preserve">calcium </w:t>
      </w:r>
      <w:r w:rsidRPr="00D93FF9">
        <w:rPr>
          <w:lang w:val="en-GB"/>
        </w:rPr>
        <w:t xml:space="preserve">carbonate is </w:t>
      </w:r>
      <w:r w:rsidRPr="00D93FF9">
        <w:rPr>
          <w:spacing w:val="-3"/>
          <w:lang w:val="en-GB"/>
        </w:rPr>
        <w:t xml:space="preserve">high. However, </w:t>
      </w:r>
      <w:r w:rsidRPr="00D93FF9">
        <w:rPr>
          <w:lang w:val="en-GB"/>
        </w:rPr>
        <w:t>as the Cl</w:t>
      </w:r>
      <w:r w:rsidRPr="00D93FF9">
        <w:rPr>
          <w:vertAlign w:val="superscript"/>
          <w:lang w:val="en-GB"/>
        </w:rPr>
        <w:t>-</w:t>
      </w:r>
      <w:r w:rsidRPr="00D93FF9">
        <w:rPr>
          <w:lang w:val="en-GB"/>
        </w:rPr>
        <w:t xml:space="preserve"> concentration increases </w:t>
      </w:r>
      <w:r w:rsidRPr="00D93FF9">
        <w:rPr>
          <w:spacing w:val="-3"/>
          <w:lang w:val="en-GB"/>
        </w:rPr>
        <w:t xml:space="preserve">relative </w:t>
      </w:r>
      <w:r w:rsidRPr="00D93FF9">
        <w:rPr>
          <w:lang w:val="en-GB"/>
        </w:rPr>
        <w:t>to CO</w:t>
      </w:r>
      <w:r w:rsidRPr="00D93FF9">
        <w:rPr>
          <w:position w:val="-4"/>
          <w:sz w:val="15"/>
          <w:lang w:val="en-GB"/>
        </w:rPr>
        <w:t>3</w:t>
      </w:r>
      <w:r w:rsidRPr="00D93FF9">
        <w:rPr>
          <w:position w:val="5"/>
          <w:sz w:val="15"/>
          <w:lang w:val="en-GB"/>
        </w:rPr>
        <w:t>2-</w:t>
      </w:r>
      <w:r w:rsidRPr="00D93FF9">
        <w:rPr>
          <w:lang w:val="en-GB"/>
        </w:rPr>
        <w:t xml:space="preserve">, and the log of the ratio exceeds about 2, corrosion is </w:t>
      </w:r>
      <w:r w:rsidRPr="00D93FF9">
        <w:rPr>
          <w:spacing w:val="-3"/>
          <w:lang w:val="en-GB"/>
        </w:rPr>
        <w:t xml:space="preserve">more likely </w:t>
      </w:r>
      <w:r w:rsidRPr="00D93FF9">
        <w:rPr>
          <w:lang w:val="en-GB"/>
        </w:rPr>
        <w:t xml:space="preserve">to occur (Kelly </w:t>
      </w:r>
      <w:r w:rsidR="00FA6E9E" w:rsidRPr="00D93FF9">
        <w:rPr>
          <w:lang w:val="en-GB"/>
        </w:rPr>
        <w:t>and</w:t>
      </w:r>
      <w:r w:rsidRPr="00D93FF9">
        <w:rPr>
          <w:lang w:val="en-GB"/>
        </w:rPr>
        <w:t xml:space="preserve"> </w:t>
      </w:r>
      <w:r w:rsidRPr="00D93FF9">
        <w:rPr>
          <w:spacing w:val="-3"/>
          <w:lang w:val="en-GB"/>
        </w:rPr>
        <w:t>Kemp 1975).</w:t>
      </w:r>
    </w:p>
    <w:p w14:paraId="59DCDBC8" w14:textId="77777777" w:rsidR="00C46175" w:rsidRPr="00D93FF9" w:rsidRDefault="00E811B8" w:rsidP="0070761D">
      <w:pPr>
        <w:pStyle w:val="Heading4"/>
        <w:rPr>
          <w:lang w:val="en-GB"/>
        </w:rPr>
      </w:pPr>
      <w:r w:rsidRPr="00D93FF9">
        <w:rPr>
          <w:lang w:val="en-GB"/>
        </w:rPr>
        <w:t xml:space="preserve">Control </w:t>
      </w:r>
      <w:r w:rsidRPr="00D93FF9">
        <w:t>measures</w:t>
      </w:r>
    </w:p>
    <w:p w14:paraId="59DCDBC9" w14:textId="77777777" w:rsidR="00C46175" w:rsidRPr="00D93FF9" w:rsidRDefault="00E811B8" w:rsidP="003807A1">
      <w:pPr>
        <w:pStyle w:val="BodyText"/>
        <w:spacing w:after="0" w:line="266" w:lineRule="auto"/>
        <w:jc w:val="both"/>
        <w:rPr>
          <w:lang w:val="en-GB"/>
        </w:rPr>
      </w:pPr>
      <w:r w:rsidRPr="00D93FF9">
        <w:rPr>
          <w:lang w:val="en-GB"/>
        </w:rPr>
        <w:t>A number of methods are available to limit fouling of agricultural water distribution systems. These tend to be based on treating the symptoms rather than the cause, as it is difficult to prevent most fouling processes unless water quality is altered.</w:t>
      </w:r>
    </w:p>
    <w:p w14:paraId="59DCDBCA" w14:textId="77777777" w:rsidR="00C46175" w:rsidRPr="00D93FF9" w:rsidRDefault="00E811B8" w:rsidP="003807A1">
      <w:pPr>
        <w:pStyle w:val="BodyText"/>
        <w:spacing w:after="0" w:line="266" w:lineRule="auto"/>
        <w:jc w:val="both"/>
        <w:rPr>
          <w:lang w:val="en-GB"/>
        </w:rPr>
      </w:pPr>
      <w:r w:rsidRPr="00D93FF9">
        <w:rPr>
          <w:lang w:val="en-GB"/>
        </w:rPr>
        <w:t>Monitoring and maintenance of water quality used for agriculture is an important part of an overall farm management strategy to ensure long-term sustainability. Fouling of pumping and distribution systems may be detected through changes in some water quality parameters including increase in sulfides, bacterial count, and sporadic increases in turbidity and iron levels. Monitoring of indicative water quality parameters should be conducted on a regular basis to ensure early detection of fouling problems.</w:t>
      </w:r>
    </w:p>
    <w:p w14:paraId="59DCDBCB" w14:textId="77777777" w:rsidR="00C46175" w:rsidRPr="00D93FF9" w:rsidRDefault="00E811B8" w:rsidP="0070761D">
      <w:pPr>
        <w:pStyle w:val="Heading5"/>
        <w:rPr>
          <w:lang w:val="en-GB"/>
        </w:rPr>
      </w:pPr>
      <w:r w:rsidRPr="00D93FF9">
        <w:rPr>
          <w:lang w:val="en-GB"/>
        </w:rPr>
        <w:t>Equipment maintenance</w:t>
      </w:r>
    </w:p>
    <w:p w14:paraId="59DCDBCC" w14:textId="77777777" w:rsidR="00C46175" w:rsidRPr="00D93FF9" w:rsidRDefault="00E811B8" w:rsidP="003807A1">
      <w:pPr>
        <w:pStyle w:val="BodyText"/>
        <w:spacing w:after="0" w:line="266" w:lineRule="auto"/>
        <w:jc w:val="both"/>
        <w:rPr>
          <w:lang w:val="en-GB"/>
        </w:rPr>
      </w:pPr>
      <w:r w:rsidRPr="00D93FF9">
        <w:rPr>
          <w:lang w:val="en-GB"/>
        </w:rPr>
        <w:t>Equipment fouling can be minimised through a number of different methods. It is recommended that where possible, flow rate and temperature are kept fairly constant to minimise the likelihood of precipitation. The use of joints and other fittings which may also</w:t>
      </w:r>
      <w:r w:rsidR="008F19A4" w:rsidRPr="00D93FF9">
        <w:rPr>
          <w:lang w:val="en-GB"/>
        </w:rPr>
        <w:t xml:space="preserve"> </w:t>
      </w:r>
      <w:r w:rsidRPr="00D93FF9">
        <w:rPr>
          <w:lang w:val="en-GB"/>
        </w:rPr>
        <w:t>alter flow rate and flow diameter should also be kept to a minimum, as these often represent an ideal environment for accumulation of precipitates and biofilm.</w:t>
      </w:r>
    </w:p>
    <w:p w14:paraId="59DCDBCD" w14:textId="77777777" w:rsidR="00C46175" w:rsidRPr="00D93FF9" w:rsidRDefault="00E811B8" w:rsidP="003807A1">
      <w:pPr>
        <w:pStyle w:val="BodyText"/>
        <w:spacing w:after="0" w:line="266" w:lineRule="auto"/>
        <w:jc w:val="both"/>
        <w:rPr>
          <w:lang w:val="en-GB"/>
        </w:rPr>
      </w:pPr>
      <w:r w:rsidRPr="00D93FF9">
        <w:rPr>
          <w:lang w:val="en-GB"/>
        </w:rPr>
        <w:t>Where a pipeline or well continues to be blocked through fouling, poor design combined with unsuitable water quality could be the problem. Replacement or closure may prove a more viable option than continued treatment, as the cost of ongoing maintenance can often be quite substantial.</w:t>
      </w:r>
    </w:p>
    <w:p w14:paraId="59DCDBCE" w14:textId="77777777" w:rsidR="00C46175" w:rsidRPr="00D93FF9" w:rsidRDefault="00E811B8" w:rsidP="0070761D">
      <w:pPr>
        <w:pStyle w:val="Heading5"/>
        <w:rPr>
          <w:lang w:val="en-GB"/>
        </w:rPr>
      </w:pPr>
      <w:r w:rsidRPr="00D93FF9">
        <w:rPr>
          <w:lang w:val="en-GB"/>
        </w:rPr>
        <w:t>Changes in water quality</w:t>
      </w:r>
    </w:p>
    <w:p w14:paraId="59DCDBCF" w14:textId="21D8B4E9" w:rsidR="00C46175" w:rsidRPr="00D93FF9" w:rsidRDefault="00E811B8" w:rsidP="003807A1">
      <w:pPr>
        <w:pStyle w:val="BodyText"/>
        <w:spacing w:after="0" w:line="266" w:lineRule="auto"/>
        <w:jc w:val="both"/>
        <w:rPr>
          <w:lang w:val="en-GB"/>
        </w:rPr>
      </w:pPr>
      <w:r w:rsidRPr="00D93FF9">
        <w:rPr>
          <w:lang w:val="en-GB"/>
        </w:rPr>
        <w:t>Reduction of pH or hardness may reduce the likelihood of fouling in some systems depending on the mechanism involved. Lowering pH by the addition of hydrochloric or sulphuric acids to water can prevent fouling in the distribution system. In most cases, water with a pH &lt;6 will ensure that iron, calcium and magnesium ions, the principal cations involved in fouling, remain in solution.</w:t>
      </w:r>
      <w:r w:rsidR="00CB5939" w:rsidRPr="00D93FF9">
        <w:rPr>
          <w:lang w:val="en-GB"/>
        </w:rPr>
        <w:t xml:space="preserve"> Care should </w:t>
      </w:r>
      <w:r w:rsidR="00CB5939" w:rsidRPr="00D93FF9">
        <w:rPr>
          <w:lang w:val="en-GB"/>
        </w:rPr>
        <w:lastRenderedPageBreak/>
        <w:t>be taken when reducing the pH or hardness of water as lowering too much can increase the corrosive potential of water (</w:t>
      </w:r>
      <w:r w:rsidR="00CB5939" w:rsidRPr="00D93FF9">
        <w:t>NHMRC</w:t>
      </w:r>
      <w:r w:rsidR="00DE41FE" w:rsidRPr="00D93FF9">
        <w:t xml:space="preserve"> </w:t>
      </w:r>
      <w:r w:rsidR="00FA6E9E" w:rsidRPr="00D93FF9">
        <w:t>and</w:t>
      </w:r>
      <w:r w:rsidR="00877DBF" w:rsidRPr="00D93FF9">
        <w:t xml:space="preserve"> </w:t>
      </w:r>
      <w:r w:rsidR="00CB5939" w:rsidRPr="00D93FF9">
        <w:t>NRMMC 2011).</w:t>
      </w:r>
    </w:p>
    <w:p w14:paraId="59DCDBD0" w14:textId="11F175F3" w:rsidR="00C46175" w:rsidRPr="00D93FF9" w:rsidRDefault="00E811B8" w:rsidP="003807A1">
      <w:pPr>
        <w:pStyle w:val="BodyText"/>
        <w:spacing w:after="0" w:line="266" w:lineRule="auto"/>
        <w:jc w:val="both"/>
        <w:rPr>
          <w:lang w:val="en-GB"/>
        </w:rPr>
      </w:pPr>
      <w:r w:rsidRPr="00D93FF9">
        <w:rPr>
          <w:lang w:val="en-GB"/>
        </w:rPr>
        <w:t>Hardness can be controlled by treating the water source through a number of different methods, including, ion exchange, lime softening, and reverse osmosis. Although these methods are effective in reducing hardness in small-scale situations (e.g.</w:t>
      </w:r>
      <w:r w:rsidR="00DE41FE" w:rsidRPr="00D93FF9">
        <w:rPr>
          <w:lang w:val="en-GB"/>
        </w:rPr>
        <w:t>,</w:t>
      </w:r>
      <w:r w:rsidRPr="00D93FF9">
        <w:rPr>
          <w:lang w:val="en-GB"/>
        </w:rPr>
        <w:t xml:space="preserve"> domestic consumption), the economic viability in treating large volumes for irrigation or stock use must be considered</w:t>
      </w:r>
      <w:r w:rsidR="00CB5939" w:rsidRPr="00D93FF9">
        <w:rPr>
          <w:lang w:val="en-GB"/>
        </w:rPr>
        <w:t xml:space="preserve"> (</w:t>
      </w:r>
      <w:r w:rsidR="00CB5939" w:rsidRPr="00D93FF9">
        <w:t>NHMRC</w:t>
      </w:r>
      <w:r w:rsidR="00DE41FE" w:rsidRPr="00D93FF9">
        <w:t xml:space="preserve"> </w:t>
      </w:r>
      <w:r w:rsidR="00FA6E9E" w:rsidRPr="00D93FF9">
        <w:t>and</w:t>
      </w:r>
      <w:r w:rsidR="00CB5939" w:rsidRPr="00D93FF9">
        <w:t xml:space="preserve"> NRMMC 2011)</w:t>
      </w:r>
      <w:r w:rsidRPr="00D93FF9">
        <w:rPr>
          <w:lang w:val="en-GB"/>
        </w:rPr>
        <w:t>.</w:t>
      </w:r>
    </w:p>
    <w:p w14:paraId="59DCDBD1" w14:textId="4A088FC3" w:rsidR="00C46175" w:rsidRPr="00D93FF9" w:rsidRDefault="00E811B8" w:rsidP="003807A1">
      <w:pPr>
        <w:pStyle w:val="BodyText"/>
        <w:spacing w:after="0" w:line="261" w:lineRule="auto"/>
        <w:jc w:val="both"/>
        <w:rPr>
          <w:lang w:val="en-GB"/>
        </w:rPr>
      </w:pPr>
      <w:r w:rsidRPr="00D93FF9">
        <w:rPr>
          <w:lang w:val="en-GB"/>
        </w:rPr>
        <w:t>The ion exchange process softens water by passing it through an exchange resin where the calcium and magnesium are replaced with sodium. The resin requires regeneration periodically, which can be done by flushing with a solution of sodium chloride (common salt). Optimum operating conditions for this method are a pH range between 7 and 8, and temperature &lt;32</w:t>
      </w:r>
      <w:r w:rsidR="00962EA1" w:rsidRPr="00D93FF9">
        <w:rPr>
          <w:rFonts w:ascii="Symbol" w:hAnsi="Symbol"/>
          <w:lang w:val="en-GB"/>
        </w:rPr>
        <w:sym w:font="Symbol" w:char="F0B0"/>
      </w:r>
      <w:r w:rsidRPr="00D93FF9">
        <w:rPr>
          <w:lang w:val="en-GB"/>
        </w:rPr>
        <w:t>C (Awad</w:t>
      </w:r>
      <w:r w:rsidRPr="00D93FF9">
        <w:rPr>
          <w:spacing w:val="-1"/>
          <w:lang w:val="en-GB"/>
        </w:rPr>
        <w:t xml:space="preserve"> </w:t>
      </w:r>
      <w:r w:rsidRPr="00D93FF9">
        <w:rPr>
          <w:lang w:val="en-GB"/>
        </w:rPr>
        <w:t>1989).</w:t>
      </w:r>
    </w:p>
    <w:p w14:paraId="59DCDBD2" w14:textId="77777777" w:rsidR="00C46175" w:rsidRPr="00D93FF9" w:rsidRDefault="00E811B8" w:rsidP="003807A1">
      <w:pPr>
        <w:pStyle w:val="BodyText"/>
        <w:spacing w:after="0" w:line="266" w:lineRule="auto"/>
        <w:jc w:val="both"/>
        <w:rPr>
          <w:lang w:val="en-GB"/>
        </w:rPr>
      </w:pPr>
      <w:r w:rsidRPr="00D93FF9">
        <w:rPr>
          <w:lang w:val="en-GB"/>
        </w:rPr>
        <w:t>Lime softening is usually used in situations where softening of water is needed on a continual basis. The process consists of a number of steps and requires the establishment of pumps, filters and settling tanks for water treatment. Hydrated lime is added to water to precipitate out calcium carbonate, which is separated and removed through filtration and settling.</w:t>
      </w:r>
    </w:p>
    <w:p w14:paraId="59DCDBD3" w14:textId="77777777" w:rsidR="00C46175" w:rsidRPr="00D93FF9" w:rsidRDefault="00E811B8" w:rsidP="003807A1">
      <w:pPr>
        <w:pStyle w:val="BodyText"/>
        <w:spacing w:after="0" w:line="266" w:lineRule="auto"/>
        <w:jc w:val="both"/>
        <w:rPr>
          <w:lang w:val="en-GB"/>
        </w:rPr>
      </w:pPr>
      <w:r w:rsidRPr="00D93FF9">
        <w:rPr>
          <w:lang w:val="en-GB"/>
        </w:rPr>
        <w:t>Reverse osmosis is used primarily to desalinate water by reducing ion concentrations in solution. Water travels through a semi-porous membrane under pressure. This results in a weaker concentration of ions (approximately 90% less than the original solution) and reduced hardness, due to the removal of salts and other components (including calcium and magnesium). Reverse osmosis is expensive for general agricultural practice but may have applications in the amenity horticulture industry.</w:t>
      </w:r>
    </w:p>
    <w:p w14:paraId="59DCDBD4" w14:textId="77777777" w:rsidR="00C46175" w:rsidRPr="00D93FF9" w:rsidRDefault="00E811B8" w:rsidP="0070761D">
      <w:pPr>
        <w:pStyle w:val="Heading5"/>
        <w:rPr>
          <w:lang w:val="en-GB"/>
        </w:rPr>
      </w:pPr>
      <w:r w:rsidRPr="00D93FF9">
        <w:rPr>
          <w:lang w:val="en-GB"/>
        </w:rPr>
        <w:t>Sequestering agents and acids</w:t>
      </w:r>
    </w:p>
    <w:p w14:paraId="59DCDBD5" w14:textId="77777777" w:rsidR="00C46175" w:rsidRPr="00D93FF9" w:rsidRDefault="00E811B8" w:rsidP="003807A1">
      <w:pPr>
        <w:pStyle w:val="BodyText"/>
        <w:spacing w:after="0" w:line="266" w:lineRule="auto"/>
        <w:jc w:val="both"/>
        <w:rPr>
          <w:lang w:val="en-GB"/>
        </w:rPr>
      </w:pPr>
      <w:r w:rsidRPr="00D93FF9">
        <w:rPr>
          <w:lang w:val="en-GB"/>
        </w:rPr>
        <w:t>Sequestering agents are sometimes used in the prevention of iron, manganese and calcium carbonate deposits in water distribution systems. They are usually based on phosphate compounds (e.g. sodium hexametaphosphate) and are added to water to act as a form of water softener.</w:t>
      </w:r>
    </w:p>
    <w:p w14:paraId="59DCDBD6" w14:textId="77777777" w:rsidR="00C46175" w:rsidRPr="00D93FF9" w:rsidRDefault="00E811B8" w:rsidP="003807A1">
      <w:pPr>
        <w:pStyle w:val="BodyText"/>
        <w:spacing w:after="0" w:line="266" w:lineRule="auto"/>
        <w:jc w:val="both"/>
        <w:rPr>
          <w:rFonts w:ascii="Arial"/>
          <w:sz w:val="20"/>
          <w:lang w:val="en-GB"/>
        </w:rPr>
      </w:pPr>
      <w:r w:rsidRPr="00D93FF9">
        <w:rPr>
          <w:lang w:val="en-GB"/>
        </w:rPr>
        <w:t>In some cases, acids can be flushed through pipelines to dissolve any deposits forming within the distribution system. Hydrochloric acid is most widely used, however special attention must be paid to the corrosive potential of this acid on metal and concrete surfaces. The most effective treatment method involves recirculating the acid to ensure removal of precipitates, however, this may not be possible in all</w:t>
      </w:r>
      <w:r w:rsidRPr="00D93FF9">
        <w:rPr>
          <w:spacing w:val="-3"/>
          <w:lang w:val="en-GB"/>
        </w:rPr>
        <w:t xml:space="preserve"> </w:t>
      </w:r>
      <w:r w:rsidRPr="00D93FF9">
        <w:rPr>
          <w:lang w:val="en-GB"/>
        </w:rPr>
        <w:t>situations.</w:t>
      </w:r>
      <w:bookmarkStart w:id="387" w:name="Derivation_of_guideline_values"/>
      <w:bookmarkStart w:id="388" w:name="9.2.9.4__Agricultural_chemical_preparati"/>
      <w:bookmarkStart w:id="389" w:name="Salinity"/>
      <w:bookmarkStart w:id="390" w:name="pH"/>
      <w:bookmarkStart w:id="391" w:name="Hardness"/>
      <w:bookmarkStart w:id="392" w:name="Specific_ions"/>
      <w:bookmarkEnd w:id="387"/>
      <w:bookmarkEnd w:id="388"/>
      <w:bookmarkEnd w:id="389"/>
      <w:bookmarkEnd w:id="390"/>
      <w:bookmarkEnd w:id="391"/>
      <w:bookmarkEnd w:id="392"/>
      <w:r w:rsidR="00503CFB" w:rsidRPr="00D93FF9">
        <w:rPr>
          <w:rFonts w:ascii="Arial"/>
          <w:sz w:val="20"/>
          <w:lang w:val="en-GB"/>
        </w:rPr>
        <w:t xml:space="preserve"> </w:t>
      </w:r>
    </w:p>
    <w:p w14:paraId="59DCDBD7" w14:textId="77777777" w:rsidR="00C46175" w:rsidRPr="00D93FF9" w:rsidRDefault="00C46175" w:rsidP="003807A1">
      <w:pPr>
        <w:pStyle w:val="BodyText"/>
        <w:spacing w:after="0"/>
        <w:rPr>
          <w:rFonts w:ascii="Arial"/>
          <w:lang w:val="en-GB"/>
        </w:rPr>
      </w:pPr>
    </w:p>
    <w:p w14:paraId="59DCDBD8" w14:textId="77777777" w:rsidR="00C46175" w:rsidRPr="00D93FF9" w:rsidRDefault="00E811B8" w:rsidP="0070761D">
      <w:pPr>
        <w:pStyle w:val="Heading4"/>
        <w:rPr>
          <w:lang w:val="en-GB"/>
        </w:rPr>
      </w:pPr>
      <w:r w:rsidRPr="00D93FF9">
        <w:rPr>
          <w:lang w:val="en-GB"/>
        </w:rPr>
        <w:t xml:space="preserve">Derivation of </w:t>
      </w:r>
      <w:r w:rsidRPr="00D93FF9">
        <w:t>guideline</w:t>
      </w:r>
      <w:r w:rsidRPr="00D93FF9">
        <w:rPr>
          <w:lang w:val="en-GB"/>
        </w:rPr>
        <w:t xml:space="preserve"> values</w:t>
      </w:r>
    </w:p>
    <w:p w14:paraId="59DCDBD9" w14:textId="77777777" w:rsidR="00E9280A" w:rsidRPr="00D93FF9" w:rsidRDefault="00E811B8" w:rsidP="003807A1">
      <w:pPr>
        <w:pStyle w:val="BodyText"/>
        <w:spacing w:after="0" w:line="266" w:lineRule="auto"/>
        <w:jc w:val="both"/>
        <w:rPr>
          <w:lang w:val="en-GB"/>
        </w:rPr>
      </w:pPr>
      <w:r w:rsidRPr="00D93FF9">
        <w:rPr>
          <w:lang w:val="en-GB"/>
        </w:rPr>
        <w:t xml:space="preserve">Due to the interrelationship between corrosion and fouling, a combined literature review was conducted on the effect of these processes in relation to agricultural water quality. As discussed in the corrosion Section, At the time of the 2000 update, the National Centre for Groundwater Management (University of Technology, Sydney) had recently released a number of publications based on extensive research, bringing together current issues on corrosion and fouling in groundwater wells, which can be applicable to many agricultural situations and had been used for the derivation of guideline values. </w:t>
      </w:r>
    </w:p>
    <w:p w14:paraId="59DCDBDA" w14:textId="77777777" w:rsidR="00C46175" w:rsidRPr="00D93FF9" w:rsidRDefault="00E811B8" w:rsidP="003807A1">
      <w:pPr>
        <w:pStyle w:val="BodyText"/>
        <w:spacing w:after="0" w:line="266" w:lineRule="auto"/>
        <w:jc w:val="both"/>
        <w:rPr>
          <w:lang w:val="en-GB"/>
        </w:rPr>
      </w:pPr>
      <w:r w:rsidRPr="00D93FF9">
        <w:rPr>
          <w:lang w:val="en-GB"/>
        </w:rPr>
        <w:t>Publications from these studies provided the basis of many issues discussed in this review, in conjunction with other relevant information.</w:t>
      </w:r>
    </w:p>
    <w:p w14:paraId="59DCDBDB" w14:textId="77777777" w:rsidR="00C46175" w:rsidRPr="00D93FF9" w:rsidRDefault="00C46175" w:rsidP="003807A1">
      <w:pPr>
        <w:pStyle w:val="BodyText"/>
        <w:spacing w:after="0"/>
        <w:rPr>
          <w:sz w:val="25"/>
          <w:lang w:val="en-GB"/>
        </w:rPr>
      </w:pPr>
    </w:p>
    <w:p w14:paraId="59DCDBDC" w14:textId="77777777" w:rsidR="00C46175" w:rsidRPr="00D93FF9" w:rsidRDefault="00E811B8" w:rsidP="00045947">
      <w:pPr>
        <w:pStyle w:val="Heading3"/>
        <w:rPr>
          <w:lang w:val="en-GB"/>
        </w:rPr>
      </w:pPr>
      <w:bookmarkStart w:id="393" w:name="_Toc96693617"/>
      <w:r w:rsidRPr="00D93FF9">
        <w:rPr>
          <w:lang w:val="en-GB"/>
        </w:rPr>
        <w:t xml:space="preserve">Agricultural </w:t>
      </w:r>
      <w:r w:rsidRPr="00D93FF9">
        <w:t>chemical</w:t>
      </w:r>
      <w:r w:rsidRPr="00D93FF9">
        <w:rPr>
          <w:lang w:val="en-GB"/>
        </w:rPr>
        <w:t xml:space="preserve"> preparation</w:t>
      </w:r>
      <w:bookmarkEnd w:id="393"/>
    </w:p>
    <w:p w14:paraId="59DCDBDD" w14:textId="77777777" w:rsidR="00175FF3" w:rsidRPr="00D93FF9" w:rsidRDefault="00E811B8" w:rsidP="003807A1">
      <w:pPr>
        <w:spacing w:after="0" w:line="266" w:lineRule="auto"/>
        <w:jc w:val="both"/>
        <w:rPr>
          <w:lang w:val="en-GB"/>
        </w:rPr>
      </w:pPr>
      <w:r w:rsidRPr="00D93FF9">
        <w:rPr>
          <w:lang w:val="en-GB"/>
        </w:rPr>
        <w:t xml:space="preserve">Water used to mix and spray agricultural chemicals </w:t>
      </w:r>
      <w:r w:rsidR="001A4CD0" w:rsidRPr="00D93FF9">
        <w:rPr>
          <w:lang w:val="en-GB"/>
        </w:rPr>
        <w:t xml:space="preserve">such as </w:t>
      </w:r>
      <w:r w:rsidRPr="00D93FF9">
        <w:rPr>
          <w:lang w:val="en-GB"/>
        </w:rPr>
        <w:t>pesticides</w:t>
      </w:r>
      <w:r w:rsidR="001A4CD0" w:rsidRPr="00D93FF9">
        <w:rPr>
          <w:lang w:val="en-GB"/>
        </w:rPr>
        <w:t xml:space="preserve"> or</w:t>
      </w:r>
      <w:r w:rsidRPr="00D93FF9">
        <w:rPr>
          <w:lang w:val="en-GB"/>
        </w:rPr>
        <w:t xml:space="preserve"> fertilisers </w:t>
      </w:r>
      <w:r w:rsidR="001A4CD0" w:rsidRPr="00D93FF9">
        <w:rPr>
          <w:lang w:val="en-GB"/>
        </w:rPr>
        <w:t>is</w:t>
      </w:r>
      <w:r w:rsidRPr="00D93FF9">
        <w:rPr>
          <w:lang w:val="en-GB"/>
        </w:rPr>
        <w:t xml:space="preserve"> of great importance due to potentially unwanted chemical reactions related to water quality and affecting the </w:t>
      </w:r>
      <w:r w:rsidRPr="00D93FF9">
        <w:rPr>
          <w:lang w:val="en-GB"/>
        </w:rPr>
        <w:lastRenderedPageBreak/>
        <w:t xml:space="preserve">performance of the agricultural preparation. </w:t>
      </w:r>
      <w:r w:rsidR="00AA415E" w:rsidRPr="00D93FF9">
        <w:rPr>
          <w:lang w:val="en-GB"/>
        </w:rPr>
        <w:t xml:space="preserve">Commercial products labels </w:t>
      </w:r>
      <w:r w:rsidR="00A76199" w:rsidRPr="00D93FF9">
        <w:rPr>
          <w:lang w:val="en-GB"/>
        </w:rPr>
        <w:t>usually</w:t>
      </w:r>
      <w:r w:rsidR="00AA415E" w:rsidRPr="00D93FF9">
        <w:rPr>
          <w:lang w:val="en-GB"/>
        </w:rPr>
        <w:t xml:space="preserve"> specify the requirements regarding water quality. </w:t>
      </w:r>
    </w:p>
    <w:p w14:paraId="59DCDBDE" w14:textId="77777777" w:rsidR="00C46175" w:rsidRPr="00D93FF9" w:rsidRDefault="00E811B8" w:rsidP="00045947">
      <w:pPr>
        <w:pStyle w:val="Heading4"/>
        <w:rPr>
          <w:lang w:val="en-GB"/>
        </w:rPr>
      </w:pPr>
      <w:r w:rsidRPr="00D93FF9">
        <w:t>Salinity</w:t>
      </w:r>
    </w:p>
    <w:p w14:paraId="59DCDBDF" w14:textId="77777777" w:rsidR="00C46175" w:rsidRPr="00D93FF9" w:rsidRDefault="00E811B8" w:rsidP="003807A1">
      <w:pPr>
        <w:pStyle w:val="BodyText"/>
        <w:spacing w:after="0" w:line="266" w:lineRule="auto"/>
        <w:jc w:val="both"/>
        <w:rPr>
          <w:lang w:val="en-GB"/>
        </w:rPr>
      </w:pPr>
      <w:r w:rsidRPr="00D93FF9">
        <w:rPr>
          <w:lang w:val="en-GB"/>
        </w:rPr>
        <w:t>Elevated salinity levels in agricultural waters can result in the formation of precipitates after mixing with particular chemical compounds</w:t>
      </w:r>
      <w:r w:rsidR="00002196" w:rsidRPr="00D93FF9">
        <w:rPr>
          <w:lang w:val="en-GB"/>
        </w:rPr>
        <w:t xml:space="preserve"> or cause their inactivation or breakdown</w:t>
      </w:r>
      <w:r w:rsidRPr="00D93FF9">
        <w:rPr>
          <w:lang w:val="en-GB"/>
        </w:rPr>
        <w:t>. This can adversely affect chemical performance, particularly when the active ingredient is removed from solution. Brackish water commonly contributes to this situation and is generally considered unsuitable.</w:t>
      </w:r>
    </w:p>
    <w:p w14:paraId="59DCDBE0" w14:textId="26D8824D" w:rsidR="00C46175" w:rsidRPr="00D93FF9" w:rsidRDefault="00E811B8" w:rsidP="003807A1">
      <w:pPr>
        <w:pStyle w:val="BodyText"/>
        <w:spacing w:after="0" w:line="266" w:lineRule="auto"/>
        <w:jc w:val="both"/>
        <w:rPr>
          <w:lang w:val="en-GB"/>
        </w:rPr>
      </w:pPr>
      <w:r w:rsidRPr="00D93FF9">
        <w:rPr>
          <w:lang w:val="en-GB"/>
        </w:rPr>
        <w:t xml:space="preserve">However, it has been noted that the use of sea water does not influence the efficacy of most herbicides (Anderson </w:t>
      </w:r>
      <w:r w:rsidR="00FA6E9E" w:rsidRPr="00D93FF9">
        <w:rPr>
          <w:lang w:val="en-GB"/>
        </w:rPr>
        <w:t>and</w:t>
      </w:r>
      <w:r w:rsidRPr="00D93FF9">
        <w:rPr>
          <w:lang w:val="en-GB"/>
        </w:rPr>
        <w:t xml:space="preserve"> van Haaren 1989</w:t>
      </w:r>
      <w:r w:rsidR="00DE41FE" w:rsidRPr="00D93FF9">
        <w:rPr>
          <w:lang w:val="en-GB"/>
        </w:rPr>
        <w:t>;</w:t>
      </w:r>
      <w:r w:rsidRPr="00D93FF9">
        <w:rPr>
          <w:lang w:val="en-GB"/>
        </w:rPr>
        <w:t xml:space="preserve"> Bovey 1985). This is most likely due to its chemical composition, which is highly buffered and generally composed of only a small percentage of calcium and magnesium salts.</w:t>
      </w:r>
    </w:p>
    <w:p w14:paraId="59DCDBE1" w14:textId="66C42791" w:rsidR="00C46175" w:rsidRPr="00D93FF9" w:rsidRDefault="00E811B8" w:rsidP="003807A1">
      <w:pPr>
        <w:pStyle w:val="BodyText"/>
        <w:spacing w:after="0" w:line="266" w:lineRule="auto"/>
        <w:jc w:val="both"/>
        <w:rPr>
          <w:lang w:val="en-GB"/>
        </w:rPr>
      </w:pPr>
      <w:r w:rsidRPr="00D93FF9">
        <w:rPr>
          <w:lang w:val="en-GB"/>
        </w:rPr>
        <w:t>Surface waters and groundwaters (which are generally unbuffered), usually have a lower total salt content that may comprise up to 99% calcium and magnesium salts. When combined in solution with other chemical compounds, these have a greater tendency to precipitate out through supersaturation and alteration of equilibrium conditions.</w:t>
      </w:r>
      <w:r w:rsidR="00B33C8D" w:rsidRPr="00D93FF9">
        <w:rPr>
          <w:lang w:val="en-GB"/>
        </w:rPr>
        <w:t xml:space="preserve"> Salinity levels above 1000mg/L NaCl or </w:t>
      </w:r>
      <w:r w:rsidR="00FE67AE" w:rsidRPr="00D93FF9">
        <w:rPr>
          <w:lang w:val="en-GB"/>
        </w:rPr>
        <w:t xml:space="preserve">ECs above 500-1000 </w:t>
      </w:r>
      <w:r w:rsidR="00052A2A" w:rsidRPr="00D93FF9">
        <w:rPr>
          <w:rFonts w:cstheme="minorHAnsi"/>
          <w:lang w:val="en-GB"/>
        </w:rPr>
        <w:t>µ</w:t>
      </w:r>
      <w:r w:rsidR="00B33C8D" w:rsidRPr="00D93FF9">
        <w:rPr>
          <w:lang w:val="en-GB"/>
        </w:rPr>
        <w:t>S/</w:t>
      </w:r>
      <w:r w:rsidR="00052A2A" w:rsidRPr="00D93FF9">
        <w:rPr>
          <w:lang w:val="en-GB"/>
        </w:rPr>
        <w:t>c</w:t>
      </w:r>
      <w:r w:rsidR="00B33C8D" w:rsidRPr="00D93FF9">
        <w:rPr>
          <w:lang w:val="en-GB"/>
        </w:rPr>
        <w:t>m can result in some chemicals precipitating out of the solution and others being inactivated (GRDC 2014)</w:t>
      </w:r>
      <w:r w:rsidR="00B2153D" w:rsidRPr="00D93FF9">
        <w:rPr>
          <w:lang w:val="en-GB"/>
        </w:rPr>
        <w:t xml:space="preserve">. </w:t>
      </w:r>
    </w:p>
    <w:p w14:paraId="59DCDBE2" w14:textId="77777777" w:rsidR="00C46175" w:rsidRPr="00D93FF9" w:rsidRDefault="00E811B8" w:rsidP="00045947">
      <w:pPr>
        <w:pStyle w:val="Heading4"/>
        <w:rPr>
          <w:lang w:val="en-GB"/>
        </w:rPr>
      </w:pPr>
      <w:r w:rsidRPr="00D93FF9">
        <w:t>pH</w:t>
      </w:r>
    </w:p>
    <w:p w14:paraId="59DCDBE3" w14:textId="77DB6041" w:rsidR="00C46175" w:rsidRPr="00D93FF9" w:rsidRDefault="00E811B8" w:rsidP="003807A1">
      <w:pPr>
        <w:pStyle w:val="BodyText"/>
        <w:spacing w:after="0" w:line="266" w:lineRule="auto"/>
        <w:jc w:val="both"/>
        <w:rPr>
          <w:lang w:val="en-GB"/>
        </w:rPr>
      </w:pPr>
      <w:r w:rsidRPr="00D93FF9">
        <w:rPr>
          <w:lang w:val="en-GB"/>
        </w:rPr>
        <w:t>Extremes in pH causing elevated acidity or alkalinity in waters, can result in the hydrolysis of pesticides and other agricultural chemicals; e.g. carbamate and organophosphorus insecticides will hydrolyse rapidly in alkaline waters with pH levels &gt;7 (Banks et al. 1989</w:t>
      </w:r>
      <w:r w:rsidR="00925FFC" w:rsidRPr="00D93FF9">
        <w:rPr>
          <w:lang w:val="en-GB"/>
        </w:rPr>
        <w:t>;</w:t>
      </w:r>
      <w:r w:rsidRPr="00D93FF9">
        <w:rPr>
          <w:lang w:val="en-GB"/>
        </w:rPr>
        <w:t xml:space="preserve"> Lantzke</w:t>
      </w:r>
      <w:r w:rsidR="00925FFC" w:rsidRPr="00D93FF9">
        <w:rPr>
          <w:lang w:val="en-GB"/>
        </w:rPr>
        <w:t xml:space="preserve"> et al.</w:t>
      </w:r>
      <w:r w:rsidRPr="00D93FF9">
        <w:rPr>
          <w:lang w:val="en-GB"/>
        </w:rPr>
        <w:t xml:space="preserve"> 1999).</w:t>
      </w:r>
      <w:r w:rsidR="00937076" w:rsidRPr="00D93FF9">
        <w:rPr>
          <w:lang w:val="en-GB"/>
        </w:rPr>
        <w:t xml:space="preserve"> Sulfonyl urea herbicides will break down more quickly in acidic conditions </w:t>
      </w:r>
      <w:r w:rsidR="0044740E" w:rsidRPr="00D93FF9">
        <w:rPr>
          <w:lang w:val="en-GB"/>
        </w:rPr>
        <w:t>and therefore will perform better in water that is slightly alkaline</w:t>
      </w:r>
      <w:r w:rsidR="0059120D" w:rsidRPr="00D93FF9">
        <w:rPr>
          <w:lang w:val="en-GB"/>
        </w:rPr>
        <w:t>.</w:t>
      </w:r>
      <w:r w:rsidR="00937076" w:rsidRPr="00D93FF9">
        <w:rPr>
          <w:lang w:val="en-GB"/>
        </w:rPr>
        <w:t xml:space="preserve"> </w:t>
      </w:r>
    </w:p>
    <w:p w14:paraId="59DCDBE4" w14:textId="77777777" w:rsidR="00C46175" w:rsidRPr="00D93FF9" w:rsidRDefault="00E811B8" w:rsidP="003807A1">
      <w:pPr>
        <w:pStyle w:val="BodyText"/>
        <w:spacing w:after="0" w:line="266" w:lineRule="auto"/>
        <w:jc w:val="both"/>
        <w:rPr>
          <w:lang w:val="en-GB"/>
        </w:rPr>
      </w:pPr>
      <w:r w:rsidRPr="00D93FF9">
        <w:rPr>
          <w:lang w:val="en-GB"/>
        </w:rPr>
        <w:t>To minimise the likelihood of hydrolysis occurring, it is recommended that waters with pH around 7 be used. If this option is not feasible, it is recommended that the solution be used immediately after mixing or that pH be altered through the addition of chemicals such as monoammonium phosphate or sulfate, which can be added at a rate of 0.5–1.0 g/L to decrease alkalinity.</w:t>
      </w:r>
    </w:p>
    <w:p w14:paraId="59DCDBE5" w14:textId="77777777" w:rsidR="00C46175" w:rsidRPr="00D93FF9" w:rsidRDefault="00E811B8" w:rsidP="00045947">
      <w:pPr>
        <w:pStyle w:val="Heading4"/>
        <w:rPr>
          <w:lang w:val="en-GB"/>
        </w:rPr>
      </w:pPr>
      <w:r w:rsidRPr="00D93FF9">
        <w:t>Hardness</w:t>
      </w:r>
    </w:p>
    <w:p w14:paraId="59DCDBE6" w14:textId="2BB7594A" w:rsidR="00945E1A" w:rsidRPr="00D93FF9" w:rsidRDefault="00E811B8" w:rsidP="003807A1">
      <w:pPr>
        <w:pStyle w:val="BodyText"/>
        <w:spacing w:after="0" w:line="266" w:lineRule="auto"/>
        <w:jc w:val="both"/>
        <w:rPr>
          <w:lang w:val="en-GB"/>
        </w:rPr>
      </w:pPr>
      <w:r w:rsidRPr="00D93FF9">
        <w:rPr>
          <w:lang w:val="en-GB"/>
        </w:rPr>
        <w:t xml:space="preserve">Hardness is generally defined by the presence of calcium and magnesium salts in water. </w:t>
      </w:r>
      <w:r w:rsidR="008F0A32" w:rsidRPr="00D93FF9">
        <w:rPr>
          <w:lang w:val="en-GB"/>
        </w:rPr>
        <w:t>It is expressed as calcium carbonate equivalent (mg/L CaCO</w:t>
      </w:r>
      <w:r w:rsidR="008F0A32" w:rsidRPr="00D93FF9">
        <w:rPr>
          <w:vertAlign w:val="subscript"/>
          <w:lang w:val="en-GB"/>
        </w:rPr>
        <w:t>3</w:t>
      </w:r>
      <w:r w:rsidR="008F0A32" w:rsidRPr="00D93FF9">
        <w:rPr>
          <w:lang w:val="en-GB"/>
        </w:rPr>
        <w:t xml:space="preserve">). More information on hardness is provided in </w:t>
      </w:r>
      <w:r w:rsidR="00E6294B" w:rsidRPr="00D93FF9">
        <w:rPr>
          <w:lang w:val="en-GB"/>
        </w:rPr>
        <w:fldChar w:fldCharType="begin"/>
      </w:r>
      <w:r w:rsidR="00E6294B" w:rsidRPr="00D93FF9">
        <w:rPr>
          <w:lang w:val="en-GB"/>
        </w:rPr>
        <w:instrText xml:space="preserve"> REF _Ref71723022 \r \h </w:instrText>
      </w:r>
      <w:r w:rsidR="00D93FF9">
        <w:rPr>
          <w:lang w:val="en-GB"/>
        </w:rPr>
        <w:instrText xml:space="preserve"> \* MERGEFORMAT </w:instrText>
      </w:r>
      <w:r w:rsidR="00E6294B" w:rsidRPr="00D93FF9">
        <w:rPr>
          <w:lang w:val="en-GB"/>
        </w:rPr>
      </w:r>
      <w:r w:rsidR="00E6294B" w:rsidRPr="00D93FF9">
        <w:rPr>
          <w:lang w:val="en-GB"/>
        </w:rPr>
        <w:fldChar w:fldCharType="separate"/>
      </w:r>
      <w:r w:rsidR="0069302C">
        <w:rPr>
          <w:lang w:val="en-GB"/>
        </w:rPr>
        <w:t>10.2</w:t>
      </w:r>
      <w:r w:rsidR="00E6294B" w:rsidRPr="00D93FF9">
        <w:rPr>
          <w:lang w:val="en-GB"/>
        </w:rPr>
        <w:fldChar w:fldCharType="end"/>
      </w:r>
      <w:r w:rsidR="00E6294B" w:rsidRPr="00D93FF9">
        <w:rPr>
          <w:lang w:val="en-GB"/>
        </w:rPr>
        <w:t xml:space="preserve"> </w:t>
      </w:r>
      <w:r w:rsidR="008F0A32" w:rsidRPr="00D93FF9">
        <w:rPr>
          <w:lang w:val="en-GB"/>
        </w:rPr>
        <w:t xml:space="preserve">(General Water Uses – Corrosion). </w:t>
      </w:r>
      <w:r w:rsidRPr="00D93FF9">
        <w:rPr>
          <w:lang w:val="en-GB"/>
        </w:rPr>
        <w:t xml:space="preserve">Consequences of the use of hard waters on agricultural chemical preparations are diverse: </w:t>
      </w:r>
    </w:p>
    <w:p w14:paraId="59DCDBE7" w14:textId="41119610" w:rsidR="00C46175" w:rsidRPr="00D93FF9" w:rsidRDefault="00E811B8" w:rsidP="003807A1">
      <w:pPr>
        <w:pStyle w:val="BodyText"/>
        <w:spacing w:after="0" w:line="266" w:lineRule="auto"/>
        <w:jc w:val="both"/>
        <w:rPr>
          <w:lang w:val="en-GB"/>
        </w:rPr>
      </w:pPr>
      <w:r w:rsidRPr="00D93FF9">
        <w:rPr>
          <w:lang w:val="en-GB"/>
        </w:rPr>
        <w:t xml:space="preserve">Formation of precipitates: </w:t>
      </w:r>
      <w:r w:rsidR="00E90CE0" w:rsidRPr="00D93FF9">
        <w:rPr>
          <w:lang w:val="en-GB"/>
        </w:rPr>
        <w:t xml:space="preserve">High levels of </w:t>
      </w:r>
      <w:r w:rsidR="008F0A32" w:rsidRPr="00D93FF9">
        <w:rPr>
          <w:lang w:val="en-GB"/>
        </w:rPr>
        <w:t xml:space="preserve">calcium and/or magnesium </w:t>
      </w:r>
      <w:r w:rsidR="00E90CE0" w:rsidRPr="00D93FF9">
        <w:rPr>
          <w:lang w:val="en-GB"/>
        </w:rPr>
        <w:t>ions can result in the formation of unwanted precipitates</w:t>
      </w:r>
      <w:r w:rsidR="008F0A32" w:rsidRPr="00D93FF9">
        <w:rPr>
          <w:lang w:val="en-GB"/>
        </w:rPr>
        <w:t xml:space="preserve"> in agricultural preparations by affecting the properties of surfactants, emulsifiers and wetting agents (Agriculture NSW 2012), </w:t>
      </w:r>
      <w:r w:rsidR="00F857C9" w:rsidRPr="00D93FF9">
        <w:rPr>
          <w:lang w:val="en-GB"/>
        </w:rPr>
        <w:t>Precipitates can block nozzles and pre-filters and cause additional wear of spray rigs (Agriculture NSW 2012</w:t>
      </w:r>
      <w:r w:rsidR="00F62073" w:rsidRPr="00D93FF9">
        <w:rPr>
          <w:lang w:val="en-GB"/>
        </w:rPr>
        <w:t>).</w:t>
      </w:r>
    </w:p>
    <w:p w14:paraId="59DCDBE8" w14:textId="2402FBE5" w:rsidR="00945E1A" w:rsidRPr="00D93FF9" w:rsidRDefault="00E811B8" w:rsidP="003807A1">
      <w:pPr>
        <w:pStyle w:val="BodyText"/>
        <w:spacing w:after="0" w:line="266" w:lineRule="auto"/>
        <w:jc w:val="both"/>
        <w:rPr>
          <w:lang w:val="en-GB"/>
        </w:rPr>
      </w:pPr>
      <w:r w:rsidRPr="00D93FF9">
        <w:rPr>
          <w:lang w:val="en-GB"/>
        </w:rPr>
        <w:t xml:space="preserve">Reduced solubility: Chemicals with amine formulations, which include the herbicides: glyphosate, 2,4-D amine, MCPA amine and dicamba are adversely affected by hard water. </w:t>
      </w:r>
      <w:r w:rsidR="00E62F4B" w:rsidRPr="00D93FF9">
        <w:rPr>
          <w:lang w:val="en-GB"/>
        </w:rPr>
        <w:t xml:space="preserve">The solubility of the herbicide is reduced which leads to it being less absorbed by the weeds. </w:t>
      </w:r>
      <w:r w:rsidR="008A76ED" w:rsidRPr="00D93FF9">
        <w:rPr>
          <w:lang w:val="en-GB"/>
        </w:rPr>
        <w:t>S</w:t>
      </w:r>
      <w:r w:rsidR="006B5B0C" w:rsidRPr="00D93FF9">
        <w:rPr>
          <w:lang w:val="en-GB"/>
        </w:rPr>
        <w:t>c</w:t>
      </w:r>
      <w:r w:rsidR="008A76ED" w:rsidRPr="00D93FF9">
        <w:rPr>
          <w:lang w:val="en-GB"/>
        </w:rPr>
        <w:t xml:space="preserve">hortgen and Patton (2020) showed that </w:t>
      </w:r>
      <w:r w:rsidR="00E62F4B" w:rsidRPr="00D93FF9">
        <w:rPr>
          <w:lang w:val="en-GB"/>
        </w:rPr>
        <w:t xml:space="preserve">2,4-D amine, </w:t>
      </w:r>
      <w:r w:rsidR="008A76ED" w:rsidRPr="00D93FF9">
        <w:rPr>
          <w:lang w:val="en-GB"/>
        </w:rPr>
        <w:t>efficacy was reduced when the CaCO</w:t>
      </w:r>
      <w:r w:rsidR="008A76ED" w:rsidRPr="00D93FF9">
        <w:rPr>
          <w:vertAlign w:val="subscript"/>
          <w:lang w:val="en-GB"/>
        </w:rPr>
        <w:t>3</w:t>
      </w:r>
      <w:r w:rsidR="008A76ED" w:rsidRPr="00D93FF9">
        <w:rPr>
          <w:lang w:val="en-GB"/>
        </w:rPr>
        <w:t xml:space="preserve"> level in water was at least 390mg/L (for horseweed control). This was overcome with the addition of ammonium sulfate. </w:t>
      </w:r>
      <w:r w:rsidR="002E5DC7" w:rsidRPr="00D93FF9">
        <w:rPr>
          <w:lang w:val="en-GB"/>
        </w:rPr>
        <w:t>Typically, water containing more than 250-350 meq/L CaC</w:t>
      </w:r>
      <w:r w:rsidR="003344A2" w:rsidRPr="00D93FF9">
        <w:rPr>
          <w:lang w:val="en-GB"/>
        </w:rPr>
        <w:t>O</w:t>
      </w:r>
      <w:r w:rsidR="002E5DC7" w:rsidRPr="00D93FF9">
        <w:rPr>
          <w:vertAlign w:val="subscript"/>
          <w:lang w:val="en-GB"/>
        </w:rPr>
        <w:t>3</w:t>
      </w:r>
      <w:r w:rsidR="002E5DC7" w:rsidRPr="00D93FF9">
        <w:rPr>
          <w:lang w:val="en-GB"/>
        </w:rPr>
        <w:t xml:space="preserve"> should be treated before using some herbicides, especially if pH is above 7</w:t>
      </w:r>
      <w:r w:rsidR="00EA7105" w:rsidRPr="00D93FF9">
        <w:rPr>
          <w:lang w:val="en-GB"/>
        </w:rPr>
        <w:t xml:space="preserve"> (</w:t>
      </w:r>
      <w:r w:rsidR="009E2042" w:rsidRPr="00D93FF9">
        <w:rPr>
          <w:lang w:val="en-GB"/>
        </w:rPr>
        <w:t>GRDC 2014).</w:t>
      </w:r>
      <w:r w:rsidR="002E5DC7" w:rsidRPr="00D93FF9">
        <w:rPr>
          <w:lang w:val="en-GB"/>
        </w:rPr>
        <w:t xml:space="preserve"> </w:t>
      </w:r>
    </w:p>
    <w:p w14:paraId="59DCDBE9" w14:textId="77777777" w:rsidR="00C46175" w:rsidRPr="00D93FF9" w:rsidRDefault="00E811B8" w:rsidP="00045947">
      <w:pPr>
        <w:pStyle w:val="Heading4"/>
        <w:rPr>
          <w:lang w:val="en-GB"/>
        </w:rPr>
      </w:pPr>
      <w:r w:rsidRPr="00D93FF9">
        <w:rPr>
          <w:lang w:val="en-GB"/>
        </w:rPr>
        <w:lastRenderedPageBreak/>
        <w:t xml:space="preserve">Specific </w:t>
      </w:r>
      <w:r w:rsidRPr="00D93FF9">
        <w:t>ions</w:t>
      </w:r>
    </w:p>
    <w:p w14:paraId="59DCDBEA" w14:textId="5301D2F9" w:rsidR="001C738A" w:rsidRPr="00D93FF9" w:rsidRDefault="00E811B8" w:rsidP="00045947">
      <w:pPr>
        <w:pStyle w:val="BodyText"/>
        <w:spacing w:after="0" w:line="266" w:lineRule="auto"/>
        <w:jc w:val="both"/>
        <w:rPr>
          <w:lang w:val="en-GB"/>
        </w:rPr>
      </w:pPr>
      <w:r w:rsidRPr="00D93FF9">
        <w:rPr>
          <w:lang w:val="en-GB"/>
        </w:rPr>
        <w:t xml:space="preserve">The presence of certain ions in </w:t>
      </w:r>
      <w:r w:rsidRPr="00D93FF9">
        <w:rPr>
          <w:spacing w:val="-3"/>
          <w:lang w:val="en-GB"/>
        </w:rPr>
        <w:t xml:space="preserve">agricultural </w:t>
      </w:r>
      <w:r w:rsidRPr="00D93FF9">
        <w:rPr>
          <w:spacing w:val="-2"/>
          <w:lang w:val="en-GB"/>
        </w:rPr>
        <w:t xml:space="preserve">waters (like bicarbonates) </w:t>
      </w:r>
      <w:r w:rsidRPr="00D93FF9">
        <w:rPr>
          <w:lang w:val="en-GB"/>
        </w:rPr>
        <w:t xml:space="preserve">can lead to </w:t>
      </w:r>
      <w:r w:rsidRPr="00D93FF9">
        <w:rPr>
          <w:spacing w:val="-3"/>
          <w:lang w:val="en-GB"/>
        </w:rPr>
        <w:t xml:space="preserve">mixing problems through </w:t>
      </w:r>
      <w:r w:rsidRPr="00D93FF9">
        <w:rPr>
          <w:spacing w:val="-2"/>
          <w:lang w:val="en-GB"/>
        </w:rPr>
        <w:t xml:space="preserve">the </w:t>
      </w:r>
      <w:r w:rsidRPr="00D93FF9">
        <w:rPr>
          <w:lang w:val="en-GB"/>
        </w:rPr>
        <w:t>occurrence</w:t>
      </w:r>
      <w:r w:rsidRPr="00D93FF9">
        <w:rPr>
          <w:spacing w:val="-7"/>
          <w:lang w:val="en-GB"/>
        </w:rPr>
        <w:t xml:space="preserve"> </w:t>
      </w:r>
      <w:r w:rsidRPr="00D93FF9">
        <w:rPr>
          <w:lang w:val="en-GB"/>
        </w:rPr>
        <w:t>of</w:t>
      </w:r>
      <w:r w:rsidRPr="00D93FF9">
        <w:rPr>
          <w:spacing w:val="-5"/>
          <w:lang w:val="en-GB"/>
        </w:rPr>
        <w:t xml:space="preserve"> </w:t>
      </w:r>
      <w:r w:rsidRPr="00D93FF9">
        <w:rPr>
          <w:lang w:val="en-GB"/>
        </w:rPr>
        <w:t>unwanted</w:t>
      </w:r>
      <w:r w:rsidRPr="00D93FF9">
        <w:rPr>
          <w:spacing w:val="-5"/>
          <w:lang w:val="en-GB"/>
        </w:rPr>
        <w:t xml:space="preserve"> </w:t>
      </w:r>
      <w:r w:rsidRPr="00D93FF9">
        <w:rPr>
          <w:spacing w:val="-3"/>
          <w:lang w:val="en-GB"/>
        </w:rPr>
        <w:t>chemical</w:t>
      </w:r>
      <w:r w:rsidRPr="00D93FF9">
        <w:rPr>
          <w:spacing w:val="-5"/>
          <w:lang w:val="en-GB"/>
        </w:rPr>
        <w:t xml:space="preserve"> </w:t>
      </w:r>
      <w:r w:rsidRPr="00D93FF9">
        <w:rPr>
          <w:lang w:val="en-GB"/>
        </w:rPr>
        <w:t>reactions</w:t>
      </w:r>
      <w:r w:rsidRPr="00D93FF9">
        <w:rPr>
          <w:spacing w:val="-5"/>
          <w:lang w:val="en-GB"/>
        </w:rPr>
        <w:t xml:space="preserve"> </w:t>
      </w:r>
      <w:r w:rsidRPr="00D93FF9">
        <w:rPr>
          <w:lang w:val="en-GB"/>
        </w:rPr>
        <w:t>and</w:t>
      </w:r>
      <w:r w:rsidRPr="00D93FF9">
        <w:rPr>
          <w:spacing w:val="-5"/>
          <w:lang w:val="en-GB"/>
        </w:rPr>
        <w:t xml:space="preserve"> </w:t>
      </w:r>
      <w:r w:rsidRPr="00D93FF9">
        <w:rPr>
          <w:lang w:val="en-GB"/>
        </w:rPr>
        <w:t>reduced</w:t>
      </w:r>
      <w:r w:rsidRPr="00D93FF9">
        <w:rPr>
          <w:spacing w:val="-4"/>
          <w:lang w:val="en-GB"/>
        </w:rPr>
        <w:t xml:space="preserve"> </w:t>
      </w:r>
      <w:r w:rsidRPr="00D93FF9">
        <w:rPr>
          <w:lang w:val="en-GB"/>
        </w:rPr>
        <w:t>or</w:t>
      </w:r>
      <w:r w:rsidRPr="00D93FF9">
        <w:rPr>
          <w:spacing w:val="-5"/>
          <w:lang w:val="en-GB"/>
        </w:rPr>
        <w:t xml:space="preserve"> </w:t>
      </w:r>
      <w:r w:rsidRPr="00D93FF9">
        <w:rPr>
          <w:lang w:val="en-GB"/>
        </w:rPr>
        <w:t>altered</w:t>
      </w:r>
      <w:r w:rsidRPr="00D93FF9">
        <w:rPr>
          <w:spacing w:val="-5"/>
          <w:lang w:val="en-GB"/>
        </w:rPr>
        <w:t xml:space="preserve"> </w:t>
      </w:r>
      <w:r w:rsidRPr="00D93FF9">
        <w:rPr>
          <w:lang w:val="en-GB"/>
        </w:rPr>
        <w:t>product</w:t>
      </w:r>
      <w:r w:rsidRPr="00D93FF9">
        <w:rPr>
          <w:spacing w:val="-5"/>
          <w:lang w:val="en-GB"/>
        </w:rPr>
        <w:t xml:space="preserve"> </w:t>
      </w:r>
      <w:r w:rsidRPr="00D93FF9">
        <w:rPr>
          <w:spacing w:val="-3"/>
          <w:lang w:val="en-GB"/>
        </w:rPr>
        <w:t>performance.</w:t>
      </w:r>
      <w:r w:rsidRPr="00D93FF9">
        <w:rPr>
          <w:spacing w:val="-5"/>
          <w:lang w:val="en-GB"/>
        </w:rPr>
        <w:t xml:space="preserve"> </w:t>
      </w:r>
      <w:r w:rsidRPr="00D93FF9">
        <w:rPr>
          <w:lang w:val="en-GB"/>
        </w:rPr>
        <w:t>This</w:t>
      </w:r>
      <w:r w:rsidRPr="00D93FF9">
        <w:rPr>
          <w:spacing w:val="-5"/>
          <w:lang w:val="en-GB"/>
        </w:rPr>
        <w:t xml:space="preserve"> </w:t>
      </w:r>
      <w:r w:rsidRPr="00D93FF9">
        <w:rPr>
          <w:lang w:val="en-GB"/>
        </w:rPr>
        <w:t>is of</w:t>
      </w:r>
      <w:r w:rsidRPr="00D93FF9">
        <w:rPr>
          <w:spacing w:val="-5"/>
          <w:lang w:val="en-GB"/>
        </w:rPr>
        <w:t xml:space="preserve"> </w:t>
      </w:r>
      <w:r w:rsidRPr="00D93FF9">
        <w:rPr>
          <w:lang w:val="en-GB"/>
        </w:rPr>
        <w:t>particular</w:t>
      </w:r>
      <w:r w:rsidRPr="00D93FF9">
        <w:rPr>
          <w:spacing w:val="-4"/>
          <w:lang w:val="en-GB"/>
        </w:rPr>
        <w:t xml:space="preserve"> </w:t>
      </w:r>
      <w:r w:rsidRPr="00D93FF9">
        <w:rPr>
          <w:lang w:val="en-GB"/>
        </w:rPr>
        <w:t>concern</w:t>
      </w:r>
      <w:r w:rsidRPr="00D93FF9">
        <w:rPr>
          <w:spacing w:val="-4"/>
          <w:lang w:val="en-GB"/>
        </w:rPr>
        <w:t xml:space="preserve"> </w:t>
      </w:r>
      <w:r w:rsidRPr="00D93FF9">
        <w:rPr>
          <w:lang w:val="en-GB"/>
        </w:rPr>
        <w:t>in</w:t>
      </w:r>
      <w:r w:rsidRPr="00D93FF9">
        <w:rPr>
          <w:spacing w:val="-4"/>
          <w:lang w:val="en-GB"/>
        </w:rPr>
        <w:t xml:space="preserve"> </w:t>
      </w:r>
      <w:r w:rsidRPr="00D93FF9">
        <w:rPr>
          <w:lang w:val="en-GB"/>
        </w:rPr>
        <w:t>the</w:t>
      </w:r>
      <w:r w:rsidRPr="00D93FF9">
        <w:rPr>
          <w:spacing w:val="-4"/>
          <w:lang w:val="en-GB"/>
        </w:rPr>
        <w:t xml:space="preserve"> </w:t>
      </w:r>
      <w:r w:rsidRPr="00D93FF9">
        <w:rPr>
          <w:lang w:val="en-GB"/>
        </w:rPr>
        <w:t>case</w:t>
      </w:r>
      <w:r w:rsidRPr="00D93FF9">
        <w:rPr>
          <w:spacing w:val="-4"/>
          <w:lang w:val="en-GB"/>
        </w:rPr>
        <w:t xml:space="preserve"> </w:t>
      </w:r>
      <w:r w:rsidRPr="00D93FF9">
        <w:rPr>
          <w:lang w:val="en-GB"/>
        </w:rPr>
        <w:t>of</w:t>
      </w:r>
      <w:r w:rsidRPr="00D93FF9">
        <w:rPr>
          <w:spacing w:val="-4"/>
          <w:lang w:val="en-GB"/>
        </w:rPr>
        <w:t xml:space="preserve"> </w:t>
      </w:r>
      <w:r w:rsidRPr="00D93FF9">
        <w:rPr>
          <w:lang w:val="en-GB"/>
        </w:rPr>
        <w:t>fertiliser</w:t>
      </w:r>
      <w:r w:rsidRPr="00D93FF9">
        <w:rPr>
          <w:spacing w:val="-4"/>
          <w:lang w:val="en-GB"/>
        </w:rPr>
        <w:t xml:space="preserve"> </w:t>
      </w:r>
      <w:r w:rsidRPr="00D93FF9">
        <w:rPr>
          <w:spacing w:val="-3"/>
          <w:lang w:val="en-GB"/>
        </w:rPr>
        <w:t>composition,</w:t>
      </w:r>
      <w:r w:rsidRPr="00D93FF9">
        <w:rPr>
          <w:spacing w:val="-4"/>
          <w:lang w:val="en-GB"/>
        </w:rPr>
        <w:t xml:space="preserve"> </w:t>
      </w:r>
      <w:r w:rsidRPr="00D93FF9">
        <w:rPr>
          <w:spacing w:val="-3"/>
          <w:lang w:val="en-GB"/>
        </w:rPr>
        <w:t>which</w:t>
      </w:r>
      <w:r w:rsidRPr="00D93FF9">
        <w:rPr>
          <w:spacing w:val="-4"/>
          <w:lang w:val="en-GB"/>
        </w:rPr>
        <w:t xml:space="preserve"> </w:t>
      </w:r>
      <w:r w:rsidRPr="00D93FF9">
        <w:rPr>
          <w:spacing w:val="-3"/>
          <w:lang w:val="en-GB"/>
        </w:rPr>
        <w:t>may</w:t>
      </w:r>
      <w:r w:rsidRPr="00D93FF9">
        <w:rPr>
          <w:spacing w:val="-5"/>
          <w:lang w:val="en-GB"/>
        </w:rPr>
        <w:t xml:space="preserve"> </w:t>
      </w:r>
      <w:r w:rsidRPr="00D93FF9">
        <w:rPr>
          <w:lang w:val="en-GB"/>
        </w:rPr>
        <w:t>alter</w:t>
      </w:r>
      <w:r w:rsidRPr="00D93FF9">
        <w:rPr>
          <w:spacing w:val="-2"/>
          <w:lang w:val="en-GB"/>
        </w:rPr>
        <w:t xml:space="preserve"> </w:t>
      </w:r>
      <w:r w:rsidRPr="00D93FF9">
        <w:rPr>
          <w:spacing w:val="-3"/>
          <w:lang w:val="en-GB"/>
        </w:rPr>
        <w:t>dramatically</w:t>
      </w:r>
      <w:r w:rsidRPr="00D93FF9">
        <w:rPr>
          <w:spacing w:val="-5"/>
          <w:lang w:val="en-GB"/>
        </w:rPr>
        <w:t xml:space="preserve"> </w:t>
      </w:r>
      <w:r w:rsidRPr="00D93FF9">
        <w:rPr>
          <w:lang w:val="en-GB"/>
        </w:rPr>
        <w:t>with</w:t>
      </w:r>
      <w:r w:rsidRPr="00D93FF9">
        <w:rPr>
          <w:spacing w:val="-3"/>
          <w:lang w:val="en-GB"/>
        </w:rPr>
        <w:t xml:space="preserve"> </w:t>
      </w:r>
      <w:r w:rsidRPr="00D93FF9">
        <w:rPr>
          <w:spacing w:val="-2"/>
          <w:lang w:val="en-GB"/>
        </w:rPr>
        <w:t xml:space="preserve">the </w:t>
      </w:r>
      <w:r w:rsidRPr="00D93FF9">
        <w:rPr>
          <w:lang w:val="en-GB"/>
        </w:rPr>
        <w:t xml:space="preserve">presence of particular ions </w:t>
      </w:r>
      <w:r w:rsidRPr="00D93FF9">
        <w:rPr>
          <w:spacing w:val="-3"/>
          <w:lang w:val="en-GB"/>
        </w:rPr>
        <w:t>(e.g.</w:t>
      </w:r>
      <w:r w:rsidR="00DE41FE" w:rsidRPr="00D93FF9">
        <w:rPr>
          <w:spacing w:val="-3"/>
          <w:lang w:val="en-GB"/>
        </w:rPr>
        <w:t>,</w:t>
      </w:r>
      <w:r w:rsidRPr="00D93FF9">
        <w:rPr>
          <w:spacing w:val="-3"/>
          <w:lang w:val="en-GB"/>
        </w:rPr>
        <w:t xml:space="preserve"> </w:t>
      </w:r>
      <w:r w:rsidRPr="00D93FF9">
        <w:rPr>
          <w:lang w:val="en-GB"/>
        </w:rPr>
        <w:t xml:space="preserve">iron). </w:t>
      </w:r>
      <w:r w:rsidRPr="00D93FF9">
        <w:rPr>
          <w:spacing w:val="-3"/>
          <w:lang w:val="en-GB"/>
        </w:rPr>
        <w:t xml:space="preserve">Phytotoxicity, degradation </w:t>
      </w:r>
      <w:r w:rsidRPr="00D93FF9">
        <w:rPr>
          <w:lang w:val="en-GB"/>
        </w:rPr>
        <w:t xml:space="preserve">of </w:t>
      </w:r>
      <w:r w:rsidRPr="00D93FF9">
        <w:rPr>
          <w:spacing w:val="-3"/>
          <w:lang w:val="en-GB"/>
        </w:rPr>
        <w:t xml:space="preserve">soil structure </w:t>
      </w:r>
      <w:r w:rsidRPr="00D93FF9">
        <w:rPr>
          <w:lang w:val="en-GB"/>
        </w:rPr>
        <w:t xml:space="preserve">and other </w:t>
      </w:r>
      <w:r w:rsidRPr="00D93FF9">
        <w:rPr>
          <w:spacing w:val="-3"/>
          <w:lang w:val="en-GB"/>
        </w:rPr>
        <w:t>adverse</w:t>
      </w:r>
      <w:r w:rsidRPr="00D93FF9">
        <w:rPr>
          <w:spacing w:val="-7"/>
          <w:lang w:val="en-GB"/>
        </w:rPr>
        <w:t xml:space="preserve"> </w:t>
      </w:r>
      <w:r w:rsidRPr="00D93FF9">
        <w:rPr>
          <w:spacing w:val="-3"/>
          <w:lang w:val="en-GB"/>
        </w:rPr>
        <w:t>impacts</w:t>
      </w:r>
      <w:r w:rsidRPr="00D93FF9">
        <w:rPr>
          <w:spacing w:val="-6"/>
          <w:lang w:val="en-GB"/>
        </w:rPr>
        <w:t xml:space="preserve"> </w:t>
      </w:r>
      <w:r w:rsidRPr="00D93FF9">
        <w:rPr>
          <w:lang w:val="en-GB"/>
        </w:rPr>
        <w:t>can</w:t>
      </w:r>
      <w:r w:rsidRPr="00D93FF9">
        <w:rPr>
          <w:spacing w:val="-7"/>
          <w:lang w:val="en-GB"/>
        </w:rPr>
        <w:t xml:space="preserve"> </w:t>
      </w:r>
      <w:r w:rsidRPr="00D93FF9">
        <w:rPr>
          <w:lang w:val="en-GB"/>
        </w:rPr>
        <w:t>occur</w:t>
      </w:r>
      <w:r w:rsidRPr="00D93FF9">
        <w:rPr>
          <w:spacing w:val="-6"/>
          <w:lang w:val="en-GB"/>
        </w:rPr>
        <w:t xml:space="preserve"> </w:t>
      </w:r>
      <w:r w:rsidRPr="00D93FF9">
        <w:rPr>
          <w:lang w:val="en-GB"/>
        </w:rPr>
        <w:t>if</w:t>
      </w:r>
      <w:r w:rsidRPr="00D93FF9">
        <w:rPr>
          <w:spacing w:val="-6"/>
          <w:lang w:val="en-GB"/>
        </w:rPr>
        <w:t xml:space="preserve"> </w:t>
      </w:r>
      <w:r w:rsidRPr="00D93FF9">
        <w:rPr>
          <w:lang w:val="en-GB"/>
        </w:rPr>
        <w:t>ionic</w:t>
      </w:r>
      <w:r w:rsidRPr="00D93FF9">
        <w:rPr>
          <w:spacing w:val="-7"/>
          <w:lang w:val="en-GB"/>
        </w:rPr>
        <w:t xml:space="preserve"> </w:t>
      </w:r>
      <w:r w:rsidRPr="00D93FF9">
        <w:rPr>
          <w:lang w:val="en-GB"/>
        </w:rPr>
        <w:t>species</w:t>
      </w:r>
      <w:r w:rsidRPr="00D93FF9">
        <w:rPr>
          <w:spacing w:val="-6"/>
          <w:lang w:val="en-GB"/>
        </w:rPr>
        <w:t xml:space="preserve"> </w:t>
      </w:r>
      <w:r w:rsidRPr="00D93FF9">
        <w:rPr>
          <w:lang w:val="en-GB"/>
        </w:rPr>
        <w:t>present</w:t>
      </w:r>
      <w:r w:rsidRPr="00D93FF9">
        <w:rPr>
          <w:spacing w:val="-6"/>
          <w:lang w:val="en-GB"/>
        </w:rPr>
        <w:t xml:space="preserve"> </w:t>
      </w:r>
      <w:r w:rsidRPr="00D93FF9">
        <w:rPr>
          <w:lang w:val="en-GB"/>
        </w:rPr>
        <w:t>in</w:t>
      </w:r>
      <w:r w:rsidRPr="00D93FF9">
        <w:rPr>
          <w:spacing w:val="-7"/>
          <w:lang w:val="en-GB"/>
        </w:rPr>
        <w:t xml:space="preserve"> </w:t>
      </w:r>
      <w:r w:rsidRPr="00D93FF9">
        <w:rPr>
          <w:spacing w:val="-3"/>
          <w:lang w:val="en-GB"/>
        </w:rPr>
        <w:t>agricultural</w:t>
      </w:r>
      <w:r w:rsidRPr="00D93FF9">
        <w:rPr>
          <w:spacing w:val="-6"/>
          <w:lang w:val="en-GB"/>
        </w:rPr>
        <w:t xml:space="preserve"> </w:t>
      </w:r>
      <w:r w:rsidRPr="00D93FF9">
        <w:rPr>
          <w:spacing w:val="-2"/>
          <w:lang w:val="en-GB"/>
        </w:rPr>
        <w:t>waters</w:t>
      </w:r>
      <w:r w:rsidRPr="00D93FF9">
        <w:rPr>
          <w:spacing w:val="-6"/>
          <w:lang w:val="en-GB"/>
        </w:rPr>
        <w:t xml:space="preserve"> </w:t>
      </w:r>
      <w:r w:rsidRPr="00D93FF9">
        <w:rPr>
          <w:lang w:val="en-GB"/>
        </w:rPr>
        <w:t>are</w:t>
      </w:r>
      <w:r w:rsidRPr="00D93FF9">
        <w:rPr>
          <w:spacing w:val="-7"/>
          <w:lang w:val="en-GB"/>
        </w:rPr>
        <w:t xml:space="preserve"> </w:t>
      </w:r>
      <w:r w:rsidRPr="00D93FF9">
        <w:rPr>
          <w:lang w:val="en-GB"/>
        </w:rPr>
        <w:t>not</w:t>
      </w:r>
      <w:r w:rsidRPr="00D93FF9">
        <w:rPr>
          <w:spacing w:val="-6"/>
          <w:lang w:val="en-GB"/>
        </w:rPr>
        <w:t xml:space="preserve"> </w:t>
      </w:r>
      <w:r w:rsidRPr="00D93FF9">
        <w:rPr>
          <w:lang w:val="en-GB"/>
        </w:rPr>
        <w:t>considered.</w:t>
      </w:r>
      <w:bookmarkStart w:id="394" w:name="Suspended_or_dissolved_solids"/>
      <w:bookmarkStart w:id="395" w:name="Determination_of_water_quality_suitabili"/>
      <w:bookmarkStart w:id="396" w:name="9.2.10__Future_information_needs_for_irr"/>
      <w:bookmarkStart w:id="397" w:name="9.2.10.1__Biological_parameters"/>
      <w:bookmarkStart w:id="398" w:name="9.2.10.2__Salinity_and_sodicity"/>
      <w:bookmarkEnd w:id="394"/>
      <w:bookmarkEnd w:id="395"/>
      <w:bookmarkEnd w:id="396"/>
      <w:bookmarkEnd w:id="397"/>
      <w:bookmarkEnd w:id="398"/>
    </w:p>
    <w:p w14:paraId="59DCDBEB" w14:textId="77777777" w:rsidR="00C46175" w:rsidRPr="00D93FF9" w:rsidRDefault="00E811B8" w:rsidP="00045947">
      <w:pPr>
        <w:pStyle w:val="Heading4"/>
        <w:rPr>
          <w:lang w:val="en-GB"/>
        </w:rPr>
      </w:pPr>
      <w:r w:rsidRPr="00D93FF9">
        <w:t>Suspended</w:t>
      </w:r>
      <w:r w:rsidRPr="00D93FF9">
        <w:rPr>
          <w:lang w:val="en-GB"/>
        </w:rPr>
        <w:t xml:space="preserve"> or dissolved solids</w:t>
      </w:r>
    </w:p>
    <w:p w14:paraId="59DCDBEC" w14:textId="77777777" w:rsidR="00C46175" w:rsidRPr="00D93FF9" w:rsidRDefault="00E811B8" w:rsidP="003807A1">
      <w:pPr>
        <w:pStyle w:val="BodyText"/>
        <w:spacing w:after="0" w:line="266" w:lineRule="auto"/>
        <w:jc w:val="both"/>
        <w:rPr>
          <w:lang w:val="en-GB"/>
        </w:rPr>
      </w:pPr>
      <w:r w:rsidRPr="00D93FF9">
        <w:rPr>
          <w:lang w:val="en-GB"/>
        </w:rPr>
        <w:t>Chemical components of pesticides, fertilisers and other products can often bind with particulate material present in water, resulting in blockage of spray equipment or reduced product performance.</w:t>
      </w:r>
    </w:p>
    <w:p w14:paraId="59DCDBED" w14:textId="08077EB7" w:rsidR="00C46175" w:rsidRPr="00D93FF9" w:rsidRDefault="00E811B8" w:rsidP="003807A1">
      <w:pPr>
        <w:pStyle w:val="BodyText"/>
        <w:spacing w:after="0" w:line="266" w:lineRule="auto"/>
        <w:jc w:val="both"/>
        <w:rPr>
          <w:lang w:val="en-GB"/>
        </w:rPr>
      </w:pPr>
      <w:r w:rsidRPr="00D93FF9">
        <w:rPr>
          <w:lang w:val="en-GB"/>
        </w:rPr>
        <w:t>Banks et al. (1989) noted that the presence of suspended clay minerals, which can be a common problem in spray waters, greatly reduced the efficacy of some pesticides (e.g.</w:t>
      </w:r>
      <w:r w:rsidR="00DE41FE" w:rsidRPr="00D93FF9">
        <w:rPr>
          <w:lang w:val="en-GB"/>
        </w:rPr>
        <w:t>,</w:t>
      </w:r>
      <w:r w:rsidRPr="00D93FF9">
        <w:rPr>
          <w:lang w:val="en-GB"/>
        </w:rPr>
        <w:t xml:space="preserve"> paraquat). </w:t>
      </w:r>
      <w:r w:rsidR="00FF3E63" w:rsidRPr="00D93FF9">
        <w:rPr>
          <w:lang w:val="en-GB"/>
        </w:rPr>
        <w:t>This is also the case for glyphosate, but does not affect other pesticides such as diuron or simazine for instance</w:t>
      </w:r>
      <w:r w:rsidR="001A1347" w:rsidRPr="00D93FF9">
        <w:rPr>
          <w:lang w:val="en-GB"/>
        </w:rPr>
        <w:t>.</w:t>
      </w:r>
      <w:r w:rsidR="00FF3E63" w:rsidRPr="00D93FF9">
        <w:rPr>
          <w:lang w:val="en-GB"/>
        </w:rPr>
        <w:t xml:space="preserve"> </w:t>
      </w:r>
      <w:r w:rsidRPr="00D93FF9">
        <w:rPr>
          <w:lang w:val="en-GB"/>
        </w:rPr>
        <w:t>This may occur through adsorption of certain active chemical constituents to the clay particles which are subsequently removed from solution as sediment. The effect of elevated levels of solids can be minimised by checking water visually before use and ensuring it appears</w:t>
      </w:r>
      <w:r w:rsidRPr="00D93FF9">
        <w:rPr>
          <w:spacing w:val="-3"/>
          <w:lang w:val="en-GB"/>
        </w:rPr>
        <w:t xml:space="preserve"> </w:t>
      </w:r>
      <w:r w:rsidRPr="00D93FF9">
        <w:rPr>
          <w:lang w:val="en-GB"/>
        </w:rPr>
        <w:t>clear.</w:t>
      </w:r>
    </w:p>
    <w:p w14:paraId="59DCDBEE" w14:textId="77777777" w:rsidR="00C46175" w:rsidRPr="00D93FF9" w:rsidRDefault="00E811B8" w:rsidP="00045947">
      <w:pPr>
        <w:pStyle w:val="Heading4"/>
        <w:rPr>
          <w:lang w:val="en-GB"/>
        </w:rPr>
      </w:pPr>
      <w:r w:rsidRPr="00D93FF9">
        <w:rPr>
          <w:lang w:val="en-GB"/>
        </w:rPr>
        <w:t>Determination of water quality suitability</w:t>
      </w:r>
    </w:p>
    <w:p w14:paraId="59DCDBEF" w14:textId="1FAD2AC7" w:rsidR="00C46175" w:rsidRPr="00D93FF9" w:rsidRDefault="00E811B8" w:rsidP="003807A1">
      <w:pPr>
        <w:pStyle w:val="BodyText"/>
        <w:spacing w:after="0" w:line="266" w:lineRule="auto"/>
        <w:jc w:val="both"/>
        <w:rPr>
          <w:lang w:val="en-GB"/>
        </w:rPr>
      </w:pPr>
      <w:r w:rsidRPr="00D93FF9">
        <w:rPr>
          <w:lang w:val="en-GB"/>
        </w:rPr>
        <w:t>To check whether a particular water is suitable for use with an agricultural chemical, it is best to make up and test a trial solution first</w:t>
      </w:r>
      <w:r w:rsidR="001C738A" w:rsidRPr="00D93FF9">
        <w:rPr>
          <w:lang w:val="en-GB"/>
        </w:rPr>
        <w:t xml:space="preserve"> (as described in</w:t>
      </w:r>
      <w:r w:rsidR="00CC5CC0" w:rsidRPr="00D93FF9">
        <w:rPr>
          <w:lang w:val="en-GB"/>
        </w:rPr>
        <w:t xml:space="preserve"> </w:t>
      </w:r>
      <w:r w:rsidR="0018230E" w:rsidRPr="00D93FF9">
        <w:rPr>
          <w:lang w:val="en-GB"/>
        </w:rPr>
        <w:t>McLaughlin</w:t>
      </w:r>
      <w:r w:rsidR="001C738A" w:rsidRPr="00D93FF9">
        <w:rPr>
          <w:lang w:val="en-GB"/>
        </w:rPr>
        <w:t xml:space="preserve"> </w:t>
      </w:r>
      <w:r w:rsidR="0018230E" w:rsidRPr="00D93FF9">
        <w:rPr>
          <w:lang w:val="en-GB"/>
        </w:rPr>
        <w:t>(</w:t>
      </w:r>
      <w:r w:rsidR="001C738A" w:rsidRPr="00D93FF9">
        <w:rPr>
          <w:lang w:val="en-GB"/>
        </w:rPr>
        <w:t>2007</w:t>
      </w:r>
      <w:r w:rsidR="0018230E" w:rsidRPr="00D93FF9">
        <w:rPr>
          <w:lang w:val="en-GB"/>
        </w:rPr>
        <w:t>)</w:t>
      </w:r>
      <w:r w:rsidR="001C738A" w:rsidRPr="00D93FF9">
        <w:rPr>
          <w:lang w:val="en-GB"/>
        </w:rPr>
        <w:t xml:space="preserve"> under the “bucket test”).</w:t>
      </w:r>
      <w:r w:rsidRPr="00D93FF9">
        <w:rPr>
          <w:lang w:val="en-GB"/>
        </w:rPr>
        <w:t xml:space="preserve"> Specific details on water quality requirements should be noted from the product label or by contacting the manufacturer.</w:t>
      </w:r>
      <w:r w:rsidR="0038699E" w:rsidRPr="00D93FF9">
        <w:rPr>
          <w:lang w:val="en-GB"/>
        </w:rPr>
        <w:t xml:space="preserve"> For herbicides, this will be under “</w:t>
      </w:r>
      <w:r w:rsidR="00A733F1" w:rsidRPr="00D93FF9">
        <w:rPr>
          <w:lang w:val="en-GB"/>
        </w:rPr>
        <w:t>R</w:t>
      </w:r>
      <w:r w:rsidR="0038699E" w:rsidRPr="00D93FF9">
        <w:rPr>
          <w:lang w:val="en-GB"/>
        </w:rPr>
        <w:t xml:space="preserve">estraints”.  </w:t>
      </w:r>
    </w:p>
    <w:p w14:paraId="59DCDBF0" w14:textId="574987BD" w:rsidR="00C46175" w:rsidRPr="00D93FF9" w:rsidRDefault="00C46175" w:rsidP="003807A1">
      <w:pPr>
        <w:pStyle w:val="BodyText"/>
        <w:spacing w:after="0"/>
        <w:rPr>
          <w:sz w:val="30"/>
          <w:lang w:val="en-GB"/>
        </w:rPr>
      </w:pPr>
    </w:p>
    <w:p w14:paraId="3AE93EC5" w14:textId="2119CEA1" w:rsidR="00F71ADD" w:rsidRPr="00D93FF9" w:rsidRDefault="00F71ADD" w:rsidP="003807A1">
      <w:pPr>
        <w:pStyle w:val="BodyText"/>
        <w:spacing w:after="0"/>
        <w:rPr>
          <w:sz w:val="30"/>
          <w:lang w:val="en-GB"/>
        </w:rPr>
      </w:pPr>
    </w:p>
    <w:p w14:paraId="75B3130A" w14:textId="4B1B05F1" w:rsidR="00F71ADD" w:rsidRPr="00D93FF9" w:rsidRDefault="00F71ADD" w:rsidP="00F71ADD">
      <w:pPr>
        <w:pStyle w:val="Heading2"/>
        <w:spacing w:after="0"/>
        <w:ind w:left="0" w:firstLine="0"/>
      </w:pPr>
      <w:bookmarkStart w:id="399" w:name="_Ref96333071"/>
      <w:bookmarkStart w:id="400" w:name="_Ref96333080"/>
      <w:bookmarkStart w:id="401" w:name="_Toc96693618"/>
      <w:r w:rsidRPr="00D93FF9">
        <w:t>Conclusions and future information needs</w:t>
      </w:r>
      <w:bookmarkEnd w:id="399"/>
      <w:bookmarkEnd w:id="400"/>
      <w:bookmarkEnd w:id="401"/>
    </w:p>
    <w:p w14:paraId="71EE6D5A" w14:textId="77777777" w:rsidR="00F71ADD" w:rsidRPr="00D93FF9" w:rsidRDefault="00F71ADD" w:rsidP="00F71ADD">
      <w:pPr>
        <w:pStyle w:val="BodyText"/>
        <w:spacing w:line="264" w:lineRule="auto"/>
        <w:rPr>
          <w:lang w:val="en-GB"/>
        </w:rPr>
      </w:pPr>
      <w:r w:rsidRPr="00D93FF9">
        <w:rPr>
          <w:lang w:val="en-GB"/>
        </w:rPr>
        <w:t>The information provided in this Chapter has considered the parameters that needed to be reviewed in line with current international recommendations, to adopt a more conservative guideline value when necessary.  However, it is important to note that the values are not necessarily appropriate for all situations.  Producers should not experience economic losses from treating water to an unnecessary standard for their production system.  Such an approach is in line with the revised water quality management framework which considers a cyclical process that adapts with new information and specific site water quality objectives.</w:t>
      </w:r>
    </w:p>
    <w:p w14:paraId="62E60650" w14:textId="77777777" w:rsidR="00F71ADD" w:rsidRPr="00D93FF9" w:rsidRDefault="00F71ADD" w:rsidP="00F71ADD">
      <w:pPr>
        <w:pStyle w:val="BodyText"/>
        <w:spacing w:after="0"/>
        <w:rPr>
          <w:sz w:val="30"/>
          <w:lang w:val="en-GB"/>
        </w:rPr>
      </w:pPr>
      <w:r w:rsidRPr="00D93FF9">
        <w:rPr>
          <w:lang w:val="en-GB"/>
        </w:rPr>
        <w:t>Some additional work is recommended for a number of water quality parameters for irrigation and general uses and the future information needs are developed underneath.</w:t>
      </w:r>
    </w:p>
    <w:p w14:paraId="7618BFC4" w14:textId="77777777" w:rsidR="00F71ADD" w:rsidRPr="00D93FF9" w:rsidRDefault="00F71ADD" w:rsidP="003807A1">
      <w:pPr>
        <w:pStyle w:val="BodyText"/>
        <w:spacing w:after="0"/>
        <w:rPr>
          <w:sz w:val="30"/>
          <w:lang w:val="en-GB"/>
        </w:rPr>
      </w:pPr>
    </w:p>
    <w:p w14:paraId="59DCDBF2" w14:textId="77777777" w:rsidR="00C46175" w:rsidRPr="00D93FF9" w:rsidRDefault="00E811B8" w:rsidP="00F71ADD">
      <w:pPr>
        <w:pStyle w:val="Heading3"/>
        <w:rPr>
          <w:lang w:val="en-GB"/>
        </w:rPr>
      </w:pPr>
      <w:bookmarkStart w:id="402" w:name="_Toc96693619"/>
      <w:r w:rsidRPr="00D93FF9">
        <w:rPr>
          <w:lang w:val="en-GB"/>
        </w:rPr>
        <w:t>Biological parameters</w:t>
      </w:r>
      <w:bookmarkEnd w:id="402"/>
    </w:p>
    <w:p w14:paraId="59DCDBF3" w14:textId="77777777" w:rsidR="00C46175" w:rsidRPr="00D93FF9" w:rsidRDefault="00E811B8" w:rsidP="003807A1">
      <w:pPr>
        <w:pStyle w:val="BodyText"/>
        <w:spacing w:after="0" w:line="266" w:lineRule="auto"/>
        <w:jc w:val="both"/>
        <w:rPr>
          <w:lang w:val="en-GB"/>
        </w:rPr>
      </w:pPr>
      <w:r w:rsidRPr="00D93FF9">
        <w:rPr>
          <w:lang w:val="en-GB"/>
        </w:rPr>
        <w:t>The issues of both animal and plant pathogens in irrigation waters are becoming of increasing importance, as greater emphasis is placed on the re-use of wastewaters from sewage and intensive animal and plant production industries.</w:t>
      </w:r>
    </w:p>
    <w:p w14:paraId="59DCDBF4" w14:textId="458010FE" w:rsidR="00C46175" w:rsidRPr="00D93FF9" w:rsidRDefault="00E811B8" w:rsidP="003807A1">
      <w:pPr>
        <w:pStyle w:val="BodyText"/>
        <w:spacing w:after="0" w:line="266" w:lineRule="auto"/>
        <w:jc w:val="both"/>
        <w:rPr>
          <w:lang w:val="en-GB"/>
        </w:rPr>
      </w:pPr>
      <w:r w:rsidRPr="00D93FF9">
        <w:rPr>
          <w:lang w:val="en-GB"/>
        </w:rPr>
        <w:t xml:space="preserve">Detection of pathogens in irrigation water is time consuming and expensive. Currently, it is common practice to monitor and control microbiological water quality on the basis of concentration of indicator </w:t>
      </w:r>
      <w:r w:rsidRPr="00D93FF9">
        <w:rPr>
          <w:lang w:val="en-GB"/>
        </w:rPr>
        <w:lastRenderedPageBreak/>
        <w:t xml:space="preserve">organisms. This method may not be suitable for irrigation water quality. Further research is needed to determine survival rates of pathogens after irrigation, on vegetative surfaces and in soil before realistic </w:t>
      </w:r>
      <w:r w:rsidR="00855C80" w:rsidRPr="00D93FF9">
        <w:rPr>
          <w:lang w:val="en-GB"/>
        </w:rPr>
        <w:t>guideline value</w:t>
      </w:r>
      <w:r w:rsidRPr="00D93FF9">
        <w:rPr>
          <w:lang w:val="en-GB"/>
        </w:rPr>
        <w:t xml:space="preserve"> can be set.</w:t>
      </w:r>
    </w:p>
    <w:p w14:paraId="59DCDBF5" w14:textId="77777777" w:rsidR="00C46175" w:rsidRPr="00D93FF9" w:rsidRDefault="00E811B8" w:rsidP="003807A1">
      <w:pPr>
        <w:pStyle w:val="BodyText"/>
        <w:spacing w:after="0" w:line="266" w:lineRule="auto"/>
        <w:jc w:val="both"/>
        <w:rPr>
          <w:lang w:val="en-GB"/>
        </w:rPr>
      </w:pPr>
      <w:r w:rsidRPr="00D93FF9">
        <w:rPr>
          <w:lang w:val="en-GB"/>
        </w:rPr>
        <w:t xml:space="preserve">Present information on plant pathogens is limited. The nursery industry has conducted preliminary research, but further work must be undertaken before </w:t>
      </w:r>
      <w:r w:rsidR="00B0763D" w:rsidRPr="00D93FF9">
        <w:rPr>
          <w:lang w:val="en-GB"/>
        </w:rPr>
        <w:t>guideline</w:t>
      </w:r>
      <w:r w:rsidRPr="00D93FF9">
        <w:rPr>
          <w:lang w:val="en-GB"/>
        </w:rPr>
        <w:t xml:space="preserve"> values can be set for individual species of pathogen.</w:t>
      </w:r>
    </w:p>
    <w:p w14:paraId="59DCDBF6" w14:textId="77777777" w:rsidR="00C46175" w:rsidRPr="00D93FF9" w:rsidRDefault="00E811B8" w:rsidP="003807A1">
      <w:pPr>
        <w:pStyle w:val="BodyText"/>
        <w:spacing w:after="0" w:line="266" w:lineRule="auto"/>
        <w:jc w:val="both"/>
        <w:rPr>
          <w:lang w:val="en-GB"/>
        </w:rPr>
      </w:pPr>
      <w:r w:rsidRPr="00D93FF9">
        <w:rPr>
          <w:lang w:val="en-GB"/>
        </w:rPr>
        <w:t>There is presently little information available concerning guidelines for cyanobacteria in irrigation water. ARMCANZ and the NHMRC have established a working group as part of the National Algal Management Strategy to examine the issue of guidelines for cyanobacteria and their toxins in surface waters (including drinking, recreation and irrigation waters). It is likely that considerably more research will be needed before guidelines can be developed for irrigation water.</w:t>
      </w:r>
      <w:r w:rsidR="00D622C4" w:rsidRPr="00D93FF9">
        <w:rPr>
          <w:lang w:val="en-GB"/>
        </w:rPr>
        <w:t xml:space="preserve"> </w:t>
      </w:r>
    </w:p>
    <w:p w14:paraId="59DCDBF7" w14:textId="77777777" w:rsidR="00C46175" w:rsidRPr="00D93FF9" w:rsidRDefault="00C46175" w:rsidP="003807A1">
      <w:pPr>
        <w:pStyle w:val="BodyText"/>
        <w:spacing w:after="0"/>
        <w:rPr>
          <w:sz w:val="25"/>
          <w:lang w:val="en-GB"/>
        </w:rPr>
      </w:pPr>
    </w:p>
    <w:p w14:paraId="59DCDBF8" w14:textId="77777777" w:rsidR="00C46175" w:rsidRPr="00D93FF9" w:rsidRDefault="00E811B8" w:rsidP="005B6DE9">
      <w:pPr>
        <w:pStyle w:val="Heading3"/>
        <w:rPr>
          <w:lang w:val="en-GB"/>
        </w:rPr>
      </w:pPr>
      <w:bookmarkStart w:id="403" w:name="_Toc96693620"/>
      <w:r w:rsidRPr="00D93FF9">
        <w:rPr>
          <w:lang w:val="en-GB"/>
        </w:rPr>
        <w:t>Salinity and</w:t>
      </w:r>
      <w:r w:rsidRPr="00D93FF9">
        <w:rPr>
          <w:spacing w:val="-6"/>
          <w:lang w:val="en-GB"/>
        </w:rPr>
        <w:t xml:space="preserve"> </w:t>
      </w:r>
      <w:r w:rsidRPr="00D93FF9">
        <w:rPr>
          <w:lang w:val="en-GB"/>
        </w:rPr>
        <w:t>sodicity</w:t>
      </w:r>
      <w:bookmarkEnd w:id="403"/>
    </w:p>
    <w:p w14:paraId="59DCDBF9" w14:textId="77777777" w:rsidR="00C46175" w:rsidRPr="00D93FF9" w:rsidRDefault="00E811B8" w:rsidP="00045947">
      <w:pPr>
        <w:pStyle w:val="BodyText"/>
        <w:spacing w:after="0" w:line="266" w:lineRule="auto"/>
        <w:jc w:val="both"/>
        <w:rPr>
          <w:lang w:val="en-GB"/>
        </w:rPr>
      </w:pPr>
      <w:r w:rsidRPr="00D93FF9">
        <w:rPr>
          <w:spacing w:val="-2"/>
          <w:lang w:val="en-GB"/>
        </w:rPr>
        <w:t>Guidelines</w:t>
      </w:r>
      <w:r w:rsidR="00E90CE0" w:rsidRPr="00D93FF9">
        <w:rPr>
          <w:spacing w:val="-3"/>
          <w:lang w:val="en-GB"/>
        </w:rPr>
        <w:t xml:space="preserve"> developed </w:t>
      </w:r>
      <w:r w:rsidR="00E90CE0" w:rsidRPr="00D93FF9">
        <w:rPr>
          <w:lang w:val="en-GB"/>
        </w:rPr>
        <w:t xml:space="preserve">in this </w:t>
      </w:r>
      <w:r w:rsidR="00E90CE0" w:rsidRPr="00D93FF9">
        <w:rPr>
          <w:spacing w:val="-3"/>
          <w:lang w:val="en-GB"/>
        </w:rPr>
        <w:t xml:space="preserve">document </w:t>
      </w:r>
      <w:r w:rsidR="00E90CE0" w:rsidRPr="00D93FF9">
        <w:rPr>
          <w:lang w:val="en-GB"/>
        </w:rPr>
        <w:t xml:space="preserve">for salinity and sodicity of </w:t>
      </w:r>
      <w:r w:rsidR="00E90CE0" w:rsidRPr="00D93FF9">
        <w:rPr>
          <w:spacing w:val="-3"/>
          <w:lang w:val="en-GB"/>
        </w:rPr>
        <w:t xml:space="preserve">irrigation waters </w:t>
      </w:r>
      <w:r w:rsidR="00E90CE0" w:rsidRPr="00D93FF9">
        <w:rPr>
          <w:lang w:val="en-GB"/>
        </w:rPr>
        <w:t xml:space="preserve">incorporate a considerable body of research </w:t>
      </w:r>
      <w:r w:rsidR="00E90CE0" w:rsidRPr="00D93FF9">
        <w:rPr>
          <w:spacing w:val="-3"/>
          <w:lang w:val="en-GB"/>
        </w:rPr>
        <w:t>information</w:t>
      </w:r>
      <w:r w:rsidRPr="00D93FF9">
        <w:rPr>
          <w:spacing w:val="-3"/>
          <w:lang w:val="en-GB"/>
        </w:rPr>
        <w:t>.</w:t>
      </w:r>
      <w:r w:rsidR="00E90CE0" w:rsidRPr="00D93FF9">
        <w:rPr>
          <w:spacing w:val="-3"/>
          <w:lang w:val="en-GB"/>
        </w:rPr>
        <w:t xml:space="preserve"> </w:t>
      </w:r>
      <w:r w:rsidR="00E90CE0" w:rsidRPr="00D93FF9">
        <w:rPr>
          <w:lang w:val="en-GB"/>
        </w:rPr>
        <w:t xml:space="preserve">Further </w:t>
      </w:r>
      <w:r w:rsidR="00E90CE0" w:rsidRPr="00D93FF9">
        <w:rPr>
          <w:spacing w:val="-3"/>
          <w:lang w:val="en-GB"/>
        </w:rPr>
        <w:t xml:space="preserve">development </w:t>
      </w:r>
      <w:r w:rsidR="00E90CE0" w:rsidRPr="00D93FF9">
        <w:rPr>
          <w:lang w:val="en-GB"/>
        </w:rPr>
        <w:t xml:space="preserve">of </w:t>
      </w:r>
      <w:r w:rsidR="00E90CE0" w:rsidRPr="00D93FF9">
        <w:rPr>
          <w:spacing w:val="-4"/>
          <w:lang w:val="en-GB"/>
        </w:rPr>
        <w:t xml:space="preserve">simple-to-use </w:t>
      </w:r>
      <w:r w:rsidR="00E90CE0" w:rsidRPr="00D93FF9">
        <w:rPr>
          <w:lang w:val="en-GB"/>
        </w:rPr>
        <w:t xml:space="preserve">decision </w:t>
      </w:r>
      <w:r w:rsidR="00E90CE0" w:rsidRPr="00D93FF9">
        <w:rPr>
          <w:spacing w:val="-3"/>
          <w:lang w:val="en-GB"/>
        </w:rPr>
        <w:t xml:space="preserve">support </w:t>
      </w:r>
      <w:r w:rsidR="00E90CE0" w:rsidRPr="00D93FF9">
        <w:rPr>
          <w:lang w:val="en-GB"/>
        </w:rPr>
        <w:t xml:space="preserve">tools, including those that utilise </w:t>
      </w:r>
      <w:r w:rsidR="00E90CE0" w:rsidRPr="00D93FF9">
        <w:rPr>
          <w:spacing w:val="-3"/>
          <w:lang w:val="en-GB"/>
        </w:rPr>
        <w:t xml:space="preserve">computer </w:t>
      </w:r>
      <w:r w:rsidR="00E90CE0" w:rsidRPr="00D93FF9">
        <w:rPr>
          <w:lang w:val="en-GB"/>
        </w:rPr>
        <w:t xml:space="preserve">software </w:t>
      </w:r>
      <w:r w:rsidR="00E90CE0" w:rsidRPr="00D93FF9">
        <w:rPr>
          <w:spacing w:val="-3"/>
          <w:lang w:val="en-GB"/>
        </w:rPr>
        <w:t xml:space="preserve">packages, </w:t>
      </w:r>
      <w:r w:rsidR="00E90CE0" w:rsidRPr="00D93FF9">
        <w:rPr>
          <w:lang w:val="en-GB"/>
        </w:rPr>
        <w:t xml:space="preserve">will </w:t>
      </w:r>
      <w:r w:rsidR="00E90CE0" w:rsidRPr="00D93FF9">
        <w:rPr>
          <w:spacing w:val="-3"/>
          <w:lang w:val="en-GB"/>
        </w:rPr>
        <w:t xml:space="preserve">greatly </w:t>
      </w:r>
      <w:r w:rsidR="00E90CE0" w:rsidRPr="00D93FF9">
        <w:rPr>
          <w:lang w:val="en-GB"/>
        </w:rPr>
        <w:t xml:space="preserve">enhance the adoption of the salinity and sodicity </w:t>
      </w:r>
      <w:r w:rsidRPr="00D93FF9">
        <w:rPr>
          <w:spacing w:val="-3"/>
          <w:lang w:val="en-GB"/>
        </w:rPr>
        <w:t>guideline</w:t>
      </w:r>
      <w:r w:rsidR="00E90CE0" w:rsidRPr="00D93FF9">
        <w:rPr>
          <w:spacing w:val="-3"/>
          <w:lang w:val="en-GB"/>
        </w:rPr>
        <w:t xml:space="preserve"> values </w:t>
      </w:r>
      <w:r w:rsidR="00E90CE0" w:rsidRPr="00D93FF9">
        <w:rPr>
          <w:lang w:val="en-GB"/>
        </w:rPr>
        <w:t xml:space="preserve">and facilitate </w:t>
      </w:r>
      <w:r w:rsidR="00E90CE0" w:rsidRPr="00D93FF9">
        <w:rPr>
          <w:spacing w:val="-3"/>
          <w:lang w:val="en-GB"/>
        </w:rPr>
        <w:t xml:space="preserve">more </w:t>
      </w:r>
      <w:r w:rsidR="00E90CE0" w:rsidRPr="00D93FF9">
        <w:rPr>
          <w:lang w:val="en-GB"/>
        </w:rPr>
        <w:t xml:space="preserve">sustainable </w:t>
      </w:r>
      <w:r w:rsidR="00E90CE0" w:rsidRPr="00D93FF9">
        <w:rPr>
          <w:spacing w:val="-4"/>
          <w:lang w:val="en-GB"/>
        </w:rPr>
        <w:t xml:space="preserve">management </w:t>
      </w:r>
      <w:r w:rsidR="00E90CE0" w:rsidRPr="00D93FF9">
        <w:rPr>
          <w:lang w:val="en-GB"/>
        </w:rPr>
        <w:t xml:space="preserve">of </w:t>
      </w:r>
      <w:r w:rsidR="00E90CE0" w:rsidRPr="00D93FF9">
        <w:rPr>
          <w:spacing w:val="-3"/>
          <w:lang w:val="en-GB"/>
        </w:rPr>
        <w:t xml:space="preserve">irrigated </w:t>
      </w:r>
      <w:r w:rsidR="00E90CE0" w:rsidRPr="00D93FF9">
        <w:rPr>
          <w:lang w:val="en-GB"/>
        </w:rPr>
        <w:t xml:space="preserve">land in </w:t>
      </w:r>
      <w:r w:rsidR="00E90CE0" w:rsidRPr="00D93FF9">
        <w:rPr>
          <w:spacing w:val="-3"/>
          <w:lang w:val="en-GB"/>
        </w:rPr>
        <w:t>Australia.</w:t>
      </w:r>
      <w:bookmarkStart w:id="404" w:name="9.2.10.3__Heavy_metals_and_metalloids_in"/>
      <w:bookmarkStart w:id="405" w:name="9.2.10.4__Phosphorus"/>
      <w:bookmarkEnd w:id="404"/>
      <w:bookmarkEnd w:id="405"/>
    </w:p>
    <w:p w14:paraId="59DCDBFA" w14:textId="77777777" w:rsidR="00C46175" w:rsidRPr="00D93FF9" w:rsidRDefault="00E811B8" w:rsidP="003807A1">
      <w:pPr>
        <w:pStyle w:val="BodyText"/>
        <w:spacing w:after="0" w:line="266" w:lineRule="auto"/>
        <w:jc w:val="both"/>
        <w:rPr>
          <w:lang w:val="en-GB"/>
        </w:rPr>
      </w:pPr>
      <w:r w:rsidRPr="00D93FF9">
        <w:rPr>
          <w:spacing w:val="-3"/>
          <w:lang w:val="en-GB"/>
        </w:rPr>
        <w:t xml:space="preserve">Guidelines </w:t>
      </w:r>
      <w:r w:rsidRPr="00D93FF9">
        <w:rPr>
          <w:spacing w:val="-2"/>
          <w:lang w:val="en-GB"/>
        </w:rPr>
        <w:t xml:space="preserve">within </w:t>
      </w:r>
      <w:r w:rsidRPr="00D93FF9">
        <w:rPr>
          <w:lang w:val="en-GB"/>
        </w:rPr>
        <w:t xml:space="preserve">this </w:t>
      </w:r>
      <w:r w:rsidRPr="00D93FF9">
        <w:rPr>
          <w:spacing w:val="-3"/>
          <w:lang w:val="en-GB"/>
        </w:rPr>
        <w:t xml:space="preserve">document have </w:t>
      </w:r>
      <w:r w:rsidRPr="00D93FF9">
        <w:rPr>
          <w:lang w:val="en-GB"/>
        </w:rPr>
        <w:t xml:space="preserve">focused on steady state predictions in a </w:t>
      </w:r>
      <w:r w:rsidRPr="00D93FF9">
        <w:rPr>
          <w:spacing w:val="-4"/>
          <w:lang w:val="en-GB"/>
        </w:rPr>
        <w:t xml:space="preserve">summer </w:t>
      </w:r>
      <w:r w:rsidRPr="00D93FF9">
        <w:rPr>
          <w:lang w:val="en-GB"/>
        </w:rPr>
        <w:t xml:space="preserve">rainfall </w:t>
      </w:r>
      <w:r w:rsidRPr="00D93FF9">
        <w:rPr>
          <w:spacing w:val="-3"/>
          <w:lang w:val="en-GB"/>
        </w:rPr>
        <w:t xml:space="preserve">environment </w:t>
      </w:r>
      <w:r w:rsidRPr="00D93FF9">
        <w:rPr>
          <w:lang w:val="en-GB"/>
        </w:rPr>
        <w:t xml:space="preserve">across a </w:t>
      </w:r>
      <w:r w:rsidRPr="00D93FF9">
        <w:rPr>
          <w:spacing w:val="-3"/>
          <w:lang w:val="en-GB"/>
        </w:rPr>
        <w:t xml:space="preserve">wide range </w:t>
      </w:r>
      <w:r w:rsidRPr="00D93FF9">
        <w:rPr>
          <w:lang w:val="en-GB"/>
        </w:rPr>
        <w:t xml:space="preserve">of </w:t>
      </w:r>
      <w:r w:rsidRPr="00D93FF9">
        <w:rPr>
          <w:spacing w:val="-3"/>
          <w:lang w:val="en-GB"/>
        </w:rPr>
        <w:t xml:space="preserve">soil types. However, </w:t>
      </w:r>
      <w:r w:rsidRPr="00D93FF9">
        <w:rPr>
          <w:lang w:val="en-GB"/>
        </w:rPr>
        <w:t xml:space="preserve">an </w:t>
      </w:r>
      <w:r w:rsidRPr="00D93FF9">
        <w:rPr>
          <w:spacing w:val="-3"/>
          <w:lang w:val="en-GB"/>
        </w:rPr>
        <w:t xml:space="preserve">understanding </w:t>
      </w:r>
      <w:r w:rsidRPr="00D93FF9">
        <w:rPr>
          <w:lang w:val="en-GB"/>
        </w:rPr>
        <w:t xml:space="preserve">of the </w:t>
      </w:r>
      <w:r w:rsidRPr="00D93FF9">
        <w:rPr>
          <w:spacing w:val="-4"/>
          <w:lang w:val="en-GB"/>
        </w:rPr>
        <w:t xml:space="preserve">dynamics </w:t>
      </w:r>
      <w:r w:rsidRPr="00D93FF9">
        <w:rPr>
          <w:spacing w:val="-3"/>
          <w:lang w:val="en-GB"/>
        </w:rPr>
        <w:t xml:space="preserve">and </w:t>
      </w:r>
      <w:r w:rsidRPr="00D93FF9">
        <w:rPr>
          <w:lang w:val="en-GB"/>
        </w:rPr>
        <w:t xml:space="preserve">transient </w:t>
      </w:r>
      <w:r w:rsidRPr="00D93FF9">
        <w:rPr>
          <w:spacing w:val="-3"/>
          <w:lang w:val="en-GB"/>
        </w:rPr>
        <w:t xml:space="preserve">changes </w:t>
      </w:r>
      <w:r w:rsidRPr="00D93FF9">
        <w:rPr>
          <w:lang w:val="en-GB"/>
        </w:rPr>
        <w:t xml:space="preserve">of soil salinity and sodicity will be required to </w:t>
      </w:r>
      <w:r w:rsidRPr="00D93FF9">
        <w:rPr>
          <w:spacing w:val="-3"/>
          <w:lang w:val="en-GB"/>
        </w:rPr>
        <w:t xml:space="preserve">implement </w:t>
      </w:r>
      <w:r w:rsidRPr="00D93FF9">
        <w:rPr>
          <w:spacing w:val="-4"/>
          <w:lang w:val="en-GB"/>
        </w:rPr>
        <w:t xml:space="preserve">management </w:t>
      </w:r>
      <w:r w:rsidRPr="00D93FF9">
        <w:rPr>
          <w:lang w:val="en-GB"/>
        </w:rPr>
        <w:t xml:space="preserve">options at the farm </w:t>
      </w:r>
      <w:r w:rsidRPr="00D93FF9">
        <w:rPr>
          <w:spacing w:val="-3"/>
          <w:lang w:val="en-GB"/>
        </w:rPr>
        <w:t xml:space="preserve">level </w:t>
      </w:r>
      <w:r w:rsidRPr="00D93FF9">
        <w:rPr>
          <w:lang w:val="en-GB"/>
        </w:rPr>
        <w:t xml:space="preserve">for </w:t>
      </w:r>
      <w:r w:rsidRPr="00D93FF9">
        <w:rPr>
          <w:spacing w:val="-3"/>
          <w:lang w:val="en-GB"/>
        </w:rPr>
        <w:t xml:space="preserve">marginal </w:t>
      </w:r>
      <w:r w:rsidRPr="00D93FF9">
        <w:rPr>
          <w:lang w:val="en-GB"/>
        </w:rPr>
        <w:t xml:space="preserve">quality </w:t>
      </w:r>
      <w:r w:rsidRPr="00D93FF9">
        <w:rPr>
          <w:spacing w:val="-2"/>
          <w:lang w:val="en-GB"/>
        </w:rPr>
        <w:t xml:space="preserve">waters </w:t>
      </w:r>
      <w:r w:rsidRPr="00D93FF9">
        <w:rPr>
          <w:spacing w:val="-3"/>
          <w:lang w:val="en-GB"/>
        </w:rPr>
        <w:t xml:space="preserve">over </w:t>
      </w:r>
      <w:r w:rsidRPr="00D93FF9">
        <w:rPr>
          <w:lang w:val="en-GB"/>
        </w:rPr>
        <w:t xml:space="preserve">a wider </w:t>
      </w:r>
      <w:r w:rsidRPr="00D93FF9">
        <w:rPr>
          <w:spacing w:val="-3"/>
          <w:lang w:val="en-GB"/>
        </w:rPr>
        <w:t>climatic range.</w:t>
      </w:r>
    </w:p>
    <w:p w14:paraId="59DCDBFB" w14:textId="77777777" w:rsidR="00C46175" w:rsidRPr="00D93FF9" w:rsidRDefault="00E811B8" w:rsidP="003807A1">
      <w:pPr>
        <w:pStyle w:val="BodyText"/>
        <w:spacing w:after="0" w:line="266" w:lineRule="auto"/>
        <w:jc w:val="both"/>
        <w:rPr>
          <w:lang w:val="en-GB"/>
        </w:rPr>
      </w:pPr>
      <w:r w:rsidRPr="00D93FF9">
        <w:rPr>
          <w:lang w:val="en-GB"/>
        </w:rPr>
        <w:t>Current and ongoing research into salinity processes operating at the catchment scale will require an assessment of the localised impact of salinity and sodicity as a key component of any management options. It will be important for sustainable irrigation management to fully integrate all aspects of salinity (at both the local and regional scale) in any assessment of irrigation water quality. Integrated catchment modelling is a relatively new field of research and it would be expected that any guidelines relating to salinity would be reviewed as new information and understanding is developed.</w:t>
      </w:r>
      <w:r w:rsidR="00E776D6" w:rsidRPr="00D93FF9">
        <w:rPr>
          <w:lang w:val="en-GB"/>
        </w:rPr>
        <w:t xml:space="preserve"> </w:t>
      </w:r>
    </w:p>
    <w:p w14:paraId="59DCDBFC" w14:textId="77777777" w:rsidR="00C46175" w:rsidRPr="00D93FF9" w:rsidRDefault="00C46175" w:rsidP="003807A1">
      <w:pPr>
        <w:pStyle w:val="BodyText"/>
        <w:spacing w:after="0"/>
        <w:rPr>
          <w:sz w:val="25"/>
          <w:lang w:val="en-GB"/>
        </w:rPr>
      </w:pPr>
    </w:p>
    <w:p w14:paraId="59DCDBFD" w14:textId="77777777" w:rsidR="00C46175" w:rsidRPr="00D93FF9" w:rsidRDefault="00E811B8" w:rsidP="005B6DE9">
      <w:pPr>
        <w:pStyle w:val="Heading3"/>
        <w:rPr>
          <w:lang w:val="en-GB"/>
        </w:rPr>
      </w:pPr>
      <w:bookmarkStart w:id="406" w:name="_Toc96693621"/>
      <w:r w:rsidRPr="00D93FF9">
        <w:rPr>
          <w:lang w:val="en-GB"/>
        </w:rPr>
        <w:t>Heavy metals and metalloids in irrigation</w:t>
      </w:r>
      <w:r w:rsidRPr="00D93FF9">
        <w:rPr>
          <w:spacing w:val="-3"/>
          <w:lang w:val="en-GB"/>
        </w:rPr>
        <w:t xml:space="preserve"> </w:t>
      </w:r>
      <w:r w:rsidRPr="00D93FF9">
        <w:rPr>
          <w:lang w:val="en-GB"/>
        </w:rPr>
        <w:t>water</w:t>
      </w:r>
      <w:bookmarkEnd w:id="406"/>
    </w:p>
    <w:p w14:paraId="59DCDBFE" w14:textId="77777777" w:rsidR="00C46175" w:rsidRPr="00D93FF9" w:rsidRDefault="00E811B8" w:rsidP="003807A1">
      <w:pPr>
        <w:pStyle w:val="BodyText"/>
        <w:spacing w:after="0" w:line="266" w:lineRule="auto"/>
        <w:jc w:val="both"/>
        <w:rPr>
          <w:lang w:val="en-GB"/>
        </w:rPr>
      </w:pPr>
      <w:r w:rsidRPr="00D93FF9">
        <w:rPr>
          <w:lang w:val="en-GB"/>
        </w:rPr>
        <w:t>While the potential toxicity of metals and metalloids to the soil biota (micro- and macro-flora and fauna) is an issue receiving international attention, and ecotoxicity is generally observed at lower soil concentrations than phytotoxicity, research in this area is in its infancy. Although the guidelines have considered these aspects of the potential environmental impacts of inorganic contaminants in irrigation water on soil biota, insufficient information is available at present to be able to set water quality guideline values based on ecotoxicity to soil biota. Future revisions of the guidelines should consider ecotoxicological impacts of contaminants when suitable background information becomes available.</w:t>
      </w:r>
    </w:p>
    <w:p w14:paraId="59DCDBFF" w14:textId="77777777" w:rsidR="00C46175" w:rsidRPr="00D93FF9" w:rsidRDefault="00E811B8" w:rsidP="003807A1">
      <w:pPr>
        <w:pStyle w:val="BodyText"/>
        <w:spacing w:after="0" w:line="266" w:lineRule="auto"/>
        <w:jc w:val="both"/>
        <w:rPr>
          <w:lang w:val="en-GB"/>
        </w:rPr>
      </w:pPr>
      <w:r w:rsidRPr="00D93FF9">
        <w:rPr>
          <w:lang w:val="en-GB"/>
        </w:rPr>
        <w:t>The guidelines have taken the step of assessing chromium on the basis of the chromium (VI) ion as there is little evidence that the chromium (III) ion is a significant environmental risk. However, almost no data are available regarding chromium (VI) levels in irrigation waters, and Australian soils or on toxicity thresholds in soils. It is strongly recommended that these data be obtained and a soil loading limit (</w:t>
      </w:r>
      <w:r w:rsidR="006D735C" w:rsidRPr="00D93FF9">
        <w:rPr>
          <w:lang w:val="en-GB"/>
        </w:rPr>
        <w:t>ACL</w:t>
      </w:r>
      <w:r w:rsidRPr="00D93FF9">
        <w:rPr>
          <w:lang w:val="en-GB"/>
        </w:rPr>
        <w:t>) for chromium (VI) be determined as a matter of priority.</w:t>
      </w:r>
    </w:p>
    <w:p w14:paraId="59DCDC00" w14:textId="77777777" w:rsidR="00C46175" w:rsidRPr="00D93FF9" w:rsidRDefault="00E811B8" w:rsidP="003807A1">
      <w:pPr>
        <w:pStyle w:val="BodyText"/>
        <w:spacing w:after="0" w:line="266" w:lineRule="auto"/>
        <w:jc w:val="both"/>
        <w:rPr>
          <w:lang w:val="en-GB"/>
        </w:rPr>
      </w:pPr>
      <w:r w:rsidRPr="00D93FF9">
        <w:rPr>
          <w:lang w:val="en-GB"/>
        </w:rPr>
        <w:lastRenderedPageBreak/>
        <w:t>A</w:t>
      </w:r>
      <w:r w:rsidR="00C94C1D" w:rsidRPr="00D93FF9">
        <w:rPr>
          <w:lang w:val="en-GB"/>
        </w:rPr>
        <w:t>n</w:t>
      </w:r>
      <w:r w:rsidRPr="00D93FF9">
        <w:rPr>
          <w:lang w:val="en-GB"/>
        </w:rPr>
        <w:t xml:space="preserve"> </w:t>
      </w:r>
      <w:r w:rsidR="006D735C" w:rsidRPr="00D93FF9">
        <w:rPr>
          <w:lang w:val="en-GB"/>
        </w:rPr>
        <w:t>ACL</w:t>
      </w:r>
      <w:r w:rsidRPr="00D93FF9">
        <w:rPr>
          <w:lang w:val="en-GB"/>
        </w:rPr>
        <w:t xml:space="preserve"> has not been determined for fluoride, as there are insufficient Australian soils data to determine background concentrations and soil concentrations which may be phytotoxic. A similar situation exists for boron. It is recommended that an attempt is made to obtain sufficient data to allow a soil loading limit (</w:t>
      </w:r>
      <w:r w:rsidR="006D735C" w:rsidRPr="00D93FF9">
        <w:rPr>
          <w:lang w:val="en-GB"/>
        </w:rPr>
        <w:t>ACL</w:t>
      </w:r>
      <w:r w:rsidRPr="00D93FF9">
        <w:rPr>
          <w:lang w:val="en-GB"/>
        </w:rPr>
        <w:t>) to be determined for these two elements. However, it should be noted that a</w:t>
      </w:r>
      <w:r w:rsidR="00C94C1D" w:rsidRPr="00D93FF9">
        <w:rPr>
          <w:lang w:val="en-GB"/>
        </w:rPr>
        <w:t>n</w:t>
      </w:r>
      <w:r w:rsidRPr="00D93FF9">
        <w:rPr>
          <w:lang w:val="en-GB"/>
        </w:rPr>
        <w:t xml:space="preserve"> </w:t>
      </w:r>
      <w:r w:rsidR="006D735C" w:rsidRPr="00D93FF9">
        <w:rPr>
          <w:lang w:val="en-GB"/>
        </w:rPr>
        <w:t>ACL</w:t>
      </w:r>
      <w:r w:rsidRPr="00D93FF9">
        <w:rPr>
          <w:lang w:val="en-GB"/>
        </w:rPr>
        <w:t xml:space="preserve"> for boron should be based on extractable concentrations in soils.</w:t>
      </w:r>
    </w:p>
    <w:p w14:paraId="59DCDC01" w14:textId="77777777" w:rsidR="00C46175" w:rsidRPr="00D93FF9" w:rsidRDefault="00E811B8" w:rsidP="003807A1">
      <w:pPr>
        <w:pStyle w:val="BodyText"/>
        <w:spacing w:after="0" w:line="266" w:lineRule="auto"/>
        <w:jc w:val="both"/>
        <w:rPr>
          <w:lang w:val="en-GB"/>
        </w:rPr>
      </w:pPr>
      <w:r w:rsidRPr="00D93FF9">
        <w:rPr>
          <w:lang w:val="en-GB"/>
        </w:rPr>
        <w:t>Future guidelines should consider the bioavailable fraction of the contaminant in irrigation waters and soil rather than the total concentration as in the current guidelines. There are many factors that can modify the bioavailability and toxicity of contaminants, such as soil pH, texture, irrigation water salinity, organic matter content of soils, and the chemical form of the contaminant in irrigation waters. Total concentrations can therefore be poor indicators of potential negative</w:t>
      </w:r>
      <w:r w:rsidRPr="00D93FF9">
        <w:rPr>
          <w:spacing w:val="-1"/>
          <w:lang w:val="en-GB"/>
        </w:rPr>
        <w:t xml:space="preserve"> </w:t>
      </w:r>
      <w:r w:rsidRPr="00D93FF9">
        <w:rPr>
          <w:lang w:val="en-GB"/>
        </w:rPr>
        <w:t>impacts.</w:t>
      </w:r>
    </w:p>
    <w:p w14:paraId="59DCDC02" w14:textId="77777777" w:rsidR="00C46175" w:rsidRPr="00D93FF9" w:rsidRDefault="00C46175" w:rsidP="003807A1">
      <w:pPr>
        <w:pStyle w:val="BodyText"/>
        <w:spacing w:after="0"/>
        <w:rPr>
          <w:sz w:val="25"/>
          <w:lang w:val="en-GB"/>
        </w:rPr>
      </w:pPr>
    </w:p>
    <w:p w14:paraId="59DCDC03" w14:textId="77777777" w:rsidR="00C46175" w:rsidRPr="00D93FF9" w:rsidRDefault="00E811B8" w:rsidP="005B6DE9">
      <w:pPr>
        <w:pStyle w:val="Heading3"/>
        <w:rPr>
          <w:lang w:val="en-GB"/>
        </w:rPr>
      </w:pPr>
      <w:bookmarkStart w:id="407" w:name="_Toc96693622"/>
      <w:r w:rsidRPr="00D93FF9">
        <w:rPr>
          <w:lang w:val="en-GB"/>
        </w:rPr>
        <w:t>Phosphorus</w:t>
      </w:r>
      <w:bookmarkEnd w:id="407"/>
    </w:p>
    <w:p w14:paraId="59DCDC06" w14:textId="421DB4B1" w:rsidR="00C46175" w:rsidRPr="00D93FF9" w:rsidRDefault="00E811B8" w:rsidP="003807A1">
      <w:pPr>
        <w:pStyle w:val="BodyText"/>
        <w:spacing w:after="0" w:line="266" w:lineRule="auto"/>
        <w:jc w:val="both"/>
        <w:rPr>
          <w:lang w:val="en-GB"/>
        </w:rPr>
      </w:pPr>
      <w:bookmarkStart w:id="408" w:name="9.2.10.5__Pesticides"/>
      <w:bookmarkStart w:id="409" w:name="9.2.10.6__Other_irrigation_water_quality"/>
      <w:bookmarkEnd w:id="408"/>
      <w:bookmarkEnd w:id="409"/>
      <w:r w:rsidRPr="00D93FF9">
        <w:rPr>
          <w:lang w:val="en-GB"/>
        </w:rPr>
        <w:t xml:space="preserve">In its present form the </w:t>
      </w:r>
      <w:r w:rsidR="00F1118A" w:rsidRPr="00D93FF9">
        <w:rPr>
          <w:lang w:val="en-GB"/>
        </w:rPr>
        <w:t xml:space="preserve">P guideline derivation </w:t>
      </w:r>
      <w:r w:rsidRPr="00D93FF9">
        <w:rPr>
          <w:lang w:val="en-GB"/>
        </w:rPr>
        <w:t xml:space="preserve">model does not consider soil colloidal P, preferential macropore flow or surface fluxes of P, and there are presently limited data available to quantify these fluxes (Ritchie </w:t>
      </w:r>
      <w:r w:rsidR="00FA6E9E" w:rsidRPr="00D93FF9">
        <w:rPr>
          <w:lang w:val="en-GB"/>
        </w:rPr>
        <w:t>and</w:t>
      </w:r>
      <w:r w:rsidRPr="00D93FF9">
        <w:rPr>
          <w:lang w:val="en-GB"/>
        </w:rPr>
        <w:t xml:space="preserve"> Weaver 1993</w:t>
      </w:r>
      <w:r w:rsidR="00925FFC" w:rsidRPr="00D93FF9">
        <w:rPr>
          <w:lang w:val="en-GB"/>
        </w:rPr>
        <w:t>;</w:t>
      </w:r>
      <w:r w:rsidRPr="00D93FF9">
        <w:rPr>
          <w:lang w:val="en-GB"/>
        </w:rPr>
        <w:t xml:space="preserve"> Sharpley 1993</w:t>
      </w:r>
      <w:r w:rsidR="00925FFC" w:rsidRPr="00D93FF9">
        <w:rPr>
          <w:lang w:val="en-GB"/>
        </w:rPr>
        <w:t>;</w:t>
      </w:r>
      <w:r w:rsidRPr="00D93FF9">
        <w:rPr>
          <w:lang w:val="en-GB"/>
        </w:rPr>
        <w:t xml:space="preserve"> Stevens et al. 1999</w:t>
      </w:r>
      <w:r w:rsidR="00925FFC" w:rsidRPr="00D93FF9">
        <w:rPr>
          <w:lang w:val="en-GB"/>
        </w:rPr>
        <w:t>;</w:t>
      </w:r>
      <w:r w:rsidRPr="00D93FF9">
        <w:rPr>
          <w:lang w:val="en-GB"/>
        </w:rPr>
        <w:t xml:space="preserve"> Kirkby et al. 1997</w:t>
      </w:r>
      <w:r w:rsidR="00925FFC" w:rsidRPr="00D93FF9">
        <w:rPr>
          <w:lang w:val="en-GB"/>
        </w:rPr>
        <w:t>;</w:t>
      </w:r>
      <w:r w:rsidRPr="00D93FF9">
        <w:rPr>
          <w:lang w:val="en-GB"/>
        </w:rPr>
        <w:t xml:space="preserve"> Nash </w:t>
      </w:r>
      <w:r w:rsidR="00FA6E9E" w:rsidRPr="00D93FF9">
        <w:rPr>
          <w:lang w:val="en-GB"/>
        </w:rPr>
        <w:t>and</w:t>
      </w:r>
      <w:r w:rsidRPr="00D93FF9">
        <w:rPr>
          <w:lang w:val="en-GB"/>
        </w:rPr>
        <w:t xml:space="preserve"> Murdoch 1997).</w:t>
      </w:r>
    </w:p>
    <w:p w14:paraId="59DCDC07" w14:textId="05C18FAD" w:rsidR="00C46175" w:rsidRPr="00D93FF9" w:rsidRDefault="00E811B8" w:rsidP="003807A1">
      <w:pPr>
        <w:pStyle w:val="BodyText"/>
        <w:spacing w:after="0" w:line="266" w:lineRule="auto"/>
        <w:jc w:val="both"/>
        <w:rPr>
          <w:lang w:val="en-GB"/>
        </w:rPr>
      </w:pPr>
      <w:r w:rsidRPr="00D93FF9">
        <w:rPr>
          <w:lang w:val="en-GB"/>
        </w:rPr>
        <w:t>Many of the limitations above are areas that require further research, focusing on achieving a balance between plant availability of phosphorus in soil and restriction of phosphorus leaching/movement into waterways.</w:t>
      </w:r>
    </w:p>
    <w:p w14:paraId="59DCDC08" w14:textId="77777777" w:rsidR="00C46175" w:rsidRPr="00D93FF9" w:rsidRDefault="00C46175" w:rsidP="003807A1">
      <w:pPr>
        <w:pStyle w:val="BodyText"/>
        <w:spacing w:after="0"/>
        <w:rPr>
          <w:sz w:val="25"/>
          <w:lang w:val="en-GB"/>
        </w:rPr>
      </w:pPr>
    </w:p>
    <w:p w14:paraId="59DCDC09" w14:textId="77777777" w:rsidR="00C46175" w:rsidRPr="00D93FF9" w:rsidRDefault="00E811B8" w:rsidP="005B6DE9">
      <w:pPr>
        <w:pStyle w:val="Heading3"/>
        <w:rPr>
          <w:lang w:val="en-GB"/>
        </w:rPr>
      </w:pPr>
      <w:bookmarkStart w:id="410" w:name="_Toc96693623"/>
      <w:r w:rsidRPr="00D93FF9">
        <w:rPr>
          <w:lang w:val="en-GB"/>
        </w:rPr>
        <w:t>Pesticides</w:t>
      </w:r>
      <w:bookmarkEnd w:id="410"/>
    </w:p>
    <w:p w14:paraId="59DCDC0A" w14:textId="77777777" w:rsidR="00C46175" w:rsidRPr="00D93FF9" w:rsidRDefault="00E811B8" w:rsidP="003807A1">
      <w:pPr>
        <w:pStyle w:val="BodyText"/>
        <w:spacing w:after="0" w:line="266" w:lineRule="auto"/>
        <w:jc w:val="both"/>
        <w:rPr>
          <w:lang w:val="en-GB"/>
        </w:rPr>
      </w:pPr>
      <w:r w:rsidRPr="00D93FF9">
        <w:rPr>
          <w:lang w:val="en-GB"/>
        </w:rPr>
        <w:t>Few guidelines exist for acceptable concentrations of pesticide residues in waters used for irrigation purposes. Those that do exist are made up of a small subset of herbicides that potentially could be found in irrigation waters and they consider only likely adverse effects on crop growth. They do not address the issue of potential impacts on downstream aquatic ecosystems, although this is arguably an issue of greater relevance to on-site management and disposal of irrigation waters. Moreover, the guidelines are based on relatively limited information.</w:t>
      </w:r>
    </w:p>
    <w:p w14:paraId="59DCDC0B" w14:textId="7AB5A23B" w:rsidR="00E776D6" w:rsidRPr="00D93FF9" w:rsidRDefault="00E811B8" w:rsidP="00E776D6">
      <w:pPr>
        <w:pStyle w:val="ListParagraph"/>
        <w:ind w:left="0"/>
        <w:jc w:val="both"/>
      </w:pPr>
      <w:r w:rsidRPr="00D93FF9">
        <w:t xml:space="preserve">A standard protocol for deriving GVs and GVAs for terrestrial systems should be documented. The protocol should be based on the one currently documented for surface water </w:t>
      </w:r>
      <w:r w:rsidRPr="00D93FF9">
        <w:fldChar w:fldCharType="begin"/>
      </w:r>
      <w:r w:rsidRPr="00D93FF9">
        <w:instrText xml:space="preserve"> ADDIN ZOTERO_ITEM CSL_CITATION {"citationID":"1xU2982t","properties":{"formattedCitation":"(Warne et al., 2018)","plainCitation":"(Warne et al., 2018)","noteIndex":0},"citationItems":[{"id":31060,"uris":["http://zotero.org/users/1938757/items/28IRHKJN"],"uri":["http://zotero.org/users/1938757/items/28IRHKJN"],"itemData":{"id":31060,"type":"report","abstract":"As part of the revision of the 2000 Australian and New Zealand Water Quality Guidelines\n(ANZECC/ARMCANZ 2000; referred to herein as the 2000 Guidelines), a number of Working\nGroups were established to review particular sections of the Guidelines. The Toxicants and\nSediments Working Group was asked to scope necessary revisions in the section on toxicants.\nThis was done at a Working Group held a workshop at CSIRO Land and Water at Lucas Heights,\nNSW in April 2010. A contract to undertake these revision tasks was issued by the Council of\nAustralian Government’s Standing Council on Environment and Water (SCEW) in February 2013.\nThis report was prepared by the Queensland Department of Science, Information Technology and\nInnovation in consultation with selected members of the Working Group. Two reports are the\noutputs of the Toxicants and Sediments Working Group. The first (Batley et al. 2014) describes the\ntechnical rationale for the key changes made to the method in the 2000 Guidelines. The second is\nthe current report (Warne et al. 2015) which presents a revised method for deriving water quality\nguideline values (GVs) for metal, non-metallic inorganic and organic toxicants in Australia and New\nZealand. The report has been updated twice – in October 2016 and January 2017 (the current\nversion).\nThe method has retained most of the key principles of the method described in the 2000\nGuidelines (ANZECC/ARMCANZ 2000) and in Warne (2001), while including the most recent\nadvances in ecotoxicology. As such, it is a significant advance on the method in the 2000\nGuidelines. The method is focused on the derivation of default (i.e. Australian and New Zealand)\nGVs, but provides additional guidance, where necessary, for the derivation of regional, site-specific\nand short-term GVs. The preferred method for GV derivation continues to be based on the use of\nspecies sensitivity distributions (SSDs) of chronic toxicity data. The minimum data requirements for\nusing a SSD have not changed from the 2000 Guidelines, i.e. toxicity data for at least five species\nthat belong to at least four taxonomic groups, but using toxicity data from at least 8 species is\nstrongly encouraged, and from more than 15 species is considered optimal. Different statistical\ndistributions are fitted to the toxicity data depending on how many species and taxa they belong to,\nin order to avoid over-fitting of the data. The basis of the reliability classification for GVs has been\nexpanded from the original – where the number and types of toxicity data points were considered\n(i.e. chronic or converted acute) to also include an estimate of the fit of the distribution to the data.\nThis report provides the rules governing the revised method for calculating toxicant GVs using the\nSSD method, including the collation and screening of the toxicity data and determining the\nreliability of these values. While the less preferred assessment factor (AF) method is also covered,\nit is unchanged from the 2000 Guidelines and, hence is not described in detail here.","event-place":"Canberra, Australia","language":"en","page":"48","publisher":"Australian and New Zealand Governments and Australian state and territory governments","publisher-place":"Canberra, Australia","title":"Revised Method for Deriving Australian and New Zealand Water Quality Guideline Values for Toxicants - update of 2015 version. Prepared for the revision of the Australian and New Zealand Guidelines for Fresh and Marine Water Quality.","URL":"http://waterquality.gov.au/anz-guidelines/guideline-values/derive/warne-method-derive","author":[{"family":"Warne","given":"M. St J."},{"family":"Batley","given":"G. E."},{"family":"Dam","given":"R.","non-dropping-particle":"van"},{"family":"Chapman","given":"J. C."},{"family":"Fox","given":"D. R."},{"family":"Hickey","given":"C. W."},{"family":"Stauber","given":"J. L."}],"issued":{"date-parts":[["2018",9]]}}}],"schema":"https://github.com/citation-style-language/schema/raw/master/csl-citation.json"} </w:instrText>
      </w:r>
      <w:r w:rsidRPr="00D93FF9">
        <w:fldChar w:fldCharType="separate"/>
      </w:r>
      <w:r w:rsidRPr="00D93FF9">
        <w:rPr>
          <w:rFonts w:ascii="Calibri" w:hAnsi="Calibri" w:cs="Calibri"/>
        </w:rPr>
        <w:t>(Warne et al. 2018)</w:t>
      </w:r>
      <w:r w:rsidRPr="00D93FF9">
        <w:fldChar w:fldCharType="end"/>
      </w:r>
      <w:r w:rsidRPr="00D93FF9">
        <w:t xml:space="preserve"> and is recommended for development in this section of the NWQMS guidelines (irrigation of water in terrestrial systems).  Such a protocol for the terrestrial systems could be relatively easily developed by modifying the logic developed and used for deriving fresh water and marine water based on species sensitivity curves (SSD) </w:t>
      </w:r>
      <w:r w:rsidRPr="00D93FF9">
        <w:fldChar w:fldCharType="begin"/>
      </w:r>
      <w:r w:rsidRPr="00D93FF9">
        <w:instrText xml:space="preserve"> ADDIN ZOTERO_ITEM CSL_CITATION {"citationID":"ROeyuVmj","properties":{"formattedCitation":"(ANZG, 2018; Warne et al., 2018)","plainCitation":"(ANZG, 2018; Warne et al., 2018)","noteIndex":0},"citationItems":[{"id":31493,"uris":["http://zotero.org/users/1938757/items/KKUSQ6JZ"],"uri":["http://zotero.org/users/1938757/items/KKUSQ6JZ"],"itemData":{"id":31493,"type":"report","abstract":"ANZG 2018. Australian and New Zealand Guidelines for Fresh and Marine Water Quality. Australian and New Zealand Governments and Australian state and territory governments, Canberra ACT, Australia.  Available at www.waterquality.gov.au/anz-guidelines","event-place":"Canberra , Australia","note":"http://www.waterquality.gov.au/anz-guidelines/resources/key-concepts/indicators#ecosystem-receptors\n\nwww.waterquality.gov.au/anz-guidelines","publisher":"Australian and New Zealand Governments and Australian state and territory governments,","publisher-place":"Canberra , Australia","title":"Australian and New Zealand Guidelines for Fresh and Marine Water Quality.","URL":"http://www.waterquality.gov.au/anz-guidelines","author":[{"family":"ANZG","given":""}],"accessed":{"date-parts":[["2019",5,15]]},"issued":{"date-parts":[["2018"]]}}},{"id":31060,"uris":["http://zotero.org/users/1938757/items/28IRHKJN"],"uri":["http://zotero.org/users/1938757/items/28IRHKJN"],"itemData":{"id":31060,"type":"report","abstract":"As part of the revision of the 2000 Australian and New Zealand Water Quality Guidelines\n(ANZECC/ARMCANZ 2000; referred to herein as the 2000 Guidelines), a number of Working\nGroups were established to review particular sections of the Guidelines. The Toxicants and\nSediments Working Group was asked to scope necessary revisions in the section on toxicants.\nThis was done at a Working Group held a workshop at CSIRO Land and Water at Lucas Heights,\nNSW in April 2010. A contract to undertake these revision tasks was issued by the Council of\nAustralian Government’s Standing Council on Environment and Water (SCEW) in February 2013.\nThis report was prepared by the Queensland Department of Science, Information Technology and\nInnovation in consultation with selected members of the Working Group. Two reports are the\noutputs of the Toxicants and Sediments Working Group. The first (Batley et al. 2014) describes the\ntechnical rationale for the key changes made to the method in the 2000 Guidelines. The second is\nthe current report (Warne et al. 2015) which presents a revised method for deriving water quality\nguideline values (GVs) for metal, non-metallic inorganic and organic toxicants in Australia and New\nZealand. The report has been updated twice – in October 2016 and January 2017 (the current\nversion).\nThe method has retained most of the key principles of the method described in the 2000\nGuidelines (ANZECC/ARMCANZ 2000) and in Warne (2001), while including the most recent\nadvances in ecotoxicology. As such, it is a significant advance on the method in the 2000\nGuidelines. The method is focused on the derivation of default (i.e. Australian and New Zealand)\nGVs, but provides additional guidance, where necessary, for the derivation of regional, site-specific\nand short-term GVs. The preferred method for GV derivation continues to be based on the use of\nspecies sensitivity distributions (SSDs) of chronic toxicity data. The minimum data requirements for\nusing a SSD have not changed from the 2000 Guidelines, i.e. toxicity data for at least five species\nthat belong to at least four taxonomic groups, but using toxicity data from at least 8 species is\nstrongly encouraged, and from more than 15 species is considered optimal. Different statistical\ndistributions are fitted to the toxicity data depending on how many species and taxa they belong to,\nin order to avoid over-fitting of the data. The basis of the reliability classification for GVs has been\nexpanded from the original – where the number and types of toxicity data points were considered\n(i.e. chronic or converted acute) to also include an estimate of the fit of the distribution to the data.\nThis report provides the rules governing the revised method for calculating toxicant GVs using the\nSSD method, including the collation and screening of the toxicity data and determining the\nreliability of these values. While the less preferred assessment factor (AF) method is also covered,\nit is unchanged from the 2000 Guidelines and, hence is not described in detail here.","event-place":"Canberra, Australia","language":"en","page":"48","publisher":"Australian and New Zealand Governments and Australian state and territory governments","publisher-place":"Canberra, Australia","title":"Revised Method for Deriving Australian and New Zealand Water Quality Guideline Values for Toxicants - update of 2015 version. Prepared for the revision of the Australian and New Zealand Guidelines for Fresh and Marine Water Quality.","URL":"http://waterquality.gov.au/anz-guidelines/guideline-values/derive/warne-method-derive","author":[{"family":"Warne","given":"M. St J."},{"family":"Batley","given":"G. E."},{"family":"Dam","given":"R.","non-dropping-particle":"van"},{"family":"Chapman","given":"J. C."},{"family":"Fox","given":"D. R."},{"family":"Hickey","given":"C. W."},{"family":"Stauber","given":"J. L."}],"issued":{"date-parts":[["2018",9]]}}}],"schema":"https://github.com/citation-style-language/schema/raw/master/csl-citation.json"} </w:instrText>
      </w:r>
      <w:r w:rsidRPr="00D93FF9">
        <w:fldChar w:fldCharType="separate"/>
      </w:r>
      <w:r w:rsidRPr="00D93FF9">
        <w:rPr>
          <w:rFonts w:ascii="Calibri" w:hAnsi="Calibri" w:cs="Calibri"/>
        </w:rPr>
        <w:t>(ANZG 2018; Warne et al. 2018)</w:t>
      </w:r>
      <w:r w:rsidRPr="00D93FF9">
        <w:fldChar w:fldCharType="end"/>
      </w:r>
      <w:r w:rsidRPr="00D93FF9">
        <w:t xml:space="preserve">. The aquatic logic focuses specifically on the freshwater environment and the protection of aquatic species. A terrestrial GVD could be derived by adapting the freshwater logic with the consideration of previous work completed for terrestrial systems for the NEPC and Melbourne Water </w:t>
      </w:r>
      <w:r w:rsidRPr="00D93FF9">
        <w:fldChar w:fldCharType="begin"/>
      </w:r>
      <w:r w:rsidR="00BE6DF0" w:rsidRPr="00D93FF9">
        <w:instrText xml:space="preserve"> ADDIN ZOTERO_ITEM CSL_CITATION {"citationID":"3q9xJ5Jg","properties":{"formattedCitation":"(Heemsbergen et al., 2009; Stevens, 2020)","plainCitation":"(Heemsbergen et al., 2009; Stevens, 2020)","noteIndex":0},"citationItems":[{"id":5550,"uris":["http://zotero.org/users/1938757/items/UW4INRMJ"],"uri":["http://zotero.org/users/1938757/items/UW4INRMJ"],"itemData":{"id":5550,"type":"report","abstract":"Heemsbergen, D.; Warne, M.; McLaughlin, M.; Kookana, R. The Australian methodology to derive ecological investigation levels in contaminated soils. CSIRO; 2009. http://hdl.handle.net/102.100.100/113715?index=1","event-place":"Adelaide, SA, Australia","publisher":"CSIRO prepared for National Environment Protection Council","publisher-place":"Adelaide, SA, Australia","title":"The Australian methodology to derive ecological investigation levels in contaminated soils.","URL":"http://hdl.handle.net/102.100.100/113715?index=1","author":[{"family":"Heemsbergen","given":"D."},{"family":"Warne","given":"M."},{"family":"Mclaughlin","given":"M."},{"family":"Kookana","given":"R."}],"issued":{"date-parts":[["2009"]]}}},{"id":32059,"uris":["http://zotero.org/users/1938757/items/9EFJ9ZZV"],"uri":["http://zotero.org/users/1938757/items/9EFJ9ZZV"],"itemData":{"id":32059,"type":"report","event-place":"Preston/Docklands, Victoria, Australia.","publisher":"Atura Pty Ltd for Melbourne Water.","publisher-place":"Preston/Docklands, Victoria, Australia.","title":"Derivation of guideline values for irrigation water. The use of species sensitivity distributions (SSDs) to determine trigger points for investigation (TPIs)  SQRAT Update 2020: Project 2a - TRET and SQRAT upgrades","author":[{"family":"Stevens","given":"D"}],"issued":{"date-parts":[["2020"]]}}}],"schema":"https://github.com/citation-style-language/schema/raw/master/csl-citation.json"} </w:instrText>
      </w:r>
      <w:r w:rsidRPr="00D93FF9">
        <w:fldChar w:fldCharType="separate"/>
      </w:r>
      <w:r w:rsidRPr="00D93FF9">
        <w:t>(Heemsbergen et al. 2009)</w:t>
      </w:r>
      <w:r w:rsidRPr="00D93FF9">
        <w:fldChar w:fldCharType="end"/>
      </w:r>
      <w:r w:rsidRPr="00D93FF9">
        <w:t>. The development of a protocol for terrestrial systems would provide a method for developing GVDs (e.g.</w:t>
      </w:r>
      <w:r w:rsidR="00BE78FF" w:rsidRPr="00D93FF9">
        <w:t>,</w:t>
      </w:r>
      <w:r w:rsidRPr="00D93FF9">
        <w:t xml:space="preserve"> for pesticides) and determining the GVA specific for particular uses or species in a terrestrial system.</w:t>
      </w:r>
    </w:p>
    <w:p w14:paraId="59DCDC0C" w14:textId="77777777" w:rsidR="00C46175" w:rsidRPr="00D93FF9" w:rsidRDefault="00C46175" w:rsidP="003807A1">
      <w:pPr>
        <w:pStyle w:val="BodyText"/>
        <w:spacing w:after="0"/>
        <w:rPr>
          <w:sz w:val="25"/>
          <w:lang w:val="en-GB"/>
        </w:rPr>
      </w:pPr>
    </w:p>
    <w:p w14:paraId="59DCDC0D" w14:textId="77777777" w:rsidR="00C46175" w:rsidRPr="00D93FF9" w:rsidRDefault="00E811B8" w:rsidP="005B6DE9">
      <w:pPr>
        <w:pStyle w:val="Heading3"/>
        <w:rPr>
          <w:lang w:val="en-GB"/>
        </w:rPr>
      </w:pPr>
      <w:bookmarkStart w:id="411" w:name="_Toc96693624"/>
      <w:r w:rsidRPr="00D93FF9">
        <w:rPr>
          <w:lang w:val="en-GB"/>
        </w:rPr>
        <w:t>Other irrigation water quality</w:t>
      </w:r>
      <w:r w:rsidRPr="00D93FF9">
        <w:rPr>
          <w:spacing w:val="-4"/>
          <w:lang w:val="en-GB"/>
        </w:rPr>
        <w:t xml:space="preserve"> </w:t>
      </w:r>
      <w:r w:rsidRPr="00D93FF9">
        <w:rPr>
          <w:lang w:val="en-GB"/>
        </w:rPr>
        <w:t>issues</w:t>
      </w:r>
      <w:bookmarkEnd w:id="411"/>
    </w:p>
    <w:p w14:paraId="59DCDC0E" w14:textId="77777777" w:rsidR="00C46175" w:rsidRPr="00D93FF9" w:rsidRDefault="00E811B8" w:rsidP="003807A1">
      <w:pPr>
        <w:pStyle w:val="BodyText"/>
        <w:spacing w:after="0" w:line="266" w:lineRule="auto"/>
        <w:jc w:val="both"/>
        <w:rPr>
          <w:lang w:val="en-GB"/>
        </w:rPr>
      </w:pPr>
      <w:r w:rsidRPr="00D93FF9">
        <w:rPr>
          <w:lang w:val="en-GB"/>
        </w:rPr>
        <w:t xml:space="preserve">Many of the irrigation water quality guidelines provided in this document require consideration of soil properties in assessing the suitability of waters for irrigation in specific situations. The guidelines have </w:t>
      </w:r>
      <w:r w:rsidRPr="00D93FF9">
        <w:rPr>
          <w:lang w:val="en-GB"/>
        </w:rPr>
        <w:lastRenderedPageBreak/>
        <w:t>been derived on the basis of irrigating ‘natural’ soils and in some instances</w:t>
      </w:r>
      <w:r w:rsidR="00E776D6" w:rsidRPr="00D93FF9">
        <w:rPr>
          <w:lang w:val="en-GB"/>
        </w:rPr>
        <w:t>,</w:t>
      </w:r>
      <w:r w:rsidRPr="00D93FF9">
        <w:rPr>
          <w:lang w:val="en-GB"/>
        </w:rPr>
        <w:t xml:space="preserve"> they may not be appropriate for use where artificial media are being irrigated.</w:t>
      </w:r>
    </w:p>
    <w:p w14:paraId="59DCDC0F" w14:textId="3B8FDE5E" w:rsidR="00C46175" w:rsidRPr="00D93FF9" w:rsidRDefault="00E811B8" w:rsidP="003807A1">
      <w:pPr>
        <w:pStyle w:val="BodyText"/>
        <w:spacing w:after="0" w:line="266" w:lineRule="auto"/>
        <w:jc w:val="both"/>
        <w:rPr>
          <w:lang w:val="en-GB"/>
        </w:rPr>
      </w:pPr>
      <w:r w:rsidRPr="00D93FF9">
        <w:rPr>
          <w:lang w:val="en-GB"/>
        </w:rPr>
        <w:t>The use of soil-less media is growing rapidly (e.g.</w:t>
      </w:r>
      <w:r w:rsidR="00BE78FF" w:rsidRPr="00D93FF9">
        <w:rPr>
          <w:lang w:val="en-GB"/>
        </w:rPr>
        <w:t>,</w:t>
      </w:r>
      <w:r w:rsidRPr="00D93FF9">
        <w:rPr>
          <w:lang w:val="en-GB"/>
        </w:rPr>
        <w:t xml:space="preserve"> in the nursery and landscaping industries), with a diversity of products used in media formulations. The applicability of the present guidelines for use with these media needs to be assessed including e.g.</w:t>
      </w:r>
      <w:r w:rsidR="00BE78FF" w:rsidRPr="00D93FF9">
        <w:rPr>
          <w:lang w:val="en-GB"/>
        </w:rPr>
        <w:t>,</w:t>
      </w:r>
      <w:r w:rsidRPr="00D93FF9">
        <w:rPr>
          <w:lang w:val="en-GB"/>
        </w:rPr>
        <w:t xml:space="preserve"> salinity and toxicity issues.</w:t>
      </w:r>
      <w:r w:rsidR="00057DFF" w:rsidRPr="00D93FF9">
        <w:rPr>
          <w:lang w:val="en-GB"/>
        </w:rPr>
        <w:t xml:space="preserve"> </w:t>
      </w:r>
      <w:r w:rsidR="00057DFF" w:rsidRPr="00D93FF9">
        <w:t>As well as information on plant pathogens (where water is recycled), other research/information needs to include compatibility with mixing nutrient formulations and the related salinity issues and major ion concentrations.</w:t>
      </w:r>
    </w:p>
    <w:p w14:paraId="59DCDC10" w14:textId="77777777" w:rsidR="00C46175" w:rsidRPr="00D93FF9" w:rsidRDefault="00C46175" w:rsidP="003807A1">
      <w:pPr>
        <w:pStyle w:val="BodyText"/>
        <w:spacing w:after="0"/>
        <w:rPr>
          <w:rFonts w:ascii="Arial"/>
          <w:sz w:val="15"/>
          <w:lang w:val="en-GB"/>
        </w:rPr>
      </w:pPr>
    </w:p>
    <w:p w14:paraId="59DCDC11" w14:textId="7B98F075" w:rsidR="00B0109D" w:rsidRPr="00D93FF9" w:rsidRDefault="00E811B8" w:rsidP="00B0109D">
      <w:pPr>
        <w:pStyle w:val="BodyText"/>
        <w:spacing w:after="0" w:line="266" w:lineRule="auto"/>
        <w:jc w:val="both"/>
      </w:pPr>
      <w:r w:rsidRPr="00D93FF9">
        <w:t xml:space="preserve">Another emerging issue is potential contamination of agricultural waters sources by persistent organic pollutants such as per and poly fluoroalkyl substances (PFAS).  PFAS are environmentally persistent and can accumulate in plant and animal produce, either directly or indirectly via fodder consumption.  PFAS are very mobile in the environment and can migrate large distances from source sites in groundwater and surface waters.  </w:t>
      </w:r>
      <w:r w:rsidR="00A541E5" w:rsidRPr="00D93FF9">
        <w:rPr>
          <w:lang w:val="en-GB"/>
        </w:rPr>
        <w:t xml:space="preserve">At present PFAS guidelines are not included and the NEMP guideline should be referred to </w:t>
      </w:r>
      <w:r w:rsidR="00A541E5" w:rsidRPr="00D93FF9">
        <w:rPr>
          <w:lang w:val="en-GB"/>
        </w:rPr>
        <w:fldChar w:fldCharType="begin"/>
      </w:r>
      <w:r w:rsidR="00A541E5" w:rsidRPr="00D93FF9">
        <w:rPr>
          <w:lang w:val="en-GB"/>
        </w:rPr>
        <w:instrText xml:space="preserve"> ADDIN ZOTERO_ITEM CSL_CITATION {"citationID":"uKWT1u0R","properties":{"formattedCitation":"(HEPA, 2020)","plainCitation":"(HEPA, 2020)","noteIndex":0},"citationItems":[{"id":32069,"uris":["http://zotero.org/users/1938757/items/K9B9J6C2"],"uri":["http://zotero.org/users/1938757/items/K9B9J6C2"],"itemData":{"id":32069,"type":"report","page":"102","publisher":"Heads of EPA Australia and New Zealand","title":"PFAS National Environmental Management Plan Version 2.0.","URL":"https://www.environment.gov.au/protection/publications/pfas-nemp-2","author":[{"literal":"HEPA"}],"accessed":{"date-parts":[["2020",5,25]]},"issued":{"date-parts":[["2020",1]]}}}],"schema":"https://github.com/citation-style-language/schema/raw/master/csl-citation.json"} </w:instrText>
      </w:r>
      <w:r w:rsidR="00A541E5" w:rsidRPr="00D93FF9">
        <w:rPr>
          <w:lang w:val="en-GB"/>
        </w:rPr>
        <w:fldChar w:fldCharType="separate"/>
      </w:r>
      <w:r w:rsidR="00A541E5" w:rsidRPr="00D93FF9">
        <w:rPr>
          <w:rFonts w:ascii="Calibri" w:hAnsi="Calibri" w:cs="Calibri"/>
        </w:rPr>
        <w:t>(HEPA 2020)</w:t>
      </w:r>
      <w:r w:rsidR="00A541E5" w:rsidRPr="00D93FF9">
        <w:rPr>
          <w:lang w:val="en-GB"/>
        </w:rPr>
        <w:fldChar w:fldCharType="end"/>
      </w:r>
      <w:r w:rsidR="00A541E5" w:rsidRPr="00D93FF9">
        <w:rPr>
          <w:lang w:val="en-GB"/>
        </w:rPr>
        <w:t xml:space="preserve">. </w:t>
      </w:r>
      <w:r w:rsidRPr="00D93FF9">
        <w:t xml:space="preserve">Guidance in these cases must consider likely transfer rates from the irrigation water or stock water into plants and animals, with the objectives of preventing adverse impacts on human health, produce quality or animal health.  Due to the range of PFAS compounds potentially present, these assessments will likely be site specific. </w:t>
      </w:r>
    </w:p>
    <w:p w14:paraId="59DCDC12" w14:textId="77777777" w:rsidR="00B0109D" w:rsidRPr="00D93FF9" w:rsidRDefault="00B0109D" w:rsidP="003807A1">
      <w:pPr>
        <w:pStyle w:val="BodyText"/>
        <w:spacing w:after="0"/>
        <w:rPr>
          <w:rFonts w:ascii="Arial"/>
          <w:sz w:val="15"/>
          <w:lang w:val="en-GB"/>
        </w:rPr>
      </w:pPr>
    </w:p>
    <w:p w14:paraId="59DCDC13" w14:textId="77777777" w:rsidR="00B0109D" w:rsidRPr="00D93FF9" w:rsidRDefault="00B0109D" w:rsidP="003807A1">
      <w:pPr>
        <w:pStyle w:val="BodyText"/>
        <w:spacing w:after="0"/>
        <w:rPr>
          <w:rFonts w:ascii="Arial"/>
          <w:sz w:val="15"/>
          <w:lang w:val="en-GB"/>
        </w:rPr>
      </w:pPr>
    </w:p>
    <w:p w14:paraId="59DCDC14" w14:textId="77777777" w:rsidR="00C46175" w:rsidRPr="00D93FF9" w:rsidRDefault="00E811B8" w:rsidP="005B6DE9">
      <w:pPr>
        <w:pStyle w:val="Heading3"/>
        <w:rPr>
          <w:lang w:val="en-GB"/>
        </w:rPr>
      </w:pPr>
      <w:bookmarkStart w:id="412" w:name="_Toc96693625"/>
      <w:r w:rsidRPr="00D93FF9">
        <w:rPr>
          <w:lang w:val="en-GB"/>
        </w:rPr>
        <w:t>Corrosion and fouling issues</w:t>
      </w:r>
      <w:bookmarkEnd w:id="412"/>
    </w:p>
    <w:p w14:paraId="59DCDC15" w14:textId="26F42FF6" w:rsidR="00C46175" w:rsidRPr="00D93FF9" w:rsidRDefault="00E811B8" w:rsidP="003807A1">
      <w:pPr>
        <w:pStyle w:val="BodyText"/>
        <w:spacing w:after="0" w:line="266" w:lineRule="auto"/>
        <w:jc w:val="both"/>
        <w:rPr>
          <w:lang w:val="en-GB"/>
        </w:rPr>
      </w:pPr>
      <w:r w:rsidRPr="00D93FF9">
        <w:rPr>
          <w:lang w:val="en-GB"/>
        </w:rPr>
        <w:t>There have been many attempts to relate corrosion and fouling to water quality in both surface waters and groundwaters, but no indicators have been found to be universally applicable. Current evaluation criteria take into account only the inorganic precipitation of compounds and do not include microbial factors, the interaction with other compounds in solution or the rate at which the reaction will occur (McLaughlan</w:t>
      </w:r>
      <w:r w:rsidRPr="00D93FF9">
        <w:rPr>
          <w:spacing w:val="3"/>
          <w:lang w:val="en-GB"/>
        </w:rPr>
        <w:t xml:space="preserve"> </w:t>
      </w:r>
      <w:r w:rsidRPr="00D93FF9">
        <w:rPr>
          <w:lang w:val="en-GB"/>
        </w:rPr>
        <w:t>1996).</w:t>
      </w:r>
    </w:p>
    <w:p w14:paraId="59DCDC16" w14:textId="6B85DFDC" w:rsidR="00C46175" w:rsidRPr="00D93FF9" w:rsidRDefault="00E811B8" w:rsidP="003807A1">
      <w:pPr>
        <w:pStyle w:val="BodyText"/>
        <w:spacing w:after="0" w:line="266" w:lineRule="auto"/>
        <w:jc w:val="both"/>
        <w:rPr>
          <w:lang w:val="en-GB"/>
        </w:rPr>
      </w:pPr>
      <w:r w:rsidRPr="00D93FF9">
        <w:rPr>
          <w:lang w:val="en-GB"/>
        </w:rPr>
        <w:t>Further research is continuing through the University of Technology, Sydney (National Centre for Groundwater Management) and through borehole corrosion studies conducted by the Australian Geological Survey (AGSO). Priorities identified by the AGSO for further research on corrosion processes in the Great Artesian Basin include the role/s of anaerobic bacteria in corrosion processes and the role of shear stress and protective film formation (Larsen et al. 1996).</w:t>
      </w:r>
    </w:p>
    <w:p w14:paraId="59DCDC17" w14:textId="77777777" w:rsidR="00C46175" w:rsidRPr="00D93FF9" w:rsidRDefault="00C46175" w:rsidP="003807A1">
      <w:pPr>
        <w:spacing w:after="0" w:line="266" w:lineRule="auto"/>
        <w:jc w:val="both"/>
        <w:rPr>
          <w:lang w:val="en-GB"/>
        </w:rPr>
        <w:sectPr w:rsidR="00C46175" w:rsidRPr="00D93FF9" w:rsidSect="003807A1">
          <w:headerReference w:type="even" r:id="rId59"/>
          <w:headerReference w:type="default" r:id="rId60"/>
          <w:footerReference w:type="default" r:id="rId61"/>
          <w:headerReference w:type="first" r:id="rId62"/>
          <w:pgSz w:w="11900" w:h="16840"/>
          <w:pgMar w:top="1440" w:right="1440" w:bottom="1440" w:left="1440" w:header="0" w:footer="738" w:gutter="0"/>
          <w:cols w:space="720"/>
        </w:sectPr>
      </w:pPr>
    </w:p>
    <w:p w14:paraId="6700DF85" w14:textId="398AAFF2" w:rsidR="00926B7F" w:rsidRPr="00D93FF9" w:rsidRDefault="00926B7F" w:rsidP="00926B7F">
      <w:pPr>
        <w:pStyle w:val="Heading2"/>
        <w:rPr>
          <w:lang w:val="en-GB"/>
        </w:rPr>
      </w:pPr>
      <w:bookmarkStart w:id="413" w:name="_Toc96693626"/>
      <w:bookmarkStart w:id="414" w:name="_Hlk152752850"/>
      <w:r w:rsidRPr="00D93FF9">
        <w:rPr>
          <w:lang w:val="en-GB"/>
        </w:rPr>
        <w:lastRenderedPageBreak/>
        <w:t>References</w:t>
      </w:r>
      <w:bookmarkEnd w:id="413"/>
    </w:p>
    <w:p w14:paraId="57D1F51A" w14:textId="77777777" w:rsidR="000336FA" w:rsidRPr="00D93FF9" w:rsidRDefault="000336FA" w:rsidP="000336FA">
      <w:pPr>
        <w:rPr>
          <w:rFonts w:cstheme="minorHAnsi"/>
        </w:rPr>
      </w:pPr>
    </w:p>
    <w:p w14:paraId="7536C833" w14:textId="77777777" w:rsidR="002056DA" w:rsidRPr="00674982" w:rsidRDefault="002056DA" w:rsidP="002056DA">
      <w:pPr>
        <w:spacing w:line="240" w:lineRule="auto"/>
      </w:pPr>
      <w:r w:rsidRPr="00674982">
        <w:t>Adriano DC (1986) ‘Trace elements in the terrestrial environment</w:t>
      </w:r>
      <w:r w:rsidRPr="00674982">
        <w:rPr>
          <w:i/>
          <w:iCs/>
        </w:rPr>
        <w:t>’ Springer-Verlag, Berlin</w:t>
      </w:r>
      <w:r w:rsidRPr="00674982">
        <w:t>.</w:t>
      </w:r>
    </w:p>
    <w:p w14:paraId="51AB3D25" w14:textId="77777777" w:rsidR="002056DA" w:rsidRPr="00674982" w:rsidRDefault="002056DA" w:rsidP="002056DA">
      <w:pPr>
        <w:spacing w:line="240" w:lineRule="auto"/>
      </w:pPr>
      <w:r w:rsidRPr="00674982">
        <w:t>Agriculture Victoria (2020) ‘</w:t>
      </w:r>
      <w:hyperlink r:id="rId63" w:history="1">
        <w:r w:rsidRPr="00674982">
          <w:rPr>
            <w:rStyle w:val="Hyperlink"/>
          </w:rPr>
          <w:t>Blue-green algae and irrigation water</w:t>
        </w:r>
      </w:hyperlink>
      <w:r w:rsidRPr="00674982">
        <w:t xml:space="preserve">, </w:t>
      </w:r>
      <w:r w:rsidRPr="00674982">
        <w:rPr>
          <w:i/>
          <w:iCs/>
        </w:rPr>
        <w:t>accessed 26 August 2021</w:t>
      </w:r>
      <w:r w:rsidRPr="00674982">
        <w:t>.</w:t>
      </w:r>
    </w:p>
    <w:p w14:paraId="31558E95" w14:textId="77777777" w:rsidR="002056DA" w:rsidRPr="00674982" w:rsidRDefault="002056DA" w:rsidP="002056DA">
      <w:pPr>
        <w:spacing w:line="240" w:lineRule="auto"/>
      </w:pPr>
      <w:r w:rsidRPr="00674982">
        <w:t xml:space="preserve">Agriculture WA (2003) ‘Soil Salinity Tolerance of Plants for Agriculture and Revegetation’ </w:t>
      </w:r>
      <w:r w:rsidRPr="00674982">
        <w:rPr>
          <w:i/>
          <w:iCs/>
        </w:rPr>
        <w:t>Department of Agriculture, Western Australia</w:t>
      </w:r>
      <w:r w:rsidRPr="00674982">
        <w:t>.</w:t>
      </w:r>
    </w:p>
    <w:p w14:paraId="3A4BB150" w14:textId="77777777" w:rsidR="002056DA" w:rsidRPr="00674982" w:rsidRDefault="002056DA" w:rsidP="002056DA">
      <w:pPr>
        <w:pStyle w:val="Bibliography"/>
        <w:spacing w:line="240" w:lineRule="auto"/>
        <w:rPr>
          <w:rFonts w:cs="Arial"/>
        </w:rPr>
      </w:pPr>
      <w:r w:rsidRPr="00674982">
        <w:rPr>
          <w:rFonts w:cs="Arial"/>
        </w:rPr>
        <w:t>Alberta Environment (2000) ‘</w:t>
      </w:r>
      <w:hyperlink r:id="rId64" w:history="1">
        <w:r w:rsidRPr="00674982">
          <w:rPr>
            <w:rStyle w:val="Hyperlink"/>
            <w:rFonts w:cs="Arial"/>
          </w:rPr>
          <w:t>Guidelines for municipal wastewater irrigation’</w:t>
        </w:r>
      </w:hyperlink>
      <w:r w:rsidRPr="00674982">
        <w:rPr>
          <w:rFonts w:cs="Arial"/>
        </w:rPr>
        <w:t xml:space="preserve"> </w:t>
      </w:r>
      <w:r w:rsidRPr="00674982">
        <w:rPr>
          <w:rFonts w:cs="Arial"/>
          <w:i/>
          <w:iCs/>
        </w:rPr>
        <w:t>accessed 6 June 2021</w:t>
      </w:r>
      <w:r w:rsidRPr="00674982">
        <w:rPr>
          <w:rFonts w:cs="Arial"/>
        </w:rPr>
        <w:t>.</w:t>
      </w:r>
    </w:p>
    <w:p w14:paraId="04DE12F9"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Alcalde-Sanz L and Gawlik BM (2017) ‘Minimum quality requirements for water reuse in agricultural irrigation and aquifer recharge</w:t>
      </w:r>
      <w:r w:rsidRPr="00674982">
        <w:rPr>
          <w:rFonts w:eastAsia="Times New Roman" w:cstheme="minorHAnsi"/>
          <w:i/>
          <w:iCs/>
          <w:lang w:eastAsia="en-AU"/>
        </w:rPr>
        <w:t xml:space="preserve">, </w:t>
      </w:r>
      <w:r w:rsidRPr="00674982">
        <w:rPr>
          <w:rFonts w:eastAsia="Times New Roman" w:cstheme="minorHAnsi"/>
          <w:lang w:eastAsia="en-AU"/>
        </w:rPr>
        <w:t xml:space="preserve">Towards a water reuse regulatory instrument at EU level’ </w:t>
      </w:r>
      <w:r w:rsidRPr="00674982">
        <w:rPr>
          <w:rFonts w:eastAsia="Times New Roman" w:cstheme="minorHAnsi"/>
          <w:i/>
          <w:iCs/>
          <w:lang w:eastAsia="en-AU"/>
        </w:rPr>
        <w:t>JRC Science for Policy Report - European Commission, viewed 2 February 2021,</w:t>
      </w:r>
      <w:r w:rsidRPr="00674982">
        <w:rPr>
          <w:rFonts w:eastAsia="Times New Roman" w:cstheme="minorHAnsi"/>
          <w:lang w:eastAsia="en-AU"/>
        </w:rPr>
        <w:t xml:space="preserve"> &lt;</w:t>
      </w:r>
      <w:hyperlink r:id="rId65" w:history="1">
        <w:r w:rsidRPr="00674982">
          <w:rPr>
            <w:rFonts w:eastAsia="Times New Roman" w:cstheme="minorHAnsi"/>
            <w:color w:val="0000FF"/>
            <w:u w:val="single"/>
            <w:lang w:eastAsia="en-AU"/>
          </w:rPr>
          <w:t>https://ec.europa.eu/environment/water/pdf/water_reuse_JRC_report.pdf</w:t>
        </w:r>
      </w:hyperlink>
      <w:r w:rsidRPr="00674982">
        <w:rPr>
          <w:rFonts w:eastAsia="Times New Roman" w:cstheme="minorHAnsi"/>
          <w:lang w:eastAsia="en-AU"/>
        </w:rPr>
        <w:t>&gt;.</w:t>
      </w:r>
    </w:p>
    <w:p w14:paraId="568A83D1"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Alegbeleye OO, Singleton I and Sant’Ana AS (2018) ‘Sources and contamination routes of microbial pathogens to fresh produce during field cultivation: A review’ </w:t>
      </w:r>
      <w:r w:rsidRPr="00674982">
        <w:rPr>
          <w:rFonts w:eastAsia="Times New Roman" w:cstheme="minorHAnsi"/>
          <w:i/>
          <w:iCs/>
          <w:lang w:eastAsia="en-AU"/>
        </w:rPr>
        <w:t>Food Microbiology</w:t>
      </w:r>
      <w:r w:rsidRPr="00674982">
        <w:rPr>
          <w:rFonts w:eastAsia="Times New Roman" w:cstheme="minorHAnsi"/>
          <w:lang w:eastAsia="en-AU"/>
        </w:rPr>
        <w:t>, 73:177–208.</w:t>
      </w:r>
    </w:p>
    <w:p w14:paraId="1AEFCCF5"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Alum A, Absar IM, Asaad H, Rubino JR and Ijaz MK (2014) ‘Impact of Environmental Conditions on the Survival of Cryptosporidium and Giardia on Environmental Surfaces’ </w:t>
      </w:r>
      <w:r w:rsidRPr="00674982">
        <w:rPr>
          <w:rFonts w:eastAsia="Times New Roman" w:cstheme="minorHAnsi"/>
          <w:i/>
          <w:iCs/>
          <w:lang w:eastAsia="en-AU"/>
        </w:rPr>
        <w:t>Interdisciplinary Perspectives on Infectious Diseases</w:t>
      </w:r>
      <w:r w:rsidRPr="00674982">
        <w:rPr>
          <w:rFonts w:eastAsia="Times New Roman" w:cstheme="minorHAnsi"/>
          <w:lang w:eastAsia="en-AU"/>
        </w:rPr>
        <w:t>, vol. 2014, Hindawi, article ID 210385.</w:t>
      </w:r>
    </w:p>
    <w:p w14:paraId="7C969949" w14:textId="77777777" w:rsidR="002056DA" w:rsidRPr="00674982" w:rsidRDefault="002056DA" w:rsidP="002056DA">
      <w:pPr>
        <w:pStyle w:val="Bibliography"/>
        <w:spacing w:line="240" w:lineRule="auto"/>
        <w:ind w:left="0" w:firstLine="0"/>
        <w:rPr>
          <w:rFonts w:cs="Arial"/>
        </w:rPr>
      </w:pPr>
      <w:r w:rsidRPr="00674982">
        <w:rPr>
          <w:rFonts w:cs="Arial"/>
        </w:rPr>
        <w:t xml:space="preserve">Anderson RA (1987) ‘Chromium. In Trace elements in human nutrition' </w:t>
      </w:r>
      <w:r w:rsidRPr="00674982">
        <w:rPr>
          <w:rFonts w:cs="Arial"/>
          <w:i/>
          <w:iCs/>
        </w:rPr>
        <w:t>ed W Mertz, Academic Press</w:t>
      </w:r>
      <w:r w:rsidRPr="00674982">
        <w:rPr>
          <w:rFonts w:cs="Arial"/>
        </w:rPr>
        <w:t>, New York, 225–244.</w:t>
      </w:r>
    </w:p>
    <w:p w14:paraId="67C55E12" w14:textId="77777777" w:rsidR="002056DA" w:rsidRPr="00674982" w:rsidRDefault="002056DA" w:rsidP="002056DA">
      <w:pPr>
        <w:spacing w:line="240" w:lineRule="auto"/>
      </w:pPr>
      <w:r w:rsidRPr="00674982">
        <w:t>Anderson TM and van Haaren P (1989)</w:t>
      </w:r>
      <w:r w:rsidRPr="00674982">
        <w:rPr>
          <w:i/>
          <w:iCs/>
        </w:rPr>
        <w:t xml:space="preserve"> </w:t>
      </w:r>
      <w:r w:rsidRPr="00674982">
        <w:t xml:space="preserve">‘Rainproofing glyphosate with ‘Bondcrete’ cement additive for improved bitou bush control’ </w:t>
      </w:r>
      <w:r w:rsidRPr="00674982">
        <w:rPr>
          <w:i/>
          <w:iCs/>
        </w:rPr>
        <w:t>Technical note, Plant Protection Quarterly,</w:t>
      </w:r>
      <w:r w:rsidRPr="00674982">
        <w:t xml:space="preserve"> 4(1):45–46.</w:t>
      </w:r>
    </w:p>
    <w:p w14:paraId="19B6D0F4" w14:textId="77777777" w:rsidR="002056DA" w:rsidRPr="00674982" w:rsidRDefault="002056DA" w:rsidP="002056DA">
      <w:pPr>
        <w:pStyle w:val="Bibliography"/>
        <w:spacing w:line="240" w:lineRule="auto"/>
        <w:ind w:left="0" w:firstLine="0"/>
        <w:rPr>
          <w:rFonts w:cs="Arial"/>
        </w:rPr>
      </w:pPr>
      <w:r w:rsidRPr="00674982">
        <w:rPr>
          <w:rFonts w:cs="Arial"/>
        </w:rPr>
        <w:t>ANZECC and ARMCANZ (2000) ‘Australian and New Zealand guidelines for fresh and marine water quality: Volume 2—Aquatic ecosystems—rationale and background information’</w:t>
      </w:r>
    </w:p>
    <w:p w14:paraId="157AD026" w14:textId="77777777" w:rsidR="002056DA" w:rsidRPr="00674982" w:rsidRDefault="002056DA" w:rsidP="002056DA">
      <w:pPr>
        <w:pStyle w:val="Bibliography"/>
        <w:spacing w:line="240" w:lineRule="auto"/>
        <w:ind w:left="0" w:firstLine="0"/>
        <w:rPr>
          <w:rFonts w:cs="Arial"/>
          <w:i/>
          <w:iCs/>
        </w:rPr>
      </w:pPr>
      <w:r w:rsidRPr="00674982">
        <w:rPr>
          <w:rFonts w:cs="Arial"/>
        </w:rPr>
        <w:t xml:space="preserve">ANZECC (1992) ‘Australian water quality guidelines for fresh and marine waters. National Water Quality Management Strategy Paper No 4’ </w:t>
      </w:r>
      <w:r w:rsidRPr="00674982">
        <w:rPr>
          <w:rFonts w:cs="Arial"/>
          <w:i/>
          <w:iCs/>
        </w:rPr>
        <w:t>Australian and New Zealand Environment and Conservation Council, Canberra.</w:t>
      </w:r>
    </w:p>
    <w:p w14:paraId="238FFB6D" w14:textId="77777777" w:rsidR="002056DA" w:rsidRPr="00674982" w:rsidRDefault="002056DA" w:rsidP="002056DA">
      <w:pPr>
        <w:pStyle w:val="Bibliography"/>
        <w:spacing w:line="240" w:lineRule="auto"/>
        <w:ind w:left="0" w:firstLine="0"/>
        <w:rPr>
          <w:rFonts w:cs="Arial"/>
        </w:rPr>
      </w:pPr>
      <w:r w:rsidRPr="00674982">
        <w:rPr>
          <w:rFonts w:cs="Arial"/>
        </w:rPr>
        <w:t>ANZG (2018) ‘Australian and New Zealand Guidelines for Fresh and Marine Water Quality</w:t>
      </w:r>
      <w:r w:rsidRPr="00674982">
        <w:rPr>
          <w:rFonts w:cs="Arial"/>
          <w:i/>
          <w:iCs/>
        </w:rPr>
        <w:t>’</w:t>
      </w:r>
      <w:r w:rsidRPr="00674982">
        <w:rPr>
          <w:rFonts w:cs="Arial"/>
        </w:rPr>
        <w:t xml:space="preserve"> </w:t>
      </w:r>
      <w:r w:rsidRPr="00674982">
        <w:rPr>
          <w:rFonts w:cs="Arial"/>
          <w:i/>
          <w:iCs/>
        </w:rPr>
        <w:t>Australian and New Zealand Governments and Australian state and territory governments, Canberra, Australia</w:t>
      </w:r>
      <w:r w:rsidRPr="00674982">
        <w:rPr>
          <w:rFonts w:cs="Arial"/>
        </w:rPr>
        <w:t>.</w:t>
      </w:r>
    </w:p>
    <w:p w14:paraId="65AD5239" w14:textId="77777777" w:rsidR="002056DA" w:rsidRPr="00674982" w:rsidRDefault="002056DA" w:rsidP="002056DA">
      <w:pPr>
        <w:pStyle w:val="Bibliography"/>
        <w:spacing w:line="240" w:lineRule="auto"/>
        <w:ind w:left="0" w:firstLine="0"/>
        <w:rPr>
          <w:rFonts w:cs="Arial"/>
        </w:rPr>
      </w:pPr>
      <w:r w:rsidRPr="00674982">
        <w:rPr>
          <w:rFonts w:cs="Arial"/>
        </w:rPr>
        <w:t xml:space="preserve">ANZG (2021) ‘Australian and New Zealand Guidelines for Fresh and Marine Water Quality. Toxicant default guideline values for protecting aquatic ecosystems’ </w:t>
      </w:r>
      <w:r w:rsidRPr="00674982">
        <w:rPr>
          <w:rFonts w:cs="Arial"/>
          <w:i/>
          <w:iCs/>
        </w:rPr>
        <w:t>Australian and New Zealand Governments and Australian state and territory governments, Canberra, Australia</w:t>
      </w:r>
      <w:r w:rsidRPr="00674982">
        <w:rPr>
          <w:rFonts w:cs="Arial"/>
        </w:rPr>
        <w:t xml:space="preserve">. </w:t>
      </w:r>
    </w:p>
    <w:p w14:paraId="45383571"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Apal (2013) ‘Soil Test Interpretation Guide’ </w:t>
      </w:r>
      <w:r w:rsidRPr="00674982">
        <w:rPr>
          <w:rFonts w:eastAsia="Times New Roman" w:cstheme="minorHAnsi"/>
          <w:i/>
          <w:iCs/>
          <w:lang w:eastAsia="en-AU"/>
        </w:rPr>
        <w:t>Apal Agricultural Laboratory</w:t>
      </w:r>
      <w:r w:rsidRPr="00674982">
        <w:rPr>
          <w:rFonts w:eastAsia="Times New Roman" w:cstheme="minorHAnsi"/>
          <w:lang w:eastAsia="en-AU"/>
        </w:rPr>
        <w:t xml:space="preserve">. </w:t>
      </w:r>
    </w:p>
    <w:p w14:paraId="1866F6A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APHA, AWWA and WEF (1998) ‘Standard methods for the examination of water and wastewater, 20th edition’ </w:t>
      </w:r>
      <w:r w:rsidRPr="00674982">
        <w:rPr>
          <w:rFonts w:eastAsia="Times New Roman" w:cstheme="minorHAnsi"/>
          <w:i/>
          <w:iCs/>
          <w:lang w:eastAsia="en-AU"/>
        </w:rPr>
        <w:t>eds LS Clesceri, AE Greenberg and AD Eaton, American Public Health Association, American Water Work Association, Water Environment Federation, Washington DC</w:t>
      </w:r>
      <w:r w:rsidRPr="00674982">
        <w:rPr>
          <w:rFonts w:eastAsia="Times New Roman" w:cstheme="minorHAnsi"/>
          <w:lang w:eastAsia="en-AU"/>
        </w:rPr>
        <w:t>.</w:t>
      </w:r>
    </w:p>
    <w:p w14:paraId="411082BD" w14:textId="77777777" w:rsidR="002056DA" w:rsidRPr="00674982" w:rsidRDefault="002056DA" w:rsidP="002056DA">
      <w:pPr>
        <w:pStyle w:val="Bibliography"/>
        <w:spacing w:line="240" w:lineRule="auto"/>
        <w:ind w:left="0" w:firstLine="0"/>
        <w:rPr>
          <w:rFonts w:cs="Arial"/>
        </w:rPr>
      </w:pPr>
      <w:r w:rsidRPr="00674982">
        <w:rPr>
          <w:rFonts w:cs="Arial"/>
        </w:rPr>
        <w:t xml:space="preserve">ARMCANZ and ANZECC (2000) ‘Guidelines for sewerage systems. Use of reclaimed water, Paper 14’ </w:t>
      </w:r>
      <w:r w:rsidRPr="00674982">
        <w:rPr>
          <w:rFonts w:cs="Arial"/>
          <w:i/>
          <w:iCs/>
        </w:rPr>
        <w:t xml:space="preserve">National Water Quality Management Strategy. Agriculture and Resource Management Council of </w:t>
      </w:r>
      <w:r w:rsidRPr="00674982">
        <w:rPr>
          <w:rFonts w:cs="Arial"/>
          <w:i/>
          <w:iCs/>
        </w:rPr>
        <w:lastRenderedPageBreak/>
        <w:t>Australia and New Zealand. Australian and New Zealand Environment and Conservation Council. National Health and Medical Research Council., Canberra, Australia.</w:t>
      </w:r>
    </w:p>
    <w:p w14:paraId="317456F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Asano T, Burton FL, Laeverenz HL, Tsuchihashi R and Tchobanoglous G (2007) ‘Water Reuse. Issues, Technologies and Applications’ </w:t>
      </w:r>
      <w:r w:rsidRPr="00674982">
        <w:rPr>
          <w:rFonts w:eastAsia="Times New Roman" w:cstheme="minorHAnsi"/>
          <w:i/>
          <w:iCs/>
          <w:lang w:eastAsia="en-AU"/>
        </w:rPr>
        <w:t>Metcalf and Eddy, McGraw Hill, New York, USA</w:t>
      </w:r>
      <w:r w:rsidRPr="00674982">
        <w:rPr>
          <w:rFonts w:eastAsia="Times New Roman" w:cstheme="minorHAnsi"/>
          <w:lang w:eastAsia="en-AU"/>
        </w:rPr>
        <w:t>.</w:t>
      </w:r>
    </w:p>
    <w:p w14:paraId="573A08F1" w14:textId="77777777" w:rsidR="002056DA" w:rsidRPr="00674982" w:rsidRDefault="002056DA" w:rsidP="002056DA">
      <w:pPr>
        <w:spacing w:line="240" w:lineRule="auto"/>
        <w:rPr>
          <w:rFonts w:eastAsia="Times New Roman" w:cstheme="minorHAnsi"/>
          <w:lang w:eastAsia="en-AU"/>
        </w:rPr>
      </w:pPr>
      <w:r w:rsidRPr="00674982">
        <w:t xml:space="preserve">Awad AS (1989) ‘Farm water quality and treatment’ </w:t>
      </w:r>
      <w:r w:rsidRPr="00674982">
        <w:rPr>
          <w:i/>
          <w:iCs/>
        </w:rPr>
        <w:t>NSW Agriculture and Fisheries Agfact AC.2, 5th</w:t>
      </w:r>
      <w:r w:rsidRPr="00674982">
        <w:t xml:space="preserve"> edn.</w:t>
      </w:r>
    </w:p>
    <w:p w14:paraId="5A4390A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Axelson U, Söderström M and Jonsson A (2018) ‘Risk assessment of high concentrations of molybdenum in forage’, </w:t>
      </w:r>
      <w:r w:rsidRPr="00674982">
        <w:rPr>
          <w:rFonts w:eastAsia="Times New Roman" w:cstheme="minorHAnsi"/>
          <w:i/>
          <w:iCs/>
          <w:lang w:eastAsia="en-AU"/>
        </w:rPr>
        <w:t>Environmental Geochemistry and Health</w:t>
      </w:r>
      <w:r w:rsidRPr="00674982">
        <w:rPr>
          <w:rFonts w:eastAsia="Times New Roman" w:cstheme="minorHAnsi"/>
          <w:lang w:eastAsia="en-AU"/>
        </w:rPr>
        <w:t>, 40(6):2685–2694.</w:t>
      </w:r>
    </w:p>
    <w:p w14:paraId="6D1201A1" w14:textId="77777777" w:rsidR="002056DA" w:rsidRPr="00674982" w:rsidRDefault="002056DA" w:rsidP="002056DA">
      <w:r w:rsidRPr="00674982">
        <w:t xml:space="preserve">Ayers RS (1977) ‘Quality of water for irrigation’, </w:t>
      </w:r>
      <w:r w:rsidRPr="00674982">
        <w:rPr>
          <w:i/>
          <w:iCs/>
        </w:rPr>
        <w:t>Journal of the Irrigation and Drainage Division 103 (IR2)</w:t>
      </w:r>
      <w:r w:rsidRPr="00674982">
        <w:t>, pp. 135–154</w:t>
      </w:r>
    </w:p>
    <w:p w14:paraId="66D573F3" w14:textId="77777777" w:rsidR="002056DA" w:rsidRPr="00674982" w:rsidRDefault="002056DA" w:rsidP="002056DA">
      <w:pPr>
        <w:pStyle w:val="Bibliography"/>
        <w:spacing w:line="240" w:lineRule="auto"/>
        <w:ind w:left="0" w:firstLine="0"/>
        <w:rPr>
          <w:rFonts w:cs="Arial"/>
        </w:rPr>
      </w:pPr>
      <w:r w:rsidRPr="00674982">
        <w:rPr>
          <w:rFonts w:cs="Arial"/>
        </w:rPr>
        <w:t xml:space="preserve">Ayers RS and Westcot DW (1976) ‘Water quality for agriculture. Irrigation and Drainage Paper 29’ </w:t>
      </w:r>
      <w:r w:rsidRPr="00674982">
        <w:rPr>
          <w:rFonts w:cs="Arial"/>
          <w:i/>
          <w:iCs/>
        </w:rPr>
        <w:t>Food and Agriculture Organisation of the United Nations, Rome</w:t>
      </w:r>
      <w:r w:rsidRPr="00674982">
        <w:rPr>
          <w:rFonts w:cs="Arial"/>
        </w:rPr>
        <w:t>.</w:t>
      </w:r>
    </w:p>
    <w:p w14:paraId="25CE11DD" w14:textId="77777777" w:rsidR="002056DA" w:rsidRPr="00674982" w:rsidRDefault="002056DA" w:rsidP="002056DA">
      <w:pPr>
        <w:pStyle w:val="Bibliography"/>
        <w:spacing w:line="240" w:lineRule="auto"/>
        <w:ind w:left="0" w:firstLine="0"/>
        <w:rPr>
          <w:rFonts w:cs="Arial"/>
        </w:rPr>
      </w:pPr>
      <w:r w:rsidRPr="00674982">
        <w:rPr>
          <w:rFonts w:cs="Arial"/>
        </w:rPr>
        <w:t xml:space="preserve">Ayers RS and Westcot DW (1985) ‘Water quality for agriculture. FAO irrigation and drainage paper 29 rev. 1’ </w:t>
      </w:r>
      <w:r w:rsidRPr="00674982">
        <w:rPr>
          <w:rFonts w:cs="Arial"/>
          <w:i/>
          <w:iCs/>
        </w:rPr>
        <w:t>Food and Agriculture Organisation of the United Nations., Rome, Italy</w:t>
      </w:r>
      <w:r w:rsidRPr="00674982">
        <w:rPr>
          <w:rFonts w:cs="Arial"/>
        </w:rPr>
        <w:t xml:space="preserve">. </w:t>
      </w:r>
    </w:p>
    <w:p w14:paraId="6D9003EE" w14:textId="77777777" w:rsidR="002056DA" w:rsidRPr="00674982" w:rsidRDefault="002056DA" w:rsidP="002056DA">
      <w:pPr>
        <w:spacing w:line="240" w:lineRule="auto"/>
      </w:pPr>
      <w:r w:rsidRPr="00674982">
        <w:t xml:space="preserve">Baker DE (1974) ‘Copper: Soil, water, plant relationship’ </w:t>
      </w:r>
      <w:r w:rsidRPr="00674982">
        <w:rPr>
          <w:i/>
          <w:iCs/>
        </w:rPr>
        <w:t>FASEB Journal</w:t>
      </w:r>
      <w:r w:rsidRPr="00674982">
        <w:t>, 33:1188–1193.</w:t>
      </w:r>
    </w:p>
    <w:p w14:paraId="48F3A797"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Balderrama-Carmona AP, Pablo G-M, Felipe M-PE, Gabriela U-MR, Mariana D-TL and Alonso L-SL (2017) ‘Risk Assessment for Giardia in Environmental Samples, Current Topics in Giardiasis’, </w:t>
      </w:r>
      <w:r w:rsidRPr="00674982">
        <w:rPr>
          <w:rFonts w:eastAsia="Times New Roman" w:cstheme="minorHAnsi"/>
          <w:i/>
          <w:iCs/>
          <w:lang w:eastAsia="en-AU"/>
        </w:rPr>
        <w:t>IntechOpen</w:t>
      </w:r>
      <w:r w:rsidRPr="00674982">
        <w:rPr>
          <w:rFonts w:eastAsia="Times New Roman" w:cstheme="minorHAnsi"/>
          <w:lang w:eastAsia="en-AU"/>
        </w:rPr>
        <w:t>, viewed 20 August 2021, &lt;</w:t>
      </w:r>
      <w:hyperlink r:id="rId66" w:history="1">
        <w:r w:rsidRPr="00674982">
          <w:rPr>
            <w:rFonts w:eastAsia="Times New Roman" w:cstheme="minorHAnsi"/>
            <w:color w:val="0000FF"/>
            <w:u w:val="single"/>
            <w:lang w:eastAsia="en-AU"/>
          </w:rPr>
          <w:t>https://www.intechopen.com/chapters/57043</w:t>
        </w:r>
      </w:hyperlink>
      <w:r w:rsidRPr="00674982">
        <w:rPr>
          <w:rFonts w:eastAsia="Times New Roman" w:cstheme="minorHAnsi"/>
          <w:lang w:eastAsia="en-AU"/>
        </w:rPr>
        <w:t>&gt;.</w:t>
      </w:r>
    </w:p>
    <w:p w14:paraId="46711583" w14:textId="77777777" w:rsidR="002056DA" w:rsidRPr="00674982" w:rsidRDefault="002056DA" w:rsidP="002056DA">
      <w:pPr>
        <w:spacing w:line="240" w:lineRule="auto"/>
      </w:pPr>
      <w:r w:rsidRPr="00674982">
        <w:t xml:space="preserve">Banks A, Broadley R, Collinge M and Middleton K (1989) ‘Pesticide application manual. 2nd edn’ </w:t>
      </w:r>
      <w:r w:rsidRPr="00674982">
        <w:rPr>
          <w:i/>
          <w:iCs/>
        </w:rPr>
        <w:t>Queensland Department of Primary Industries Information Series QI89003. Brisbane</w:t>
      </w:r>
      <w:r w:rsidRPr="00674982">
        <w:t>.</w:t>
      </w:r>
    </w:p>
    <w:p w14:paraId="7B530B44"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Barbagallo S, Cirelli G and Indelicato S (2001) ‘Wastewater reuse in Italy’, </w:t>
      </w:r>
      <w:r w:rsidRPr="00674982">
        <w:rPr>
          <w:rFonts w:eastAsia="Times New Roman" w:cstheme="minorHAnsi"/>
          <w:i/>
          <w:iCs/>
          <w:lang w:eastAsia="en-AU"/>
        </w:rPr>
        <w:t>Water Science and Technology</w:t>
      </w:r>
      <w:r w:rsidRPr="00674982">
        <w:rPr>
          <w:rFonts w:eastAsia="Times New Roman" w:cstheme="minorHAnsi"/>
          <w:lang w:eastAsia="en-AU"/>
        </w:rPr>
        <w:t>, 43(10):43–50.</w:t>
      </w:r>
    </w:p>
    <w:p w14:paraId="3BE43740" w14:textId="77777777" w:rsidR="002056DA" w:rsidRPr="00674982" w:rsidRDefault="002056DA" w:rsidP="002056DA">
      <w:pPr>
        <w:spacing w:line="240" w:lineRule="auto"/>
      </w:pPr>
      <w:r w:rsidRPr="00674982">
        <w:t xml:space="preserve">Barrow J (1989) ‘Surface reactions of phosphate in soil’, </w:t>
      </w:r>
      <w:r w:rsidRPr="00674982">
        <w:rPr>
          <w:i/>
          <w:iCs/>
        </w:rPr>
        <w:t>Agricultural Science,</w:t>
      </w:r>
      <w:r w:rsidRPr="00674982">
        <w:t xml:space="preserve"> September: 33–37.</w:t>
      </w:r>
    </w:p>
    <w:p w14:paraId="3D285C5B" w14:textId="77777777" w:rsidR="002056DA" w:rsidRPr="00674982" w:rsidRDefault="002056DA" w:rsidP="002056DA">
      <w:pPr>
        <w:spacing w:line="240" w:lineRule="auto"/>
        <w:rPr>
          <w:i/>
          <w:iCs/>
        </w:rPr>
      </w:pPr>
      <w:r w:rsidRPr="00674982">
        <w:t xml:space="preserve">Barry GA (1997) ‘Total heavy metal status of horticultural soils in Queensland’ </w:t>
      </w:r>
      <w:r w:rsidRPr="00674982">
        <w:rPr>
          <w:i/>
          <w:iCs/>
        </w:rPr>
        <w:t>Final report to Horticultural Research and Development Corporation on Project VG 404. Queensland Department of Natural Resources, Brisbane.</w:t>
      </w:r>
    </w:p>
    <w:p w14:paraId="506BDB2F" w14:textId="77777777" w:rsidR="002056DA" w:rsidRPr="00674982" w:rsidRDefault="002056DA" w:rsidP="002056DA">
      <w:pPr>
        <w:spacing w:line="240" w:lineRule="auto"/>
      </w:pPr>
      <w:r w:rsidRPr="00674982">
        <w:t xml:space="preserve">Bell RG and Bole JB (1976) ‘Elimination of faecal coliform bacteria from reed canary grass irrigated with municipal sewage lagoon effluent’, </w:t>
      </w:r>
      <w:r w:rsidRPr="00674982">
        <w:rPr>
          <w:i/>
          <w:iCs/>
        </w:rPr>
        <w:t>Journal of Environmental Quality,</w:t>
      </w:r>
      <w:r w:rsidRPr="00674982">
        <w:t xml:space="preserve"> 5(4):417–418.</w:t>
      </w:r>
    </w:p>
    <w:p w14:paraId="54C488E4"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Bennett J and Raine S (2012) ‘The soil specific nature of threshold electrolyte concentration analysis’, </w:t>
      </w:r>
      <w:r w:rsidRPr="00674982">
        <w:rPr>
          <w:rFonts w:eastAsia="Times New Roman" w:cstheme="minorHAnsi"/>
          <w:i/>
          <w:iCs/>
          <w:lang w:eastAsia="en-AU"/>
        </w:rPr>
        <w:t>paper presented at 5th Joint Australian and New Zealand Soil Science Conference: Soil Solutions for Diverse Landscapes, Hobart, Tasmania, SSA</w:t>
      </w:r>
      <w:r w:rsidRPr="00674982">
        <w:rPr>
          <w:rFonts w:eastAsia="Times New Roman" w:cstheme="minorHAnsi"/>
          <w:lang w:eastAsia="en-AU"/>
        </w:rPr>
        <w:t>.</w:t>
      </w:r>
    </w:p>
    <w:p w14:paraId="12C48579" w14:textId="77777777" w:rsidR="002056DA" w:rsidRPr="00674982" w:rsidRDefault="002056DA" w:rsidP="002056DA">
      <w:pPr>
        <w:spacing w:line="240" w:lineRule="auto"/>
      </w:pPr>
      <w:r w:rsidRPr="00674982">
        <w:t xml:space="preserve">Bernstein L and Francois LE (1973) ‘Leaching requirement studies; sensitivity of alfalfa to salinity of irrigation and drainage waters’, </w:t>
      </w:r>
      <w:r w:rsidRPr="00674982">
        <w:rPr>
          <w:i/>
          <w:iCs/>
        </w:rPr>
        <w:t xml:space="preserve">Soil Science Society of America Proceedings, </w:t>
      </w:r>
      <w:r w:rsidRPr="00674982">
        <w:t>37:931–943.</w:t>
      </w:r>
    </w:p>
    <w:p w14:paraId="184122FD" w14:textId="78A038EE" w:rsidR="002056DA" w:rsidRPr="00674982" w:rsidRDefault="002056DA" w:rsidP="002056DA">
      <w:pPr>
        <w:pStyle w:val="Bibliography"/>
        <w:spacing w:line="240" w:lineRule="auto"/>
        <w:ind w:left="0" w:firstLine="0"/>
        <w:rPr>
          <w:rFonts w:cs="Arial"/>
        </w:rPr>
      </w:pPr>
      <w:r w:rsidRPr="00674982">
        <w:rPr>
          <w:rFonts w:cs="Arial"/>
        </w:rPr>
        <w:t xml:space="preserve">Bernstein, L (1975) ‘Effects of salinity and sodicity on plant growth’, </w:t>
      </w:r>
      <w:r w:rsidRPr="00674982">
        <w:rPr>
          <w:rFonts w:cs="Arial"/>
          <w:i/>
          <w:iCs/>
        </w:rPr>
        <w:t>Annual Review of Phytopathology</w:t>
      </w:r>
      <w:r w:rsidRPr="00674982">
        <w:rPr>
          <w:rFonts w:cs="Arial"/>
        </w:rPr>
        <w:t>, 13:295–312.</w:t>
      </w:r>
    </w:p>
    <w:p w14:paraId="15E807F3"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Biswas T, Bourne J, McCarthy M and Rengasamy P (2009) ‘Water and Vine Managing the Challenge. Module 3 Sustainable salinity management in your vineyard</w:t>
      </w:r>
      <w:r w:rsidRPr="00674982">
        <w:rPr>
          <w:rFonts w:eastAsia="Times New Roman" w:cstheme="minorHAnsi"/>
          <w:i/>
          <w:iCs/>
          <w:lang w:eastAsia="en-AU"/>
        </w:rPr>
        <w:t>’ Factsheet, South Australian Research and Development Institute.</w:t>
      </w:r>
    </w:p>
    <w:p w14:paraId="0185A60F" w14:textId="77777777" w:rsidR="002056DA" w:rsidRPr="00674982" w:rsidRDefault="002056DA" w:rsidP="002056DA">
      <w:pPr>
        <w:spacing w:line="240" w:lineRule="auto"/>
      </w:pPr>
      <w:r w:rsidRPr="00674982">
        <w:lastRenderedPageBreak/>
        <w:t xml:space="preserve">Bittencourt-Oliveira MC, Cordeiro-Araújo MK, Chia MA, Arruda-Neto JD, de Oliveira ET and dos Santos F (2016) ‘Lettuce irrigated with contaminated water: Photosynthetic effects, antioxidative response and bioaccumulation of microcystin congeners’, </w:t>
      </w:r>
      <w:r w:rsidRPr="00674982">
        <w:rPr>
          <w:i/>
          <w:iCs/>
        </w:rPr>
        <w:t>Ecotoxicology and Environmental Safety</w:t>
      </w:r>
      <w:r w:rsidRPr="00674982">
        <w:t>, 128:83-90.</w:t>
      </w:r>
    </w:p>
    <w:p w14:paraId="7F404A70" w14:textId="77777777" w:rsidR="002056DA" w:rsidRPr="00674982" w:rsidRDefault="002056DA" w:rsidP="002056DA">
      <w:pPr>
        <w:spacing w:line="240" w:lineRule="auto"/>
      </w:pPr>
      <w:r w:rsidRPr="00674982">
        <w:t xml:space="preserve">Bjorneberg DL, Karlen DL, Kanwar RS and Cambardella CA (1998) ‘Alternative N fertilizer management strategies effects on subsurface drain effluent and N uptake’, </w:t>
      </w:r>
      <w:r w:rsidRPr="00674982">
        <w:rPr>
          <w:i/>
          <w:iCs/>
        </w:rPr>
        <w:t xml:space="preserve">Applied Engineering in Agriculture, </w:t>
      </w:r>
      <w:r w:rsidRPr="00674982">
        <w:t>14:469–473.</w:t>
      </w:r>
    </w:p>
    <w:p w14:paraId="6074A558"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Bodah, E (2017) ‘Root Rot Diseases in Plants: A Review of Common Causal Agents and Management Strategies’, </w:t>
      </w:r>
      <w:r w:rsidRPr="00674982">
        <w:rPr>
          <w:rFonts w:eastAsia="Times New Roman" w:cstheme="minorHAnsi"/>
          <w:i/>
          <w:iCs/>
          <w:lang w:eastAsia="en-AU"/>
        </w:rPr>
        <w:t>Agricultural Research and Technology: Open Access Journal</w:t>
      </w:r>
      <w:r w:rsidRPr="00674982">
        <w:rPr>
          <w:rFonts w:eastAsia="Times New Roman" w:cstheme="minorHAnsi"/>
          <w:lang w:eastAsia="en-AU"/>
        </w:rPr>
        <w:t>,  5.</w:t>
      </w:r>
    </w:p>
    <w:p w14:paraId="75F813AE" w14:textId="77777777" w:rsidR="002056DA" w:rsidRPr="00674982" w:rsidRDefault="002056DA" w:rsidP="002056DA">
      <w:pPr>
        <w:spacing w:line="240" w:lineRule="auto"/>
      </w:pPr>
      <w:r w:rsidRPr="00674982">
        <w:t xml:space="preserve">Bouwer H 1990, ‘Agricultural chemicals and groundwater quality’, </w:t>
      </w:r>
      <w:r w:rsidRPr="00674982">
        <w:rPr>
          <w:i/>
          <w:iCs/>
        </w:rPr>
        <w:t>Journal of Soil and Water Conservation</w:t>
      </w:r>
      <w:r w:rsidRPr="00674982">
        <w:t>, 45:234–244.</w:t>
      </w:r>
    </w:p>
    <w:p w14:paraId="4917FDEF" w14:textId="77777777" w:rsidR="002056DA" w:rsidRPr="00674982" w:rsidRDefault="002056DA" w:rsidP="002056DA">
      <w:pPr>
        <w:spacing w:line="240" w:lineRule="auto"/>
      </w:pPr>
      <w:r w:rsidRPr="00674982">
        <w:t xml:space="preserve">Bovey RW (1985) ‘Efficacy of glyphosate in non-crop situations’ </w:t>
      </w:r>
      <w:r w:rsidRPr="00674982">
        <w:rPr>
          <w:i/>
          <w:iCs/>
        </w:rPr>
        <w:t>In The herbicide glyphosate</w:t>
      </w:r>
      <w:r w:rsidRPr="00674982">
        <w:t>, 442–443, Butterworths, London.</w:t>
      </w:r>
    </w:p>
    <w:p w14:paraId="3875A041" w14:textId="77777777" w:rsidR="002056DA" w:rsidRPr="00674982" w:rsidRDefault="002056DA" w:rsidP="002056DA">
      <w:pPr>
        <w:spacing w:line="240" w:lineRule="auto"/>
      </w:pPr>
      <w:r w:rsidRPr="00674982">
        <w:t xml:space="preserve">Bradford GR (1963) ‘Lithium survey of California’s water resources’, </w:t>
      </w:r>
      <w:r w:rsidRPr="00674982">
        <w:rPr>
          <w:i/>
          <w:iCs/>
        </w:rPr>
        <w:t>Soil Science</w:t>
      </w:r>
      <w:r w:rsidRPr="00674982">
        <w:t>, 96:77–81.</w:t>
      </w:r>
    </w:p>
    <w:p w14:paraId="13919CB5" w14:textId="77777777" w:rsidR="002056DA" w:rsidRPr="00674982" w:rsidRDefault="002056DA" w:rsidP="002056DA">
      <w:pPr>
        <w:spacing w:line="240" w:lineRule="auto"/>
      </w:pPr>
      <w:r w:rsidRPr="00674982">
        <w:t>Breeze VG (1973) ‘Land reclamation and river pollution problem in the Croal Valley caused by waste from chromate manufacture’</w:t>
      </w:r>
      <w:r w:rsidRPr="00674982">
        <w:rPr>
          <w:i/>
          <w:iCs/>
        </w:rPr>
        <w:t xml:space="preserve"> Journal of Applied Ecology</w:t>
      </w:r>
      <w:r w:rsidRPr="00674982">
        <w:t>, 10</w:t>
      </w:r>
      <w:r>
        <w:t>:</w:t>
      </w:r>
      <w:r w:rsidRPr="00674982">
        <w:t>513–525.</w:t>
      </w:r>
    </w:p>
    <w:p w14:paraId="54357CFB" w14:textId="77777777" w:rsidR="002056DA" w:rsidRPr="00674982" w:rsidRDefault="002056DA" w:rsidP="002056DA">
      <w:pPr>
        <w:spacing w:line="240" w:lineRule="auto"/>
        <w:rPr>
          <w:rFonts w:eastAsia="Times New Roman" w:cstheme="minorHAnsi"/>
          <w:lang w:eastAsia="en-AU"/>
        </w:rPr>
      </w:pPr>
      <w:r w:rsidRPr="00674982">
        <w:t xml:space="preserve">Bresler E, McNeal BL and Carter DL (1982) ‘Saline and sodic soils: Principles, dynamics, modelling’, </w:t>
      </w:r>
      <w:r w:rsidRPr="00674982">
        <w:rPr>
          <w:i/>
          <w:iCs/>
        </w:rPr>
        <w:t xml:space="preserve">Advanced Series in Agricultural Sciences, </w:t>
      </w:r>
      <w:r w:rsidRPr="00674982">
        <w:t xml:space="preserve">no. 10, Springer Verlag, Berlin. </w:t>
      </w:r>
      <w:r w:rsidRPr="00674982">
        <w:rPr>
          <w:rFonts w:eastAsia="Times New Roman" w:cstheme="minorHAnsi"/>
          <w:lang w:eastAsia="en-AU"/>
        </w:rPr>
        <w:t xml:space="preserve">Brodie, IM 2012, ‘Stormwater reuse treatment requirements and screening-level risk assessment at two urban spatial scales’, </w:t>
      </w:r>
      <w:r w:rsidRPr="00674982">
        <w:rPr>
          <w:rFonts w:eastAsia="Times New Roman" w:cstheme="minorHAnsi"/>
          <w:i/>
          <w:iCs/>
          <w:lang w:eastAsia="en-AU"/>
        </w:rPr>
        <w:t>Journal of Water Reuse and Desalination</w:t>
      </w:r>
      <w:r w:rsidRPr="00674982">
        <w:rPr>
          <w:rFonts w:eastAsia="Times New Roman" w:cstheme="minorHAnsi"/>
          <w:lang w:eastAsia="en-AU"/>
        </w:rPr>
        <w:t>, 2(1):13–21.</w:t>
      </w:r>
    </w:p>
    <w:p w14:paraId="23088FFD" w14:textId="77777777" w:rsidR="002056DA" w:rsidRPr="00674982" w:rsidRDefault="002056DA" w:rsidP="002056DA">
      <w:pPr>
        <w:spacing w:line="240" w:lineRule="auto"/>
        <w:rPr>
          <w:i/>
          <w:iCs/>
        </w:rPr>
      </w:pPr>
      <w:r w:rsidRPr="00674982">
        <w:t xml:space="preserve">Brown J and Simmonds JR (1995) ‘FARMLAND — A dynamic model for the transfer of radionuclides through terrestrial food chains’, </w:t>
      </w:r>
      <w:r w:rsidRPr="00674982">
        <w:rPr>
          <w:i/>
          <w:iCs/>
        </w:rPr>
        <w:t>National Radiological Protection Board, Report NRPB-R273, Chilton, UK.</w:t>
      </w:r>
    </w:p>
    <w:p w14:paraId="1A88987B" w14:textId="77777777" w:rsidR="002056DA" w:rsidRPr="00674982" w:rsidRDefault="002056DA" w:rsidP="002056DA">
      <w:pPr>
        <w:spacing w:line="240" w:lineRule="auto"/>
        <w:rPr>
          <w:i/>
          <w:iCs/>
        </w:rPr>
      </w:pPr>
      <w:r w:rsidRPr="00674982">
        <w:t xml:space="preserve">Bruce RC and Rayment GE (1982) ‘Analytical methods and interpretations used by the Agricultural Chemistry Branch for soil and land use surveys’ </w:t>
      </w:r>
      <w:r w:rsidRPr="00674982">
        <w:rPr>
          <w:i/>
          <w:iCs/>
        </w:rPr>
        <w:t>Queensland Department of Primary Industries Bulletin QB82004, Brisbane.</w:t>
      </w:r>
    </w:p>
    <w:p w14:paraId="054E69AC" w14:textId="77777777" w:rsidR="002056DA" w:rsidRPr="00674982" w:rsidRDefault="002056DA" w:rsidP="002056DA">
      <w:pPr>
        <w:spacing w:line="240" w:lineRule="auto"/>
        <w:rPr>
          <w:i/>
          <w:iCs/>
        </w:rPr>
      </w:pPr>
      <w:r w:rsidRPr="00674982">
        <w:t xml:space="preserve">Brümmer G and Herms U (1983) ‘Influence of soil reaction and organic matter on the solubility of heavy metals in soils. In Effects of accumulation of air pollutants in forest ecosystems’ </w:t>
      </w:r>
      <w:r w:rsidRPr="00674982">
        <w:rPr>
          <w:i/>
          <w:iCs/>
        </w:rPr>
        <w:t xml:space="preserve">eds B Ulrich and J Pankrath, D Reidel, Dordrecht, </w:t>
      </w:r>
      <w:r w:rsidRPr="00C00454">
        <w:t>233–243</w:t>
      </w:r>
      <w:r w:rsidRPr="00674982">
        <w:rPr>
          <w:i/>
          <w:iCs/>
        </w:rPr>
        <w:t>.</w:t>
      </w:r>
    </w:p>
    <w:p w14:paraId="2C38ADC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Burkitt LL, Moody PW, Gourley CJP and Hannah MC (2002) ‘A simple phosphorus buffering index for Australian soils’, </w:t>
      </w:r>
      <w:r w:rsidRPr="00674982">
        <w:rPr>
          <w:rFonts w:eastAsia="Times New Roman" w:cstheme="minorHAnsi"/>
          <w:i/>
          <w:iCs/>
          <w:lang w:eastAsia="en-AU"/>
        </w:rPr>
        <w:t>Australian Journal of Soil Research</w:t>
      </w:r>
      <w:r w:rsidRPr="00674982">
        <w:rPr>
          <w:rFonts w:eastAsia="Times New Roman" w:cstheme="minorHAnsi"/>
          <w:lang w:eastAsia="en-AU"/>
        </w:rPr>
        <w:t>,</w:t>
      </w:r>
      <w:r>
        <w:rPr>
          <w:rFonts w:eastAsia="Times New Roman" w:cstheme="minorHAnsi"/>
          <w:lang w:eastAsia="en-AU"/>
        </w:rPr>
        <w:t xml:space="preserve"> </w:t>
      </w:r>
      <w:r w:rsidRPr="00674982">
        <w:rPr>
          <w:rFonts w:eastAsia="Times New Roman" w:cstheme="minorHAnsi"/>
          <w:lang w:eastAsia="en-AU"/>
        </w:rPr>
        <w:t>40</w:t>
      </w:r>
      <w:r>
        <w:rPr>
          <w:rFonts w:eastAsia="Times New Roman" w:cstheme="minorHAnsi"/>
          <w:lang w:eastAsia="en-AU"/>
        </w:rPr>
        <w:t>(</w:t>
      </w:r>
      <w:r w:rsidRPr="00674982">
        <w:rPr>
          <w:rFonts w:eastAsia="Times New Roman" w:cstheme="minorHAnsi"/>
          <w:lang w:eastAsia="en-AU"/>
        </w:rPr>
        <w:t>3</w:t>
      </w:r>
      <w:r>
        <w:rPr>
          <w:rFonts w:eastAsia="Times New Roman" w:cstheme="minorHAnsi"/>
          <w:lang w:eastAsia="en-AU"/>
        </w:rPr>
        <w:t>):</w:t>
      </w:r>
      <w:r w:rsidRPr="00674982">
        <w:rPr>
          <w:rFonts w:eastAsia="Times New Roman" w:cstheme="minorHAnsi"/>
          <w:lang w:eastAsia="en-AU"/>
        </w:rPr>
        <w:t>497.</w:t>
      </w:r>
    </w:p>
    <w:p w14:paraId="15703B6F" w14:textId="77777777" w:rsidR="002056DA" w:rsidRPr="00674982" w:rsidRDefault="002056DA" w:rsidP="002056DA">
      <w:pPr>
        <w:spacing w:line="240" w:lineRule="auto"/>
      </w:pPr>
      <w:r w:rsidRPr="00674982">
        <w:t xml:space="preserve">Cannon HL (1963) ‘The biogeochemistry of vanadium’, </w:t>
      </w:r>
      <w:r w:rsidRPr="00674982">
        <w:rPr>
          <w:i/>
          <w:iCs/>
        </w:rPr>
        <w:t>Soil Science</w:t>
      </w:r>
      <w:r w:rsidRPr="00674982">
        <w:t>, 96</w:t>
      </w:r>
      <w:r>
        <w:t>:</w:t>
      </w:r>
      <w:r w:rsidRPr="00674982">
        <w:t>196–204.</w:t>
      </w:r>
    </w:p>
    <w:p w14:paraId="0DA4E061" w14:textId="77777777" w:rsidR="002056DA" w:rsidRPr="00674982" w:rsidRDefault="002056DA" w:rsidP="002056DA">
      <w:pPr>
        <w:spacing w:line="240" w:lineRule="auto"/>
      </w:pPr>
      <w:r w:rsidRPr="00674982">
        <w:t xml:space="preserve">Carmichael WW (1994) ‘The toxins of Cyanobacteria’, </w:t>
      </w:r>
      <w:r w:rsidRPr="00674982">
        <w:rPr>
          <w:i/>
          <w:iCs/>
        </w:rPr>
        <w:t>Scientific American</w:t>
      </w:r>
      <w:r w:rsidRPr="00674982">
        <w:t>, January, 64–72.</w:t>
      </w:r>
    </w:p>
    <w:p w14:paraId="09408E8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Cass A, Walker R and Fitzpatrick R (1996) ‘Vineyard soil degradation by salt accumulation and the effect on the performance of the vine’, </w:t>
      </w:r>
      <w:r w:rsidRPr="00674982">
        <w:rPr>
          <w:rFonts w:eastAsia="Times New Roman" w:cstheme="minorHAnsi"/>
          <w:i/>
          <w:iCs/>
          <w:lang w:eastAsia="en-AU"/>
        </w:rPr>
        <w:t>paper presented at Ninth Australian Wine Industry Technical Conference, Adelaide</w:t>
      </w:r>
      <w:r w:rsidRPr="00674982">
        <w:rPr>
          <w:rFonts w:eastAsia="Times New Roman" w:cstheme="minorHAnsi"/>
          <w:lang w:eastAsia="en-AU"/>
        </w:rPr>
        <w:t>, SA, 153–160.</w:t>
      </w:r>
    </w:p>
    <w:p w14:paraId="0CA9A299" w14:textId="77777777" w:rsidR="002056DA" w:rsidRPr="00674982" w:rsidRDefault="002056DA" w:rsidP="002056DA">
      <w:pPr>
        <w:spacing w:line="240" w:lineRule="auto"/>
      </w:pPr>
      <w:r w:rsidRPr="00674982">
        <w:t xml:space="preserve">Cataldo DA, Garland TR and Wildung RE (1983) ‘Cadmium uptake kinetics in intact soybean plants’, </w:t>
      </w:r>
      <w:r w:rsidRPr="00674982">
        <w:rPr>
          <w:i/>
          <w:iCs/>
        </w:rPr>
        <w:t>Plant Physiology</w:t>
      </w:r>
      <w:r w:rsidRPr="00674982">
        <w:t>, 73</w:t>
      </w:r>
      <w:r>
        <w:t>:</w:t>
      </w:r>
      <w:r w:rsidRPr="00674982">
        <w:t>844–848.</w:t>
      </w:r>
    </w:p>
    <w:p w14:paraId="62CF8638"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lastRenderedPageBreak/>
        <w:t xml:space="preserve">Cavanagh J-AE (2014) ‘Status of cadmium in New Zealand soils: 2014’ </w:t>
      </w:r>
      <w:r w:rsidRPr="00674982">
        <w:rPr>
          <w:rFonts w:eastAsia="Times New Roman" w:cstheme="minorHAnsi"/>
          <w:i/>
          <w:iCs/>
          <w:lang w:eastAsia="en-AU"/>
        </w:rPr>
        <w:t>Landcare LC 1857, Fertiliser Association of New Zealand and Ministry for Primary Industry, Wellington, New Zealand.</w:t>
      </w:r>
    </w:p>
    <w:p w14:paraId="4E5D0CDA"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Cavanagh, J-AE, McNeill, S, Arienti, C and Rattenbury, M 2015, </w:t>
      </w:r>
      <w:r w:rsidRPr="00674982">
        <w:rPr>
          <w:rFonts w:eastAsia="Times New Roman" w:cstheme="minorHAnsi"/>
          <w:i/>
          <w:iCs/>
          <w:lang w:eastAsia="en-AU"/>
        </w:rPr>
        <w:t>Background soil concentrations of selected trace elements and organic contaminants in New Zealand. Envirolink Tools Grant: C09X1402</w:t>
      </w:r>
      <w:r w:rsidRPr="00674982">
        <w:rPr>
          <w:rFonts w:eastAsia="Times New Roman" w:cstheme="minorHAnsi"/>
          <w:lang w:eastAsia="en-AU"/>
        </w:rPr>
        <w:t>, Landcare, Regional Council Waste and Contaminated Land Forum, Land Monitoring Forum Land Managers Group, Ministry for the Environment Ministry for Primary Industries.</w:t>
      </w:r>
    </w:p>
    <w:p w14:paraId="62C2E05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CCME (2006) ‘Canadian Water Quality Guidelines for the Protection of Agricultural Water Uses (Irrigation and Livestock Water)</w:t>
      </w:r>
      <w:r w:rsidRPr="00674982">
        <w:rPr>
          <w:rFonts w:eastAsia="Times New Roman" w:cstheme="minorHAnsi"/>
          <w:i/>
          <w:iCs/>
          <w:lang w:eastAsia="en-AU"/>
        </w:rPr>
        <w:t>’</w:t>
      </w:r>
      <w:r w:rsidRPr="00674982">
        <w:rPr>
          <w:rFonts w:eastAsia="Times New Roman" w:cstheme="minorHAnsi"/>
          <w:lang w:eastAsia="en-AU"/>
        </w:rPr>
        <w:t xml:space="preserve"> </w:t>
      </w:r>
      <w:r w:rsidRPr="00674982">
        <w:rPr>
          <w:rFonts w:eastAsia="Times New Roman" w:cstheme="minorHAnsi"/>
          <w:i/>
          <w:iCs/>
          <w:lang w:eastAsia="en-AU"/>
        </w:rPr>
        <w:t>Canadian Council of Ministers of the Environment, Winnipeg, MB, Canada, viewed 9 March 2021</w:t>
      </w:r>
      <w:r w:rsidRPr="00674982">
        <w:rPr>
          <w:rFonts w:eastAsia="Times New Roman" w:cstheme="minorHAnsi"/>
          <w:lang w:eastAsia="en-AU"/>
        </w:rPr>
        <w:t>, &lt;</w:t>
      </w:r>
      <w:hyperlink r:id="rId67" w:anchor="void" w:history="1">
        <w:r w:rsidRPr="00674982">
          <w:rPr>
            <w:rFonts w:eastAsia="Times New Roman" w:cstheme="minorHAnsi"/>
            <w:color w:val="0000FF"/>
            <w:u w:val="single"/>
            <w:lang w:eastAsia="en-AU"/>
          </w:rPr>
          <w:t>http://ceqg-rcqe.ccme.ca/en/index.html#void</w:t>
        </w:r>
      </w:hyperlink>
      <w:r w:rsidRPr="00674982">
        <w:rPr>
          <w:rFonts w:eastAsia="Times New Roman" w:cstheme="minorHAnsi"/>
          <w:lang w:eastAsia="en-AU"/>
        </w:rPr>
        <w:t>&gt;.</w:t>
      </w:r>
    </w:p>
    <w:p w14:paraId="6926091A"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CCME (2008) ‘Canadian Water Quality Guidelines’ </w:t>
      </w:r>
      <w:r w:rsidRPr="00674982">
        <w:rPr>
          <w:rFonts w:eastAsia="Times New Roman" w:cstheme="minorHAnsi"/>
          <w:i/>
          <w:iCs/>
          <w:lang w:eastAsia="en-AU"/>
        </w:rPr>
        <w:t>Canadian Council of Ministers of the Environment</w:t>
      </w:r>
      <w:r w:rsidRPr="00674982">
        <w:rPr>
          <w:rFonts w:eastAsia="Times New Roman" w:cstheme="minorHAnsi"/>
          <w:lang w:eastAsia="en-AU"/>
        </w:rPr>
        <w:t>.</w:t>
      </w:r>
    </w:p>
    <w:p w14:paraId="733828EC" w14:textId="77777777" w:rsidR="002056DA" w:rsidRPr="00674982" w:rsidRDefault="002056DA" w:rsidP="002056DA">
      <w:pPr>
        <w:pStyle w:val="Bibliography"/>
        <w:spacing w:line="240" w:lineRule="auto"/>
        <w:ind w:left="0" w:firstLine="0"/>
        <w:rPr>
          <w:rFonts w:cs="Arial"/>
        </w:rPr>
      </w:pPr>
      <w:r w:rsidRPr="00674982">
        <w:rPr>
          <w:rFonts w:eastAsia="Times New Roman" w:cstheme="minorHAnsi"/>
          <w:lang w:eastAsia="en-AU"/>
        </w:rPr>
        <w:t xml:space="preserve">CCME </w:t>
      </w:r>
      <w:r w:rsidRPr="00674982">
        <w:rPr>
          <w:rFonts w:cs="Arial"/>
        </w:rPr>
        <w:t xml:space="preserve">2009, </w:t>
      </w:r>
      <w:r w:rsidRPr="00674982">
        <w:rPr>
          <w:rFonts w:cs="Arial"/>
          <w:i/>
          <w:iCs/>
        </w:rPr>
        <w:t>Canadian Water Quality Guidelines for the Protection of Agricultural Water Uses</w:t>
      </w:r>
      <w:r w:rsidRPr="00674982">
        <w:rPr>
          <w:rFonts w:cs="Arial"/>
        </w:rPr>
        <w:t>, Canadian Council of Ministers of the Environment. http://ceqg-rcqe.ccme.ca/, Canada.</w:t>
      </w:r>
    </w:p>
    <w:p w14:paraId="4C86D6F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CCME (2018) ‘Canadian Soil Quality Guidelines for the Protection of Environmental and Human Health. Most recent update 2018</w:t>
      </w:r>
      <w:r w:rsidRPr="00674982">
        <w:rPr>
          <w:rFonts w:eastAsia="Times New Roman" w:cstheme="minorHAnsi"/>
          <w:i/>
          <w:iCs/>
          <w:lang w:eastAsia="en-AU"/>
        </w:rPr>
        <w:t>’</w:t>
      </w:r>
      <w:r w:rsidRPr="00674982">
        <w:rPr>
          <w:rFonts w:eastAsia="Times New Roman" w:cstheme="minorHAnsi"/>
          <w:lang w:eastAsia="en-AU"/>
        </w:rPr>
        <w:t xml:space="preserve"> </w:t>
      </w:r>
      <w:r w:rsidRPr="00674982">
        <w:rPr>
          <w:rFonts w:eastAsia="Times New Roman" w:cstheme="minorHAnsi"/>
          <w:i/>
          <w:iCs/>
          <w:lang w:eastAsia="en-AU"/>
        </w:rPr>
        <w:t>Canadian Council of Ministers of the Environment. http://ceqg-rcqe.ccme.ca/, Winnipeg, MB,Canada, viewed 9 March 2021</w:t>
      </w:r>
      <w:r w:rsidRPr="00674982">
        <w:rPr>
          <w:rFonts w:eastAsia="Times New Roman" w:cstheme="minorHAnsi"/>
          <w:lang w:eastAsia="en-AU"/>
        </w:rPr>
        <w:t>, &lt;</w:t>
      </w:r>
      <w:hyperlink r:id="rId68" w:history="1">
        <w:r w:rsidRPr="00674982">
          <w:rPr>
            <w:rFonts w:eastAsia="Times New Roman" w:cstheme="minorHAnsi"/>
            <w:color w:val="0000FF"/>
            <w:u w:val="single"/>
            <w:lang w:eastAsia="en-AU"/>
          </w:rPr>
          <w:t>http://ceqg-rcqe.ccme.ca/</w:t>
        </w:r>
      </w:hyperlink>
      <w:r w:rsidRPr="00674982">
        <w:rPr>
          <w:rFonts w:eastAsia="Times New Roman" w:cstheme="minorHAnsi"/>
          <w:lang w:eastAsia="en-AU"/>
        </w:rPr>
        <w:t>&gt;.</w:t>
      </w:r>
    </w:p>
    <w:p w14:paraId="6BF113C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CCME (2021) ‘Canadian Water Quality Guidelines for the Protection of Agricultural Water Uses (Irrigation and Livestock Water)</w:t>
      </w:r>
      <w:r w:rsidRPr="00674982">
        <w:rPr>
          <w:rFonts w:eastAsia="Times New Roman" w:cstheme="minorHAnsi"/>
          <w:i/>
          <w:iCs/>
          <w:lang w:eastAsia="en-AU"/>
        </w:rPr>
        <w:t>’</w:t>
      </w:r>
      <w:r w:rsidRPr="00674982">
        <w:rPr>
          <w:rFonts w:eastAsia="Times New Roman" w:cstheme="minorHAnsi"/>
          <w:lang w:eastAsia="en-AU"/>
        </w:rPr>
        <w:t xml:space="preserve"> </w:t>
      </w:r>
      <w:r w:rsidRPr="00674982">
        <w:rPr>
          <w:rFonts w:eastAsia="Times New Roman" w:cstheme="minorHAnsi"/>
          <w:i/>
          <w:iCs/>
          <w:lang w:eastAsia="en-AU"/>
        </w:rPr>
        <w:t>Canadian Council of Ministers of the Environment, Winnipeg, MB, Canada, viewed 9 March 2021</w:t>
      </w:r>
      <w:r w:rsidRPr="00674982">
        <w:rPr>
          <w:rFonts w:eastAsia="Times New Roman" w:cstheme="minorHAnsi"/>
          <w:lang w:eastAsia="en-AU"/>
        </w:rPr>
        <w:t>, &lt;</w:t>
      </w:r>
      <w:hyperlink r:id="rId69" w:anchor="void" w:history="1">
        <w:r w:rsidRPr="00674982">
          <w:rPr>
            <w:rFonts w:eastAsia="Times New Roman" w:cstheme="minorHAnsi"/>
            <w:color w:val="0000FF"/>
            <w:u w:val="single"/>
            <w:lang w:eastAsia="en-AU"/>
          </w:rPr>
          <w:t>https://ccme.ca/en/summary-table#void</w:t>
        </w:r>
      </w:hyperlink>
      <w:r w:rsidRPr="00674982">
        <w:rPr>
          <w:rFonts w:eastAsia="Times New Roman" w:cstheme="minorHAnsi"/>
          <w:lang w:eastAsia="en-AU"/>
        </w:rPr>
        <w:t>&gt;.</w:t>
      </w:r>
    </w:p>
    <w:p w14:paraId="1A916C0D" w14:textId="77777777" w:rsidR="002056DA" w:rsidRPr="00674982" w:rsidRDefault="002056DA" w:rsidP="002056DA">
      <w:pPr>
        <w:pStyle w:val="Bibliography"/>
        <w:spacing w:line="240" w:lineRule="auto"/>
        <w:ind w:left="0" w:firstLine="0"/>
        <w:rPr>
          <w:rFonts w:cs="Arial"/>
        </w:rPr>
      </w:pPr>
      <w:r w:rsidRPr="00674982">
        <w:rPr>
          <w:rFonts w:cs="Arial"/>
        </w:rPr>
        <w:t xml:space="preserve">CCREM (1987) ‘Canadian water quality guidelines’ </w:t>
      </w:r>
      <w:r w:rsidRPr="00674982">
        <w:rPr>
          <w:rFonts w:cs="Arial"/>
          <w:i/>
          <w:iCs/>
        </w:rPr>
        <w:t>Canadian Council of Resource and Environment Ministers, Inland Water Directorate, Environment Canada, Ottawa</w:t>
      </w:r>
      <w:r w:rsidRPr="00674982">
        <w:rPr>
          <w:rFonts w:cs="Arial"/>
        </w:rPr>
        <w:t>.</w:t>
      </w:r>
    </w:p>
    <w:p w14:paraId="57EAFAC6" w14:textId="77777777" w:rsidR="002056DA" w:rsidRPr="00674982" w:rsidRDefault="002056DA" w:rsidP="002056DA">
      <w:pPr>
        <w:spacing w:line="240" w:lineRule="auto"/>
      </w:pPr>
      <w:r w:rsidRPr="00674982">
        <w:t xml:space="preserve">Chapman HD (ed) (1966) ‘Diagnostic criteria for plant and soils’ </w:t>
      </w:r>
      <w:r w:rsidRPr="00674982">
        <w:rPr>
          <w:i/>
          <w:iCs/>
        </w:rPr>
        <w:t>University of California, Berkeley</w:t>
      </w:r>
      <w:r w:rsidRPr="00674982">
        <w:t>.</w:t>
      </w:r>
    </w:p>
    <w:p w14:paraId="6CA365C7" w14:textId="77777777" w:rsidR="002056DA" w:rsidRPr="00674982" w:rsidRDefault="002056DA" w:rsidP="002056DA">
      <w:pPr>
        <w:spacing w:line="240" w:lineRule="auto"/>
      </w:pPr>
      <w:r w:rsidRPr="00674982">
        <w:t xml:space="preserve">Chaudri AM, McGrath SP, Giller KE, Reitz E and Sauerbeck DR (1993) ‘Enumeration of indigenous </w:t>
      </w:r>
      <w:r w:rsidRPr="00674982">
        <w:rPr>
          <w:i/>
          <w:iCs/>
        </w:rPr>
        <w:t>Rhizobium leguminosarum</w:t>
      </w:r>
      <w:r w:rsidRPr="00674982">
        <w:t xml:space="preserve"> biovar </w:t>
      </w:r>
      <w:r w:rsidRPr="00674982">
        <w:rPr>
          <w:i/>
          <w:iCs/>
        </w:rPr>
        <w:t xml:space="preserve">trifolii </w:t>
      </w:r>
      <w:r w:rsidRPr="00674982">
        <w:t xml:space="preserve">in soils previously treated with metal contaminated sewage sludge’, </w:t>
      </w:r>
      <w:r w:rsidRPr="00674982">
        <w:rPr>
          <w:i/>
          <w:iCs/>
        </w:rPr>
        <w:t>Soil Biology and Biochemistry</w:t>
      </w:r>
      <w:r w:rsidRPr="00674982">
        <w:t>, 25</w:t>
      </w:r>
      <w:r>
        <w:t>:</w:t>
      </w:r>
      <w:r w:rsidRPr="00674982">
        <w:t>301–309.</w:t>
      </w:r>
    </w:p>
    <w:p w14:paraId="53847A0E" w14:textId="77777777" w:rsidR="002056DA" w:rsidRPr="00674982" w:rsidRDefault="002056DA" w:rsidP="002056DA">
      <w:pPr>
        <w:spacing w:line="240" w:lineRule="auto"/>
      </w:pPr>
      <w:r w:rsidRPr="00674982">
        <w:t xml:space="preserve">Chen J, Song L, Dai J, Gan N, and Liu Z (2004) ‘Effects of microcystins on the growth and the activity of superoxide dismutase and peroxidase of rape (Brassica napus L.) and rice (Oryza sativa L’, </w:t>
      </w:r>
      <w:r w:rsidRPr="00674982">
        <w:rPr>
          <w:i/>
          <w:iCs/>
        </w:rPr>
        <w:t>Toxicon</w:t>
      </w:r>
      <w:r>
        <w:t xml:space="preserve">, </w:t>
      </w:r>
      <w:r w:rsidRPr="00674982">
        <w:t>43</w:t>
      </w:r>
      <w:r>
        <w:t>(</w:t>
      </w:r>
      <w:r w:rsidRPr="00674982">
        <w:t>4</w:t>
      </w:r>
      <w:r>
        <w:t>):</w:t>
      </w:r>
      <w:r w:rsidRPr="00674982">
        <w:t xml:space="preserve">393–400. </w:t>
      </w:r>
    </w:p>
    <w:p w14:paraId="1C4B412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Chen Z, Ngo HH and Guo W (2012) ‘A critical review on sustainability assessment of recycled water schemes’, </w:t>
      </w:r>
      <w:r w:rsidRPr="00674982">
        <w:rPr>
          <w:rFonts w:eastAsia="Times New Roman" w:cstheme="minorHAnsi"/>
          <w:i/>
          <w:iCs/>
          <w:lang w:eastAsia="en-AU"/>
        </w:rPr>
        <w:t>Science of the Total Environment</w:t>
      </w:r>
      <w:r w:rsidRPr="00674982">
        <w:rPr>
          <w:rFonts w:eastAsia="Times New Roman" w:cstheme="minorHAnsi"/>
          <w:lang w:eastAsia="en-AU"/>
        </w:rPr>
        <w:t>, 426</w:t>
      </w:r>
      <w:r>
        <w:rPr>
          <w:rFonts w:eastAsia="Times New Roman" w:cstheme="minorHAnsi"/>
          <w:lang w:eastAsia="en-AU"/>
        </w:rPr>
        <w:t>:</w:t>
      </w:r>
      <w:r w:rsidRPr="00674982">
        <w:rPr>
          <w:rFonts w:eastAsia="Times New Roman" w:cstheme="minorHAnsi"/>
          <w:lang w:eastAsia="en-AU"/>
        </w:rPr>
        <w:t>13–31.</w:t>
      </w:r>
    </w:p>
    <w:p w14:paraId="0E10503D"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Child D and Hochkis M (2013) ‘Plutonium and uranium contamination in soils from former nuclear weapon test sites in Australia’ </w:t>
      </w:r>
      <w:r w:rsidRPr="00674982">
        <w:rPr>
          <w:rFonts w:eastAsia="Times New Roman" w:cstheme="minorHAnsi"/>
          <w:i/>
          <w:iCs/>
          <w:lang w:eastAsia="en-AU"/>
        </w:rPr>
        <w:t>Nuclear Instruments and Methods in Physics Research Section B-Beam Interactions with Materials and Atoms</w:t>
      </w:r>
      <w:r w:rsidRPr="00674982">
        <w:rPr>
          <w:rFonts w:eastAsia="Times New Roman" w:cstheme="minorHAnsi"/>
          <w:lang w:eastAsia="en-AU"/>
        </w:rPr>
        <w:t>, 294</w:t>
      </w:r>
      <w:r>
        <w:rPr>
          <w:rFonts w:eastAsia="Times New Roman" w:cstheme="minorHAnsi"/>
          <w:lang w:eastAsia="en-AU"/>
        </w:rPr>
        <w:t>:</w:t>
      </w:r>
      <w:r w:rsidRPr="00674982">
        <w:rPr>
          <w:rFonts w:eastAsia="Times New Roman" w:cstheme="minorHAnsi"/>
          <w:lang w:eastAsia="en-AU"/>
        </w:rPr>
        <w:t>642–646.</w:t>
      </w:r>
    </w:p>
    <w:p w14:paraId="22E2F56D" w14:textId="77777777" w:rsidR="002056DA" w:rsidRPr="00674982" w:rsidRDefault="002056DA" w:rsidP="002056DA">
      <w:pPr>
        <w:spacing w:line="240" w:lineRule="auto"/>
        <w:rPr>
          <w:i/>
          <w:iCs/>
        </w:rPr>
      </w:pPr>
      <w:r w:rsidRPr="00674982">
        <w:t xml:space="preserve">Chorus I and Welker M (2021) ‘Toxic Cyanobacteria in Water’ </w:t>
      </w:r>
      <w:r w:rsidRPr="00674982">
        <w:rPr>
          <w:i/>
          <w:iCs/>
        </w:rPr>
        <w:t>2nd edition. CRC Press, Boca Raton (FL), on behalf of the World Health Organization, Geneva, CH.</w:t>
      </w:r>
    </w:p>
    <w:p w14:paraId="77EE1216" w14:textId="77777777" w:rsidR="002056DA" w:rsidRPr="00674982" w:rsidRDefault="002056DA" w:rsidP="002056DA">
      <w:pPr>
        <w:spacing w:line="240" w:lineRule="auto"/>
      </w:pPr>
      <w:r w:rsidRPr="00674982">
        <w:t xml:space="preserve">Cirés S, Alvarez-Roa C, Wood SA, Puddick J, Loza V and Heimann K (2014) ‘First report of microcystin-producing Fischerella sp. (Stigonematales, Cyanobacteria) in tropical Australia’ </w:t>
      </w:r>
      <w:r w:rsidRPr="00674982">
        <w:rPr>
          <w:i/>
          <w:iCs/>
        </w:rPr>
        <w:t>Toxicon</w:t>
      </w:r>
      <w:r w:rsidRPr="00674982">
        <w:t>., 88</w:t>
      </w:r>
      <w:r>
        <w:t>:</w:t>
      </w:r>
      <w:r w:rsidRPr="00674982">
        <w:t>62–66.</w:t>
      </w:r>
    </w:p>
    <w:p w14:paraId="0338DEBE" w14:textId="77777777" w:rsidR="002056DA" w:rsidRPr="00674982" w:rsidRDefault="002056DA" w:rsidP="002056DA">
      <w:pPr>
        <w:spacing w:line="240" w:lineRule="auto"/>
        <w:rPr>
          <w:rFonts w:cstheme="minorHAnsi"/>
        </w:rPr>
      </w:pPr>
      <w:r w:rsidRPr="00674982">
        <w:rPr>
          <w:rFonts w:cstheme="minorHAnsi"/>
          <w:color w:val="222222"/>
          <w:shd w:val="clear" w:color="auto" w:fill="FFFFFF"/>
        </w:rPr>
        <w:t>Codd GA, Metcalf JS and Beattie KA (1999) ‘Retention of Microcystis aeruginosa and microcystin by salad lettuce (Lactuca sativa) after spray irrigation with water containing cyanobacteria’</w:t>
      </w:r>
      <w:r w:rsidRPr="00674982">
        <w:rPr>
          <w:rFonts w:cstheme="minorHAnsi"/>
          <w:i/>
          <w:iCs/>
          <w:color w:val="222222"/>
          <w:shd w:val="clear" w:color="auto" w:fill="FFFFFF"/>
        </w:rPr>
        <w:t>Toxicon</w:t>
      </w:r>
      <w:r w:rsidRPr="00674982">
        <w:rPr>
          <w:rFonts w:cstheme="minorHAnsi"/>
          <w:color w:val="222222"/>
          <w:shd w:val="clear" w:color="auto" w:fill="FFFFFF"/>
        </w:rPr>
        <w:t xml:space="preserve">, </w:t>
      </w:r>
      <w:r w:rsidRPr="00767AFF">
        <w:rPr>
          <w:rFonts w:cstheme="minorHAnsi"/>
          <w:color w:val="222222"/>
          <w:shd w:val="clear" w:color="auto" w:fill="FFFFFF"/>
        </w:rPr>
        <w:t>37(</w:t>
      </w:r>
      <w:r w:rsidRPr="00674982">
        <w:rPr>
          <w:rFonts w:cstheme="minorHAnsi"/>
          <w:color w:val="222222"/>
          <w:shd w:val="clear" w:color="auto" w:fill="FFFFFF"/>
        </w:rPr>
        <w:t>8</w:t>
      </w:r>
      <w:r>
        <w:rPr>
          <w:rFonts w:cstheme="minorHAnsi"/>
          <w:color w:val="222222"/>
          <w:shd w:val="clear" w:color="auto" w:fill="FFFFFF"/>
        </w:rPr>
        <w:t>):</w:t>
      </w:r>
      <w:r w:rsidRPr="00674982">
        <w:rPr>
          <w:rFonts w:cstheme="minorHAnsi"/>
          <w:color w:val="222222"/>
          <w:shd w:val="clear" w:color="auto" w:fill="FFFFFF"/>
        </w:rPr>
        <w:t>1181-1185.</w:t>
      </w:r>
    </w:p>
    <w:p w14:paraId="37C5BF2B"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lastRenderedPageBreak/>
        <w:t xml:space="preserve">Coli M, Pezzini Rangel A, Silva Souza E, Ferraro Oliveira M and Nascimento Chiaradia A (2015) ‘Chloride concentration in red wines: influence of terroir and grape type.’, </w:t>
      </w:r>
      <w:r w:rsidRPr="00674982">
        <w:rPr>
          <w:rFonts w:eastAsia="Times New Roman" w:cstheme="minorHAnsi"/>
          <w:i/>
          <w:iCs/>
          <w:lang w:eastAsia="en-AU"/>
        </w:rPr>
        <w:t>Food Science and Technology</w:t>
      </w:r>
      <w:r w:rsidRPr="00674982">
        <w:rPr>
          <w:rFonts w:eastAsia="Times New Roman" w:cstheme="minorHAnsi"/>
          <w:lang w:eastAsia="en-AU"/>
        </w:rPr>
        <w:t>, 35</w:t>
      </w:r>
      <w:r>
        <w:rPr>
          <w:rFonts w:eastAsia="Times New Roman" w:cstheme="minorHAnsi"/>
          <w:lang w:eastAsia="en-AU"/>
        </w:rPr>
        <w:t>(</w:t>
      </w:r>
      <w:r w:rsidRPr="00674982">
        <w:rPr>
          <w:rFonts w:eastAsia="Times New Roman" w:cstheme="minorHAnsi"/>
          <w:lang w:eastAsia="en-AU"/>
        </w:rPr>
        <w:t>1</w:t>
      </w:r>
      <w:r>
        <w:rPr>
          <w:rFonts w:eastAsia="Times New Roman" w:cstheme="minorHAnsi"/>
          <w:lang w:eastAsia="en-AU"/>
        </w:rPr>
        <w:t>):</w:t>
      </w:r>
      <w:r w:rsidRPr="00674982">
        <w:rPr>
          <w:rFonts w:eastAsia="Times New Roman" w:cstheme="minorHAnsi"/>
          <w:lang w:eastAsia="en-AU"/>
        </w:rPr>
        <w:t>95–99.</w:t>
      </w:r>
    </w:p>
    <w:p w14:paraId="3843AB8B" w14:textId="77777777" w:rsidR="002056DA" w:rsidRPr="00674982" w:rsidRDefault="002056DA" w:rsidP="002056DA">
      <w:pPr>
        <w:spacing w:line="240" w:lineRule="auto"/>
        <w:rPr>
          <w:i/>
          <w:iCs/>
        </w:rPr>
      </w:pPr>
      <w:r w:rsidRPr="00674982">
        <w:t xml:space="preserve">Cooper B, Jones G, Burch M and Davis R (1996) ‘Agricultural chemicals and algal toxins: emerging water quality issues. In Managing Australia’s inland waters’ </w:t>
      </w:r>
      <w:r w:rsidRPr="00674982">
        <w:rPr>
          <w:i/>
          <w:iCs/>
        </w:rPr>
        <w:t>Department of Industry, Science and Tourism, Canberra.</w:t>
      </w:r>
    </w:p>
    <w:p w14:paraId="1718B297"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Corbel S, Mougin C and Bouaïcha N (2014) ‘Cyanobacterial toxins: Modes of actions, fate in aquatic and soil ecosystems, phytotoxicity and bioaccumulation in agricultural crops’ </w:t>
      </w:r>
      <w:r w:rsidRPr="00674982">
        <w:rPr>
          <w:rFonts w:eastAsia="Times New Roman" w:cstheme="minorHAnsi"/>
          <w:i/>
          <w:iCs/>
          <w:lang w:eastAsia="en-AU"/>
        </w:rPr>
        <w:t>Chemosphere</w:t>
      </w:r>
      <w:r w:rsidRPr="00674982">
        <w:rPr>
          <w:rFonts w:eastAsia="Times New Roman" w:cstheme="minorHAnsi"/>
          <w:lang w:eastAsia="en-AU"/>
        </w:rPr>
        <w:t>, 96</w:t>
      </w:r>
      <w:r>
        <w:rPr>
          <w:rFonts w:eastAsia="Times New Roman" w:cstheme="minorHAnsi"/>
          <w:lang w:eastAsia="en-AU"/>
        </w:rPr>
        <w:t>:</w:t>
      </w:r>
      <w:r w:rsidRPr="00674982">
        <w:rPr>
          <w:rFonts w:eastAsia="Times New Roman" w:cstheme="minorHAnsi"/>
          <w:lang w:eastAsia="en-AU"/>
        </w:rPr>
        <w:t>1–15.</w:t>
      </w:r>
    </w:p>
    <w:p w14:paraId="2987FC16"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Corbel S, Mougin C, Nélieu S, Delarue G and Bouaïcha N (2016) ‘Evaluation of the transfer and the accumulation of microcystins in tomato (Solanum lycopersicum cultivar MicroTom) tissues using a cyanobacterial extract containing microcystins and the radiolabeled microcystin-LR (14C-MC-LR)’, </w:t>
      </w:r>
      <w:r w:rsidRPr="00674982">
        <w:rPr>
          <w:rFonts w:eastAsia="Times New Roman" w:cstheme="minorHAnsi"/>
          <w:i/>
          <w:iCs/>
          <w:lang w:eastAsia="en-AU"/>
        </w:rPr>
        <w:t>Science of The Total Environment</w:t>
      </w:r>
      <w:r w:rsidRPr="00674982">
        <w:rPr>
          <w:rFonts w:eastAsia="Times New Roman" w:cstheme="minorHAnsi"/>
          <w:lang w:eastAsia="en-AU"/>
        </w:rPr>
        <w:t>, 541</w:t>
      </w:r>
      <w:r>
        <w:rPr>
          <w:rFonts w:eastAsia="Times New Roman" w:cstheme="minorHAnsi"/>
          <w:lang w:eastAsia="en-AU"/>
        </w:rPr>
        <w:t>:</w:t>
      </w:r>
      <w:r w:rsidRPr="00674982">
        <w:rPr>
          <w:rFonts w:eastAsia="Times New Roman" w:cstheme="minorHAnsi"/>
          <w:lang w:eastAsia="en-AU"/>
        </w:rPr>
        <w:t>1052–1058.</w:t>
      </w:r>
    </w:p>
    <w:p w14:paraId="60DE986E" w14:textId="77777777" w:rsidR="002056DA" w:rsidRPr="00674982" w:rsidRDefault="002056DA" w:rsidP="002056DA">
      <w:pPr>
        <w:spacing w:line="240" w:lineRule="auto"/>
      </w:pPr>
      <w:r w:rsidRPr="00674982">
        <w:t xml:space="preserve">Cordeiro-Araújo MK, Chia MA, Arruda-Neto JD, Tornisielo VL, Vilca FZ, and Bittencourt-Oliveira Mdo C (2016) ‘Microcystin-LR bioaccumulation and depuration kinetics in lettuce and arugula: Human health risk assessment’ </w:t>
      </w:r>
      <w:r w:rsidRPr="00674982">
        <w:rPr>
          <w:i/>
          <w:iCs/>
        </w:rPr>
        <w:t>Science. Total. Environment</w:t>
      </w:r>
      <w:r w:rsidRPr="00674982">
        <w:t>, 566–567</w:t>
      </w:r>
      <w:r>
        <w:t>:</w:t>
      </w:r>
      <w:r w:rsidRPr="00674982">
        <w:t>1379–1386. doi: 10.1016/j.scitotenv.2016.05.204</w:t>
      </w:r>
    </w:p>
    <w:p w14:paraId="568A95E4"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Cordeiro-Araújo MK, Chia MA and Bittencourt-Oliveira MC (2017) ‘Potential human health risk assessment of cylindrospermopsin accumulation and depuration in lettuce and arugula’, </w:t>
      </w:r>
      <w:r w:rsidRPr="00674982">
        <w:rPr>
          <w:rFonts w:eastAsia="Times New Roman" w:cstheme="minorHAnsi"/>
          <w:i/>
          <w:iCs/>
          <w:lang w:eastAsia="en-AU"/>
        </w:rPr>
        <w:t>Harmful Algae</w:t>
      </w:r>
      <w:r w:rsidRPr="00674982">
        <w:rPr>
          <w:rFonts w:eastAsia="Times New Roman" w:cstheme="minorHAnsi"/>
          <w:lang w:eastAsia="en-AU"/>
        </w:rPr>
        <w:t>, 68</w:t>
      </w:r>
      <w:r>
        <w:rPr>
          <w:rFonts w:eastAsia="Times New Roman" w:cstheme="minorHAnsi"/>
          <w:lang w:eastAsia="en-AU"/>
        </w:rPr>
        <w:t>:</w:t>
      </w:r>
      <w:r w:rsidRPr="00674982">
        <w:rPr>
          <w:rFonts w:eastAsia="Times New Roman" w:cstheme="minorHAnsi"/>
          <w:lang w:eastAsia="en-AU"/>
        </w:rPr>
        <w:t>217–223.</w:t>
      </w:r>
    </w:p>
    <w:p w14:paraId="1DA5352E" w14:textId="77777777" w:rsidR="002056DA" w:rsidRPr="00674982" w:rsidRDefault="002056DA" w:rsidP="002056DA">
      <w:pPr>
        <w:spacing w:line="240" w:lineRule="auto"/>
      </w:pPr>
      <w:r w:rsidRPr="00674982">
        <w:t xml:space="preserve">Correll DL (1998) ‘The role of phosphorus in the eutrophication of receiving waters — a review’, </w:t>
      </w:r>
      <w:r w:rsidRPr="00674982">
        <w:rPr>
          <w:i/>
          <w:iCs/>
        </w:rPr>
        <w:t>Journal of Environmental Quality</w:t>
      </w:r>
      <w:r w:rsidRPr="00674982">
        <w:t>, 27</w:t>
      </w:r>
      <w:r>
        <w:t>:</w:t>
      </w:r>
      <w:r w:rsidRPr="00674982">
        <w:t>261–266.</w:t>
      </w:r>
    </w:p>
    <w:p w14:paraId="65F5E805" w14:textId="77777777" w:rsidR="002056DA" w:rsidRPr="00674982" w:rsidRDefault="002056DA" w:rsidP="002056DA">
      <w:pPr>
        <w:spacing w:line="240" w:lineRule="auto"/>
      </w:pPr>
      <w:r w:rsidRPr="00674982">
        <w:t xml:space="preserve">Crane SR and Moore JA (1986) ‘Modelling enteric bacterial die-off: A review’, </w:t>
      </w:r>
      <w:r w:rsidRPr="00674982">
        <w:rPr>
          <w:i/>
          <w:iCs/>
        </w:rPr>
        <w:t>Water, Air and Soil Pollution</w:t>
      </w:r>
      <w:r w:rsidRPr="00674982">
        <w:t>, 27</w:t>
      </w:r>
      <w:r>
        <w:t>:</w:t>
      </w:r>
      <w:r w:rsidRPr="00674982">
        <w:t>411–439.</w:t>
      </w:r>
    </w:p>
    <w:p w14:paraId="25D2FE81" w14:textId="77777777" w:rsidR="002056DA" w:rsidRPr="00674982" w:rsidRDefault="002056DA" w:rsidP="002056DA">
      <w:pPr>
        <w:spacing w:line="240" w:lineRule="auto"/>
      </w:pPr>
      <w:r w:rsidRPr="00674982">
        <w:t xml:space="preserve">Crolet JL (1983) ‘Acid corrosion in wells (CO2, H2S): Metallurgical aspects’, </w:t>
      </w:r>
      <w:r w:rsidRPr="00674982">
        <w:rPr>
          <w:i/>
          <w:iCs/>
        </w:rPr>
        <w:t>Journal of Petroleum Technology,</w:t>
      </w:r>
      <w:r w:rsidRPr="00674982">
        <w:t xml:space="preserve"> 35</w:t>
      </w:r>
      <w:r>
        <w:t>(</w:t>
      </w:r>
      <w:r w:rsidRPr="00674982">
        <w:t>9</w:t>
      </w:r>
      <w:r>
        <w:t>):</w:t>
      </w:r>
      <w:r w:rsidRPr="00674982">
        <w:t>1553–1558.</w:t>
      </w:r>
    </w:p>
    <w:p w14:paraId="2A7A69EA"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Crush JR, Briggs LR, Sprosen JM and Nichols SN (2008) ‘Effect of irrigation with lake water containing microcystins on microcystin content and growth of ryegrass, clover, rape, and lettuce’, </w:t>
      </w:r>
      <w:r w:rsidRPr="00674982">
        <w:rPr>
          <w:rFonts w:eastAsia="Times New Roman" w:cstheme="minorHAnsi"/>
          <w:i/>
          <w:iCs/>
          <w:lang w:eastAsia="en-AU"/>
        </w:rPr>
        <w:t>Environmental Toxicology</w:t>
      </w:r>
      <w:r w:rsidRPr="00674982">
        <w:rPr>
          <w:rFonts w:eastAsia="Times New Roman" w:cstheme="minorHAnsi"/>
          <w:lang w:eastAsia="en-AU"/>
        </w:rPr>
        <w:t>, 23</w:t>
      </w:r>
      <w:r>
        <w:rPr>
          <w:rFonts w:eastAsia="Times New Roman" w:cstheme="minorHAnsi"/>
          <w:lang w:eastAsia="en-AU"/>
        </w:rPr>
        <w:t>(</w:t>
      </w:r>
      <w:r w:rsidRPr="00674982">
        <w:rPr>
          <w:rFonts w:eastAsia="Times New Roman" w:cstheme="minorHAnsi"/>
          <w:lang w:eastAsia="en-AU"/>
        </w:rPr>
        <w:t>2</w:t>
      </w:r>
      <w:r>
        <w:rPr>
          <w:rFonts w:eastAsia="Times New Roman" w:cstheme="minorHAnsi"/>
          <w:lang w:eastAsia="en-AU"/>
        </w:rPr>
        <w:t>):</w:t>
      </w:r>
      <w:r w:rsidRPr="00674982">
        <w:rPr>
          <w:rFonts w:eastAsia="Times New Roman" w:cstheme="minorHAnsi"/>
          <w:lang w:eastAsia="en-AU"/>
        </w:rPr>
        <w:t>246–252.</w:t>
      </w:r>
    </w:p>
    <w:p w14:paraId="353E01B0" w14:textId="77777777" w:rsidR="002056DA" w:rsidRPr="00674982" w:rsidRDefault="002056DA" w:rsidP="002056DA">
      <w:pPr>
        <w:spacing w:line="240" w:lineRule="auto"/>
      </w:pPr>
      <w:r w:rsidRPr="00674982">
        <w:t xml:space="preserve">Cullimore DR (1992) ‘Practical manual of groundwater microbiology’ </w:t>
      </w:r>
      <w:r w:rsidRPr="00674982">
        <w:rPr>
          <w:i/>
          <w:iCs/>
        </w:rPr>
        <w:t>Lewis Publishers, London</w:t>
      </w:r>
      <w:r w:rsidRPr="00674982">
        <w:t>.</w:t>
      </w:r>
    </w:p>
    <w:p w14:paraId="26D381F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Dahlin, AS, Eriksson, J, Campbell, CD and Öborn, I 2016, ‘Soil amendment affects Cd uptake by wheat — are we underestimating the risks from chloride inputs?’, </w:t>
      </w:r>
      <w:r w:rsidRPr="00674982">
        <w:rPr>
          <w:rFonts w:eastAsia="Times New Roman" w:cstheme="minorHAnsi"/>
          <w:i/>
          <w:iCs/>
          <w:lang w:eastAsia="en-AU"/>
        </w:rPr>
        <w:t>Science of The Total Environment</w:t>
      </w:r>
      <w:r w:rsidRPr="00674982">
        <w:rPr>
          <w:rFonts w:eastAsia="Times New Roman" w:cstheme="minorHAnsi"/>
          <w:lang w:eastAsia="en-AU"/>
        </w:rPr>
        <w:t>, 554–555</w:t>
      </w:r>
      <w:r>
        <w:rPr>
          <w:rFonts w:eastAsia="Times New Roman" w:cstheme="minorHAnsi"/>
          <w:lang w:eastAsia="en-AU"/>
        </w:rPr>
        <w:t>:</w:t>
      </w:r>
      <w:r w:rsidRPr="00674982">
        <w:rPr>
          <w:rFonts w:eastAsia="Times New Roman" w:cstheme="minorHAnsi"/>
          <w:lang w:eastAsia="en-AU"/>
        </w:rPr>
        <w:t>349–357.</w:t>
      </w:r>
    </w:p>
    <w:p w14:paraId="1B2D05EC" w14:textId="77777777" w:rsidR="002056DA" w:rsidRPr="00674982" w:rsidRDefault="002056DA" w:rsidP="002056DA">
      <w:pPr>
        <w:spacing w:line="240" w:lineRule="auto"/>
      </w:pPr>
      <w:r w:rsidRPr="00674982">
        <w:t xml:space="preserve">Daniel TC, Sharpley AN and Lemunyon JL (1998) ‘Agricultural phosphorus and eutrophication: a symposium overview’, </w:t>
      </w:r>
      <w:r w:rsidRPr="00674982">
        <w:rPr>
          <w:i/>
          <w:iCs/>
        </w:rPr>
        <w:t>Journal of Environmental Quality,</w:t>
      </w:r>
      <w:r w:rsidRPr="00674982">
        <w:t xml:space="preserve"> 27</w:t>
      </w:r>
      <w:r>
        <w:t>:</w:t>
      </w:r>
      <w:r w:rsidRPr="00674982">
        <w:t>251–257.</w:t>
      </w:r>
    </w:p>
    <w:p w14:paraId="2948DC84"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Daniells IG, Holland JF, Young RR, Alston CL and Bernardi AL (2001) ‘Relationship between yield of grain sorghum (Sorghum bicolor) and soil salinity under field conditions’, </w:t>
      </w:r>
      <w:r w:rsidRPr="00674982">
        <w:rPr>
          <w:rFonts w:eastAsia="Times New Roman" w:cstheme="minorHAnsi"/>
          <w:i/>
          <w:iCs/>
          <w:lang w:eastAsia="en-AU"/>
        </w:rPr>
        <w:t>Australian Journal of Experimental Agriculture</w:t>
      </w:r>
      <w:r w:rsidRPr="00674982">
        <w:rPr>
          <w:rFonts w:eastAsia="Times New Roman" w:cstheme="minorHAnsi"/>
          <w:lang w:eastAsia="en-AU"/>
        </w:rPr>
        <w:t>, 41</w:t>
      </w:r>
      <w:r>
        <w:rPr>
          <w:rFonts w:eastAsia="Times New Roman" w:cstheme="minorHAnsi"/>
          <w:lang w:eastAsia="en-AU"/>
        </w:rPr>
        <w:t>(</w:t>
      </w:r>
      <w:r w:rsidRPr="00674982">
        <w:rPr>
          <w:rFonts w:eastAsia="Times New Roman" w:cstheme="minorHAnsi"/>
          <w:lang w:eastAsia="en-AU"/>
        </w:rPr>
        <w:t>2</w:t>
      </w:r>
      <w:r>
        <w:rPr>
          <w:rFonts w:eastAsia="Times New Roman" w:cstheme="minorHAnsi"/>
          <w:lang w:eastAsia="en-AU"/>
        </w:rPr>
        <w:t>):</w:t>
      </w:r>
      <w:r w:rsidRPr="00674982">
        <w:rPr>
          <w:rFonts w:eastAsia="Times New Roman" w:cstheme="minorHAnsi"/>
          <w:lang w:eastAsia="en-AU"/>
        </w:rPr>
        <w:t>211–217.</w:t>
      </w:r>
    </w:p>
    <w:p w14:paraId="6B408D1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de Loryn L, Petrie P, Hasted A, Johnson T, Collins C and Bastian S (2014) ‘Evaluation of Sensory Thresholds and Perception of Sodium Chloride in Grape Juice and Wine’, </w:t>
      </w:r>
      <w:r w:rsidRPr="00674982">
        <w:rPr>
          <w:rFonts w:eastAsia="Times New Roman" w:cstheme="minorHAnsi"/>
          <w:i/>
          <w:iCs/>
          <w:lang w:eastAsia="en-AU"/>
        </w:rPr>
        <w:t>American Journal of Enology and Viticulture</w:t>
      </w:r>
      <w:r w:rsidRPr="00674982">
        <w:rPr>
          <w:rFonts w:eastAsia="Times New Roman" w:cstheme="minorHAnsi"/>
          <w:lang w:eastAsia="en-AU"/>
        </w:rPr>
        <w:t>, 65</w:t>
      </w:r>
      <w:r>
        <w:rPr>
          <w:rFonts w:eastAsia="Times New Roman" w:cstheme="minorHAnsi"/>
          <w:lang w:eastAsia="en-AU"/>
        </w:rPr>
        <w:t>:</w:t>
      </w:r>
      <w:r w:rsidRPr="00674982">
        <w:rPr>
          <w:rFonts w:eastAsia="Times New Roman" w:cstheme="minorHAnsi"/>
          <w:lang w:eastAsia="en-AU"/>
        </w:rPr>
        <w:t>124–133.</w:t>
      </w:r>
    </w:p>
    <w:p w14:paraId="26729795"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lastRenderedPageBreak/>
        <w:t xml:space="preserve">DEC (2012) ‘Western Australian guidelines for biosolids management’ </w:t>
      </w:r>
      <w:r w:rsidRPr="00674982">
        <w:rPr>
          <w:rFonts w:eastAsia="Times New Roman" w:cstheme="minorHAnsi"/>
          <w:i/>
          <w:iCs/>
          <w:lang w:eastAsia="en-AU"/>
        </w:rPr>
        <w:t>Department of Environmental and Conservation, Government of Western Australia., Perth.</w:t>
      </w:r>
    </w:p>
    <w:p w14:paraId="152E075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DEHP Qld (2016) ‘General beneficial use approval for Biosolids Waste Reduction and Recycling Act 2011’ </w:t>
      </w:r>
      <w:r w:rsidRPr="00674982">
        <w:rPr>
          <w:rFonts w:eastAsia="Times New Roman" w:cstheme="minorHAnsi"/>
          <w:i/>
          <w:iCs/>
          <w:lang w:eastAsia="en-AU"/>
        </w:rPr>
        <w:t>Industry and Development Assessment, Environmental Services and Regulation Division, Department of Environment and Heritage Protection, State of Queensland, Queensland, Australia</w:t>
      </w:r>
      <w:r w:rsidRPr="00674982">
        <w:rPr>
          <w:rFonts w:eastAsia="Times New Roman" w:cstheme="minorHAnsi"/>
          <w:lang w:eastAsia="en-AU"/>
        </w:rPr>
        <w:t>.</w:t>
      </w:r>
    </w:p>
    <w:p w14:paraId="21DBA69D" w14:textId="77777777" w:rsidR="002056DA" w:rsidRPr="00674982" w:rsidRDefault="002056DA" w:rsidP="002056DA">
      <w:pPr>
        <w:spacing w:line="240" w:lineRule="auto"/>
      </w:pPr>
      <w:r w:rsidRPr="00674982">
        <w:t>Delas J (1963) ‘La toxicite du cuivre accumul</w:t>
      </w:r>
      <w:r w:rsidRPr="00674982">
        <w:rPr>
          <w:rFonts w:cstheme="minorHAnsi"/>
        </w:rPr>
        <w:t>é</w:t>
      </w:r>
      <w:r w:rsidRPr="00674982">
        <w:t xml:space="preserve"> dans les sols’, </w:t>
      </w:r>
      <w:r w:rsidRPr="00674982">
        <w:rPr>
          <w:i/>
          <w:iCs/>
        </w:rPr>
        <w:t>Agrochimica</w:t>
      </w:r>
      <w:r w:rsidRPr="00674982">
        <w:t>, 7</w:t>
      </w:r>
      <w:r>
        <w:t>:</w:t>
      </w:r>
      <w:r w:rsidRPr="00674982">
        <w:t>258–288.</w:t>
      </w:r>
    </w:p>
    <w:p w14:paraId="02939601" w14:textId="77777777" w:rsidR="002056DA" w:rsidRPr="00674982" w:rsidRDefault="002056DA" w:rsidP="002056DA">
      <w:pPr>
        <w:spacing w:line="240" w:lineRule="auto"/>
        <w:rPr>
          <w:i/>
          <w:iCs/>
        </w:rPr>
      </w:pPr>
      <w:r w:rsidRPr="00674982">
        <w:t xml:space="preserve">Denaro G (1991) ‘An investigation into aggressive CO2 corrosion in the Flinders sub-basin’ </w:t>
      </w:r>
      <w:r w:rsidRPr="00674982">
        <w:rPr>
          <w:i/>
          <w:iCs/>
        </w:rPr>
        <w:t>GCL Report series 8, Queensland Government Chemical Laboratory, Brisbane.</w:t>
      </w:r>
    </w:p>
    <w:p w14:paraId="72EE43FB"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Deng C , Zhang GX, Pan XL and Zhao KY (2010) ‘Chlorophyll fluorescence and gas exchange responses of maize seedlings to saline-alkaline stress’, </w:t>
      </w:r>
      <w:r w:rsidRPr="00674982">
        <w:rPr>
          <w:rFonts w:eastAsia="Times New Roman" w:cstheme="minorHAnsi"/>
          <w:i/>
          <w:iCs/>
          <w:lang w:eastAsia="en-AU"/>
        </w:rPr>
        <w:t>Bulgarian Journal of Agricultural Science</w:t>
      </w:r>
      <w:r w:rsidRPr="00674982">
        <w:rPr>
          <w:rFonts w:eastAsia="Times New Roman" w:cstheme="minorHAnsi"/>
          <w:lang w:eastAsia="en-AU"/>
        </w:rPr>
        <w:t>, 16</w:t>
      </w:r>
      <w:r>
        <w:rPr>
          <w:rFonts w:eastAsia="Times New Roman" w:cstheme="minorHAnsi"/>
          <w:lang w:eastAsia="en-AU"/>
        </w:rPr>
        <w:t>:</w:t>
      </w:r>
      <w:r w:rsidRPr="00674982">
        <w:rPr>
          <w:rFonts w:eastAsia="Times New Roman" w:cstheme="minorHAnsi"/>
          <w:lang w:eastAsia="en-AU"/>
        </w:rPr>
        <w:t>49–58.</w:t>
      </w:r>
    </w:p>
    <w:p w14:paraId="39B2E70D"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Department of Agriculture and Water Resources (2016) ‘Plant diseases – Biosecurity’ </w:t>
      </w:r>
      <w:r w:rsidRPr="00674982">
        <w:rPr>
          <w:rFonts w:eastAsia="Times New Roman" w:cstheme="minorHAnsi"/>
          <w:i/>
          <w:iCs/>
          <w:lang w:eastAsia="en-AU"/>
        </w:rPr>
        <w:t>Australian Government, viewed 24 February 2021,</w:t>
      </w:r>
      <w:r w:rsidRPr="00674982">
        <w:rPr>
          <w:rFonts w:eastAsia="Times New Roman" w:cstheme="minorHAnsi"/>
          <w:lang w:eastAsia="en-AU"/>
        </w:rPr>
        <w:t xml:space="preserve"> &lt;</w:t>
      </w:r>
      <w:hyperlink r:id="rId70" w:history="1">
        <w:r w:rsidRPr="00674982">
          <w:rPr>
            <w:rFonts w:eastAsia="Times New Roman" w:cstheme="minorHAnsi"/>
            <w:color w:val="0000FF"/>
            <w:u w:val="single"/>
            <w:lang w:eastAsia="en-AU"/>
          </w:rPr>
          <w:t>https://www.agriculture.gov.au/import/arrival/pests/plant_diseases</w:t>
        </w:r>
      </w:hyperlink>
      <w:r w:rsidRPr="00674982">
        <w:rPr>
          <w:rFonts w:eastAsia="Times New Roman" w:cstheme="minorHAnsi"/>
          <w:lang w:eastAsia="en-AU"/>
        </w:rPr>
        <w:t>&gt;.</w:t>
      </w:r>
    </w:p>
    <w:p w14:paraId="1F56B9A9"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DERM (2011) ‘Salinity management handbook’ </w:t>
      </w:r>
      <w:r w:rsidRPr="00674982">
        <w:rPr>
          <w:rFonts w:eastAsia="Times New Roman" w:cstheme="minorHAnsi"/>
          <w:i/>
          <w:iCs/>
          <w:lang w:eastAsia="en-AU"/>
        </w:rPr>
        <w:t>Second edition, Brisbane, Qld</w:t>
      </w:r>
      <w:r w:rsidRPr="00674982">
        <w:rPr>
          <w:rFonts w:eastAsia="Times New Roman" w:cstheme="minorHAnsi"/>
          <w:lang w:eastAsia="en-AU"/>
        </w:rPr>
        <w:t>.</w:t>
      </w:r>
    </w:p>
    <w:p w14:paraId="5D1D5D5D"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DES QLD (2015) ‘MEDLI - Software for effluent reuse schemes</w:t>
      </w:r>
      <w:r w:rsidRPr="00674982">
        <w:rPr>
          <w:rFonts w:eastAsia="Times New Roman" w:cstheme="minorHAnsi"/>
          <w:i/>
          <w:iCs/>
          <w:lang w:eastAsia="en-AU"/>
        </w:rPr>
        <w:t>’ Version 2</w:t>
      </w:r>
      <w:r w:rsidRPr="00674982">
        <w:rPr>
          <w:rFonts w:eastAsia="Times New Roman" w:cstheme="minorHAnsi"/>
          <w:lang w:eastAsia="en-AU"/>
        </w:rPr>
        <w:t>.</w:t>
      </w:r>
    </w:p>
    <w:p w14:paraId="4A9391E0" w14:textId="77777777" w:rsidR="002056DA" w:rsidRPr="00674982" w:rsidRDefault="002056DA" w:rsidP="002056DA">
      <w:pPr>
        <w:spacing w:line="240" w:lineRule="auto"/>
      </w:pPr>
      <w:r w:rsidRPr="00674982">
        <w:t xml:space="preserve">Devitt D, Jarrell WM, Jury WA, Lunt OR and Stolzy LH (1984) ‘Wheat response to sodium uptake under zonal saline-sodic conditions’, </w:t>
      </w:r>
      <w:r w:rsidRPr="00674982">
        <w:rPr>
          <w:i/>
          <w:iCs/>
        </w:rPr>
        <w:t>Soil Science Society of America Journal</w:t>
      </w:r>
      <w:r w:rsidRPr="00674982">
        <w:t>, 48</w:t>
      </w:r>
      <w:r>
        <w:t>:</w:t>
      </w:r>
      <w:r w:rsidRPr="00674982">
        <w:t>86–92.</w:t>
      </w:r>
    </w:p>
    <w:p w14:paraId="1A501718" w14:textId="77777777" w:rsidR="002056DA" w:rsidRPr="00674982" w:rsidRDefault="002056DA" w:rsidP="002056DA">
      <w:pPr>
        <w:spacing w:line="240" w:lineRule="auto"/>
      </w:pPr>
      <w:r w:rsidRPr="00674982">
        <w:t xml:space="preserve">Dils RM, Heathwaite AL, Novotny V and D’Arcy B (1999) ‘The controversial role of tile drainage in phosphorus export from agricultural land’, </w:t>
      </w:r>
      <w:r w:rsidRPr="00674982">
        <w:rPr>
          <w:i/>
          <w:iCs/>
        </w:rPr>
        <w:t>Water Science and Technology</w:t>
      </w:r>
      <w:r w:rsidRPr="00674982">
        <w:t>, 39</w:t>
      </w:r>
      <w:r>
        <w:t>(</w:t>
      </w:r>
      <w:r w:rsidRPr="00674982">
        <w:t>12</w:t>
      </w:r>
      <w:r>
        <w:t>):</w:t>
      </w:r>
      <w:r w:rsidRPr="00674982">
        <w:t>55–61.</w:t>
      </w:r>
    </w:p>
    <w:p w14:paraId="0D92A998" w14:textId="77777777" w:rsidR="002056DA" w:rsidRPr="00674982" w:rsidRDefault="002056DA" w:rsidP="002056DA">
      <w:pPr>
        <w:spacing w:line="240" w:lineRule="auto"/>
      </w:pPr>
      <w:r w:rsidRPr="00674982">
        <w:t>DNR 1997a. DNR Water Facts: Irrigation water quality, salinity and soil structure stability, No. W55, Department of Natural Resources, Brisbane.</w:t>
      </w:r>
    </w:p>
    <w:p w14:paraId="4E80F6B2" w14:textId="77777777" w:rsidR="002056DA" w:rsidRPr="00674982" w:rsidRDefault="002056DA" w:rsidP="002056DA">
      <w:pPr>
        <w:spacing w:line="240" w:lineRule="auto"/>
      </w:pPr>
      <w:r w:rsidRPr="00674982">
        <w:t>DNR 1997b. Salinity management handbook. Department of Natural Resources, Brisbane.</w:t>
      </w:r>
    </w:p>
    <w:p w14:paraId="4484F9A2" w14:textId="77777777" w:rsidR="002056DA" w:rsidRPr="00674982" w:rsidRDefault="002056DA" w:rsidP="002056DA">
      <w:pPr>
        <w:spacing w:line="240" w:lineRule="auto"/>
        <w:rPr>
          <w:i/>
          <w:iCs/>
        </w:rPr>
      </w:pPr>
      <w:r w:rsidRPr="00674982">
        <w:t xml:space="preserve">DPI NSW (2017) ‘Irrigating with blue-green algae affected water’ </w:t>
      </w:r>
      <w:r w:rsidRPr="00674982">
        <w:rPr>
          <w:i/>
          <w:iCs/>
        </w:rPr>
        <w:t xml:space="preserve">May 2017, Primefact, Fourth Edition, Water and Irrigation Unit. </w:t>
      </w:r>
    </w:p>
    <w:p w14:paraId="3C699611"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DPIRD (2020) ‘Treating blue-green algae in small farm dams’ </w:t>
      </w:r>
      <w:r w:rsidRPr="00674982">
        <w:rPr>
          <w:rFonts w:eastAsia="Times New Roman" w:cstheme="minorHAnsi"/>
          <w:i/>
          <w:iCs/>
          <w:lang w:eastAsia="en-AU"/>
        </w:rPr>
        <w:t>viewed 14 May 2021</w:t>
      </w:r>
      <w:r w:rsidRPr="00674982">
        <w:rPr>
          <w:rFonts w:eastAsia="Times New Roman" w:cstheme="minorHAnsi"/>
          <w:lang w:eastAsia="en-AU"/>
        </w:rPr>
        <w:t>, &lt;</w:t>
      </w:r>
      <w:hyperlink r:id="rId71" w:history="1">
        <w:r w:rsidRPr="00674982">
          <w:rPr>
            <w:rFonts w:eastAsia="Times New Roman" w:cstheme="minorHAnsi"/>
            <w:color w:val="0000FF"/>
            <w:u w:val="single"/>
            <w:lang w:eastAsia="en-AU"/>
          </w:rPr>
          <w:t>https://www.agric.wa.gov.au/small-landholders-western-australia/treating-blue-green-algae-small-farm-dams</w:t>
        </w:r>
      </w:hyperlink>
      <w:r w:rsidRPr="00674982">
        <w:rPr>
          <w:rFonts w:eastAsia="Times New Roman" w:cstheme="minorHAnsi"/>
          <w:lang w:eastAsia="en-AU"/>
        </w:rPr>
        <w:t>&gt;.</w:t>
      </w:r>
    </w:p>
    <w:p w14:paraId="39AED854"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DWAF (1996) ‘South African Water Quality Guidelines</w:t>
      </w:r>
      <w:r w:rsidRPr="00674982">
        <w:rPr>
          <w:rFonts w:eastAsia="Times New Roman" w:cstheme="minorHAnsi"/>
          <w:i/>
          <w:iCs/>
          <w:lang w:eastAsia="en-AU"/>
        </w:rPr>
        <w:t>’ Volume 4 Agricultural Use: Irrigation, Second Edition 1996, Department of Water Affairs and Forestry, Pretoria, Republic of South Africa</w:t>
      </w:r>
      <w:r w:rsidRPr="00674982">
        <w:rPr>
          <w:rFonts w:eastAsia="Times New Roman" w:cstheme="minorHAnsi"/>
          <w:lang w:eastAsia="en-AU"/>
        </w:rPr>
        <w:t>.</w:t>
      </w:r>
    </w:p>
    <w:p w14:paraId="03ADD34E" w14:textId="77777777" w:rsidR="002056DA" w:rsidRPr="00674982" w:rsidRDefault="002056DA" w:rsidP="002056DA">
      <w:pPr>
        <w:spacing w:line="240" w:lineRule="auto"/>
      </w:pPr>
      <w:r w:rsidRPr="00674982">
        <w:t xml:space="preserve">Edwards AC and Withers PJA (1998) ‘Soil phosphorus management and water quality: A UK perspective’, </w:t>
      </w:r>
      <w:r w:rsidRPr="00674982">
        <w:rPr>
          <w:i/>
          <w:iCs/>
        </w:rPr>
        <w:t>Soil Use and Management</w:t>
      </w:r>
      <w:r w:rsidRPr="00674982">
        <w:t>, 14</w:t>
      </w:r>
      <w:r>
        <w:t>:</w:t>
      </w:r>
      <w:r w:rsidRPr="00674982">
        <w:t>124–130.</w:t>
      </w:r>
    </w:p>
    <w:p w14:paraId="3E900112" w14:textId="77777777" w:rsidR="002056DA" w:rsidRPr="00674982" w:rsidRDefault="002056DA" w:rsidP="002056DA">
      <w:pPr>
        <w:spacing w:line="240" w:lineRule="auto"/>
      </w:pPr>
      <w:r w:rsidRPr="00674982">
        <w:t>Edwards R, Lepp NW and Jones KC 1995. Other less abundant elements of potential environment significance. In Heavy metals in soils, ed BJ Alloway, Blackie Academic, London, 306–352.</w:t>
      </w:r>
    </w:p>
    <w:p w14:paraId="3585F00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Edwards J (2014) ‘Setting benchmarks and recommendations for management of soil health in Australian viticulture</w:t>
      </w:r>
      <w:r w:rsidRPr="00674982">
        <w:rPr>
          <w:rFonts w:eastAsia="Times New Roman" w:cstheme="minorHAnsi"/>
          <w:i/>
          <w:iCs/>
          <w:lang w:eastAsia="en-AU"/>
        </w:rPr>
        <w:t>’</w:t>
      </w:r>
      <w:r w:rsidRPr="00674982">
        <w:rPr>
          <w:rFonts w:eastAsia="Times New Roman" w:cstheme="minorHAnsi"/>
          <w:lang w:eastAsia="en-AU"/>
        </w:rPr>
        <w:t xml:space="preserve"> </w:t>
      </w:r>
      <w:r w:rsidRPr="00674982">
        <w:rPr>
          <w:rFonts w:eastAsia="Times New Roman" w:cstheme="minorHAnsi"/>
          <w:i/>
          <w:iCs/>
          <w:lang w:eastAsia="en-AU"/>
        </w:rPr>
        <w:t>Final report to Australian Grape and Wine Authority., AgriBio, La Trobe University, Bundoora, Vic 3083: Department of Environment and Primary Industries, Victoria</w:t>
      </w:r>
      <w:r w:rsidRPr="00674982">
        <w:rPr>
          <w:rFonts w:eastAsia="Times New Roman" w:cstheme="minorHAnsi"/>
          <w:lang w:eastAsia="en-AU"/>
        </w:rPr>
        <w:t>.</w:t>
      </w:r>
    </w:p>
    <w:p w14:paraId="6E56D466" w14:textId="77777777" w:rsidR="002056DA" w:rsidRPr="00674982" w:rsidRDefault="002056DA" w:rsidP="002056DA">
      <w:pPr>
        <w:spacing w:line="240" w:lineRule="auto"/>
        <w:rPr>
          <w:i/>
          <w:iCs/>
        </w:rPr>
      </w:pPr>
      <w:r w:rsidRPr="00674982">
        <w:lastRenderedPageBreak/>
        <w:t xml:space="preserve">EEC (European Economic Community) (1997) ‘Impact of directive 76/46/EEC and its daughter directives on the most important surface waters in the community’ </w:t>
      </w:r>
      <w:r w:rsidRPr="00674982">
        <w:rPr>
          <w:i/>
          <w:iCs/>
        </w:rPr>
        <w:t>Office of the official publications of the European Community, Luxembourg.</w:t>
      </w:r>
    </w:p>
    <w:p w14:paraId="141F374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(2000) ‘Water Framework Directive</w:t>
      </w:r>
      <w:r w:rsidRPr="00674982">
        <w:rPr>
          <w:rFonts w:eastAsia="Times New Roman" w:cstheme="minorHAnsi"/>
          <w:i/>
          <w:iCs/>
          <w:lang w:eastAsia="en-AU"/>
        </w:rPr>
        <w:t>’ 2000/60/EC</w:t>
      </w:r>
      <w:r w:rsidRPr="00674982">
        <w:rPr>
          <w:rFonts w:eastAsia="Times New Roman" w:cstheme="minorHAnsi"/>
          <w:lang w:eastAsia="en-AU"/>
        </w:rPr>
        <w:t>.</w:t>
      </w:r>
    </w:p>
    <w:p w14:paraId="0C9974B2"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 2006, </w:t>
      </w:r>
      <w:r w:rsidRPr="00674982">
        <w:rPr>
          <w:rFonts w:eastAsia="Times New Roman" w:cstheme="minorHAnsi"/>
          <w:i/>
          <w:iCs/>
          <w:lang w:eastAsia="en-AU"/>
        </w:rPr>
        <w:t>Directive 2006/118/EC of 12 December 2006 on the protection of groundwater against pollution and deterioration</w:t>
      </w:r>
      <w:r w:rsidRPr="00674982">
        <w:rPr>
          <w:rFonts w:eastAsia="Times New Roman" w:cstheme="minorHAnsi"/>
          <w:lang w:eastAsia="en-AU"/>
        </w:rPr>
        <w:t>, Official Journal of the European Union.</w:t>
      </w:r>
    </w:p>
    <w:p w14:paraId="761E7D78"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 2008, </w:t>
      </w:r>
      <w:r w:rsidRPr="00674982">
        <w:rPr>
          <w:rFonts w:eastAsia="Times New Roman" w:cstheme="minorHAnsi"/>
          <w:i/>
          <w:iCs/>
          <w:lang w:eastAsia="en-AU"/>
        </w:rPr>
        <w:t>Directive 2008/105/EC of the European Union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w:t>
      </w:r>
      <w:r w:rsidRPr="00674982">
        <w:rPr>
          <w:rFonts w:eastAsia="Times New Roman" w:cstheme="minorHAnsi"/>
          <w:lang w:eastAsia="en-AU"/>
        </w:rPr>
        <w:t>, Official Journal of the European Union.</w:t>
      </w:r>
    </w:p>
    <w:p w14:paraId="0AC0564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Efroymson RA, Will ME and Suter II G (1997a) ‘Toxicological Benchmarks for Contaminants of Potential Concern for Effects on Soil and Litter Invertebrates and Heterotrophic Process: 1997 Revision’ </w:t>
      </w:r>
      <w:r w:rsidRPr="00674982">
        <w:rPr>
          <w:rFonts w:eastAsia="Times New Roman" w:cstheme="minorHAnsi"/>
          <w:i/>
          <w:iCs/>
          <w:lang w:eastAsia="en-AU"/>
        </w:rPr>
        <w:t>ES/ER/TM-126/R2, Lockheed Martin Energy System Inc. for the United States Department of Energy, Oak Ridge, Tennessee</w:t>
      </w:r>
      <w:r w:rsidRPr="00674982">
        <w:rPr>
          <w:rFonts w:eastAsia="Times New Roman" w:cstheme="minorHAnsi"/>
          <w:lang w:eastAsia="en-AU"/>
        </w:rPr>
        <w:t>.</w:t>
      </w:r>
    </w:p>
    <w:p w14:paraId="0FBA10F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Efroymson RA, Will ME, Suter II G and Wooten AC (1997b) ‘Toxicological benchmarks for screening potential contaminants of concern for effects on terrestrial plants. 1997 Revision’ </w:t>
      </w:r>
      <w:r w:rsidRPr="00674982">
        <w:rPr>
          <w:rFonts w:eastAsia="Times New Roman" w:cstheme="minorHAnsi"/>
          <w:i/>
          <w:iCs/>
          <w:lang w:eastAsia="en-AU"/>
        </w:rPr>
        <w:t>ES/ER/TM-85/R3, Lockheed Martin Energy System Inc. for the United States Department of Energy, Oak Ridge</w:t>
      </w:r>
      <w:r w:rsidRPr="00674982">
        <w:rPr>
          <w:rFonts w:eastAsia="Times New Roman" w:cstheme="minorHAnsi"/>
          <w:lang w:eastAsia="en-AU"/>
        </w:rPr>
        <w:t>, Tennessee.</w:t>
      </w:r>
    </w:p>
    <w:p w14:paraId="7028EE20" w14:textId="77777777" w:rsidR="002056DA" w:rsidRPr="00674982" w:rsidRDefault="002056DA" w:rsidP="002056DA">
      <w:pPr>
        <w:spacing w:line="240" w:lineRule="auto"/>
        <w:rPr>
          <w:rFonts w:eastAsia="Times New Roman" w:cstheme="minorHAnsi"/>
          <w:lang w:eastAsia="en-AU"/>
        </w:rPr>
      </w:pPr>
      <w:r w:rsidRPr="00674982">
        <w:t xml:space="preserve">El-Sheikh AM, Ulrich A and Broyer TC (1971) ‘Effect of lithium on growth, salt absorption and chemical composition of sugar beet plants’, </w:t>
      </w:r>
      <w:r w:rsidRPr="00674982">
        <w:rPr>
          <w:i/>
          <w:iCs/>
        </w:rPr>
        <w:t>Agronomy Journal</w:t>
      </w:r>
      <w:r w:rsidRPr="00674982">
        <w:t>, 63</w:t>
      </w:r>
      <w:r>
        <w:t>:</w:t>
      </w:r>
      <w:r w:rsidRPr="00674982">
        <w:t>755–758.</w:t>
      </w:r>
    </w:p>
    <w:p w14:paraId="6D44362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Environment Canada (2006) ‘Atlantic Canada Wastewater guidelines manual for collection, treatment and disposal’ </w:t>
      </w:r>
    </w:p>
    <w:p w14:paraId="6CDDC7EF"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EPA NSW (1997) ‘Environmental Guidelines. Use and disposal of biosolids products’ </w:t>
      </w:r>
      <w:r w:rsidRPr="00674982">
        <w:rPr>
          <w:rFonts w:eastAsia="Times New Roman" w:cstheme="minorHAnsi"/>
          <w:i/>
          <w:iCs/>
          <w:lang w:eastAsia="en-AU"/>
        </w:rPr>
        <w:t>Environment Protection Authority, Sydney.</w:t>
      </w:r>
    </w:p>
    <w:p w14:paraId="134C1955"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EPA SA (2020) ‘South Australian Biosolids Guideline for the Safe Handling and Reuse of Biosolids’ </w:t>
      </w:r>
      <w:r w:rsidRPr="00674982">
        <w:rPr>
          <w:rFonts w:eastAsia="Times New Roman" w:cstheme="minorHAnsi"/>
          <w:i/>
          <w:iCs/>
          <w:lang w:eastAsia="en-AU"/>
        </w:rPr>
        <w:t>Environmental Protection Authority South Australia.</w:t>
      </w:r>
    </w:p>
    <w:p w14:paraId="69748EF1" w14:textId="77777777" w:rsidR="002056DA" w:rsidRPr="00674982" w:rsidRDefault="002056DA" w:rsidP="002056DA">
      <w:pPr>
        <w:spacing w:line="240" w:lineRule="auto"/>
      </w:pPr>
      <w:r w:rsidRPr="00674982">
        <w:t xml:space="preserve">EPA Tasmania (2011) ‘Guidelines for managing blue-green algae (cyanobacteria) blooms in sewage treatment lagoons’ </w:t>
      </w:r>
    </w:p>
    <w:p w14:paraId="379CB52D"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EPA Victoria (2004) ‘Guidelines for Environmental Management. Biosolids Land Application</w:t>
      </w:r>
      <w:r w:rsidRPr="00674982">
        <w:rPr>
          <w:rFonts w:eastAsia="Times New Roman" w:cstheme="minorHAnsi"/>
          <w:i/>
          <w:iCs/>
          <w:lang w:eastAsia="en-AU"/>
        </w:rPr>
        <w:t>’ Publication 943.</w:t>
      </w:r>
      <w:r w:rsidRPr="00674982">
        <w:rPr>
          <w:rFonts w:eastAsia="Times New Roman" w:cstheme="minorHAnsi"/>
          <w:lang w:eastAsia="en-AU"/>
        </w:rPr>
        <w:t>, Publication 943, Environment Protection Authority Victoria, Melbourne, p. 78.</w:t>
      </w:r>
    </w:p>
    <w:p w14:paraId="11DF6255"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European Parliament and Council (1998) </w:t>
      </w:r>
      <w:r w:rsidRPr="00674982">
        <w:rPr>
          <w:rFonts w:eastAsia="Times New Roman" w:cstheme="minorHAnsi"/>
          <w:i/>
          <w:iCs/>
          <w:lang w:eastAsia="en-AU"/>
        </w:rPr>
        <w:t>Council Directive 98/83/EC of 3 November 1998 on the quality of water intended for human consumption. Revised December 2020</w:t>
      </w:r>
      <w:r w:rsidRPr="00674982">
        <w:rPr>
          <w:rFonts w:eastAsia="Times New Roman" w:cstheme="minorHAnsi"/>
          <w:lang w:eastAsia="en-AU"/>
        </w:rPr>
        <w:t>, Official Journal of the European Union.</w:t>
      </w:r>
    </w:p>
    <w:p w14:paraId="41CC0855"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FAO/WHO (2008) ‘Microbiological hazards in fresh leafy vegetables and herbs’</w:t>
      </w:r>
      <w:r w:rsidRPr="00674982">
        <w:rPr>
          <w:rFonts w:eastAsia="Times New Roman" w:cstheme="minorHAnsi"/>
          <w:i/>
          <w:iCs/>
          <w:lang w:eastAsia="en-AU"/>
        </w:rPr>
        <w:t xml:space="preserve"> Microbial Risk Assessment Series 14.  Meeting report.</w:t>
      </w:r>
      <w:r w:rsidRPr="00674982">
        <w:rPr>
          <w:rFonts w:eastAsia="Times New Roman" w:cstheme="minorHAnsi"/>
          <w:lang w:eastAsia="en-AU"/>
        </w:rPr>
        <w:t>, Food and Agriculture Organization of the United Nations/World Health Organization, Rome, Italy.</w:t>
      </w:r>
    </w:p>
    <w:p w14:paraId="4B687A39" w14:textId="77777777" w:rsidR="002056DA" w:rsidRPr="00674982" w:rsidRDefault="002056DA" w:rsidP="002056DA">
      <w:pPr>
        <w:spacing w:line="240" w:lineRule="auto"/>
      </w:pPr>
      <w:r w:rsidRPr="00674982">
        <w:t xml:space="preserve">Follett RF (1989) ‘Development in agricultural and managed-forest ecology: Nitrogen management and ground water protection’ </w:t>
      </w:r>
      <w:r w:rsidRPr="00674982">
        <w:rPr>
          <w:i/>
          <w:iCs/>
        </w:rPr>
        <w:t>Elsevier, Amsterdam</w:t>
      </w:r>
      <w:r w:rsidRPr="00674982">
        <w:t>.</w:t>
      </w:r>
    </w:p>
    <w:p w14:paraId="0225B247" w14:textId="77777777" w:rsidR="002056DA" w:rsidRPr="00674982" w:rsidRDefault="002056DA" w:rsidP="002056DA">
      <w:pPr>
        <w:spacing w:line="240" w:lineRule="auto"/>
      </w:pPr>
      <w:r w:rsidRPr="00674982">
        <w:t xml:space="preserve">Fontana MG (1986) ‘Corrosion engineering’ </w:t>
      </w:r>
      <w:r w:rsidRPr="00674982">
        <w:rPr>
          <w:i/>
          <w:iCs/>
        </w:rPr>
        <w:t>3rd edn, McGraw Hill, New York</w:t>
      </w:r>
      <w:r w:rsidRPr="00674982">
        <w:t>.</w:t>
      </w:r>
    </w:p>
    <w:p w14:paraId="7B3511E6" w14:textId="77777777" w:rsidR="002056DA" w:rsidRPr="00674982" w:rsidRDefault="002056DA" w:rsidP="002056DA">
      <w:pPr>
        <w:spacing w:line="240" w:lineRule="auto"/>
      </w:pPr>
      <w:r w:rsidRPr="00674982">
        <w:lastRenderedPageBreak/>
        <w:t xml:space="preserve">Foy RH and Withers PJA (1995) ‘The contribution of agricultural phosphorus to eutrophication’ </w:t>
      </w:r>
      <w:r w:rsidRPr="00674982">
        <w:rPr>
          <w:i/>
          <w:iCs/>
        </w:rPr>
        <w:t>Proceedings of the Fertilisers Society</w:t>
      </w:r>
      <w:r>
        <w:rPr>
          <w:i/>
          <w:iCs/>
        </w:rPr>
        <w:t>,</w:t>
      </w:r>
      <w:r w:rsidRPr="00674982">
        <w:rPr>
          <w:i/>
          <w:iCs/>
        </w:rPr>
        <w:t xml:space="preserve"> </w:t>
      </w:r>
      <w:r w:rsidRPr="00C00454">
        <w:t>365:1–32.</w:t>
      </w:r>
    </w:p>
    <w:p w14:paraId="3DFCA908" w14:textId="77777777" w:rsidR="002056DA" w:rsidRPr="00674982" w:rsidRDefault="002056DA" w:rsidP="002056DA">
      <w:pPr>
        <w:spacing w:line="240" w:lineRule="auto"/>
        <w:rPr>
          <w:i/>
          <w:iCs/>
        </w:rPr>
      </w:pPr>
      <w:r w:rsidRPr="00674982">
        <w:t xml:space="preserve">Freney JR, Simpson JR and Denmead OT (1983) ‘Volatilization of ammonia. In Gaseous loss of nitrogen from plant soil systems’ </w:t>
      </w:r>
      <w:r w:rsidRPr="00674982">
        <w:rPr>
          <w:i/>
          <w:iCs/>
        </w:rPr>
        <w:t>eds JR Freney and JR Simpson, 1–32. Kluwer Academic Publishers Group, The Hague.</w:t>
      </w:r>
    </w:p>
    <w:p w14:paraId="20ED67DB" w14:textId="77777777" w:rsidR="002056DA" w:rsidRPr="00674982" w:rsidRDefault="002056DA" w:rsidP="002056DA">
      <w:pPr>
        <w:spacing w:line="240" w:lineRule="auto"/>
      </w:pPr>
      <w:r w:rsidRPr="00674982">
        <w:t xml:space="preserve">Frese FG (1938) ‘Effect of oxygen on the corrosion of steel’, </w:t>
      </w:r>
      <w:r w:rsidRPr="00674982">
        <w:rPr>
          <w:i/>
          <w:iCs/>
        </w:rPr>
        <w:t>Industrial and Engineering Chemistry</w:t>
      </w:r>
      <w:r w:rsidRPr="00674982">
        <w:t>, 30</w:t>
      </w:r>
      <w:r>
        <w:t>:</w:t>
      </w:r>
      <w:r w:rsidRPr="00674982">
        <w:t>88.</w:t>
      </w:r>
    </w:p>
    <w:p w14:paraId="4EB60F21" w14:textId="77777777" w:rsidR="002056DA" w:rsidRPr="00674982" w:rsidRDefault="002056DA" w:rsidP="002056DA">
      <w:pPr>
        <w:spacing w:line="240" w:lineRule="auto"/>
      </w:pPr>
      <w:r w:rsidRPr="00674982">
        <w:t xml:space="preserve">Froese KL and Kindzierski WB (1998) ‘Health effects associated with wastewater treatment, disposal and reuse’, </w:t>
      </w:r>
      <w:r w:rsidRPr="00674982">
        <w:rPr>
          <w:i/>
          <w:iCs/>
        </w:rPr>
        <w:t xml:space="preserve">Water Environmental Research, </w:t>
      </w:r>
      <w:r w:rsidRPr="00C00454">
        <w:t>70:962–968.</w:t>
      </w:r>
    </w:p>
    <w:p w14:paraId="396F4546"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Gaget V, Hobson P, Keulen A, Newton K, Monis P, Humpage A, Weyrich L and Brookes J (2020) ‘Toolbox for the sampling and monitoring of benthic cyanobacteria’, </w:t>
      </w:r>
      <w:r w:rsidRPr="00674982">
        <w:rPr>
          <w:rFonts w:eastAsia="Times New Roman" w:cstheme="minorHAnsi"/>
          <w:i/>
          <w:iCs/>
          <w:lang w:eastAsia="en-AU"/>
        </w:rPr>
        <w:t>Water Research</w:t>
      </w:r>
      <w:r w:rsidRPr="00674982">
        <w:rPr>
          <w:rFonts w:eastAsia="Times New Roman" w:cstheme="minorHAnsi"/>
          <w:lang w:eastAsia="en-AU"/>
        </w:rPr>
        <w:t>, 169.</w:t>
      </w:r>
    </w:p>
    <w:p w14:paraId="7CC15190"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Gaget V, Humpage AR, Huang Q, Monis P and Brookes JD (2017) ‘Benthic cyanobacteria: A source of cylindrospermopsin and microcystin in Australian drinking water reservoirs’, </w:t>
      </w:r>
      <w:r w:rsidRPr="00674982">
        <w:rPr>
          <w:rFonts w:eastAsia="Times New Roman" w:cstheme="minorHAnsi"/>
          <w:i/>
          <w:iCs/>
          <w:lang w:eastAsia="en-AU"/>
        </w:rPr>
        <w:t>Water Research</w:t>
      </w:r>
      <w:r w:rsidRPr="00674982">
        <w:rPr>
          <w:rFonts w:eastAsia="Times New Roman" w:cstheme="minorHAnsi"/>
          <w:lang w:eastAsia="en-AU"/>
        </w:rPr>
        <w:t>, 124</w:t>
      </w:r>
      <w:r>
        <w:rPr>
          <w:rFonts w:eastAsia="Times New Roman" w:cstheme="minorHAnsi"/>
          <w:lang w:eastAsia="en-AU"/>
        </w:rPr>
        <w:t>:</w:t>
      </w:r>
      <w:r w:rsidRPr="00674982">
        <w:rPr>
          <w:rFonts w:eastAsia="Times New Roman" w:cstheme="minorHAnsi"/>
          <w:lang w:eastAsia="en-AU"/>
        </w:rPr>
        <w:t>454–464.</w:t>
      </w:r>
    </w:p>
    <w:p w14:paraId="1F62F7ED" w14:textId="77777777" w:rsidR="002056DA" w:rsidRPr="00674982" w:rsidRDefault="002056DA" w:rsidP="002056DA">
      <w:pPr>
        <w:spacing w:line="240" w:lineRule="auto"/>
      </w:pPr>
      <w:r w:rsidRPr="00674982">
        <w:t>Gardner EA and Coughlan KJ 1982. Physical factors determining soil suitability for irrigated crop production in the Burdekin–Elliot River Area. Technical Report No 20, Queensland Department of Primary Industries, Agricultural Chemistry Branch, Brisbane.</w:t>
      </w:r>
    </w:p>
    <w:p w14:paraId="32CE0741" w14:textId="77777777" w:rsidR="002056DA" w:rsidRPr="00674982" w:rsidRDefault="002056DA" w:rsidP="002056DA">
      <w:pPr>
        <w:pStyle w:val="Bibliography"/>
        <w:spacing w:line="240" w:lineRule="auto"/>
        <w:ind w:left="0" w:firstLine="0"/>
        <w:rPr>
          <w:rFonts w:cs="Arial"/>
          <w:i/>
          <w:iCs/>
        </w:rPr>
      </w:pPr>
      <w:r w:rsidRPr="00674982">
        <w:rPr>
          <w:rFonts w:cs="Arial"/>
        </w:rPr>
        <w:t xml:space="preserve">Gardner T, Littleboy M, and Beavers P (1995) ‘Using a water balance model to assess the hydrological implications of on-site effluent disposal’ </w:t>
      </w:r>
      <w:r w:rsidRPr="00674982">
        <w:rPr>
          <w:rFonts w:cs="Arial"/>
          <w:i/>
          <w:iCs/>
        </w:rPr>
        <w:t>in, Australian Water and Wastewater Association 16th Federal Convention, Sydney, Australia</w:t>
      </w:r>
      <w:r>
        <w:rPr>
          <w:rFonts w:cs="Arial"/>
          <w:i/>
          <w:iCs/>
        </w:rPr>
        <w:t xml:space="preserve">: </w:t>
      </w:r>
      <w:r w:rsidRPr="00C00454">
        <w:rPr>
          <w:rFonts w:cs="Arial"/>
        </w:rPr>
        <w:t>659–666.</w:t>
      </w:r>
    </w:p>
    <w:p w14:paraId="24F91F62" w14:textId="77777777" w:rsidR="002056DA" w:rsidRPr="00674982" w:rsidRDefault="002056DA" w:rsidP="002056DA">
      <w:pPr>
        <w:spacing w:line="240" w:lineRule="auto"/>
        <w:rPr>
          <w:i/>
          <w:iCs/>
        </w:rPr>
      </w:pPr>
      <w:r w:rsidRPr="00674982">
        <w:t xml:space="preserve">Gill JY (1986) ‘Agricultural water quality assessment’ </w:t>
      </w:r>
      <w:r w:rsidRPr="00674982">
        <w:rPr>
          <w:i/>
          <w:iCs/>
        </w:rPr>
        <w:t>Queensland Department of Primary Industries Q186018, Brisbane.</w:t>
      </w:r>
    </w:p>
    <w:p w14:paraId="0435B31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Gourley CJP, Weaver DM, Simpson RJ, Aarons SR, Hannah MM and Peverill KI (2019) ‘The development and application of functions describing pasture yield responses to phosphorus, potassium and sulfur in Australia using meta-data analysis and derived soil-test calibration relationships’, </w:t>
      </w:r>
      <w:r w:rsidRPr="00674982">
        <w:rPr>
          <w:rFonts w:eastAsia="Times New Roman" w:cstheme="minorHAnsi"/>
          <w:i/>
          <w:iCs/>
          <w:lang w:eastAsia="en-AU"/>
        </w:rPr>
        <w:t>Crop and Pasture Science</w:t>
      </w:r>
      <w:r w:rsidRPr="00674982">
        <w:rPr>
          <w:rFonts w:eastAsia="Times New Roman" w:cstheme="minorHAnsi"/>
          <w:lang w:eastAsia="en-AU"/>
        </w:rPr>
        <w:t>, CSIRO Publishing, 70</w:t>
      </w:r>
      <w:r>
        <w:rPr>
          <w:rFonts w:eastAsia="Times New Roman" w:cstheme="minorHAnsi"/>
          <w:lang w:eastAsia="en-AU"/>
        </w:rPr>
        <w:t>(</w:t>
      </w:r>
      <w:r w:rsidRPr="00674982">
        <w:rPr>
          <w:rFonts w:eastAsia="Times New Roman" w:cstheme="minorHAnsi"/>
          <w:lang w:eastAsia="en-AU"/>
        </w:rPr>
        <w:t>12</w:t>
      </w:r>
      <w:r>
        <w:rPr>
          <w:rFonts w:eastAsia="Times New Roman" w:cstheme="minorHAnsi"/>
          <w:lang w:eastAsia="en-AU"/>
        </w:rPr>
        <w:t>):</w:t>
      </w:r>
      <w:r w:rsidRPr="00674982">
        <w:rPr>
          <w:rFonts w:eastAsia="Times New Roman" w:cstheme="minorHAnsi"/>
          <w:lang w:eastAsia="en-AU"/>
        </w:rPr>
        <w:t>1065–1079.</w:t>
      </w:r>
    </w:p>
    <w:p w14:paraId="1B254870"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Government of Jordan (2006) ‘Guidelines for reuse in irrigation</w:t>
      </w:r>
      <w:r w:rsidRPr="00674982">
        <w:rPr>
          <w:rFonts w:eastAsia="Times New Roman" w:cstheme="minorHAnsi"/>
          <w:i/>
          <w:iCs/>
          <w:lang w:eastAsia="en-AU"/>
        </w:rPr>
        <w:t>’ - JS893 2002</w:t>
      </w:r>
      <w:r w:rsidRPr="00674982">
        <w:rPr>
          <w:rFonts w:eastAsia="Times New Roman" w:cstheme="minorHAnsi"/>
          <w:lang w:eastAsia="en-AU"/>
        </w:rPr>
        <w:t>.</w:t>
      </w:r>
    </w:p>
    <w:p w14:paraId="0058AF8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Grattan S, Zeng L and Shannon M (2002) ‘Rice is more sensitive than previously thought’, </w:t>
      </w:r>
      <w:r w:rsidRPr="00674982">
        <w:rPr>
          <w:rFonts w:eastAsia="Times New Roman" w:cstheme="minorHAnsi"/>
          <w:i/>
          <w:iCs/>
          <w:lang w:eastAsia="en-AU"/>
        </w:rPr>
        <w:t>California Agriculture</w:t>
      </w:r>
      <w:r w:rsidRPr="00674982">
        <w:rPr>
          <w:rFonts w:eastAsia="Times New Roman" w:cstheme="minorHAnsi"/>
          <w:lang w:eastAsia="en-AU"/>
        </w:rPr>
        <w:t>, 56</w:t>
      </w:r>
      <w:r>
        <w:rPr>
          <w:rFonts w:eastAsia="Times New Roman" w:cstheme="minorHAnsi"/>
          <w:lang w:eastAsia="en-AU"/>
        </w:rPr>
        <w:t>(</w:t>
      </w:r>
      <w:r w:rsidRPr="00674982">
        <w:rPr>
          <w:rFonts w:eastAsia="Times New Roman" w:cstheme="minorHAnsi"/>
          <w:lang w:eastAsia="en-AU"/>
        </w:rPr>
        <w:t>6</w:t>
      </w:r>
      <w:r>
        <w:rPr>
          <w:rFonts w:eastAsia="Times New Roman" w:cstheme="minorHAnsi"/>
          <w:lang w:eastAsia="en-AU"/>
        </w:rPr>
        <w:t>):</w:t>
      </w:r>
      <w:r w:rsidRPr="00674982">
        <w:rPr>
          <w:rFonts w:eastAsia="Times New Roman" w:cstheme="minorHAnsi"/>
          <w:lang w:eastAsia="en-AU"/>
        </w:rPr>
        <w:t>189–195.</w:t>
      </w:r>
    </w:p>
    <w:p w14:paraId="65539D45"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GRDC (2014) ‘Spray water quality factsheet’</w:t>
      </w:r>
    </w:p>
    <w:p w14:paraId="53C5533B"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GRDC (2009) ’Identifying, understanding and managing hostile subsoils for cropping – A reference manual for neutral-alkaline soils of south-eastern Australia’ </w:t>
      </w:r>
      <w:r w:rsidRPr="00674982">
        <w:rPr>
          <w:rFonts w:eastAsia="Times New Roman" w:cstheme="minorHAnsi"/>
          <w:i/>
          <w:iCs/>
          <w:lang w:eastAsia="en-AU"/>
        </w:rPr>
        <w:t xml:space="preserve">published by The Profitable Soils Group (2009), 92. ISBN 978-0-9806136-0-5. </w:t>
      </w:r>
    </w:p>
    <w:p w14:paraId="5416EDA0"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Grieve C, Grattan S and Maas E (2012) ‘Plant salt tolerance. Agricultural Salinity Assessment and Management (W.W. Wallender and K.K. Tanji, eds.)’ </w:t>
      </w:r>
      <w:r w:rsidRPr="00674982">
        <w:rPr>
          <w:rFonts w:eastAsia="Times New Roman" w:cstheme="minorHAnsi"/>
          <w:i/>
          <w:iCs/>
          <w:lang w:eastAsia="en-AU"/>
        </w:rPr>
        <w:t xml:space="preserve">ASCE Manuals and Reports and Engineering Practice, American Assoc. of Civil Engineers, Reston. VA, USA, </w:t>
      </w:r>
      <w:r w:rsidRPr="00C00454">
        <w:rPr>
          <w:rFonts w:eastAsia="Times New Roman" w:cstheme="minorHAnsi"/>
          <w:lang w:eastAsia="en-AU"/>
        </w:rPr>
        <w:t>405–459.</w:t>
      </w:r>
    </w:p>
    <w:p w14:paraId="0EA7023F" w14:textId="77777777" w:rsidR="002056DA" w:rsidRPr="00674982" w:rsidRDefault="002056DA" w:rsidP="002056DA">
      <w:pPr>
        <w:spacing w:line="240" w:lineRule="auto"/>
        <w:rPr>
          <w:i/>
          <w:iCs/>
        </w:rPr>
      </w:pPr>
      <w:r w:rsidRPr="00674982">
        <w:t xml:space="preserve">Gutierrez-Praena D, Campos A, Azevedo J, Neves J, Freitas M, Guzman-Guillen R, Cameán AM, Renaut J, and Vasconcelos V (2014) ‘Exposure of Lycopersicon esculentum to microcystin-LR: Effects in the leaf proteome and toxin translocation from water to leaves and fruits’, </w:t>
      </w:r>
      <w:r w:rsidRPr="00674982">
        <w:rPr>
          <w:i/>
          <w:iCs/>
        </w:rPr>
        <w:t xml:space="preserve">Toxins, </w:t>
      </w:r>
      <w:r w:rsidRPr="00C00454">
        <w:t>6(6):1837–1854.</w:t>
      </w:r>
    </w:p>
    <w:p w14:paraId="380DECAD"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lastRenderedPageBreak/>
        <w:t xml:space="preserve">GWRDC 2012, </w:t>
      </w:r>
      <w:r w:rsidRPr="00674982">
        <w:rPr>
          <w:rFonts w:eastAsia="Times New Roman" w:cstheme="minorHAnsi"/>
          <w:i/>
          <w:iCs/>
          <w:lang w:eastAsia="en-AU"/>
        </w:rPr>
        <w:t>Salty skin: reds most at risk. R&amp;D at work</w:t>
      </w:r>
      <w:r w:rsidRPr="00674982">
        <w:rPr>
          <w:rFonts w:eastAsia="Times New Roman" w:cstheme="minorHAnsi"/>
          <w:lang w:eastAsia="en-AU"/>
        </w:rPr>
        <w:t>, Grape and Wine Research Development Corporation.</w:t>
      </w:r>
    </w:p>
    <w:p w14:paraId="093D6EC2" w14:textId="77777777" w:rsidR="002056DA" w:rsidRPr="00674982" w:rsidRDefault="002056DA" w:rsidP="002056DA">
      <w:pPr>
        <w:spacing w:line="240" w:lineRule="auto"/>
      </w:pPr>
      <w:r w:rsidRPr="00674982">
        <w:t xml:space="preserve">Hahne HCH and Kroontje W (1973) ‘Significance of pH and chloride concentration on behaviour of heavy metal pollutants: Mercury (II), cadmium (II), zinc (II), and lead (II)’, </w:t>
      </w:r>
      <w:r w:rsidRPr="00674982">
        <w:rPr>
          <w:i/>
          <w:iCs/>
        </w:rPr>
        <w:t>Journal of Environmental Quality</w:t>
      </w:r>
      <w:r w:rsidRPr="00674982">
        <w:t>, 2</w:t>
      </w:r>
      <w:r>
        <w:t>:</w:t>
      </w:r>
      <w:r w:rsidRPr="00674982">
        <w:t>444–450.</w:t>
      </w:r>
    </w:p>
    <w:p w14:paraId="14CECE03" w14:textId="77777777" w:rsidR="002056DA" w:rsidRPr="00674982" w:rsidRDefault="002056DA" w:rsidP="002056DA">
      <w:pPr>
        <w:spacing w:line="240" w:lineRule="auto"/>
      </w:pPr>
      <w:r w:rsidRPr="00674982">
        <w:t xml:space="preserve">Hamilton EI (1974) ‘The chemical elements and human morbidity — Water, air and places: A study of natural variability’, </w:t>
      </w:r>
      <w:r w:rsidRPr="00674982">
        <w:rPr>
          <w:i/>
          <w:iCs/>
        </w:rPr>
        <w:t>Science of the Total Environment</w:t>
      </w:r>
      <w:r w:rsidRPr="00674982">
        <w:t xml:space="preserve">, </w:t>
      </w:r>
      <w:r>
        <w:t>3:</w:t>
      </w:r>
      <w:r w:rsidRPr="00674982">
        <w:t>3–85.</w:t>
      </w:r>
    </w:p>
    <w:p w14:paraId="5CC21225"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Hamilton D, Ambrus A, Dieterle R, Felsot A, Harris C, Holland P, Katayama A, Kurihara N, Linders J, Unsworth J and Wong S (2003) ‘Regulatory limits for pesticide residues in water - (IUPAC Technical Report)’ </w:t>
      </w:r>
      <w:r w:rsidRPr="00674982">
        <w:rPr>
          <w:rFonts w:eastAsia="Times New Roman" w:cstheme="minorHAnsi"/>
          <w:i/>
          <w:iCs/>
          <w:lang w:eastAsia="en-AU"/>
        </w:rPr>
        <w:t xml:space="preserve">Pure and Applied Chemistry, </w:t>
      </w:r>
      <w:r w:rsidRPr="00C00454">
        <w:rPr>
          <w:rFonts w:eastAsia="Times New Roman" w:cstheme="minorHAnsi"/>
          <w:lang w:eastAsia="en-AU"/>
        </w:rPr>
        <w:t>75(8):</w:t>
      </w:r>
      <w:r w:rsidRPr="00674982">
        <w:rPr>
          <w:rFonts w:eastAsia="Times New Roman" w:cstheme="minorHAnsi"/>
          <w:i/>
          <w:iCs/>
          <w:lang w:eastAsia="en-AU"/>
        </w:rPr>
        <w:t>1123–1155</w:t>
      </w:r>
      <w:r w:rsidRPr="00674982">
        <w:rPr>
          <w:rFonts w:eastAsia="Times New Roman" w:cstheme="minorHAnsi"/>
          <w:lang w:eastAsia="en-AU"/>
        </w:rPr>
        <w:t>.</w:t>
      </w:r>
    </w:p>
    <w:p w14:paraId="1C3EF31B" w14:textId="77777777" w:rsidR="002056DA" w:rsidRPr="00674982" w:rsidRDefault="002056DA" w:rsidP="002056DA">
      <w:pPr>
        <w:spacing w:line="240" w:lineRule="auto"/>
      </w:pPr>
      <w:bookmarkStart w:id="415" w:name="ZOTERO_BREF_Yy8OZkKyV4WE"/>
      <w:r w:rsidRPr="00674982">
        <w:t xml:space="preserve">Harmsen K and de Haan FAM (1980) ‘Occurrence and behaviour of uranium and thorium in soil water’, </w:t>
      </w:r>
      <w:r w:rsidRPr="00674982">
        <w:rPr>
          <w:i/>
          <w:iCs/>
        </w:rPr>
        <w:t>Netherlands Journal of Agricultural Science</w:t>
      </w:r>
      <w:r w:rsidRPr="00674982">
        <w:t>, 28</w:t>
      </w:r>
      <w:r>
        <w:t>:</w:t>
      </w:r>
      <w:r w:rsidRPr="00674982">
        <w:t>40–62.</w:t>
      </w:r>
    </w:p>
    <w:p w14:paraId="3601083C" w14:textId="77777777" w:rsidR="002056DA" w:rsidRPr="00674982" w:rsidRDefault="002056DA" w:rsidP="002056DA">
      <w:pPr>
        <w:spacing w:line="240" w:lineRule="auto"/>
      </w:pPr>
      <w:r w:rsidRPr="00674982">
        <w:t xml:space="preserve">Hart BT (1974) ‘A compilation of Australian water quality criteria. Australian Water Resources Technical Paper 7’ </w:t>
      </w:r>
      <w:r w:rsidRPr="00674982">
        <w:rPr>
          <w:i/>
          <w:iCs/>
        </w:rPr>
        <w:t>Australian Government Publishing Service, Canberra</w:t>
      </w:r>
      <w:r w:rsidRPr="00674982">
        <w:t>.</w:t>
      </w:r>
    </w:p>
    <w:p w14:paraId="60A5ACD4"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Hart BT (1982) ‘Australian water criteria for heavy metals’ </w:t>
      </w:r>
      <w:r w:rsidRPr="00674982">
        <w:rPr>
          <w:rFonts w:eastAsia="Times New Roman" w:cstheme="minorHAnsi"/>
          <w:i/>
          <w:iCs/>
          <w:lang w:eastAsia="en-AU"/>
        </w:rPr>
        <w:t>Australian Water Resources Technical Paper 77, Australian Government Publishing Service, Canberra.</w:t>
      </w:r>
    </w:p>
    <w:p w14:paraId="4EE42259"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Hatch RC (1977) ‘Poisons causing nervous stimulation or depression’ </w:t>
      </w:r>
      <w:r w:rsidRPr="00674982">
        <w:rPr>
          <w:rFonts w:eastAsia="Times New Roman" w:cstheme="minorHAnsi"/>
          <w:i/>
          <w:iCs/>
          <w:lang w:eastAsia="en-AU"/>
        </w:rPr>
        <w:t>In Veterinary pharmacology and therapeutics, 4th edn, eds LM Jones, NH Booth and LE McDonalds, Iowa State University, Ames,</w:t>
      </w:r>
      <w:r>
        <w:rPr>
          <w:rFonts w:eastAsia="Times New Roman" w:cstheme="minorHAnsi"/>
          <w:i/>
          <w:iCs/>
          <w:lang w:eastAsia="en-AU"/>
        </w:rPr>
        <w:t xml:space="preserve"> </w:t>
      </w:r>
      <w:r w:rsidRPr="00C00454">
        <w:rPr>
          <w:rFonts w:eastAsia="Times New Roman" w:cstheme="minorHAnsi"/>
          <w:lang w:eastAsia="en-AU"/>
        </w:rPr>
        <w:t>1185–1242.</w:t>
      </w:r>
    </w:p>
    <w:p w14:paraId="2106884D" w14:textId="77777777" w:rsidR="002056DA" w:rsidRPr="00674982" w:rsidRDefault="002056DA" w:rsidP="002056DA">
      <w:pPr>
        <w:spacing w:line="240" w:lineRule="auto"/>
      </w:pPr>
      <w:r w:rsidRPr="00674982">
        <w:rPr>
          <w:rFonts w:eastAsia="Times New Roman" w:cstheme="minorHAnsi"/>
          <w:lang w:eastAsia="en-AU"/>
        </w:rPr>
        <w:t>Haygarth PM and Jarvis SC (1999) ‘Transfer of phosphorus from agricultural soils’</w:t>
      </w:r>
      <w:r w:rsidRPr="00674982">
        <w:rPr>
          <w:rFonts w:eastAsia="Times New Roman" w:cstheme="minorHAnsi"/>
          <w:i/>
          <w:iCs/>
          <w:lang w:eastAsia="en-AU"/>
        </w:rPr>
        <w:t>, Advances in Agronomy</w:t>
      </w:r>
      <w:r w:rsidRPr="00674982">
        <w:rPr>
          <w:rFonts w:eastAsia="Times New Roman" w:cstheme="minorHAnsi"/>
          <w:lang w:eastAsia="en-AU"/>
        </w:rPr>
        <w:t>, 66</w:t>
      </w:r>
      <w:r>
        <w:rPr>
          <w:rFonts w:eastAsia="Times New Roman" w:cstheme="minorHAnsi"/>
          <w:lang w:eastAsia="en-AU"/>
        </w:rPr>
        <w:t>:</w:t>
      </w:r>
      <w:r w:rsidRPr="00674982">
        <w:rPr>
          <w:rFonts w:eastAsia="Times New Roman" w:cstheme="minorHAnsi"/>
          <w:lang w:eastAsia="en-AU"/>
        </w:rPr>
        <w:t>195– 24</w:t>
      </w:r>
      <w:r w:rsidRPr="00674982">
        <w:t xml:space="preserve"> </w:t>
      </w:r>
    </w:p>
    <w:p w14:paraId="12A7AEE4"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Heemsbergen D, Warne M, Mclaughlin M and Kookana R (2009) ‘The Australian methodology to derive ecological investigation levels in contaminated soils’ </w:t>
      </w:r>
      <w:r w:rsidRPr="00674982">
        <w:rPr>
          <w:rFonts w:eastAsia="Times New Roman" w:cstheme="minorHAnsi"/>
          <w:i/>
          <w:iCs/>
          <w:lang w:eastAsia="en-AU"/>
        </w:rPr>
        <w:t>CSIRO prepared for National Environment Protection Council, Adelaide, SA, Australia.</w:t>
      </w:r>
    </w:p>
    <w:p w14:paraId="45ED2E27"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Hem JD (1970) ‘Study and interpretation of the chemical characteristics of natural water’ </w:t>
      </w:r>
      <w:r w:rsidRPr="00674982">
        <w:rPr>
          <w:rFonts w:eastAsia="Times New Roman" w:cstheme="minorHAnsi"/>
          <w:i/>
          <w:iCs/>
          <w:lang w:eastAsia="en-AU"/>
        </w:rPr>
        <w:t>Geological Survey Water Supply Paper 1473, 2nd edn, United States Geological Survey, Washington.</w:t>
      </w:r>
    </w:p>
    <w:p w14:paraId="37107964"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Henderson W (2009) ‘Pathogens in vertebrate pests in Australia’ </w:t>
      </w:r>
      <w:r w:rsidRPr="00674982">
        <w:rPr>
          <w:rFonts w:eastAsia="Times New Roman" w:cstheme="minorHAnsi"/>
          <w:i/>
          <w:iCs/>
          <w:lang w:eastAsia="en-AU"/>
        </w:rPr>
        <w:t>Invasive Animals Cooperative Research Centre, Canberra.</w:t>
      </w:r>
    </w:p>
    <w:p w14:paraId="0E0DC866"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HEPA (2020) ‘PFAS National Environmental Management Plan’</w:t>
      </w:r>
      <w:r w:rsidRPr="00674982">
        <w:rPr>
          <w:rFonts w:eastAsia="Times New Roman" w:cstheme="minorHAnsi"/>
          <w:i/>
          <w:iCs/>
          <w:lang w:eastAsia="en-AU"/>
        </w:rPr>
        <w:t xml:space="preserve"> Version 2.0., January, Heads of EPA Australia and New Zealand, p. 102, viewed 25 May 2020,</w:t>
      </w:r>
      <w:r w:rsidRPr="00674982">
        <w:rPr>
          <w:rFonts w:eastAsia="Times New Roman" w:cstheme="minorHAnsi"/>
          <w:lang w:eastAsia="en-AU"/>
        </w:rPr>
        <w:t xml:space="preserve"> &lt;</w:t>
      </w:r>
      <w:hyperlink r:id="rId72" w:history="1">
        <w:r w:rsidRPr="00674982">
          <w:rPr>
            <w:rFonts w:eastAsia="Times New Roman" w:cstheme="minorHAnsi"/>
            <w:color w:val="0000FF"/>
            <w:u w:val="single"/>
            <w:lang w:eastAsia="en-AU"/>
          </w:rPr>
          <w:t>https://www.environment.gov.au/protection/publications/pfas-nemp-2</w:t>
        </w:r>
      </w:hyperlink>
      <w:r w:rsidRPr="00674982">
        <w:rPr>
          <w:rFonts w:eastAsia="Times New Roman" w:cstheme="minorHAnsi"/>
          <w:lang w:eastAsia="en-AU"/>
        </w:rPr>
        <w:t>&gt;.</w:t>
      </w:r>
    </w:p>
    <w:p w14:paraId="41CDA714"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Hereman TC and Bittencourt-Oliveira MC (2012) ‘Bioaccumulation Of Microcystins In Lettuce’, </w:t>
      </w:r>
      <w:r w:rsidRPr="00674982">
        <w:rPr>
          <w:rFonts w:eastAsia="Times New Roman" w:cstheme="minorHAnsi"/>
          <w:i/>
          <w:iCs/>
          <w:lang w:eastAsia="en-AU"/>
        </w:rPr>
        <w:t>Journal of Phycology</w:t>
      </w:r>
      <w:r w:rsidRPr="00674982">
        <w:rPr>
          <w:rFonts w:eastAsia="Times New Roman" w:cstheme="minorHAnsi"/>
          <w:lang w:eastAsia="en-AU"/>
        </w:rPr>
        <w:t>, 48</w:t>
      </w:r>
      <w:r>
        <w:rPr>
          <w:rFonts w:eastAsia="Times New Roman" w:cstheme="minorHAnsi"/>
          <w:lang w:eastAsia="en-AU"/>
        </w:rPr>
        <w:t>(</w:t>
      </w:r>
      <w:r w:rsidRPr="00674982">
        <w:rPr>
          <w:rFonts w:eastAsia="Times New Roman" w:cstheme="minorHAnsi"/>
          <w:lang w:eastAsia="en-AU"/>
        </w:rPr>
        <w:t>6</w:t>
      </w:r>
      <w:r>
        <w:rPr>
          <w:rFonts w:eastAsia="Times New Roman" w:cstheme="minorHAnsi"/>
          <w:lang w:eastAsia="en-AU"/>
        </w:rPr>
        <w:t>):</w:t>
      </w:r>
      <w:r w:rsidRPr="00674982">
        <w:rPr>
          <w:rFonts w:eastAsia="Times New Roman" w:cstheme="minorHAnsi"/>
          <w:lang w:eastAsia="en-AU"/>
        </w:rPr>
        <w:t>1535–1537.</w:t>
      </w:r>
    </w:p>
    <w:p w14:paraId="098F82AF"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Herms U and Brümmer G (1984) ‘Einflussgrossen der schwer-metalloslichkeit und bindung in boden’, </w:t>
      </w:r>
      <w:r w:rsidRPr="00674982">
        <w:rPr>
          <w:rFonts w:eastAsia="Times New Roman" w:cstheme="minorHAnsi"/>
          <w:i/>
          <w:iCs/>
          <w:lang w:eastAsia="en-AU"/>
        </w:rPr>
        <w:t>Zeitschrift fuer Pflanzenernaehrung und Bodenkunde</w:t>
      </w:r>
      <w:r w:rsidRPr="00674982">
        <w:rPr>
          <w:rFonts w:eastAsia="Times New Roman" w:cstheme="minorHAnsi"/>
          <w:lang w:eastAsia="en-AU"/>
        </w:rPr>
        <w:t>, 147</w:t>
      </w:r>
      <w:r>
        <w:rPr>
          <w:rFonts w:eastAsia="Times New Roman" w:cstheme="minorHAnsi"/>
          <w:lang w:eastAsia="en-AU"/>
        </w:rPr>
        <w:t>:</w:t>
      </w:r>
      <w:r w:rsidRPr="00674982">
        <w:rPr>
          <w:rFonts w:eastAsia="Times New Roman" w:cstheme="minorHAnsi"/>
          <w:lang w:eastAsia="en-AU"/>
        </w:rPr>
        <w:t>400–424.</w:t>
      </w:r>
    </w:p>
    <w:p w14:paraId="619533F0" w14:textId="77777777" w:rsidR="002056DA" w:rsidRPr="00674982" w:rsidRDefault="002056DA" w:rsidP="002056DA">
      <w:r w:rsidRPr="00674982">
        <w:t xml:space="preserve">Heuer B, Meiri A and Shal hevet J, (1986) ‘Salt tolerance of egg plant’, </w:t>
      </w:r>
      <w:r w:rsidRPr="00674982">
        <w:rPr>
          <w:i/>
          <w:iCs/>
        </w:rPr>
        <w:t>Plant and Soil</w:t>
      </w:r>
      <w:r w:rsidRPr="00674982">
        <w:t>,</w:t>
      </w:r>
      <w:r w:rsidRPr="00674982">
        <w:rPr>
          <w:i/>
          <w:iCs/>
        </w:rPr>
        <w:t xml:space="preserve"> </w:t>
      </w:r>
      <w:r w:rsidRPr="00674982">
        <w:t xml:space="preserve">vol. 95, pp. 9–13. </w:t>
      </w:r>
    </w:p>
    <w:p w14:paraId="33F65927"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lastRenderedPageBreak/>
        <w:t xml:space="preserve">HI (2020) ‘Reducing Food Safety Risk from Pre-Harvest Water’ </w:t>
      </w:r>
      <w:r w:rsidRPr="00674982">
        <w:rPr>
          <w:rFonts w:eastAsia="Times New Roman" w:cstheme="minorHAnsi"/>
          <w:i/>
          <w:iCs/>
          <w:lang w:eastAsia="en-AU"/>
        </w:rPr>
        <w:t>Hort Innovation (HI), Applied Horticultural Research Pty Ltd (AHR) Fresh Produce Safety Centre (FPSC), Freshcare (FC) and the University of Sydney (USyd).</w:t>
      </w:r>
    </w:p>
    <w:p w14:paraId="0CC6F447"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Hilgeman RH, Fuller WH, True LF, Sharpler GG and Smith DF (1970) ‘Lithium toxicity in ‘marsh’ grapefruit in Arizona. I. Mortality experience in the factory’, </w:t>
      </w:r>
      <w:r w:rsidRPr="00674982">
        <w:rPr>
          <w:rFonts w:eastAsia="Times New Roman" w:cstheme="minorHAnsi"/>
          <w:i/>
          <w:iCs/>
          <w:lang w:eastAsia="en-AU"/>
        </w:rPr>
        <w:t>British Journal of Industrial Medicine</w:t>
      </w:r>
      <w:r w:rsidRPr="00674982">
        <w:rPr>
          <w:rFonts w:eastAsia="Times New Roman" w:cstheme="minorHAnsi"/>
          <w:lang w:eastAsia="en-AU"/>
        </w:rPr>
        <w:t>, vol. 5, pp. 1–6.</w:t>
      </w:r>
    </w:p>
    <w:p w14:paraId="479609BB" w14:textId="77777777" w:rsidR="002056DA" w:rsidRPr="00674982" w:rsidRDefault="002056DA" w:rsidP="002056DA">
      <w:pPr>
        <w:pStyle w:val="Bibliography"/>
        <w:spacing w:line="240" w:lineRule="auto"/>
        <w:ind w:left="0" w:firstLine="0"/>
        <w:rPr>
          <w:rFonts w:cs="Arial"/>
        </w:rPr>
      </w:pPr>
      <w:r w:rsidRPr="00674982">
        <w:rPr>
          <w:rFonts w:cs="Arial"/>
        </w:rPr>
        <w:t xml:space="preserve">Hodgson JF (1960) ‘Cobalt reactions with montmorillonite’, </w:t>
      </w:r>
      <w:r w:rsidRPr="00674982">
        <w:rPr>
          <w:rFonts w:cs="Arial"/>
          <w:i/>
          <w:iCs/>
        </w:rPr>
        <w:t>Soil Science Society of America Proceedings</w:t>
      </w:r>
      <w:r w:rsidRPr="00674982">
        <w:rPr>
          <w:rFonts w:cs="Arial"/>
        </w:rPr>
        <w:t>, 24</w:t>
      </w:r>
      <w:r>
        <w:rPr>
          <w:rFonts w:cs="Arial"/>
        </w:rPr>
        <w:t>:</w:t>
      </w:r>
      <w:r w:rsidRPr="00674982">
        <w:rPr>
          <w:rFonts w:cs="Arial"/>
        </w:rPr>
        <w:t>165–168.</w:t>
      </w:r>
    </w:p>
    <w:p w14:paraId="62001EC7" w14:textId="77777777" w:rsidR="002056DA" w:rsidRPr="00674982" w:rsidRDefault="002056DA" w:rsidP="002056DA">
      <w:pPr>
        <w:spacing w:line="240" w:lineRule="auto"/>
      </w:pPr>
      <w:r w:rsidRPr="00674982">
        <w:t xml:space="preserve">Holford ICR (1997) ‘Soil phosphorus: Its measurement, and its uptake by plants’, </w:t>
      </w:r>
      <w:r w:rsidRPr="00674982">
        <w:rPr>
          <w:i/>
          <w:iCs/>
        </w:rPr>
        <w:t>Australian Journal of Soil Research</w:t>
      </w:r>
      <w:r w:rsidRPr="00674982">
        <w:t>,</w:t>
      </w:r>
      <w:r>
        <w:t xml:space="preserve"> </w:t>
      </w:r>
      <w:r w:rsidRPr="00674982">
        <w:t>35</w:t>
      </w:r>
      <w:r>
        <w:t>:</w:t>
      </w:r>
      <w:r w:rsidRPr="00674982">
        <w:t xml:space="preserve">227–239. </w:t>
      </w:r>
    </w:p>
    <w:p w14:paraId="39A99BF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Hong CX and Moorman GW (2005) ‘Plant pathogens in irrigation water: Challenges and opportunities’, </w:t>
      </w:r>
      <w:r w:rsidRPr="00674982">
        <w:rPr>
          <w:rFonts w:eastAsia="Times New Roman" w:cstheme="minorHAnsi"/>
          <w:i/>
          <w:iCs/>
          <w:lang w:eastAsia="en-AU"/>
        </w:rPr>
        <w:t>Critical Reviews in Plant Sciences</w:t>
      </w:r>
      <w:r w:rsidRPr="00674982">
        <w:rPr>
          <w:rFonts w:eastAsia="Times New Roman" w:cstheme="minorHAnsi"/>
          <w:lang w:eastAsia="en-AU"/>
        </w:rPr>
        <w:t>, 24</w:t>
      </w:r>
      <w:r>
        <w:rPr>
          <w:rFonts w:eastAsia="Times New Roman" w:cstheme="minorHAnsi"/>
          <w:lang w:eastAsia="en-AU"/>
        </w:rPr>
        <w:t>(</w:t>
      </w:r>
      <w:r w:rsidRPr="00674982">
        <w:rPr>
          <w:rFonts w:eastAsia="Times New Roman" w:cstheme="minorHAnsi"/>
          <w:lang w:eastAsia="en-AU"/>
        </w:rPr>
        <w:t>3</w:t>
      </w:r>
      <w:r>
        <w:rPr>
          <w:rFonts w:eastAsia="Times New Roman" w:cstheme="minorHAnsi"/>
          <w:lang w:eastAsia="en-AU"/>
        </w:rPr>
        <w:t>):</w:t>
      </w:r>
      <w:r w:rsidRPr="00674982">
        <w:rPr>
          <w:rFonts w:eastAsia="Times New Roman" w:cstheme="minorHAnsi"/>
          <w:lang w:eastAsia="en-AU"/>
        </w:rPr>
        <w:t>189–208.</w:t>
      </w:r>
    </w:p>
    <w:p w14:paraId="3AD08315" w14:textId="77777777" w:rsidR="002056DA" w:rsidRPr="00674982" w:rsidRDefault="002056DA" w:rsidP="002056DA">
      <w:pPr>
        <w:spacing w:line="240" w:lineRule="auto"/>
      </w:pPr>
      <w:r w:rsidRPr="00674982">
        <w:t xml:space="preserve">Hornburg V and Brümmer G (1989) ‘Untersuchungen zur mobilitat und verfugbarkeit von metallen in boden’ </w:t>
      </w:r>
      <w:r w:rsidRPr="00674982">
        <w:rPr>
          <w:i/>
          <w:iCs/>
        </w:rPr>
        <w:t xml:space="preserve">Mitteilungen der Deutschen Bodenkundl Gesellschaft. </w:t>
      </w:r>
      <w:r w:rsidRPr="00C00454">
        <w:t>59(II):727–731.</w:t>
      </w:r>
    </w:p>
    <w:p w14:paraId="6C41933E" w14:textId="77777777" w:rsidR="002056DA" w:rsidRPr="00674982" w:rsidRDefault="002056DA" w:rsidP="002056DA">
      <w:pPr>
        <w:spacing w:line="240" w:lineRule="auto"/>
        <w:rPr>
          <w:i/>
          <w:iCs/>
        </w:rPr>
      </w:pPr>
      <w:r w:rsidRPr="00674982">
        <w:t xml:space="preserve">Hunter HM (1992) ‘Agricultural contaminants in aquatic environments: A review’ </w:t>
      </w:r>
      <w:r w:rsidRPr="00674982">
        <w:rPr>
          <w:i/>
          <w:iCs/>
        </w:rPr>
        <w:t>Queensland Department of Primary Industries publication QB92002, Brisbane.</w:t>
      </w:r>
    </w:p>
    <w:p w14:paraId="2ABAB0D4"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ICRP 1996, </w:t>
      </w:r>
      <w:r w:rsidRPr="00674982">
        <w:rPr>
          <w:rFonts w:eastAsia="Times New Roman" w:cstheme="minorHAnsi"/>
          <w:i/>
          <w:iCs/>
          <w:lang w:eastAsia="en-AU"/>
        </w:rPr>
        <w:t>Age dependent doses to members of the public from intake of radionuclides: Part 5. Compilation of ingestion and inhalation dose coefficients</w:t>
      </w:r>
      <w:r w:rsidRPr="00674982">
        <w:rPr>
          <w:rFonts w:eastAsia="Times New Roman" w:cstheme="minorHAnsi"/>
          <w:lang w:eastAsia="en-AU"/>
        </w:rPr>
        <w:t>, International Commission on Radiological Protection.</w:t>
      </w:r>
    </w:p>
    <w:p w14:paraId="571E7FD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Inbar Y (2007) ‘New standards for treated wastewater reuse in Israel’, </w:t>
      </w:r>
      <w:r w:rsidRPr="00674982">
        <w:rPr>
          <w:rFonts w:eastAsia="Times New Roman" w:cstheme="minorHAnsi"/>
          <w:i/>
          <w:iCs/>
          <w:lang w:eastAsia="en-AU"/>
        </w:rPr>
        <w:t xml:space="preserve">in Zaidi, MK (ed.), Wasterwater Reused – Risk assessment, decision-making and eEnvironmental Security, NATO Science for Peace and Security Series C-Environmental Security, </w:t>
      </w:r>
      <w:r w:rsidRPr="00C00454">
        <w:rPr>
          <w:rFonts w:eastAsia="Times New Roman" w:cstheme="minorHAnsi"/>
          <w:lang w:eastAsia="en-AU"/>
        </w:rPr>
        <w:t>p.291</w:t>
      </w:r>
      <w:r w:rsidRPr="00674982">
        <w:rPr>
          <w:rFonts w:eastAsia="Times New Roman" w:cstheme="minorHAnsi"/>
          <w:i/>
          <w:iCs/>
          <w:lang w:eastAsia="en-AU"/>
        </w:rPr>
        <w:t>.</w:t>
      </w:r>
    </w:p>
    <w:p w14:paraId="481C5318" w14:textId="77777777" w:rsidR="002056DA" w:rsidRPr="00674982" w:rsidRDefault="002056DA" w:rsidP="002056DA">
      <w:pPr>
        <w:spacing w:line="240" w:lineRule="auto"/>
        <w:rPr>
          <w:i/>
          <w:iCs/>
        </w:rPr>
      </w:pPr>
      <w:r w:rsidRPr="00674982">
        <w:t xml:space="preserve">International Atomic Energy Agency (1994) ‘Handbook of parameter values for the prediction of radionuclide transfer in temperate environments’ </w:t>
      </w:r>
      <w:r w:rsidRPr="00674982">
        <w:rPr>
          <w:i/>
          <w:iCs/>
        </w:rPr>
        <w:t>Technical report series TRS No 364, International Atomic Energy Agency, Vienna.</w:t>
      </w:r>
    </w:p>
    <w:p w14:paraId="01ACABB2"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Ishikawa N, Ishioka, G, Yanaka, M, Takata, K and Murakami, M 2015, ‘Effects of Ammonium Chloride Fertilizer and its Application Stage on Cadmium Concentrations in Wheat (</w:t>
      </w:r>
      <w:r w:rsidRPr="00674982">
        <w:rPr>
          <w:rFonts w:eastAsia="Times New Roman" w:cstheme="minorHAnsi"/>
          <w:i/>
          <w:iCs/>
          <w:lang w:eastAsia="en-AU"/>
        </w:rPr>
        <w:t>Triticum aestivum L</w:t>
      </w:r>
      <w:r w:rsidRPr="00674982">
        <w:rPr>
          <w:rFonts w:eastAsia="Times New Roman" w:cstheme="minorHAnsi"/>
          <w:lang w:eastAsia="en-AU"/>
        </w:rPr>
        <w:t xml:space="preserve">.) Grain’, </w:t>
      </w:r>
      <w:r w:rsidRPr="00674982">
        <w:rPr>
          <w:rFonts w:eastAsia="Times New Roman" w:cstheme="minorHAnsi"/>
          <w:i/>
          <w:iCs/>
          <w:lang w:eastAsia="en-AU"/>
        </w:rPr>
        <w:t>Plant Production Science</w:t>
      </w:r>
      <w:r w:rsidRPr="00674982">
        <w:rPr>
          <w:rFonts w:eastAsia="Times New Roman" w:cstheme="minorHAnsi"/>
          <w:lang w:eastAsia="en-AU"/>
        </w:rPr>
        <w:t>, 18</w:t>
      </w:r>
      <w:r>
        <w:rPr>
          <w:rFonts w:eastAsia="Times New Roman" w:cstheme="minorHAnsi"/>
          <w:lang w:eastAsia="en-AU"/>
        </w:rPr>
        <w:t>(</w:t>
      </w:r>
      <w:r w:rsidRPr="00674982">
        <w:rPr>
          <w:rFonts w:eastAsia="Times New Roman" w:cstheme="minorHAnsi"/>
          <w:lang w:eastAsia="en-AU"/>
        </w:rPr>
        <w:t>2</w:t>
      </w:r>
      <w:r>
        <w:rPr>
          <w:rFonts w:eastAsia="Times New Roman" w:cstheme="minorHAnsi"/>
          <w:lang w:eastAsia="en-AU"/>
        </w:rPr>
        <w:t>):</w:t>
      </w:r>
      <w:r w:rsidRPr="00674982">
        <w:rPr>
          <w:rFonts w:eastAsia="Times New Roman" w:cstheme="minorHAnsi"/>
          <w:lang w:eastAsia="en-AU"/>
        </w:rPr>
        <w:t>137–145.</w:t>
      </w:r>
    </w:p>
    <w:p w14:paraId="5843755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ISO (2020) ‘Guidelines for treated wastewater use for irrigation projects — Part 1: The basis of a reuse project for irrigation. ISO 16075-1:2020, ISO 16075-1:2020’ </w:t>
      </w:r>
      <w:r w:rsidRPr="00674982">
        <w:rPr>
          <w:rFonts w:eastAsia="Times New Roman" w:cstheme="minorHAnsi"/>
          <w:i/>
          <w:iCs/>
          <w:lang w:eastAsia="en-AU"/>
        </w:rPr>
        <w:t>viewed 22 February 2021,</w:t>
      </w:r>
      <w:r w:rsidRPr="00674982">
        <w:rPr>
          <w:rFonts w:eastAsia="Times New Roman" w:cstheme="minorHAnsi"/>
          <w:lang w:eastAsia="en-AU"/>
        </w:rPr>
        <w:t xml:space="preserve"> &lt;</w:t>
      </w:r>
      <w:hyperlink r:id="rId73" w:history="1">
        <w:r w:rsidRPr="00674982">
          <w:rPr>
            <w:rFonts w:eastAsia="Times New Roman" w:cstheme="minorHAnsi"/>
            <w:color w:val="0000FF"/>
            <w:u w:val="single"/>
            <w:lang w:eastAsia="en-AU"/>
          </w:rPr>
          <w:t>https://www.iso.org/standard/73482.html</w:t>
        </w:r>
      </w:hyperlink>
      <w:r w:rsidRPr="00674982">
        <w:rPr>
          <w:rFonts w:eastAsia="Times New Roman" w:cstheme="minorHAnsi"/>
          <w:lang w:eastAsia="en-AU"/>
        </w:rPr>
        <w:t>&gt;.</w:t>
      </w:r>
    </w:p>
    <w:p w14:paraId="2EF8CAB2" w14:textId="77777777" w:rsidR="002056DA" w:rsidRPr="00674982" w:rsidRDefault="002056DA" w:rsidP="002056DA">
      <w:pPr>
        <w:spacing w:line="240" w:lineRule="auto"/>
      </w:pPr>
      <w:r w:rsidRPr="00674982">
        <w:t xml:space="preserve">Järvenpää S, Lundberg-Niinisto C, Spoof L, Sjovall O, Tyystjarvi E and Meriluoto J (2007) ‘Effects of microcystins on broccoli and mustard, and analysis of accumulated toxin by liquid chromatography-mass spectrometry’, </w:t>
      </w:r>
      <w:r w:rsidRPr="00674982">
        <w:rPr>
          <w:i/>
          <w:iCs/>
        </w:rPr>
        <w:t>Toxicon.,</w:t>
      </w:r>
      <w:r w:rsidRPr="00674982">
        <w:t xml:space="preserve"> 49</w:t>
      </w:r>
      <w:r>
        <w:t>(</w:t>
      </w:r>
      <w:r w:rsidRPr="00674982">
        <w:t>6</w:t>
      </w:r>
      <w:r>
        <w:t>):</w:t>
      </w:r>
      <w:r w:rsidRPr="00674982">
        <w:t xml:space="preserve">865–874. </w:t>
      </w:r>
    </w:p>
    <w:p w14:paraId="1984DB78" w14:textId="77777777" w:rsidR="002056DA" w:rsidRPr="00674982" w:rsidRDefault="002056DA" w:rsidP="002056DA">
      <w:pPr>
        <w:pStyle w:val="Bibliography"/>
        <w:spacing w:line="240" w:lineRule="auto"/>
        <w:ind w:left="0" w:firstLine="0"/>
        <w:rPr>
          <w:rFonts w:cs="Arial"/>
          <w:i/>
          <w:iCs/>
        </w:rPr>
      </w:pPr>
      <w:r w:rsidRPr="00674982">
        <w:rPr>
          <w:rFonts w:cs="Arial"/>
        </w:rPr>
        <w:t xml:space="preserve">Jaworski JF (1979) ‘Effects of lead in the environment—1978. Quantitative aspects’ </w:t>
      </w:r>
      <w:r w:rsidRPr="00674982">
        <w:rPr>
          <w:rFonts w:cs="Arial"/>
          <w:i/>
          <w:iCs/>
        </w:rPr>
        <w:t>NRC publication 16736, Associate Committee on Scientific Criteria for Environmental Quality, National Research Council of Canada, Ottawa.</w:t>
      </w:r>
    </w:p>
    <w:p w14:paraId="18E4450A"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Jelali N, Salah IB, M’sehli W, Donnini S, Zocchi G and Gharsalli M (2011) ‘Comparison of three pea cultivars (Pisum sativum) regarding their responses to direct and bicarbonate-induced iron deficiency’, </w:t>
      </w:r>
      <w:r w:rsidRPr="00674982">
        <w:rPr>
          <w:rFonts w:eastAsia="Times New Roman" w:cstheme="minorHAnsi"/>
          <w:i/>
          <w:iCs/>
          <w:lang w:eastAsia="en-AU"/>
        </w:rPr>
        <w:t>Scientia Horticulturae</w:t>
      </w:r>
      <w:r w:rsidRPr="00674982">
        <w:rPr>
          <w:rFonts w:eastAsia="Times New Roman" w:cstheme="minorHAnsi"/>
          <w:lang w:eastAsia="en-AU"/>
        </w:rPr>
        <w:t>, 129</w:t>
      </w:r>
      <w:r>
        <w:rPr>
          <w:rFonts w:eastAsia="Times New Roman" w:cstheme="minorHAnsi"/>
          <w:lang w:eastAsia="en-AU"/>
        </w:rPr>
        <w:t>(</w:t>
      </w:r>
      <w:r w:rsidRPr="00674982">
        <w:rPr>
          <w:rFonts w:eastAsia="Times New Roman" w:cstheme="minorHAnsi"/>
          <w:lang w:eastAsia="en-AU"/>
        </w:rPr>
        <w:t>4</w:t>
      </w:r>
      <w:r>
        <w:rPr>
          <w:rFonts w:eastAsia="Times New Roman" w:cstheme="minorHAnsi"/>
          <w:lang w:eastAsia="en-AU"/>
        </w:rPr>
        <w:t>):</w:t>
      </w:r>
      <w:r w:rsidRPr="00674982">
        <w:rPr>
          <w:rFonts w:eastAsia="Times New Roman" w:cstheme="minorHAnsi"/>
          <w:lang w:eastAsia="en-AU"/>
        </w:rPr>
        <w:t>548–553.</w:t>
      </w:r>
    </w:p>
    <w:p w14:paraId="08395E30" w14:textId="77777777" w:rsidR="002056DA" w:rsidRPr="00674982" w:rsidRDefault="002056DA" w:rsidP="002056DA">
      <w:pPr>
        <w:spacing w:line="240" w:lineRule="auto"/>
      </w:pPr>
      <w:r w:rsidRPr="00674982">
        <w:lastRenderedPageBreak/>
        <w:t xml:space="preserve">Jones GJ and Orr PT (1994) ‘Release and degradation of microcystin following algicide treatment of a Microcystis aeruginosa bloom in a recreational lake, as determined by HPLC and protein phosphatase inhibition assay’, </w:t>
      </w:r>
      <w:r w:rsidRPr="00674982">
        <w:rPr>
          <w:i/>
          <w:iCs/>
        </w:rPr>
        <w:t>Water Resources</w:t>
      </w:r>
      <w:r w:rsidRPr="00674982">
        <w:t>, 28</w:t>
      </w:r>
      <w:r>
        <w:t>:</w:t>
      </w:r>
      <w:r w:rsidRPr="00674982">
        <w:t>871–876.</w:t>
      </w:r>
    </w:p>
    <w:p w14:paraId="1BDF0AD7" w14:textId="77777777" w:rsidR="002056DA" w:rsidRPr="00674982" w:rsidRDefault="002056DA" w:rsidP="002056DA">
      <w:pPr>
        <w:spacing w:line="240" w:lineRule="auto"/>
      </w:pPr>
      <w:r w:rsidRPr="00674982">
        <w:t xml:space="preserve">Jones GJ, Falconer IF, Burch M and Craig K (1993) ‘Cyanobacterial toxicity. In Murray–Darling Basin Commission: Algal management strategy’ </w:t>
      </w:r>
      <w:r w:rsidRPr="00674982">
        <w:rPr>
          <w:i/>
          <w:iCs/>
        </w:rPr>
        <w:t xml:space="preserve">Technical Advisory Group reports, Canberra, </w:t>
      </w:r>
      <w:r w:rsidRPr="00C00454">
        <w:t>17–32.</w:t>
      </w:r>
    </w:p>
    <w:p w14:paraId="56AFA4CF" w14:textId="77777777" w:rsidR="002056DA" w:rsidRPr="00674982" w:rsidRDefault="002056DA" w:rsidP="002056DA">
      <w:pPr>
        <w:spacing w:line="240" w:lineRule="auto"/>
        <w:rPr>
          <w:i/>
          <w:iCs/>
        </w:rPr>
      </w:pPr>
      <w:r w:rsidRPr="00674982">
        <w:t xml:space="preserve">Jones G. and Orr P. (2000) ‘Development of a Toxic Cyanobacteria Management Plan for Southern Rural Water, Victoria. Stage 1: Water usage risks, water storage vulnerability, advisory levels and best practices’ </w:t>
      </w:r>
      <w:r w:rsidRPr="00674982">
        <w:rPr>
          <w:i/>
          <w:iCs/>
        </w:rPr>
        <w:t>CSIRO Land and Water Final Report to Southern Rural Water.</w:t>
      </w:r>
    </w:p>
    <w:p w14:paraId="2B5276B6"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Jones JJB (2001) ‘Laboratory Guide for Conducting Soil Tests and Plant Analysis</w:t>
      </w:r>
      <w:r w:rsidRPr="00674982">
        <w:rPr>
          <w:rFonts w:eastAsia="Times New Roman" w:cstheme="minorHAnsi"/>
          <w:i/>
          <w:iCs/>
          <w:lang w:eastAsia="en-AU"/>
        </w:rPr>
        <w:t>’</w:t>
      </w:r>
      <w:r w:rsidRPr="00674982">
        <w:rPr>
          <w:rFonts w:eastAsia="Times New Roman" w:cstheme="minorHAnsi"/>
          <w:lang w:eastAsia="en-AU"/>
        </w:rPr>
        <w:t xml:space="preserve"> </w:t>
      </w:r>
      <w:r w:rsidRPr="00674982">
        <w:rPr>
          <w:rFonts w:eastAsia="Times New Roman" w:cstheme="minorHAnsi"/>
          <w:i/>
          <w:iCs/>
          <w:lang w:eastAsia="en-AU"/>
        </w:rPr>
        <w:t>1st ed., CRC Press, Boca Raton, Florida, USA.</w:t>
      </w:r>
    </w:p>
    <w:p w14:paraId="15A0F1F8" w14:textId="77777777" w:rsidR="002056DA" w:rsidRPr="00674982" w:rsidRDefault="002056DA" w:rsidP="002056DA">
      <w:pPr>
        <w:spacing w:line="240" w:lineRule="auto"/>
        <w:rPr>
          <w:rFonts w:eastAsia="Times New Roman" w:cstheme="minorHAnsi"/>
          <w:lang w:eastAsia="en-AU"/>
        </w:rPr>
      </w:pPr>
      <w:r w:rsidRPr="00674982">
        <w:rPr>
          <w:rFonts w:cs="Arial"/>
        </w:rPr>
        <w:t xml:space="preserve">Karimi HR and Eini Tari F (2017) ‘Effects of NaHCO3 on photosynthetic characteristics, and iron and sodium transfer in pomegranate’, </w:t>
      </w:r>
      <w:r w:rsidRPr="00674982">
        <w:rPr>
          <w:rFonts w:cs="Arial"/>
          <w:i/>
          <w:iCs/>
        </w:rPr>
        <w:t>Journal of Plant Nutrition</w:t>
      </w:r>
      <w:r w:rsidRPr="00674982">
        <w:rPr>
          <w:rFonts w:cs="Arial"/>
        </w:rPr>
        <w:t>, 40</w:t>
      </w:r>
      <w:r>
        <w:rPr>
          <w:rFonts w:cs="Arial"/>
        </w:rPr>
        <w:t>(</w:t>
      </w:r>
      <w:r w:rsidRPr="00674982">
        <w:rPr>
          <w:rFonts w:cs="Arial"/>
        </w:rPr>
        <w:t>1</w:t>
      </w:r>
      <w:r>
        <w:rPr>
          <w:rFonts w:cs="Arial"/>
        </w:rPr>
        <w:t>):</w:t>
      </w:r>
      <w:r w:rsidRPr="00674982">
        <w:rPr>
          <w:rFonts w:cs="Arial"/>
        </w:rPr>
        <w:t>11–22</w:t>
      </w:r>
    </w:p>
    <w:p w14:paraId="5A6F865E" w14:textId="77777777" w:rsidR="002056DA" w:rsidRPr="00674982" w:rsidRDefault="002056DA" w:rsidP="002056DA">
      <w:pPr>
        <w:spacing w:line="240" w:lineRule="auto"/>
      </w:pPr>
      <w:r w:rsidRPr="00674982">
        <w:t xml:space="preserve">Keating BA, Bauld J, Hillier J, Ellis R, Weier KI, Sunners F and Connell D (1996) ‘Leaching of nutrients and pesticides to Queensland groundwaters. In Downstream effects of land use’ </w:t>
      </w:r>
      <w:r w:rsidRPr="00674982">
        <w:rPr>
          <w:i/>
          <w:iCs/>
        </w:rPr>
        <w:t xml:space="preserve">eds HM Hunter, AG Eyles and GE Rayment, Queensland Department of Natural Resources, Brisbane, </w:t>
      </w:r>
      <w:r w:rsidRPr="00C00454">
        <w:t>151–163.</w:t>
      </w:r>
    </w:p>
    <w:p w14:paraId="0382A4BC" w14:textId="77777777" w:rsidR="002056DA" w:rsidRPr="00674982" w:rsidRDefault="002056DA" w:rsidP="002056DA">
      <w:pPr>
        <w:spacing w:line="240" w:lineRule="auto"/>
      </w:pPr>
      <w:r w:rsidRPr="00674982">
        <w:t xml:space="preserve">Kelly GJ and Kemp RG (1975) ‘Guidelines for the selection of turbine pump materials for use in groundwaters’ </w:t>
      </w:r>
      <w:r w:rsidRPr="00674982">
        <w:rPr>
          <w:i/>
          <w:iCs/>
        </w:rPr>
        <w:t>Australian Water Resources Council technical paper 14, AGPS, Canberra.</w:t>
      </w:r>
    </w:p>
    <w:p w14:paraId="45F678F1" w14:textId="77777777" w:rsidR="002056DA" w:rsidRPr="00674982" w:rsidRDefault="002056DA" w:rsidP="002056DA">
      <w:pPr>
        <w:pStyle w:val="Bibliography"/>
        <w:spacing w:line="240" w:lineRule="auto"/>
        <w:ind w:left="0" w:firstLine="0"/>
        <w:rPr>
          <w:rFonts w:cs="Arial"/>
        </w:rPr>
      </w:pPr>
      <w:r w:rsidRPr="00674982">
        <w:rPr>
          <w:rFonts w:cs="Arial"/>
        </w:rPr>
        <w:t>Kelly JK and Rengasamy P (2006) ‘Diagnosis and management of soil constraints: Transient Salinity, Sodicity and Alkalinity</w:t>
      </w:r>
      <w:r w:rsidRPr="00674982">
        <w:rPr>
          <w:rFonts w:cs="Arial"/>
          <w:i/>
          <w:iCs/>
        </w:rPr>
        <w:t>’</w:t>
      </w:r>
      <w:r w:rsidRPr="00674982">
        <w:rPr>
          <w:rFonts w:cs="Arial"/>
        </w:rPr>
        <w:t xml:space="preserve"> </w:t>
      </w:r>
      <w:r w:rsidRPr="00674982">
        <w:rPr>
          <w:rFonts w:cs="Arial"/>
          <w:i/>
          <w:iCs/>
        </w:rPr>
        <w:t>The University of Adelaide, Waite Campus, South Australia., Urrbrae.</w:t>
      </w:r>
    </w:p>
    <w:p w14:paraId="1B8A9BA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Kingston G and Anink MC (2005) ‘Use of in-field measurements to refine salinity tolerance thresholds for cultivars of sugarcane’, in </w:t>
      </w:r>
      <w:r w:rsidRPr="00674982">
        <w:rPr>
          <w:rFonts w:eastAsia="Times New Roman" w:cstheme="minorHAnsi"/>
          <w:i/>
          <w:iCs/>
          <w:lang w:eastAsia="en-AU"/>
        </w:rPr>
        <w:t>Proceedings of the International Society of Sugar Cane technologists</w:t>
      </w:r>
      <w:r w:rsidRPr="00674982">
        <w:rPr>
          <w:rFonts w:eastAsia="Times New Roman" w:cstheme="minorHAnsi"/>
          <w:lang w:eastAsia="en-AU"/>
        </w:rPr>
        <w:t>, vol. 25, Guatemala City, 147–153.</w:t>
      </w:r>
    </w:p>
    <w:p w14:paraId="2F832BCB" w14:textId="77777777" w:rsidR="002056DA" w:rsidRPr="00674982" w:rsidRDefault="002056DA" w:rsidP="002056DA">
      <w:pPr>
        <w:pStyle w:val="Bibliography"/>
        <w:spacing w:line="240" w:lineRule="auto"/>
        <w:ind w:left="0" w:firstLine="0"/>
        <w:rPr>
          <w:rFonts w:cs="Arial"/>
          <w:i/>
          <w:iCs/>
        </w:rPr>
      </w:pPr>
      <w:r w:rsidRPr="00674982">
        <w:rPr>
          <w:rFonts w:cs="Arial"/>
        </w:rPr>
        <w:t xml:space="preserve">Kirkby CA, Smythe LJ, Cox JW and Chittleborough DJ (1997) ‘Phosphorus movement down a toposequence from a landscape with texture contrast soils’, </w:t>
      </w:r>
      <w:r w:rsidRPr="00674982">
        <w:rPr>
          <w:rFonts w:cs="Arial"/>
          <w:i/>
          <w:iCs/>
        </w:rPr>
        <w:t xml:space="preserve">Australian Journal of Soil Research,  </w:t>
      </w:r>
      <w:r w:rsidRPr="00C00454">
        <w:rPr>
          <w:rFonts w:cs="Arial"/>
        </w:rPr>
        <w:t>35:399–417</w:t>
      </w:r>
      <w:r w:rsidRPr="00674982">
        <w:rPr>
          <w:rFonts w:cs="Arial"/>
          <w:i/>
          <w:iCs/>
        </w:rPr>
        <w:t>.</w:t>
      </w:r>
    </w:p>
    <w:p w14:paraId="5633CC75"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Kittler K, Schreiner M, Krumbein A, Manzei S, Koch M, Rohn S and Maul R (2012) ‘Uptake of the cyanobacterial toxin cylindrospermopsin in Brassica vegetables’, </w:t>
      </w:r>
      <w:r w:rsidRPr="00674982">
        <w:rPr>
          <w:rFonts w:eastAsia="Times New Roman" w:cstheme="minorHAnsi"/>
          <w:i/>
          <w:iCs/>
          <w:lang w:eastAsia="en-AU"/>
        </w:rPr>
        <w:t>Food Chemistry</w:t>
      </w:r>
      <w:r w:rsidRPr="00674982">
        <w:rPr>
          <w:rFonts w:eastAsia="Times New Roman" w:cstheme="minorHAnsi"/>
          <w:lang w:eastAsia="en-AU"/>
        </w:rPr>
        <w:t>, 133</w:t>
      </w:r>
      <w:r>
        <w:rPr>
          <w:rFonts w:eastAsia="Times New Roman" w:cstheme="minorHAnsi"/>
          <w:lang w:eastAsia="en-AU"/>
        </w:rPr>
        <w:t>(</w:t>
      </w:r>
      <w:r w:rsidRPr="00674982">
        <w:rPr>
          <w:rFonts w:eastAsia="Times New Roman" w:cstheme="minorHAnsi"/>
          <w:lang w:eastAsia="en-AU"/>
        </w:rPr>
        <w:t>3</w:t>
      </w:r>
      <w:r>
        <w:rPr>
          <w:rFonts w:eastAsia="Times New Roman" w:cstheme="minorHAnsi"/>
          <w:lang w:eastAsia="en-AU"/>
        </w:rPr>
        <w:t>):</w:t>
      </w:r>
      <w:r w:rsidRPr="00674982">
        <w:rPr>
          <w:rFonts w:eastAsia="Times New Roman" w:cstheme="minorHAnsi"/>
          <w:lang w:eastAsia="en-AU"/>
        </w:rPr>
        <w:t>875–879.</w:t>
      </w:r>
    </w:p>
    <w:p w14:paraId="1C3789CF"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Kleinschmidt R (2011) ‘Radioactive residues associated with water treatment, use and disposal in Australia’, </w:t>
      </w:r>
      <w:r w:rsidRPr="00674982">
        <w:rPr>
          <w:rFonts w:eastAsia="Times New Roman" w:cstheme="minorHAnsi"/>
          <w:i/>
          <w:iCs/>
          <w:lang w:eastAsia="en-AU"/>
        </w:rPr>
        <w:t>Queensland University of Technology, Faculty of science and Technology, Brisbane, Qld, Australia.</w:t>
      </w:r>
    </w:p>
    <w:p w14:paraId="19AE93DB"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Kotuby-Amacher J, Koenig R and Kitchen B (1987) ‘Salinity and plant tolerance’ </w:t>
      </w:r>
      <w:r w:rsidRPr="00674982">
        <w:rPr>
          <w:rFonts w:eastAsia="Times New Roman" w:cstheme="minorHAnsi"/>
          <w:i/>
          <w:iCs/>
          <w:lang w:eastAsia="en-AU"/>
        </w:rPr>
        <w:t>Utah State University Extension, Logan, Utah.</w:t>
      </w:r>
    </w:p>
    <w:p w14:paraId="596B013D"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Lal R, Fifield LK, Tims SG and Wasson RJ (2017) ‘239Pu fallout across continental Australia: Implications on 239Pu use as a soil tracer.’, </w:t>
      </w:r>
      <w:r w:rsidRPr="00674982">
        <w:rPr>
          <w:rFonts w:eastAsia="Times New Roman" w:cstheme="minorHAnsi"/>
          <w:i/>
          <w:iCs/>
          <w:lang w:eastAsia="en-AU"/>
        </w:rPr>
        <w:t>Journal of Environmental Radioactivity</w:t>
      </w:r>
      <w:r w:rsidRPr="00674982">
        <w:rPr>
          <w:rFonts w:eastAsia="Times New Roman" w:cstheme="minorHAnsi"/>
          <w:lang w:eastAsia="en-AU"/>
        </w:rPr>
        <w:t>, 394–403.</w:t>
      </w:r>
    </w:p>
    <w:p w14:paraId="791B6257" w14:textId="77777777" w:rsidR="002056DA" w:rsidRPr="00674982" w:rsidRDefault="002056DA" w:rsidP="002056DA">
      <w:pPr>
        <w:spacing w:line="240" w:lineRule="auto"/>
      </w:pPr>
      <w:r w:rsidRPr="00674982">
        <w:t xml:space="preserve">Langelier WF (1946) ‘The analytical control of anti-corrosion water treatment’, </w:t>
      </w:r>
      <w:r w:rsidRPr="00674982">
        <w:rPr>
          <w:i/>
          <w:iCs/>
        </w:rPr>
        <w:t>Journal of the American Water Works Association</w:t>
      </w:r>
      <w:r w:rsidRPr="00674982">
        <w:t>, 28</w:t>
      </w:r>
      <w:r>
        <w:t>(</w:t>
      </w:r>
      <w:r w:rsidRPr="00674982">
        <w:t>10</w:t>
      </w:r>
      <w:r>
        <w:t>):</w:t>
      </w:r>
      <w:r w:rsidRPr="00674982">
        <w:t>1500–1521.</w:t>
      </w:r>
    </w:p>
    <w:p w14:paraId="2A989400" w14:textId="77777777" w:rsidR="002056DA" w:rsidRPr="00674982" w:rsidRDefault="002056DA" w:rsidP="002056DA">
      <w:pPr>
        <w:spacing w:line="240" w:lineRule="auto"/>
      </w:pPr>
      <w:r w:rsidRPr="00674982">
        <w:t xml:space="preserve">Lantzke IR, Mitchell DS, Heritage AD, Sharma KP, Tanner CD, Raisin G, Ho G and Mitsch WJ (1999) ‘A model of factors controlling orthophosphate removal in planted vertical flow wetlands. Special issue: Constructed and natural wetlands for pollution control’, </w:t>
      </w:r>
      <w:r w:rsidRPr="00674982">
        <w:rPr>
          <w:i/>
          <w:iCs/>
        </w:rPr>
        <w:t>Ecological Engineering</w:t>
      </w:r>
      <w:r w:rsidRPr="00674982">
        <w:t>, 12</w:t>
      </w:r>
      <w:r>
        <w:t>(</w:t>
      </w:r>
      <w:r w:rsidRPr="00674982">
        <w:t>1–2</w:t>
      </w:r>
      <w:r>
        <w:t>):</w:t>
      </w:r>
      <w:r w:rsidRPr="00674982">
        <w:t>93–105.</w:t>
      </w:r>
    </w:p>
    <w:p w14:paraId="3A728929" w14:textId="77777777" w:rsidR="002056DA" w:rsidRPr="00674982" w:rsidRDefault="002056DA" w:rsidP="002056DA">
      <w:pPr>
        <w:spacing w:line="240" w:lineRule="auto"/>
      </w:pPr>
      <w:r w:rsidRPr="00674982">
        <w:lastRenderedPageBreak/>
        <w:t xml:space="preserve">Larsen RM, Ferguson J, Wade S, Hillier JR and Bauld J (1996) ‘Borehole corrosion in the Great Artesian Basin: Phase 1’ </w:t>
      </w:r>
      <w:r w:rsidRPr="00674982">
        <w:rPr>
          <w:i/>
          <w:iCs/>
        </w:rPr>
        <w:t>AGSO Record 1996/44, Australian Geological Survey Organisation, Canberra</w:t>
      </w:r>
      <w:r w:rsidRPr="00674982">
        <w:t>.</w:t>
      </w:r>
    </w:p>
    <w:p w14:paraId="5704B678" w14:textId="77777777" w:rsidR="002056DA" w:rsidRPr="00674982" w:rsidRDefault="002056DA" w:rsidP="002056DA">
      <w:pPr>
        <w:spacing w:line="240" w:lineRule="auto"/>
      </w:pPr>
      <w:r w:rsidRPr="00674982">
        <w:t xml:space="preserve">Larsen S and Widdowson AE (1971) ‘Soil fluorine’, </w:t>
      </w:r>
      <w:r w:rsidRPr="00674982">
        <w:rPr>
          <w:i/>
          <w:iCs/>
        </w:rPr>
        <w:t>Journal of Soil Science</w:t>
      </w:r>
      <w:r w:rsidRPr="00674982">
        <w:t>, 22</w:t>
      </w:r>
      <w:r>
        <w:t>:</w:t>
      </w:r>
      <w:r w:rsidRPr="00674982">
        <w:t>210–221.</w:t>
      </w:r>
    </w:p>
    <w:p w14:paraId="6AD90BDB"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Lee S, Jiang X, Manubohlu M, Riedl K, Ludsin SA, Martin JF and Lee J (2017) ‘Fresh produce and their soils accumulate cyanotoxins from irrigation water: Implications for public health and food security’, </w:t>
      </w:r>
      <w:r w:rsidRPr="00674982">
        <w:rPr>
          <w:rFonts w:eastAsia="Times New Roman" w:cstheme="minorHAnsi"/>
          <w:i/>
          <w:iCs/>
          <w:lang w:eastAsia="en-AU"/>
        </w:rPr>
        <w:t>Food Research International</w:t>
      </w:r>
      <w:r w:rsidRPr="00674982">
        <w:rPr>
          <w:rFonts w:eastAsia="Times New Roman" w:cstheme="minorHAnsi"/>
          <w:lang w:eastAsia="en-AU"/>
        </w:rPr>
        <w:t>, 102</w:t>
      </w:r>
      <w:r>
        <w:rPr>
          <w:rFonts w:eastAsia="Times New Roman" w:cstheme="minorHAnsi"/>
          <w:lang w:eastAsia="en-AU"/>
        </w:rPr>
        <w:t>:</w:t>
      </w:r>
      <w:r w:rsidRPr="00674982">
        <w:rPr>
          <w:rFonts w:eastAsia="Times New Roman" w:cstheme="minorHAnsi"/>
          <w:lang w:eastAsia="en-AU"/>
        </w:rPr>
        <w:t>234–245.</w:t>
      </w:r>
    </w:p>
    <w:p w14:paraId="23A8D0D6" w14:textId="77777777" w:rsidR="002056DA" w:rsidRPr="00674982" w:rsidRDefault="002056DA" w:rsidP="002056DA">
      <w:pPr>
        <w:pStyle w:val="Bibliography"/>
        <w:spacing w:line="240" w:lineRule="auto"/>
        <w:ind w:left="0" w:firstLine="0"/>
        <w:rPr>
          <w:rFonts w:cs="Arial"/>
        </w:rPr>
      </w:pPr>
      <w:r w:rsidRPr="00674982">
        <w:rPr>
          <w:rFonts w:cs="Arial"/>
        </w:rPr>
        <w:t xml:space="preserve">Leske PA, Sas AN, Coulter A, Stockley C and Lee TH (1997) ‘The composition of Australian grape juice: chloride, sodium and sulfate ions’, </w:t>
      </w:r>
      <w:r w:rsidRPr="00674982">
        <w:rPr>
          <w:rFonts w:cs="Arial"/>
          <w:i/>
          <w:iCs/>
        </w:rPr>
        <w:t>Australian Journal of Grape and Wine Research</w:t>
      </w:r>
      <w:r w:rsidRPr="00674982">
        <w:rPr>
          <w:rFonts w:cs="Arial"/>
        </w:rPr>
        <w:t>, 3</w:t>
      </w:r>
      <w:r>
        <w:rPr>
          <w:rFonts w:cs="Arial"/>
        </w:rPr>
        <w:t>(</w:t>
      </w:r>
      <w:r w:rsidRPr="00674982">
        <w:rPr>
          <w:rFonts w:cs="Arial"/>
        </w:rPr>
        <w:t>1</w:t>
      </w:r>
      <w:r>
        <w:rPr>
          <w:rFonts w:cs="Arial"/>
        </w:rPr>
        <w:t>):</w:t>
      </w:r>
      <w:r w:rsidRPr="00674982">
        <w:rPr>
          <w:rFonts w:cs="Arial"/>
        </w:rPr>
        <w:t>26–30.</w:t>
      </w:r>
    </w:p>
    <w:p w14:paraId="1E607A62" w14:textId="77777777" w:rsidR="002056DA" w:rsidRPr="00674982" w:rsidRDefault="002056DA" w:rsidP="002056DA">
      <w:pPr>
        <w:spacing w:line="240" w:lineRule="auto"/>
        <w:rPr>
          <w:i/>
          <w:iCs/>
        </w:rPr>
      </w:pPr>
      <w:r w:rsidRPr="00674982">
        <w:t xml:space="preserve">Littleboy M (1997) ‘Spatial generalisation of biophysical simulation models for quantitative land evaluation: A case study for dryland wheat growing areas of Queensland’ </w:t>
      </w:r>
      <w:r w:rsidRPr="00674982">
        <w:rPr>
          <w:i/>
          <w:iCs/>
        </w:rPr>
        <w:t>PhD thesis, University of Queensland.</w:t>
      </w:r>
    </w:p>
    <w:p w14:paraId="7643D6D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Llana-Ruiz-Cabello M, Jos A, Camean A, Oliveira F, Barreiro A, Machado J, Azevedo J, Pinto E, Almeida A, Campos A, Vasconcelos V and Freitas M (2019) ‘Analysis of the Use of Cylindrospermopsin and/or Microcystin-Contaminated Water in the Growth, Mineral Content, and Contamination of Spinacia oleracea and Lactuca sativa’, </w:t>
      </w:r>
      <w:r w:rsidRPr="00674982">
        <w:rPr>
          <w:rFonts w:eastAsia="Times New Roman" w:cstheme="minorHAnsi"/>
          <w:i/>
          <w:iCs/>
          <w:lang w:eastAsia="en-AU"/>
        </w:rPr>
        <w:t>Toxins</w:t>
      </w:r>
      <w:r w:rsidRPr="00674982">
        <w:rPr>
          <w:rFonts w:eastAsia="Times New Roman" w:cstheme="minorHAnsi"/>
          <w:lang w:eastAsia="en-AU"/>
        </w:rPr>
        <w:t>, 11</w:t>
      </w:r>
      <w:r>
        <w:rPr>
          <w:rFonts w:eastAsia="Times New Roman" w:cstheme="minorHAnsi"/>
          <w:lang w:eastAsia="en-AU"/>
        </w:rPr>
        <w:t>(</w:t>
      </w:r>
      <w:r w:rsidRPr="00674982">
        <w:rPr>
          <w:rFonts w:eastAsia="Times New Roman" w:cstheme="minorHAnsi"/>
          <w:lang w:eastAsia="en-AU"/>
        </w:rPr>
        <w:t>11</w:t>
      </w:r>
      <w:r>
        <w:rPr>
          <w:rFonts w:eastAsia="Times New Roman" w:cstheme="minorHAnsi"/>
          <w:lang w:eastAsia="en-AU"/>
        </w:rPr>
        <w:t>)</w:t>
      </w:r>
      <w:r w:rsidRPr="00674982">
        <w:rPr>
          <w:rFonts w:eastAsia="Times New Roman" w:cstheme="minorHAnsi"/>
          <w:lang w:eastAsia="en-AU"/>
        </w:rPr>
        <w:t>.</w:t>
      </w:r>
    </w:p>
    <w:p w14:paraId="2396F79D"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López-Chuken, UJ, López-Domínguez, U, Parra-Saldivar, R, Moreno-Jiménez, E, Hinojosa-Reyes, L, Guzmán-Mar, JL and Olivares-Sáenz, E 2012, ‘Implications of chloride-enhanced cadmium uptake in saline agriculture: modeling cadmium uptake by maize and tobacco’, </w:t>
      </w:r>
      <w:r w:rsidRPr="00674982">
        <w:rPr>
          <w:rFonts w:eastAsia="Times New Roman" w:cstheme="minorHAnsi"/>
          <w:i/>
          <w:iCs/>
          <w:lang w:eastAsia="en-AU"/>
        </w:rPr>
        <w:t>International Journal of Environmental Science and Technology</w:t>
      </w:r>
      <w:r w:rsidRPr="00674982">
        <w:rPr>
          <w:rFonts w:eastAsia="Times New Roman" w:cstheme="minorHAnsi"/>
          <w:lang w:eastAsia="en-AU"/>
        </w:rPr>
        <w:t>, 9</w:t>
      </w:r>
      <w:r>
        <w:rPr>
          <w:rFonts w:eastAsia="Times New Roman" w:cstheme="minorHAnsi"/>
          <w:lang w:eastAsia="en-AU"/>
        </w:rPr>
        <w:t>(</w:t>
      </w:r>
      <w:r w:rsidRPr="00674982">
        <w:rPr>
          <w:rFonts w:eastAsia="Times New Roman" w:cstheme="minorHAnsi"/>
          <w:lang w:eastAsia="en-AU"/>
        </w:rPr>
        <w:t>1</w:t>
      </w:r>
      <w:r>
        <w:rPr>
          <w:rFonts w:eastAsia="Times New Roman" w:cstheme="minorHAnsi"/>
          <w:lang w:eastAsia="en-AU"/>
        </w:rPr>
        <w:t>):</w:t>
      </w:r>
      <w:r w:rsidRPr="00674982">
        <w:rPr>
          <w:rFonts w:eastAsia="Times New Roman" w:cstheme="minorHAnsi"/>
          <w:lang w:eastAsia="en-AU"/>
        </w:rPr>
        <w:t>69–77.</w:t>
      </w:r>
    </w:p>
    <w:p w14:paraId="71A60A57"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López‐Chuken, UJ, Young, SD and Guzmán‐Mar, JL 2010, ‘Evaluating a “biotic ligand model” applied to chloride‐enhanced Cd uptake by </w:t>
      </w:r>
      <w:r w:rsidRPr="00674982">
        <w:rPr>
          <w:rFonts w:eastAsia="Times New Roman" w:cstheme="minorHAnsi"/>
          <w:i/>
          <w:iCs/>
          <w:lang w:eastAsia="en-AU"/>
        </w:rPr>
        <w:t>Brassica juncea</w:t>
      </w:r>
      <w:r w:rsidRPr="00674982">
        <w:rPr>
          <w:rFonts w:eastAsia="Times New Roman" w:cstheme="minorHAnsi"/>
          <w:lang w:eastAsia="en-AU"/>
        </w:rPr>
        <w:t xml:space="preserve"> from nutrient solution at constant Cd2+ activity’, </w:t>
      </w:r>
      <w:r w:rsidRPr="00674982">
        <w:rPr>
          <w:rFonts w:eastAsia="Times New Roman" w:cstheme="minorHAnsi"/>
          <w:i/>
          <w:iCs/>
          <w:lang w:eastAsia="en-AU"/>
        </w:rPr>
        <w:t>Environmental Technology</w:t>
      </w:r>
      <w:r w:rsidRPr="00674982">
        <w:rPr>
          <w:rFonts w:eastAsia="Times New Roman" w:cstheme="minorHAnsi"/>
          <w:lang w:eastAsia="en-AU"/>
        </w:rPr>
        <w:t>, 31</w:t>
      </w:r>
      <w:r>
        <w:rPr>
          <w:rFonts w:eastAsia="Times New Roman" w:cstheme="minorHAnsi"/>
          <w:lang w:eastAsia="en-AU"/>
        </w:rPr>
        <w:t>(</w:t>
      </w:r>
      <w:r w:rsidRPr="00674982">
        <w:rPr>
          <w:rFonts w:eastAsia="Times New Roman" w:cstheme="minorHAnsi"/>
          <w:lang w:eastAsia="en-AU"/>
        </w:rPr>
        <w:t>3</w:t>
      </w:r>
      <w:r>
        <w:rPr>
          <w:rFonts w:eastAsia="Times New Roman" w:cstheme="minorHAnsi"/>
          <w:lang w:eastAsia="en-AU"/>
        </w:rPr>
        <w:t>):</w:t>
      </w:r>
      <w:r w:rsidRPr="00674982">
        <w:rPr>
          <w:rFonts w:eastAsia="Times New Roman" w:cstheme="minorHAnsi"/>
          <w:lang w:eastAsia="en-AU"/>
        </w:rPr>
        <w:t>307–318.</w:t>
      </w:r>
    </w:p>
    <w:p w14:paraId="09E79050" w14:textId="77777777" w:rsidR="002056DA" w:rsidRPr="00674982" w:rsidRDefault="002056DA" w:rsidP="002056DA">
      <w:pPr>
        <w:spacing w:line="240" w:lineRule="auto"/>
      </w:pPr>
      <w:r w:rsidRPr="00674982">
        <w:t xml:space="preserve">Maas EV and Hoffman GJ (1977) ‘Crop salt tolerance: Current assessment’, </w:t>
      </w:r>
      <w:r w:rsidRPr="00674982">
        <w:rPr>
          <w:i/>
          <w:iCs/>
        </w:rPr>
        <w:t xml:space="preserve">American Society of Civil Engineers: Journal of the Irrigation and Drainage Division, </w:t>
      </w:r>
      <w:r w:rsidRPr="00C00454">
        <w:t>103:115–134.</w:t>
      </w:r>
    </w:p>
    <w:p w14:paraId="13980556" w14:textId="77777777" w:rsidR="002056DA" w:rsidRPr="00674982" w:rsidRDefault="002056DA" w:rsidP="002056DA">
      <w:pPr>
        <w:spacing w:line="240" w:lineRule="auto"/>
      </w:pPr>
      <w:r w:rsidRPr="00674982">
        <w:t xml:space="preserve">Maas EV (1986) ‘Salt tolerance of plants’, </w:t>
      </w:r>
      <w:r w:rsidRPr="00674982">
        <w:rPr>
          <w:i/>
          <w:iCs/>
        </w:rPr>
        <w:t>Applied Agricultural Research</w:t>
      </w:r>
      <w:r w:rsidRPr="00674982">
        <w:t>,1</w:t>
      </w:r>
      <w:r>
        <w:t>:</w:t>
      </w:r>
      <w:r w:rsidRPr="00674982">
        <w:t>12–25.</w:t>
      </w:r>
    </w:p>
    <w:p w14:paraId="4A117787" w14:textId="77777777" w:rsidR="002056DA" w:rsidRPr="00674982" w:rsidRDefault="002056DA" w:rsidP="002056DA">
      <w:pPr>
        <w:spacing w:line="240" w:lineRule="auto"/>
        <w:rPr>
          <w:i/>
          <w:iCs/>
        </w:rPr>
      </w:pPr>
      <w:r w:rsidRPr="00674982">
        <w:t xml:space="preserve">Maas EV (1990) ‘Crop salt tolerance. In Agricultural salinity assessment and management’ </w:t>
      </w:r>
      <w:r w:rsidRPr="00674982">
        <w:rPr>
          <w:i/>
          <w:iCs/>
        </w:rPr>
        <w:t xml:space="preserve">ed KK Tanjii, ASCE Manuals and Reports on Engineering Practice 71, ASCE, New York, </w:t>
      </w:r>
      <w:r w:rsidRPr="00C00454">
        <w:t>262–304.</w:t>
      </w:r>
    </w:p>
    <w:p w14:paraId="1B23543B" w14:textId="77777777" w:rsidR="002056DA" w:rsidRPr="00674982" w:rsidRDefault="002056DA" w:rsidP="002056DA">
      <w:pPr>
        <w:pStyle w:val="Bibliography"/>
        <w:spacing w:line="240" w:lineRule="auto"/>
        <w:ind w:left="0" w:firstLine="0"/>
        <w:rPr>
          <w:rFonts w:cs="Arial"/>
        </w:rPr>
      </w:pPr>
      <w:r w:rsidRPr="00674982">
        <w:rPr>
          <w:rFonts w:cs="Arial"/>
        </w:rPr>
        <w:t xml:space="preserve">Machado J., Azevedo J., Freitas M., Pinto E., Almeida A., Vasconcelos V., and Campos A. (2017) ’Analysis of the use of microcystin contaminated water in the growth and nutritional quality of the root-vegetable, Daucus carota’, </w:t>
      </w:r>
      <w:r w:rsidRPr="00674982">
        <w:rPr>
          <w:rFonts w:cs="Arial"/>
          <w:i/>
          <w:iCs/>
        </w:rPr>
        <w:t>Environmental Science and Pollution Research International</w:t>
      </w:r>
      <w:r w:rsidRPr="00674982">
        <w:rPr>
          <w:rFonts w:cs="Arial"/>
        </w:rPr>
        <w:t>, 24</w:t>
      </w:r>
      <w:r>
        <w:rPr>
          <w:rFonts w:cs="Arial"/>
        </w:rPr>
        <w:t>(</w:t>
      </w:r>
      <w:r w:rsidRPr="00674982">
        <w:rPr>
          <w:rFonts w:cs="Arial"/>
        </w:rPr>
        <w:t>1</w:t>
      </w:r>
      <w:r>
        <w:rPr>
          <w:rFonts w:cs="Arial"/>
        </w:rPr>
        <w:t>):</w:t>
      </w:r>
      <w:r w:rsidRPr="00674982">
        <w:rPr>
          <w:rFonts w:cs="Arial"/>
        </w:rPr>
        <w:t>752–764.</w:t>
      </w:r>
    </w:p>
    <w:p w14:paraId="35631B46" w14:textId="77777777" w:rsidR="002056DA" w:rsidRPr="00674982" w:rsidRDefault="002056DA" w:rsidP="002056DA">
      <w:pPr>
        <w:spacing w:line="240" w:lineRule="auto"/>
      </w:pPr>
      <w:r w:rsidRPr="00674982">
        <w:t xml:space="preserve">MacLean AJ and Dekker AJ (1978) ‘Availability of zinc in soils’, </w:t>
      </w:r>
      <w:r w:rsidRPr="00674982">
        <w:rPr>
          <w:i/>
          <w:iCs/>
        </w:rPr>
        <w:t>Canadian Journal of Soil Science</w:t>
      </w:r>
      <w:r w:rsidRPr="00674982">
        <w:t>, 58</w:t>
      </w:r>
      <w:r>
        <w:t>:</w:t>
      </w:r>
      <w:r w:rsidRPr="00674982">
        <w:t>381–389.</w:t>
      </w:r>
    </w:p>
    <w:p w14:paraId="361A1CFB" w14:textId="77777777" w:rsidR="002056DA" w:rsidRPr="00674982" w:rsidRDefault="002056DA" w:rsidP="002056DA">
      <w:pPr>
        <w:spacing w:line="240" w:lineRule="auto"/>
      </w:pPr>
      <w:r w:rsidRPr="00674982">
        <w:t xml:space="preserve">MacLean AJ (1974) ‘Mercury in plants and retention of mercury by soils in relation to properties and added sulphur’, </w:t>
      </w:r>
      <w:r w:rsidRPr="00674982">
        <w:rPr>
          <w:i/>
          <w:iCs/>
        </w:rPr>
        <w:t>Canadian Journal of Soil Science</w:t>
      </w:r>
      <w:r w:rsidRPr="00674982">
        <w:t>, 54</w:t>
      </w:r>
      <w:r>
        <w:t>:</w:t>
      </w:r>
      <w:r w:rsidRPr="00674982">
        <w:t>287–292.</w:t>
      </w:r>
    </w:p>
    <w:p w14:paraId="22D686C7"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Malakar A, Snow DD and Ray C (2019) ‘Irrigation Water Quality—A Contemporary Perspective’, </w:t>
      </w:r>
      <w:r w:rsidRPr="00674982">
        <w:rPr>
          <w:rFonts w:eastAsia="Times New Roman" w:cstheme="minorHAnsi"/>
          <w:i/>
          <w:iCs/>
          <w:lang w:eastAsia="en-AU"/>
        </w:rPr>
        <w:t>Water</w:t>
      </w:r>
      <w:r w:rsidRPr="00674982">
        <w:rPr>
          <w:rFonts w:eastAsia="Times New Roman" w:cstheme="minorHAnsi"/>
          <w:lang w:eastAsia="en-AU"/>
        </w:rPr>
        <w:t>, 11</w:t>
      </w:r>
      <w:r>
        <w:rPr>
          <w:rFonts w:eastAsia="Times New Roman" w:cstheme="minorHAnsi"/>
          <w:lang w:eastAsia="en-AU"/>
        </w:rPr>
        <w:t>(</w:t>
      </w:r>
      <w:r w:rsidRPr="00674982">
        <w:rPr>
          <w:rFonts w:eastAsia="Times New Roman" w:cstheme="minorHAnsi"/>
          <w:lang w:eastAsia="en-AU"/>
        </w:rPr>
        <w:t>7</w:t>
      </w:r>
      <w:r>
        <w:rPr>
          <w:rFonts w:eastAsia="Times New Roman" w:cstheme="minorHAnsi"/>
          <w:lang w:eastAsia="en-AU"/>
        </w:rPr>
        <w:t>)</w:t>
      </w:r>
      <w:r w:rsidRPr="00674982">
        <w:rPr>
          <w:rFonts w:eastAsia="Times New Roman" w:cstheme="minorHAnsi"/>
          <w:lang w:eastAsia="en-AU"/>
        </w:rPr>
        <w:t>.</w:t>
      </w:r>
    </w:p>
    <w:p w14:paraId="1AFD3F9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Marecos do Monte MHF (2007) ‘Guidelines for good practice of water reuse for irrigation: Portuguese standard np 4434’, in Zaidi, MK (ed.), </w:t>
      </w:r>
      <w:r w:rsidRPr="00674982">
        <w:rPr>
          <w:rFonts w:eastAsia="Times New Roman" w:cstheme="minorHAnsi"/>
          <w:i/>
          <w:iCs/>
          <w:lang w:eastAsia="en-AU"/>
        </w:rPr>
        <w:t>Wastewater Reused - Risk Assessment, Decision-</w:t>
      </w:r>
      <w:r w:rsidRPr="00674982">
        <w:rPr>
          <w:rFonts w:eastAsia="Times New Roman" w:cstheme="minorHAnsi"/>
          <w:i/>
          <w:iCs/>
          <w:lang w:eastAsia="en-AU"/>
        </w:rPr>
        <w:lastRenderedPageBreak/>
        <w:t>Making and Environmental Security</w:t>
      </w:r>
      <w:r w:rsidRPr="00674982">
        <w:rPr>
          <w:rFonts w:eastAsia="Times New Roman" w:cstheme="minorHAnsi"/>
          <w:lang w:eastAsia="en-AU"/>
        </w:rPr>
        <w:t>, Nato Science for Peace and Security Series C - Environmental Security, 253–265.</w:t>
      </w:r>
    </w:p>
    <w:p w14:paraId="007E09CF" w14:textId="77777777" w:rsidR="002056DA" w:rsidRPr="00674982" w:rsidRDefault="002056DA" w:rsidP="002056DA">
      <w:pPr>
        <w:spacing w:line="240" w:lineRule="auto"/>
      </w:pPr>
      <w:r w:rsidRPr="00674982">
        <w:t>Marschner H 1995. Mineral nutrition of higher plants. Academic Press, London.</w:t>
      </w:r>
    </w:p>
    <w:p w14:paraId="7E4AFE45" w14:textId="77777777" w:rsidR="002056DA" w:rsidRPr="00674982" w:rsidRDefault="002056DA" w:rsidP="002056DA">
      <w:pPr>
        <w:spacing w:line="240" w:lineRule="auto"/>
      </w:pPr>
      <w:r w:rsidRPr="00674982">
        <w:t xml:space="preserve">Masscheleyn PH, Delaune RD and Patrick WH (1991) ‘Effect of redox potential and pH on arsenic speciation and solubility in a contaminated soil’, </w:t>
      </w:r>
      <w:r w:rsidRPr="00674982">
        <w:rPr>
          <w:i/>
          <w:iCs/>
        </w:rPr>
        <w:t>Environmental Science and Technology</w:t>
      </w:r>
      <w:r w:rsidRPr="00674982">
        <w:t>, 25</w:t>
      </w:r>
      <w:r>
        <w:t>:</w:t>
      </w:r>
      <w:r w:rsidRPr="00674982">
        <w:t>1414–1419.</w:t>
      </w:r>
    </w:p>
    <w:p w14:paraId="1E09A67D" w14:textId="77777777" w:rsidR="002056DA" w:rsidRPr="00674982" w:rsidRDefault="002056DA" w:rsidP="002056DA">
      <w:pPr>
        <w:pStyle w:val="Bibliography"/>
        <w:spacing w:line="240" w:lineRule="auto"/>
        <w:rPr>
          <w:rFonts w:cs="Arial"/>
        </w:rPr>
      </w:pPr>
      <w:r w:rsidRPr="00674982">
        <w:rPr>
          <w:rFonts w:cs="Arial"/>
        </w:rPr>
        <w:t>McFarland M, Provin T, and Boellstorff D (2008) ‘Drinking water problems: Corrosion’.</w:t>
      </w:r>
    </w:p>
    <w:p w14:paraId="7344CD5E" w14:textId="77777777" w:rsidR="002056DA" w:rsidRPr="00674982" w:rsidRDefault="002056DA" w:rsidP="002056DA">
      <w:pPr>
        <w:pStyle w:val="Bibliography"/>
        <w:spacing w:line="240" w:lineRule="auto"/>
        <w:ind w:left="0" w:firstLine="0"/>
        <w:rPr>
          <w:rFonts w:cs="Arial"/>
          <w:i/>
          <w:iCs/>
        </w:rPr>
      </w:pPr>
      <w:r w:rsidRPr="00674982">
        <w:rPr>
          <w:rFonts w:cs="Arial"/>
        </w:rPr>
        <w:t xml:space="preserve">McGrath SP (1995) ‘Chromium and nickel. In Heavy metals in </w:t>
      </w:r>
      <w:r w:rsidRPr="00674982">
        <w:rPr>
          <w:rFonts w:cs="Arial"/>
          <w:i/>
          <w:iCs/>
        </w:rPr>
        <w:t xml:space="preserve">soils’ ed BJ Alloway, Blackie Academic, London, </w:t>
      </w:r>
      <w:r w:rsidRPr="00C00454">
        <w:rPr>
          <w:rFonts w:cs="Arial"/>
        </w:rPr>
        <w:t>152–178.</w:t>
      </w:r>
    </w:p>
    <w:p w14:paraId="318785B0"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McGrath, G, Hinz, C and Sivapalan, M 2010, ‘Assessing the impact of regional rainfall variability on rapid pesticide leaching potential’, </w:t>
      </w:r>
      <w:r w:rsidRPr="00674982">
        <w:rPr>
          <w:rFonts w:eastAsia="Times New Roman" w:cstheme="minorHAnsi"/>
          <w:i/>
          <w:iCs/>
          <w:lang w:eastAsia="en-AU"/>
        </w:rPr>
        <w:t>Journal of Contaminant Hydrology</w:t>
      </w:r>
      <w:r w:rsidRPr="00674982">
        <w:rPr>
          <w:rFonts w:eastAsia="Times New Roman" w:cstheme="minorHAnsi"/>
          <w:lang w:eastAsia="en-AU"/>
        </w:rPr>
        <w:t>, 113</w:t>
      </w:r>
      <w:r>
        <w:rPr>
          <w:rFonts w:eastAsia="Times New Roman" w:cstheme="minorHAnsi"/>
          <w:lang w:eastAsia="en-AU"/>
        </w:rPr>
        <w:t>(</w:t>
      </w:r>
      <w:r w:rsidRPr="00674982">
        <w:rPr>
          <w:rFonts w:eastAsia="Times New Roman" w:cstheme="minorHAnsi"/>
          <w:lang w:eastAsia="en-AU"/>
        </w:rPr>
        <w:t>1</w:t>
      </w:r>
      <w:r>
        <w:rPr>
          <w:rFonts w:eastAsia="Times New Roman" w:cstheme="minorHAnsi"/>
          <w:lang w:eastAsia="en-AU"/>
        </w:rPr>
        <w:t>):</w:t>
      </w:r>
      <w:r w:rsidRPr="00674982">
        <w:rPr>
          <w:rFonts w:eastAsia="Times New Roman" w:cstheme="minorHAnsi"/>
          <w:lang w:eastAsia="en-AU"/>
        </w:rPr>
        <w:t>56–65.</w:t>
      </w:r>
    </w:p>
    <w:p w14:paraId="37207233" w14:textId="77777777" w:rsidR="002056DA" w:rsidRPr="00674982" w:rsidRDefault="002056DA" w:rsidP="002056DA">
      <w:pPr>
        <w:spacing w:line="240" w:lineRule="auto"/>
      </w:pPr>
      <w:r w:rsidRPr="00674982">
        <w:t xml:space="preserve">McGregor GB and Fabbro LD (2000) ‘Dominance of </w:t>
      </w:r>
      <w:r w:rsidRPr="00674982">
        <w:rPr>
          <w:i/>
          <w:iCs/>
        </w:rPr>
        <w:t>Cylindrospermopsis raciborskii</w:t>
      </w:r>
      <w:r w:rsidRPr="00674982">
        <w:t xml:space="preserve"> (</w:t>
      </w:r>
      <w:r w:rsidRPr="00674982">
        <w:rPr>
          <w:i/>
          <w:iCs/>
        </w:rPr>
        <w:t>Nostocales, Cyanoprokaryota</w:t>
      </w:r>
      <w:r w:rsidRPr="00674982">
        <w:t xml:space="preserve">) in Queensland tropical and sub-tropical reservoirs: implications for monitoring and management’, </w:t>
      </w:r>
      <w:r w:rsidRPr="00674982">
        <w:rPr>
          <w:i/>
          <w:iCs/>
        </w:rPr>
        <w:t xml:space="preserve">Lakes and Reservoirs: Research and Management, </w:t>
      </w:r>
      <w:r w:rsidRPr="00674982">
        <w:t>5</w:t>
      </w:r>
      <w:r>
        <w:t>:</w:t>
      </w:r>
      <w:r w:rsidRPr="00674982">
        <w:t>195–205.</w:t>
      </w:r>
    </w:p>
    <w:p w14:paraId="72C9F062" w14:textId="77777777" w:rsidR="002056DA" w:rsidRPr="00674982" w:rsidRDefault="002056DA" w:rsidP="002056DA">
      <w:pPr>
        <w:spacing w:line="240" w:lineRule="auto"/>
      </w:pPr>
      <w:r w:rsidRPr="00674982">
        <w:t xml:space="preserve">McGregor GB and Sendall BC (2015) ‘Phylogeny and toxicology of Lyngbya wollei (Cyanobacteria/Oscillatoriales) fromnorth-eastern Australia, with a description of Microseira gen. nov’. </w:t>
      </w:r>
      <w:r w:rsidRPr="00674982">
        <w:rPr>
          <w:i/>
          <w:iCs/>
        </w:rPr>
        <w:t>Journal of Phycology</w:t>
      </w:r>
      <w:r w:rsidRPr="00674982">
        <w:t>, 51</w:t>
      </w:r>
      <w:r>
        <w:t>:</w:t>
      </w:r>
      <w:r w:rsidRPr="00674982">
        <w:t xml:space="preserve">109–119. </w:t>
      </w:r>
    </w:p>
    <w:p w14:paraId="4817C1FB" w14:textId="77777777" w:rsidR="002056DA" w:rsidRPr="00674982" w:rsidRDefault="002056DA" w:rsidP="002056DA">
      <w:pPr>
        <w:spacing w:line="240" w:lineRule="auto"/>
      </w:pPr>
      <w:r w:rsidRPr="00674982">
        <w:t xml:space="preserve">McGregor GB and Sendall BC (2017) ‘Iningainema pulvinus gen nov., sp nov. (Cyanobacteria, Scytonemataceae) a new nodularin producer from Edgbaston Reserve, north-eastern Australia’, </w:t>
      </w:r>
      <w:r w:rsidRPr="00674982">
        <w:rPr>
          <w:i/>
          <w:iCs/>
        </w:rPr>
        <w:t>Harmful Algae,</w:t>
      </w:r>
      <w:r w:rsidRPr="00674982">
        <w:t xml:space="preserve"> 62</w:t>
      </w:r>
      <w:r>
        <w:t>:</w:t>
      </w:r>
      <w:r w:rsidRPr="00674982">
        <w:t>10–19.</w:t>
      </w:r>
    </w:p>
    <w:p w14:paraId="5279A70E" w14:textId="77777777" w:rsidR="002056DA" w:rsidRPr="00674982" w:rsidRDefault="002056DA" w:rsidP="002056DA">
      <w:pPr>
        <w:spacing w:line="240" w:lineRule="auto"/>
      </w:pPr>
      <w:r w:rsidRPr="00674982">
        <w:t xml:space="preserve">McIntyre DS 1980, ‘Exchangeable sodium, subplasticity and hydraulic conductivity of some Australian soils’, </w:t>
      </w:r>
      <w:r w:rsidRPr="00674982">
        <w:rPr>
          <w:i/>
          <w:iCs/>
        </w:rPr>
        <w:t>Australian Journal of Soil Research</w:t>
      </w:r>
      <w:r w:rsidRPr="00674982">
        <w:t>, 17</w:t>
      </w:r>
      <w:r>
        <w:t>:</w:t>
      </w:r>
      <w:r w:rsidRPr="00674982">
        <w:t>115–120.</w:t>
      </w:r>
    </w:p>
    <w:p w14:paraId="200A9B01" w14:textId="77777777" w:rsidR="002056DA" w:rsidRPr="00674982" w:rsidRDefault="002056DA" w:rsidP="002056DA">
      <w:pPr>
        <w:spacing w:line="240" w:lineRule="auto"/>
      </w:pPr>
      <w:r w:rsidRPr="00674982">
        <w:t>McKee JE and Wolf HW 1963. Water quality criteria. Publication 3-A, Resources Agency of California, State Water Quality Control Board.</w:t>
      </w:r>
    </w:p>
    <w:p w14:paraId="51E943D0" w14:textId="77777777" w:rsidR="002056DA" w:rsidRPr="00674982" w:rsidRDefault="002056DA" w:rsidP="002056DA">
      <w:pPr>
        <w:spacing w:line="240" w:lineRule="auto"/>
      </w:pPr>
      <w:r w:rsidRPr="00674982">
        <w:t xml:space="preserve">McLaughlan RG and Knight MJ (1989) ‘Corrosion and encrustation in groundwater bores; a critical review. Centre for Groundwater Management and Hydrogeology’ </w:t>
      </w:r>
      <w:r w:rsidRPr="00674982">
        <w:rPr>
          <w:i/>
          <w:iCs/>
        </w:rPr>
        <w:t>University of New South Wales</w:t>
      </w:r>
      <w:r w:rsidRPr="00674982">
        <w:t>.</w:t>
      </w:r>
    </w:p>
    <w:p w14:paraId="7CDB6337" w14:textId="77777777" w:rsidR="002056DA" w:rsidRPr="00674982" w:rsidRDefault="002056DA" w:rsidP="002056DA">
      <w:pPr>
        <w:spacing w:line="240" w:lineRule="auto"/>
      </w:pPr>
      <w:r w:rsidRPr="00674982">
        <w:t xml:space="preserve">McLaughlan RG (1996) ‘Water well deterioration: Diagnosis and control. Technology Transfer Publication, National Centre for Groundwater Management’ </w:t>
      </w:r>
      <w:r w:rsidRPr="00674982">
        <w:rPr>
          <w:i/>
          <w:iCs/>
        </w:rPr>
        <w:t>University of Technology, Sydney</w:t>
      </w:r>
      <w:r w:rsidRPr="00674982">
        <w:t>.</w:t>
      </w:r>
    </w:p>
    <w:p w14:paraId="077A4153" w14:textId="77777777" w:rsidR="002056DA" w:rsidRPr="00674982" w:rsidRDefault="002056DA" w:rsidP="002056DA">
      <w:pPr>
        <w:spacing w:line="240" w:lineRule="auto"/>
      </w:pPr>
      <w:r w:rsidRPr="00674982">
        <w:t xml:space="preserve">McLaughlan RG, Knight MJ and Stuetz RM (1993) ‘Fouling and corrosion of groundwater wells: A research study’ </w:t>
      </w:r>
      <w:r w:rsidRPr="00674982">
        <w:rPr>
          <w:i/>
          <w:iCs/>
        </w:rPr>
        <w:t>National Centre for Groundwater Management, University of Technology, Sydney</w:t>
      </w:r>
      <w:r w:rsidRPr="00674982">
        <w:t>.</w:t>
      </w:r>
    </w:p>
    <w:p w14:paraId="7828C8DE" w14:textId="77777777" w:rsidR="002056DA" w:rsidRPr="00674982" w:rsidRDefault="002056DA" w:rsidP="002056DA">
      <w:pPr>
        <w:spacing w:line="240" w:lineRule="auto"/>
      </w:pPr>
      <w:r w:rsidRPr="00674982">
        <w:t xml:space="preserve">McLaughlin MJ, Hamon RE, McLaren RG, Speir TW and Rogers SL (2000) ‘A bioavailability-based rationale for controlling metal and metalloid contamination of agricultural land in Australia and New Zealand’, </w:t>
      </w:r>
      <w:r w:rsidRPr="00674982">
        <w:rPr>
          <w:i/>
          <w:iCs/>
        </w:rPr>
        <w:t>Soil Research</w:t>
      </w:r>
      <w:r w:rsidRPr="00674982">
        <w:t>, 38</w:t>
      </w:r>
      <w:r>
        <w:t>(</w:t>
      </w:r>
      <w:r w:rsidRPr="00674982">
        <w:t>6</w:t>
      </w:r>
      <w:r>
        <w:t>):</w:t>
      </w:r>
      <w:r w:rsidRPr="00674982">
        <w:t>1037-1086.</w:t>
      </w:r>
    </w:p>
    <w:p w14:paraId="4FAEE3EF" w14:textId="77777777" w:rsidR="002056DA" w:rsidRPr="00674982" w:rsidRDefault="002056DA" w:rsidP="002056DA">
      <w:pPr>
        <w:spacing w:line="240" w:lineRule="auto"/>
      </w:pPr>
      <w:r w:rsidRPr="00674982">
        <w:t xml:space="preserve">McLaughlin MJ, Maier NA, Correll RL, Smart MK, Sparrow LA and McKay A (1999) ‘Prediction of cadmium concentrations in potato tubers (Solanum tuberosum L) by pre-plant soil and irrigation water analyses’, </w:t>
      </w:r>
      <w:r w:rsidRPr="00674982">
        <w:rPr>
          <w:i/>
          <w:iCs/>
        </w:rPr>
        <w:t>Australian Journal of Soil Research</w:t>
      </w:r>
      <w:r w:rsidRPr="00674982">
        <w:t>, 37</w:t>
      </w:r>
      <w:r>
        <w:t>:</w:t>
      </w:r>
      <w:r w:rsidRPr="00674982">
        <w:t>191–207.</w:t>
      </w:r>
    </w:p>
    <w:p w14:paraId="036B2843" w14:textId="77777777" w:rsidR="002056DA" w:rsidRPr="00674982" w:rsidRDefault="002056DA" w:rsidP="002056DA">
      <w:pPr>
        <w:spacing w:line="240" w:lineRule="auto"/>
      </w:pPr>
      <w:r w:rsidRPr="00674982">
        <w:t xml:space="preserve">McLaughlin MJ, Tiller KG and Smart MK 1997, ‘Speciation of cadmium in soil solution of saline/sodic soils and relationship with cadmium concentrations in potato tubers’, </w:t>
      </w:r>
      <w:r w:rsidRPr="00674982">
        <w:rPr>
          <w:i/>
          <w:iCs/>
        </w:rPr>
        <w:t>Australian Journal of Soil Research</w:t>
      </w:r>
      <w:r w:rsidRPr="00674982">
        <w:t>, 35</w:t>
      </w:r>
      <w:r>
        <w:t>:</w:t>
      </w:r>
      <w:r w:rsidRPr="00674982">
        <w:t>1–17.</w:t>
      </w:r>
    </w:p>
    <w:p w14:paraId="40F43D0D" w14:textId="77777777" w:rsidR="002056DA" w:rsidRPr="00674982" w:rsidRDefault="002056DA" w:rsidP="002056DA">
      <w:pPr>
        <w:spacing w:line="240" w:lineRule="auto"/>
      </w:pPr>
      <w:r w:rsidRPr="00674982">
        <w:lastRenderedPageBreak/>
        <w:t xml:space="preserve">McLaughlin MJ, Tiller KG, Beech TA and Smart MK (1994).’Soil salinity causes elevated cadmium concentrations in field-grown potato tubers’, </w:t>
      </w:r>
      <w:r w:rsidRPr="00674982">
        <w:rPr>
          <w:i/>
          <w:iCs/>
        </w:rPr>
        <w:t>Journal of Environmental Quality</w:t>
      </w:r>
      <w:r w:rsidRPr="00674982">
        <w:t>, 23</w:t>
      </w:r>
      <w:r>
        <w:t>:</w:t>
      </w:r>
      <w:r w:rsidRPr="00674982">
        <w:t>1013–1018.</w:t>
      </w:r>
    </w:p>
    <w:p w14:paraId="74D6E3BA" w14:textId="77777777" w:rsidR="002056DA" w:rsidRPr="00674982" w:rsidRDefault="002056DA" w:rsidP="002056DA">
      <w:pPr>
        <w:spacing w:line="240" w:lineRule="auto"/>
      </w:pPr>
      <w:r w:rsidRPr="00674982">
        <w:t xml:space="preserve">McLaughlin MJ, Tiller KG, Naidu R and Stevens DP (1996) ‘Review: The behaviour and environmental impact of contaminants in fertilizers’, </w:t>
      </w:r>
      <w:r w:rsidRPr="00674982">
        <w:rPr>
          <w:i/>
          <w:iCs/>
        </w:rPr>
        <w:t>Australian Journal of Soil Research</w:t>
      </w:r>
      <w:r w:rsidRPr="00674982">
        <w:t>, 34</w:t>
      </w:r>
      <w:r>
        <w:t>:</w:t>
      </w:r>
      <w:r w:rsidRPr="00674982">
        <w:t>1–54.</w:t>
      </w:r>
    </w:p>
    <w:p w14:paraId="72EB45C3"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McLaughlin M (2007) ‘Fluid fertilisers: A South Australian manual. A product of GRDC project CSO 231 "Fluid fertilisers - The next step towards raising yield potential’ </w:t>
      </w:r>
      <w:r w:rsidRPr="00674982">
        <w:rPr>
          <w:rFonts w:eastAsia="Times New Roman" w:cstheme="minorHAnsi"/>
          <w:i/>
          <w:iCs/>
          <w:lang w:eastAsia="en-AU"/>
        </w:rPr>
        <w:t>CSIRO Land and Water and University of Adelaide.</w:t>
      </w:r>
    </w:p>
    <w:p w14:paraId="46E038F5"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MDBA (2015) ‘Basin salinity management 2030 - BSM2030’ </w:t>
      </w:r>
      <w:r w:rsidRPr="00674982">
        <w:rPr>
          <w:rFonts w:eastAsia="Times New Roman" w:cstheme="minorHAnsi"/>
          <w:i/>
          <w:iCs/>
          <w:lang w:eastAsia="en-AU"/>
        </w:rPr>
        <w:t>Murray Darlin Basin Authority, 30</w:t>
      </w:r>
      <w:r w:rsidRPr="00674982">
        <w:rPr>
          <w:rFonts w:eastAsia="Times New Roman" w:cstheme="minorHAnsi"/>
          <w:lang w:eastAsia="en-AU"/>
        </w:rPr>
        <w:t>.</w:t>
      </w:r>
    </w:p>
    <w:p w14:paraId="22F5F73B"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Mekonnen MM and Hoekstra AY (2018) ‘Global Anthropogenic Phosphorus Loads to Freshwater and Associated Grey Water Footprints and Water Pollution Levels: A High-Resolution Global Study’, </w:t>
      </w:r>
      <w:r w:rsidRPr="00674982">
        <w:rPr>
          <w:rFonts w:eastAsia="Times New Roman" w:cstheme="minorHAnsi"/>
          <w:i/>
          <w:iCs/>
          <w:lang w:eastAsia="en-AU"/>
        </w:rPr>
        <w:t>Water Resources Research</w:t>
      </w:r>
      <w:r w:rsidRPr="00674982">
        <w:rPr>
          <w:rFonts w:eastAsia="Times New Roman" w:cstheme="minorHAnsi"/>
          <w:lang w:eastAsia="en-AU"/>
        </w:rPr>
        <w:t>, 54</w:t>
      </w:r>
      <w:r>
        <w:rPr>
          <w:rFonts w:eastAsia="Times New Roman" w:cstheme="minorHAnsi"/>
          <w:lang w:eastAsia="en-AU"/>
        </w:rPr>
        <w:t>(</w:t>
      </w:r>
      <w:r w:rsidRPr="00674982">
        <w:rPr>
          <w:rFonts w:eastAsia="Times New Roman" w:cstheme="minorHAnsi"/>
          <w:lang w:eastAsia="en-AU"/>
        </w:rPr>
        <w:t>1</w:t>
      </w:r>
      <w:r>
        <w:rPr>
          <w:rFonts w:eastAsia="Times New Roman" w:cstheme="minorHAnsi"/>
          <w:lang w:eastAsia="en-AU"/>
        </w:rPr>
        <w:t>):</w:t>
      </w:r>
      <w:r w:rsidRPr="00674982">
        <w:rPr>
          <w:rFonts w:eastAsia="Times New Roman" w:cstheme="minorHAnsi"/>
          <w:lang w:eastAsia="en-AU"/>
        </w:rPr>
        <w:t>345–358.</w:t>
      </w:r>
    </w:p>
    <w:p w14:paraId="511A5F4F" w14:textId="77777777" w:rsidR="002056DA" w:rsidRPr="00674982" w:rsidRDefault="002056DA" w:rsidP="002056DA">
      <w:pPr>
        <w:spacing w:line="240" w:lineRule="auto"/>
      </w:pPr>
      <w:r w:rsidRPr="00674982">
        <w:t xml:space="preserve">Merian E (ed) (1984) ‘Metalle in der umwelt’ </w:t>
      </w:r>
      <w:r w:rsidRPr="00674982">
        <w:rPr>
          <w:i/>
          <w:iCs/>
        </w:rPr>
        <w:t>Springer Verlag Chemie, Weinheim</w:t>
      </w:r>
      <w:r w:rsidRPr="00674982">
        <w:t>.</w:t>
      </w:r>
    </w:p>
    <w:p w14:paraId="7BC74179" w14:textId="77777777" w:rsidR="002056DA" w:rsidRPr="00674982" w:rsidRDefault="002056DA" w:rsidP="002056DA">
      <w:pPr>
        <w:spacing w:line="240" w:lineRule="auto"/>
      </w:pPr>
      <w:r w:rsidRPr="00674982">
        <w:t xml:space="preserve">Merry RH and Tiller KG (1991) ‘Distribution of cadmium and lead in an agricultural region near Adelaide, South Australia’, </w:t>
      </w:r>
      <w:r w:rsidRPr="00674982">
        <w:rPr>
          <w:i/>
          <w:iCs/>
        </w:rPr>
        <w:t>Water, Air and Soil Pollution</w:t>
      </w:r>
      <w:r w:rsidRPr="00674982">
        <w:t>, 57–58</w:t>
      </w:r>
      <w:r>
        <w:t>:</w:t>
      </w:r>
      <w:r w:rsidRPr="00674982">
        <w:t>171–180.</w:t>
      </w:r>
    </w:p>
    <w:p w14:paraId="2627AEC0" w14:textId="77777777" w:rsidR="002056DA" w:rsidRPr="00674982" w:rsidRDefault="002056DA" w:rsidP="002056DA">
      <w:pPr>
        <w:spacing w:line="240" w:lineRule="auto"/>
      </w:pPr>
      <w:r w:rsidRPr="00674982">
        <w:t xml:space="preserve">Merry RH, Tiller KG and Alston AM (1983) ‘Accumulation of copper, lead and arsenic in Australian orchard soils’, </w:t>
      </w:r>
      <w:r w:rsidRPr="00674982">
        <w:rPr>
          <w:i/>
          <w:iCs/>
        </w:rPr>
        <w:t>Australian Journal of Soil Research</w:t>
      </w:r>
      <w:r w:rsidRPr="00674982">
        <w:t>, 21</w:t>
      </w:r>
      <w:r>
        <w:t>:</w:t>
      </w:r>
      <w:r w:rsidRPr="00674982">
        <w:t>549–561.</w:t>
      </w:r>
    </w:p>
    <w:p w14:paraId="5B67D5E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Metcalf G and Eddy I (2003) ‘Wastewater Engineering Treatment and Reuse, 4th Edition’.</w:t>
      </w:r>
    </w:p>
    <w:p w14:paraId="39855303" w14:textId="77777777" w:rsidR="002056DA" w:rsidRPr="00674982" w:rsidRDefault="002056DA" w:rsidP="002056DA">
      <w:pPr>
        <w:spacing w:line="240" w:lineRule="auto"/>
      </w:pPr>
      <w:r w:rsidRPr="00674982">
        <w:t xml:space="preserve">Metcalf G and Eddy I (1991) ‘Wastewater engineering’ </w:t>
      </w:r>
      <w:r w:rsidRPr="00674982">
        <w:rPr>
          <w:i/>
          <w:iCs/>
        </w:rPr>
        <w:t>McGraw Hill Inc, New Delhi</w:t>
      </w:r>
      <w:r w:rsidRPr="00674982">
        <w:t>.</w:t>
      </w:r>
    </w:p>
    <w:p w14:paraId="4ACE62FF"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Meusburger K, Evrard O, Alewell C, Borrelli P, Cinelli G, Ketterer M, Mabit L, Panagos P, van Oost K and Ballabio C (2020) ‘Plutonium aided reconstruction of caesium atmospheric fallout in European topsoils’, </w:t>
      </w:r>
      <w:r w:rsidRPr="00674982">
        <w:rPr>
          <w:rFonts w:eastAsia="Times New Roman" w:cstheme="minorHAnsi"/>
          <w:i/>
          <w:iCs/>
          <w:lang w:eastAsia="en-AU"/>
        </w:rPr>
        <w:t>Scientific Reports</w:t>
      </w:r>
      <w:r w:rsidRPr="00674982">
        <w:rPr>
          <w:rFonts w:eastAsia="Times New Roman" w:cstheme="minorHAnsi"/>
          <w:lang w:eastAsia="en-AU"/>
        </w:rPr>
        <w:t>, 10</w:t>
      </w:r>
      <w:r>
        <w:rPr>
          <w:rFonts w:eastAsia="Times New Roman" w:cstheme="minorHAnsi"/>
          <w:lang w:eastAsia="en-AU"/>
        </w:rPr>
        <w:t>(</w:t>
      </w:r>
      <w:r w:rsidRPr="00674982">
        <w:rPr>
          <w:rFonts w:eastAsia="Times New Roman" w:cstheme="minorHAnsi"/>
          <w:lang w:eastAsia="en-AU"/>
        </w:rPr>
        <w:t>1</w:t>
      </w:r>
      <w:r>
        <w:rPr>
          <w:rFonts w:eastAsia="Times New Roman" w:cstheme="minorHAnsi"/>
          <w:lang w:eastAsia="en-AU"/>
        </w:rPr>
        <w:t>):</w:t>
      </w:r>
      <w:r w:rsidRPr="00674982">
        <w:rPr>
          <w:rFonts w:eastAsia="Times New Roman" w:cstheme="minorHAnsi"/>
          <w:lang w:eastAsia="en-AU"/>
        </w:rPr>
        <w:t>1-16.</w:t>
      </w:r>
    </w:p>
    <w:p w14:paraId="6AB8A05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Mez K, Beattie K, Codd G, Hanselmann K, Hauser B, Naegeli H and Preisig H (1997) ‘Identification of a microcystin in benthic cyanobacteria linked to cattle deaths on alpine pastures in Switzerland’, </w:t>
      </w:r>
      <w:r w:rsidRPr="00674982">
        <w:rPr>
          <w:rFonts w:eastAsia="Times New Roman" w:cstheme="minorHAnsi"/>
          <w:i/>
          <w:iCs/>
          <w:lang w:eastAsia="en-AU"/>
        </w:rPr>
        <w:t>European Journal of Phycology</w:t>
      </w:r>
      <w:r w:rsidRPr="00674982">
        <w:rPr>
          <w:rFonts w:eastAsia="Times New Roman" w:cstheme="minorHAnsi"/>
          <w:lang w:eastAsia="en-AU"/>
        </w:rPr>
        <w:t>, 32</w:t>
      </w:r>
      <w:r>
        <w:rPr>
          <w:rFonts w:eastAsia="Times New Roman" w:cstheme="minorHAnsi"/>
          <w:lang w:eastAsia="en-AU"/>
        </w:rPr>
        <w:t>(</w:t>
      </w:r>
      <w:r w:rsidRPr="00674982">
        <w:rPr>
          <w:rFonts w:eastAsia="Times New Roman" w:cstheme="minorHAnsi"/>
          <w:lang w:eastAsia="en-AU"/>
        </w:rPr>
        <w:t>2</w:t>
      </w:r>
      <w:r>
        <w:rPr>
          <w:rFonts w:eastAsia="Times New Roman" w:cstheme="minorHAnsi"/>
          <w:lang w:eastAsia="en-AU"/>
        </w:rPr>
        <w:t>):</w:t>
      </w:r>
      <w:r w:rsidRPr="00674982">
        <w:rPr>
          <w:rFonts w:eastAsia="Times New Roman" w:cstheme="minorHAnsi"/>
          <w:lang w:eastAsia="en-AU"/>
        </w:rPr>
        <w:t>111–117.</w:t>
      </w:r>
    </w:p>
    <w:p w14:paraId="47ECCD7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Miller A and Russell C (2017) ‘Food crops irrigated with cyanobacteria-contaminated water: an emerging public health issue in Canada’, </w:t>
      </w:r>
      <w:r w:rsidRPr="00674982">
        <w:rPr>
          <w:rFonts w:eastAsia="Times New Roman" w:cstheme="minorHAnsi"/>
          <w:i/>
          <w:iCs/>
          <w:lang w:eastAsia="en-AU"/>
        </w:rPr>
        <w:t>Environmental Health Review</w:t>
      </w:r>
      <w:r w:rsidRPr="00674982">
        <w:rPr>
          <w:rFonts w:eastAsia="Times New Roman" w:cstheme="minorHAnsi"/>
          <w:lang w:eastAsia="en-AU"/>
        </w:rPr>
        <w:t>, 60</w:t>
      </w:r>
      <w:r>
        <w:rPr>
          <w:rFonts w:eastAsia="Times New Roman" w:cstheme="minorHAnsi"/>
          <w:lang w:eastAsia="en-AU"/>
        </w:rPr>
        <w:t>(</w:t>
      </w:r>
      <w:r w:rsidRPr="00674982">
        <w:rPr>
          <w:rFonts w:eastAsia="Times New Roman" w:cstheme="minorHAnsi"/>
          <w:lang w:eastAsia="en-AU"/>
        </w:rPr>
        <w:t>3</w:t>
      </w:r>
      <w:r>
        <w:rPr>
          <w:rFonts w:eastAsia="Times New Roman" w:cstheme="minorHAnsi"/>
          <w:lang w:eastAsia="en-AU"/>
        </w:rPr>
        <w:t>):</w:t>
      </w:r>
      <w:r w:rsidRPr="00674982">
        <w:rPr>
          <w:rFonts w:eastAsia="Times New Roman" w:cstheme="minorHAnsi"/>
          <w:lang w:eastAsia="en-AU"/>
        </w:rPr>
        <w:t>58–63.</w:t>
      </w:r>
    </w:p>
    <w:p w14:paraId="6292A16C" w14:textId="77777777" w:rsidR="002056DA" w:rsidRPr="00674982" w:rsidRDefault="002056DA" w:rsidP="002056DA">
      <w:pPr>
        <w:spacing w:line="240" w:lineRule="auto"/>
      </w:pPr>
      <w:r w:rsidRPr="00674982">
        <w:t xml:space="preserve">Milly PCD (1994) ‘Climate, soil water storage, and the average annual water balance’, </w:t>
      </w:r>
      <w:r w:rsidRPr="00674982">
        <w:rPr>
          <w:i/>
          <w:iCs/>
        </w:rPr>
        <w:t>Water Resources Research</w:t>
      </w:r>
      <w:r w:rsidRPr="00674982">
        <w:t>, 30</w:t>
      </w:r>
      <w:r>
        <w:t>:</w:t>
      </w:r>
      <w:r w:rsidRPr="00674982">
        <w:t>2143–2156.</w:t>
      </w:r>
    </w:p>
    <w:p w14:paraId="2E47949C" w14:textId="77777777" w:rsidR="002056DA" w:rsidRPr="00674982" w:rsidRDefault="002056DA" w:rsidP="002056DA">
      <w:pPr>
        <w:spacing w:line="240" w:lineRule="auto"/>
      </w:pPr>
      <w:r w:rsidRPr="00674982">
        <w:t xml:space="preserve">Ministry of Agriculture (2007) ‘The reuse of urban recycling water. Quality of farmland irrigation water’, </w:t>
      </w:r>
      <w:r w:rsidRPr="00674982">
        <w:rPr>
          <w:i/>
          <w:iCs/>
        </w:rPr>
        <w:t>Standard number GB 20922-2007, People’s Republic of China</w:t>
      </w:r>
      <w:r w:rsidRPr="00674982">
        <w:t xml:space="preserve">. </w:t>
      </w:r>
    </w:p>
    <w:p w14:paraId="0B1CFF7D"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Ministry of Energy, Iran (2010) </w:t>
      </w:r>
      <w:r w:rsidRPr="00674982">
        <w:rPr>
          <w:rFonts w:eastAsia="Times New Roman" w:cstheme="minorHAnsi"/>
          <w:i/>
          <w:iCs/>
          <w:lang w:eastAsia="en-AU"/>
        </w:rPr>
        <w:t>Guidelines for wastewater reuse</w:t>
      </w:r>
      <w:r w:rsidRPr="00674982">
        <w:rPr>
          <w:rFonts w:eastAsia="Times New Roman" w:cstheme="minorHAnsi"/>
          <w:lang w:eastAsia="en-AU"/>
        </w:rPr>
        <w:t>.</w:t>
      </w:r>
    </w:p>
    <w:p w14:paraId="72821794" w14:textId="77777777" w:rsidR="002056DA" w:rsidRPr="00674982" w:rsidRDefault="002056DA" w:rsidP="002056DA">
      <w:pPr>
        <w:spacing w:line="240" w:lineRule="auto"/>
      </w:pPr>
      <w:r w:rsidRPr="00674982">
        <w:t xml:space="preserve">Miyamoto S (1980) ‘Effects of bicarbonate on sodium hazard of irrigation water: Alternative formulation’, </w:t>
      </w:r>
      <w:r w:rsidRPr="00674982">
        <w:rPr>
          <w:i/>
          <w:iCs/>
        </w:rPr>
        <w:t>Soil Science Society of America Journal</w:t>
      </w:r>
      <w:r w:rsidRPr="00674982">
        <w:t>, 44</w:t>
      </w:r>
      <w:r>
        <w:t>:</w:t>
      </w:r>
      <w:r w:rsidRPr="00674982">
        <w:t>1079–1084.</w:t>
      </w:r>
    </w:p>
    <w:p w14:paraId="03CF7950" w14:textId="77777777" w:rsidR="002056DA" w:rsidRPr="00674982" w:rsidRDefault="002056DA" w:rsidP="002056DA">
      <w:pPr>
        <w:spacing w:line="240" w:lineRule="auto"/>
        <w:rPr>
          <w:i/>
          <w:iCs/>
        </w:rPr>
      </w:pPr>
      <w:r w:rsidRPr="00674982">
        <w:t xml:space="preserve">Moen JET, Cornet JP and Evers CWA (1986) ‘Soil protection and remedial actions: Criteria for decision making and standardisation of requirements’ </w:t>
      </w:r>
      <w:r w:rsidRPr="00674982">
        <w:rPr>
          <w:i/>
          <w:iCs/>
        </w:rPr>
        <w:t xml:space="preserve">In Contaminated soils, eds JW Assink and WJ van den Brink, Martinus Nijhoff, Dordrecht, </w:t>
      </w:r>
      <w:r w:rsidRPr="00C00454">
        <w:t>441–448.</w:t>
      </w:r>
    </w:p>
    <w:p w14:paraId="496D9EF2" w14:textId="77777777" w:rsidR="002056DA" w:rsidRPr="00674982" w:rsidRDefault="002056DA" w:rsidP="002056DA">
      <w:pPr>
        <w:pStyle w:val="Bibliography"/>
        <w:spacing w:line="240" w:lineRule="auto"/>
        <w:ind w:left="0" w:firstLine="0"/>
        <w:rPr>
          <w:rFonts w:cs="Arial"/>
        </w:rPr>
      </w:pPr>
      <w:r w:rsidRPr="00674982">
        <w:rPr>
          <w:rFonts w:cs="Arial"/>
        </w:rPr>
        <w:lastRenderedPageBreak/>
        <w:t xml:space="preserve">Mohamed ZA and Al Shehri AM (2009) ‘Microcystins in groundwater wells and their accumulation in vegetable plants irrigated with contaminated waters in Saudi Arabia’, </w:t>
      </w:r>
      <w:r w:rsidRPr="00674982">
        <w:rPr>
          <w:rFonts w:cs="Arial"/>
          <w:i/>
          <w:iCs/>
        </w:rPr>
        <w:t>Journal of Hazardous Materials</w:t>
      </w:r>
      <w:r w:rsidRPr="00674982">
        <w:rPr>
          <w:rFonts w:cs="Arial"/>
        </w:rPr>
        <w:t>, 172</w:t>
      </w:r>
      <w:r>
        <w:rPr>
          <w:rFonts w:cs="Arial"/>
        </w:rPr>
        <w:t>(</w:t>
      </w:r>
      <w:r w:rsidRPr="00674982">
        <w:rPr>
          <w:rFonts w:cs="Arial"/>
        </w:rPr>
        <w:t>1</w:t>
      </w:r>
      <w:r>
        <w:rPr>
          <w:rFonts w:cs="Arial"/>
        </w:rPr>
        <w:t>):</w:t>
      </w:r>
      <w:r w:rsidRPr="00674982">
        <w:rPr>
          <w:rFonts w:cs="Arial"/>
        </w:rPr>
        <w:t>310–315.</w:t>
      </w:r>
    </w:p>
    <w:p w14:paraId="0D777C30"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Molassiotis A, Tanou G, Diamantidis G, Patakas A and Therios I (2006) ‘Effects of 4-month Fe deficiency exposure on Fe reduction mechanism, photosynthetic gas exchange, chlorophyll fluorescence and antioxidant defense in two peach rootstocks differing in Fe deficiency tolerance’, </w:t>
      </w:r>
      <w:r w:rsidRPr="00674982">
        <w:rPr>
          <w:rFonts w:eastAsia="Times New Roman" w:cstheme="minorHAnsi"/>
          <w:i/>
          <w:iCs/>
          <w:lang w:eastAsia="en-AU"/>
        </w:rPr>
        <w:t>Journal of Plant Physiology</w:t>
      </w:r>
      <w:r w:rsidRPr="00674982">
        <w:rPr>
          <w:rFonts w:eastAsia="Times New Roman" w:cstheme="minorHAnsi"/>
          <w:lang w:eastAsia="en-AU"/>
        </w:rPr>
        <w:t>, 63</w:t>
      </w:r>
      <w:r>
        <w:rPr>
          <w:rFonts w:eastAsia="Times New Roman" w:cstheme="minorHAnsi"/>
          <w:lang w:eastAsia="en-AU"/>
        </w:rPr>
        <w:t>(</w:t>
      </w:r>
      <w:r w:rsidRPr="00674982">
        <w:rPr>
          <w:rFonts w:eastAsia="Times New Roman" w:cstheme="minorHAnsi"/>
          <w:lang w:eastAsia="en-AU"/>
        </w:rPr>
        <w:t>2</w:t>
      </w:r>
      <w:r>
        <w:rPr>
          <w:rFonts w:eastAsia="Times New Roman" w:cstheme="minorHAnsi"/>
          <w:lang w:eastAsia="en-AU"/>
        </w:rPr>
        <w:t>):</w:t>
      </w:r>
      <w:r w:rsidRPr="00674982">
        <w:rPr>
          <w:rFonts w:eastAsia="Times New Roman" w:cstheme="minorHAnsi"/>
          <w:lang w:eastAsia="en-AU"/>
        </w:rPr>
        <w:t>176–185.</w:t>
      </w:r>
    </w:p>
    <w:p w14:paraId="3BE401D9" w14:textId="77777777" w:rsidR="002056DA" w:rsidRPr="00674982" w:rsidRDefault="002056DA" w:rsidP="002056DA">
      <w:pPr>
        <w:spacing w:line="240" w:lineRule="auto"/>
      </w:pPr>
      <w:r w:rsidRPr="00674982">
        <w:t xml:space="preserve">Monnett GT, Reneau RB and Hagedorn C (1995) ‘Effects of domestic wastewater spray irrigation on denitrification rates’, </w:t>
      </w:r>
      <w:r w:rsidRPr="00674982">
        <w:rPr>
          <w:i/>
          <w:iCs/>
        </w:rPr>
        <w:t>Journal of Environmental Quality</w:t>
      </w:r>
      <w:r w:rsidRPr="00674982">
        <w:t>, 24</w:t>
      </w:r>
      <w:r>
        <w:t>:</w:t>
      </w:r>
      <w:r w:rsidRPr="00674982">
        <w:t>940–946.</w:t>
      </w:r>
    </w:p>
    <w:p w14:paraId="3527B574"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Moody PW (2007) ‘Interpretation of a single-point P buffering index for adjusting critical levels of the Colwell soil P test’, </w:t>
      </w:r>
      <w:r w:rsidRPr="00674982">
        <w:rPr>
          <w:rFonts w:eastAsia="Times New Roman" w:cstheme="minorHAnsi"/>
          <w:i/>
          <w:iCs/>
          <w:lang w:eastAsia="en-AU"/>
        </w:rPr>
        <w:t>Soil Research</w:t>
      </w:r>
      <w:r w:rsidRPr="00674982">
        <w:rPr>
          <w:rFonts w:eastAsia="Times New Roman" w:cstheme="minorHAnsi"/>
          <w:lang w:eastAsia="en-AU"/>
        </w:rPr>
        <w:t>, 45</w:t>
      </w:r>
      <w:r>
        <w:rPr>
          <w:rFonts w:eastAsia="Times New Roman" w:cstheme="minorHAnsi"/>
          <w:lang w:eastAsia="en-AU"/>
        </w:rPr>
        <w:t>(</w:t>
      </w:r>
      <w:r w:rsidRPr="00674982">
        <w:rPr>
          <w:rFonts w:eastAsia="Times New Roman" w:cstheme="minorHAnsi"/>
          <w:lang w:eastAsia="en-AU"/>
        </w:rPr>
        <w:t>1</w:t>
      </w:r>
      <w:r>
        <w:rPr>
          <w:rFonts w:eastAsia="Times New Roman" w:cstheme="minorHAnsi"/>
          <w:lang w:eastAsia="en-AU"/>
        </w:rPr>
        <w:t>):</w:t>
      </w:r>
      <w:r w:rsidRPr="00674982">
        <w:rPr>
          <w:rFonts w:eastAsia="Times New Roman" w:cstheme="minorHAnsi"/>
          <w:lang w:eastAsia="en-AU"/>
        </w:rPr>
        <w:t>55–62.</w:t>
      </w:r>
    </w:p>
    <w:p w14:paraId="4F68F1E4" w14:textId="77777777" w:rsidR="002056DA" w:rsidRPr="00674982" w:rsidRDefault="002056DA" w:rsidP="002056DA">
      <w:pPr>
        <w:spacing w:line="240" w:lineRule="auto"/>
      </w:pPr>
      <w:r w:rsidRPr="00674982">
        <w:t xml:space="preserve">Morishima H, Koga T, Kawai H, Honda Y and Katsurayama K (1977).’Studies on the movement and distribution of uranium in the environment-distribution of uranium in agricultural products’, </w:t>
      </w:r>
      <w:r w:rsidRPr="00674982">
        <w:rPr>
          <w:i/>
          <w:iCs/>
        </w:rPr>
        <w:t>Journal of Radiation Research</w:t>
      </w:r>
      <w:r w:rsidRPr="00674982">
        <w:t>, 18</w:t>
      </w:r>
      <w:r>
        <w:t>:</w:t>
      </w:r>
      <w:r w:rsidRPr="00674982">
        <w:t>139–150.</w:t>
      </w:r>
    </w:p>
    <w:p w14:paraId="08148E00"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Munns R, Day DA, Fricke W, Watt M, Arsova B, Barkla BJ, Bose J, Byrt CS, Chen Z-H, Foster KJ, Gilliham M, Henderson SW, Jenkins CLD, Kronzucker HJ, Miklavcic SJ, Plett D, Roy SJ, Shabala S, Shelden MC, Soole KL, Taylor NL, Tester M, Wege S, Wegner LH and Tyerman SD (2020) ‘Energy costs of salt tolerance in crop plants’, </w:t>
      </w:r>
      <w:r w:rsidRPr="00674982">
        <w:rPr>
          <w:rFonts w:eastAsia="Times New Roman" w:cstheme="minorHAnsi"/>
          <w:i/>
          <w:iCs/>
          <w:lang w:eastAsia="en-AU"/>
        </w:rPr>
        <w:t>New Phytologist</w:t>
      </w:r>
      <w:r w:rsidRPr="00674982">
        <w:rPr>
          <w:rFonts w:eastAsia="Times New Roman" w:cstheme="minorHAnsi"/>
          <w:lang w:eastAsia="en-AU"/>
        </w:rPr>
        <w:t>, 225</w:t>
      </w:r>
      <w:r>
        <w:rPr>
          <w:rFonts w:eastAsia="Times New Roman" w:cstheme="minorHAnsi"/>
          <w:lang w:eastAsia="en-AU"/>
        </w:rPr>
        <w:t>(</w:t>
      </w:r>
      <w:r w:rsidRPr="00674982">
        <w:rPr>
          <w:rFonts w:eastAsia="Times New Roman" w:cstheme="minorHAnsi"/>
          <w:lang w:eastAsia="en-AU"/>
        </w:rPr>
        <w:t>3</w:t>
      </w:r>
      <w:r>
        <w:rPr>
          <w:rFonts w:eastAsia="Times New Roman" w:cstheme="minorHAnsi"/>
          <w:lang w:eastAsia="en-AU"/>
        </w:rPr>
        <w:t>):</w:t>
      </w:r>
      <w:r w:rsidRPr="00674982">
        <w:rPr>
          <w:rFonts w:eastAsia="Times New Roman" w:cstheme="minorHAnsi"/>
          <w:lang w:eastAsia="en-AU"/>
        </w:rPr>
        <w:t>1072–1090.</w:t>
      </w:r>
    </w:p>
    <w:p w14:paraId="17984522"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Murphy (2015) ‘Persistence of Pathogens in Sewage and Other Water Types’, in M. Yates (ed.), </w:t>
      </w:r>
      <w:r w:rsidRPr="00674982">
        <w:rPr>
          <w:rFonts w:eastAsia="Times New Roman" w:cstheme="minorHAnsi"/>
          <w:i/>
          <w:iCs/>
          <w:lang w:eastAsia="en-AU"/>
        </w:rPr>
        <w:t>Global Water Pathogen Project. http://www.waterpathogens.org (Part 4 Management of Risk from Excreta and Wastewater)</w:t>
      </w:r>
      <w:r w:rsidRPr="00674982">
        <w:rPr>
          <w:rFonts w:eastAsia="Times New Roman" w:cstheme="minorHAnsi"/>
          <w:lang w:eastAsia="en-AU"/>
        </w:rPr>
        <w:t>, UNESCO. https://doi.org/10.14321/waterpathogens.51, Michigan State University, E. Lansing, MI, viewed 7 October 2020, &lt;</w:t>
      </w:r>
      <w:hyperlink r:id="rId74" w:history="1">
        <w:r w:rsidRPr="00674982">
          <w:rPr>
            <w:rFonts w:eastAsia="Times New Roman" w:cstheme="minorHAnsi"/>
            <w:color w:val="0000FF"/>
            <w:u w:val="single"/>
            <w:lang w:eastAsia="en-AU"/>
          </w:rPr>
          <w:t>https://www.waterpathogens.org/book/persistence-in-sewage</w:t>
        </w:r>
      </w:hyperlink>
      <w:r w:rsidRPr="00674982">
        <w:rPr>
          <w:rFonts w:eastAsia="Times New Roman" w:cstheme="minorHAnsi"/>
          <w:lang w:eastAsia="en-AU"/>
        </w:rPr>
        <w:t>&gt;.</w:t>
      </w:r>
    </w:p>
    <w:p w14:paraId="47A0E67E" w14:textId="77777777" w:rsidR="002056DA" w:rsidRPr="00674982" w:rsidRDefault="002056DA" w:rsidP="002056DA">
      <w:pPr>
        <w:spacing w:line="240" w:lineRule="auto"/>
      </w:pPr>
      <w:r w:rsidRPr="00674982">
        <w:t xml:space="preserve">NAS (National Academy of Science) and NAE (National Academy of Engineers) (1973) ‘Committee of Water Quality. Water quality criteria 1972’ </w:t>
      </w:r>
      <w:r w:rsidRPr="00674982">
        <w:rPr>
          <w:i/>
          <w:iCs/>
        </w:rPr>
        <w:t>Publication 3-A, Environmental Studies Board, State Water Quality Control Board, Washington DC.</w:t>
      </w:r>
    </w:p>
    <w:p w14:paraId="02B75202" w14:textId="77777777" w:rsidR="002056DA" w:rsidRPr="00674982" w:rsidRDefault="002056DA" w:rsidP="002056DA">
      <w:pPr>
        <w:spacing w:line="240" w:lineRule="auto"/>
        <w:rPr>
          <w:i/>
          <w:iCs/>
        </w:rPr>
      </w:pPr>
      <w:r w:rsidRPr="00674982">
        <w:t xml:space="preserve">NAS (1974) ‘Chromium: Medical and biological effects of environmental pollution’ </w:t>
      </w:r>
      <w:r w:rsidRPr="00674982">
        <w:rPr>
          <w:i/>
          <w:iCs/>
        </w:rPr>
        <w:t>National Academy of Science, Washington DC.</w:t>
      </w:r>
    </w:p>
    <w:p w14:paraId="4DD1CF39" w14:textId="77777777" w:rsidR="002056DA" w:rsidRPr="00674982" w:rsidRDefault="002056DA" w:rsidP="002056DA">
      <w:pPr>
        <w:spacing w:line="240" w:lineRule="auto"/>
      </w:pPr>
      <w:r w:rsidRPr="00674982">
        <w:t xml:space="preserve">Nash D and Murdoch C (1997) ‘Phosphorus in runoff from a fertile dairy pasture’, </w:t>
      </w:r>
      <w:r w:rsidRPr="00674982">
        <w:rPr>
          <w:i/>
          <w:iCs/>
        </w:rPr>
        <w:t>Australian Journal of Soil Research</w:t>
      </w:r>
      <w:r w:rsidRPr="00674982">
        <w:t>, 35</w:t>
      </w:r>
      <w:r>
        <w:t>:</w:t>
      </w:r>
      <w:r w:rsidRPr="00674982">
        <w:t>419–429.</w:t>
      </w:r>
    </w:p>
    <w:p w14:paraId="050795E7"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Nazarov PA, Baleev DN, Ivanova MI, Sokolova LM and Karakozova MV (2020) ‘Infectious Plant Diseases: Etiology, Current Status, Problems and Prospects in Plant Protection’, </w:t>
      </w:r>
      <w:r w:rsidRPr="00674982">
        <w:rPr>
          <w:rFonts w:eastAsia="Times New Roman" w:cstheme="minorHAnsi"/>
          <w:i/>
          <w:iCs/>
          <w:lang w:eastAsia="en-AU"/>
        </w:rPr>
        <w:t>Acta Naturae</w:t>
      </w:r>
      <w:r w:rsidRPr="00674982">
        <w:rPr>
          <w:rFonts w:eastAsia="Times New Roman" w:cstheme="minorHAnsi"/>
          <w:lang w:eastAsia="en-AU"/>
        </w:rPr>
        <w:t>, 12</w:t>
      </w:r>
      <w:r>
        <w:rPr>
          <w:rFonts w:eastAsia="Times New Roman" w:cstheme="minorHAnsi"/>
          <w:lang w:eastAsia="en-AU"/>
        </w:rPr>
        <w:t>(</w:t>
      </w:r>
      <w:r w:rsidRPr="00674982">
        <w:rPr>
          <w:rFonts w:eastAsia="Times New Roman" w:cstheme="minorHAnsi"/>
          <w:lang w:eastAsia="en-AU"/>
        </w:rPr>
        <w:t>3</w:t>
      </w:r>
      <w:r>
        <w:rPr>
          <w:rFonts w:eastAsia="Times New Roman" w:cstheme="minorHAnsi"/>
          <w:lang w:eastAsia="en-AU"/>
        </w:rPr>
        <w:t>):</w:t>
      </w:r>
      <w:r w:rsidRPr="00674982">
        <w:rPr>
          <w:rFonts w:eastAsia="Times New Roman" w:cstheme="minorHAnsi"/>
          <w:lang w:eastAsia="en-AU"/>
        </w:rPr>
        <w:t>46–59.</w:t>
      </w:r>
    </w:p>
    <w:p w14:paraId="0F0E8162" w14:textId="77777777" w:rsidR="002056DA" w:rsidRPr="00674982" w:rsidRDefault="002056DA" w:rsidP="002056DA">
      <w:pPr>
        <w:spacing w:line="240" w:lineRule="auto"/>
      </w:pPr>
      <w:r w:rsidRPr="00674982">
        <w:t xml:space="preserve">Negri A, Llewellyn L, Doyle J and Webster N (2003) ‘Paralytic shellfish toxins are restricted to few species among Australia's taxonomic diversity of cultured microalgae’, </w:t>
      </w:r>
      <w:r w:rsidRPr="00674982">
        <w:rPr>
          <w:i/>
          <w:iCs/>
        </w:rPr>
        <w:t>Journal of Phycology</w:t>
      </w:r>
      <w:r w:rsidRPr="00674982">
        <w:t>, 39</w:t>
      </w:r>
      <w:r>
        <w:t>:</w:t>
      </w:r>
      <w:r w:rsidRPr="00674982">
        <w:t xml:space="preserve">663–667. </w:t>
      </w:r>
    </w:p>
    <w:p w14:paraId="3A864480" w14:textId="77777777" w:rsidR="002056DA" w:rsidRPr="00674982" w:rsidRDefault="002056DA" w:rsidP="002056DA">
      <w:pPr>
        <w:spacing w:line="240" w:lineRule="auto"/>
        <w:rPr>
          <w:i/>
          <w:iCs/>
        </w:rPr>
      </w:pPr>
      <w:r w:rsidRPr="00674982">
        <w:t>NHMRC and ARMCANZ (1996) ‘Australian drinking water guidelines’</w:t>
      </w:r>
      <w:r w:rsidRPr="00674982">
        <w:rPr>
          <w:i/>
          <w:iCs/>
        </w:rPr>
        <w:t xml:space="preserve"> National Water Quality Management Strategy Paper No 6, National Health and Medical Research Council and Agricultural and Resource Management Council of Australia and New Zealand, Canberra.</w:t>
      </w:r>
    </w:p>
    <w:p w14:paraId="4BFEA94F" w14:textId="77777777" w:rsidR="002056DA" w:rsidRPr="00674982" w:rsidRDefault="002056DA" w:rsidP="002056DA">
      <w:pPr>
        <w:pStyle w:val="Bibliography"/>
        <w:spacing w:line="240" w:lineRule="auto"/>
        <w:ind w:left="0" w:firstLine="0"/>
        <w:rPr>
          <w:rFonts w:cs="Arial"/>
        </w:rPr>
      </w:pPr>
      <w:r w:rsidRPr="00674982">
        <w:rPr>
          <w:rFonts w:cs="Arial"/>
        </w:rPr>
        <w:t xml:space="preserve">NHMRC and NRMMC (2011) ‘Australian Drinking Water Guidelines 6 (2019 update to 2011) V. 3.5’ </w:t>
      </w:r>
      <w:r w:rsidRPr="00674982">
        <w:rPr>
          <w:rFonts w:cs="Arial"/>
          <w:i/>
          <w:iCs/>
        </w:rPr>
        <w:t>National Health and Medical Research Council, National Resource Management Ministerial Council, Commonwealth of Australia, Canberra</w:t>
      </w:r>
      <w:r w:rsidRPr="00674982">
        <w:rPr>
          <w:rFonts w:cs="Arial"/>
        </w:rPr>
        <w:t>.</w:t>
      </w:r>
    </w:p>
    <w:p w14:paraId="03B20821" w14:textId="77777777" w:rsidR="002056DA" w:rsidRPr="00674982" w:rsidRDefault="002056DA" w:rsidP="002056DA">
      <w:pPr>
        <w:spacing w:line="240" w:lineRule="auto"/>
        <w:rPr>
          <w:i/>
          <w:iCs/>
        </w:rPr>
      </w:pPr>
      <w:r w:rsidRPr="00674982">
        <w:lastRenderedPageBreak/>
        <w:t>NHMRC (2008) ‘Guidelines for managing risks in recreation water</w:t>
      </w:r>
      <w:r w:rsidRPr="00674982">
        <w:rPr>
          <w:i/>
          <w:iCs/>
        </w:rPr>
        <w:t xml:space="preserve">’ </w:t>
      </w:r>
      <w:r w:rsidRPr="00674982">
        <w:rPr>
          <w:rFonts w:cs="Arial"/>
          <w:i/>
          <w:iCs/>
        </w:rPr>
        <w:t xml:space="preserve">National Health and Medical Research Council. </w:t>
      </w:r>
    </w:p>
    <w:p w14:paraId="5FEE97F4"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Niu G, Rodriguez D and Aguiniga L (2008) ‘Effect of saline water irrigation on growth and physiological responses of three rose rootstocks’, </w:t>
      </w:r>
      <w:r w:rsidRPr="00674982">
        <w:rPr>
          <w:rFonts w:eastAsia="Times New Roman" w:cstheme="minorHAnsi"/>
          <w:i/>
          <w:iCs/>
          <w:lang w:eastAsia="en-AU"/>
        </w:rPr>
        <w:t>HortScience</w:t>
      </w:r>
      <w:r w:rsidRPr="00674982">
        <w:rPr>
          <w:rFonts w:eastAsia="Times New Roman" w:cstheme="minorHAnsi"/>
          <w:lang w:eastAsia="en-AU"/>
        </w:rPr>
        <w:t>, 4</w:t>
      </w:r>
      <w:r>
        <w:rPr>
          <w:rFonts w:eastAsia="Times New Roman" w:cstheme="minorHAnsi"/>
          <w:lang w:eastAsia="en-AU"/>
        </w:rPr>
        <w:t>3:</w:t>
      </w:r>
      <w:r w:rsidRPr="00674982">
        <w:rPr>
          <w:rFonts w:eastAsia="Times New Roman" w:cstheme="minorHAnsi"/>
          <w:lang w:eastAsia="en-AU"/>
        </w:rPr>
        <w:t>1479–1484.</w:t>
      </w:r>
    </w:p>
    <w:p w14:paraId="5F484DC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NLWRA, (National Land and Water Resources Audit) (2001) ‘Australian dryland salinity assessment 2000: extent, impacts, processes, monitoring and management options’ </w:t>
      </w:r>
      <w:r w:rsidRPr="00674982">
        <w:rPr>
          <w:rFonts w:eastAsia="Times New Roman" w:cstheme="minorHAnsi"/>
          <w:i/>
          <w:iCs/>
          <w:lang w:eastAsia="en-AU"/>
        </w:rPr>
        <w:t>Canberra</w:t>
      </w:r>
      <w:r w:rsidRPr="00674982">
        <w:rPr>
          <w:rFonts w:eastAsia="Times New Roman" w:cstheme="minorHAnsi"/>
          <w:lang w:eastAsia="en-AU"/>
        </w:rPr>
        <w:t>.</w:t>
      </w:r>
    </w:p>
    <w:p w14:paraId="73DD62FF" w14:textId="77777777" w:rsidR="002056DA" w:rsidRPr="00674982" w:rsidRDefault="002056DA" w:rsidP="002056DA">
      <w:pPr>
        <w:spacing w:line="240" w:lineRule="auto"/>
        <w:rPr>
          <w:i/>
          <w:iCs/>
        </w:rPr>
      </w:pPr>
      <w:r w:rsidRPr="00674982">
        <w:t xml:space="preserve">NRCC (1976) ‘Effects of chromium in the Canadian environment’ </w:t>
      </w:r>
      <w:r w:rsidRPr="00674982">
        <w:rPr>
          <w:i/>
          <w:iCs/>
        </w:rPr>
        <w:t>National Research Council of Canada publication 15017, Associate Committee on Scientific Criteria for Environmental Quality, Ottawa.</w:t>
      </w:r>
    </w:p>
    <w:p w14:paraId="0F2BD351"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NRMMC (2004) ‘Guidelines for Sewerage Systems. Sewerage System Overflows’ </w:t>
      </w:r>
      <w:r w:rsidRPr="00674982">
        <w:rPr>
          <w:rFonts w:eastAsia="Times New Roman" w:cstheme="minorHAnsi"/>
          <w:i/>
          <w:iCs/>
          <w:lang w:eastAsia="en-AU"/>
        </w:rPr>
        <w:t>National Water Quality Management Strategy, Natural Resource Management Ministerial Council, Canberra</w:t>
      </w:r>
      <w:r w:rsidRPr="00674982">
        <w:rPr>
          <w:rFonts w:eastAsia="Times New Roman" w:cstheme="minorHAnsi"/>
          <w:lang w:eastAsia="en-AU"/>
        </w:rPr>
        <w:t>.</w:t>
      </w:r>
    </w:p>
    <w:p w14:paraId="1F567583" w14:textId="77777777" w:rsidR="002056DA" w:rsidRPr="00674982" w:rsidRDefault="002056DA" w:rsidP="002056DA">
      <w:pPr>
        <w:pStyle w:val="Bibliography"/>
        <w:spacing w:line="240" w:lineRule="auto"/>
        <w:ind w:left="0" w:firstLine="0"/>
        <w:rPr>
          <w:rFonts w:cs="Arial"/>
        </w:rPr>
      </w:pPr>
      <w:r w:rsidRPr="00674982">
        <w:rPr>
          <w:rFonts w:cs="Arial"/>
        </w:rPr>
        <w:t>NRMMC, EPHC and AHMC (2006) ‘Australian Guidelines for Water Recycling. Managing Health and Environmental Risks. Phase 1’</w:t>
      </w:r>
      <w:r w:rsidRPr="00674982">
        <w:rPr>
          <w:rFonts w:cs="Arial"/>
          <w:i/>
          <w:iCs/>
        </w:rPr>
        <w:t xml:space="preserve"> National Water Quality Management Strategy 21., Natural Resource Management Ministerial Council. Environment Protection and Heritage Council, Australian Health Ministers’ Conference, Government of Australia, Canberra, Australia,</w:t>
      </w:r>
      <w:r w:rsidRPr="00674982">
        <w:rPr>
          <w:rFonts w:cs="Arial"/>
        </w:rPr>
        <w:t xml:space="preserve"> &lt;https://www.waterquality.gov.au/media/83&gt;.</w:t>
      </w:r>
    </w:p>
    <w:p w14:paraId="52E6E713" w14:textId="77777777" w:rsidR="002056DA" w:rsidRPr="00674982" w:rsidRDefault="002056DA" w:rsidP="002056DA">
      <w:pPr>
        <w:spacing w:line="240" w:lineRule="auto"/>
        <w:rPr>
          <w:i/>
          <w:iCs/>
        </w:rPr>
      </w:pPr>
      <w:r w:rsidRPr="00674982">
        <w:t xml:space="preserve">NSW DEC (2004) ‘Environmental Guidelines – Use of Effluent by Irrigation’ </w:t>
      </w:r>
      <w:r w:rsidRPr="00674982">
        <w:rPr>
          <w:i/>
          <w:iCs/>
        </w:rPr>
        <w:t xml:space="preserve">Sydney, New South Wales Department of Environment and Conservation. </w:t>
      </w:r>
    </w:p>
    <w:p w14:paraId="7F3B9E7D" w14:textId="77777777" w:rsidR="002056DA" w:rsidRPr="00674982" w:rsidRDefault="002056DA" w:rsidP="002056DA">
      <w:pPr>
        <w:spacing w:line="240" w:lineRule="auto"/>
      </w:pPr>
      <w:r w:rsidRPr="00674982">
        <w:t>NZIER 2014, ‘</w:t>
      </w:r>
      <w:r w:rsidRPr="00674982">
        <w:rPr>
          <w:i/>
          <w:iCs/>
        </w:rPr>
        <w:t>Value of irrigation in New Zealand. An economy wide assessment’</w:t>
      </w:r>
      <w:r w:rsidRPr="00674982">
        <w:t>. New Zealand Institute of Economic Research and AgFirst Consultants NZ Ltd final report to the Ministry for Primary Industries, 44.</w:t>
      </w:r>
    </w:p>
    <w:p w14:paraId="2D3C1267"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NZWWA (2003) ‘Guidelines for the safe application of biosolids to land in New Zealand’ </w:t>
      </w:r>
      <w:r w:rsidRPr="00674982">
        <w:rPr>
          <w:rFonts w:eastAsia="Times New Roman" w:cstheme="minorHAnsi"/>
          <w:i/>
          <w:iCs/>
          <w:lang w:eastAsia="en-AU"/>
        </w:rPr>
        <w:t>New Zealand Water and Wastes Association.</w:t>
      </w:r>
    </w:p>
    <w:p w14:paraId="749ACFF5" w14:textId="77777777" w:rsidR="002056DA" w:rsidRPr="00674982" w:rsidRDefault="002056DA" w:rsidP="002056DA">
      <w:pPr>
        <w:spacing w:line="240" w:lineRule="auto"/>
      </w:pPr>
      <w:r w:rsidRPr="00674982">
        <w:t xml:space="preserve">Oliver DO, Hannam R, Tiller KG, Wilhelm NS, Merry RH and Cozens GD (1994) ‘The effects of zinc fertilisation on cadmium concentration in wheat grain’ </w:t>
      </w:r>
      <w:r w:rsidRPr="00674982">
        <w:rPr>
          <w:i/>
          <w:iCs/>
        </w:rPr>
        <w:t>Journal of Environmental Quality</w:t>
      </w:r>
      <w:r w:rsidRPr="00674982">
        <w:t>, 23</w:t>
      </w:r>
      <w:r>
        <w:t>:</w:t>
      </w:r>
      <w:r w:rsidRPr="00674982">
        <w:t>705–11.</w:t>
      </w:r>
    </w:p>
    <w:p w14:paraId="7228E256"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Oliver DP, Kookana RS, Anderson JS, Cox JW, Waller N and Smith LH (2012) ‘Off-site transport of pesticides in dissolved and particulate forms from two land uses in the Mt. Lofty Ranges, South Australia’, </w:t>
      </w:r>
      <w:r w:rsidRPr="00674982">
        <w:rPr>
          <w:rFonts w:eastAsia="Times New Roman" w:cstheme="minorHAnsi"/>
          <w:i/>
          <w:iCs/>
          <w:lang w:eastAsia="en-AU"/>
        </w:rPr>
        <w:t xml:space="preserve">Agricultural Water Management, </w:t>
      </w:r>
      <w:r w:rsidRPr="00674982">
        <w:rPr>
          <w:rFonts w:eastAsia="Times New Roman" w:cstheme="minorHAnsi"/>
          <w:lang w:eastAsia="en-AU"/>
        </w:rPr>
        <w:t>106</w:t>
      </w:r>
      <w:r>
        <w:rPr>
          <w:rFonts w:eastAsia="Times New Roman" w:cstheme="minorHAnsi"/>
          <w:lang w:eastAsia="en-AU"/>
        </w:rPr>
        <w:t>:</w:t>
      </w:r>
      <w:r w:rsidRPr="00674982">
        <w:rPr>
          <w:rFonts w:eastAsia="Times New Roman" w:cstheme="minorHAnsi"/>
          <w:lang w:eastAsia="en-AU"/>
        </w:rPr>
        <w:t>78–85.</w:t>
      </w:r>
    </w:p>
    <w:p w14:paraId="257FF2A8" w14:textId="77777777" w:rsidR="002056DA" w:rsidRPr="00674982" w:rsidRDefault="002056DA" w:rsidP="002056DA">
      <w:pPr>
        <w:spacing w:line="240" w:lineRule="auto"/>
        <w:rPr>
          <w:i/>
          <w:iCs/>
        </w:rPr>
      </w:pPr>
      <w:r w:rsidRPr="00674982">
        <w:t xml:space="preserve">Olszowy H, Torr P and Imray P (1995) ’Trace element concentration in soils from rural and urban areas of Australia. Contaminated Sites Monograph Series 4’, </w:t>
      </w:r>
      <w:r w:rsidRPr="00674982">
        <w:rPr>
          <w:i/>
          <w:iCs/>
        </w:rPr>
        <w:t>South Australian Health Commission, Adelaide.</w:t>
      </w:r>
    </w:p>
    <w:p w14:paraId="388CE2C9" w14:textId="77777777" w:rsidR="002056DA" w:rsidRPr="00674982" w:rsidRDefault="002056DA" w:rsidP="002056DA">
      <w:pPr>
        <w:rPr>
          <w:b/>
          <w:bCs/>
        </w:rPr>
      </w:pPr>
      <w:r w:rsidRPr="00674982">
        <w:t>Oman’s Ministerial Decision No. 145 of (1993) ‘issuing the Regulations on waste water reuse and discharge’</w:t>
      </w:r>
    </w:p>
    <w:p w14:paraId="0FE50500"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Ozkutlu, F, Ozturk, L, Erdem, H, McLaughlin, M and Cakmak, I 2007, ‘Leaf-applied sodium chloride promotes cadmium accumulation in durum wheat grain’, </w:t>
      </w:r>
      <w:r w:rsidRPr="00674982">
        <w:rPr>
          <w:rFonts w:eastAsia="Times New Roman" w:cstheme="minorHAnsi"/>
          <w:i/>
          <w:iCs/>
          <w:lang w:eastAsia="en-AU"/>
        </w:rPr>
        <w:t>Plant and Soil</w:t>
      </w:r>
      <w:r w:rsidRPr="00674982">
        <w:rPr>
          <w:rFonts w:eastAsia="Times New Roman" w:cstheme="minorHAnsi"/>
          <w:lang w:eastAsia="en-AU"/>
        </w:rPr>
        <w:t>, 290</w:t>
      </w:r>
      <w:r>
        <w:rPr>
          <w:rFonts w:eastAsia="Times New Roman" w:cstheme="minorHAnsi"/>
          <w:lang w:eastAsia="en-AU"/>
        </w:rPr>
        <w:t>(</w:t>
      </w:r>
      <w:r w:rsidRPr="00674982">
        <w:rPr>
          <w:rFonts w:eastAsia="Times New Roman" w:cstheme="minorHAnsi"/>
          <w:lang w:eastAsia="en-AU"/>
        </w:rPr>
        <w:t>1</w:t>
      </w:r>
      <w:r>
        <w:rPr>
          <w:rFonts w:eastAsia="Times New Roman" w:cstheme="minorHAnsi"/>
          <w:lang w:eastAsia="en-AU"/>
        </w:rPr>
        <w:t>):</w:t>
      </w:r>
      <w:r w:rsidRPr="00674982">
        <w:rPr>
          <w:rFonts w:eastAsia="Times New Roman" w:cstheme="minorHAnsi"/>
          <w:lang w:eastAsia="en-AU"/>
        </w:rPr>
        <w:t>323–331.</w:t>
      </w:r>
    </w:p>
    <w:p w14:paraId="5FFD8B84" w14:textId="77777777" w:rsidR="002056DA" w:rsidRPr="00674982" w:rsidRDefault="002056DA" w:rsidP="002056DA">
      <w:pPr>
        <w:spacing w:line="240" w:lineRule="auto"/>
        <w:rPr>
          <w:i/>
          <w:iCs/>
        </w:rPr>
      </w:pPr>
      <w:r w:rsidRPr="00674982">
        <w:t>Papadopoulos I (1993) ‘Use of treated effluents for irrigation. I. Wastewater quality and quality guidelines’</w:t>
      </w:r>
      <w:r w:rsidRPr="00674982">
        <w:rPr>
          <w:i/>
          <w:iCs/>
        </w:rPr>
        <w:t xml:space="preserve"> In Advanced Short Course on Sewage Treatments–Practices–Management for agriculture use in the Mediterranean Countries. Cairo, Egypt, 8–20 February 1993, CIHEAM (Centre International de Hautes Etudes Agronomiques Mediterraneennes), Paris.</w:t>
      </w:r>
    </w:p>
    <w:p w14:paraId="1CDE41D7" w14:textId="77777777" w:rsidR="002056DA" w:rsidRPr="00674982" w:rsidRDefault="002056DA" w:rsidP="002056DA">
      <w:pPr>
        <w:spacing w:line="240" w:lineRule="auto"/>
      </w:pPr>
      <w:r w:rsidRPr="00674982">
        <w:lastRenderedPageBreak/>
        <w:t xml:space="preserve">Pearson GA (1960) ‘Tolerance of crops to exchangeable sodium’ </w:t>
      </w:r>
      <w:r w:rsidRPr="00674982">
        <w:rPr>
          <w:i/>
          <w:iCs/>
        </w:rPr>
        <w:t>Agricultural Information Bulletin 206, Agricultural Research Service, US Department of Agriculture, Washington DC</w:t>
      </w:r>
      <w:r w:rsidRPr="00674982">
        <w:t>.</w:t>
      </w:r>
    </w:p>
    <w:p w14:paraId="1590846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Pearson AJ, Gaw S, Hermanspahn N, Glover CN and Anderson CWN (2019) ‘Radium in New Zealand agricultural soils: Phosphate fertiliser inputs, soil activity concentrations and fractionation profiles’, </w:t>
      </w:r>
      <w:r w:rsidRPr="00674982">
        <w:rPr>
          <w:rFonts w:eastAsia="Times New Roman" w:cstheme="minorHAnsi"/>
          <w:i/>
          <w:iCs/>
          <w:lang w:eastAsia="en-AU"/>
        </w:rPr>
        <w:t>Journal of Environmental Radioactivity</w:t>
      </w:r>
      <w:r w:rsidRPr="00674982">
        <w:rPr>
          <w:rFonts w:eastAsia="Times New Roman" w:cstheme="minorHAnsi"/>
          <w:lang w:eastAsia="en-AU"/>
        </w:rPr>
        <w:t>, 205–206</w:t>
      </w:r>
      <w:r>
        <w:rPr>
          <w:rFonts w:eastAsia="Times New Roman" w:cstheme="minorHAnsi"/>
          <w:lang w:eastAsia="en-AU"/>
        </w:rPr>
        <w:t>:</w:t>
      </w:r>
      <w:r w:rsidRPr="00674982">
        <w:rPr>
          <w:rFonts w:eastAsia="Times New Roman" w:cstheme="minorHAnsi"/>
          <w:lang w:eastAsia="en-AU"/>
        </w:rPr>
        <w:t>119–126.</w:t>
      </w:r>
    </w:p>
    <w:p w14:paraId="6433950B"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Pereira AL, Azevedo J and Vasconcelos V (2017) ‘Assessment of uptake and phytotoxicity of cyanobacterial extracts containing microcystins or cylindrospermopsin on parsley (Petroselinum crispum L.) and coriander (Coriandrum sativum L)’, </w:t>
      </w:r>
      <w:r w:rsidRPr="00674982">
        <w:rPr>
          <w:rFonts w:eastAsia="Times New Roman" w:cstheme="minorHAnsi"/>
          <w:i/>
          <w:iCs/>
          <w:lang w:eastAsia="en-AU"/>
        </w:rPr>
        <w:t>Environmental Science and Pollution Research</w:t>
      </w:r>
      <w:r w:rsidRPr="00674982">
        <w:rPr>
          <w:rFonts w:eastAsia="Times New Roman" w:cstheme="minorHAnsi"/>
          <w:lang w:eastAsia="en-AU"/>
        </w:rPr>
        <w:t>, 24</w:t>
      </w:r>
      <w:r>
        <w:rPr>
          <w:rFonts w:eastAsia="Times New Roman" w:cstheme="minorHAnsi"/>
          <w:lang w:eastAsia="en-AU"/>
        </w:rPr>
        <w:t>(</w:t>
      </w:r>
      <w:r w:rsidRPr="00674982">
        <w:rPr>
          <w:rFonts w:eastAsia="Times New Roman" w:cstheme="minorHAnsi"/>
          <w:lang w:eastAsia="en-AU"/>
        </w:rPr>
        <w:t>2</w:t>
      </w:r>
      <w:r>
        <w:rPr>
          <w:rFonts w:eastAsia="Times New Roman" w:cstheme="minorHAnsi"/>
          <w:lang w:eastAsia="en-AU"/>
        </w:rPr>
        <w:t>):</w:t>
      </w:r>
      <w:r w:rsidRPr="00674982">
        <w:rPr>
          <w:rFonts w:eastAsia="Times New Roman" w:cstheme="minorHAnsi"/>
          <w:lang w:eastAsia="en-AU"/>
        </w:rPr>
        <w:t>1999–2009.</w:t>
      </w:r>
    </w:p>
    <w:p w14:paraId="29E9A0FD" w14:textId="77777777" w:rsidR="002056DA" w:rsidRPr="00674982" w:rsidRDefault="002056DA" w:rsidP="002056DA">
      <w:pPr>
        <w:pStyle w:val="Bibliography"/>
        <w:spacing w:line="240" w:lineRule="auto"/>
        <w:ind w:left="0" w:firstLine="0"/>
        <w:rPr>
          <w:rFonts w:cs="Arial"/>
        </w:rPr>
      </w:pPr>
      <w:r w:rsidRPr="00674982">
        <w:rPr>
          <w:rFonts w:cs="Arial"/>
        </w:rPr>
        <w:t xml:space="preserve">Pescod, M (1992) ‘Wastewater treatment and use in agriculture’, </w:t>
      </w:r>
      <w:r w:rsidRPr="00674982">
        <w:rPr>
          <w:rFonts w:cs="Arial"/>
          <w:i/>
          <w:iCs/>
        </w:rPr>
        <w:t>Food and Agriculture Organization Irrigation and Drainage Paper</w:t>
      </w:r>
      <w:r w:rsidRPr="00674982">
        <w:rPr>
          <w:rFonts w:cs="Arial"/>
        </w:rPr>
        <w:t xml:space="preserve"> 47. Food and Agriculture Organization of the United Nations, Rome.</w:t>
      </w:r>
    </w:p>
    <w:p w14:paraId="02D1C329"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Pestana M, de Varennes A, Abadia J and Araujo E (2005) ‘Differential tolerance to iron deficiency of citrus rootstocks grown in nutrient solution’, </w:t>
      </w:r>
      <w:r w:rsidRPr="00674982">
        <w:rPr>
          <w:rFonts w:eastAsia="Times New Roman" w:cstheme="minorHAnsi"/>
          <w:i/>
          <w:iCs/>
          <w:lang w:eastAsia="en-AU"/>
        </w:rPr>
        <w:t>Scientia Horticulturae</w:t>
      </w:r>
      <w:r w:rsidRPr="00674982">
        <w:rPr>
          <w:rFonts w:eastAsia="Times New Roman" w:cstheme="minorHAnsi"/>
          <w:lang w:eastAsia="en-AU"/>
        </w:rPr>
        <w:t>, 104</w:t>
      </w:r>
      <w:r>
        <w:rPr>
          <w:rFonts w:eastAsia="Times New Roman" w:cstheme="minorHAnsi"/>
          <w:lang w:eastAsia="en-AU"/>
        </w:rPr>
        <w:t>(</w:t>
      </w:r>
      <w:r w:rsidRPr="00674982">
        <w:rPr>
          <w:rFonts w:eastAsia="Times New Roman" w:cstheme="minorHAnsi"/>
          <w:lang w:eastAsia="en-AU"/>
        </w:rPr>
        <w:t>1</w:t>
      </w:r>
      <w:r>
        <w:rPr>
          <w:rFonts w:eastAsia="Times New Roman" w:cstheme="minorHAnsi"/>
          <w:lang w:eastAsia="en-AU"/>
        </w:rPr>
        <w:t>):</w:t>
      </w:r>
      <w:r w:rsidRPr="00674982">
        <w:rPr>
          <w:rFonts w:eastAsia="Times New Roman" w:cstheme="minorHAnsi"/>
          <w:lang w:eastAsia="en-AU"/>
        </w:rPr>
        <w:t>25–36.</w:t>
      </w:r>
    </w:p>
    <w:p w14:paraId="4438A6A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Rajakovic L and Rajakovic-Ognjanovic V (2018) ‘Arsenic in Water: Determination and Removal’, </w:t>
      </w:r>
      <w:r w:rsidRPr="00674982">
        <w:rPr>
          <w:rFonts w:eastAsia="Times New Roman" w:cstheme="minorHAnsi"/>
          <w:i/>
          <w:iCs/>
          <w:lang w:eastAsia="en-AU"/>
        </w:rPr>
        <w:t>Arsenic - Analytical and Toxicological Studies</w:t>
      </w:r>
      <w:r w:rsidRPr="00674982">
        <w:rPr>
          <w:rFonts w:eastAsia="Times New Roman" w:cstheme="minorHAnsi"/>
          <w:lang w:eastAsia="en-AU"/>
        </w:rPr>
        <w:t>, IntechOpen, viewed 23 February 2021, &lt;</w:t>
      </w:r>
      <w:hyperlink r:id="rId75" w:history="1">
        <w:r w:rsidRPr="00674982">
          <w:rPr>
            <w:rFonts w:eastAsia="Times New Roman" w:cstheme="minorHAnsi"/>
            <w:color w:val="0000FF"/>
            <w:u w:val="single"/>
            <w:lang w:eastAsia="en-AU"/>
          </w:rPr>
          <w:t>https://www.intechopen.com/books/arsenic-analytical-and-toxicological-studies/arsenic-in-water-determination-and-removal</w:t>
        </w:r>
      </w:hyperlink>
      <w:r w:rsidRPr="00674982">
        <w:rPr>
          <w:rFonts w:eastAsia="Times New Roman" w:cstheme="minorHAnsi"/>
          <w:lang w:eastAsia="en-AU"/>
        </w:rPr>
        <w:t>&gt;.</w:t>
      </w:r>
    </w:p>
    <w:p w14:paraId="4C5F3030" w14:textId="77777777" w:rsidR="002056DA" w:rsidRPr="00674982" w:rsidRDefault="002056DA" w:rsidP="002056DA">
      <w:pPr>
        <w:spacing w:line="240" w:lineRule="auto"/>
      </w:pPr>
      <w:r w:rsidRPr="00674982">
        <w:t xml:space="preserve">Rayment GE and Higginson FR (1992) ‘Electrical conductivity/total soluble salts’ </w:t>
      </w:r>
      <w:r w:rsidRPr="00674982">
        <w:rPr>
          <w:i/>
          <w:iCs/>
        </w:rPr>
        <w:t xml:space="preserve">In Australian laboratory handbook of soil and water chemical methods. Inkata Press, Melbourne, </w:t>
      </w:r>
      <w:r w:rsidRPr="00C00454">
        <w:t>217–223.</w:t>
      </w:r>
    </w:p>
    <w:p w14:paraId="7AC87D25"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Rayment G and Lyons D (2010) ‘Soil chemical methods - Australasia, Australian Soil and Land Survey Handbook Series’ </w:t>
      </w:r>
      <w:r w:rsidRPr="00674982">
        <w:rPr>
          <w:rFonts w:eastAsia="Times New Roman" w:cstheme="minorHAnsi"/>
          <w:i/>
          <w:iCs/>
          <w:lang w:eastAsia="en-AU"/>
        </w:rPr>
        <w:t>CSIRO Publishing</w:t>
      </w:r>
      <w:r w:rsidRPr="00674982">
        <w:rPr>
          <w:rFonts w:eastAsia="Times New Roman" w:cstheme="minorHAnsi"/>
          <w:lang w:eastAsia="en-AU"/>
        </w:rPr>
        <w:t>.</w:t>
      </w:r>
    </w:p>
    <w:p w14:paraId="7876013B" w14:textId="77777777" w:rsidR="002056DA" w:rsidRPr="00674982" w:rsidRDefault="002056DA" w:rsidP="002056DA">
      <w:pPr>
        <w:spacing w:line="240" w:lineRule="auto"/>
        <w:rPr>
          <w:i/>
          <w:iCs/>
        </w:rPr>
      </w:pPr>
      <w:r w:rsidRPr="00674982">
        <w:t xml:space="preserve">Rengasamy P and Olsson KA (1995) ‘Irrigation and sodicity: An overview’, In Australian sodic soils: Distribution, properties and management, eds R Naidu, ME Sumner and P Rengasamy, </w:t>
      </w:r>
      <w:r w:rsidRPr="00674982">
        <w:rPr>
          <w:i/>
          <w:iCs/>
        </w:rPr>
        <w:t xml:space="preserve">CSIRO Publications, East Melbourne, </w:t>
      </w:r>
      <w:r w:rsidRPr="00C00454">
        <w:t>195–204.</w:t>
      </w:r>
    </w:p>
    <w:p w14:paraId="621A19F6"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Rengasamy R (2010) ‘Soil processes affecting crop production in salt-affected soils’, </w:t>
      </w:r>
      <w:r w:rsidRPr="00674982">
        <w:rPr>
          <w:rFonts w:eastAsia="Times New Roman" w:cstheme="minorHAnsi"/>
          <w:i/>
          <w:iCs/>
          <w:lang w:eastAsia="en-AU"/>
        </w:rPr>
        <w:t>Functional Plant Biology</w:t>
      </w:r>
      <w:r w:rsidRPr="00674982">
        <w:rPr>
          <w:rFonts w:eastAsia="Times New Roman" w:cstheme="minorHAnsi"/>
          <w:lang w:eastAsia="en-AU"/>
        </w:rPr>
        <w:t>, 37</w:t>
      </w:r>
      <w:r>
        <w:rPr>
          <w:rFonts w:eastAsia="Times New Roman" w:cstheme="minorHAnsi"/>
          <w:lang w:eastAsia="en-AU"/>
        </w:rPr>
        <w:t>:</w:t>
      </w:r>
      <w:r w:rsidRPr="00674982">
        <w:rPr>
          <w:rFonts w:eastAsia="Times New Roman" w:cstheme="minorHAnsi"/>
          <w:lang w:eastAsia="en-AU"/>
        </w:rPr>
        <w:t>613–620.</w:t>
      </w:r>
    </w:p>
    <w:p w14:paraId="1E62D101" w14:textId="77777777" w:rsidR="002056DA" w:rsidRPr="00674982" w:rsidRDefault="002056DA" w:rsidP="002056DA">
      <w:pPr>
        <w:pStyle w:val="Bibliography"/>
        <w:spacing w:line="240" w:lineRule="auto"/>
        <w:ind w:left="0" w:firstLine="0"/>
        <w:rPr>
          <w:rFonts w:cs="Arial"/>
          <w:i/>
          <w:iCs/>
        </w:rPr>
      </w:pPr>
      <w:r w:rsidRPr="00674982">
        <w:rPr>
          <w:rFonts w:cs="Arial"/>
        </w:rPr>
        <w:t xml:space="preserve">Ressom R, San Soong F, Fitzgerald J, Turczynowicz L, El Sadi O and Roder D (1994) ‘Health effects of toxic cyanobacteria (blue-green algae)’ </w:t>
      </w:r>
      <w:r w:rsidRPr="00674982">
        <w:rPr>
          <w:rFonts w:cs="Arial"/>
          <w:i/>
          <w:iCs/>
        </w:rPr>
        <w:t>Report to the Environmental Health Standing Committee and National Health and Medical Research Council. University of Adelaide/South Australian Health Commission, Adelaide.</w:t>
      </w:r>
    </w:p>
    <w:p w14:paraId="4FF8D6A6" w14:textId="77777777" w:rsidR="002056DA" w:rsidRPr="00674982" w:rsidRDefault="002056DA" w:rsidP="002056DA">
      <w:pPr>
        <w:spacing w:line="240" w:lineRule="auto"/>
        <w:rPr>
          <w:i/>
          <w:iCs/>
        </w:rPr>
      </w:pPr>
      <w:r w:rsidRPr="00674982">
        <w:t xml:space="preserve">Rhoades JD (1982) ‘Reclamation and management of salt-affected soils after drainage’ </w:t>
      </w:r>
      <w:r w:rsidRPr="00674982">
        <w:rPr>
          <w:i/>
          <w:iCs/>
        </w:rPr>
        <w:t xml:space="preserve">In Rationalisation of water and soil research and management, Proceedings of the First Annual Western Provincial Conference, Lethbridge, Canada, </w:t>
      </w:r>
      <w:r w:rsidRPr="00C00454">
        <w:t>123–197.</w:t>
      </w:r>
    </w:p>
    <w:p w14:paraId="184F7C7E" w14:textId="77777777" w:rsidR="002056DA" w:rsidRPr="00674982" w:rsidRDefault="002056DA" w:rsidP="002056DA">
      <w:pPr>
        <w:spacing w:line="240" w:lineRule="auto"/>
      </w:pPr>
      <w:r w:rsidRPr="00674982">
        <w:t xml:space="preserve">Rhoades JD (1983) ‘Using saline waters for irrigation. International Workshop on Salt-affected Soils of Latin America’ </w:t>
      </w:r>
      <w:r w:rsidRPr="00674982">
        <w:rPr>
          <w:i/>
          <w:iCs/>
        </w:rPr>
        <w:t>October 1983, Venezuela</w:t>
      </w:r>
      <w:r w:rsidRPr="00674982">
        <w:t>.</w:t>
      </w:r>
    </w:p>
    <w:p w14:paraId="3C67AD9D" w14:textId="77777777" w:rsidR="002056DA" w:rsidRPr="00674982" w:rsidRDefault="002056DA" w:rsidP="002056DA">
      <w:pPr>
        <w:spacing w:line="240" w:lineRule="auto"/>
      </w:pPr>
      <w:r w:rsidRPr="00674982">
        <w:t xml:space="preserve">Ritchie GSP and Weaver DM (1993) ‘Phosphorus retention and release from sandy soils of the Peel–Harvey catchment’, </w:t>
      </w:r>
      <w:r w:rsidRPr="00674982">
        <w:rPr>
          <w:i/>
          <w:iCs/>
        </w:rPr>
        <w:t>Fertilizer Research</w:t>
      </w:r>
      <w:r w:rsidRPr="00674982">
        <w:t>, 36</w:t>
      </w:r>
      <w:r>
        <w:t>:</w:t>
      </w:r>
      <w:r w:rsidRPr="00674982">
        <w:t>115–122.</w:t>
      </w:r>
    </w:p>
    <w:p w14:paraId="707C3095"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Robinson B, Clothier B, Bolan N, Mahimairaja S, Greven M, Moni C, Marchetti M, Dijssel C and Milne G (2004) ‘Arsenic in the New Zealand environment’, </w:t>
      </w:r>
      <w:r w:rsidRPr="00674982">
        <w:rPr>
          <w:rFonts w:eastAsia="Times New Roman" w:cstheme="minorHAnsi"/>
          <w:i/>
          <w:iCs/>
          <w:lang w:eastAsia="en-AU"/>
        </w:rPr>
        <w:t>In ‘3</w:t>
      </w:r>
      <w:r w:rsidRPr="00674982">
        <w:rPr>
          <w:rFonts w:eastAsia="Times New Roman" w:cstheme="minorHAnsi"/>
          <w:i/>
          <w:iCs/>
          <w:vertAlign w:val="superscript"/>
          <w:lang w:eastAsia="en-AU"/>
        </w:rPr>
        <w:t>rd</w:t>
      </w:r>
      <w:r w:rsidRPr="00674982">
        <w:rPr>
          <w:rFonts w:eastAsia="Times New Roman" w:cstheme="minorHAnsi"/>
          <w:i/>
          <w:iCs/>
          <w:lang w:eastAsia="en-AU"/>
        </w:rPr>
        <w:t xml:space="preserve"> Australian and New Zealand Soils Conference, 5-9.</w:t>
      </w:r>
    </w:p>
    <w:p w14:paraId="6760A815" w14:textId="77777777" w:rsidR="002056DA" w:rsidRPr="00674982" w:rsidRDefault="002056DA" w:rsidP="002056DA">
      <w:pPr>
        <w:spacing w:line="240" w:lineRule="auto"/>
      </w:pPr>
      <w:r w:rsidRPr="00674982">
        <w:lastRenderedPageBreak/>
        <w:t>Romney EM and Childress JD (1965) ‘Effects of beryllium in plants and soil’</w:t>
      </w:r>
      <w:r w:rsidRPr="00674982">
        <w:rPr>
          <w:i/>
          <w:iCs/>
        </w:rPr>
        <w:t>, Soil Science</w:t>
      </w:r>
      <w:r w:rsidRPr="00674982">
        <w:t>, 100</w:t>
      </w:r>
      <w:r>
        <w:t>:</w:t>
      </w:r>
      <w:r w:rsidRPr="00674982">
        <w:t>210–217.</w:t>
      </w:r>
    </w:p>
    <w:p w14:paraId="021D1376" w14:textId="77777777" w:rsidR="002056DA" w:rsidRPr="00674982" w:rsidRDefault="002056DA" w:rsidP="002056DA">
      <w:pPr>
        <w:spacing w:line="240" w:lineRule="auto"/>
      </w:pPr>
      <w:r w:rsidRPr="00674982">
        <w:t xml:space="preserve">Rose CW, Dayananda PWA, Nielson DR and Biggar JW (1979) ‘Long-term solute dynamics and hydrology in irrigated slowly permeable soils’, </w:t>
      </w:r>
      <w:r w:rsidRPr="00674982">
        <w:rPr>
          <w:i/>
          <w:iCs/>
        </w:rPr>
        <w:t>Irrigation Science</w:t>
      </w:r>
      <w:r w:rsidRPr="00674982">
        <w:t>, 1</w:t>
      </w:r>
      <w:r>
        <w:t>:</w:t>
      </w:r>
      <w:r w:rsidRPr="00674982">
        <w:t>77–87.</w:t>
      </w:r>
    </w:p>
    <w:p w14:paraId="30804393" w14:textId="77777777" w:rsidR="002056DA" w:rsidRPr="00674982" w:rsidRDefault="002056DA" w:rsidP="002056DA">
      <w:pPr>
        <w:spacing w:line="240" w:lineRule="auto"/>
      </w:pPr>
      <w:r w:rsidRPr="00674982">
        <w:t>Rossum JR and Merrill DT (1983) ‘An evaluation of the calcium carbonate saturation indexes’</w:t>
      </w:r>
      <w:r w:rsidRPr="00674982">
        <w:rPr>
          <w:i/>
          <w:iCs/>
        </w:rPr>
        <w:t>, Journal of the American Water Works Association</w:t>
      </w:r>
      <w:r w:rsidRPr="00674982">
        <w:t>, 75</w:t>
      </w:r>
      <w:r>
        <w:t>(</w:t>
      </w:r>
      <w:r w:rsidRPr="00674982">
        <w:t>2</w:t>
      </w:r>
      <w:r>
        <w:t>):</w:t>
      </w:r>
      <w:r w:rsidRPr="00674982">
        <w:t>95–100.</w:t>
      </w:r>
    </w:p>
    <w:p w14:paraId="43AD309A" w14:textId="77777777" w:rsidR="002056DA" w:rsidRPr="00674982" w:rsidRDefault="002056DA" w:rsidP="002056DA">
      <w:r w:rsidRPr="00674982">
        <w:t xml:space="preserve">Russell JS (1976) ‘Comparative salt tolerance of some tropical and temperate legumes and tropical grasses’, </w:t>
      </w:r>
      <w:r w:rsidRPr="00674982">
        <w:rPr>
          <w:i/>
          <w:iCs/>
        </w:rPr>
        <w:t>Australian Journal of Experimental Agriculture and Animal Husbandry</w:t>
      </w:r>
      <w:r>
        <w:t xml:space="preserve">, </w:t>
      </w:r>
      <w:r w:rsidRPr="00674982">
        <w:t>16</w:t>
      </w:r>
      <w:r>
        <w:t>:</w:t>
      </w:r>
      <w:r w:rsidRPr="00674982">
        <w:t>103–109</w:t>
      </w:r>
    </w:p>
    <w:p w14:paraId="662E586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Ryan U, Monis P, Deere D, and Arran C (2014) ‘Treatment requirements for Australian source waters to meet health based targets</w:t>
      </w:r>
      <w:r w:rsidRPr="00674982">
        <w:rPr>
          <w:rFonts w:eastAsia="Times New Roman" w:cstheme="minorHAnsi"/>
          <w:i/>
          <w:iCs/>
          <w:lang w:eastAsia="en-AU"/>
        </w:rPr>
        <w:t>’. Appendix 5 Review on Cryptosporidium species and shedding rates in animals in Australian catchments, Water Research Australia, Adelaide, SA, Australia</w:t>
      </w:r>
      <w:r w:rsidRPr="00674982">
        <w:rPr>
          <w:rFonts w:eastAsia="Times New Roman" w:cstheme="minorHAnsi"/>
          <w:lang w:eastAsia="en-AU"/>
        </w:rPr>
        <w:t>.</w:t>
      </w:r>
    </w:p>
    <w:p w14:paraId="1B01C301"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Ryznar JW (1944) ’A new index for determining the amount of calcium carbonate scale formed by water’, </w:t>
      </w:r>
      <w:r w:rsidRPr="00674982">
        <w:rPr>
          <w:rFonts w:eastAsia="Times New Roman" w:cstheme="minorHAnsi"/>
          <w:i/>
          <w:iCs/>
          <w:lang w:eastAsia="en-AU"/>
        </w:rPr>
        <w:t>Journal of the American Water Works Association</w:t>
      </w:r>
      <w:r w:rsidRPr="00674982">
        <w:rPr>
          <w:rFonts w:eastAsia="Times New Roman" w:cstheme="minorHAnsi"/>
          <w:lang w:eastAsia="en-AU"/>
        </w:rPr>
        <w:t>, 36</w:t>
      </w:r>
      <w:r>
        <w:rPr>
          <w:rFonts w:eastAsia="Times New Roman" w:cstheme="minorHAnsi"/>
          <w:lang w:eastAsia="en-AU"/>
        </w:rPr>
        <w:t>(</w:t>
      </w:r>
      <w:r w:rsidRPr="00674982">
        <w:rPr>
          <w:rFonts w:eastAsia="Times New Roman" w:cstheme="minorHAnsi"/>
          <w:lang w:eastAsia="en-AU"/>
        </w:rPr>
        <w:t>4</w:t>
      </w:r>
      <w:r>
        <w:rPr>
          <w:rFonts w:eastAsia="Times New Roman" w:cstheme="minorHAnsi"/>
          <w:lang w:eastAsia="en-AU"/>
        </w:rPr>
        <w:t>):</w:t>
      </w:r>
      <w:r w:rsidRPr="00674982">
        <w:rPr>
          <w:rFonts w:eastAsia="Times New Roman" w:cstheme="minorHAnsi"/>
          <w:lang w:eastAsia="en-AU"/>
        </w:rPr>
        <w:t>472–483.</w:t>
      </w:r>
    </w:p>
    <w:p w14:paraId="2DA2CC90"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Salameh Al Jamal M, Sammis TW and Jones T (1997) ‘Nitrogen and chloride concentration in deep soil cores related to fertilization’, </w:t>
      </w:r>
      <w:r w:rsidRPr="00674982">
        <w:rPr>
          <w:rFonts w:eastAsia="Times New Roman" w:cstheme="minorHAnsi"/>
          <w:i/>
          <w:iCs/>
          <w:lang w:eastAsia="en-AU"/>
        </w:rPr>
        <w:t>Agricultural Water Management</w:t>
      </w:r>
      <w:r w:rsidRPr="00674982">
        <w:rPr>
          <w:rFonts w:eastAsia="Times New Roman" w:cstheme="minorHAnsi"/>
          <w:lang w:eastAsia="en-AU"/>
        </w:rPr>
        <w:t>, 34</w:t>
      </w:r>
      <w:r>
        <w:rPr>
          <w:rFonts w:eastAsia="Times New Roman" w:cstheme="minorHAnsi"/>
          <w:lang w:eastAsia="en-AU"/>
        </w:rPr>
        <w:t>:</w:t>
      </w:r>
      <w:r w:rsidRPr="00674982">
        <w:rPr>
          <w:rFonts w:eastAsia="Times New Roman" w:cstheme="minorHAnsi"/>
          <w:lang w:eastAsia="en-AU"/>
        </w:rPr>
        <w:t>1–16.</w:t>
      </w:r>
    </w:p>
    <w:p w14:paraId="598E89ED"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Sanden B, Scudiero E, Ferguson L and Kallsen C (2018) ‘Field assessment of potential pistachio salt toxicity using the EM38’, in </w:t>
      </w:r>
      <w:r w:rsidRPr="00674982">
        <w:rPr>
          <w:rFonts w:eastAsia="Times New Roman" w:cstheme="minorHAnsi"/>
          <w:i/>
          <w:iCs/>
          <w:lang w:eastAsia="en-AU"/>
        </w:rPr>
        <w:t xml:space="preserve">ISHS Acta Horticulturae 1219, </w:t>
      </w:r>
      <w:r w:rsidRPr="00674982">
        <w:rPr>
          <w:rFonts w:eastAsia="Times New Roman" w:cstheme="minorHAnsi"/>
          <w:lang w:eastAsia="en-AU"/>
        </w:rPr>
        <w:t>163-168.</w:t>
      </w:r>
    </w:p>
    <w:p w14:paraId="4C4E2C3A" w14:textId="77777777" w:rsidR="002056DA" w:rsidRPr="00674982" w:rsidRDefault="002056DA" w:rsidP="002056DA">
      <w:pPr>
        <w:pStyle w:val="Bibliography"/>
        <w:spacing w:line="240" w:lineRule="auto"/>
        <w:ind w:left="0" w:firstLine="0"/>
        <w:rPr>
          <w:rFonts w:cs="Arial"/>
        </w:rPr>
      </w:pPr>
      <w:r w:rsidRPr="00674982">
        <w:rPr>
          <w:rFonts w:cs="Arial"/>
        </w:rPr>
        <w:t xml:space="preserve">Sanders JR (1982) ‘The effect of pH upon the copper and cupric ion concentrations in soil solutions’, </w:t>
      </w:r>
      <w:r w:rsidRPr="00674982">
        <w:rPr>
          <w:rFonts w:cs="Arial"/>
          <w:i/>
          <w:iCs/>
        </w:rPr>
        <w:t>Journal of Soil Science</w:t>
      </w:r>
      <w:r w:rsidRPr="00674982">
        <w:rPr>
          <w:rFonts w:cs="Arial"/>
        </w:rPr>
        <w:t>, 33</w:t>
      </w:r>
      <w:r>
        <w:rPr>
          <w:rFonts w:cs="Arial"/>
        </w:rPr>
        <w:t>:</w:t>
      </w:r>
      <w:r w:rsidRPr="00674982">
        <w:rPr>
          <w:rFonts w:cs="Arial"/>
        </w:rPr>
        <w:t>679–689.</w:t>
      </w:r>
    </w:p>
    <w:p w14:paraId="6E0392D2"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Saqrane S and Oudra B (2009) ‘CyanoHAB Occurrence and Water Irrigation Cyanotoxin Contamination: Ecological Impacts and Potential Health Risks’, </w:t>
      </w:r>
      <w:r w:rsidRPr="00674982">
        <w:rPr>
          <w:rFonts w:eastAsia="Times New Roman" w:cstheme="minorHAnsi"/>
          <w:i/>
          <w:iCs/>
          <w:lang w:eastAsia="en-AU"/>
        </w:rPr>
        <w:t>Toxins</w:t>
      </w:r>
      <w:r w:rsidRPr="00674982">
        <w:rPr>
          <w:rFonts w:eastAsia="Times New Roman" w:cstheme="minorHAnsi"/>
          <w:lang w:eastAsia="en-AU"/>
        </w:rPr>
        <w:t>, 1</w:t>
      </w:r>
      <w:r>
        <w:rPr>
          <w:rFonts w:eastAsia="Times New Roman" w:cstheme="minorHAnsi"/>
          <w:lang w:eastAsia="en-AU"/>
        </w:rPr>
        <w:t>(</w:t>
      </w:r>
      <w:r w:rsidRPr="00674982">
        <w:rPr>
          <w:rFonts w:eastAsia="Times New Roman" w:cstheme="minorHAnsi"/>
          <w:lang w:eastAsia="en-AU"/>
        </w:rPr>
        <w:t>2</w:t>
      </w:r>
      <w:r>
        <w:rPr>
          <w:rFonts w:eastAsia="Times New Roman" w:cstheme="minorHAnsi"/>
          <w:lang w:eastAsia="en-AU"/>
        </w:rPr>
        <w:t>):</w:t>
      </w:r>
      <w:r w:rsidRPr="00674982">
        <w:rPr>
          <w:rFonts w:eastAsia="Times New Roman" w:cstheme="minorHAnsi"/>
          <w:lang w:eastAsia="en-AU"/>
        </w:rPr>
        <w:t>113–122.</w:t>
      </w:r>
    </w:p>
    <w:p w14:paraId="1A2475C2" w14:textId="77777777" w:rsidR="002056DA" w:rsidRPr="00674982" w:rsidRDefault="002056DA" w:rsidP="002056DA">
      <w:pPr>
        <w:spacing w:line="240" w:lineRule="auto"/>
      </w:pPr>
      <w:r w:rsidRPr="00674982">
        <w:t>Sauer MR (1958) ’Boron content of sultana vines in the Mildura area’</w:t>
      </w:r>
      <w:r w:rsidRPr="00674982">
        <w:rPr>
          <w:i/>
          <w:iCs/>
        </w:rPr>
        <w:t>, Australian Journal of Agricultural Research</w:t>
      </w:r>
      <w:r w:rsidRPr="00674982">
        <w:t>, 9</w:t>
      </w:r>
      <w:r>
        <w:t>:</w:t>
      </w:r>
      <w:r w:rsidRPr="00674982">
        <w:t>123–128.</w:t>
      </w:r>
    </w:p>
    <w:p w14:paraId="03C64382" w14:textId="77777777" w:rsidR="002056DA" w:rsidRPr="00674982" w:rsidRDefault="002056DA" w:rsidP="002056DA">
      <w:pPr>
        <w:spacing w:line="240" w:lineRule="auto"/>
      </w:pPr>
      <w:r w:rsidRPr="00674982">
        <w:t>Sceswell G and Huett D (1998) ‘Plant nutrition’,  In Australian Vegetable Growing Handbook, ed J Salvestrin, pp. 89– 105. Scope Publishing Pty Ltd, Frankston, Victoria, Australia.</w:t>
      </w:r>
    </w:p>
    <w:p w14:paraId="68189642" w14:textId="77777777" w:rsidR="002056DA" w:rsidRPr="00674982" w:rsidRDefault="002056DA" w:rsidP="002056DA">
      <w:pPr>
        <w:spacing w:line="240" w:lineRule="auto"/>
      </w:pPr>
      <w:r w:rsidRPr="00674982">
        <w:t xml:space="preserve">Schachtschabel P, Blume HP, Brummer G, Hartge KH and Schwertman U (1989) ‘Lehrbuch der bodenkunde’ </w:t>
      </w:r>
      <w:r w:rsidRPr="00674982">
        <w:rPr>
          <w:i/>
          <w:iCs/>
        </w:rPr>
        <w:t>12 auflage, Ferdinand Enke Verlag, Stuttgart</w:t>
      </w:r>
      <w:r w:rsidRPr="00674982">
        <w:t>.</w:t>
      </w:r>
    </w:p>
    <w:p w14:paraId="12495F7C" w14:textId="77777777" w:rsidR="002056DA" w:rsidRPr="00674982" w:rsidRDefault="002056DA" w:rsidP="002056DA">
      <w:pPr>
        <w:spacing w:line="240" w:lineRule="auto"/>
        <w:rPr>
          <w:i/>
          <w:iCs/>
        </w:rPr>
      </w:pPr>
      <w:r w:rsidRPr="00674982">
        <w:t xml:space="preserve">Schmitz RJ (1996) ‘Introduction to Water Pollution Biology’ </w:t>
      </w:r>
      <w:r w:rsidRPr="00674982">
        <w:rPr>
          <w:i/>
          <w:iCs/>
        </w:rPr>
        <w:t>Gulf Publishing Company, Houston, Texas.</w:t>
      </w:r>
    </w:p>
    <w:p w14:paraId="23E0D50A" w14:textId="77777777" w:rsidR="002056DA" w:rsidRPr="00674982" w:rsidRDefault="002056DA" w:rsidP="002056DA">
      <w:pPr>
        <w:spacing w:line="240" w:lineRule="auto"/>
      </w:pPr>
      <w:r w:rsidRPr="00674982">
        <w:t xml:space="preserve">Schofield NJ and Simpson BW (1996) ‘Pesticides: An emerging issue for water and the environment’, </w:t>
      </w:r>
      <w:r w:rsidRPr="00674982">
        <w:rPr>
          <w:i/>
          <w:iCs/>
        </w:rPr>
        <w:t>Australian Journal of Water Resources</w:t>
      </w:r>
      <w:r w:rsidRPr="00674982">
        <w:t>, 1</w:t>
      </w:r>
      <w:r>
        <w:t>(</w:t>
      </w:r>
      <w:r w:rsidRPr="00674982">
        <w:t>2</w:t>
      </w:r>
      <w:r>
        <w:t>):</w:t>
      </w:r>
      <w:r w:rsidRPr="00674982">
        <w:t>91–97.</w:t>
      </w:r>
    </w:p>
    <w:p w14:paraId="0359B4E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Schortgen GP and Patton AJ (2020) ‘Weed control by 2,4-D dimethylamine depends on mixture water hardness and adjuvant inclusion but not spray solution storage time’, </w:t>
      </w:r>
      <w:r w:rsidRPr="00674982">
        <w:rPr>
          <w:rFonts w:eastAsia="Times New Roman" w:cstheme="minorHAnsi"/>
          <w:i/>
          <w:iCs/>
          <w:lang w:eastAsia="en-AU"/>
        </w:rPr>
        <w:t>Weed Technology</w:t>
      </w:r>
      <w:r w:rsidRPr="00674982">
        <w:rPr>
          <w:rFonts w:eastAsia="Times New Roman" w:cstheme="minorHAnsi"/>
          <w:lang w:eastAsia="en-AU"/>
        </w:rPr>
        <w:t>, 34</w:t>
      </w:r>
      <w:r>
        <w:rPr>
          <w:rFonts w:eastAsia="Times New Roman" w:cstheme="minorHAnsi"/>
          <w:lang w:eastAsia="en-AU"/>
        </w:rPr>
        <w:t>(</w:t>
      </w:r>
      <w:r w:rsidRPr="00674982">
        <w:rPr>
          <w:rFonts w:eastAsia="Times New Roman" w:cstheme="minorHAnsi"/>
          <w:lang w:eastAsia="en-AU"/>
        </w:rPr>
        <w:t>1</w:t>
      </w:r>
      <w:r>
        <w:rPr>
          <w:rFonts w:eastAsia="Times New Roman" w:cstheme="minorHAnsi"/>
          <w:lang w:eastAsia="en-AU"/>
        </w:rPr>
        <w:t>):</w:t>
      </w:r>
      <w:r w:rsidRPr="00674982">
        <w:rPr>
          <w:rFonts w:eastAsia="Times New Roman" w:cstheme="minorHAnsi"/>
          <w:lang w:eastAsia="en-AU"/>
        </w:rPr>
        <w:t>107–116.</w:t>
      </w:r>
    </w:p>
    <w:p w14:paraId="237ECF3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Scott PD, Bartkow M, Blockwell SJ, Coleman HM, Khan SJ, Lim R, McDonald JA, Nice H, Nugegoda D, Pettigrove V, Tremblay LA, Warne MSJ and Leusch FDL (2014) ‘A National Survey of Trace Organic Contaminants in Australian Rivers’, </w:t>
      </w:r>
      <w:r w:rsidRPr="00674982">
        <w:rPr>
          <w:rFonts w:eastAsia="Times New Roman" w:cstheme="minorHAnsi"/>
          <w:i/>
          <w:iCs/>
          <w:lang w:eastAsia="en-AU"/>
        </w:rPr>
        <w:t xml:space="preserve">Journal of Environmental Quality, </w:t>
      </w:r>
      <w:r w:rsidRPr="00C00454">
        <w:rPr>
          <w:rFonts w:eastAsia="Times New Roman" w:cstheme="minorHAnsi"/>
          <w:lang w:eastAsia="en-AU"/>
        </w:rPr>
        <w:t>43(5):1702–1712.</w:t>
      </w:r>
    </w:p>
    <w:p w14:paraId="52DFAEF8" w14:textId="77777777" w:rsidR="002056DA" w:rsidRPr="00674982" w:rsidRDefault="002056DA" w:rsidP="002056DA">
      <w:pPr>
        <w:spacing w:line="240" w:lineRule="auto"/>
        <w:rPr>
          <w:rFonts w:cstheme="minorHAnsi"/>
          <w:spacing w:val="2"/>
          <w:shd w:val="clear" w:color="auto" w:fill="FCFCFC"/>
        </w:rPr>
      </w:pPr>
      <w:r w:rsidRPr="00674982">
        <w:rPr>
          <w:rFonts w:cstheme="minorHAnsi"/>
          <w:spacing w:val="2"/>
          <w:shd w:val="clear" w:color="auto" w:fill="FCFCFC"/>
        </w:rPr>
        <w:lastRenderedPageBreak/>
        <w:t xml:space="preserve">Scott-Fordsmand JJ and Pedersen MB (1995) ‘Soil quality criteria for selected inorganic compounds’ </w:t>
      </w:r>
      <w:r w:rsidRPr="00674982">
        <w:rPr>
          <w:rFonts w:cstheme="minorHAnsi"/>
          <w:i/>
          <w:iCs/>
          <w:spacing w:val="2"/>
          <w:shd w:val="clear" w:color="auto" w:fill="FCFCFC"/>
        </w:rPr>
        <w:t>Working Report No. 48, Danish Environmental Protection Agency</w:t>
      </w:r>
      <w:r w:rsidRPr="00674982">
        <w:rPr>
          <w:rFonts w:cstheme="minorHAnsi"/>
          <w:spacing w:val="2"/>
          <w:shd w:val="clear" w:color="auto" w:fill="FCFCFC"/>
        </w:rPr>
        <w:t>.</w:t>
      </w:r>
    </w:p>
    <w:p w14:paraId="6A4838F5" w14:textId="77777777" w:rsidR="002056DA" w:rsidRPr="00674982" w:rsidRDefault="002056DA" w:rsidP="002056DA">
      <w:pPr>
        <w:spacing w:line="240" w:lineRule="auto"/>
        <w:rPr>
          <w:rFonts w:cstheme="minorHAnsi"/>
          <w:spacing w:val="2"/>
          <w:shd w:val="clear" w:color="auto" w:fill="FCFCFC"/>
        </w:rPr>
      </w:pPr>
      <w:r w:rsidRPr="00674982">
        <w:rPr>
          <w:rFonts w:cstheme="minorHAnsi"/>
          <w:color w:val="222222"/>
          <w:shd w:val="clear" w:color="auto" w:fill="FFFFFF"/>
        </w:rPr>
        <w:t>Sendall BC and McGregor GB (2018) ‘Cryptic diversity within the Scytonema complex: Characterization of the paralytic shellfish toxin producer Heterosyctonema crispum, and the establishment of the family Heteroscytonemataceae (Cyanobacteria/Nostocales)’, </w:t>
      </w:r>
      <w:r w:rsidRPr="00674982">
        <w:rPr>
          <w:rFonts w:cstheme="minorHAnsi"/>
          <w:i/>
          <w:iCs/>
          <w:color w:val="222222"/>
          <w:shd w:val="clear" w:color="auto" w:fill="FFFFFF"/>
        </w:rPr>
        <w:t>Harmful algae</w:t>
      </w:r>
      <w:r w:rsidRPr="00674982">
        <w:rPr>
          <w:rFonts w:cstheme="minorHAnsi"/>
          <w:color w:val="222222"/>
          <w:shd w:val="clear" w:color="auto" w:fill="FFFFFF"/>
        </w:rPr>
        <w:t>,</w:t>
      </w:r>
      <w:r>
        <w:rPr>
          <w:rFonts w:cstheme="minorHAnsi"/>
          <w:color w:val="222222"/>
          <w:shd w:val="clear" w:color="auto" w:fill="FFFFFF"/>
        </w:rPr>
        <w:t xml:space="preserve"> </w:t>
      </w:r>
      <w:r w:rsidRPr="00674982">
        <w:rPr>
          <w:rFonts w:cstheme="minorHAnsi"/>
          <w:color w:val="222222"/>
          <w:shd w:val="clear" w:color="auto" w:fill="FFFFFF"/>
        </w:rPr>
        <w:t>80</w:t>
      </w:r>
      <w:r>
        <w:rPr>
          <w:rFonts w:cstheme="minorHAnsi"/>
          <w:color w:val="222222"/>
          <w:shd w:val="clear" w:color="auto" w:fill="FFFFFF"/>
        </w:rPr>
        <w:t>:</w:t>
      </w:r>
      <w:r w:rsidRPr="00674982">
        <w:rPr>
          <w:rFonts w:cstheme="minorHAnsi"/>
          <w:color w:val="222222"/>
          <w:shd w:val="clear" w:color="auto" w:fill="FFFFFF"/>
        </w:rPr>
        <w:t>158-170.</w:t>
      </w:r>
    </w:p>
    <w:p w14:paraId="6FBDF92D" w14:textId="77777777" w:rsidR="002056DA" w:rsidRPr="00674982" w:rsidRDefault="002056DA" w:rsidP="002056DA">
      <w:pPr>
        <w:spacing w:line="240" w:lineRule="auto"/>
      </w:pPr>
      <w:r w:rsidRPr="00674982">
        <w:t xml:space="preserve">SEQ Water (South East Queensland Water Corporation) (2006) ‘Toxic Cyanobacteria Risk Assessment’ </w:t>
      </w:r>
      <w:r w:rsidRPr="00674982">
        <w:rPr>
          <w:i/>
          <w:iCs/>
        </w:rPr>
        <w:t>Reservoir Vulnerability and Water Use Best Practice</w:t>
      </w:r>
      <w:r w:rsidRPr="00674982">
        <w:t xml:space="preserve">. </w:t>
      </w:r>
    </w:p>
    <w:p w14:paraId="660D1BF2"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Shah A, Tanveer M, Hussain S and Yang G (2016) ‘Beryllium in the environment: Whether fatal for plant growth?’, </w:t>
      </w:r>
      <w:r w:rsidRPr="00674982">
        <w:rPr>
          <w:rFonts w:eastAsia="Times New Roman" w:cstheme="minorHAnsi"/>
          <w:i/>
          <w:iCs/>
          <w:lang w:eastAsia="en-AU"/>
        </w:rPr>
        <w:t>Reviews in Environmental Science and Bio/Technology</w:t>
      </w:r>
      <w:r w:rsidRPr="00674982">
        <w:rPr>
          <w:rFonts w:eastAsia="Times New Roman" w:cstheme="minorHAnsi"/>
          <w:lang w:eastAsia="en-AU"/>
        </w:rPr>
        <w:t>, 15</w:t>
      </w:r>
      <w:r>
        <w:rPr>
          <w:rFonts w:eastAsia="Times New Roman" w:cstheme="minorHAnsi"/>
          <w:lang w:eastAsia="en-AU"/>
        </w:rPr>
        <w:t>(</w:t>
      </w:r>
      <w:r w:rsidRPr="00674982">
        <w:rPr>
          <w:rFonts w:eastAsia="Times New Roman" w:cstheme="minorHAnsi"/>
          <w:lang w:eastAsia="en-AU"/>
        </w:rPr>
        <w:t>4</w:t>
      </w:r>
      <w:r>
        <w:rPr>
          <w:rFonts w:eastAsia="Times New Roman" w:cstheme="minorHAnsi"/>
          <w:lang w:eastAsia="en-AU"/>
        </w:rPr>
        <w:t>):</w:t>
      </w:r>
      <w:r w:rsidRPr="00674982">
        <w:rPr>
          <w:rFonts w:eastAsia="Times New Roman" w:cstheme="minorHAnsi"/>
          <w:lang w:eastAsia="en-AU"/>
        </w:rPr>
        <w:t>549-561.</w:t>
      </w:r>
    </w:p>
    <w:p w14:paraId="1FF602A2"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Shahabi, A, Malakouti, M and Fallahi, E 2005, ‘Effects of bicarbonate content of irrigation water on nutritional disorders of some apple varieties’, </w:t>
      </w:r>
      <w:r w:rsidRPr="00674982">
        <w:rPr>
          <w:rFonts w:eastAsia="Times New Roman" w:cstheme="minorHAnsi"/>
          <w:i/>
          <w:iCs/>
          <w:lang w:eastAsia="en-AU"/>
        </w:rPr>
        <w:t>Journal of Plant Nutrition’</w:t>
      </w:r>
      <w:r w:rsidRPr="00674982">
        <w:rPr>
          <w:rFonts w:eastAsia="Times New Roman" w:cstheme="minorHAnsi"/>
          <w:lang w:eastAsia="en-AU"/>
        </w:rPr>
        <w:t>, 28</w:t>
      </w:r>
      <w:r>
        <w:rPr>
          <w:rFonts w:eastAsia="Times New Roman" w:cstheme="minorHAnsi"/>
          <w:lang w:eastAsia="en-AU"/>
        </w:rPr>
        <w:t>(</w:t>
      </w:r>
      <w:r w:rsidRPr="00674982">
        <w:rPr>
          <w:rFonts w:eastAsia="Times New Roman" w:cstheme="minorHAnsi"/>
          <w:lang w:eastAsia="en-AU"/>
        </w:rPr>
        <w:t>9</w:t>
      </w:r>
      <w:r>
        <w:rPr>
          <w:rFonts w:eastAsia="Times New Roman" w:cstheme="minorHAnsi"/>
          <w:lang w:eastAsia="en-AU"/>
        </w:rPr>
        <w:t>):</w:t>
      </w:r>
      <w:r w:rsidRPr="00674982">
        <w:rPr>
          <w:rFonts w:eastAsia="Times New Roman" w:cstheme="minorHAnsi"/>
          <w:lang w:eastAsia="en-AU"/>
        </w:rPr>
        <w:t>1663–1678.</w:t>
      </w:r>
    </w:p>
    <w:p w14:paraId="3BCFD406" w14:textId="77777777" w:rsidR="002056DA" w:rsidRPr="00674982" w:rsidRDefault="002056DA" w:rsidP="002056DA">
      <w:pPr>
        <w:spacing w:line="240" w:lineRule="auto"/>
      </w:pPr>
      <w:r w:rsidRPr="00674982">
        <w:t xml:space="preserve">Sharpley AN (1993) ‘Assessing phosphorus bioavailability in agricultural soils and runoff’, </w:t>
      </w:r>
      <w:r w:rsidRPr="00674982">
        <w:rPr>
          <w:i/>
          <w:iCs/>
        </w:rPr>
        <w:t>Fertilizer Research</w:t>
      </w:r>
      <w:r w:rsidRPr="00674982">
        <w:t>, 36</w:t>
      </w:r>
      <w:r>
        <w:t>:</w:t>
      </w:r>
      <w:r w:rsidRPr="00674982">
        <w:t>259–272.</w:t>
      </w:r>
    </w:p>
    <w:p w14:paraId="2F05B57C" w14:textId="77777777" w:rsidR="002056DA" w:rsidRPr="00674982" w:rsidRDefault="002056DA" w:rsidP="002056DA">
      <w:pPr>
        <w:spacing w:line="240" w:lineRule="auto"/>
      </w:pPr>
      <w:r w:rsidRPr="00674982">
        <w:t xml:space="preserve">Shaw GR, Sukenik A, Livne A, Chiswell RK, Smith MJ, Seawright AA, Norris RL, Eaglesham GK and Moore MR (1999) ‘Blooms of the cylindrospermopsin containing cyanobacterium, Aphanizomenon ovalisporum (Forti), in newly constructed lakes, Queensland, Australia’, </w:t>
      </w:r>
      <w:r w:rsidRPr="00674982">
        <w:rPr>
          <w:i/>
          <w:iCs/>
        </w:rPr>
        <w:t>Environmental Toxicology</w:t>
      </w:r>
      <w:r w:rsidRPr="00674982">
        <w:t>, 14</w:t>
      </w:r>
      <w:r>
        <w:t>:</w:t>
      </w:r>
      <w:r w:rsidRPr="00674982">
        <w:t>167–177.</w:t>
      </w:r>
    </w:p>
    <w:p w14:paraId="09101E95" w14:textId="77777777" w:rsidR="002056DA" w:rsidRPr="00674982" w:rsidRDefault="002056DA" w:rsidP="002056DA">
      <w:pPr>
        <w:spacing w:line="240" w:lineRule="auto"/>
      </w:pPr>
      <w:r w:rsidRPr="00674982">
        <w:t xml:space="preserve">Shaw RJ and Thorburn PJ (1985) ‘Prediction of leaching fraction from soil properties, irrigation water and rainfall’, </w:t>
      </w:r>
      <w:r w:rsidRPr="00674982">
        <w:rPr>
          <w:i/>
          <w:iCs/>
        </w:rPr>
        <w:t>Irrigation Science</w:t>
      </w:r>
      <w:r w:rsidRPr="00674982">
        <w:t>, 6</w:t>
      </w:r>
      <w:r>
        <w:t>:</w:t>
      </w:r>
      <w:r w:rsidRPr="00674982">
        <w:t>73–83.</w:t>
      </w:r>
    </w:p>
    <w:p w14:paraId="4A71E703" w14:textId="77777777" w:rsidR="002056DA" w:rsidRPr="00674982" w:rsidRDefault="002056DA" w:rsidP="002056DA">
      <w:pPr>
        <w:spacing w:line="240" w:lineRule="auto"/>
      </w:pPr>
      <w:r w:rsidRPr="00674982">
        <w:t xml:space="preserve">Shaw RJ and Yule (1978) ‘The assessment of soils for irrigation, Emerald, Queensland’, </w:t>
      </w:r>
      <w:r w:rsidRPr="00674982">
        <w:rPr>
          <w:i/>
          <w:iCs/>
        </w:rPr>
        <w:t>Agricultural Chemistry Branch Technical Report 13, Queensland Department of Primary Industries, Brisbane.</w:t>
      </w:r>
    </w:p>
    <w:p w14:paraId="0EB8305D" w14:textId="77777777" w:rsidR="002056DA" w:rsidRPr="00674982" w:rsidRDefault="002056DA" w:rsidP="002056DA">
      <w:pPr>
        <w:spacing w:line="240" w:lineRule="auto"/>
        <w:rPr>
          <w:i/>
          <w:iCs/>
        </w:rPr>
      </w:pPr>
      <w:r w:rsidRPr="00674982">
        <w:t xml:space="preserve">Shaw RJ (1994) ‘Estimation of the electrical conductivity of saturation extracts from the electrical conductivity of 1:5 soil water suspensions and various soil properties’ </w:t>
      </w:r>
      <w:r w:rsidRPr="00674982">
        <w:rPr>
          <w:i/>
          <w:iCs/>
        </w:rPr>
        <w:t>Queensland Department of Primary Industries Report QO94025, Brisbane.</w:t>
      </w:r>
    </w:p>
    <w:p w14:paraId="4B242432" w14:textId="77777777" w:rsidR="002056DA" w:rsidRPr="00674982" w:rsidRDefault="002056DA" w:rsidP="002056DA">
      <w:pPr>
        <w:spacing w:line="240" w:lineRule="auto"/>
      </w:pPr>
      <w:r w:rsidRPr="00674982">
        <w:t xml:space="preserve">Shaw RJ (1996) ‘A unified soil property and sodicity model of salt leaching and water movement’ </w:t>
      </w:r>
      <w:r w:rsidRPr="00674982">
        <w:rPr>
          <w:i/>
          <w:iCs/>
        </w:rPr>
        <w:t>Department of Agriculture, University of Queensland, PhD thesis</w:t>
      </w:r>
      <w:r w:rsidRPr="00674982">
        <w:t>.</w:t>
      </w:r>
    </w:p>
    <w:p w14:paraId="448D65C9" w14:textId="77777777" w:rsidR="002056DA" w:rsidRPr="00674982" w:rsidRDefault="002056DA" w:rsidP="002056DA">
      <w:pPr>
        <w:spacing w:line="240" w:lineRule="auto"/>
      </w:pPr>
      <w:r w:rsidRPr="00674982">
        <w:t xml:space="preserve">Shaw RJ, Thorburn PJ and Dowling AJ (1987) ‘Principles of landscape, soil and water salinity: Processes and management options’ </w:t>
      </w:r>
      <w:r w:rsidRPr="00674982">
        <w:rPr>
          <w:i/>
          <w:iCs/>
        </w:rPr>
        <w:t>Part A, in Landscape, soil and water salinity, Proceedings of Brisbane Region Salinity Workshop, Brisbane, May 1987. Queensland Department of Primary Industries, Publication QC 87003, Brisbane.</w:t>
      </w:r>
    </w:p>
    <w:p w14:paraId="7F869EC4"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Shaw M, Silburn D, Lenahan M and Harris M (2012) ‘Pesticides in groundwater in the Lower Burdekin floodplain’ </w:t>
      </w:r>
      <w:r w:rsidRPr="00674982">
        <w:rPr>
          <w:rFonts w:eastAsia="Times New Roman" w:cstheme="minorHAnsi"/>
          <w:i/>
          <w:iCs/>
          <w:lang w:eastAsia="en-AU"/>
        </w:rPr>
        <w:t>Department of Environment and Resource Management, Queensland Government, Brisbane.</w:t>
      </w:r>
    </w:p>
    <w:p w14:paraId="6A85C1BB"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Simpson R, Graham P, Davies L and Zurcher E (2009) ‘Five easy steps to ensure you are making money from superphosphate’ </w:t>
      </w:r>
      <w:r w:rsidRPr="00674982">
        <w:rPr>
          <w:rFonts w:eastAsia="Times New Roman" w:cstheme="minorHAnsi"/>
          <w:i/>
          <w:iCs/>
          <w:lang w:eastAsia="en-AU"/>
        </w:rPr>
        <w:t>CSIRO Sustainable Agriculture Flagship/CSIRO Plant Industry, Canberra, ACT Australia.</w:t>
      </w:r>
    </w:p>
    <w:p w14:paraId="28661EF1" w14:textId="77777777" w:rsidR="002056DA" w:rsidRPr="00674982" w:rsidRDefault="002056DA" w:rsidP="002056DA">
      <w:pPr>
        <w:spacing w:line="240" w:lineRule="auto"/>
      </w:pPr>
      <w:r w:rsidRPr="00674982">
        <w:t xml:space="preserve">Singer RH (1976) ‘Chronic lead poisoning in horses’ </w:t>
      </w:r>
      <w:r w:rsidRPr="00674982">
        <w:rPr>
          <w:i/>
          <w:iCs/>
        </w:rPr>
        <w:t xml:space="preserve">Proceedings of the Annual Meeting of the Association of Veterinary Laboratory Diagnosticians </w:t>
      </w:r>
      <w:r w:rsidRPr="00C00454">
        <w:t>18:395–405.</w:t>
      </w:r>
    </w:p>
    <w:p w14:paraId="70BDCEA0" w14:textId="77777777" w:rsidR="002056DA" w:rsidRPr="00674982" w:rsidRDefault="002056DA" w:rsidP="002056DA">
      <w:pPr>
        <w:spacing w:line="240" w:lineRule="auto"/>
      </w:pPr>
      <w:r w:rsidRPr="00674982">
        <w:lastRenderedPageBreak/>
        <w:t xml:space="preserve">Skene JKM (1965) ‘The diagnosis of alkali soils’, </w:t>
      </w:r>
      <w:r w:rsidRPr="00674982">
        <w:rPr>
          <w:i/>
          <w:iCs/>
        </w:rPr>
        <w:t>Journal of the Australian Institute of Agricultural Science</w:t>
      </w:r>
      <w:r w:rsidRPr="00674982">
        <w:t>, 31</w:t>
      </w:r>
      <w:r>
        <w:t>:</w:t>
      </w:r>
      <w:r w:rsidRPr="00674982">
        <w:t>321–322.</w:t>
      </w:r>
    </w:p>
    <w:p w14:paraId="3CACD07A" w14:textId="77777777" w:rsidR="002056DA" w:rsidRPr="00674982" w:rsidRDefault="002056DA" w:rsidP="002056DA">
      <w:pPr>
        <w:spacing w:line="240" w:lineRule="auto"/>
      </w:pPr>
      <w:r w:rsidRPr="00674982">
        <w:t xml:space="preserve">Slattery WJ, Conyers MK and Aitken RL (1999) ‘Soil pH, aluminium, manganese and lime requirement’ </w:t>
      </w:r>
      <w:r w:rsidRPr="00674982">
        <w:rPr>
          <w:i/>
          <w:iCs/>
        </w:rPr>
        <w:t>Chapter 7, in Soil Analysis and Interpretation Manual, eds KI Peverill, LA Sparrow and DJ Reuter, 103–128, CSIRO Publishing, Collingwood Vic</w:t>
      </w:r>
      <w:r w:rsidRPr="00674982">
        <w:t>.</w:t>
      </w:r>
    </w:p>
    <w:p w14:paraId="4CC6B801" w14:textId="77777777" w:rsidR="002056DA" w:rsidRPr="00674982" w:rsidRDefault="002056DA" w:rsidP="002056DA">
      <w:pPr>
        <w:spacing w:line="240" w:lineRule="auto"/>
      </w:pPr>
      <w:r w:rsidRPr="00674982">
        <w:t xml:space="preserve">Smith CJ, Freney JR and Bond WJ (1996) ‘Ammonia volatilisation from soil irrigated with urban sewage effluent’, </w:t>
      </w:r>
      <w:r w:rsidRPr="00674982">
        <w:rPr>
          <w:i/>
          <w:iCs/>
        </w:rPr>
        <w:t>Australian Journal of Soil Research</w:t>
      </w:r>
      <w:r w:rsidRPr="00674982">
        <w:t>, 34</w:t>
      </w:r>
      <w:r>
        <w:t>:</w:t>
      </w:r>
      <w:r w:rsidRPr="00674982">
        <w:t>789–802.</w:t>
      </w:r>
    </w:p>
    <w:p w14:paraId="7E8DD67A" w14:textId="77777777" w:rsidR="002056DA" w:rsidRPr="00674982" w:rsidRDefault="002056DA" w:rsidP="002056DA">
      <w:pPr>
        <w:spacing w:line="240" w:lineRule="auto"/>
        <w:rPr>
          <w:i/>
          <w:iCs/>
        </w:rPr>
      </w:pPr>
      <w:r w:rsidRPr="00674982">
        <w:t xml:space="preserve">Smith KA and Paterson JE (1995) ‘Manganese and cobalt. In Heavy metals in soils’ </w:t>
      </w:r>
      <w:r w:rsidRPr="00674982">
        <w:rPr>
          <w:i/>
          <w:iCs/>
        </w:rPr>
        <w:t xml:space="preserve">ed BJ Alloway, Blackie Academic, London, </w:t>
      </w:r>
      <w:r w:rsidRPr="00C00454">
        <w:t>152–178.</w:t>
      </w:r>
    </w:p>
    <w:p w14:paraId="2269F78A" w14:textId="77777777" w:rsidR="002056DA" w:rsidRPr="00674982" w:rsidRDefault="002056DA" w:rsidP="002056DA">
      <w:pPr>
        <w:spacing w:line="240" w:lineRule="auto"/>
        <w:rPr>
          <w:i/>
          <w:iCs/>
        </w:rPr>
      </w:pPr>
      <w:r w:rsidRPr="00674982">
        <w:t xml:space="preserve">Smith MA, Kaddous FGA, Stubbs KJ, McNeill, Irving LG, Ward BK and Kerr R (1983) ‘Growth of vegetables and the retention of bacteria, viruses and heavy metals on crops irrigated with reclaimed water’ </w:t>
      </w:r>
      <w:r w:rsidRPr="00674982">
        <w:rPr>
          <w:i/>
          <w:iCs/>
        </w:rPr>
        <w:t xml:space="preserve">In Australian Water and Wastewater, ed RT Kelly, Proceedings of AWWA Federal Convention, 10 April 1983, Sydney, </w:t>
      </w:r>
      <w:r w:rsidRPr="00C00454">
        <w:t>33,1–33,28.</w:t>
      </w:r>
      <w:r w:rsidRPr="00674982">
        <w:rPr>
          <w:i/>
          <w:iCs/>
        </w:rPr>
        <w:t xml:space="preserve"> AWWA, Sydney.</w:t>
      </w:r>
    </w:p>
    <w:p w14:paraId="564A2E4A"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Smith, BS, Child, DP, Fierro, D, Harrison, JJ, Heijnis, H, Hotchkis, MA, Johansen, MP, Marx, S, Payne, TE, and Zawadski, A 2016, ‘Measurement of fallout radionuclides, (239)(,240)Pu and (137)Cs, in soil and creek sediment: Sydney Basin, Australia’, </w:t>
      </w:r>
      <w:r w:rsidRPr="00674982">
        <w:rPr>
          <w:rFonts w:eastAsia="Times New Roman" w:cstheme="minorHAnsi"/>
          <w:i/>
          <w:iCs/>
          <w:lang w:eastAsia="en-AU"/>
        </w:rPr>
        <w:t>Journal of Environmental Radioactivity</w:t>
      </w:r>
      <w:r w:rsidRPr="00674982">
        <w:rPr>
          <w:rFonts w:eastAsia="Times New Roman" w:cstheme="minorHAnsi"/>
          <w:lang w:eastAsia="en-AU"/>
        </w:rPr>
        <w:t>, 151</w:t>
      </w:r>
      <w:r>
        <w:rPr>
          <w:rFonts w:eastAsia="Times New Roman" w:cstheme="minorHAnsi"/>
          <w:lang w:eastAsia="en-AU"/>
        </w:rPr>
        <w:t>:</w:t>
      </w:r>
      <w:r w:rsidRPr="00674982">
        <w:rPr>
          <w:rFonts w:eastAsia="Times New Roman" w:cstheme="minorHAnsi"/>
          <w:lang w:eastAsia="en-AU"/>
        </w:rPr>
        <w:t>579–586.</w:t>
      </w:r>
    </w:p>
    <w:p w14:paraId="76DEBFD2"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Smith E, Smith J, Smith L, Biswas T, Correll R and Naidu R (2003) ‘Arsenic in Australian Environment: An Overview’, </w:t>
      </w:r>
      <w:r w:rsidRPr="00674982">
        <w:rPr>
          <w:rFonts w:eastAsia="Times New Roman" w:cstheme="minorHAnsi"/>
          <w:i/>
          <w:iCs/>
          <w:lang w:eastAsia="en-AU"/>
        </w:rPr>
        <w:t>Journal of environmental science and health. Part A, Toxic/hazardous substances and environmental engineering</w:t>
      </w:r>
      <w:r w:rsidRPr="00674982">
        <w:rPr>
          <w:rFonts w:eastAsia="Times New Roman" w:cstheme="minorHAnsi"/>
          <w:lang w:eastAsia="en-AU"/>
        </w:rPr>
        <w:t>, 38</w:t>
      </w:r>
      <w:r>
        <w:rPr>
          <w:rFonts w:eastAsia="Times New Roman" w:cstheme="minorHAnsi"/>
          <w:lang w:eastAsia="en-AU"/>
        </w:rPr>
        <w:t>:</w:t>
      </w:r>
      <w:r w:rsidRPr="00674982">
        <w:rPr>
          <w:rFonts w:eastAsia="Times New Roman" w:cstheme="minorHAnsi"/>
          <w:lang w:eastAsia="en-AU"/>
        </w:rPr>
        <w:t>223–39.</w:t>
      </w:r>
    </w:p>
    <w:p w14:paraId="5A71CD8E" w14:textId="77777777" w:rsidR="002056DA" w:rsidRPr="00674982" w:rsidRDefault="002056DA" w:rsidP="002056DA">
      <w:pPr>
        <w:spacing w:line="240" w:lineRule="auto"/>
      </w:pPr>
      <w:r w:rsidRPr="00674982">
        <w:t xml:space="preserve">Smolders E and McLaughlin MJ 1996, ‘Chloride increases cadmium uptake in swiss chard in a resin-buffered nutrient solution’, </w:t>
      </w:r>
      <w:r w:rsidRPr="00674982">
        <w:rPr>
          <w:i/>
          <w:iCs/>
        </w:rPr>
        <w:t>Soil Science Society of America Journal</w:t>
      </w:r>
      <w:r w:rsidRPr="00674982">
        <w:t>, 60</w:t>
      </w:r>
      <w:r>
        <w:t>:</w:t>
      </w:r>
      <w:r w:rsidRPr="00674982">
        <w:t>1443–1447.</w:t>
      </w:r>
    </w:p>
    <w:p w14:paraId="5AE79A93" w14:textId="77777777" w:rsidR="002056DA" w:rsidRPr="00674982" w:rsidRDefault="002056DA" w:rsidP="002056DA">
      <w:pPr>
        <w:spacing w:line="240" w:lineRule="auto"/>
      </w:pPr>
      <w:r w:rsidRPr="00674982">
        <w:t xml:space="preserve">Snoeyink VL and Jenkins D (1980) ‘Water chemistry’ </w:t>
      </w:r>
      <w:r w:rsidRPr="00674982">
        <w:rPr>
          <w:i/>
          <w:iCs/>
        </w:rPr>
        <w:t>John Wiley and Sons, New York</w:t>
      </w:r>
      <w:r w:rsidRPr="00674982">
        <w:t>.</w:t>
      </w:r>
    </w:p>
    <w:p w14:paraId="0221D904" w14:textId="77777777" w:rsidR="002056DA" w:rsidRPr="00674982" w:rsidRDefault="002056DA" w:rsidP="002056DA">
      <w:pPr>
        <w:pStyle w:val="Bibliography"/>
        <w:spacing w:line="240" w:lineRule="auto"/>
        <w:ind w:left="0" w:firstLine="0"/>
        <w:rPr>
          <w:rFonts w:cs="Arial"/>
        </w:rPr>
      </w:pPr>
      <w:r w:rsidRPr="00674982">
        <w:rPr>
          <w:rFonts w:cs="Arial"/>
        </w:rPr>
        <w:t xml:space="preserve">Snow VO, Dillon PJ, Bond WJ, Smith CB and Myers BJ (1999) ‘Groundwater contamination from effluent irrigation water’, </w:t>
      </w:r>
      <w:r w:rsidRPr="00674982">
        <w:rPr>
          <w:rFonts w:cs="Arial"/>
          <w:i/>
          <w:iCs/>
        </w:rPr>
        <w:t>Journal of the Australian Water and Wastewater Association</w:t>
      </w:r>
      <w:r w:rsidRPr="00674982">
        <w:rPr>
          <w:rFonts w:cs="Arial"/>
        </w:rPr>
        <w:t>, 26</w:t>
      </w:r>
      <w:r>
        <w:rPr>
          <w:rFonts w:cs="Arial"/>
        </w:rPr>
        <w:t>:</w:t>
      </w:r>
      <w:r w:rsidRPr="00674982">
        <w:rPr>
          <w:rFonts w:cs="Arial"/>
        </w:rPr>
        <w:t>26–29.</w:t>
      </w:r>
    </w:p>
    <w:p w14:paraId="678F193C"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So H, Kopittke P, Menzies N and Bigwood R (2004) ‘Measurement of exchangeable cations in saline soils’, </w:t>
      </w:r>
      <w:r w:rsidRPr="00674982">
        <w:rPr>
          <w:rFonts w:eastAsia="Times New Roman" w:cstheme="minorHAnsi"/>
          <w:i/>
          <w:iCs/>
          <w:lang w:eastAsia="en-AU"/>
        </w:rPr>
        <w:t>paper presented at SuperSoil 2004: 3rd Australian New Zealand Soils Conference, 5-9 December 2004, University of Sydney, Australia.</w:t>
      </w:r>
    </w:p>
    <w:p w14:paraId="77C80822"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Spoof L, Jaakkola S, Važić T, Häggqvist K, Kirkkala T, Ventelä A-M, Kirkkala T, Svirčev Z and Meriluoto J 2020, ‘Elimination of cyanobacteria and microcystins in irrigation water—effects of hydrogen peroxide treatment’, </w:t>
      </w:r>
      <w:r w:rsidRPr="00674982">
        <w:rPr>
          <w:rFonts w:eastAsia="Times New Roman" w:cstheme="minorHAnsi"/>
          <w:i/>
          <w:iCs/>
          <w:lang w:eastAsia="en-AU"/>
        </w:rPr>
        <w:t>Environmental Science and Pollution Research</w:t>
      </w:r>
      <w:r w:rsidRPr="00674982">
        <w:rPr>
          <w:rFonts w:eastAsia="Times New Roman" w:cstheme="minorHAnsi"/>
          <w:lang w:eastAsia="en-AU"/>
        </w:rPr>
        <w:t>, 27</w:t>
      </w:r>
      <w:r>
        <w:rPr>
          <w:rFonts w:eastAsia="Times New Roman" w:cstheme="minorHAnsi"/>
          <w:lang w:eastAsia="en-AU"/>
        </w:rPr>
        <w:t>(</w:t>
      </w:r>
      <w:r w:rsidRPr="00674982">
        <w:rPr>
          <w:rFonts w:eastAsia="Times New Roman" w:cstheme="minorHAnsi"/>
          <w:lang w:eastAsia="en-AU"/>
        </w:rPr>
        <w:t>8</w:t>
      </w:r>
      <w:r>
        <w:rPr>
          <w:rFonts w:eastAsia="Times New Roman" w:cstheme="minorHAnsi"/>
          <w:lang w:eastAsia="en-AU"/>
        </w:rPr>
        <w:t>):</w:t>
      </w:r>
      <w:r w:rsidRPr="00674982">
        <w:rPr>
          <w:rFonts w:eastAsia="Times New Roman" w:cstheme="minorHAnsi"/>
          <w:lang w:eastAsia="en-AU"/>
        </w:rPr>
        <w:t>8638–8652.</w:t>
      </w:r>
    </w:p>
    <w:p w14:paraId="4FED026D" w14:textId="77777777" w:rsidR="002056DA" w:rsidRPr="00674982" w:rsidRDefault="002056DA" w:rsidP="002056DA">
      <w:pPr>
        <w:pStyle w:val="Bibliography"/>
        <w:spacing w:line="240" w:lineRule="auto"/>
        <w:ind w:left="0" w:firstLine="0"/>
        <w:rPr>
          <w:rFonts w:cs="Arial"/>
          <w:i/>
          <w:iCs/>
        </w:rPr>
      </w:pPr>
      <w:r w:rsidRPr="00674982">
        <w:rPr>
          <w:rFonts w:cs="Arial"/>
        </w:rPr>
        <w:t xml:space="preserve">Spouncer LR and Mowat DJ (1991a) ‘Boron and other elements in soils and cereal crops from dune/swale systems in South Australia, </w:t>
      </w:r>
      <w:r w:rsidRPr="00674982">
        <w:rPr>
          <w:rFonts w:cs="Arial"/>
          <w:i/>
          <w:iCs/>
        </w:rPr>
        <w:t>1: Wanbi Research Station’ Technical Memorandum 42/1990, CSIRO Division of Soils, Adelaide.</w:t>
      </w:r>
    </w:p>
    <w:p w14:paraId="5282F606" w14:textId="77777777" w:rsidR="002056DA" w:rsidRPr="00674982" w:rsidRDefault="002056DA" w:rsidP="002056DA">
      <w:pPr>
        <w:pStyle w:val="Bibliography"/>
        <w:spacing w:line="240" w:lineRule="auto"/>
        <w:ind w:left="0" w:firstLine="0"/>
        <w:rPr>
          <w:rFonts w:cs="Arial"/>
          <w:i/>
          <w:iCs/>
        </w:rPr>
      </w:pPr>
      <w:r w:rsidRPr="00674982">
        <w:rPr>
          <w:rFonts w:cs="Arial"/>
        </w:rPr>
        <w:t xml:space="preserve">Spouncer LR and Mowat DJ (1991b) ‘Boron and other elements in soils and cereal crops from dune/swale systems in South Australia, 2: The Murray Mallee District’ </w:t>
      </w:r>
      <w:r w:rsidRPr="00674982">
        <w:rPr>
          <w:rFonts w:cs="Arial"/>
          <w:i/>
          <w:iCs/>
        </w:rPr>
        <w:t>Technical Memorandum 7/1991, CSIRO Division of Soils, Adelaide.</w:t>
      </w:r>
    </w:p>
    <w:p w14:paraId="052529A3" w14:textId="77777777" w:rsidR="002056DA" w:rsidRPr="00674982" w:rsidRDefault="002056DA" w:rsidP="002056DA">
      <w:pPr>
        <w:pStyle w:val="Bibliography"/>
        <w:spacing w:line="240" w:lineRule="auto"/>
        <w:ind w:left="0" w:firstLine="0"/>
        <w:rPr>
          <w:rFonts w:cs="Arial"/>
        </w:rPr>
      </w:pPr>
      <w:r w:rsidRPr="00674982">
        <w:rPr>
          <w:rFonts w:cs="Arial"/>
        </w:rPr>
        <w:t>Spouncer LR and Mowat DJ 1991c. Boron and other elements in soils and cereal crops from dune/swale systems in South Australia. 3: The Eyre Peninsula. Technical Memorandum 23/1991, CSIRO Division of Soils, Adelaide.</w:t>
      </w:r>
    </w:p>
    <w:p w14:paraId="7DBB0370" w14:textId="77777777" w:rsidR="002056DA" w:rsidRPr="00674982" w:rsidRDefault="002056DA" w:rsidP="002056DA">
      <w:pPr>
        <w:pStyle w:val="Bibliography"/>
        <w:spacing w:line="240" w:lineRule="auto"/>
        <w:ind w:left="0" w:firstLine="0"/>
        <w:rPr>
          <w:rFonts w:cs="Arial"/>
        </w:rPr>
      </w:pPr>
      <w:r w:rsidRPr="00674982">
        <w:rPr>
          <w:rFonts w:cs="Arial"/>
        </w:rPr>
        <w:lastRenderedPageBreak/>
        <w:t>Spouncer LR and Mowat DJ 1991d. Boron and other elements in soils and cereal crops from dune/swale systems in South Australia. 4: Upper South East. Technical Memorandum 43/1991, CSIRO Division of Soils, Adelaide.</w:t>
      </w:r>
    </w:p>
    <w:p w14:paraId="0A7FECDB" w14:textId="77777777" w:rsidR="002056DA" w:rsidRPr="00674982" w:rsidRDefault="002056DA" w:rsidP="002056DA">
      <w:pPr>
        <w:pStyle w:val="Bibliography"/>
        <w:spacing w:line="240" w:lineRule="auto"/>
        <w:rPr>
          <w:rFonts w:cs="Arial"/>
        </w:rPr>
      </w:pPr>
      <w:r w:rsidRPr="00674982">
        <w:rPr>
          <w:rFonts w:cs="Arial"/>
        </w:rPr>
        <w:t>SSA (2013) ‘Measuring soil cation exchange capacity and exchangeable cations’.</w:t>
      </w:r>
    </w:p>
    <w:bookmarkEnd w:id="415"/>
    <w:p w14:paraId="68AE4920" w14:textId="77777777" w:rsidR="002056DA" w:rsidRPr="00674982" w:rsidRDefault="002056DA" w:rsidP="002056DA">
      <w:pPr>
        <w:spacing w:line="240" w:lineRule="auto"/>
      </w:pPr>
      <w:r w:rsidRPr="00674982">
        <w:t xml:space="preserve">Stevens DP, Cox JW and Chittleborough DJ (1999) ‘Pathways of phosphorus, nitrogen, and carbon movement over and through texturally differentiated soils, South Australia’, </w:t>
      </w:r>
      <w:r w:rsidRPr="00674982">
        <w:rPr>
          <w:i/>
          <w:iCs/>
        </w:rPr>
        <w:t>Australian Journal of Soil Research</w:t>
      </w:r>
      <w:r w:rsidRPr="00674982">
        <w:t>, 37</w:t>
      </w:r>
      <w:r>
        <w:t>:</w:t>
      </w:r>
      <w:r w:rsidRPr="00674982">
        <w:t>679–93.</w:t>
      </w:r>
    </w:p>
    <w:p w14:paraId="013839FA" w14:textId="77777777" w:rsidR="002056DA" w:rsidRPr="00674982" w:rsidRDefault="002056DA" w:rsidP="002056DA">
      <w:pPr>
        <w:spacing w:line="240" w:lineRule="auto"/>
      </w:pPr>
      <w:r w:rsidRPr="00674982">
        <w:t xml:space="preserve">Stevens DP, McLaughlin MJ and Alston AM (1997) ‘Phytotoxicity of aluminium-fluoride complexes and their uptake form solution culture by </w:t>
      </w:r>
      <w:r w:rsidRPr="00674982">
        <w:rPr>
          <w:i/>
          <w:iCs/>
        </w:rPr>
        <w:t>Avena sativa</w:t>
      </w:r>
      <w:r w:rsidRPr="00674982">
        <w:t xml:space="preserve"> and </w:t>
      </w:r>
      <w:r w:rsidRPr="00674982">
        <w:rPr>
          <w:i/>
          <w:iCs/>
        </w:rPr>
        <w:t>Lycopersicon esculentum’,</w:t>
      </w:r>
      <w:r w:rsidRPr="00674982">
        <w:t xml:space="preserve"> </w:t>
      </w:r>
      <w:r w:rsidRPr="00674982">
        <w:rPr>
          <w:i/>
          <w:iCs/>
        </w:rPr>
        <w:t>Plant and Soil</w:t>
      </w:r>
      <w:r w:rsidRPr="00674982">
        <w:t>, 192</w:t>
      </w:r>
      <w:r>
        <w:t>(</w:t>
      </w:r>
      <w:r w:rsidRPr="00674982">
        <w:t>1</w:t>
      </w:r>
      <w:r>
        <w:t>):</w:t>
      </w:r>
      <w:r w:rsidRPr="00674982">
        <w:t xml:space="preserve">81–93. </w:t>
      </w:r>
    </w:p>
    <w:p w14:paraId="6514EE21"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Stevens D, Surapaneni A, Deere D, O’Connor N, Crosbie N, Keegan A, Stackpole L and Robards M (2021) ‘The probability of </w:t>
      </w:r>
      <w:r w:rsidRPr="00674982">
        <w:rPr>
          <w:rFonts w:eastAsia="Times New Roman" w:cstheme="minorHAnsi"/>
          <w:i/>
          <w:iCs/>
          <w:lang w:eastAsia="en-AU"/>
        </w:rPr>
        <w:t>Cysticercus bovis</w:t>
      </w:r>
      <w:r w:rsidRPr="00674982">
        <w:rPr>
          <w:rFonts w:eastAsia="Times New Roman" w:cstheme="minorHAnsi"/>
          <w:lang w:eastAsia="en-AU"/>
        </w:rPr>
        <w:t xml:space="preserve"> detection in livestock from exposure to recycled water in non-endemic countries’, </w:t>
      </w:r>
      <w:r w:rsidRPr="00674982">
        <w:rPr>
          <w:rFonts w:eastAsia="Times New Roman" w:cstheme="minorHAnsi"/>
          <w:i/>
          <w:iCs/>
          <w:lang w:eastAsia="en-AU"/>
        </w:rPr>
        <w:t>Microbial Risk Analysis</w:t>
      </w:r>
      <w:r w:rsidRPr="00674982">
        <w:rPr>
          <w:rFonts w:eastAsia="Times New Roman" w:cstheme="minorHAnsi"/>
          <w:lang w:eastAsia="en-AU"/>
        </w:rPr>
        <w:t>, 18</w:t>
      </w:r>
      <w:r>
        <w:rPr>
          <w:rFonts w:eastAsia="Times New Roman" w:cstheme="minorHAnsi"/>
          <w:lang w:eastAsia="en-AU"/>
        </w:rPr>
        <w:t>:</w:t>
      </w:r>
      <w:r w:rsidRPr="00674982">
        <w:rPr>
          <w:rFonts w:eastAsia="Times New Roman" w:cstheme="minorHAnsi"/>
          <w:lang w:eastAsia="en-AU"/>
        </w:rPr>
        <w:t>100164.</w:t>
      </w:r>
    </w:p>
    <w:p w14:paraId="6F005EA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Stevens DP, Surapaneni A, Thodupunuri R, O’Connor NA and Smith D (2017) ‘Helminth log reduction values for recycling water from sewage for the protection of human and stock health’, </w:t>
      </w:r>
      <w:r w:rsidRPr="00674982">
        <w:rPr>
          <w:rFonts w:eastAsia="Times New Roman" w:cstheme="minorHAnsi"/>
          <w:i/>
          <w:iCs/>
          <w:lang w:eastAsia="en-AU"/>
        </w:rPr>
        <w:t>Water Research</w:t>
      </w:r>
      <w:r w:rsidRPr="00674982">
        <w:rPr>
          <w:rFonts w:eastAsia="Times New Roman" w:cstheme="minorHAnsi"/>
          <w:lang w:eastAsia="en-AU"/>
        </w:rPr>
        <w:t>, 125</w:t>
      </w:r>
      <w:r>
        <w:rPr>
          <w:rFonts w:eastAsia="Times New Roman" w:cstheme="minorHAnsi"/>
          <w:lang w:eastAsia="en-AU"/>
        </w:rPr>
        <w:t>:</w:t>
      </w:r>
      <w:r w:rsidRPr="00674982">
        <w:rPr>
          <w:rFonts w:eastAsia="Times New Roman" w:cstheme="minorHAnsi"/>
          <w:lang w:eastAsia="en-AU"/>
        </w:rPr>
        <w:t>501–511.</w:t>
      </w:r>
    </w:p>
    <w:p w14:paraId="7C3CED5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Stevens R and Pitt T (2011) ‘Salt tolerant rootstocks for long-term sustainability in the Limestone Coast, Final project report’ </w:t>
      </w:r>
      <w:r w:rsidRPr="00674982">
        <w:rPr>
          <w:rFonts w:eastAsia="Times New Roman" w:cstheme="minorHAnsi"/>
          <w:i/>
          <w:iCs/>
          <w:lang w:eastAsia="en-AU"/>
        </w:rPr>
        <w:t>SAR 09/03, SARDI and GWRDC, Adelaide</w:t>
      </w:r>
      <w:r w:rsidRPr="00674982">
        <w:rPr>
          <w:rFonts w:eastAsia="Times New Roman" w:cstheme="minorHAnsi"/>
          <w:lang w:eastAsia="en-AU"/>
        </w:rPr>
        <w:t>.</w:t>
      </w:r>
    </w:p>
    <w:p w14:paraId="486ACC72" w14:textId="77777777" w:rsidR="002056DA" w:rsidRPr="00674982" w:rsidRDefault="002056DA" w:rsidP="002056DA">
      <w:pPr>
        <w:spacing w:line="240" w:lineRule="auto"/>
      </w:pPr>
      <w:r w:rsidRPr="00674982">
        <w:t>Streichner MA (1949) ‘The dissolution of aluminium in sodium hydroxide solutions’</w:t>
      </w:r>
      <w:r w:rsidRPr="00674982">
        <w:rPr>
          <w:i/>
          <w:iCs/>
        </w:rPr>
        <w:t>, Journal of the Electrochemistry Society</w:t>
      </w:r>
      <w:r w:rsidRPr="00674982">
        <w:t>, 96</w:t>
      </w:r>
      <w:r>
        <w:t>(</w:t>
      </w:r>
      <w:r w:rsidRPr="00674982">
        <w:t>3</w:t>
      </w:r>
      <w:r>
        <w:t>):</w:t>
      </w:r>
      <w:r w:rsidRPr="00674982">
        <w:t>170–194.</w:t>
      </w:r>
    </w:p>
    <w:p w14:paraId="44320C27" w14:textId="77777777" w:rsidR="002056DA" w:rsidRPr="00674982" w:rsidRDefault="002056DA" w:rsidP="002056DA">
      <w:pPr>
        <w:pStyle w:val="Bibliography"/>
        <w:spacing w:line="240" w:lineRule="auto"/>
        <w:ind w:left="0" w:firstLine="0"/>
        <w:rPr>
          <w:rFonts w:cs="Arial"/>
        </w:rPr>
      </w:pPr>
      <w:r w:rsidRPr="00674982">
        <w:rPr>
          <w:rFonts w:cs="Arial"/>
        </w:rPr>
        <w:t>Suarez DL (1981) ‘Relationship between pH</w:t>
      </w:r>
      <w:r w:rsidRPr="00674982">
        <w:rPr>
          <w:rFonts w:cs="Arial"/>
          <w:vertAlign w:val="subscript"/>
        </w:rPr>
        <w:t>c</w:t>
      </w:r>
      <w:r w:rsidRPr="00674982">
        <w:rPr>
          <w:rFonts w:cs="Arial"/>
        </w:rPr>
        <w:t xml:space="preserve"> and sodium adsorption ratio (SAR) and an alternative method of estimating SAR of soil or drainage waters’, </w:t>
      </w:r>
      <w:r w:rsidRPr="00674982">
        <w:rPr>
          <w:rFonts w:cs="Arial"/>
          <w:i/>
          <w:iCs/>
        </w:rPr>
        <w:t>Soil Science Society of America Journal</w:t>
      </w:r>
      <w:r w:rsidRPr="00674982">
        <w:rPr>
          <w:rFonts w:cs="Arial"/>
        </w:rPr>
        <w:t>, 45</w:t>
      </w:r>
      <w:r>
        <w:rPr>
          <w:rFonts w:cs="Arial"/>
        </w:rPr>
        <w:t>:</w:t>
      </w:r>
      <w:r w:rsidRPr="00674982">
        <w:rPr>
          <w:rFonts w:cs="Arial"/>
        </w:rPr>
        <w:t>469–475.</w:t>
      </w:r>
    </w:p>
    <w:p w14:paraId="4F090CB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Subramanian A, Mallavarapu M, Owens G, Kookana R, Chittleborough D and Naidu R (2003) ‘Chemistry of Chromium in Soils with Emphasis on Tannery Waste Sites’, </w:t>
      </w:r>
      <w:r w:rsidRPr="00674982">
        <w:rPr>
          <w:rFonts w:eastAsia="Times New Roman" w:cstheme="minorHAnsi"/>
          <w:i/>
          <w:iCs/>
          <w:lang w:eastAsia="en-AU"/>
        </w:rPr>
        <w:t>Reviews of environmental contamination and toxicology</w:t>
      </w:r>
      <w:r w:rsidRPr="00674982">
        <w:rPr>
          <w:rFonts w:eastAsia="Times New Roman" w:cstheme="minorHAnsi"/>
          <w:lang w:eastAsia="en-AU"/>
        </w:rPr>
        <w:t>, 178</w:t>
      </w:r>
      <w:r>
        <w:rPr>
          <w:rFonts w:eastAsia="Times New Roman" w:cstheme="minorHAnsi"/>
          <w:lang w:eastAsia="en-AU"/>
        </w:rPr>
        <w:t>:</w:t>
      </w:r>
      <w:r w:rsidRPr="00674982">
        <w:rPr>
          <w:rFonts w:eastAsia="Times New Roman" w:cstheme="minorHAnsi"/>
          <w:lang w:eastAsia="en-AU"/>
        </w:rPr>
        <w:t>53–91.</w:t>
      </w:r>
    </w:p>
    <w:p w14:paraId="293A5699" w14:textId="77777777" w:rsidR="002056DA" w:rsidRPr="00674982" w:rsidRDefault="002056DA" w:rsidP="002056DA">
      <w:pPr>
        <w:pStyle w:val="Bibliography"/>
        <w:spacing w:line="240" w:lineRule="auto"/>
        <w:ind w:left="0" w:firstLine="0"/>
        <w:rPr>
          <w:rFonts w:cs="Arial"/>
        </w:rPr>
      </w:pPr>
      <w:r w:rsidRPr="00674982">
        <w:rPr>
          <w:rFonts w:cs="Arial"/>
        </w:rPr>
        <w:t>Tanji K., Grattan S., Grieve C., Harivandi A., Rollins L., Shaw D., Sheikh B., Wu L. (2008): A comprehensive literature review on salt management guide for landscape irrigation with recycled water in coastal southern California. www.salinitymanagement.org. 320 p.</w:t>
      </w:r>
    </w:p>
    <w:p w14:paraId="3E18FE4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Tedeschi A (2020) ‘Irrigated agriculture on saline soils: A perspective’, </w:t>
      </w:r>
      <w:r w:rsidRPr="00674982">
        <w:rPr>
          <w:rFonts w:eastAsia="Times New Roman" w:cstheme="minorHAnsi"/>
          <w:i/>
          <w:iCs/>
          <w:lang w:eastAsia="en-AU"/>
        </w:rPr>
        <w:t>Agronomy</w:t>
      </w:r>
      <w:r w:rsidRPr="00674982">
        <w:rPr>
          <w:rFonts w:eastAsia="Times New Roman" w:cstheme="minorHAnsi"/>
          <w:lang w:eastAsia="en-AU"/>
        </w:rPr>
        <w:t>, 10</w:t>
      </w:r>
      <w:r>
        <w:rPr>
          <w:rFonts w:eastAsia="Times New Roman" w:cstheme="minorHAnsi"/>
          <w:lang w:eastAsia="en-AU"/>
        </w:rPr>
        <w:t>(</w:t>
      </w:r>
      <w:r w:rsidRPr="00674982">
        <w:rPr>
          <w:rFonts w:eastAsia="Times New Roman" w:cstheme="minorHAnsi"/>
          <w:lang w:eastAsia="en-AU"/>
        </w:rPr>
        <w:t>11</w:t>
      </w:r>
      <w:r>
        <w:rPr>
          <w:rFonts w:eastAsia="Times New Roman" w:cstheme="minorHAnsi"/>
          <w:lang w:eastAsia="en-AU"/>
        </w:rPr>
        <w:t>):</w:t>
      </w:r>
      <w:r w:rsidRPr="00674982">
        <w:rPr>
          <w:rFonts w:eastAsia="Times New Roman" w:cstheme="minorHAnsi"/>
          <w:lang w:eastAsia="en-AU"/>
        </w:rPr>
        <w:t>1630.</w:t>
      </w:r>
    </w:p>
    <w:p w14:paraId="5FE0BE31"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Tedeschi A, Zong L, Huang C, Vitale L, Volpe MG, and Xue X (2017) ‘Effect of salinity on growth parameters, soil water potential and ion composition in Cucumis melo cv. Huanghemi in North-Western China’, </w:t>
      </w:r>
      <w:r w:rsidRPr="00674982">
        <w:rPr>
          <w:rFonts w:eastAsia="Times New Roman" w:cstheme="minorHAnsi"/>
          <w:i/>
          <w:iCs/>
          <w:lang w:eastAsia="en-AU"/>
        </w:rPr>
        <w:t>Journal of Agronomy and Crop Science</w:t>
      </w:r>
      <w:r w:rsidRPr="00674982">
        <w:rPr>
          <w:rFonts w:eastAsia="Times New Roman" w:cstheme="minorHAnsi"/>
          <w:lang w:eastAsia="en-AU"/>
        </w:rPr>
        <w:t>, 203</w:t>
      </w:r>
      <w:r>
        <w:rPr>
          <w:rFonts w:eastAsia="Times New Roman" w:cstheme="minorHAnsi"/>
          <w:lang w:eastAsia="en-AU"/>
        </w:rPr>
        <w:t>:</w:t>
      </w:r>
      <w:r w:rsidRPr="00674982">
        <w:rPr>
          <w:rFonts w:eastAsia="Times New Roman" w:cstheme="minorHAnsi"/>
          <w:lang w:eastAsia="en-AU"/>
        </w:rPr>
        <w:t>41–55.</w:t>
      </w:r>
    </w:p>
    <w:p w14:paraId="4BED3F0F" w14:textId="77777777" w:rsidR="002056DA" w:rsidRPr="00674982" w:rsidRDefault="002056DA" w:rsidP="002056DA">
      <w:pPr>
        <w:spacing w:line="240" w:lineRule="auto"/>
      </w:pPr>
      <w:r w:rsidRPr="00674982">
        <w:t xml:space="preserve">Temsah M., Tarhini K., Fadel A. and Slim K. (2016) ‘Effect of irrigation with lake water containing cylindrospermopsin toxin on seed germination and seedlings growth of Cucumis sativus and Lycopersicon esculatum’, </w:t>
      </w:r>
      <w:r w:rsidRPr="00674982">
        <w:rPr>
          <w:i/>
          <w:iCs/>
        </w:rPr>
        <w:t>International Journal of Science and Basic Applied Research</w:t>
      </w:r>
      <w:r w:rsidRPr="00674982">
        <w:t>, 27</w:t>
      </w:r>
      <w:r>
        <w:t>:</w:t>
      </w:r>
      <w:r w:rsidRPr="00674982">
        <w:t>108-122.</w:t>
      </w:r>
    </w:p>
    <w:p w14:paraId="6798F372" w14:textId="77777777" w:rsidR="002056DA" w:rsidRPr="00674982" w:rsidRDefault="002056DA" w:rsidP="002056DA">
      <w:pPr>
        <w:spacing w:line="240" w:lineRule="auto"/>
      </w:pPr>
      <w:r w:rsidRPr="00674982">
        <w:t xml:space="preserve">Testai E, Buratti FM, Funari E, Manganelli M, Vichi S, Arnich N, Biré R, Fessard V and Sialehaamoa A. (2016) ‘Review and analysis of occurrence, exposure and toxicity of cyanobacteria toxins in food’ </w:t>
      </w:r>
      <w:r w:rsidRPr="00674982">
        <w:rPr>
          <w:i/>
          <w:iCs/>
        </w:rPr>
        <w:t>European Food Safety Agency Supporting Publication 2016-EN-998.</w:t>
      </w:r>
      <w:r w:rsidRPr="00674982">
        <w:t xml:space="preserve"> </w:t>
      </w:r>
    </w:p>
    <w:p w14:paraId="71C043D0" w14:textId="77777777" w:rsidR="002056DA" w:rsidRPr="00674982" w:rsidRDefault="002056DA" w:rsidP="002056DA">
      <w:pPr>
        <w:spacing w:line="240" w:lineRule="auto"/>
        <w:rPr>
          <w:i/>
          <w:iCs/>
        </w:rPr>
      </w:pPr>
      <w:r w:rsidRPr="00674982">
        <w:lastRenderedPageBreak/>
        <w:t xml:space="preserve">Thorburn PJ and Gardner EA (1986) ‘Plant available water capacity of irrigated soils’ </w:t>
      </w:r>
      <w:r w:rsidRPr="00674982">
        <w:rPr>
          <w:i/>
          <w:iCs/>
        </w:rPr>
        <w:t xml:space="preserve">In Proceedings of irrigation workshop, Queensland Agricultural College, Lawes, June 1986, Queensland Department of Primary Industries Publication QC86001, Brisbane, </w:t>
      </w:r>
      <w:r w:rsidRPr="00C00454">
        <w:t>19–32</w:t>
      </w:r>
      <w:r w:rsidRPr="00674982">
        <w:rPr>
          <w:i/>
          <w:iCs/>
        </w:rPr>
        <w:t>.</w:t>
      </w:r>
    </w:p>
    <w:p w14:paraId="77F675E0" w14:textId="77777777" w:rsidR="002056DA" w:rsidRPr="00674982" w:rsidRDefault="002056DA" w:rsidP="002056DA">
      <w:pPr>
        <w:spacing w:line="240" w:lineRule="auto"/>
      </w:pPr>
      <w:r w:rsidRPr="00674982">
        <w:t>Thorburn, PJ, Rose, CW, Shaw, RJ and Yule DF 1987, SODICS: A program to calculate solute dynamics in irrigated clay soils. In Landscape, soil and water salinity. Proceedings of the Bundaberg Regional Workshop, Bundaberg, April 1987, Conference and workshop series QC87001, Department of Primary Industries, Queensland, B12–1 to B12–9.</w:t>
      </w:r>
    </w:p>
    <w:p w14:paraId="45150132"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Thorburn PJ, Wilkinson SN and Silburn DM (2013) ‘Water quality in agricultural lands draining to the Great Barrier Reef: A review of causes, management and priorities’, </w:t>
      </w:r>
      <w:r w:rsidRPr="00674982">
        <w:rPr>
          <w:rFonts w:eastAsia="Times New Roman" w:cstheme="minorHAnsi"/>
          <w:i/>
          <w:iCs/>
          <w:lang w:eastAsia="en-AU"/>
        </w:rPr>
        <w:t>Agriculture Ecosystems and Environment</w:t>
      </w:r>
      <w:r w:rsidRPr="00674982">
        <w:rPr>
          <w:rFonts w:eastAsia="Times New Roman" w:cstheme="minorHAnsi"/>
          <w:lang w:eastAsia="en-AU"/>
        </w:rPr>
        <w:t>, 180</w:t>
      </w:r>
      <w:r>
        <w:rPr>
          <w:rFonts w:eastAsia="Times New Roman" w:cstheme="minorHAnsi"/>
          <w:lang w:eastAsia="en-AU"/>
        </w:rPr>
        <w:t>:</w:t>
      </w:r>
      <w:r w:rsidRPr="00674982">
        <w:rPr>
          <w:rFonts w:eastAsia="Times New Roman" w:cstheme="minorHAnsi"/>
          <w:lang w:eastAsia="en-AU"/>
        </w:rPr>
        <w:t>4–20.</w:t>
      </w:r>
    </w:p>
    <w:p w14:paraId="51DBA784" w14:textId="77777777" w:rsidR="002056DA" w:rsidRPr="00674982" w:rsidRDefault="002056DA" w:rsidP="002056DA">
      <w:pPr>
        <w:spacing w:line="240" w:lineRule="auto"/>
        <w:rPr>
          <w:i/>
          <w:iCs/>
        </w:rPr>
      </w:pPr>
      <w:r w:rsidRPr="00674982">
        <w:t xml:space="preserve">Tiller AK (1982) ‘Aspects of microbial corrosion. In Corrosion Processes’ </w:t>
      </w:r>
      <w:r w:rsidRPr="00674982">
        <w:rPr>
          <w:i/>
          <w:iCs/>
        </w:rPr>
        <w:t>ed RN Parkins, Applied Science Publishers, London.</w:t>
      </w:r>
    </w:p>
    <w:p w14:paraId="72B65050" w14:textId="77777777" w:rsidR="002056DA" w:rsidRPr="00674982" w:rsidRDefault="002056DA" w:rsidP="002056DA">
      <w:pPr>
        <w:spacing w:line="240" w:lineRule="auto"/>
        <w:rPr>
          <w:i/>
          <w:iCs/>
        </w:rPr>
      </w:pPr>
      <w:r w:rsidRPr="00674982">
        <w:t xml:space="preserve">Tiller KG (1983) ‘Micronutrients. In Soils: An Australian viewpoint’ </w:t>
      </w:r>
      <w:r w:rsidRPr="00674982">
        <w:rPr>
          <w:i/>
          <w:iCs/>
        </w:rPr>
        <w:t xml:space="preserve">Division of soils, CSIRO, Melbourne and Academic Press, London, </w:t>
      </w:r>
      <w:r w:rsidRPr="00C00454">
        <w:t>365–387.</w:t>
      </w:r>
    </w:p>
    <w:p w14:paraId="5733F357" w14:textId="77777777" w:rsidR="002056DA" w:rsidRPr="00674982" w:rsidRDefault="002056DA" w:rsidP="002056DA">
      <w:pPr>
        <w:spacing w:line="240" w:lineRule="auto"/>
      </w:pPr>
      <w:r w:rsidRPr="00674982">
        <w:t xml:space="preserve">Tran D, Bradbury M, Van Ogtrop F, Bozkurt H, Jones B and McConchie R (2020) ‘Environmental Drivers for Persistence of Escherichia coli and Salmonella in Manure-Amended Soils: A Meta-Analysis’, </w:t>
      </w:r>
      <w:r w:rsidRPr="00674982">
        <w:rPr>
          <w:i/>
          <w:iCs/>
        </w:rPr>
        <w:t>Journal of Food Protection</w:t>
      </w:r>
      <w:r w:rsidRPr="00674982">
        <w:t>, 83</w:t>
      </w:r>
      <w:r>
        <w:t>:</w:t>
      </w:r>
      <w:r w:rsidRPr="00674982">
        <w:t>1268–1277.</w:t>
      </w:r>
    </w:p>
    <w:p w14:paraId="7F0B2831"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Tregeagle JM, Tisdall JM, Blackmore DH and Walker RR (2006) ‘A diminished capacity for chloride exclusion by grapevine rootstocks following long-term saline irrigation in an inland versus a coastal region of Australia’, </w:t>
      </w:r>
      <w:r w:rsidRPr="00674982">
        <w:rPr>
          <w:rFonts w:eastAsia="Times New Roman" w:cstheme="minorHAnsi"/>
          <w:i/>
          <w:iCs/>
          <w:lang w:eastAsia="en-AU"/>
        </w:rPr>
        <w:t>Australian Journal of Grape and Wine Research</w:t>
      </w:r>
      <w:r w:rsidRPr="00674982">
        <w:rPr>
          <w:rFonts w:eastAsia="Times New Roman" w:cstheme="minorHAnsi"/>
          <w:lang w:eastAsia="en-AU"/>
        </w:rPr>
        <w:t>, 12</w:t>
      </w:r>
      <w:r>
        <w:rPr>
          <w:rFonts w:eastAsia="Times New Roman" w:cstheme="minorHAnsi"/>
          <w:lang w:eastAsia="en-AU"/>
        </w:rPr>
        <w:t>(</w:t>
      </w:r>
      <w:r w:rsidRPr="00674982">
        <w:rPr>
          <w:rFonts w:eastAsia="Times New Roman" w:cstheme="minorHAnsi"/>
          <w:lang w:eastAsia="en-AU"/>
        </w:rPr>
        <w:t>3</w:t>
      </w:r>
      <w:r>
        <w:rPr>
          <w:rFonts w:eastAsia="Times New Roman" w:cstheme="minorHAnsi"/>
          <w:lang w:eastAsia="en-AU"/>
        </w:rPr>
        <w:t>):</w:t>
      </w:r>
      <w:r w:rsidRPr="00674982">
        <w:rPr>
          <w:rFonts w:eastAsia="Times New Roman" w:cstheme="minorHAnsi"/>
          <w:lang w:eastAsia="en-AU"/>
        </w:rPr>
        <w:t>178–191.</w:t>
      </w:r>
    </w:p>
    <w:p w14:paraId="6A11ECF7" w14:textId="77777777" w:rsidR="002056DA" w:rsidRPr="00C00454" w:rsidRDefault="002056DA" w:rsidP="002056DA">
      <w:pPr>
        <w:spacing w:line="240" w:lineRule="auto"/>
      </w:pPr>
      <w:r w:rsidRPr="00674982">
        <w:t xml:space="preserve">Treseder RS (1981) ‘Guarding against hydrogen embrittlement’, </w:t>
      </w:r>
      <w:r w:rsidRPr="00674982">
        <w:rPr>
          <w:i/>
          <w:iCs/>
        </w:rPr>
        <w:t xml:space="preserve">Chemical Engineering, </w:t>
      </w:r>
      <w:r w:rsidRPr="00C00454">
        <w:t>18(13):105–108.</w:t>
      </w:r>
    </w:p>
    <w:p w14:paraId="4CBCA1A9" w14:textId="77777777" w:rsidR="002056DA" w:rsidRPr="00674982" w:rsidRDefault="002056DA" w:rsidP="002056DA">
      <w:pPr>
        <w:spacing w:line="240" w:lineRule="auto"/>
        <w:rPr>
          <w:i/>
          <w:iCs/>
        </w:rPr>
      </w:pPr>
      <w:r w:rsidRPr="00674982">
        <w:t xml:space="preserve">Ulen B (1998) ‘Phosphorus losses to waters from arable fields and reference water catchments in relation to phosphorus status of soils. Phosphorus balance and utilization in agriculture — towards sustainability, proceedings of a seminar’ </w:t>
      </w:r>
      <w:r w:rsidRPr="00674982">
        <w:rPr>
          <w:i/>
          <w:iCs/>
        </w:rPr>
        <w:t xml:space="preserve">17–19 March 1997. Kungl.-Skogs-och Lantbruksakademiens-Tidskrift </w:t>
      </w:r>
      <w:r w:rsidRPr="00C00454">
        <w:t>137:167– 175.</w:t>
      </w:r>
    </w:p>
    <w:p w14:paraId="7B92B9BE" w14:textId="77777777" w:rsidR="002056DA" w:rsidRPr="00674982" w:rsidRDefault="002056DA" w:rsidP="002056DA">
      <w:pPr>
        <w:spacing w:line="240" w:lineRule="auto"/>
      </w:pPr>
      <w:r w:rsidRPr="00674982">
        <w:t xml:space="preserve">UN (1993) ‘Sources and effects of ionizing radiation’ </w:t>
      </w:r>
      <w:r w:rsidRPr="00674982">
        <w:rPr>
          <w:i/>
          <w:iCs/>
        </w:rPr>
        <w:t>United Nations Scientific Committee on the Effects of Atomic Radiation, 1993 Report to the General Assembly United Nations, New York</w:t>
      </w:r>
    </w:p>
    <w:p w14:paraId="46EC96B3" w14:textId="77777777" w:rsidR="002056DA" w:rsidRPr="00674982" w:rsidRDefault="002056DA" w:rsidP="002056DA">
      <w:pPr>
        <w:pStyle w:val="Bibliography"/>
        <w:spacing w:line="240" w:lineRule="auto"/>
        <w:rPr>
          <w:rFonts w:cs="Arial"/>
        </w:rPr>
      </w:pPr>
      <w:r w:rsidRPr="00674982">
        <w:rPr>
          <w:rFonts w:cs="Arial"/>
        </w:rPr>
        <w:t>UNSCEAR (2000) ‘Sources and effects of ionizing radiation, Volume 1’.</w:t>
      </w:r>
    </w:p>
    <w:p w14:paraId="7D5E216C" w14:textId="77777777" w:rsidR="002056DA" w:rsidRPr="00674982" w:rsidRDefault="002056DA" w:rsidP="002056DA">
      <w:pPr>
        <w:pStyle w:val="Bibliography"/>
        <w:spacing w:line="240" w:lineRule="auto"/>
        <w:rPr>
          <w:rFonts w:cs="Arial"/>
        </w:rPr>
      </w:pPr>
      <w:r w:rsidRPr="00674982">
        <w:rPr>
          <w:rFonts w:cs="Arial"/>
        </w:rPr>
        <w:t>US EPA (2012)</w:t>
      </w:r>
      <w:r w:rsidRPr="00674982">
        <w:rPr>
          <w:rFonts w:cs="Arial"/>
          <w:i/>
          <w:iCs/>
        </w:rPr>
        <w:t xml:space="preserve"> ‘Guidelines for water reuse</w:t>
      </w:r>
      <w:r w:rsidRPr="00674982">
        <w:rPr>
          <w:rFonts w:cs="Arial"/>
        </w:rPr>
        <w:t xml:space="preserve">’ </w:t>
      </w:r>
      <w:r w:rsidRPr="00674982">
        <w:rPr>
          <w:rFonts w:cs="Arial"/>
          <w:i/>
          <w:iCs/>
        </w:rPr>
        <w:t>US Environmental Protection Agency</w:t>
      </w:r>
      <w:r w:rsidRPr="00674982">
        <w:rPr>
          <w:rFonts w:cs="Arial"/>
        </w:rPr>
        <w:t>.</w:t>
      </w:r>
    </w:p>
    <w:p w14:paraId="1F35289E" w14:textId="77777777" w:rsidR="002056DA" w:rsidRPr="00674982" w:rsidRDefault="002056DA" w:rsidP="002056DA">
      <w:pPr>
        <w:spacing w:line="240" w:lineRule="auto"/>
      </w:pPr>
      <w:r w:rsidRPr="00674982">
        <w:t xml:space="preserve">USSL (United States Salinity Laboratory) (1954) ‘Diagnosis and improvement of saline and alkali soils. Agricultural Handbook 60’ </w:t>
      </w:r>
      <w:r w:rsidRPr="00674982">
        <w:rPr>
          <w:i/>
          <w:iCs/>
        </w:rPr>
        <w:t>US Department of Agriculture, Washington DC</w:t>
      </w:r>
      <w:r w:rsidRPr="00674982">
        <w:t>.</w:t>
      </w:r>
    </w:p>
    <w:p w14:paraId="5563FCF4" w14:textId="77777777" w:rsidR="002056DA" w:rsidRPr="00674982" w:rsidRDefault="002056DA" w:rsidP="002056DA">
      <w:pPr>
        <w:pStyle w:val="Bibliography"/>
        <w:spacing w:line="240" w:lineRule="auto"/>
        <w:ind w:left="0" w:firstLine="0"/>
        <w:rPr>
          <w:rFonts w:cs="Arial"/>
        </w:rPr>
      </w:pPr>
      <w:r w:rsidRPr="00674982">
        <w:rPr>
          <w:rFonts w:cs="Arial"/>
        </w:rPr>
        <w:t xml:space="preserve">van Genuchten M and Gupta S (1993) ‘A reassessment of the crop tolerance response function’, </w:t>
      </w:r>
      <w:r w:rsidRPr="00674982">
        <w:rPr>
          <w:rFonts w:cs="Arial"/>
          <w:i/>
          <w:iCs/>
        </w:rPr>
        <w:t>Journal of Indian Society of Soil Science</w:t>
      </w:r>
      <w:r w:rsidRPr="00674982">
        <w:rPr>
          <w:rFonts w:cs="Arial"/>
        </w:rPr>
        <w:t>, 41</w:t>
      </w:r>
      <w:r>
        <w:rPr>
          <w:rFonts w:cs="Arial"/>
        </w:rPr>
        <w:t>:</w:t>
      </w:r>
      <w:r w:rsidRPr="00674982">
        <w:rPr>
          <w:rFonts w:cs="Arial"/>
        </w:rPr>
        <w:t>730–736.</w:t>
      </w:r>
    </w:p>
    <w:p w14:paraId="77EC0862" w14:textId="77777777" w:rsidR="002056DA" w:rsidRPr="00674982" w:rsidRDefault="002056DA" w:rsidP="002056DA">
      <w:pPr>
        <w:pStyle w:val="Bibliography"/>
        <w:spacing w:line="240" w:lineRule="auto"/>
        <w:ind w:left="0" w:firstLine="0"/>
        <w:rPr>
          <w:rFonts w:cs="Arial"/>
        </w:rPr>
      </w:pPr>
      <w:r w:rsidRPr="00674982">
        <w:rPr>
          <w:rFonts w:cs="Arial"/>
        </w:rPr>
        <w:t xml:space="preserve">Van Halderen A, Harding WR, Wessels JC, Schneider DJ, Heine EWP and Van der Merwe J (1995) ‘Cyanobacterial (blue-green algae) poisoning of livestock in the Western Cape Province of South Africa’, </w:t>
      </w:r>
      <w:r w:rsidRPr="00674982">
        <w:rPr>
          <w:rFonts w:cs="Arial"/>
          <w:i/>
          <w:iCs/>
        </w:rPr>
        <w:t>Tydskrif van die Suid-Africaanse Veterinere Vereniging</w:t>
      </w:r>
      <w:r w:rsidRPr="00674982">
        <w:rPr>
          <w:rFonts w:cs="Arial"/>
        </w:rPr>
        <w:t xml:space="preserve"> </w:t>
      </w:r>
      <w:r w:rsidRPr="00674982">
        <w:rPr>
          <w:rFonts w:cs="Arial"/>
          <w:i/>
          <w:iCs/>
        </w:rPr>
        <w:t>- Journal of the South African Veterinary Association</w:t>
      </w:r>
      <w:r w:rsidRPr="00674982">
        <w:rPr>
          <w:rFonts w:cs="Arial"/>
        </w:rPr>
        <w:t>, 66</w:t>
      </w:r>
      <w:r>
        <w:rPr>
          <w:rFonts w:cs="Arial"/>
        </w:rPr>
        <w:t>(</w:t>
      </w:r>
      <w:r w:rsidRPr="00674982">
        <w:rPr>
          <w:rFonts w:cs="Arial"/>
        </w:rPr>
        <w:t>4</w:t>
      </w:r>
      <w:r>
        <w:rPr>
          <w:rFonts w:cs="Arial"/>
        </w:rPr>
        <w:t>):</w:t>
      </w:r>
      <w:r w:rsidRPr="00674982">
        <w:rPr>
          <w:rFonts w:cs="Arial"/>
        </w:rPr>
        <w:t>260–264.</w:t>
      </w:r>
    </w:p>
    <w:p w14:paraId="350A9F7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lastRenderedPageBreak/>
        <w:t xml:space="preserve">Van Straten G, Vos AC de, Rozema J, Bruning B and Bodegom PM van (2019) ‘An improved methodology to evaluate crop salt tolerance from field trials’, </w:t>
      </w:r>
      <w:r w:rsidRPr="00674982">
        <w:rPr>
          <w:rFonts w:eastAsia="Times New Roman" w:cstheme="minorHAnsi"/>
          <w:i/>
          <w:iCs/>
          <w:lang w:eastAsia="en-AU"/>
        </w:rPr>
        <w:t>Agricultural Water Management</w:t>
      </w:r>
      <w:r w:rsidRPr="00674982">
        <w:rPr>
          <w:rFonts w:eastAsia="Times New Roman" w:cstheme="minorHAnsi"/>
          <w:lang w:eastAsia="en-AU"/>
        </w:rPr>
        <w:t>, 213</w:t>
      </w:r>
      <w:r>
        <w:rPr>
          <w:rFonts w:eastAsia="Times New Roman" w:cstheme="minorHAnsi"/>
          <w:lang w:eastAsia="en-AU"/>
        </w:rPr>
        <w:t>:</w:t>
      </w:r>
      <w:r w:rsidRPr="00674982">
        <w:rPr>
          <w:rFonts w:eastAsia="Times New Roman" w:cstheme="minorHAnsi"/>
          <w:lang w:eastAsia="en-AU"/>
        </w:rPr>
        <w:t>375–387.</w:t>
      </w:r>
    </w:p>
    <w:p w14:paraId="7393BE63" w14:textId="77777777" w:rsidR="002056DA" w:rsidRPr="00674982" w:rsidRDefault="002056DA" w:rsidP="002056DA">
      <w:pPr>
        <w:spacing w:line="240" w:lineRule="auto"/>
        <w:rPr>
          <w:i/>
          <w:iCs/>
        </w:rPr>
      </w:pPr>
      <w:r w:rsidRPr="00674982">
        <w:t xml:space="preserve">Vanselow AP (1966) ‘Cobalt. In Diagnostic criteria for plant and soils’ </w:t>
      </w:r>
      <w:r w:rsidRPr="00674982">
        <w:rPr>
          <w:i/>
          <w:iCs/>
        </w:rPr>
        <w:t xml:space="preserve">ed HD Capman, Division of Agriculture Science, University of California, Berkley, </w:t>
      </w:r>
      <w:r w:rsidRPr="00C00454">
        <w:t>142–156.</w:t>
      </w:r>
    </w:p>
    <w:p w14:paraId="05FBE457" w14:textId="77777777" w:rsidR="002056DA" w:rsidRPr="00674982" w:rsidRDefault="002056DA" w:rsidP="002056DA">
      <w:pPr>
        <w:pStyle w:val="Bibliography"/>
        <w:spacing w:line="240" w:lineRule="auto"/>
        <w:ind w:left="0" w:firstLine="0"/>
        <w:rPr>
          <w:rFonts w:cs="Arial"/>
        </w:rPr>
      </w:pPr>
      <w:r w:rsidRPr="00674982">
        <w:rPr>
          <w:rFonts w:cs="Arial"/>
        </w:rPr>
        <w:t xml:space="preserve">Velásquez AC, Castroverde CDM and He SY (2018) ‘Plant and pathogen warfare under changing climate conditions’, </w:t>
      </w:r>
      <w:r w:rsidRPr="00674982">
        <w:rPr>
          <w:rFonts w:cs="Arial"/>
          <w:i/>
          <w:iCs/>
        </w:rPr>
        <w:t>Current biology</w:t>
      </w:r>
      <w:r w:rsidRPr="00674982">
        <w:rPr>
          <w:rFonts w:cs="Arial"/>
        </w:rPr>
        <w:t>, 28</w:t>
      </w:r>
      <w:r>
        <w:rPr>
          <w:rFonts w:cs="Arial"/>
        </w:rPr>
        <w:t>(</w:t>
      </w:r>
      <w:r w:rsidRPr="00674982">
        <w:rPr>
          <w:rFonts w:cs="Arial"/>
        </w:rPr>
        <w:t>10</w:t>
      </w:r>
      <w:r>
        <w:rPr>
          <w:rFonts w:cs="Arial"/>
        </w:rPr>
        <w:t>):</w:t>
      </w:r>
      <w:r w:rsidRPr="00674982">
        <w:rPr>
          <w:rFonts w:cs="Arial"/>
        </w:rPr>
        <w:t>R619–R634.</w:t>
      </w:r>
    </w:p>
    <w:p w14:paraId="2B738133" w14:textId="77777777" w:rsidR="002056DA" w:rsidRPr="00674982" w:rsidRDefault="002056DA" w:rsidP="002056DA">
      <w:pPr>
        <w:spacing w:line="240" w:lineRule="auto"/>
      </w:pPr>
      <w:r w:rsidRPr="00674982">
        <w:t xml:space="preserve">von Judel GK and Stelte W (1977) ‘Gefassversuche mit Gemusepflanzen zur Frage de Bleiaufnahme aus dem Boden’, </w:t>
      </w:r>
      <w:r w:rsidRPr="00674982">
        <w:rPr>
          <w:i/>
          <w:iCs/>
        </w:rPr>
        <w:t>Zeitschrift fuer Pflanzenernaehrung und Bodenkunde</w:t>
      </w:r>
      <w:r w:rsidRPr="00674982">
        <w:t>, 140</w:t>
      </w:r>
      <w:r>
        <w:t>:</w:t>
      </w:r>
      <w:r w:rsidRPr="00674982">
        <w:t>421–429.</w:t>
      </w:r>
    </w:p>
    <w:p w14:paraId="09303FB9" w14:textId="77777777" w:rsidR="002056DA" w:rsidRPr="00674982" w:rsidRDefault="002056DA" w:rsidP="002056DA">
      <w:pPr>
        <w:pStyle w:val="Bibliography"/>
        <w:spacing w:line="240" w:lineRule="auto"/>
        <w:ind w:left="0" w:firstLine="0"/>
        <w:rPr>
          <w:rFonts w:cs="Arial"/>
        </w:rPr>
      </w:pPr>
      <w:r w:rsidRPr="00674982">
        <w:rPr>
          <w:rFonts w:cs="Arial"/>
        </w:rPr>
        <w:t>Walker R 2010, ‘Managing salinity in the vineyard’, viewed 6 May 2021, &lt;http://www.mvwi.com.au/items/423/Rob%20Walker%20-%20Salinity%202010-11.pdf.&gt;.</w:t>
      </w:r>
    </w:p>
    <w:p w14:paraId="1B09468B"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Walker R, Blackmore D, Clingeleffer P and Correll R (2004) ‘Rootstock effects on salt tolerance of irrigated field-grown grapevines (Vitis vinifera L. cv. Sultana) 2. Ion concentrations in leaves and juice’, </w:t>
      </w:r>
      <w:r w:rsidRPr="00674982">
        <w:rPr>
          <w:rFonts w:eastAsia="Times New Roman" w:cstheme="minorHAnsi"/>
          <w:i/>
          <w:iCs/>
          <w:lang w:eastAsia="en-AU"/>
        </w:rPr>
        <w:t>Australian Journal of Grape and Wine Research</w:t>
      </w:r>
      <w:r w:rsidRPr="00674982">
        <w:rPr>
          <w:rFonts w:eastAsia="Times New Roman" w:cstheme="minorHAnsi"/>
          <w:lang w:eastAsia="en-AU"/>
        </w:rPr>
        <w:t>, 10</w:t>
      </w:r>
      <w:r>
        <w:rPr>
          <w:rFonts w:eastAsia="Times New Roman" w:cstheme="minorHAnsi"/>
          <w:lang w:eastAsia="en-AU"/>
        </w:rPr>
        <w:t>(</w:t>
      </w:r>
      <w:r w:rsidRPr="00674982">
        <w:rPr>
          <w:rFonts w:eastAsia="Times New Roman" w:cstheme="minorHAnsi"/>
          <w:lang w:eastAsia="en-AU"/>
        </w:rPr>
        <w:t>2</w:t>
      </w:r>
      <w:r>
        <w:rPr>
          <w:rFonts w:eastAsia="Times New Roman" w:cstheme="minorHAnsi"/>
          <w:lang w:eastAsia="en-AU"/>
        </w:rPr>
        <w:t>):</w:t>
      </w:r>
      <w:r w:rsidRPr="00674982">
        <w:rPr>
          <w:rFonts w:eastAsia="Times New Roman" w:cstheme="minorHAnsi"/>
          <w:lang w:eastAsia="en-AU"/>
        </w:rPr>
        <w:t>90–99.</w:t>
      </w:r>
    </w:p>
    <w:p w14:paraId="4DE40E06"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Walker RR, Blackmore DH and Clingeleffer PR (2010) ‘Impact of rootstock on yield and ion concentrations in petioles, juice and wine of Shiraz and Chardonnay in different viticultural environments with different irrigation water salinity’, </w:t>
      </w:r>
      <w:r w:rsidRPr="00674982">
        <w:rPr>
          <w:rFonts w:eastAsia="Times New Roman" w:cstheme="minorHAnsi"/>
          <w:i/>
          <w:iCs/>
          <w:lang w:eastAsia="en-AU"/>
        </w:rPr>
        <w:t>Australian Journal of Grape and Wine Research</w:t>
      </w:r>
      <w:r w:rsidRPr="00674982">
        <w:rPr>
          <w:rFonts w:eastAsia="Times New Roman" w:cstheme="minorHAnsi"/>
          <w:lang w:eastAsia="en-AU"/>
        </w:rPr>
        <w:t>, 16</w:t>
      </w:r>
      <w:r>
        <w:rPr>
          <w:rFonts w:eastAsia="Times New Roman" w:cstheme="minorHAnsi"/>
          <w:lang w:eastAsia="en-AU"/>
        </w:rPr>
        <w:t>(</w:t>
      </w:r>
      <w:r w:rsidRPr="00674982">
        <w:rPr>
          <w:rFonts w:eastAsia="Times New Roman" w:cstheme="minorHAnsi"/>
          <w:lang w:eastAsia="en-AU"/>
        </w:rPr>
        <w:t>1</w:t>
      </w:r>
      <w:r>
        <w:rPr>
          <w:rFonts w:eastAsia="Times New Roman" w:cstheme="minorHAnsi"/>
          <w:lang w:eastAsia="en-AU"/>
        </w:rPr>
        <w:t>):</w:t>
      </w:r>
      <w:r w:rsidRPr="00674982">
        <w:rPr>
          <w:rFonts w:eastAsia="Times New Roman" w:cstheme="minorHAnsi"/>
          <w:lang w:eastAsia="en-AU"/>
        </w:rPr>
        <w:t>243–257.</w:t>
      </w:r>
    </w:p>
    <w:p w14:paraId="40FAD99E"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Walker RR, Blackmore DH, Clingeleffer PR and Correll RL (2002) ‘Rootstock effects on salt tolerance of irrigated field-grown grapevines (Vitis vinifera L. cv. Sultana): 1. Yield and vigour inter-relationships’, </w:t>
      </w:r>
      <w:r w:rsidRPr="00674982">
        <w:rPr>
          <w:rFonts w:eastAsia="Times New Roman" w:cstheme="minorHAnsi"/>
          <w:i/>
          <w:iCs/>
          <w:lang w:eastAsia="en-AU"/>
        </w:rPr>
        <w:t>Australian Journal of Grape and Wine Research</w:t>
      </w:r>
      <w:r w:rsidRPr="00674982">
        <w:rPr>
          <w:rFonts w:eastAsia="Times New Roman" w:cstheme="minorHAnsi"/>
          <w:lang w:eastAsia="en-AU"/>
        </w:rPr>
        <w:t>, 8</w:t>
      </w:r>
      <w:r>
        <w:rPr>
          <w:rFonts w:eastAsia="Times New Roman" w:cstheme="minorHAnsi"/>
          <w:lang w:eastAsia="en-AU"/>
        </w:rPr>
        <w:t>(</w:t>
      </w:r>
      <w:r w:rsidRPr="00674982">
        <w:rPr>
          <w:rFonts w:eastAsia="Times New Roman" w:cstheme="minorHAnsi"/>
          <w:lang w:eastAsia="en-AU"/>
        </w:rPr>
        <w:t>1</w:t>
      </w:r>
      <w:r>
        <w:rPr>
          <w:rFonts w:eastAsia="Times New Roman" w:cstheme="minorHAnsi"/>
          <w:lang w:eastAsia="en-AU"/>
        </w:rPr>
        <w:t>):</w:t>
      </w:r>
      <w:r w:rsidRPr="00674982">
        <w:rPr>
          <w:rFonts w:eastAsia="Times New Roman" w:cstheme="minorHAnsi"/>
          <w:lang w:eastAsia="en-AU"/>
        </w:rPr>
        <w:t>3–14.</w:t>
      </w:r>
    </w:p>
    <w:p w14:paraId="727B4947" w14:textId="77777777" w:rsidR="002056DA" w:rsidRPr="00674982" w:rsidRDefault="002056DA" w:rsidP="002056DA">
      <w:pPr>
        <w:spacing w:line="240" w:lineRule="auto"/>
      </w:pPr>
      <w:r w:rsidRPr="00674982">
        <w:t xml:space="preserve">Wallace A, Alexander GV and Chadbury FM (1977) ‘Phytotoxicity of cobalt, vanadium, titanium, silver and chromium’, </w:t>
      </w:r>
      <w:r w:rsidRPr="00674982">
        <w:rPr>
          <w:i/>
          <w:iCs/>
        </w:rPr>
        <w:t>Communications in Soil Science and Plant Analysis</w:t>
      </w:r>
      <w:r w:rsidRPr="00674982">
        <w:t>, 8</w:t>
      </w:r>
      <w:r>
        <w:t>:</w:t>
      </w:r>
      <w:r w:rsidRPr="00674982">
        <w:t>751–756.</w:t>
      </w:r>
    </w:p>
    <w:p w14:paraId="7EB7228C"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Warne MSJ, Batley GE, Dam RV, Chapman JC, Fox DR, Hickey CW and Stauber JL (2018) ‘Revised Method for Deriving Australian and New Zealand Water Quality Guideline Values for Toxicants’ </w:t>
      </w:r>
      <w:r w:rsidRPr="00674982">
        <w:rPr>
          <w:rFonts w:eastAsia="Times New Roman" w:cstheme="minorHAnsi"/>
          <w:i/>
          <w:iCs/>
          <w:lang w:eastAsia="en-AU"/>
        </w:rPr>
        <w:t>Council of Australian Government’s Standing Council on Environment and Water (SCEW).</w:t>
      </w:r>
    </w:p>
    <w:p w14:paraId="52B55B81" w14:textId="77777777" w:rsidR="002056DA" w:rsidRPr="00674982" w:rsidRDefault="002056DA" w:rsidP="002056DA">
      <w:pPr>
        <w:spacing w:line="240" w:lineRule="auto"/>
      </w:pPr>
      <w:r w:rsidRPr="00674982">
        <w:t xml:space="preserve">Warrington K (1955) ‘The influence of iron supply on toxic effects of manganese molybdenum, vanadium in soybeans, peas and flax’, </w:t>
      </w:r>
      <w:r w:rsidRPr="00674982">
        <w:rPr>
          <w:i/>
          <w:iCs/>
        </w:rPr>
        <w:t>Annals of Applied Biology</w:t>
      </w:r>
      <w:r w:rsidRPr="00674982">
        <w:t>, 44</w:t>
      </w:r>
      <w:r>
        <w:t>:</w:t>
      </w:r>
      <w:r w:rsidRPr="00674982">
        <w:t xml:space="preserve">1–22. </w:t>
      </w:r>
    </w:p>
    <w:p w14:paraId="12844D71"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Water Security Agency (2014) ‘Treated municipal wastewater irrigation guidelines - EPB235’.</w:t>
      </w:r>
    </w:p>
    <w:p w14:paraId="789B98E7" w14:textId="77777777" w:rsidR="002056DA" w:rsidRPr="00674982" w:rsidRDefault="002056DA" w:rsidP="002056DA">
      <w:pPr>
        <w:spacing w:line="240" w:lineRule="auto"/>
        <w:rPr>
          <w:i/>
          <w:iCs/>
        </w:rPr>
      </w:pPr>
      <w:r w:rsidRPr="00674982">
        <w:t>Weast RC (1982) ‘Handbook of chemistry and physics, 62</w:t>
      </w:r>
      <w:r w:rsidRPr="00674982">
        <w:rPr>
          <w:vertAlign w:val="superscript"/>
        </w:rPr>
        <w:t>nd</w:t>
      </w:r>
      <w:r w:rsidRPr="00674982">
        <w:t xml:space="preserve"> Edition – 1981-1982’ </w:t>
      </w:r>
      <w:r w:rsidRPr="00674982">
        <w:rPr>
          <w:i/>
          <w:iCs/>
        </w:rPr>
        <w:t>CRC Press, Boca Raton, Florida.</w:t>
      </w:r>
    </w:p>
    <w:p w14:paraId="0445C03F"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Weaver TB, Ghadiri H, Hulugalle NR and Harden S (2012) ‘Organochlorine pesticides in soil under irrigated cotton farming systems in Vertisols of the Namoi Valley, north-western New South Wales, Australia’, </w:t>
      </w:r>
      <w:r w:rsidRPr="00674982">
        <w:rPr>
          <w:rFonts w:eastAsia="Times New Roman" w:cstheme="minorHAnsi"/>
          <w:i/>
          <w:iCs/>
          <w:lang w:eastAsia="en-AU"/>
        </w:rPr>
        <w:t xml:space="preserve">Chemosphere, </w:t>
      </w:r>
      <w:r w:rsidRPr="00674982">
        <w:rPr>
          <w:rFonts w:eastAsia="Times New Roman" w:cstheme="minorHAnsi"/>
          <w:lang w:eastAsia="en-AU"/>
        </w:rPr>
        <w:t>88</w:t>
      </w:r>
      <w:r>
        <w:rPr>
          <w:rFonts w:eastAsia="Times New Roman" w:cstheme="minorHAnsi"/>
          <w:lang w:eastAsia="en-AU"/>
        </w:rPr>
        <w:t>(</w:t>
      </w:r>
      <w:r w:rsidRPr="00674982">
        <w:rPr>
          <w:rFonts w:eastAsia="Times New Roman" w:cstheme="minorHAnsi"/>
          <w:lang w:eastAsia="en-AU"/>
        </w:rPr>
        <w:t>3</w:t>
      </w:r>
      <w:r>
        <w:rPr>
          <w:rFonts w:eastAsia="Times New Roman" w:cstheme="minorHAnsi"/>
          <w:lang w:eastAsia="en-AU"/>
        </w:rPr>
        <w:t>):</w:t>
      </w:r>
      <w:r w:rsidRPr="00674982">
        <w:rPr>
          <w:rFonts w:eastAsia="Times New Roman" w:cstheme="minorHAnsi"/>
          <w:lang w:eastAsia="en-AU"/>
        </w:rPr>
        <w:t>336–343.</w:t>
      </w:r>
    </w:p>
    <w:p w14:paraId="02ECDAC7" w14:textId="77777777" w:rsidR="002056DA" w:rsidRPr="00674982" w:rsidRDefault="002056DA" w:rsidP="002056DA">
      <w:pPr>
        <w:spacing w:line="240" w:lineRule="auto"/>
      </w:pPr>
      <w:r w:rsidRPr="00674982">
        <w:t>Webb DV, Solomon SB and Thompson JEM (1999) ‘Background radiation levels and medical exposure levels in Australia’, Radiation Protection in Australia, 16</w:t>
      </w:r>
      <w:r>
        <w:t>(</w:t>
      </w:r>
      <w:r w:rsidRPr="00674982">
        <w:t>2</w:t>
      </w:r>
      <w:r>
        <w:t>):</w:t>
      </w:r>
      <w:r w:rsidRPr="00674982">
        <w:t>25.</w:t>
      </w:r>
    </w:p>
    <w:p w14:paraId="5391A603"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Weggler, K, McLaughlin, MJ and Graham, RD 2004, ‘Effect of Chloride in Soil Solution on the Plant Availability of Biosolid-Borne Cadmium’, </w:t>
      </w:r>
      <w:r w:rsidRPr="00674982">
        <w:rPr>
          <w:rFonts w:eastAsia="Times New Roman" w:cstheme="minorHAnsi"/>
          <w:i/>
          <w:iCs/>
          <w:lang w:eastAsia="en-AU"/>
        </w:rPr>
        <w:t>Journal of Environmental Quality</w:t>
      </w:r>
      <w:r w:rsidRPr="00674982">
        <w:rPr>
          <w:rFonts w:eastAsia="Times New Roman" w:cstheme="minorHAnsi"/>
          <w:lang w:eastAsia="en-AU"/>
        </w:rPr>
        <w:t>, 33</w:t>
      </w:r>
      <w:r>
        <w:rPr>
          <w:rFonts w:eastAsia="Times New Roman" w:cstheme="minorHAnsi"/>
          <w:lang w:eastAsia="en-AU"/>
        </w:rPr>
        <w:t>(</w:t>
      </w:r>
      <w:r w:rsidRPr="00674982">
        <w:rPr>
          <w:rFonts w:eastAsia="Times New Roman" w:cstheme="minorHAnsi"/>
          <w:lang w:eastAsia="en-AU"/>
        </w:rPr>
        <w:t>2</w:t>
      </w:r>
      <w:r>
        <w:rPr>
          <w:rFonts w:eastAsia="Times New Roman" w:cstheme="minorHAnsi"/>
          <w:lang w:eastAsia="en-AU"/>
        </w:rPr>
        <w:t>):</w:t>
      </w:r>
      <w:r w:rsidRPr="00674982">
        <w:rPr>
          <w:rFonts w:eastAsia="Times New Roman" w:cstheme="minorHAnsi"/>
          <w:lang w:eastAsia="en-AU"/>
        </w:rPr>
        <w:t>496–504.</w:t>
      </w:r>
    </w:p>
    <w:p w14:paraId="159A90E5" w14:textId="77777777" w:rsidR="002056DA" w:rsidRPr="00674982" w:rsidRDefault="002056DA" w:rsidP="002056DA">
      <w:pPr>
        <w:pStyle w:val="Bibliography"/>
        <w:spacing w:line="240" w:lineRule="auto"/>
        <w:ind w:left="0" w:firstLine="0"/>
        <w:rPr>
          <w:rFonts w:cs="Arial"/>
        </w:rPr>
      </w:pPr>
      <w:r w:rsidRPr="00674982">
        <w:rPr>
          <w:rFonts w:cs="Arial"/>
        </w:rPr>
        <w:lastRenderedPageBreak/>
        <w:t xml:space="preserve">Weggler-Beaton, K, McLaughlin, MJ, and Graham, RD 2000, ‘Salinity increases cadmium uptake by wheat and Swiss chard from soil amended with biosolids’, </w:t>
      </w:r>
      <w:r w:rsidRPr="00674982">
        <w:rPr>
          <w:rFonts w:cs="Arial"/>
          <w:i/>
          <w:iCs/>
        </w:rPr>
        <w:t>Soil Research</w:t>
      </w:r>
      <w:r w:rsidRPr="00674982">
        <w:rPr>
          <w:rFonts w:cs="Arial"/>
        </w:rPr>
        <w:t>, 38</w:t>
      </w:r>
      <w:r>
        <w:rPr>
          <w:rFonts w:cs="Arial"/>
        </w:rPr>
        <w:t>(</w:t>
      </w:r>
      <w:r w:rsidRPr="00674982">
        <w:rPr>
          <w:rFonts w:cs="Arial"/>
        </w:rPr>
        <w:t>1</w:t>
      </w:r>
      <w:r>
        <w:rPr>
          <w:rFonts w:cs="Arial"/>
        </w:rPr>
        <w:t>):</w:t>
      </w:r>
      <w:r w:rsidRPr="00674982">
        <w:rPr>
          <w:rFonts w:cs="Arial"/>
        </w:rPr>
        <w:t>37–46.</w:t>
      </w:r>
      <w:bookmarkStart w:id="416" w:name="_Hlk97153864"/>
    </w:p>
    <w:p w14:paraId="65B55677" w14:textId="77777777" w:rsidR="002056DA" w:rsidRPr="00674982" w:rsidRDefault="002056DA" w:rsidP="002056DA">
      <w:pPr>
        <w:spacing w:line="240" w:lineRule="auto"/>
      </w:pPr>
      <w:r w:rsidRPr="00674982">
        <w:t xml:space="preserve">West DW and Francois (1982) ‘Effects of salinity on germination growth and yield of cow pea’, </w:t>
      </w:r>
      <w:r w:rsidRPr="00674982">
        <w:rPr>
          <w:i/>
          <w:iCs/>
        </w:rPr>
        <w:t xml:space="preserve">Irrigation Science, </w:t>
      </w:r>
      <w:r w:rsidRPr="00674982">
        <w:t>vol. 3, pp. 169–175.</w:t>
      </w:r>
      <w:bookmarkEnd w:id="416"/>
      <w:r w:rsidRPr="00674982">
        <w:t>Whitton BA 1973. Freshwater plankton. In The biology of blue-green algae, eds NG Carr and BA Whitton, Blackwell Scientific Publications, Oxford, 353–367.</w:t>
      </w:r>
    </w:p>
    <w:p w14:paraId="78C2F2B0" w14:textId="77777777" w:rsidR="002056DA" w:rsidRPr="00674982" w:rsidRDefault="002056DA" w:rsidP="002056DA">
      <w:pPr>
        <w:spacing w:line="240" w:lineRule="auto"/>
        <w:rPr>
          <w:rFonts w:eastAsia="Times New Roman" w:cstheme="minorHAnsi"/>
          <w:lang w:eastAsia="en-AU"/>
        </w:rPr>
      </w:pPr>
      <w:r w:rsidRPr="00674982">
        <w:t xml:space="preserve">WHO (1984) ‘Guidelines for drinking water quality. Vol 2: Health criteria and other supporting information’ </w:t>
      </w:r>
      <w:r w:rsidRPr="00674982">
        <w:rPr>
          <w:i/>
          <w:iCs/>
        </w:rPr>
        <w:t>World Health Organisation, Geneva, Switzerland</w:t>
      </w:r>
      <w:r w:rsidRPr="00674982">
        <w:t>.</w:t>
      </w:r>
    </w:p>
    <w:p w14:paraId="69E53382" w14:textId="77777777" w:rsidR="002056DA" w:rsidRPr="00674982" w:rsidRDefault="002056DA" w:rsidP="002056DA">
      <w:pPr>
        <w:spacing w:line="240" w:lineRule="auto"/>
        <w:rPr>
          <w:rFonts w:eastAsia="Times New Roman" w:cstheme="minorHAnsi"/>
          <w:i/>
          <w:iCs/>
          <w:lang w:eastAsia="en-AU"/>
        </w:rPr>
      </w:pPr>
      <w:r w:rsidRPr="00674982">
        <w:rPr>
          <w:rFonts w:eastAsia="Times New Roman" w:cstheme="minorHAnsi"/>
          <w:lang w:eastAsia="en-AU"/>
        </w:rPr>
        <w:t xml:space="preserve">― (2003) ‘Cyanobacterial toxins: Microcystin-LR in drinking-water - Background document for development of WHO guidelines for drinking-water quality (2nd ed)’ </w:t>
      </w:r>
      <w:r w:rsidRPr="00674982">
        <w:rPr>
          <w:rFonts w:eastAsia="Times New Roman" w:cstheme="minorHAnsi"/>
          <w:i/>
          <w:iCs/>
          <w:lang w:eastAsia="en-AU"/>
        </w:rPr>
        <w:t>World Health Organization, Geneva, Switzerland.</w:t>
      </w:r>
    </w:p>
    <w:p w14:paraId="18F5FFE2" w14:textId="77777777" w:rsidR="002056DA" w:rsidRPr="00674982" w:rsidRDefault="002056DA" w:rsidP="002056DA">
      <w:pPr>
        <w:spacing w:line="240" w:lineRule="auto"/>
        <w:rPr>
          <w:rFonts w:eastAsia="Times New Roman" w:cstheme="minorHAnsi"/>
          <w:lang w:eastAsia="en-AU"/>
        </w:rPr>
      </w:pPr>
      <w:r w:rsidRPr="00674982">
        <w:rPr>
          <w:rFonts w:eastAsia="Times New Roman" w:cstheme="minorHAnsi"/>
          <w:lang w:eastAsia="en-AU"/>
        </w:rPr>
        <w:t xml:space="preserve">― (2006) ‘Guidelines for the safe use of wastewater, excreta and greywater: Volume II Wastewater use in Agriculture’ </w:t>
      </w:r>
      <w:r w:rsidRPr="00674982">
        <w:rPr>
          <w:rFonts w:eastAsia="Times New Roman" w:cstheme="minorHAnsi"/>
          <w:i/>
          <w:iCs/>
          <w:lang w:eastAsia="en-AU"/>
        </w:rPr>
        <w:t>World Health Organization, Geneva, Switzerland</w:t>
      </w:r>
      <w:r w:rsidRPr="00674982">
        <w:rPr>
          <w:rFonts w:eastAsia="Times New Roman" w:cstheme="minorHAnsi"/>
          <w:lang w:eastAsia="en-AU"/>
        </w:rPr>
        <w:t>.</w:t>
      </w:r>
    </w:p>
    <w:p w14:paraId="30664C08" w14:textId="77777777" w:rsidR="002056DA" w:rsidRDefault="002056DA" w:rsidP="002056DA">
      <w:pPr>
        <w:spacing w:after="0" w:line="240" w:lineRule="auto"/>
        <w:rPr>
          <w:rFonts w:eastAsia="Times New Roman" w:cstheme="minorHAnsi"/>
          <w:lang w:eastAsia="en-AU"/>
        </w:rPr>
      </w:pPr>
      <w:r w:rsidRPr="00674982">
        <w:rPr>
          <w:rFonts w:eastAsia="Times New Roman" w:cstheme="minorHAnsi"/>
          <w:lang w:eastAsia="en-AU"/>
        </w:rPr>
        <w:t xml:space="preserve">― 2011, </w:t>
      </w:r>
      <w:r w:rsidRPr="00674982">
        <w:rPr>
          <w:rFonts w:eastAsia="Times New Roman" w:cstheme="minorHAnsi"/>
          <w:i/>
          <w:iCs/>
          <w:lang w:eastAsia="en-AU"/>
        </w:rPr>
        <w:t>Arsenic in Drinking-water. Background document for development of WHO Guidelines for Drinking-water Quality.</w:t>
      </w:r>
      <w:r w:rsidRPr="00674982">
        <w:rPr>
          <w:rFonts w:eastAsia="Times New Roman" w:cstheme="minorHAnsi"/>
          <w:lang w:eastAsia="en-AU"/>
        </w:rPr>
        <w:t>, WHO/SDE/WSH/03.04/75/Rev/1, World Health Organization, Geneva, Switzerland.</w:t>
      </w:r>
    </w:p>
    <w:p w14:paraId="1422681C" w14:textId="77777777" w:rsidR="002056DA" w:rsidRPr="00674982" w:rsidRDefault="002056DA" w:rsidP="002056DA">
      <w:pPr>
        <w:spacing w:after="0" w:line="240" w:lineRule="auto"/>
        <w:rPr>
          <w:rFonts w:eastAsia="Times New Roman" w:cstheme="minorHAnsi"/>
          <w:lang w:eastAsia="en-AU"/>
        </w:rPr>
      </w:pPr>
    </w:p>
    <w:p w14:paraId="5F7F9AF5" w14:textId="77777777" w:rsidR="002056DA" w:rsidRDefault="002056DA" w:rsidP="002056DA">
      <w:pPr>
        <w:spacing w:after="0" w:line="240" w:lineRule="auto"/>
        <w:rPr>
          <w:rFonts w:cs="Arial"/>
        </w:rPr>
      </w:pPr>
      <w:r w:rsidRPr="00674982">
        <w:rPr>
          <w:rFonts w:eastAsia="Times New Roman" w:cstheme="minorHAnsi"/>
          <w:lang w:eastAsia="en-AU"/>
        </w:rPr>
        <w:t xml:space="preserve">― </w:t>
      </w:r>
      <w:r w:rsidRPr="00674982">
        <w:rPr>
          <w:rFonts w:cs="Arial"/>
        </w:rPr>
        <w:t>(2017) ‘Guidelines for Drinking-water Quality, World Health Organisation, Geneva.</w:t>
      </w:r>
    </w:p>
    <w:p w14:paraId="40D8E20E" w14:textId="77777777" w:rsidR="002056DA" w:rsidRPr="00674982" w:rsidRDefault="002056DA" w:rsidP="002056DA">
      <w:pPr>
        <w:spacing w:after="0" w:line="240" w:lineRule="auto"/>
        <w:rPr>
          <w:rFonts w:cs="Arial"/>
        </w:rPr>
      </w:pPr>
    </w:p>
    <w:p w14:paraId="3D6890DB" w14:textId="77777777" w:rsidR="002056DA" w:rsidRPr="00674982" w:rsidRDefault="002056DA" w:rsidP="002056DA">
      <w:pPr>
        <w:spacing w:line="240" w:lineRule="auto"/>
        <w:rPr>
          <w:i/>
          <w:iCs/>
        </w:rPr>
      </w:pPr>
      <w:r w:rsidRPr="00674982">
        <w:rPr>
          <w:rFonts w:eastAsia="Times New Roman" w:cstheme="minorHAnsi"/>
          <w:lang w:eastAsia="en-AU"/>
        </w:rPr>
        <w:t xml:space="preserve">― </w:t>
      </w:r>
      <w:r w:rsidRPr="00674982">
        <w:t xml:space="preserve">2020a, Exposure to cyanotoxins – Understanding it and short-term interventions to prevent it. Chapter 5’ </w:t>
      </w:r>
      <w:r w:rsidRPr="00674982">
        <w:rPr>
          <w:i/>
          <w:iCs/>
        </w:rPr>
        <w:t>In In: Chorus I, Welker M; eds: Toxic Cyanobacteria in Water, 2nd edition. CRC Press, Boca Raton (FL), on behalf of the World Health Organization, Geneva, CH.</w:t>
      </w:r>
    </w:p>
    <w:p w14:paraId="6F89F1F4" w14:textId="77777777" w:rsidR="002056DA" w:rsidRPr="00674982" w:rsidRDefault="002056DA" w:rsidP="002056DA">
      <w:pPr>
        <w:spacing w:line="240" w:lineRule="auto"/>
      </w:pPr>
      <w:r w:rsidRPr="00674982">
        <w:rPr>
          <w:rFonts w:eastAsia="Times New Roman" w:cstheme="minorHAnsi"/>
          <w:lang w:eastAsia="en-AU"/>
        </w:rPr>
        <w:t>― (</w:t>
      </w:r>
      <w:r w:rsidRPr="00674982">
        <w:t xml:space="preserve">2020b) ‘Cyanobacterial toxins: Cylindrospermopsins. Background document for development of WHO Guidelines for drinking water quality and Guidelines for safe recreational water environments’ </w:t>
      </w:r>
    </w:p>
    <w:p w14:paraId="1A141A06" w14:textId="77777777" w:rsidR="002056DA" w:rsidRPr="00674982" w:rsidRDefault="002056DA" w:rsidP="002056DA">
      <w:pPr>
        <w:spacing w:line="240" w:lineRule="auto"/>
      </w:pPr>
      <w:r w:rsidRPr="00674982">
        <w:t xml:space="preserve">Williams RJB and LeRiche HH (1968) ‘The effect of traces of beryllium on the growth of kale, grass and mustard’, </w:t>
      </w:r>
      <w:r w:rsidRPr="00674982">
        <w:rPr>
          <w:i/>
          <w:iCs/>
        </w:rPr>
        <w:t>Plant and Soil</w:t>
      </w:r>
      <w:r w:rsidRPr="00674982">
        <w:t>, 29</w:t>
      </w:r>
      <w:r>
        <w:t>:</w:t>
      </w:r>
      <w:r w:rsidRPr="00674982">
        <w:t>317–326.</w:t>
      </w:r>
    </w:p>
    <w:p w14:paraId="10371FBD" w14:textId="77777777" w:rsidR="002056DA" w:rsidRPr="00674982" w:rsidRDefault="002056DA" w:rsidP="002056DA">
      <w:pPr>
        <w:spacing w:line="240" w:lineRule="auto"/>
        <w:rPr>
          <w:i/>
          <w:iCs/>
        </w:rPr>
      </w:pPr>
      <w:r w:rsidRPr="00674982">
        <w:t xml:space="preserve">Wood S, Hamilton DP, Paul WJ, Safi KA and Williamson WM.(2018) ‘Review of the New Zealand Guidelines for cyanobacteria in recreational fresh waters – 2018’, </w:t>
      </w:r>
      <w:r w:rsidRPr="00674982">
        <w:rPr>
          <w:i/>
          <w:iCs/>
        </w:rPr>
        <w:t xml:space="preserve">Cawthron Institute, Prepared for the Ministry of the Environment. </w:t>
      </w:r>
    </w:p>
    <w:p w14:paraId="2DC95B0C" w14:textId="77777777" w:rsidR="002056DA" w:rsidRPr="00674982" w:rsidRDefault="002056DA" w:rsidP="002056DA">
      <w:pPr>
        <w:spacing w:line="240" w:lineRule="auto"/>
        <w:rPr>
          <w:i/>
          <w:iCs/>
        </w:rPr>
      </w:pPr>
      <w:r w:rsidRPr="00674982">
        <w:t xml:space="preserve">Woolson EA (1973) ‘Arsenic phytotoxicity and uptake in six vegetable crops’, </w:t>
      </w:r>
      <w:r w:rsidRPr="00674982">
        <w:rPr>
          <w:i/>
          <w:iCs/>
        </w:rPr>
        <w:t xml:space="preserve">Weed Science, vol 21, </w:t>
      </w:r>
      <w:r w:rsidRPr="00C00454">
        <w:t>524–527.</w:t>
      </w:r>
    </w:p>
    <w:p w14:paraId="20B6967B" w14:textId="77777777" w:rsidR="002056DA" w:rsidRPr="00674982" w:rsidRDefault="002056DA" w:rsidP="002056DA">
      <w:pPr>
        <w:spacing w:line="240" w:lineRule="auto"/>
      </w:pPr>
      <w:r w:rsidRPr="00674982">
        <w:t>Wright RJ, Botigor VC and Wright SF (1987) ‘Estimation of phytotoxic aluminium in soil solution using three spectrometric methods’, Soil Science, 44</w:t>
      </w:r>
      <w:r>
        <w:t>:</w:t>
      </w:r>
      <w:r w:rsidRPr="00674982">
        <w:t>224–232.</w:t>
      </w:r>
    </w:p>
    <w:p w14:paraId="17B7AC3A" w14:textId="77777777" w:rsidR="002056DA" w:rsidRPr="00674982" w:rsidRDefault="002056DA" w:rsidP="002056DA">
      <w:pPr>
        <w:spacing w:line="240" w:lineRule="auto"/>
        <w:rPr>
          <w:i/>
          <w:iCs/>
        </w:rPr>
      </w:pPr>
      <w:r w:rsidRPr="00674982">
        <w:t xml:space="preserve">Yaalon DH (1983) ‘Climate, time and soil development. In Pedogenesis and soil taxonomy. 1. Concepts and interactions’ </w:t>
      </w:r>
      <w:r w:rsidRPr="00674982">
        <w:rPr>
          <w:i/>
          <w:iCs/>
        </w:rPr>
        <w:t xml:space="preserve">eds LP Wilding, NE Smeck and GF Hall, Elsevier Science Publishers, Amsterdam. 233–251.  </w:t>
      </w:r>
    </w:p>
    <w:p w14:paraId="7C56E1BE" w14:textId="77777777" w:rsidR="002056DA" w:rsidRPr="00674982" w:rsidRDefault="002056DA" w:rsidP="002056DA">
      <w:pPr>
        <w:pStyle w:val="Bibliography"/>
        <w:spacing w:line="240" w:lineRule="auto"/>
        <w:ind w:left="0" w:firstLine="0"/>
        <w:rPr>
          <w:rFonts w:cs="Arial"/>
        </w:rPr>
      </w:pPr>
      <w:r w:rsidRPr="00674982">
        <w:rPr>
          <w:rFonts w:cs="Arial"/>
        </w:rPr>
        <w:t xml:space="preserve">Zhang, XK, Walker, RR, Stevens, RM and Lynda P (2002) ‘Yield-salinity relationships of different grapevine (Vitis vinifera L.) scion-rootstock combinations’, </w:t>
      </w:r>
      <w:r w:rsidRPr="00674982">
        <w:rPr>
          <w:rFonts w:cs="Arial"/>
          <w:i/>
          <w:iCs/>
        </w:rPr>
        <w:t>Australian Journal of Grape and Wine Research</w:t>
      </w:r>
      <w:r w:rsidRPr="00674982">
        <w:rPr>
          <w:rFonts w:cs="Arial"/>
        </w:rPr>
        <w:t>, 8</w:t>
      </w:r>
      <w:r>
        <w:rPr>
          <w:rFonts w:cs="Arial"/>
        </w:rPr>
        <w:t>(</w:t>
      </w:r>
      <w:r w:rsidRPr="00674982">
        <w:rPr>
          <w:rFonts w:cs="Arial"/>
        </w:rPr>
        <w:t>3</w:t>
      </w:r>
      <w:r>
        <w:rPr>
          <w:rFonts w:cs="Arial"/>
        </w:rPr>
        <w:t>):</w:t>
      </w:r>
      <w:r w:rsidRPr="00674982">
        <w:rPr>
          <w:rFonts w:cs="Arial"/>
        </w:rPr>
        <w:t>150–156.</w:t>
      </w:r>
    </w:p>
    <w:p w14:paraId="2C1F2A77" w14:textId="77777777" w:rsidR="002056DA" w:rsidRPr="00EC4285" w:rsidRDefault="002056DA" w:rsidP="002056DA">
      <w:pPr>
        <w:spacing w:line="240" w:lineRule="auto"/>
        <w:rPr>
          <w:i/>
          <w:iCs/>
        </w:rPr>
      </w:pPr>
      <w:r w:rsidRPr="00674982">
        <w:t xml:space="preserve">Zhukov BI and Zudilkin NV (1971) ‘Effect of uranium on the yield of spring wheat’, </w:t>
      </w:r>
      <w:r w:rsidRPr="00674982">
        <w:rPr>
          <w:i/>
          <w:iCs/>
        </w:rPr>
        <w:t xml:space="preserve">Radiobiology (English translation), </w:t>
      </w:r>
      <w:r w:rsidRPr="00C00454">
        <w:t>11:466–469.</w:t>
      </w:r>
      <w:r w:rsidRPr="00EC4285">
        <w:rPr>
          <w:i/>
          <w:iCs/>
        </w:rPr>
        <w:t xml:space="preserve"> </w:t>
      </w:r>
    </w:p>
    <w:p w14:paraId="188CAD62" w14:textId="67E4539A" w:rsidR="00926B7F" w:rsidRPr="00D93FF9" w:rsidRDefault="00926B7F" w:rsidP="00926B7F">
      <w:pPr>
        <w:rPr>
          <w:lang w:val="en-GB" w:eastAsia="ja-JP"/>
        </w:rPr>
      </w:pPr>
    </w:p>
    <w:p w14:paraId="3D683454" w14:textId="27000E59" w:rsidR="00926B7F" w:rsidRPr="00D93FF9" w:rsidRDefault="00926B7F" w:rsidP="00926B7F">
      <w:pPr>
        <w:rPr>
          <w:lang w:val="en-GB" w:eastAsia="ja-JP"/>
        </w:rPr>
      </w:pPr>
    </w:p>
    <w:p w14:paraId="48334067" w14:textId="713A819D" w:rsidR="00E70171" w:rsidRPr="00D93FF9" w:rsidRDefault="00E70171" w:rsidP="00926B7F">
      <w:pPr>
        <w:rPr>
          <w:lang w:val="en-GB" w:eastAsia="ja-JP"/>
        </w:rPr>
      </w:pPr>
    </w:p>
    <w:bookmarkEnd w:id="414"/>
    <w:p w14:paraId="6C8B47D6" w14:textId="29C2BFE1" w:rsidR="002D4AF1" w:rsidRPr="00D93FF9" w:rsidRDefault="002D4AF1">
      <w:pPr>
        <w:widowControl w:val="0"/>
        <w:autoSpaceDE w:val="0"/>
        <w:autoSpaceDN w:val="0"/>
        <w:spacing w:after="0" w:line="240" w:lineRule="auto"/>
        <w:rPr>
          <w:lang w:val="en-GB" w:eastAsia="ja-JP"/>
        </w:rPr>
      </w:pPr>
      <w:r w:rsidRPr="00D93FF9">
        <w:rPr>
          <w:lang w:val="en-GB" w:eastAsia="ja-JP"/>
        </w:rPr>
        <w:br w:type="page"/>
      </w:r>
    </w:p>
    <w:p w14:paraId="5ECC5424" w14:textId="66CAD38D" w:rsidR="00926B7F" w:rsidRPr="00D93FF9" w:rsidRDefault="00926B7F" w:rsidP="00926B7F">
      <w:pPr>
        <w:pStyle w:val="Heading2"/>
        <w:rPr>
          <w:lang w:val="en-GB"/>
        </w:rPr>
      </w:pPr>
      <w:bookmarkStart w:id="417" w:name="_Toc96693627"/>
      <w:r w:rsidRPr="00D93FF9">
        <w:rPr>
          <w:lang w:val="en-GB"/>
        </w:rPr>
        <w:lastRenderedPageBreak/>
        <w:t>Glossary of terms</w:t>
      </w:r>
      <w:bookmarkEnd w:id="417"/>
    </w:p>
    <w:tbl>
      <w:tblPr>
        <w:tblStyle w:val="TableGrid"/>
        <w:tblW w:w="901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F4DCB" w:rsidRPr="00D93FF9" w14:paraId="36E0C29A" w14:textId="77777777" w:rsidTr="001C400D">
        <w:trPr>
          <w:tblHeader/>
        </w:trPr>
        <w:tc>
          <w:tcPr>
            <w:tcW w:w="2830" w:type="dxa"/>
            <w:tcBorders>
              <w:top w:val="single" w:sz="4" w:space="0" w:color="auto"/>
              <w:bottom w:val="single" w:sz="4" w:space="0" w:color="auto"/>
            </w:tcBorders>
          </w:tcPr>
          <w:p w14:paraId="0C3F42AB" w14:textId="77777777" w:rsidR="004F4DCB" w:rsidRPr="00D93FF9" w:rsidRDefault="004F4DCB" w:rsidP="00207A4C">
            <w:pPr>
              <w:rPr>
                <w:rFonts w:asciiTheme="minorHAnsi" w:hAnsiTheme="minorHAnsi" w:cstheme="minorHAnsi"/>
                <w:b/>
                <w:bCs/>
                <w:sz w:val="22"/>
                <w:szCs w:val="22"/>
              </w:rPr>
            </w:pPr>
            <w:r w:rsidRPr="00D93FF9">
              <w:rPr>
                <w:rFonts w:asciiTheme="minorHAnsi" w:hAnsiTheme="minorHAnsi" w:cstheme="minorHAnsi"/>
                <w:b/>
                <w:bCs/>
                <w:sz w:val="22"/>
                <w:szCs w:val="22"/>
              </w:rPr>
              <w:t>Term</w:t>
            </w:r>
          </w:p>
        </w:tc>
        <w:tc>
          <w:tcPr>
            <w:tcW w:w="6186" w:type="dxa"/>
            <w:tcBorders>
              <w:top w:val="single" w:sz="4" w:space="0" w:color="auto"/>
              <w:bottom w:val="single" w:sz="4" w:space="0" w:color="auto"/>
            </w:tcBorders>
          </w:tcPr>
          <w:p w14:paraId="71ED479A" w14:textId="77777777" w:rsidR="004F4DCB" w:rsidRPr="00D93FF9" w:rsidRDefault="004F4DCB" w:rsidP="00207A4C">
            <w:pPr>
              <w:rPr>
                <w:rFonts w:asciiTheme="minorHAnsi" w:hAnsiTheme="minorHAnsi" w:cstheme="minorHAnsi"/>
                <w:b/>
                <w:bCs/>
                <w:sz w:val="22"/>
                <w:szCs w:val="22"/>
              </w:rPr>
            </w:pPr>
            <w:r w:rsidRPr="00D93FF9">
              <w:rPr>
                <w:rFonts w:asciiTheme="minorHAnsi" w:hAnsiTheme="minorHAnsi" w:cstheme="minorHAnsi"/>
                <w:b/>
                <w:bCs/>
                <w:sz w:val="22"/>
                <w:szCs w:val="22"/>
              </w:rPr>
              <w:t>Definition</w:t>
            </w:r>
          </w:p>
        </w:tc>
      </w:tr>
      <w:tr w:rsidR="004F4DCB" w:rsidRPr="00D93FF9" w14:paraId="3F32BDDF" w14:textId="77777777" w:rsidTr="001C400D">
        <w:trPr>
          <w:trHeight w:val="288"/>
        </w:trPr>
        <w:tc>
          <w:tcPr>
            <w:tcW w:w="2830" w:type="dxa"/>
            <w:tcBorders>
              <w:top w:val="single" w:sz="4" w:space="0" w:color="auto"/>
            </w:tcBorders>
            <w:noWrap/>
            <w:hideMark/>
          </w:tcPr>
          <w:p w14:paraId="679657E6"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Absorption</w:t>
            </w:r>
          </w:p>
        </w:tc>
        <w:tc>
          <w:tcPr>
            <w:tcW w:w="6186" w:type="dxa"/>
            <w:tcBorders>
              <w:top w:val="single" w:sz="4" w:space="0" w:color="auto"/>
            </w:tcBorders>
            <w:noWrap/>
            <w:hideMark/>
          </w:tcPr>
          <w:p w14:paraId="0DB6F71D"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In chemistry: Penetration of one substance into the body of another. In biology: The act of absorbing (i.e. to take in as fluids or gases through a cell membrane). To take a substance (e.g. water, nutrients) into the body through the skin or mucous membranes or, in plants, through root hairs.</w:t>
            </w:r>
          </w:p>
        </w:tc>
      </w:tr>
      <w:tr w:rsidR="004F4DCB" w:rsidRPr="00D93FF9" w14:paraId="56C03DEC" w14:textId="77777777" w:rsidTr="001C400D">
        <w:trPr>
          <w:trHeight w:val="288"/>
        </w:trPr>
        <w:tc>
          <w:tcPr>
            <w:tcW w:w="2830" w:type="dxa"/>
            <w:noWrap/>
            <w:hideMark/>
          </w:tcPr>
          <w:p w14:paraId="18AADF8B"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Acid-soluble metal</w:t>
            </w:r>
          </w:p>
        </w:tc>
        <w:tc>
          <w:tcPr>
            <w:tcW w:w="6186" w:type="dxa"/>
            <w:noWrap/>
            <w:hideMark/>
          </w:tcPr>
          <w:p w14:paraId="6E4E8E91"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concentration of the metal that passes through a 0.45 µm membrane filter after the sample is acidified to pH 1.5-2.0 with nitric acid</w:t>
            </w:r>
          </w:p>
        </w:tc>
      </w:tr>
      <w:tr w:rsidR="004F4DCB" w:rsidRPr="00D93FF9" w14:paraId="16B3287B" w14:textId="77777777" w:rsidTr="001C400D">
        <w:trPr>
          <w:trHeight w:val="288"/>
        </w:trPr>
        <w:tc>
          <w:tcPr>
            <w:tcW w:w="2830" w:type="dxa"/>
            <w:noWrap/>
            <w:hideMark/>
          </w:tcPr>
          <w:p w14:paraId="28145A48"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Acidic</w:t>
            </w:r>
          </w:p>
        </w:tc>
        <w:tc>
          <w:tcPr>
            <w:tcW w:w="6186" w:type="dxa"/>
            <w:noWrap/>
            <w:hideMark/>
          </w:tcPr>
          <w:p w14:paraId="2FD843F0"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Having a high hydrogen ion concentration (low pH)</w:t>
            </w:r>
          </w:p>
        </w:tc>
      </w:tr>
      <w:tr w:rsidR="005840B5" w:rsidRPr="00D93FF9" w14:paraId="1574914B" w14:textId="77777777" w:rsidTr="001C400D">
        <w:trPr>
          <w:trHeight w:val="288"/>
        </w:trPr>
        <w:tc>
          <w:tcPr>
            <w:tcW w:w="2830" w:type="dxa"/>
            <w:noWrap/>
          </w:tcPr>
          <w:p w14:paraId="71CC43E3" w14:textId="4B157206" w:rsidR="005840B5" w:rsidRPr="00D93FF9" w:rsidRDefault="005840B5" w:rsidP="00207A4C">
            <w:pPr>
              <w:rPr>
                <w:rFonts w:cstheme="minorHAnsi"/>
                <w:b/>
                <w:bCs/>
                <w:color w:val="000000"/>
              </w:rPr>
            </w:pPr>
            <w:r w:rsidRPr="00D93FF9">
              <w:rPr>
                <w:rFonts w:asciiTheme="minorHAnsi" w:hAnsiTheme="minorHAnsi" w:cstheme="minorHAnsi"/>
                <w:b/>
                <w:bCs/>
                <w:color w:val="000000"/>
                <w:sz w:val="22"/>
                <w:szCs w:val="22"/>
              </w:rPr>
              <w:t>Added contaminant loading limit (ACL)</w:t>
            </w:r>
          </w:p>
        </w:tc>
        <w:tc>
          <w:tcPr>
            <w:tcW w:w="6186" w:type="dxa"/>
            <w:noWrap/>
          </w:tcPr>
          <w:p w14:paraId="44553F92" w14:textId="4B8C9415" w:rsidR="005840B5" w:rsidRPr="00D93FF9" w:rsidRDefault="005840B5" w:rsidP="00207A4C">
            <w:pPr>
              <w:rPr>
                <w:rFonts w:cstheme="minorHAnsi"/>
                <w:color w:val="000000"/>
              </w:rPr>
            </w:pPr>
            <w:r w:rsidRPr="00D93FF9">
              <w:rPr>
                <w:rFonts w:asciiTheme="minorHAnsi" w:hAnsiTheme="minorHAnsi" w:cstheme="minorHAnsi"/>
                <w:color w:val="000000"/>
                <w:sz w:val="22"/>
                <w:szCs w:val="22"/>
              </w:rPr>
              <w:t>The maximum contaminant loading in soil defined in gravimetric units (kg/ha). It indicates the amount of contaminant added, above which site specific risk assessment is recommended if irrigation and contaminant addition is continued</w:t>
            </w:r>
          </w:p>
        </w:tc>
      </w:tr>
      <w:tr w:rsidR="004F4DCB" w:rsidRPr="00D93FF9" w14:paraId="24815D08" w14:textId="77777777" w:rsidTr="001C400D">
        <w:trPr>
          <w:trHeight w:val="288"/>
        </w:trPr>
        <w:tc>
          <w:tcPr>
            <w:tcW w:w="2830" w:type="dxa"/>
            <w:noWrap/>
            <w:hideMark/>
          </w:tcPr>
          <w:p w14:paraId="7224A570"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Adsorption</w:t>
            </w:r>
          </w:p>
        </w:tc>
        <w:tc>
          <w:tcPr>
            <w:tcW w:w="6186" w:type="dxa"/>
            <w:noWrap/>
            <w:hideMark/>
          </w:tcPr>
          <w:p w14:paraId="02EBA0B8"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taking up of one substance at the surface of another</w:t>
            </w:r>
          </w:p>
        </w:tc>
      </w:tr>
      <w:tr w:rsidR="004F4DCB" w:rsidRPr="00D93FF9" w14:paraId="3CB5EA5B" w14:textId="77777777" w:rsidTr="001C400D">
        <w:trPr>
          <w:trHeight w:val="288"/>
        </w:trPr>
        <w:tc>
          <w:tcPr>
            <w:tcW w:w="2830" w:type="dxa"/>
            <w:noWrap/>
            <w:hideMark/>
          </w:tcPr>
          <w:p w14:paraId="11DAB981"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Aeration</w:t>
            </w:r>
          </w:p>
        </w:tc>
        <w:tc>
          <w:tcPr>
            <w:tcW w:w="6186" w:type="dxa"/>
            <w:noWrap/>
            <w:hideMark/>
          </w:tcPr>
          <w:p w14:paraId="0F0B39D2"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Any process where a substance becomes permeated with air or another gas. The term is usually applied to aqueous liquids being brought into intimate contact with air by spraying, bubbling or agitating the liquid.</w:t>
            </w:r>
          </w:p>
        </w:tc>
      </w:tr>
      <w:tr w:rsidR="004F4DCB" w:rsidRPr="00D93FF9" w14:paraId="3507D962" w14:textId="77777777" w:rsidTr="001C400D">
        <w:trPr>
          <w:trHeight w:val="288"/>
        </w:trPr>
        <w:tc>
          <w:tcPr>
            <w:tcW w:w="2830" w:type="dxa"/>
            <w:noWrap/>
            <w:hideMark/>
          </w:tcPr>
          <w:p w14:paraId="29EC8053"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Aerobic</w:t>
            </w:r>
          </w:p>
        </w:tc>
        <w:tc>
          <w:tcPr>
            <w:tcW w:w="6186" w:type="dxa"/>
            <w:noWrap/>
            <w:hideMark/>
          </w:tcPr>
          <w:p w14:paraId="7103ACC4"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Of organisms requiring oxygen for respiration or conditions where oxygen is available</w:t>
            </w:r>
          </w:p>
        </w:tc>
      </w:tr>
      <w:tr w:rsidR="004F4DCB" w:rsidRPr="00D93FF9" w14:paraId="60694F28" w14:textId="77777777" w:rsidTr="001C400D">
        <w:trPr>
          <w:trHeight w:val="288"/>
        </w:trPr>
        <w:tc>
          <w:tcPr>
            <w:tcW w:w="2830" w:type="dxa"/>
            <w:noWrap/>
            <w:hideMark/>
          </w:tcPr>
          <w:p w14:paraId="092B59F3"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Aesthetic</w:t>
            </w:r>
          </w:p>
        </w:tc>
        <w:tc>
          <w:tcPr>
            <w:tcW w:w="6186" w:type="dxa"/>
            <w:noWrap/>
            <w:hideMark/>
          </w:tcPr>
          <w:p w14:paraId="5F266E7B"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Aspects of, say, a water body, that can be considered beautiful or pleasant to the senses</w:t>
            </w:r>
          </w:p>
        </w:tc>
      </w:tr>
      <w:tr w:rsidR="004F4DCB" w:rsidRPr="00D93FF9" w14:paraId="1DB3B13C" w14:textId="77777777" w:rsidTr="001C400D">
        <w:trPr>
          <w:trHeight w:val="288"/>
        </w:trPr>
        <w:tc>
          <w:tcPr>
            <w:tcW w:w="2830" w:type="dxa"/>
            <w:noWrap/>
            <w:hideMark/>
          </w:tcPr>
          <w:p w14:paraId="430E8FA4"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'Aggressive' carbon dioxide</w:t>
            </w:r>
          </w:p>
        </w:tc>
        <w:tc>
          <w:tcPr>
            <w:tcW w:w="6186" w:type="dxa"/>
            <w:noWrap/>
            <w:hideMark/>
          </w:tcPr>
          <w:p w14:paraId="20A965D0"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amount of dissolved carbon dioxide in excess of that required to stabilise the bicarbonate ion present in water</w:t>
            </w:r>
          </w:p>
        </w:tc>
      </w:tr>
      <w:tr w:rsidR="004F4DCB" w:rsidRPr="00D93FF9" w14:paraId="1883A5A0" w14:textId="77777777" w:rsidTr="001C400D">
        <w:trPr>
          <w:trHeight w:val="288"/>
        </w:trPr>
        <w:tc>
          <w:tcPr>
            <w:tcW w:w="2830" w:type="dxa"/>
            <w:noWrap/>
            <w:hideMark/>
          </w:tcPr>
          <w:p w14:paraId="11A30804"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Algae</w:t>
            </w:r>
          </w:p>
        </w:tc>
        <w:tc>
          <w:tcPr>
            <w:tcW w:w="6186" w:type="dxa"/>
            <w:noWrap/>
            <w:hideMark/>
          </w:tcPr>
          <w:p w14:paraId="3677444A"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Comparatively simple chlorophyll-bearing plants, most of which are aquatic and microscopic in size</w:t>
            </w:r>
          </w:p>
        </w:tc>
      </w:tr>
      <w:tr w:rsidR="004F4DCB" w:rsidRPr="00D93FF9" w14:paraId="417EBDA6" w14:textId="77777777" w:rsidTr="001C400D">
        <w:trPr>
          <w:trHeight w:val="288"/>
        </w:trPr>
        <w:tc>
          <w:tcPr>
            <w:tcW w:w="2830" w:type="dxa"/>
            <w:noWrap/>
            <w:hideMark/>
          </w:tcPr>
          <w:p w14:paraId="0D759D55"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Alkalinity</w:t>
            </w:r>
          </w:p>
        </w:tc>
        <w:tc>
          <w:tcPr>
            <w:tcW w:w="6186" w:type="dxa"/>
            <w:noWrap/>
            <w:hideMark/>
          </w:tcPr>
          <w:p w14:paraId="74216DD0"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quantitative capacity of aqueous media to react with hydroxyl ions. The equivalent sum of the bases that are titratable with strong acid. Alkalinity is a capacity factor that represents the acid- neutralising capacity of an aqueous system.</w:t>
            </w:r>
          </w:p>
        </w:tc>
      </w:tr>
      <w:tr w:rsidR="004F4DCB" w:rsidRPr="00D93FF9" w14:paraId="4B9A702A" w14:textId="77777777" w:rsidTr="001C400D">
        <w:trPr>
          <w:trHeight w:val="288"/>
        </w:trPr>
        <w:tc>
          <w:tcPr>
            <w:tcW w:w="2830" w:type="dxa"/>
            <w:noWrap/>
            <w:hideMark/>
          </w:tcPr>
          <w:p w14:paraId="363E5129"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Anaerobic</w:t>
            </w:r>
          </w:p>
        </w:tc>
        <w:tc>
          <w:tcPr>
            <w:tcW w:w="6186" w:type="dxa"/>
            <w:noWrap/>
            <w:hideMark/>
          </w:tcPr>
          <w:p w14:paraId="0FBC7328"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Conditions where oxygen is lacking; organisms not requiring oxygen for respiration</w:t>
            </w:r>
          </w:p>
        </w:tc>
      </w:tr>
      <w:tr w:rsidR="00713CE0" w:rsidRPr="00D93FF9" w14:paraId="1CBB06CA" w14:textId="77777777" w:rsidTr="001C400D">
        <w:trPr>
          <w:trHeight w:val="288"/>
        </w:trPr>
        <w:tc>
          <w:tcPr>
            <w:tcW w:w="2830" w:type="dxa"/>
            <w:noWrap/>
            <w:hideMark/>
          </w:tcPr>
          <w:p w14:paraId="7ECDE2A8" w14:textId="77777777" w:rsidR="00713CE0" w:rsidRPr="00D93FF9" w:rsidRDefault="00713CE0"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Anion</w:t>
            </w:r>
          </w:p>
        </w:tc>
        <w:tc>
          <w:tcPr>
            <w:tcW w:w="6186" w:type="dxa"/>
            <w:noWrap/>
            <w:hideMark/>
          </w:tcPr>
          <w:p w14:paraId="3B7D3A59" w14:textId="77777777" w:rsidR="00713CE0" w:rsidRPr="00D93FF9" w:rsidRDefault="00713CE0"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Negatively charged ion</w:t>
            </w:r>
          </w:p>
        </w:tc>
      </w:tr>
      <w:tr w:rsidR="004F4DCB" w:rsidRPr="00D93FF9" w14:paraId="2D90E572" w14:textId="77777777" w:rsidTr="001C400D">
        <w:trPr>
          <w:trHeight w:val="288"/>
        </w:trPr>
        <w:tc>
          <w:tcPr>
            <w:tcW w:w="2830" w:type="dxa"/>
            <w:noWrap/>
            <w:hideMark/>
          </w:tcPr>
          <w:p w14:paraId="4E00376B"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Anionic</w:t>
            </w:r>
          </w:p>
        </w:tc>
        <w:tc>
          <w:tcPr>
            <w:tcW w:w="6186" w:type="dxa"/>
            <w:noWrap/>
            <w:hideMark/>
          </w:tcPr>
          <w:p w14:paraId="795ADB02"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Characteristic behaviour or property of an ion that has a negative charge. Anions move to the anode in electrolysis.</w:t>
            </w:r>
          </w:p>
        </w:tc>
      </w:tr>
      <w:tr w:rsidR="00713CE0" w:rsidRPr="00D93FF9" w14:paraId="31381646" w14:textId="77777777" w:rsidTr="001C400D">
        <w:trPr>
          <w:trHeight w:val="288"/>
        </w:trPr>
        <w:tc>
          <w:tcPr>
            <w:tcW w:w="2830" w:type="dxa"/>
            <w:noWrap/>
            <w:hideMark/>
          </w:tcPr>
          <w:p w14:paraId="2ABF1ADC" w14:textId="77777777" w:rsidR="00713CE0" w:rsidRPr="00D93FF9" w:rsidRDefault="00713CE0"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Anode</w:t>
            </w:r>
          </w:p>
        </w:tc>
        <w:tc>
          <w:tcPr>
            <w:tcW w:w="6186" w:type="dxa"/>
            <w:noWrap/>
            <w:hideMark/>
          </w:tcPr>
          <w:p w14:paraId="0076389A" w14:textId="77777777" w:rsidR="00713CE0" w:rsidRPr="00D93FF9" w:rsidRDefault="00713CE0"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electrode where oxidation occurs</w:t>
            </w:r>
          </w:p>
        </w:tc>
      </w:tr>
      <w:tr w:rsidR="00713CE0" w:rsidRPr="00D93FF9" w14:paraId="3C452E4C" w14:textId="77777777" w:rsidTr="001C400D">
        <w:trPr>
          <w:trHeight w:val="288"/>
        </w:trPr>
        <w:tc>
          <w:tcPr>
            <w:tcW w:w="2830" w:type="dxa"/>
            <w:noWrap/>
            <w:hideMark/>
          </w:tcPr>
          <w:p w14:paraId="4FBB43A9" w14:textId="77777777" w:rsidR="00713CE0" w:rsidRPr="00D93FF9" w:rsidRDefault="00713CE0"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Anthropogenic</w:t>
            </w:r>
          </w:p>
        </w:tc>
        <w:tc>
          <w:tcPr>
            <w:tcW w:w="6186" w:type="dxa"/>
            <w:noWrap/>
            <w:hideMark/>
          </w:tcPr>
          <w:p w14:paraId="5E1F8821" w14:textId="77777777" w:rsidR="00713CE0" w:rsidRPr="00D93FF9" w:rsidRDefault="00713CE0"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Produced or caused by humans</w:t>
            </w:r>
          </w:p>
        </w:tc>
      </w:tr>
      <w:tr w:rsidR="004F4DCB" w:rsidRPr="00D93FF9" w14:paraId="65797193" w14:textId="77777777" w:rsidTr="001C400D">
        <w:trPr>
          <w:trHeight w:val="288"/>
        </w:trPr>
        <w:tc>
          <w:tcPr>
            <w:tcW w:w="2830" w:type="dxa"/>
            <w:noWrap/>
            <w:hideMark/>
          </w:tcPr>
          <w:p w14:paraId="450DFB64"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Aquatic ecosystem</w:t>
            </w:r>
          </w:p>
        </w:tc>
        <w:tc>
          <w:tcPr>
            <w:tcW w:w="6186" w:type="dxa"/>
            <w:noWrap/>
            <w:hideMark/>
          </w:tcPr>
          <w:p w14:paraId="447206BE"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Any watery environment from small to large, from pond to ocean, in which plants and animals interact with the chemical and physical features of the environment</w:t>
            </w:r>
          </w:p>
        </w:tc>
      </w:tr>
      <w:tr w:rsidR="004F4DCB" w:rsidRPr="00D93FF9" w14:paraId="2F907EA1" w14:textId="77777777" w:rsidTr="001C400D">
        <w:trPr>
          <w:trHeight w:val="288"/>
        </w:trPr>
        <w:tc>
          <w:tcPr>
            <w:tcW w:w="2830" w:type="dxa"/>
            <w:noWrap/>
            <w:hideMark/>
          </w:tcPr>
          <w:p w14:paraId="7F070A56"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Aquifer</w:t>
            </w:r>
          </w:p>
        </w:tc>
        <w:tc>
          <w:tcPr>
            <w:tcW w:w="6186" w:type="dxa"/>
            <w:noWrap/>
            <w:hideMark/>
          </w:tcPr>
          <w:p w14:paraId="4C2481B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An underground layer of permeable rock, sand or gravel that absorbs water and allows it free passage through pore spaces</w:t>
            </w:r>
          </w:p>
        </w:tc>
      </w:tr>
      <w:tr w:rsidR="004F4DCB" w:rsidRPr="00D93FF9" w14:paraId="4AF85E85" w14:textId="77777777" w:rsidTr="001C400D">
        <w:trPr>
          <w:trHeight w:val="288"/>
        </w:trPr>
        <w:tc>
          <w:tcPr>
            <w:tcW w:w="2830" w:type="dxa"/>
            <w:noWrap/>
            <w:hideMark/>
          </w:tcPr>
          <w:p w14:paraId="5556AEB8"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Benthic</w:t>
            </w:r>
          </w:p>
        </w:tc>
        <w:tc>
          <w:tcPr>
            <w:tcW w:w="6186" w:type="dxa"/>
            <w:noWrap/>
            <w:hideMark/>
          </w:tcPr>
          <w:p w14:paraId="7979A69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Referring to organisms living in or on the sediments of aquatic habitats (lakes, rivers, ponds, etc.)</w:t>
            </w:r>
          </w:p>
        </w:tc>
      </w:tr>
      <w:tr w:rsidR="004F4DCB" w:rsidRPr="00D93FF9" w14:paraId="07AF1B8B" w14:textId="77777777" w:rsidTr="001C400D">
        <w:trPr>
          <w:trHeight w:val="288"/>
        </w:trPr>
        <w:tc>
          <w:tcPr>
            <w:tcW w:w="2830" w:type="dxa"/>
            <w:noWrap/>
            <w:hideMark/>
          </w:tcPr>
          <w:p w14:paraId="354EFDBE"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Benthos</w:t>
            </w:r>
          </w:p>
        </w:tc>
        <w:tc>
          <w:tcPr>
            <w:tcW w:w="6186" w:type="dxa"/>
            <w:noWrap/>
            <w:hideMark/>
          </w:tcPr>
          <w:p w14:paraId="32692B4E"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 xml:space="preserve"> The sum total of organisms living in, or on, the sediments of aquatic habitats</w:t>
            </w:r>
          </w:p>
        </w:tc>
      </w:tr>
      <w:tr w:rsidR="004F4DCB" w:rsidRPr="00D93FF9" w14:paraId="089A2C94" w14:textId="77777777" w:rsidTr="001C400D">
        <w:trPr>
          <w:trHeight w:val="288"/>
        </w:trPr>
        <w:tc>
          <w:tcPr>
            <w:tcW w:w="2830" w:type="dxa"/>
            <w:noWrap/>
            <w:hideMark/>
          </w:tcPr>
          <w:p w14:paraId="63C04C8E"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Binding sites</w:t>
            </w:r>
          </w:p>
        </w:tc>
        <w:tc>
          <w:tcPr>
            <w:tcW w:w="6186" w:type="dxa"/>
            <w:noWrap/>
            <w:hideMark/>
          </w:tcPr>
          <w:p w14:paraId="6345D21A"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Sites on a substrate where chemical interaction with an indicator (qv) may occur. The interaction may be electrostatic, polar, hydrogen bonding or covalent bonding.</w:t>
            </w:r>
          </w:p>
        </w:tc>
      </w:tr>
      <w:tr w:rsidR="004F4DCB" w:rsidRPr="00D93FF9" w14:paraId="7D030187" w14:textId="77777777" w:rsidTr="001C400D">
        <w:trPr>
          <w:trHeight w:val="288"/>
        </w:trPr>
        <w:tc>
          <w:tcPr>
            <w:tcW w:w="2830" w:type="dxa"/>
            <w:noWrap/>
            <w:hideMark/>
          </w:tcPr>
          <w:p w14:paraId="1DACEA48"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Bioaccumulation</w:t>
            </w:r>
          </w:p>
        </w:tc>
        <w:tc>
          <w:tcPr>
            <w:tcW w:w="6186" w:type="dxa"/>
            <w:noWrap/>
            <w:hideMark/>
          </w:tcPr>
          <w:p w14:paraId="0DA48EB2"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General term describing a process by which chemical substances are accumulated by aquatic organisms from water, either directly or through consumption of food containing the chemicals</w:t>
            </w:r>
          </w:p>
        </w:tc>
      </w:tr>
      <w:tr w:rsidR="004F4DCB" w:rsidRPr="00D93FF9" w14:paraId="1C8988F1" w14:textId="77777777" w:rsidTr="001C400D">
        <w:trPr>
          <w:trHeight w:val="288"/>
        </w:trPr>
        <w:tc>
          <w:tcPr>
            <w:tcW w:w="2830" w:type="dxa"/>
            <w:noWrap/>
            <w:hideMark/>
          </w:tcPr>
          <w:p w14:paraId="775E8117"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Bioavailable</w:t>
            </w:r>
          </w:p>
        </w:tc>
        <w:tc>
          <w:tcPr>
            <w:tcW w:w="6186" w:type="dxa"/>
            <w:noWrap/>
            <w:hideMark/>
          </w:tcPr>
          <w:p w14:paraId="7F8B42AB"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fraction of the total of a chemical in the surrounding environment that can be taken up by organisms. The environment may include water, sediment, soil, suspended particles, and food items.</w:t>
            </w:r>
          </w:p>
        </w:tc>
      </w:tr>
      <w:tr w:rsidR="004F4DCB" w:rsidRPr="00D93FF9" w14:paraId="6CF4D211" w14:textId="77777777" w:rsidTr="001C400D">
        <w:trPr>
          <w:trHeight w:val="288"/>
        </w:trPr>
        <w:tc>
          <w:tcPr>
            <w:tcW w:w="2830" w:type="dxa"/>
            <w:noWrap/>
            <w:hideMark/>
          </w:tcPr>
          <w:p w14:paraId="635751E7"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Biochemical (or biological) oxygen demand</w:t>
            </w:r>
          </w:p>
        </w:tc>
        <w:tc>
          <w:tcPr>
            <w:tcW w:w="6186" w:type="dxa"/>
            <w:noWrap/>
            <w:hideMark/>
          </w:tcPr>
          <w:p w14:paraId="27EDE848"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 xml:space="preserve">The decrease in oxygen content in mg/L of a sample of water in the dark at a certain temperature over a certain of period of time which is brought about by the bacterial breakdown of organic matter. Usually, the decomposition has proceeded so far after 20 days that no further change occurs. The oxygen demand is </w:t>
            </w:r>
            <w:r w:rsidRPr="00D93FF9">
              <w:rPr>
                <w:rFonts w:asciiTheme="minorHAnsi" w:hAnsiTheme="minorHAnsi" w:cstheme="minorHAnsi"/>
                <w:color w:val="000000"/>
                <w:sz w:val="22"/>
                <w:szCs w:val="22"/>
              </w:rPr>
              <w:lastRenderedPageBreak/>
              <w:t xml:space="preserve">measured after 5 days (BOD5), at which time 70% of the final value has usually been reached. </w:t>
            </w:r>
          </w:p>
        </w:tc>
      </w:tr>
      <w:tr w:rsidR="004F4DCB" w:rsidRPr="00D93FF9" w14:paraId="515DA96C" w14:textId="77777777" w:rsidTr="001C400D">
        <w:trPr>
          <w:trHeight w:val="288"/>
        </w:trPr>
        <w:tc>
          <w:tcPr>
            <w:tcW w:w="2830" w:type="dxa"/>
            <w:noWrap/>
            <w:hideMark/>
          </w:tcPr>
          <w:p w14:paraId="072BD40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Bioclogging</w:t>
            </w:r>
          </w:p>
        </w:tc>
        <w:tc>
          <w:tcPr>
            <w:tcW w:w="6186" w:type="dxa"/>
            <w:noWrap/>
            <w:hideMark/>
          </w:tcPr>
          <w:p w14:paraId="3772FCEC"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Clogging of irrigation infrastructure due to excessive algae or microbial growth</w:t>
            </w:r>
          </w:p>
        </w:tc>
      </w:tr>
      <w:tr w:rsidR="004F4DCB" w:rsidRPr="00D93FF9" w14:paraId="44EC8EB5" w14:textId="77777777" w:rsidTr="001C400D">
        <w:trPr>
          <w:trHeight w:val="288"/>
        </w:trPr>
        <w:tc>
          <w:tcPr>
            <w:tcW w:w="2830" w:type="dxa"/>
            <w:noWrap/>
            <w:hideMark/>
          </w:tcPr>
          <w:p w14:paraId="11397D36"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Biocorrosion</w:t>
            </w:r>
          </w:p>
        </w:tc>
        <w:tc>
          <w:tcPr>
            <w:tcW w:w="6186" w:type="dxa"/>
            <w:noWrap/>
            <w:hideMark/>
          </w:tcPr>
          <w:p w14:paraId="6585467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Corrosion caused by microorganisms through formation of biofilms on the metal surface</w:t>
            </w:r>
          </w:p>
        </w:tc>
      </w:tr>
      <w:tr w:rsidR="004F4DCB" w:rsidRPr="00D93FF9" w14:paraId="40F79BB2" w14:textId="77777777" w:rsidTr="001C400D">
        <w:trPr>
          <w:trHeight w:val="288"/>
        </w:trPr>
        <w:tc>
          <w:tcPr>
            <w:tcW w:w="2830" w:type="dxa"/>
            <w:noWrap/>
            <w:hideMark/>
          </w:tcPr>
          <w:p w14:paraId="422B82EE"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Biodiversity (biological diversity)</w:t>
            </w:r>
          </w:p>
        </w:tc>
        <w:tc>
          <w:tcPr>
            <w:tcW w:w="6186" w:type="dxa"/>
            <w:noWrap/>
            <w:hideMark/>
          </w:tcPr>
          <w:p w14:paraId="1A4AC1C0"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variety of life forms, including the plants, animals and micro- organisms, the genes they contain and the ecosystems and ecological processes of which they are a part</w:t>
            </w:r>
          </w:p>
        </w:tc>
      </w:tr>
      <w:tr w:rsidR="004F4DCB" w:rsidRPr="00D93FF9" w14:paraId="02F159B0" w14:textId="77777777" w:rsidTr="001C400D">
        <w:trPr>
          <w:trHeight w:val="288"/>
        </w:trPr>
        <w:tc>
          <w:tcPr>
            <w:tcW w:w="2830" w:type="dxa"/>
            <w:noWrap/>
            <w:hideMark/>
          </w:tcPr>
          <w:p w14:paraId="761CD74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Biofilm</w:t>
            </w:r>
          </w:p>
        </w:tc>
        <w:tc>
          <w:tcPr>
            <w:tcW w:w="6186" w:type="dxa"/>
            <w:noWrap/>
            <w:hideMark/>
          </w:tcPr>
          <w:p w14:paraId="4B7C846E"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Layer of materials created by microorganisms on an underwater surface</w:t>
            </w:r>
          </w:p>
        </w:tc>
      </w:tr>
      <w:tr w:rsidR="004F4DCB" w:rsidRPr="00D93FF9" w14:paraId="11B55697" w14:textId="77777777" w:rsidTr="001C400D">
        <w:trPr>
          <w:trHeight w:val="288"/>
        </w:trPr>
        <w:tc>
          <w:tcPr>
            <w:tcW w:w="2830" w:type="dxa"/>
            <w:noWrap/>
            <w:hideMark/>
          </w:tcPr>
          <w:p w14:paraId="000A73BB"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Biomass</w:t>
            </w:r>
          </w:p>
        </w:tc>
        <w:tc>
          <w:tcPr>
            <w:tcW w:w="6186" w:type="dxa"/>
            <w:noWrap/>
            <w:hideMark/>
          </w:tcPr>
          <w:p w14:paraId="2C0688A8"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living weight of a plant or animal population, usually expressed on a unit area basis</w:t>
            </w:r>
          </w:p>
        </w:tc>
      </w:tr>
      <w:tr w:rsidR="004F4DCB" w:rsidRPr="00D93FF9" w14:paraId="786DA41D" w14:textId="77777777" w:rsidTr="001C400D">
        <w:trPr>
          <w:trHeight w:val="288"/>
        </w:trPr>
        <w:tc>
          <w:tcPr>
            <w:tcW w:w="2830" w:type="dxa"/>
            <w:noWrap/>
            <w:hideMark/>
          </w:tcPr>
          <w:p w14:paraId="74C7A53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Biosolids</w:t>
            </w:r>
          </w:p>
        </w:tc>
        <w:tc>
          <w:tcPr>
            <w:tcW w:w="6186" w:type="dxa"/>
            <w:noWrap/>
            <w:hideMark/>
          </w:tcPr>
          <w:p w14:paraId="2A1B67E6"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Sewage sludge, organic residuals remaining after domestic sewage treatment</w:t>
            </w:r>
          </w:p>
        </w:tc>
      </w:tr>
      <w:tr w:rsidR="004F4DCB" w:rsidRPr="00D93FF9" w14:paraId="42300F9E" w14:textId="77777777" w:rsidTr="001C400D">
        <w:trPr>
          <w:trHeight w:val="288"/>
        </w:trPr>
        <w:tc>
          <w:tcPr>
            <w:tcW w:w="2830" w:type="dxa"/>
            <w:noWrap/>
            <w:hideMark/>
          </w:tcPr>
          <w:p w14:paraId="213DEA44"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Biota</w:t>
            </w:r>
          </w:p>
        </w:tc>
        <w:tc>
          <w:tcPr>
            <w:tcW w:w="6186" w:type="dxa"/>
            <w:noWrap/>
            <w:hideMark/>
          </w:tcPr>
          <w:p w14:paraId="5F5104BF"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sum total of the living organisms of any designated area</w:t>
            </w:r>
          </w:p>
        </w:tc>
      </w:tr>
      <w:tr w:rsidR="004F4DCB" w:rsidRPr="00D93FF9" w14:paraId="3B13FACE" w14:textId="77777777" w:rsidTr="001C400D">
        <w:trPr>
          <w:trHeight w:val="288"/>
        </w:trPr>
        <w:tc>
          <w:tcPr>
            <w:tcW w:w="2830" w:type="dxa"/>
            <w:noWrap/>
            <w:hideMark/>
          </w:tcPr>
          <w:p w14:paraId="48D40062"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Bloom</w:t>
            </w:r>
          </w:p>
        </w:tc>
        <w:tc>
          <w:tcPr>
            <w:tcW w:w="6186" w:type="dxa"/>
            <w:noWrap/>
            <w:hideMark/>
          </w:tcPr>
          <w:p w14:paraId="081F7D3B"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An unusually large number of organisms per unit of water, usually algae, made up of one or a few species</w:t>
            </w:r>
          </w:p>
        </w:tc>
      </w:tr>
      <w:tr w:rsidR="004F4DCB" w:rsidRPr="00D93FF9" w14:paraId="3896D9CE" w14:textId="77777777" w:rsidTr="001C400D">
        <w:trPr>
          <w:trHeight w:val="288"/>
        </w:trPr>
        <w:tc>
          <w:tcPr>
            <w:tcW w:w="2830" w:type="dxa"/>
            <w:noWrap/>
            <w:hideMark/>
          </w:tcPr>
          <w:p w14:paraId="0889776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Buffer</w:t>
            </w:r>
          </w:p>
        </w:tc>
        <w:tc>
          <w:tcPr>
            <w:tcW w:w="6186" w:type="dxa"/>
            <w:noWrap/>
            <w:hideMark/>
          </w:tcPr>
          <w:p w14:paraId="1CB721C2"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solution containing a weak acid and its conjugate weak base, the pH of which changes only slightly on the addition of acid or alkali</w:t>
            </w:r>
          </w:p>
        </w:tc>
      </w:tr>
      <w:tr w:rsidR="004F4DCB" w:rsidRPr="00D93FF9" w14:paraId="46753836" w14:textId="77777777" w:rsidTr="001C400D">
        <w:trPr>
          <w:trHeight w:val="288"/>
        </w:trPr>
        <w:tc>
          <w:tcPr>
            <w:tcW w:w="2830" w:type="dxa"/>
            <w:noWrap/>
            <w:hideMark/>
          </w:tcPr>
          <w:p w14:paraId="0E2E94D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Buffering capacity</w:t>
            </w:r>
          </w:p>
        </w:tc>
        <w:tc>
          <w:tcPr>
            <w:tcW w:w="6186" w:type="dxa"/>
            <w:noWrap/>
            <w:hideMark/>
          </w:tcPr>
          <w:p w14:paraId="2C11EB1B"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measure of the relative sensitivity of a solution to pH changes on addition of acids or base</w:t>
            </w:r>
          </w:p>
        </w:tc>
      </w:tr>
      <w:tr w:rsidR="004F4DCB" w:rsidRPr="00D93FF9" w14:paraId="0D6F4130" w14:textId="77777777" w:rsidTr="001C400D">
        <w:trPr>
          <w:trHeight w:val="288"/>
        </w:trPr>
        <w:tc>
          <w:tcPr>
            <w:tcW w:w="2830" w:type="dxa"/>
            <w:noWrap/>
            <w:hideMark/>
          </w:tcPr>
          <w:p w14:paraId="19FA3B73"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w:t>
            </w:r>
          </w:p>
        </w:tc>
        <w:tc>
          <w:tcPr>
            <w:tcW w:w="6186" w:type="dxa"/>
            <w:noWrap/>
            <w:hideMark/>
          </w:tcPr>
          <w:p w14:paraId="2FC7575C"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Degrees Celsius</w:t>
            </w:r>
          </w:p>
        </w:tc>
      </w:tr>
      <w:tr w:rsidR="004F4DCB" w:rsidRPr="00D93FF9" w14:paraId="77D702D1" w14:textId="77777777" w:rsidTr="001C400D">
        <w:trPr>
          <w:trHeight w:val="288"/>
        </w:trPr>
        <w:tc>
          <w:tcPr>
            <w:tcW w:w="2830" w:type="dxa"/>
            <w:noWrap/>
            <w:hideMark/>
          </w:tcPr>
          <w:p w14:paraId="00247CF9"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Carcinogen</w:t>
            </w:r>
          </w:p>
        </w:tc>
        <w:tc>
          <w:tcPr>
            <w:tcW w:w="6186" w:type="dxa"/>
            <w:noWrap/>
            <w:hideMark/>
          </w:tcPr>
          <w:p w14:paraId="12DB0838"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substance that induces cancer in a living organism</w:t>
            </w:r>
          </w:p>
        </w:tc>
      </w:tr>
      <w:tr w:rsidR="004F4DCB" w:rsidRPr="00D93FF9" w14:paraId="74803B2F" w14:textId="77777777" w:rsidTr="001C400D">
        <w:trPr>
          <w:trHeight w:val="288"/>
        </w:trPr>
        <w:tc>
          <w:tcPr>
            <w:tcW w:w="2830" w:type="dxa"/>
            <w:noWrap/>
            <w:hideMark/>
          </w:tcPr>
          <w:p w14:paraId="0E93F629"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Catchment</w:t>
            </w:r>
          </w:p>
        </w:tc>
        <w:tc>
          <w:tcPr>
            <w:tcW w:w="6186" w:type="dxa"/>
            <w:noWrap/>
            <w:hideMark/>
          </w:tcPr>
          <w:p w14:paraId="5D572DAD"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total area draining into a river, reservoir, or other body of water</w:t>
            </w:r>
          </w:p>
        </w:tc>
      </w:tr>
      <w:tr w:rsidR="004F4DCB" w:rsidRPr="00D93FF9" w14:paraId="4DE93466" w14:textId="77777777" w:rsidTr="001C400D">
        <w:trPr>
          <w:trHeight w:val="288"/>
        </w:trPr>
        <w:tc>
          <w:tcPr>
            <w:tcW w:w="2830" w:type="dxa"/>
            <w:noWrap/>
            <w:hideMark/>
          </w:tcPr>
          <w:p w14:paraId="766B6525"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Cathode</w:t>
            </w:r>
          </w:p>
        </w:tc>
        <w:tc>
          <w:tcPr>
            <w:tcW w:w="6186" w:type="dxa"/>
            <w:noWrap/>
            <w:hideMark/>
          </w:tcPr>
          <w:p w14:paraId="11142C0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electrode where reduction occurs</w:t>
            </w:r>
          </w:p>
        </w:tc>
      </w:tr>
      <w:tr w:rsidR="004F4DCB" w:rsidRPr="00D93FF9" w14:paraId="5931C0B0" w14:textId="77777777" w:rsidTr="001C400D">
        <w:trPr>
          <w:trHeight w:val="288"/>
        </w:trPr>
        <w:tc>
          <w:tcPr>
            <w:tcW w:w="2830" w:type="dxa"/>
            <w:noWrap/>
            <w:hideMark/>
          </w:tcPr>
          <w:p w14:paraId="068C0792"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Cation</w:t>
            </w:r>
          </w:p>
        </w:tc>
        <w:tc>
          <w:tcPr>
            <w:tcW w:w="6186" w:type="dxa"/>
            <w:noWrap/>
            <w:hideMark/>
          </w:tcPr>
          <w:p w14:paraId="450B2FB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 xml:space="preserve"> Positively charged ion</w:t>
            </w:r>
          </w:p>
        </w:tc>
      </w:tr>
      <w:tr w:rsidR="004F4DCB" w:rsidRPr="00D93FF9" w14:paraId="224CDD2B" w14:textId="77777777" w:rsidTr="001C400D">
        <w:trPr>
          <w:trHeight w:val="288"/>
        </w:trPr>
        <w:tc>
          <w:tcPr>
            <w:tcW w:w="2830" w:type="dxa"/>
            <w:noWrap/>
            <w:hideMark/>
          </w:tcPr>
          <w:p w14:paraId="64BA17E5"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Cation exchange capacity (CEC)</w:t>
            </w:r>
          </w:p>
        </w:tc>
        <w:tc>
          <w:tcPr>
            <w:tcW w:w="6186" w:type="dxa"/>
            <w:noWrap/>
            <w:hideMark/>
          </w:tcPr>
          <w:p w14:paraId="5233A4FA"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measure of a soil's ability to retain cations</w:t>
            </w:r>
          </w:p>
        </w:tc>
      </w:tr>
      <w:tr w:rsidR="004F4DCB" w:rsidRPr="00D93FF9" w14:paraId="2DCD66B3" w14:textId="77777777" w:rsidTr="001C400D">
        <w:trPr>
          <w:trHeight w:val="288"/>
        </w:trPr>
        <w:tc>
          <w:tcPr>
            <w:tcW w:w="2830" w:type="dxa"/>
            <w:noWrap/>
            <w:hideMark/>
          </w:tcPr>
          <w:p w14:paraId="79CD85F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Cationic</w:t>
            </w:r>
          </w:p>
        </w:tc>
        <w:tc>
          <w:tcPr>
            <w:tcW w:w="6186" w:type="dxa"/>
            <w:noWrap/>
            <w:hideMark/>
          </w:tcPr>
          <w:p w14:paraId="5C9A7D7F"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characteristic behaviour or property of an ion with a positive charge. Cations move to the cathode in electrolysis.</w:t>
            </w:r>
          </w:p>
        </w:tc>
      </w:tr>
      <w:tr w:rsidR="004F4DCB" w:rsidRPr="00D93FF9" w14:paraId="661CED81" w14:textId="77777777" w:rsidTr="001C400D">
        <w:trPr>
          <w:trHeight w:val="288"/>
        </w:trPr>
        <w:tc>
          <w:tcPr>
            <w:tcW w:w="2830" w:type="dxa"/>
            <w:noWrap/>
            <w:hideMark/>
          </w:tcPr>
          <w:p w14:paraId="3BE9BAA4"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Chronic</w:t>
            </w:r>
          </w:p>
        </w:tc>
        <w:tc>
          <w:tcPr>
            <w:tcW w:w="6186" w:type="dxa"/>
            <w:noWrap/>
            <w:hideMark/>
          </w:tcPr>
          <w:p w14:paraId="10AA08B6"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Lingering or continuing for a long time; often for periods from several weeks to years. Can be used to define either the exposure of an aquatic species or its response to an exposure (effect). Chronic exposure typically includes a biological response of relatively slow progress and long continuance, often affecting a life stage.</w:t>
            </w:r>
          </w:p>
        </w:tc>
      </w:tr>
      <w:tr w:rsidR="004F4DCB" w:rsidRPr="00D93FF9" w14:paraId="01AA33D0" w14:textId="77777777" w:rsidTr="001C400D">
        <w:trPr>
          <w:trHeight w:val="288"/>
        </w:trPr>
        <w:tc>
          <w:tcPr>
            <w:tcW w:w="2830" w:type="dxa"/>
            <w:noWrap/>
            <w:hideMark/>
          </w:tcPr>
          <w:p w14:paraId="7ED06153"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Colloid</w:t>
            </w:r>
          </w:p>
        </w:tc>
        <w:tc>
          <w:tcPr>
            <w:tcW w:w="6186" w:type="dxa"/>
            <w:noWrap/>
            <w:hideMark/>
          </w:tcPr>
          <w:p w14:paraId="1B32A9D6"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Material in solution typically 1 nm-100 nm in diameter. Colloidal particles do not settle out of solution through the force of gravity. Organic colloidal matter is considered especially important in the transport of inorganic substances such as P through the soil profile.</w:t>
            </w:r>
          </w:p>
        </w:tc>
      </w:tr>
      <w:tr w:rsidR="004F4DCB" w:rsidRPr="00D93FF9" w14:paraId="61CBF443" w14:textId="77777777" w:rsidTr="001C400D">
        <w:trPr>
          <w:trHeight w:val="288"/>
        </w:trPr>
        <w:tc>
          <w:tcPr>
            <w:tcW w:w="2830" w:type="dxa"/>
            <w:noWrap/>
            <w:hideMark/>
          </w:tcPr>
          <w:p w14:paraId="79926775"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Contaminant</w:t>
            </w:r>
          </w:p>
        </w:tc>
        <w:tc>
          <w:tcPr>
            <w:tcW w:w="6186" w:type="dxa"/>
            <w:noWrap/>
            <w:hideMark/>
          </w:tcPr>
          <w:p w14:paraId="0097FCDA"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Biological (e.g. bacterial and viral pathogens) and chemical (see Toxicants) introductions capable of producing an adverse response (effect) in a biological system, seriously injuring structure or function or producing death</w:t>
            </w:r>
          </w:p>
        </w:tc>
      </w:tr>
      <w:tr w:rsidR="004F4DCB" w:rsidRPr="00D93FF9" w14:paraId="32231721" w14:textId="77777777" w:rsidTr="001C400D">
        <w:trPr>
          <w:trHeight w:val="288"/>
        </w:trPr>
        <w:tc>
          <w:tcPr>
            <w:tcW w:w="2830" w:type="dxa"/>
            <w:noWrap/>
            <w:hideMark/>
          </w:tcPr>
          <w:p w14:paraId="6866899A"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Corrosion</w:t>
            </w:r>
          </w:p>
        </w:tc>
        <w:tc>
          <w:tcPr>
            <w:tcW w:w="6186" w:type="dxa"/>
            <w:noWrap/>
            <w:hideMark/>
          </w:tcPr>
          <w:p w14:paraId="40B9C764"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 xml:space="preserve"> Deterioration of surfaces through erosion processes such as the conversion of metals to oxides and carbonates</w:t>
            </w:r>
          </w:p>
        </w:tc>
      </w:tr>
      <w:tr w:rsidR="004F4DCB" w:rsidRPr="00D93FF9" w14:paraId="63457E44" w14:textId="77777777" w:rsidTr="001C400D">
        <w:trPr>
          <w:trHeight w:val="288"/>
        </w:trPr>
        <w:tc>
          <w:tcPr>
            <w:tcW w:w="2830" w:type="dxa"/>
            <w:noWrap/>
            <w:hideMark/>
          </w:tcPr>
          <w:p w14:paraId="073B11A0"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Crop quality</w:t>
            </w:r>
          </w:p>
        </w:tc>
        <w:tc>
          <w:tcPr>
            <w:tcW w:w="6186" w:type="dxa"/>
            <w:noWrap/>
            <w:hideMark/>
          </w:tcPr>
          <w:p w14:paraId="001FE94A"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With regard to inorganic contaminants, increased concentration of contaminant in plant tissue that while not phytotoxic, reduces the economic value of the crop due to increased residues</w:t>
            </w:r>
          </w:p>
        </w:tc>
      </w:tr>
      <w:tr w:rsidR="004F4DCB" w:rsidRPr="00D93FF9" w14:paraId="30D687EB" w14:textId="77777777" w:rsidTr="001C400D">
        <w:trPr>
          <w:trHeight w:val="288"/>
        </w:trPr>
        <w:tc>
          <w:tcPr>
            <w:tcW w:w="2830" w:type="dxa"/>
            <w:noWrap/>
            <w:hideMark/>
          </w:tcPr>
          <w:p w14:paraId="7C09F45B"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Cumulative</w:t>
            </w:r>
          </w:p>
        </w:tc>
        <w:tc>
          <w:tcPr>
            <w:tcW w:w="6186" w:type="dxa"/>
            <w:noWrap/>
            <w:hideMark/>
          </w:tcPr>
          <w:p w14:paraId="24F046BD"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Resulting from successive additions at different times or in different ways</w:t>
            </w:r>
          </w:p>
        </w:tc>
      </w:tr>
      <w:tr w:rsidR="004F4DCB" w:rsidRPr="00D93FF9" w14:paraId="18A48DD1" w14:textId="77777777" w:rsidTr="001C400D">
        <w:trPr>
          <w:trHeight w:val="288"/>
        </w:trPr>
        <w:tc>
          <w:tcPr>
            <w:tcW w:w="2830" w:type="dxa"/>
            <w:noWrap/>
            <w:hideMark/>
          </w:tcPr>
          <w:p w14:paraId="3129123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Cyanobacteria</w:t>
            </w:r>
          </w:p>
        </w:tc>
        <w:tc>
          <w:tcPr>
            <w:tcW w:w="6186" w:type="dxa"/>
            <w:noWrap/>
            <w:hideMark/>
          </w:tcPr>
          <w:p w14:paraId="0FADC67E" w14:textId="5BBC7C09" w:rsidR="0068042F"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division of photosynthetic bacteria, formerly known as blue- green algae, that can produce strong toxins</w:t>
            </w:r>
          </w:p>
        </w:tc>
      </w:tr>
      <w:tr w:rsidR="0068042F" w:rsidRPr="00D93FF9" w14:paraId="4D335A5B" w14:textId="77777777" w:rsidTr="001C400D">
        <w:trPr>
          <w:trHeight w:val="288"/>
        </w:trPr>
        <w:tc>
          <w:tcPr>
            <w:tcW w:w="2830" w:type="dxa"/>
            <w:noWrap/>
          </w:tcPr>
          <w:p w14:paraId="242B7FFE" w14:textId="02F65BE1" w:rsidR="0068042F" w:rsidRPr="00D93FF9" w:rsidRDefault="0068042F" w:rsidP="00207A4C">
            <w:pPr>
              <w:rPr>
                <w:rFonts w:cstheme="minorHAnsi"/>
                <w:b/>
                <w:bCs/>
                <w:color w:val="000000"/>
              </w:rPr>
            </w:pPr>
            <w:r w:rsidRPr="00D93FF9">
              <w:rPr>
                <w:rFonts w:ascii="Calibri" w:hAnsi="Calibri" w:cs="Calibri"/>
                <w:b/>
                <w:sz w:val="22"/>
                <w:szCs w:val="22"/>
                <w:lang w:val="en-GB"/>
              </w:rPr>
              <w:t>DGV or Default Guideline Value</w:t>
            </w:r>
          </w:p>
        </w:tc>
        <w:tc>
          <w:tcPr>
            <w:tcW w:w="6186" w:type="dxa"/>
            <w:noWrap/>
          </w:tcPr>
          <w:p w14:paraId="33D9FFB4" w14:textId="78D3F124" w:rsidR="0068042F" w:rsidRPr="00D93FF9" w:rsidRDefault="0068042F" w:rsidP="00207A4C">
            <w:pPr>
              <w:rPr>
                <w:rFonts w:asciiTheme="minorHAnsi" w:hAnsiTheme="minorHAnsi" w:cstheme="minorHAnsi"/>
                <w:color w:val="000000"/>
                <w:sz w:val="22"/>
                <w:szCs w:val="22"/>
              </w:rPr>
            </w:pPr>
            <w:r w:rsidRPr="00D93FF9">
              <w:rPr>
                <w:rFonts w:asciiTheme="minorHAnsi" w:hAnsiTheme="minorHAnsi" w:cstheme="minorHAnsi"/>
                <w:sz w:val="22"/>
                <w:szCs w:val="22"/>
                <w:lang w:val="en-GB"/>
              </w:rPr>
              <w:t xml:space="preserve">The DGV is the </w:t>
            </w:r>
            <w:r w:rsidRPr="00D93FF9">
              <w:rPr>
                <w:rFonts w:asciiTheme="minorHAnsi" w:hAnsiTheme="minorHAnsi" w:cstheme="minorHAnsi"/>
                <w:spacing w:val="-4"/>
                <w:sz w:val="22"/>
                <w:szCs w:val="22"/>
                <w:lang w:val="en-GB"/>
              </w:rPr>
              <w:t xml:space="preserve">maximum </w:t>
            </w:r>
            <w:r w:rsidRPr="00D93FF9">
              <w:rPr>
                <w:rFonts w:asciiTheme="minorHAnsi" w:hAnsiTheme="minorHAnsi" w:cstheme="minorHAnsi"/>
                <w:sz w:val="22"/>
                <w:szCs w:val="22"/>
                <w:lang w:val="en-GB"/>
              </w:rPr>
              <w:t xml:space="preserve">concentration </w:t>
            </w:r>
            <w:r w:rsidRPr="00D93FF9">
              <w:rPr>
                <w:rFonts w:asciiTheme="minorHAnsi" w:hAnsiTheme="minorHAnsi" w:cstheme="minorHAnsi"/>
                <w:spacing w:val="-4"/>
                <w:sz w:val="22"/>
                <w:szCs w:val="22"/>
                <w:lang w:val="en-GB"/>
              </w:rPr>
              <w:t xml:space="preserve">(mg/L) </w:t>
            </w:r>
            <w:r w:rsidRPr="00D93FF9">
              <w:rPr>
                <w:rFonts w:asciiTheme="minorHAnsi" w:hAnsiTheme="minorHAnsi" w:cstheme="minorHAnsi"/>
                <w:sz w:val="22"/>
                <w:szCs w:val="22"/>
                <w:lang w:val="en-GB"/>
              </w:rPr>
              <w:t xml:space="preserve">of contaminant in the irrigation water which can be tolerated to protect the receptors identified in the scope of the guidelines, assuming 100 years of irrigation, based on the irrigation loading assumptions </w:t>
            </w:r>
            <w:r w:rsidRPr="00D93FF9">
              <w:rPr>
                <w:rStyle w:val="BodyTextChar"/>
                <w:rFonts w:ascii="Calibri" w:hAnsi="Calibri" w:cs="Calibri"/>
                <w:sz w:val="22"/>
                <w:szCs w:val="22"/>
              </w:rPr>
              <w:t>previously in this document</w:t>
            </w:r>
            <w:r w:rsidRPr="00D93FF9">
              <w:rPr>
                <w:rFonts w:asciiTheme="minorHAnsi" w:hAnsiTheme="minorHAnsi" w:cstheme="minorHAnsi"/>
                <w:sz w:val="22"/>
                <w:szCs w:val="22"/>
                <w:lang w:val="en-GB"/>
              </w:rPr>
              <w:t xml:space="preserve"> and should be used in conjunction with the ACL as a trigger for further investigation</w:t>
            </w:r>
          </w:p>
        </w:tc>
      </w:tr>
      <w:tr w:rsidR="004F4DCB" w:rsidRPr="00D93FF9" w14:paraId="56B5F897" w14:textId="77777777" w:rsidTr="001C400D">
        <w:trPr>
          <w:trHeight w:val="288"/>
        </w:trPr>
        <w:tc>
          <w:tcPr>
            <w:tcW w:w="2830" w:type="dxa"/>
            <w:noWrap/>
            <w:hideMark/>
          </w:tcPr>
          <w:p w14:paraId="7BE14DA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Divalent</w:t>
            </w:r>
          </w:p>
        </w:tc>
        <w:tc>
          <w:tcPr>
            <w:tcW w:w="6186" w:type="dxa"/>
            <w:noWrap/>
            <w:hideMark/>
          </w:tcPr>
          <w:p w14:paraId="0D6E2CB6"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Having a valence (combining power at atomic level) of two (e.g. calcium, Ca2+)</w:t>
            </w:r>
          </w:p>
        </w:tc>
      </w:tr>
      <w:tr w:rsidR="004F4DCB" w:rsidRPr="00D93FF9" w14:paraId="3FCE4FAE" w14:textId="77777777" w:rsidTr="001C400D">
        <w:trPr>
          <w:trHeight w:val="288"/>
        </w:trPr>
        <w:tc>
          <w:tcPr>
            <w:tcW w:w="2830" w:type="dxa"/>
            <w:noWrap/>
            <w:hideMark/>
          </w:tcPr>
          <w:p w14:paraId="1E0E94B8"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Dose</w:t>
            </w:r>
          </w:p>
        </w:tc>
        <w:tc>
          <w:tcPr>
            <w:tcW w:w="6186" w:type="dxa"/>
            <w:noWrap/>
            <w:hideMark/>
          </w:tcPr>
          <w:p w14:paraId="306C24D8"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quantifiable amount of a material introduced into an animal</w:t>
            </w:r>
          </w:p>
        </w:tc>
      </w:tr>
      <w:tr w:rsidR="004F4DCB" w:rsidRPr="00D93FF9" w14:paraId="6E598A44" w14:textId="77777777" w:rsidTr="001C400D">
        <w:trPr>
          <w:trHeight w:val="288"/>
        </w:trPr>
        <w:tc>
          <w:tcPr>
            <w:tcW w:w="2830" w:type="dxa"/>
            <w:noWrap/>
            <w:hideMark/>
          </w:tcPr>
          <w:p w14:paraId="68D39E8D"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Early detection</w:t>
            </w:r>
          </w:p>
        </w:tc>
        <w:tc>
          <w:tcPr>
            <w:tcW w:w="6186" w:type="dxa"/>
            <w:noWrap/>
            <w:hideMark/>
          </w:tcPr>
          <w:p w14:paraId="197666FC"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Measurable biological, physical or chemical response in relation to a particular stress, prior to significant adverse effects occurring on the system of interest.</w:t>
            </w:r>
          </w:p>
        </w:tc>
      </w:tr>
      <w:tr w:rsidR="004F4DCB" w:rsidRPr="00D93FF9" w14:paraId="40A972FC" w14:textId="77777777" w:rsidTr="001C400D">
        <w:trPr>
          <w:trHeight w:val="288"/>
        </w:trPr>
        <w:tc>
          <w:tcPr>
            <w:tcW w:w="2830" w:type="dxa"/>
            <w:noWrap/>
            <w:hideMark/>
          </w:tcPr>
          <w:p w14:paraId="7C1A3FC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ECse</w:t>
            </w:r>
          </w:p>
        </w:tc>
        <w:tc>
          <w:tcPr>
            <w:tcW w:w="6186" w:type="dxa"/>
            <w:noWrap/>
            <w:hideMark/>
          </w:tcPr>
          <w:p w14:paraId="160E60EF"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electrical conductivity of the soil saturation extract</w:t>
            </w:r>
          </w:p>
        </w:tc>
      </w:tr>
      <w:tr w:rsidR="004F4DCB" w:rsidRPr="00D93FF9" w14:paraId="3DBCC0D9" w14:textId="77777777" w:rsidTr="001C400D">
        <w:trPr>
          <w:trHeight w:val="288"/>
        </w:trPr>
        <w:tc>
          <w:tcPr>
            <w:tcW w:w="2830" w:type="dxa"/>
            <w:noWrap/>
            <w:hideMark/>
          </w:tcPr>
          <w:p w14:paraId="3FAD164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ECs</w:t>
            </w:r>
          </w:p>
        </w:tc>
        <w:tc>
          <w:tcPr>
            <w:tcW w:w="6186" w:type="dxa"/>
            <w:noWrap/>
            <w:hideMark/>
          </w:tcPr>
          <w:p w14:paraId="6E3D38E6"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electrical conductivity of the soil solution at maximum field water content</w:t>
            </w:r>
          </w:p>
        </w:tc>
      </w:tr>
      <w:tr w:rsidR="004F4DCB" w:rsidRPr="00D93FF9" w14:paraId="51C0820A" w14:textId="77777777" w:rsidTr="001C400D">
        <w:trPr>
          <w:trHeight w:val="288"/>
        </w:trPr>
        <w:tc>
          <w:tcPr>
            <w:tcW w:w="2830" w:type="dxa"/>
            <w:noWrap/>
            <w:hideMark/>
          </w:tcPr>
          <w:p w14:paraId="0D3F10E3"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EC1:5</w:t>
            </w:r>
          </w:p>
        </w:tc>
        <w:tc>
          <w:tcPr>
            <w:tcW w:w="6186" w:type="dxa"/>
            <w:noWrap/>
            <w:hideMark/>
          </w:tcPr>
          <w:p w14:paraId="477795F4"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electrical conductivity of a 1:5 soil:water extract</w:t>
            </w:r>
          </w:p>
        </w:tc>
      </w:tr>
      <w:tr w:rsidR="004F4DCB" w:rsidRPr="00D93FF9" w14:paraId="76B99373" w14:textId="77777777" w:rsidTr="001C400D">
        <w:trPr>
          <w:trHeight w:val="288"/>
        </w:trPr>
        <w:tc>
          <w:tcPr>
            <w:tcW w:w="2830" w:type="dxa"/>
            <w:noWrap/>
            <w:hideMark/>
          </w:tcPr>
          <w:p w14:paraId="61498FA6"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Effluent</w:t>
            </w:r>
          </w:p>
        </w:tc>
        <w:tc>
          <w:tcPr>
            <w:tcW w:w="6186" w:type="dxa"/>
            <w:noWrap/>
            <w:hideMark/>
          </w:tcPr>
          <w:p w14:paraId="5E18C139"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complex waste material (e.g. liquid industrial discharge or sewage) that may be discharged into the environment</w:t>
            </w:r>
          </w:p>
        </w:tc>
      </w:tr>
      <w:tr w:rsidR="004F4DCB" w:rsidRPr="00D93FF9" w14:paraId="7FA7E3AA" w14:textId="77777777" w:rsidTr="001C400D">
        <w:trPr>
          <w:trHeight w:val="288"/>
        </w:trPr>
        <w:tc>
          <w:tcPr>
            <w:tcW w:w="2830" w:type="dxa"/>
            <w:noWrap/>
            <w:hideMark/>
          </w:tcPr>
          <w:p w14:paraId="485AAA9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Electrical conductivity</w:t>
            </w:r>
          </w:p>
        </w:tc>
        <w:tc>
          <w:tcPr>
            <w:tcW w:w="6186" w:type="dxa"/>
            <w:noWrap/>
            <w:hideMark/>
          </w:tcPr>
          <w:p w14:paraId="59507BBD"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ability of water or soil solution to conduct an electric current</w:t>
            </w:r>
          </w:p>
        </w:tc>
      </w:tr>
      <w:tr w:rsidR="004F4DCB" w:rsidRPr="00D93FF9" w14:paraId="49F18B12" w14:textId="77777777" w:rsidTr="001C400D">
        <w:trPr>
          <w:trHeight w:val="288"/>
        </w:trPr>
        <w:tc>
          <w:tcPr>
            <w:tcW w:w="2830" w:type="dxa"/>
            <w:noWrap/>
            <w:hideMark/>
          </w:tcPr>
          <w:p w14:paraId="66D5E113"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Endemic, endemism</w:t>
            </w:r>
          </w:p>
        </w:tc>
        <w:tc>
          <w:tcPr>
            <w:tcW w:w="6186" w:type="dxa"/>
            <w:noWrap/>
            <w:hideMark/>
          </w:tcPr>
          <w:p w14:paraId="36287A88"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Confined in occurrence to a local region</w:t>
            </w:r>
          </w:p>
        </w:tc>
      </w:tr>
      <w:tr w:rsidR="004F4DCB" w:rsidRPr="00D93FF9" w14:paraId="7D861FF2" w14:textId="77777777" w:rsidTr="001C400D">
        <w:trPr>
          <w:trHeight w:val="288"/>
        </w:trPr>
        <w:tc>
          <w:tcPr>
            <w:tcW w:w="2830" w:type="dxa"/>
            <w:noWrap/>
            <w:hideMark/>
          </w:tcPr>
          <w:p w14:paraId="52711F4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ESP</w:t>
            </w:r>
          </w:p>
        </w:tc>
        <w:tc>
          <w:tcPr>
            <w:tcW w:w="6186" w:type="dxa"/>
            <w:noWrap/>
            <w:hideMark/>
          </w:tcPr>
          <w:p w14:paraId="58CAF782"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exchangeable sodium content of a soil expressed as a percentage of the cation exchange capacity</w:t>
            </w:r>
          </w:p>
        </w:tc>
      </w:tr>
      <w:tr w:rsidR="004F4DCB" w:rsidRPr="00D93FF9" w14:paraId="4B93FEA9" w14:textId="77777777" w:rsidTr="001C400D">
        <w:trPr>
          <w:trHeight w:val="288"/>
        </w:trPr>
        <w:tc>
          <w:tcPr>
            <w:tcW w:w="2830" w:type="dxa"/>
            <w:noWrap/>
            <w:hideMark/>
          </w:tcPr>
          <w:p w14:paraId="1D84926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Eutrophic</w:t>
            </w:r>
          </w:p>
        </w:tc>
        <w:tc>
          <w:tcPr>
            <w:tcW w:w="6186" w:type="dxa"/>
            <w:noWrap/>
            <w:hideMark/>
          </w:tcPr>
          <w:p w14:paraId="01F26832"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Abundant in nutrients and having high rates of productivity frequently resulting in oxygen depletion below the surface layer of a waterbody</w:t>
            </w:r>
          </w:p>
        </w:tc>
      </w:tr>
      <w:tr w:rsidR="004F4DCB" w:rsidRPr="00D93FF9" w14:paraId="3DB0B1B0" w14:textId="77777777" w:rsidTr="001C400D">
        <w:trPr>
          <w:trHeight w:val="288"/>
        </w:trPr>
        <w:tc>
          <w:tcPr>
            <w:tcW w:w="2830" w:type="dxa"/>
            <w:noWrap/>
            <w:hideMark/>
          </w:tcPr>
          <w:p w14:paraId="079D7197"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Eutrophication</w:t>
            </w:r>
          </w:p>
        </w:tc>
        <w:tc>
          <w:tcPr>
            <w:tcW w:w="6186" w:type="dxa"/>
            <w:noWrap/>
            <w:hideMark/>
          </w:tcPr>
          <w:p w14:paraId="3E1B7051"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Enrichment of waters with nutrients, primarily phosphorus, causing abundant aquatic plant growth and often leading to seasonal deficiencies in dissolved oxygen</w:t>
            </w:r>
          </w:p>
        </w:tc>
      </w:tr>
      <w:tr w:rsidR="004F4DCB" w:rsidRPr="00D93FF9" w14:paraId="53A039E4" w14:textId="77777777" w:rsidTr="001C400D">
        <w:trPr>
          <w:trHeight w:val="288"/>
        </w:trPr>
        <w:tc>
          <w:tcPr>
            <w:tcW w:w="2830" w:type="dxa"/>
            <w:noWrap/>
            <w:hideMark/>
          </w:tcPr>
          <w:p w14:paraId="3E9D73B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Evapotranspiration</w:t>
            </w:r>
          </w:p>
        </w:tc>
        <w:tc>
          <w:tcPr>
            <w:tcW w:w="6186" w:type="dxa"/>
            <w:noWrap/>
            <w:hideMark/>
          </w:tcPr>
          <w:p w14:paraId="396E32D0"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combined loss of water from a given area during a specified period of time by evaporation from the soil or water surface and by transpiration from plants</w:t>
            </w:r>
          </w:p>
        </w:tc>
      </w:tr>
      <w:tr w:rsidR="004F4DCB" w:rsidRPr="00D93FF9" w14:paraId="50F77D00" w14:textId="77777777" w:rsidTr="001C400D">
        <w:trPr>
          <w:trHeight w:val="288"/>
        </w:trPr>
        <w:tc>
          <w:tcPr>
            <w:tcW w:w="2830" w:type="dxa"/>
            <w:noWrap/>
            <w:hideMark/>
          </w:tcPr>
          <w:p w14:paraId="44D9C1F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Exchangeable sodium percentage (ESP)</w:t>
            </w:r>
          </w:p>
        </w:tc>
        <w:tc>
          <w:tcPr>
            <w:tcW w:w="6186" w:type="dxa"/>
            <w:noWrap/>
            <w:hideMark/>
          </w:tcPr>
          <w:p w14:paraId="70F3B86F"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sodium adsorbed onto clay mineral surfaces as a proportion of the total cation exchange capacity of those surfaces</w:t>
            </w:r>
          </w:p>
        </w:tc>
      </w:tr>
      <w:tr w:rsidR="004F4DCB" w:rsidRPr="00D93FF9" w14:paraId="00D76EEF" w14:textId="77777777" w:rsidTr="001C400D">
        <w:trPr>
          <w:trHeight w:val="288"/>
        </w:trPr>
        <w:tc>
          <w:tcPr>
            <w:tcW w:w="2830" w:type="dxa"/>
            <w:noWrap/>
            <w:hideMark/>
          </w:tcPr>
          <w:p w14:paraId="41833A73"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Exposure</w:t>
            </w:r>
          </w:p>
        </w:tc>
        <w:tc>
          <w:tcPr>
            <w:tcW w:w="6186" w:type="dxa"/>
            <w:noWrap/>
            <w:hideMark/>
          </w:tcPr>
          <w:p w14:paraId="6266124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amount of physical or chemical agent that reaches a target or receptor</w:t>
            </w:r>
          </w:p>
        </w:tc>
      </w:tr>
      <w:tr w:rsidR="004F4DCB" w:rsidRPr="00D93FF9" w14:paraId="415B7FFE" w14:textId="77777777" w:rsidTr="001C400D">
        <w:trPr>
          <w:trHeight w:val="288"/>
        </w:trPr>
        <w:tc>
          <w:tcPr>
            <w:tcW w:w="2830" w:type="dxa"/>
            <w:noWrap/>
            <w:hideMark/>
          </w:tcPr>
          <w:p w14:paraId="63C76B16"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Fate</w:t>
            </w:r>
          </w:p>
        </w:tc>
        <w:tc>
          <w:tcPr>
            <w:tcW w:w="6186" w:type="dxa"/>
            <w:noWrap/>
            <w:hideMark/>
          </w:tcPr>
          <w:p w14:paraId="746427E5"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Disposition of a material in various environmental compartments (e.g. soil or sediment, water, air, biota) as a result of transport, transformation and degradation</w:t>
            </w:r>
          </w:p>
        </w:tc>
      </w:tr>
      <w:tr w:rsidR="004F4DCB" w:rsidRPr="00D93FF9" w14:paraId="65FA0558" w14:textId="77777777" w:rsidTr="001C400D">
        <w:trPr>
          <w:trHeight w:val="288"/>
        </w:trPr>
        <w:tc>
          <w:tcPr>
            <w:tcW w:w="2830" w:type="dxa"/>
            <w:noWrap/>
            <w:hideMark/>
          </w:tcPr>
          <w:p w14:paraId="6E49FA3A"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Field capacity</w:t>
            </w:r>
          </w:p>
        </w:tc>
        <w:tc>
          <w:tcPr>
            <w:tcW w:w="6186" w:type="dxa"/>
            <w:noWrap/>
            <w:hideMark/>
          </w:tcPr>
          <w:p w14:paraId="271183CD"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greatest amount of water that it is possible for a soil to hold in its pore spaces after excess water has drained away</w:t>
            </w:r>
          </w:p>
        </w:tc>
      </w:tr>
      <w:tr w:rsidR="004F4DCB" w:rsidRPr="00D93FF9" w14:paraId="623028D5" w14:textId="77777777" w:rsidTr="001C400D">
        <w:trPr>
          <w:trHeight w:val="288"/>
        </w:trPr>
        <w:tc>
          <w:tcPr>
            <w:tcW w:w="2830" w:type="dxa"/>
            <w:noWrap/>
            <w:hideMark/>
          </w:tcPr>
          <w:p w14:paraId="43ABF1D0"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Flocculation</w:t>
            </w:r>
          </w:p>
        </w:tc>
        <w:tc>
          <w:tcPr>
            <w:tcW w:w="6186" w:type="dxa"/>
            <w:noWrap/>
            <w:hideMark/>
          </w:tcPr>
          <w:p w14:paraId="3668812B"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(1) The process by which suspended colloidal or very fine particles coalesce and agglomerate into well-defined hydrated floccules of sufficient size to settle rapidly</w:t>
            </w:r>
          </w:p>
        </w:tc>
      </w:tr>
      <w:tr w:rsidR="004F4DCB" w:rsidRPr="00D93FF9" w14:paraId="5279C711" w14:textId="77777777" w:rsidTr="001C400D">
        <w:trPr>
          <w:trHeight w:val="288"/>
        </w:trPr>
        <w:tc>
          <w:tcPr>
            <w:tcW w:w="2830" w:type="dxa"/>
            <w:noWrap/>
            <w:hideMark/>
          </w:tcPr>
          <w:p w14:paraId="6C9B67E4" w14:textId="77777777" w:rsidR="004F4DCB" w:rsidRPr="00D93FF9" w:rsidRDefault="004F4DCB" w:rsidP="00207A4C">
            <w:pPr>
              <w:rPr>
                <w:rFonts w:asciiTheme="minorHAnsi" w:hAnsiTheme="minorHAnsi" w:cstheme="minorHAnsi"/>
                <w:b/>
                <w:bCs/>
                <w:color w:val="000000"/>
                <w:sz w:val="22"/>
                <w:szCs w:val="22"/>
              </w:rPr>
            </w:pPr>
          </w:p>
        </w:tc>
        <w:tc>
          <w:tcPr>
            <w:tcW w:w="6186" w:type="dxa"/>
            <w:noWrap/>
            <w:hideMark/>
          </w:tcPr>
          <w:p w14:paraId="20ED80FA"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(2) The stirring of water after coagulant chemicals have been added to promote the formation of particles that will settle</w:t>
            </w:r>
          </w:p>
        </w:tc>
      </w:tr>
      <w:tr w:rsidR="004F4DCB" w:rsidRPr="00D93FF9" w14:paraId="5EB53CF2" w14:textId="77777777" w:rsidTr="001C400D">
        <w:trPr>
          <w:trHeight w:val="288"/>
        </w:trPr>
        <w:tc>
          <w:tcPr>
            <w:tcW w:w="2830" w:type="dxa"/>
            <w:noWrap/>
            <w:hideMark/>
          </w:tcPr>
          <w:p w14:paraId="24D6C59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Fluorosis</w:t>
            </w:r>
          </w:p>
        </w:tc>
        <w:tc>
          <w:tcPr>
            <w:tcW w:w="6186" w:type="dxa"/>
            <w:noWrap/>
            <w:hideMark/>
          </w:tcPr>
          <w:p w14:paraId="5E68348F"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Chronic poisoning by fluorine</w:t>
            </w:r>
          </w:p>
        </w:tc>
      </w:tr>
      <w:tr w:rsidR="004F4DCB" w:rsidRPr="00D93FF9" w14:paraId="3CAEA4FB" w14:textId="77777777" w:rsidTr="001C400D">
        <w:trPr>
          <w:trHeight w:val="288"/>
        </w:trPr>
        <w:tc>
          <w:tcPr>
            <w:tcW w:w="2830" w:type="dxa"/>
            <w:noWrap/>
            <w:hideMark/>
          </w:tcPr>
          <w:p w14:paraId="69EFF870"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Fouling</w:t>
            </w:r>
          </w:p>
        </w:tc>
        <w:tc>
          <w:tcPr>
            <w:tcW w:w="6186" w:type="dxa"/>
            <w:noWrap/>
            <w:hideMark/>
          </w:tcPr>
          <w:p w14:paraId="361AC970"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Accumulation of material through chemical, physical or biological processes</w:t>
            </w:r>
          </w:p>
        </w:tc>
      </w:tr>
      <w:tr w:rsidR="004F4DCB" w:rsidRPr="00D93FF9" w14:paraId="709A5257" w14:textId="77777777" w:rsidTr="001C400D">
        <w:trPr>
          <w:trHeight w:val="288"/>
        </w:trPr>
        <w:tc>
          <w:tcPr>
            <w:tcW w:w="2830" w:type="dxa"/>
            <w:noWrap/>
            <w:hideMark/>
          </w:tcPr>
          <w:p w14:paraId="12FBFC1D"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Free carbon dioxide</w:t>
            </w:r>
          </w:p>
        </w:tc>
        <w:tc>
          <w:tcPr>
            <w:tcW w:w="6186" w:type="dxa"/>
            <w:noWrap/>
            <w:hideMark/>
          </w:tcPr>
          <w:p w14:paraId="6803B096"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amount of dissolved carbon dioxide in excess of that required to stabilise the bicarbonate ion present in water</w:t>
            </w:r>
          </w:p>
        </w:tc>
      </w:tr>
      <w:tr w:rsidR="004F4DCB" w:rsidRPr="00D93FF9" w14:paraId="45636F20" w14:textId="77777777" w:rsidTr="001C400D">
        <w:trPr>
          <w:trHeight w:val="288"/>
        </w:trPr>
        <w:tc>
          <w:tcPr>
            <w:tcW w:w="2830" w:type="dxa"/>
            <w:noWrap/>
            <w:hideMark/>
          </w:tcPr>
          <w:p w14:paraId="6B55CA5D"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Gross alpha (activity)</w:t>
            </w:r>
          </w:p>
        </w:tc>
        <w:tc>
          <w:tcPr>
            <w:tcW w:w="6186" w:type="dxa"/>
            <w:noWrap/>
            <w:hideMark/>
          </w:tcPr>
          <w:p w14:paraId="55414E3D"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measure of the concentration of alpha-particle emitting radionuclides in water. This is determined by standard techniques involving the evaporation of a water sample and measurement of the alpha activity of the residue.</w:t>
            </w:r>
          </w:p>
        </w:tc>
      </w:tr>
      <w:tr w:rsidR="004F4DCB" w:rsidRPr="00D93FF9" w14:paraId="30A74901" w14:textId="77777777" w:rsidTr="001C400D">
        <w:trPr>
          <w:trHeight w:val="288"/>
        </w:trPr>
        <w:tc>
          <w:tcPr>
            <w:tcW w:w="2830" w:type="dxa"/>
            <w:noWrap/>
            <w:hideMark/>
          </w:tcPr>
          <w:p w14:paraId="12AAE6D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Gross beta (activity)</w:t>
            </w:r>
          </w:p>
        </w:tc>
        <w:tc>
          <w:tcPr>
            <w:tcW w:w="6186" w:type="dxa"/>
            <w:noWrap/>
            <w:hideMark/>
          </w:tcPr>
          <w:p w14:paraId="41673D4B"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measure of the concentration of beta-particle emitting radionuclides in water. This is determined by standard techniques involving the evaporation of a water sample and measurement of the beta activity of the residue.</w:t>
            </w:r>
          </w:p>
        </w:tc>
      </w:tr>
      <w:tr w:rsidR="004F4DCB" w:rsidRPr="00D93FF9" w14:paraId="561DF428" w14:textId="77777777" w:rsidTr="001C400D">
        <w:trPr>
          <w:trHeight w:val="288"/>
        </w:trPr>
        <w:tc>
          <w:tcPr>
            <w:tcW w:w="2830" w:type="dxa"/>
            <w:noWrap/>
            <w:hideMark/>
          </w:tcPr>
          <w:p w14:paraId="1CA86E47"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Groundwater</w:t>
            </w:r>
          </w:p>
        </w:tc>
        <w:tc>
          <w:tcPr>
            <w:tcW w:w="6186" w:type="dxa"/>
            <w:noWrap/>
            <w:hideMark/>
          </w:tcPr>
          <w:p w14:paraId="049B5524"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Water stored underground in rock crevices and in the pores of geologic materials that make up the earth's crust; water that supplies springs and wells</w:t>
            </w:r>
          </w:p>
        </w:tc>
      </w:tr>
      <w:tr w:rsidR="004F4DCB" w:rsidRPr="00D93FF9" w14:paraId="5A4D7CC6" w14:textId="77777777" w:rsidTr="001C400D">
        <w:trPr>
          <w:trHeight w:val="288"/>
        </w:trPr>
        <w:tc>
          <w:tcPr>
            <w:tcW w:w="2830" w:type="dxa"/>
            <w:noWrap/>
            <w:hideMark/>
          </w:tcPr>
          <w:p w14:paraId="562C9791"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Guideline values</w:t>
            </w:r>
          </w:p>
        </w:tc>
        <w:tc>
          <w:tcPr>
            <w:tcW w:w="6186" w:type="dxa"/>
            <w:noWrap/>
            <w:hideMark/>
          </w:tcPr>
          <w:p w14:paraId="07BF8B3E"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These are the concentrations (or loads) of the key performance indicators measured for the ecosystem, below which there exists a low risk that adverse biological (ecological) effects will occur. They indicate a risk of impact if exceeded and should 'trigger' some action, either further ecosystem specific investigations or implementation of management/remedial actions.</w:t>
            </w:r>
          </w:p>
        </w:tc>
      </w:tr>
      <w:tr w:rsidR="004F4DCB" w:rsidRPr="00D93FF9" w14:paraId="2073BBFE" w14:textId="77777777" w:rsidTr="001C400D">
        <w:trPr>
          <w:trHeight w:val="288"/>
        </w:trPr>
        <w:tc>
          <w:tcPr>
            <w:tcW w:w="2830" w:type="dxa"/>
            <w:noWrap/>
            <w:hideMark/>
          </w:tcPr>
          <w:p w14:paraId="69B89B0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Guideline (water quality)</w:t>
            </w:r>
          </w:p>
        </w:tc>
        <w:tc>
          <w:tcPr>
            <w:tcW w:w="6186" w:type="dxa"/>
            <w:noWrap/>
            <w:hideMark/>
          </w:tcPr>
          <w:p w14:paraId="6A21743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Numerical concentration limit or narrative statement recommended to support and maintain a designated water use</w:t>
            </w:r>
          </w:p>
        </w:tc>
      </w:tr>
      <w:tr w:rsidR="004F4DCB" w:rsidRPr="00D93FF9" w14:paraId="72B5FCC8" w14:textId="77777777" w:rsidTr="001C400D">
        <w:trPr>
          <w:trHeight w:val="288"/>
        </w:trPr>
        <w:tc>
          <w:tcPr>
            <w:tcW w:w="2830" w:type="dxa"/>
            <w:noWrap/>
            <w:hideMark/>
          </w:tcPr>
          <w:p w14:paraId="12FFD598"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Habitat</w:t>
            </w:r>
          </w:p>
        </w:tc>
        <w:tc>
          <w:tcPr>
            <w:tcW w:w="6186" w:type="dxa"/>
            <w:noWrap/>
            <w:hideMark/>
          </w:tcPr>
          <w:p w14:paraId="7BB1E548"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place where a population (e.g. human, animal, plant, microorganism) lives and its surroundings, both living and non- living</w:t>
            </w:r>
          </w:p>
        </w:tc>
      </w:tr>
      <w:tr w:rsidR="004F4DCB" w:rsidRPr="00D93FF9" w14:paraId="5828ABE7" w14:textId="77777777" w:rsidTr="001C400D">
        <w:trPr>
          <w:trHeight w:val="288"/>
        </w:trPr>
        <w:tc>
          <w:tcPr>
            <w:tcW w:w="2830" w:type="dxa"/>
            <w:noWrap/>
            <w:hideMark/>
          </w:tcPr>
          <w:p w14:paraId="4AAF67C9"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Half-life</w:t>
            </w:r>
          </w:p>
        </w:tc>
        <w:tc>
          <w:tcPr>
            <w:tcW w:w="6186" w:type="dxa"/>
            <w:noWrap/>
            <w:hideMark/>
          </w:tcPr>
          <w:p w14:paraId="462D6FD9"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Time required to reduce by one-half the concentration of a material in a medium (e.g. soil or water) or organism (e.g. fish tissue) by transport, degradation, transformation or depuration</w:t>
            </w:r>
          </w:p>
        </w:tc>
      </w:tr>
      <w:tr w:rsidR="004F4DCB" w:rsidRPr="00D93FF9" w14:paraId="5C96F458" w14:textId="77777777" w:rsidTr="001C400D">
        <w:trPr>
          <w:trHeight w:val="288"/>
        </w:trPr>
        <w:tc>
          <w:tcPr>
            <w:tcW w:w="2830" w:type="dxa"/>
            <w:noWrap/>
            <w:hideMark/>
          </w:tcPr>
          <w:p w14:paraId="2B578F1E"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Hardness</w:t>
            </w:r>
          </w:p>
        </w:tc>
        <w:tc>
          <w:tcPr>
            <w:tcW w:w="6186" w:type="dxa"/>
            <w:noWrap/>
            <w:hideMark/>
          </w:tcPr>
          <w:p w14:paraId="591A2F57"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concentration of all metallic cations, except those of the alkali metals, present in water. In general, hardness is a measure of the concentration of calcium and magnesium ions in water and is frequently expressed as mg/L calcium carbonate equivalent.</w:t>
            </w:r>
          </w:p>
        </w:tc>
      </w:tr>
      <w:tr w:rsidR="004F4DCB" w:rsidRPr="00D93FF9" w14:paraId="31465627" w14:textId="77777777" w:rsidTr="001C400D">
        <w:trPr>
          <w:trHeight w:val="288"/>
        </w:trPr>
        <w:tc>
          <w:tcPr>
            <w:tcW w:w="2830" w:type="dxa"/>
            <w:noWrap/>
            <w:hideMark/>
          </w:tcPr>
          <w:p w14:paraId="2628C8B5"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Hazard</w:t>
            </w:r>
          </w:p>
        </w:tc>
        <w:tc>
          <w:tcPr>
            <w:tcW w:w="6186" w:type="dxa"/>
            <w:noWrap/>
            <w:hideMark/>
          </w:tcPr>
          <w:p w14:paraId="05A8A172"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potential or capacity of a known or potential environmental contaminant to cause adverse ecological effects</w:t>
            </w:r>
          </w:p>
        </w:tc>
      </w:tr>
      <w:tr w:rsidR="004F4DCB" w:rsidRPr="00D93FF9" w14:paraId="49C2B534" w14:textId="77777777" w:rsidTr="001C400D">
        <w:trPr>
          <w:trHeight w:val="288"/>
        </w:trPr>
        <w:tc>
          <w:tcPr>
            <w:tcW w:w="2830" w:type="dxa"/>
            <w:noWrap/>
            <w:hideMark/>
          </w:tcPr>
          <w:p w14:paraId="7263D16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Helminth</w:t>
            </w:r>
          </w:p>
        </w:tc>
        <w:tc>
          <w:tcPr>
            <w:tcW w:w="6186" w:type="dxa"/>
            <w:noWrap/>
            <w:hideMark/>
          </w:tcPr>
          <w:p w14:paraId="7A668329"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Helminths are worms; the helminths discussed in this document are human and animal parasites</w:t>
            </w:r>
          </w:p>
        </w:tc>
      </w:tr>
      <w:tr w:rsidR="004F4DCB" w:rsidRPr="00D93FF9" w14:paraId="5D630753" w14:textId="77777777" w:rsidTr="001C400D">
        <w:trPr>
          <w:trHeight w:val="288"/>
        </w:trPr>
        <w:tc>
          <w:tcPr>
            <w:tcW w:w="2830" w:type="dxa"/>
            <w:noWrap/>
            <w:hideMark/>
          </w:tcPr>
          <w:p w14:paraId="4DAE68BA"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Hepatotoxin</w:t>
            </w:r>
          </w:p>
        </w:tc>
        <w:tc>
          <w:tcPr>
            <w:tcW w:w="6186" w:type="dxa"/>
            <w:noWrap/>
            <w:hideMark/>
          </w:tcPr>
          <w:p w14:paraId="36F4836F"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Toxic substances which adversely affect the liver</w:t>
            </w:r>
          </w:p>
        </w:tc>
      </w:tr>
      <w:tr w:rsidR="004F4DCB" w:rsidRPr="00D93FF9" w14:paraId="4A99EB62" w14:textId="77777777" w:rsidTr="001C400D">
        <w:trPr>
          <w:trHeight w:val="288"/>
        </w:trPr>
        <w:tc>
          <w:tcPr>
            <w:tcW w:w="2830" w:type="dxa"/>
            <w:noWrap/>
            <w:hideMark/>
          </w:tcPr>
          <w:p w14:paraId="3B1CD85D"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Hydrogeology</w:t>
            </w:r>
          </w:p>
        </w:tc>
        <w:tc>
          <w:tcPr>
            <w:tcW w:w="6186" w:type="dxa"/>
            <w:noWrap/>
            <w:hideMark/>
          </w:tcPr>
          <w:p w14:paraId="5CA54020"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Study of subsurface waters and with related geologic aspects of surface water</w:t>
            </w:r>
          </w:p>
        </w:tc>
      </w:tr>
      <w:tr w:rsidR="004F4DCB" w:rsidRPr="00D93FF9" w14:paraId="40156EF1" w14:textId="77777777" w:rsidTr="001C400D">
        <w:trPr>
          <w:trHeight w:val="288"/>
        </w:trPr>
        <w:tc>
          <w:tcPr>
            <w:tcW w:w="2830" w:type="dxa"/>
            <w:noWrap/>
            <w:hideMark/>
          </w:tcPr>
          <w:p w14:paraId="0DE7EDB0"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Hydrolysis</w:t>
            </w:r>
          </w:p>
        </w:tc>
        <w:tc>
          <w:tcPr>
            <w:tcW w:w="6186" w:type="dxa"/>
            <w:noWrap/>
            <w:hideMark/>
          </w:tcPr>
          <w:p w14:paraId="15963FAC"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(1) The formation of an acid and a base from a salt by the ionic dissociation of water</w:t>
            </w:r>
          </w:p>
        </w:tc>
      </w:tr>
      <w:tr w:rsidR="004F4DCB" w:rsidRPr="00D93FF9" w14:paraId="05856D13" w14:textId="77777777" w:rsidTr="001C400D">
        <w:trPr>
          <w:trHeight w:val="288"/>
        </w:trPr>
        <w:tc>
          <w:tcPr>
            <w:tcW w:w="2830" w:type="dxa"/>
            <w:noWrap/>
            <w:hideMark/>
          </w:tcPr>
          <w:p w14:paraId="114DFC01" w14:textId="77777777" w:rsidR="004F4DCB" w:rsidRPr="00D93FF9" w:rsidRDefault="004F4DCB" w:rsidP="00207A4C">
            <w:pPr>
              <w:rPr>
                <w:rFonts w:asciiTheme="minorHAnsi" w:hAnsiTheme="minorHAnsi" w:cstheme="minorHAnsi"/>
                <w:b/>
                <w:bCs/>
                <w:color w:val="000000"/>
                <w:sz w:val="22"/>
                <w:szCs w:val="22"/>
              </w:rPr>
            </w:pPr>
          </w:p>
        </w:tc>
        <w:tc>
          <w:tcPr>
            <w:tcW w:w="6186" w:type="dxa"/>
            <w:noWrap/>
            <w:hideMark/>
          </w:tcPr>
          <w:p w14:paraId="77C96DC7"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(2)  The decomposition of organic compounds by interaction with water</w:t>
            </w:r>
          </w:p>
        </w:tc>
      </w:tr>
      <w:tr w:rsidR="004F4DCB" w:rsidRPr="00D93FF9" w14:paraId="00B32158" w14:textId="77777777" w:rsidTr="001C400D">
        <w:trPr>
          <w:trHeight w:val="288"/>
        </w:trPr>
        <w:tc>
          <w:tcPr>
            <w:tcW w:w="2830" w:type="dxa"/>
            <w:noWrap/>
            <w:hideMark/>
          </w:tcPr>
          <w:p w14:paraId="6AB61617"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Indicator</w:t>
            </w:r>
          </w:p>
        </w:tc>
        <w:tc>
          <w:tcPr>
            <w:tcW w:w="6186" w:type="dxa"/>
            <w:noWrap/>
            <w:hideMark/>
          </w:tcPr>
          <w:p w14:paraId="667A664A"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parameter that can be used to provide a measure of the quality of water or the condition of an ecosystem</w:t>
            </w:r>
          </w:p>
        </w:tc>
      </w:tr>
      <w:tr w:rsidR="004F4DCB" w:rsidRPr="00D93FF9" w14:paraId="42E08681" w14:textId="77777777" w:rsidTr="001C400D">
        <w:trPr>
          <w:trHeight w:val="288"/>
        </w:trPr>
        <w:tc>
          <w:tcPr>
            <w:tcW w:w="2830" w:type="dxa"/>
            <w:noWrap/>
            <w:hideMark/>
          </w:tcPr>
          <w:p w14:paraId="7312D521"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Ingestion</w:t>
            </w:r>
          </w:p>
        </w:tc>
        <w:tc>
          <w:tcPr>
            <w:tcW w:w="6186" w:type="dxa"/>
            <w:noWrap/>
            <w:hideMark/>
          </w:tcPr>
          <w:p w14:paraId="34873A9E"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swallowing or taking in of food material</w:t>
            </w:r>
          </w:p>
        </w:tc>
      </w:tr>
      <w:tr w:rsidR="004F4DCB" w:rsidRPr="00D93FF9" w14:paraId="0D088F1A" w14:textId="77777777" w:rsidTr="001C400D">
        <w:trPr>
          <w:trHeight w:val="288"/>
        </w:trPr>
        <w:tc>
          <w:tcPr>
            <w:tcW w:w="2830" w:type="dxa"/>
            <w:noWrap/>
            <w:hideMark/>
          </w:tcPr>
          <w:p w14:paraId="3A94EB2A"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In vitro</w:t>
            </w:r>
          </w:p>
        </w:tc>
        <w:tc>
          <w:tcPr>
            <w:tcW w:w="6186" w:type="dxa"/>
            <w:noWrap/>
            <w:hideMark/>
          </w:tcPr>
          <w:p w14:paraId="7E0E7E19"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Outside the intact organism; generally applied to experiments involving biochemical events occurring in tissue fragments or fractions in a laboratory</w:t>
            </w:r>
          </w:p>
        </w:tc>
      </w:tr>
      <w:tr w:rsidR="004F4DCB" w:rsidRPr="00D93FF9" w14:paraId="133DBC5F" w14:textId="77777777" w:rsidTr="001C400D">
        <w:trPr>
          <w:trHeight w:val="288"/>
        </w:trPr>
        <w:tc>
          <w:tcPr>
            <w:tcW w:w="2830" w:type="dxa"/>
            <w:noWrap/>
            <w:hideMark/>
          </w:tcPr>
          <w:p w14:paraId="1C66A267"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Ion</w:t>
            </w:r>
          </w:p>
        </w:tc>
        <w:tc>
          <w:tcPr>
            <w:tcW w:w="6186" w:type="dxa"/>
            <w:noWrap/>
            <w:hideMark/>
          </w:tcPr>
          <w:p w14:paraId="2871079C"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An electrically charged atom</w:t>
            </w:r>
          </w:p>
        </w:tc>
      </w:tr>
      <w:tr w:rsidR="004F4DCB" w:rsidRPr="00D93FF9" w14:paraId="554B366C" w14:textId="77777777" w:rsidTr="001C400D">
        <w:trPr>
          <w:trHeight w:val="288"/>
        </w:trPr>
        <w:tc>
          <w:tcPr>
            <w:tcW w:w="2830" w:type="dxa"/>
            <w:noWrap/>
            <w:hideMark/>
          </w:tcPr>
          <w:p w14:paraId="4270540A"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Langelier Saturation Index (SI)</w:t>
            </w:r>
          </w:p>
        </w:tc>
        <w:tc>
          <w:tcPr>
            <w:tcW w:w="6186" w:type="dxa"/>
            <w:noWrap/>
            <w:hideMark/>
          </w:tcPr>
          <w:p w14:paraId="6A54E111"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An index based on the tendency of water to deposit or dissolve calcium carbonate. It relates the actual pH of water with the pH at which water is saturated with calcium carbonate (SI = pH - pHs).</w:t>
            </w:r>
          </w:p>
        </w:tc>
      </w:tr>
      <w:tr w:rsidR="004F4DCB" w:rsidRPr="00D93FF9" w14:paraId="16812F33" w14:textId="77777777" w:rsidTr="001C400D">
        <w:trPr>
          <w:trHeight w:val="288"/>
        </w:trPr>
        <w:tc>
          <w:tcPr>
            <w:tcW w:w="2830" w:type="dxa"/>
            <w:noWrap/>
            <w:hideMark/>
          </w:tcPr>
          <w:p w14:paraId="4173A0A1"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Leachate</w:t>
            </w:r>
          </w:p>
        </w:tc>
        <w:tc>
          <w:tcPr>
            <w:tcW w:w="6186" w:type="dxa"/>
            <w:noWrap/>
            <w:hideMark/>
          </w:tcPr>
          <w:p w14:paraId="0BE620B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Water that has passed through a soil and that contains soluble material removed from that soil</w:t>
            </w:r>
          </w:p>
        </w:tc>
      </w:tr>
      <w:tr w:rsidR="004F4DCB" w:rsidRPr="00D93FF9" w14:paraId="73AF1BB6" w14:textId="77777777" w:rsidTr="001C400D">
        <w:trPr>
          <w:trHeight w:val="288"/>
        </w:trPr>
        <w:tc>
          <w:tcPr>
            <w:tcW w:w="2830" w:type="dxa"/>
            <w:noWrap/>
            <w:hideMark/>
          </w:tcPr>
          <w:p w14:paraId="74FC6588"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Leaching</w:t>
            </w:r>
          </w:p>
        </w:tc>
        <w:tc>
          <w:tcPr>
            <w:tcW w:w="6186" w:type="dxa"/>
            <w:noWrap/>
            <w:hideMark/>
          </w:tcPr>
          <w:p w14:paraId="11D0007B"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Where referred to in the salinity and sodicity section of Chapter 4, the downward movement of water and solutes below the root zone</w:t>
            </w:r>
          </w:p>
        </w:tc>
      </w:tr>
      <w:tr w:rsidR="004F4DCB" w:rsidRPr="00D93FF9" w14:paraId="6370FCF6" w14:textId="77777777" w:rsidTr="001C400D">
        <w:trPr>
          <w:trHeight w:val="288"/>
        </w:trPr>
        <w:tc>
          <w:tcPr>
            <w:tcW w:w="2830" w:type="dxa"/>
            <w:noWrap/>
            <w:hideMark/>
          </w:tcPr>
          <w:p w14:paraId="1FC71BB1"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Leaching fraction (LF)</w:t>
            </w:r>
          </w:p>
        </w:tc>
        <w:tc>
          <w:tcPr>
            <w:tcW w:w="6186" w:type="dxa"/>
            <w:noWrap/>
            <w:hideMark/>
          </w:tcPr>
          <w:p w14:paraId="347E1178"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proportion of water applied to the surface of a soil (e.g. as irrigation or rainfall) that drains below the root zone in the soil profile</w:t>
            </w:r>
          </w:p>
        </w:tc>
      </w:tr>
      <w:tr w:rsidR="004F4DCB" w:rsidRPr="00D93FF9" w14:paraId="560320F7" w14:textId="77777777" w:rsidTr="001C400D">
        <w:trPr>
          <w:trHeight w:val="288"/>
        </w:trPr>
        <w:tc>
          <w:tcPr>
            <w:tcW w:w="2830" w:type="dxa"/>
            <w:noWrap/>
            <w:hideMark/>
          </w:tcPr>
          <w:p w14:paraId="00A55771"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Life-cycle study</w:t>
            </w:r>
          </w:p>
        </w:tc>
        <w:tc>
          <w:tcPr>
            <w:tcW w:w="6186" w:type="dxa"/>
            <w:noWrap/>
            <w:hideMark/>
          </w:tcPr>
          <w:p w14:paraId="62183702"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chronic (or full chronic) study in which all the significant life stages of an organism are exposed to a test material. Generally, a life-cycle test involves an entire reproductive cycle of the organism. A partial life-cycle toxicity test includes the part of the life cycle observed to be especially sensitive to chemical exposure.</w:t>
            </w:r>
          </w:p>
        </w:tc>
      </w:tr>
      <w:tr w:rsidR="004F4DCB" w:rsidRPr="00D93FF9" w14:paraId="3AABF315" w14:textId="77777777" w:rsidTr="001C400D">
        <w:trPr>
          <w:trHeight w:val="288"/>
        </w:trPr>
        <w:tc>
          <w:tcPr>
            <w:tcW w:w="2830" w:type="dxa"/>
            <w:noWrap/>
            <w:hideMark/>
          </w:tcPr>
          <w:p w14:paraId="511495D8"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Ligand</w:t>
            </w:r>
          </w:p>
        </w:tc>
        <w:tc>
          <w:tcPr>
            <w:tcW w:w="6186" w:type="dxa"/>
            <w:noWrap/>
            <w:hideMark/>
          </w:tcPr>
          <w:p w14:paraId="1DC571D0"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molecule, ion or atom that is attached to the central atom of a co-ordination compound, a chelate or other complex. May also be called complexing agent.</w:t>
            </w:r>
          </w:p>
        </w:tc>
      </w:tr>
      <w:tr w:rsidR="004F4DCB" w:rsidRPr="00D93FF9" w14:paraId="06341AEF" w14:textId="77777777" w:rsidTr="001C400D">
        <w:trPr>
          <w:trHeight w:val="288"/>
        </w:trPr>
        <w:tc>
          <w:tcPr>
            <w:tcW w:w="2830" w:type="dxa"/>
            <w:noWrap/>
            <w:hideMark/>
          </w:tcPr>
          <w:p w14:paraId="71994125"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MATC (Maximum acceptable toxicant concentration)</w:t>
            </w:r>
          </w:p>
        </w:tc>
        <w:tc>
          <w:tcPr>
            <w:tcW w:w="6186" w:type="dxa"/>
            <w:noWrap/>
            <w:hideMark/>
          </w:tcPr>
          <w:p w14:paraId="1F65247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maximum concentration of a toxic substance that a receiving water may contain without causing significant harm to its productivity or uses as determined by chronic toxicity tests unsafe residues in produce for human consumption</w:t>
            </w:r>
          </w:p>
        </w:tc>
      </w:tr>
      <w:tr w:rsidR="004F4DCB" w:rsidRPr="00D93FF9" w14:paraId="648213F1" w14:textId="77777777" w:rsidTr="001C400D">
        <w:trPr>
          <w:trHeight w:val="288"/>
        </w:trPr>
        <w:tc>
          <w:tcPr>
            <w:tcW w:w="2830" w:type="dxa"/>
            <w:noWrap/>
            <w:hideMark/>
          </w:tcPr>
          <w:p w14:paraId="17F9FD6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Median</w:t>
            </w:r>
          </w:p>
        </w:tc>
        <w:tc>
          <w:tcPr>
            <w:tcW w:w="6186" w:type="dxa"/>
            <w:noWrap/>
            <w:hideMark/>
          </w:tcPr>
          <w:p w14:paraId="6C7BCD5B"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Middle value in a sequence of numbers</w:t>
            </w:r>
          </w:p>
        </w:tc>
      </w:tr>
      <w:tr w:rsidR="004F4DCB" w:rsidRPr="00D93FF9" w14:paraId="73EE5A8C" w14:textId="77777777" w:rsidTr="001C400D">
        <w:trPr>
          <w:trHeight w:val="288"/>
        </w:trPr>
        <w:tc>
          <w:tcPr>
            <w:tcW w:w="2830" w:type="dxa"/>
            <w:noWrap/>
            <w:hideMark/>
          </w:tcPr>
          <w:p w14:paraId="6D43F65D"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Metabolite</w:t>
            </w:r>
          </w:p>
        </w:tc>
        <w:tc>
          <w:tcPr>
            <w:tcW w:w="6186" w:type="dxa"/>
            <w:noWrap/>
            <w:hideMark/>
          </w:tcPr>
          <w:p w14:paraId="634F4A9D"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Any product of metabolism</w:t>
            </w:r>
          </w:p>
        </w:tc>
      </w:tr>
      <w:tr w:rsidR="004F4DCB" w:rsidRPr="00D93FF9" w14:paraId="6EEC49CA" w14:textId="77777777" w:rsidTr="001C400D">
        <w:trPr>
          <w:trHeight w:val="288"/>
        </w:trPr>
        <w:tc>
          <w:tcPr>
            <w:tcW w:w="2830" w:type="dxa"/>
            <w:noWrap/>
            <w:hideMark/>
          </w:tcPr>
          <w:p w14:paraId="1A14B42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Methylation</w:t>
            </w:r>
          </w:p>
        </w:tc>
        <w:tc>
          <w:tcPr>
            <w:tcW w:w="6186" w:type="dxa"/>
            <w:noWrap/>
            <w:hideMark/>
          </w:tcPr>
          <w:p w14:paraId="2751245A"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introduction of methyl (CH3) groups into organic and inorganic compounds</w:t>
            </w:r>
          </w:p>
        </w:tc>
      </w:tr>
      <w:tr w:rsidR="004F4DCB" w:rsidRPr="00D93FF9" w14:paraId="4DAF4F9D" w14:textId="77777777" w:rsidTr="001C400D">
        <w:trPr>
          <w:trHeight w:val="288"/>
        </w:trPr>
        <w:tc>
          <w:tcPr>
            <w:tcW w:w="2830" w:type="dxa"/>
            <w:noWrap/>
            <w:hideMark/>
          </w:tcPr>
          <w:p w14:paraId="79D7B3F4"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Methyl mercury</w:t>
            </w:r>
          </w:p>
        </w:tc>
        <w:tc>
          <w:tcPr>
            <w:tcW w:w="6186" w:type="dxa"/>
            <w:noWrap/>
            <w:hideMark/>
          </w:tcPr>
          <w:p w14:paraId="631F954B"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most common form is the cation CH3Hg+ although (CH3)2Hg also occurs. Both are extremely potent toxicants and can lead to secondary poisoning through biomagnification. They are usually formed in anoxic sediments.</w:t>
            </w:r>
          </w:p>
        </w:tc>
      </w:tr>
      <w:tr w:rsidR="004F4DCB" w:rsidRPr="00D93FF9" w14:paraId="0C26E3B4" w14:textId="77777777" w:rsidTr="001C400D">
        <w:trPr>
          <w:trHeight w:val="288"/>
        </w:trPr>
        <w:tc>
          <w:tcPr>
            <w:tcW w:w="2830" w:type="dxa"/>
            <w:noWrap/>
            <w:hideMark/>
          </w:tcPr>
          <w:p w14:paraId="598E0D0E"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Neurotoxin</w:t>
            </w:r>
          </w:p>
        </w:tc>
        <w:tc>
          <w:tcPr>
            <w:tcW w:w="6186" w:type="dxa"/>
            <w:noWrap/>
            <w:hideMark/>
          </w:tcPr>
          <w:p w14:paraId="3997B5D1"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Toxic substances which adversely affect the nervous system</w:t>
            </w:r>
          </w:p>
        </w:tc>
      </w:tr>
      <w:tr w:rsidR="004F4DCB" w:rsidRPr="00D93FF9" w14:paraId="426312E5" w14:textId="77777777" w:rsidTr="001C400D">
        <w:trPr>
          <w:trHeight w:val="288"/>
        </w:trPr>
        <w:tc>
          <w:tcPr>
            <w:tcW w:w="2830" w:type="dxa"/>
            <w:noWrap/>
            <w:hideMark/>
          </w:tcPr>
          <w:p w14:paraId="4AFA1C86"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Nutrient solution</w:t>
            </w:r>
          </w:p>
        </w:tc>
        <w:tc>
          <w:tcPr>
            <w:tcW w:w="6186" w:type="dxa"/>
            <w:noWrap/>
            <w:hideMark/>
          </w:tcPr>
          <w:p w14:paraId="782519FE"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Plant growth medium providing all essential elements for plant growth in the absence of soil or other support media. Also referred to as solution culture.</w:t>
            </w:r>
          </w:p>
        </w:tc>
      </w:tr>
      <w:tr w:rsidR="004F4DCB" w:rsidRPr="00D93FF9" w14:paraId="6F4AFEBC" w14:textId="77777777" w:rsidTr="001C400D">
        <w:trPr>
          <w:trHeight w:val="288"/>
        </w:trPr>
        <w:tc>
          <w:tcPr>
            <w:tcW w:w="2830" w:type="dxa"/>
            <w:noWrap/>
            <w:hideMark/>
          </w:tcPr>
          <w:p w14:paraId="6DD8AB23"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Organic carbon</w:t>
            </w:r>
          </w:p>
        </w:tc>
        <w:tc>
          <w:tcPr>
            <w:tcW w:w="6186" w:type="dxa"/>
            <w:noWrap/>
            <w:hideMark/>
          </w:tcPr>
          <w:p w14:paraId="2C2A56A7"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Generally carbon which is chemically bonded to other carbon atoms, although methane (one carbon atom only) and its derivatives are considered organic</w:t>
            </w:r>
          </w:p>
        </w:tc>
      </w:tr>
      <w:tr w:rsidR="004F4DCB" w:rsidRPr="00D93FF9" w14:paraId="79414DE8" w14:textId="77777777" w:rsidTr="001C400D">
        <w:trPr>
          <w:trHeight w:val="288"/>
        </w:trPr>
        <w:tc>
          <w:tcPr>
            <w:tcW w:w="2830" w:type="dxa"/>
            <w:noWrap/>
            <w:hideMark/>
          </w:tcPr>
          <w:p w14:paraId="2B1B69B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Organism</w:t>
            </w:r>
          </w:p>
        </w:tc>
        <w:tc>
          <w:tcPr>
            <w:tcW w:w="6186" w:type="dxa"/>
            <w:noWrap/>
            <w:hideMark/>
          </w:tcPr>
          <w:p w14:paraId="55B41974"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Any living animal or plant; anything capable of carrying on life processes</w:t>
            </w:r>
          </w:p>
        </w:tc>
      </w:tr>
      <w:tr w:rsidR="004F4DCB" w:rsidRPr="00D93FF9" w14:paraId="3762F010" w14:textId="77777777" w:rsidTr="001C400D">
        <w:trPr>
          <w:trHeight w:val="288"/>
        </w:trPr>
        <w:tc>
          <w:tcPr>
            <w:tcW w:w="2830" w:type="dxa"/>
            <w:noWrap/>
            <w:hideMark/>
          </w:tcPr>
          <w:p w14:paraId="5956A428"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Osmosis</w:t>
            </w:r>
          </w:p>
        </w:tc>
        <w:tc>
          <w:tcPr>
            <w:tcW w:w="6186" w:type="dxa"/>
            <w:noWrap/>
            <w:hideMark/>
          </w:tcPr>
          <w:p w14:paraId="6BE47B81"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Diffusion of a solvent through a semi-permeable membrane into a more concentrated solution, tending to equalise the concentrations on both sides of the membrane</w:t>
            </w:r>
          </w:p>
        </w:tc>
      </w:tr>
      <w:tr w:rsidR="004F4DCB" w:rsidRPr="00D93FF9" w14:paraId="7BB4F1CA" w14:textId="77777777" w:rsidTr="001C400D">
        <w:trPr>
          <w:trHeight w:val="288"/>
        </w:trPr>
        <w:tc>
          <w:tcPr>
            <w:tcW w:w="2830" w:type="dxa"/>
            <w:noWrap/>
            <w:hideMark/>
          </w:tcPr>
          <w:p w14:paraId="69A05460"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Oxidation</w:t>
            </w:r>
          </w:p>
        </w:tc>
        <w:tc>
          <w:tcPr>
            <w:tcW w:w="6186" w:type="dxa"/>
            <w:noWrap/>
            <w:hideMark/>
          </w:tcPr>
          <w:p w14:paraId="46D1DA6A"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combination of oxygen with a substance, or the removal of hydrogen from it or, more generally, any reaction in which an atom loses electrons</w:t>
            </w:r>
          </w:p>
        </w:tc>
      </w:tr>
      <w:tr w:rsidR="004F4DCB" w:rsidRPr="00D93FF9" w14:paraId="51FCD4AA" w14:textId="77777777" w:rsidTr="001C400D">
        <w:trPr>
          <w:trHeight w:val="288"/>
        </w:trPr>
        <w:tc>
          <w:tcPr>
            <w:tcW w:w="2830" w:type="dxa"/>
            <w:noWrap/>
            <w:hideMark/>
          </w:tcPr>
          <w:p w14:paraId="67ACD80E"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Partition coefficient</w:t>
            </w:r>
          </w:p>
        </w:tc>
        <w:tc>
          <w:tcPr>
            <w:tcW w:w="6186" w:type="dxa"/>
            <w:noWrap/>
            <w:hideMark/>
          </w:tcPr>
          <w:p w14:paraId="6CE96CB9"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ratio of the equilibrium concentration of the chemical between a non-polar and polar solvent</w:t>
            </w:r>
          </w:p>
        </w:tc>
      </w:tr>
      <w:tr w:rsidR="004F4DCB" w:rsidRPr="00D93FF9" w14:paraId="7CAAF9F8" w14:textId="77777777" w:rsidTr="001C400D">
        <w:trPr>
          <w:trHeight w:val="288"/>
        </w:trPr>
        <w:tc>
          <w:tcPr>
            <w:tcW w:w="2830" w:type="dxa"/>
            <w:noWrap/>
            <w:hideMark/>
          </w:tcPr>
          <w:p w14:paraId="6B77677B"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Pathogen</w:t>
            </w:r>
          </w:p>
        </w:tc>
        <w:tc>
          <w:tcPr>
            <w:tcW w:w="6186" w:type="dxa"/>
            <w:noWrap/>
            <w:hideMark/>
          </w:tcPr>
          <w:p w14:paraId="5EC9BED6"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An organism capable of eliciting disease symptoms in another organism</w:t>
            </w:r>
          </w:p>
        </w:tc>
      </w:tr>
      <w:tr w:rsidR="004F4DCB" w:rsidRPr="00D93FF9" w14:paraId="5D7831F6" w14:textId="77777777" w:rsidTr="001C400D">
        <w:trPr>
          <w:trHeight w:val="288"/>
        </w:trPr>
        <w:tc>
          <w:tcPr>
            <w:tcW w:w="2830" w:type="dxa"/>
            <w:noWrap/>
            <w:hideMark/>
          </w:tcPr>
          <w:p w14:paraId="4644A451"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Pelagic</w:t>
            </w:r>
          </w:p>
        </w:tc>
        <w:tc>
          <w:tcPr>
            <w:tcW w:w="6186" w:type="dxa"/>
            <w:noWrap/>
            <w:hideMark/>
          </w:tcPr>
          <w:p w14:paraId="52608FC4"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Term applied to organisms of the plankton and nekton which inhabit the open water of a sea or lake</w:t>
            </w:r>
          </w:p>
        </w:tc>
      </w:tr>
      <w:tr w:rsidR="004F4DCB" w:rsidRPr="00D93FF9" w14:paraId="618C6FD5" w14:textId="77777777" w:rsidTr="001C400D">
        <w:trPr>
          <w:trHeight w:val="288"/>
        </w:trPr>
        <w:tc>
          <w:tcPr>
            <w:tcW w:w="2830" w:type="dxa"/>
            <w:noWrap/>
            <w:hideMark/>
          </w:tcPr>
          <w:p w14:paraId="67218973"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Percentile</w:t>
            </w:r>
          </w:p>
        </w:tc>
        <w:tc>
          <w:tcPr>
            <w:tcW w:w="6186" w:type="dxa"/>
            <w:noWrap/>
            <w:hideMark/>
          </w:tcPr>
          <w:p w14:paraId="0CA2EDE0"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Division of a frequency distribution into one hundredths</w:t>
            </w:r>
          </w:p>
        </w:tc>
      </w:tr>
      <w:tr w:rsidR="004F4DCB" w:rsidRPr="00D93FF9" w14:paraId="11769186" w14:textId="77777777" w:rsidTr="001C400D">
        <w:trPr>
          <w:trHeight w:val="288"/>
        </w:trPr>
        <w:tc>
          <w:tcPr>
            <w:tcW w:w="2830" w:type="dxa"/>
            <w:noWrap/>
            <w:hideMark/>
          </w:tcPr>
          <w:p w14:paraId="63AB26D4"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Pesticide</w:t>
            </w:r>
          </w:p>
        </w:tc>
        <w:tc>
          <w:tcPr>
            <w:tcW w:w="6186" w:type="dxa"/>
            <w:noWrap/>
            <w:hideMark/>
          </w:tcPr>
          <w:p w14:paraId="37FD74CC"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substance or mixture of substances used to kill unwanted species of plants or animals</w:t>
            </w:r>
          </w:p>
        </w:tc>
      </w:tr>
      <w:tr w:rsidR="004F4DCB" w:rsidRPr="00D93FF9" w14:paraId="1C7F779B" w14:textId="77777777" w:rsidTr="001C400D">
        <w:trPr>
          <w:trHeight w:val="288"/>
        </w:trPr>
        <w:tc>
          <w:tcPr>
            <w:tcW w:w="2830" w:type="dxa"/>
            <w:noWrap/>
            <w:hideMark/>
          </w:tcPr>
          <w:p w14:paraId="0CB98C3D"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pH</w:t>
            </w:r>
          </w:p>
        </w:tc>
        <w:tc>
          <w:tcPr>
            <w:tcW w:w="6186" w:type="dxa"/>
            <w:noWrap/>
            <w:hideMark/>
          </w:tcPr>
          <w:p w14:paraId="4545A95F"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Value that represents the acidity or alkalinity of an aqueous solution. It is defined as the negative logarithm of the hydrogen ion concentration of the solution.</w:t>
            </w:r>
          </w:p>
        </w:tc>
      </w:tr>
      <w:tr w:rsidR="004F4DCB" w:rsidRPr="00D93FF9" w14:paraId="3B4F4A38" w14:textId="77777777" w:rsidTr="001C400D">
        <w:trPr>
          <w:trHeight w:val="288"/>
        </w:trPr>
        <w:tc>
          <w:tcPr>
            <w:tcW w:w="2830" w:type="dxa"/>
            <w:noWrap/>
            <w:hideMark/>
          </w:tcPr>
          <w:p w14:paraId="611C43D5"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pH (CaCl2)</w:t>
            </w:r>
          </w:p>
        </w:tc>
        <w:tc>
          <w:tcPr>
            <w:tcW w:w="6186" w:type="dxa"/>
            <w:noWrap/>
            <w:hideMark/>
          </w:tcPr>
          <w:p w14:paraId="14632A02"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Measurement of soil pH in a 1:2.5 solution of soil:0.01M CaCl2.The CaCl2 solution is used because it has an ionic strength similar to that of soil water.</w:t>
            </w:r>
          </w:p>
        </w:tc>
      </w:tr>
      <w:tr w:rsidR="004F4DCB" w:rsidRPr="00D93FF9" w14:paraId="4C33AC50" w14:textId="77777777" w:rsidTr="001C400D">
        <w:trPr>
          <w:trHeight w:val="288"/>
        </w:trPr>
        <w:tc>
          <w:tcPr>
            <w:tcW w:w="2830" w:type="dxa"/>
            <w:noWrap/>
            <w:hideMark/>
          </w:tcPr>
          <w:p w14:paraId="6BDF28B9"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Photosynthesis</w:t>
            </w:r>
          </w:p>
        </w:tc>
        <w:tc>
          <w:tcPr>
            <w:tcW w:w="6186" w:type="dxa"/>
            <w:noWrap/>
            <w:hideMark/>
          </w:tcPr>
          <w:p w14:paraId="6B2A2E00"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conversion of carbon dioxide to carbohydrates in the presence of chlorophyll using light energy</w:t>
            </w:r>
          </w:p>
        </w:tc>
      </w:tr>
      <w:tr w:rsidR="004F4DCB" w:rsidRPr="00D93FF9" w14:paraId="115179E5" w14:textId="77777777" w:rsidTr="001C400D">
        <w:trPr>
          <w:trHeight w:val="288"/>
        </w:trPr>
        <w:tc>
          <w:tcPr>
            <w:tcW w:w="2830" w:type="dxa"/>
            <w:noWrap/>
            <w:hideMark/>
          </w:tcPr>
          <w:p w14:paraId="75664BB5"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Physico-chemical</w:t>
            </w:r>
          </w:p>
        </w:tc>
        <w:tc>
          <w:tcPr>
            <w:tcW w:w="6186" w:type="dxa"/>
            <w:noWrap/>
            <w:hideMark/>
          </w:tcPr>
          <w:p w14:paraId="70734601"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Refers to the physical (e.g. temperature, electrical conductivity) and chemical (e.g. concentrations of nitrate, mercury) characteristics of water</w:t>
            </w:r>
          </w:p>
        </w:tc>
      </w:tr>
      <w:tr w:rsidR="004F4DCB" w:rsidRPr="00D93FF9" w14:paraId="00804C4B" w14:textId="77777777" w:rsidTr="001C400D">
        <w:trPr>
          <w:trHeight w:val="288"/>
        </w:trPr>
        <w:tc>
          <w:tcPr>
            <w:tcW w:w="2830" w:type="dxa"/>
            <w:noWrap/>
            <w:hideMark/>
          </w:tcPr>
          <w:p w14:paraId="7DBDFE76"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Phytoplankton</w:t>
            </w:r>
          </w:p>
        </w:tc>
        <w:tc>
          <w:tcPr>
            <w:tcW w:w="6186" w:type="dxa"/>
            <w:noWrap/>
            <w:hideMark/>
          </w:tcPr>
          <w:p w14:paraId="7CD7DE8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Small (often microscopic) aquatic plants suspended in water</w:t>
            </w:r>
          </w:p>
        </w:tc>
      </w:tr>
      <w:tr w:rsidR="004F4DCB" w:rsidRPr="00D93FF9" w14:paraId="753F7C15" w14:textId="77777777" w:rsidTr="001C400D">
        <w:trPr>
          <w:trHeight w:val="288"/>
        </w:trPr>
        <w:tc>
          <w:tcPr>
            <w:tcW w:w="2830" w:type="dxa"/>
            <w:noWrap/>
            <w:hideMark/>
          </w:tcPr>
          <w:p w14:paraId="54FB80BB"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Phytotoxicity</w:t>
            </w:r>
          </w:p>
        </w:tc>
        <w:tc>
          <w:tcPr>
            <w:tcW w:w="6186" w:type="dxa"/>
            <w:noWrap/>
            <w:hideMark/>
          </w:tcPr>
          <w:p w14:paraId="4F867B92"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Toxicity of contaminants to plants</w:t>
            </w:r>
          </w:p>
        </w:tc>
      </w:tr>
      <w:tr w:rsidR="004F4DCB" w:rsidRPr="00D93FF9" w14:paraId="1D081624" w14:textId="77777777" w:rsidTr="001C400D">
        <w:trPr>
          <w:trHeight w:val="288"/>
        </w:trPr>
        <w:tc>
          <w:tcPr>
            <w:tcW w:w="2830" w:type="dxa"/>
            <w:noWrap/>
            <w:hideMark/>
          </w:tcPr>
          <w:p w14:paraId="1F882EF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Plankton</w:t>
            </w:r>
          </w:p>
        </w:tc>
        <w:tc>
          <w:tcPr>
            <w:tcW w:w="6186" w:type="dxa"/>
            <w:noWrap/>
            <w:hideMark/>
          </w:tcPr>
          <w:p w14:paraId="467F4F0A"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Plants (phytoplankton) and animals (zooplankton), usually microscopic, floating in aquatic systems</w:t>
            </w:r>
          </w:p>
        </w:tc>
      </w:tr>
      <w:tr w:rsidR="004F4DCB" w:rsidRPr="00D93FF9" w14:paraId="4E436C1F" w14:textId="77777777" w:rsidTr="001C400D">
        <w:trPr>
          <w:trHeight w:val="288"/>
        </w:trPr>
        <w:tc>
          <w:tcPr>
            <w:tcW w:w="2830" w:type="dxa"/>
            <w:noWrap/>
            <w:hideMark/>
          </w:tcPr>
          <w:p w14:paraId="5A461EF2"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Pollution</w:t>
            </w:r>
          </w:p>
        </w:tc>
        <w:tc>
          <w:tcPr>
            <w:tcW w:w="6186" w:type="dxa"/>
            <w:noWrap/>
            <w:hideMark/>
          </w:tcPr>
          <w:p w14:paraId="4F1E08C6"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introduction of unwanted components into waters, air or soil, usually as result of human activity; e.g. hot water in rivers, sewage in the sea, oil on land</w:t>
            </w:r>
          </w:p>
        </w:tc>
      </w:tr>
      <w:tr w:rsidR="004F4DCB" w:rsidRPr="00D93FF9" w14:paraId="781063FC" w14:textId="77777777" w:rsidTr="001C400D">
        <w:trPr>
          <w:trHeight w:val="288"/>
        </w:trPr>
        <w:tc>
          <w:tcPr>
            <w:tcW w:w="2830" w:type="dxa"/>
            <w:noWrap/>
            <w:hideMark/>
          </w:tcPr>
          <w:p w14:paraId="0B97B316"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Potable water</w:t>
            </w:r>
          </w:p>
        </w:tc>
        <w:tc>
          <w:tcPr>
            <w:tcW w:w="6186" w:type="dxa"/>
            <w:noWrap/>
            <w:hideMark/>
          </w:tcPr>
          <w:p w14:paraId="55BE13F4"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Water suitable, on the basis of both health and aesthetic considerations, for drinking or culinary purposes</w:t>
            </w:r>
          </w:p>
        </w:tc>
      </w:tr>
      <w:tr w:rsidR="004F4DCB" w:rsidRPr="00D93FF9" w14:paraId="092C2CF6" w14:textId="77777777" w:rsidTr="001C400D">
        <w:trPr>
          <w:trHeight w:val="288"/>
        </w:trPr>
        <w:tc>
          <w:tcPr>
            <w:tcW w:w="2830" w:type="dxa"/>
            <w:noWrap/>
            <w:hideMark/>
          </w:tcPr>
          <w:p w14:paraId="27D8AD6A"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Precipitation</w:t>
            </w:r>
          </w:p>
        </w:tc>
        <w:tc>
          <w:tcPr>
            <w:tcW w:w="6186" w:type="dxa"/>
            <w:noWrap/>
            <w:hideMark/>
          </w:tcPr>
          <w:p w14:paraId="3E818084"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 xml:space="preserve">(1) The formation of solid particles in a solution; generally, the settling out of small particles </w:t>
            </w:r>
          </w:p>
        </w:tc>
      </w:tr>
      <w:tr w:rsidR="004F4DCB" w:rsidRPr="00D93FF9" w14:paraId="482C2AED" w14:textId="77777777" w:rsidTr="001C400D">
        <w:trPr>
          <w:trHeight w:val="288"/>
        </w:trPr>
        <w:tc>
          <w:tcPr>
            <w:tcW w:w="2830" w:type="dxa"/>
            <w:noWrap/>
            <w:hideMark/>
          </w:tcPr>
          <w:p w14:paraId="7EC58725" w14:textId="77777777" w:rsidR="004F4DCB" w:rsidRPr="00D93FF9" w:rsidRDefault="004F4DCB" w:rsidP="00207A4C">
            <w:pPr>
              <w:rPr>
                <w:rFonts w:asciiTheme="minorHAnsi" w:hAnsiTheme="minorHAnsi" w:cstheme="minorHAnsi"/>
                <w:b/>
                <w:bCs/>
                <w:color w:val="000000"/>
                <w:sz w:val="22"/>
                <w:szCs w:val="22"/>
              </w:rPr>
            </w:pPr>
          </w:p>
        </w:tc>
        <w:tc>
          <w:tcPr>
            <w:tcW w:w="6186" w:type="dxa"/>
            <w:noWrap/>
            <w:hideMark/>
          </w:tcPr>
          <w:p w14:paraId="7ADE95F7"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(2) The settling-out of water from cloud, in the form of rain, hail, snow, etc.</w:t>
            </w:r>
          </w:p>
        </w:tc>
      </w:tr>
      <w:tr w:rsidR="004F4DCB" w:rsidRPr="00D93FF9" w14:paraId="57012661" w14:textId="77777777" w:rsidTr="001C400D">
        <w:trPr>
          <w:trHeight w:val="288"/>
        </w:trPr>
        <w:tc>
          <w:tcPr>
            <w:tcW w:w="2830" w:type="dxa"/>
            <w:noWrap/>
            <w:hideMark/>
          </w:tcPr>
          <w:p w14:paraId="6177AC39"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Radiological</w:t>
            </w:r>
          </w:p>
        </w:tc>
        <w:tc>
          <w:tcPr>
            <w:tcW w:w="6186" w:type="dxa"/>
            <w:noWrap/>
            <w:hideMark/>
          </w:tcPr>
          <w:p w14:paraId="4716F6A6"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Pertaining to nuclear radiation</w:t>
            </w:r>
          </w:p>
        </w:tc>
      </w:tr>
      <w:tr w:rsidR="004F4DCB" w:rsidRPr="00D93FF9" w14:paraId="793222D8" w14:textId="77777777" w:rsidTr="001C400D">
        <w:trPr>
          <w:trHeight w:val="288"/>
        </w:trPr>
        <w:tc>
          <w:tcPr>
            <w:tcW w:w="2830" w:type="dxa"/>
            <w:noWrap/>
            <w:hideMark/>
          </w:tcPr>
          <w:p w14:paraId="622A3C8A"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Redox potential</w:t>
            </w:r>
          </w:p>
        </w:tc>
        <w:tc>
          <w:tcPr>
            <w:tcW w:w="6186" w:type="dxa"/>
            <w:noWrap/>
            <w:hideMark/>
          </w:tcPr>
          <w:p w14:paraId="09616A27"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An expression of the oxidising or reducing power of a solution relative to a reference potential. This potential is dependent on the nature of the substances dissolved in the water, as well as on the proportion of their oxidised and reduced components.</w:t>
            </w:r>
          </w:p>
        </w:tc>
      </w:tr>
      <w:tr w:rsidR="004F4DCB" w:rsidRPr="00D93FF9" w14:paraId="6F2EF113" w14:textId="77777777" w:rsidTr="001C400D">
        <w:trPr>
          <w:trHeight w:val="288"/>
        </w:trPr>
        <w:tc>
          <w:tcPr>
            <w:tcW w:w="2830" w:type="dxa"/>
            <w:noWrap/>
            <w:hideMark/>
          </w:tcPr>
          <w:p w14:paraId="136FC004"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Risk</w:t>
            </w:r>
          </w:p>
        </w:tc>
        <w:tc>
          <w:tcPr>
            <w:tcW w:w="6186" w:type="dxa"/>
            <w:noWrap/>
            <w:hideMark/>
          </w:tcPr>
          <w:p w14:paraId="4126238F"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statistical concept defined as the expected likelihood or probability of undesirable effects resulting from a specified exposure to known or potential environmental concentrations of a material. A material is considered safe if the risks associated with its exposure are judged to be acceptable. Estimates of risk may be expressed in absolute or relative terms. Absolute risk is the excess risk due to exposure. Relative risk is the ratio of the risk in the exposed population to the risk in the unexposed population.</w:t>
            </w:r>
          </w:p>
        </w:tc>
      </w:tr>
      <w:tr w:rsidR="004F4DCB" w:rsidRPr="00D93FF9" w14:paraId="56199062" w14:textId="77777777" w:rsidTr="001C400D">
        <w:trPr>
          <w:trHeight w:val="288"/>
        </w:trPr>
        <w:tc>
          <w:tcPr>
            <w:tcW w:w="2830" w:type="dxa"/>
            <w:noWrap/>
            <w:hideMark/>
          </w:tcPr>
          <w:p w14:paraId="76E354B8"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Ryznar (Stability) index</w:t>
            </w:r>
          </w:p>
        </w:tc>
        <w:tc>
          <w:tcPr>
            <w:tcW w:w="6186" w:type="dxa"/>
            <w:noWrap/>
            <w:hideMark/>
          </w:tcPr>
          <w:p w14:paraId="0A360990" w14:textId="03AF766C"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Index relating the pH of water (pH) to the pH of water just saturated with calcium carbo</w:t>
            </w:r>
            <w:r w:rsidR="001C400D" w:rsidRPr="00D93FF9">
              <w:rPr>
                <w:rFonts w:asciiTheme="minorHAnsi" w:hAnsiTheme="minorHAnsi" w:cstheme="minorHAnsi"/>
                <w:color w:val="000000"/>
                <w:sz w:val="22"/>
                <w:szCs w:val="22"/>
              </w:rPr>
              <w:t>n</w:t>
            </w:r>
            <w:r w:rsidRPr="00D93FF9">
              <w:rPr>
                <w:rFonts w:asciiTheme="minorHAnsi" w:hAnsiTheme="minorHAnsi" w:cstheme="minorHAnsi"/>
                <w:color w:val="000000"/>
                <w:sz w:val="22"/>
                <w:szCs w:val="22"/>
              </w:rPr>
              <w:t>ate (pHs)</w:t>
            </w:r>
          </w:p>
        </w:tc>
      </w:tr>
      <w:tr w:rsidR="004F4DCB" w:rsidRPr="00D93FF9" w14:paraId="1B77D548" w14:textId="77777777" w:rsidTr="001C400D">
        <w:trPr>
          <w:trHeight w:val="288"/>
        </w:trPr>
        <w:tc>
          <w:tcPr>
            <w:tcW w:w="2830" w:type="dxa"/>
            <w:noWrap/>
            <w:hideMark/>
          </w:tcPr>
          <w:p w14:paraId="2DC4ECD9"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Salinity</w:t>
            </w:r>
          </w:p>
        </w:tc>
        <w:tc>
          <w:tcPr>
            <w:tcW w:w="6186" w:type="dxa"/>
            <w:noWrap/>
            <w:hideMark/>
          </w:tcPr>
          <w:p w14:paraId="76BF1439"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presence of soluble salts in or on soils or in water</w:t>
            </w:r>
          </w:p>
        </w:tc>
      </w:tr>
      <w:tr w:rsidR="004F4DCB" w:rsidRPr="00D93FF9" w14:paraId="078BEF64" w14:textId="77777777" w:rsidTr="001C400D">
        <w:trPr>
          <w:trHeight w:val="288"/>
        </w:trPr>
        <w:tc>
          <w:tcPr>
            <w:tcW w:w="2830" w:type="dxa"/>
            <w:noWrap/>
            <w:hideMark/>
          </w:tcPr>
          <w:p w14:paraId="5F3DE752"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Sediment</w:t>
            </w:r>
          </w:p>
        </w:tc>
        <w:tc>
          <w:tcPr>
            <w:tcW w:w="6186" w:type="dxa"/>
            <w:noWrap/>
            <w:hideMark/>
          </w:tcPr>
          <w:p w14:paraId="64E02F85"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Unconsolidated mineral and organic particulate material that settles to the bottom of aquatic environment</w:t>
            </w:r>
          </w:p>
        </w:tc>
      </w:tr>
      <w:tr w:rsidR="0083016D" w:rsidRPr="00D93FF9" w14:paraId="4AA349EE" w14:textId="77777777" w:rsidTr="001C400D">
        <w:trPr>
          <w:trHeight w:val="288"/>
        </w:trPr>
        <w:tc>
          <w:tcPr>
            <w:tcW w:w="2830" w:type="dxa"/>
            <w:noWrap/>
          </w:tcPr>
          <w:p w14:paraId="08EB2B0C" w14:textId="604168AD" w:rsidR="0083016D" w:rsidRPr="00D93FF9" w:rsidRDefault="0083016D" w:rsidP="00207A4C">
            <w:pPr>
              <w:rPr>
                <w:rFonts w:asciiTheme="minorHAnsi" w:hAnsiTheme="minorHAnsi" w:cstheme="minorHAnsi"/>
                <w:b/>
                <w:bCs/>
                <w:color w:val="000000"/>
                <w:sz w:val="22"/>
                <w:szCs w:val="22"/>
              </w:rPr>
            </w:pPr>
            <w:r w:rsidRPr="00D93FF9">
              <w:rPr>
                <w:rFonts w:asciiTheme="minorHAnsi" w:hAnsiTheme="minorHAnsi" w:cstheme="minorHAnsi"/>
                <w:b/>
                <w:sz w:val="22"/>
                <w:szCs w:val="22"/>
                <w:lang w:val="en-GB"/>
              </w:rPr>
              <w:t>SGV (short-term guideline value)</w:t>
            </w:r>
          </w:p>
        </w:tc>
        <w:tc>
          <w:tcPr>
            <w:tcW w:w="6186" w:type="dxa"/>
            <w:noWrap/>
          </w:tcPr>
          <w:p w14:paraId="40DF1E89" w14:textId="20FCCB52" w:rsidR="0083016D" w:rsidRPr="00D93FF9" w:rsidRDefault="0083016D"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maximum concentration (mg/L) of contaminant in the irrigation water which can be tolerated for a shorter period of time (20 years) assuming the same maximum annual irrigation loading to soil as DGV or considering site specific related receptors and exposure. As short-term use is typically site-specific, where available the SGV should also be used in conjunction with the ACL as a trigger for further investigation.</w:t>
            </w:r>
          </w:p>
        </w:tc>
      </w:tr>
      <w:tr w:rsidR="004F4DCB" w:rsidRPr="00D93FF9" w14:paraId="3B945A21" w14:textId="77777777" w:rsidTr="001C400D">
        <w:trPr>
          <w:trHeight w:val="288"/>
        </w:trPr>
        <w:tc>
          <w:tcPr>
            <w:tcW w:w="2830" w:type="dxa"/>
            <w:noWrap/>
            <w:hideMark/>
          </w:tcPr>
          <w:p w14:paraId="1E6B7C4A"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Sodicity</w:t>
            </w:r>
          </w:p>
        </w:tc>
        <w:tc>
          <w:tcPr>
            <w:tcW w:w="6186" w:type="dxa"/>
            <w:noWrap/>
            <w:hideMark/>
          </w:tcPr>
          <w:p w14:paraId="1C8BD5C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presence of a high proportion of sodium ions relative to other cations in a soil</w:t>
            </w:r>
          </w:p>
        </w:tc>
      </w:tr>
      <w:tr w:rsidR="004F4DCB" w:rsidRPr="00D93FF9" w14:paraId="163698DC" w14:textId="77777777" w:rsidTr="001C400D">
        <w:trPr>
          <w:trHeight w:val="288"/>
        </w:trPr>
        <w:tc>
          <w:tcPr>
            <w:tcW w:w="2830" w:type="dxa"/>
            <w:noWrap/>
            <w:hideMark/>
          </w:tcPr>
          <w:p w14:paraId="455277F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Sodium adsorption ratio (SAR)</w:t>
            </w:r>
          </w:p>
        </w:tc>
        <w:tc>
          <w:tcPr>
            <w:tcW w:w="6186" w:type="dxa"/>
            <w:noWrap/>
            <w:hideMark/>
          </w:tcPr>
          <w:p w14:paraId="07D1C9C7"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concentration of sodium relative to calcium and magnesium in the soil solution</w:t>
            </w:r>
          </w:p>
        </w:tc>
      </w:tr>
      <w:tr w:rsidR="004F4DCB" w:rsidRPr="00D93FF9" w14:paraId="6A11BF91" w14:textId="77777777" w:rsidTr="001C400D">
        <w:trPr>
          <w:trHeight w:val="288"/>
        </w:trPr>
        <w:tc>
          <w:tcPr>
            <w:tcW w:w="2830" w:type="dxa"/>
            <w:noWrap/>
            <w:hideMark/>
          </w:tcPr>
          <w:p w14:paraId="4792E0ED"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Solution concentration</w:t>
            </w:r>
          </w:p>
        </w:tc>
        <w:tc>
          <w:tcPr>
            <w:tcW w:w="6186" w:type="dxa"/>
            <w:noWrap/>
            <w:hideMark/>
          </w:tcPr>
          <w:p w14:paraId="68CBB5FE"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Concentration of solutes in the soil water phase. The solutes, which may be contaminants, in the soil water are generally regarded as being highly available to organisms.</w:t>
            </w:r>
          </w:p>
        </w:tc>
      </w:tr>
      <w:tr w:rsidR="004F4DCB" w:rsidRPr="00D93FF9" w14:paraId="1F7CC286" w14:textId="77777777" w:rsidTr="001C400D">
        <w:trPr>
          <w:trHeight w:val="288"/>
        </w:trPr>
        <w:tc>
          <w:tcPr>
            <w:tcW w:w="2830" w:type="dxa"/>
            <w:noWrap/>
            <w:hideMark/>
          </w:tcPr>
          <w:p w14:paraId="45EF05E7"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Sorption</w:t>
            </w:r>
          </w:p>
        </w:tc>
        <w:tc>
          <w:tcPr>
            <w:tcW w:w="6186" w:type="dxa"/>
            <w:noWrap/>
            <w:hideMark/>
          </w:tcPr>
          <w:p w14:paraId="7DC23BCA"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Process whereby contaminants in soils adhere to the inorganic and organic soil particles</w:t>
            </w:r>
          </w:p>
        </w:tc>
      </w:tr>
      <w:tr w:rsidR="004F4DCB" w:rsidRPr="00D93FF9" w14:paraId="140CA223" w14:textId="77777777" w:rsidTr="001C400D">
        <w:trPr>
          <w:trHeight w:val="288"/>
        </w:trPr>
        <w:tc>
          <w:tcPr>
            <w:tcW w:w="2830" w:type="dxa"/>
            <w:noWrap/>
            <w:hideMark/>
          </w:tcPr>
          <w:p w14:paraId="103F5830"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Species</w:t>
            </w:r>
          </w:p>
        </w:tc>
        <w:tc>
          <w:tcPr>
            <w:tcW w:w="6186" w:type="dxa"/>
            <w:noWrap/>
            <w:hideMark/>
          </w:tcPr>
          <w:p w14:paraId="6926E42E"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group of organisms that resemble each other to a greater degree than members of other groups and that form a reproductively isolated group that will not produce viable offspring if bred with members of another group. This is insoluble material which resides in the water column, or is dispersed in a sample upon agitation</w:t>
            </w:r>
          </w:p>
        </w:tc>
      </w:tr>
      <w:tr w:rsidR="004F4DCB" w:rsidRPr="00D93FF9" w14:paraId="21226A88" w14:textId="77777777" w:rsidTr="001C400D">
        <w:trPr>
          <w:trHeight w:val="288"/>
        </w:trPr>
        <w:tc>
          <w:tcPr>
            <w:tcW w:w="2830" w:type="dxa"/>
            <w:noWrap/>
            <w:hideMark/>
          </w:tcPr>
          <w:p w14:paraId="43B4E1F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Standing crop</w:t>
            </w:r>
          </w:p>
        </w:tc>
        <w:tc>
          <w:tcPr>
            <w:tcW w:w="6186" w:type="dxa"/>
            <w:noWrap/>
            <w:hideMark/>
          </w:tcPr>
          <w:p w14:paraId="0D4EBFD8"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weight of organic material that can be sampled or harvested by normal methods at any one time from a given area</w:t>
            </w:r>
          </w:p>
        </w:tc>
      </w:tr>
      <w:tr w:rsidR="004F4DCB" w:rsidRPr="00D93FF9" w14:paraId="583D0824" w14:textId="77777777" w:rsidTr="001C400D">
        <w:trPr>
          <w:trHeight w:val="288"/>
        </w:trPr>
        <w:tc>
          <w:tcPr>
            <w:tcW w:w="2830" w:type="dxa"/>
            <w:noWrap/>
            <w:hideMark/>
          </w:tcPr>
          <w:p w14:paraId="405DAB90"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Static system</w:t>
            </w:r>
          </w:p>
        </w:tc>
        <w:tc>
          <w:tcPr>
            <w:tcW w:w="6186" w:type="dxa"/>
            <w:noWrap/>
            <w:hideMark/>
          </w:tcPr>
          <w:p w14:paraId="648B8A14"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An exposure system of aquatic toxicity tests in which the test chambers contain solutions of the test material or control water that are not usually changed during the test.  Depending upon conditions, a static system may or may not be in equilibrium.</w:t>
            </w:r>
          </w:p>
        </w:tc>
      </w:tr>
      <w:tr w:rsidR="004F4DCB" w:rsidRPr="00D93FF9" w14:paraId="2CAABE69" w14:textId="77777777" w:rsidTr="001C400D">
        <w:trPr>
          <w:trHeight w:val="288"/>
        </w:trPr>
        <w:tc>
          <w:tcPr>
            <w:tcW w:w="2830" w:type="dxa"/>
            <w:noWrap/>
            <w:hideMark/>
          </w:tcPr>
          <w:p w14:paraId="386E35FB"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Steady state or dynamic equilibrium</w:t>
            </w:r>
          </w:p>
        </w:tc>
        <w:tc>
          <w:tcPr>
            <w:tcW w:w="6186" w:type="dxa"/>
            <w:noWrap/>
            <w:hideMark/>
          </w:tcPr>
          <w:p w14:paraId="77199D0C"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state at which the competing rates of uptake and elimination of a chemical within an organism or tissue are equal. An apparent steady state is reached when the concentration of a chemical in tissue remains essentially constant during a continuous exposure.</w:t>
            </w:r>
          </w:p>
        </w:tc>
      </w:tr>
      <w:tr w:rsidR="004F4DCB" w:rsidRPr="00D93FF9" w14:paraId="537BEC8A" w14:textId="77777777" w:rsidTr="001C400D">
        <w:trPr>
          <w:trHeight w:val="288"/>
        </w:trPr>
        <w:tc>
          <w:tcPr>
            <w:tcW w:w="2830" w:type="dxa"/>
            <w:noWrap/>
            <w:hideMark/>
          </w:tcPr>
          <w:p w14:paraId="2D578F19"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Supersaturation</w:t>
            </w:r>
          </w:p>
        </w:tc>
        <w:tc>
          <w:tcPr>
            <w:tcW w:w="6186" w:type="dxa"/>
            <w:noWrap/>
            <w:hideMark/>
          </w:tcPr>
          <w:p w14:paraId="13197A77"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Refers to a solution containing more solute than equilibrium conditions will allow</w:t>
            </w:r>
          </w:p>
        </w:tc>
      </w:tr>
      <w:tr w:rsidR="004F4DCB" w:rsidRPr="00D93FF9" w14:paraId="0A977966" w14:textId="77777777" w:rsidTr="001C400D">
        <w:trPr>
          <w:trHeight w:val="288"/>
        </w:trPr>
        <w:tc>
          <w:tcPr>
            <w:tcW w:w="2830" w:type="dxa"/>
            <w:noWrap/>
            <w:hideMark/>
          </w:tcPr>
          <w:p w14:paraId="542E44A5"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Suspension</w:t>
            </w:r>
          </w:p>
        </w:tc>
        <w:tc>
          <w:tcPr>
            <w:tcW w:w="6186" w:type="dxa"/>
            <w:noWrap/>
            <w:hideMark/>
          </w:tcPr>
          <w:p w14:paraId="0E0C57F8"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 xml:space="preserve">A system in which very small particles (solid, semi-solid, or liquid) are more or less uniformly dispersed in a liquid or gaseous medium. If the particles are small enough to pass through filter membranes, the system is termed a colloidal suspension. If the particles are of larger than colloidal dimensions they will tend to precipitate, if heavier than the suspending medium, or to agglomerate and rise to the surface, if lighter. </w:t>
            </w:r>
          </w:p>
        </w:tc>
      </w:tr>
      <w:tr w:rsidR="004F4DCB" w:rsidRPr="00D93FF9" w14:paraId="3DF218AF" w14:textId="77777777" w:rsidTr="001C400D">
        <w:trPr>
          <w:trHeight w:val="288"/>
        </w:trPr>
        <w:tc>
          <w:tcPr>
            <w:tcW w:w="2830" w:type="dxa"/>
            <w:noWrap/>
            <w:hideMark/>
          </w:tcPr>
          <w:p w14:paraId="7018E949"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Thermotolerant coliform</w:t>
            </w:r>
          </w:p>
        </w:tc>
        <w:tc>
          <w:tcPr>
            <w:tcW w:w="6186" w:type="dxa"/>
            <w:noWrap/>
            <w:hideMark/>
          </w:tcPr>
          <w:p w14:paraId="06BA8E4F"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Also known as faecal coliforms. In tropical and sub-tropical areas, thermotolerant coliforms may on some occasions include microorganisms of environmental rather than faecal origin.</w:t>
            </w:r>
          </w:p>
        </w:tc>
      </w:tr>
      <w:tr w:rsidR="004F4DCB" w:rsidRPr="00D93FF9" w14:paraId="0C52B035" w14:textId="77777777" w:rsidTr="001C400D">
        <w:trPr>
          <w:trHeight w:val="288"/>
        </w:trPr>
        <w:tc>
          <w:tcPr>
            <w:tcW w:w="2830" w:type="dxa"/>
            <w:noWrap/>
            <w:hideMark/>
          </w:tcPr>
          <w:p w14:paraId="0BA9BCF5"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Threshold concentration</w:t>
            </w:r>
          </w:p>
        </w:tc>
        <w:tc>
          <w:tcPr>
            <w:tcW w:w="6186" w:type="dxa"/>
            <w:noWrap/>
            <w:hideMark/>
          </w:tcPr>
          <w:p w14:paraId="09C2AC25"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concentration above which some effect (or response) will be produced and below which it will not</w:t>
            </w:r>
          </w:p>
        </w:tc>
      </w:tr>
      <w:tr w:rsidR="004F4DCB" w:rsidRPr="00D93FF9" w14:paraId="71E2AD31" w14:textId="77777777" w:rsidTr="001C400D">
        <w:trPr>
          <w:trHeight w:val="288"/>
        </w:trPr>
        <w:tc>
          <w:tcPr>
            <w:tcW w:w="2830" w:type="dxa"/>
            <w:noWrap/>
            <w:hideMark/>
          </w:tcPr>
          <w:p w14:paraId="5B3E8D89"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Tolerance</w:t>
            </w:r>
          </w:p>
        </w:tc>
        <w:tc>
          <w:tcPr>
            <w:tcW w:w="6186" w:type="dxa"/>
            <w:noWrap/>
            <w:hideMark/>
          </w:tcPr>
          <w:p w14:paraId="09C8A806"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ability of an organism to withstand adverse or other environmental conditions for an indefinitely long exposure without dying</w:t>
            </w:r>
          </w:p>
        </w:tc>
      </w:tr>
      <w:tr w:rsidR="004F4DCB" w:rsidRPr="00D93FF9" w14:paraId="3745E31C" w14:textId="77777777" w:rsidTr="001C400D">
        <w:trPr>
          <w:trHeight w:val="288"/>
        </w:trPr>
        <w:tc>
          <w:tcPr>
            <w:tcW w:w="2830" w:type="dxa"/>
            <w:noWrap/>
            <w:hideMark/>
          </w:tcPr>
          <w:p w14:paraId="201B27CA"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Total dissolved solids (TDS)</w:t>
            </w:r>
          </w:p>
        </w:tc>
        <w:tc>
          <w:tcPr>
            <w:tcW w:w="6186" w:type="dxa"/>
            <w:noWrap/>
            <w:hideMark/>
          </w:tcPr>
          <w:p w14:paraId="4CD234F1"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measure of the inorganic salts (and organic compounds) dissolved in water</w:t>
            </w:r>
          </w:p>
        </w:tc>
      </w:tr>
      <w:tr w:rsidR="004F4DCB" w:rsidRPr="00D93FF9" w14:paraId="5510E970" w14:textId="77777777" w:rsidTr="001C400D">
        <w:trPr>
          <w:trHeight w:val="288"/>
        </w:trPr>
        <w:tc>
          <w:tcPr>
            <w:tcW w:w="2830" w:type="dxa"/>
            <w:noWrap/>
            <w:hideMark/>
          </w:tcPr>
          <w:p w14:paraId="0F266FAF"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Total metal</w:t>
            </w:r>
          </w:p>
        </w:tc>
        <w:tc>
          <w:tcPr>
            <w:tcW w:w="6186" w:type="dxa"/>
            <w:noWrap/>
            <w:hideMark/>
          </w:tcPr>
          <w:p w14:paraId="50973D21"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concentration of a metal in an unfiltered sample that is digested in strong nitric acid</w:t>
            </w:r>
          </w:p>
        </w:tc>
      </w:tr>
      <w:tr w:rsidR="004F4DCB" w:rsidRPr="00D93FF9" w14:paraId="043404ED" w14:textId="77777777" w:rsidTr="001C400D">
        <w:trPr>
          <w:trHeight w:val="288"/>
        </w:trPr>
        <w:tc>
          <w:tcPr>
            <w:tcW w:w="2830" w:type="dxa"/>
            <w:noWrap/>
            <w:hideMark/>
          </w:tcPr>
          <w:p w14:paraId="04D84E59"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Toxicant</w:t>
            </w:r>
          </w:p>
        </w:tc>
        <w:tc>
          <w:tcPr>
            <w:tcW w:w="6186" w:type="dxa"/>
            <w:noWrap/>
            <w:hideMark/>
          </w:tcPr>
          <w:p w14:paraId="79426BF1"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chemical capable of producing an adverse response (effect) in a biological system at concentrations that might be encountered in the environment, seriously injuring structure or function or producing death. Examples include pesticides, heavy metals and biotoxins (i.e. domoic acid, ciguatoxin and saxitoxins).</w:t>
            </w:r>
          </w:p>
        </w:tc>
      </w:tr>
      <w:tr w:rsidR="004F4DCB" w:rsidRPr="00D93FF9" w14:paraId="4F391978" w14:textId="77777777" w:rsidTr="001C400D">
        <w:trPr>
          <w:trHeight w:val="288"/>
        </w:trPr>
        <w:tc>
          <w:tcPr>
            <w:tcW w:w="2830" w:type="dxa"/>
            <w:noWrap/>
            <w:hideMark/>
          </w:tcPr>
          <w:p w14:paraId="5AAD9BB0"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Toxicity</w:t>
            </w:r>
          </w:p>
        </w:tc>
        <w:tc>
          <w:tcPr>
            <w:tcW w:w="6186" w:type="dxa"/>
            <w:noWrap/>
            <w:hideMark/>
          </w:tcPr>
          <w:p w14:paraId="513A937E"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inherent potential or capacity of a material to cause adverse effects in a living organism</w:t>
            </w:r>
          </w:p>
        </w:tc>
      </w:tr>
      <w:tr w:rsidR="004F4DCB" w:rsidRPr="00D93FF9" w14:paraId="565E57EE" w14:textId="77777777" w:rsidTr="001C400D">
        <w:trPr>
          <w:trHeight w:val="288"/>
        </w:trPr>
        <w:tc>
          <w:tcPr>
            <w:tcW w:w="2830" w:type="dxa"/>
            <w:noWrap/>
            <w:hideMark/>
          </w:tcPr>
          <w:p w14:paraId="5C93027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Turbulence</w:t>
            </w:r>
          </w:p>
        </w:tc>
        <w:tc>
          <w:tcPr>
            <w:tcW w:w="6186" w:type="dxa"/>
            <w:noWrap/>
            <w:hideMark/>
          </w:tcPr>
          <w:p w14:paraId="0ED32C7C"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Unorganised movement in liquids and gases resulting from eddy formation</w:t>
            </w:r>
          </w:p>
        </w:tc>
      </w:tr>
      <w:tr w:rsidR="004F4DCB" w:rsidRPr="00D93FF9" w14:paraId="443466BC" w14:textId="77777777" w:rsidTr="001C400D">
        <w:trPr>
          <w:trHeight w:val="288"/>
        </w:trPr>
        <w:tc>
          <w:tcPr>
            <w:tcW w:w="2830" w:type="dxa"/>
            <w:noWrap/>
            <w:hideMark/>
          </w:tcPr>
          <w:p w14:paraId="7C6018DA"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Uptake</w:t>
            </w:r>
          </w:p>
        </w:tc>
        <w:tc>
          <w:tcPr>
            <w:tcW w:w="6186" w:type="dxa"/>
            <w:noWrap/>
            <w:hideMark/>
          </w:tcPr>
          <w:p w14:paraId="0DA669C5"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process by which materials are absorbed and incorporated into a living organism</w:t>
            </w:r>
          </w:p>
        </w:tc>
      </w:tr>
      <w:tr w:rsidR="004F4DCB" w:rsidRPr="00D93FF9" w14:paraId="1A510157" w14:textId="77777777" w:rsidTr="001C400D">
        <w:trPr>
          <w:trHeight w:val="288"/>
        </w:trPr>
        <w:tc>
          <w:tcPr>
            <w:tcW w:w="2830" w:type="dxa"/>
            <w:noWrap/>
            <w:hideMark/>
          </w:tcPr>
          <w:p w14:paraId="29560EAB"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lastRenderedPageBreak/>
              <w:t>Volatile</w:t>
            </w:r>
          </w:p>
        </w:tc>
        <w:tc>
          <w:tcPr>
            <w:tcW w:w="6186" w:type="dxa"/>
            <w:noWrap/>
            <w:hideMark/>
          </w:tcPr>
          <w:p w14:paraId="657D7DD3"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Having a low boiling or subliming pressure (a high vapour pressure)</w:t>
            </w:r>
          </w:p>
        </w:tc>
      </w:tr>
      <w:tr w:rsidR="004F4DCB" w:rsidRPr="00D93FF9" w14:paraId="4677393D" w14:textId="77777777" w:rsidTr="001C400D">
        <w:trPr>
          <w:trHeight w:val="288"/>
        </w:trPr>
        <w:tc>
          <w:tcPr>
            <w:tcW w:w="2830" w:type="dxa"/>
            <w:noWrap/>
            <w:hideMark/>
          </w:tcPr>
          <w:p w14:paraId="30AD197C"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Water quality objective</w:t>
            </w:r>
          </w:p>
        </w:tc>
        <w:tc>
          <w:tcPr>
            <w:tcW w:w="6186" w:type="dxa"/>
            <w:noWrap/>
            <w:hideMark/>
          </w:tcPr>
          <w:p w14:paraId="7BB76A55"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A numerical concentration limit or narrative statement that has been established to support and protect the designated uses of water at a specified site. It is based on scientific criteria or water quality guidelines but may be modified by other inputs such as social or political constraints</w:t>
            </w:r>
          </w:p>
        </w:tc>
      </w:tr>
      <w:tr w:rsidR="004F4DCB" w:rsidRPr="00D93FF9" w14:paraId="471ED916" w14:textId="77777777" w:rsidTr="001C400D">
        <w:trPr>
          <w:trHeight w:val="288"/>
        </w:trPr>
        <w:tc>
          <w:tcPr>
            <w:tcW w:w="2830" w:type="dxa"/>
            <w:noWrap/>
            <w:hideMark/>
          </w:tcPr>
          <w:p w14:paraId="66DBA476" w14:textId="77777777" w:rsidR="004F4DCB" w:rsidRPr="00D93FF9" w:rsidRDefault="004F4DCB" w:rsidP="00207A4C">
            <w:pPr>
              <w:rPr>
                <w:rFonts w:asciiTheme="minorHAnsi" w:hAnsiTheme="minorHAnsi" w:cstheme="minorHAnsi"/>
                <w:b/>
                <w:bCs/>
                <w:color w:val="000000"/>
                <w:sz w:val="22"/>
                <w:szCs w:val="22"/>
              </w:rPr>
            </w:pPr>
            <w:r w:rsidRPr="00D93FF9">
              <w:rPr>
                <w:rFonts w:asciiTheme="minorHAnsi" w:hAnsiTheme="minorHAnsi" w:cstheme="minorHAnsi"/>
                <w:b/>
                <w:bCs/>
                <w:color w:val="000000"/>
                <w:sz w:val="22"/>
                <w:szCs w:val="22"/>
              </w:rPr>
              <w:t>Watertable</w:t>
            </w:r>
          </w:p>
        </w:tc>
        <w:tc>
          <w:tcPr>
            <w:tcW w:w="6186" w:type="dxa"/>
            <w:noWrap/>
            <w:hideMark/>
          </w:tcPr>
          <w:p w14:paraId="134131C4" w14:textId="77777777" w:rsidR="004F4DCB" w:rsidRPr="00D93FF9" w:rsidRDefault="004F4DCB" w:rsidP="00207A4C">
            <w:pPr>
              <w:rPr>
                <w:rFonts w:asciiTheme="minorHAnsi" w:hAnsiTheme="minorHAnsi" w:cstheme="minorHAnsi"/>
                <w:color w:val="000000"/>
                <w:sz w:val="22"/>
                <w:szCs w:val="22"/>
              </w:rPr>
            </w:pPr>
            <w:r w:rsidRPr="00D93FF9">
              <w:rPr>
                <w:rFonts w:asciiTheme="minorHAnsi" w:hAnsiTheme="minorHAnsi" w:cstheme="minorHAnsi"/>
                <w:color w:val="000000"/>
                <w:sz w:val="22"/>
                <w:szCs w:val="22"/>
              </w:rPr>
              <w:t>The level of groundwater; the upper surface of the zone of saturation for underground water.</w:t>
            </w:r>
          </w:p>
        </w:tc>
      </w:tr>
    </w:tbl>
    <w:p w14:paraId="7F5CD598" w14:textId="277B182A" w:rsidR="00926B7F" w:rsidRPr="00D93FF9" w:rsidRDefault="00926B7F" w:rsidP="00926B7F">
      <w:pPr>
        <w:rPr>
          <w:lang w:val="en-GB" w:eastAsia="ja-JP"/>
        </w:rPr>
      </w:pPr>
    </w:p>
    <w:p w14:paraId="385AC51F" w14:textId="13B8784C" w:rsidR="00926B7F" w:rsidRPr="00D93FF9" w:rsidRDefault="00926B7F" w:rsidP="00926B7F">
      <w:pPr>
        <w:rPr>
          <w:lang w:val="en-GB" w:eastAsia="ja-JP"/>
        </w:rPr>
      </w:pPr>
    </w:p>
    <w:p w14:paraId="26EBBF7F" w14:textId="62FB736F" w:rsidR="00E411B9" w:rsidRPr="00D93FF9" w:rsidRDefault="00E411B9" w:rsidP="00926B7F">
      <w:pPr>
        <w:rPr>
          <w:lang w:val="en-GB" w:eastAsia="ja-JP"/>
        </w:rPr>
      </w:pPr>
    </w:p>
    <w:p w14:paraId="63885778" w14:textId="009070E3" w:rsidR="00E411B9" w:rsidRPr="00D93FF9" w:rsidRDefault="00E411B9" w:rsidP="00926B7F">
      <w:pPr>
        <w:rPr>
          <w:lang w:val="en-GB" w:eastAsia="ja-JP"/>
        </w:rPr>
      </w:pPr>
    </w:p>
    <w:p w14:paraId="40476338" w14:textId="0DB64260" w:rsidR="00E411B9" w:rsidRPr="00D93FF9" w:rsidRDefault="00E411B9" w:rsidP="00926B7F">
      <w:pPr>
        <w:rPr>
          <w:lang w:val="en-GB" w:eastAsia="ja-JP"/>
        </w:rPr>
      </w:pPr>
    </w:p>
    <w:p w14:paraId="241D1273" w14:textId="0A599AC0" w:rsidR="00E411B9" w:rsidRPr="00D93FF9" w:rsidRDefault="00E411B9" w:rsidP="00926B7F">
      <w:pPr>
        <w:rPr>
          <w:lang w:val="en-GB" w:eastAsia="ja-JP"/>
        </w:rPr>
      </w:pPr>
    </w:p>
    <w:p w14:paraId="2A926A7A" w14:textId="4E0BA309" w:rsidR="00E411B9" w:rsidRPr="00D93FF9" w:rsidRDefault="00E411B9" w:rsidP="00926B7F">
      <w:pPr>
        <w:rPr>
          <w:lang w:val="en-GB" w:eastAsia="ja-JP"/>
        </w:rPr>
      </w:pPr>
    </w:p>
    <w:p w14:paraId="2F7A6C82" w14:textId="06A181B6" w:rsidR="00E411B9" w:rsidRPr="00D93FF9" w:rsidRDefault="00E411B9" w:rsidP="00926B7F">
      <w:pPr>
        <w:rPr>
          <w:lang w:val="en-GB" w:eastAsia="ja-JP"/>
        </w:rPr>
      </w:pPr>
    </w:p>
    <w:p w14:paraId="7CF9C55B" w14:textId="151534A3" w:rsidR="00E411B9" w:rsidRPr="00D93FF9" w:rsidRDefault="00E411B9" w:rsidP="00926B7F">
      <w:pPr>
        <w:rPr>
          <w:lang w:val="en-GB" w:eastAsia="ja-JP"/>
        </w:rPr>
      </w:pPr>
    </w:p>
    <w:p w14:paraId="69911F5D" w14:textId="7F6D1DEE" w:rsidR="00E411B9" w:rsidRPr="00D93FF9" w:rsidRDefault="00E411B9" w:rsidP="00926B7F">
      <w:pPr>
        <w:rPr>
          <w:lang w:val="en-GB" w:eastAsia="ja-JP"/>
        </w:rPr>
      </w:pPr>
    </w:p>
    <w:p w14:paraId="182229ED" w14:textId="71AF2350" w:rsidR="00E411B9" w:rsidRPr="00D93FF9" w:rsidRDefault="00E411B9" w:rsidP="00926B7F">
      <w:pPr>
        <w:rPr>
          <w:lang w:val="en-GB" w:eastAsia="ja-JP"/>
        </w:rPr>
      </w:pPr>
    </w:p>
    <w:p w14:paraId="66EAB96F" w14:textId="77777777" w:rsidR="00E411B9" w:rsidRPr="00D93FF9" w:rsidRDefault="00E411B9" w:rsidP="00926B7F">
      <w:pPr>
        <w:rPr>
          <w:lang w:val="en-GB" w:eastAsia="ja-JP"/>
        </w:rPr>
      </w:pPr>
    </w:p>
    <w:p w14:paraId="450A3D7E" w14:textId="77777777" w:rsidR="00926B7F" w:rsidRPr="00D93FF9" w:rsidRDefault="00926B7F" w:rsidP="00926B7F">
      <w:pPr>
        <w:rPr>
          <w:lang w:val="en-GB" w:eastAsia="ja-JP"/>
        </w:rPr>
      </w:pPr>
    </w:p>
    <w:p w14:paraId="3E8C6F30" w14:textId="77777777" w:rsidR="00926B7F" w:rsidRPr="00D93FF9" w:rsidRDefault="00926B7F" w:rsidP="003807A1">
      <w:pPr>
        <w:spacing w:after="0"/>
        <w:rPr>
          <w:i/>
          <w:sz w:val="18"/>
          <w:lang w:val="en-GB"/>
        </w:rPr>
      </w:pPr>
    </w:p>
    <w:p w14:paraId="052687C1" w14:textId="77777777" w:rsidR="00926B7F" w:rsidRPr="00D93FF9" w:rsidRDefault="00926B7F" w:rsidP="003807A1">
      <w:pPr>
        <w:spacing w:after="0"/>
        <w:rPr>
          <w:i/>
          <w:sz w:val="18"/>
          <w:lang w:val="en-GB"/>
        </w:rPr>
      </w:pPr>
    </w:p>
    <w:p w14:paraId="59DCDC19" w14:textId="3B685D6E" w:rsidR="00C46175" w:rsidRPr="00FF241C" w:rsidRDefault="00E811B8" w:rsidP="003807A1">
      <w:pPr>
        <w:spacing w:after="0"/>
        <w:rPr>
          <w:i/>
          <w:sz w:val="18"/>
          <w:lang w:val="en-GB"/>
        </w:rPr>
        <w:sectPr w:rsidR="00C46175" w:rsidRPr="00FF241C" w:rsidSect="003807A1">
          <w:headerReference w:type="even" r:id="rId76"/>
          <w:headerReference w:type="default" r:id="rId77"/>
          <w:headerReference w:type="first" r:id="rId78"/>
          <w:pgSz w:w="11900" w:h="16840"/>
          <w:pgMar w:top="1440" w:right="1440" w:bottom="1440" w:left="1440" w:header="0" w:footer="738" w:gutter="0"/>
          <w:cols w:space="720"/>
        </w:sectPr>
      </w:pPr>
      <w:r w:rsidRPr="00D93FF9">
        <w:rPr>
          <w:i/>
          <w:sz w:val="18"/>
          <w:lang w:val="en-GB"/>
        </w:rPr>
        <w:t>This page has been left blank intentionally</w:t>
      </w:r>
    </w:p>
    <w:p w14:paraId="59DCDC1A" w14:textId="77777777" w:rsidR="00C46175" w:rsidRPr="0056438C" w:rsidRDefault="00C46175" w:rsidP="003807A1">
      <w:pPr>
        <w:spacing w:after="0"/>
        <w:rPr>
          <w:rFonts w:ascii="Arial" w:hAnsi="Arial"/>
          <w:sz w:val="20"/>
          <w:lang w:val="en-GB"/>
        </w:rPr>
      </w:pPr>
      <w:bookmarkStart w:id="418" w:name="9.3_Livestock_drinking_water_guidelines"/>
      <w:bookmarkStart w:id="419" w:name="9.3.1__Introduction"/>
      <w:bookmarkStart w:id="420" w:name="9.3.2__Derivation_and_use_of_guidelines"/>
      <w:bookmarkStart w:id="421" w:name="Microcystin"/>
      <w:bookmarkStart w:id="422" w:name="9.3.5.18__Vanadium"/>
      <w:bookmarkStart w:id="423" w:name="9.3.5.19__Zinc"/>
      <w:bookmarkStart w:id="424" w:name="Derivation_of_guidelines"/>
      <w:bookmarkStart w:id="425" w:name="9.3.7__Radiological_quality"/>
      <w:bookmarkStart w:id="426" w:name="9.3.8__Future_information_needs_for_live"/>
      <w:bookmarkStart w:id="427" w:name="9.3.8.1__Biological_parameters"/>
      <w:bookmarkStart w:id="428" w:name="9.3.8.2__Pesticides"/>
      <w:bookmarkStart w:id="429" w:name="9.4_Aquaculture_and_human_consumers_of_a"/>
      <w:bookmarkStart w:id="430" w:name="9.4.1__Introduction"/>
      <w:bookmarkEnd w:id="418"/>
      <w:bookmarkEnd w:id="419"/>
      <w:bookmarkEnd w:id="420"/>
      <w:bookmarkEnd w:id="421"/>
      <w:bookmarkEnd w:id="422"/>
      <w:bookmarkEnd w:id="423"/>
      <w:bookmarkEnd w:id="424"/>
      <w:bookmarkEnd w:id="425"/>
      <w:bookmarkEnd w:id="426"/>
      <w:bookmarkEnd w:id="427"/>
      <w:bookmarkEnd w:id="428"/>
      <w:bookmarkEnd w:id="429"/>
      <w:bookmarkEnd w:id="430"/>
      <w:bookmarkEnd w:id="0"/>
    </w:p>
    <w:sectPr w:rsidR="00C46175" w:rsidRPr="0056438C" w:rsidSect="003807A1">
      <w:headerReference w:type="even" r:id="rId79"/>
      <w:headerReference w:type="default" r:id="rId80"/>
      <w:footerReference w:type="default" r:id="rId81"/>
      <w:headerReference w:type="first" r:id="rId82"/>
      <w:pgSz w:w="11900" w:h="16840"/>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30298" w14:textId="77777777" w:rsidR="00CC1395" w:rsidRDefault="00CC1395">
      <w:pPr>
        <w:spacing w:after="0" w:line="240" w:lineRule="auto"/>
      </w:pPr>
      <w:r>
        <w:separator/>
      </w:r>
    </w:p>
  </w:endnote>
  <w:endnote w:type="continuationSeparator" w:id="0">
    <w:p w14:paraId="60804AB5" w14:textId="77777777" w:rsidR="00CC1395" w:rsidRDefault="00CC1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TCGaramondStd-L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 Light">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Frutiger-Light">
    <w:altName w:val="Yu Gothic"/>
    <w:panose1 w:val="00000000000000000000"/>
    <w:charset w:val="80"/>
    <w:family w:val="swiss"/>
    <w:notTrueType/>
    <w:pitch w:val="default"/>
    <w:sig w:usb0="00000001" w:usb1="08070000" w:usb2="00000010" w:usb3="00000000" w:csb0="00020000" w:csb1="00000000"/>
  </w:font>
  <w:font w:name="Times-Roman">
    <w:altName w:val="Times New Roman"/>
    <w:panose1 w:val="00000000000000000000"/>
    <w:charset w:val="00"/>
    <w:family w:val="swiss"/>
    <w:notTrueType/>
    <w:pitch w:val="default"/>
    <w:sig w:usb0="00000003" w:usb1="00000000" w:usb2="00000000" w:usb3="00000000" w:csb0="00000001" w:csb1="00000000"/>
  </w:font>
  <w:font w:name="URWPalladioL-Roma">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jaVu Math TeX Gyre">
    <w:altName w:val="Calibri"/>
    <w:charset w:val="00"/>
    <w:family w:val="auto"/>
    <w:pitch w:val="variable"/>
    <w:sig w:usb0="A10000EF" w:usb1="4201F9EE" w:usb2="02000000" w:usb3="00000000" w:csb0="00000193" w:csb1="00000000"/>
  </w:font>
  <w:font w:name="Myriad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DD20" w14:textId="7BE7C6B3" w:rsidR="00FE2735" w:rsidRPr="00E307CA" w:rsidRDefault="00C61CF6" w:rsidP="00B35BA5">
    <w:pPr>
      <w:pStyle w:val="Footer"/>
      <w:tabs>
        <w:tab w:val="clear" w:pos="4536"/>
        <w:tab w:val="left" w:pos="8647"/>
        <w:tab w:val="left" w:pos="14034"/>
      </w:tabs>
      <w:spacing w:before="120"/>
    </w:pPr>
    <w:r w:rsidRPr="00C61CF6">
      <w:t>Water quality for irrigation and general water uses</w:t>
    </w:r>
    <w:r w:rsidR="00B00185">
      <w:t xml:space="preserve">: </w:t>
    </w:r>
    <w:r w:rsidR="00B00185" w:rsidRPr="00C61CF6">
      <w:t>Background information</w:t>
    </w:r>
    <w:r w:rsidR="00E811B8" w:rsidRPr="00E307CA">
      <w:tab/>
    </w:r>
    <w:r w:rsidR="00E811B8" w:rsidRPr="00E307CA">
      <w:fldChar w:fldCharType="begin"/>
    </w:r>
    <w:r w:rsidR="00E811B8" w:rsidRPr="00E307CA">
      <w:instrText xml:space="preserve"> PAGE   \* MERGEFORMAT </w:instrText>
    </w:r>
    <w:r w:rsidR="00E811B8" w:rsidRPr="00E307CA">
      <w:fldChar w:fldCharType="separate"/>
    </w:r>
    <w:r w:rsidR="00E811B8" w:rsidRPr="00E307CA">
      <w:t>6</w:t>
    </w:r>
    <w:r w:rsidR="00E811B8" w:rsidRPr="00E307CA">
      <w:fldChar w:fldCharType="end"/>
    </w:r>
  </w:p>
  <w:p w14:paraId="59DCDD21" w14:textId="77777777" w:rsidR="00FE2735" w:rsidRDefault="00FE273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60983"/>
      <w:docPartObj>
        <w:docPartGallery w:val="Page Numbers (Bottom of Page)"/>
        <w:docPartUnique/>
      </w:docPartObj>
    </w:sdtPr>
    <w:sdtEndPr>
      <w:rPr>
        <w:noProof/>
      </w:rPr>
    </w:sdtEndPr>
    <w:sdtContent>
      <w:p w14:paraId="31759B9B" w14:textId="7F750BA7" w:rsidR="00D543C4" w:rsidRDefault="00D543C4">
        <w:pPr>
          <w:pStyle w:val="Footer"/>
          <w:jc w:val="right"/>
        </w:pPr>
        <w:r w:rsidRPr="00E307CA">
          <w:t>Australian and New Zealand Guidelines for Fresh and Marine Water Quality</w:t>
        </w:r>
        <w:r>
          <w:tab/>
        </w:r>
        <w:r>
          <w:tab/>
        </w:r>
        <w:r>
          <w:tab/>
        </w:r>
        <w:r>
          <w:tab/>
        </w:r>
        <w:r>
          <w:tab/>
          <w:t xml:space="preserve"> </w:t>
        </w:r>
        <w:r>
          <w:fldChar w:fldCharType="begin"/>
        </w:r>
        <w:r>
          <w:instrText xml:space="preserve"> PAGE   \* MERGEFORMAT </w:instrText>
        </w:r>
        <w:r>
          <w:fldChar w:fldCharType="separate"/>
        </w:r>
        <w:r>
          <w:rPr>
            <w:noProof/>
          </w:rPr>
          <w:t>2</w:t>
        </w:r>
        <w:r>
          <w:rPr>
            <w:noProof/>
          </w:rPr>
          <w:fldChar w:fldCharType="end"/>
        </w:r>
      </w:p>
    </w:sdtContent>
  </w:sdt>
  <w:p w14:paraId="59DCDD24" w14:textId="77777777" w:rsidR="00FE2735" w:rsidRDefault="00FE273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7671" w14:textId="77777777" w:rsidR="00D543C4" w:rsidRDefault="00D543C4" w:rsidP="00D543C4">
    <w:pPr>
      <w:pStyle w:val="Footer"/>
      <w:jc w:val="right"/>
      <w:rPr>
        <w:rFonts w:asciiTheme="minorHAnsi" w:hAnsiTheme="minorHAnsi"/>
        <w:noProof/>
        <w:sz w:val="22"/>
      </w:rPr>
    </w:pPr>
    <w:r w:rsidRPr="00E307CA">
      <w:t>Australian and New Zealand Guidelines for Fresh and Marine Water Quality</w:t>
    </w:r>
    <w:r>
      <w:tab/>
    </w:r>
    <w:r>
      <w:tab/>
    </w:r>
    <w:sdt>
      <w:sdtPr>
        <w:id w:val="-17410145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54</w:t>
        </w:r>
        <w:r>
          <w:rPr>
            <w:noProof/>
          </w:rPr>
          <w:fldChar w:fldCharType="end"/>
        </w:r>
      </w:sdtContent>
    </w:sdt>
  </w:p>
  <w:p w14:paraId="59DCDD25" w14:textId="186AC2EA" w:rsidR="00FE2735" w:rsidRPr="006B16D6" w:rsidRDefault="00FE2735" w:rsidP="006B16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56715"/>
      <w:docPartObj>
        <w:docPartGallery w:val="Page Numbers (Bottom of Page)"/>
        <w:docPartUnique/>
      </w:docPartObj>
    </w:sdtPr>
    <w:sdtEndPr>
      <w:rPr>
        <w:noProof/>
      </w:rPr>
    </w:sdtEndPr>
    <w:sdtContent>
      <w:p w14:paraId="47503F85" w14:textId="14FF2566" w:rsidR="00BF57B9" w:rsidRDefault="00BF57B9">
        <w:pPr>
          <w:pStyle w:val="Footer"/>
          <w:jc w:val="right"/>
        </w:pPr>
        <w:r w:rsidRPr="00E307CA">
          <w:t>Australian and New Zealand Guidelines for Fresh and Marine Water Quality</w:t>
        </w:r>
        <w:r>
          <w:tab/>
        </w:r>
        <w:r>
          <w:tab/>
        </w:r>
        <w:r>
          <w:tab/>
        </w:r>
        <w:r>
          <w:tab/>
          <w:t xml:space="preserve"> </w:t>
        </w:r>
        <w:r>
          <w:fldChar w:fldCharType="begin"/>
        </w:r>
        <w:r>
          <w:instrText xml:space="preserve"> PAGE   \* MERGEFORMAT </w:instrText>
        </w:r>
        <w:r>
          <w:fldChar w:fldCharType="separate"/>
        </w:r>
        <w:r>
          <w:rPr>
            <w:noProof/>
          </w:rPr>
          <w:t>2</w:t>
        </w:r>
        <w:r>
          <w:rPr>
            <w:noProof/>
          </w:rPr>
          <w:fldChar w:fldCharType="end"/>
        </w:r>
      </w:p>
    </w:sdtContent>
  </w:sdt>
  <w:p w14:paraId="59DCDD26" w14:textId="77777777" w:rsidR="00FE2735" w:rsidRDefault="00FE273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A294" w14:textId="07EEF874" w:rsidR="00BF57B9" w:rsidRDefault="00BF57B9">
    <w:pPr>
      <w:pStyle w:val="Footer"/>
      <w:jc w:val="right"/>
    </w:pPr>
    <w:r w:rsidRPr="00E307CA">
      <w:t>Australian and New Zealand Guidelines for Fresh and Marine Water Quality</w:t>
    </w:r>
    <w:r>
      <w:t xml:space="preserve"> </w:t>
    </w:r>
    <w:r>
      <w:tab/>
    </w:r>
    <w:r>
      <w:tab/>
    </w:r>
    <w:r>
      <w:tab/>
    </w:r>
    <w:r>
      <w:tab/>
    </w:r>
    <w:sdt>
      <w:sdtPr>
        <w:id w:val="5839633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9DCDD27" w14:textId="77777777" w:rsidR="00FE2735" w:rsidRDefault="00FE273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17C9" w14:textId="6327C0EF" w:rsidR="00BF57B9" w:rsidRDefault="00BF57B9">
    <w:pPr>
      <w:pStyle w:val="Footer"/>
      <w:jc w:val="right"/>
    </w:pPr>
    <w:r w:rsidRPr="00E307CA">
      <w:t>Australian and New Zealand Guidelines for Fresh and Marine Water Quality</w:t>
    </w:r>
    <w:r>
      <w:t xml:space="preserve"> </w:t>
    </w:r>
    <w:r>
      <w:tab/>
    </w:r>
    <w:r>
      <w:tab/>
    </w:r>
    <w:r>
      <w:tab/>
    </w:r>
    <w:sdt>
      <w:sdtPr>
        <w:id w:val="-345045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9DCDD29" w14:textId="77777777" w:rsidR="00FE2735" w:rsidRPr="00ED717A" w:rsidRDefault="00FE2735" w:rsidP="00ED71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5FEA" w14:textId="0EDF3072" w:rsidR="00BF57B9" w:rsidRDefault="00BF57B9">
    <w:pPr>
      <w:pStyle w:val="Footer"/>
      <w:jc w:val="right"/>
    </w:pPr>
    <w:r w:rsidRPr="00E307CA">
      <w:t>Australian and New Zealand Guidelines for Fresh and Marine Water Quality</w:t>
    </w:r>
    <w:r>
      <w:t xml:space="preserve"> </w:t>
    </w:r>
    <w:r>
      <w:tab/>
    </w:r>
    <w:r>
      <w:tab/>
    </w:r>
    <w:r>
      <w:tab/>
    </w:r>
    <w:sdt>
      <w:sdtPr>
        <w:id w:val="5364829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9DCDD2A" w14:textId="77777777" w:rsidR="00FE2735" w:rsidRPr="00ED717A" w:rsidRDefault="00FE2735" w:rsidP="00ED71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DD2C" w14:textId="77777777" w:rsidR="00FE2735" w:rsidRDefault="00FE273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5E1CA" w14:textId="77777777" w:rsidR="00CC1395" w:rsidRDefault="00CC1395">
      <w:pPr>
        <w:spacing w:after="0" w:line="240" w:lineRule="auto"/>
      </w:pPr>
      <w:r>
        <w:separator/>
      </w:r>
    </w:p>
  </w:footnote>
  <w:footnote w:type="continuationSeparator" w:id="0">
    <w:p w14:paraId="462D224E" w14:textId="77777777" w:rsidR="00CC1395" w:rsidRDefault="00CC1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CC9A" w14:textId="56EFCDC0" w:rsidR="0013670A" w:rsidRDefault="00735642">
    <w:pPr>
      <w:pStyle w:val="Header"/>
    </w:pPr>
    <w:r>
      <w:rPr>
        <w:noProof/>
      </w:rPr>
      <w:pict w14:anchorId="541C2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82" o:spid="_x0000_s1054" type="#_x0000_t136" style="position:absolute;left:0;text-align:left;margin-left:0;margin-top:0;width:397.4pt;height:238.45pt;rotation:315;z-index:-251655168;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10A9" w14:textId="0C445840" w:rsidR="00AB0509" w:rsidRDefault="00735642">
    <w:pPr>
      <w:pStyle w:val="Header"/>
    </w:pPr>
    <w:r>
      <w:rPr>
        <w:noProof/>
      </w:rPr>
      <w:pict w14:anchorId="35154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91" o:spid="_x0000_s1063" type="#_x0000_t136" style="position:absolute;left:0;text-align:left;margin-left:0;margin-top:0;width:397.4pt;height:238.45pt;rotation:315;z-index:-251636736;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CF43" w14:textId="2420B427" w:rsidR="00AB0509" w:rsidRDefault="00735642">
    <w:pPr>
      <w:pStyle w:val="Header"/>
    </w:pPr>
    <w:r>
      <w:rPr>
        <w:noProof/>
      </w:rPr>
      <w:pict w14:anchorId="5F2B8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92" o:spid="_x0000_s1064" type="#_x0000_t136" style="position:absolute;left:0;text-align:left;margin-left:0;margin-top:0;width:397.4pt;height:238.45pt;rotation:315;z-index:-251634688;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12CD" w14:textId="49F4063D" w:rsidR="00AB0509" w:rsidRDefault="00735642">
    <w:pPr>
      <w:pStyle w:val="Header"/>
    </w:pPr>
    <w:r>
      <w:rPr>
        <w:noProof/>
      </w:rPr>
      <w:pict w14:anchorId="6EA84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90" o:spid="_x0000_s1062" type="#_x0000_t136" style="position:absolute;left:0;text-align:left;margin-left:0;margin-top:0;width:397.4pt;height:238.45pt;rotation:315;z-index:-251638784;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9BED" w14:textId="3FAB55FB" w:rsidR="00AB0509" w:rsidRDefault="00735642">
    <w:pPr>
      <w:pStyle w:val="Header"/>
    </w:pPr>
    <w:r>
      <w:rPr>
        <w:noProof/>
      </w:rPr>
      <w:pict w14:anchorId="14D80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94" o:spid="_x0000_s1066" type="#_x0000_t136" style="position:absolute;left:0;text-align:left;margin-left:0;margin-top:0;width:397.4pt;height:238.45pt;rotation:315;z-index:-251630592;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8DAF" w14:textId="0E768A7F" w:rsidR="00AB0509" w:rsidRDefault="00735642">
    <w:pPr>
      <w:pStyle w:val="Header"/>
    </w:pPr>
    <w:r>
      <w:rPr>
        <w:noProof/>
      </w:rPr>
      <w:pict w14:anchorId="6F4D9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95" o:spid="_x0000_s1067" type="#_x0000_t136" style="position:absolute;left:0;text-align:left;margin-left:0;margin-top:0;width:397.4pt;height:238.45pt;rotation:315;z-index:-251628544;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9A17" w14:textId="357E2133" w:rsidR="00AB0509" w:rsidRDefault="00735642">
    <w:pPr>
      <w:pStyle w:val="Header"/>
    </w:pPr>
    <w:r>
      <w:rPr>
        <w:noProof/>
      </w:rPr>
      <w:pict w14:anchorId="3043D6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93" o:spid="_x0000_s1065" type="#_x0000_t136" style="position:absolute;left:0;text-align:left;margin-left:0;margin-top:0;width:397.4pt;height:238.45pt;rotation:315;z-index:-251632640;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D03E" w14:textId="5576ED85" w:rsidR="00AB0509" w:rsidRDefault="00735642">
    <w:pPr>
      <w:pStyle w:val="Header"/>
    </w:pPr>
    <w:r>
      <w:rPr>
        <w:noProof/>
      </w:rPr>
      <w:pict w14:anchorId="429B2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97" o:spid="_x0000_s1069" type="#_x0000_t136" style="position:absolute;left:0;text-align:left;margin-left:0;margin-top:0;width:397.4pt;height:238.45pt;rotation:315;z-index:-251624448;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9A09" w14:textId="02A56513" w:rsidR="00AB0509" w:rsidRDefault="00735642">
    <w:pPr>
      <w:pStyle w:val="Header"/>
    </w:pPr>
    <w:r>
      <w:rPr>
        <w:noProof/>
      </w:rPr>
      <w:pict w14:anchorId="5FF98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98" o:spid="_x0000_s1070" type="#_x0000_t136" style="position:absolute;left:0;text-align:left;margin-left:0;margin-top:0;width:397.4pt;height:238.45pt;rotation:315;z-index:-251622400;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011E" w14:textId="1268B5A7" w:rsidR="00AB0509" w:rsidRDefault="00735642">
    <w:pPr>
      <w:pStyle w:val="Header"/>
    </w:pPr>
    <w:r>
      <w:rPr>
        <w:noProof/>
      </w:rPr>
      <w:pict w14:anchorId="75C7F0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96" o:spid="_x0000_s1068" type="#_x0000_t136" style="position:absolute;left:0;text-align:left;margin-left:0;margin-top:0;width:397.4pt;height:238.45pt;rotation:315;z-index:-251626496;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2E73" w14:textId="57649DFC" w:rsidR="00AB0509" w:rsidRDefault="00735642">
    <w:pPr>
      <w:pStyle w:val="Header"/>
    </w:pPr>
    <w:r>
      <w:rPr>
        <w:noProof/>
      </w:rPr>
      <w:pict w14:anchorId="3DA0A8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300" o:spid="_x0000_s1072" type="#_x0000_t136" style="position:absolute;left:0;text-align:left;margin-left:0;margin-top:0;width:397.4pt;height:238.45pt;rotation:315;z-index:-251618304;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3AFE" w14:textId="4CF9DE8A" w:rsidR="00AB0509" w:rsidRDefault="00735642">
    <w:pPr>
      <w:pStyle w:val="Header"/>
    </w:pPr>
    <w:r>
      <w:rPr>
        <w:noProof/>
      </w:rPr>
      <w:pict w14:anchorId="7B823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83" o:spid="_x0000_s1055" type="#_x0000_t136" style="position:absolute;left:0;text-align:left;margin-left:0;margin-top:0;width:397.4pt;height:238.45pt;rotation:315;z-index:-251653120;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9FAC" w14:textId="364AFB58" w:rsidR="00AB0509" w:rsidRDefault="00735642">
    <w:pPr>
      <w:pStyle w:val="Header"/>
    </w:pPr>
    <w:r>
      <w:rPr>
        <w:noProof/>
      </w:rPr>
      <w:pict w14:anchorId="1852A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301" o:spid="_x0000_s1073" type="#_x0000_t136" style="position:absolute;left:0;text-align:left;margin-left:0;margin-top:0;width:397.4pt;height:238.45pt;rotation:315;z-index:-251616256;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6A74" w14:textId="3BA6C184" w:rsidR="00AB0509" w:rsidRDefault="00735642">
    <w:pPr>
      <w:pStyle w:val="Header"/>
    </w:pPr>
    <w:r>
      <w:rPr>
        <w:noProof/>
      </w:rPr>
      <w:pict w14:anchorId="62463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99" o:spid="_x0000_s1071" type="#_x0000_t136" style="position:absolute;left:0;text-align:left;margin-left:0;margin-top:0;width:397.4pt;height:238.45pt;rotation:315;z-index:-251620352;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623C" w14:textId="4E05761B" w:rsidR="00AB0509" w:rsidRDefault="00735642">
    <w:pPr>
      <w:pStyle w:val="Header"/>
    </w:pPr>
    <w:r>
      <w:rPr>
        <w:noProof/>
      </w:rPr>
      <w:pict w14:anchorId="37E10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303" o:spid="_x0000_s1075" type="#_x0000_t136" style="position:absolute;left:0;text-align:left;margin-left:0;margin-top:0;width:397.4pt;height:238.45pt;rotation:315;z-index:-251612160;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0C037" w14:textId="38C89B7E" w:rsidR="00AB0509" w:rsidRDefault="00735642">
    <w:pPr>
      <w:pStyle w:val="Header"/>
    </w:pPr>
    <w:r>
      <w:rPr>
        <w:noProof/>
      </w:rPr>
      <w:pict w14:anchorId="121B34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304" o:spid="_x0000_s1076" type="#_x0000_t136" style="position:absolute;left:0;text-align:left;margin-left:0;margin-top:0;width:397.4pt;height:238.45pt;rotation:315;z-index:-251610112;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184B3" w14:textId="3893E762" w:rsidR="00AB0509" w:rsidRDefault="00735642">
    <w:pPr>
      <w:pStyle w:val="Header"/>
    </w:pPr>
    <w:r>
      <w:rPr>
        <w:noProof/>
      </w:rPr>
      <w:pict w14:anchorId="1CF33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302" o:spid="_x0000_s1074" type="#_x0000_t136" style="position:absolute;left:0;text-align:left;margin-left:0;margin-top:0;width:397.4pt;height:238.45pt;rotation:315;z-index:-251614208;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5A39" w14:textId="3F803929" w:rsidR="00AB0509" w:rsidRDefault="00735642">
    <w:pPr>
      <w:pStyle w:val="Header"/>
    </w:pPr>
    <w:r>
      <w:rPr>
        <w:noProof/>
      </w:rPr>
      <w:pict w14:anchorId="41FDC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306" o:spid="_x0000_s1078" type="#_x0000_t136" style="position:absolute;left:0;text-align:left;margin-left:0;margin-top:0;width:397.4pt;height:238.45pt;rotation:315;z-index:-251606016;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0E85" w14:textId="5110BDFC" w:rsidR="00AB0509" w:rsidRDefault="00735642">
    <w:pPr>
      <w:pStyle w:val="Header"/>
    </w:pPr>
    <w:r>
      <w:rPr>
        <w:noProof/>
      </w:rPr>
      <w:pict w14:anchorId="78F7A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307" o:spid="_x0000_s1079" type="#_x0000_t136" style="position:absolute;left:0;text-align:left;margin-left:0;margin-top:0;width:397.4pt;height:238.45pt;rotation:315;z-index:-251603968;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9810" w14:textId="38333A0F" w:rsidR="00AB0509" w:rsidRDefault="00735642">
    <w:pPr>
      <w:pStyle w:val="Header"/>
    </w:pPr>
    <w:r>
      <w:rPr>
        <w:noProof/>
      </w:rPr>
      <w:pict w14:anchorId="1FBD3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305" o:spid="_x0000_s1077" type="#_x0000_t136" style="position:absolute;left:0;text-align:left;margin-left:0;margin-top:0;width:397.4pt;height:238.45pt;rotation:315;z-index:-251608064;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F024" w14:textId="4D81839B" w:rsidR="0013670A" w:rsidRDefault="00735642">
    <w:pPr>
      <w:pStyle w:val="Header"/>
    </w:pPr>
    <w:r>
      <w:rPr>
        <w:noProof/>
      </w:rPr>
      <w:pict w14:anchorId="7AC75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81" o:spid="_x0000_s1053" type="#_x0000_t136" style="position:absolute;left:0;text-align:left;margin-left:0;margin-top:0;width:397.4pt;height:238.45pt;rotation:315;z-index:-251657216;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3B566" w14:textId="4963EF4C" w:rsidR="00AB0509" w:rsidRDefault="00735642">
    <w:pPr>
      <w:pStyle w:val="Header"/>
    </w:pPr>
    <w:r>
      <w:rPr>
        <w:noProof/>
      </w:rPr>
      <w:pict w14:anchorId="5CE7F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85" o:spid="_x0000_s1057" type="#_x0000_t136" style="position:absolute;left:0;text-align:left;margin-left:0;margin-top:0;width:397.4pt;height:238.45pt;rotation:315;z-index:-251649024;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DF27" w14:textId="35A1E80D" w:rsidR="00AB0509" w:rsidRDefault="00735642">
    <w:pPr>
      <w:pStyle w:val="Header"/>
    </w:pPr>
    <w:r>
      <w:rPr>
        <w:noProof/>
      </w:rPr>
      <w:pict w14:anchorId="2F8C54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86" o:spid="_x0000_s1058" type="#_x0000_t136" style="position:absolute;left:0;text-align:left;margin-left:0;margin-top:0;width:397.4pt;height:238.45pt;rotation:315;z-index:-251646976;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2C88D" w14:textId="2B7A226E" w:rsidR="00AB0509" w:rsidRDefault="00735642">
    <w:pPr>
      <w:pStyle w:val="Header"/>
    </w:pPr>
    <w:r>
      <w:rPr>
        <w:noProof/>
      </w:rPr>
      <w:pict w14:anchorId="5E9F9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84" o:spid="_x0000_s1056" type="#_x0000_t136" style="position:absolute;left:0;text-align:left;margin-left:0;margin-top:0;width:397.4pt;height:238.45pt;rotation:315;z-index:-251651072;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EE76" w14:textId="799CE8A5" w:rsidR="00AB0509" w:rsidRDefault="00735642">
    <w:pPr>
      <w:pStyle w:val="Header"/>
    </w:pPr>
    <w:r>
      <w:rPr>
        <w:noProof/>
      </w:rPr>
      <w:pict w14:anchorId="0758E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88" o:spid="_x0000_s1060" type="#_x0000_t136" style="position:absolute;left:0;text-align:left;margin-left:0;margin-top:0;width:397.4pt;height:238.45pt;rotation:315;z-index:-251642880;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CE19" w14:textId="4AD7E531" w:rsidR="00AB0509" w:rsidRDefault="00735642">
    <w:pPr>
      <w:pStyle w:val="Header"/>
    </w:pPr>
    <w:r>
      <w:rPr>
        <w:noProof/>
      </w:rPr>
      <w:pict w14:anchorId="22D46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89" o:spid="_x0000_s1061" type="#_x0000_t136" style="position:absolute;left:0;text-align:left;margin-left:0;margin-top:0;width:397.4pt;height:238.45pt;rotation:315;z-index:-251640832;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1D1C" w14:textId="525D746B" w:rsidR="00AB0509" w:rsidRDefault="00735642">
    <w:pPr>
      <w:pStyle w:val="Header"/>
    </w:pPr>
    <w:r>
      <w:rPr>
        <w:noProof/>
      </w:rPr>
      <w:pict w14:anchorId="12D00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287" o:spid="_x0000_s1059" type="#_x0000_t136" style="position:absolute;left:0;text-align:left;margin-left:0;margin-top:0;width:397.4pt;height:238.45pt;rotation:315;z-index:-251644928;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65A9A8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3" w15:restartNumberingAfterBreak="0">
    <w:nsid w:val="182D2FA7"/>
    <w:multiLevelType w:val="hybridMultilevel"/>
    <w:tmpl w:val="B27AA5EC"/>
    <w:lvl w:ilvl="0" w:tplc="0F9E8B0E">
      <w:start w:val="1"/>
      <w:numFmt w:val="lowerLetter"/>
      <w:lvlText w:val="%1"/>
      <w:lvlJc w:val="left"/>
      <w:pPr>
        <w:ind w:left="455" w:hanging="238"/>
      </w:pPr>
      <w:rPr>
        <w:rFonts w:ascii="Arial" w:eastAsia="Arial" w:hAnsi="Arial" w:cs="Arial" w:hint="default"/>
        <w:w w:val="99"/>
        <w:sz w:val="14"/>
        <w:szCs w:val="14"/>
        <w:lang w:val="en-US" w:eastAsia="en-US" w:bidi="en-US"/>
      </w:rPr>
    </w:lvl>
    <w:lvl w:ilvl="1" w:tplc="37A40F1A">
      <w:numFmt w:val="bullet"/>
      <w:lvlText w:val="•"/>
      <w:lvlJc w:val="left"/>
      <w:pPr>
        <w:ind w:left="1446" w:hanging="238"/>
      </w:pPr>
      <w:rPr>
        <w:rFonts w:hint="default"/>
        <w:lang w:val="en-US" w:eastAsia="en-US" w:bidi="en-US"/>
      </w:rPr>
    </w:lvl>
    <w:lvl w:ilvl="2" w:tplc="BAF4A7F2">
      <w:numFmt w:val="bullet"/>
      <w:lvlText w:val="•"/>
      <w:lvlJc w:val="left"/>
      <w:pPr>
        <w:ind w:left="2432" w:hanging="238"/>
      </w:pPr>
      <w:rPr>
        <w:rFonts w:hint="default"/>
        <w:lang w:val="en-US" w:eastAsia="en-US" w:bidi="en-US"/>
      </w:rPr>
    </w:lvl>
    <w:lvl w:ilvl="3" w:tplc="7D2429C4">
      <w:numFmt w:val="bullet"/>
      <w:lvlText w:val="•"/>
      <w:lvlJc w:val="left"/>
      <w:pPr>
        <w:ind w:left="3418" w:hanging="238"/>
      </w:pPr>
      <w:rPr>
        <w:rFonts w:hint="default"/>
        <w:lang w:val="en-US" w:eastAsia="en-US" w:bidi="en-US"/>
      </w:rPr>
    </w:lvl>
    <w:lvl w:ilvl="4" w:tplc="86F87308">
      <w:numFmt w:val="bullet"/>
      <w:lvlText w:val="•"/>
      <w:lvlJc w:val="left"/>
      <w:pPr>
        <w:ind w:left="4404" w:hanging="238"/>
      </w:pPr>
      <w:rPr>
        <w:rFonts w:hint="default"/>
        <w:lang w:val="en-US" w:eastAsia="en-US" w:bidi="en-US"/>
      </w:rPr>
    </w:lvl>
    <w:lvl w:ilvl="5" w:tplc="73981E26">
      <w:numFmt w:val="bullet"/>
      <w:lvlText w:val="•"/>
      <w:lvlJc w:val="left"/>
      <w:pPr>
        <w:ind w:left="5390" w:hanging="238"/>
      </w:pPr>
      <w:rPr>
        <w:rFonts w:hint="default"/>
        <w:lang w:val="en-US" w:eastAsia="en-US" w:bidi="en-US"/>
      </w:rPr>
    </w:lvl>
    <w:lvl w:ilvl="6" w:tplc="D80005AE">
      <w:numFmt w:val="bullet"/>
      <w:lvlText w:val="•"/>
      <w:lvlJc w:val="left"/>
      <w:pPr>
        <w:ind w:left="6376" w:hanging="238"/>
      </w:pPr>
      <w:rPr>
        <w:rFonts w:hint="default"/>
        <w:lang w:val="en-US" w:eastAsia="en-US" w:bidi="en-US"/>
      </w:rPr>
    </w:lvl>
    <w:lvl w:ilvl="7" w:tplc="431CD55A">
      <w:numFmt w:val="bullet"/>
      <w:lvlText w:val="•"/>
      <w:lvlJc w:val="left"/>
      <w:pPr>
        <w:ind w:left="7362" w:hanging="238"/>
      </w:pPr>
      <w:rPr>
        <w:rFonts w:hint="default"/>
        <w:lang w:val="en-US" w:eastAsia="en-US" w:bidi="en-US"/>
      </w:rPr>
    </w:lvl>
    <w:lvl w:ilvl="8" w:tplc="84760956">
      <w:numFmt w:val="bullet"/>
      <w:lvlText w:val="•"/>
      <w:lvlJc w:val="left"/>
      <w:pPr>
        <w:ind w:left="8348" w:hanging="238"/>
      </w:pPr>
      <w:rPr>
        <w:rFonts w:hint="default"/>
        <w:lang w:val="en-US" w:eastAsia="en-US" w:bidi="en-US"/>
      </w:rPr>
    </w:lvl>
  </w:abstractNum>
  <w:abstractNum w:abstractNumId="4" w15:restartNumberingAfterBreak="0">
    <w:nsid w:val="196B606F"/>
    <w:multiLevelType w:val="hybridMultilevel"/>
    <w:tmpl w:val="E0560262"/>
    <w:lvl w:ilvl="0" w:tplc="61069636">
      <w:start w:val="1"/>
      <w:numFmt w:val="bullet"/>
      <w:pStyle w:val="TableBullet"/>
      <w:lvlText w:val=""/>
      <w:lvlJc w:val="left"/>
      <w:pPr>
        <w:ind w:left="720" w:hanging="360"/>
      </w:pPr>
      <w:rPr>
        <w:rFonts w:ascii="Symbol" w:hAnsi="Symbol" w:hint="default"/>
      </w:rPr>
    </w:lvl>
    <w:lvl w:ilvl="1" w:tplc="31806DE0" w:tentative="1">
      <w:start w:val="1"/>
      <w:numFmt w:val="bullet"/>
      <w:lvlText w:val="o"/>
      <w:lvlJc w:val="left"/>
      <w:pPr>
        <w:ind w:left="1440" w:hanging="360"/>
      </w:pPr>
      <w:rPr>
        <w:rFonts w:ascii="Courier New" w:hAnsi="Courier New" w:cs="Courier New" w:hint="default"/>
      </w:rPr>
    </w:lvl>
    <w:lvl w:ilvl="2" w:tplc="B602E4B4" w:tentative="1">
      <w:start w:val="1"/>
      <w:numFmt w:val="bullet"/>
      <w:lvlText w:val=""/>
      <w:lvlJc w:val="left"/>
      <w:pPr>
        <w:ind w:left="2160" w:hanging="360"/>
      </w:pPr>
      <w:rPr>
        <w:rFonts w:ascii="Wingdings" w:hAnsi="Wingdings" w:hint="default"/>
      </w:rPr>
    </w:lvl>
    <w:lvl w:ilvl="3" w:tplc="8AD4731E" w:tentative="1">
      <w:start w:val="1"/>
      <w:numFmt w:val="bullet"/>
      <w:lvlText w:val=""/>
      <w:lvlJc w:val="left"/>
      <w:pPr>
        <w:ind w:left="2880" w:hanging="360"/>
      </w:pPr>
      <w:rPr>
        <w:rFonts w:ascii="Symbol" w:hAnsi="Symbol" w:hint="default"/>
      </w:rPr>
    </w:lvl>
    <w:lvl w:ilvl="4" w:tplc="C00AB514" w:tentative="1">
      <w:start w:val="1"/>
      <w:numFmt w:val="bullet"/>
      <w:lvlText w:val="o"/>
      <w:lvlJc w:val="left"/>
      <w:pPr>
        <w:ind w:left="3600" w:hanging="360"/>
      </w:pPr>
      <w:rPr>
        <w:rFonts w:ascii="Courier New" w:hAnsi="Courier New" w:cs="Courier New" w:hint="default"/>
      </w:rPr>
    </w:lvl>
    <w:lvl w:ilvl="5" w:tplc="729E8306" w:tentative="1">
      <w:start w:val="1"/>
      <w:numFmt w:val="bullet"/>
      <w:lvlText w:val=""/>
      <w:lvlJc w:val="left"/>
      <w:pPr>
        <w:ind w:left="4320" w:hanging="360"/>
      </w:pPr>
      <w:rPr>
        <w:rFonts w:ascii="Wingdings" w:hAnsi="Wingdings" w:hint="default"/>
      </w:rPr>
    </w:lvl>
    <w:lvl w:ilvl="6" w:tplc="0428F550" w:tentative="1">
      <w:start w:val="1"/>
      <w:numFmt w:val="bullet"/>
      <w:lvlText w:val=""/>
      <w:lvlJc w:val="left"/>
      <w:pPr>
        <w:ind w:left="5040" w:hanging="360"/>
      </w:pPr>
      <w:rPr>
        <w:rFonts w:ascii="Symbol" w:hAnsi="Symbol" w:hint="default"/>
      </w:rPr>
    </w:lvl>
    <w:lvl w:ilvl="7" w:tplc="81982544" w:tentative="1">
      <w:start w:val="1"/>
      <w:numFmt w:val="bullet"/>
      <w:lvlText w:val="o"/>
      <w:lvlJc w:val="left"/>
      <w:pPr>
        <w:ind w:left="5760" w:hanging="360"/>
      </w:pPr>
      <w:rPr>
        <w:rFonts w:ascii="Courier New" w:hAnsi="Courier New" w:cs="Courier New" w:hint="default"/>
      </w:rPr>
    </w:lvl>
    <w:lvl w:ilvl="8" w:tplc="288CD1C4" w:tentative="1">
      <w:start w:val="1"/>
      <w:numFmt w:val="bullet"/>
      <w:lvlText w:val=""/>
      <w:lvlJc w:val="left"/>
      <w:pPr>
        <w:ind w:left="6480" w:hanging="360"/>
      </w:pPr>
      <w:rPr>
        <w:rFonts w:ascii="Wingdings" w:hAnsi="Wingdings" w:hint="default"/>
      </w:rPr>
    </w:lvl>
  </w:abstractNum>
  <w:abstractNum w:abstractNumId="5" w15:restartNumberingAfterBreak="0">
    <w:nsid w:val="1BFE20B0"/>
    <w:multiLevelType w:val="hybridMultilevel"/>
    <w:tmpl w:val="CC94CC10"/>
    <w:lvl w:ilvl="0" w:tplc="8E18B83A">
      <w:start w:val="8"/>
      <w:numFmt w:val="bullet"/>
      <w:lvlText w:val="-"/>
      <w:lvlJc w:val="left"/>
      <w:pPr>
        <w:ind w:left="757" w:hanging="360"/>
      </w:pPr>
      <w:rPr>
        <w:rFonts w:ascii="Calibri" w:eastAsiaTheme="minorHAnsi" w:hAnsi="Calibri" w:cstheme="minorBidi" w:hint="default"/>
      </w:rPr>
    </w:lvl>
    <w:lvl w:ilvl="1" w:tplc="26640F00" w:tentative="1">
      <w:start w:val="1"/>
      <w:numFmt w:val="bullet"/>
      <w:lvlText w:val="o"/>
      <w:lvlJc w:val="left"/>
      <w:pPr>
        <w:ind w:left="1477" w:hanging="360"/>
      </w:pPr>
      <w:rPr>
        <w:rFonts w:ascii="Courier New" w:hAnsi="Courier New" w:cs="Courier New" w:hint="default"/>
      </w:rPr>
    </w:lvl>
    <w:lvl w:ilvl="2" w:tplc="B748FCB6" w:tentative="1">
      <w:start w:val="1"/>
      <w:numFmt w:val="bullet"/>
      <w:lvlText w:val=""/>
      <w:lvlJc w:val="left"/>
      <w:pPr>
        <w:ind w:left="2197" w:hanging="360"/>
      </w:pPr>
      <w:rPr>
        <w:rFonts w:ascii="Wingdings" w:hAnsi="Wingdings" w:hint="default"/>
      </w:rPr>
    </w:lvl>
    <w:lvl w:ilvl="3" w:tplc="7CC2BDF8" w:tentative="1">
      <w:start w:val="1"/>
      <w:numFmt w:val="bullet"/>
      <w:lvlText w:val=""/>
      <w:lvlJc w:val="left"/>
      <w:pPr>
        <w:ind w:left="2917" w:hanging="360"/>
      </w:pPr>
      <w:rPr>
        <w:rFonts w:ascii="Symbol" w:hAnsi="Symbol" w:hint="default"/>
      </w:rPr>
    </w:lvl>
    <w:lvl w:ilvl="4" w:tplc="481CF1C0" w:tentative="1">
      <w:start w:val="1"/>
      <w:numFmt w:val="bullet"/>
      <w:lvlText w:val="o"/>
      <w:lvlJc w:val="left"/>
      <w:pPr>
        <w:ind w:left="3637" w:hanging="360"/>
      </w:pPr>
      <w:rPr>
        <w:rFonts w:ascii="Courier New" w:hAnsi="Courier New" w:cs="Courier New" w:hint="default"/>
      </w:rPr>
    </w:lvl>
    <w:lvl w:ilvl="5" w:tplc="F0C68784" w:tentative="1">
      <w:start w:val="1"/>
      <w:numFmt w:val="bullet"/>
      <w:lvlText w:val=""/>
      <w:lvlJc w:val="left"/>
      <w:pPr>
        <w:ind w:left="4357" w:hanging="360"/>
      </w:pPr>
      <w:rPr>
        <w:rFonts w:ascii="Wingdings" w:hAnsi="Wingdings" w:hint="default"/>
      </w:rPr>
    </w:lvl>
    <w:lvl w:ilvl="6" w:tplc="4E8CAFCA" w:tentative="1">
      <w:start w:val="1"/>
      <w:numFmt w:val="bullet"/>
      <w:lvlText w:val=""/>
      <w:lvlJc w:val="left"/>
      <w:pPr>
        <w:ind w:left="5077" w:hanging="360"/>
      </w:pPr>
      <w:rPr>
        <w:rFonts w:ascii="Symbol" w:hAnsi="Symbol" w:hint="default"/>
      </w:rPr>
    </w:lvl>
    <w:lvl w:ilvl="7" w:tplc="7EF298BA" w:tentative="1">
      <w:start w:val="1"/>
      <w:numFmt w:val="bullet"/>
      <w:lvlText w:val="o"/>
      <w:lvlJc w:val="left"/>
      <w:pPr>
        <w:ind w:left="5797" w:hanging="360"/>
      </w:pPr>
      <w:rPr>
        <w:rFonts w:ascii="Courier New" w:hAnsi="Courier New" w:cs="Courier New" w:hint="default"/>
      </w:rPr>
    </w:lvl>
    <w:lvl w:ilvl="8" w:tplc="A704B804" w:tentative="1">
      <w:start w:val="1"/>
      <w:numFmt w:val="bullet"/>
      <w:lvlText w:val=""/>
      <w:lvlJc w:val="left"/>
      <w:pPr>
        <w:ind w:left="6517" w:hanging="360"/>
      </w:pPr>
      <w:rPr>
        <w:rFonts w:ascii="Wingdings" w:hAnsi="Wingdings" w:hint="default"/>
      </w:rPr>
    </w:lvl>
  </w:abstractNum>
  <w:abstractNum w:abstractNumId="6" w15:restartNumberingAfterBreak="0">
    <w:nsid w:val="28EB00C6"/>
    <w:multiLevelType w:val="hybridMultilevel"/>
    <w:tmpl w:val="D714CEA2"/>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7"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8" w15:restartNumberingAfterBreak="0">
    <w:nsid w:val="2B6154C8"/>
    <w:multiLevelType w:val="hybridMultilevel"/>
    <w:tmpl w:val="8572ECB6"/>
    <w:lvl w:ilvl="0" w:tplc="0FEE5C18">
      <w:start w:val="1"/>
      <w:numFmt w:val="lowerLetter"/>
      <w:lvlText w:val="%1"/>
      <w:lvlJc w:val="left"/>
      <w:pPr>
        <w:ind w:left="457" w:hanging="241"/>
      </w:pPr>
      <w:rPr>
        <w:rFonts w:ascii="Arial" w:eastAsia="Arial" w:hAnsi="Arial" w:cs="Arial" w:hint="default"/>
        <w:w w:val="99"/>
        <w:sz w:val="14"/>
        <w:szCs w:val="14"/>
        <w:lang w:val="en-US" w:eastAsia="en-US" w:bidi="en-US"/>
      </w:rPr>
    </w:lvl>
    <w:lvl w:ilvl="1" w:tplc="909AD536">
      <w:numFmt w:val="bullet"/>
      <w:lvlText w:val="•"/>
      <w:lvlJc w:val="left"/>
      <w:pPr>
        <w:ind w:left="1446" w:hanging="241"/>
      </w:pPr>
      <w:rPr>
        <w:rFonts w:hint="default"/>
        <w:lang w:val="en-US" w:eastAsia="en-US" w:bidi="en-US"/>
      </w:rPr>
    </w:lvl>
    <w:lvl w:ilvl="2" w:tplc="F02C8864">
      <w:numFmt w:val="bullet"/>
      <w:lvlText w:val="•"/>
      <w:lvlJc w:val="left"/>
      <w:pPr>
        <w:ind w:left="2432" w:hanging="241"/>
      </w:pPr>
      <w:rPr>
        <w:rFonts w:hint="default"/>
        <w:lang w:val="en-US" w:eastAsia="en-US" w:bidi="en-US"/>
      </w:rPr>
    </w:lvl>
    <w:lvl w:ilvl="3" w:tplc="DC9E2BDA">
      <w:numFmt w:val="bullet"/>
      <w:lvlText w:val="•"/>
      <w:lvlJc w:val="left"/>
      <w:pPr>
        <w:ind w:left="3418" w:hanging="241"/>
      </w:pPr>
      <w:rPr>
        <w:rFonts w:hint="default"/>
        <w:lang w:val="en-US" w:eastAsia="en-US" w:bidi="en-US"/>
      </w:rPr>
    </w:lvl>
    <w:lvl w:ilvl="4" w:tplc="9F366172">
      <w:numFmt w:val="bullet"/>
      <w:lvlText w:val="•"/>
      <w:lvlJc w:val="left"/>
      <w:pPr>
        <w:ind w:left="4404" w:hanging="241"/>
      </w:pPr>
      <w:rPr>
        <w:rFonts w:hint="default"/>
        <w:lang w:val="en-US" w:eastAsia="en-US" w:bidi="en-US"/>
      </w:rPr>
    </w:lvl>
    <w:lvl w:ilvl="5" w:tplc="D7C8CFA0">
      <w:numFmt w:val="bullet"/>
      <w:lvlText w:val="•"/>
      <w:lvlJc w:val="left"/>
      <w:pPr>
        <w:ind w:left="5390" w:hanging="241"/>
      </w:pPr>
      <w:rPr>
        <w:rFonts w:hint="default"/>
        <w:lang w:val="en-US" w:eastAsia="en-US" w:bidi="en-US"/>
      </w:rPr>
    </w:lvl>
    <w:lvl w:ilvl="6" w:tplc="CED8E828">
      <w:numFmt w:val="bullet"/>
      <w:lvlText w:val="•"/>
      <w:lvlJc w:val="left"/>
      <w:pPr>
        <w:ind w:left="6376" w:hanging="241"/>
      </w:pPr>
      <w:rPr>
        <w:rFonts w:hint="default"/>
        <w:lang w:val="en-US" w:eastAsia="en-US" w:bidi="en-US"/>
      </w:rPr>
    </w:lvl>
    <w:lvl w:ilvl="7" w:tplc="FF365E16">
      <w:numFmt w:val="bullet"/>
      <w:lvlText w:val="•"/>
      <w:lvlJc w:val="left"/>
      <w:pPr>
        <w:ind w:left="7362" w:hanging="241"/>
      </w:pPr>
      <w:rPr>
        <w:rFonts w:hint="default"/>
        <w:lang w:val="en-US" w:eastAsia="en-US" w:bidi="en-US"/>
      </w:rPr>
    </w:lvl>
    <w:lvl w:ilvl="8" w:tplc="FDCAC29A">
      <w:numFmt w:val="bullet"/>
      <w:lvlText w:val="•"/>
      <w:lvlJc w:val="left"/>
      <w:pPr>
        <w:ind w:left="8348" w:hanging="241"/>
      </w:pPr>
      <w:rPr>
        <w:rFonts w:hint="default"/>
        <w:lang w:val="en-US" w:eastAsia="en-US" w:bidi="en-US"/>
      </w:rPr>
    </w:lvl>
  </w:abstractNum>
  <w:abstractNum w:abstractNumId="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0" w15:restartNumberingAfterBreak="0">
    <w:nsid w:val="36FB7C93"/>
    <w:multiLevelType w:val="hybridMultilevel"/>
    <w:tmpl w:val="26F4E456"/>
    <w:lvl w:ilvl="0" w:tplc="8E18B83A">
      <w:start w:val="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3CF12786"/>
    <w:multiLevelType w:val="hybridMultilevel"/>
    <w:tmpl w:val="E5B88A18"/>
    <w:lvl w:ilvl="0" w:tplc="E5602A94">
      <w:start w:val="1"/>
      <w:numFmt w:val="bullet"/>
      <w:lvlText w:val=""/>
      <w:lvlJc w:val="left"/>
      <w:pPr>
        <w:ind w:left="720" w:hanging="360"/>
      </w:pPr>
      <w:rPr>
        <w:rFonts w:ascii="Symbol" w:hAnsi="Symbol" w:hint="default"/>
      </w:rPr>
    </w:lvl>
    <w:lvl w:ilvl="1" w:tplc="D8141AC8" w:tentative="1">
      <w:start w:val="1"/>
      <w:numFmt w:val="bullet"/>
      <w:lvlText w:val="o"/>
      <w:lvlJc w:val="left"/>
      <w:pPr>
        <w:ind w:left="1440" w:hanging="360"/>
      </w:pPr>
      <w:rPr>
        <w:rFonts w:ascii="Courier New" w:hAnsi="Courier New" w:cs="Courier New" w:hint="default"/>
      </w:rPr>
    </w:lvl>
    <w:lvl w:ilvl="2" w:tplc="AE883628" w:tentative="1">
      <w:start w:val="1"/>
      <w:numFmt w:val="bullet"/>
      <w:lvlText w:val=""/>
      <w:lvlJc w:val="left"/>
      <w:pPr>
        <w:ind w:left="2160" w:hanging="360"/>
      </w:pPr>
      <w:rPr>
        <w:rFonts w:ascii="Wingdings" w:hAnsi="Wingdings" w:hint="default"/>
      </w:rPr>
    </w:lvl>
    <w:lvl w:ilvl="3" w:tplc="123A9F32" w:tentative="1">
      <w:start w:val="1"/>
      <w:numFmt w:val="bullet"/>
      <w:lvlText w:val=""/>
      <w:lvlJc w:val="left"/>
      <w:pPr>
        <w:ind w:left="2880" w:hanging="360"/>
      </w:pPr>
      <w:rPr>
        <w:rFonts w:ascii="Symbol" w:hAnsi="Symbol" w:hint="default"/>
      </w:rPr>
    </w:lvl>
    <w:lvl w:ilvl="4" w:tplc="D548D6F8" w:tentative="1">
      <w:start w:val="1"/>
      <w:numFmt w:val="bullet"/>
      <w:lvlText w:val="o"/>
      <w:lvlJc w:val="left"/>
      <w:pPr>
        <w:ind w:left="3600" w:hanging="360"/>
      </w:pPr>
      <w:rPr>
        <w:rFonts w:ascii="Courier New" w:hAnsi="Courier New" w:cs="Courier New" w:hint="default"/>
      </w:rPr>
    </w:lvl>
    <w:lvl w:ilvl="5" w:tplc="84C63E46" w:tentative="1">
      <w:start w:val="1"/>
      <w:numFmt w:val="bullet"/>
      <w:lvlText w:val=""/>
      <w:lvlJc w:val="left"/>
      <w:pPr>
        <w:ind w:left="4320" w:hanging="360"/>
      </w:pPr>
      <w:rPr>
        <w:rFonts w:ascii="Wingdings" w:hAnsi="Wingdings" w:hint="default"/>
      </w:rPr>
    </w:lvl>
    <w:lvl w:ilvl="6" w:tplc="6F3489B0" w:tentative="1">
      <w:start w:val="1"/>
      <w:numFmt w:val="bullet"/>
      <w:lvlText w:val=""/>
      <w:lvlJc w:val="left"/>
      <w:pPr>
        <w:ind w:left="5040" w:hanging="360"/>
      </w:pPr>
      <w:rPr>
        <w:rFonts w:ascii="Symbol" w:hAnsi="Symbol" w:hint="default"/>
      </w:rPr>
    </w:lvl>
    <w:lvl w:ilvl="7" w:tplc="9022D084" w:tentative="1">
      <w:start w:val="1"/>
      <w:numFmt w:val="bullet"/>
      <w:lvlText w:val="o"/>
      <w:lvlJc w:val="left"/>
      <w:pPr>
        <w:ind w:left="5760" w:hanging="360"/>
      </w:pPr>
      <w:rPr>
        <w:rFonts w:ascii="Courier New" w:hAnsi="Courier New" w:cs="Courier New" w:hint="default"/>
      </w:rPr>
    </w:lvl>
    <w:lvl w:ilvl="8" w:tplc="EDC06408" w:tentative="1">
      <w:start w:val="1"/>
      <w:numFmt w:val="bullet"/>
      <w:lvlText w:val=""/>
      <w:lvlJc w:val="left"/>
      <w:pPr>
        <w:ind w:left="6480" w:hanging="360"/>
      </w:pPr>
      <w:rPr>
        <w:rFonts w:ascii="Wingdings" w:hAnsi="Wingdings" w:hint="default"/>
      </w:rPr>
    </w:lvl>
  </w:abstractNum>
  <w:abstractNum w:abstractNumId="13" w15:restartNumberingAfterBreak="0">
    <w:nsid w:val="435F5EE7"/>
    <w:multiLevelType w:val="hybridMultilevel"/>
    <w:tmpl w:val="1AFA719A"/>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4" w15:restartNumberingAfterBreak="0">
    <w:nsid w:val="48DE2E4A"/>
    <w:multiLevelType w:val="hybridMultilevel"/>
    <w:tmpl w:val="B7086130"/>
    <w:lvl w:ilvl="0" w:tplc="DB980560">
      <w:start w:val="1"/>
      <w:numFmt w:val="bullet"/>
      <w:pStyle w:val="BoxTextBullet"/>
      <w:lvlText w:val=""/>
      <w:lvlJc w:val="left"/>
      <w:pPr>
        <w:ind w:left="720" w:hanging="360"/>
      </w:pPr>
      <w:rPr>
        <w:rFonts w:ascii="Symbol" w:hAnsi="Symbol" w:hint="default"/>
      </w:rPr>
    </w:lvl>
    <w:lvl w:ilvl="1" w:tplc="AD6A387E" w:tentative="1">
      <w:start w:val="1"/>
      <w:numFmt w:val="bullet"/>
      <w:lvlText w:val="o"/>
      <w:lvlJc w:val="left"/>
      <w:pPr>
        <w:ind w:left="1440" w:hanging="360"/>
      </w:pPr>
      <w:rPr>
        <w:rFonts w:ascii="Courier New" w:hAnsi="Courier New" w:cs="Courier New" w:hint="default"/>
      </w:rPr>
    </w:lvl>
    <w:lvl w:ilvl="2" w:tplc="81448F0E" w:tentative="1">
      <w:start w:val="1"/>
      <w:numFmt w:val="bullet"/>
      <w:lvlText w:val=""/>
      <w:lvlJc w:val="left"/>
      <w:pPr>
        <w:ind w:left="2160" w:hanging="360"/>
      </w:pPr>
      <w:rPr>
        <w:rFonts w:ascii="Wingdings" w:hAnsi="Wingdings" w:hint="default"/>
      </w:rPr>
    </w:lvl>
    <w:lvl w:ilvl="3" w:tplc="A080E0FC" w:tentative="1">
      <w:start w:val="1"/>
      <w:numFmt w:val="bullet"/>
      <w:lvlText w:val=""/>
      <w:lvlJc w:val="left"/>
      <w:pPr>
        <w:ind w:left="2880" w:hanging="360"/>
      </w:pPr>
      <w:rPr>
        <w:rFonts w:ascii="Symbol" w:hAnsi="Symbol" w:hint="default"/>
      </w:rPr>
    </w:lvl>
    <w:lvl w:ilvl="4" w:tplc="C86ECB4C" w:tentative="1">
      <w:start w:val="1"/>
      <w:numFmt w:val="bullet"/>
      <w:lvlText w:val="o"/>
      <w:lvlJc w:val="left"/>
      <w:pPr>
        <w:ind w:left="3600" w:hanging="360"/>
      </w:pPr>
      <w:rPr>
        <w:rFonts w:ascii="Courier New" w:hAnsi="Courier New" w:cs="Courier New" w:hint="default"/>
      </w:rPr>
    </w:lvl>
    <w:lvl w:ilvl="5" w:tplc="BE82F09C" w:tentative="1">
      <w:start w:val="1"/>
      <w:numFmt w:val="bullet"/>
      <w:lvlText w:val=""/>
      <w:lvlJc w:val="left"/>
      <w:pPr>
        <w:ind w:left="4320" w:hanging="360"/>
      </w:pPr>
      <w:rPr>
        <w:rFonts w:ascii="Wingdings" w:hAnsi="Wingdings" w:hint="default"/>
      </w:rPr>
    </w:lvl>
    <w:lvl w:ilvl="6" w:tplc="2528B832" w:tentative="1">
      <w:start w:val="1"/>
      <w:numFmt w:val="bullet"/>
      <w:lvlText w:val=""/>
      <w:lvlJc w:val="left"/>
      <w:pPr>
        <w:ind w:left="5040" w:hanging="360"/>
      </w:pPr>
      <w:rPr>
        <w:rFonts w:ascii="Symbol" w:hAnsi="Symbol" w:hint="default"/>
      </w:rPr>
    </w:lvl>
    <w:lvl w:ilvl="7" w:tplc="CB3A2B02" w:tentative="1">
      <w:start w:val="1"/>
      <w:numFmt w:val="bullet"/>
      <w:lvlText w:val="o"/>
      <w:lvlJc w:val="left"/>
      <w:pPr>
        <w:ind w:left="5760" w:hanging="360"/>
      </w:pPr>
      <w:rPr>
        <w:rFonts w:ascii="Courier New" w:hAnsi="Courier New" w:cs="Courier New" w:hint="default"/>
      </w:rPr>
    </w:lvl>
    <w:lvl w:ilvl="8" w:tplc="6AF6EB54" w:tentative="1">
      <w:start w:val="1"/>
      <w:numFmt w:val="bullet"/>
      <w:lvlText w:val=""/>
      <w:lvlJc w:val="left"/>
      <w:pPr>
        <w:ind w:left="6480" w:hanging="360"/>
      </w:pPr>
      <w:rPr>
        <w:rFonts w:ascii="Wingdings" w:hAnsi="Wingdings" w:hint="default"/>
      </w:rPr>
    </w:lvl>
  </w:abstractNum>
  <w:abstractNum w:abstractNumId="15"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E9B3C4E"/>
    <w:multiLevelType w:val="hybridMultilevel"/>
    <w:tmpl w:val="9DDA65A0"/>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8" w15:restartNumberingAfterBreak="0">
    <w:nsid w:val="6A1D1F46"/>
    <w:multiLevelType w:val="multilevel"/>
    <w:tmpl w:val="B5DE9ED4"/>
    <w:lvl w:ilvl="0">
      <w:start w:val="1"/>
      <w:numFmt w:val="bullet"/>
      <w:pStyle w:val="Bullet"/>
      <w:lvlText w:val=""/>
      <w:lvlJc w:val="left"/>
      <w:pPr>
        <w:tabs>
          <w:tab w:val="num" w:pos="567"/>
        </w:tabs>
        <w:ind w:left="397" w:hanging="397"/>
      </w:pPr>
      <w:rPr>
        <w:rFonts w:ascii="Symbol" w:hAnsi="Symbol" w:cs="Symbol" w:hint="default"/>
        <w:color w:val="auto"/>
      </w:rPr>
    </w:lvl>
    <w:lvl w:ilvl="1">
      <w:start w:val="1"/>
      <w:numFmt w:val="bullet"/>
      <w:lvlText w:val=""/>
      <w:lvlJc w:val="left"/>
      <w:pPr>
        <w:tabs>
          <w:tab w:val="num" w:pos="794"/>
        </w:tabs>
        <w:ind w:left="397" w:firstLine="0"/>
      </w:pPr>
      <w:rPr>
        <w:rFonts w:ascii="Symbol" w:hAnsi="Symbol" w:cs="Symbol" w:hint="default"/>
      </w:rPr>
    </w:lvl>
    <w:lvl w:ilvl="2">
      <w:start w:val="1"/>
      <w:numFmt w:val="bullet"/>
      <w:lvlText w:val=""/>
      <w:lvlJc w:val="left"/>
      <w:pPr>
        <w:tabs>
          <w:tab w:val="num" w:pos="567"/>
        </w:tabs>
        <w:ind w:left="567" w:hanging="567"/>
      </w:pPr>
      <w:rPr>
        <w:rFonts w:ascii="Wingdings" w:hAnsi="Wingdings" w:cs="Wingdings" w:hint="default"/>
      </w:rPr>
    </w:lvl>
    <w:lvl w:ilvl="3">
      <w:start w:val="1"/>
      <w:numFmt w:val="bullet"/>
      <w:lvlText w:val=""/>
      <w:lvlJc w:val="left"/>
      <w:pPr>
        <w:tabs>
          <w:tab w:val="num" w:pos="567"/>
        </w:tabs>
        <w:ind w:left="567" w:hanging="567"/>
      </w:pPr>
      <w:rPr>
        <w:rFonts w:ascii="Symbol" w:hAnsi="Symbol" w:cs="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cs="Wingdings" w:hint="default"/>
      </w:rPr>
    </w:lvl>
    <w:lvl w:ilvl="6">
      <w:start w:val="1"/>
      <w:numFmt w:val="bullet"/>
      <w:lvlText w:val=""/>
      <w:lvlJc w:val="left"/>
      <w:pPr>
        <w:tabs>
          <w:tab w:val="num" w:pos="567"/>
        </w:tabs>
        <w:ind w:left="567" w:hanging="567"/>
      </w:pPr>
      <w:rPr>
        <w:rFonts w:ascii="Symbol" w:hAnsi="Symbol" w:cs="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cs="Wingdings" w:hint="default"/>
      </w:rPr>
    </w:lvl>
  </w:abstractNum>
  <w:abstractNum w:abstractNumId="19" w15:restartNumberingAfterBreak="0">
    <w:nsid w:val="6FDB6C11"/>
    <w:multiLevelType w:val="hybridMultilevel"/>
    <w:tmpl w:val="1820FAD0"/>
    <w:lvl w:ilvl="0" w:tplc="351252F2">
      <w:start w:val="1"/>
      <w:numFmt w:val="bullet"/>
      <w:lvlText w:val=""/>
      <w:lvlJc w:val="left"/>
      <w:pPr>
        <w:ind w:left="720" w:hanging="360"/>
      </w:pPr>
      <w:rPr>
        <w:rFonts w:ascii="Symbol" w:hAnsi="Symbol" w:hint="default"/>
      </w:rPr>
    </w:lvl>
    <w:lvl w:ilvl="1" w:tplc="7A42A044" w:tentative="1">
      <w:start w:val="1"/>
      <w:numFmt w:val="bullet"/>
      <w:lvlText w:val="o"/>
      <w:lvlJc w:val="left"/>
      <w:pPr>
        <w:ind w:left="1440" w:hanging="360"/>
      </w:pPr>
      <w:rPr>
        <w:rFonts w:ascii="Courier New" w:hAnsi="Courier New" w:cs="Courier New" w:hint="default"/>
      </w:rPr>
    </w:lvl>
    <w:lvl w:ilvl="2" w:tplc="01CE9DD4" w:tentative="1">
      <w:start w:val="1"/>
      <w:numFmt w:val="bullet"/>
      <w:lvlText w:val=""/>
      <w:lvlJc w:val="left"/>
      <w:pPr>
        <w:ind w:left="2160" w:hanging="360"/>
      </w:pPr>
      <w:rPr>
        <w:rFonts w:ascii="Wingdings" w:hAnsi="Wingdings" w:hint="default"/>
      </w:rPr>
    </w:lvl>
    <w:lvl w:ilvl="3" w:tplc="5510DEBC" w:tentative="1">
      <w:start w:val="1"/>
      <w:numFmt w:val="bullet"/>
      <w:lvlText w:val=""/>
      <w:lvlJc w:val="left"/>
      <w:pPr>
        <w:ind w:left="2880" w:hanging="360"/>
      </w:pPr>
      <w:rPr>
        <w:rFonts w:ascii="Symbol" w:hAnsi="Symbol" w:hint="default"/>
      </w:rPr>
    </w:lvl>
    <w:lvl w:ilvl="4" w:tplc="887A49B6" w:tentative="1">
      <w:start w:val="1"/>
      <w:numFmt w:val="bullet"/>
      <w:lvlText w:val="o"/>
      <w:lvlJc w:val="left"/>
      <w:pPr>
        <w:ind w:left="3600" w:hanging="360"/>
      </w:pPr>
      <w:rPr>
        <w:rFonts w:ascii="Courier New" w:hAnsi="Courier New" w:cs="Courier New" w:hint="default"/>
      </w:rPr>
    </w:lvl>
    <w:lvl w:ilvl="5" w:tplc="3D98792E" w:tentative="1">
      <w:start w:val="1"/>
      <w:numFmt w:val="bullet"/>
      <w:lvlText w:val=""/>
      <w:lvlJc w:val="left"/>
      <w:pPr>
        <w:ind w:left="4320" w:hanging="360"/>
      </w:pPr>
      <w:rPr>
        <w:rFonts w:ascii="Wingdings" w:hAnsi="Wingdings" w:hint="default"/>
      </w:rPr>
    </w:lvl>
    <w:lvl w:ilvl="6" w:tplc="79D668AE" w:tentative="1">
      <w:start w:val="1"/>
      <w:numFmt w:val="bullet"/>
      <w:lvlText w:val=""/>
      <w:lvlJc w:val="left"/>
      <w:pPr>
        <w:ind w:left="5040" w:hanging="360"/>
      </w:pPr>
      <w:rPr>
        <w:rFonts w:ascii="Symbol" w:hAnsi="Symbol" w:hint="default"/>
      </w:rPr>
    </w:lvl>
    <w:lvl w:ilvl="7" w:tplc="5F804AE2" w:tentative="1">
      <w:start w:val="1"/>
      <w:numFmt w:val="bullet"/>
      <w:lvlText w:val="o"/>
      <w:lvlJc w:val="left"/>
      <w:pPr>
        <w:ind w:left="5760" w:hanging="360"/>
      </w:pPr>
      <w:rPr>
        <w:rFonts w:ascii="Courier New" w:hAnsi="Courier New" w:cs="Courier New" w:hint="default"/>
      </w:rPr>
    </w:lvl>
    <w:lvl w:ilvl="8" w:tplc="5594A634" w:tentative="1">
      <w:start w:val="1"/>
      <w:numFmt w:val="bullet"/>
      <w:lvlText w:val=""/>
      <w:lvlJc w:val="left"/>
      <w:pPr>
        <w:ind w:left="6480" w:hanging="360"/>
      </w:pPr>
      <w:rPr>
        <w:rFonts w:ascii="Wingdings" w:hAnsi="Wingdings" w:hint="default"/>
      </w:rPr>
    </w:lvl>
  </w:abstractNum>
  <w:abstractNum w:abstractNumId="20" w15:restartNumberingAfterBreak="0">
    <w:nsid w:val="7636387C"/>
    <w:multiLevelType w:val="multilevel"/>
    <w:tmpl w:val="6346ED0E"/>
    <w:numStyleLink w:val="listbullets"/>
  </w:abstractNum>
  <w:abstractNum w:abstractNumId="21" w15:restartNumberingAfterBreak="0">
    <w:nsid w:val="7BEE2DEA"/>
    <w:multiLevelType w:val="hybridMultilevel"/>
    <w:tmpl w:val="6F9C137C"/>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2" w15:restartNumberingAfterBreak="0">
    <w:nsid w:val="7F6D54BA"/>
    <w:multiLevelType w:val="hybridMultilevel"/>
    <w:tmpl w:val="42EA9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450807">
    <w:abstractNumId w:val="3"/>
  </w:num>
  <w:num w:numId="2" w16cid:durableId="748233678">
    <w:abstractNumId w:val="8"/>
  </w:num>
  <w:num w:numId="3" w16cid:durableId="365712849">
    <w:abstractNumId w:val="14"/>
  </w:num>
  <w:num w:numId="4" w16cid:durableId="934366789">
    <w:abstractNumId w:val="9"/>
  </w:num>
  <w:num w:numId="5" w16cid:durableId="1377659324">
    <w:abstractNumId w:val="1"/>
  </w:num>
  <w:num w:numId="6" w16cid:durableId="1194808248">
    <w:abstractNumId w:val="7"/>
  </w:num>
  <w:num w:numId="7" w16cid:durableId="524708424">
    <w:abstractNumId w:val="15"/>
  </w:num>
  <w:num w:numId="8" w16cid:durableId="1605923123">
    <w:abstractNumId w:val="11"/>
  </w:num>
  <w:num w:numId="9" w16cid:durableId="2100250575">
    <w:abstractNumId w:val="16"/>
  </w:num>
  <w:num w:numId="10" w16cid:durableId="114183224">
    <w:abstractNumId w:val="2"/>
  </w:num>
  <w:num w:numId="11" w16cid:durableId="567301725">
    <w:abstractNumId w:val="4"/>
  </w:num>
  <w:num w:numId="12" w16cid:durableId="702753699">
    <w:abstractNumId w:val="18"/>
  </w:num>
  <w:num w:numId="13" w16cid:durableId="841432261">
    <w:abstractNumId w:val="5"/>
  </w:num>
  <w:num w:numId="14" w16cid:durableId="1498031541">
    <w:abstractNumId w:val="15"/>
  </w:num>
  <w:num w:numId="15" w16cid:durableId="619728158">
    <w:abstractNumId w:val="12"/>
  </w:num>
  <w:num w:numId="16" w16cid:durableId="1575510033">
    <w:abstractNumId w:val="19"/>
  </w:num>
  <w:num w:numId="17" w16cid:durableId="504710964">
    <w:abstractNumId w:val="0"/>
  </w:num>
  <w:num w:numId="18" w16cid:durableId="753666735">
    <w:abstractNumId w:val="15"/>
  </w:num>
  <w:num w:numId="19" w16cid:durableId="234516713">
    <w:abstractNumId w:val="22"/>
  </w:num>
  <w:num w:numId="20" w16cid:durableId="1620726310">
    <w:abstractNumId w:val="15"/>
  </w:num>
  <w:num w:numId="21" w16cid:durableId="99450461">
    <w:abstractNumId w:val="15"/>
  </w:num>
  <w:num w:numId="22" w16cid:durableId="1828203197">
    <w:abstractNumId w:val="15"/>
  </w:num>
  <w:num w:numId="23" w16cid:durableId="1224561091">
    <w:abstractNumId w:val="15"/>
  </w:num>
  <w:num w:numId="24" w16cid:durableId="1354575299">
    <w:abstractNumId w:val="15"/>
  </w:num>
  <w:num w:numId="25" w16cid:durableId="870414102">
    <w:abstractNumId w:val="10"/>
  </w:num>
  <w:num w:numId="26" w16cid:durableId="770079909">
    <w:abstractNumId w:val="18"/>
  </w:num>
  <w:num w:numId="27" w16cid:durableId="2799951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87061851">
    <w:abstractNumId w:val="20"/>
  </w:num>
  <w:num w:numId="29" w16cid:durableId="1278870496">
    <w:abstractNumId w:val="17"/>
  </w:num>
  <w:num w:numId="30" w16cid:durableId="1779177608">
    <w:abstractNumId w:val="13"/>
  </w:num>
  <w:num w:numId="31" w16cid:durableId="1742631664">
    <w:abstractNumId w:val="6"/>
  </w:num>
  <w:num w:numId="32" w16cid:durableId="750322240">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077"/>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xMrcwN7E0NrY0NzJT0lEKTi0uzszPAykwqwUA3V4VaSwAAAA="/>
  </w:docVars>
  <w:rsids>
    <w:rsidRoot w:val="00C46175"/>
    <w:rsid w:val="00000C3D"/>
    <w:rsid w:val="00001A97"/>
    <w:rsid w:val="00002170"/>
    <w:rsid w:val="00002196"/>
    <w:rsid w:val="000024CB"/>
    <w:rsid w:val="00002A68"/>
    <w:rsid w:val="00002DC3"/>
    <w:rsid w:val="000039C2"/>
    <w:rsid w:val="00003CF3"/>
    <w:rsid w:val="000055E9"/>
    <w:rsid w:val="000059DF"/>
    <w:rsid w:val="00005A09"/>
    <w:rsid w:val="00005F10"/>
    <w:rsid w:val="000061BA"/>
    <w:rsid w:val="000104BB"/>
    <w:rsid w:val="00010573"/>
    <w:rsid w:val="000124F6"/>
    <w:rsid w:val="0001298B"/>
    <w:rsid w:val="0001349A"/>
    <w:rsid w:val="00014B8B"/>
    <w:rsid w:val="00014BF7"/>
    <w:rsid w:val="0001561A"/>
    <w:rsid w:val="000168B2"/>
    <w:rsid w:val="00016F36"/>
    <w:rsid w:val="00017093"/>
    <w:rsid w:val="00020526"/>
    <w:rsid w:val="00020578"/>
    <w:rsid w:val="00020D56"/>
    <w:rsid w:val="00022676"/>
    <w:rsid w:val="00022A01"/>
    <w:rsid w:val="00022D55"/>
    <w:rsid w:val="00022E35"/>
    <w:rsid w:val="0002478F"/>
    <w:rsid w:val="000256E4"/>
    <w:rsid w:val="00025C6C"/>
    <w:rsid w:val="00027272"/>
    <w:rsid w:val="000273FE"/>
    <w:rsid w:val="00027C63"/>
    <w:rsid w:val="000307EA"/>
    <w:rsid w:val="00030E8B"/>
    <w:rsid w:val="0003142E"/>
    <w:rsid w:val="0003213C"/>
    <w:rsid w:val="0003238B"/>
    <w:rsid w:val="00032674"/>
    <w:rsid w:val="000336FA"/>
    <w:rsid w:val="00035FE7"/>
    <w:rsid w:val="0003615B"/>
    <w:rsid w:val="000404DF"/>
    <w:rsid w:val="000405D1"/>
    <w:rsid w:val="00043441"/>
    <w:rsid w:val="0004568C"/>
    <w:rsid w:val="00045947"/>
    <w:rsid w:val="00045E92"/>
    <w:rsid w:val="00047B81"/>
    <w:rsid w:val="0005008C"/>
    <w:rsid w:val="000504CB"/>
    <w:rsid w:val="00050EA9"/>
    <w:rsid w:val="0005191B"/>
    <w:rsid w:val="00052A2A"/>
    <w:rsid w:val="00052C0E"/>
    <w:rsid w:val="0005306C"/>
    <w:rsid w:val="00053908"/>
    <w:rsid w:val="000540FD"/>
    <w:rsid w:val="0005420D"/>
    <w:rsid w:val="000548CE"/>
    <w:rsid w:val="00054A7F"/>
    <w:rsid w:val="0005576A"/>
    <w:rsid w:val="00055891"/>
    <w:rsid w:val="00055E97"/>
    <w:rsid w:val="00056514"/>
    <w:rsid w:val="00056724"/>
    <w:rsid w:val="000568FD"/>
    <w:rsid w:val="0005787F"/>
    <w:rsid w:val="00057DFF"/>
    <w:rsid w:val="00061BE7"/>
    <w:rsid w:val="00062486"/>
    <w:rsid w:val="00062543"/>
    <w:rsid w:val="0006380A"/>
    <w:rsid w:val="0006490F"/>
    <w:rsid w:val="000652BD"/>
    <w:rsid w:val="00065D8F"/>
    <w:rsid w:val="00065F27"/>
    <w:rsid w:val="00066224"/>
    <w:rsid w:val="0006688D"/>
    <w:rsid w:val="0006749F"/>
    <w:rsid w:val="00067527"/>
    <w:rsid w:val="00067DBF"/>
    <w:rsid w:val="0007011C"/>
    <w:rsid w:val="00071455"/>
    <w:rsid w:val="00071795"/>
    <w:rsid w:val="00071AE4"/>
    <w:rsid w:val="00074C26"/>
    <w:rsid w:val="00074D6E"/>
    <w:rsid w:val="0007629D"/>
    <w:rsid w:val="0007652D"/>
    <w:rsid w:val="00077FEE"/>
    <w:rsid w:val="000815D2"/>
    <w:rsid w:val="00081B73"/>
    <w:rsid w:val="00082518"/>
    <w:rsid w:val="00084281"/>
    <w:rsid w:val="00084815"/>
    <w:rsid w:val="00084CE2"/>
    <w:rsid w:val="00084F6E"/>
    <w:rsid w:val="00086A5A"/>
    <w:rsid w:val="000909E5"/>
    <w:rsid w:val="00091440"/>
    <w:rsid w:val="000932C0"/>
    <w:rsid w:val="0009350B"/>
    <w:rsid w:val="00093A51"/>
    <w:rsid w:val="00094B25"/>
    <w:rsid w:val="00096135"/>
    <w:rsid w:val="00096243"/>
    <w:rsid w:val="00096800"/>
    <w:rsid w:val="0009797B"/>
    <w:rsid w:val="00097C86"/>
    <w:rsid w:val="000A0661"/>
    <w:rsid w:val="000A0A89"/>
    <w:rsid w:val="000A1410"/>
    <w:rsid w:val="000A16A7"/>
    <w:rsid w:val="000A1A9F"/>
    <w:rsid w:val="000A3267"/>
    <w:rsid w:val="000A327D"/>
    <w:rsid w:val="000A5A60"/>
    <w:rsid w:val="000A6B45"/>
    <w:rsid w:val="000A6F7D"/>
    <w:rsid w:val="000B2D70"/>
    <w:rsid w:val="000B31B1"/>
    <w:rsid w:val="000B332F"/>
    <w:rsid w:val="000B454A"/>
    <w:rsid w:val="000B61E9"/>
    <w:rsid w:val="000B6E95"/>
    <w:rsid w:val="000B7E24"/>
    <w:rsid w:val="000C0320"/>
    <w:rsid w:val="000C0727"/>
    <w:rsid w:val="000C0AF3"/>
    <w:rsid w:val="000C18BE"/>
    <w:rsid w:val="000C1B71"/>
    <w:rsid w:val="000C1C89"/>
    <w:rsid w:val="000C1CD6"/>
    <w:rsid w:val="000C1DA6"/>
    <w:rsid w:val="000C22E4"/>
    <w:rsid w:val="000C2DA0"/>
    <w:rsid w:val="000C359D"/>
    <w:rsid w:val="000C4342"/>
    <w:rsid w:val="000C509E"/>
    <w:rsid w:val="000C635C"/>
    <w:rsid w:val="000C6486"/>
    <w:rsid w:val="000C6BB9"/>
    <w:rsid w:val="000C7117"/>
    <w:rsid w:val="000D0198"/>
    <w:rsid w:val="000D0838"/>
    <w:rsid w:val="000D2836"/>
    <w:rsid w:val="000D390E"/>
    <w:rsid w:val="000D3C18"/>
    <w:rsid w:val="000D469F"/>
    <w:rsid w:val="000D4F75"/>
    <w:rsid w:val="000D5EDC"/>
    <w:rsid w:val="000D7397"/>
    <w:rsid w:val="000D7802"/>
    <w:rsid w:val="000D7C08"/>
    <w:rsid w:val="000E0369"/>
    <w:rsid w:val="000E03E6"/>
    <w:rsid w:val="000E0902"/>
    <w:rsid w:val="000E1354"/>
    <w:rsid w:val="000E1870"/>
    <w:rsid w:val="000E218A"/>
    <w:rsid w:val="000E2586"/>
    <w:rsid w:val="000E2A92"/>
    <w:rsid w:val="000E33DD"/>
    <w:rsid w:val="000E367E"/>
    <w:rsid w:val="000E4675"/>
    <w:rsid w:val="000E5AEF"/>
    <w:rsid w:val="000E622F"/>
    <w:rsid w:val="000E7481"/>
    <w:rsid w:val="000E7802"/>
    <w:rsid w:val="000F04AB"/>
    <w:rsid w:val="000F0E1D"/>
    <w:rsid w:val="000F138D"/>
    <w:rsid w:val="000F1F8C"/>
    <w:rsid w:val="000F32F6"/>
    <w:rsid w:val="000F5055"/>
    <w:rsid w:val="000F5F33"/>
    <w:rsid w:val="000F6078"/>
    <w:rsid w:val="000F6653"/>
    <w:rsid w:val="000F6B29"/>
    <w:rsid w:val="000F7C64"/>
    <w:rsid w:val="0010221E"/>
    <w:rsid w:val="0010435D"/>
    <w:rsid w:val="001045C9"/>
    <w:rsid w:val="00104B56"/>
    <w:rsid w:val="0010549F"/>
    <w:rsid w:val="00105FAF"/>
    <w:rsid w:val="0010679C"/>
    <w:rsid w:val="0010726B"/>
    <w:rsid w:val="00110B27"/>
    <w:rsid w:val="00112925"/>
    <w:rsid w:val="00112FA7"/>
    <w:rsid w:val="00113836"/>
    <w:rsid w:val="00113CC9"/>
    <w:rsid w:val="0011571C"/>
    <w:rsid w:val="00115D44"/>
    <w:rsid w:val="00115E52"/>
    <w:rsid w:val="00117C61"/>
    <w:rsid w:val="001228BB"/>
    <w:rsid w:val="00124B14"/>
    <w:rsid w:val="00124D2A"/>
    <w:rsid w:val="00124EFC"/>
    <w:rsid w:val="00125A1A"/>
    <w:rsid w:val="00125F99"/>
    <w:rsid w:val="00126180"/>
    <w:rsid w:val="0013133B"/>
    <w:rsid w:val="001326FE"/>
    <w:rsid w:val="00132F42"/>
    <w:rsid w:val="00135857"/>
    <w:rsid w:val="00135A48"/>
    <w:rsid w:val="0013670A"/>
    <w:rsid w:val="0013697F"/>
    <w:rsid w:val="00136BCB"/>
    <w:rsid w:val="00136DE7"/>
    <w:rsid w:val="001371F0"/>
    <w:rsid w:val="001375BE"/>
    <w:rsid w:val="00141D19"/>
    <w:rsid w:val="001429FE"/>
    <w:rsid w:val="0014356A"/>
    <w:rsid w:val="001436E9"/>
    <w:rsid w:val="001438D3"/>
    <w:rsid w:val="00143BD6"/>
    <w:rsid w:val="00146044"/>
    <w:rsid w:val="0014636E"/>
    <w:rsid w:val="00147353"/>
    <w:rsid w:val="0015199A"/>
    <w:rsid w:val="00152B81"/>
    <w:rsid w:val="00156191"/>
    <w:rsid w:val="00156453"/>
    <w:rsid w:val="0016128A"/>
    <w:rsid w:val="00162014"/>
    <w:rsid w:val="00163183"/>
    <w:rsid w:val="00164A52"/>
    <w:rsid w:val="001651E9"/>
    <w:rsid w:val="00165F8D"/>
    <w:rsid w:val="00167D3E"/>
    <w:rsid w:val="00170EB0"/>
    <w:rsid w:val="00171D0C"/>
    <w:rsid w:val="0017214C"/>
    <w:rsid w:val="00172DF1"/>
    <w:rsid w:val="001739AF"/>
    <w:rsid w:val="00174737"/>
    <w:rsid w:val="001758C8"/>
    <w:rsid w:val="00175FF3"/>
    <w:rsid w:val="00176870"/>
    <w:rsid w:val="00176E7B"/>
    <w:rsid w:val="00177C85"/>
    <w:rsid w:val="00180902"/>
    <w:rsid w:val="00180CB9"/>
    <w:rsid w:val="0018230E"/>
    <w:rsid w:val="00182444"/>
    <w:rsid w:val="001830E6"/>
    <w:rsid w:val="00185EC8"/>
    <w:rsid w:val="00186483"/>
    <w:rsid w:val="00186779"/>
    <w:rsid w:val="00186877"/>
    <w:rsid w:val="00187804"/>
    <w:rsid w:val="00187AD8"/>
    <w:rsid w:val="00193446"/>
    <w:rsid w:val="001939AC"/>
    <w:rsid w:val="00193BF8"/>
    <w:rsid w:val="00194173"/>
    <w:rsid w:val="00197A8C"/>
    <w:rsid w:val="00197E8D"/>
    <w:rsid w:val="001A0CBD"/>
    <w:rsid w:val="001A1347"/>
    <w:rsid w:val="001A138F"/>
    <w:rsid w:val="001A2493"/>
    <w:rsid w:val="001A3846"/>
    <w:rsid w:val="001A4CD0"/>
    <w:rsid w:val="001A513D"/>
    <w:rsid w:val="001A586E"/>
    <w:rsid w:val="001A58CB"/>
    <w:rsid w:val="001A5EE5"/>
    <w:rsid w:val="001A6475"/>
    <w:rsid w:val="001A708D"/>
    <w:rsid w:val="001A7A43"/>
    <w:rsid w:val="001B00EC"/>
    <w:rsid w:val="001B095D"/>
    <w:rsid w:val="001B1263"/>
    <w:rsid w:val="001B16FC"/>
    <w:rsid w:val="001B1FA8"/>
    <w:rsid w:val="001B23C5"/>
    <w:rsid w:val="001B33B6"/>
    <w:rsid w:val="001B47D2"/>
    <w:rsid w:val="001B4B62"/>
    <w:rsid w:val="001B5BF4"/>
    <w:rsid w:val="001B5C56"/>
    <w:rsid w:val="001B5DAB"/>
    <w:rsid w:val="001B6127"/>
    <w:rsid w:val="001B69DA"/>
    <w:rsid w:val="001B7691"/>
    <w:rsid w:val="001C0CA3"/>
    <w:rsid w:val="001C10C0"/>
    <w:rsid w:val="001C131A"/>
    <w:rsid w:val="001C2A65"/>
    <w:rsid w:val="001C400D"/>
    <w:rsid w:val="001C4530"/>
    <w:rsid w:val="001C5CFA"/>
    <w:rsid w:val="001C5F26"/>
    <w:rsid w:val="001C6514"/>
    <w:rsid w:val="001C6BB0"/>
    <w:rsid w:val="001C7027"/>
    <w:rsid w:val="001C71E5"/>
    <w:rsid w:val="001C738A"/>
    <w:rsid w:val="001D0B6D"/>
    <w:rsid w:val="001D0E59"/>
    <w:rsid w:val="001D1627"/>
    <w:rsid w:val="001D1DC7"/>
    <w:rsid w:val="001D2698"/>
    <w:rsid w:val="001D3AFB"/>
    <w:rsid w:val="001D4424"/>
    <w:rsid w:val="001D4E53"/>
    <w:rsid w:val="001D51CA"/>
    <w:rsid w:val="001D522F"/>
    <w:rsid w:val="001D5B8D"/>
    <w:rsid w:val="001D681B"/>
    <w:rsid w:val="001D77C2"/>
    <w:rsid w:val="001D7F8D"/>
    <w:rsid w:val="001E0450"/>
    <w:rsid w:val="001E0D27"/>
    <w:rsid w:val="001E17F2"/>
    <w:rsid w:val="001E1968"/>
    <w:rsid w:val="001E1BDF"/>
    <w:rsid w:val="001E28DA"/>
    <w:rsid w:val="001E33AE"/>
    <w:rsid w:val="001E57AF"/>
    <w:rsid w:val="001E7791"/>
    <w:rsid w:val="001F1094"/>
    <w:rsid w:val="001F11D5"/>
    <w:rsid w:val="001F16AC"/>
    <w:rsid w:val="001F1BE9"/>
    <w:rsid w:val="001F271D"/>
    <w:rsid w:val="001F43FF"/>
    <w:rsid w:val="001F5288"/>
    <w:rsid w:val="001F585A"/>
    <w:rsid w:val="001F5A0F"/>
    <w:rsid w:val="001F63EC"/>
    <w:rsid w:val="001F74F3"/>
    <w:rsid w:val="00201342"/>
    <w:rsid w:val="002013BE"/>
    <w:rsid w:val="0020218F"/>
    <w:rsid w:val="0020253C"/>
    <w:rsid w:val="00202DE4"/>
    <w:rsid w:val="00204858"/>
    <w:rsid w:val="00204E27"/>
    <w:rsid w:val="002056DA"/>
    <w:rsid w:val="00206F0C"/>
    <w:rsid w:val="0020772D"/>
    <w:rsid w:val="002103C0"/>
    <w:rsid w:val="00210C21"/>
    <w:rsid w:val="002112B9"/>
    <w:rsid w:val="00211B85"/>
    <w:rsid w:val="0021209D"/>
    <w:rsid w:val="0021254D"/>
    <w:rsid w:val="00213A93"/>
    <w:rsid w:val="00214506"/>
    <w:rsid w:val="00214999"/>
    <w:rsid w:val="00215588"/>
    <w:rsid w:val="00215720"/>
    <w:rsid w:val="00217CA1"/>
    <w:rsid w:val="00217F53"/>
    <w:rsid w:val="002201B6"/>
    <w:rsid w:val="00222F1F"/>
    <w:rsid w:val="00223070"/>
    <w:rsid w:val="00224DA9"/>
    <w:rsid w:val="00225046"/>
    <w:rsid w:val="002252D7"/>
    <w:rsid w:val="00225F4A"/>
    <w:rsid w:val="0022794F"/>
    <w:rsid w:val="00230184"/>
    <w:rsid w:val="002331F2"/>
    <w:rsid w:val="00233854"/>
    <w:rsid w:val="00234618"/>
    <w:rsid w:val="00236A4C"/>
    <w:rsid w:val="00237052"/>
    <w:rsid w:val="00237CBE"/>
    <w:rsid w:val="00237EA7"/>
    <w:rsid w:val="00240E07"/>
    <w:rsid w:val="00243AAD"/>
    <w:rsid w:val="0024482B"/>
    <w:rsid w:val="002453C6"/>
    <w:rsid w:val="00246751"/>
    <w:rsid w:val="00246F13"/>
    <w:rsid w:val="00247F5E"/>
    <w:rsid w:val="002502A7"/>
    <w:rsid w:val="00252418"/>
    <w:rsid w:val="00252FCE"/>
    <w:rsid w:val="00253618"/>
    <w:rsid w:val="00253907"/>
    <w:rsid w:val="00253D22"/>
    <w:rsid w:val="00254385"/>
    <w:rsid w:val="00254F06"/>
    <w:rsid w:val="002552D8"/>
    <w:rsid w:val="00255F1E"/>
    <w:rsid w:val="002566B1"/>
    <w:rsid w:val="00256F06"/>
    <w:rsid w:val="00256F94"/>
    <w:rsid w:val="00261DFE"/>
    <w:rsid w:val="00262170"/>
    <w:rsid w:val="00262423"/>
    <w:rsid w:val="0026307C"/>
    <w:rsid w:val="00264EDE"/>
    <w:rsid w:val="00265563"/>
    <w:rsid w:val="00270102"/>
    <w:rsid w:val="00273A7A"/>
    <w:rsid w:val="00273C68"/>
    <w:rsid w:val="00273DAB"/>
    <w:rsid w:val="00273E40"/>
    <w:rsid w:val="00274A27"/>
    <w:rsid w:val="00275080"/>
    <w:rsid w:val="00275A18"/>
    <w:rsid w:val="00276074"/>
    <w:rsid w:val="002764CE"/>
    <w:rsid w:val="00277233"/>
    <w:rsid w:val="002775FA"/>
    <w:rsid w:val="00277D86"/>
    <w:rsid w:val="0028011F"/>
    <w:rsid w:val="00280388"/>
    <w:rsid w:val="00280455"/>
    <w:rsid w:val="0028147C"/>
    <w:rsid w:val="002814D1"/>
    <w:rsid w:val="002814E9"/>
    <w:rsid w:val="002815C6"/>
    <w:rsid w:val="00284827"/>
    <w:rsid w:val="00284B19"/>
    <w:rsid w:val="002850C2"/>
    <w:rsid w:val="00286D5E"/>
    <w:rsid w:val="002903AF"/>
    <w:rsid w:val="002915F5"/>
    <w:rsid w:val="002937BC"/>
    <w:rsid w:val="0029408C"/>
    <w:rsid w:val="00294408"/>
    <w:rsid w:val="0029445A"/>
    <w:rsid w:val="0029504C"/>
    <w:rsid w:val="00295AA6"/>
    <w:rsid w:val="002972EB"/>
    <w:rsid w:val="0029733E"/>
    <w:rsid w:val="002A11BB"/>
    <w:rsid w:val="002A29C8"/>
    <w:rsid w:val="002A51D9"/>
    <w:rsid w:val="002A59FF"/>
    <w:rsid w:val="002A5F4B"/>
    <w:rsid w:val="002A6496"/>
    <w:rsid w:val="002A6B7B"/>
    <w:rsid w:val="002A77E7"/>
    <w:rsid w:val="002A7F03"/>
    <w:rsid w:val="002B05BA"/>
    <w:rsid w:val="002B4364"/>
    <w:rsid w:val="002B7351"/>
    <w:rsid w:val="002B7678"/>
    <w:rsid w:val="002B768F"/>
    <w:rsid w:val="002B7A3B"/>
    <w:rsid w:val="002C0486"/>
    <w:rsid w:val="002C08E8"/>
    <w:rsid w:val="002C3D69"/>
    <w:rsid w:val="002C3F15"/>
    <w:rsid w:val="002C43CE"/>
    <w:rsid w:val="002C59F2"/>
    <w:rsid w:val="002C5A98"/>
    <w:rsid w:val="002C5E33"/>
    <w:rsid w:val="002C5F99"/>
    <w:rsid w:val="002C70CE"/>
    <w:rsid w:val="002C72B2"/>
    <w:rsid w:val="002D12D2"/>
    <w:rsid w:val="002D2942"/>
    <w:rsid w:val="002D30AB"/>
    <w:rsid w:val="002D3E0A"/>
    <w:rsid w:val="002D44B3"/>
    <w:rsid w:val="002D4AF1"/>
    <w:rsid w:val="002E0570"/>
    <w:rsid w:val="002E0EFB"/>
    <w:rsid w:val="002E1533"/>
    <w:rsid w:val="002E1998"/>
    <w:rsid w:val="002E5DC7"/>
    <w:rsid w:val="002E7FAF"/>
    <w:rsid w:val="002F2569"/>
    <w:rsid w:val="002F259D"/>
    <w:rsid w:val="002F2F1E"/>
    <w:rsid w:val="002F3A68"/>
    <w:rsid w:val="002F55F0"/>
    <w:rsid w:val="002F7116"/>
    <w:rsid w:val="003005A4"/>
    <w:rsid w:val="00300B3B"/>
    <w:rsid w:val="00302C89"/>
    <w:rsid w:val="00303628"/>
    <w:rsid w:val="00303910"/>
    <w:rsid w:val="0030660D"/>
    <w:rsid w:val="0031037F"/>
    <w:rsid w:val="003108E8"/>
    <w:rsid w:val="00310B84"/>
    <w:rsid w:val="00310C49"/>
    <w:rsid w:val="003127AE"/>
    <w:rsid w:val="00314BE7"/>
    <w:rsid w:val="003202E5"/>
    <w:rsid w:val="00320699"/>
    <w:rsid w:val="00320D87"/>
    <w:rsid w:val="00320EE9"/>
    <w:rsid w:val="003215BE"/>
    <w:rsid w:val="00322172"/>
    <w:rsid w:val="003238EA"/>
    <w:rsid w:val="00323F5B"/>
    <w:rsid w:val="00324A4B"/>
    <w:rsid w:val="00324E48"/>
    <w:rsid w:val="003250B2"/>
    <w:rsid w:val="00326AF5"/>
    <w:rsid w:val="00327805"/>
    <w:rsid w:val="0032790B"/>
    <w:rsid w:val="00332217"/>
    <w:rsid w:val="00332E88"/>
    <w:rsid w:val="00333498"/>
    <w:rsid w:val="00333EF5"/>
    <w:rsid w:val="003344A2"/>
    <w:rsid w:val="003349C9"/>
    <w:rsid w:val="0033675F"/>
    <w:rsid w:val="0034048C"/>
    <w:rsid w:val="00340686"/>
    <w:rsid w:val="0034070A"/>
    <w:rsid w:val="00340A2D"/>
    <w:rsid w:val="00341DB2"/>
    <w:rsid w:val="003425D3"/>
    <w:rsid w:val="0034371A"/>
    <w:rsid w:val="003448E7"/>
    <w:rsid w:val="00344D96"/>
    <w:rsid w:val="003454C4"/>
    <w:rsid w:val="00345518"/>
    <w:rsid w:val="00346166"/>
    <w:rsid w:val="0034628B"/>
    <w:rsid w:val="003528B9"/>
    <w:rsid w:val="00353714"/>
    <w:rsid w:val="0035396C"/>
    <w:rsid w:val="00353F48"/>
    <w:rsid w:val="00354100"/>
    <w:rsid w:val="003546C8"/>
    <w:rsid w:val="003556DF"/>
    <w:rsid w:val="003557E0"/>
    <w:rsid w:val="0035620D"/>
    <w:rsid w:val="0035627B"/>
    <w:rsid w:val="0035658F"/>
    <w:rsid w:val="003602E1"/>
    <w:rsid w:val="00361150"/>
    <w:rsid w:val="003619B4"/>
    <w:rsid w:val="003635E8"/>
    <w:rsid w:val="00363E71"/>
    <w:rsid w:val="0036607A"/>
    <w:rsid w:val="003662DB"/>
    <w:rsid w:val="003664A2"/>
    <w:rsid w:val="00370B60"/>
    <w:rsid w:val="00371143"/>
    <w:rsid w:val="003717A7"/>
    <w:rsid w:val="00372BE0"/>
    <w:rsid w:val="00373C40"/>
    <w:rsid w:val="00374744"/>
    <w:rsid w:val="003755AF"/>
    <w:rsid w:val="0037733E"/>
    <w:rsid w:val="00377359"/>
    <w:rsid w:val="003779D0"/>
    <w:rsid w:val="00380752"/>
    <w:rsid w:val="003807A1"/>
    <w:rsid w:val="00380E8A"/>
    <w:rsid w:val="00381DC2"/>
    <w:rsid w:val="003839FD"/>
    <w:rsid w:val="00383B00"/>
    <w:rsid w:val="0038699E"/>
    <w:rsid w:val="00386B22"/>
    <w:rsid w:val="00387A21"/>
    <w:rsid w:val="0039095D"/>
    <w:rsid w:val="003910D2"/>
    <w:rsid w:val="003913E4"/>
    <w:rsid w:val="0039162B"/>
    <w:rsid w:val="003928B7"/>
    <w:rsid w:val="003945DC"/>
    <w:rsid w:val="00396426"/>
    <w:rsid w:val="00397E13"/>
    <w:rsid w:val="003A0347"/>
    <w:rsid w:val="003A1301"/>
    <w:rsid w:val="003A1850"/>
    <w:rsid w:val="003A1A27"/>
    <w:rsid w:val="003A3901"/>
    <w:rsid w:val="003A3E28"/>
    <w:rsid w:val="003A3F1B"/>
    <w:rsid w:val="003A46C0"/>
    <w:rsid w:val="003A5D8D"/>
    <w:rsid w:val="003A754B"/>
    <w:rsid w:val="003A7D50"/>
    <w:rsid w:val="003B19EE"/>
    <w:rsid w:val="003B23E2"/>
    <w:rsid w:val="003B286D"/>
    <w:rsid w:val="003B3364"/>
    <w:rsid w:val="003B3869"/>
    <w:rsid w:val="003B4B4A"/>
    <w:rsid w:val="003B5060"/>
    <w:rsid w:val="003B50B9"/>
    <w:rsid w:val="003B6D04"/>
    <w:rsid w:val="003C13B1"/>
    <w:rsid w:val="003C17AF"/>
    <w:rsid w:val="003C3D3D"/>
    <w:rsid w:val="003C44DB"/>
    <w:rsid w:val="003C46A4"/>
    <w:rsid w:val="003C46C1"/>
    <w:rsid w:val="003C486F"/>
    <w:rsid w:val="003C4936"/>
    <w:rsid w:val="003C52DE"/>
    <w:rsid w:val="003C7FCB"/>
    <w:rsid w:val="003D0257"/>
    <w:rsid w:val="003D0548"/>
    <w:rsid w:val="003D0848"/>
    <w:rsid w:val="003D3E5D"/>
    <w:rsid w:val="003D423E"/>
    <w:rsid w:val="003D4388"/>
    <w:rsid w:val="003D523B"/>
    <w:rsid w:val="003D5640"/>
    <w:rsid w:val="003D5F52"/>
    <w:rsid w:val="003D6BBA"/>
    <w:rsid w:val="003D79D1"/>
    <w:rsid w:val="003E002C"/>
    <w:rsid w:val="003E09BF"/>
    <w:rsid w:val="003E1811"/>
    <w:rsid w:val="003E3DF0"/>
    <w:rsid w:val="003E45A1"/>
    <w:rsid w:val="003E4D94"/>
    <w:rsid w:val="003E5521"/>
    <w:rsid w:val="003E69D3"/>
    <w:rsid w:val="003E7A86"/>
    <w:rsid w:val="003F1149"/>
    <w:rsid w:val="003F17F7"/>
    <w:rsid w:val="003F19D8"/>
    <w:rsid w:val="003F1DD4"/>
    <w:rsid w:val="003F2025"/>
    <w:rsid w:val="003F3751"/>
    <w:rsid w:val="003F4468"/>
    <w:rsid w:val="003F5A12"/>
    <w:rsid w:val="003F6951"/>
    <w:rsid w:val="004015CB"/>
    <w:rsid w:val="00403188"/>
    <w:rsid w:val="00403A69"/>
    <w:rsid w:val="004045AD"/>
    <w:rsid w:val="00404B72"/>
    <w:rsid w:val="00405E68"/>
    <w:rsid w:val="004109E1"/>
    <w:rsid w:val="0041136E"/>
    <w:rsid w:val="004113FF"/>
    <w:rsid w:val="0041347A"/>
    <w:rsid w:val="00415E6C"/>
    <w:rsid w:val="004178A4"/>
    <w:rsid w:val="00417CB4"/>
    <w:rsid w:val="004219DD"/>
    <w:rsid w:val="00422D8F"/>
    <w:rsid w:val="004236B3"/>
    <w:rsid w:val="00424694"/>
    <w:rsid w:val="00424C83"/>
    <w:rsid w:val="0042556D"/>
    <w:rsid w:val="00426051"/>
    <w:rsid w:val="004274E8"/>
    <w:rsid w:val="004303D5"/>
    <w:rsid w:val="00430B85"/>
    <w:rsid w:val="00434938"/>
    <w:rsid w:val="00436323"/>
    <w:rsid w:val="00436EEE"/>
    <w:rsid w:val="0043772E"/>
    <w:rsid w:val="004402AA"/>
    <w:rsid w:val="00441473"/>
    <w:rsid w:val="004416A6"/>
    <w:rsid w:val="00443C2C"/>
    <w:rsid w:val="0044498D"/>
    <w:rsid w:val="00444E6E"/>
    <w:rsid w:val="0044550E"/>
    <w:rsid w:val="004468FA"/>
    <w:rsid w:val="0044740E"/>
    <w:rsid w:val="004475AC"/>
    <w:rsid w:val="00447B6A"/>
    <w:rsid w:val="0045118D"/>
    <w:rsid w:val="004520D6"/>
    <w:rsid w:val="004521B8"/>
    <w:rsid w:val="004538EC"/>
    <w:rsid w:val="00453C28"/>
    <w:rsid w:val="00453D6F"/>
    <w:rsid w:val="00456233"/>
    <w:rsid w:val="0045659B"/>
    <w:rsid w:val="004576EF"/>
    <w:rsid w:val="00460582"/>
    <w:rsid w:val="00460A29"/>
    <w:rsid w:val="00460B2E"/>
    <w:rsid w:val="00461367"/>
    <w:rsid w:val="00461FEF"/>
    <w:rsid w:val="004621A7"/>
    <w:rsid w:val="004625BE"/>
    <w:rsid w:val="00462A38"/>
    <w:rsid w:val="004633E3"/>
    <w:rsid w:val="00464E60"/>
    <w:rsid w:val="004662D6"/>
    <w:rsid w:val="004666E2"/>
    <w:rsid w:val="00467A70"/>
    <w:rsid w:val="00470636"/>
    <w:rsid w:val="0047160E"/>
    <w:rsid w:val="00471879"/>
    <w:rsid w:val="0047490D"/>
    <w:rsid w:val="004756A6"/>
    <w:rsid w:val="00475B8D"/>
    <w:rsid w:val="00475F1D"/>
    <w:rsid w:val="00476073"/>
    <w:rsid w:val="00476D5A"/>
    <w:rsid w:val="00476DF6"/>
    <w:rsid w:val="00477102"/>
    <w:rsid w:val="00477CAC"/>
    <w:rsid w:val="00480324"/>
    <w:rsid w:val="00480565"/>
    <w:rsid w:val="00480680"/>
    <w:rsid w:val="00480E46"/>
    <w:rsid w:val="00480F88"/>
    <w:rsid w:val="00481801"/>
    <w:rsid w:val="00481DD9"/>
    <w:rsid w:val="00482629"/>
    <w:rsid w:val="00482951"/>
    <w:rsid w:val="00482E40"/>
    <w:rsid w:val="004847B8"/>
    <w:rsid w:val="004852D3"/>
    <w:rsid w:val="00485E52"/>
    <w:rsid w:val="00487A83"/>
    <w:rsid w:val="00487E27"/>
    <w:rsid w:val="0049050B"/>
    <w:rsid w:val="00490561"/>
    <w:rsid w:val="004909FB"/>
    <w:rsid w:val="00491070"/>
    <w:rsid w:val="0049251C"/>
    <w:rsid w:val="00493E7A"/>
    <w:rsid w:val="00494D8E"/>
    <w:rsid w:val="004951D3"/>
    <w:rsid w:val="0049616D"/>
    <w:rsid w:val="004A0859"/>
    <w:rsid w:val="004A1059"/>
    <w:rsid w:val="004A17F8"/>
    <w:rsid w:val="004A241B"/>
    <w:rsid w:val="004A38CC"/>
    <w:rsid w:val="004A3D45"/>
    <w:rsid w:val="004A4C4C"/>
    <w:rsid w:val="004A7709"/>
    <w:rsid w:val="004A7F90"/>
    <w:rsid w:val="004B1496"/>
    <w:rsid w:val="004B36D5"/>
    <w:rsid w:val="004B3B02"/>
    <w:rsid w:val="004B3CB8"/>
    <w:rsid w:val="004B3F17"/>
    <w:rsid w:val="004B5DED"/>
    <w:rsid w:val="004B6606"/>
    <w:rsid w:val="004B6806"/>
    <w:rsid w:val="004B7213"/>
    <w:rsid w:val="004B7DB3"/>
    <w:rsid w:val="004C09A2"/>
    <w:rsid w:val="004C122F"/>
    <w:rsid w:val="004C15D2"/>
    <w:rsid w:val="004C28FE"/>
    <w:rsid w:val="004C3489"/>
    <w:rsid w:val="004C3DAB"/>
    <w:rsid w:val="004C3ECB"/>
    <w:rsid w:val="004C5F45"/>
    <w:rsid w:val="004C6E41"/>
    <w:rsid w:val="004C769F"/>
    <w:rsid w:val="004D1245"/>
    <w:rsid w:val="004D175A"/>
    <w:rsid w:val="004D2169"/>
    <w:rsid w:val="004D3A24"/>
    <w:rsid w:val="004D4425"/>
    <w:rsid w:val="004D6472"/>
    <w:rsid w:val="004D7AAA"/>
    <w:rsid w:val="004E06D2"/>
    <w:rsid w:val="004E2950"/>
    <w:rsid w:val="004E2F6D"/>
    <w:rsid w:val="004E390C"/>
    <w:rsid w:val="004E3933"/>
    <w:rsid w:val="004E3AE3"/>
    <w:rsid w:val="004E49F8"/>
    <w:rsid w:val="004E58E9"/>
    <w:rsid w:val="004E6A9A"/>
    <w:rsid w:val="004E6BAF"/>
    <w:rsid w:val="004E7588"/>
    <w:rsid w:val="004F0045"/>
    <w:rsid w:val="004F0839"/>
    <w:rsid w:val="004F276F"/>
    <w:rsid w:val="004F3E3D"/>
    <w:rsid w:val="004F44F8"/>
    <w:rsid w:val="004F4573"/>
    <w:rsid w:val="004F4DCB"/>
    <w:rsid w:val="004F67E3"/>
    <w:rsid w:val="004F6811"/>
    <w:rsid w:val="004F6E98"/>
    <w:rsid w:val="004F7ED2"/>
    <w:rsid w:val="004F7FD3"/>
    <w:rsid w:val="00500234"/>
    <w:rsid w:val="0050030E"/>
    <w:rsid w:val="005003E4"/>
    <w:rsid w:val="005014FB"/>
    <w:rsid w:val="0050234B"/>
    <w:rsid w:val="00502991"/>
    <w:rsid w:val="00502C32"/>
    <w:rsid w:val="0050384C"/>
    <w:rsid w:val="00503CFB"/>
    <w:rsid w:val="00504F6C"/>
    <w:rsid w:val="005051CF"/>
    <w:rsid w:val="00506AF4"/>
    <w:rsid w:val="00506BFE"/>
    <w:rsid w:val="00507D79"/>
    <w:rsid w:val="00507E82"/>
    <w:rsid w:val="0051005D"/>
    <w:rsid w:val="00510101"/>
    <w:rsid w:val="00510C4A"/>
    <w:rsid w:val="00510E5C"/>
    <w:rsid w:val="00511FD5"/>
    <w:rsid w:val="00512027"/>
    <w:rsid w:val="00514179"/>
    <w:rsid w:val="00514937"/>
    <w:rsid w:val="0051721B"/>
    <w:rsid w:val="00517E92"/>
    <w:rsid w:val="0052016B"/>
    <w:rsid w:val="00521071"/>
    <w:rsid w:val="00522143"/>
    <w:rsid w:val="005225A4"/>
    <w:rsid w:val="0052457E"/>
    <w:rsid w:val="00524A0B"/>
    <w:rsid w:val="00525284"/>
    <w:rsid w:val="00525760"/>
    <w:rsid w:val="00526933"/>
    <w:rsid w:val="00527187"/>
    <w:rsid w:val="0052734A"/>
    <w:rsid w:val="00527582"/>
    <w:rsid w:val="005277D3"/>
    <w:rsid w:val="00530016"/>
    <w:rsid w:val="00531DC1"/>
    <w:rsid w:val="00533C85"/>
    <w:rsid w:val="00533FC5"/>
    <w:rsid w:val="005341DA"/>
    <w:rsid w:val="005343CC"/>
    <w:rsid w:val="00534E65"/>
    <w:rsid w:val="0053616A"/>
    <w:rsid w:val="00536817"/>
    <w:rsid w:val="0053708D"/>
    <w:rsid w:val="005406A2"/>
    <w:rsid w:val="005409B1"/>
    <w:rsid w:val="00542082"/>
    <w:rsid w:val="00542AE0"/>
    <w:rsid w:val="005430C1"/>
    <w:rsid w:val="00543195"/>
    <w:rsid w:val="0054355F"/>
    <w:rsid w:val="00544311"/>
    <w:rsid w:val="005444A9"/>
    <w:rsid w:val="00545510"/>
    <w:rsid w:val="005457E3"/>
    <w:rsid w:val="00545957"/>
    <w:rsid w:val="00545973"/>
    <w:rsid w:val="00545A13"/>
    <w:rsid w:val="00545BC1"/>
    <w:rsid w:val="00546366"/>
    <w:rsid w:val="00547C16"/>
    <w:rsid w:val="00551A28"/>
    <w:rsid w:val="005531DD"/>
    <w:rsid w:val="00553FF9"/>
    <w:rsid w:val="00554D86"/>
    <w:rsid w:val="005557FF"/>
    <w:rsid w:val="00555F0C"/>
    <w:rsid w:val="0055629B"/>
    <w:rsid w:val="00556B91"/>
    <w:rsid w:val="00557013"/>
    <w:rsid w:val="005570DE"/>
    <w:rsid w:val="00560C2C"/>
    <w:rsid w:val="00560ECA"/>
    <w:rsid w:val="005639F8"/>
    <w:rsid w:val="005640DC"/>
    <w:rsid w:val="005641AC"/>
    <w:rsid w:val="0056438C"/>
    <w:rsid w:val="005655D9"/>
    <w:rsid w:val="0056584D"/>
    <w:rsid w:val="00567C4D"/>
    <w:rsid w:val="0057018F"/>
    <w:rsid w:val="00570DA4"/>
    <w:rsid w:val="005718C7"/>
    <w:rsid w:val="00571F12"/>
    <w:rsid w:val="00573F0D"/>
    <w:rsid w:val="00574354"/>
    <w:rsid w:val="0057459E"/>
    <w:rsid w:val="005746C5"/>
    <w:rsid w:val="00574F7D"/>
    <w:rsid w:val="00575CC3"/>
    <w:rsid w:val="00575E10"/>
    <w:rsid w:val="00576E84"/>
    <w:rsid w:val="0057723F"/>
    <w:rsid w:val="005803AF"/>
    <w:rsid w:val="005824BA"/>
    <w:rsid w:val="00582EA6"/>
    <w:rsid w:val="00582F8C"/>
    <w:rsid w:val="00584054"/>
    <w:rsid w:val="005840B5"/>
    <w:rsid w:val="005843BA"/>
    <w:rsid w:val="00585D69"/>
    <w:rsid w:val="0058645A"/>
    <w:rsid w:val="005900D9"/>
    <w:rsid w:val="00590266"/>
    <w:rsid w:val="00590B6F"/>
    <w:rsid w:val="00590E01"/>
    <w:rsid w:val="00590E3C"/>
    <w:rsid w:val="00590EB8"/>
    <w:rsid w:val="0059120D"/>
    <w:rsid w:val="005929BE"/>
    <w:rsid w:val="00592B13"/>
    <w:rsid w:val="00594A93"/>
    <w:rsid w:val="0059657B"/>
    <w:rsid w:val="005968E8"/>
    <w:rsid w:val="00596ED0"/>
    <w:rsid w:val="00597D72"/>
    <w:rsid w:val="00597DE1"/>
    <w:rsid w:val="00597F3F"/>
    <w:rsid w:val="005A01E3"/>
    <w:rsid w:val="005A341E"/>
    <w:rsid w:val="005A3A91"/>
    <w:rsid w:val="005A4243"/>
    <w:rsid w:val="005A5849"/>
    <w:rsid w:val="005A6108"/>
    <w:rsid w:val="005A675B"/>
    <w:rsid w:val="005A6874"/>
    <w:rsid w:val="005A6A1E"/>
    <w:rsid w:val="005A7FC0"/>
    <w:rsid w:val="005B2806"/>
    <w:rsid w:val="005B29B6"/>
    <w:rsid w:val="005B30A4"/>
    <w:rsid w:val="005B6699"/>
    <w:rsid w:val="005B6BB9"/>
    <w:rsid w:val="005B6DE9"/>
    <w:rsid w:val="005C0528"/>
    <w:rsid w:val="005C07B0"/>
    <w:rsid w:val="005C0D8E"/>
    <w:rsid w:val="005C1996"/>
    <w:rsid w:val="005C352D"/>
    <w:rsid w:val="005C3876"/>
    <w:rsid w:val="005C3EB7"/>
    <w:rsid w:val="005C5650"/>
    <w:rsid w:val="005C5683"/>
    <w:rsid w:val="005C5B29"/>
    <w:rsid w:val="005C652D"/>
    <w:rsid w:val="005C7529"/>
    <w:rsid w:val="005C77E5"/>
    <w:rsid w:val="005D0C34"/>
    <w:rsid w:val="005D1143"/>
    <w:rsid w:val="005D119A"/>
    <w:rsid w:val="005D36FB"/>
    <w:rsid w:val="005D3B25"/>
    <w:rsid w:val="005D47B9"/>
    <w:rsid w:val="005D50C9"/>
    <w:rsid w:val="005D5268"/>
    <w:rsid w:val="005D5A04"/>
    <w:rsid w:val="005D7A7A"/>
    <w:rsid w:val="005E0A8D"/>
    <w:rsid w:val="005E1188"/>
    <w:rsid w:val="005E16D9"/>
    <w:rsid w:val="005E17D6"/>
    <w:rsid w:val="005E23C9"/>
    <w:rsid w:val="005E299F"/>
    <w:rsid w:val="005E2AB3"/>
    <w:rsid w:val="005E326F"/>
    <w:rsid w:val="005E4127"/>
    <w:rsid w:val="005E46B1"/>
    <w:rsid w:val="005E499D"/>
    <w:rsid w:val="005E546F"/>
    <w:rsid w:val="005E6527"/>
    <w:rsid w:val="005F122A"/>
    <w:rsid w:val="005F1259"/>
    <w:rsid w:val="005F1AE1"/>
    <w:rsid w:val="005F2A18"/>
    <w:rsid w:val="005F2C56"/>
    <w:rsid w:val="005F2D5E"/>
    <w:rsid w:val="005F44B7"/>
    <w:rsid w:val="005F44E2"/>
    <w:rsid w:val="005F5814"/>
    <w:rsid w:val="005F64AD"/>
    <w:rsid w:val="005F7A9C"/>
    <w:rsid w:val="0060085C"/>
    <w:rsid w:val="00600B65"/>
    <w:rsid w:val="00601A87"/>
    <w:rsid w:val="00601B1B"/>
    <w:rsid w:val="006023B3"/>
    <w:rsid w:val="00603090"/>
    <w:rsid w:val="00603AE6"/>
    <w:rsid w:val="00604244"/>
    <w:rsid w:val="00604735"/>
    <w:rsid w:val="00604ECD"/>
    <w:rsid w:val="00605971"/>
    <w:rsid w:val="00606CB4"/>
    <w:rsid w:val="00610C2B"/>
    <w:rsid w:val="006121F1"/>
    <w:rsid w:val="00612975"/>
    <w:rsid w:val="00613EF2"/>
    <w:rsid w:val="00615579"/>
    <w:rsid w:val="00616106"/>
    <w:rsid w:val="006165CC"/>
    <w:rsid w:val="006213E9"/>
    <w:rsid w:val="0062140A"/>
    <w:rsid w:val="006223EA"/>
    <w:rsid w:val="00622AA8"/>
    <w:rsid w:val="00622CB7"/>
    <w:rsid w:val="00623174"/>
    <w:rsid w:val="00623C84"/>
    <w:rsid w:val="00624154"/>
    <w:rsid w:val="0062482A"/>
    <w:rsid w:val="006249E7"/>
    <w:rsid w:val="00625DAD"/>
    <w:rsid w:val="00627FA6"/>
    <w:rsid w:val="006306C6"/>
    <w:rsid w:val="006316DE"/>
    <w:rsid w:val="0063266A"/>
    <w:rsid w:val="00632A88"/>
    <w:rsid w:val="00632CE7"/>
    <w:rsid w:val="006330FC"/>
    <w:rsid w:val="00634776"/>
    <w:rsid w:val="00635897"/>
    <w:rsid w:val="006368ED"/>
    <w:rsid w:val="00636B58"/>
    <w:rsid w:val="00636B62"/>
    <w:rsid w:val="006372CD"/>
    <w:rsid w:val="00640395"/>
    <w:rsid w:val="0064076E"/>
    <w:rsid w:val="00641C59"/>
    <w:rsid w:val="00642014"/>
    <w:rsid w:val="00650CF6"/>
    <w:rsid w:val="00651C72"/>
    <w:rsid w:val="00652032"/>
    <w:rsid w:val="00652D57"/>
    <w:rsid w:val="006537A3"/>
    <w:rsid w:val="00653F84"/>
    <w:rsid w:val="006544CF"/>
    <w:rsid w:val="0065471B"/>
    <w:rsid w:val="00655108"/>
    <w:rsid w:val="0065606C"/>
    <w:rsid w:val="0066031F"/>
    <w:rsid w:val="006606F5"/>
    <w:rsid w:val="00661A51"/>
    <w:rsid w:val="00661DA8"/>
    <w:rsid w:val="00663581"/>
    <w:rsid w:val="00664635"/>
    <w:rsid w:val="00664DA2"/>
    <w:rsid w:val="00667180"/>
    <w:rsid w:val="006709E2"/>
    <w:rsid w:val="00673655"/>
    <w:rsid w:val="0067567B"/>
    <w:rsid w:val="006763E4"/>
    <w:rsid w:val="006773E5"/>
    <w:rsid w:val="00677D02"/>
    <w:rsid w:val="0068042F"/>
    <w:rsid w:val="00682305"/>
    <w:rsid w:val="00683FCF"/>
    <w:rsid w:val="00683FF5"/>
    <w:rsid w:val="006844F6"/>
    <w:rsid w:val="00684C13"/>
    <w:rsid w:val="00684E84"/>
    <w:rsid w:val="0068530E"/>
    <w:rsid w:val="0068767A"/>
    <w:rsid w:val="0069302C"/>
    <w:rsid w:val="0069427C"/>
    <w:rsid w:val="0069465E"/>
    <w:rsid w:val="00694D4E"/>
    <w:rsid w:val="00695F73"/>
    <w:rsid w:val="0069690A"/>
    <w:rsid w:val="006975D0"/>
    <w:rsid w:val="00697932"/>
    <w:rsid w:val="006A03D0"/>
    <w:rsid w:val="006A074C"/>
    <w:rsid w:val="006A08F2"/>
    <w:rsid w:val="006A107D"/>
    <w:rsid w:val="006A1748"/>
    <w:rsid w:val="006A193F"/>
    <w:rsid w:val="006A1A01"/>
    <w:rsid w:val="006A2E47"/>
    <w:rsid w:val="006A33E4"/>
    <w:rsid w:val="006A4A27"/>
    <w:rsid w:val="006A57E5"/>
    <w:rsid w:val="006A58CC"/>
    <w:rsid w:val="006B019D"/>
    <w:rsid w:val="006B0D52"/>
    <w:rsid w:val="006B16D6"/>
    <w:rsid w:val="006B24CA"/>
    <w:rsid w:val="006B24E9"/>
    <w:rsid w:val="006B4181"/>
    <w:rsid w:val="006B4248"/>
    <w:rsid w:val="006B4531"/>
    <w:rsid w:val="006B49D7"/>
    <w:rsid w:val="006B540F"/>
    <w:rsid w:val="006B552C"/>
    <w:rsid w:val="006B56D4"/>
    <w:rsid w:val="006B5B0C"/>
    <w:rsid w:val="006B622D"/>
    <w:rsid w:val="006B676B"/>
    <w:rsid w:val="006B679F"/>
    <w:rsid w:val="006B7941"/>
    <w:rsid w:val="006C0312"/>
    <w:rsid w:val="006C14B9"/>
    <w:rsid w:val="006C3660"/>
    <w:rsid w:val="006C3E2A"/>
    <w:rsid w:val="006C4865"/>
    <w:rsid w:val="006C4A7F"/>
    <w:rsid w:val="006C4D7D"/>
    <w:rsid w:val="006C58CE"/>
    <w:rsid w:val="006C67BF"/>
    <w:rsid w:val="006C7437"/>
    <w:rsid w:val="006C7984"/>
    <w:rsid w:val="006D01EB"/>
    <w:rsid w:val="006D0D2A"/>
    <w:rsid w:val="006D165F"/>
    <w:rsid w:val="006D24AC"/>
    <w:rsid w:val="006D24CE"/>
    <w:rsid w:val="006D2992"/>
    <w:rsid w:val="006D3D24"/>
    <w:rsid w:val="006D42B8"/>
    <w:rsid w:val="006D496A"/>
    <w:rsid w:val="006D5A8A"/>
    <w:rsid w:val="006D5E11"/>
    <w:rsid w:val="006D6720"/>
    <w:rsid w:val="006D6A71"/>
    <w:rsid w:val="006D6F66"/>
    <w:rsid w:val="006D710B"/>
    <w:rsid w:val="006D735C"/>
    <w:rsid w:val="006D7774"/>
    <w:rsid w:val="006D7A67"/>
    <w:rsid w:val="006D7F38"/>
    <w:rsid w:val="006E44BF"/>
    <w:rsid w:val="006E4662"/>
    <w:rsid w:val="006E4DD8"/>
    <w:rsid w:val="006E5437"/>
    <w:rsid w:val="006E64F6"/>
    <w:rsid w:val="006E73DE"/>
    <w:rsid w:val="006E7CF7"/>
    <w:rsid w:val="006F0312"/>
    <w:rsid w:val="006F19FB"/>
    <w:rsid w:val="006F34CF"/>
    <w:rsid w:val="006F4795"/>
    <w:rsid w:val="006F70DE"/>
    <w:rsid w:val="006F738C"/>
    <w:rsid w:val="00701A16"/>
    <w:rsid w:val="00702526"/>
    <w:rsid w:val="00702889"/>
    <w:rsid w:val="00703BC8"/>
    <w:rsid w:val="0070492B"/>
    <w:rsid w:val="007057C8"/>
    <w:rsid w:val="007059A5"/>
    <w:rsid w:val="00705AEB"/>
    <w:rsid w:val="0070761D"/>
    <w:rsid w:val="007103AA"/>
    <w:rsid w:val="00710553"/>
    <w:rsid w:val="00710D1B"/>
    <w:rsid w:val="0071150D"/>
    <w:rsid w:val="0071172C"/>
    <w:rsid w:val="0071176A"/>
    <w:rsid w:val="00712309"/>
    <w:rsid w:val="00712634"/>
    <w:rsid w:val="00712E17"/>
    <w:rsid w:val="00713CE0"/>
    <w:rsid w:val="007147D7"/>
    <w:rsid w:val="007156F0"/>
    <w:rsid w:val="00715E40"/>
    <w:rsid w:val="00716FCA"/>
    <w:rsid w:val="007171BC"/>
    <w:rsid w:val="007175D6"/>
    <w:rsid w:val="00720C07"/>
    <w:rsid w:val="00721B27"/>
    <w:rsid w:val="00722787"/>
    <w:rsid w:val="00722A6E"/>
    <w:rsid w:val="00723B90"/>
    <w:rsid w:val="007245CD"/>
    <w:rsid w:val="0072542F"/>
    <w:rsid w:val="00726062"/>
    <w:rsid w:val="007267B7"/>
    <w:rsid w:val="0072711B"/>
    <w:rsid w:val="007277AB"/>
    <w:rsid w:val="00727828"/>
    <w:rsid w:val="00730439"/>
    <w:rsid w:val="00731328"/>
    <w:rsid w:val="00731D04"/>
    <w:rsid w:val="0073305B"/>
    <w:rsid w:val="007330A0"/>
    <w:rsid w:val="00733126"/>
    <w:rsid w:val="0073376E"/>
    <w:rsid w:val="0073502F"/>
    <w:rsid w:val="00735059"/>
    <w:rsid w:val="007350EF"/>
    <w:rsid w:val="00735642"/>
    <w:rsid w:val="00736E61"/>
    <w:rsid w:val="00736FE9"/>
    <w:rsid w:val="00741077"/>
    <w:rsid w:val="0074189F"/>
    <w:rsid w:val="00741D4C"/>
    <w:rsid w:val="00742283"/>
    <w:rsid w:val="00742E3A"/>
    <w:rsid w:val="00742F48"/>
    <w:rsid w:val="00743133"/>
    <w:rsid w:val="00743377"/>
    <w:rsid w:val="0074363D"/>
    <w:rsid w:val="0074403D"/>
    <w:rsid w:val="007441D9"/>
    <w:rsid w:val="00744E3E"/>
    <w:rsid w:val="00745BA1"/>
    <w:rsid w:val="0074714C"/>
    <w:rsid w:val="007472A0"/>
    <w:rsid w:val="0075098F"/>
    <w:rsid w:val="00754564"/>
    <w:rsid w:val="00754E54"/>
    <w:rsid w:val="00756375"/>
    <w:rsid w:val="00756F19"/>
    <w:rsid w:val="007578E9"/>
    <w:rsid w:val="007604AF"/>
    <w:rsid w:val="00760750"/>
    <w:rsid w:val="00760967"/>
    <w:rsid w:val="00760C85"/>
    <w:rsid w:val="007614AB"/>
    <w:rsid w:val="0076229B"/>
    <w:rsid w:val="00762BFE"/>
    <w:rsid w:val="007633AF"/>
    <w:rsid w:val="007639DA"/>
    <w:rsid w:val="007640E9"/>
    <w:rsid w:val="00764826"/>
    <w:rsid w:val="00765C6E"/>
    <w:rsid w:val="00766543"/>
    <w:rsid w:val="00767C8A"/>
    <w:rsid w:val="00771A80"/>
    <w:rsid w:val="00771B40"/>
    <w:rsid w:val="007725DE"/>
    <w:rsid w:val="00772657"/>
    <w:rsid w:val="00773E04"/>
    <w:rsid w:val="0077463A"/>
    <w:rsid w:val="00774949"/>
    <w:rsid w:val="00777015"/>
    <w:rsid w:val="0078005B"/>
    <w:rsid w:val="007806E0"/>
    <w:rsid w:val="0078098C"/>
    <w:rsid w:val="0078118C"/>
    <w:rsid w:val="007826EC"/>
    <w:rsid w:val="0078436F"/>
    <w:rsid w:val="00785B5E"/>
    <w:rsid w:val="00786397"/>
    <w:rsid w:val="00786F04"/>
    <w:rsid w:val="00787382"/>
    <w:rsid w:val="00791F88"/>
    <w:rsid w:val="0079212F"/>
    <w:rsid w:val="00792A81"/>
    <w:rsid w:val="0079309D"/>
    <w:rsid w:val="007934A2"/>
    <w:rsid w:val="00793F2B"/>
    <w:rsid w:val="00794F26"/>
    <w:rsid w:val="0079783B"/>
    <w:rsid w:val="00797880"/>
    <w:rsid w:val="007A03B7"/>
    <w:rsid w:val="007A0A56"/>
    <w:rsid w:val="007A0DDA"/>
    <w:rsid w:val="007A0E83"/>
    <w:rsid w:val="007A1AE5"/>
    <w:rsid w:val="007A1AE7"/>
    <w:rsid w:val="007A2560"/>
    <w:rsid w:val="007A2A42"/>
    <w:rsid w:val="007A3ECA"/>
    <w:rsid w:val="007A7195"/>
    <w:rsid w:val="007B0818"/>
    <w:rsid w:val="007B0E51"/>
    <w:rsid w:val="007B1CAF"/>
    <w:rsid w:val="007B21FD"/>
    <w:rsid w:val="007B28AC"/>
    <w:rsid w:val="007B37EE"/>
    <w:rsid w:val="007B4363"/>
    <w:rsid w:val="007B54B3"/>
    <w:rsid w:val="007B58E8"/>
    <w:rsid w:val="007B6354"/>
    <w:rsid w:val="007B6B65"/>
    <w:rsid w:val="007C083F"/>
    <w:rsid w:val="007C0F6B"/>
    <w:rsid w:val="007C1491"/>
    <w:rsid w:val="007C1F17"/>
    <w:rsid w:val="007C2051"/>
    <w:rsid w:val="007C248C"/>
    <w:rsid w:val="007C2B42"/>
    <w:rsid w:val="007C2F8E"/>
    <w:rsid w:val="007C4489"/>
    <w:rsid w:val="007C565E"/>
    <w:rsid w:val="007C61CA"/>
    <w:rsid w:val="007C710F"/>
    <w:rsid w:val="007C7FE1"/>
    <w:rsid w:val="007D0842"/>
    <w:rsid w:val="007D0E4B"/>
    <w:rsid w:val="007D1233"/>
    <w:rsid w:val="007D1B3F"/>
    <w:rsid w:val="007D211A"/>
    <w:rsid w:val="007D4DE4"/>
    <w:rsid w:val="007D5134"/>
    <w:rsid w:val="007D79E0"/>
    <w:rsid w:val="007E5294"/>
    <w:rsid w:val="007E5354"/>
    <w:rsid w:val="007E726A"/>
    <w:rsid w:val="007E7B16"/>
    <w:rsid w:val="007E7CA1"/>
    <w:rsid w:val="007F0A7C"/>
    <w:rsid w:val="007F2CDA"/>
    <w:rsid w:val="007F3ED5"/>
    <w:rsid w:val="007F5AB0"/>
    <w:rsid w:val="007F6711"/>
    <w:rsid w:val="007F71CD"/>
    <w:rsid w:val="00801D15"/>
    <w:rsid w:val="0080215B"/>
    <w:rsid w:val="008025C1"/>
    <w:rsid w:val="00803428"/>
    <w:rsid w:val="00803714"/>
    <w:rsid w:val="008039DD"/>
    <w:rsid w:val="00803E9C"/>
    <w:rsid w:val="00804207"/>
    <w:rsid w:val="00805774"/>
    <w:rsid w:val="00805E4D"/>
    <w:rsid w:val="00806D1E"/>
    <w:rsid w:val="0080710D"/>
    <w:rsid w:val="008073AC"/>
    <w:rsid w:val="0081021B"/>
    <w:rsid w:val="0081064D"/>
    <w:rsid w:val="008110E1"/>
    <w:rsid w:val="00811A40"/>
    <w:rsid w:val="00812644"/>
    <w:rsid w:val="008144AC"/>
    <w:rsid w:val="008148A4"/>
    <w:rsid w:val="00814E6A"/>
    <w:rsid w:val="0081512F"/>
    <w:rsid w:val="0081691F"/>
    <w:rsid w:val="00816DB5"/>
    <w:rsid w:val="008175F9"/>
    <w:rsid w:val="00817BBD"/>
    <w:rsid w:val="008222AF"/>
    <w:rsid w:val="00822752"/>
    <w:rsid w:val="00822B29"/>
    <w:rsid w:val="00822D3E"/>
    <w:rsid w:val="00823EAA"/>
    <w:rsid w:val="00824850"/>
    <w:rsid w:val="008264AE"/>
    <w:rsid w:val="008275F7"/>
    <w:rsid w:val="0083016D"/>
    <w:rsid w:val="00830DE5"/>
    <w:rsid w:val="00830EF3"/>
    <w:rsid w:val="0083202B"/>
    <w:rsid w:val="00833394"/>
    <w:rsid w:val="0083351D"/>
    <w:rsid w:val="00835971"/>
    <w:rsid w:val="00835FAA"/>
    <w:rsid w:val="00836357"/>
    <w:rsid w:val="00837627"/>
    <w:rsid w:val="0084087A"/>
    <w:rsid w:val="00840D10"/>
    <w:rsid w:val="00840E64"/>
    <w:rsid w:val="008413C9"/>
    <w:rsid w:val="0084179C"/>
    <w:rsid w:val="00841B8C"/>
    <w:rsid w:val="00842462"/>
    <w:rsid w:val="00843009"/>
    <w:rsid w:val="0084347E"/>
    <w:rsid w:val="008451D2"/>
    <w:rsid w:val="00845D2D"/>
    <w:rsid w:val="0084659C"/>
    <w:rsid w:val="008473EA"/>
    <w:rsid w:val="00847434"/>
    <w:rsid w:val="00847987"/>
    <w:rsid w:val="00847E32"/>
    <w:rsid w:val="00850120"/>
    <w:rsid w:val="00850330"/>
    <w:rsid w:val="00850ABD"/>
    <w:rsid w:val="0085132A"/>
    <w:rsid w:val="008513DE"/>
    <w:rsid w:val="00852265"/>
    <w:rsid w:val="008526F5"/>
    <w:rsid w:val="008527EC"/>
    <w:rsid w:val="0085460E"/>
    <w:rsid w:val="008546ED"/>
    <w:rsid w:val="00855599"/>
    <w:rsid w:val="00855C80"/>
    <w:rsid w:val="00856131"/>
    <w:rsid w:val="008616FE"/>
    <w:rsid w:val="008651A2"/>
    <w:rsid w:val="00865876"/>
    <w:rsid w:val="00867DA3"/>
    <w:rsid w:val="008706D4"/>
    <w:rsid w:val="00872010"/>
    <w:rsid w:val="008720BA"/>
    <w:rsid w:val="00872FE7"/>
    <w:rsid w:val="00873544"/>
    <w:rsid w:val="00875405"/>
    <w:rsid w:val="00875A3C"/>
    <w:rsid w:val="00875D40"/>
    <w:rsid w:val="008762C0"/>
    <w:rsid w:val="00877000"/>
    <w:rsid w:val="00877251"/>
    <w:rsid w:val="0087794E"/>
    <w:rsid w:val="00877DBF"/>
    <w:rsid w:val="00877ED7"/>
    <w:rsid w:val="008806E3"/>
    <w:rsid w:val="00880C7C"/>
    <w:rsid w:val="0088137F"/>
    <w:rsid w:val="0088165F"/>
    <w:rsid w:val="008821C0"/>
    <w:rsid w:val="00882DF0"/>
    <w:rsid w:val="0088352D"/>
    <w:rsid w:val="008843CC"/>
    <w:rsid w:val="008854E8"/>
    <w:rsid w:val="008868A4"/>
    <w:rsid w:val="00886A85"/>
    <w:rsid w:val="008913AD"/>
    <w:rsid w:val="00891A2C"/>
    <w:rsid w:val="00892D33"/>
    <w:rsid w:val="008934D2"/>
    <w:rsid w:val="00894A21"/>
    <w:rsid w:val="008952CE"/>
    <w:rsid w:val="00897014"/>
    <w:rsid w:val="00897720"/>
    <w:rsid w:val="008A095B"/>
    <w:rsid w:val="008A0D4F"/>
    <w:rsid w:val="008A127B"/>
    <w:rsid w:val="008A3090"/>
    <w:rsid w:val="008A3D74"/>
    <w:rsid w:val="008A5FD3"/>
    <w:rsid w:val="008A6093"/>
    <w:rsid w:val="008A76ED"/>
    <w:rsid w:val="008B0041"/>
    <w:rsid w:val="008B12D9"/>
    <w:rsid w:val="008B1491"/>
    <w:rsid w:val="008B3A71"/>
    <w:rsid w:val="008B501F"/>
    <w:rsid w:val="008B6754"/>
    <w:rsid w:val="008B6A25"/>
    <w:rsid w:val="008C132C"/>
    <w:rsid w:val="008C1984"/>
    <w:rsid w:val="008C1D7B"/>
    <w:rsid w:val="008C20B1"/>
    <w:rsid w:val="008C47C3"/>
    <w:rsid w:val="008C4E43"/>
    <w:rsid w:val="008C5F5A"/>
    <w:rsid w:val="008C6714"/>
    <w:rsid w:val="008C7078"/>
    <w:rsid w:val="008D1563"/>
    <w:rsid w:val="008D20BB"/>
    <w:rsid w:val="008D2E52"/>
    <w:rsid w:val="008D330E"/>
    <w:rsid w:val="008D3769"/>
    <w:rsid w:val="008D3DD6"/>
    <w:rsid w:val="008D3FE3"/>
    <w:rsid w:val="008D4A35"/>
    <w:rsid w:val="008D6420"/>
    <w:rsid w:val="008D6D45"/>
    <w:rsid w:val="008D7B2A"/>
    <w:rsid w:val="008E0216"/>
    <w:rsid w:val="008E414E"/>
    <w:rsid w:val="008E44DD"/>
    <w:rsid w:val="008E4C22"/>
    <w:rsid w:val="008E7AC3"/>
    <w:rsid w:val="008E7E0C"/>
    <w:rsid w:val="008E7EF9"/>
    <w:rsid w:val="008F0A32"/>
    <w:rsid w:val="008F0C89"/>
    <w:rsid w:val="008F19A4"/>
    <w:rsid w:val="008F5022"/>
    <w:rsid w:val="008F5C01"/>
    <w:rsid w:val="008F60DE"/>
    <w:rsid w:val="008F69FA"/>
    <w:rsid w:val="009011E4"/>
    <w:rsid w:val="00902EFC"/>
    <w:rsid w:val="00903E4D"/>
    <w:rsid w:val="0090467F"/>
    <w:rsid w:val="009046EE"/>
    <w:rsid w:val="00905E68"/>
    <w:rsid w:val="00906394"/>
    <w:rsid w:val="00910029"/>
    <w:rsid w:val="009108F4"/>
    <w:rsid w:val="00911CBD"/>
    <w:rsid w:val="00912133"/>
    <w:rsid w:val="00912191"/>
    <w:rsid w:val="0091330D"/>
    <w:rsid w:val="00914AE9"/>
    <w:rsid w:val="009151C4"/>
    <w:rsid w:val="009154BE"/>
    <w:rsid w:val="00915B2E"/>
    <w:rsid w:val="00916373"/>
    <w:rsid w:val="0091784B"/>
    <w:rsid w:val="00917857"/>
    <w:rsid w:val="00917E66"/>
    <w:rsid w:val="009216BD"/>
    <w:rsid w:val="00921CDD"/>
    <w:rsid w:val="00921F76"/>
    <w:rsid w:val="009220B6"/>
    <w:rsid w:val="0092416D"/>
    <w:rsid w:val="00924E57"/>
    <w:rsid w:val="00925089"/>
    <w:rsid w:val="00925FFC"/>
    <w:rsid w:val="0092677B"/>
    <w:rsid w:val="00926B7F"/>
    <w:rsid w:val="0092770F"/>
    <w:rsid w:val="00927897"/>
    <w:rsid w:val="00927FAE"/>
    <w:rsid w:val="00930019"/>
    <w:rsid w:val="009300C6"/>
    <w:rsid w:val="00931A68"/>
    <w:rsid w:val="00931CA6"/>
    <w:rsid w:val="00932318"/>
    <w:rsid w:val="009325F1"/>
    <w:rsid w:val="00933157"/>
    <w:rsid w:val="00933302"/>
    <w:rsid w:val="009341C8"/>
    <w:rsid w:val="00934922"/>
    <w:rsid w:val="00934975"/>
    <w:rsid w:val="00936439"/>
    <w:rsid w:val="00936681"/>
    <w:rsid w:val="00936BF0"/>
    <w:rsid w:val="00937076"/>
    <w:rsid w:val="0094035F"/>
    <w:rsid w:val="009412B9"/>
    <w:rsid w:val="009426BD"/>
    <w:rsid w:val="0094284A"/>
    <w:rsid w:val="009452FD"/>
    <w:rsid w:val="00945E1A"/>
    <w:rsid w:val="00946866"/>
    <w:rsid w:val="00946DAA"/>
    <w:rsid w:val="009470E7"/>
    <w:rsid w:val="00947542"/>
    <w:rsid w:val="00947556"/>
    <w:rsid w:val="0095433E"/>
    <w:rsid w:val="00954489"/>
    <w:rsid w:val="00954D7C"/>
    <w:rsid w:val="00955920"/>
    <w:rsid w:val="009573CD"/>
    <w:rsid w:val="009573FB"/>
    <w:rsid w:val="0095770A"/>
    <w:rsid w:val="00961464"/>
    <w:rsid w:val="00962E88"/>
    <w:rsid w:val="00962EA1"/>
    <w:rsid w:val="0096325C"/>
    <w:rsid w:val="00963EEA"/>
    <w:rsid w:val="009658F8"/>
    <w:rsid w:val="00965F5F"/>
    <w:rsid w:val="00966379"/>
    <w:rsid w:val="00970B52"/>
    <w:rsid w:val="00971BF2"/>
    <w:rsid w:val="00971DDE"/>
    <w:rsid w:val="00973919"/>
    <w:rsid w:val="009752F1"/>
    <w:rsid w:val="0097568A"/>
    <w:rsid w:val="00977FA2"/>
    <w:rsid w:val="009800CB"/>
    <w:rsid w:val="009805C7"/>
    <w:rsid w:val="009808D2"/>
    <w:rsid w:val="00982CCC"/>
    <w:rsid w:val="0098557A"/>
    <w:rsid w:val="00986346"/>
    <w:rsid w:val="00986641"/>
    <w:rsid w:val="00987477"/>
    <w:rsid w:val="00987F8C"/>
    <w:rsid w:val="00990BF2"/>
    <w:rsid w:val="00991FD5"/>
    <w:rsid w:val="00992148"/>
    <w:rsid w:val="009925D5"/>
    <w:rsid w:val="00992968"/>
    <w:rsid w:val="00992F66"/>
    <w:rsid w:val="00995581"/>
    <w:rsid w:val="009971E4"/>
    <w:rsid w:val="009977CE"/>
    <w:rsid w:val="009A033B"/>
    <w:rsid w:val="009A0E13"/>
    <w:rsid w:val="009A0EA8"/>
    <w:rsid w:val="009A1170"/>
    <w:rsid w:val="009A2118"/>
    <w:rsid w:val="009A320C"/>
    <w:rsid w:val="009A33C0"/>
    <w:rsid w:val="009A3AFE"/>
    <w:rsid w:val="009A5290"/>
    <w:rsid w:val="009A59DA"/>
    <w:rsid w:val="009A5A83"/>
    <w:rsid w:val="009A6EA6"/>
    <w:rsid w:val="009A78AA"/>
    <w:rsid w:val="009A793A"/>
    <w:rsid w:val="009B06C9"/>
    <w:rsid w:val="009B06CE"/>
    <w:rsid w:val="009B0D17"/>
    <w:rsid w:val="009B208B"/>
    <w:rsid w:val="009B3632"/>
    <w:rsid w:val="009B3F75"/>
    <w:rsid w:val="009B436A"/>
    <w:rsid w:val="009B47E9"/>
    <w:rsid w:val="009B4824"/>
    <w:rsid w:val="009B4D90"/>
    <w:rsid w:val="009B6411"/>
    <w:rsid w:val="009B6C3D"/>
    <w:rsid w:val="009B6F83"/>
    <w:rsid w:val="009B700E"/>
    <w:rsid w:val="009B7993"/>
    <w:rsid w:val="009C0CFE"/>
    <w:rsid w:val="009C4454"/>
    <w:rsid w:val="009C4B8E"/>
    <w:rsid w:val="009C58B2"/>
    <w:rsid w:val="009D1674"/>
    <w:rsid w:val="009D1C11"/>
    <w:rsid w:val="009D205F"/>
    <w:rsid w:val="009D4411"/>
    <w:rsid w:val="009D4C50"/>
    <w:rsid w:val="009D5A5F"/>
    <w:rsid w:val="009D5B53"/>
    <w:rsid w:val="009D678C"/>
    <w:rsid w:val="009E0066"/>
    <w:rsid w:val="009E084C"/>
    <w:rsid w:val="009E0B08"/>
    <w:rsid w:val="009E111F"/>
    <w:rsid w:val="009E2042"/>
    <w:rsid w:val="009E2143"/>
    <w:rsid w:val="009E2A25"/>
    <w:rsid w:val="009E3929"/>
    <w:rsid w:val="009E4846"/>
    <w:rsid w:val="009E5020"/>
    <w:rsid w:val="009E5764"/>
    <w:rsid w:val="009E5C97"/>
    <w:rsid w:val="009E62F6"/>
    <w:rsid w:val="009E77C9"/>
    <w:rsid w:val="009F26D2"/>
    <w:rsid w:val="009F3649"/>
    <w:rsid w:val="009F4A9B"/>
    <w:rsid w:val="009F5626"/>
    <w:rsid w:val="009F5D09"/>
    <w:rsid w:val="009F6374"/>
    <w:rsid w:val="009F6478"/>
    <w:rsid w:val="009F6620"/>
    <w:rsid w:val="009F6BB2"/>
    <w:rsid w:val="009F6E7F"/>
    <w:rsid w:val="00A019E2"/>
    <w:rsid w:val="00A01F85"/>
    <w:rsid w:val="00A0319D"/>
    <w:rsid w:val="00A038B9"/>
    <w:rsid w:val="00A03CE9"/>
    <w:rsid w:val="00A045A2"/>
    <w:rsid w:val="00A04D16"/>
    <w:rsid w:val="00A05F99"/>
    <w:rsid w:val="00A07232"/>
    <w:rsid w:val="00A076F3"/>
    <w:rsid w:val="00A079FC"/>
    <w:rsid w:val="00A07B6A"/>
    <w:rsid w:val="00A10781"/>
    <w:rsid w:val="00A1143D"/>
    <w:rsid w:val="00A11FA1"/>
    <w:rsid w:val="00A138EB"/>
    <w:rsid w:val="00A13A45"/>
    <w:rsid w:val="00A16CC5"/>
    <w:rsid w:val="00A17472"/>
    <w:rsid w:val="00A20869"/>
    <w:rsid w:val="00A20A12"/>
    <w:rsid w:val="00A210EE"/>
    <w:rsid w:val="00A2177E"/>
    <w:rsid w:val="00A220BF"/>
    <w:rsid w:val="00A2429B"/>
    <w:rsid w:val="00A24540"/>
    <w:rsid w:val="00A2498D"/>
    <w:rsid w:val="00A2684E"/>
    <w:rsid w:val="00A2738E"/>
    <w:rsid w:val="00A2794D"/>
    <w:rsid w:val="00A30058"/>
    <w:rsid w:val="00A30583"/>
    <w:rsid w:val="00A30CFD"/>
    <w:rsid w:val="00A314C8"/>
    <w:rsid w:val="00A341AE"/>
    <w:rsid w:val="00A34955"/>
    <w:rsid w:val="00A34D82"/>
    <w:rsid w:val="00A362CE"/>
    <w:rsid w:val="00A36375"/>
    <w:rsid w:val="00A40F82"/>
    <w:rsid w:val="00A410A9"/>
    <w:rsid w:val="00A410E8"/>
    <w:rsid w:val="00A4169A"/>
    <w:rsid w:val="00A42A68"/>
    <w:rsid w:val="00A43263"/>
    <w:rsid w:val="00A43666"/>
    <w:rsid w:val="00A438E5"/>
    <w:rsid w:val="00A45B6D"/>
    <w:rsid w:val="00A46E46"/>
    <w:rsid w:val="00A511C8"/>
    <w:rsid w:val="00A516AD"/>
    <w:rsid w:val="00A5209E"/>
    <w:rsid w:val="00A52B80"/>
    <w:rsid w:val="00A5320F"/>
    <w:rsid w:val="00A538A8"/>
    <w:rsid w:val="00A541E5"/>
    <w:rsid w:val="00A5474F"/>
    <w:rsid w:val="00A54D6B"/>
    <w:rsid w:val="00A5500D"/>
    <w:rsid w:val="00A5507F"/>
    <w:rsid w:val="00A577A4"/>
    <w:rsid w:val="00A57B8F"/>
    <w:rsid w:val="00A605B0"/>
    <w:rsid w:val="00A61704"/>
    <w:rsid w:val="00A62620"/>
    <w:rsid w:val="00A642E7"/>
    <w:rsid w:val="00A66A6E"/>
    <w:rsid w:val="00A715CB"/>
    <w:rsid w:val="00A733F1"/>
    <w:rsid w:val="00A74705"/>
    <w:rsid w:val="00A76199"/>
    <w:rsid w:val="00A76AE8"/>
    <w:rsid w:val="00A77BD1"/>
    <w:rsid w:val="00A80B67"/>
    <w:rsid w:val="00A81632"/>
    <w:rsid w:val="00A82D82"/>
    <w:rsid w:val="00A8314F"/>
    <w:rsid w:val="00A834F8"/>
    <w:rsid w:val="00A844C0"/>
    <w:rsid w:val="00A84599"/>
    <w:rsid w:val="00A846CB"/>
    <w:rsid w:val="00A846FD"/>
    <w:rsid w:val="00A84B78"/>
    <w:rsid w:val="00A85344"/>
    <w:rsid w:val="00A8576F"/>
    <w:rsid w:val="00A86351"/>
    <w:rsid w:val="00A875EC"/>
    <w:rsid w:val="00A8785A"/>
    <w:rsid w:val="00A878D5"/>
    <w:rsid w:val="00A87952"/>
    <w:rsid w:val="00A90180"/>
    <w:rsid w:val="00A9039B"/>
    <w:rsid w:val="00A90B5A"/>
    <w:rsid w:val="00A9112F"/>
    <w:rsid w:val="00A93174"/>
    <w:rsid w:val="00A93A40"/>
    <w:rsid w:val="00A94044"/>
    <w:rsid w:val="00A941EE"/>
    <w:rsid w:val="00A958E6"/>
    <w:rsid w:val="00A960EB"/>
    <w:rsid w:val="00A970AE"/>
    <w:rsid w:val="00A97223"/>
    <w:rsid w:val="00AA0B59"/>
    <w:rsid w:val="00AA0FFD"/>
    <w:rsid w:val="00AA3239"/>
    <w:rsid w:val="00AA3655"/>
    <w:rsid w:val="00AA3E5A"/>
    <w:rsid w:val="00AA415E"/>
    <w:rsid w:val="00AA429D"/>
    <w:rsid w:val="00AA65F6"/>
    <w:rsid w:val="00AA7A19"/>
    <w:rsid w:val="00AA7AB6"/>
    <w:rsid w:val="00AA7F6A"/>
    <w:rsid w:val="00AB0509"/>
    <w:rsid w:val="00AB0CB9"/>
    <w:rsid w:val="00AB1470"/>
    <w:rsid w:val="00AB3462"/>
    <w:rsid w:val="00AB5A4A"/>
    <w:rsid w:val="00AB5E80"/>
    <w:rsid w:val="00AB6560"/>
    <w:rsid w:val="00AB6A0C"/>
    <w:rsid w:val="00AB7D2B"/>
    <w:rsid w:val="00AC0123"/>
    <w:rsid w:val="00AC0270"/>
    <w:rsid w:val="00AC0587"/>
    <w:rsid w:val="00AC071B"/>
    <w:rsid w:val="00AC07B1"/>
    <w:rsid w:val="00AC0CAE"/>
    <w:rsid w:val="00AC0D86"/>
    <w:rsid w:val="00AC1392"/>
    <w:rsid w:val="00AC4363"/>
    <w:rsid w:val="00AC4519"/>
    <w:rsid w:val="00AC4822"/>
    <w:rsid w:val="00AC5809"/>
    <w:rsid w:val="00AC6997"/>
    <w:rsid w:val="00AC6FA7"/>
    <w:rsid w:val="00AD0881"/>
    <w:rsid w:val="00AD1648"/>
    <w:rsid w:val="00AD16DB"/>
    <w:rsid w:val="00AD1CBB"/>
    <w:rsid w:val="00AD41F3"/>
    <w:rsid w:val="00AD73D6"/>
    <w:rsid w:val="00AD764F"/>
    <w:rsid w:val="00AD7B3A"/>
    <w:rsid w:val="00AD7C57"/>
    <w:rsid w:val="00AD7E2B"/>
    <w:rsid w:val="00AE1819"/>
    <w:rsid w:val="00AE183F"/>
    <w:rsid w:val="00AE1949"/>
    <w:rsid w:val="00AE1E8F"/>
    <w:rsid w:val="00AE2529"/>
    <w:rsid w:val="00AE33C2"/>
    <w:rsid w:val="00AE3715"/>
    <w:rsid w:val="00AE3B74"/>
    <w:rsid w:val="00AE3E49"/>
    <w:rsid w:val="00AE4E2A"/>
    <w:rsid w:val="00AF0456"/>
    <w:rsid w:val="00AF0495"/>
    <w:rsid w:val="00AF18AA"/>
    <w:rsid w:val="00AF1B7E"/>
    <w:rsid w:val="00AF1CC8"/>
    <w:rsid w:val="00AF272C"/>
    <w:rsid w:val="00AF3F7D"/>
    <w:rsid w:val="00AF4855"/>
    <w:rsid w:val="00AF534A"/>
    <w:rsid w:val="00AF6218"/>
    <w:rsid w:val="00AF6750"/>
    <w:rsid w:val="00AF686F"/>
    <w:rsid w:val="00AF7876"/>
    <w:rsid w:val="00B00185"/>
    <w:rsid w:val="00B0109D"/>
    <w:rsid w:val="00B025DD"/>
    <w:rsid w:val="00B02CE9"/>
    <w:rsid w:val="00B03738"/>
    <w:rsid w:val="00B03893"/>
    <w:rsid w:val="00B03DD3"/>
    <w:rsid w:val="00B04E63"/>
    <w:rsid w:val="00B0735D"/>
    <w:rsid w:val="00B0763D"/>
    <w:rsid w:val="00B0769E"/>
    <w:rsid w:val="00B124AD"/>
    <w:rsid w:val="00B12671"/>
    <w:rsid w:val="00B12E1D"/>
    <w:rsid w:val="00B13206"/>
    <w:rsid w:val="00B13BE9"/>
    <w:rsid w:val="00B15319"/>
    <w:rsid w:val="00B17C95"/>
    <w:rsid w:val="00B17E71"/>
    <w:rsid w:val="00B17F01"/>
    <w:rsid w:val="00B17F59"/>
    <w:rsid w:val="00B20444"/>
    <w:rsid w:val="00B20B44"/>
    <w:rsid w:val="00B20D8C"/>
    <w:rsid w:val="00B2153D"/>
    <w:rsid w:val="00B21FE8"/>
    <w:rsid w:val="00B2306E"/>
    <w:rsid w:val="00B248A1"/>
    <w:rsid w:val="00B275A5"/>
    <w:rsid w:val="00B27B55"/>
    <w:rsid w:val="00B30D36"/>
    <w:rsid w:val="00B31385"/>
    <w:rsid w:val="00B33C8D"/>
    <w:rsid w:val="00B35BA5"/>
    <w:rsid w:val="00B35BAF"/>
    <w:rsid w:val="00B35EFF"/>
    <w:rsid w:val="00B36C0A"/>
    <w:rsid w:val="00B36E0D"/>
    <w:rsid w:val="00B3708F"/>
    <w:rsid w:val="00B374D2"/>
    <w:rsid w:val="00B379B4"/>
    <w:rsid w:val="00B37ADD"/>
    <w:rsid w:val="00B37E78"/>
    <w:rsid w:val="00B40597"/>
    <w:rsid w:val="00B40A6D"/>
    <w:rsid w:val="00B412DE"/>
    <w:rsid w:val="00B41D5D"/>
    <w:rsid w:val="00B429A2"/>
    <w:rsid w:val="00B43D4A"/>
    <w:rsid w:val="00B4557E"/>
    <w:rsid w:val="00B462BC"/>
    <w:rsid w:val="00B472D9"/>
    <w:rsid w:val="00B474ED"/>
    <w:rsid w:val="00B5090C"/>
    <w:rsid w:val="00B51368"/>
    <w:rsid w:val="00B52139"/>
    <w:rsid w:val="00B52BC5"/>
    <w:rsid w:val="00B54D82"/>
    <w:rsid w:val="00B55B75"/>
    <w:rsid w:val="00B55D98"/>
    <w:rsid w:val="00B57504"/>
    <w:rsid w:val="00B57648"/>
    <w:rsid w:val="00B57BCA"/>
    <w:rsid w:val="00B609B7"/>
    <w:rsid w:val="00B614D9"/>
    <w:rsid w:val="00B6156F"/>
    <w:rsid w:val="00B6170D"/>
    <w:rsid w:val="00B62AA7"/>
    <w:rsid w:val="00B63A2D"/>
    <w:rsid w:val="00B6483B"/>
    <w:rsid w:val="00B656BD"/>
    <w:rsid w:val="00B66322"/>
    <w:rsid w:val="00B66860"/>
    <w:rsid w:val="00B67E2F"/>
    <w:rsid w:val="00B70AD8"/>
    <w:rsid w:val="00B70CB0"/>
    <w:rsid w:val="00B716FF"/>
    <w:rsid w:val="00B74F4A"/>
    <w:rsid w:val="00B750AE"/>
    <w:rsid w:val="00B7555B"/>
    <w:rsid w:val="00B759E8"/>
    <w:rsid w:val="00B75A15"/>
    <w:rsid w:val="00B76A0B"/>
    <w:rsid w:val="00B773AA"/>
    <w:rsid w:val="00B80A1A"/>
    <w:rsid w:val="00B82451"/>
    <w:rsid w:val="00B839E2"/>
    <w:rsid w:val="00B83C87"/>
    <w:rsid w:val="00B8613D"/>
    <w:rsid w:val="00B86424"/>
    <w:rsid w:val="00B86765"/>
    <w:rsid w:val="00B86D7F"/>
    <w:rsid w:val="00B86F70"/>
    <w:rsid w:val="00B90BD4"/>
    <w:rsid w:val="00B92D79"/>
    <w:rsid w:val="00B93144"/>
    <w:rsid w:val="00B93779"/>
    <w:rsid w:val="00B9394E"/>
    <w:rsid w:val="00B93C65"/>
    <w:rsid w:val="00B95288"/>
    <w:rsid w:val="00B97C40"/>
    <w:rsid w:val="00B97E9E"/>
    <w:rsid w:val="00BA0AAA"/>
    <w:rsid w:val="00BA1D35"/>
    <w:rsid w:val="00BA1FD7"/>
    <w:rsid w:val="00BA3C20"/>
    <w:rsid w:val="00BA5F63"/>
    <w:rsid w:val="00BA620F"/>
    <w:rsid w:val="00BA78FF"/>
    <w:rsid w:val="00BB0294"/>
    <w:rsid w:val="00BB1C03"/>
    <w:rsid w:val="00BB1CC1"/>
    <w:rsid w:val="00BB1F64"/>
    <w:rsid w:val="00BB3056"/>
    <w:rsid w:val="00BB3277"/>
    <w:rsid w:val="00BB609B"/>
    <w:rsid w:val="00BB6B54"/>
    <w:rsid w:val="00BB755F"/>
    <w:rsid w:val="00BC02B7"/>
    <w:rsid w:val="00BC1A73"/>
    <w:rsid w:val="00BC1C21"/>
    <w:rsid w:val="00BC1DEE"/>
    <w:rsid w:val="00BC2B77"/>
    <w:rsid w:val="00BC3901"/>
    <w:rsid w:val="00BC3A21"/>
    <w:rsid w:val="00BC5D11"/>
    <w:rsid w:val="00BC6324"/>
    <w:rsid w:val="00BC671C"/>
    <w:rsid w:val="00BC74D6"/>
    <w:rsid w:val="00BD0C32"/>
    <w:rsid w:val="00BD3779"/>
    <w:rsid w:val="00BD3C30"/>
    <w:rsid w:val="00BD48A0"/>
    <w:rsid w:val="00BD4BB4"/>
    <w:rsid w:val="00BD7A12"/>
    <w:rsid w:val="00BE1CC4"/>
    <w:rsid w:val="00BE1EFC"/>
    <w:rsid w:val="00BE2DAB"/>
    <w:rsid w:val="00BE3AA8"/>
    <w:rsid w:val="00BE3EFA"/>
    <w:rsid w:val="00BE415A"/>
    <w:rsid w:val="00BE472F"/>
    <w:rsid w:val="00BE4742"/>
    <w:rsid w:val="00BE6DF0"/>
    <w:rsid w:val="00BE779E"/>
    <w:rsid w:val="00BE78FF"/>
    <w:rsid w:val="00BF029B"/>
    <w:rsid w:val="00BF0967"/>
    <w:rsid w:val="00BF10D0"/>
    <w:rsid w:val="00BF1539"/>
    <w:rsid w:val="00BF276D"/>
    <w:rsid w:val="00BF3990"/>
    <w:rsid w:val="00BF3B7C"/>
    <w:rsid w:val="00BF3B8C"/>
    <w:rsid w:val="00BF4A1D"/>
    <w:rsid w:val="00BF57B9"/>
    <w:rsid w:val="00BF74CD"/>
    <w:rsid w:val="00C0039E"/>
    <w:rsid w:val="00C00CD4"/>
    <w:rsid w:val="00C01814"/>
    <w:rsid w:val="00C0325A"/>
    <w:rsid w:val="00C04B6A"/>
    <w:rsid w:val="00C06F0B"/>
    <w:rsid w:val="00C076BB"/>
    <w:rsid w:val="00C10374"/>
    <w:rsid w:val="00C109EC"/>
    <w:rsid w:val="00C10B36"/>
    <w:rsid w:val="00C10DB4"/>
    <w:rsid w:val="00C1155D"/>
    <w:rsid w:val="00C11A92"/>
    <w:rsid w:val="00C11DE9"/>
    <w:rsid w:val="00C13436"/>
    <w:rsid w:val="00C13F5D"/>
    <w:rsid w:val="00C14D00"/>
    <w:rsid w:val="00C15376"/>
    <w:rsid w:val="00C159F2"/>
    <w:rsid w:val="00C15ACE"/>
    <w:rsid w:val="00C1602C"/>
    <w:rsid w:val="00C161AF"/>
    <w:rsid w:val="00C17F6E"/>
    <w:rsid w:val="00C201C4"/>
    <w:rsid w:val="00C21101"/>
    <w:rsid w:val="00C213A5"/>
    <w:rsid w:val="00C237B6"/>
    <w:rsid w:val="00C23A19"/>
    <w:rsid w:val="00C2648B"/>
    <w:rsid w:val="00C267CA"/>
    <w:rsid w:val="00C30790"/>
    <w:rsid w:val="00C30B7B"/>
    <w:rsid w:val="00C30D35"/>
    <w:rsid w:val="00C31B10"/>
    <w:rsid w:val="00C31DBA"/>
    <w:rsid w:val="00C32888"/>
    <w:rsid w:val="00C331E2"/>
    <w:rsid w:val="00C347B4"/>
    <w:rsid w:val="00C34CC2"/>
    <w:rsid w:val="00C35370"/>
    <w:rsid w:val="00C358FA"/>
    <w:rsid w:val="00C36B95"/>
    <w:rsid w:val="00C374F5"/>
    <w:rsid w:val="00C375B3"/>
    <w:rsid w:val="00C376A4"/>
    <w:rsid w:val="00C40D8C"/>
    <w:rsid w:val="00C41905"/>
    <w:rsid w:val="00C41C97"/>
    <w:rsid w:val="00C42092"/>
    <w:rsid w:val="00C42F6F"/>
    <w:rsid w:val="00C43183"/>
    <w:rsid w:val="00C43D49"/>
    <w:rsid w:val="00C44E09"/>
    <w:rsid w:val="00C4523F"/>
    <w:rsid w:val="00C45AA2"/>
    <w:rsid w:val="00C45C89"/>
    <w:rsid w:val="00C46175"/>
    <w:rsid w:val="00C46E2E"/>
    <w:rsid w:val="00C47A00"/>
    <w:rsid w:val="00C5090C"/>
    <w:rsid w:val="00C51943"/>
    <w:rsid w:val="00C520C9"/>
    <w:rsid w:val="00C5309F"/>
    <w:rsid w:val="00C53B5F"/>
    <w:rsid w:val="00C5439C"/>
    <w:rsid w:val="00C54727"/>
    <w:rsid w:val="00C54733"/>
    <w:rsid w:val="00C548DF"/>
    <w:rsid w:val="00C548FC"/>
    <w:rsid w:val="00C55FB1"/>
    <w:rsid w:val="00C56F61"/>
    <w:rsid w:val="00C57415"/>
    <w:rsid w:val="00C57C8A"/>
    <w:rsid w:val="00C57E34"/>
    <w:rsid w:val="00C609D8"/>
    <w:rsid w:val="00C60B93"/>
    <w:rsid w:val="00C61372"/>
    <w:rsid w:val="00C61B95"/>
    <w:rsid w:val="00C61CF6"/>
    <w:rsid w:val="00C62455"/>
    <w:rsid w:val="00C62B15"/>
    <w:rsid w:val="00C62E49"/>
    <w:rsid w:val="00C6491C"/>
    <w:rsid w:val="00C64AD0"/>
    <w:rsid w:val="00C652A2"/>
    <w:rsid w:val="00C65440"/>
    <w:rsid w:val="00C65DDF"/>
    <w:rsid w:val="00C66EAF"/>
    <w:rsid w:val="00C67E0C"/>
    <w:rsid w:val="00C70958"/>
    <w:rsid w:val="00C716BF"/>
    <w:rsid w:val="00C718C3"/>
    <w:rsid w:val="00C753FD"/>
    <w:rsid w:val="00C758A0"/>
    <w:rsid w:val="00C76169"/>
    <w:rsid w:val="00C76293"/>
    <w:rsid w:val="00C773F0"/>
    <w:rsid w:val="00C77AA4"/>
    <w:rsid w:val="00C806A6"/>
    <w:rsid w:val="00C8469D"/>
    <w:rsid w:val="00C85D28"/>
    <w:rsid w:val="00C877D2"/>
    <w:rsid w:val="00C903FA"/>
    <w:rsid w:val="00C90C98"/>
    <w:rsid w:val="00C93D74"/>
    <w:rsid w:val="00C94AC3"/>
    <w:rsid w:val="00C94C1D"/>
    <w:rsid w:val="00C9749C"/>
    <w:rsid w:val="00C974B4"/>
    <w:rsid w:val="00CA0186"/>
    <w:rsid w:val="00CA0CC6"/>
    <w:rsid w:val="00CA0F3A"/>
    <w:rsid w:val="00CA151E"/>
    <w:rsid w:val="00CA3CB3"/>
    <w:rsid w:val="00CA5B4B"/>
    <w:rsid w:val="00CA5C0A"/>
    <w:rsid w:val="00CA5FA6"/>
    <w:rsid w:val="00CA65DA"/>
    <w:rsid w:val="00CA6E77"/>
    <w:rsid w:val="00CA7C77"/>
    <w:rsid w:val="00CA7EF6"/>
    <w:rsid w:val="00CB0CFB"/>
    <w:rsid w:val="00CB1E41"/>
    <w:rsid w:val="00CB262F"/>
    <w:rsid w:val="00CB3A3A"/>
    <w:rsid w:val="00CB3AFF"/>
    <w:rsid w:val="00CB3B79"/>
    <w:rsid w:val="00CB4CFE"/>
    <w:rsid w:val="00CB5260"/>
    <w:rsid w:val="00CB5655"/>
    <w:rsid w:val="00CB5939"/>
    <w:rsid w:val="00CB61FF"/>
    <w:rsid w:val="00CB6AD0"/>
    <w:rsid w:val="00CB712B"/>
    <w:rsid w:val="00CB7C54"/>
    <w:rsid w:val="00CC0E49"/>
    <w:rsid w:val="00CC1395"/>
    <w:rsid w:val="00CC1AF2"/>
    <w:rsid w:val="00CC3496"/>
    <w:rsid w:val="00CC3C40"/>
    <w:rsid w:val="00CC48C9"/>
    <w:rsid w:val="00CC4DA4"/>
    <w:rsid w:val="00CC5A91"/>
    <w:rsid w:val="00CC5CC0"/>
    <w:rsid w:val="00CC6CD2"/>
    <w:rsid w:val="00CD008A"/>
    <w:rsid w:val="00CD026B"/>
    <w:rsid w:val="00CD46B9"/>
    <w:rsid w:val="00CD4DC4"/>
    <w:rsid w:val="00CD57B2"/>
    <w:rsid w:val="00CD620A"/>
    <w:rsid w:val="00CD6467"/>
    <w:rsid w:val="00CD67C4"/>
    <w:rsid w:val="00CD6AC6"/>
    <w:rsid w:val="00CD6CF2"/>
    <w:rsid w:val="00CE0B0F"/>
    <w:rsid w:val="00CE0FAB"/>
    <w:rsid w:val="00CE24C7"/>
    <w:rsid w:val="00CE2F58"/>
    <w:rsid w:val="00CE543C"/>
    <w:rsid w:val="00CE5528"/>
    <w:rsid w:val="00CE5A4B"/>
    <w:rsid w:val="00CE664A"/>
    <w:rsid w:val="00CE7DFA"/>
    <w:rsid w:val="00CF0F00"/>
    <w:rsid w:val="00CF1179"/>
    <w:rsid w:val="00CF1CF9"/>
    <w:rsid w:val="00CF230A"/>
    <w:rsid w:val="00CF2A6F"/>
    <w:rsid w:val="00CF3194"/>
    <w:rsid w:val="00CF330E"/>
    <w:rsid w:val="00CF45F1"/>
    <w:rsid w:val="00CF4E6B"/>
    <w:rsid w:val="00CF5058"/>
    <w:rsid w:val="00CF577E"/>
    <w:rsid w:val="00CF6720"/>
    <w:rsid w:val="00CF6F10"/>
    <w:rsid w:val="00CF7F19"/>
    <w:rsid w:val="00D00F44"/>
    <w:rsid w:val="00D01797"/>
    <w:rsid w:val="00D030CE"/>
    <w:rsid w:val="00D04679"/>
    <w:rsid w:val="00D04D51"/>
    <w:rsid w:val="00D06870"/>
    <w:rsid w:val="00D07A26"/>
    <w:rsid w:val="00D10FF8"/>
    <w:rsid w:val="00D12465"/>
    <w:rsid w:val="00D13B9E"/>
    <w:rsid w:val="00D14213"/>
    <w:rsid w:val="00D14F31"/>
    <w:rsid w:val="00D15044"/>
    <w:rsid w:val="00D1668F"/>
    <w:rsid w:val="00D17638"/>
    <w:rsid w:val="00D17673"/>
    <w:rsid w:val="00D20C49"/>
    <w:rsid w:val="00D20CF9"/>
    <w:rsid w:val="00D20FA2"/>
    <w:rsid w:val="00D21D34"/>
    <w:rsid w:val="00D21FBD"/>
    <w:rsid w:val="00D224CC"/>
    <w:rsid w:val="00D228C6"/>
    <w:rsid w:val="00D22A85"/>
    <w:rsid w:val="00D230F6"/>
    <w:rsid w:val="00D23173"/>
    <w:rsid w:val="00D23406"/>
    <w:rsid w:val="00D234DA"/>
    <w:rsid w:val="00D247B1"/>
    <w:rsid w:val="00D2566D"/>
    <w:rsid w:val="00D2753D"/>
    <w:rsid w:val="00D31F46"/>
    <w:rsid w:val="00D33DBC"/>
    <w:rsid w:val="00D369E1"/>
    <w:rsid w:val="00D3731D"/>
    <w:rsid w:val="00D404BF"/>
    <w:rsid w:val="00D40A0C"/>
    <w:rsid w:val="00D41176"/>
    <w:rsid w:val="00D416AB"/>
    <w:rsid w:val="00D41DF8"/>
    <w:rsid w:val="00D43C9B"/>
    <w:rsid w:val="00D44F36"/>
    <w:rsid w:val="00D50563"/>
    <w:rsid w:val="00D51E17"/>
    <w:rsid w:val="00D5237E"/>
    <w:rsid w:val="00D53D9E"/>
    <w:rsid w:val="00D53F0C"/>
    <w:rsid w:val="00D5428F"/>
    <w:rsid w:val="00D543C4"/>
    <w:rsid w:val="00D54FD9"/>
    <w:rsid w:val="00D55132"/>
    <w:rsid w:val="00D56DB5"/>
    <w:rsid w:val="00D606A2"/>
    <w:rsid w:val="00D622C4"/>
    <w:rsid w:val="00D62340"/>
    <w:rsid w:val="00D63D7F"/>
    <w:rsid w:val="00D652E8"/>
    <w:rsid w:val="00D65B98"/>
    <w:rsid w:val="00D65DD5"/>
    <w:rsid w:val="00D66690"/>
    <w:rsid w:val="00D7023B"/>
    <w:rsid w:val="00D74E50"/>
    <w:rsid w:val="00D75458"/>
    <w:rsid w:val="00D75CD5"/>
    <w:rsid w:val="00D76746"/>
    <w:rsid w:val="00D76868"/>
    <w:rsid w:val="00D811D7"/>
    <w:rsid w:val="00D82289"/>
    <w:rsid w:val="00D82720"/>
    <w:rsid w:val="00D842D6"/>
    <w:rsid w:val="00D8498F"/>
    <w:rsid w:val="00D85057"/>
    <w:rsid w:val="00D85070"/>
    <w:rsid w:val="00D85C55"/>
    <w:rsid w:val="00D860D4"/>
    <w:rsid w:val="00D87E93"/>
    <w:rsid w:val="00D87FF9"/>
    <w:rsid w:val="00D905A1"/>
    <w:rsid w:val="00D9061C"/>
    <w:rsid w:val="00D908AB"/>
    <w:rsid w:val="00D91101"/>
    <w:rsid w:val="00D91172"/>
    <w:rsid w:val="00D918AB"/>
    <w:rsid w:val="00D91AD1"/>
    <w:rsid w:val="00D92187"/>
    <w:rsid w:val="00D92F70"/>
    <w:rsid w:val="00D934DD"/>
    <w:rsid w:val="00D93F4A"/>
    <w:rsid w:val="00D93FF9"/>
    <w:rsid w:val="00D95248"/>
    <w:rsid w:val="00D95621"/>
    <w:rsid w:val="00D97530"/>
    <w:rsid w:val="00D9788F"/>
    <w:rsid w:val="00D97A2D"/>
    <w:rsid w:val="00DA04D4"/>
    <w:rsid w:val="00DA0B79"/>
    <w:rsid w:val="00DA0DC6"/>
    <w:rsid w:val="00DA421B"/>
    <w:rsid w:val="00DA50F7"/>
    <w:rsid w:val="00DA61EE"/>
    <w:rsid w:val="00DA6680"/>
    <w:rsid w:val="00DA66A8"/>
    <w:rsid w:val="00DA6B30"/>
    <w:rsid w:val="00DA7FBE"/>
    <w:rsid w:val="00DB0145"/>
    <w:rsid w:val="00DB0B5D"/>
    <w:rsid w:val="00DB1195"/>
    <w:rsid w:val="00DB21E5"/>
    <w:rsid w:val="00DB2721"/>
    <w:rsid w:val="00DB2B75"/>
    <w:rsid w:val="00DB4A87"/>
    <w:rsid w:val="00DB50DA"/>
    <w:rsid w:val="00DB517A"/>
    <w:rsid w:val="00DB5B6E"/>
    <w:rsid w:val="00DB65C5"/>
    <w:rsid w:val="00DB67FC"/>
    <w:rsid w:val="00DB74B3"/>
    <w:rsid w:val="00DB7578"/>
    <w:rsid w:val="00DB7674"/>
    <w:rsid w:val="00DB7E1C"/>
    <w:rsid w:val="00DC0732"/>
    <w:rsid w:val="00DC219E"/>
    <w:rsid w:val="00DC2523"/>
    <w:rsid w:val="00DC3490"/>
    <w:rsid w:val="00DC3A4C"/>
    <w:rsid w:val="00DC43A1"/>
    <w:rsid w:val="00DC44EB"/>
    <w:rsid w:val="00DC493A"/>
    <w:rsid w:val="00DC493F"/>
    <w:rsid w:val="00DC5250"/>
    <w:rsid w:val="00DC53C8"/>
    <w:rsid w:val="00DC59B4"/>
    <w:rsid w:val="00DC5C57"/>
    <w:rsid w:val="00DC6BA7"/>
    <w:rsid w:val="00DD1711"/>
    <w:rsid w:val="00DD2B40"/>
    <w:rsid w:val="00DD408F"/>
    <w:rsid w:val="00DD4628"/>
    <w:rsid w:val="00DD4788"/>
    <w:rsid w:val="00DD4FB0"/>
    <w:rsid w:val="00DD5787"/>
    <w:rsid w:val="00DD58C7"/>
    <w:rsid w:val="00DD75C7"/>
    <w:rsid w:val="00DE17C0"/>
    <w:rsid w:val="00DE1F29"/>
    <w:rsid w:val="00DE2708"/>
    <w:rsid w:val="00DE3636"/>
    <w:rsid w:val="00DE41FE"/>
    <w:rsid w:val="00DE4FAA"/>
    <w:rsid w:val="00DE50C1"/>
    <w:rsid w:val="00DE510C"/>
    <w:rsid w:val="00DE557F"/>
    <w:rsid w:val="00DE6306"/>
    <w:rsid w:val="00DE7FF6"/>
    <w:rsid w:val="00DF142F"/>
    <w:rsid w:val="00DF1801"/>
    <w:rsid w:val="00DF199A"/>
    <w:rsid w:val="00DF1E37"/>
    <w:rsid w:val="00DF2783"/>
    <w:rsid w:val="00DF4486"/>
    <w:rsid w:val="00DF477D"/>
    <w:rsid w:val="00DF4E4E"/>
    <w:rsid w:val="00DF5A44"/>
    <w:rsid w:val="00DF5DC9"/>
    <w:rsid w:val="00DF6CAF"/>
    <w:rsid w:val="00DF77E7"/>
    <w:rsid w:val="00E00EDA"/>
    <w:rsid w:val="00E02049"/>
    <w:rsid w:val="00E0257C"/>
    <w:rsid w:val="00E0369A"/>
    <w:rsid w:val="00E0380F"/>
    <w:rsid w:val="00E048E3"/>
    <w:rsid w:val="00E05E8A"/>
    <w:rsid w:val="00E06206"/>
    <w:rsid w:val="00E071B8"/>
    <w:rsid w:val="00E0797F"/>
    <w:rsid w:val="00E10365"/>
    <w:rsid w:val="00E1137F"/>
    <w:rsid w:val="00E127B6"/>
    <w:rsid w:val="00E12908"/>
    <w:rsid w:val="00E140FA"/>
    <w:rsid w:val="00E1496F"/>
    <w:rsid w:val="00E166E2"/>
    <w:rsid w:val="00E224C8"/>
    <w:rsid w:val="00E22C83"/>
    <w:rsid w:val="00E22D2C"/>
    <w:rsid w:val="00E235AD"/>
    <w:rsid w:val="00E24896"/>
    <w:rsid w:val="00E24BB0"/>
    <w:rsid w:val="00E25530"/>
    <w:rsid w:val="00E257E8"/>
    <w:rsid w:val="00E25C13"/>
    <w:rsid w:val="00E26BEC"/>
    <w:rsid w:val="00E26F8E"/>
    <w:rsid w:val="00E307CA"/>
    <w:rsid w:val="00E31A49"/>
    <w:rsid w:val="00E32587"/>
    <w:rsid w:val="00E337A8"/>
    <w:rsid w:val="00E33DAA"/>
    <w:rsid w:val="00E33E5E"/>
    <w:rsid w:val="00E34A7F"/>
    <w:rsid w:val="00E34E91"/>
    <w:rsid w:val="00E35939"/>
    <w:rsid w:val="00E35B26"/>
    <w:rsid w:val="00E36C09"/>
    <w:rsid w:val="00E37721"/>
    <w:rsid w:val="00E37A60"/>
    <w:rsid w:val="00E40EC5"/>
    <w:rsid w:val="00E411B9"/>
    <w:rsid w:val="00E427FE"/>
    <w:rsid w:val="00E42B01"/>
    <w:rsid w:val="00E42D50"/>
    <w:rsid w:val="00E4329D"/>
    <w:rsid w:val="00E4399D"/>
    <w:rsid w:val="00E43A05"/>
    <w:rsid w:val="00E466D8"/>
    <w:rsid w:val="00E508DB"/>
    <w:rsid w:val="00E55602"/>
    <w:rsid w:val="00E562DF"/>
    <w:rsid w:val="00E574D2"/>
    <w:rsid w:val="00E576FD"/>
    <w:rsid w:val="00E577C6"/>
    <w:rsid w:val="00E57C2A"/>
    <w:rsid w:val="00E57C9A"/>
    <w:rsid w:val="00E600C6"/>
    <w:rsid w:val="00E605BD"/>
    <w:rsid w:val="00E6294B"/>
    <w:rsid w:val="00E62F4B"/>
    <w:rsid w:val="00E63030"/>
    <w:rsid w:val="00E63684"/>
    <w:rsid w:val="00E63E2A"/>
    <w:rsid w:val="00E64117"/>
    <w:rsid w:val="00E642EC"/>
    <w:rsid w:val="00E648B5"/>
    <w:rsid w:val="00E6551A"/>
    <w:rsid w:val="00E6693B"/>
    <w:rsid w:val="00E66986"/>
    <w:rsid w:val="00E66FCA"/>
    <w:rsid w:val="00E6728E"/>
    <w:rsid w:val="00E67DC5"/>
    <w:rsid w:val="00E70171"/>
    <w:rsid w:val="00E7074F"/>
    <w:rsid w:val="00E70964"/>
    <w:rsid w:val="00E70CAA"/>
    <w:rsid w:val="00E71940"/>
    <w:rsid w:val="00E7198C"/>
    <w:rsid w:val="00E7217A"/>
    <w:rsid w:val="00E726DA"/>
    <w:rsid w:val="00E727E6"/>
    <w:rsid w:val="00E72A11"/>
    <w:rsid w:val="00E72C25"/>
    <w:rsid w:val="00E73C8C"/>
    <w:rsid w:val="00E74414"/>
    <w:rsid w:val="00E7682A"/>
    <w:rsid w:val="00E776D6"/>
    <w:rsid w:val="00E77946"/>
    <w:rsid w:val="00E8105B"/>
    <w:rsid w:val="00E811B8"/>
    <w:rsid w:val="00E8198B"/>
    <w:rsid w:val="00E83807"/>
    <w:rsid w:val="00E83AAE"/>
    <w:rsid w:val="00E83CEA"/>
    <w:rsid w:val="00E8509E"/>
    <w:rsid w:val="00E852D2"/>
    <w:rsid w:val="00E85310"/>
    <w:rsid w:val="00E85C9C"/>
    <w:rsid w:val="00E8619F"/>
    <w:rsid w:val="00E8629A"/>
    <w:rsid w:val="00E87270"/>
    <w:rsid w:val="00E87A9A"/>
    <w:rsid w:val="00E90031"/>
    <w:rsid w:val="00E90450"/>
    <w:rsid w:val="00E9097E"/>
    <w:rsid w:val="00E90CE0"/>
    <w:rsid w:val="00E91FF3"/>
    <w:rsid w:val="00E9280A"/>
    <w:rsid w:val="00E93C8D"/>
    <w:rsid w:val="00E93E3C"/>
    <w:rsid w:val="00E949BD"/>
    <w:rsid w:val="00E95763"/>
    <w:rsid w:val="00E962A0"/>
    <w:rsid w:val="00E965A7"/>
    <w:rsid w:val="00E9669B"/>
    <w:rsid w:val="00E96E95"/>
    <w:rsid w:val="00E97CDE"/>
    <w:rsid w:val="00EA033F"/>
    <w:rsid w:val="00EA0C82"/>
    <w:rsid w:val="00EA0E06"/>
    <w:rsid w:val="00EA102B"/>
    <w:rsid w:val="00EA2803"/>
    <w:rsid w:val="00EA360B"/>
    <w:rsid w:val="00EA3D18"/>
    <w:rsid w:val="00EA3EAD"/>
    <w:rsid w:val="00EA561B"/>
    <w:rsid w:val="00EA5964"/>
    <w:rsid w:val="00EA6201"/>
    <w:rsid w:val="00EA6BC2"/>
    <w:rsid w:val="00EA7105"/>
    <w:rsid w:val="00EA7543"/>
    <w:rsid w:val="00EB1558"/>
    <w:rsid w:val="00EB2887"/>
    <w:rsid w:val="00EB3C5A"/>
    <w:rsid w:val="00EB4894"/>
    <w:rsid w:val="00EB4C5D"/>
    <w:rsid w:val="00EB55C5"/>
    <w:rsid w:val="00EB743F"/>
    <w:rsid w:val="00EB7A1D"/>
    <w:rsid w:val="00EC131C"/>
    <w:rsid w:val="00EC28FF"/>
    <w:rsid w:val="00EC2C7B"/>
    <w:rsid w:val="00EC2D67"/>
    <w:rsid w:val="00EC343C"/>
    <w:rsid w:val="00EC4285"/>
    <w:rsid w:val="00EC4288"/>
    <w:rsid w:val="00EC4C8B"/>
    <w:rsid w:val="00EC4ED4"/>
    <w:rsid w:val="00EC4F11"/>
    <w:rsid w:val="00EC5BD2"/>
    <w:rsid w:val="00EC60E1"/>
    <w:rsid w:val="00EC7846"/>
    <w:rsid w:val="00EC7A30"/>
    <w:rsid w:val="00EC7C59"/>
    <w:rsid w:val="00ED1324"/>
    <w:rsid w:val="00ED14E5"/>
    <w:rsid w:val="00ED1A9A"/>
    <w:rsid w:val="00ED27C4"/>
    <w:rsid w:val="00ED3319"/>
    <w:rsid w:val="00ED344A"/>
    <w:rsid w:val="00ED4350"/>
    <w:rsid w:val="00ED55CF"/>
    <w:rsid w:val="00ED5E71"/>
    <w:rsid w:val="00ED6747"/>
    <w:rsid w:val="00ED717A"/>
    <w:rsid w:val="00EE0E7C"/>
    <w:rsid w:val="00EE1B11"/>
    <w:rsid w:val="00EE29D1"/>
    <w:rsid w:val="00EE4192"/>
    <w:rsid w:val="00EE4C2A"/>
    <w:rsid w:val="00EE5049"/>
    <w:rsid w:val="00EE509D"/>
    <w:rsid w:val="00EE5593"/>
    <w:rsid w:val="00EE5E7E"/>
    <w:rsid w:val="00EE5F7A"/>
    <w:rsid w:val="00EE6AA3"/>
    <w:rsid w:val="00EE6BF5"/>
    <w:rsid w:val="00EE75B4"/>
    <w:rsid w:val="00EF20B6"/>
    <w:rsid w:val="00EF2E91"/>
    <w:rsid w:val="00EF411C"/>
    <w:rsid w:val="00EF582E"/>
    <w:rsid w:val="00EF590F"/>
    <w:rsid w:val="00EF5997"/>
    <w:rsid w:val="00EF5CA8"/>
    <w:rsid w:val="00EF5DE4"/>
    <w:rsid w:val="00EF5F16"/>
    <w:rsid w:val="00EF69B7"/>
    <w:rsid w:val="00EF7115"/>
    <w:rsid w:val="00EF74DE"/>
    <w:rsid w:val="00EF7C76"/>
    <w:rsid w:val="00F02C13"/>
    <w:rsid w:val="00F03496"/>
    <w:rsid w:val="00F03CFD"/>
    <w:rsid w:val="00F03D38"/>
    <w:rsid w:val="00F04FF5"/>
    <w:rsid w:val="00F05C5D"/>
    <w:rsid w:val="00F079D5"/>
    <w:rsid w:val="00F07AA4"/>
    <w:rsid w:val="00F07DAA"/>
    <w:rsid w:val="00F10B82"/>
    <w:rsid w:val="00F1118A"/>
    <w:rsid w:val="00F117FB"/>
    <w:rsid w:val="00F124FE"/>
    <w:rsid w:val="00F134FF"/>
    <w:rsid w:val="00F137AA"/>
    <w:rsid w:val="00F13955"/>
    <w:rsid w:val="00F14110"/>
    <w:rsid w:val="00F14C4F"/>
    <w:rsid w:val="00F15E99"/>
    <w:rsid w:val="00F16F7E"/>
    <w:rsid w:val="00F17940"/>
    <w:rsid w:val="00F20935"/>
    <w:rsid w:val="00F215B1"/>
    <w:rsid w:val="00F21B16"/>
    <w:rsid w:val="00F21FE2"/>
    <w:rsid w:val="00F23C48"/>
    <w:rsid w:val="00F24D0E"/>
    <w:rsid w:val="00F265AA"/>
    <w:rsid w:val="00F30A5F"/>
    <w:rsid w:val="00F3114E"/>
    <w:rsid w:val="00F3123B"/>
    <w:rsid w:val="00F31424"/>
    <w:rsid w:val="00F33454"/>
    <w:rsid w:val="00F338CD"/>
    <w:rsid w:val="00F36E75"/>
    <w:rsid w:val="00F37FC7"/>
    <w:rsid w:val="00F41149"/>
    <w:rsid w:val="00F42E4F"/>
    <w:rsid w:val="00F43A24"/>
    <w:rsid w:val="00F460E9"/>
    <w:rsid w:val="00F46C80"/>
    <w:rsid w:val="00F471A8"/>
    <w:rsid w:val="00F47B02"/>
    <w:rsid w:val="00F47DB3"/>
    <w:rsid w:val="00F5008D"/>
    <w:rsid w:val="00F501C3"/>
    <w:rsid w:val="00F512D4"/>
    <w:rsid w:val="00F51C69"/>
    <w:rsid w:val="00F51D3A"/>
    <w:rsid w:val="00F51D3C"/>
    <w:rsid w:val="00F53187"/>
    <w:rsid w:val="00F536DA"/>
    <w:rsid w:val="00F56092"/>
    <w:rsid w:val="00F56313"/>
    <w:rsid w:val="00F56897"/>
    <w:rsid w:val="00F60E1A"/>
    <w:rsid w:val="00F62073"/>
    <w:rsid w:val="00F62A93"/>
    <w:rsid w:val="00F62AEF"/>
    <w:rsid w:val="00F632D8"/>
    <w:rsid w:val="00F6373F"/>
    <w:rsid w:val="00F63E38"/>
    <w:rsid w:val="00F67443"/>
    <w:rsid w:val="00F674A1"/>
    <w:rsid w:val="00F709E5"/>
    <w:rsid w:val="00F71775"/>
    <w:rsid w:val="00F71AD6"/>
    <w:rsid w:val="00F71ADD"/>
    <w:rsid w:val="00F71F14"/>
    <w:rsid w:val="00F7544C"/>
    <w:rsid w:val="00F755D6"/>
    <w:rsid w:val="00F767F6"/>
    <w:rsid w:val="00F770EA"/>
    <w:rsid w:val="00F77910"/>
    <w:rsid w:val="00F803EF"/>
    <w:rsid w:val="00F8080D"/>
    <w:rsid w:val="00F81688"/>
    <w:rsid w:val="00F8274E"/>
    <w:rsid w:val="00F834E3"/>
    <w:rsid w:val="00F84660"/>
    <w:rsid w:val="00F84765"/>
    <w:rsid w:val="00F8482E"/>
    <w:rsid w:val="00F84FA8"/>
    <w:rsid w:val="00F851A5"/>
    <w:rsid w:val="00F85544"/>
    <w:rsid w:val="00F856E4"/>
    <w:rsid w:val="00F857C9"/>
    <w:rsid w:val="00F85F84"/>
    <w:rsid w:val="00F905AD"/>
    <w:rsid w:val="00F9082C"/>
    <w:rsid w:val="00F90DF2"/>
    <w:rsid w:val="00F9196E"/>
    <w:rsid w:val="00F92275"/>
    <w:rsid w:val="00F923E8"/>
    <w:rsid w:val="00F9358A"/>
    <w:rsid w:val="00F94772"/>
    <w:rsid w:val="00F94F2B"/>
    <w:rsid w:val="00F954E6"/>
    <w:rsid w:val="00F97A3A"/>
    <w:rsid w:val="00FA0D8E"/>
    <w:rsid w:val="00FA180C"/>
    <w:rsid w:val="00FA34CE"/>
    <w:rsid w:val="00FA3FC2"/>
    <w:rsid w:val="00FA5967"/>
    <w:rsid w:val="00FA59A2"/>
    <w:rsid w:val="00FA6E9E"/>
    <w:rsid w:val="00FA71D1"/>
    <w:rsid w:val="00FA74AC"/>
    <w:rsid w:val="00FA7FE5"/>
    <w:rsid w:val="00FB040C"/>
    <w:rsid w:val="00FB1AA6"/>
    <w:rsid w:val="00FB3515"/>
    <w:rsid w:val="00FB4319"/>
    <w:rsid w:val="00FB47C1"/>
    <w:rsid w:val="00FB4B5E"/>
    <w:rsid w:val="00FB4D5E"/>
    <w:rsid w:val="00FB583D"/>
    <w:rsid w:val="00FB5C36"/>
    <w:rsid w:val="00FC06DB"/>
    <w:rsid w:val="00FC10E0"/>
    <w:rsid w:val="00FC2B51"/>
    <w:rsid w:val="00FC2EA5"/>
    <w:rsid w:val="00FC3A3F"/>
    <w:rsid w:val="00FC3D40"/>
    <w:rsid w:val="00FC5332"/>
    <w:rsid w:val="00FC537A"/>
    <w:rsid w:val="00FC5384"/>
    <w:rsid w:val="00FC6CBB"/>
    <w:rsid w:val="00FD0073"/>
    <w:rsid w:val="00FD2DEA"/>
    <w:rsid w:val="00FD33F0"/>
    <w:rsid w:val="00FD50BC"/>
    <w:rsid w:val="00FD6C92"/>
    <w:rsid w:val="00FD6D0B"/>
    <w:rsid w:val="00FD6D48"/>
    <w:rsid w:val="00FD79ED"/>
    <w:rsid w:val="00FE00A1"/>
    <w:rsid w:val="00FE056D"/>
    <w:rsid w:val="00FE2735"/>
    <w:rsid w:val="00FE29F7"/>
    <w:rsid w:val="00FE31C8"/>
    <w:rsid w:val="00FE415F"/>
    <w:rsid w:val="00FE4925"/>
    <w:rsid w:val="00FE5C1B"/>
    <w:rsid w:val="00FE5C45"/>
    <w:rsid w:val="00FE5F61"/>
    <w:rsid w:val="00FE67AE"/>
    <w:rsid w:val="00FE72FD"/>
    <w:rsid w:val="00FE7AD8"/>
    <w:rsid w:val="00FE7BBD"/>
    <w:rsid w:val="00FF241C"/>
    <w:rsid w:val="00FF24DB"/>
    <w:rsid w:val="00FF2B2C"/>
    <w:rsid w:val="00FF34F1"/>
    <w:rsid w:val="00FF3AA9"/>
    <w:rsid w:val="00FF3CCA"/>
    <w:rsid w:val="00FF3E63"/>
    <w:rsid w:val="00FF5670"/>
    <w:rsid w:val="00FF5B33"/>
    <w:rsid w:val="00FF6B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CC12F"/>
  <w15:docId w15:val="{99BC9BD7-65A2-4D3A-A5B9-3A9819434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735"/>
    <w:pPr>
      <w:widowControl/>
      <w:autoSpaceDE/>
      <w:autoSpaceDN/>
      <w:spacing w:after="200" w:line="276" w:lineRule="auto"/>
    </w:pPr>
    <w:rPr>
      <w:lang w:val="en-AU"/>
    </w:rPr>
  </w:style>
  <w:style w:type="paragraph" w:styleId="Heading1">
    <w:name w:val="heading 1"/>
    <w:next w:val="Normal"/>
    <w:link w:val="Heading1Char"/>
    <w:uiPriority w:val="9"/>
    <w:qFormat/>
    <w:rsid w:val="000A0A89"/>
    <w:pPr>
      <w:keepNext/>
      <w:keepLines/>
      <w:widowControl/>
      <w:autoSpaceDE/>
      <w:autoSpaceDN/>
      <w:spacing w:before="1440" w:after="120"/>
      <w:outlineLvl w:val="0"/>
    </w:pPr>
    <w:rPr>
      <w:rFonts w:ascii="Calibri" w:eastAsiaTheme="majorEastAsia" w:hAnsi="Calibri" w:cstheme="majorBidi"/>
      <w:b/>
      <w:bCs/>
      <w:color w:val="3C4B55"/>
      <w:sz w:val="70"/>
      <w:szCs w:val="28"/>
      <w:lang w:val="en-AU"/>
    </w:rPr>
  </w:style>
  <w:style w:type="paragraph" w:styleId="Heading2">
    <w:name w:val="heading 2"/>
    <w:basedOn w:val="Normal"/>
    <w:next w:val="Normal"/>
    <w:link w:val="Heading2Char"/>
    <w:uiPriority w:val="3"/>
    <w:qFormat/>
    <w:rsid w:val="004E390C"/>
    <w:pPr>
      <w:keepNext/>
      <w:keepLines/>
      <w:numPr>
        <w:numId w:val="10"/>
      </w:numPr>
      <w:spacing w:after="240" w:line="240" w:lineRule="auto"/>
      <w:outlineLvl w:val="1"/>
    </w:pPr>
    <w:rPr>
      <w:rFonts w:ascii="Arial" w:eastAsiaTheme="minorEastAsia" w:hAnsi="Arial"/>
      <w:bCs/>
      <w:color w:val="31849B"/>
      <w:sz w:val="44"/>
      <w:szCs w:val="28"/>
      <w:lang w:eastAsia="ja-JP"/>
    </w:rPr>
  </w:style>
  <w:style w:type="paragraph" w:styleId="Heading3">
    <w:name w:val="heading 3"/>
    <w:next w:val="Normal"/>
    <w:link w:val="Heading3Char"/>
    <w:uiPriority w:val="4"/>
    <w:qFormat/>
    <w:rsid w:val="00A86351"/>
    <w:pPr>
      <w:keepNext/>
      <w:keepLines/>
      <w:widowControl/>
      <w:numPr>
        <w:ilvl w:val="1"/>
        <w:numId w:val="10"/>
      </w:numPr>
      <w:autoSpaceDE/>
      <w:autoSpaceDN/>
      <w:spacing w:before="120" w:line="360" w:lineRule="auto"/>
      <w:outlineLvl w:val="2"/>
    </w:pPr>
    <w:rPr>
      <w:rFonts w:ascii="Arial" w:hAnsi="Arial"/>
      <w:bCs/>
      <w:color w:val="4F81BD" w:themeColor="accent1"/>
      <w:sz w:val="28"/>
      <w:lang w:val="en-AU"/>
    </w:rPr>
  </w:style>
  <w:style w:type="paragraph" w:styleId="Heading4">
    <w:name w:val="heading 4"/>
    <w:next w:val="Normal"/>
    <w:link w:val="Heading4Char"/>
    <w:uiPriority w:val="5"/>
    <w:qFormat/>
    <w:rsid w:val="00A86351"/>
    <w:pPr>
      <w:keepNext/>
      <w:keepLines/>
      <w:widowControl/>
      <w:numPr>
        <w:ilvl w:val="2"/>
        <w:numId w:val="10"/>
      </w:numPr>
      <w:autoSpaceDE/>
      <w:autoSpaceDN/>
      <w:spacing w:before="240" w:after="120"/>
      <w:outlineLvl w:val="3"/>
    </w:pPr>
    <w:rPr>
      <w:rFonts w:ascii="Arial" w:hAnsi="Arial"/>
      <w:bCs/>
      <w:iCs/>
      <w:color w:val="365F91" w:themeColor="accent1" w:themeShade="BF"/>
      <w:lang w:val="en-AU"/>
    </w:rPr>
  </w:style>
  <w:style w:type="paragraph" w:styleId="Heading5">
    <w:name w:val="heading 5"/>
    <w:next w:val="Normal"/>
    <w:link w:val="Heading5Char"/>
    <w:uiPriority w:val="6"/>
    <w:qFormat/>
    <w:rsid w:val="000A0A89"/>
    <w:pPr>
      <w:keepNext/>
      <w:keepLines/>
      <w:widowControl/>
      <w:autoSpaceDE/>
      <w:autoSpaceDN/>
      <w:spacing w:before="120"/>
      <w:outlineLvl w:val="4"/>
    </w:pPr>
    <w:rPr>
      <w:rFonts w:ascii="Calibri" w:hAnsi="Calibri"/>
      <w:b/>
      <w:lang w:val="en-AU"/>
    </w:rPr>
  </w:style>
  <w:style w:type="paragraph" w:styleId="Heading6">
    <w:name w:val="heading 6"/>
    <w:next w:val="Normal"/>
    <w:link w:val="Heading6Char"/>
    <w:uiPriority w:val="9"/>
    <w:qFormat/>
    <w:rsid w:val="000A0A89"/>
    <w:pPr>
      <w:keepNext/>
      <w:keepLines/>
      <w:widowControl/>
      <w:autoSpaceDE/>
      <w:autoSpaceDN/>
      <w:spacing w:before="40"/>
      <w:outlineLvl w:val="5"/>
    </w:pPr>
    <w:rPr>
      <w:rFonts w:eastAsiaTheme="majorEastAsia" w:cstheme="majorBidi"/>
      <w:i/>
      <w:lang w:val="en-AU"/>
    </w:rPr>
  </w:style>
  <w:style w:type="paragraph" w:styleId="Heading7">
    <w:name w:val="heading 7"/>
    <w:next w:val="Normal"/>
    <w:link w:val="Heading7Char"/>
    <w:uiPriority w:val="9"/>
    <w:qFormat/>
    <w:rsid w:val="000A0A89"/>
    <w:pPr>
      <w:widowControl/>
      <w:autoSpaceDE/>
      <w:autoSpaceDN/>
      <w:outlineLvl w:val="6"/>
    </w:pPr>
    <w:rPr>
      <w:rFonts w:eastAsiaTheme="majorEastAsia" w:cstheme="majorBidi"/>
      <w:i/>
      <w:color w:val="243F60" w:themeColor="accent1" w:themeShade="7F"/>
      <w:lang w:val="en-AU"/>
    </w:rPr>
  </w:style>
  <w:style w:type="paragraph" w:styleId="Heading8">
    <w:name w:val="heading 8"/>
    <w:basedOn w:val="Normal"/>
    <w:next w:val="Normal"/>
    <w:link w:val="Heading8Char"/>
    <w:uiPriority w:val="9"/>
    <w:unhideWhenUsed/>
    <w:qFormat/>
    <w:rsid w:val="000A0A89"/>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C376A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0215B"/>
  </w:style>
  <w:style w:type="paragraph" w:styleId="ListParagraph">
    <w:name w:val="List Paragraph"/>
    <w:aliases w:val="DPS1 List Paragraph"/>
    <w:basedOn w:val="Normal"/>
    <w:link w:val="ListParagraphChar"/>
    <w:uiPriority w:val="34"/>
    <w:qFormat/>
    <w:rsid w:val="000A0A89"/>
    <w:pPr>
      <w:ind w:left="720"/>
    </w:pPr>
  </w:style>
  <w:style w:type="paragraph" w:customStyle="1" w:styleId="TableParagraph">
    <w:name w:val="Table Paragraph"/>
    <w:basedOn w:val="Normal"/>
    <w:uiPriority w:val="1"/>
    <w:qFormat/>
    <w:pPr>
      <w:spacing w:before="18"/>
    </w:pPr>
    <w:rPr>
      <w:rFonts w:ascii="Arial" w:eastAsia="Arial" w:hAnsi="Arial" w:cs="Arial"/>
    </w:rPr>
  </w:style>
  <w:style w:type="character" w:customStyle="1" w:styleId="Heading1Char">
    <w:name w:val="Heading 1 Char"/>
    <w:basedOn w:val="DefaultParagraphFont"/>
    <w:link w:val="Heading1"/>
    <w:uiPriority w:val="9"/>
    <w:rsid w:val="000A0A89"/>
    <w:rPr>
      <w:rFonts w:ascii="Calibri" w:eastAsiaTheme="majorEastAsia" w:hAnsi="Calibri" w:cstheme="majorBidi"/>
      <w:b/>
      <w:bCs/>
      <w:color w:val="3C4B55"/>
      <w:sz w:val="70"/>
      <w:szCs w:val="28"/>
      <w:lang w:val="en-AU"/>
    </w:rPr>
  </w:style>
  <w:style w:type="character" w:customStyle="1" w:styleId="Heading2Char">
    <w:name w:val="Heading 2 Char"/>
    <w:basedOn w:val="DefaultParagraphFont"/>
    <w:link w:val="Heading2"/>
    <w:uiPriority w:val="3"/>
    <w:rsid w:val="004E390C"/>
    <w:rPr>
      <w:rFonts w:ascii="Arial" w:eastAsiaTheme="minorEastAsia" w:hAnsi="Arial"/>
      <w:bCs/>
      <w:color w:val="31849B"/>
      <w:sz w:val="44"/>
      <w:szCs w:val="28"/>
      <w:lang w:val="en-AU" w:eastAsia="ja-JP"/>
    </w:rPr>
  </w:style>
  <w:style w:type="character" w:customStyle="1" w:styleId="Heading3Char">
    <w:name w:val="Heading 3 Char"/>
    <w:basedOn w:val="DefaultParagraphFont"/>
    <w:link w:val="Heading3"/>
    <w:uiPriority w:val="4"/>
    <w:rsid w:val="00A86351"/>
    <w:rPr>
      <w:rFonts w:ascii="Arial" w:hAnsi="Arial"/>
      <w:bCs/>
      <w:color w:val="4F81BD" w:themeColor="accent1"/>
      <w:sz w:val="28"/>
      <w:lang w:val="en-AU"/>
    </w:rPr>
  </w:style>
  <w:style w:type="character" w:customStyle="1" w:styleId="Heading4Char">
    <w:name w:val="Heading 4 Char"/>
    <w:basedOn w:val="DefaultParagraphFont"/>
    <w:link w:val="Heading4"/>
    <w:uiPriority w:val="5"/>
    <w:rsid w:val="00A86351"/>
    <w:rPr>
      <w:rFonts w:ascii="Arial" w:hAnsi="Arial"/>
      <w:bCs/>
      <w:iCs/>
      <w:color w:val="365F91" w:themeColor="accent1" w:themeShade="BF"/>
      <w:lang w:val="en-AU"/>
    </w:rPr>
  </w:style>
  <w:style w:type="character" w:customStyle="1" w:styleId="Heading5Char">
    <w:name w:val="Heading 5 Char"/>
    <w:basedOn w:val="DefaultParagraphFont"/>
    <w:link w:val="Heading5"/>
    <w:uiPriority w:val="6"/>
    <w:rsid w:val="000A0A89"/>
    <w:rPr>
      <w:rFonts w:ascii="Calibri" w:hAnsi="Calibri"/>
      <w:b/>
      <w:lang w:val="en-AU"/>
    </w:rPr>
  </w:style>
  <w:style w:type="character" w:customStyle="1" w:styleId="BodyTextChar">
    <w:name w:val="Body Text Char"/>
    <w:basedOn w:val="DefaultParagraphFont"/>
    <w:link w:val="BodyText"/>
    <w:uiPriority w:val="1"/>
    <w:rsid w:val="0080215B"/>
    <w:rPr>
      <w:lang w:val="en-AU"/>
    </w:rPr>
  </w:style>
  <w:style w:type="paragraph" w:styleId="Title">
    <w:name w:val="Title"/>
    <w:basedOn w:val="Normal"/>
    <w:link w:val="TitleChar"/>
    <w:uiPriority w:val="10"/>
    <w:qFormat/>
    <w:rsid w:val="00DD408F"/>
    <w:pPr>
      <w:spacing w:before="59"/>
      <w:ind w:left="117" w:right="114"/>
      <w:jc w:val="center"/>
    </w:pPr>
    <w:rPr>
      <w:rFonts w:ascii="Arial" w:eastAsia="Arial" w:hAnsi="Arial" w:cs="Arial"/>
      <w:b/>
      <w:bCs/>
      <w:sz w:val="36"/>
      <w:szCs w:val="36"/>
    </w:rPr>
  </w:style>
  <w:style w:type="character" w:customStyle="1" w:styleId="TitleChar">
    <w:name w:val="Title Char"/>
    <w:basedOn w:val="DefaultParagraphFont"/>
    <w:link w:val="Title"/>
    <w:uiPriority w:val="10"/>
    <w:rsid w:val="00DD408F"/>
    <w:rPr>
      <w:rFonts w:ascii="Arial" w:eastAsia="Arial" w:hAnsi="Arial" w:cs="Arial"/>
      <w:b/>
      <w:bCs/>
      <w:sz w:val="36"/>
      <w:szCs w:val="36"/>
    </w:rPr>
  </w:style>
  <w:style w:type="paragraph" w:styleId="Header">
    <w:name w:val="header"/>
    <w:basedOn w:val="Normal"/>
    <w:link w:val="HeaderChar"/>
    <w:uiPriority w:val="26"/>
    <w:rsid w:val="000A0A89"/>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sid w:val="000A0A89"/>
    <w:rPr>
      <w:rFonts w:ascii="Calibri" w:hAnsi="Calibri"/>
      <w:sz w:val="20"/>
      <w:lang w:val="en-AU"/>
    </w:rPr>
  </w:style>
  <w:style w:type="paragraph" w:styleId="Footer">
    <w:name w:val="footer"/>
    <w:basedOn w:val="Normal"/>
    <w:link w:val="FooterChar"/>
    <w:uiPriority w:val="99"/>
    <w:rsid w:val="000A0A8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0A0A89"/>
    <w:rPr>
      <w:rFonts w:ascii="Calibri" w:hAnsi="Calibri"/>
      <w:sz w:val="20"/>
      <w:lang w:val="en-AU"/>
    </w:rPr>
  </w:style>
  <w:style w:type="character" w:styleId="PlaceholderText">
    <w:name w:val="Placeholder Text"/>
    <w:basedOn w:val="DefaultParagraphFont"/>
    <w:uiPriority w:val="99"/>
    <w:semiHidden/>
    <w:rsid w:val="000A0A89"/>
    <w:rPr>
      <w:color w:val="808080"/>
    </w:rPr>
  </w:style>
  <w:style w:type="table" w:styleId="TableGrid">
    <w:name w:val="Table Grid"/>
    <w:basedOn w:val="TableNormal"/>
    <w:uiPriority w:val="39"/>
    <w:rsid w:val="000A0A89"/>
    <w:pPr>
      <w:widowControl/>
      <w:autoSpaceDE/>
      <w:autoSpaceDN/>
      <w:spacing w:before="60" w:after="60"/>
    </w:pPr>
    <w:rPr>
      <w:rFonts w:ascii="Cambria" w:eastAsia="Times New Roman" w:hAnsi="Cambria" w:cs="Times New Roman"/>
      <w:sz w:val="18"/>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0A89"/>
    <w:rPr>
      <w:rFonts w:ascii="Calibri" w:hAnsi="Calibri"/>
      <w:sz w:val="18"/>
      <w:szCs w:val="18"/>
    </w:rPr>
  </w:style>
  <w:style w:type="character" w:customStyle="1" w:styleId="BalloonTextChar">
    <w:name w:val="Balloon Text Char"/>
    <w:basedOn w:val="DefaultParagraphFont"/>
    <w:link w:val="BalloonText"/>
    <w:uiPriority w:val="99"/>
    <w:semiHidden/>
    <w:rsid w:val="000A0A89"/>
    <w:rPr>
      <w:rFonts w:ascii="Calibri" w:hAnsi="Calibri"/>
      <w:sz w:val="18"/>
      <w:szCs w:val="18"/>
      <w:lang w:val="en-AU"/>
    </w:rPr>
  </w:style>
  <w:style w:type="character" w:styleId="Hyperlink">
    <w:name w:val="Hyperlink"/>
    <w:basedOn w:val="DefaultParagraphFont"/>
    <w:uiPriority w:val="99"/>
    <w:qFormat/>
    <w:rsid w:val="000A0A89"/>
    <w:rPr>
      <w:color w:val="165788"/>
      <w:u w:val="single"/>
    </w:rPr>
  </w:style>
  <w:style w:type="character" w:customStyle="1" w:styleId="UnresolvedMention1">
    <w:name w:val="Unresolved Mention1"/>
    <w:basedOn w:val="DefaultParagraphFont"/>
    <w:uiPriority w:val="99"/>
    <w:semiHidden/>
    <w:unhideWhenUsed/>
    <w:rsid w:val="00525760"/>
    <w:rPr>
      <w:color w:val="605E5C"/>
      <w:shd w:val="clear" w:color="auto" w:fill="E1DFDD"/>
    </w:rPr>
  </w:style>
  <w:style w:type="character" w:styleId="CommentReference">
    <w:name w:val="annotation reference"/>
    <w:basedOn w:val="DefaultParagraphFont"/>
    <w:semiHidden/>
    <w:unhideWhenUsed/>
    <w:rsid w:val="000A0A89"/>
    <w:rPr>
      <w:sz w:val="16"/>
      <w:szCs w:val="16"/>
    </w:rPr>
  </w:style>
  <w:style w:type="paragraph" w:styleId="CommentText">
    <w:name w:val="annotation text"/>
    <w:basedOn w:val="Normal"/>
    <w:link w:val="CommentTextChar"/>
    <w:unhideWhenUsed/>
    <w:rsid w:val="000A0A89"/>
    <w:rPr>
      <w:sz w:val="20"/>
      <w:szCs w:val="20"/>
    </w:rPr>
  </w:style>
  <w:style w:type="character" w:customStyle="1" w:styleId="CommentTextChar">
    <w:name w:val="Comment Text Char"/>
    <w:basedOn w:val="DefaultParagraphFont"/>
    <w:link w:val="CommentText"/>
    <w:rsid w:val="000A0A89"/>
    <w:rPr>
      <w:sz w:val="20"/>
      <w:szCs w:val="20"/>
      <w:lang w:val="en-AU"/>
    </w:rPr>
  </w:style>
  <w:style w:type="paragraph" w:styleId="CommentSubject">
    <w:name w:val="annotation subject"/>
    <w:basedOn w:val="CommentText"/>
    <w:next w:val="CommentText"/>
    <w:link w:val="CommentSubjectChar"/>
    <w:uiPriority w:val="99"/>
    <w:semiHidden/>
    <w:unhideWhenUsed/>
    <w:rsid w:val="000A0A89"/>
    <w:rPr>
      <w:b/>
      <w:bCs/>
    </w:rPr>
  </w:style>
  <w:style w:type="character" w:customStyle="1" w:styleId="CommentSubjectChar">
    <w:name w:val="Comment Subject Char"/>
    <w:basedOn w:val="CommentTextChar"/>
    <w:link w:val="CommentSubject"/>
    <w:uiPriority w:val="99"/>
    <w:semiHidden/>
    <w:rsid w:val="000A0A89"/>
    <w:rPr>
      <w:b/>
      <w:bCs/>
      <w:sz w:val="20"/>
      <w:szCs w:val="20"/>
      <w:lang w:val="en-AU"/>
    </w:rPr>
  </w:style>
  <w:style w:type="character" w:styleId="LineNumber">
    <w:name w:val="line number"/>
    <w:basedOn w:val="DefaultParagraphFont"/>
    <w:uiPriority w:val="99"/>
    <w:semiHidden/>
    <w:unhideWhenUsed/>
    <w:rsid w:val="00C06F0B"/>
  </w:style>
  <w:style w:type="paragraph" w:styleId="NoSpacing">
    <w:name w:val="No Spacing"/>
    <w:uiPriority w:val="1"/>
    <w:qFormat/>
    <w:rsid w:val="00875A3C"/>
    <w:rPr>
      <w:rFonts w:ascii="Times New Roman" w:eastAsia="Times New Roman" w:hAnsi="Times New Roman" w:cs="Times New Roman"/>
      <w:lang w:bidi="en-US"/>
    </w:rPr>
  </w:style>
  <w:style w:type="character" w:customStyle="1" w:styleId="fontstyle01">
    <w:name w:val="fontstyle01"/>
    <w:basedOn w:val="DefaultParagraphFont"/>
    <w:rsid w:val="00DC6BA7"/>
    <w:rPr>
      <w:rFonts w:ascii="ITCGaramondStd-Lt" w:hAnsi="ITCGaramondStd-Lt" w:hint="default"/>
      <w:b w:val="0"/>
      <w:bCs w:val="0"/>
      <w:i w:val="0"/>
      <w:iCs w:val="0"/>
      <w:color w:val="000000"/>
      <w:sz w:val="20"/>
      <w:szCs w:val="20"/>
    </w:rPr>
  </w:style>
  <w:style w:type="character" w:customStyle="1" w:styleId="ListParagraphChar">
    <w:name w:val="List Paragraph Char"/>
    <w:aliases w:val="DPS1 List Paragraph Char"/>
    <w:link w:val="ListParagraph"/>
    <w:uiPriority w:val="34"/>
    <w:rsid w:val="00262423"/>
    <w:rPr>
      <w:lang w:val="en-AU"/>
    </w:rPr>
  </w:style>
  <w:style w:type="character" w:customStyle="1" w:styleId="Heading6Char">
    <w:name w:val="Heading 6 Char"/>
    <w:basedOn w:val="DefaultParagraphFont"/>
    <w:link w:val="Heading6"/>
    <w:uiPriority w:val="9"/>
    <w:rsid w:val="000A0A89"/>
    <w:rPr>
      <w:rFonts w:eastAsiaTheme="majorEastAsia" w:cstheme="majorBidi"/>
      <w:i/>
      <w:lang w:val="en-AU"/>
    </w:rPr>
  </w:style>
  <w:style w:type="character" w:customStyle="1" w:styleId="Heading7Char">
    <w:name w:val="Heading 7 Char"/>
    <w:basedOn w:val="DefaultParagraphFont"/>
    <w:link w:val="Heading7"/>
    <w:uiPriority w:val="9"/>
    <w:rsid w:val="000A0A89"/>
    <w:rPr>
      <w:rFonts w:eastAsiaTheme="majorEastAsia" w:cstheme="majorBidi"/>
      <w:i/>
      <w:color w:val="243F60" w:themeColor="accent1" w:themeShade="7F"/>
      <w:lang w:val="en-AU"/>
    </w:rPr>
  </w:style>
  <w:style w:type="character" w:customStyle="1" w:styleId="Heading8Char">
    <w:name w:val="Heading 8 Char"/>
    <w:basedOn w:val="DefaultParagraphFont"/>
    <w:link w:val="Heading8"/>
    <w:uiPriority w:val="9"/>
    <w:rsid w:val="000A0A89"/>
    <w:rPr>
      <w:rFonts w:eastAsiaTheme="majorEastAsia" w:cstheme="majorBidi"/>
      <w:color w:val="272727" w:themeColor="text1" w:themeTint="D8"/>
      <w:sz w:val="21"/>
      <w:szCs w:val="21"/>
      <w:lang w:val="en-AU"/>
    </w:rPr>
  </w:style>
  <w:style w:type="character" w:customStyle="1" w:styleId="Heading9Char">
    <w:name w:val="Heading 9 Char"/>
    <w:basedOn w:val="DefaultParagraphFont"/>
    <w:link w:val="Heading9"/>
    <w:uiPriority w:val="9"/>
    <w:rsid w:val="00C376A4"/>
    <w:rPr>
      <w:rFonts w:asciiTheme="majorHAnsi" w:eastAsiaTheme="majorEastAsia" w:hAnsiTheme="majorHAnsi" w:cstheme="majorBidi"/>
      <w:i/>
      <w:iCs/>
      <w:color w:val="272727" w:themeColor="text1" w:themeTint="D8"/>
      <w:sz w:val="21"/>
      <w:szCs w:val="21"/>
      <w:lang w:bidi="en-US"/>
    </w:rPr>
  </w:style>
  <w:style w:type="paragraph" w:styleId="Bibliography">
    <w:name w:val="Bibliography"/>
    <w:basedOn w:val="Normal"/>
    <w:next w:val="Normal"/>
    <w:uiPriority w:val="37"/>
    <w:unhideWhenUsed/>
    <w:rsid w:val="00C376A4"/>
    <w:pPr>
      <w:spacing w:after="240"/>
      <w:ind w:left="720" w:hanging="720"/>
    </w:pPr>
  </w:style>
  <w:style w:type="paragraph" w:styleId="Revision">
    <w:name w:val="Revision"/>
    <w:hidden/>
    <w:uiPriority w:val="99"/>
    <w:semiHidden/>
    <w:rsid w:val="00C376A4"/>
    <w:pPr>
      <w:widowControl/>
      <w:autoSpaceDE/>
      <w:autoSpaceDN/>
    </w:pPr>
    <w:rPr>
      <w:rFonts w:ascii="Times New Roman" w:eastAsia="Times New Roman" w:hAnsi="Times New Roman" w:cs="Times New Roman"/>
      <w:lang w:bidi="en-US"/>
    </w:rPr>
  </w:style>
  <w:style w:type="table" w:styleId="PlainTable2">
    <w:name w:val="Plain Table 2"/>
    <w:basedOn w:val="TableNormal"/>
    <w:uiPriority w:val="42"/>
    <w:rsid w:val="00C376A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urfulAccent21">
    <w:name w:val="List Table 6 Colourful – Accent 21"/>
    <w:aliases w:val="DS,List Table 6 Colorful - Accent 21"/>
    <w:basedOn w:val="TableNormal"/>
    <w:uiPriority w:val="51"/>
    <w:rsid w:val="00225F4A"/>
    <w:pPr>
      <w:widowControl/>
      <w:autoSpaceDE/>
      <w:autoSpaceDN/>
    </w:pPr>
    <w:rPr>
      <w:color w:val="943634" w:themeColor="accent2" w:themeShade="BF"/>
      <w:sz w:val="20"/>
      <w:szCs w:val="20"/>
      <w:lang w:val="en-AU"/>
    </w:rPr>
    <w:tblPr>
      <w:tblStyleRowBandSize w:val="1"/>
      <w:tblStyleColBandSize w:val="1"/>
      <w:tblBorders>
        <w:bottom w:val="single" w:sz="24" w:space="0" w:color="76923C" w:themeColor="accent3" w:themeShade="BF"/>
      </w:tblBorders>
    </w:tblPr>
    <w:tblStylePr w:type="firstRow">
      <w:rPr>
        <w:b/>
        <w:bCs/>
      </w:rPr>
      <w:tblPr/>
      <w:tcPr>
        <w:tcBorders>
          <w:top w:val="single" w:sz="24" w:space="0" w:color="76923C" w:themeColor="accent3" w:themeShade="BF"/>
          <w:bottom w:val="single" w:sz="24" w:space="0" w:color="76923C" w:themeColor="accent3" w:themeShade="BF"/>
        </w:tcBorders>
      </w:tcPr>
    </w:tblStylePr>
    <w:tblStylePr w:type="lastRow">
      <w:rPr>
        <w:b w:val="0"/>
        <w:bCs/>
      </w:rPr>
      <w:tblPr/>
      <w:tcPr>
        <w:tcBorders>
          <w:top w:val="nil"/>
          <w:bottom w:val="single" w:sz="24" w:space="0" w:color="76923C" w:themeColor="accent3" w:themeShade="BF"/>
        </w:tcBorders>
      </w:tcPr>
    </w:tblStylePr>
    <w:tblStylePr w:type="firstCol">
      <w:rPr>
        <w:rFonts w:ascii="Arial" w:hAnsi="Arial"/>
        <w:b w:val="0"/>
        <w:bCs/>
        <w:color w:val="auto"/>
        <w:sz w:val="20"/>
      </w:rPr>
    </w:tblStylePr>
    <w:tblStylePr w:type="lastCol">
      <w:rPr>
        <w:rFonts w:ascii="Arial" w:hAnsi="Arial"/>
        <w:b w:val="0"/>
        <w:bCs/>
        <w:color w:val="000000" w:themeColor="text1"/>
        <w:sz w:val="20"/>
      </w:rPr>
    </w:tblStylePr>
    <w:tblStylePr w:type="band1Vert">
      <w:rPr>
        <w:rFonts w:ascii="Arial" w:hAnsi="Arial"/>
        <w:color w:val="000000" w:themeColor="text1"/>
        <w:sz w:val="20"/>
      </w:rPr>
    </w:tblStylePr>
    <w:tblStylePr w:type="band2Vert">
      <w:rPr>
        <w:rFonts w:ascii="Arial" w:hAnsi="Arial"/>
        <w:color w:val="000000" w:themeColor="text1"/>
        <w:sz w:val="20"/>
      </w:rPr>
    </w:tblStylePr>
    <w:tblStylePr w:type="band1Horz">
      <w:rPr>
        <w:b w:val="0"/>
      </w:rPr>
      <w:tblPr/>
      <w:tcPr>
        <w:tcBorders>
          <w:top w:val="single" w:sz="4" w:space="0" w:color="76923C" w:themeColor="accent3" w:themeShade="BF"/>
        </w:tcBorders>
      </w:tcPr>
    </w:tblStylePr>
    <w:tblStylePr w:type="band2Horz">
      <w:rPr>
        <w:b w:val="0"/>
      </w:rPr>
      <w:tblPr/>
      <w:tcPr>
        <w:tcBorders>
          <w:top w:val="single" w:sz="4" w:space="0" w:color="76923C" w:themeColor="accent3" w:themeShade="BF"/>
        </w:tcBorders>
      </w:tcPr>
    </w:tblStylePr>
  </w:style>
  <w:style w:type="paragraph" w:customStyle="1" w:styleId="TableText">
    <w:name w:val="Table Text"/>
    <w:link w:val="TableTextChar"/>
    <w:uiPriority w:val="13"/>
    <w:qFormat/>
    <w:rsid w:val="000A0A89"/>
    <w:pPr>
      <w:widowControl/>
      <w:autoSpaceDE/>
      <w:autoSpaceDN/>
      <w:spacing w:before="60" w:after="60"/>
    </w:pPr>
    <w:rPr>
      <w:sz w:val="18"/>
      <w:lang w:val="en-AU"/>
    </w:rPr>
  </w:style>
  <w:style w:type="character" w:customStyle="1" w:styleId="TableTextChar">
    <w:name w:val="Table Text Char"/>
    <w:basedOn w:val="DefaultParagraphFont"/>
    <w:link w:val="TableText"/>
    <w:uiPriority w:val="13"/>
    <w:rsid w:val="000A0A89"/>
    <w:rPr>
      <w:sz w:val="18"/>
      <w:lang w:val="en-AU"/>
    </w:rPr>
  </w:style>
  <w:style w:type="paragraph" w:styleId="ListBullet">
    <w:name w:val="List Bullet"/>
    <w:uiPriority w:val="7"/>
    <w:qFormat/>
    <w:rsid w:val="000A0A89"/>
    <w:pPr>
      <w:widowControl/>
      <w:numPr>
        <w:numId w:val="7"/>
      </w:numPr>
      <w:autoSpaceDE/>
      <w:autoSpaceDN/>
      <w:spacing w:before="120" w:after="120"/>
    </w:pPr>
    <w:rPr>
      <w:lang w:val="en-AU"/>
    </w:rPr>
  </w:style>
  <w:style w:type="paragraph" w:styleId="TOC1">
    <w:name w:val="toc 1"/>
    <w:next w:val="Normal"/>
    <w:uiPriority w:val="39"/>
    <w:unhideWhenUsed/>
    <w:rsid w:val="000A0A89"/>
    <w:pPr>
      <w:widowControl/>
      <w:tabs>
        <w:tab w:val="left" w:pos="426"/>
        <w:tab w:val="right" w:leader="dot" w:pos="9072"/>
      </w:tabs>
      <w:autoSpaceDE/>
      <w:autoSpaceDN/>
      <w:spacing w:before="120" w:after="120"/>
    </w:pPr>
    <w:rPr>
      <w:b/>
      <w:noProof/>
      <w:lang w:val="en-AU"/>
    </w:rPr>
  </w:style>
  <w:style w:type="paragraph" w:styleId="TOC2">
    <w:name w:val="toc 2"/>
    <w:basedOn w:val="Normal"/>
    <w:next w:val="Normal"/>
    <w:uiPriority w:val="39"/>
    <w:unhideWhenUsed/>
    <w:rsid w:val="000A0A89"/>
    <w:pPr>
      <w:tabs>
        <w:tab w:val="right" w:leader="dot" w:pos="9060"/>
      </w:tabs>
      <w:spacing w:before="120" w:after="120" w:line="240" w:lineRule="auto"/>
      <w:ind w:firstLine="425"/>
    </w:pPr>
    <w:rPr>
      <w:noProof/>
    </w:rPr>
  </w:style>
  <w:style w:type="paragraph" w:styleId="TableofFigures">
    <w:name w:val="table of figures"/>
    <w:basedOn w:val="Normal"/>
    <w:next w:val="Normal"/>
    <w:uiPriority w:val="99"/>
    <w:rsid w:val="000A0A89"/>
    <w:pPr>
      <w:spacing w:before="120" w:after="120" w:line="240" w:lineRule="auto"/>
    </w:pPr>
  </w:style>
  <w:style w:type="paragraph" w:styleId="TOCHeading">
    <w:name w:val="TOC Heading"/>
    <w:next w:val="Normal"/>
    <w:uiPriority w:val="39"/>
    <w:qFormat/>
    <w:rsid w:val="000A0A89"/>
    <w:pPr>
      <w:widowControl/>
      <w:autoSpaceDE/>
      <w:autoSpaceDN/>
    </w:pPr>
    <w:rPr>
      <w:rFonts w:ascii="Calibri" w:eastAsiaTheme="majorEastAsia" w:hAnsi="Calibri" w:cstheme="majorBidi"/>
      <w:bCs/>
      <w:color w:val="427BA1"/>
      <w:sz w:val="56"/>
      <w:szCs w:val="28"/>
    </w:rPr>
  </w:style>
  <w:style w:type="paragraph" w:customStyle="1" w:styleId="TOCHeading2">
    <w:name w:val="TOC Heading 2"/>
    <w:next w:val="Normal"/>
    <w:uiPriority w:val="39"/>
    <w:rsid w:val="000A0A89"/>
    <w:pPr>
      <w:widowControl/>
      <w:autoSpaceDE/>
      <w:autoSpaceDN/>
    </w:pPr>
    <w:rPr>
      <w:rFonts w:ascii="Calibri" w:eastAsiaTheme="majorEastAsia" w:hAnsi="Calibri" w:cstheme="majorBidi"/>
      <w:bCs/>
      <w:color w:val="427BA1"/>
      <w:sz w:val="36"/>
      <w:szCs w:val="28"/>
    </w:rPr>
  </w:style>
  <w:style w:type="paragraph" w:customStyle="1" w:styleId="Author">
    <w:name w:val="Author"/>
    <w:basedOn w:val="Normal"/>
    <w:next w:val="Normal"/>
    <w:uiPriority w:val="24"/>
    <w:qFormat/>
    <w:rsid w:val="000A0A89"/>
    <w:pPr>
      <w:spacing w:after="60"/>
    </w:pPr>
    <w:rPr>
      <w:b/>
      <w:sz w:val="28"/>
      <w:szCs w:val="28"/>
    </w:rPr>
  </w:style>
  <w:style w:type="paragraph" w:customStyle="1" w:styleId="AuthorOrganisationAffiliation">
    <w:name w:val="Author Organisation/Affiliation"/>
    <w:basedOn w:val="Normal"/>
    <w:next w:val="Normal"/>
    <w:uiPriority w:val="25"/>
    <w:qFormat/>
    <w:rsid w:val="000A0A89"/>
    <w:pPr>
      <w:spacing w:after="720"/>
    </w:pPr>
  </w:style>
  <w:style w:type="paragraph" w:customStyle="1" w:styleId="BoxText">
    <w:name w:val="Box Text"/>
    <w:basedOn w:val="Normal"/>
    <w:uiPriority w:val="19"/>
    <w:qFormat/>
    <w:rsid w:val="000A0A89"/>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qFormat/>
    <w:rsid w:val="000A0A89"/>
    <w:pPr>
      <w:spacing w:line="240" w:lineRule="auto"/>
    </w:pPr>
    <w:rPr>
      <w:b/>
    </w:rPr>
  </w:style>
  <w:style w:type="paragraph" w:customStyle="1" w:styleId="FigureTableNoteSource">
    <w:name w:val="Figure/Table Note/Source"/>
    <w:basedOn w:val="Normal"/>
    <w:next w:val="Normal"/>
    <w:uiPriority w:val="16"/>
    <w:qFormat/>
    <w:rsid w:val="000A0A89"/>
    <w:pPr>
      <w:spacing w:before="120" w:line="264" w:lineRule="auto"/>
      <w:contextualSpacing/>
    </w:pPr>
    <w:rPr>
      <w:rFonts w:ascii="Calibri" w:hAnsi="Calibri"/>
      <w:sz w:val="18"/>
    </w:rPr>
  </w:style>
  <w:style w:type="paragraph" w:customStyle="1" w:styleId="BoxSource">
    <w:name w:val="Box Source"/>
    <w:basedOn w:val="FigureTableNoteSource"/>
    <w:uiPriority w:val="22"/>
    <w:qFormat/>
    <w:rsid w:val="000A0A89"/>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qFormat/>
    <w:rsid w:val="000A0A89"/>
    <w:pPr>
      <w:numPr>
        <w:numId w:val="3"/>
      </w:numPr>
    </w:pPr>
  </w:style>
  <w:style w:type="paragraph" w:styleId="Caption">
    <w:name w:val="caption"/>
    <w:next w:val="Normal"/>
    <w:link w:val="CaptionChar"/>
    <w:uiPriority w:val="12"/>
    <w:qFormat/>
    <w:rsid w:val="00056514"/>
    <w:pPr>
      <w:keepNext/>
      <w:widowControl/>
      <w:autoSpaceDE/>
      <w:autoSpaceDN/>
      <w:spacing w:after="120"/>
    </w:pPr>
    <w:rPr>
      <w:rFonts w:eastAsiaTheme="majorEastAsia" w:cstheme="majorBidi"/>
      <w:b/>
      <w:bCs/>
      <w:color w:val="000000" w:themeColor="text1"/>
      <w:szCs w:val="18"/>
      <w:lang w:val="en-AU" w:bidi="en-US"/>
    </w:rPr>
  </w:style>
  <w:style w:type="character" w:customStyle="1" w:styleId="CaptionChar">
    <w:name w:val="Caption Char"/>
    <w:basedOn w:val="Heading1Char"/>
    <w:link w:val="Caption"/>
    <w:uiPriority w:val="12"/>
    <w:rsid w:val="00056514"/>
    <w:rPr>
      <w:rFonts w:ascii="Calibri" w:eastAsiaTheme="majorEastAsia" w:hAnsi="Calibri" w:cstheme="majorBidi"/>
      <w:b/>
      <w:bCs/>
      <w:color w:val="000000" w:themeColor="text1"/>
      <w:sz w:val="70"/>
      <w:szCs w:val="18"/>
      <w:lang w:val="en-AU" w:bidi="en-US"/>
    </w:rPr>
  </w:style>
  <w:style w:type="numbering" w:customStyle="1" w:styleId="captions">
    <w:name w:val="captions"/>
    <w:uiPriority w:val="99"/>
    <w:rsid w:val="000A0A89"/>
    <w:pPr>
      <w:numPr>
        <w:numId w:val="4"/>
      </w:numPr>
    </w:pPr>
  </w:style>
  <w:style w:type="paragraph" w:customStyle="1" w:styleId="DisseminationLimitingMarker">
    <w:name w:val="Dissemination Limiting Marker"/>
    <w:basedOn w:val="Header"/>
    <w:next w:val="Header"/>
    <w:uiPriority w:val="27"/>
    <w:qFormat/>
    <w:rsid w:val="000A0A89"/>
    <w:pPr>
      <w:spacing w:after="0"/>
    </w:pPr>
    <w:rPr>
      <w:b/>
      <w:sz w:val="36"/>
      <w:szCs w:val="36"/>
    </w:rPr>
  </w:style>
  <w:style w:type="paragraph" w:styleId="DocumentMap">
    <w:name w:val="Document Map"/>
    <w:basedOn w:val="Normal"/>
    <w:link w:val="DocumentMapChar"/>
    <w:uiPriority w:val="99"/>
    <w:semiHidden/>
    <w:unhideWhenUsed/>
    <w:rsid w:val="000A0A8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0A89"/>
    <w:rPr>
      <w:rFonts w:ascii="Tahoma" w:hAnsi="Tahoma" w:cs="Tahoma"/>
      <w:sz w:val="16"/>
      <w:szCs w:val="16"/>
      <w:lang w:val="en-AU"/>
    </w:rPr>
  </w:style>
  <w:style w:type="paragraph" w:customStyle="1" w:styleId="Documenttype">
    <w:name w:val="Document type"/>
    <w:basedOn w:val="Normal"/>
    <w:qFormat/>
    <w:rsid w:val="000A0A89"/>
    <w:pPr>
      <w:spacing w:before="360" w:after="0"/>
    </w:pPr>
    <w:rPr>
      <w:color w:val="427BA1"/>
      <w:sz w:val="36"/>
    </w:rPr>
  </w:style>
  <w:style w:type="character" w:styleId="Emphasis">
    <w:name w:val="Emphasis"/>
    <w:basedOn w:val="DefaultParagraphFont"/>
    <w:uiPriority w:val="99"/>
    <w:qFormat/>
    <w:rsid w:val="000A0A89"/>
    <w:rPr>
      <w:i/>
      <w:iCs/>
    </w:rPr>
  </w:style>
  <w:style w:type="character" w:styleId="EndnoteReference">
    <w:name w:val="endnote reference"/>
    <w:basedOn w:val="DefaultParagraphFont"/>
    <w:uiPriority w:val="99"/>
    <w:semiHidden/>
    <w:unhideWhenUsed/>
    <w:rsid w:val="000A0A89"/>
    <w:rPr>
      <w:vertAlign w:val="superscript"/>
    </w:rPr>
  </w:style>
  <w:style w:type="character" w:styleId="FollowedHyperlink">
    <w:name w:val="FollowedHyperlink"/>
    <w:basedOn w:val="DefaultParagraphFont"/>
    <w:uiPriority w:val="99"/>
    <w:semiHidden/>
    <w:unhideWhenUsed/>
    <w:rsid w:val="000A0A89"/>
    <w:rPr>
      <w:color w:val="800080"/>
      <w:u w:val="single"/>
    </w:rPr>
  </w:style>
  <w:style w:type="paragraph" w:customStyle="1" w:styleId="Footeraddress">
    <w:name w:val="Footer address"/>
    <w:basedOn w:val="Footer"/>
    <w:semiHidden/>
    <w:qFormat/>
    <w:rsid w:val="000A0A89"/>
    <w:rPr>
      <w:sz w:val="16"/>
    </w:rPr>
  </w:style>
  <w:style w:type="character" w:styleId="FootnoteReference">
    <w:name w:val="footnote reference"/>
    <w:basedOn w:val="DefaultParagraphFont"/>
    <w:uiPriority w:val="99"/>
    <w:semiHidden/>
    <w:unhideWhenUsed/>
    <w:rsid w:val="000A0A89"/>
    <w:rPr>
      <w:vertAlign w:val="superscript"/>
    </w:rPr>
  </w:style>
  <w:style w:type="numbering" w:customStyle="1" w:styleId="heading">
    <w:name w:val="heading"/>
    <w:uiPriority w:val="99"/>
    <w:rsid w:val="000A0A89"/>
    <w:pPr>
      <w:numPr>
        <w:numId w:val="5"/>
      </w:numPr>
    </w:pPr>
  </w:style>
  <w:style w:type="numbering" w:customStyle="1" w:styleId="Headings">
    <w:name w:val="Headings"/>
    <w:uiPriority w:val="99"/>
    <w:rsid w:val="000A0A89"/>
    <w:pPr>
      <w:numPr>
        <w:numId w:val="6"/>
      </w:numPr>
    </w:pPr>
  </w:style>
  <w:style w:type="paragraph" w:styleId="IntenseQuote">
    <w:name w:val="Intense Quote"/>
    <w:basedOn w:val="Normal"/>
    <w:next w:val="Normal"/>
    <w:link w:val="IntenseQuoteChar"/>
    <w:uiPriority w:val="30"/>
    <w:qFormat/>
    <w:rsid w:val="000A0A8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A0A89"/>
    <w:rPr>
      <w:i/>
      <w:iCs/>
      <w:color w:val="4F81BD" w:themeColor="accent1"/>
      <w:lang w:val="en-AU"/>
    </w:rPr>
  </w:style>
  <w:style w:type="table" w:styleId="TableGrid1">
    <w:name w:val="Table Grid 1"/>
    <w:basedOn w:val="TableNormal"/>
    <w:uiPriority w:val="99"/>
    <w:semiHidden/>
    <w:unhideWhenUsed/>
    <w:rsid w:val="000A0A89"/>
    <w:pPr>
      <w:widowControl/>
      <w:autoSpaceDE/>
      <w:autoSpaceDN/>
      <w:spacing w:after="200" w:line="280" w:lineRule="atLeast"/>
    </w:pPr>
    <w:rPr>
      <w:rFonts w:ascii="Cambria" w:eastAsia="Cambria" w:hAnsi="Cambria"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0A0A89"/>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0A0A89"/>
    <w:pPr>
      <w:widowControl/>
      <w:autoSpaceDE/>
      <w:autoSpaceDN/>
    </w:pPr>
    <w:rPr>
      <w:rFonts w:ascii="Cambria" w:eastAsia="Cambria" w:hAnsi="Cambria"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2">
    <w:name w:val="List Bullet 2"/>
    <w:uiPriority w:val="8"/>
    <w:qFormat/>
    <w:rsid w:val="000A0A89"/>
    <w:pPr>
      <w:widowControl/>
      <w:numPr>
        <w:ilvl w:val="1"/>
        <w:numId w:val="7"/>
      </w:numPr>
      <w:autoSpaceDE/>
      <w:autoSpaceDN/>
      <w:spacing w:before="120" w:after="120"/>
      <w:contextualSpacing/>
    </w:pPr>
    <w:rPr>
      <w:lang w:val="en-AU"/>
    </w:rPr>
  </w:style>
  <w:style w:type="numbering" w:customStyle="1" w:styleId="listbullets">
    <w:name w:val="list bullets"/>
    <w:uiPriority w:val="99"/>
    <w:rsid w:val="000A0A89"/>
    <w:pPr>
      <w:numPr>
        <w:numId w:val="7"/>
      </w:numPr>
    </w:pPr>
  </w:style>
  <w:style w:type="paragraph" w:styleId="ListNumber">
    <w:name w:val="List Number"/>
    <w:basedOn w:val="Normal"/>
    <w:uiPriority w:val="9"/>
    <w:qFormat/>
    <w:rsid w:val="000A0A89"/>
    <w:pPr>
      <w:numPr>
        <w:numId w:val="8"/>
      </w:numPr>
      <w:spacing w:before="120" w:after="120" w:line="280" w:lineRule="atLeast"/>
    </w:pPr>
    <w:rPr>
      <w:szCs w:val="20"/>
    </w:rPr>
  </w:style>
  <w:style w:type="paragraph" w:styleId="ListNumber2">
    <w:name w:val="List Number 2"/>
    <w:uiPriority w:val="10"/>
    <w:qFormat/>
    <w:rsid w:val="000A0A89"/>
    <w:pPr>
      <w:widowControl/>
      <w:numPr>
        <w:ilvl w:val="1"/>
        <w:numId w:val="8"/>
      </w:numPr>
      <w:autoSpaceDE/>
      <w:autoSpaceDN/>
      <w:spacing w:before="120" w:after="120" w:line="264" w:lineRule="auto"/>
    </w:pPr>
    <w:rPr>
      <w:rFonts w:eastAsia="Times New Roman" w:cs="Times New Roman"/>
      <w:szCs w:val="24"/>
      <w:lang w:val="en-AU"/>
    </w:rPr>
  </w:style>
  <w:style w:type="paragraph" w:styleId="ListNumber3">
    <w:name w:val="List Number 3"/>
    <w:uiPriority w:val="11"/>
    <w:qFormat/>
    <w:rsid w:val="000A0A89"/>
    <w:pPr>
      <w:widowControl/>
      <w:numPr>
        <w:ilvl w:val="2"/>
        <w:numId w:val="8"/>
      </w:numPr>
      <w:autoSpaceDE/>
      <w:autoSpaceDN/>
      <w:spacing w:before="120" w:after="120" w:line="264" w:lineRule="auto"/>
    </w:pPr>
    <w:rPr>
      <w:rFonts w:eastAsia="Times New Roman" w:cs="Times New Roman"/>
      <w:szCs w:val="24"/>
      <w:lang w:val="en-AU"/>
    </w:rPr>
  </w:style>
  <w:style w:type="numbering" w:customStyle="1" w:styleId="ListNumber1">
    <w:name w:val="List Number1"/>
    <w:uiPriority w:val="99"/>
    <w:rsid w:val="000A0A89"/>
    <w:pPr>
      <w:numPr>
        <w:numId w:val="8"/>
      </w:numPr>
    </w:pPr>
  </w:style>
  <w:style w:type="numbering" w:customStyle="1" w:styleId="List1">
    <w:name w:val="List1"/>
    <w:basedOn w:val="NoList"/>
    <w:uiPriority w:val="99"/>
    <w:rsid w:val="000A0A89"/>
    <w:pPr>
      <w:numPr>
        <w:numId w:val="9"/>
      </w:numPr>
    </w:pPr>
  </w:style>
  <w:style w:type="paragraph" w:styleId="NormalWeb">
    <w:name w:val="Normal (Web)"/>
    <w:basedOn w:val="Normal"/>
    <w:uiPriority w:val="99"/>
    <w:semiHidden/>
    <w:unhideWhenUsed/>
    <w:rsid w:val="000A0A89"/>
    <w:pPr>
      <w:spacing w:after="168" w:line="168" w:lineRule="atLeast"/>
      <w:jc w:val="both"/>
    </w:pPr>
    <w:rPr>
      <w:rFonts w:ascii="Times New Roman" w:hAnsi="Times New Roman"/>
      <w:sz w:val="13"/>
      <w:szCs w:val="13"/>
      <w:lang w:eastAsia="en-AU"/>
    </w:rPr>
  </w:style>
  <w:style w:type="paragraph" w:customStyle="1" w:styleId="Picture">
    <w:name w:val="Picture"/>
    <w:basedOn w:val="Normal"/>
    <w:uiPriority w:val="17"/>
    <w:qFormat/>
    <w:rsid w:val="000A0A89"/>
    <w:pPr>
      <w:spacing w:before="120" w:after="120" w:line="240" w:lineRule="auto"/>
    </w:pPr>
    <w:rPr>
      <w:noProof/>
      <w:lang w:eastAsia="en-AU"/>
    </w:rPr>
  </w:style>
  <w:style w:type="paragraph" w:customStyle="1" w:styleId="Publicationdate">
    <w:name w:val="Publication date"/>
    <w:basedOn w:val="Normal"/>
    <w:qFormat/>
    <w:rsid w:val="000A0A89"/>
    <w:rPr>
      <w:color w:val="666C60"/>
      <w:sz w:val="28"/>
    </w:rPr>
  </w:style>
  <w:style w:type="paragraph" w:styleId="Quote">
    <w:name w:val="Quote"/>
    <w:basedOn w:val="Normal"/>
    <w:next w:val="Normal"/>
    <w:link w:val="QuoteChar"/>
    <w:uiPriority w:val="18"/>
    <w:qFormat/>
    <w:rsid w:val="000A0A89"/>
    <w:pPr>
      <w:ind w:left="709" w:right="567"/>
    </w:pPr>
    <w:rPr>
      <w:iCs/>
      <w:color w:val="000000"/>
    </w:rPr>
  </w:style>
  <w:style w:type="character" w:customStyle="1" w:styleId="QuoteChar">
    <w:name w:val="Quote Char"/>
    <w:basedOn w:val="DefaultParagraphFont"/>
    <w:link w:val="Quote"/>
    <w:uiPriority w:val="18"/>
    <w:rsid w:val="000A0A89"/>
    <w:rPr>
      <w:iCs/>
      <w:color w:val="000000"/>
      <w:lang w:val="en-AU"/>
    </w:rPr>
  </w:style>
  <w:style w:type="paragraph" w:customStyle="1" w:styleId="Securityclassification">
    <w:name w:val="Security classification"/>
    <w:basedOn w:val="Header"/>
    <w:next w:val="Header"/>
    <w:uiPriority w:val="26"/>
    <w:qFormat/>
    <w:rsid w:val="000A0A89"/>
    <w:pPr>
      <w:spacing w:after="0"/>
    </w:pPr>
    <w:rPr>
      <w:b/>
      <w:caps/>
      <w:sz w:val="36"/>
      <w:szCs w:val="36"/>
    </w:rPr>
  </w:style>
  <w:style w:type="character" w:styleId="Strong">
    <w:name w:val="Strong"/>
    <w:uiPriority w:val="99"/>
    <w:rsid w:val="000A0A89"/>
    <w:rPr>
      <w:b/>
      <w:bCs/>
    </w:rPr>
  </w:style>
  <w:style w:type="numbering" w:customStyle="1" w:styleId="Style1">
    <w:name w:val="Style1"/>
    <w:uiPriority w:val="99"/>
    <w:rsid w:val="000A0A89"/>
    <w:pPr>
      <w:numPr>
        <w:numId w:val="10"/>
      </w:numPr>
    </w:pPr>
  </w:style>
  <w:style w:type="paragraph" w:styleId="Subtitle">
    <w:name w:val="Subtitle"/>
    <w:basedOn w:val="Heading1"/>
    <w:next w:val="Normal"/>
    <w:link w:val="SubtitleChar"/>
    <w:uiPriority w:val="23"/>
    <w:qFormat/>
    <w:rsid w:val="000A0A89"/>
    <w:pPr>
      <w:keepNext w:val="0"/>
      <w:keepLines w:val="0"/>
      <w:widowControl w:val="0"/>
      <w:spacing w:before="120" w:after="0"/>
      <w:contextualSpacing/>
    </w:pPr>
    <w:rPr>
      <w:rFonts w:eastAsiaTheme="minorHAnsi" w:cstheme="minorBidi"/>
      <w:b w:val="0"/>
      <w:color w:val="427BA1"/>
      <w:spacing w:val="5"/>
      <w:kern w:val="28"/>
      <w:sz w:val="56"/>
      <w:szCs w:val="56"/>
    </w:rPr>
  </w:style>
  <w:style w:type="character" w:customStyle="1" w:styleId="SubtitleChar">
    <w:name w:val="Subtitle Char"/>
    <w:basedOn w:val="DefaultParagraphFont"/>
    <w:link w:val="Subtitle"/>
    <w:uiPriority w:val="23"/>
    <w:rsid w:val="000A0A89"/>
    <w:rPr>
      <w:rFonts w:ascii="Calibri" w:hAnsi="Calibri"/>
      <w:bCs/>
      <w:color w:val="427BA1"/>
      <w:spacing w:val="5"/>
      <w:kern w:val="28"/>
      <w:sz w:val="56"/>
      <w:szCs w:val="56"/>
      <w:lang w:val="en-AU"/>
    </w:rPr>
  </w:style>
  <w:style w:type="paragraph" w:customStyle="1" w:styleId="TableBullet">
    <w:name w:val="Table Bullet"/>
    <w:basedOn w:val="TableText"/>
    <w:uiPriority w:val="15"/>
    <w:qFormat/>
    <w:rsid w:val="000A0A89"/>
    <w:pPr>
      <w:numPr>
        <w:numId w:val="11"/>
      </w:numPr>
    </w:pPr>
  </w:style>
  <w:style w:type="paragraph" w:customStyle="1" w:styleId="TableHeading">
    <w:name w:val="Table Heading"/>
    <w:basedOn w:val="TableText"/>
    <w:uiPriority w:val="14"/>
    <w:qFormat/>
    <w:rsid w:val="000A0A89"/>
    <w:pPr>
      <w:keepNext/>
    </w:pPr>
    <w:rPr>
      <w:b/>
    </w:rPr>
  </w:style>
  <w:style w:type="paragraph" w:styleId="TOAHeading">
    <w:name w:val="toa heading"/>
    <w:basedOn w:val="Heading1"/>
    <w:next w:val="Normal"/>
    <w:uiPriority w:val="99"/>
    <w:semiHidden/>
    <w:unhideWhenUsed/>
    <w:rsid w:val="000A0A89"/>
    <w:pPr>
      <w:spacing w:before="120"/>
    </w:pPr>
    <w:rPr>
      <w:bCs w:val="0"/>
      <w:sz w:val="24"/>
    </w:rPr>
  </w:style>
  <w:style w:type="paragraph" w:styleId="TOC3">
    <w:name w:val="toc 3"/>
    <w:basedOn w:val="Normal"/>
    <w:next w:val="Normal"/>
    <w:uiPriority w:val="39"/>
    <w:unhideWhenUsed/>
    <w:rsid w:val="000A0A89"/>
    <w:pPr>
      <w:tabs>
        <w:tab w:val="right" w:leader="dot" w:pos="9072"/>
      </w:tabs>
      <w:spacing w:before="120" w:after="120" w:line="240" w:lineRule="auto"/>
      <w:ind w:firstLine="851"/>
    </w:pPr>
    <w:rPr>
      <w:noProof/>
    </w:rPr>
  </w:style>
  <w:style w:type="paragraph" w:customStyle="1" w:styleId="TOCHeadingsamepage">
    <w:name w:val="TOC Heading (same page)"/>
    <w:basedOn w:val="TOCHeading"/>
    <w:next w:val="Normal"/>
    <w:uiPriority w:val="39"/>
    <w:rsid w:val="000A0A89"/>
  </w:style>
  <w:style w:type="character" w:customStyle="1" w:styleId="BulletChar">
    <w:name w:val="Bullet Char"/>
    <w:basedOn w:val="DefaultParagraphFont"/>
    <w:link w:val="Bullet"/>
    <w:qFormat/>
    <w:rsid w:val="002A7F03"/>
  </w:style>
  <w:style w:type="paragraph" w:customStyle="1" w:styleId="Bullet">
    <w:name w:val="Bullet"/>
    <w:basedOn w:val="ListBullet"/>
    <w:link w:val="BulletChar"/>
    <w:qFormat/>
    <w:rsid w:val="002A7F03"/>
    <w:pPr>
      <w:numPr>
        <w:numId w:val="12"/>
      </w:numPr>
    </w:pPr>
    <w:rPr>
      <w:lang w:val="en-US"/>
    </w:rPr>
  </w:style>
  <w:style w:type="paragraph" w:customStyle="1" w:styleId="Default">
    <w:name w:val="Default"/>
    <w:rsid w:val="00262170"/>
    <w:pPr>
      <w:widowControl/>
      <w:adjustRightInd w:val="0"/>
    </w:pPr>
    <w:rPr>
      <w:rFonts w:ascii="Roboto Light" w:hAnsi="Roboto Light" w:cs="Roboto Light"/>
      <w:color w:val="000000"/>
      <w:sz w:val="24"/>
      <w:szCs w:val="24"/>
      <w:lang w:val="en-AU"/>
    </w:rPr>
  </w:style>
  <w:style w:type="paragraph" w:customStyle="1" w:styleId="Pa5">
    <w:name w:val="Pa5"/>
    <w:basedOn w:val="Default"/>
    <w:next w:val="Default"/>
    <w:uiPriority w:val="99"/>
    <w:rsid w:val="00262170"/>
    <w:pPr>
      <w:spacing w:line="181" w:lineRule="atLeast"/>
    </w:pPr>
    <w:rPr>
      <w:rFonts w:cstheme="minorBidi"/>
      <w:color w:val="auto"/>
    </w:rPr>
  </w:style>
  <w:style w:type="character" w:customStyle="1" w:styleId="A4">
    <w:name w:val="A4"/>
    <w:uiPriority w:val="99"/>
    <w:rsid w:val="00262170"/>
    <w:rPr>
      <w:rFonts w:cs="Roboto Light"/>
      <w:color w:val="000000"/>
      <w:sz w:val="16"/>
      <w:szCs w:val="16"/>
    </w:rPr>
  </w:style>
  <w:style w:type="paragraph" w:customStyle="1" w:styleId="Pa9">
    <w:name w:val="Pa9"/>
    <w:basedOn w:val="Default"/>
    <w:next w:val="Default"/>
    <w:uiPriority w:val="99"/>
    <w:rsid w:val="00A10781"/>
    <w:pPr>
      <w:spacing w:line="201" w:lineRule="atLeast"/>
    </w:pPr>
    <w:rPr>
      <w:rFonts w:ascii="Times New Roman" w:hAnsi="Times New Roman" w:cs="Times New Roman"/>
      <w:color w:val="auto"/>
    </w:rPr>
  </w:style>
  <w:style w:type="character" w:customStyle="1" w:styleId="UnresolvedMention10">
    <w:name w:val="Unresolved Mention1"/>
    <w:basedOn w:val="DefaultParagraphFont"/>
    <w:uiPriority w:val="99"/>
    <w:semiHidden/>
    <w:unhideWhenUsed/>
    <w:rsid w:val="00962EA1"/>
    <w:rPr>
      <w:color w:val="605E5C"/>
      <w:shd w:val="clear" w:color="auto" w:fill="E1DFDD"/>
    </w:rPr>
  </w:style>
  <w:style w:type="character" w:styleId="UnresolvedMention">
    <w:name w:val="Unresolved Mention"/>
    <w:basedOn w:val="DefaultParagraphFont"/>
    <w:uiPriority w:val="99"/>
    <w:rsid w:val="001E7791"/>
    <w:rPr>
      <w:color w:val="605E5C"/>
      <w:shd w:val="clear" w:color="auto" w:fill="E1DFDD"/>
    </w:rPr>
  </w:style>
  <w:style w:type="paragraph" w:styleId="FootnoteText">
    <w:name w:val="footnote text"/>
    <w:basedOn w:val="Normal"/>
    <w:link w:val="FootnoteTextChar"/>
    <w:uiPriority w:val="99"/>
    <w:semiHidden/>
    <w:unhideWhenUsed/>
    <w:rsid w:val="00061B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1BE7"/>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226688">
      <w:bodyDiv w:val="1"/>
      <w:marLeft w:val="0"/>
      <w:marRight w:val="0"/>
      <w:marTop w:val="0"/>
      <w:marBottom w:val="0"/>
      <w:divBdr>
        <w:top w:val="none" w:sz="0" w:space="0" w:color="auto"/>
        <w:left w:val="none" w:sz="0" w:space="0" w:color="auto"/>
        <w:bottom w:val="none" w:sz="0" w:space="0" w:color="auto"/>
        <w:right w:val="none" w:sz="0" w:space="0" w:color="auto"/>
      </w:divBdr>
    </w:div>
    <w:div w:id="1245839441">
      <w:bodyDiv w:val="1"/>
      <w:marLeft w:val="0"/>
      <w:marRight w:val="0"/>
      <w:marTop w:val="0"/>
      <w:marBottom w:val="0"/>
      <w:divBdr>
        <w:top w:val="none" w:sz="0" w:space="0" w:color="auto"/>
        <w:left w:val="none" w:sz="0" w:space="0" w:color="auto"/>
        <w:bottom w:val="none" w:sz="0" w:space="0" w:color="auto"/>
        <w:right w:val="none" w:sz="0" w:space="0" w:color="auto"/>
      </w:divBdr>
    </w:div>
    <w:div w:id="1367171244">
      <w:bodyDiv w:val="1"/>
      <w:marLeft w:val="0"/>
      <w:marRight w:val="0"/>
      <w:marTop w:val="0"/>
      <w:marBottom w:val="0"/>
      <w:divBdr>
        <w:top w:val="none" w:sz="0" w:space="0" w:color="auto"/>
        <w:left w:val="none" w:sz="0" w:space="0" w:color="auto"/>
        <w:bottom w:val="none" w:sz="0" w:space="0" w:color="auto"/>
        <w:right w:val="none" w:sz="0" w:space="0" w:color="auto"/>
      </w:divBdr>
    </w:div>
    <w:div w:id="1490369854">
      <w:bodyDiv w:val="1"/>
      <w:marLeft w:val="0"/>
      <w:marRight w:val="0"/>
      <w:marTop w:val="0"/>
      <w:marBottom w:val="0"/>
      <w:divBdr>
        <w:top w:val="none" w:sz="0" w:space="0" w:color="auto"/>
        <w:left w:val="none" w:sz="0" w:space="0" w:color="auto"/>
        <w:bottom w:val="none" w:sz="0" w:space="0" w:color="auto"/>
        <w:right w:val="none" w:sz="0" w:space="0" w:color="auto"/>
      </w:divBdr>
    </w:div>
    <w:div w:id="1620527202">
      <w:bodyDiv w:val="1"/>
      <w:marLeft w:val="0"/>
      <w:marRight w:val="0"/>
      <w:marTop w:val="0"/>
      <w:marBottom w:val="0"/>
      <w:divBdr>
        <w:top w:val="none" w:sz="0" w:space="0" w:color="auto"/>
        <w:left w:val="none" w:sz="0" w:space="0" w:color="auto"/>
        <w:bottom w:val="none" w:sz="0" w:space="0" w:color="auto"/>
        <w:right w:val="none" w:sz="0" w:space="0" w:color="auto"/>
      </w:divBdr>
    </w:div>
    <w:div w:id="1630237765">
      <w:bodyDiv w:val="1"/>
      <w:marLeft w:val="0"/>
      <w:marRight w:val="0"/>
      <w:marTop w:val="0"/>
      <w:marBottom w:val="0"/>
      <w:divBdr>
        <w:top w:val="none" w:sz="0" w:space="0" w:color="auto"/>
        <w:left w:val="none" w:sz="0" w:space="0" w:color="auto"/>
        <w:bottom w:val="none" w:sz="0" w:space="0" w:color="auto"/>
        <w:right w:val="none" w:sz="0" w:space="0" w:color="auto"/>
      </w:divBdr>
    </w:div>
    <w:div w:id="1731080170">
      <w:bodyDiv w:val="1"/>
      <w:marLeft w:val="0"/>
      <w:marRight w:val="0"/>
      <w:marTop w:val="0"/>
      <w:marBottom w:val="0"/>
      <w:divBdr>
        <w:top w:val="none" w:sz="0" w:space="0" w:color="auto"/>
        <w:left w:val="none" w:sz="0" w:space="0" w:color="auto"/>
        <w:bottom w:val="none" w:sz="0" w:space="0" w:color="auto"/>
        <w:right w:val="none" w:sz="0" w:space="0" w:color="auto"/>
      </w:divBdr>
    </w:div>
    <w:div w:id="2147314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header" Target="header7.xml"/><Relationship Id="rId47" Type="http://schemas.openxmlformats.org/officeDocument/2006/relationships/header" Target="header11.xml"/><Relationship Id="rId63" Type="http://schemas.openxmlformats.org/officeDocument/2006/relationships/hyperlink" Target="https://agriculture.vic.gov.au/farm-management/water/blue-green-algae-in-water/bluegreen-algae-and-irrigation-water" TargetMode="External"/><Relationship Id="rId68" Type="http://schemas.openxmlformats.org/officeDocument/2006/relationships/hyperlink" Target="http://ceqg-rcqe.ccme.ca/" TargetMode="External"/><Relationship Id="rId84" Type="http://schemas.openxmlformats.org/officeDocument/2006/relationships/theme" Target="theme/theme1.xml"/><Relationship Id="rId16" Type="http://schemas.openxmlformats.org/officeDocument/2006/relationships/header" Target="header1.xml"/><Relationship Id="rId11" Type="http://schemas.openxmlformats.org/officeDocument/2006/relationships/hyperlink" Target="https://creativecommons.org/licenses/by/4.0/legalcode" TargetMode="External"/><Relationship Id="rId32" Type="http://schemas.openxmlformats.org/officeDocument/2006/relationships/image" Target="media/image13.png"/><Relationship Id="rId37" Type="http://schemas.openxmlformats.org/officeDocument/2006/relationships/header" Target="header5.xml"/><Relationship Id="rId53" Type="http://schemas.openxmlformats.org/officeDocument/2006/relationships/header" Target="header15.xml"/><Relationship Id="rId58" Type="http://schemas.openxmlformats.org/officeDocument/2006/relationships/image" Target="media/image19.emf"/><Relationship Id="rId74" Type="http://schemas.openxmlformats.org/officeDocument/2006/relationships/hyperlink" Target="https://www.waterpathogens.org/book/persistence-in-sewage" TargetMode="External"/><Relationship Id="rId79" Type="http://schemas.openxmlformats.org/officeDocument/2006/relationships/header" Target="header25.xml"/><Relationship Id="rId5" Type="http://schemas.openxmlformats.org/officeDocument/2006/relationships/webSettings" Target="webSettings.xml"/><Relationship Id="rId19" Type="http://schemas.openxmlformats.org/officeDocument/2006/relationships/header" Target="header3.xml"/><Relationship Id="rId14" Type="http://schemas.openxmlformats.org/officeDocument/2006/relationships/hyperlink" Target="mailto:waterquality@dcceew.gov.au" TargetMode="Externa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8.xml"/><Relationship Id="rId48" Type="http://schemas.openxmlformats.org/officeDocument/2006/relationships/footer" Target="footer4.xml"/><Relationship Id="rId56" Type="http://schemas.openxmlformats.org/officeDocument/2006/relationships/footer" Target="footer6.xml"/><Relationship Id="rId64" Type="http://schemas.openxmlformats.org/officeDocument/2006/relationships/hyperlink" Target="https://open.alberta.ca/dataset/86025ac1-8a7c-426a-b0d6-a86cc4502520/resource/378e6323-3ec6-43e7-b238-d2e19230fc07/download/2425423-2000-guidelines-for-wastewater-irrigation.pdf" TargetMode="External"/><Relationship Id="rId69" Type="http://schemas.openxmlformats.org/officeDocument/2006/relationships/hyperlink" Target="https://ccme.ca/en/summary-table" TargetMode="External"/><Relationship Id="rId77"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hyperlink" Target="https://www.environment.gov.au/protection/publications/pfas-nemp-2" TargetMode="External"/><Relationship Id="rId80" Type="http://schemas.openxmlformats.org/officeDocument/2006/relationships/header" Target="header26.xml"/><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mailto:copyright@dcceew.gov.au"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footer" Target="footer2.xml"/><Relationship Id="rId46" Type="http://schemas.openxmlformats.org/officeDocument/2006/relationships/header" Target="header10.xml"/><Relationship Id="rId59" Type="http://schemas.openxmlformats.org/officeDocument/2006/relationships/header" Target="header19.xml"/><Relationship Id="rId67" Type="http://schemas.openxmlformats.org/officeDocument/2006/relationships/hyperlink" Target="http://ceqg-rcqe.ccme.ca/en/index.html" TargetMode="External"/><Relationship Id="rId20" Type="http://schemas.openxmlformats.org/officeDocument/2006/relationships/hyperlink" Target="https://www.publications.qld.gov.au/dataset/disposal-of-effluent-using-irrigation-technical-guideline" TargetMode="External"/><Relationship Id="rId41" Type="http://schemas.openxmlformats.org/officeDocument/2006/relationships/image" Target="media/image18.png"/><Relationship Id="rId54" Type="http://schemas.openxmlformats.org/officeDocument/2006/relationships/header" Target="header16.xml"/><Relationship Id="rId62" Type="http://schemas.openxmlformats.org/officeDocument/2006/relationships/header" Target="header21.xml"/><Relationship Id="rId70" Type="http://schemas.openxmlformats.org/officeDocument/2006/relationships/hyperlink" Target="https://www.agriculture.gov.au/import/arrival/pests/plant_diseases" TargetMode="External"/><Relationship Id="rId75" Type="http://schemas.openxmlformats.org/officeDocument/2006/relationships/hyperlink" Target="https://www.intechopen.com/books/arsenic-analytical-and-toxicological-studies/arsenic-in-water-determination-and-remova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eader" Target="header4.xml"/><Relationship Id="rId49" Type="http://schemas.openxmlformats.org/officeDocument/2006/relationships/header" Target="header12.xml"/><Relationship Id="rId57" Type="http://schemas.openxmlformats.org/officeDocument/2006/relationships/header" Target="header18.xml"/><Relationship Id="rId10" Type="http://schemas.openxmlformats.org/officeDocument/2006/relationships/hyperlink" Target="https://creativecommons.org/licenses/by/4.0/" TargetMode="External"/><Relationship Id="rId31" Type="http://schemas.openxmlformats.org/officeDocument/2006/relationships/image" Target="media/image12.png"/><Relationship Id="rId44" Type="http://schemas.openxmlformats.org/officeDocument/2006/relationships/footer" Target="footer3.xml"/><Relationship Id="rId52" Type="http://schemas.openxmlformats.org/officeDocument/2006/relationships/footer" Target="footer5.xml"/><Relationship Id="rId60" Type="http://schemas.openxmlformats.org/officeDocument/2006/relationships/header" Target="header20.xml"/><Relationship Id="rId65" Type="http://schemas.openxmlformats.org/officeDocument/2006/relationships/hyperlink" Target="https://ec.europa.eu/environment/water/pdf/water_reuse_JRC_report.pdf" TargetMode="External"/><Relationship Id="rId73" Type="http://schemas.openxmlformats.org/officeDocument/2006/relationships/hyperlink" Target="https://www.iso.org/standard/73482.html" TargetMode="External"/><Relationship Id="rId78" Type="http://schemas.openxmlformats.org/officeDocument/2006/relationships/header" Target="header24.xml"/><Relationship Id="rId81" Type="http://schemas.openxmlformats.org/officeDocument/2006/relationships/footer" Target="footer8.xml"/><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waterquality.gov.au/anz-guidelines/guideline-values/default/water-quality-toxicants/toxicants" TargetMode="External"/><Relationship Id="rId18" Type="http://schemas.openxmlformats.org/officeDocument/2006/relationships/footer" Target="footer1.xml"/><Relationship Id="rId39" Type="http://schemas.openxmlformats.org/officeDocument/2006/relationships/header" Target="header6.xml"/><Relationship Id="rId34" Type="http://schemas.openxmlformats.org/officeDocument/2006/relationships/image" Target="media/image15.png"/><Relationship Id="rId50" Type="http://schemas.openxmlformats.org/officeDocument/2006/relationships/header" Target="header13.xml"/><Relationship Id="rId55" Type="http://schemas.openxmlformats.org/officeDocument/2006/relationships/header" Target="header17.xml"/><Relationship Id="rId76"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hyperlink" Target="https://www.agric.wa.gov.au/small-landholders-western-australia/treating-blue-green-algae-small-farm-dams" TargetMode="External"/><Relationship Id="rId2" Type="http://schemas.openxmlformats.org/officeDocument/2006/relationships/numbering" Target="numbering.xml"/><Relationship Id="rId29" Type="http://schemas.openxmlformats.org/officeDocument/2006/relationships/image" Target="media/image100.png"/><Relationship Id="rId24" Type="http://schemas.openxmlformats.org/officeDocument/2006/relationships/image" Target="media/image60.png"/><Relationship Id="rId40" Type="http://schemas.openxmlformats.org/officeDocument/2006/relationships/image" Target="media/image17.png"/><Relationship Id="rId45" Type="http://schemas.openxmlformats.org/officeDocument/2006/relationships/header" Target="header9.xml"/><Relationship Id="rId66" Type="http://schemas.openxmlformats.org/officeDocument/2006/relationships/hyperlink" Target="https://www.intechopen.com/chapters/57043" TargetMode="External"/><Relationship Id="rId87" Type="http://schemas.openxmlformats.org/officeDocument/2006/relationships/customXml" Target="../customXml/item4.xml"/><Relationship Id="rId61" Type="http://schemas.openxmlformats.org/officeDocument/2006/relationships/footer" Target="footer7.xml"/><Relationship Id="rId82"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4" ma:contentTypeDescription="Create a new document." ma:contentTypeScope="" ma:versionID="d2575a541de4f6f4146f87d786cddbb4">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4bfd732ecb4d90ac731c1f8eb5d3dcdc"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98728ac-f998-415c-abee-6b046fb1441e">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5344AD57-CD54-44A3-9C7B-4E15B8E1F855}">
  <ds:schemaRefs>
    <ds:schemaRef ds:uri="http://schemas.openxmlformats.org/officeDocument/2006/bibliography"/>
  </ds:schemaRefs>
</ds:datastoreItem>
</file>

<file path=customXml/itemProps2.xml><?xml version="1.0" encoding="utf-8"?>
<ds:datastoreItem xmlns:ds="http://schemas.openxmlformats.org/officeDocument/2006/customXml" ds:itemID="{D0FAA88F-778E-45DF-B762-CC08EF9C342E}"/>
</file>

<file path=customXml/itemProps3.xml><?xml version="1.0" encoding="utf-8"?>
<ds:datastoreItem xmlns:ds="http://schemas.openxmlformats.org/officeDocument/2006/customXml" ds:itemID="{3295C23D-303F-48A5-A614-12145259CBB6}"/>
</file>

<file path=customXml/itemProps4.xml><?xml version="1.0" encoding="utf-8"?>
<ds:datastoreItem xmlns:ds="http://schemas.openxmlformats.org/officeDocument/2006/customXml" ds:itemID="{7A6AFBB7-701B-4CDD-A670-795BED70227B}"/>
</file>

<file path=docProps/app.xml><?xml version="1.0" encoding="utf-8"?>
<Properties xmlns="http://schemas.openxmlformats.org/officeDocument/2006/extended-properties" xmlns:vt="http://schemas.openxmlformats.org/officeDocument/2006/docPropsVTypes">
  <Template>Normal</Template>
  <TotalTime>0</TotalTime>
  <Pages>170</Pages>
  <Words>100964</Words>
  <Characters>567422</Characters>
  <Application>Microsoft Office Word</Application>
  <DocSecurity>4</DocSecurity>
  <Lines>10132</Lines>
  <Paragraphs>5262</Paragraphs>
  <ScaleCrop>false</ScaleCrop>
  <HeadingPairs>
    <vt:vector size="2" baseType="variant">
      <vt:variant>
        <vt:lpstr>Title</vt:lpstr>
      </vt:variant>
      <vt:variant>
        <vt:i4>1</vt:i4>
      </vt:variant>
    </vt:vector>
  </HeadingPairs>
  <TitlesOfParts>
    <vt:vector size="1" baseType="lpstr">
      <vt:lpstr>Water Quality for Irrigation and General Water Uses: Background Information</vt:lpstr>
    </vt:vector>
  </TitlesOfParts>
  <Company/>
  <LinksUpToDate>false</LinksUpToDate>
  <CharactersWithSpaces>663124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Quality for Irrigation and General Water Uses: Background Information</dc:title>
  <dc:creator>Australian Government</dc:creator>
  <cp:lastModifiedBy>Durack, Bec</cp:lastModifiedBy>
  <cp:revision>2</cp:revision>
  <cp:lastPrinted>2024-01-08T07:52:00Z</cp:lastPrinted>
  <dcterms:created xsi:type="dcterms:W3CDTF">2024-01-09T06:09:00Z</dcterms:created>
  <dcterms:modified xsi:type="dcterms:W3CDTF">2024-01-09T06:09:00Z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id="3bfdQrYZ"/&gt;&lt;style id="http://www.zotero.org/styles/the-journal-of-neuroscience" hasBibliography="1" bibliographyStyleHasBeenSet="0"/&gt;&lt;prefs&gt;&lt;pref name="fieldType" value="Field"/&gt;&lt;pref name="aut</vt:lpwstr>
  </property>
  <property fmtid="{D5CDD505-2E9C-101B-9397-08002B2CF9AE}" pid="3" name="ZOTERO_PREF_2">
    <vt:lpwstr>omaticJournalAbbreviations" value="true"/&gt;&lt;/prefs&gt;&lt;/data&gt;</vt:lpwstr>
  </property>
  <property fmtid="{D5CDD505-2E9C-101B-9397-08002B2CF9AE}" pid="4" name="eDOCS AutoSave">
    <vt:lpwstr>20210927112338235</vt:lpwstr>
  </property>
  <property fmtid="{D5CDD505-2E9C-101B-9397-08002B2CF9AE}" pid="5" name="ContentTypeId">
    <vt:lpwstr>0x010100E3A4F77836BB3D4E8942C3BA8310D952</vt:lpwstr>
  </property>
</Properties>
</file>