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9B32" w14:textId="77777777" w:rsidR="001C0D1C" w:rsidRPr="00477D02" w:rsidRDefault="00EB38E1" w:rsidP="00494523">
      <w:pPr>
        <w:pStyle w:val="Heading1"/>
      </w:pPr>
      <w:bookmarkStart w:id="0" w:name="_Toc84842462"/>
      <w:bookmarkStart w:id="1" w:name="_Toc84842733"/>
      <w:bookmarkStart w:id="2" w:name="_Toc134442058"/>
      <w:bookmarkStart w:id="3" w:name="_Toc134442205"/>
      <w:r w:rsidRPr="00477D02">
        <w:t xml:space="preserve">Livestock drinking water </w:t>
      </w:r>
      <w:bookmarkEnd w:id="0"/>
      <w:bookmarkEnd w:id="1"/>
      <w:proofErr w:type="gramStart"/>
      <w:r w:rsidR="00F26A36" w:rsidRPr="00477D02">
        <w:t>guidelines</w:t>
      </w:r>
      <w:bookmarkEnd w:id="2"/>
      <w:bookmarkEnd w:id="3"/>
      <w:proofErr w:type="gramEnd"/>
    </w:p>
    <w:p w14:paraId="03F59B33" w14:textId="7121D1B2" w:rsidR="001C0D1C" w:rsidRPr="009A798B" w:rsidRDefault="0061517C" w:rsidP="00C1087A">
      <w:pPr>
        <w:pStyle w:val="Publicationdate"/>
      </w:pPr>
      <w:r>
        <w:t>Novem</w:t>
      </w:r>
      <w:r w:rsidR="00904112">
        <w:t xml:space="preserve">ber </w:t>
      </w:r>
      <w:r w:rsidR="009A798B" w:rsidRPr="009A798B">
        <w:t>202</w:t>
      </w:r>
      <w:r w:rsidR="00F26A36">
        <w:t>3</w:t>
      </w:r>
    </w:p>
    <w:p w14:paraId="03F59B34" w14:textId="77777777" w:rsidR="00B55949" w:rsidRDefault="00EB38E1">
      <w:pPr>
        <w:spacing w:after="0" w:line="240" w:lineRule="auto"/>
        <w:rPr>
          <w:b/>
          <w:bCs/>
          <w:lang w:val="en-US"/>
        </w:rPr>
      </w:pPr>
      <w:r>
        <w:rPr>
          <w:b/>
          <w:bCs/>
          <w:lang w:val="en-US"/>
        </w:rPr>
        <w:br w:type="page"/>
      </w:r>
    </w:p>
    <w:p w14:paraId="03F59B50" w14:textId="77777777" w:rsidR="007A3978" w:rsidRPr="00FD2341" w:rsidRDefault="00EB38E1" w:rsidP="00C1087A">
      <w:pPr>
        <w:rPr>
          <w:b/>
          <w:bCs/>
        </w:rPr>
      </w:pPr>
      <w:r w:rsidRPr="00FD2341">
        <w:rPr>
          <w:b/>
          <w:bCs/>
        </w:rPr>
        <w:lastRenderedPageBreak/>
        <w:t>Ownership of intellectual property rights</w:t>
      </w:r>
    </w:p>
    <w:p w14:paraId="03F59B51" w14:textId="77777777" w:rsidR="00D15C05" w:rsidRDefault="00EB38E1" w:rsidP="00D15C05">
      <w:r>
        <w:t>© Commonwealth of Australia 2023</w:t>
      </w:r>
    </w:p>
    <w:p w14:paraId="03F59B52" w14:textId="77777777" w:rsidR="007A3978" w:rsidRDefault="00EB38E1" w:rsidP="00C1087A">
      <w:r>
        <w:t>Unless otherwise noted, copyright (and any other intellectual property rights, if any) in this publication is owned by the Commonwealth of Australia (referred to as the Commonwealth).</w:t>
      </w:r>
    </w:p>
    <w:p w14:paraId="03F59B53" w14:textId="77777777" w:rsidR="007A3978" w:rsidRDefault="00EB38E1" w:rsidP="00C1087A">
      <w:r>
        <w:t>All material in this publication is licensed under a Creative Commons Attribution</w:t>
      </w:r>
      <w:r w:rsidR="00557709">
        <w:t> </w:t>
      </w:r>
      <w:r>
        <w:t xml:space="preserve">4.0 Australia Licence, save for content supplied by third parties, photographic images, </w:t>
      </w:r>
      <w:proofErr w:type="gramStart"/>
      <w:r>
        <w:t>logos</w:t>
      </w:r>
      <w:proofErr w:type="gramEnd"/>
      <w:r>
        <w:t xml:space="preserve"> and the Commonwealth Coat of Arms.</w:t>
      </w:r>
      <w:r w:rsidR="00D15C05">
        <w:t xml:space="preserve"> </w:t>
      </w:r>
      <w:r>
        <w:rPr>
          <w:noProof/>
          <w:lang w:eastAsia="en-AU"/>
        </w:rPr>
        <w:drawing>
          <wp:anchor distT="0" distB="0" distL="114300" distR="114300" simplePos="0" relativeHeight="251658240" behindDoc="0" locked="0" layoutInCell="1" allowOverlap="1" wp14:anchorId="03F5A22F" wp14:editId="03F5A230">
            <wp:simplePos x="0" y="0"/>
            <wp:positionH relativeFrom="column">
              <wp:align>left</wp:align>
            </wp:positionH>
            <wp:positionV relativeFrom="paragraph">
              <wp:align>top</wp:align>
            </wp:positionV>
            <wp:extent cx="723900" cy="255905"/>
            <wp:effectExtent l="0" t="0" r="0" b="0"/>
            <wp:wrapSquare wrapText="bothSides"/>
            <wp:docPr id="6" name="Picture 6"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59466" name="Picture 1" descr="by"/>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23900" cy="255905"/>
                    </a:xfrm>
                    <a:prstGeom prst="rect">
                      <a:avLst/>
                    </a:prstGeom>
                    <a:noFill/>
                    <a:ln w="9525">
                      <a:noFill/>
                      <a:miter lim="800000"/>
                      <a:headEnd/>
                      <a:tailEnd/>
                    </a:ln>
                  </pic:spPr>
                </pic:pic>
              </a:graphicData>
            </a:graphic>
          </wp:anchor>
        </w:drawing>
      </w:r>
      <w:r>
        <w:t xml:space="preserve">Creative Commons Attribution 4.0 Australia Licence is a standard licence agreement that allows you to copy, distribute, transmit and adapt this publication provided you attribute the work. See the </w:t>
      </w:r>
      <w:hyperlink r:id="rId12" w:history="1">
        <w:r w:rsidR="00C26AC5" w:rsidRPr="00C26AC5">
          <w:rPr>
            <w:rStyle w:val="Hyperlink"/>
          </w:rPr>
          <w:t>summary of the licence terms</w:t>
        </w:r>
      </w:hyperlink>
      <w:r w:rsidR="00C26AC5" w:rsidRPr="00C26AC5">
        <w:t xml:space="preserve"> </w:t>
      </w:r>
      <w:r>
        <w:t xml:space="preserve">or the </w:t>
      </w:r>
      <w:hyperlink r:id="rId13" w:history="1">
        <w:r w:rsidR="004E1EF3" w:rsidRPr="004E1EF3">
          <w:rPr>
            <w:rStyle w:val="Hyperlink"/>
          </w:rPr>
          <w:t>full licence terms</w:t>
        </w:r>
      </w:hyperlink>
      <w:r>
        <w:t>.</w:t>
      </w:r>
    </w:p>
    <w:p w14:paraId="03F59B54" w14:textId="77777777" w:rsidR="007A3978" w:rsidRDefault="00EB38E1" w:rsidP="00C1087A">
      <w:r>
        <w:t>Inquiries about the licence and any use of this document should be emailed to copyright@</w:t>
      </w:r>
      <w:r w:rsidR="004E1EF3">
        <w:t>dcceew</w:t>
      </w:r>
      <w:r>
        <w:t>.gov.au.</w:t>
      </w:r>
    </w:p>
    <w:p w14:paraId="03F59B55" w14:textId="77777777" w:rsidR="007A3978" w:rsidRPr="00FD2341" w:rsidRDefault="00EB38E1" w:rsidP="00C1087A">
      <w:pPr>
        <w:rPr>
          <w:b/>
          <w:bCs/>
        </w:rPr>
      </w:pPr>
      <w:r w:rsidRPr="00FD2341">
        <w:rPr>
          <w:b/>
          <w:bCs/>
        </w:rPr>
        <w:t>Cataloguing data</w:t>
      </w:r>
    </w:p>
    <w:p w14:paraId="03F59B56" w14:textId="41B95C9D" w:rsidR="007A3978" w:rsidRDefault="00EB38E1" w:rsidP="00C1087A">
      <w:r>
        <w:t xml:space="preserve">This publication (and any material sourced from it) should be attributed as: ANZG </w:t>
      </w:r>
      <w:r w:rsidR="00723848">
        <w:t>(</w:t>
      </w:r>
      <w:r w:rsidR="006C56C7">
        <w:t>2023</w:t>
      </w:r>
      <w:r w:rsidR="00723848">
        <w:t>).</w:t>
      </w:r>
      <w:r>
        <w:t xml:space="preserve"> </w:t>
      </w:r>
      <w:r w:rsidRPr="007A3978">
        <w:rPr>
          <w:i/>
          <w:iCs/>
        </w:rPr>
        <w:t>Livestock drinking water guidelines</w:t>
      </w:r>
      <w:r>
        <w:rPr>
          <w:i/>
        </w:rPr>
        <w:t xml:space="preserve">. </w:t>
      </w:r>
      <w:r>
        <w:t>Australian and New Zealand Guidelines for Fresh and Marine Water Quality.</w:t>
      </w:r>
      <w:r w:rsidRPr="00D47CA4">
        <w:t xml:space="preserve"> Australian and New Zealand Governments and Australian state and territory governments, Canberra</w:t>
      </w:r>
      <w:r>
        <w:t>.</w:t>
      </w:r>
    </w:p>
    <w:p w14:paraId="03F59B57" w14:textId="77777777" w:rsidR="007A3978" w:rsidRPr="00FD2341" w:rsidRDefault="00EB38E1" w:rsidP="00C1087A">
      <w:pPr>
        <w:rPr>
          <w:b/>
          <w:bCs/>
        </w:rPr>
      </w:pPr>
      <w:r w:rsidRPr="00FD2341">
        <w:rPr>
          <w:b/>
          <w:bCs/>
        </w:rPr>
        <w:t>Contact</w:t>
      </w:r>
    </w:p>
    <w:p w14:paraId="03F59B58" w14:textId="77777777" w:rsidR="00A9383A" w:rsidRPr="00A9383A" w:rsidRDefault="00EB38E1" w:rsidP="00B55949">
      <w:pPr>
        <w:spacing w:after="0"/>
        <w:rPr>
          <w:b/>
        </w:rPr>
      </w:pPr>
      <w:r>
        <w:t xml:space="preserve">Australian Government Department of </w:t>
      </w:r>
      <w:r w:rsidR="00F26A36">
        <w:t>Climate Change, Energy, Environment and Water</w:t>
      </w:r>
      <w:r w:rsidR="00D15C05">
        <w:br/>
      </w:r>
      <w:r w:rsidRPr="00A9383A">
        <w:t>GPO Box 858 Canberra ACT 2601</w:t>
      </w:r>
    </w:p>
    <w:p w14:paraId="03F59B59" w14:textId="77777777" w:rsidR="007A3978" w:rsidRDefault="00EB38E1" w:rsidP="00C1087A">
      <w:r w:rsidRPr="00EC53B7">
        <w:t xml:space="preserve">Switchboard +61 2 </w:t>
      </w:r>
      <w:r w:rsidR="00281995" w:rsidRPr="00281995">
        <w:t>6272 3933 or 1800 900 090</w:t>
      </w:r>
      <w:r w:rsidR="00D15C05" w:rsidRPr="00EC53B7">
        <w:br/>
      </w:r>
      <w:r w:rsidRPr="00EC53B7">
        <w:t>Email waterquality@</w:t>
      </w:r>
      <w:r w:rsidR="00281995">
        <w:t>dcceew</w:t>
      </w:r>
      <w:r w:rsidRPr="00EC53B7">
        <w:t>.gov.au</w:t>
      </w:r>
    </w:p>
    <w:p w14:paraId="03F59B5A" w14:textId="7D1F13A1" w:rsidR="00D15C05" w:rsidRDefault="00EB38E1" w:rsidP="00D15C05">
      <w:r>
        <w:t xml:space="preserve">This publication is available at </w:t>
      </w:r>
      <w:hyperlink r:id="rId14" w:history="1">
        <w:r w:rsidR="00A444E4" w:rsidRPr="007668CA">
          <w:rPr>
            <w:rStyle w:val="Hyperlink"/>
          </w:rPr>
          <w:t>https://www.waterquality.gov.au/anz-guidelines/guideline-values/default/primary-industries/stock-water-guidance</w:t>
        </w:r>
      </w:hyperlink>
      <w:r w:rsidR="00A444E4">
        <w:t xml:space="preserve"> </w:t>
      </w:r>
    </w:p>
    <w:p w14:paraId="6CC79FA6" w14:textId="47F5546D" w:rsidR="003F749E" w:rsidRPr="00FD2341" w:rsidRDefault="003F749E" w:rsidP="003F749E">
      <w:pPr>
        <w:rPr>
          <w:b/>
          <w:bCs/>
        </w:rPr>
      </w:pPr>
      <w:r>
        <w:rPr>
          <w:b/>
          <w:bCs/>
        </w:rPr>
        <w:t>Acknowledgment</w:t>
      </w:r>
    </w:p>
    <w:p w14:paraId="20489982" w14:textId="77777777" w:rsidR="003F749E" w:rsidRDefault="003F749E" w:rsidP="00C1087A">
      <w:r>
        <w:t xml:space="preserve">Writing and editing: </w:t>
      </w:r>
      <w:proofErr w:type="spellStart"/>
      <w:r>
        <w:t>Biotext</w:t>
      </w:r>
      <w:proofErr w:type="spellEnd"/>
      <w:r>
        <w:t xml:space="preserve"> Pty Ltd.</w:t>
      </w:r>
    </w:p>
    <w:p w14:paraId="03F59B5B" w14:textId="7CF00DA6" w:rsidR="007A3978" w:rsidRPr="00FD2341" w:rsidRDefault="00EB38E1" w:rsidP="00C1087A">
      <w:pPr>
        <w:rPr>
          <w:b/>
          <w:bCs/>
        </w:rPr>
      </w:pPr>
      <w:r w:rsidRPr="00FD2341">
        <w:rPr>
          <w:b/>
          <w:bCs/>
        </w:rPr>
        <w:t>Disclaimer</w:t>
      </w:r>
    </w:p>
    <w:p w14:paraId="03F59B5C" w14:textId="77777777" w:rsidR="007A3978" w:rsidRDefault="00EB38E1" w:rsidP="00C1087A">
      <w:r>
        <w:t>The author(s) of this publication, all other entities associated with funding this publication or preparing and compiling this publication, and the publisher of this publication, and their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3F59B5D" w14:textId="77777777" w:rsidR="001C0D1C" w:rsidRPr="002856EB" w:rsidRDefault="00EB38E1" w:rsidP="00C1087A">
      <w:r w:rsidRPr="00D15C05">
        <w:rPr>
          <w:noProof/>
        </w:rPr>
        <w:drawing>
          <wp:inline distT="0" distB="0" distL="0" distR="0" wp14:anchorId="03F5A231" wp14:editId="03F5A232">
            <wp:extent cx="5759450" cy="1798320"/>
            <wp:effectExtent l="0" t="0" r="0" b="0"/>
            <wp:docPr id="1524008713" name="Picture 1524008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71349" name=""/>
                    <pic:cNvPicPr/>
                  </pic:nvPicPr>
                  <pic:blipFill>
                    <a:blip r:embed="rId15"/>
                    <a:stretch>
                      <a:fillRect/>
                    </a:stretch>
                  </pic:blipFill>
                  <pic:spPr>
                    <a:xfrm>
                      <a:off x="0" y="0"/>
                      <a:ext cx="5759450" cy="1798320"/>
                    </a:xfrm>
                    <a:prstGeom prst="rect">
                      <a:avLst/>
                    </a:prstGeom>
                  </pic:spPr>
                </pic:pic>
              </a:graphicData>
            </a:graphic>
          </wp:inline>
        </w:drawing>
      </w:r>
      <w:r w:rsidR="002D2750" w:rsidRPr="002856EB">
        <w:br w:type="page"/>
      </w:r>
    </w:p>
    <w:p w14:paraId="03F59B5E" w14:textId="77777777" w:rsidR="001C0D1C" w:rsidRPr="00AD1731" w:rsidRDefault="00EB38E1" w:rsidP="00FD2341">
      <w:pPr>
        <w:pStyle w:val="TOCHeading"/>
        <w:spacing w:after="360"/>
      </w:pPr>
      <w:r w:rsidRPr="00AD1731">
        <w:lastRenderedPageBreak/>
        <w:t>Contents</w:t>
      </w:r>
    </w:p>
    <w:p w14:paraId="560E13DB" w14:textId="45251BCD" w:rsidR="00830E46" w:rsidRDefault="00EB38E1">
      <w:pPr>
        <w:pStyle w:val="TOC1"/>
        <w:rPr>
          <w:rFonts w:eastAsiaTheme="minorEastAsia"/>
          <w:b w:val="0"/>
          <w:kern w:val="2"/>
          <w:lang w:eastAsia="en-AU"/>
          <w14:ligatures w14:val="standardContextual"/>
        </w:rPr>
      </w:pPr>
      <w:r>
        <w:rPr>
          <w:lang w:val="en-US"/>
        </w:rPr>
        <w:fldChar w:fldCharType="begin"/>
      </w:r>
      <w:r>
        <w:rPr>
          <w:lang w:val="en-US"/>
        </w:rPr>
        <w:instrText xml:space="preserve"> TOC \h \z \u \t "Heading 2,1,Heading 3,2,Heading 4,3,TOA Heading,1,Subtitle,1" </w:instrText>
      </w:r>
      <w:r>
        <w:rPr>
          <w:lang w:val="en-US"/>
        </w:rPr>
        <w:fldChar w:fldCharType="separate"/>
      </w:r>
      <w:hyperlink w:anchor="_Toc141704547" w:history="1">
        <w:r w:rsidR="00830E46" w:rsidRPr="006A4B15">
          <w:rPr>
            <w:rStyle w:val="Hyperlink"/>
          </w:rPr>
          <w:t>1</w:t>
        </w:r>
        <w:r w:rsidR="00830E46">
          <w:rPr>
            <w:rFonts w:eastAsiaTheme="minorEastAsia"/>
            <w:b w:val="0"/>
            <w:kern w:val="2"/>
            <w:lang w:eastAsia="en-AU"/>
            <w14:ligatures w14:val="standardContextual"/>
          </w:rPr>
          <w:tab/>
        </w:r>
        <w:r w:rsidR="00830E46" w:rsidRPr="006A4B15">
          <w:rPr>
            <w:rStyle w:val="Hyperlink"/>
          </w:rPr>
          <w:t>Summary</w:t>
        </w:r>
        <w:r w:rsidR="00830E46">
          <w:rPr>
            <w:webHidden/>
          </w:rPr>
          <w:tab/>
        </w:r>
        <w:r w:rsidR="00830E46">
          <w:rPr>
            <w:webHidden/>
          </w:rPr>
          <w:fldChar w:fldCharType="begin"/>
        </w:r>
        <w:r w:rsidR="00830E46">
          <w:rPr>
            <w:webHidden/>
          </w:rPr>
          <w:instrText xml:space="preserve"> PAGEREF _Toc141704547 \h </w:instrText>
        </w:r>
        <w:r w:rsidR="00830E46">
          <w:rPr>
            <w:webHidden/>
          </w:rPr>
        </w:r>
        <w:r w:rsidR="00830E46">
          <w:rPr>
            <w:webHidden/>
          </w:rPr>
          <w:fldChar w:fldCharType="separate"/>
        </w:r>
        <w:r w:rsidR="0061517C">
          <w:rPr>
            <w:webHidden/>
          </w:rPr>
          <w:t>1</w:t>
        </w:r>
        <w:r w:rsidR="00830E46">
          <w:rPr>
            <w:webHidden/>
          </w:rPr>
          <w:fldChar w:fldCharType="end"/>
        </w:r>
      </w:hyperlink>
    </w:p>
    <w:p w14:paraId="751C98D7" w14:textId="73349FBF" w:rsidR="00830E46" w:rsidRDefault="00F9095E">
      <w:pPr>
        <w:pStyle w:val="TOC1"/>
        <w:rPr>
          <w:rFonts w:eastAsiaTheme="minorEastAsia"/>
          <w:b w:val="0"/>
          <w:kern w:val="2"/>
          <w:lang w:eastAsia="en-AU"/>
          <w14:ligatures w14:val="standardContextual"/>
        </w:rPr>
      </w:pPr>
      <w:hyperlink w:anchor="_Toc141704548" w:history="1">
        <w:r w:rsidR="00830E46" w:rsidRPr="006A4B15">
          <w:rPr>
            <w:rStyle w:val="Hyperlink"/>
          </w:rPr>
          <w:t>2</w:t>
        </w:r>
        <w:r w:rsidR="00830E46">
          <w:rPr>
            <w:rFonts w:eastAsiaTheme="minorEastAsia"/>
            <w:b w:val="0"/>
            <w:kern w:val="2"/>
            <w:lang w:eastAsia="en-AU"/>
            <w14:ligatures w14:val="standardContextual"/>
          </w:rPr>
          <w:tab/>
        </w:r>
        <w:r w:rsidR="00830E46" w:rsidRPr="006A4B15">
          <w:rPr>
            <w:rStyle w:val="Hyperlink"/>
          </w:rPr>
          <w:t>Introduction</w:t>
        </w:r>
        <w:r w:rsidR="00830E46">
          <w:rPr>
            <w:webHidden/>
          </w:rPr>
          <w:tab/>
        </w:r>
        <w:r w:rsidR="00830E46">
          <w:rPr>
            <w:webHidden/>
          </w:rPr>
          <w:fldChar w:fldCharType="begin"/>
        </w:r>
        <w:r w:rsidR="00830E46">
          <w:rPr>
            <w:webHidden/>
          </w:rPr>
          <w:instrText xml:space="preserve"> PAGEREF _Toc141704548 \h </w:instrText>
        </w:r>
        <w:r w:rsidR="00830E46">
          <w:rPr>
            <w:webHidden/>
          </w:rPr>
        </w:r>
        <w:r w:rsidR="00830E46">
          <w:rPr>
            <w:webHidden/>
          </w:rPr>
          <w:fldChar w:fldCharType="separate"/>
        </w:r>
        <w:r w:rsidR="0061517C">
          <w:rPr>
            <w:webHidden/>
          </w:rPr>
          <w:t>4</w:t>
        </w:r>
        <w:r w:rsidR="00830E46">
          <w:rPr>
            <w:webHidden/>
          </w:rPr>
          <w:fldChar w:fldCharType="end"/>
        </w:r>
      </w:hyperlink>
    </w:p>
    <w:p w14:paraId="6520599A" w14:textId="130F095F" w:rsidR="00830E46" w:rsidRDefault="00F9095E" w:rsidP="00830E46">
      <w:pPr>
        <w:pStyle w:val="TOC2"/>
        <w:tabs>
          <w:tab w:val="left" w:pos="851"/>
        </w:tabs>
        <w:rPr>
          <w:rFonts w:eastAsiaTheme="minorEastAsia"/>
          <w:lang w:eastAsia="en-AU"/>
        </w:rPr>
      </w:pPr>
      <w:hyperlink w:anchor="_Toc141704549" w:history="1">
        <w:r w:rsidR="00830E46" w:rsidRPr="006A4B15">
          <w:rPr>
            <w:rStyle w:val="Hyperlink"/>
          </w:rPr>
          <w:t>2.1</w:t>
        </w:r>
        <w:r w:rsidR="00830E46">
          <w:rPr>
            <w:rFonts w:eastAsiaTheme="minorEastAsia"/>
            <w:lang w:eastAsia="en-AU"/>
          </w:rPr>
          <w:tab/>
        </w:r>
        <w:r w:rsidR="00830E46" w:rsidRPr="006A4B15">
          <w:rPr>
            <w:rStyle w:val="Hyperlink"/>
          </w:rPr>
          <w:t>Water quality</w:t>
        </w:r>
        <w:r w:rsidR="00830E46">
          <w:rPr>
            <w:webHidden/>
          </w:rPr>
          <w:tab/>
        </w:r>
        <w:r w:rsidR="00830E46">
          <w:rPr>
            <w:webHidden/>
          </w:rPr>
          <w:fldChar w:fldCharType="begin"/>
        </w:r>
        <w:r w:rsidR="00830E46">
          <w:rPr>
            <w:webHidden/>
          </w:rPr>
          <w:instrText xml:space="preserve"> PAGEREF _Toc141704549 \h </w:instrText>
        </w:r>
        <w:r w:rsidR="00830E46">
          <w:rPr>
            <w:webHidden/>
          </w:rPr>
        </w:r>
        <w:r w:rsidR="00830E46">
          <w:rPr>
            <w:webHidden/>
          </w:rPr>
          <w:fldChar w:fldCharType="separate"/>
        </w:r>
        <w:r w:rsidR="0061517C">
          <w:rPr>
            <w:webHidden/>
          </w:rPr>
          <w:t>4</w:t>
        </w:r>
        <w:r w:rsidR="00830E46">
          <w:rPr>
            <w:webHidden/>
          </w:rPr>
          <w:fldChar w:fldCharType="end"/>
        </w:r>
      </w:hyperlink>
    </w:p>
    <w:p w14:paraId="251A5F8F" w14:textId="3A954355" w:rsidR="00830E46" w:rsidRDefault="00F9095E" w:rsidP="00830E46">
      <w:pPr>
        <w:pStyle w:val="TOC2"/>
        <w:tabs>
          <w:tab w:val="left" w:pos="851"/>
        </w:tabs>
        <w:rPr>
          <w:rFonts w:eastAsiaTheme="minorEastAsia"/>
          <w:lang w:eastAsia="en-AU"/>
        </w:rPr>
      </w:pPr>
      <w:hyperlink w:anchor="_Toc141704550" w:history="1">
        <w:r w:rsidR="00830E46" w:rsidRPr="006A4B15">
          <w:rPr>
            <w:rStyle w:val="Hyperlink"/>
            <w:lang w:eastAsia="ja-JP"/>
          </w:rPr>
          <w:t>2.2</w:t>
        </w:r>
        <w:r w:rsidR="00830E46">
          <w:rPr>
            <w:rFonts w:eastAsiaTheme="minorEastAsia"/>
            <w:lang w:eastAsia="en-AU"/>
          </w:rPr>
          <w:tab/>
        </w:r>
        <w:r w:rsidR="00830E46" w:rsidRPr="006A4B15">
          <w:rPr>
            <w:rStyle w:val="Hyperlink"/>
            <w:lang w:eastAsia="ja-JP"/>
          </w:rPr>
          <w:t>Water quantity</w:t>
        </w:r>
        <w:r w:rsidR="00830E46">
          <w:rPr>
            <w:webHidden/>
          </w:rPr>
          <w:tab/>
        </w:r>
        <w:r w:rsidR="00830E46">
          <w:rPr>
            <w:webHidden/>
          </w:rPr>
          <w:fldChar w:fldCharType="begin"/>
        </w:r>
        <w:r w:rsidR="00830E46">
          <w:rPr>
            <w:webHidden/>
          </w:rPr>
          <w:instrText xml:space="preserve"> PAGEREF _Toc141704550 \h </w:instrText>
        </w:r>
        <w:r w:rsidR="00830E46">
          <w:rPr>
            <w:webHidden/>
          </w:rPr>
        </w:r>
        <w:r w:rsidR="00830E46">
          <w:rPr>
            <w:webHidden/>
          </w:rPr>
          <w:fldChar w:fldCharType="separate"/>
        </w:r>
        <w:r w:rsidR="0061517C">
          <w:rPr>
            <w:webHidden/>
          </w:rPr>
          <w:t>4</w:t>
        </w:r>
        <w:r w:rsidR="00830E46">
          <w:rPr>
            <w:webHidden/>
          </w:rPr>
          <w:fldChar w:fldCharType="end"/>
        </w:r>
      </w:hyperlink>
    </w:p>
    <w:p w14:paraId="7FD0B907" w14:textId="6EF8D6A9" w:rsidR="00830E46" w:rsidRDefault="00F9095E" w:rsidP="00830E46">
      <w:pPr>
        <w:pStyle w:val="TOC2"/>
        <w:tabs>
          <w:tab w:val="left" w:pos="851"/>
        </w:tabs>
        <w:rPr>
          <w:rFonts w:eastAsiaTheme="minorEastAsia"/>
          <w:lang w:eastAsia="en-AU"/>
        </w:rPr>
      </w:pPr>
      <w:hyperlink w:anchor="_Toc141704551" w:history="1">
        <w:r w:rsidR="00830E46" w:rsidRPr="006A4B15">
          <w:rPr>
            <w:rStyle w:val="Hyperlink"/>
          </w:rPr>
          <w:t>2.3</w:t>
        </w:r>
        <w:r w:rsidR="00830E46">
          <w:rPr>
            <w:rFonts w:eastAsiaTheme="minorEastAsia"/>
            <w:lang w:eastAsia="en-AU"/>
          </w:rPr>
          <w:tab/>
        </w:r>
        <w:r w:rsidR="00830E46" w:rsidRPr="006A4B15">
          <w:rPr>
            <w:rStyle w:val="Hyperlink"/>
          </w:rPr>
          <w:t>Water assessment</w:t>
        </w:r>
        <w:r w:rsidR="00830E46">
          <w:rPr>
            <w:webHidden/>
          </w:rPr>
          <w:tab/>
        </w:r>
        <w:r w:rsidR="00830E46">
          <w:rPr>
            <w:webHidden/>
          </w:rPr>
          <w:fldChar w:fldCharType="begin"/>
        </w:r>
        <w:r w:rsidR="00830E46">
          <w:rPr>
            <w:webHidden/>
          </w:rPr>
          <w:instrText xml:space="preserve"> PAGEREF _Toc141704551 \h </w:instrText>
        </w:r>
        <w:r w:rsidR="00830E46">
          <w:rPr>
            <w:webHidden/>
          </w:rPr>
        </w:r>
        <w:r w:rsidR="00830E46">
          <w:rPr>
            <w:webHidden/>
          </w:rPr>
          <w:fldChar w:fldCharType="separate"/>
        </w:r>
        <w:r w:rsidR="0061517C">
          <w:rPr>
            <w:webHidden/>
          </w:rPr>
          <w:t>5</w:t>
        </w:r>
        <w:r w:rsidR="00830E46">
          <w:rPr>
            <w:webHidden/>
          </w:rPr>
          <w:fldChar w:fldCharType="end"/>
        </w:r>
      </w:hyperlink>
    </w:p>
    <w:p w14:paraId="055737B5" w14:textId="25B23B18" w:rsidR="00830E46" w:rsidRDefault="00F9095E">
      <w:pPr>
        <w:pStyle w:val="TOC1"/>
        <w:rPr>
          <w:rFonts w:eastAsiaTheme="minorEastAsia"/>
          <w:b w:val="0"/>
          <w:kern w:val="2"/>
          <w:lang w:eastAsia="en-AU"/>
          <w14:ligatures w14:val="standardContextual"/>
        </w:rPr>
      </w:pPr>
      <w:hyperlink w:anchor="_Toc141704552" w:history="1">
        <w:r w:rsidR="00830E46" w:rsidRPr="006A4B15">
          <w:rPr>
            <w:rStyle w:val="Hyperlink"/>
          </w:rPr>
          <w:t>3</w:t>
        </w:r>
        <w:r w:rsidR="00830E46">
          <w:rPr>
            <w:rFonts w:eastAsiaTheme="minorEastAsia"/>
            <w:b w:val="0"/>
            <w:kern w:val="2"/>
            <w:lang w:eastAsia="en-AU"/>
            <w14:ligatures w14:val="standardContextual"/>
          </w:rPr>
          <w:tab/>
        </w:r>
        <w:r w:rsidR="00830E46" w:rsidRPr="006A4B15">
          <w:rPr>
            <w:rStyle w:val="Hyperlink"/>
          </w:rPr>
          <w:t>Guideline values</w:t>
        </w:r>
        <w:r w:rsidR="00830E46">
          <w:rPr>
            <w:webHidden/>
          </w:rPr>
          <w:tab/>
        </w:r>
        <w:r w:rsidR="00830E46">
          <w:rPr>
            <w:webHidden/>
          </w:rPr>
          <w:fldChar w:fldCharType="begin"/>
        </w:r>
        <w:r w:rsidR="00830E46">
          <w:rPr>
            <w:webHidden/>
          </w:rPr>
          <w:instrText xml:space="preserve"> PAGEREF _Toc141704552 \h </w:instrText>
        </w:r>
        <w:r w:rsidR="00830E46">
          <w:rPr>
            <w:webHidden/>
          </w:rPr>
        </w:r>
        <w:r w:rsidR="00830E46">
          <w:rPr>
            <w:webHidden/>
          </w:rPr>
          <w:fldChar w:fldCharType="separate"/>
        </w:r>
        <w:r w:rsidR="0061517C">
          <w:rPr>
            <w:webHidden/>
          </w:rPr>
          <w:t>7</w:t>
        </w:r>
        <w:r w:rsidR="00830E46">
          <w:rPr>
            <w:webHidden/>
          </w:rPr>
          <w:fldChar w:fldCharType="end"/>
        </w:r>
      </w:hyperlink>
    </w:p>
    <w:p w14:paraId="7E00DF76" w14:textId="0F87D62D" w:rsidR="00830E46" w:rsidRDefault="00F9095E" w:rsidP="00830E46">
      <w:pPr>
        <w:pStyle w:val="TOC2"/>
        <w:tabs>
          <w:tab w:val="left" w:pos="851"/>
        </w:tabs>
        <w:rPr>
          <w:rFonts w:eastAsiaTheme="minorEastAsia"/>
          <w:lang w:eastAsia="en-AU"/>
        </w:rPr>
      </w:pPr>
      <w:hyperlink w:anchor="_Toc141704553" w:history="1">
        <w:r w:rsidR="00830E46" w:rsidRPr="006A4B15">
          <w:rPr>
            <w:rStyle w:val="Hyperlink"/>
          </w:rPr>
          <w:t>3.1</w:t>
        </w:r>
        <w:r w:rsidR="00830E46">
          <w:rPr>
            <w:rFonts w:eastAsiaTheme="minorEastAsia"/>
            <w:lang w:eastAsia="en-AU"/>
          </w:rPr>
          <w:tab/>
        </w:r>
        <w:r w:rsidR="00830E46" w:rsidRPr="006A4B15">
          <w:rPr>
            <w:rStyle w:val="Hyperlink"/>
          </w:rPr>
          <w:t>Biological parameters</w:t>
        </w:r>
        <w:r w:rsidR="00830E46">
          <w:rPr>
            <w:webHidden/>
          </w:rPr>
          <w:tab/>
        </w:r>
        <w:r w:rsidR="00830E46">
          <w:rPr>
            <w:webHidden/>
          </w:rPr>
          <w:fldChar w:fldCharType="begin"/>
        </w:r>
        <w:r w:rsidR="00830E46">
          <w:rPr>
            <w:webHidden/>
          </w:rPr>
          <w:instrText xml:space="preserve"> PAGEREF _Toc141704553 \h </w:instrText>
        </w:r>
        <w:r w:rsidR="00830E46">
          <w:rPr>
            <w:webHidden/>
          </w:rPr>
        </w:r>
        <w:r w:rsidR="00830E46">
          <w:rPr>
            <w:webHidden/>
          </w:rPr>
          <w:fldChar w:fldCharType="separate"/>
        </w:r>
        <w:r w:rsidR="0061517C">
          <w:rPr>
            <w:webHidden/>
          </w:rPr>
          <w:t>8</w:t>
        </w:r>
        <w:r w:rsidR="00830E46">
          <w:rPr>
            <w:webHidden/>
          </w:rPr>
          <w:fldChar w:fldCharType="end"/>
        </w:r>
      </w:hyperlink>
    </w:p>
    <w:p w14:paraId="0289A15D" w14:textId="7773F129" w:rsidR="00830E46" w:rsidRDefault="00F9095E">
      <w:pPr>
        <w:pStyle w:val="TOC3"/>
        <w:tabs>
          <w:tab w:val="left" w:pos="1540"/>
        </w:tabs>
        <w:rPr>
          <w:rFonts w:eastAsiaTheme="minorEastAsia"/>
          <w:lang w:eastAsia="en-AU"/>
        </w:rPr>
      </w:pPr>
      <w:hyperlink w:anchor="_Toc141704554" w:history="1">
        <w:r w:rsidR="00830E46" w:rsidRPr="006A4B15">
          <w:rPr>
            <w:rStyle w:val="Hyperlink"/>
          </w:rPr>
          <w:t>3.1.1</w:t>
        </w:r>
        <w:r w:rsidR="00830E46">
          <w:rPr>
            <w:rFonts w:eastAsiaTheme="minorEastAsia"/>
            <w:lang w:eastAsia="en-AU"/>
          </w:rPr>
          <w:tab/>
        </w:r>
        <w:r w:rsidR="00830E46" w:rsidRPr="006A4B15">
          <w:rPr>
            <w:rStyle w:val="Hyperlink"/>
          </w:rPr>
          <w:t>Cyanobacteria (blue–green algae)</w:t>
        </w:r>
        <w:r w:rsidR="00830E46">
          <w:rPr>
            <w:webHidden/>
          </w:rPr>
          <w:tab/>
        </w:r>
        <w:r w:rsidR="00830E46">
          <w:rPr>
            <w:webHidden/>
          </w:rPr>
          <w:fldChar w:fldCharType="begin"/>
        </w:r>
        <w:r w:rsidR="00830E46">
          <w:rPr>
            <w:webHidden/>
          </w:rPr>
          <w:instrText xml:space="preserve"> PAGEREF _Toc141704554 \h </w:instrText>
        </w:r>
        <w:r w:rsidR="00830E46">
          <w:rPr>
            <w:webHidden/>
          </w:rPr>
        </w:r>
        <w:r w:rsidR="00830E46">
          <w:rPr>
            <w:webHidden/>
          </w:rPr>
          <w:fldChar w:fldCharType="separate"/>
        </w:r>
        <w:r w:rsidR="0061517C">
          <w:rPr>
            <w:webHidden/>
          </w:rPr>
          <w:t>8</w:t>
        </w:r>
        <w:r w:rsidR="00830E46">
          <w:rPr>
            <w:webHidden/>
          </w:rPr>
          <w:fldChar w:fldCharType="end"/>
        </w:r>
      </w:hyperlink>
    </w:p>
    <w:p w14:paraId="75002B0C" w14:textId="777E7D2C" w:rsidR="00830E46" w:rsidRDefault="00F9095E">
      <w:pPr>
        <w:pStyle w:val="TOC3"/>
        <w:tabs>
          <w:tab w:val="left" w:pos="1540"/>
        </w:tabs>
        <w:rPr>
          <w:rFonts w:eastAsiaTheme="minorEastAsia"/>
          <w:lang w:eastAsia="en-AU"/>
        </w:rPr>
      </w:pPr>
      <w:hyperlink w:anchor="_Toc141704555" w:history="1">
        <w:r w:rsidR="00830E46" w:rsidRPr="006A4B15">
          <w:rPr>
            <w:rStyle w:val="Hyperlink"/>
            <w:lang w:eastAsia="ja-JP"/>
          </w:rPr>
          <w:t>3.1.2</w:t>
        </w:r>
        <w:r w:rsidR="00830E46">
          <w:rPr>
            <w:rFonts w:eastAsiaTheme="minorEastAsia"/>
            <w:lang w:eastAsia="en-AU"/>
          </w:rPr>
          <w:tab/>
        </w:r>
        <w:r w:rsidR="00830E46" w:rsidRPr="006A4B15">
          <w:rPr>
            <w:rStyle w:val="Hyperlink"/>
            <w:lang w:eastAsia="ja-JP"/>
          </w:rPr>
          <w:t>Pathogens and parasites</w:t>
        </w:r>
        <w:r w:rsidR="00830E46">
          <w:rPr>
            <w:webHidden/>
          </w:rPr>
          <w:tab/>
        </w:r>
        <w:r w:rsidR="00830E46">
          <w:rPr>
            <w:webHidden/>
          </w:rPr>
          <w:fldChar w:fldCharType="begin"/>
        </w:r>
        <w:r w:rsidR="00830E46">
          <w:rPr>
            <w:webHidden/>
          </w:rPr>
          <w:instrText xml:space="preserve"> PAGEREF _Toc141704555 \h </w:instrText>
        </w:r>
        <w:r w:rsidR="00830E46">
          <w:rPr>
            <w:webHidden/>
          </w:rPr>
        </w:r>
        <w:r w:rsidR="00830E46">
          <w:rPr>
            <w:webHidden/>
          </w:rPr>
          <w:fldChar w:fldCharType="separate"/>
        </w:r>
        <w:r w:rsidR="0061517C">
          <w:rPr>
            <w:webHidden/>
          </w:rPr>
          <w:t>14</w:t>
        </w:r>
        <w:r w:rsidR="00830E46">
          <w:rPr>
            <w:webHidden/>
          </w:rPr>
          <w:fldChar w:fldCharType="end"/>
        </w:r>
      </w:hyperlink>
    </w:p>
    <w:p w14:paraId="22806965" w14:textId="50500C49" w:rsidR="00830E46" w:rsidRDefault="00F9095E" w:rsidP="00830E46">
      <w:pPr>
        <w:pStyle w:val="TOC2"/>
        <w:tabs>
          <w:tab w:val="left" w:pos="851"/>
        </w:tabs>
        <w:rPr>
          <w:rFonts w:eastAsiaTheme="minorEastAsia"/>
          <w:lang w:eastAsia="en-AU"/>
        </w:rPr>
      </w:pPr>
      <w:hyperlink w:anchor="_Toc141704556" w:history="1">
        <w:r w:rsidR="00830E46" w:rsidRPr="006A4B15">
          <w:rPr>
            <w:rStyle w:val="Hyperlink"/>
          </w:rPr>
          <w:t>3.2</w:t>
        </w:r>
        <w:r w:rsidR="00830E46">
          <w:rPr>
            <w:rFonts w:eastAsiaTheme="minorEastAsia"/>
            <w:lang w:eastAsia="en-AU"/>
          </w:rPr>
          <w:tab/>
        </w:r>
        <w:r w:rsidR="00830E46" w:rsidRPr="006A4B15">
          <w:rPr>
            <w:rStyle w:val="Hyperlink"/>
          </w:rPr>
          <w:t>Main ions of concern</w:t>
        </w:r>
        <w:r w:rsidR="00830E46">
          <w:rPr>
            <w:webHidden/>
          </w:rPr>
          <w:tab/>
        </w:r>
        <w:r w:rsidR="00830E46">
          <w:rPr>
            <w:webHidden/>
          </w:rPr>
          <w:fldChar w:fldCharType="begin"/>
        </w:r>
        <w:r w:rsidR="00830E46">
          <w:rPr>
            <w:webHidden/>
          </w:rPr>
          <w:instrText xml:space="preserve"> PAGEREF _Toc141704556 \h </w:instrText>
        </w:r>
        <w:r w:rsidR="00830E46">
          <w:rPr>
            <w:webHidden/>
          </w:rPr>
        </w:r>
        <w:r w:rsidR="00830E46">
          <w:rPr>
            <w:webHidden/>
          </w:rPr>
          <w:fldChar w:fldCharType="separate"/>
        </w:r>
        <w:r w:rsidR="0061517C">
          <w:rPr>
            <w:webHidden/>
          </w:rPr>
          <w:t>17</w:t>
        </w:r>
        <w:r w:rsidR="00830E46">
          <w:rPr>
            <w:webHidden/>
          </w:rPr>
          <w:fldChar w:fldCharType="end"/>
        </w:r>
      </w:hyperlink>
    </w:p>
    <w:p w14:paraId="3357FFD0" w14:textId="18677277" w:rsidR="00830E46" w:rsidRDefault="00F9095E">
      <w:pPr>
        <w:pStyle w:val="TOC3"/>
        <w:tabs>
          <w:tab w:val="left" w:pos="1540"/>
        </w:tabs>
        <w:rPr>
          <w:rFonts w:eastAsiaTheme="minorEastAsia"/>
          <w:lang w:eastAsia="en-AU"/>
        </w:rPr>
      </w:pPr>
      <w:hyperlink w:anchor="_Toc141704557" w:history="1">
        <w:r w:rsidR="00830E46" w:rsidRPr="006A4B15">
          <w:rPr>
            <w:rStyle w:val="Hyperlink"/>
            <w:lang w:eastAsia="ja-JP"/>
          </w:rPr>
          <w:t>3.2.1</w:t>
        </w:r>
        <w:r w:rsidR="00830E46">
          <w:rPr>
            <w:rFonts w:eastAsiaTheme="minorEastAsia"/>
            <w:lang w:eastAsia="en-AU"/>
          </w:rPr>
          <w:tab/>
        </w:r>
        <w:r w:rsidR="00830E46" w:rsidRPr="006A4B15">
          <w:rPr>
            <w:rStyle w:val="Hyperlink"/>
            <w:lang w:eastAsia="ja-JP"/>
          </w:rPr>
          <w:t>Calcium</w:t>
        </w:r>
        <w:r w:rsidR="00830E46">
          <w:rPr>
            <w:webHidden/>
          </w:rPr>
          <w:tab/>
        </w:r>
        <w:r w:rsidR="00830E46">
          <w:rPr>
            <w:webHidden/>
          </w:rPr>
          <w:fldChar w:fldCharType="begin"/>
        </w:r>
        <w:r w:rsidR="00830E46">
          <w:rPr>
            <w:webHidden/>
          </w:rPr>
          <w:instrText xml:space="preserve"> PAGEREF _Toc141704557 \h </w:instrText>
        </w:r>
        <w:r w:rsidR="00830E46">
          <w:rPr>
            <w:webHidden/>
          </w:rPr>
        </w:r>
        <w:r w:rsidR="00830E46">
          <w:rPr>
            <w:webHidden/>
          </w:rPr>
          <w:fldChar w:fldCharType="separate"/>
        </w:r>
        <w:r w:rsidR="0061517C">
          <w:rPr>
            <w:webHidden/>
          </w:rPr>
          <w:t>17</w:t>
        </w:r>
        <w:r w:rsidR="00830E46">
          <w:rPr>
            <w:webHidden/>
          </w:rPr>
          <w:fldChar w:fldCharType="end"/>
        </w:r>
      </w:hyperlink>
    </w:p>
    <w:p w14:paraId="51FDAA46" w14:textId="14E8AEE2" w:rsidR="00830E46" w:rsidRDefault="00F9095E">
      <w:pPr>
        <w:pStyle w:val="TOC3"/>
        <w:tabs>
          <w:tab w:val="left" w:pos="1540"/>
        </w:tabs>
        <w:rPr>
          <w:rFonts w:eastAsiaTheme="minorEastAsia"/>
          <w:lang w:eastAsia="en-AU"/>
        </w:rPr>
      </w:pPr>
      <w:hyperlink w:anchor="_Toc141704558" w:history="1">
        <w:r w:rsidR="00830E46" w:rsidRPr="006A4B15">
          <w:rPr>
            <w:rStyle w:val="Hyperlink"/>
            <w:lang w:eastAsia="ja-JP"/>
          </w:rPr>
          <w:t>3.2.2</w:t>
        </w:r>
        <w:r w:rsidR="00830E46">
          <w:rPr>
            <w:rFonts w:eastAsiaTheme="minorEastAsia"/>
            <w:lang w:eastAsia="en-AU"/>
          </w:rPr>
          <w:tab/>
        </w:r>
        <w:r w:rsidR="00830E46" w:rsidRPr="006A4B15">
          <w:rPr>
            <w:rStyle w:val="Hyperlink"/>
            <w:lang w:eastAsia="ja-JP"/>
          </w:rPr>
          <w:t>Magnesium</w:t>
        </w:r>
        <w:r w:rsidR="00830E46">
          <w:rPr>
            <w:webHidden/>
          </w:rPr>
          <w:tab/>
        </w:r>
        <w:r w:rsidR="00830E46">
          <w:rPr>
            <w:webHidden/>
          </w:rPr>
          <w:fldChar w:fldCharType="begin"/>
        </w:r>
        <w:r w:rsidR="00830E46">
          <w:rPr>
            <w:webHidden/>
          </w:rPr>
          <w:instrText xml:space="preserve"> PAGEREF _Toc141704558 \h </w:instrText>
        </w:r>
        <w:r w:rsidR="00830E46">
          <w:rPr>
            <w:webHidden/>
          </w:rPr>
        </w:r>
        <w:r w:rsidR="00830E46">
          <w:rPr>
            <w:webHidden/>
          </w:rPr>
          <w:fldChar w:fldCharType="separate"/>
        </w:r>
        <w:r w:rsidR="0061517C">
          <w:rPr>
            <w:webHidden/>
          </w:rPr>
          <w:t>18</w:t>
        </w:r>
        <w:r w:rsidR="00830E46">
          <w:rPr>
            <w:webHidden/>
          </w:rPr>
          <w:fldChar w:fldCharType="end"/>
        </w:r>
      </w:hyperlink>
    </w:p>
    <w:p w14:paraId="0B7A25DC" w14:textId="6CFEC4CD" w:rsidR="00830E46" w:rsidRDefault="00F9095E">
      <w:pPr>
        <w:pStyle w:val="TOC3"/>
        <w:tabs>
          <w:tab w:val="left" w:pos="1540"/>
        </w:tabs>
        <w:rPr>
          <w:rFonts w:eastAsiaTheme="minorEastAsia"/>
          <w:lang w:eastAsia="en-AU"/>
        </w:rPr>
      </w:pPr>
      <w:hyperlink w:anchor="_Toc141704559" w:history="1">
        <w:r w:rsidR="00830E46" w:rsidRPr="006A4B15">
          <w:rPr>
            <w:rStyle w:val="Hyperlink"/>
            <w:lang w:eastAsia="ja-JP"/>
          </w:rPr>
          <w:t>3.2.3</w:t>
        </w:r>
        <w:r w:rsidR="00830E46">
          <w:rPr>
            <w:rFonts w:eastAsiaTheme="minorEastAsia"/>
            <w:lang w:eastAsia="en-AU"/>
          </w:rPr>
          <w:tab/>
        </w:r>
        <w:r w:rsidR="00830E46" w:rsidRPr="006A4B15">
          <w:rPr>
            <w:rStyle w:val="Hyperlink"/>
            <w:lang w:eastAsia="ja-JP"/>
          </w:rPr>
          <w:t>Nitrate and nitrite</w:t>
        </w:r>
        <w:r w:rsidR="00830E46">
          <w:rPr>
            <w:webHidden/>
          </w:rPr>
          <w:tab/>
        </w:r>
        <w:r w:rsidR="00830E46">
          <w:rPr>
            <w:webHidden/>
          </w:rPr>
          <w:fldChar w:fldCharType="begin"/>
        </w:r>
        <w:r w:rsidR="00830E46">
          <w:rPr>
            <w:webHidden/>
          </w:rPr>
          <w:instrText xml:space="preserve"> PAGEREF _Toc141704559 \h </w:instrText>
        </w:r>
        <w:r w:rsidR="00830E46">
          <w:rPr>
            <w:webHidden/>
          </w:rPr>
        </w:r>
        <w:r w:rsidR="00830E46">
          <w:rPr>
            <w:webHidden/>
          </w:rPr>
          <w:fldChar w:fldCharType="separate"/>
        </w:r>
        <w:r w:rsidR="0061517C">
          <w:rPr>
            <w:webHidden/>
          </w:rPr>
          <w:t>19</w:t>
        </w:r>
        <w:r w:rsidR="00830E46">
          <w:rPr>
            <w:webHidden/>
          </w:rPr>
          <w:fldChar w:fldCharType="end"/>
        </w:r>
      </w:hyperlink>
    </w:p>
    <w:p w14:paraId="680B2802" w14:textId="5C84EC7F" w:rsidR="00830E46" w:rsidRDefault="00F9095E">
      <w:pPr>
        <w:pStyle w:val="TOC3"/>
        <w:tabs>
          <w:tab w:val="left" w:pos="1540"/>
        </w:tabs>
        <w:rPr>
          <w:rFonts w:eastAsiaTheme="minorEastAsia"/>
          <w:lang w:eastAsia="en-AU"/>
        </w:rPr>
      </w:pPr>
      <w:hyperlink w:anchor="_Toc141704560" w:history="1">
        <w:r w:rsidR="00830E46" w:rsidRPr="006A4B15">
          <w:rPr>
            <w:rStyle w:val="Hyperlink"/>
            <w:lang w:eastAsia="ja-JP"/>
          </w:rPr>
          <w:t>3.2.4</w:t>
        </w:r>
        <w:r w:rsidR="00830E46">
          <w:rPr>
            <w:rFonts w:eastAsiaTheme="minorEastAsia"/>
            <w:lang w:eastAsia="en-AU"/>
          </w:rPr>
          <w:tab/>
        </w:r>
        <w:r w:rsidR="00830E46" w:rsidRPr="006A4B15">
          <w:rPr>
            <w:rStyle w:val="Hyperlink"/>
            <w:lang w:eastAsia="ja-JP"/>
          </w:rPr>
          <w:t>Sulfate</w:t>
        </w:r>
        <w:r w:rsidR="00830E46">
          <w:rPr>
            <w:webHidden/>
          </w:rPr>
          <w:tab/>
        </w:r>
        <w:r w:rsidR="00830E46">
          <w:rPr>
            <w:webHidden/>
          </w:rPr>
          <w:fldChar w:fldCharType="begin"/>
        </w:r>
        <w:r w:rsidR="00830E46">
          <w:rPr>
            <w:webHidden/>
          </w:rPr>
          <w:instrText xml:space="preserve"> PAGEREF _Toc141704560 \h </w:instrText>
        </w:r>
        <w:r w:rsidR="00830E46">
          <w:rPr>
            <w:webHidden/>
          </w:rPr>
        </w:r>
        <w:r w:rsidR="00830E46">
          <w:rPr>
            <w:webHidden/>
          </w:rPr>
          <w:fldChar w:fldCharType="separate"/>
        </w:r>
        <w:r w:rsidR="0061517C">
          <w:rPr>
            <w:webHidden/>
          </w:rPr>
          <w:t>22</w:t>
        </w:r>
        <w:r w:rsidR="00830E46">
          <w:rPr>
            <w:webHidden/>
          </w:rPr>
          <w:fldChar w:fldCharType="end"/>
        </w:r>
      </w:hyperlink>
    </w:p>
    <w:p w14:paraId="0F0AD2AF" w14:textId="0B5076CC" w:rsidR="00830E46" w:rsidRDefault="00F9095E">
      <w:pPr>
        <w:pStyle w:val="TOC3"/>
        <w:tabs>
          <w:tab w:val="left" w:pos="1540"/>
        </w:tabs>
        <w:rPr>
          <w:rFonts w:eastAsiaTheme="minorEastAsia"/>
          <w:lang w:eastAsia="en-AU"/>
        </w:rPr>
      </w:pPr>
      <w:hyperlink w:anchor="_Toc141704561" w:history="1">
        <w:r w:rsidR="00830E46" w:rsidRPr="006A4B15">
          <w:rPr>
            <w:rStyle w:val="Hyperlink"/>
            <w:lang w:eastAsia="ja-JP"/>
          </w:rPr>
          <w:t>3.2.5</w:t>
        </w:r>
        <w:r w:rsidR="00830E46">
          <w:rPr>
            <w:rFonts w:eastAsiaTheme="minorEastAsia"/>
            <w:lang w:eastAsia="en-AU"/>
          </w:rPr>
          <w:tab/>
        </w:r>
        <w:r w:rsidR="00830E46" w:rsidRPr="006A4B15">
          <w:rPr>
            <w:rStyle w:val="Hyperlink"/>
            <w:lang w:eastAsia="ja-JP"/>
          </w:rPr>
          <w:t>Total dissolved solids (salinity)</w:t>
        </w:r>
        <w:r w:rsidR="00830E46">
          <w:rPr>
            <w:webHidden/>
          </w:rPr>
          <w:tab/>
        </w:r>
        <w:r w:rsidR="00830E46">
          <w:rPr>
            <w:webHidden/>
          </w:rPr>
          <w:fldChar w:fldCharType="begin"/>
        </w:r>
        <w:r w:rsidR="00830E46">
          <w:rPr>
            <w:webHidden/>
          </w:rPr>
          <w:instrText xml:space="preserve"> PAGEREF _Toc141704561 \h </w:instrText>
        </w:r>
        <w:r w:rsidR="00830E46">
          <w:rPr>
            <w:webHidden/>
          </w:rPr>
        </w:r>
        <w:r w:rsidR="00830E46">
          <w:rPr>
            <w:webHidden/>
          </w:rPr>
          <w:fldChar w:fldCharType="separate"/>
        </w:r>
        <w:r w:rsidR="0061517C">
          <w:rPr>
            <w:webHidden/>
          </w:rPr>
          <w:t>24</w:t>
        </w:r>
        <w:r w:rsidR="00830E46">
          <w:rPr>
            <w:webHidden/>
          </w:rPr>
          <w:fldChar w:fldCharType="end"/>
        </w:r>
      </w:hyperlink>
    </w:p>
    <w:p w14:paraId="2D414404" w14:textId="3BA8A90A" w:rsidR="00830E46" w:rsidRDefault="00F9095E" w:rsidP="00830E46">
      <w:pPr>
        <w:pStyle w:val="TOC2"/>
        <w:tabs>
          <w:tab w:val="left" w:pos="851"/>
        </w:tabs>
        <w:rPr>
          <w:rFonts w:eastAsiaTheme="minorEastAsia"/>
          <w:lang w:eastAsia="en-AU"/>
        </w:rPr>
      </w:pPr>
      <w:hyperlink w:anchor="_Toc141704562" w:history="1">
        <w:r w:rsidR="00830E46" w:rsidRPr="006A4B15">
          <w:rPr>
            <w:rStyle w:val="Hyperlink"/>
          </w:rPr>
          <w:t>3.3</w:t>
        </w:r>
        <w:r w:rsidR="00830E46">
          <w:rPr>
            <w:rFonts w:eastAsiaTheme="minorEastAsia"/>
            <w:lang w:eastAsia="en-AU"/>
          </w:rPr>
          <w:tab/>
        </w:r>
        <w:r w:rsidR="00830E46" w:rsidRPr="006A4B15">
          <w:rPr>
            <w:rStyle w:val="Hyperlink"/>
          </w:rPr>
          <w:t>Metals and metalloids</w:t>
        </w:r>
        <w:r w:rsidR="00830E46">
          <w:rPr>
            <w:webHidden/>
          </w:rPr>
          <w:tab/>
        </w:r>
        <w:r w:rsidR="00830E46">
          <w:rPr>
            <w:webHidden/>
          </w:rPr>
          <w:fldChar w:fldCharType="begin"/>
        </w:r>
        <w:r w:rsidR="00830E46">
          <w:rPr>
            <w:webHidden/>
          </w:rPr>
          <w:instrText xml:space="preserve"> PAGEREF _Toc141704562 \h </w:instrText>
        </w:r>
        <w:r w:rsidR="00830E46">
          <w:rPr>
            <w:webHidden/>
          </w:rPr>
        </w:r>
        <w:r w:rsidR="00830E46">
          <w:rPr>
            <w:webHidden/>
          </w:rPr>
          <w:fldChar w:fldCharType="separate"/>
        </w:r>
        <w:r w:rsidR="0061517C">
          <w:rPr>
            <w:webHidden/>
          </w:rPr>
          <w:t>27</w:t>
        </w:r>
        <w:r w:rsidR="00830E46">
          <w:rPr>
            <w:webHidden/>
          </w:rPr>
          <w:fldChar w:fldCharType="end"/>
        </w:r>
      </w:hyperlink>
    </w:p>
    <w:p w14:paraId="3BDB0906" w14:textId="0566667E" w:rsidR="00830E46" w:rsidRDefault="00F9095E">
      <w:pPr>
        <w:pStyle w:val="TOC3"/>
        <w:tabs>
          <w:tab w:val="left" w:pos="1540"/>
        </w:tabs>
        <w:rPr>
          <w:rFonts w:eastAsiaTheme="minorEastAsia"/>
          <w:lang w:eastAsia="en-AU"/>
        </w:rPr>
      </w:pPr>
      <w:hyperlink w:anchor="_Toc141704563" w:history="1">
        <w:r w:rsidR="00830E46" w:rsidRPr="006A4B15">
          <w:rPr>
            <w:rStyle w:val="Hyperlink"/>
            <w:lang w:eastAsia="ja-JP"/>
          </w:rPr>
          <w:t>3.3.1</w:t>
        </w:r>
        <w:r w:rsidR="00830E46">
          <w:rPr>
            <w:rFonts w:eastAsiaTheme="minorEastAsia"/>
            <w:lang w:eastAsia="en-AU"/>
          </w:rPr>
          <w:tab/>
        </w:r>
        <w:r w:rsidR="00830E46" w:rsidRPr="006A4B15">
          <w:rPr>
            <w:rStyle w:val="Hyperlink"/>
            <w:lang w:eastAsia="ja-JP"/>
          </w:rPr>
          <w:t>Aluminium</w:t>
        </w:r>
        <w:r w:rsidR="00830E46">
          <w:rPr>
            <w:webHidden/>
          </w:rPr>
          <w:tab/>
        </w:r>
        <w:r w:rsidR="00830E46">
          <w:rPr>
            <w:webHidden/>
          </w:rPr>
          <w:fldChar w:fldCharType="begin"/>
        </w:r>
        <w:r w:rsidR="00830E46">
          <w:rPr>
            <w:webHidden/>
          </w:rPr>
          <w:instrText xml:space="preserve"> PAGEREF _Toc141704563 \h </w:instrText>
        </w:r>
        <w:r w:rsidR="00830E46">
          <w:rPr>
            <w:webHidden/>
          </w:rPr>
        </w:r>
        <w:r w:rsidR="00830E46">
          <w:rPr>
            <w:webHidden/>
          </w:rPr>
          <w:fldChar w:fldCharType="separate"/>
        </w:r>
        <w:r w:rsidR="0061517C">
          <w:rPr>
            <w:webHidden/>
          </w:rPr>
          <w:t>27</w:t>
        </w:r>
        <w:r w:rsidR="00830E46">
          <w:rPr>
            <w:webHidden/>
          </w:rPr>
          <w:fldChar w:fldCharType="end"/>
        </w:r>
      </w:hyperlink>
    </w:p>
    <w:p w14:paraId="5CF5EE2A" w14:textId="16E5D9FA" w:rsidR="00830E46" w:rsidRDefault="00F9095E">
      <w:pPr>
        <w:pStyle w:val="TOC3"/>
        <w:tabs>
          <w:tab w:val="left" w:pos="1540"/>
        </w:tabs>
        <w:rPr>
          <w:rFonts w:eastAsiaTheme="minorEastAsia"/>
          <w:lang w:eastAsia="en-AU"/>
        </w:rPr>
      </w:pPr>
      <w:hyperlink w:anchor="_Toc141704564" w:history="1">
        <w:r w:rsidR="00830E46" w:rsidRPr="006A4B15">
          <w:rPr>
            <w:rStyle w:val="Hyperlink"/>
            <w:lang w:eastAsia="ja-JP"/>
          </w:rPr>
          <w:t>3.3.2</w:t>
        </w:r>
        <w:r w:rsidR="00830E46">
          <w:rPr>
            <w:rFonts w:eastAsiaTheme="minorEastAsia"/>
            <w:lang w:eastAsia="en-AU"/>
          </w:rPr>
          <w:tab/>
        </w:r>
        <w:r w:rsidR="00830E46" w:rsidRPr="006A4B15">
          <w:rPr>
            <w:rStyle w:val="Hyperlink"/>
            <w:lang w:eastAsia="ja-JP"/>
          </w:rPr>
          <w:t>Arsenic</w:t>
        </w:r>
        <w:r w:rsidR="00830E46">
          <w:rPr>
            <w:webHidden/>
          </w:rPr>
          <w:tab/>
        </w:r>
        <w:r w:rsidR="00830E46">
          <w:rPr>
            <w:webHidden/>
          </w:rPr>
          <w:fldChar w:fldCharType="begin"/>
        </w:r>
        <w:r w:rsidR="00830E46">
          <w:rPr>
            <w:webHidden/>
          </w:rPr>
          <w:instrText xml:space="preserve"> PAGEREF _Toc141704564 \h </w:instrText>
        </w:r>
        <w:r w:rsidR="00830E46">
          <w:rPr>
            <w:webHidden/>
          </w:rPr>
        </w:r>
        <w:r w:rsidR="00830E46">
          <w:rPr>
            <w:webHidden/>
          </w:rPr>
          <w:fldChar w:fldCharType="separate"/>
        </w:r>
        <w:r w:rsidR="0061517C">
          <w:rPr>
            <w:webHidden/>
          </w:rPr>
          <w:t>29</w:t>
        </w:r>
        <w:r w:rsidR="00830E46">
          <w:rPr>
            <w:webHidden/>
          </w:rPr>
          <w:fldChar w:fldCharType="end"/>
        </w:r>
      </w:hyperlink>
    </w:p>
    <w:p w14:paraId="61BEA9EE" w14:textId="017ED52E" w:rsidR="00830E46" w:rsidRDefault="00F9095E">
      <w:pPr>
        <w:pStyle w:val="TOC3"/>
        <w:tabs>
          <w:tab w:val="left" w:pos="1540"/>
        </w:tabs>
        <w:rPr>
          <w:rFonts w:eastAsiaTheme="minorEastAsia"/>
          <w:lang w:eastAsia="en-AU"/>
        </w:rPr>
      </w:pPr>
      <w:hyperlink w:anchor="_Toc141704565" w:history="1">
        <w:r w:rsidR="00830E46" w:rsidRPr="006A4B15">
          <w:rPr>
            <w:rStyle w:val="Hyperlink"/>
            <w:lang w:eastAsia="ja-JP"/>
          </w:rPr>
          <w:t>3.3.3</w:t>
        </w:r>
        <w:r w:rsidR="00830E46">
          <w:rPr>
            <w:rFonts w:eastAsiaTheme="minorEastAsia"/>
            <w:lang w:eastAsia="en-AU"/>
          </w:rPr>
          <w:tab/>
        </w:r>
        <w:r w:rsidR="00830E46" w:rsidRPr="006A4B15">
          <w:rPr>
            <w:rStyle w:val="Hyperlink"/>
            <w:lang w:eastAsia="ja-JP"/>
          </w:rPr>
          <w:t>Beryllium</w:t>
        </w:r>
        <w:r w:rsidR="00830E46">
          <w:rPr>
            <w:webHidden/>
          </w:rPr>
          <w:tab/>
        </w:r>
        <w:r w:rsidR="00830E46">
          <w:rPr>
            <w:webHidden/>
          </w:rPr>
          <w:fldChar w:fldCharType="begin"/>
        </w:r>
        <w:r w:rsidR="00830E46">
          <w:rPr>
            <w:webHidden/>
          </w:rPr>
          <w:instrText xml:space="preserve"> PAGEREF _Toc141704565 \h </w:instrText>
        </w:r>
        <w:r w:rsidR="00830E46">
          <w:rPr>
            <w:webHidden/>
          </w:rPr>
        </w:r>
        <w:r w:rsidR="00830E46">
          <w:rPr>
            <w:webHidden/>
          </w:rPr>
          <w:fldChar w:fldCharType="separate"/>
        </w:r>
        <w:r w:rsidR="0061517C">
          <w:rPr>
            <w:webHidden/>
          </w:rPr>
          <w:t>30</w:t>
        </w:r>
        <w:r w:rsidR="00830E46">
          <w:rPr>
            <w:webHidden/>
          </w:rPr>
          <w:fldChar w:fldCharType="end"/>
        </w:r>
      </w:hyperlink>
    </w:p>
    <w:p w14:paraId="6A8A0625" w14:textId="16F41CF4" w:rsidR="00830E46" w:rsidRDefault="00F9095E">
      <w:pPr>
        <w:pStyle w:val="TOC3"/>
        <w:tabs>
          <w:tab w:val="left" w:pos="1540"/>
        </w:tabs>
        <w:rPr>
          <w:rFonts w:eastAsiaTheme="minorEastAsia"/>
          <w:lang w:eastAsia="en-AU"/>
        </w:rPr>
      </w:pPr>
      <w:hyperlink w:anchor="_Toc141704566" w:history="1">
        <w:r w:rsidR="00830E46" w:rsidRPr="006A4B15">
          <w:rPr>
            <w:rStyle w:val="Hyperlink"/>
            <w:lang w:eastAsia="ja-JP"/>
          </w:rPr>
          <w:t>3.3.4</w:t>
        </w:r>
        <w:r w:rsidR="00830E46">
          <w:rPr>
            <w:rFonts w:eastAsiaTheme="minorEastAsia"/>
            <w:lang w:eastAsia="en-AU"/>
          </w:rPr>
          <w:tab/>
        </w:r>
        <w:r w:rsidR="00830E46" w:rsidRPr="006A4B15">
          <w:rPr>
            <w:rStyle w:val="Hyperlink"/>
            <w:lang w:eastAsia="ja-JP"/>
          </w:rPr>
          <w:t>Boron</w:t>
        </w:r>
        <w:r w:rsidR="00830E46">
          <w:rPr>
            <w:webHidden/>
          </w:rPr>
          <w:tab/>
        </w:r>
        <w:r w:rsidR="00830E46">
          <w:rPr>
            <w:webHidden/>
          </w:rPr>
          <w:fldChar w:fldCharType="begin"/>
        </w:r>
        <w:r w:rsidR="00830E46">
          <w:rPr>
            <w:webHidden/>
          </w:rPr>
          <w:instrText xml:space="preserve"> PAGEREF _Toc141704566 \h </w:instrText>
        </w:r>
        <w:r w:rsidR="00830E46">
          <w:rPr>
            <w:webHidden/>
          </w:rPr>
        </w:r>
        <w:r w:rsidR="00830E46">
          <w:rPr>
            <w:webHidden/>
          </w:rPr>
          <w:fldChar w:fldCharType="separate"/>
        </w:r>
        <w:r w:rsidR="0061517C">
          <w:rPr>
            <w:webHidden/>
          </w:rPr>
          <w:t>31</w:t>
        </w:r>
        <w:r w:rsidR="00830E46">
          <w:rPr>
            <w:webHidden/>
          </w:rPr>
          <w:fldChar w:fldCharType="end"/>
        </w:r>
      </w:hyperlink>
    </w:p>
    <w:p w14:paraId="4C1AAEDB" w14:textId="72981033" w:rsidR="00830E46" w:rsidRDefault="00F9095E">
      <w:pPr>
        <w:pStyle w:val="TOC3"/>
        <w:tabs>
          <w:tab w:val="left" w:pos="1540"/>
        </w:tabs>
        <w:rPr>
          <w:rFonts w:eastAsiaTheme="minorEastAsia"/>
          <w:lang w:eastAsia="en-AU"/>
        </w:rPr>
      </w:pPr>
      <w:hyperlink w:anchor="_Toc141704567" w:history="1">
        <w:r w:rsidR="00830E46" w:rsidRPr="006A4B15">
          <w:rPr>
            <w:rStyle w:val="Hyperlink"/>
            <w:lang w:eastAsia="ja-JP"/>
          </w:rPr>
          <w:t>3.3.5</w:t>
        </w:r>
        <w:r w:rsidR="00830E46">
          <w:rPr>
            <w:rFonts w:eastAsiaTheme="minorEastAsia"/>
            <w:lang w:eastAsia="en-AU"/>
          </w:rPr>
          <w:tab/>
        </w:r>
        <w:r w:rsidR="00830E46" w:rsidRPr="006A4B15">
          <w:rPr>
            <w:rStyle w:val="Hyperlink"/>
            <w:lang w:eastAsia="ja-JP"/>
          </w:rPr>
          <w:t>Cadmium</w:t>
        </w:r>
        <w:r w:rsidR="00830E46">
          <w:rPr>
            <w:webHidden/>
          </w:rPr>
          <w:tab/>
        </w:r>
        <w:r w:rsidR="00830E46">
          <w:rPr>
            <w:webHidden/>
          </w:rPr>
          <w:fldChar w:fldCharType="begin"/>
        </w:r>
        <w:r w:rsidR="00830E46">
          <w:rPr>
            <w:webHidden/>
          </w:rPr>
          <w:instrText xml:space="preserve"> PAGEREF _Toc141704567 \h </w:instrText>
        </w:r>
        <w:r w:rsidR="00830E46">
          <w:rPr>
            <w:webHidden/>
          </w:rPr>
        </w:r>
        <w:r w:rsidR="00830E46">
          <w:rPr>
            <w:webHidden/>
          </w:rPr>
          <w:fldChar w:fldCharType="separate"/>
        </w:r>
        <w:r w:rsidR="0061517C">
          <w:rPr>
            <w:webHidden/>
          </w:rPr>
          <w:t>33</w:t>
        </w:r>
        <w:r w:rsidR="00830E46">
          <w:rPr>
            <w:webHidden/>
          </w:rPr>
          <w:fldChar w:fldCharType="end"/>
        </w:r>
      </w:hyperlink>
    </w:p>
    <w:p w14:paraId="36B2D33D" w14:textId="2E210819" w:rsidR="00830E46" w:rsidRDefault="00F9095E">
      <w:pPr>
        <w:pStyle w:val="TOC3"/>
        <w:tabs>
          <w:tab w:val="left" w:pos="1540"/>
        </w:tabs>
        <w:rPr>
          <w:rFonts w:eastAsiaTheme="minorEastAsia"/>
          <w:lang w:eastAsia="en-AU"/>
        </w:rPr>
      </w:pPr>
      <w:hyperlink w:anchor="_Toc141704568" w:history="1">
        <w:r w:rsidR="00830E46" w:rsidRPr="006A4B15">
          <w:rPr>
            <w:rStyle w:val="Hyperlink"/>
            <w:lang w:eastAsia="ja-JP"/>
          </w:rPr>
          <w:t>3.3.6</w:t>
        </w:r>
        <w:r w:rsidR="00830E46">
          <w:rPr>
            <w:rFonts w:eastAsiaTheme="minorEastAsia"/>
            <w:lang w:eastAsia="en-AU"/>
          </w:rPr>
          <w:tab/>
        </w:r>
        <w:r w:rsidR="00830E46" w:rsidRPr="006A4B15">
          <w:rPr>
            <w:rStyle w:val="Hyperlink"/>
            <w:lang w:eastAsia="ja-JP"/>
          </w:rPr>
          <w:t>Chromium</w:t>
        </w:r>
        <w:r w:rsidR="00830E46">
          <w:rPr>
            <w:webHidden/>
          </w:rPr>
          <w:tab/>
        </w:r>
        <w:r w:rsidR="00830E46">
          <w:rPr>
            <w:webHidden/>
          </w:rPr>
          <w:fldChar w:fldCharType="begin"/>
        </w:r>
        <w:r w:rsidR="00830E46">
          <w:rPr>
            <w:webHidden/>
          </w:rPr>
          <w:instrText xml:space="preserve"> PAGEREF _Toc141704568 \h </w:instrText>
        </w:r>
        <w:r w:rsidR="00830E46">
          <w:rPr>
            <w:webHidden/>
          </w:rPr>
        </w:r>
        <w:r w:rsidR="00830E46">
          <w:rPr>
            <w:webHidden/>
          </w:rPr>
          <w:fldChar w:fldCharType="separate"/>
        </w:r>
        <w:r w:rsidR="0061517C">
          <w:rPr>
            <w:webHidden/>
          </w:rPr>
          <w:t>34</w:t>
        </w:r>
        <w:r w:rsidR="00830E46">
          <w:rPr>
            <w:webHidden/>
          </w:rPr>
          <w:fldChar w:fldCharType="end"/>
        </w:r>
      </w:hyperlink>
    </w:p>
    <w:p w14:paraId="055E902C" w14:textId="76A4F1AD" w:rsidR="00830E46" w:rsidRDefault="00F9095E">
      <w:pPr>
        <w:pStyle w:val="TOC3"/>
        <w:tabs>
          <w:tab w:val="left" w:pos="1540"/>
        </w:tabs>
        <w:rPr>
          <w:rFonts w:eastAsiaTheme="minorEastAsia"/>
          <w:lang w:eastAsia="en-AU"/>
        </w:rPr>
      </w:pPr>
      <w:hyperlink w:anchor="_Toc141704569" w:history="1">
        <w:r w:rsidR="00830E46" w:rsidRPr="006A4B15">
          <w:rPr>
            <w:rStyle w:val="Hyperlink"/>
            <w:lang w:eastAsia="ja-JP"/>
          </w:rPr>
          <w:t>3.3.7</w:t>
        </w:r>
        <w:r w:rsidR="00830E46">
          <w:rPr>
            <w:rFonts w:eastAsiaTheme="minorEastAsia"/>
            <w:lang w:eastAsia="en-AU"/>
          </w:rPr>
          <w:tab/>
        </w:r>
        <w:r w:rsidR="00830E46" w:rsidRPr="006A4B15">
          <w:rPr>
            <w:rStyle w:val="Hyperlink"/>
            <w:lang w:eastAsia="ja-JP"/>
          </w:rPr>
          <w:t>Cobalt</w:t>
        </w:r>
        <w:r w:rsidR="00830E46">
          <w:rPr>
            <w:webHidden/>
          </w:rPr>
          <w:tab/>
        </w:r>
        <w:r w:rsidR="00830E46">
          <w:rPr>
            <w:webHidden/>
          </w:rPr>
          <w:fldChar w:fldCharType="begin"/>
        </w:r>
        <w:r w:rsidR="00830E46">
          <w:rPr>
            <w:webHidden/>
          </w:rPr>
          <w:instrText xml:space="preserve"> PAGEREF _Toc141704569 \h </w:instrText>
        </w:r>
        <w:r w:rsidR="00830E46">
          <w:rPr>
            <w:webHidden/>
          </w:rPr>
        </w:r>
        <w:r w:rsidR="00830E46">
          <w:rPr>
            <w:webHidden/>
          </w:rPr>
          <w:fldChar w:fldCharType="separate"/>
        </w:r>
        <w:r w:rsidR="0061517C">
          <w:rPr>
            <w:webHidden/>
          </w:rPr>
          <w:t>36</w:t>
        </w:r>
        <w:r w:rsidR="00830E46">
          <w:rPr>
            <w:webHidden/>
          </w:rPr>
          <w:fldChar w:fldCharType="end"/>
        </w:r>
      </w:hyperlink>
    </w:p>
    <w:p w14:paraId="17CDA6A1" w14:textId="78AD1A79" w:rsidR="00830E46" w:rsidRDefault="00F9095E">
      <w:pPr>
        <w:pStyle w:val="TOC3"/>
        <w:tabs>
          <w:tab w:val="left" w:pos="1540"/>
        </w:tabs>
        <w:rPr>
          <w:rFonts w:eastAsiaTheme="minorEastAsia"/>
          <w:lang w:eastAsia="en-AU"/>
        </w:rPr>
      </w:pPr>
      <w:hyperlink w:anchor="_Toc141704570" w:history="1">
        <w:r w:rsidR="00830E46" w:rsidRPr="006A4B15">
          <w:rPr>
            <w:rStyle w:val="Hyperlink"/>
            <w:lang w:eastAsia="ja-JP"/>
          </w:rPr>
          <w:t>3.3.8</w:t>
        </w:r>
        <w:r w:rsidR="00830E46">
          <w:rPr>
            <w:rFonts w:eastAsiaTheme="minorEastAsia"/>
            <w:lang w:eastAsia="en-AU"/>
          </w:rPr>
          <w:tab/>
        </w:r>
        <w:r w:rsidR="00830E46" w:rsidRPr="006A4B15">
          <w:rPr>
            <w:rStyle w:val="Hyperlink"/>
            <w:lang w:eastAsia="ja-JP"/>
          </w:rPr>
          <w:t>Copper</w:t>
        </w:r>
        <w:r w:rsidR="00830E46">
          <w:rPr>
            <w:webHidden/>
          </w:rPr>
          <w:tab/>
        </w:r>
        <w:r w:rsidR="00830E46">
          <w:rPr>
            <w:webHidden/>
          </w:rPr>
          <w:fldChar w:fldCharType="begin"/>
        </w:r>
        <w:r w:rsidR="00830E46">
          <w:rPr>
            <w:webHidden/>
          </w:rPr>
          <w:instrText xml:space="preserve"> PAGEREF _Toc141704570 \h </w:instrText>
        </w:r>
        <w:r w:rsidR="00830E46">
          <w:rPr>
            <w:webHidden/>
          </w:rPr>
        </w:r>
        <w:r w:rsidR="00830E46">
          <w:rPr>
            <w:webHidden/>
          </w:rPr>
          <w:fldChar w:fldCharType="separate"/>
        </w:r>
        <w:r w:rsidR="0061517C">
          <w:rPr>
            <w:webHidden/>
          </w:rPr>
          <w:t>36</w:t>
        </w:r>
        <w:r w:rsidR="00830E46">
          <w:rPr>
            <w:webHidden/>
          </w:rPr>
          <w:fldChar w:fldCharType="end"/>
        </w:r>
      </w:hyperlink>
    </w:p>
    <w:p w14:paraId="477E1C45" w14:textId="064D5D70" w:rsidR="00830E46" w:rsidRDefault="00F9095E">
      <w:pPr>
        <w:pStyle w:val="TOC3"/>
        <w:tabs>
          <w:tab w:val="left" w:pos="1540"/>
        </w:tabs>
        <w:rPr>
          <w:rFonts w:eastAsiaTheme="minorEastAsia"/>
          <w:lang w:eastAsia="en-AU"/>
        </w:rPr>
      </w:pPr>
      <w:hyperlink w:anchor="_Toc141704571" w:history="1">
        <w:r w:rsidR="00830E46" w:rsidRPr="006A4B15">
          <w:rPr>
            <w:rStyle w:val="Hyperlink"/>
            <w:lang w:eastAsia="ja-JP"/>
          </w:rPr>
          <w:t>3.3.9</w:t>
        </w:r>
        <w:r w:rsidR="00830E46">
          <w:rPr>
            <w:rFonts w:eastAsiaTheme="minorEastAsia"/>
            <w:lang w:eastAsia="en-AU"/>
          </w:rPr>
          <w:tab/>
        </w:r>
        <w:r w:rsidR="00830E46" w:rsidRPr="006A4B15">
          <w:rPr>
            <w:rStyle w:val="Hyperlink"/>
            <w:lang w:eastAsia="ja-JP"/>
          </w:rPr>
          <w:t>Fluoride</w:t>
        </w:r>
        <w:r w:rsidR="00830E46">
          <w:rPr>
            <w:webHidden/>
          </w:rPr>
          <w:tab/>
        </w:r>
        <w:r w:rsidR="00830E46">
          <w:rPr>
            <w:webHidden/>
          </w:rPr>
          <w:fldChar w:fldCharType="begin"/>
        </w:r>
        <w:r w:rsidR="00830E46">
          <w:rPr>
            <w:webHidden/>
          </w:rPr>
          <w:instrText xml:space="preserve"> PAGEREF _Toc141704571 \h </w:instrText>
        </w:r>
        <w:r w:rsidR="00830E46">
          <w:rPr>
            <w:webHidden/>
          </w:rPr>
        </w:r>
        <w:r w:rsidR="00830E46">
          <w:rPr>
            <w:webHidden/>
          </w:rPr>
          <w:fldChar w:fldCharType="separate"/>
        </w:r>
        <w:r w:rsidR="0061517C">
          <w:rPr>
            <w:webHidden/>
          </w:rPr>
          <w:t>37</w:t>
        </w:r>
        <w:r w:rsidR="00830E46">
          <w:rPr>
            <w:webHidden/>
          </w:rPr>
          <w:fldChar w:fldCharType="end"/>
        </w:r>
      </w:hyperlink>
    </w:p>
    <w:p w14:paraId="4C0F5C3B" w14:textId="465667ED" w:rsidR="00830E46" w:rsidRDefault="00F9095E">
      <w:pPr>
        <w:pStyle w:val="TOC3"/>
        <w:tabs>
          <w:tab w:val="left" w:pos="1760"/>
        </w:tabs>
        <w:rPr>
          <w:rFonts w:eastAsiaTheme="minorEastAsia"/>
          <w:lang w:eastAsia="en-AU"/>
        </w:rPr>
      </w:pPr>
      <w:hyperlink w:anchor="_Toc141704572" w:history="1">
        <w:r w:rsidR="00830E46" w:rsidRPr="006A4B15">
          <w:rPr>
            <w:rStyle w:val="Hyperlink"/>
            <w:lang w:eastAsia="ja-JP"/>
          </w:rPr>
          <w:t>3.3.10</w:t>
        </w:r>
        <w:r w:rsidR="00830E46">
          <w:rPr>
            <w:rFonts w:eastAsiaTheme="minorEastAsia"/>
            <w:lang w:eastAsia="en-AU"/>
          </w:rPr>
          <w:tab/>
        </w:r>
        <w:r w:rsidR="00830E46" w:rsidRPr="006A4B15">
          <w:rPr>
            <w:rStyle w:val="Hyperlink"/>
            <w:lang w:eastAsia="ja-JP"/>
          </w:rPr>
          <w:t>Iron</w:t>
        </w:r>
        <w:r w:rsidR="00830E46">
          <w:rPr>
            <w:webHidden/>
          </w:rPr>
          <w:tab/>
        </w:r>
        <w:r w:rsidR="00830E46">
          <w:rPr>
            <w:webHidden/>
          </w:rPr>
          <w:fldChar w:fldCharType="begin"/>
        </w:r>
        <w:r w:rsidR="00830E46">
          <w:rPr>
            <w:webHidden/>
          </w:rPr>
          <w:instrText xml:space="preserve"> PAGEREF _Toc141704572 \h </w:instrText>
        </w:r>
        <w:r w:rsidR="00830E46">
          <w:rPr>
            <w:webHidden/>
          </w:rPr>
        </w:r>
        <w:r w:rsidR="00830E46">
          <w:rPr>
            <w:webHidden/>
          </w:rPr>
          <w:fldChar w:fldCharType="separate"/>
        </w:r>
        <w:r w:rsidR="0061517C">
          <w:rPr>
            <w:webHidden/>
          </w:rPr>
          <w:t>38</w:t>
        </w:r>
        <w:r w:rsidR="00830E46">
          <w:rPr>
            <w:webHidden/>
          </w:rPr>
          <w:fldChar w:fldCharType="end"/>
        </w:r>
      </w:hyperlink>
    </w:p>
    <w:p w14:paraId="0452231F" w14:textId="04086CAB" w:rsidR="00830E46" w:rsidRDefault="00F9095E">
      <w:pPr>
        <w:pStyle w:val="TOC3"/>
        <w:tabs>
          <w:tab w:val="left" w:pos="1760"/>
        </w:tabs>
        <w:rPr>
          <w:rFonts w:eastAsiaTheme="minorEastAsia"/>
          <w:lang w:eastAsia="en-AU"/>
        </w:rPr>
      </w:pPr>
      <w:hyperlink w:anchor="_Toc141704573" w:history="1">
        <w:r w:rsidR="00830E46" w:rsidRPr="006A4B15">
          <w:rPr>
            <w:rStyle w:val="Hyperlink"/>
            <w:lang w:eastAsia="ja-JP"/>
          </w:rPr>
          <w:t>3.3.11</w:t>
        </w:r>
        <w:r w:rsidR="00830E46">
          <w:rPr>
            <w:rFonts w:eastAsiaTheme="minorEastAsia"/>
            <w:lang w:eastAsia="en-AU"/>
          </w:rPr>
          <w:tab/>
        </w:r>
        <w:r w:rsidR="00830E46" w:rsidRPr="006A4B15">
          <w:rPr>
            <w:rStyle w:val="Hyperlink"/>
            <w:lang w:eastAsia="ja-JP"/>
          </w:rPr>
          <w:t>Lead</w:t>
        </w:r>
        <w:r w:rsidR="00830E46">
          <w:rPr>
            <w:webHidden/>
          </w:rPr>
          <w:tab/>
        </w:r>
        <w:r w:rsidR="00830E46">
          <w:rPr>
            <w:webHidden/>
          </w:rPr>
          <w:fldChar w:fldCharType="begin"/>
        </w:r>
        <w:r w:rsidR="00830E46">
          <w:rPr>
            <w:webHidden/>
          </w:rPr>
          <w:instrText xml:space="preserve"> PAGEREF _Toc141704573 \h </w:instrText>
        </w:r>
        <w:r w:rsidR="00830E46">
          <w:rPr>
            <w:webHidden/>
          </w:rPr>
        </w:r>
        <w:r w:rsidR="00830E46">
          <w:rPr>
            <w:webHidden/>
          </w:rPr>
          <w:fldChar w:fldCharType="separate"/>
        </w:r>
        <w:r w:rsidR="0061517C">
          <w:rPr>
            <w:webHidden/>
          </w:rPr>
          <w:t>39</w:t>
        </w:r>
        <w:r w:rsidR="00830E46">
          <w:rPr>
            <w:webHidden/>
          </w:rPr>
          <w:fldChar w:fldCharType="end"/>
        </w:r>
      </w:hyperlink>
    </w:p>
    <w:p w14:paraId="5E1A0E03" w14:textId="1F392C91" w:rsidR="00830E46" w:rsidRDefault="00F9095E">
      <w:pPr>
        <w:pStyle w:val="TOC3"/>
        <w:tabs>
          <w:tab w:val="left" w:pos="1760"/>
        </w:tabs>
        <w:rPr>
          <w:rFonts w:eastAsiaTheme="minorEastAsia"/>
          <w:lang w:eastAsia="en-AU"/>
        </w:rPr>
      </w:pPr>
      <w:hyperlink w:anchor="_Toc141704574" w:history="1">
        <w:r w:rsidR="00830E46" w:rsidRPr="006A4B15">
          <w:rPr>
            <w:rStyle w:val="Hyperlink"/>
            <w:lang w:eastAsia="ja-JP"/>
          </w:rPr>
          <w:t>3.3.12</w:t>
        </w:r>
        <w:r w:rsidR="00830E46">
          <w:rPr>
            <w:rFonts w:eastAsiaTheme="minorEastAsia"/>
            <w:lang w:eastAsia="en-AU"/>
          </w:rPr>
          <w:tab/>
        </w:r>
        <w:r w:rsidR="00830E46" w:rsidRPr="006A4B15">
          <w:rPr>
            <w:rStyle w:val="Hyperlink"/>
            <w:lang w:eastAsia="ja-JP"/>
          </w:rPr>
          <w:t>Manganese</w:t>
        </w:r>
        <w:r w:rsidR="00830E46">
          <w:rPr>
            <w:webHidden/>
          </w:rPr>
          <w:tab/>
        </w:r>
        <w:r w:rsidR="00830E46">
          <w:rPr>
            <w:webHidden/>
          </w:rPr>
          <w:fldChar w:fldCharType="begin"/>
        </w:r>
        <w:r w:rsidR="00830E46">
          <w:rPr>
            <w:webHidden/>
          </w:rPr>
          <w:instrText xml:space="preserve"> PAGEREF _Toc141704574 \h </w:instrText>
        </w:r>
        <w:r w:rsidR="00830E46">
          <w:rPr>
            <w:webHidden/>
          </w:rPr>
        </w:r>
        <w:r w:rsidR="00830E46">
          <w:rPr>
            <w:webHidden/>
          </w:rPr>
          <w:fldChar w:fldCharType="separate"/>
        </w:r>
        <w:r w:rsidR="0061517C">
          <w:rPr>
            <w:webHidden/>
          </w:rPr>
          <w:t>40</w:t>
        </w:r>
        <w:r w:rsidR="00830E46">
          <w:rPr>
            <w:webHidden/>
          </w:rPr>
          <w:fldChar w:fldCharType="end"/>
        </w:r>
      </w:hyperlink>
    </w:p>
    <w:p w14:paraId="28987A4F" w14:textId="21C95A83" w:rsidR="00830E46" w:rsidRDefault="00F9095E">
      <w:pPr>
        <w:pStyle w:val="TOC3"/>
        <w:tabs>
          <w:tab w:val="left" w:pos="1760"/>
        </w:tabs>
        <w:rPr>
          <w:rFonts w:eastAsiaTheme="minorEastAsia"/>
          <w:lang w:eastAsia="en-AU"/>
        </w:rPr>
      </w:pPr>
      <w:hyperlink w:anchor="_Toc141704575" w:history="1">
        <w:r w:rsidR="00830E46" w:rsidRPr="006A4B15">
          <w:rPr>
            <w:rStyle w:val="Hyperlink"/>
            <w:lang w:eastAsia="ja-JP"/>
          </w:rPr>
          <w:t>3.3.13</w:t>
        </w:r>
        <w:r w:rsidR="00830E46">
          <w:rPr>
            <w:rFonts w:eastAsiaTheme="minorEastAsia"/>
            <w:lang w:eastAsia="en-AU"/>
          </w:rPr>
          <w:tab/>
        </w:r>
        <w:r w:rsidR="00830E46" w:rsidRPr="006A4B15">
          <w:rPr>
            <w:rStyle w:val="Hyperlink"/>
            <w:lang w:eastAsia="ja-JP"/>
          </w:rPr>
          <w:t>Mercury</w:t>
        </w:r>
        <w:r w:rsidR="00830E46">
          <w:rPr>
            <w:webHidden/>
          </w:rPr>
          <w:tab/>
        </w:r>
        <w:r w:rsidR="00830E46">
          <w:rPr>
            <w:webHidden/>
          </w:rPr>
          <w:fldChar w:fldCharType="begin"/>
        </w:r>
        <w:r w:rsidR="00830E46">
          <w:rPr>
            <w:webHidden/>
          </w:rPr>
          <w:instrText xml:space="preserve"> PAGEREF _Toc141704575 \h </w:instrText>
        </w:r>
        <w:r w:rsidR="00830E46">
          <w:rPr>
            <w:webHidden/>
          </w:rPr>
        </w:r>
        <w:r w:rsidR="00830E46">
          <w:rPr>
            <w:webHidden/>
          </w:rPr>
          <w:fldChar w:fldCharType="separate"/>
        </w:r>
        <w:r w:rsidR="0061517C">
          <w:rPr>
            <w:webHidden/>
          </w:rPr>
          <w:t>41</w:t>
        </w:r>
        <w:r w:rsidR="00830E46">
          <w:rPr>
            <w:webHidden/>
          </w:rPr>
          <w:fldChar w:fldCharType="end"/>
        </w:r>
      </w:hyperlink>
    </w:p>
    <w:p w14:paraId="7C98EDC8" w14:textId="1A5FC189" w:rsidR="00830E46" w:rsidRDefault="00F9095E">
      <w:pPr>
        <w:pStyle w:val="TOC3"/>
        <w:tabs>
          <w:tab w:val="left" w:pos="1760"/>
        </w:tabs>
        <w:rPr>
          <w:rFonts w:eastAsiaTheme="minorEastAsia"/>
          <w:lang w:eastAsia="en-AU"/>
        </w:rPr>
      </w:pPr>
      <w:hyperlink w:anchor="_Toc141704576" w:history="1">
        <w:r w:rsidR="00830E46" w:rsidRPr="006A4B15">
          <w:rPr>
            <w:rStyle w:val="Hyperlink"/>
            <w:lang w:eastAsia="ja-JP"/>
          </w:rPr>
          <w:t>3.3.14</w:t>
        </w:r>
        <w:r w:rsidR="00830E46">
          <w:rPr>
            <w:rFonts w:eastAsiaTheme="minorEastAsia"/>
            <w:lang w:eastAsia="en-AU"/>
          </w:rPr>
          <w:tab/>
        </w:r>
        <w:r w:rsidR="00830E46" w:rsidRPr="006A4B15">
          <w:rPr>
            <w:rStyle w:val="Hyperlink"/>
            <w:lang w:eastAsia="ja-JP"/>
          </w:rPr>
          <w:t>Molybdenum</w:t>
        </w:r>
        <w:r w:rsidR="00830E46">
          <w:rPr>
            <w:webHidden/>
          </w:rPr>
          <w:tab/>
        </w:r>
        <w:r w:rsidR="00830E46">
          <w:rPr>
            <w:webHidden/>
          </w:rPr>
          <w:fldChar w:fldCharType="begin"/>
        </w:r>
        <w:r w:rsidR="00830E46">
          <w:rPr>
            <w:webHidden/>
          </w:rPr>
          <w:instrText xml:space="preserve"> PAGEREF _Toc141704576 \h </w:instrText>
        </w:r>
        <w:r w:rsidR="00830E46">
          <w:rPr>
            <w:webHidden/>
          </w:rPr>
        </w:r>
        <w:r w:rsidR="00830E46">
          <w:rPr>
            <w:webHidden/>
          </w:rPr>
          <w:fldChar w:fldCharType="separate"/>
        </w:r>
        <w:r w:rsidR="0061517C">
          <w:rPr>
            <w:webHidden/>
          </w:rPr>
          <w:t>42</w:t>
        </w:r>
        <w:r w:rsidR="00830E46">
          <w:rPr>
            <w:webHidden/>
          </w:rPr>
          <w:fldChar w:fldCharType="end"/>
        </w:r>
      </w:hyperlink>
    </w:p>
    <w:p w14:paraId="11E6FDA2" w14:textId="4C7EE493" w:rsidR="00830E46" w:rsidRDefault="00F9095E">
      <w:pPr>
        <w:pStyle w:val="TOC3"/>
        <w:tabs>
          <w:tab w:val="left" w:pos="1760"/>
        </w:tabs>
        <w:rPr>
          <w:rFonts w:eastAsiaTheme="minorEastAsia"/>
          <w:lang w:eastAsia="en-AU"/>
        </w:rPr>
      </w:pPr>
      <w:hyperlink w:anchor="_Toc141704577" w:history="1">
        <w:r w:rsidR="00830E46" w:rsidRPr="006A4B15">
          <w:rPr>
            <w:rStyle w:val="Hyperlink"/>
            <w:lang w:eastAsia="ja-JP"/>
          </w:rPr>
          <w:t>3.3.15</w:t>
        </w:r>
        <w:r w:rsidR="00830E46">
          <w:rPr>
            <w:rFonts w:eastAsiaTheme="minorEastAsia"/>
            <w:lang w:eastAsia="en-AU"/>
          </w:rPr>
          <w:tab/>
        </w:r>
        <w:r w:rsidR="00830E46" w:rsidRPr="006A4B15">
          <w:rPr>
            <w:rStyle w:val="Hyperlink"/>
            <w:lang w:eastAsia="ja-JP"/>
          </w:rPr>
          <w:t>Nickel</w:t>
        </w:r>
        <w:r w:rsidR="00830E46">
          <w:rPr>
            <w:webHidden/>
          </w:rPr>
          <w:tab/>
        </w:r>
        <w:r w:rsidR="00830E46">
          <w:rPr>
            <w:webHidden/>
          </w:rPr>
          <w:fldChar w:fldCharType="begin"/>
        </w:r>
        <w:r w:rsidR="00830E46">
          <w:rPr>
            <w:webHidden/>
          </w:rPr>
          <w:instrText xml:space="preserve"> PAGEREF _Toc141704577 \h </w:instrText>
        </w:r>
        <w:r w:rsidR="00830E46">
          <w:rPr>
            <w:webHidden/>
          </w:rPr>
        </w:r>
        <w:r w:rsidR="00830E46">
          <w:rPr>
            <w:webHidden/>
          </w:rPr>
          <w:fldChar w:fldCharType="separate"/>
        </w:r>
        <w:r w:rsidR="0061517C">
          <w:rPr>
            <w:webHidden/>
          </w:rPr>
          <w:t>44</w:t>
        </w:r>
        <w:r w:rsidR="00830E46">
          <w:rPr>
            <w:webHidden/>
          </w:rPr>
          <w:fldChar w:fldCharType="end"/>
        </w:r>
      </w:hyperlink>
    </w:p>
    <w:p w14:paraId="659CD996" w14:textId="7C8A6F4C" w:rsidR="00830E46" w:rsidRDefault="00F9095E">
      <w:pPr>
        <w:pStyle w:val="TOC3"/>
        <w:tabs>
          <w:tab w:val="left" w:pos="1760"/>
        </w:tabs>
        <w:rPr>
          <w:rFonts w:eastAsiaTheme="minorEastAsia"/>
          <w:lang w:eastAsia="en-AU"/>
        </w:rPr>
      </w:pPr>
      <w:hyperlink w:anchor="_Toc141704578" w:history="1">
        <w:r w:rsidR="00830E46" w:rsidRPr="006A4B15">
          <w:rPr>
            <w:rStyle w:val="Hyperlink"/>
            <w:lang w:eastAsia="ja-JP"/>
          </w:rPr>
          <w:t>3.3.16</w:t>
        </w:r>
        <w:r w:rsidR="00830E46">
          <w:rPr>
            <w:rFonts w:eastAsiaTheme="minorEastAsia"/>
            <w:lang w:eastAsia="en-AU"/>
          </w:rPr>
          <w:tab/>
        </w:r>
        <w:r w:rsidR="00830E46" w:rsidRPr="006A4B15">
          <w:rPr>
            <w:rStyle w:val="Hyperlink"/>
            <w:lang w:eastAsia="ja-JP"/>
          </w:rPr>
          <w:t>Selenium</w:t>
        </w:r>
        <w:r w:rsidR="00830E46">
          <w:rPr>
            <w:webHidden/>
          </w:rPr>
          <w:tab/>
        </w:r>
        <w:r w:rsidR="00830E46">
          <w:rPr>
            <w:webHidden/>
          </w:rPr>
          <w:fldChar w:fldCharType="begin"/>
        </w:r>
        <w:r w:rsidR="00830E46">
          <w:rPr>
            <w:webHidden/>
          </w:rPr>
          <w:instrText xml:space="preserve"> PAGEREF _Toc141704578 \h </w:instrText>
        </w:r>
        <w:r w:rsidR="00830E46">
          <w:rPr>
            <w:webHidden/>
          </w:rPr>
        </w:r>
        <w:r w:rsidR="00830E46">
          <w:rPr>
            <w:webHidden/>
          </w:rPr>
          <w:fldChar w:fldCharType="separate"/>
        </w:r>
        <w:r w:rsidR="0061517C">
          <w:rPr>
            <w:webHidden/>
          </w:rPr>
          <w:t>45</w:t>
        </w:r>
        <w:r w:rsidR="00830E46">
          <w:rPr>
            <w:webHidden/>
          </w:rPr>
          <w:fldChar w:fldCharType="end"/>
        </w:r>
      </w:hyperlink>
    </w:p>
    <w:p w14:paraId="4D543000" w14:textId="5F86597F" w:rsidR="00830E46" w:rsidRDefault="00F9095E">
      <w:pPr>
        <w:pStyle w:val="TOC3"/>
        <w:tabs>
          <w:tab w:val="left" w:pos="1760"/>
        </w:tabs>
        <w:rPr>
          <w:rFonts w:eastAsiaTheme="minorEastAsia"/>
          <w:lang w:eastAsia="en-AU"/>
        </w:rPr>
      </w:pPr>
      <w:hyperlink w:anchor="_Toc141704579" w:history="1">
        <w:r w:rsidR="00830E46" w:rsidRPr="006A4B15">
          <w:rPr>
            <w:rStyle w:val="Hyperlink"/>
            <w:lang w:eastAsia="ja-JP"/>
          </w:rPr>
          <w:t>3.3.17</w:t>
        </w:r>
        <w:r w:rsidR="00830E46">
          <w:rPr>
            <w:rFonts w:eastAsiaTheme="minorEastAsia"/>
            <w:lang w:eastAsia="en-AU"/>
          </w:rPr>
          <w:tab/>
        </w:r>
        <w:r w:rsidR="00830E46" w:rsidRPr="006A4B15">
          <w:rPr>
            <w:rStyle w:val="Hyperlink"/>
            <w:lang w:eastAsia="ja-JP"/>
          </w:rPr>
          <w:t>Uranium</w:t>
        </w:r>
        <w:r w:rsidR="00830E46">
          <w:rPr>
            <w:webHidden/>
          </w:rPr>
          <w:tab/>
        </w:r>
        <w:r w:rsidR="00830E46">
          <w:rPr>
            <w:webHidden/>
          </w:rPr>
          <w:fldChar w:fldCharType="begin"/>
        </w:r>
        <w:r w:rsidR="00830E46">
          <w:rPr>
            <w:webHidden/>
          </w:rPr>
          <w:instrText xml:space="preserve"> PAGEREF _Toc141704579 \h </w:instrText>
        </w:r>
        <w:r w:rsidR="00830E46">
          <w:rPr>
            <w:webHidden/>
          </w:rPr>
        </w:r>
        <w:r w:rsidR="00830E46">
          <w:rPr>
            <w:webHidden/>
          </w:rPr>
          <w:fldChar w:fldCharType="separate"/>
        </w:r>
        <w:r w:rsidR="0061517C">
          <w:rPr>
            <w:webHidden/>
          </w:rPr>
          <w:t>46</w:t>
        </w:r>
        <w:r w:rsidR="00830E46">
          <w:rPr>
            <w:webHidden/>
          </w:rPr>
          <w:fldChar w:fldCharType="end"/>
        </w:r>
      </w:hyperlink>
    </w:p>
    <w:p w14:paraId="31C2480B" w14:textId="4C321A64" w:rsidR="00830E46" w:rsidRDefault="00F9095E">
      <w:pPr>
        <w:pStyle w:val="TOC3"/>
        <w:tabs>
          <w:tab w:val="left" w:pos="1760"/>
        </w:tabs>
        <w:rPr>
          <w:rFonts w:eastAsiaTheme="minorEastAsia"/>
          <w:lang w:eastAsia="en-AU"/>
        </w:rPr>
      </w:pPr>
      <w:hyperlink w:anchor="_Toc141704580" w:history="1">
        <w:r w:rsidR="00830E46" w:rsidRPr="006A4B15">
          <w:rPr>
            <w:rStyle w:val="Hyperlink"/>
            <w:lang w:eastAsia="ja-JP"/>
          </w:rPr>
          <w:t>3.3.18</w:t>
        </w:r>
        <w:r w:rsidR="00830E46">
          <w:rPr>
            <w:rFonts w:eastAsiaTheme="minorEastAsia"/>
            <w:lang w:eastAsia="en-AU"/>
          </w:rPr>
          <w:tab/>
        </w:r>
        <w:r w:rsidR="00830E46" w:rsidRPr="006A4B15">
          <w:rPr>
            <w:rStyle w:val="Hyperlink"/>
            <w:lang w:eastAsia="ja-JP"/>
          </w:rPr>
          <w:t>Vanadium</w:t>
        </w:r>
        <w:r w:rsidR="00830E46">
          <w:rPr>
            <w:webHidden/>
          </w:rPr>
          <w:tab/>
        </w:r>
        <w:r w:rsidR="00830E46">
          <w:rPr>
            <w:webHidden/>
          </w:rPr>
          <w:fldChar w:fldCharType="begin"/>
        </w:r>
        <w:r w:rsidR="00830E46">
          <w:rPr>
            <w:webHidden/>
          </w:rPr>
          <w:instrText xml:space="preserve"> PAGEREF _Toc141704580 \h </w:instrText>
        </w:r>
        <w:r w:rsidR="00830E46">
          <w:rPr>
            <w:webHidden/>
          </w:rPr>
        </w:r>
        <w:r w:rsidR="00830E46">
          <w:rPr>
            <w:webHidden/>
          </w:rPr>
          <w:fldChar w:fldCharType="separate"/>
        </w:r>
        <w:r w:rsidR="0061517C">
          <w:rPr>
            <w:webHidden/>
          </w:rPr>
          <w:t>46</w:t>
        </w:r>
        <w:r w:rsidR="00830E46">
          <w:rPr>
            <w:webHidden/>
          </w:rPr>
          <w:fldChar w:fldCharType="end"/>
        </w:r>
      </w:hyperlink>
    </w:p>
    <w:p w14:paraId="055291E3" w14:textId="4E8A73A0" w:rsidR="00830E46" w:rsidRDefault="00F9095E">
      <w:pPr>
        <w:pStyle w:val="TOC3"/>
        <w:tabs>
          <w:tab w:val="left" w:pos="1760"/>
        </w:tabs>
        <w:rPr>
          <w:rFonts w:eastAsiaTheme="minorEastAsia"/>
          <w:lang w:eastAsia="en-AU"/>
        </w:rPr>
      </w:pPr>
      <w:hyperlink w:anchor="_Toc141704581" w:history="1">
        <w:r w:rsidR="00830E46" w:rsidRPr="006A4B15">
          <w:rPr>
            <w:rStyle w:val="Hyperlink"/>
            <w:lang w:eastAsia="ja-JP"/>
          </w:rPr>
          <w:t>3.3.19</w:t>
        </w:r>
        <w:r w:rsidR="00830E46">
          <w:rPr>
            <w:rFonts w:eastAsiaTheme="minorEastAsia"/>
            <w:lang w:eastAsia="en-AU"/>
          </w:rPr>
          <w:tab/>
        </w:r>
        <w:r w:rsidR="00830E46" w:rsidRPr="006A4B15">
          <w:rPr>
            <w:rStyle w:val="Hyperlink"/>
            <w:lang w:eastAsia="ja-JP"/>
          </w:rPr>
          <w:t>Zinc</w:t>
        </w:r>
        <w:r w:rsidR="00830E46">
          <w:rPr>
            <w:webHidden/>
          </w:rPr>
          <w:tab/>
        </w:r>
        <w:r w:rsidR="00830E46">
          <w:rPr>
            <w:webHidden/>
          </w:rPr>
          <w:fldChar w:fldCharType="begin"/>
        </w:r>
        <w:r w:rsidR="00830E46">
          <w:rPr>
            <w:webHidden/>
          </w:rPr>
          <w:instrText xml:space="preserve"> PAGEREF _Toc141704581 \h </w:instrText>
        </w:r>
        <w:r w:rsidR="00830E46">
          <w:rPr>
            <w:webHidden/>
          </w:rPr>
        </w:r>
        <w:r w:rsidR="00830E46">
          <w:rPr>
            <w:webHidden/>
          </w:rPr>
          <w:fldChar w:fldCharType="separate"/>
        </w:r>
        <w:r w:rsidR="0061517C">
          <w:rPr>
            <w:webHidden/>
          </w:rPr>
          <w:t>48</w:t>
        </w:r>
        <w:r w:rsidR="00830E46">
          <w:rPr>
            <w:webHidden/>
          </w:rPr>
          <w:fldChar w:fldCharType="end"/>
        </w:r>
      </w:hyperlink>
    </w:p>
    <w:p w14:paraId="4BB3544E" w14:textId="1F65918C" w:rsidR="00830E46" w:rsidRDefault="00F9095E" w:rsidP="00830E46">
      <w:pPr>
        <w:pStyle w:val="TOC2"/>
        <w:tabs>
          <w:tab w:val="left" w:pos="851"/>
        </w:tabs>
        <w:rPr>
          <w:rFonts w:eastAsiaTheme="minorEastAsia"/>
          <w:lang w:eastAsia="en-AU"/>
        </w:rPr>
      </w:pPr>
      <w:hyperlink w:anchor="_Toc141704582" w:history="1">
        <w:r w:rsidR="00830E46" w:rsidRPr="006A4B15">
          <w:rPr>
            <w:rStyle w:val="Hyperlink"/>
          </w:rPr>
          <w:t>3.4</w:t>
        </w:r>
        <w:r w:rsidR="00830E46">
          <w:rPr>
            <w:rFonts w:eastAsiaTheme="minorEastAsia"/>
            <w:lang w:eastAsia="en-AU"/>
          </w:rPr>
          <w:tab/>
        </w:r>
        <w:r w:rsidR="00830E46" w:rsidRPr="006A4B15">
          <w:rPr>
            <w:rStyle w:val="Hyperlink"/>
          </w:rPr>
          <w:t>Pesticides and other organic contaminants</w:t>
        </w:r>
        <w:r w:rsidR="00830E46">
          <w:rPr>
            <w:webHidden/>
          </w:rPr>
          <w:tab/>
        </w:r>
        <w:r w:rsidR="00830E46">
          <w:rPr>
            <w:webHidden/>
          </w:rPr>
          <w:fldChar w:fldCharType="begin"/>
        </w:r>
        <w:r w:rsidR="00830E46">
          <w:rPr>
            <w:webHidden/>
          </w:rPr>
          <w:instrText xml:space="preserve"> PAGEREF _Toc141704582 \h </w:instrText>
        </w:r>
        <w:r w:rsidR="00830E46">
          <w:rPr>
            <w:webHidden/>
          </w:rPr>
        </w:r>
        <w:r w:rsidR="00830E46">
          <w:rPr>
            <w:webHidden/>
          </w:rPr>
          <w:fldChar w:fldCharType="separate"/>
        </w:r>
        <w:r w:rsidR="0061517C">
          <w:rPr>
            <w:webHidden/>
          </w:rPr>
          <w:t>48</w:t>
        </w:r>
        <w:r w:rsidR="00830E46">
          <w:rPr>
            <w:webHidden/>
          </w:rPr>
          <w:fldChar w:fldCharType="end"/>
        </w:r>
      </w:hyperlink>
    </w:p>
    <w:p w14:paraId="39B61FEF" w14:textId="4CC12CB1" w:rsidR="00830E46" w:rsidRDefault="00F9095E" w:rsidP="00830E46">
      <w:pPr>
        <w:pStyle w:val="TOC2"/>
        <w:tabs>
          <w:tab w:val="left" w:pos="851"/>
        </w:tabs>
        <w:rPr>
          <w:rFonts w:eastAsiaTheme="minorEastAsia"/>
          <w:lang w:eastAsia="en-AU"/>
        </w:rPr>
      </w:pPr>
      <w:hyperlink w:anchor="_Toc141704583" w:history="1">
        <w:r w:rsidR="00830E46" w:rsidRPr="006A4B15">
          <w:rPr>
            <w:rStyle w:val="Hyperlink"/>
          </w:rPr>
          <w:t>3.5</w:t>
        </w:r>
        <w:r w:rsidR="00830E46">
          <w:rPr>
            <w:rFonts w:eastAsiaTheme="minorEastAsia"/>
            <w:lang w:eastAsia="en-AU"/>
          </w:rPr>
          <w:tab/>
        </w:r>
        <w:r w:rsidR="00830E46" w:rsidRPr="006A4B15">
          <w:rPr>
            <w:rStyle w:val="Hyperlink"/>
          </w:rPr>
          <w:t>Radionucleotides (radiological quality)</w:t>
        </w:r>
        <w:r w:rsidR="00830E46">
          <w:rPr>
            <w:webHidden/>
          </w:rPr>
          <w:tab/>
        </w:r>
        <w:r w:rsidR="00830E46">
          <w:rPr>
            <w:webHidden/>
          </w:rPr>
          <w:fldChar w:fldCharType="begin"/>
        </w:r>
        <w:r w:rsidR="00830E46">
          <w:rPr>
            <w:webHidden/>
          </w:rPr>
          <w:instrText xml:space="preserve"> PAGEREF _Toc141704583 \h </w:instrText>
        </w:r>
        <w:r w:rsidR="00830E46">
          <w:rPr>
            <w:webHidden/>
          </w:rPr>
        </w:r>
        <w:r w:rsidR="00830E46">
          <w:rPr>
            <w:webHidden/>
          </w:rPr>
          <w:fldChar w:fldCharType="separate"/>
        </w:r>
        <w:r w:rsidR="0061517C">
          <w:rPr>
            <w:webHidden/>
          </w:rPr>
          <w:t>51</w:t>
        </w:r>
        <w:r w:rsidR="00830E46">
          <w:rPr>
            <w:webHidden/>
          </w:rPr>
          <w:fldChar w:fldCharType="end"/>
        </w:r>
      </w:hyperlink>
    </w:p>
    <w:p w14:paraId="1AF3E75F" w14:textId="0676FADD" w:rsidR="00830E46" w:rsidRDefault="00F9095E">
      <w:pPr>
        <w:pStyle w:val="TOC1"/>
        <w:rPr>
          <w:rFonts w:eastAsiaTheme="minorEastAsia"/>
          <w:b w:val="0"/>
          <w:kern w:val="2"/>
          <w:lang w:eastAsia="en-AU"/>
          <w14:ligatures w14:val="standardContextual"/>
        </w:rPr>
      </w:pPr>
      <w:hyperlink w:anchor="_Toc141704584" w:history="1">
        <w:r w:rsidR="00830E46" w:rsidRPr="006A4B15">
          <w:rPr>
            <w:rStyle w:val="Hyperlink"/>
          </w:rPr>
          <w:t>4</w:t>
        </w:r>
        <w:r w:rsidR="00830E46">
          <w:rPr>
            <w:rFonts w:eastAsiaTheme="minorEastAsia"/>
            <w:b w:val="0"/>
            <w:kern w:val="2"/>
            <w:lang w:eastAsia="en-AU"/>
            <w14:ligatures w14:val="standardContextual"/>
          </w:rPr>
          <w:tab/>
        </w:r>
        <w:r w:rsidR="00830E46" w:rsidRPr="006A4B15">
          <w:rPr>
            <w:rStyle w:val="Hyperlink"/>
          </w:rPr>
          <w:t>Glossary</w:t>
        </w:r>
        <w:r w:rsidR="00830E46">
          <w:rPr>
            <w:webHidden/>
          </w:rPr>
          <w:tab/>
        </w:r>
        <w:r w:rsidR="00830E46">
          <w:rPr>
            <w:webHidden/>
          </w:rPr>
          <w:fldChar w:fldCharType="begin"/>
        </w:r>
        <w:r w:rsidR="00830E46">
          <w:rPr>
            <w:webHidden/>
          </w:rPr>
          <w:instrText xml:space="preserve"> PAGEREF _Toc141704584 \h </w:instrText>
        </w:r>
        <w:r w:rsidR="00830E46">
          <w:rPr>
            <w:webHidden/>
          </w:rPr>
        </w:r>
        <w:r w:rsidR="00830E46">
          <w:rPr>
            <w:webHidden/>
          </w:rPr>
          <w:fldChar w:fldCharType="separate"/>
        </w:r>
        <w:r w:rsidR="0061517C">
          <w:rPr>
            <w:webHidden/>
          </w:rPr>
          <w:t>54</w:t>
        </w:r>
        <w:r w:rsidR="00830E46">
          <w:rPr>
            <w:webHidden/>
          </w:rPr>
          <w:fldChar w:fldCharType="end"/>
        </w:r>
      </w:hyperlink>
    </w:p>
    <w:p w14:paraId="19FFEF4C" w14:textId="3A5244AC" w:rsidR="00830E46" w:rsidRDefault="00F9095E">
      <w:pPr>
        <w:pStyle w:val="TOC1"/>
        <w:rPr>
          <w:rFonts w:eastAsiaTheme="minorEastAsia"/>
          <w:b w:val="0"/>
          <w:kern w:val="2"/>
          <w:lang w:eastAsia="en-AU"/>
          <w14:ligatures w14:val="standardContextual"/>
        </w:rPr>
      </w:pPr>
      <w:hyperlink w:anchor="_Toc141704585" w:history="1">
        <w:r w:rsidR="00830E46" w:rsidRPr="006A4B15">
          <w:rPr>
            <w:rStyle w:val="Hyperlink"/>
          </w:rPr>
          <w:t>5</w:t>
        </w:r>
        <w:r w:rsidR="00830E46">
          <w:rPr>
            <w:rFonts w:eastAsiaTheme="minorEastAsia"/>
            <w:b w:val="0"/>
            <w:kern w:val="2"/>
            <w:lang w:eastAsia="en-AU"/>
            <w14:ligatures w14:val="standardContextual"/>
          </w:rPr>
          <w:tab/>
        </w:r>
        <w:r w:rsidR="00830E46" w:rsidRPr="006A4B15">
          <w:rPr>
            <w:rStyle w:val="Hyperlink"/>
          </w:rPr>
          <w:t>References</w:t>
        </w:r>
        <w:r w:rsidR="00830E46">
          <w:rPr>
            <w:webHidden/>
          </w:rPr>
          <w:tab/>
        </w:r>
        <w:r w:rsidR="00830E46">
          <w:rPr>
            <w:webHidden/>
          </w:rPr>
          <w:fldChar w:fldCharType="begin"/>
        </w:r>
        <w:r w:rsidR="00830E46">
          <w:rPr>
            <w:webHidden/>
          </w:rPr>
          <w:instrText xml:space="preserve"> PAGEREF _Toc141704585 \h </w:instrText>
        </w:r>
        <w:r w:rsidR="00830E46">
          <w:rPr>
            <w:webHidden/>
          </w:rPr>
        </w:r>
        <w:r w:rsidR="00830E46">
          <w:rPr>
            <w:webHidden/>
          </w:rPr>
          <w:fldChar w:fldCharType="separate"/>
        </w:r>
        <w:r w:rsidR="0061517C">
          <w:rPr>
            <w:webHidden/>
          </w:rPr>
          <w:t>55</w:t>
        </w:r>
        <w:r w:rsidR="00830E46">
          <w:rPr>
            <w:webHidden/>
          </w:rPr>
          <w:fldChar w:fldCharType="end"/>
        </w:r>
      </w:hyperlink>
    </w:p>
    <w:p w14:paraId="03F59B85" w14:textId="0A8BEA8A" w:rsidR="00AD1731" w:rsidRDefault="00EB38E1" w:rsidP="00CD4CD2">
      <w:pPr>
        <w:pStyle w:val="TOC1"/>
        <w:rPr>
          <w:rFonts w:eastAsiaTheme="minorEastAsia"/>
          <w:lang w:eastAsia="en-AU"/>
        </w:rPr>
      </w:pPr>
      <w:r>
        <w:rPr>
          <w:b w:val="0"/>
          <w:lang w:val="en-US"/>
        </w:rPr>
        <w:fldChar w:fldCharType="end"/>
      </w:r>
      <w:r w:rsidR="000C6B83">
        <w:rPr>
          <w:lang w:val="en-US"/>
        </w:rPr>
        <w:fldChar w:fldCharType="begin"/>
      </w:r>
      <w:r w:rsidR="000C6B83">
        <w:rPr>
          <w:lang w:val="en-US"/>
        </w:rPr>
        <w:instrText xml:space="preserve"> TOC \o "1-4" \h \z \u </w:instrText>
      </w:r>
      <w:r w:rsidR="00F9095E">
        <w:rPr>
          <w:lang w:val="en-US"/>
        </w:rPr>
        <w:fldChar w:fldCharType="separate"/>
      </w:r>
      <w:r w:rsidR="000C6B83">
        <w:rPr>
          <w:lang w:val="en-US"/>
        </w:rPr>
        <w:fldChar w:fldCharType="end"/>
      </w:r>
      <w:r w:rsidRPr="00AF2B72">
        <w:fldChar w:fldCharType="begin"/>
      </w:r>
      <w:r w:rsidR="002D2750" w:rsidRPr="00AF2B72">
        <w:instrText xml:space="preserve"> TOC \c "Figure" </w:instrText>
      </w:r>
      <w:r w:rsidRPr="00AF2B72">
        <w:fldChar w:fldCharType="separate"/>
      </w:r>
    </w:p>
    <w:p w14:paraId="03F59B86" w14:textId="77777777" w:rsidR="001C0D1C" w:rsidRPr="0006206C" w:rsidRDefault="00EB38E1">
      <w:pPr>
        <w:pStyle w:val="TOCHeading2"/>
      </w:pPr>
      <w:r w:rsidRPr="00AF2B72">
        <w:rPr>
          <w:rFonts w:ascii="Cambria" w:hAnsi="Cambria"/>
          <w:color w:val="auto"/>
          <w:sz w:val="22"/>
          <w:szCs w:val="24"/>
        </w:rPr>
        <w:fldChar w:fldCharType="end"/>
      </w:r>
      <w:r w:rsidRPr="0006206C">
        <w:t>Tables</w:t>
      </w:r>
    </w:p>
    <w:p w14:paraId="4BAD7313" w14:textId="022F1836" w:rsidR="00B10F85" w:rsidRDefault="00EB38E1">
      <w:pPr>
        <w:pStyle w:val="TableofFigures"/>
        <w:tabs>
          <w:tab w:val="right" w:leader="dot" w:pos="9060"/>
        </w:tabs>
        <w:rPr>
          <w:rFonts w:eastAsiaTheme="minorEastAsia"/>
          <w:noProof/>
          <w:lang w:eastAsia="en-AU"/>
        </w:rPr>
      </w:pPr>
      <w:r>
        <w:rPr>
          <w:bCs/>
          <w:highlight w:val="yellow"/>
        </w:rPr>
        <w:fldChar w:fldCharType="begin"/>
      </w:r>
      <w:r>
        <w:rPr>
          <w:bCs/>
          <w:highlight w:val="yellow"/>
        </w:rPr>
        <w:instrText xml:space="preserve"> TOC \t "Caption,AWT Caption" \c </w:instrText>
      </w:r>
      <w:r>
        <w:rPr>
          <w:bCs/>
          <w:highlight w:val="yellow"/>
        </w:rPr>
        <w:fldChar w:fldCharType="separate"/>
      </w:r>
      <w:r w:rsidR="00B10F85">
        <w:rPr>
          <w:noProof/>
        </w:rPr>
        <w:t>Table 1.1 Summary of guideline values for livestock drinking water</w:t>
      </w:r>
      <w:r w:rsidR="00B10F85">
        <w:rPr>
          <w:noProof/>
        </w:rPr>
        <w:tab/>
      </w:r>
      <w:r w:rsidR="00B10F85">
        <w:rPr>
          <w:noProof/>
        </w:rPr>
        <w:fldChar w:fldCharType="begin"/>
      </w:r>
      <w:r w:rsidR="00B10F85">
        <w:rPr>
          <w:noProof/>
        </w:rPr>
        <w:instrText xml:space="preserve"> PAGEREF _Toc148089839 \h </w:instrText>
      </w:r>
      <w:r w:rsidR="00B10F85">
        <w:rPr>
          <w:noProof/>
        </w:rPr>
      </w:r>
      <w:r w:rsidR="00B10F85">
        <w:rPr>
          <w:noProof/>
        </w:rPr>
        <w:fldChar w:fldCharType="separate"/>
      </w:r>
      <w:r w:rsidR="0061517C">
        <w:rPr>
          <w:noProof/>
        </w:rPr>
        <w:t>1</w:t>
      </w:r>
      <w:r w:rsidR="00B10F85">
        <w:rPr>
          <w:noProof/>
        </w:rPr>
        <w:fldChar w:fldCharType="end"/>
      </w:r>
    </w:p>
    <w:p w14:paraId="582478D7" w14:textId="6BB41E6B" w:rsidR="00B10F85" w:rsidRDefault="00B10F85">
      <w:pPr>
        <w:pStyle w:val="TableofFigures"/>
        <w:tabs>
          <w:tab w:val="right" w:leader="dot" w:pos="9060"/>
        </w:tabs>
        <w:rPr>
          <w:rFonts w:eastAsiaTheme="minorEastAsia"/>
          <w:noProof/>
          <w:lang w:eastAsia="en-AU"/>
        </w:rPr>
      </w:pPr>
      <w:r>
        <w:rPr>
          <w:noProof/>
        </w:rPr>
        <w:t>Table 2.1 Livestock water requirements</w:t>
      </w:r>
      <w:r>
        <w:rPr>
          <w:noProof/>
        </w:rPr>
        <w:tab/>
      </w:r>
      <w:r>
        <w:rPr>
          <w:noProof/>
        </w:rPr>
        <w:fldChar w:fldCharType="begin"/>
      </w:r>
      <w:r>
        <w:rPr>
          <w:noProof/>
        </w:rPr>
        <w:instrText xml:space="preserve"> PAGEREF _Toc148089840 \h </w:instrText>
      </w:r>
      <w:r>
        <w:rPr>
          <w:noProof/>
        </w:rPr>
      </w:r>
      <w:r>
        <w:rPr>
          <w:noProof/>
        </w:rPr>
        <w:fldChar w:fldCharType="separate"/>
      </w:r>
      <w:r w:rsidR="0061517C">
        <w:rPr>
          <w:noProof/>
        </w:rPr>
        <w:t>5</w:t>
      </w:r>
      <w:r>
        <w:rPr>
          <w:noProof/>
        </w:rPr>
        <w:fldChar w:fldCharType="end"/>
      </w:r>
    </w:p>
    <w:p w14:paraId="0A3CC140" w14:textId="2B70381B" w:rsidR="00B10F85" w:rsidRDefault="00B10F85">
      <w:pPr>
        <w:pStyle w:val="TableofFigures"/>
        <w:tabs>
          <w:tab w:val="right" w:leader="dot" w:pos="9060"/>
        </w:tabs>
        <w:rPr>
          <w:rFonts w:eastAsiaTheme="minorEastAsia"/>
          <w:noProof/>
          <w:lang w:eastAsia="en-AU"/>
        </w:rPr>
      </w:pPr>
      <w:r>
        <w:rPr>
          <w:noProof/>
        </w:rPr>
        <w:t>Figure 2.1 Weight of evidence approach to risk management for livestock drinking water</w:t>
      </w:r>
      <w:r>
        <w:rPr>
          <w:noProof/>
        </w:rPr>
        <w:tab/>
      </w:r>
      <w:r>
        <w:rPr>
          <w:noProof/>
        </w:rPr>
        <w:fldChar w:fldCharType="begin"/>
      </w:r>
      <w:r>
        <w:rPr>
          <w:noProof/>
        </w:rPr>
        <w:instrText xml:space="preserve"> PAGEREF _Toc148089841 \h </w:instrText>
      </w:r>
      <w:r>
        <w:rPr>
          <w:noProof/>
        </w:rPr>
      </w:r>
      <w:r>
        <w:rPr>
          <w:noProof/>
        </w:rPr>
        <w:fldChar w:fldCharType="separate"/>
      </w:r>
      <w:r w:rsidR="0061517C">
        <w:rPr>
          <w:noProof/>
        </w:rPr>
        <w:t>6</w:t>
      </w:r>
      <w:r>
        <w:rPr>
          <w:noProof/>
        </w:rPr>
        <w:fldChar w:fldCharType="end"/>
      </w:r>
    </w:p>
    <w:p w14:paraId="260649E1" w14:textId="2D286D15" w:rsidR="00B10F85" w:rsidRDefault="00B10F85">
      <w:pPr>
        <w:pStyle w:val="TableofFigures"/>
        <w:tabs>
          <w:tab w:val="right" w:leader="dot" w:pos="9060"/>
        </w:tabs>
        <w:rPr>
          <w:rFonts w:eastAsiaTheme="minorEastAsia"/>
          <w:noProof/>
          <w:lang w:eastAsia="en-AU"/>
        </w:rPr>
      </w:pPr>
      <w:r>
        <w:rPr>
          <w:noProof/>
        </w:rPr>
        <w:t>Table 3.1 Data for deriving guideline values for microcystin-LR toxicity equivalents</w:t>
      </w:r>
      <w:r>
        <w:rPr>
          <w:noProof/>
        </w:rPr>
        <w:tab/>
      </w:r>
      <w:r>
        <w:rPr>
          <w:noProof/>
        </w:rPr>
        <w:fldChar w:fldCharType="begin"/>
      </w:r>
      <w:r>
        <w:rPr>
          <w:noProof/>
        </w:rPr>
        <w:instrText xml:space="preserve"> PAGEREF _Toc148089843 \h </w:instrText>
      </w:r>
      <w:r>
        <w:rPr>
          <w:noProof/>
        </w:rPr>
      </w:r>
      <w:r>
        <w:rPr>
          <w:noProof/>
        </w:rPr>
        <w:fldChar w:fldCharType="separate"/>
      </w:r>
      <w:r w:rsidR="0061517C">
        <w:rPr>
          <w:noProof/>
        </w:rPr>
        <w:t>11</w:t>
      </w:r>
      <w:r>
        <w:rPr>
          <w:noProof/>
        </w:rPr>
        <w:fldChar w:fldCharType="end"/>
      </w:r>
    </w:p>
    <w:p w14:paraId="5A4D0C63" w14:textId="70274374" w:rsidR="00B10F85" w:rsidRDefault="00B10F85">
      <w:pPr>
        <w:pStyle w:val="TableofFigures"/>
        <w:tabs>
          <w:tab w:val="right" w:leader="dot" w:pos="9060"/>
        </w:tabs>
        <w:rPr>
          <w:rFonts w:eastAsiaTheme="minorEastAsia"/>
          <w:noProof/>
          <w:lang w:eastAsia="en-AU"/>
        </w:rPr>
      </w:pPr>
      <w:r>
        <w:rPr>
          <w:noProof/>
        </w:rPr>
        <w:t>Table 3.2 Subchronic action level for toxins, beef and dairy cattle</w:t>
      </w:r>
      <w:r>
        <w:rPr>
          <w:noProof/>
        </w:rPr>
        <w:tab/>
      </w:r>
      <w:r>
        <w:rPr>
          <w:noProof/>
        </w:rPr>
        <w:fldChar w:fldCharType="begin"/>
      </w:r>
      <w:r>
        <w:rPr>
          <w:noProof/>
        </w:rPr>
        <w:instrText xml:space="preserve"> PAGEREF _Toc148089844 \h </w:instrText>
      </w:r>
      <w:r>
        <w:rPr>
          <w:noProof/>
        </w:rPr>
      </w:r>
      <w:r>
        <w:rPr>
          <w:noProof/>
        </w:rPr>
        <w:fldChar w:fldCharType="separate"/>
      </w:r>
      <w:r w:rsidR="0061517C">
        <w:rPr>
          <w:noProof/>
        </w:rPr>
        <w:t>11</w:t>
      </w:r>
      <w:r>
        <w:rPr>
          <w:noProof/>
        </w:rPr>
        <w:fldChar w:fldCharType="end"/>
      </w:r>
    </w:p>
    <w:p w14:paraId="58E10F06" w14:textId="7D036FC8" w:rsidR="00B10F85" w:rsidRDefault="00B10F85">
      <w:pPr>
        <w:pStyle w:val="TableofFigures"/>
        <w:tabs>
          <w:tab w:val="right" w:leader="dot" w:pos="9060"/>
        </w:tabs>
        <w:rPr>
          <w:rFonts w:eastAsiaTheme="minorEastAsia"/>
          <w:noProof/>
          <w:lang w:eastAsia="en-AU"/>
        </w:rPr>
      </w:pPr>
      <w:r>
        <w:rPr>
          <w:noProof/>
        </w:rPr>
        <w:t>Table 3.3 Likelihood of cyanobacterial growth</w:t>
      </w:r>
      <w:r>
        <w:rPr>
          <w:noProof/>
        </w:rPr>
        <w:tab/>
      </w:r>
      <w:r>
        <w:rPr>
          <w:noProof/>
        </w:rPr>
        <w:fldChar w:fldCharType="begin"/>
      </w:r>
      <w:r>
        <w:rPr>
          <w:noProof/>
        </w:rPr>
        <w:instrText xml:space="preserve"> PAGEREF _Toc148089845 \h </w:instrText>
      </w:r>
      <w:r>
        <w:rPr>
          <w:noProof/>
        </w:rPr>
      </w:r>
      <w:r>
        <w:rPr>
          <w:noProof/>
        </w:rPr>
        <w:fldChar w:fldCharType="separate"/>
      </w:r>
      <w:r w:rsidR="0061517C">
        <w:rPr>
          <w:noProof/>
        </w:rPr>
        <w:t>12</w:t>
      </w:r>
      <w:r>
        <w:rPr>
          <w:noProof/>
        </w:rPr>
        <w:fldChar w:fldCharType="end"/>
      </w:r>
    </w:p>
    <w:p w14:paraId="4D0A49F2" w14:textId="5CE2E138" w:rsidR="00B10F85" w:rsidRDefault="00B10F85">
      <w:pPr>
        <w:pStyle w:val="TableofFigures"/>
        <w:tabs>
          <w:tab w:val="right" w:leader="dot" w:pos="9060"/>
        </w:tabs>
        <w:rPr>
          <w:rFonts w:eastAsiaTheme="minorEastAsia"/>
          <w:noProof/>
          <w:lang w:eastAsia="en-AU"/>
        </w:rPr>
      </w:pPr>
      <w:r>
        <w:rPr>
          <w:noProof/>
        </w:rPr>
        <w:t>Table 3.4 Example of cyanobacteria risk management plan</w:t>
      </w:r>
      <w:r>
        <w:rPr>
          <w:noProof/>
        </w:rPr>
        <w:tab/>
      </w:r>
      <w:r>
        <w:rPr>
          <w:noProof/>
        </w:rPr>
        <w:fldChar w:fldCharType="begin"/>
      </w:r>
      <w:r>
        <w:rPr>
          <w:noProof/>
        </w:rPr>
        <w:instrText xml:space="preserve"> PAGEREF _Toc148089846 \h </w:instrText>
      </w:r>
      <w:r>
        <w:rPr>
          <w:noProof/>
        </w:rPr>
      </w:r>
      <w:r>
        <w:rPr>
          <w:noProof/>
        </w:rPr>
        <w:fldChar w:fldCharType="separate"/>
      </w:r>
      <w:r w:rsidR="0061517C">
        <w:rPr>
          <w:noProof/>
        </w:rPr>
        <w:t>13</w:t>
      </w:r>
      <w:r>
        <w:rPr>
          <w:noProof/>
        </w:rPr>
        <w:fldChar w:fldCharType="end"/>
      </w:r>
    </w:p>
    <w:p w14:paraId="1EC3B0EB" w14:textId="6B387274" w:rsidR="00B10F85" w:rsidRDefault="00B10F85">
      <w:pPr>
        <w:pStyle w:val="TableofFigures"/>
        <w:tabs>
          <w:tab w:val="right" w:leader="dot" w:pos="9060"/>
        </w:tabs>
        <w:rPr>
          <w:rFonts w:eastAsiaTheme="minorEastAsia"/>
          <w:noProof/>
          <w:lang w:eastAsia="en-AU"/>
        </w:rPr>
      </w:pPr>
      <w:r>
        <w:rPr>
          <w:noProof/>
        </w:rPr>
        <w:t>Table 3.5 Suggested limits for magnesium in livestock drinking water</w:t>
      </w:r>
      <w:r>
        <w:rPr>
          <w:noProof/>
        </w:rPr>
        <w:tab/>
      </w:r>
      <w:r>
        <w:rPr>
          <w:noProof/>
        </w:rPr>
        <w:fldChar w:fldCharType="begin"/>
      </w:r>
      <w:r>
        <w:rPr>
          <w:noProof/>
        </w:rPr>
        <w:instrText xml:space="preserve"> PAGEREF _Toc148089847 \h </w:instrText>
      </w:r>
      <w:r>
        <w:rPr>
          <w:noProof/>
        </w:rPr>
      </w:r>
      <w:r>
        <w:rPr>
          <w:noProof/>
        </w:rPr>
        <w:fldChar w:fldCharType="separate"/>
      </w:r>
      <w:r w:rsidR="0061517C">
        <w:rPr>
          <w:noProof/>
        </w:rPr>
        <w:t>19</w:t>
      </w:r>
      <w:r>
        <w:rPr>
          <w:noProof/>
        </w:rPr>
        <w:fldChar w:fldCharType="end"/>
      </w:r>
    </w:p>
    <w:p w14:paraId="099300BF" w14:textId="5DB8A558" w:rsidR="00B10F85" w:rsidRDefault="00B10F85">
      <w:pPr>
        <w:pStyle w:val="TableofFigures"/>
        <w:tabs>
          <w:tab w:val="right" w:leader="dot" w:pos="9060"/>
        </w:tabs>
        <w:rPr>
          <w:rFonts w:eastAsiaTheme="minorEastAsia"/>
          <w:noProof/>
          <w:lang w:eastAsia="en-AU"/>
        </w:rPr>
      </w:pPr>
      <w:r>
        <w:rPr>
          <w:noProof/>
        </w:rPr>
        <w:t>Table 3.6 Calculated guideline values for nitrate in livestock drinking water</w:t>
      </w:r>
      <w:r>
        <w:rPr>
          <w:noProof/>
        </w:rPr>
        <w:tab/>
      </w:r>
      <w:r>
        <w:rPr>
          <w:noProof/>
        </w:rPr>
        <w:fldChar w:fldCharType="begin"/>
      </w:r>
      <w:r>
        <w:rPr>
          <w:noProof/>
        </w:rPr>
        <w:instrText xml:space="preserve"> PAGEREF _Toc148089849 \h </w:instrText>
      </w:r>
      <w:r>
        <w:rPr>
          <w:noProof/>
        </w:rPr>
      </w:r>
      <w:r>
        <w:rPr>
          <w:noProof/>
        </w:rPr>
        <w:fldChar w:fldCharType="separate"/>
      </w:r>
      <w:r w:rsidR="0061517C">
        <w:rPr>
          <w:noProof/>
        </w:rPr>
        <w:t>21</w:t>
      </w:r>
      <w:r>
        <w:rPr>
          <w:noProof/>
        </w:rPr>
        <w:fldChar w:fldCharType="end"/>
      </w:r>
    </w:p>
    <w:p w14:paraId="679067B1" w14:textId="5393AAF0" w:rsidR="00B10F85" w:rsidRDefault="00B10F85">
      <w:pPr>
        <w:pStyle w:val="TableofFigures"/>
        <w:tabs>
          <w:tab w:val="right" w:leader="dot" w:pos="9060"/>
        </w:tabs>
        <w:rPr>
          <w:rFonts w:eastAsiaTheme="minorEastAsia"/>
          <w:noProof/>
          <w:lang w:eastAsia="en-AU"/>
        </w:rPr>
      </w:pPr>
      <w:r>
        <w:rPr>
          <w:noProof/>
        </w:rPr>
        <w:t>Table 3.7 Calculated guideline values for sulfate in livestock drinking water</w:t>
      </w:r>
      <w:r>
        <w:rPr>
          <w:noProof/>
        </w:rPr>
        <w:tab/>
      </w:r>
      <w:r>
        <w:rPr>
          <w:noProof/>
        </w:rPr>
        <w:fldChar w:fldCharType="begin"/>
      </w:r>
      <w:r>
        <w:rPr>
          <w:noProof/>
        </w:rPr>
        <w:instrText xml:space="preserve"> PAGEREF _Toc148089850 \h </w:instrText>
      </w:r>
      <w:r>
        <w:rPr>
          <w:noProof/>
        </w:rPr>
      </w:r>
      <w:r>
        <w:rPr>
          <w:noProof/>
        </w:rPr>
        <w:fldChar w:fldCharType="separate"/>
      </w:r>
      <w:r w:rsidR="0061517C">
        <w:rPr>
          <w:noProof/>
        </w:rPr>
        <w:t>23</w:t>
      </w:r>
      <w:r>
        <w:rPr>
          <w:noProof/>
        </w:rPr>
        <w:fldChar w:fldCharType="end"/>
      </w:r>
    </w:p>
    <w:p w14:paraId="29E6D602" w14:textId="3852D666" w:rsidR="00B10F85" w:rsidRDefault="00B10F85">
      <w:pPr>
        <w:pStyle w:val="TableofFigures"/>
        <w:tabs>
          <w:tab w:val="right" w:leader="dot" w:pos="9060"/>
        </w:tabs>
        <w:rPr>
          <w:rFonts w:eastAsiaTheme="minorEastAsia"/>
          <w:noProof/>
          <w:lang w:eastAsia="en-AU"/>
        </w:rPr>
      </w:pPr>
      <w:r>
        <w:rPr>
          <w:noProof/>
        </w:rPr>
        <w:t>Table 3.8 Guideline values for total dissolved solids in livestock drinking water</w:t>
      </w:r>
      <w:r>
        <w:rPr>
          <w:noProof/>
        </w:rPr>
        <w:tab/>
      </w:r>
      <w:r>
        <w:rPr>
          <w:noProof/>
        </w:rPr>
        <w:fldChar w:fldCharType="begin"/>
      </w:r>
      <w:r>
        <w:rPr>
          <w:noProof/>
        </w:rPr>
        <w:instrText xml:space="preserve"> PAGEREF _Toc148089851 \h </w:instrText>
      </w:r>
      <w:r>
        <w:rPr>
          <w:noProof/>
        </w:rPr>
      </w:r>
      <w:r>
        <w:rPr>
          <w:noProof/>
        </w:rPr>
        <w:fldChar w:fldCharType="separate"/>
      </w:r>
      <w:r w:rsidR="0061517C">
        <w:rPr>
          <w:noProof/>
        </w:rPr>
        <w:t>25</w:t>
      </w:r>
      <w:r>
        <w:rPr>
          <w:noProof/>
        </w:rPr>
        <w:fldChar w:fldCharType="end"/>
      </w:r>
    </w:p>
    <w:p w14:paraId="59C19A49" w14:textId="2D10FC24" w:rsidR="00B10F85" w:rsidRDefault="00B10F85">
      <w:pPr>
        <w:pStyle w:val="TableofFigures"/>
        <w:tabs>
          <w:tab w:val="right" w:leader="dot" w:pos="9060"/>
        </w:tabs>
        <w:rPr>
          <w:rFonts w:eastAsiaTheme="minorEastAsia"/>
          <w:noProof/>
          <w:lang w:eastAsia="en-AU"/>
        </w:rPr>
      </w:pPr>
      <w:r>
        <w:rPr>
          <w:noProof/>
        </w:rPr>
        <w:t>Table 3.9 Guideline values for total dissolved solids in drinking water for pigs</w:t>
      </w:r>
      <w:r>
        <w:rPr>
          <w:noProof/>
        </w:rPr>
        <w:tab/>
      </w:r>
      <w:r>
        <w:rPr>
          <w:noProof/>
        </w:rPr>
        <w:fldChar w:fldCharType="begin"/>
      </w:r>
      <w:r>
        <w:rPr>
          <w:noProof/>
        </w:rPr>
        <w:instrText xml:space="preserve"> PAGEREF _Toc148089852 \h </w:instrText>
      </w:r>
      <w:r>
        <w:rPr>
          <w:noProof/>
        </w:rPr>
      </w:r>
      <w:r>
        <w:rPr>
          <w:noProof/>
        </w:rPr>
        <w:fldChar w:fldCharType="separate"/>
      </w:r>
      <w:r w:rsidR="0061517C">
        <w:rPr>
          <w:noProof/>
        </w:rPr>
        <w:t>26</w:t>
      </w:r>
      <w:r>
        <w:rPr>
          <w:noProof/>
        </w:rPr>
        <w:fldChar w:fldCharType="end"/>
      </w:r>
    </w:p>
    <w:p w14:paraId="7348C0B4" w14:textId="12F6D29F" w:rsidR="00B10F85" w:rsidRDefault="00B10F85">
      <w:pPr>
        <w:pStyle w:val="TableofFigures"/>
        <w:tabs>
          <w:tab w:val="right" w:leader="dot" w:pos="9060"/>
        </w:tabs>
        <w:rPr>
          <w:rFonts w:eastAsiaTheme="minorEastAsia"/>
          <w:noProof/>
          <w:lang w:eastAsia="en-AU"/>
        </w:rPr>
      </w:pPr>
      <w:r>
        <w:rPr>
          <w:noProof/>
        </w:rPr>
        <w:t>Table 3.10 Calculated guideline values for aluminium in drinking water</w:t>
      </w:r>
      <w:r>
        <w:rPr>
          <w:noProof/>
        </w:rPr>
        <w:tab/>
      </w:r>
      <w:r>
        <w:rPr>
          <w:noProof/>
        </w:rPr>
        <w:fldChar w:fldCharType="begin"/>
      </w:r>
      <w:r>
        <w:rPr>
          <w:noProof/>
        </w:rPr>
        <w:instrText xml:space="preserve"> PAGEREF _Toc148089854 \h </w:instrText>
      </w:r>
      <w:r>
        <w:rPr>
          <w:noProof/>
        </w:rPr>
      </w:r>
      <w:r>
        <w:rPr>
          <w:noProof/>
        </w:rPr>
        <w:fldChar w:fldCharType="separate"/>
      </w:r>
      <w:r w:rsidR="0061517C">
        <w:rPr>
          <w:noProof/>
        </w:rPr>
        <w:t>29</w:t>
      </w:r>
      <w:r>
        <w:rPr>
          <w:noProof/>
        </w:rPr>
        <w:fldChar w:fldCharType="end"/>
      </w:r>
    </w:p>
    <w:p w14:paraId="5D985AC4" w14:textId="2D6AEC25" w:rsidR="00B10F85" w:rsidRDefault="00B10F85">
      <w:pPr>
        <w:pStyle w:val="TableofFigures"/>
        <w:tabs>
          <w:tab w:val="right" w:leader="dot" w:pos="9060"/>
        </w:tabs>
        <w:rPr>
          <w:rFonts w:eastAsiaTheme="minorEastAsia"/>
          <w:noProof/>
          <w:lang w:eastAsia="en-AU"/>
        </w:rPr>
      </w:pPr>
      <w:r>
        <w:rPr>
          <w:noProof/>
        </w:rPr>
        <w:t>Table 3.11 Calculated guideline values for boron in livestock drinking water</w:t>
      </w:r>
      <w:r>
        <w:rPr>
          <w:noProof/>
        </w:rPr>
        <w:tab/>
      </w:r>
      <w:r>
        <w:rPr>
          <w:noProof/>
        </w:rPr>
        <w:fldChar w:fldCharType="begin"/>
      </w:r>
      <w:r>
        <w:rPr>
          <w:noProof/>
        </w:rPr>
        <w:instrText xml:space="preserve"> PAGEREF _Toc148089856 \h </w:instrText>
      </w:r>
      <w:r>
        <w:rPr>
          <w:noProof/>
        </w:rPr>
      </w:r>
      <w:r>
        <w:rPr>
          <w:noProof/>
        </w:rPr>
        <w:fldChar w:fldCharType="separate"/>
      </w:r>
      <w:r w:rsidR="0061517C">
        <w:rPr>
          <w:noProof/>
        </w:rPr>
        <w:t>32</w:t>
      </w:r>
      <w:r>
        <w:rPr>
          <w:noProof/>
        </w:rPr>
        <w:fldChar w:fldCharType="end"/>
      </w:r>
    </w:p>
    <w:p w14:paraId="38DEF529" w14:textId="575B6B31" w:rsidR="00B10F85" w:rsidRDefault="00B10F85">
      <w:pPr>
        <w:pStyle w:val="TableofFigures"/>
        <w:tabs>
          <w:tab w:val="right" w:leader="dot" w:pos="9060"/>
        </w:tabs>
        <w:rPr>
          <w:rFonts w:eastAsiaTheme="minorEastAsia"/>
          <w:noProof/>
          <w:lang w:eastAsia="en-AU"/>
        </w:rPr>
      </w:pPr>
      <w:r>
        <w:rPr>
          <w:noProof/>
        </w:rPr>
        <w:t>Table 3.12 Calculated guideline values for chromium(III) in livestock drinking water</w:t>
      </w:r>
      <w:r>
        <w:rPr>
          <w:noProof/>
        </w:rPr>
        <w:tab/>
      </w:r>
      <w:r>
        <w:rPr>
          <w:noProof/>
        </w:rPr>
        <w:fldChar w:fldCharType="begin"/>
      </w:r>
      <w:r>
        <w:rPr>
          <w:noProof/>
        </w:rPr>
        <w:instrText xml:space="preserve"> PAGEREF _Toc148089857 \h </w:instrText>
      </w:r>
      <w:r>
        <w:rPr>
          <w:noProof/>
        </w:rPr>
      </w:r>
      <w:r>
        <w:rPr>
          <w:noProof/>
        </w:rPr>
        <w:fldChar w:fldCharType="separate"/>
      </w:r>
      <w:r w:rsidR="0061517C">
        <w:rPr>
          <w:noProof/>
        </w:rPr>
        <w:t>35</w:t>
      </w:r>
      <w:r>
        <w:rPr>
          <w:noProof/>
        </w:rPr>
        <w:fldChar w:fldCharType="end"/>
      </w:r>
    </w:p>
    <w:p w14:paraId="5C6FE535" w14:textId="5BEBA536" w:rsidR="00B10F85" w:rsidRDefault="00B10F85">
      <w:pPr>
        <w:pStyle w:val="TableofFigures"/>
        <w:tabs>
          <w:tab w:val="right" w:leader="dot" w:pos="9060"/>
        </w:tabs>
        <w:rPr>
          <w:rFonts w:eastAsiaTheme="minorEastAsia"/>
          <w:noProof/>
          <w:lang w:eastAsia="en-AU"/>
        </w:rPr>
      </w:pPr>
      <w:r>
        <w:rPr>
          <w:noProof/>
        </w:rPr>
        <w:t>Table 3.13 Calculated guideline values for chromium(VI) in livestock drinking water</w:t>
      </w:r>
      <w:r>
        <w:rPr>
          <w:noProof/>
        </w:rPr>
        <w:tab/>
      </w:r>
      <w:r>
        <w:rPr>
          <w:noProof/>
        </w:rPr>
        <w:fldChar w:fldCharType="begin"/>
      </w:r>
      <w:r>
        <w:rPr>
          <w:noProof/>
        </w:rPr>
        <w:instrText xml:space="preserve"> PAGEREF _Toc148089858 \h </w:instrText>
      </w:r>
      <w:r>
        <w:rPr>
          <w:noProof/>
        </w:rPr>
      </w:r>
      <w:r>
        <w:rPr>
          <w:noProof/>
        </w:rPr>
        <w:fldChar w:fldCharType="separate"/>
      </w:r>
      <w:r w:rsidR="0061517C">
        <w:rPr>
          <w:noProof/>
        </w:rPr>
        <w:t>35</w:t>
      </w:r>
      <w:r>
        <w:rPr>
          <w:noProof/>
        </w:rPr>
        <w:fldChar w:fldCharType="end"/>
      </w:r>
    </w:p>
    <w:p w14:paraId="4BB90EC0" w14:textId="512C87F2" w:rsidR="00B10F85" w:rsidRDefault="00B10F85">
      <w:pPr>
        <w:pStyle w:val="TableofFigures"/>
        <w:tabs>
          <w:tab w:val="right" w:leader="dot" w:pos="9060"/>
        </w:tabs>
        <w:rPr>
          <w:rFonts w:eastAsiaTheme="minorEastAsia"/>
          <w:noProof/>
          <w:lang w:eastAsia="en-AU"/>
        </w:rPr>
      </w:pPr>
      <w:r>
        <w:rPr>
          <w:noProof/>
        </w:rPr>
        <w:t>Table 3.14 Calculated guideline values for manganese in livestock drinking water</w:t>
      </w:r>
      <w:r>
        <w:rPr>
          <w:noProof/>
        </w:rPr>
        <w:tab/>
      </w:r>
      <w:r>
        <w:rPr>
          <w:noProof/>
        </w:rPr>
        <w:fldChar w:fldCharType="begin"/>
      </w:r>
      <w:r>
        <w:rPr>
          <w:noProof/>
        </w:rPr>
        <w:instrText xml:space="preserve"> PAGEREF _Toc148089859 \h </w:instrText>
      </w:r>
      <w:r>
        <w:rPr>
          <w:noProof/>
        </w:rPr>
      </w:r>
      <w:r>
        <w:rPr>
          <w:noProof/>
        </w:rPr>
        <w:fldChar w:fldCharType="separate"/>
      </w:r>
      <w:r w:rsidR="0061517C">
        <w:rPr>
          <w:noProof/>
        </w:rPr>
        <w:t>41</w:t>
      </w:r>
      <w:r>
        <w:rPr>
          <w:noProof/>
        </w:rPr>
        <w:fldChar w:fldCharType="end"/>
      </w:r>
    </w:p>
    <w:p w14:paraId="1577B631" w14:textId="1C60353C" w:rsidR="00B10F85" w:rsidRDefault="00B10F85">
      <w:pPr>
        <w:pStyle w:val="TableofFigures"/>
        <w:tabs>
          <w:tab w:val="right" w:leader="dot" w:pos="9060"/>
        </w:tabs>
        <w:rPr>
          <w:rFonts w:eastAsiaTheme="minorEastAsia"/>
          <w:noProof/>
          <w:lang w:eastAsia="en-AU"/>
        </w:rPr>
      </w:pPr>
      <w:r>
        <w:rPr>
          <w:noProof/>
        </w:rPr>
        <w:t>Table 3.15 Calculated guideline values for molybdenum in livestock drinking water</w:t>
      </w:r>
      <w:r>
        <w:rPr>
          <w:noProof/>
        </w:rPr>
        <w:tab/>
      </w:r>
      <w:r>
        <w:rPr>
          <w:noProof/>
        </w:rPr>
        <w:fldChar w:fldCharType="begin"/>
      </w:r>
      <w:r>
        <w:rPr>
          <w:noProof/>
        </w:rPr>
        <w:instrText xml:space="preserve"> PAGEREF _Toc148089860 \h </w:instrText>
      </w:r>
      <w:r>
        <w:rPr>
          <w:noProof/>
        </w:rPr>
      </w:r>
      <w:r>
        <w:rPr>
          <w:noProof/>
        </w:rPr>
        <w:fldChar w:fldCharType="separate"/>
      </w:r>
      <w:r w:rsidR="0061517C">
        <w:rPr>
          <w:noProof/>
        </w:rPr>
        <w:t>44</w:t>
      </w:r>
      <w:r>
        <w:rPr>
          <w:noProof/>
        </w:rPr>
        <w:fldChar w:fldCharType="end"/>
      </w:r>
    </w:p>
    <w:p w14:paraId="2C95327F" w14:textId="0547E954" w:rsidR="00B10F85" w:rsidRDefault="00B10F85">
      <w:pPr>
        <w:pStyle w:val="TableofFigures"/>
        <w:tabs>
          <w:tab w:val="right" w:leader="dot" w:pos="9060"/>
        </w:tabs>
        <w:rPr>
          <w:rFonts w:eastAsiaTheme="minorEastAsia"/>
          <w:noProof/>
          <w:lang w:eastAsia="en-AU"/>
        </w:rPr>
      </w:pPr>
      <w:r>
        <w:rPr>
          <w:noProof/>
        </w:rPr>
        <w:t>Table 3.16 Calculated guideline values for vanadium in livestock drinking water</w:t>
      </w:r>
      <w:r>
        <w:rPr>
          <w:noProof/>
        </w:rPr>
        <w:tab/>
      </w:r>
      <w:r>
        <w:rPr>
          <w:noProof/>
        </w:rPr>
        <w:fldChar w:fldCharType="begin"/>
      </w:r>
      <w:r>
        <w:rPr>
          <w:noProof/>
        </w:rPr>
        <w:instrText xml:space="preserve"> PAGEREF _Toc148089861 \h </w:instrText>
      </w:r>
      <w:r>
        <w:rPr>
          <w:noProof/>
        </w:rPr>
      </w:r>
      <w:r>
        <w:rPr>
          <w:noProof/>
        </w:rPr>
        <w:fldChar w:fldCharType="separate"/>
      </w:r>
      <w:r w:rsidR="0061517C">
        <w:rPr>
          <w:noProof/>
        </w:rPr>
        <w:t>47</w:t>
      </w:r>
      <w:r>
        <w:rPr>
          <w:noProof/>
        </w:rPr>
        <w:fldChar w:fldCharType="end"/>
      </w:r>
    </w:p>
    <w:p w14:paraId="72BEEA8E" w14:textId="4706DFB4" w:rsidR="00B10F85" w:rsidRDefault="00B10F85">
      <w:pPr>
        <w:pStyle w:val="TableofFigures"/>
        <w:tabs>
          <w:tab w:val="right" w:leader="dot" w:pos="9060"/>
        </w:tabs>
        <w:rPr>
          <w:rFonts w:eastAsiaTheme="minorEastAsia"/>
          <w:noProof/>
          <w:lang w:eastAsia="en-AU"/>
        </w:rPr>
      </w:pPr>
      <w:r>
        <w:rPr>
          <w:noProof/>
        </w:rPr>
        <w:t>Table 3.17 Guidline values for radionucleotides in livestock drinking water</w:t>
      </w:r>
      <w:r>
        <w:rPr>
          <w:noProof/>
        </w:rPr>
        <w:tab/>
      </w:r>
      <w:r>
        <w:rPr>
          <w:noProof/>
        </w:rPr>
        <w:fldChar w:fldCharType="begin"/>
      </w:r>
      <w:r>
        <w:rPr>
          <w:noProof/>
        </w:rPr>
        <w:instrText xml:space="preserve"> PAGEREF _Toc148089862 \h </w:instrText>
      </w:r>
      <w:r>
        <w:rPr>
          <w:noProof/>
        </w:rPr>
      </w:r>
      <w:r>
        <w:rPr>
          <w:noProof/>
        </w:rPr>
        <w:fldChar w:fldCharType="separate"/>
      </w:r>
      <w:r w:rsidR="0061517C">
        <w:rPr>
          <w:noProof/>
        </w:rPr>
        <w:t>51</w:t>
      </w:r>
      <w:r>
        <w:rPr>
          <w:noProof/>
        </w:rPr>
        <w:fldChar w:fldCharType="end"/>
      </w:r>
    </w:p>
    <w:p w14:paraId="2C860AEE" w14:textId="1C658A66" w:rsidR="00B10F85" w:rsidRDefault="00B10F85">
      <w:pPr>
        <w:pStyle w:val="TableofFigures"/>
        <w:tabs>
          <w:tab w:val="right" w:leader="dot" w:pos="9060"/>
        </w:tabs>
        <w:rPr>
          <w:rFonts w:eastAsiaTheme="minorEastAsia"/>
          <w:noProof/>
          <w:lang w:eastAsia="en-AU"/>
        </w:rPr>
      </w:pPr>
      <w:r>
        <w:rPr>
          <w:noProof/>
        </w:rPr>
        <w:t>Table 3.18 Operational response to different annual dose values of radionuclides</w:t>
      </w:r>
      <w:r>
        <w:rPr>
          <w:noProof/>
        </w:rPr>
        <w:tab/>
      </w:r>
      <w:r>
        <w:rPr>
          <w:noProof/>
        </w:rPr>
        <w:fldChar w:fldCharType="begin"/>
      </w:r>
      <w:r>
        <w:rPr>
          <w:noProof/>
        </w:rPr>
        <w:instrText xml:space="preserve"> PAGEREF _Toc148089864 \h </w:instrText>
      </w:r>
      <w:r>
        <w:rPr>
          <w:noProof/>
        </w:rPr>
      </w:r>
      <w:r>
        <w:rPr>
          <w:noProof/>
        </w:rPr>
        <w:fldChar w:fldCharType="separate"/>
      </w:r>
      <w:r w:rsidR="0061517C">
        <w:rPr>
          <w:noProof/>
        </w:rPr>
        <w:t>53</w:t>
      </w:r>
      <w:r>
        <w:rPr>
          <w:noProof/>
        </w:rPr>
        <w:fldChar w:fldCharType="end"/>
      </w:r>
    </w:p>
    <w:p w14:paraId="7400EB27" w14:textId="3A1A9D1A" w:rsidR="00E84CA4" w:rsidRDefault="00EB38E1" w:rsidP="00C1087A">
      <w:pPr>
        <w:rPr>
          <w:bCs/>
          <w:highlight w:val="yellow"/>
        </w:rPr>
        <w:sectPr w:rsidR="00E84CA4" w:rsidSect="00691A5A">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134" w:left="1418" w:header="567" w:footer="567" w:gutter="0"/>
          <w:pgNumType w:fmt="lowerRoman"/>
          <w:cols w:space="708"/>
          <w:titlePg/>
          <w:docGrid w:linePitch="360"/>
        </w:sectPr>
      </w:pPr>
      <w:r>
        <w:rPr>
          <w:bCs/>
          <w:highlight w:val="yellow"/>
        </w:rPr>
        <w:fldChar w:fldCharType="end"/>
      </w:r>
    </w:p>
    <w:p w14:paraId="27DEDC9C" w14:textId="3482A98E" w:rsidR="005D4053" w:rsidRPr="00184019" w:rsidRDefault="005C67DF" w:rsidP="00E92133">
      <w:pPr>
        <w:pStyle w:val="Heading2"/>
      </w:pPr>
      <w:bookmarkStart w:id="4" w:name="_Toc134442059"/>
      <w:bookmarkStart w:id="5" w:name="_Toc134442206"/>
      <w:bookmarkStart w:id="6" w:name="_Toc141704547"/>
      <w:bookmarkStart w:id="7" w:name="_Toc134442060"/>
      <w:bookmarkStart w:id="8" w:name="_Toc134442207"/>
      <w:r>
        <w:lastRenderedPageBreak/>
        <w:t>1</w:t>
      </w:r>
      <w:r w:rsidR="0009146C">
        <w:tab/>
      </w:r>
      <w:r w:rsidR="005D4053" w:rsidRPr="00184019">
        <w:t>Summary</w:t>
      </w:r>
      <w:bookmarkEnd w:id="4"/>
      <w:bookmarkEnd w:id="5"/>
      <w:bookmarkEnd w:id="6"/>
    </w:p>
    <w:p w14:paraId="2BC20877" w14:textId="77777777" w:rsidR="005D4053" w:rsidRDefault="005D4053" w:rsidP="005D4053">
      <w:r>
        <w:t xml:space="preserve">Livestock production in Australia and New Zealand relies on surface water, </w:t>
      </w:r>
      <w:proofErr w:type="gramStart"/>
      <w:r>
        <w:t>groundwater</w:t>
      </w:r>
      <w:proofErr w:type="gramEnd"/>
      <w:r>
        <w:t xml:space="preserve"> and reclaimed water supplies. All water for livestock must be fit-for-purpose and adhere to the relevant regulatory and technical requirements.</w:t>
      </w:r>
    </w:p>
    <w:p w14:paraId="4DCB951F" w14:textId="70D7BC0F" w:rsidR="005D4053" w:rsidRDefault="005D4053" w:rsidP="005D4053">
      <w:r>
        <w:t xml:space="preserve">The </w:t>
      </w:r>
      <w:r w:rsidRPr="00FD2341">
        <w:rPr>
          <w:i/>
          <w:iCs/>
        </w:rPr>
        <w:t>Livestock drinking water guidelines</w:t>
      </w:r>
      <w:r w:rsidRPr="00431B26">
        <w:t xml:space="preserve"> </w:t>
      </w:r>
      <w:r>
        <w:t>provide</w:t>
      </w:r>
      <w:r w:rsidRPr="00D20820">
        <w:t xml:space="preserve"> recommended values</w:t>
      </w:r>
      <w:r>
        <w:t xml:space="preserve"> for</w:t>
      </w:r>
      <w:r w:rsidRPr="00D20820">
        <w:t xml:space="preserve"> </w:t>
      </w:r>
      <w:r>
        <w:t xml:space="preserve">biological, </w:t>
      </w:r>
      <w:proofErr w:type="gramStart"/>
      <w:r>
        <w:t>chemical</w:t>
      </w:r>
      <w:proofErr w:type="gramEnd"/>
      <w:r>
        <w:t xml:space="preserve"> and radiological substances that may occur in livestock drinking water</w:t>
      </w:r>
      <w:r w:rsidR="009B03B0">
        <w:t xml:space="preserve"> (Table 1.1)</w:t>
      </w:r>
      <w:r>
        <w:t>. The guideline values are based on the current evidence and literature, with preference given to data from Australia and New Zealand.</w:t>
      </w:r>
    </w:p>
    <w:p w14:paraId="1624A294" w14:textId="1489C1C1" w:rsidR="005D4053" w:rsidRDefault="005D4053" w:rsidP="005D4053">
      <w:r>
        <w:t xml:space="preserve">If levels of the substance in drinking water are below these values, there </w:t>
      </w:r>
      <w:r w:rsidRPr="00D20820">
        <w:t xml:space="preserve">should be little risk of </w:t>
      </w:r>
      <w:r w:rsidR="00572130">
        <w:t>harmful</w:t>
      </w:r>
      <w:r w:rsidR="00572130" w:rsidRPr="00D20820">
        <w:t xml:space="preserve"> </w:t>
      </w:r>
      <w:r w:rsidRPr="00D20820">
        <w:t>effects on animal health.</w:t>
      </w:r>
      <w:r>
        <w:t xml:space="preserve"> Indeed, many of the ions and metals in drinking water are essential for animal </w:t>
      </w:r>
      <w:proofErr w:type="gramStart"/>
      <w:r>
        <w:t>health, but</w:t>
      </w:r>
      <w:proofErr w:type="gramEnd"/>
      <w:r>
        <w:t xml:space="preserve"> can be toxic at higher levels.</w:t>
      </w:r>
    </w:p>
    <w:p w14:paraId="167DB2DA" w14:textId="3758CB72" w:rsidR="005D4053" w:rsidRDefault="00331222" w:rsidP="005D4053">
      <w:pPr>
        <w:ind w:right="-286"/>
      </w:pPr>
      <w:r>
        <w:t>T</w:t>
      </w:r>
      <w:r w:rsidR="005D4053" w:rsidRPr="00D20820">
        <w:t xml:space="preserve">he values </w:t>
      </w:r>
      <w:r w:rsidR="005D4053">
        <w:t>may not be</w:t>
      </w:r>
      <w:r w:rsidR="005D4053" w:rsidRPr="00D20820">
        <w:t xml:space="preserve"> appropriate for all stock types, age</w:t>
      </w:r>
      <w:r w:rsidR="00492AF0">
        <w:t>s</w:t>
      </w:r>
      <w:r w:rsidR="005D4053" w:rsidRPr="00D20820">
        <w:t xml:space="preserve"> and feeding systems.</w:t>
      </w:r>
      <w:r w:rsidR="005D4053" w:rsidRPr="00D564D8">
        <w:t xml:space="preserve"> </w:t>
      </w:r>
      <w:r w:rsidR="005D4053">
        <w:t>For example, young livestock or non-ruminant species may be more sensitive to some substances. In addition, h</w:t>
      </w:r>
      <w:r w:rsidR="005D4053" w:rsidRPr="008200CE">
        <w:t xml:space="preserve">igher concentrations may </w:t>
      </w:r>
      <w:r w:rsidR="005D4053">
        <w:t xml:space="preserve">sometimes </w:t>
      </w:r>
      <w:r w:rsidR="005D4053" w:rsidRPr="008200CE">
        <w:t>be tolerated</w:t>
      </w:r>
      <w:r w:rsidR="005D4053">
        <w:t xml:space="preserve"> (</w:t>
      </w:r>
      <w:proofErr w:type="gramStart"/>
      <w:r w:rsidR="005D4053">
        <w:t>e.g.</w:t>
      </w:r>
      <w:proofErr w:type="gramEnd"/>
      <w:r w:rsidR="005D4053">
        <w:t> aluminium concentrations higher than the given value may be tolerated if dietary phosphorus levels are adequate).</w:t>
      </w:r>
    </w:p>
    <w:p w14:paraId="2C125F6E" w14:textId="5AE4C95E" w:rsidR="00F6664D" w:rsidRDefault="005D4053" w:rsidP="005D4053">
      <w:r>
        <w:t xml:space="preserve">If values are exceeded, potential management actions include </w:t>
      </w:r>
      <w:r w:rsidR="00BA7B61">
        <w:t xml:space="preserve">water treatment, </w:t>
      </w:r>
      <w:r>
        <w:t>changes to water sources, changes to livestock diet</w:t>
      </w:r>
      <w:r w:rsidR="00062123">
        <w:t>, or veterinary treatment</w:t>
      </w:r>
      <w:r>
        <w:t xml:space="preserve">. The </w:t>
      </w:r>
      <w:r w:rsidR="002A6857">
        <w:t>action</w:t>
      </w:r>
      <w:r>
        <w:t xml:space="preserve"> to be taken will depend on the risk level, which will in turn depend on the type of substance and the livestock species and age. Regular assessment of water quality and livestock health are important to ensure producers continue to provide the water quality that is</w:t>
      </w:r>
      <w:r w:rsidRPr="007C2B58">
        <w:t xml:space="preserve"> essential for successful livestock production.</w:t>
      </w:r>
    </w:p>
    <w:p w14:paraId="7C3D02CC" w14:textId="6D1345BD" w:rsidR="005D4053" w:rsidRPr="00DC687E" w:rsidRDefault="005D4053" w:rsidP="00DF778F">
      <w:pPr>
        <w:pStyle w:val="Caption"/>
      </w:pPr>
      <w:bookmarkStart w:id="9" w:name="_Toc148089839"/>
      <w:r w:rsidRPr="00DC687E">
        <w:t xml:space="preserve">Table 1.1 Summary of guideline values for livestock drinking </w:t>
      </w:r>
      <w:proofErr w:type="gramStart"/>
      <w:r w:rsidRPr="00DC687E">
        <w:t>water</w:t>
      </w:r>
      <w:bookmarkEnd w:id="9"/>
      <w:proofErr w:type="gramEnd"/>
    </w:p>
    <w:tbl>
      <w:tblPr>
        <w:tblStyle w:val="TableGrid"/>
        <w:tblW w:w="9356" w:type="dxa"/>
        <w:tblLayout w:type="fixed"/>
        <w:tblLook w:val="04A0" w:firstRow="1" w:lastRow="0" w:firstColumn="1" w:lastColumn="0" w:noHBand="0" w:noVBand="1"/>
      </w:tblPr>
      <w:tblGrid>
        <w:gridCol w:w="1386"/>
        <w:gridCol w:w="2158"/>
        <w:gridCol w:w="3119"/>
        <w:gridCol w:w="2693"/>
      </w:tblGrid>
      <w:tr w:rsidR="005D4053" w14:paraId="4DF15A18" w14:textId="77777777" w:rsidTr="00E96083">
        <w:tc>
          <w:tcPr>
            <w:tcW w:w="3544" w:type="dxa"/>
            <w:gridSpan w:val="2"/>
            <w:tcBorders>
              <w:top w:val="single" w:sz="12" w:space="0" w:color="auto"/>
              <w:left w:val="nil"/>
              <w:bottom w:val="single" w:sz="12" w:space="0" w:color="auto"/>
              <w:right w:val="nil"/>
            </w:tcBorders>
          </w:tcPr>
          <w:p w14:paraId="4BA13D2D" w14:textId="77777777" w:rsidR="005D4053" w:rsidRDefault="005D4053">
            <w:pPr>
              <w:pStyle w:val="TableHeading"/>
            </w:pPr>
            <w:r>
              <w:t>Substance</w:t>
            </w:r>
          </w:p>
        </w:tc>
        <w:tc>
          <w:tcPr>
            <w:tcW w:w="3119" w:type="dxa"/>
            <w:tcBorders>
              <w:top w:val="single" w:sz="12" w:space="0" w:color="auto"/>
              <w:left w:val="nil"/>
              <w:bottom w:val="single" w:sz="12" w:space="0" w:color="auto"/>
              <w:right w:val="nil"/>
            </w:tcBorders>
          </w:tcPr>
          <w:p w14:paraId="03B4C4F0" w14:textId="77777777" w:rsidR="005D4053" w:rsidRDefault="005D4053">
            <w:pPr>
              <w:pStyle w:val="TableHeading"/>
            </w:pPr>
            <w:r>
              <w:t>Guideline value</w:t>
            </w:r>
          </w:p>
        </w:tc>
        <w:tc>
          <w:tcPr>
            <w:tcW w:w="2693" w:type="dxa"/>
            <w:tcBorders>
              <w:top w:val="single" w:sz="12" w:space="0" w:color="auto"/>
              <w:left w:val="nil"/>
              <w:bottom w:val="single" w:sz="12" w:space="0" w:color="auto"/>
              <w:right w:val="nil"/>
            </w:tcBorders>
          </w:tcPr>
          <w:p w14:paraId="48F3D9A5" w14:textId="160DF36B" w:rsidR="005D4053" w:rsidRDefault="005F5A18">
            <w:pPr>
              <w:pStyle w:val="TableHeading"/>
            </w:pPr>
            <w:r>
              <w:t>N</w:t>
            </w:r>
            <w:r w:rsidR="005D4053">
              <w:t>otes</w:t>
            </w:r>
          </w:p>
        </w:tc>
      </w:tr>
      <w:tr w:rsidR="005D4053" w14:paraId="60719C7F" w14:textId="77777777" w:rsidTr="00E96083">
        <w:tc>
          <w:tcPr>
            <w:tcW w:w="1386" w:type="dxa"/>
            <w:vMerge w:val="restart"/>
            <w:tcBorders>
              <w:left w:val="nil"/>
              <w:right w:val="nil"/>
            </w:tcBorders>
          </w:tcPr>
          <w:p w14:paraId="3F1A2BAD" w14:textId="77777777" w:rsidR="005D4053" w:rsidRPr="00FD2341" w:rsidRDefault="005D4053">
            <w:pPr>
              <w:pStyle w:val="TableText"/>
              <w:rPr>
                <w:b/>
                <w:bCs/>
              </w:rPr>
            </w:pPr>
            <w:r w:rsidRPr="00FD2341">
              <w:rPr>
                <w:b/>
                <w:bCs/>
              </w:rPr>
              <w:t>Biological parameters</w:t>
            </w:r>
          </w:p>
        </w:tc>
        <w:tc>
          <w:tcPr>
            <w:tcW w:w="2158" w:type="dxa"/>
            <w:tcBorders>
              <w:left w:val="nil"/>
              <w:right w:val="nil"/>
            </w:tcBorders>
          </w:tcPr>
          <w:p w14:paraId="6A0A6755" w14:textId="77777777" w:rsidR="005D4053" w:rsidRDefault="005D4053">
            <w:pPr>
              <w:pStyle w:val="TableText"/>
            </w:pPr>
            <w:r>
              <w:t>Cyanobacteria</w:t>
            </w:r>
          </w:p>
        </w:tc>
        <w:tc>
          <w:tcPr>
            <w:tcW w:w="3119" w:type="dxa"/>
            <w:tcBorders>
              <w:left w:val="nil"/>
              <w:right w:val="nil"/>
            </w:tcBorders>
          </w:tcPr>
          <w:p w14:paraId="2C2B1FC4" w14:textId="77777777" w:rsidR="005D4053" w:rsidRDefault="005D4053">
            <w:pPr>
              <w:pStyle w:val="TableText"/>
            </w:pPr>
            <w:r>
              <w:t xml:space="preserve">Toxin-producing cyanobacteria </w:t>
            </w:r>
            <w:r>
              <w:rPr>
                <w:rFonts w:cstheme="minorHAnsi"/>
              </w:rPr>
              <w:t>&lt;</w:t>
            </w:r>
            <w:r>
              <w:t>0.4 mm</w:t>
            </w:r>
            <w:r w:rsidRPr="00384C8B">
              <w:rPr>
                <w:vertAlign w:val="superscript"/>
              </w:rPr>
              <w:t>3</w:t>
            </w:r>
            <w:r>
              <w:t>/L, (equivalent to 5,000 cells/mL</w:t>
            </w:r>
            <w:r w:rsidRPr="00AD5978">
              <w:t xml:space="preserve"> of </w:t>
            </w:r>
            <w:r w:rsidRPr="00FD2341">
              <w:rPr>
                <w:i/>
                <w:iCs/>
              </w:rPr>
              <w:t>Microcystis aeruginosa</w:t>
            </w:r>
            <w:r w:rsidRPr="00AD5978">
              <w:t>, or</w:t>
            </w:r>
            <w:r>
              <w:t xml:space="preserve"> 1 µg/L of total </w:t>
            </w:r>
            <w:proofErr w:type="spellStart"/>
            <w:r>
              <w:t>microcystins</w:t>
            </w:r>
            <w:proofErr w:type="spellEnd"/>
            <w:r>
              <w:t>-LR)</w:t>
            </w:r>
          </w:p>
        </w:tc>
        <w:tc>
          <w:tcPr>
            <w:tcW w:w="2693" w:type="dxa"/>
            <w:tcBorders>
              <w:left w:val="nil"/>
              <w:right w:val="nil"/>
            </w:tcBorders>
          </w:tcPr>
          <w:p w14:paraId="0D6E6DA9" w14:textId="77777777" w:rsidR="005D4053" w:rsidRDefault="005D4053">
            <w:pPr>
              <w:pStyle w:val="TableText"/>
            </w:pPr>
            <w:r w:rsidRPr="00007360">
              <w:t>Algal blooms should be treated as toxic</w:t>
            </w:r>
            <w:r>
              <w:t>; remove</w:t>
            </w:r>
            <w:r w:rsidRPr="00007360">
              <w:t xml:space="preserve"> livestock from the water source until the algae are identified and toxicity is determined</w:t>
            </w:r>
          </w:p>
        </w:tc>
      </w:tr>
      <w:tr w:rsidR="005D4053" w14:paraId="284633D0" w14:textId="77777777" w:rsidTr="00E96083">
        <w:tc>
          <w:tcPr>
            <w:tcW w:w="1386" w:type="dxa"/>
            <w:vMerge/>
            <w:tcBorders>
              <w:left w:val="nil"/>
              <w:right w:val="nil"/>
            </w:tcBorders>
          </w:tcPr>
          <w:p w14:paraId="018DA582" w14:textId="77777777" w:rsidR="005D4053" w:rsidRDefault="005D4053">
            <w:pPr>
              <w:pStyle w:val="TableText"/>
            </w:pPr>
          </w:p>
        </w:tc>
        <w:tc>
          <w:tcPr>
            <w:tcW w:w="2158" w:type="dxa"/>
            <w:tcBorders>
              <w:left w:val="nil"/>
              <w:right w:val="nil"/>
            </w:tcBorders>
          </w:tcPr>
          <w:p w14:paraId="321318E3" w14:textId="77777777" w:rsidR="005D4053" w:rsidRDefault="005D4053">
            <w:pPr>
              <w:pStyle w:val="TableText"/>
            </w:pPr>
            <w:r>
              <w:t>Pathogens and parasites</w:t>
            </w:r>
          </w:p>
        </w:tc>
        <w:tc>
          <w:tcPr>
            <w:tcW w:w="3119" w:type="dxa"/>
            <w:tcBorders>
              <w:left w:val="nil"/>
              <w:right w:val="nil"/>
            </w:tcBorders>
          </w:tcPr>
          <w:p w14:paraId="21AE79D6" w14:textId="77777777" w:rsidR="005D4053" w:rsidRDefault="005D4053">
            <w:pPr>
              <w:pStyle w:val="TableText"/>
            </w:pPr>
            <w:r>
              <w:rPr>
                <w:rFonts w:cstheme="minorHAnsi"/>
              </w:rPr>
              <w:t>&lt;</w:t>
            </w:r>
            <w:r>
              <w:t>100 </w:t>
            </w:r>
            <w:proofErr w:type="spellStart"/>
            <w:r>
              <w:t>cfu</w:t>
            </w:r>
            <w:proofErr w:type="spellEnd"/>
            <w:r>
              <w:t xml:space="preserve">/100 mL (median value) of </w:t>
            </w:r>
            <w:r w:rsidRPr="002F6859">
              <w:rPr>
                <w:rStyle w:val="Emphasis"/>
              </w:rPr>
              <w:t>E.</w:t>
            </w:r>
            <w:r>
              <w:rPr>
                <w:rStyle w:val="Emphasis"/>
              </w:rPr>
              <w:t> c</w:t>
            </w:r>
            <w:r w:rsidRPr="002F6859">
              <w:rPr>
                <w:rStyle w:val="Emphasis"/>
              </w:rPr>
              <w:t>oli</w:t>
            </w:r>
          </w:p>
        </w:tc>
        <w:tc>
          <w:tcPr>
            <w:tcW w:w="2693" w:type="dxa"/>
            <w:tcBorders>
              <w:left w:val="nil"/>
              <w:right w:val="nil"/>
            </w:tcBorders>
          </w:tcPr>
          <w:p w14:paraId="3D84BCA7" w14:textId="77777777" w:rsidR="005D4053" w:rsidRDefault="005D4053">
            <w:pPr>
              <w:pStyle w:val="TableText"/>
            </w:pPr>
            <w:r w:rsidRPr="00F74889">
              <w:rPr>
                <w:rStyle w:val="Emphasis"/>
              </w:rPr>
              <w:t>E.</w:t>
            </w:r>
            <w:r>
              <w:rPr>
                <w:rStyle w:val="Emphasis"/>
              </w:rPr>
              <w:t> </w:t>
            </w:r>
            <w:r w:rsidRPr="00F74889">
              <w:rPr>
                <w:rStyle w:val="Emphasis"/>
              </w:rPr>
              <w:t>coli</w:t>
            </w:r>
            <w:r>
              <w:t xml:space="preserve"> is a critical indicator to manage pathogenic infection risk </w:t>
            </w:r>
          </w:p>
        </w:tc>
      </w:tr>
      <w:tr w:rsidR="005D4053" w14:paraId="07A19F6D" w14:textId="77777777" w:rsidTr="00E96083">
        <w:tc>
          <w:tcPr>
            <w:tcW w:w="1386" w:type="dxa"/>
            <w:vMerge w:val="restart"/>
            <w:tcBorders>
              <w:left w:val="nil"/>
              <w:right w:val="nil"/>
            </w:tcBorders>
          </w:tcPr>
          <w:p w14:paraId="283E8C54" w14:textId="77777777" w:rsidR="005D4053" w:rsidRPr="00FD2341" w:rsidRDefault="005D4053">
            <w:pPr>
              <w:pStyle w:val="TableText"/>
              <w:rPr>
                <w:b/>
                <w:bCs/>
              </w:rPr>
            </w:pPr>
            <w:r w:rsidRPr="00FD2341">
              <w:rPr>
                <w:b/>
                <w:bCs/>
              </w:rPr>
              <w:t>Main ions of concern</w:t>
            </w:r>
          </w:p>
        </w:tc>
        <w:tc>
          <w:tcPr>
            <w:tcW w:w="2158" w:type="dxa"/>
            <w:tcBorders>
              <w:left w:val="nil"/>
              <w:right w:val="nil"/>
            </w:tcBorders>
          </w:tcPr>
          <w:p w14:paraId="029A3D39" w14:textId="77777777" w:rsidR="005D4053" w:rsidRDefault="005D4053">
            <w:pPr>
              <w:pStyle w:val="TableText"/>
            </w:pPr>
            <w:r>
              <w:t>Calcium</w:t>
            </w:r>
          </w:p>
        </w:tc>
        <w:tc>
          <w:tcPr>
            <w:tcW w:w="3119" w:type="dxa"/>
            <w:tcBorders>
              <w:left w:val="nil"/>
              <w:right w:val="nil"/>
            </w:tcBorders>
          </w:tcPr>
          <w:p w14:paraId="722B6ADA" w14:textId="77777777" w:rsidR="005D4053" w:rsidRDefault="005D4053">
            <w:pPr>
              <w:pStyle w:val="TableText"/>
            </w:pPr>
            <w:r>
              <w:rPr>
                <w:rFonts w:cstheme="minorHAnsi"/>
              </w:rPr>
              <w:t>&lt;</w:t>
            </w:r>
            <w:r>
              <w:t>1,000 mg/L</w:t>
            </w:r>
          </w:p>
        </w:tc>
        <w:tc>
          <w:tcPr>
            <w:tcW w:w="2693" w:type="dxa"/>
            <w:tcBorders>
              <w:left w:val="nil"/>
              <w:right w:val="nil"/>
            </w:tcBorders>
          </w:tcPr>
          <w:p w14:paraId="06AF216A" w14:textId="77777777" w:rsidR="005D4053" w:rsidRDefault="005D4053">
            <w:pPr>
              <w:pStyle w:val="TableText"/>
            </w:pPr>
            <w:r>
              <w:t>If dietary phosphorus levels are adequate</w:t>
            </w:r>
          </w:p>
        </w:tc>
      </w:tr>
      <w:tr w:rsidR="005D4053" w14:paraId="5CB72163" w14:textId="77777777" w:rsidTr="00E96083">
        <w:tc>
          <w:tcPr>
            <w:tcW w:w="1386" w:type="dxa"/>
            <w:vMerge/>
            <w:tcBorders>
              <w:left w:val="nil"/>
              <w:right w:val="nil"/>
            </w:tcBorders>
          </w:tcPr>
          <w:p w14:paraId="5E6DC9C0" w14:textId="77777777" w:rsidR="005D4053" w:rsidRDefault="005D4053">
            <w:pPr>
              <w:pStyle w:val="TableText"/>
            </w:pPr>
          </w:p>
        </w:tc>
        <w:tc>
          <w:tcPr>
            <w:tcW w:w="2158" w:type="dxa"/>
            <w:tcBorders>
              <w:left w:val="nil"/>
              <w:right w:val="nil"/>
            </w:tcBorders>
          </w:tcPr>
          <w:p w14:paraId="34E1AA96" w14:textId="77777777" w:rsidR="005D4053" w:rsidRDefault="005D4053">
            <w:pPr>
              <w:pStyle w:val="TableText"/>
            </w:pPr>
            <w:r>
              <w:t>Magnesium</w:t>
            </w:r>
          </w:p>
        </w:tc>
        <w:tc>
          <w:tcPr>
            <w:tcW w:w="3119" w:type="dxa"/>
            <w:tcBorders>
              <w:left w:val="nil"/>
              <w:right w:val="nil"/>
            </w:tcBorders>
          </w:tcPr>
          <w:p w14:paraId="5059FC2E" w14:textId="77777777" w:rsidR="005D4053" w:rsidRDefault="005D4053">
            <w:pPr>
              <w:pStyle w:val="TableText"/>
            </w:pPr>
            <w:r>
              <w:t>&lt;500 mg/L (ruminants in general)</w:t>
            </w:r>
          </w:p>
          <w:p w14:paraId="272C59B0" w14:textId="77777777" w:rsidR="005D4053" w:rsidRDefault="005D4053">
            <w:pPr>
              <w:pStyle w:val="TableText"/>
            </w:pPr>
            <w:r>
              <w:t>&lt;250 mg/L (lactating cows and ewes with lambs)</w:t>
            </w:r>
          </w:p>
          <w:p w14:paraId="6B797AC5" w14:textId="77777777" w:rsidR="005D4053" w:rsidRDefault="005D4053">
            <w:pPr>
              <w:pStyle w:val="TableText"/>
            </w:pPr>
            <w:r>
              <w:t>&lt;125 mg/L (poultry)</w:t>
            </w:r>
          </w:p>
        </w:tc>
        <w:tc>
          <w:tcPr>
            <w:tcW w:w="2693" w:type="dxa"/>
            <w:tcBorders>
              <w:left w:val="nil"/>
              <w:right w:val="nil"/>
            </w:tcBorders>
          </w:tcPr>
          <w:p w14:paraId="2E67BC7F" w14:textId="77777777" w:rsidR="005D4053" w:rsidRDefault="005D4053">
            <w:pPr>
              <w:pStyle w:val="TableText"/>
            </w:pPr>
          </w:p>
        </w:tc>
      </w:tr>
      <w:tr w:rsidR="005D4053" w14:paraId="477E7533" w14:textId="77777777" w:rsidTr="00E96083">
        <w:tc>
          <w:tcPr>
            <w:tcW w:w="1386" w:type="dxa"/>
            <w:vMerge/>
            <w:tcBorders>
              <w:left w:val="nil"/>
              <w:right w:val="nil"/>
            </w:tcBorders>
          </w:tcPr>
          <w:p w14:paraId="7888B737" w14:textId="77777777" w:rsidR="005D4053" w:rsidRDefault="005D4053">
            <w:pPr>
              <w:pStyle w:val="TableText"/>
            </w:pPr>
          </w:p>
        </w:tc>
        <w:tc>
          <w:tcPr>
            <w:tcW w:w="2158" w:type="dxa"/>
            <w:tcBorders>
              <w:left w:val="nil"/>
              <w:right w:val="nil"/>
            </w:tcBorders>
          </w:tcPr>
          <w:p w14:paraId="2FE9BA88" w14:textId="77777777" w:rsidR="005D4053" w:rsidRDefault="005D4053">
            <w:pPr>
              <w:pStyle w:val="TableText"/>
            </w:pPr>
            <w:r>
              <w:t>Nitrate and nitrite</w:t>
            </w:r>
          </w:p>
        </w:tc>
        <w:tc>
          <w:tcPr>
            <w:tcW w:w="3119" w:type="dxa"/>
            <w:tcBorders>
              <w:left w:val="nil"/>
              <w:right w:val="nil"/>
            </w:tcBorders>
          </w:tcPr>
          <w:p w14:paraId="34A5CF7E" w14:textId="3040024D" w:rsidR="005D4053" w:rsidRDefault="005D4053">
            <w:pPr>
              <w:pStyle w:val="TableText"/>
            </w:pPr>
            <w:r w:rsidRPr="00B6503E">
              <w:rPr>
                <w:rFonts w:cs="Times New Roman"/>
              </w:rPr>
              <w:t>&lt;</w:t>
            </w:r>
            <w:r>
              <w:t>100</w:t>
            </w:r>
            <w:r w:rsidR="00E60A5A">
              <w:t> </w:t>
            </w:r>
            <w:r>
              <w:t xml:space="preserve">mg/L nitrate and </w:t>
            </w:r>
            <w:r w:rsidRPr="00B6503E">
              <w:rPr>
                <w:rFonts w:cs="Times New Roman"/>
              </w:rPr>
              <w:t>&lt;</w:t>
            </w:r>
            <w:r>
              <w:t>10 mg/L nitrite (livestock in general)</w:t>
            </w:r>
          </w:p>
          <w:p w14:paraId="5815F7AD" w14:textId="77777777" w:rsidR="005D4053" w:rsidRPr="00B6503E" w:rsidRDefault="005D4053">
            <w:pPr>
              <w:pStyle w:val="TableText"/>
            </w:pPr>
            <w:r w:rsidRPr="00B6503E">
              <w:t>&lt;25 mg/L (poultry)</w:t>
            </w:r>
          </w:p>
          <w:p w14:paraId="5DCB9F0F" w14:textId="77777777" w:rsidR="005D4053" w:rsidRDefault="005D4053">
            <w:pPr>
              <w:pStyle w:val="TableText"/>
            </w:pPr>
            <w:r w:rsidRPr="00B6503E">
              <w:t>&lt;400 mg/L (cattle)</w:t>
            </w:r>
          </w:p>
        </w:tc>
        <w:tc>
          <w:tcPr>
            <w:tcW w:w="2693" w:type="dxa"/>
            <w:tcBorders>
              <w:left w:val="nil"/>
              <w:right w:val="nil"/>
            </w:tcBorders>
          </w:tcPr>
          <w:p w14:paraId="67A1DBE9" w14:textId="77777777" w:rsidR="005D4053" w:rsidRDefault="005D4053">
            <w:pPr>
              <w:pStyle w:val="TableText"/>
            </w:pPr>
            <w:r>
              <w:t>Levels of nitrate tolerance are lowest in poultry, medium in pigs and highest in cattle</w:t>
            </w:r>
          </w:p>
        </w:tc>
      </w:tr>
      <w:tr w:rsidR="005D4053" w14:paraId="54E3B4DC" w14:textId="77777777" w:rsidTr="00E96083">
        <w:tc>
          <w:tcPr>
            <w:tcW w:w="1386" w:type="dxa"/>
            <w:vMerge/>
            <w:tcBorders>
              <w:left w:val="nil"/>
              <w:right w:val="nil"/>
            </w:tcBorders>
          </w:tcPr>
          <w:p w14:paraId="59631385" w14:textId="77777777" w:rsidR="005D4053" w:rsidRDefault="005D4053">
            <w:pPr>
              <w:pStyle w:val="TableText"/>
            </w:pPr>
          </w:p>
        </w:tc>
        <w:tc>
          <w:tcPr>
            <w:tcW w:w="2158" w:type="dxa"/>
            <w:tcBorders>
              <w:left w:val="nil"/>
              <w:right w:val="nil"/>
            </w:tcBorders>
          </w:tcPr>
          <w:p w14:paraId="48F0C808" w14:textId="77777777" w:rsidR="005D4053" w:rsidRDefault="005D4053">
            <w:pPr>
              <w:pStyle w:val="TableText"/>
            </w:pPr>
            <w:proofErr w:type="spellStart"/>
            <w:r>
              <w:t>Sulfate</w:t>
            </w:r>
            <w:proofErr w:type="spellEnd"/>
          </w:p>
        </w:tc>
        <w:tc>
          <w:tcPr>
            <w:tcW w:w="3119" w:type="dxa"/>
            <w:tcBorders>
              <w:left w:val="nil"/>
              <w:right w:val="nil"/>
            </w:tcBorders>
          </w:tcPr>
          <w:p w14:paraId="5836B844" w14:textId="77777777" w:rsidR="005D4053" w:rsidRDefault="005D4053">
            <w:pPr>
              <w:pStyle w:val="TableText"/>
            </w:pPr>
            <w:r>
              <w:rPr>
                <w:rFonts w:cstheme="minorHAnsi"/>
              </w:rPr>
              <w:t>&lt;</w:t>
            </w:r>
            <w:r>
              <w:t>500 mg/L (livestock in general)</w:t>
            </w:r>
          </w:p>
          <w:p w14:paraId="4647EEFB" w14:textId="77777777" w:rsidR="005D4053" w:rsidRDefault="005D4053">
            <w:pPr>
              <w:pStyle w:val="TableText"/>
            </w:pPr>
            <w:r>
              <w:t>&lt;250 mg/L (poultry)</w:t>
            </w:r>
          </w:p>
        </w:tc>
        <w:tc>
          <w:tcPr>
            <w:tcW w:w="2693" w:type="dxa"/>
            <w:tcBorders>
              <w:left w:val="nil"/>
              <w:right w:val="nil"/>
            </w:tcBorders>
          </w:tcPr>
          <w:p w14:paraId="50A7EAB3" w14:textId="2759FDED" w:rsidR="005D4053" w:rsidRDefault="007F7976">
            <w:pPr>
              <w:pStyle w:val="TableText"/>
            </w:pPr>
            <w:r>
              <w:t>Pigs may tolerate higher levels</w:t>
            </w:r>
          </w:p>
        </w:tc>
      </w:tr>
      <w:tr w:rsidR="005D4053" w14:paraId="0168C91F" w14:textId="77777777" w:rsidTr="00E96083">
        <w:tc>
          <w:tcPr>
            <w:tcW w:w="1386" w:type="dxa"/>
            <w:vMerge/>
            <w:tcBorders>
              <w:left w:val="nil"/>
              <w:right w:val="nil"/>
            </w:tcBorders>
          </w:tcPr>
          <w:p w14:paraId="3E9E41FA" w14:textId="77777777" w:rsidR="005D4053" w:rsidRDefault="005D4053">
            <w:pPr>
              <w:pStyle w:val="TableText"/>
            </w:pPr>
          </w:p>
        </w:tc>
        <w:tc>
          <w:tcPr>
            <w:tcW w:w="2158" w:type="dxa"/>
            <w:tcBorders>
              <w:left w:val="nil"/>
              <w:right w:val="nil"/>
            </w:tcBorders>
          </w:tcPr>
          <w:p w14:paraId="5855D66E" w14:textId="77777777" w:rsidR="005D4053" w:rsidRDefault="005D4053">
            <w:pPr>
              <w:pStyle w:val="TableText"/>
            </w:pPr>
            <w:r>
              <w:t>Total dissolved solids (salinity)</w:t>
            </w:r>
          </w:p>
        </w:tc>
        <w:tc>
          <w:tcPr>
            <w:tcW w:w="3119" w:type="dxa"/>
            <w:tcBorders>
              <w:left w:val="nil"/>
              <w:right w:val="nil"/>
            </w:tcBorders>
          </w:tcPr>
          <w:p w14:paraId="70102628" w14:textId="77777777" w:rsidR="005D4053" w:rsidRDefault="005D4053">
            <w:pPr>
              <w:pStyle w:val="TableText"/>
            </w:pPr>
            <w:r>
              <w:t>&lt;500 mg/L</w:t>
            </w:r>
          </w:p>
        </w:tc>
        <w:tc>
          <w:tcPr>
            <w:tcW w:w="2693" w:type="dxa"/>
            <w:tcBorders>
              <w:left w:val="nil"/>
              <w:right w:val="nil"/>
            </w:tcBorders>
          </w:tcPr>
          <w:p w14:paraId="3694B176" w14:textId="77777777" w:rsidR="005D4053" w:rsidRDefault="005D4053">
            <w:pPr>
              <w:pStyle w:val="TableText"/>
            </w:pPr>
          </w:p>
        </w:tc>
      </w:tr>
      <w:tr w:rsidR="005D4053" w14:paraId="6B83290A" w14:textId="77777777" w:rsidTr="00E96083">
        <w:tc>
          <w:tcPr>
            <w:tcW w:w="1386" w:type="dxa"/>
            <w:vMerge w:val="restart"/>
            <w:tcBorders>
              <w:left w:val="nil"/>
              <w:right w:val="nil"/>
            </w:tcBorders>
          </w:tcPr>
          <w:p w14:paraId="2BF86827" w14:textId="77777777" w:rsidR="005D4053" w:rsidRPr="00FD2341" w:rsidRDefault="005D4053">
            <w:pPr>
              <w:pStyle w:val="TableText"/>
              <w:rPr>
                <w:b/>
                <w:bCs/>
              </w:rPr>
            </w:pPr>
            <w:r w:rsidRPr="00FD2341">
              <w:rPr>
                <w:b/>
                <w:bCs/>
              </w:rPr>
              <w:lastRenderedPageBreak/>
              <w:t>Metals and metalloids</w:t>
            </w:r>
          </w:p>
        </w:tc>
        <w:tc>
          <w:tcPr>
            <w:tcW w:w="2158" w:type="dxa"/>
            <w:tcBorders>
              <w:left w:val="nil"/>
              <w:right w:val="nil"/>
            </w:tcBorders>
          </w:tcPr>
          <w:p w14:paraId="73C07B5B" w14:textId="77777777" w:rsidR="005D4053" w:rsidRDefault="005D4053">
            <w:pPr>
              <w:pStyle w:val="TableText"/>
            </w:pPr>
            <w:r w:rsidRPr="008200CE">
              <w:t>Aluminium</w:t>
            </w:r>
          </w:p>
        </w:tc>
        <w:tc>
          <w:tcPr>
            <w:tcW w:w="3119" w:type="dxa"/>
            <w:tcBorders>
              <w:left w:val="nil"/>
              <w:right w:val="nil"/>
            </w:tcBorders>
          </w:tcPr>
          <w:p w14:paraId="3A493993" w14:textId="77777777" w:rsidR="005D4053" w:rsidRPr="001F736D" w:rsidRDefault="005D4053">
            <w:pPr>
              <w:pStyle w:val="TableText"/>
              <w:rPr>
                <w:b/>
                <w:bCs/>
                <w:lang w:val="de-DE"/>
              </w:rPr>
            </w:pPr>
            <w:r w:rsidRPr="001F736D">
              <w:rPr>
                <w:rFonts w:cstheme="minorHAnsi"/>
                <w:lang w:val="de-DE"/>
              </w:rPr>
              <w:t>&lt;</w:t>
            </w:r>
            <w:r w:rsidRPr="001F736D">
              <w:rPr>
                <w:lang w:val="de-DE"/>
              </w:rPr>
              <w:t>5 mg/L</w:t>
            </w:r>
          </w:p>
          <w:p w14:paraId="263280AA" w14:textId="22A500D1" w:rsidR="005D4053" w:rsidRPr="001F736D" w:rsidRDefault="005D4053">
            <w:pPr>
              <w:pStyle w:val="TableText"/>
              <w:rPr>
                <w:lang w:val="de-DE"/>
              </w:rPr>
            </w:pPr>
            <w:r w:rsidRPr="001F736D">
              <w:rPr>
                <w:bCs/>
                <w:lang w:val="de-DE"/>
              </w:rPr>
              <w:t>&lt;3.6</w:t>
            </w:r>
            <w:r w:rsidR="002E7E71">
              <w:t> </w:t>
            </w:r>
            <w:r w:rsidRPr="001F736D">
              <w:rPr>
                <w:lang w:val="de-DE"/>
              </w:rPr>
              <w:t>mg/L</w:t>
            </w:r>
            <w:r w:rsidRPr="001F736D">
              <w:rPr>
                <w:bCs/>
                <w:lang w:val="de-DE"/>
              </w:rPr>
              <w:t xml:space="preserve"> (chickens)</w:t>
            </w:r>
          </w:p>
        </w:tc>
        <w:tc>
          <w:tcPr>
            <w:tcW w:w="2693" w:type="dxa"/>
            <w:tcBorders>
              <w:left w:val="nil"/>
              <w:right w:val="nil"/>
            </w:tcBorders>
          </w:tcPr>
          <w:p w14:paraId="7A7EBF70" w14:textId="77777777" w:rsidR="005D4053" w:rsidRDefault="005D4053">
            <w:pPr>
              <w:pStyle w:val="TableText"/>
            </w:pPr>
            <w:r>
              <w:t>If dietary phosphorus levels are adequate</w:t>
            </w:r>
          </w:p>
        </w:tc>
      </w:tr>
      <w:tr w:rsidR="005D4053" w14:paraId="3DBE4036" w14:textId="77777777" w:rsidTr="00E96083">
        <w:tc>
          <w:tcPr>
            <w:tcW w:w="1386" w:type="dxa"/>
            <w:vMerge/>
            <w:tcBorders>
              <w:left w:val="nil"/>
              <w:right w:val="nil"/>
            </w:tcBorders>
          </w:tcPr>
          <w:p w14:paraId="21CA607E" w14:textId="77777777" w:rsidR="005D4053" w:rsidRPr="008200CE" w:rsidRDefault="005D4053">
            <w:pPr>
              <w:pStyle w:val="TableText"/>
            </w:pPr>
          </w:p>
        </w:tc>
        <w:tc>
          <w:tcPr>
            <w:tcW w:w="2158" w:type="dxa"/>
            <w:tcBorders>
              <w:left w:val="nil"/>
              <w:right w:val="nil"/>
            </w:tcBorders>
          </w:tcPr>
          <w:p w14:paraId="6BE47EFD" w14:textId="77777777" w:rsidR="005D4053" w:rsidRDefault="005D4053">
            <w:pPr>
              <w:pStyle w:val="TableText"/>
            </w:pPr>
            <w:r w:rsidRPr="008200CE">
              <w:t>Arsenic</w:t>
            </w:r>
          </w:p>
        </w:tc>
        <w:tc>
          <w:tcPr>
            <w:tcW w:w="3119" w:type="dxa"/>
            <w:tcBorders>
              <w:left w:val="nil"/>
              <w:right w:val="nil"/>
            </w:tcBorders>
          </w:tcPr>
          <w:p w14:paraId="37E8991C" w14:textId="77777777" w:rsidR="005D4053" w:rsidRDefault="005D4053">
            <w:pPr>
              <w:pStyle w:val="TableText"/>
            </w:pPr>
            <w:r>
              <w:rPr>
                <w:rFonts w:cstheme="minorHAnsi"/>
              </w:rPr>
              <w:t>&lt;</w:t>
            </w:r>
            <w:r>
              <w:t>0.025 mg/L</w:t>
            </w:r>
          </w:p>
        </w:tc>
        <w:tc>
          <w:tcPr>
            <w:tcW w:w="2693" w:type="dxa"/>
            <w:tcBorders>
              <w:left w:val="nil"/>
              <w:right w:val="nil"/>
            </w:tcBorders>
          </w:tcPr>
          <w:p w14:paraId="1ACACAA8" w14:textId="1BC35CE5" w:rsidR="00034D3D" w:rsidRDefault="00034D3D">
            <w:pPr>
              <w:pStyle w:val="TableText"/>
            </w:pPr>
            <w:r>
              <w:t xml:space="preserve">Level </w:t>
            </w:r>
            <w:r w:rsidR="004E377A">
              <w:t xml:space="preserve">should </w:t>
            </w:r>
            <w:r>
              <w:t xml:space="preserve">not be </w:t>
            </w:r>
            <w:proofErr w:type="gramStart"/>
            <w:r>
              <w:t>exceeded</w:t>
            </w:r>
            <w:proofErr w:type="gramEnd"/>
          </w:p>
          <w:p w14:paraId="5FAADEE6" w14:textId="77777777" w:rsidR="005D4053" w:rsidRDefault="005D4053">
            <w:pPr>
              <w:pStyle w:val="TableText"/>
            </w:pPr>
            <w:r>
              <w:t xml:space="preserve">Arsenic is a carcinogen; assessments should be conservative and consider the potential accumulation of arsenic in edible </w:t>
            </w:r>
            <w:proofErr w:type="gramStart"/>
            <w:r>
              <w:t>tissues</w:t>
            </w:r>
            <w:proofErr w:type="gramEnd"/>
          </w:p>
          <w:p w14:paraId="7146A1E8" w14:textId="2F1D1849" w:rsidR="00832531" w:rsidRDefault="00832531" w:rsidP="007768AC">
            <w:r w:rsidRPr="007768AC">
              <w:rPr>
                <w:kern w:val="0"/>
                <w:sz w:val="18"/>
                <w14:ligatures w14:val="none"/>
              </w:rPr>
              <w:t>Consider all factors in assessing the risk of toxicity (</w:t>
            </w:r>
            <w:proofErr w:type="gramStart"/>
            <w:r w:rsidRPr="007768AC">
              <w:rPr>
                <w:kern w:val="0"/>
                <w:sz w:val="18"/>
                <w14:ligatures w14:val="none"/>
              </w:rPr>
              <w:t>e.g.</w:t>
            </w:r>
            <w:proofErr w:type="gramEnd"/>
            <w:r>
              <w:rPr>
                <w:kern w:val="0"/>
                <w:sz w:val="18"/>
                <w14:ligatures w14:val="none"/>
              </w:rPr>
              <w:t> </w:t>
            </w:r>
            <w:r w:rsidRPr="007768AC">
              <w:rPr>
                <w:kern w:val="0"/>
                <w:sz w:val="18"/>
                <w14:ligatures w14:val="none"/>
              </w:rPr>
              <w:t>bioavailability, levels in feed)</w:t>
            </w:r>
          </w:p>
        </w:tc>
      </w:tr>
      <w:tr w:rsidR="005D4053" w14:paraId="7B54E220" w14:textId="77777777" w:rsidTr="00E96083">
        <w:tc>
          <w:tcPr>
            <w:tcW w:w="1386" w:type="dxa"/>
            <w:vMerge/>
            <w:tcBorders>
              <w:left w:val="nil"/>
              <w:right w:val="nil"/>
            </w:tcBorders>
          </w:tcPr>
          <w:p w14:paraId="46B22611" w14:textId="77777777" w:rsidR="005D4053" w:rsidRPr="008200CE" w:rsidRDefault="005D4053">
            <w:pPr>
              <w:pStyle w:val="TableText"/>
            </w:pPr>
          </w:p>
        </w:tc>
        <w:tc>
          <w:tcPr>
            <w:tcW w:w="2158" w:type="dxa"/>
            <w:tcBorders>
              <w:left w:val="nil"/>
              <w:right w:val="nil"/>
            </w:tcBorders>
          </w:tcPr>
          <w:p w14:paraId="3B6B3AD5" w14:textId="77777777" w:rsidR="005D4053" w:rsidRDefault="005D4053">
            <w:pPr>
              <w:pStyle w:val="TableText"/>
            </w:pPr>
            <w:r w:rsidRPr="008200CE">
              <w:t>Beryllium</w:t>
            </w:r>
          </w:p>
        </w:tc>
        <w:tc>
          <w:tcPr>
            <w:tcW w:w="3119" w:type="dxa"/>
            <w:tcBorders>
              <w:left w:val="nil"/>
              <w:right w:val="nil"/>
            </w:tcBorders>
          </w:tcPr>
          <w:p w14:paraId="1BBCE35C" w14:textId="77777777" w:rsidR="005D4053" w:rsidRDefault="005D4053">
            <w:pPr>
              <w:pStyle w:val="TableText"/>
            </w:pPr>
            <w:r>
              <w:t>&lt;60 µg/L</w:t>
            </w:r>
          </w:p>
        </w:tc>
        <w:tc>
          <w:tcPr>
            <w:tcW w:w="2693" w:type="dxa"/>
            <w:tcBorders>
              <w:left w:val="nil"/>
              <w:right w:val="nil"/>
            </w:tcBorders>
          </w:tcPr>
          <w:p w14:paraId="386AFC11" w14:textId="77777777" w:rsidR="005D4053" w:rsidRDefault="005D4053">
            <w:pPr>
              <w:pStyle w:val="TableText"/>
            </w:pPr>
          </w:p>
        </w:tc>
      </w:tr>
      <w:tr w:rsidR="005D4053" w14:paraId="04CEA340" w14:textId="77777777" w:rsidTr="00E96083">
        <w:tc>
          <w:tcPr>
            <w:tcW w:w="1386" w:type="dxa"/>
            <w:vMerge/>
            <w:tcBorders>
              <w:left w:val="nil"/>
              <w:right w:val="nil"/>
            </w:tcBorders>
          </w:tcPr>
          <w:p w14:paraId="0273F08C" w14:textId="77777777" w:rsidR="005D4053" w:rsidRPr="008200CE" w:rsidRDefault="005D4053">
            <w:pPr>
              <w:pStyle w:val="TableText"/>
            </w:pPr>
          </w:p>
        </w:tc>
        <w:tc>
          <w:tcPr>
            <w:tcW w:w="2158" w:type="dxa"/>
            <w:tcBorders>
              <w:left w:val="nil"/>
              <w:right w:val="nil"/>
            </w:tcBorders>
          </w:tcPr>
          <w:p w14:paraId="34DFD558" w14:textId="77777777" w:rsidR="005D4053" w:rsidRDefault="005D4053">
            <w:pPr>
              <w:pStyle w:val="TableText"/>
            </w:pPr>
            <w:r w:rsidRPr="008200CE">
              <w:t>Boron</w:t>
            </w:r>
          </w:p>
        </w:tc>
        <w:tc>
          <w:tcPr>
            <w:tcW w:w="3119" w:type="dxa"/>
            <w:tcBorders>
              <w:left w:val="nil"/>
              <w:right w:val="nil"/>
            </w:tcBorders>
          </w:tcPr>
          <w:p w14:paraId="0A086A70" w14:textId="77777777" w:rsidR="005D4053" w:rsidRDefault="005D4053">
            <w:pPr>
              <w:pStyle w:val="TableText"/>
            </w:pPr>
            <w:r>
              <w:rPr>
                <w:rFonts w:cstheme="minorHAnsi"/>
              </w:rPr>
              <w:t>&lt;</w:t>
            </w:r>
            <w:r>
              <w:t>5 mg/L</w:t>
            </w:r>
          </w:p>
        </w:tc>
        <w:tc>
          <w:tcPr>
            <w:tcW w:w="2693" w:type="dxa"/>
            <w:tcBorders>
              <w:left w:val="nil"/>
              <w:right w:val="nil"/>
            </w:tcBorders>
          </w:tcPr>
          <w:p w14:paraId="7FE81084" w14:textId="77777777" w:rsidR="005D4053" w:rsidRDefault="005D4053">
            <w:pPr>
              <w:pStyle w:val="TableText"/>
            </w:pPr>
          </w:p>
        </w:tc>
      </w:tr>
      <w:tr w:rsidR="005D4053" w14:paraId="7D4BB78E" w14:textId="77777777" w:rsidTr="00E96083">
        <w:tc>
          <w:tcPr>
            <w:tcW w:w="1386" w:type="dxa"/>
            <w:vMerge/>
            <w:tcBorders>
              <w:left w:val="nil"/>
              <w:right w:val="nil"/>
            </w:tcBorders>
          </w:tcPr>
          <w:p w14:paraId="06597524" w14:textId="77777777" w:rsidR="005D4053" w:rsidRPr="008200CE" w:rsidRDefault="005D4053">
            <w:pPr>
              <w:pStyle w:val="TableText"/>
            </w:pPr>
          </w:p>
        </w:tc>
        <w:tc>
          <w:tcPr>
            <w:tcW w:w="2158" w:type="dxa"/>
            <w:tcBorders>
              <w:left w:val="nil"/>
              <w:right w:val="nil"/>
            </w:tcBorders>
          </w:tcPr>
          <w:p w14:paraId="30EFA3F8" w14:textId="77777777" w:rsidR="005D4053" w:rsidRDefault="005D4053">
            <w:pPr>
              <w:pStyle w:val="TableText"/>
            </w:pPr>
            <w:r w:rsidRPr="008200CE">
              <w:t>Cadmium</w:t>
            </w:r>
          </w:p>
        </w:tc>
        <w:tc>
          <w:tcPr>
            <w:tcW w:w="3119" w:type="dxa"/>
            <w:tcBorders>
              <w:left w:val="nil"/>
              <w:right w:val="nil"/>
            </w:tcBorders>
          </w:tcPr>
          <w:p w14:paraId="74723C47" w14:textId="77777777" w:rsidR="005D4053" w:rsidRDefault="005D4053">
            <w:pPr>
              <w:pStyle w:val="TableText"/>
            </w:pPr>
            <w:r>
              <w:rPr>
                <w:rFonts w:cstheme="minorHAnsi"/>
              </w:rPr>
              <w:t>&lt;</w:t>
            </w:r>
            <w:r>
              <w:t>0.01 mg/L</w:t>
            </w:r>
          </w:p>
        </w:tc>
        <w:tc>
          <w:tcPr>
            <w:tcW w:w="2693" w:type="dxa"/>
            <w:tcBorders>
              <w:left w:val="nil"/>
              <w:right w:val="nil"/>
            </w:tcBorders>
          </w:tcPr>
          <w:p w14:paraId="57659EF4" w14:textId="30CF717E" w:rsidR="005D4053" w:rsidRDefault="00034D3D" w:rsidP="00034D3D">
            <w:pPr>
              <w:pStyle w:val="TableText"/>
            </w:pPr>
            <w:r>
              <w:t xml:space="preserve">Level </w:t>
            </w:r>
            <w:r w:rsidR="004E377A">
              <w:t xml:space="preserve">should </w:t>
            </w:r>
            <w:r>
              <w:t xml:space="preserve">not be </w:t>
            </w:r>
            <w:proofErr w:type="gramStart"/>
            <w:r>
              <w:t>exceeded</w:t>
            </w:r>
            <w:proofErr w:type="gramEnd"/>
          </w:p>
          <w:p w14:paraId="5D7F722B" w14:textId="0A397181" w:rsidR="00001CA5" w:rsidRDefault="00001CA5" w:rsidP="00034D3D">
            <w:pPr>
              <w:pStyle w:val="TableText"/>
            </w:pPr>
            <w:r w:rsidRPr="008C60E9">
              <w:t>Consider all factors in assessing the risk of toxicity (</w:t>
            </w:r>
            <w:proofErr w:type="gramStart"/>
            <w:r w:rsidRPr="008C60E9">
              <w:t>e.g.</w:t>
            </w:r>
            <w:proofErr w:type="gramEnd"/>
            <w:r>
              <w:t> </w:t>
            </w:r>
            <w:r w:rsidRPr="008C60E9">
              <w:t>bioavailability, levels in feed)</w:t>
            </w:r>
          </w:p>
        </w:tc>
      </w:tr>
      <w:tr w:rsidR="005D4053" w14:paraId="33B18D09" w14:textId="77777777" w:rsidTr="00E96083">
        <w:tc>
          <w:tcPr>
            <w:tcW w:w="1386" w:type="dxa"/>
            <w:vMerge/>
            <w:tcBorders>
              <w:left w:val="nil"/>
              <w:right w:val="nil"/>
            </w:tcBorders>
          </w:tcPr>
          <w:p w14:paraId="5CCDBDEB" w14:textId="77777777" w:rsidR="005D4053" w:rsidRPr="008200CE" w:rsidRDefault="005D4053">
            <w:pPr>
              <w:pStyle w:val="TableText"/>
            </w:pPr>
          </w:p>
        </w:tc>
        <w:tc>
          <w:tcPr>
            <w:tcW w:w="2158" w:type="dxa"/>
            <w:tcBorders>
              <w:left w:val="nil"/>
              <w:right w:val="nil"/>
            </w:tcBorders>
          </w:tcPr>
          <w:p w14:paraId="5BFBB99C" w14:textId="77777777" w:rsidR="005D4053" w:rsidRDefault="005D4053">
            <w:pPr>
              <w:pStyle w:val="TableText"/>
            </w:pPr>
            <w:r w:rsidRPr="008200CE">
              <w:t>Chromium (III)</w:t>
            </w:r>
            <w:r>
              <w:t xml:space="preserve"> or </w:t>
            </w:r>
            <w:r w:rsidRPr="008200CE">
              <w:t>Chromium (VI)</w:t>
            </w:r>
          </w:p>
        </w:tc>
        <w:tc>
          <w:tcPr>
            <w:tcW w:w="3119" w:type="dxa"/>
            <w:tcBorders>
              <w:left w:val="nil"/>
              <w:right w:val="nil"/>
            </w:tcBorders>
          </w:tcPr>
          <w:p w14:paraId="630C7C52" w14:textId="77777777" w:rsidR="005D4053" w:rsidRDefault="005D4053">
            <w:pPr>
              <w:pStyle w:val="TableText"/>
            </w:pPr>
            <w:r>
              <w:t>&lt;0.05 mg/L</w:t>
            </w:r>
          </w:p>
        </w:tc>
        <w:tc>
          <w:tcPr>
            <w:tcW w:w="2693" w:type="dxa"/>
            <w:tcBorders>
              <w:left w:val="nil"/>
              <w:right w:val="nil"/>
            </w:tcBorders>
          </w:tcPr>
          <w:p w14:paraId="710A5025" w14:textId="77777777" w:rsidR="005D4053" w:rsidRDefault="005D4053">
            <w:pPr>
              <w:pStyle w:val="TableText"/>
            </w:pPr>
          </w:p>
        </w:tc>
      </w:tr>
      <w:tr w:rsidR="005D4053" w14:paraId="30574201" w14:textId="77777777" w:rsidTr="00E96083">
        <w:tc>
          <w:tcPr>
            <w:tcW w:w="1386" w:type="dxa"/>
            <w:vMerge/>
            <w:tcBorders>
              <w:left w:val="nil"/>
              <w:right w:val="nil"/>
            </w:tcBorders>
          </w:tcPr>
          <w:p w14:paraId="3D7C53D5" w14:textId="77777777" w:rsidR="005D4053" w:rsidRPr="008200CE" w:rsidRDefault="005D4053">
            <w:pPr>
              <w:pStyle w:val="TableText"/>
            </w:pPr>
          </w:p>
        </w:tc>
        <w:tc>
          <w:tcPr>
            <w:tcW w:w="2158" w:type="dxa"/>
            <w:tcBorders>
              <w:left w:val="nil"/>
              <w:right w:val="nil"/>
            </w:tcBorders>
          </w:tcPr>
          <w:p w14:paraId="65A8E9BE" w14:textId="77777777" w:rsidR="005D4053" w:rsidRDefault="005D4053">
            <w:pPr>
              <w:pStyle w:val="TableText"/>
            </w:pPr>
            <w:r w:rsidRPr="008200CE">
              <w:t>Cobalt</w:t>
            </w:r>
          </w:p>
        </w:tc>
        <w:tc>
          <w:tcPr>
            <w:tcW w:w="3119" w:type="dxa"/>
            <w:tcBorders>
              <w:left w:val="nil"/>
              <w:right w:val="nil"/>
            </w:tcBorders>
          </w:tcPr>
          <w:p w14:paraId="1C1C1649" w14:textId="77777777" w:rsidR="005D4053" w:rsidRDefault="005D4053">
            <w:pPr>
              <w:pStyle w:val="TableText"/>
            </w:pPr>
            <w:r>
              <w:t>&lt;1 mg/L</w:t>
            </w:r>
          </w:p>
        </w:tc>
        <w:tc>
          <w:tcPr>
            <w:tcW w:w="2693" w:type="dxa"/>
            <w:tcBorders>
              <w:left w:val="nil"/>
              <w:right w:val="nil"/>
            </w:tcBorders>
          </w:tcPr>
          <w:p w14:paraId="7C8FB673" w14:textId="77777777" w:rsidR="005D4053" w:rsidRDefault="005D4053">
            <w:pPr>
              <w:pStyle w:val="TableText"/>
            </w:pPr>
          </w:p>
        </w:tc>
      </w:tr>
      <w:tr w:rsidR="005D4053" w14:paraId="13BA686B" w14:textId="77777777" w:rsidTr="00E96083">
        <w:tc>
          <w:tcPr>
            <w:tcW w:w="1386" w:type="dxa"/>
            <w:vMerge/>
            <w:tcBorders>
              <w:left w:val="nil"/>
              <w:right w:val="nil"/>
            </w:tcBorders>
          </w:tcPr>
          <w:p w14:paraId="1E8BED51" w14:textId="77777777" w:rsidR="005D4053" w:rsidRPr="008200CE" w:rsidRDefault="005D4053">
            <w:pPr>
              <w:pStyle w:val="TableText"/>
            </w:pPr>
          </w:p>
        </w:tc>
        <w:tc>
          <w:tcPr>
            <w:tcW w:w="2158" w:type="dxa"/>
            <w:tcBorders>
              <w:left w:val="nil"/>
              <w:right w:val="nil"/>
            </w:tcBorders>
          </w:tcPr>
          <w:p w14:paraId="791C04CE" w14:textId="77777777" w:rsidR="005D4053" w:rsidRDefault="005D4053">
            <w:pPr>
              <w:pStyle w:val="TableText"/>
            </w:pPr>
            <w:r w:rsidRPr="008200CE">
              <w:t>Copper</w:t>
            </w:r>
          </w:p>
        </w:tc>
        <w:tc>
          <w:tcPr>
            <w:tcW w:w="3119" w:type="dxa"/>
            <w:tcBorders>
              <w:left w:val="nil"/>
              <w:right w:val="nil"/>
            </w:tcBorders>
          </w:tcPr>
          <w:p w14:paraId="42F13E82" w14:textId="58C41231" w:rsidR="005D4053" w:rsidRPr="008200CE" w:rsidRDefault="005D4053">
            <w:pPr>
              <w:pStyle w:val="TableText"/>
            </w:pPr>
            <w:r>
              <w:t>&lt;</w:t>
            </w:r>
            <w:r w:rsidRPr="008200CE">
              <w:t>0.5</w:t>
            </w:r>
            <w:r w:rsidR="004F63BB">
              <w:t> mg/L</w:t>
            </w:r>
            <w:r w:rsidR="004F63BB" w:rsidRPr="008200CE" w:rsidDel="004F63BB">
              <w:t xml:space="preserve"> </w:t>
            </w:r>
            <w:r w:rsidRPr="008200CE">
              <w:t>(sheep)</w:t>
            </w:r>
          </w:p>
          <w:p w14:paraId="3BF7DBD1" w14:textId="74FAC1B5" w:rsidR="005D4053" w:rsidRPr="008200CE" w:rsidRDefault="005D4053">
            <w:pPr>
              <w:pStyle w:val="TableText"/>
            </w:pPr>
            <w:r>
              <w:t>&lt;</w:t>
            </w:r>
            <w:r w:rsidRPr="008200CE">
              <w:t>1</w:t>
            </w:r>
            <w:r w:rsidR="004F63BB">
              <w:t> mg/L</w:t>
            </w:r>
            <w:r w:rsidR="004F63BB" w:rsidRPr="008200CE">
              <w:t xml:space="preserve"> </w:t>
            </w:r>
            <w:r w:rsidRPr="008200CE">
              <w:t>(cattle)</w:t>
            </w:r>
          </w:p>
          <w:p w14:paraId="2EB8AB8E" w14:textId="0E119857" w:rsidR="005D4053" w:rsidRPr="008200CE" w:rsidRDefault="005D4053">
            <w:pPr>
              <w:pStyle w:val="TableText"/>
            </w:pPr>
            <w:r>
              <w:t>&lt;</w:t>
            </w:r>
            <w:proofErr w:type="gramStart"/>
            <w:r w:rsidRPr="008200CE">
              <w:t>5</w:t>
            </w:r>
            <w:r w:rsidR="004F63BB">
              <w:t xml:space="preserve">  mg</w:t>
            </w:r>
            <w:proofErr w:type="gramEnd"/>
            <w:r w:rsidR="004F63BB">
              <w:t>/L</w:t>
            </w:r>
            <w:r w:rsidRPr="008200CE">
              <w:t xml:space="preserve"> (pigs)</w:t>
            </w:r>
          </w:p>
          <w:p w14:paraId="7D9A3D20" w14:textId="3E654FC4" w:rsidR="005D4053" w:rsidRDefault="005D4053">
            <w:pPr>
              <w:pStyle w:val="TableText"/>
            </w:pPr>
            <w:r>
              <w:t>&lt;</w:t>
            </w:r>
            <w:proofErr w:type="gramStart"/>
            <w:r w:rsidRPr="008200CE">
              <w:t>5</w:t>
            </w:r>
            <w:r w:rsidR="004F63BB">
              <w:t xml:space="preserve">  mg</w:t>
            </w:r>
            <w:proofErr w:type="gramEnd"/>
            <w:r w:rsidR="004F63BB">
              <w:t>/L</w:t>
            </w:r>
            <w:r w:rsidRPr="008200CE">
              <w:t xml:space="preserve"> (poultry)</w:t>
            </w:r>
          </w:p>
        </w:tc>
        <w:tc>
          <w:tcPr>
            <w:tcW w:w="2693" w:type="dxa"/>
            <w:tcBorders>
              <w:left w:val="nil"/>
              <w:right w:val="nil"/>
            </w:tcBorders>
          </w:tcPr>
          <w:p w14:paraId="2127ECF6" w14:textId="77777777" w:rsidR="005D4053" w:rsidRDefault="005D4053">
            <w:pPr>
              <w:pStyle w:val="TableText"/>
            </w:pPr>
            <w:r>
              <w:t>If livestock diets are high in copper, the concentration in drinking water should be reduced</w:t>
            </w:r>
          </w:p>
        </w:tc>
      </w:tr>
      <w:tr w:rsidR="005D4053" w14:paraId="055D3062" w14:textId="77777777" w:rsidTr="00E96083">
        <w:tc>
          <w:tcPr>
            <w:tcW w:w="1386" w:type="dxa"/>
            <w:vMerge/>
            <w:tcBorders>
              <w:left w:val="nil"/>
              <w:right w:val="nil"/>
            </w:tcBorders>
          </w:tcPr>
          <w:p w14:paraId="71449C8C" w14:textId="77777777" w:rsidR="005D4053" w:rsidRPr="008200CE" w:rsidRDefault="005D4053">
            <w:pPr>
              <w:pStyle w:val="TableText"/>
            </w:pPr>
          </w:p>
        </w:tc>
        <w:tc>
          <w:tcPr>
            <w:tcW w:w="2158" w:type="dxa"/>
            <w:tcBorders>
              <w:left w:val="nil"/>
              <w:right w:val="nil"/>
            </w:tcBorders>
          </w:tcPr>
          <w:p w14:paraId="7036923B" w14:textId="77777777" w:rsidR="005D4053" w:rsidRDefault="005D4053">
            <w:pPr>
              <w:pStyle w:val="TableText"/>
            </w:pPr>
            <w:r w:rsidRPr="008200CE">
              <w:t>Fluoride</w:t>
            </w:r>
          </w:p>
        </w:tc>
        <w:tc>
          <w:tcPr>
            <w:tcW w:w="3119" w:type="dxa"/>
            <w:tcBorders>
              <w:left w:val="nil"/>
              <w:right w:val="nil"/>
            </w:tcBorders>
          </w:tcPr>
          <w:p w14:paraId="7894C682" w14:textId="77777777" w:rsidR="005D4053" w:rsidRDefault="005D4053">
            <w:pPr>
              <w:pStyle w:val="TableText"/>
            </w:pPr>
            <w:r>
              <w:t>&lt;2 mg/L</w:t>
            </w:r>
          </w:p>
        </w:tc>
        <w:tc>
          <w:tcPr>
            <w:tcW w:w="2693" w:type="dxa"/>
            <w:tcBorders>
              <w:left w:val="nil"/>
              <w:right w:val="nil"/>
            </w:tcBorders>
          </w:tcPr>
          <w:p w14:paraId="7E906AC6" w14:textId="77777777" w:rsidR="005D4053" w:rsidRDefault="005D4053">
            <w:pPr>
              <w:pStyle w:val="TableText"/>
            </w:pPr>
            <w:r>
              <w:t>If livestock feed also contains fluoride, the guideline value should be reduced to 1.0 mg/L</w:t>
            </w:r>
          </w:p>
        </w:tc>
      </w:tr>
      <w:tr w:rsidR="005D4053" w14:paraId="4239510B" w14:textId="77777777" w:rsidTr="00E96083">
        <w:tc>
          <w:tcPr>
            <w:tcW w:w="1386" w:type="dxa"/>
            <w:vMerge/>
            <w:tcBorders>
              <w:left w:val="nil"/>
              <w:right w:val="nil"/>
            </w:tcBorders>
          </w:tcPr>
          <w:p w14:paraId="6315DC37" w14:textId="77777777" w:rsidR="005D4053" w:rsidRPr="008200CE" w:rsidRDefault="005D4053">
            <w:pPr>
              <w:pStyle w:val="TableText"/>
            </w:pPr>
          </w:p>
        </w:tc>
        <w:tc>
          <w:tcPr>
            <w:tcW w:w="2158" w:type="dxa"/>
            <w:tcBorders>
              <w:left w:val="nil"/>
              <w:right w:val="nil"/>
            </w:tcBorders>
          </w:tcPr>
          <w:p w14:paraId="58AE2829" w14:textId="77777777" w:rsidR="005D4053" w:rsidRDefault="005D4053">
            <w:pPr>
              <w:pStyle w:val="TableText"/>
            </w:pPr>
            <w:r w:rsidRPr="008200CE">
              <w:t>Iron</w:t>
            </w:r>
          </w:p>
        </w:tc>
        <w:tc>
          <w:tcPr>
            <w:tcW w:w="3119" w:type="dxa"/>
            <w:tcBorders>
              <w:left w:val="nil"/>
              <w:right w:val="nil"/>
            </w:tcBorders>
          </w:tcPr>
          <w:p w14:paraId="2C47823D" w14:textId="77777777" w:rsidR="005D4053" w:rsidRDefault="005D4053">
            <w:pPr>
              <w:pStyle w:val="TableText"/>
            </w:pPr>
            <w:r w:rsidRPr="008200CE">
              <w:t>No</w:t>
            </w:r>
            <w:r>
              <w:t xml:space="preserve"> guideline value (no</w:t>
            </w:r>
            <w:r w:rsidRPr="008200CE">
              <w:t>t sufficiently toxic</w:t>
            </w:r>
            <w:r>
              <w:t>)</w:t>
            </w:r>
          </w:p>
        </w:tc>
        <w:tc>
          <w:tcPr>
            <w:tcW w:w="2693" w:type="dxa"/>
            <w:tcBorders>
              <w:left w:val="nil"/>
              <w:right w:val="nil"/>
            </w:tcBorders>
          </w:tcPr>
          <w:p w14:paraId="4E5C33BA" w14:textId="77777777" w:rsidR="005D4053" w:rsidRDefault="005D4053">
            <w:pPr>
              <w:pStyle w:val="TableText"/>
            </w:pPr>
          </w:p>
        </w:tc>
      </w:tr>
      <w:tr w:rsidR="005D4053" w14:paraId="70B5B770" w14:textId="77777777" w:rsidTr="00E96083">
        <w:tc>
          <w:tcPr>
            <w:tcW w:w="1386" w:type="dxa"/>
            <w:vMerge/>
            <w:tcBorders>
              <w:left w:val="nil"/>
              <w:right w:val="nil"/>
            </w:tcBorders>
          </w:tcPr>
          <w:p w14:paraId="2BE6F11C" w14:textId="77777777" w:rsidR="005D4053" w:rsidRPr="008200CE" w:rsidRDefault="005D4053">
            <w:pPr>
              <w:pStyle w:val="TableText"/>
            </w:pPr>
          </w:p>
        </w:tc>
        <w:tc>
          <w:tcPr>
            <w:tcW w:w="2158" w:type="dxa"/>
            <w:tcBorders>
              <w:left w:val="nil"/>
              <w:right w:val="nil"/>
            </w:tcBorders>
          </w:tcPr>
          <w:p w14:paraId="55BC780B" w14:textId="77777777" w:rsidR="005D4053" w:rsidRDefault="005D4053">
            <w:pPr>
              <w:pStyle w:val="TableText"/>
            </w:pPr>
            <w:r w:rsidRPr="008200CE">
              <w:t>Lead</w:t>
            </w:r>
          </w:p>
        </w:tc>
        <w:tc>
          <w:tcPr>
            <w:tcW w:w="3119" w:type="dxa"/>
            <w:tcBorders>
              <w:left w:val="nil"/>
              <w:right w:val="nil"/>
            </w:tcBorders>
          </w:tcPr>
          <w:p w14:paraId="3A5612AA" w14:textId="77777777" w:rsidR="005D4053" w:rsidRDefault="005D4053">
            <w:pPr>
              <w:pStyle w:val="TableText"/>
            </w:pPr>
            <w:r>
              <w:t>&lt;0.1 mg/L</w:t>
            </w:r>
          </w:p>
        </w:tc>
        <w:tc>
          <w:tcPr>
            <w:tcW w:w="2693" w:type="dxa"/>
            <w:tcBorders>
              <w:left w:val="nil"/>
              <w:right w:val="nil"/>
            </w:tcBorders>
          </w:tcPr>
          <w:p w14:paraId="3966C579" w14:textId="2141C05F" w:rsidR="00034D3D" w:rsidRDefault="00034D3D" w:rsidP="00034D3D">
            <w:pPr>
              <w:pStyle w:val="TableText"/>
            </w:pPr>
            <w:r>
              <w:t xml:space="preserve">Level </w:t>
            </w:r>
            <w:r w:rsidR="004E377A">
              <w:t xml:space="preserve">should </w:t>
            </w:r>
            <w:r>
              <w:t xml:space="preserve">not be </w:t>
            </w:r>
            <w:proofErr w:type="gramStart"/>
            <w:r>
              <w:t>exceeded</w:t>
            </w:r>
            <w:proofErr w:type="gramEnd"/>
          </w:p>
          <w:p w14:paraId="7B609C44" w14:textId="77777777" w:rsidR="005D4053" w:rsidRDefault="005D4053">
            <w:pPr>
              <w:pStyle w:val="TableText"/>
            </w:pPr>
            <w:r>
              <w:t>L</w:t>
            </w:r>
            <w:r w:rsidRPr="008E5DE1">
              <w:t>ead is accumulative</w:t>
            </w:r>
            <w:r>
              <w:t>,</w:t>
            </w:r>
            <w:r w:rsidRPr="008E5DE1">
              <w:t xml:space="preserve"> and </w:t>
            </w:r>
            <w:r>
              <w:t>livestock health problems</w:t>
            </w:r>
            <w:r w:rsidRPr="008E5DE1">
              <w:t xml:space="preserve"> may begin </w:t>
            </w:r>
            <w:r>
              <w:t xml:space="preserve">at </w:t>
            </w:r>
            <w:r w:rsidRPr="008E5DE1">
              <w:t>0.05</w:t>
            </w:r>
            <w:r>
              <w:t> </w:t>
            </w:r>
            <w:r w:rsidRPr="008E5DE1">
              <w:t>mg/</w:t>
            </w:r>
            <w:proofErr w:type="gramStart"/>
            <w:r w:rsidRPr="008E5DE1">
              <w:t>L</w:t>
            </w:r>
            <w:proofErr w:type="gramEnd"/>
            <w:r w:rsidRPr="008E5DE1">
              <w:t xml:space="preserve"> </w:t>
            </w:r>
          </w:p>
          <w:p w14:paraId="1316E757" w14:textId="52E629C6" w:rsidR="00001CA5" w:rsidRDefault="00001CA5">
            <w:pPr>
              <w:pStyle w:val="TableText"/>
            </w:pPr>
            <w:r w:rsidRPr="008C60E9">
              <w:t>Consider all factors in assessing the risk of toxicity (</w:t>
            </w:r>
            <w:proofErr w:type="gramStart"/>
            <w:r w:rsidRPr="008C60E9">
              <w:t>e.g.</w:t>
            </w:r>
            <w:proofErr w:type="gramEnd"/>
            <w:r>
              <w:t> </w:t>
            </w:r>
            <w:r w:rsidRPr="008C60E9">
              <w:t>bioavailability, levels in feed)</w:t>
            </w:r>
          </w:p>
        </w:tc>
      </w:tr>
      <w:tr w:rsidR="005D4053" w14:paraId="2D6DE078" w14:textId="77777777" w:rsidTr="00E96083">
        <w:tc>
          <w:tcPr>
            <w:tcW w:w="1386" w:type="dxa"/>
            <w:vMerge/>
            <w:tcBorders>
              <w:left w:val="nil"/>
              <w:right w:val="nil"/>
            </w:tcBorders>
          </w:tcPr>
          <w:p w14:paraId="064B44CB" w14:textId="77777777" w:rsidR="005D4053" w:rsidRPr="008200CE" w:rsidRDefault="005D4053">
            <w:pPr>
              <w:pStyle w:val="TableText"/>
            </w:pPr>
          </w:p>
        </w:tc>
        <w:tc>
          <w:tcPr>
            <w:tcW w:w="2158" w:type="dxa"/>
            <w:tcBorders>
              <w:left w:val="nil"/>
              <w:right w:val="nil"/>
            </w:tcBorders>
          </w:tcPr>
          <w:p w14:paraId="109AD207" w14:textId="77777777" w:rsidR="005D4053" w:rsidRDefault="005D4053">
            <w:pPr>
              <w:pStyle w:val="TableText"/>
            </w:pPr>
            <w:r w:rsidRPr="008200CE">
              <w:t>Manganese</w:t>
            </w:r>
          </w:p>
        </w:tc>
        <w:tc>
          <w:tcPr>
            <w:tcW w:w="3119" w:type="dxa"/>
            <w:tcBorders>
              <w:left w:val="nil"/>
              <w:right w:val="nil"/>
            </w:tcBorders>
          </w:tcPr>
          <w:p w14:paraId="1E780573" w14:textId="77777777" w:rsidR="005D4053" w:rsidRDefault="005D4053">
            <w:pPr>
              <w:pStyle w:val="TableText"/>
            </w:pPr>
            <w:r>
              <w:t>&lt;10 mg/L</w:t>
            </w:r>
          </w:p>
        </w:tc>
        <w:tc>
          <w:tcPr>
            <w:tcW w:w="2693" w:type="dxa"/>
            <w:tcBorders>
              <w:left w:val="nil"/>
              <w:right w:val="nil"/>
            </w:tcBorders>
          </w:tcPr>
          <w:p w14:paraId="7D75DB60" w14:textId="77777777" w:rsidR="005D4053" w:rsidRDefault="005D4053">
            <w:pPr>
              <w:pStyle w:val="TableText"/>
            </w:pPr>
          </w:p>
        </w:tc>
      </w:tr>
      <w:tr w:rsidR="005D4053" w14:paraId="2E340A29" w14:textId="77777777" w:rsidTr="00E96083">
        <w:tc>
          <w:tcPr>
            <w:tcW w:w="1386" w:type="dxa"/>
            <w:vMerge/>
            <w:tcBorders>
              <w:left w:val="nil"/>
              <w:right w:val="nil"/>
            </w:tcBorders>
          </w:tcPr>
          <w:p w14:paraId="6B493954" w14:textId="77777777" w:rsidR="005D4053" w:rsidRPr="008200CE" w:rsidRDefault="005D4053">
            <w:pPr>
              <w:pStyle w:val="TableText"/>
            </w:pPr>
          </w:p>
        </w:tc>
        <w:tc>
          <w:tcPr>
            <w:tcW w:w="2158" w:type="dxa"/>
            <w:tcBorders>
              <w:left w:val="nil"/>
              <w:right w:val="nil"/>
            </w:tcBorders>
          </w:tcPr>
          <w:p w14:paraId="73292E45" w14:textId="77777777" w:rsidR="005D4053" w:rsidRDefault="005D4053">
            <w:pPr>
              <w:pStyle w:val="TableText"/>
            </w:pPr>
            <w:r w:rsidRPr="008200CE">
              <w:t>Mercury</w:t>
            </w:r>
          </w:p>
        </w:tc>
        <w:tc>
          <w:tcPr>
            <w:tcW w:w="3119" w:type="dxa"/>
            <w:tcBorders>
              <w:left w:val="nil"/>
              <w:right w:val="nil"/>
            </w:tcBorders>
          </w:tcPr>
          <w:p w14:paraId="0DE0F67E" w14:textId="77777777" w:rsidR="005D4053" w:rsidRDefault="005D4053">
            <w:pPr>
              <w:pStyle w:val="TableText"/>
            </w:pPr>
            <w:r>
              <w:t>&lt;0.002 mg/L</w:t>
            </w:r>
          </w:p>
        </w:tc>
        <w:tc>
          <w:tcPr>
            <w:tcW w:w="2693" w:type="dxa"/>
            <w:tcBorders>
              <w:left w:val="nil"/>
              <w:right w:val="nil"/>
            </w:tcBorders>
          </w:tcPr>
          <w:p w14:paraId="6DBF1746" w14:textId="727DCEEE" w:rsidR="00915819" w:rsidRDefault="00915819" w:rsidP="00915819">
            <w:pPr>
              <w:pStyle w:val="TableText"/>
            </w:pPr>
            <w:r>
              <w:t xml:space="preserve">Level </w:t>
            </w:r>
            <w:r w:rsidR="004E377A">
              <w:t xml:space="preserve">should </w:t>
            </w:r>
            <w:r>
              <w:t xml:space="preserve">not be </w:t>
            </w:r>
            <w:proofErr w:type="gramStart"/>
            <w:r>
              <w:t>exceeded</w:t>
            </w:r>
            <w:proofErr w:type="gramEnd"/>
          </w:p>
          <w:p w14:paraId="4BBD35A6" w14:textId="77777777" w:rsidR="005D4053" w:rsidRDefault="005D4053">
            <w:pPr>
              <w:pStyle w:val="TableText"/>
            </w:pPr>
            <w:r>
              <w:t xml:space="preserve">Assessments should be conservative and consider the potential accumulation of mercury in edible </w:t>
            </w:r>
            <w:proofErr w:type="gramStart"/>
            <w:r>
              <w:t>tissues</w:t>
            </w:r>
            <w:proofErr w:type="gramEnd"/>
          </w:p>
          <w:p w14:paraId="0A5D0922" w14:textId="62DD75DB" w:rsidR="00001CA5" w:rsidRDefault="00001CA5">
            <w:pPr>
              <w:pStyle w:val="TableText"/>
            </w:pPr>
            <w:r w:rsidRPr="008C60E9">
              <w:t>Consider all factors in assessing the risk of toxicity (</w:t>
            </w:r>
            <w:proofErr w:type="gramStart"/>
            <w:r w:rsidRPr="008C60E9">
              <w:t>e.g.</w:t>
            </w:r>
            <w:proofErr w:type="gramEnd"/>
            <w:r>
              <w:t> </w:t>
            </w:r>
            <w:r w:rsidRPr="008C60E9">
              <w:t>bioavailability, levels in feed)</w:t>
            </w:r>
          </w:p>
        </w:tc>
      </w:tr>
      <w:tr w:rsidR="005D4053" w14:paraId="7875F698" w14:textId="77777777" w:rsidTr="00E96083">
        <w:tc>
          <w:tcPr>
            <w:tcW w:w="1386" w:type="dxa"/>
            <w:vMerge/>
            <w:tcBorders>
              <w:left w:val="nil"/>
              <w:right w:val="nil"/>
            </w:tcBorders>
          </w:tcPr>
          <w:p w14:paraId="1D769233" w14:textId="77777777" w:rsidR="005D4053" w:rsidRPr="008200CE" w:rsidRDefault="005D4053">
            <w:pPr>
              <w:pStyle w:val="TableText"/>
            </w:pPr>
          </w:p>
        </w:tc>
        <w:tc>
          <w:tcPr>
            <w:tcW w:w="2158" w:type="dxa"/>
            <w:tcBorders>
              <w:left w:val="nil"/>
              <w:right w:val="nil"/>
            </w:tcBorders>
          </w:tcPr>
          <w:p w14:paraId="68D3770E" w14:textId="77777777" w:rsidR="005D4053" w:rsidRDefault="005D4053">
            <w:pPr>
              <w:pStyle w:val="TableText"/>
            </w:pPr>
            <w:r w:rsidRPr="008200CE">
              <w:t>Molybdenum</w:t>
            </w:r>
          </w:p>
        </w:tc>
        <w:tc>
          <w:tcPr>
            <w:tcW w:w="3119" w:type="dxa"/>
            <w:tcBorders>
              <w:left w:val="nil"/>
              <w:right w:val="nil"/>
            </w:tcBorders>
          </w:tcPr>
          <w:p w14:paraId="138B4DB3" w14:textId="64FF4619" w:rsidR="005D4053" w:rsidRDefault="005D4053">
            <w:pPr>
              <w:pStyle w:val="TableText"/>
            </w:pPr>
            <w:r>
              <w:t>&lt;</w:t>
            </w:r>
            <w:r w:rsidRPr="008200CE">
              <w:t>0.01</w:t>
            </w:r>
            <w:r w:rsidR="00D6755D">
              <w:t> </w:t>
            </w:r>
            <w:r>
              <w:t>mg/L</w:t>
            </w:r>
          </w:p>
        </w:tc>
        <w:tc>
          <w:tcPr>
            <w:tcW w:w="2693" w:type="dxa"/>
            <w:tcBorders>
              <w:left w:val="nil"/>
              <w:right w:val="nil"/>
            </w:tcBorders>
          </w:tcPr>
          <w:p w14:paraId="623077EF" w14:textId="77777777" w:rsidR="005D4053" w:rsidRDefault="005D4053">
            <w:pPr>
              <w:pStyle w:val="TableText"/>
            </w:pPr>
            <w:r>
              <w:t>If dietary copper levels are low, molybdenum is toxic at lower concentrations</w:t>
            </w:r>
          </w:p>
        </w:tc>
      </w:tr>
      <w:tr w:rsidR="005D4053" w14:paraId="25033C10" w14:textId="77777777" w:rsidTr="00E96083">
        <w:tc>
          <w:tcPr>
            <w:tcW w:w="1386" w:type="dxa"/>
            <w:vMerge/>
            <w:tcBorders>
              <w:left w:val="nil"/>
              <w:right w:val="nil"/>
            </w:tcBorders>
          </w:tcPr>
          <w:p w14:paraId="60821F33" w14:textId="77777777" w:rsidR="005D4053" w:rsidRPr="008200CE" w:rsidRDefault="005D4053">
            <w:pPr>
              <w:pStyle w:val="TableText"/>
            </w:pPr>
          </w:p>
        </w:tc>
        <w:tc>
          <w:tcPr>
            <w:tcW w:w="2158" w:type="dxa"/>
            <w:tcBorders>
              <w:left w:val="nil"/>
              <w:right w:val="nil"/>
            </w:tcBorders>
          </w:tcPr>
          <w:p w14:paraId="7AF3DCA3" w14:textId="77777777" w:rsidR="005D4053" w:rsidRDefault="005D4053">
            <w:pPr>
              <w:pStyle w:val="TableText"/>
            </w:pPr>
            <w:r w:rsidRPr="008200CE">
              <w:t>Nickel</w:t>
            </w:r>
          </w:p>
        </w:tc>
        <w:tc>
          <w:tcPr>
            <w:tcW w:w="3119" w:type="dxa"/>
            <w:tcBorders>
              <w:left w:val="nil"/>
              <w:right w:val="nil"/>
            </w:tcBorders>
          </w:tcPr>
          <w:p w14:paraId="786455BE" w14:textId="30310A5E" w:rsidR="005D4053" w:rsidRDefault="005D4053">
            <w:pPr>
              <w:pStyle w:val="TableText"/>
            </w:pPr>
            <w:r>
              <w:t>&lt;</w:t>
            </w:r>
            <w:r w:rsidRPr="008200CE">
              <w:t>1</w:t>
            </w:r>
            <w:r w:rsidR="00D6755D">
              <w:t> </w:t>
            </w:r>
            <w:r>
              <w:t>mg/L</w:t>
            </w:r>
          </w:p>
        </w:tc>
        <w:tc>
          <w:tcPr>
            <w:tcW w:w="2693" w:type="dxa"/>
            <w:tcBorders>
              <w:left w:val="nil"/>
              <w:right w:val="nil"/>
            </w:tcBorders>
          </w:tcPr>
          <w:p w14:paraId="3C3A5608" w14:textId="77777777" w:rsidR="005D4053" w:rsidRDefault="005D4053">
            <w:pPr>
              <w:pStyle w:val="TableText"/>
            </w:pPr>
          </w:p>
        </w:tc>
      </w:tr>
      <w:tr w:rsidR="005D4053" w14:paraId="6AD3322A" w14:textId="77777777" w:rsidTr="00E96083">
        <w:tc>
          <w:tcPr>
            <w:tcW w:w="1386" w:type="dxa"/>
            <w:vMerge/>
            <w:tcBorders>
              <w:left w:val="nil"/>
              <w:right w:val="nil"/>
            </w:tcBorders>
          </w:tcPr>
          <w:p w14:paraId="0823EC69" w14:textId="77777777" w:rsidR="005D4053" w:rsidRPr="008200CE" w:rsidRDefault="005D4053">
            <w:pPr>
              <w:pStyle w:val="TableText"/>
            </w:pPr>
          </w:p>
        </w:tc>
        <w:tc>
          <w:tcPr>
            <w:tcW w:w="2158" w:type="dxa"/>
            <w:tcBorders>
              <w:left w:val="nil"/>
              <w:right w:val="nil"/>
            </w:tcBorders>
          </w:tcPr>
          <w:p w14:paraId="65312D44" w14:textId="77777777" w:rsidR="005D4053" w:rsidRDefault="005D4053">
            <w:pPr>
              <w:pStyle w:val="TableText"/>
            </w:pPr>
            <w:r w:rsidRPr="008200CE">
              <w:t>Selenium</w:t>
            </w:r>
          </w:p>
        </w:tc>
        <w:tc>
          <w:tcPr>
            <w:tcW w:w="3119" w:type="dxa"/>
            <w:tcBorders>
              <w:left w:val="nil"/>
              <w:right w:val="nil"/>
            </w:tcBorders>
          </w:tcPr>
          <w:p w14:paraId="2AA28197" w14:textId="64679775" w:rsidR="005D4053" w:rsidRDefault="005D4053">
            <w:pPr>
              <w:pStyle w:val="TableText"/>
            </w:pPr>
            <w:r>
              <w:t>&lt;</w:t>
            </w:r>
            <w:r w:rsidRPr="008200CE">
              <w:t>0.02</w:t>
            </w:r>
            <w:r w:rsidR="00D6755D">
              <w:t> </w:t>
            </w:r>
            <w:r>
              <w:t>mg/L</w:t>
            </w:r>
          </w:p>
        </w:tc>
        <w:tc>
          <w:tcPr>
            <w:tcW w:w="2693" w:type="dxa"/>
            <w:tcBorders>
              <w:left w:val="nil"/>
              <w:right w:val="nil"/>
            </w:tcBorders>
          </w:tcPr>
          <w:p w14:paraId="389E9057" w14:textId="5F78792B" w:rsidR="005D4053" w:rsidRDefault="00E37E29">
            <w:pPr>
              <w:pStyle w:val="TableText"/>
            </w:pPr>
            <w:r>
              <w:t xml:space="preserve">Level </w:t>
            </w:r>
            <w:r w:rsidR="004E377A">
              <w:t xml:space="preserve">should </w:t>
            </w:r>
            <w:r>
              <w:t xml:space="preserve">not be </w:t>
            </w:r>
            <w:proofErr w:type="gramStart"/>
            <w:r>
              <w:t>exceeded</w:t>
            </w:r>
            <w:proofErr w:type="gramEnd"/>
          </w:p>
          <w:p w14:paraId="3752494F" w14:textId="752A3F23" w:rsidR="00001CA5" w:rsidRDefault="00001CA5">
            <w:pPr>
              <w:pStyle w:val="TableText"/>
            </w:pPr>
            <w:r w:rsidRPr="008C60E9">
              <w:lastRenderedPageBreak/>
              <w:t>Consider all factors in assessing the risk of toxicity (</w:t>
            </w:r>
            <w:proofErr w:type="gramStart"/>
            <w:r w:rsidRPr="008C60E9">
              <w:t>e.g.</w:t>
            </w:r>
            <w:proofErr w:type="gramEnd"/>
            <w:r>
              <w:t> </w:t>
            </w:r>
            <w:r w:rsidRPr="008C60E9">
              <w:t>bioavailability, levels in feed)</w:t>
            </w:r>
          </w:p>
        </w:tc>
      </w:tr>
      <w:tr w:rsidR="005D4053" w14:paraId="15546B41" w14:textId="77777777" w:rsidTr="00E96083">
        <w:tc>
          <w:tcPr>
            <w:tcW w:w="1386" w:type="dxa"/>
            <w:vMerge/>
            <w:tcBorders>
              <w:left w:val="nil"/>
              <w:right w:val="nil"/>
            </w:tcBorders>
          </w:tcPr>
          <w:p w14:paraId="433866A0" w14:textId="77777777" w:rsidR="005D4053" w:rsidRPr="008200CE" w:rsidRDefault="005D4053">
            <w:pPr>
              <w:pStyle w:val="TableText"/>
            </w:pPr>
          </w:p>
        </w:tc>
        <w:tc>
          <w:tcPr>
            <w:tcW w:w="2158" w:type="dxa"/>
            <w:tcBorders>
              <w:left w:val="nil"/>
              <w:right w:val="nil"/>
            </w:tcBorders>
          </w:tcPr>
          <w:p w14:paraId="65C5DB38" w14:textId="77777777" w:rsidR="005D4053" w:rsidRDefault="005D4053">
            <w:pPr>
              <w:pStyle w:val="TableText"/>
            </w:pPr>
            <w:r w:rsidRPr="008200CE">
              <w:t>Uranium</w:t>
            </w:r>
          </w:p>
        </w:tc>
        <w:tc>
          <w:tcPr>
            <w:tcW w:w="3119" w:type="dxa"/>
            <w:tcBorders>
              <w:left w:val="nil"/>
              <w:right w:val="nil"/>
            </w:tcBorders>
          </w:tcPr>
          <w:p w14:paraId="7277DE0A" w14:textId="70C52789" w:rsidR="005D4053" w:rsidRDefault="005D4053">
            <w:pPr>
              <w:pStyle w:val="TableText"/>
            </w:pPr>
            <w:r>
              <w:t>&lt;</w:t>
            </w:r>
            <w:r w:rsidRPr="008200CE">
              <w:t>0.2</w:t>
            </w:r>
            <w:r w:rsidR="00D6755D">
              <w:t> </w:t>
            </w:r>
            <w:r>
              <w:t>mg/L</w:t>
            </w:r>
          </w:p>
        </w:tc>
        <w:tc>
          <w:tcPr>
            <w:tcW w:w="2693" w:type="dxa"/>
            <w:tcBorders>
              <w:left w:val="nil"/>
              <w:right w:val="nil"/>
            </w:tcBorders>
          </w:tcPr>
          <w:p w14:paraId="7B8E18A5" w14:textId="77777777" w:rsidR="005D4053" w:rsidRDefault="005D4053">
            <w:pPr>
              <w:pStyle w:val="TableText"/>
            </w:pPr>
          </w:p>
        </w:tc>
      </w:tr>
      <w:tr w:rsidR="005D4053" w14:paraId="1C63993D" w14:textId="77777777" w:rsidTr="00E96083">
        <w:tc>
          <w:tcPr>
            <w:tcW w:w="1386" w:type="dxa"/>
            <w:vMerge/>
            <w:tcBorders>
              <w:left w:val="nil"/>
              <w:right w:val="nil"/>
            </w:tcBorders>
          </w:tcPr>
          <w:p w14:paraId="62A35316" w14:textId="77777777" w:rsidR="005D4053" w:rsidRPr="008200CE" w:rsidRDefault="005D4053">
            <w:pPr>
              <w:pStyle w:val="TableText"/>
            </w:pPr>
          </w:p>
        </w:tc>
        <w:tc>
          <w:tcPr>
            <w:tcW w:w="2158" w:type="dxa"/>
            <w:tcBorders>
              <w:left w:val="nil"/>
              <w:right w:val="nil"/>
            </w:tcBorders>
          </w:tcPr>
          <w:p w14:paraId="2EB74EDB" w14:textId="77777777" w:rsidR="005D4053" w:rsidRDefault="005D4053">
            <w:pPr>
              <w:pStyle w:val="TableText"/>
            </w:pPr>
            <w:r w:rsidRPr="008200CE">
              <w:t>Vanadium</w:t>
            </w:r>
          </w:p>
        </w:tc>
        <w:tc>
          <w:tcPr>
            <w:tcW w:w="3119" w:type="dxa"/>
            <w:tcBorders>
              <w:left w:val="nil"/>
              <w:right w:val="nil"/>
            </w:tcBorders>
          </w:tcPr>
          <w:p w14:paraId="4958F58F" w14:textId="568A9C7E" w:rsidR="005D4053" w:rsidRDefault="005D4053">
            <w:pPr>
              <w:pStyle w:val="TableText"/>
            </w:pPr>
            <w:r>
              <w:t>&lt;</w:t>
            </w:r>
            <w:r w:rsidRPr="008200CE">
              <w:t>0.1</w:t>
            </w:r>
            <w:r w:rsidR="00D6755D">
              <w:t> </w:t>
            </w:r>
            <w:r>
              <w:t>mg/L</w:t>
            </w:r>
          </w:p>
        </w:tc>
        <w:tc>
          <w:tcPr>
            <w:tcW w:w="2693" w:type="dxa"/>
            <w:tcBorders>
              <w:left w:val="nil"/>
              <w:right w:val="nil"/>
            </w:tcBorders>
          </w:tcPr>
          <w:p w14:paraId="22948B65" w14:textId="2BCD5870" w:rsidR="005D4053" w:rsidRDefault="00915819" w:rsidP="00915819">
            <w:pPr>
              <w:pStyle w:val="TableText"/>
            </w:pPr>
            <w:r>
              <w:t xml:space="preserve">Level </w:t>
            </w:r>
            <w:r w:rsidR="004E377A">
              <w:t xml:space="preserve">should </w:t>
            </w:r>
            <w:r>
              <w:t xml:space="preserve">not be </w:t>
            </w:r>
            <w:proofErr w:type="gramStart"/>
            <w:r>
              <w:t>exceeded</w:t>
            </w:r>
            <w:proofErr w:type="gramEnd"/>
          </w:p>
          <w:p w14:paraId="74D14C28" w14:textId="1EA27301" w:rsidR="00001CA5" w:rsidRDefault="00001CA5" w:rsidP="00915819">
            <w:pPr>
              <w:pStyle w:val="TableText"/>
            </w:pPr>
            <w:r w:rsidRPr="008C60E9">
              <w:t>Consider all factors in assessing the risk of toxicity (</w:t>
            </w:r>
            <w:proofErr w:type="gramStart"/>
            <w:r w:rsidRPr="008C60E9">
              <w:t>e.g.</w:t>
            </w:r>
            <w:proofErr w:type="gramEnd"/>
            <w:r>
              <w:t> </w:t>
            </w:r>
            <w:r w:rsidRPr="008C60E9">
              <w:t>bioavailability, levels in feed)</w:t>
            </w:r>
          </w:p>
        </w:tc>
      </w:tr>
      <w:tr w:rsidR="005D4053" w14:paraId="119FE24B" w14:textId="77777777" w:rsidTr="00E96083">
        <w:tc>
          <w:tcPr>
            <w:tcW w:w="1386" w:type="dxa"/>
            <w:vMerge/>
            <w:tcBorders>
              <w:left w:val="nil"/>
              <w:right w:val="nil"/>
            </w:tcBorders>
          </w:tcPr>
          <w:p w14:paraId="33FA72A2" w14:textId="77777777" w:rsidR="005D4053" w:rsidRPr="008200CE" w:rsidRDefault="005D4053">
            <w:pPr>
              <w:pStyle w:val="TableText"/>
            </w:pPr>
          </w:p>
        </w:tc>
        <w:tc>
          <w:tcPr>
            <w:tcW w:w="2158" w:type="dxa"/>
            <w:tcBorders>
              <w:left w:val="nil"/>
              <w:right w:val="nil"/>
            </w:tcBorders>
          </w:tcPr>
          <w:p w14:paraId="2A0C708B" w14:textId="77777777" w:rsidR="005D4053" w:rsidRDefault="005D4053">
            <w:pPr>
              <w:pStyle w:val="TableText"/>
            </w:pPr>
            <w:r w:rsidRPr="008200CE">
              <w:t>Zinc</w:t>
            </w:r>
          </w:p>
        </w:tc>
        <w:tc>
          <w:tcPr>
            <w:tcW w:w="3119" w:type="dxa"/>
            <w:tcBorders>
              <w:left w:val="nil"/>
              <w:right w:val="nil"/>
            </w:tcBorders>
          </w:tcPr>
          <w:p w14:paraId="3A46471C" w14:textId="5922B00C" w:rsidR="005D4053" w:rsidRDefault="005D4053">
            <w:pPr>
              <w:pStyle w:val="TableText"/>
            </w:pPr>
            <w:r>
              <w:t>&lt;</w:t>
            </w:r>
            <w:r w:rsidRPr="008200CE">
              <w:t>20</w:t>
            </w:r>
            <w:r w:rsidR="00D6755D">
              <w:t> </w:t>
            </w:r>
            <w:r>
              <w:t>mg/L</w:t>
            </w:r>
          </w:p>
        </w:tc>
        <w:tc>
          <w:tcPr>
            <w:tcW w:w="2693" w:type="dxa"/>
            <w:tcBorders>
              <w:left w:val="nil"/>
              <w:right w:val="nil"/>
            </w:tcBorders>
          </w:tcPr>
          <w:p w14:paraId="3522C302" w14:textId="77777777" w:rsidR="005D4053" w:rsidRDefault="005D4053">
            <w:pPr>
              <w:pStyle w:val="TableText"/>
            </w:pPr>
          </w:p>
        </w:tc>
      </w:tr>
      <w:tr w:rsidR="005D4053" w14:paraId="64D7254D" w14:textId="77777777" w:rsidTr="00E96083">
        <w:tc>
          <w:tcPr>
            <w:tcW w:w="3544" w:type="dxa"/>
            <w:gridSpan w:val="2"/>
            <w:tcBorders>
              <w:left w:val="nil"/>
              <w:right w:val="nil"/>
            </w:tcBorders>
          </w:tcPr>
          <w:p w14:paraId="3DB9246C" w14:textId="77777777" w:rsidR="005D4053" w:rsidRDefault="005D4053">
            <w:pPr>
              <w:pStyle w:val="TableHeading"/>
            </w:pPr>
            <w:r>
              <w:t>Pesticides and other organic contaminants</w:t>
            </w:r>
          </w:p>
          <w:p w14:paraId="02B72086" w14:textId="77777777" w:rsidR="005D4053" w:rsidRDefault="005D4053">
            <w:pPr>
              <w:pStyle w:val="TableHeading"/>
            </w:pPr>
          </w:p>
        </w:tc>
        <w:tc>
          <w:tcPr>
            <w:tcW w:w="3119" w:type="dxa"/>
            <w:tcBorders>
              <w:left w:val="nil"/>
              <w:right w:val="nil"/>
            </w:tcBorders>
          </w:tcPr>
          <w:p w14:paraId="46676DA0" w14:textId="0802887E" w:rsidR="005D4053" w:rsidRPr="00B905BC" w:rsidRDefault="005D4053">
            <w:pPr>
              <w:pStyle w:val="TableText"/>
              <w:rPr>
                <w:szCs w:val="18"/>
              </w:rPr>
            </w:pPr>
            <w:r w:rsidRPr="00B905BC">
              <w:rPr>
                <w:szCs w:val="18"/>
              </w:rPr>
              <w:t xml:space="preserve">Guideline values for </w:t>
            </w:r>
            <w:r w:rsidRPr="00B905BC">
              <w:t>specific</w:t>
            </w:r>
            <w:r w:rsidRPr="00B905BC">
              <w:rPr>
                <w:szCs w:val="18"/>
              </w:rPr>
              <w:t xml:space="preserve"> chemicals used in pesticides are provided in fact sheets attached to the </w:t>
            </w:r>
            <w:hyperlink r:id="rId22" w:history="1">
              <w:r w:rsidRPr="00B905BC">
                <w:rPr>
                  <w:rStyle w:val="Hyperlink"/>
                  <w:szCs w:val="18"/>
                </w:rPr>
                <w:t>Australian Drinking Water Guidelines</w:t>
              </w:r>
            </w:hyperlink>
            <w:r w:rsidRPr="00B905BC">
              <w:rPr>
                <w:szCs w:val="18"/>
              </w:rPr>
              <w:t xml:space="preserve"> </w:t>
            </w:r>
          </w:p>
        </w:tc>
        <w:tc>
          <w:tcPr>
            <w:tcW w:w="2693" w:type="dxa"/>
            <w:tcBorders>
              <w:left w:val="nil"/>
              <w:right w:val="nil"/>
            </w:tcBorders>
          </w:tcPr>
          <w:p w14:paraId="08E56EC5" w14:textId="77777777" w:rsidR="005D4053" w:rsidRPr="00B905BC" w:rsidRDefault="005D4053">
            <w:pPr>
              <w:pStyle w:val="TableText"/>
              <w:rPr>
                <w:szCs w:val="18"/>
              </w:rPr>
            </w:pPr>
          </w:p>
        </w:tc>
      </w:tr>
      <w:tr w:rsidR="005D4053" w14:paraId="5E01D48C" w14:textId="77777777" w:rsidTr="00E96083">
        <w:tc>
          <w:tcPr>
            <w:tcW w:w="3544" w:type="dxa"/>
            <w:gridSpan w:val="2"/>
            <w:tcBorders>
              <w:left w:val="nil"/>
              <w:right w:val="nil"/>
            </w:tcBorders>
          </w:tcPr>
          <w:p w14:paraId="2CBEDB7B" w14:textId="77777777" w:rsidR="005D4053" w:rsidRDefault="005D4053">
            <w:pPr>
              <w:pStyle w:val="TableHeading"/>
            </w:pPr>
            <w:r>
              <w:t>Radionucleotides</w:t>
            </w:r>
          </w:p>
          <w:p w14:paraId="30F6D5BA" w14:textId="77777777" w:rsidR="005D4053" w:rsidRDefault="005D4053">
            <w:pPr>
              <w:pStyle w:val="TableHeading"/>
            </w:pPr>
          </w:p>
        </w:tc>
        <w:tc>
          <w:tcPr>
            <w:tcW w:w="3119" w:type="dxa"/>
            <w:tcBorders>
              <w:left w:val="nil"/>
              <w:right w:val="nil"/>
            </w:tcBorders>
          </w:tcPr>
          <w:p w14:paraId="08720476" w14:textId="643AF0F6" w:rsidR="005D4053" w:rsidRPr="001F736D" w:rsidRDefault="005D4053">
            <w:pPr>
              <w:pStyle w:val="TableText"/>
              <w:rPr>
                <w:lang w:val="de-DE"/>
              </w:rPr>
            </w:pPr>
            <w:r w:rsidRPr="001F736D">
              <w:rPr>
                <w:lang w:val="de-DE"/>
              </w:rPr>
              <w:t>&lt;5</w:t>
            </w:r>
            <w:r w:rsidR="00D6755D">
              <w:t> </w:t>
            </w:r>
            <w:r w:rsidRPr="001F736D">
              <w:rPr>
                <w:lang w:val="de-DE"/>
              </w:rPr>
              <w:t>Bq/L (radium 226)</w:t>
            </w:r>
          </w:p>
          <w:p w14:paraId="1921C5B6" w14:textId="443AE722" w:rsidR="005D4053" w:rsidRPr="001F736D" w:rsidRDefault="005D4053">
            <w:pPr>
              <w:pStyle w:val="TableText"/>
              <w:rPr>
                <w:lang w:val="de-DE"/>
              </w:rPr>
            </w:pPr>
            <w:r w:rsidRPr="001F736D">
              <w:rPr>
                <w:lang w:val="de-DE"/>
              </w:rPr>
              <w:t>&lt;5</w:t>
            </w:r>
            <w:r w:rsidR="00D6755D">
              <w:t> </w:t>
            </w:r>
            <w:r w:rsidRPr="001F736D">
              <w:rPr>
                <w:lang w:val="de-DE"/>
              </w:rPr>
              <w:t>Bq/L (radium 228)</w:t>
            </w:r>
          </w:p>
          <w:p w14:paraId="3FAA9C5A" w14:textId="000ACC9A" w:rsidR="005D4053" w:rsidRPr="00C66B94" w:rsidRDefault="005D4053">
            <w:pPr>
              <w:pStyle w:val="TableText"/>
            </w:pPr>
            <w:r>
              <w:t>&lt;</w:t>
            </w:r>
            <w:r w:rsidRPr="00C66B94">
              <w:t>2.5</w:t>
            </w:r>
            <w:r w:rsidR="00D6755D">
              <w:t> </w:t>
            </w:r>
            <w:proofErr w:type="spellStart"/>
            <w:r w:rsidRPr="0056438C">
              <w:t>Bq</w:t>
            </w:r>
            <w:proofErr w:type="spellEnd"/>
            <w:r w:rsidRPr="0056438C">
              <w:t>/L</w:t>
            </w:r>
            <w:r w:rsidRPr="00C66B94">
              <w:t xml:space="preserve"> </w:t>
            </w:r>
            <w:r>
              <w:t>(</w:t>
            </w:r>
            <w:r w:rsidR="00AB45C1">
              <w:t>u</w:t>
            </w:r>
            <w:r w:rsidRPr="00C66B94">
              <w:t>ranium 238</w:t>
            </w:r>
            <w:r>
              <w:t>)</w:t>
            </w:r>
          </w:p>
          <w:p w14:paraId="0F3CFC3E" w14:textId="79F08C99" w:rsidR="005D4053" w:rsidRPr="00C66B94" w:rsidRDefault="005D4053">
            <w:pPr>
              <w:pStyle w:val="TableText"/>
            </w:pPr>
            <w:r>
              <w:t>&lt;</w:t>
            </w:r>
            <w:r w:rsidRPr="00C66B94">
              <w:t>1</w:t>
            </w:r>
            <w:r w:rsidR="00D6755D">
              <w:t> </w:t>
            </w:r>
            <w:proofErr w:type="spellStart"/>
            <w:r w:rsidRPr="0056438C">
              <w:t>Bq</w:t>
            </w:r>
            <w:proofErr w:type="spellEnd"/>
            <w:r w:rsidRPr="0056438C">
              <w:t>/L</w:t>
            </w:r>
            <w:r w:rsidRPr="00C66B94">
              <w:t xml:space="preserve"> </w:t>
            </w:r>
            <w:r>
              <w:t>(</w:t>
            </w:r>
            <w:r w:rsidR="00AB45C1">
              <w:t>g</w:t>
            </w:r>
            <w:r w:rsidRPr="00C66B94">
              <w:t>ross alpha</w:t>
            </w:r>
            <w:r>
              <w:t>)</w:t>
            </w:r>
          </w:p>
          <w:p w14:paraId="31A59E4E" w14:textId="12EE14CF" w:rsidR="005D4053" w:rsidRPr="00C66B94" w:rsidRDefault="005D4053">
            <w:pPr>
              <w:pStyle w:val="TableText"/>
            </w:pPr>
            <w:r>
              <w:t>&lt;</w:t>
            </w:r>
            <w:r w:rsidRPr="00C66B94">
              <w:t>5</w:t>
            </w:r>
            <w:r w:rsidR="00D6755D">
              <w:t> </w:t>
            </w:r>
            <w:proofErr w:type="spellStart"/>
            <w:r w:rsidRPr="0056438C">
              <w:t>Bq</w:t>
            </w:r>
            <w:proofErr w:type="spellEnd"/>
            <w:r w:rsidRPr="0056438C">
              <w:t>/L</w:t>
            </w:r>
            <w:r w:rsidRPr="00C66B94">
              <w:t xml:space="preserve"> </w:t>
            </w:r>
            <w:r>
              <w:t>(</w:t>
            </w:r>
            <w:r w:rsidR="00AB45C1">
              <w:t>g</w:t>
            </w:r>
            <w:r w:rsidRPr="00C66B94">
              <w:t>ross beta excluding k-40)</w:t>
            </w:r>
          </w:p>
          <w:p w14:paraId="39B6F0A0" w14:textId="04C26DC2" w:rsidR="005D4053" w:rsidRDefault="005D4053">
            <w:pPr>
              <w:pStyle w:val="TableText"/>
            </w:pPr>
            <w:r>
              <w:t>&lt;</w:t>
            </w:r>
            <w:r w:rsidRPr="00C66B94">
              <w:t>10</w:t>
            </w:r>
            <w:r w:rsidR="00D6755D">
              <w:t> </w:t>
            </w:r>
            <w:proofErr w:type="spellStart"/>
            <w:r w:rsidRPr="0056438C">
              <w:t>Bq</w:t>
            </w:r>
            <w:proofErr w:type="spellEnd"/>
            <w:r w:rsidRPr="0056438C">
              <w:t>/L</w:t>
            </w:r>
            <w:r w:rsidRPr="00C66B94">
              <w:t xml:space="preserve"> </w:t>
            </w:r>
            <w:r>
              <w:t>(</w:t>
            </w:r>
            <w:r w:rsidR="00AB45C1">
              <w:t>t</w:t>
            </w:r>
            <w:r w:rsidRPr="00C66B94">
              <w:t>horium 230/232/228</w:t>
            </w:r>
            <w:r>
              <w:t>)</w:t>
            </w:r>
          </w:p>
        </w:tc>
        <w:tc>
          <w:tcPr>
            <w:tcW w:w="2693" w:type="dxa"/>
            <w:tcBorders>
              <w:left w:val="nil"/>
              <w:right w:val="nil"/>
            </w:tcBorders>
          </w:tcPr>
          <w:p w14:paraId="3A39FF3F" w14:textId="77777777" w:rsidR="005D4053" w:rsidRDefault="005D4053">
            <w:pPr>
              <w:pStyle w:val="TableText"/>
            </w:pPr>
            <w:r>
              <w:t>L</w:t>
            </w:r>
            <w:r w:rsidRPr="009046EE">
              <w:t xml:space="preserve">evels of radioactivity in </w:t>
            </w:r>
            <w:r>
              <w:t>live</w:t>
            </w:r>
            <w:r w:rsidRPr="009046EE">
              <w:t xml:space="preserve">stock drinking water </w:t>
            </w:r>
            <w:r>
              <w:t>are unlikely to</w:t>
            </w:r>
            <w:r w:rsidRPr="009046EE">
              <w:t xml:space="preserve"> be a direct threat to </w:t>
            </w:r>
            <w:r>
              <w:t>animal</w:t>
            </w:r>
            <w:r w:rsidRPr="009046EE">
              <w:t xml:space="preserve"> health </w:t>
            </w:r>
          </w:p>
        </w:tc>
      </w:tr>
    </w:tbl>
    <w:p w14:paraId="0743F5B3" w14:textId="77777777" w:rsidR="005D4053" w:rsidRDefault="005D4053" w:rsidP="005D4053">
      <w:pPr>
        <w:rPr>
          <w:lang w:eastAsia="ja-JP"/>
        </w:rPr>
      </w:pPr>
    </w:p>
    <w:p w14:paraId="2AA03F03" w14:textId="272164F2" w:rsidR="00615DAC" w:rsidRDefault="00A32887" w:rsidP="00E61CC7">
      <w:r>
        <w:rPr>
          <w:lang w:eastAsia="ja-JP"/>
        </w:rPr>
        <w:t xml:space="preserve">The guideline values are usually presented </w:t>
      </w:r>
      <w:r w:rsidR="00CB0FFB">
        <w:t xml:space="preserve">as concentrations </w:t>
      </w:r>
      <w:r w:rsidR="00DA32CE">
        <w:t xml:space="preserve">that </w:t>
      </w:r>
      <w:r w:rsidR="00CB0FFB">
        <w:t xml:space="preserve">should not be harmful to </w:t>
      </w:r>
      <w:r w:rsidR="00681B40">
        <w:t xml:space="preserve">animal </w:t>
      </w:r>
      <w:r w:rsidR="00CB0FFB">
        <w:t>health</w:t>
      </w:r>
      <w:r w:rsidR="00DA32CE">
        <w:t xml:space="preserve"> if they are not exceeded</w:t>
      </w:r>
      <w:r w:rsidR="00CB0FFB">
        <w:t>.</w:t>
      </w:r>
      <w:r w:rsidR="00DA32CE">
        <w:t xml:space="preserve"> </w:t>
      </w:r>
      <w:r w:rsidR="00615DAC">
        <w:t>For example</w:t>
      </w:r>
      <w:r w:rsidR="00D36118">
        <w:t>,</w:t>
      </w:r>
      <w:r w:rsidR="00615DAC">
        <w:t xml:space="preserve"> ‘Aluminium concentrations </w:t>
      </w:r>
      <w:r w:rsidR="00615DAC">
        <w:rPr>
          <w:rFonts w:cstheme="minorHAnsi"/>
        </w:rPr>
        <w:t>&lt;</w:t>
      </w:r>
      <w:r w:rsidR="00615DAC">
        <w:t>5 mg/L in livestock drinking water should not be harmful to animal health.</w:t>
      </w:r>
      <w:r w:rsidR="00E61CC7">
        <w:t>’</w:t>
      </w:r>
    </w:p>
    <w:p w14:paraId="2488348A" w14:textId="31F95271" w:rsidR="00A32887" w:rsidRDefault="00B5767C" w:rsidP="00D36118">
      <w:pPr>
        <w:rPr>
          <w:lang w:eastAsia="ja-JP"/>
        </w:rPr>
      </w:pPr>
      <w:r>
        <w:t xml:space="preserve">However, </w:t>
      </w:r>
      <w:r w:rsidR="00B0124E">
        <w:t>several metals and metalloids are</w:t>
      </w:r>
      <w:r w:rsidR="00196DEF">
        <w:t xml:space="preserve"> highly</w:t>
      </w:r>
      <w:r w:rsidR="00B0124E">
        <w:t xml:space="preserve"> toxic at very low levels. </w:t>
      </w:r>
      <w:r w:rsidR="004A002A">
        <w:t>For arsenic, cadmium, lead, mercury</w:t>
      </w:r>
      <w:r w:rsidR="00E37E29">
        <w:t>, selenium</w:t>
      </w:r>
      <w:r w:rsidR="004A002A">
        <w:t xml:space="preserve"> and vanadium</w:t>
      </w:r>
      <w:r w:rsidR="00FE37E2">
        <w:t xml:space="preserve">, the guideline values </w:t>
      </w:r>
      <w:r w:rsidR="00AB45C1">
        <w:t xml:space="preserve">are </w:t>
      </w:r>
      <w:r w:rsidR="00106DC7">
        <w:t xml:space="preserve">instead </w:t>
      </w:r>
      <w:r w:rsidR="00FE37E2">
        <w:rPr>
          <w:lang w:eastAsia="ja-JP"/>
        </w:rPr>
        <w:t xml:space="preserve">presented </w:t>
      </w:r>
      <w:r w:rsidR="00FE37E2">
        <w:t xml:space="preserve">as concentrations </w:t>
      </w:r>
      <w:r w:rsidR="00FC0DAB">
        <w:t xml:space="preserve">that are hazardous to animal health if </w:t>
      </w:r>
      <w:r w:rsidR="00F22A0D">
        <w:t xml:space="preserve">they </w:t>
      </w:r>
      <w:r w:rsidR="00F22A0D" w:rsidRPr="004C6E6D">
        <w:t>are</w:t>
      </w:r>
      <w:r w:rsidR="00F22A0D">
        <w:rPr>
          <w:b/>
          <w:bCs/>
        </w:rPr>
        <w:t xml:space="preserve"> </w:t>
      </w:r>
      <w:r w:rsidR="00FC0DAB">
        <w:t>exceeded.</w:t>
      </w:r>
      <w:r w:rsidR="00B315E0">
        <w:t xml:space="preserve"> </w:t>
      </w:r>
      <w:r w:rsidR="00E61CC7">
        <w:t>For example</w:t>
      </w:r>
      <w:r w:rsidR="00D36118">
        <w:t>,</w:t>
      </w:r>
      <w:r w:rsidR="00E61CC7">
        <w:t xml:space="preserve"> ‘Total arsenic concentrations </w:t>
      </w:r>
      <w:r w:rsidR="00E61CC7">
        <w:rPr>
          <w:rFonts w:cstheme="minorHAnsi"/>
        </w:rPr>
        <w:t>&gt;</w:t>
      </w:r>
      <w:r w:rsidR="00E61CC7">
        <w:t>0.025 mg/L in livestock drinking water may be hazardous to stock health.</w:t>
      </w:r>
      <w:r w:rsidR="00D36118">
        <w:t xml:space="preserve">’ </w:t>
      </w:r>
      <w:r w:rsidR="00B315E0">
        <w:t xml:space="preserve">This indicates that </w:t>
      </w:r>
      <w:r w:rsidR="00D01870">
        <w:t xml:space="preserve">caution must be taken </w:t>
      </w:r>
      <w:r w:rsidR="00AD6A1C">
        <w:t xml:space="preserve">with these substances, and </w:t>
      </w:r>
      <w:r w:rsidR="00572130">
        <w:t>management action may be needed even if levels are very low.</w:t>
      </w:r>
    </w:p>
    <w:p w14:paraId="53694792" w14:textId="497E05BB" w:rsidR="002B550D" w:rsidRDefault="002B550D" w:rsidP="002B550D">
      <w:r>
        <w:t xml:space="preserve">Other contaminants are emerging as potential concerns and will be captured in future editions of these guidelines. These include various substances used in industry, </w:t>
      </w:r>
      <w:proofErr w:type="gramStart"/>
      <w:r>
        <w:t>farms</w:t>
      </w:r>
      <w:proofErr w:type="gramEnd"/>
      <w:r>
        <w:t xml:space="preserve"> and households, such as </w:t>
      </w:r>
      <w:r w:rsidR="00A00851" w:rsidRPr="00DF5930">
        <w:t>endocrine-disrupting</w:t>
      </w:r>
      <w:r w:rsidR="00A00851">
        <w:t xml:space="preserve"> chemicals, </w:t>
      </w:r>
      <w:r>
        <w:t>per- and polyfluoroalkyl substances</w:t>
      </w:r>
      <w:r w:rsidRPr="00DF5930">
        <w:t xml:space="preserve"> (PFAS), </w:t>
      </w:r>
      <w:r w:rsidR="00A00851">
        <w:t>and</w:t>
      </w:r>
      <w:r w:rsidR="00A00851" w:rsidRPr="00DF5930">
        <w:t xml:space="preserve"> </w:t>
      </w:r>
      <w:r w:rsidRPr="00DF5930">
        <w:t>pharmaceuticals and personal care products.</w:t>
      </w:r>
    </w:p>
    <w:p w14:paraId="03F59C42" w14:textId="74057DAC" w:rsidR="004635DD" w:rsidRPr="001764A1" w:rsidRDefault="005C67DF" w:rsidP="00E92133">
      <w:pPr>
        <w:pStyle w:val="Heading2"/>
      </w:pPr>
      <w:bookmarkStart w:id="10" w:name="_Toc141704548"/>
      <w:r>
        <w:lastRenderedPageBreak/>
        <w:t>2</w:t>
      </w:r>
      <w:r>
        <w:tab/>
      </w:r>
      <w:r w:rsidR="00EB38E1" w:rsidRPr="001764A1">
        <w:t>Introduction</w:t>
      </w:r>
      <w:bookmarkEnd w:id="7"/>
      <w:bookmarkEnd w:id="8"/>
      <w:bookmarkEnd w:id="10"/>
    </w:p>
    <w:p w14:paraId="03F59C43" w14:textId="77777777" w:rsidR="00C37789" w:rsidRDefault="00EB38E1" w:rsidP="00C1087A">
      <w:r>
        <w:t>Good water quality and sufficient water quantity are</w:t>
      </w:r>
      <w:r w:rsidRPr="007C2B58">
        <w:t xml:space="preserve"> essential for successful livestock production. </w:t>
      </w:r>
      <w:r w:rsidR="002D2750">
        <w:t xml:space="preserve">Livestock production in Australia and New Zealand relies on surface water, </w:t>
      </w:r>
      <w:proofErr w:type="gramStart"/>
      <w:r w:rsidR="002D2750">
        <w:t>groundwater</w:t>
      </w:r>
      <w:proofErr w:type="gramEnd"/>
      <w:r w:rsidR="002D2750">
        <w:t xml:space="preserve"> and reclaimed water supplies.</w:t>
      </w:r>
    </w:p>
    <w:p w14:paraId="03F59C44" w14:textId="77777777" w:rsidR="00E25D6A" w:rsidRDefault="00EB38E1" w:rsidP="00C1087A">
      <w:r w:rsidRPr="007C2B58">
        <w:t>Poor</w:t>
      </w:r>
      <w:r w:rsidR="001F6A28">
        <w:t>-</w:t>
      </w:r>
      <w:r w:rsidRPr="007C2B58">
        <w:t xml:space="preserve">quality water may reduce animal production and impair fertility. In extreme cases, </w:t>
      </w:r>
      <w:r>
        <w:t>live</w:t>
      </w:r>
      <w:r w:rsidRPr="007C2B58">
        <w:t>stock may die. Contaminants in drinking water can produce residues in animal products (</w:t>
      </w:r>
      <w:proofErr w:type="gramStart"/>
      <w:r w:rsidRPr="007C2B58">
        <w:t>e.g.</w:t>
      </w:r>
      <w:proofErr w:type="gramEnd"/>
      <w:r w:rsidRPr="007C2B58">
        <w:t xml:space="preserve"> meat, milk</w:t>
      </w:r>
      <w:r>
        <w:t>,</w:t>
      </w:r>
      <w:r w:rsidRPr="007C2B58">
        <w:t xml:space="preserve"> eggs), adversely affecting saleability and/or creating human health risks.</w:t>
      </w:r>
    </w:p>
    <w:p w14:paraId="03F59C45" w14:textId="7BE3C4D8" w:rsidR="00373C5C" w:rsidRDefault="002942DD" w:rsidP="0096400D">
      <w:pPr>
        <w:pStyle w:val="Heading3"/>
      </w:pPr>
      <w:bookmarkStart w:id="11" w:name="_Toc134441278"/>
      <w:bookmarkStart w:id="12" w:name="_Toc134441725"/>
      <w:bookmarkStart w:id="13" w:name="_Toc134442061"/>
      <w:bookmarkStart w:id="14" w:name="_Toc134442208"/>
      <w:bookmarkStart w:id="15" w:name="_Toc134442419"/>
      <w:bookmarkStart w:id="16" w:name="_Toc134442062"/>
      <w:bookmarkStart w:id="17" w:name="_Toc134442209"/>
      <w:bookmarkStart w:id="18" w:name="_Toc141704549"/>
      <w:bookmarkEnd w:id="11"/>
      <w:bookmarkEnd w:id="12"/>
      <w:bookmarkEnd w:id="13"/>
      <w:bookmarkEnd w:id="14"/>
      <w:bookmarkEnd w:id="15"/>
      <w:r>
        <w:t>2.1</w:t>
      </w:r>
      <w:r>
        <w:tab/>
      </w:r>
      <w:r w:rsidR="00EB38E1">
        <w:t>Water q</w:t>
      </w:r>
      <w:r w:rsidR="002D2750">
        <w:t>uality</w:t>
      </w:r>
      <w:bookmarkEnd w:id="16"/>
      <w:bookmarkEnd w:id="17"/>
      <w:bookmarkEnd w:id="18"/>
    </w:p>
    <w:p w14:paraId="03F59C46" w14:textId="77777777" w:rsidR="001F6A28" w:rsidRDefault="00EB38E1" w:rsidP="001F6A28">
      <w:r>
        <w:t>Many factors influence the suitability of water for livestock watering.</w:t>
      </w:r>
    </w:p>
    <w:p w14:paraId="03F59C47" w14:textId="5F8C335C" w:rsidR="001F6A28" w:rsidRDefault="00EB38E1" w:rsidP="001F6A28">
      <w:r>
        <w:t xml:space="preserve">Requirements and tolerances of contaminants may differ </w:t>
      </w:r>
      <w:r w:rsidR="00F769C9">
        <w:t xml:space="preserve">between monogastric and ruminant animals; </w:t>
      </w:r>
      <w:r>
        <w:t>between animal species (generally tolerances decrease in the order sheep, cattle, horses, pigs, poultry)</w:t>
      </w:r>
      <w:r w:rsidR="00F769C9">
        <w:t>;</w:t>
      </w:r>
      <w:r>
        <w:t xml:space="preserve"> and </w:t>
      </w:r>
      <w:r w:rsidR="00AB45C1">
        <w:t>by animal condition and stage of</w:t>
      </w:r>
      <w:r>
        <w:t xml:space="preserve"> growth</w:t>
      </w:r>
      <w:r w:rsidR="00FD1F29">
        <w:t xml:space="preserve">. </w:t>
      </w:r>
      <w:r>
        <w:t>Moreover, stock accustomed to good</w:t>
      </w:r>
      <w:r w:rsidR="00F769C9">
        <w:t>-</w:t>
      </w:r>
      <w:r>
        <w:t xml:space="preserve">quality water can initially suffer ill effects or refuse to drink water of poorer </w:t>
      </w:r>
      <w:proofErr w:type="gramStart"/>
      <w:r>
        <w:t>quality, but</w:t>
      </w:r>
      <w:proofErr w:type="gramEnd"/>
      <w:r>
        <w:t xml:space="preserve"> may adjust if introduced gradually.</w:t>
      </w:r>
    </w:p>
    <w:p w14:paraId="03F59C48" w14:textId="7B9CFEEA" w:rsidR="00FC0B07" w:rsidRDefault="00EB38E1" w:rsidP="00C1087A">
      <w:r>
        <w:t>Surface w</w:t>
      </w:r>
      <w:r w:rsidR="00C37789">
        <w:t xml:space="preserve">ater quality </w:t>
      </w:r>
      <w:r>
        <w:t>(</w:t>
      </w:r>
      <w:proofErr w:type="gramStart"/>
      <w:r>
        <w:t>e.g.</w:t>
      </w:r>
      <w:proofErr w:type="gramEnd"/>
      <w:r w:rsidR="00612194">
        <w:t> </w:t>
      </w:r>
      <w:r w:rsidR="00C37789">
        <w:t xml:space="preserve">streams and dams) is influenced by </w:t>
      </w:r>
      <w:r w:rsidR="000403DD">
        <w:t xml:space="preserve">catchment </w:t>
      </w:r>
      <w:r w:rsidR="00C37789">
        <w:t>land use</w:t>
      </w:r>
      <w:r w:rsidR="001F6A28">
        <w:t xml:space="preserve"> (e.g. agriculture, mining and other industries)</w:t>
      </w:r>
      <w:r w:rsidR="00C37789">
        <w:t xml:space="preserve">, geology, topography, soil type and climate. Groundwater, which is used as </w:t>
      </w:r>
      <w:r w:rsidR="000403DD">
        <w:t>livestock</w:t>
      </w:r>
      <w:r w:rsidR="00C37789">
        <w:t xml:space="preserve"> drinking water </w:t>
      </w:r>
      <w:r>
        <w:t>throughout</w:t>
      </w:r>
      <w:r w:rsidR="00C37789">
        <w:t xml:space="preserve"> Australia and in parts of New Zealan</w:t>
      </w:r>
      <w:r w:rsidR="008562CD">
        <w:t>d</w:t>
      </w:r>
      <w:r w:rsidR="00C37789">
        <w:t xml:space="preserve">, may contain large quantities of dissolved salts, metals or other pollutants </w:t>
      </w:r>
      <w:r>
        <w:t>(</w:t>
      </w:r>
      <w:proofErr w:type="gramStart"/>
      <w:r>
        <w:t>e.g.</w:t>
      </w:r>
      <w:proofErr w:type="gramEnd"/>
      <w:r w:rsidR="00612194">
        <w:t> </w:t>
      </w:r>
      <w:r w:rsidR="00C37789">
        <w:t>pesticides</w:t>
      </w:r>
      <w:r>
        <w:t>)</w:t>
      </w:r>
      <w:r w:rsidR="001F6A28">
        <w:t>, depending</w:t>
      </w:r>
      <w:r>
        <w:t xml:space="preserve"> </w:t>
      </w:r>
      <w:r w:rsidR="00C37789">
        <w:t xml:space="preserve">on the soil and rock of the surrounding area and factors </w:t>
      </w:r>
      <w:r>
        <w:t>such as</w:t>
      </w:r>
      <w:r w:rsidR="00C37789">
        <w:t xml:space="preserve"> rainfall, evaporation, vegetation, land use and topography. </w:t>
      </w:r>
      <w:r>
        <w:t>Reclaimed water used for livestock is commonly derived from wastewater and mining.</w:t>
      </w:r>
    </w:p>
    <w:p w14:paraId="03F59C49" w14:textId="50EC4D3E" w:rsidR="001F6A28" w:rsidRDefault="00EB38E1" w:rsidP="001F6A28">
      <w:r w:rsidRPr="007C2B58">
        <w:t>Animal industries themselves may impair water quality downstream (</w:t>
      </w:r>
      <w:proofErr w:type="gramStart"/>
      <w:r w:rsidRPr="007C2B58">
        <w:t>e.g.</w:t>
      </w:r>
      <w:proofErr w:type="gramEnd"/>
      <w:r w:rsidR="00612194">
        <w:t> </w:t>
      </w:r>
      <w:r w:rsidRPr="007C2B58">
        <w:t>through faecal contamination), highlighting the need for an integrated approach to land and water management in rural catchments.</w:t>
      </w:r>
    </w:p>
    <w:p w14:paraId="03F59C4A" w14:textId="432F0FBB" w:rsidR="00373C5C" w:rsidRDefault="002942DD" w:rsidP="0096400D">
      <w:pPr>
        <w:pStyle w:val="Heading3"/>
        <w:rPr>
          <w:lang w:eastAsia="ja-JP"/>
        </w:rPr>
      </w:pPr>
      <w:bookmarkStart w:id="19" w:name="_Toc134442063"/>
      <w:bookmarkStart w:id="20" w:name="_Toc134442210"/>
      <w:bookmarkStart w:id="21" w:name="_Toc141704550"/>
      <w:r>
        <w:rPr>
          <w:lang w:eastAsia="ja-JP"/>
        </w:rPr>
        <w:t>2.2</w:t>
      </w:r>
      <w:r>
        <w:rPr>
          <w:lang w:eastAsia="ja-JP"/>
        </w:rPr>
        <w:tab/>
      </w:r>
      <w:r w:rsidR="00EB38E1">
        <w:rPr>
          <w:lang w:eastAsia="ja-JP"/>
        </w:rPr>
        <w:t>Water q</w:t>
      </w:r>
      <w:r w:rsidR="002D2750">
        <w:rPr>
          <w:lang w:eastAsia="ja-JP"/>
        </w:rPr>
        <w:t>uantity</w:t>
      </w:r>
      <w:bookmarkEnd w:id="19"/>
      <w:bookmarkEnd w:id="20"/>
      <w:bookmarkEnd w:id="21"/>
    </w:p>
    <w:p w14:paraId="698CD14E" w14:textId="48F6BBD3" w:rsidR="00F632E9" w:rsidRDefault="00DD5498" w:rsidP="00C1087A">
      <w:r>
        <w:t xml:space="preserve">If water has any contaminants, the </w:t>
      </w:r>
      <w:r w:rsidR="00C21042">
        <w:t>amount</w:t>
      </w:r>
      <w:r>
        <w:t xml:space="preserve"> of contaminant ingested by livestock will</w:t>
      </w:r>
      <w:r w:rsidR="00C21042">
        <w:t xml:space="preserve"> depend on how much </w:t>
      </w:r>
      <w:r w:rsidR="00A22272">
        <w:t xml:space="preserve">water </w:t>
      </w:r>
      <w:r w:rsidR="00C21042">
        <w:t>they drink.</w:t>
      </w:r>
      <w:r w:rsidR="00A22272">
        <w:t xml:space="preserve"> </w:t>
      </w:r>
    </w:p>
    <w:p w14:paraId="4059AE94" w14:textId="5F820F6E" w:rsidR="003F5B8B" w:rsidRDefault="00EB38E1" w:rsidP="00C1087A">
      <w:r>
        <w:t>Daily water intake varies widely among different forms of livestock</w:t>
      </w:r>
      <w:r w:rsidR="003A1BE3">
        <w:t xml:space="preserve">. </w:t>
      </w:r>
      <w:r w:rsidR="003F5B8B">
        <w:t>It</w:t>
      </w:r>
      <w:r>
        <w:t xml:space="preserve"> is also influenced by </w:t>
      </w:r>
      <w:r w:rsidR="003F5B8B">
        <w:t>various</w:t>
      </w:r>
      <w:r w:rsidR="00A1573C">
        <w:t xml:space="preserve"> factors</w:t>
      </w:r>
      <w:r w:rsidR="003F5B8B">
        <w:t>, such as:</w:t>
      </w:r>
    </w:p>
    <w:p w14:paraId="0181CB64" w14:textId="05C70DF0" w:rsidR="00A1573C" w:rsidRDefault="00913E30" w:rsidP="00CD62B5">
      <w:pPr>
        <w:pStyle w:val="Bullet"/>
      </w:pPr>
      <w:r>
        <w:t xml:space="preserve">season and </w:t>
      </w:r>
      <w:r w:rsidR="00A1573C">
        <w:t>weather (warmer weather increase</w:t>
      </w:r>
      <w:r w:rsidR="00D743F6">
        <w:t>s</w:t>
      </w:r>
      <w:r w:rsidR="00A1573C">
        <w:t xml:space="preserve"> water intake)</w:t>
      </w:r>
      <w:r w:rsidR="00EB38E1">
        <w:t xml:space="preserve"> </w:t>
      </w:r>
    </w:p>
    <w:p w14:paraId="397F94C6" w14:textId="7BFC2D84" w:rsidR="00D743F6" w:rsidRDefault="001E247D" w:rsidP="00763AEE">
      <w:pPr>
        <w:pStyle w:val="Bullet"/>
      </w:pPr>
      <w:r>
        <w:t>livestock diet</w:t>
      </w:r>
      <w:r w:rsidR="00A1573C">
        <w:t xml:space="preserve"> (</w:t>
      </w:r>
      <w:r w:rsidR="00D743F6">
        <w:t>livestock eating dry feed are likely to have higher water need</w:t>
      </w:r>
      <w:r w:rsidR="00341FD8">
        <w:t>s</w:t>
      </w:r>
      <w:r w:rsidR="00D743F6">
        <w:t>)</w:t>
      </w:r>
    </w:p>
    <w:p w14:paraId="45694483" w14:textId="77777777" w:rsidR="003835A4" w:rsidRDefault="003835A4" w:rsidP="00CD62B5">
      <w:pPr>
        <w:pStyle w:val="Bullet"/>
      </w:pPr>
      <w:r>
        <w:t>breed of animals (larger breeds may have higher water needs)</w:t>
      </w:r>
    </w:p>
    <w:p w14:paraId="5A797520" w14:textId="66E39F75" w:rsidR="00FD3E90" w:rsidRDefault="00FD3E90" w:rsidP="00CD62B5">
      <w:pPr>
        <w:pStyle w:val="Bullet"/>
      </w:pPr>
      <w:r>
        <w:t>age of animals (growing animals typically have higher water needs than mature animals)</w:t>
      </w:r>
    </w:p>
    <w:p w14:paraId="43CA3E6A" w14:textId="656E0860" w:rsidR="00A1573C" w:rsidRDefault="00D743F6" w:rsidP="00CD62B5">
      <w:pPr>
        <w:pStyle w:val="Bullet"/>
      </w:pPr>
      <w:r>
        <w:t>water quality (</w:t>
      </w:r>
      <w:r w:rsidR="00D169C9">
        <w:t>livestock may drink less if water quality is poor, for example if the water has high levels of salinity)</w:t>
      </w:r>
      <w:r w:rsidR="00EB38E1">
        <w:t xml:space="preserve"> </w:t>
      </w:r>
    </w:p>
    <w:p w14:paraId="335F6E35" w14:textId="5B647763" w:rsidR="00C22B0B" w:rsidRDefault="00C22B0B" w:rsidP="00CD62B5">
      <w:pPr>
        <w:pStyle w:val="Bullet"/>
      </w:pPr>
      <w:r>
        <w:t>lactation (</w:t>
      </w:r>
      <w:r w:rsidR="0031400E" w:rsidRPr="0031400E">
        <w:t>a lactating female</w:t>
      </w:r>
      <w:r w:rsidR="007F1D4A">
        <w:t xml:space="preserve"> </w:t>
      </w:r>
      <w:r w:rsidR="0031400E" w:rsidRPr="0031400E">
        <w:t>needs</w:t>
      </w:r>
      <w:r w:rsidR="007F1D4A">
        <w:t xml:space="preserve"> </w:t>
      </w:r>
      <w:r w:rsidR="0031400E" w:rsidRPr="0031400E">
        <w:t>at least 50% more</w:t>
      </w:r>
      <w:r w:rsidR="007F1D4A">
        <w:t xml:space="preserve"> </w:t>
      </w:r>
      <w:r w:rsidR="0031400E" w:rsidRPr="0031400E">
        <w:t>water</w:t>
      </w:r>
      <w:r w:rsidR="007F1D4A">
        <w:t xml:space="preserve"> </w:t>
      </w:r>
      <w:r w:rsidR="0031400E" w:rsidRPr="0031400E">
        <w:t>than a dry</w:t>
      </w:r>
      <w:r w:rsidR="007F1D4A">
        <w:t xml:space="preserve"> </w:t>
      </w:r>
      <w:r w:rsidR="0031400E" w:rsidRPr="0031400E">
        <w:t>animal)</w:t>
      </w:r>
    </w:p>
    <w:p w14:paraId="03F59C4B" w14:textId="5B999498" w:rsidR="008F6BE8" w:rsidRDefault="00763AEE" w:rsidP="00CD62B5">
      <w:pPr>
        <w:pStyle w:val="Bullet"/>
      </w:pPr>
      <w:r>
        <w:t>recent conditions (</w:t>
      </w:r>
      <w:r w:rsidR="00EB38E1" w:rsidRPr="007C2B58">
        <w:t>water intake can increase dramatically if animals are allowed unrestricted access following a period of deprivation</w:t>
      </w:r>
      <w:r>
        <w:t>)</w:t>
      </w:r>
      <w:r w:rsidR="00EB38E1" w:rsidRPr="007C2B58">
        <w:t>.</w:t>
      </w:r>
      <w:r w:rsidR="007614B3">
        <w:t xml:space="preserve"> </w:t>
      </w:r>
    </w:p>
    <w:p w14:paraId="03F59C4C" w14:textId="7039573D" w:rsidR="004635DD" w:rsidRDefault="002B41B8" w:rsidP="00C1087A">
      <w:r>
        <w:lastRenderedPageBreak/>
        <w:t xml:space="preserve">Temperatures have </w:t>
      </w:r>
      <w:r w:rsidR="005F5AC9">
        <w:t xml:space="preserve">the largest effect on water intake, and thus the livestock water requirements </w:t>
      </w:r>
      <w:r w:rsidR="001150AB">
        <w:t>vary between Australian</w:t>
      </w:r>
      <w:r w:rsidR="005F5AC9">
        <w:t xml:space="preserve"> state</w:t>
      </w:r>
      <w:r w:rsidR="001150AB">
        <w:t>s</w:t>
      </w:r>
      <w:r w:rsidR="00DA6E2A">
        <w:t>.</w:t>
      </w:r>
      <w:r w:rsidR="001150AB">
        <w:t xml:space="preserve"> </w:t>
      </w:r>
      <w:r w:rsidR="00F40762">
        <w:t>The</w:t>
      </w:r>
      <w:r w:rsidR="005F5AC9">
        <w:t xml:space="preserve"> </w:t>
      </w:r>
      <w:r w:rsidR="001150AB">
        <w:t xml:space="preserve">Victorian </w:t>
      </w:r>
      <w:r w:rsidR="00DA6E2A">
        <w:t>a</w:t>
      </w:r>
      <w:r w:rsidR="00EB38E1">
        <w:t xml:space="preserve">verage and peak </w:t>
      </w:r>
      <w:r w:rsidR="002517A6">
        <w:t xml:space="preserve">(summer) </w:t>
      </w:r>
      <w:r w:rsidR="00EB38E1">
        <w:t xml:space="preserve">daily water requirements for </w:t>
      </w:r>
      <w:r w:rsidR="005374A5">
        <w:t>various Australian</w:t>
      </w:r>
      <w:r w:rsidR="00EB38E1">
        <w:t xml:space="preserve"> livestock </w:t>
      </w:r>
      <w:r w:rsidR="005374A5">
        <w:t xml:space="preserve">species </w:t>
      </w:r>
      <w:r w:rsidR="00EB38E1">
        <w:t xml:space="preserve">are given in </w:t>
      </w:r>
      <w:r w:rsidR="002D5043">
        <w:fldChar w:fldCharType="begin"/>
      </w:r>
      <w:r w:rsidR="002D5043">
        <w:instrText xml:space="preserve"> REF _Ref84838968 \h </w:instrText>
      </w:r>
      <w:r w:rsidR="002D5043">
        <w:fldChar w:fldCharType="separate"/>
      </w:r>
      <w:r w:rsidR="0061517C" w:rsidRPr="00037865">
        <w:t>Table 2.</w:t>
      </w:r>
      <w:r w:rsidR="0061517C">
        <w:rPr>
          <w:noProof/>
        </w:rPr>
        <w:t>1</w:t>
      </w:r>
      <w:r w:rsidR="002D5043">
        <w:fldChar w:fldCharType="end"/>
      </w:r>
      <w:r w:rsidR="0070364B">
        <w:t xml:space="preserve">, but </w:t>
      </w:r>
      <w:r w:rsidR="00675CF5">
        <w:t>hotter and drier areas are likely to have higher water requirements.</w:t>
      </w:r>
    </w:p>
    <w:p w14:paraId="03F59C4D" w14:textId="0B944A66" w:rsidR="00C37789" w:rsidRPr="00037865" w:rsidRDefault="00EB38E1" w:rsidP="00DF778F">
      <w:pPr>
        <w:pStyle w:val="Caption"/>
      </w:pPr>
      <w:bookmarkStart w:id="22" w:name="_Ref84838968"/>
      <w:bookmarkStart w:id="23" w:name="_Toc148089840"/>
      <w:r w:rsidRPr="00037865">
        <w:t>Table </w:t>
      </w:r>
      <w:r w:rsidR="00A348FB" w:rsidRPr="00037865">
        <w:t>2.</w:t>
      </w:r>
      <w:r w:rsidR="00295C34" w:rsidRPr="00037865">
        <w:fldChar w:fldCharType="begin"/>
      </w:r>
      <w:r w:rsidRPr="00037865">
        <w:instrText xml:space="preserve"> SEQ Table \* ARABIC </w:instrText>
      </w:r>
      <w:r w:rsidR="00295C34" w:rsidRPr="00037865">
        <w:fldChar w:fldCharType="separate"/>
      </w:r>
      <w:r w:rsidR="0061517C">
        <w:rPr>
          <w:noProof/>
        </w:rPr>
        <w:t>1</w:t>
      </w:r>
      <w:r w:rsidR="00295C34" w:rsidRPr="00037865">
        <w:fldChar w:fldCharType="end"/>
      </w:r>
      <w:bookmarkEnd w:id="22"/>
      <w:r w:rsidR="001764A1" w:rsidRPr="00037865">
        <w:t xml:space="preserve"> </w:t>
      </w:r>
      <w:r w:rsidR="00C841FF" w:rsidRPr="00037865">
        <w:t>Lives</w:t>
      </w:r>
      <w:r w:rsidRPr="00037865">
        <w:t>tock water requirements</w:t>
      </w:r>
      <w:bookmarkEnd w:id="23"/>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023"/>
        <w:gridCol w:w="3023"/>
        <w:gridCol w:w="3024"/>
      </w:tblGrid>
      <w:tr w:rsidR="0054058D" w14:paraId="03F59C51" w14:textId="77777777" w:rsidTr="004C6E6D">
        <w:trPr>
          <w:cantSplit/>
          <w:tblHeader/>
        </w:trPr>
        <w:tc>
          <w:tcPr>
            <w:tcW w:w="1666" w:type="pct"/>
            <w:tcBorders>
              <w:top w:val="single" w:sz="12" w:space="0" w:color="auto"/>
              <w:bottom w:val="single" w:sz="12" w:space="0" w:color="auto"/>
            </w:tcBorders>
          </w:tcPr>
          <w:p w14:paraId="03F59C4E" w14:textId="77777777" w:rsidR="00003846" w:rsidRPr="008B5C95" w:rsidRDefault="00EB38E1" w:rsidP="008B5C95">
            <w:pPr>
              <w:pStyle w:val="TableHeading"/>
            </w:pPr>
            <w:r>
              <w:t>L</w:t>
            </w:r>
            <w:r w:rsidR="002D2750" w:rsidRPr="008B5C95">
              <w:t>ivestock</w:t>
            </w:r>
          </w:p>
        </w:tc>
        <w:tc>
          <w:tcPr>
            <w:tcW w:w="1666" w:type="pct"/>
            <w:tcBorders>
              <w:top w:val="single" w:sz="12" w:space="0" w:color="auto"/>
              <w:bottom w:val="single" w:sz="12" w:space="0" w:color="auto"/>
            </w:tcBorders>
            <w:vAlign w:val="center"/>
          </w:tcPr>
          <w:p w14:paraId="03F59C4F" w14:textId="33CEB74D" w:rsidR="00003846" w:rsidRPr="008B5C95" w:rsidRDefault="00EB38E1" w:rsidP="004C6E6D">
            <w:pPr>
              <w:pStyle w:val="TableHeading"/>
              <w:jc w:val="center"/>
            </w:pPr>
            <w:r w:rsidRPr="008B5C95">
              <w:t>Average daily consumption</w:t>
            </w:r>
          </w:p>
        </w:tc>
        <w:tc>
          <w:tcPr>
            <w:tcW w:w="1667" w:type="pct"/>
            <w:tcBorders>
              <w:top w:val="single" w:sz="12" w:space="0" w:color="auto"/>
              <w:bottom w:val="single" w:sz="12" w:space="0" w:color="auto"/>
            </w:tcBorders>
            <w:vAlign w:val="center"/>
          </w:tcPr>
          <w:p w14:paraId="03F59C50" w14:textId="317E7153" w:rsidR="00003846" w:rsidRPr="008B5C95" w:rsidRDefault="00EB38E1" w:rsidP="004C6E6D">
            <w:pPr>
              <w:pStyle w:val="TableHeading"/>
              <w:jc w:val="center"/>
            </w:pPr>
            <w:r w:rsidRPr="008B5C95">
              <w:t>Peak daily consumption</w:t>
            </w:r>
            <w:r w:rsidR="00942031">
              <w:t xml:space="preserve"> </w:t>
            </w:r>
            <w:r w:rsidR="005E03B6">
              <w:t>(</w:t>
            </w:r>
            <w:r w:rsidR="00942031">
              <w:t>summer</w:t>
            </w:r>
            <w:r w:rsidR="005E03B6">
              <w:t>)</w:t>
            </w:r>
          </w:p>
        </w:tc>
      </w:tr>
      <w:tr w:rsidR="0054058D" w14:paraId="03F59C55" w14:textId="77777777" w:rsidTr="00EF463D">
        <w:trPr>
          <w:cantSplit/>
        </w:trPr>
        <w:tc>
          <w:tcPr>
            <w:tcW w:w="1666" w:type="pct"/>
            <w:tcBorders>
              <w:top w:val="single" w:sz="12" w:space="0" w:color="auto"/>
            </w:tcBorders>
          </w:tcPr>
          <w:p w14:paraId="03F59C52" w14:textId="77777777" w:rsidR="00003846" w:rsidRPr="008B5C95" w:rsidRDefault="00EB38E1" w:rsidP="000376C1">
            <w:pPr>
              <w:pStyle w:val="TableHeading"/>
            </w:pPr>
            <w:r w:rsidRPr="008B5C95">
              <w:t>Sheep</w:t>
            </w:r>
          </w:p>
        </w:tc>
        <w:tc>
          <w:tcPr>
            <w:tcW w:w="1666" w:type="pct"/>
            <w:tcBorders>
              <w:top w:val="single" w:sz="12" w:space="0" w:color="auto"/>
            </w:tcBorders>
          </w:tcPr>
          <w:p w14:paraId="03F59C53" w14:textId="77777777" w:rsidR="00003846" w:rsidRPr="008B5C95" w:rsidRDefault="00EB38E1" w:rsidP="004C6E6D">
            <w:pPr>
              <w:pStyle w:val="TableHeading"/>
              <w:jc w:val="center"/>
            </w:pPr>
            <w:r>
              <w:t>L</w:t>
            </w:r>
            <w:r w:rsidR="002D2750" w:rsidRPr="008B5C95">
              <w:t>itre/head</w:t>
            </w:r>
          </w:p>
        </w:tc>
        <w:tc>
          <w:tcPr>
            <w:tcW w:w="1667" w:type="pct"/>
            <w:tcBorders>
              <w:top w:val="single" w:sz="12" w:space="0" w:color="auto"/>
            </w:tcBorders>
          </w:tcPr>
          <w:p w14:paraId="03F59C54" w14:textId="7C2321A2" w:rsidR="00003846" w:rsidRPr="008B5C95" w:rsidRDefault="00EB38E1" w:rsidP="004C6E6D">
            <w:pPr>
              <w:pStyle w:val="TableHeading"/>
              <w:jc w:val="center"/>
            </w:pPr>
            <w:r>
              <w:t>L</w:t>
            </w:r>
            <w:r w:rsidR="002D2750" w:rsidRPr="008B5C95">
              <w:t>itre/head</w:t>
            </w:r>
          </w:p>
        </w:tc>
      </w:tr>
      <w:tr w:rsidR="0054058D" w14:paraId="03F59C59" w14:textId="77777777" w:rsidTr="004C6E6D">
        <w:trPr>
          <w:cantSplit/>
          <w:trHeight w:val="201"/>
        </w:trPr>
        <w:tc>
          <w:tcPr>
            <w:tcW w:w="1666" w:type="pct"/>
          </w:tcPr>
          <w:p w14:paraId="03F59C56" w14:textId="77777777" w:rsidR="00C841FF" w:rsidRPr="008B5C95" w:rsidRDefault="00EB38E1" w:rsidP="00C841FF">
            <w:pPr>
              <w:pStyle w:val="TableText"/>
            </w:pPr>
            <w:r w:rsidRPr="008B5C95">
              <w:t>Nursing ewes on dry feed</w:t>
            </w:r>
          </w:p>
        </w:tc>
        <w:tc>
          <w:tcPr>
            <w:tcW w:w="1666" w:type="pct"/>
            <w:vAlign w:val="center"/>
          </w:tcPr>
          <w:p w14:paraId="03F59C57" w14:textId="4E6F7BE3" w:rsidR="00B05AF6" w:rsidRPr="005374A5" w:rsidRDefault="002C148E" w:rsidP="004C6E6D">
            <w:pPr>
              <w:pStyle w:val="TableText"/>
              <w:tabs>
                <w:tab w:val="decimal" w:pos="1403"/>
              </w:tabs>
              <w:ind w:left="1406" w:hanging="1406"/>
            </w:pPr>
            <w:r>
              <w:t>10</w:t>
            </w:r>
            <w:r w:rsidR="00200C19">
              <w:t>.0</w:t>
            </w:r>
          </w:p>
        </w:tc>
        <w:tc>
          <w:tcPr>
            <w:tcW w:w="1667" w:type="pct"/>
            <w:vAlign w:val="center"/>
          </w:tcPr>
          <w:p w14:paraId="03F59C58" w14:textId="52CDD3C6" w:rsidR="00C841FF" w:rsidRPr="008B5C95" w:rsidRDefault="00A16F72" w:rsidP="004C6E6D">
            <w:pPr>
              <w:pStyle w:val="TableText"/>
              <w:tabs>
                <w:tab w:val="decimal" w:pos="1357"/>
              </w:tabs>
            </w:pPr>
            <w:r>
              <w:t>14</w:t>
            </w:r>
            <w:r w:rsidR="00200C19">
              <w:t>.0</w:t>
            </w:r>
          </w:p>
        </w:tc>
      </w:tr>
      <w:tr w:rsidR="0054058D" w14:paraId="03F59C5D" w14:textId="77777777" w:rsidTr="004C6E6D">
        <w:trPr>
          <w:cantSplit/>
          <w:trHeight w:val="201"/>
        </w:trPr>
        <w:tc>
          <w:tcPr>
            <w:tcW w:w="1666" w:type="pct"/>
          </w:tcPr>
          <w:p w14:paraId="03F59C5A" w14:textId="77777777" w:rsidR="00C841FF" w:rsidRPr="008B5C95" w:rsidRDefault="00EB38E1" w:rsidP="00C841FF">
            <w:pPr>
              <w:pStyle w:val="TableText"/>
            </w:pPr>
            <w:r w:rsidRPr="00D90807">
              <w:t>Mature sheep on dry pasture</w:t>
            </w:r>
          </w:p>
        </w:tc>
        <w:tc>
          <w:tcPr>
            <w:tcW w:w="1666" w:type="pct"/>
            <w:vAlign w:val="center"/>
          </w:tcPr>
          <w:p w14:paraId="03F59C5B" w14:textId="605C4C00" w:rsidR="00B05AF6" w:rsidRPr="005374A5" w:rsidRDefault="002C148E" w:rsidP="004C6E6D">
            <w:pPr>
              <w:pStyle w:val="TableText"/>
              <w:tabs>
                <w:tab w:val="decimal" w:pos="1403"/>
              </w:tabs>
              <w:ind w:left="1406" w:hanging="1406"/>
            </w:pPr>
            <w:r>
              <w:t>6</w:t>
            </w:r>
            <w:r w:rsidR="00200C19">
              <w:t>.0</w:t>
            </w:r>
          </w:p>
        </w:tc>
        <w:tc>
          <w:tcPr>
            <w:tcW w:w="1667" w:type="pct"/>
            <w:vAlign w:val="center"/>
          </w:tcPr>
          <w:p w14:paraId="03F59C5C" w14:textId="55A3BCB7" w:rsidR="00C841FF" w:rsidRPr="008B5C95" w:rsidRDefault="00A16F72" w:rsidP="004C6E6D">
            <w:pPr>
              <w:pStyle w:val="TableText"/>
              <w:tabs>
                <w:tab w:val="decimal" w:pos="1357"/>
              </w:tabs>
            </w:pPr>
            <w:r>
              <w:t>10</w:t>
            </w:r>
            <w:r w:rsidR="00200C19">
              <w:t>.0</w:t>
            </w:r>
          </w:p>
        </w:tc>
      </w:tr>
      <w:tr w:rsidR="00025DE1" w14:paraId="3D2B48ED" w14:textId="77777777" w:rsidTr="004C6E6D">
        <w:trPr>
          <w:cantSplit/>
          <w:trHeight w:val="201"/>
        </w:trPr>
        <w:tc>
          <w:tcPr>
            <w:tcW w:w="1666" w:type="pct"/>
          </w:tcPr>
          <w:p w14:paraId="3B6880B5" w14:textId="77777777" w:rsidR="00025DE1" w:rsidRPr="008B5C95" w:rsidRDefault="00025DE1">
            <w:pPr>
              <w:pStyle w:val="TableText"/>
            </w:pPr>
            <w:r w:rsidRPr="008B5C95">
              <w:t>Fattening lambs on dry pasture</w:t>
            </w:r>
          </w:p>
        </w:tc>
        <w:tc>
          <w:tcPr>
            <w:tcW w:w="1666" w:type="pct"/>
            <w:vAlign w:val="center"/>
          </w:tcPr>
          <w:p w14:paraId="331E63DD" w14:textId="4BD88AE7" w:rsidR="00025DE1" w:rsidRPr="008B5C95" w:rsidRDefault="00025DE1" w:rsidP="004C6E6D">
            <w:pPr>
              <w:pStyle w:val="TableText"/>
              <w:tabs>
                <w:tab w:val="decimal" w:pos="1403"/>
              </w:tabs>
              <w:ind w:left="1406" w:hanging="1406"/>
            </w:pPr>
            <w:r>
              <w:t>4</w:t>
            </w:r>
            <w:r w:rsidR="00200C19">
              <w:t>.0</w:t>
            </w:r>
          </w:p>
        </w:tc>
        <w:tc>
          <w:tcPr>
            <w:tcW w:w="1667" w:type="pct"/>
            <w:vAlign w:val="center"/>
          </w:tcPr>
          <w:p w14:paraId="2FE9F365" w14:textId="44CBCB1F" w:rsidR="00025DE1" w:rsidRPr="008B5C95" w:rsidRDefault="00025DE1" w:rsidP="004C6E6D">
            <w:pPr>
              <w:pStyle w:val="TableText"/>
              <w:tabs>
                <w:tab w:val="decimal" w:pos="1357"/>
              </w:tabs>
            </w:pPr>
            <w:r>
              <w:t>6</w:t>
            </w:r>
            <w:r w:rsidR="00200C19">
              <w:t>.0</w:t>
            </w:r>
          </w:p>
        </w:tc>
      </w:tr>
      <w:tr w:rsidR="0054058D" w14:paraId="03F59C61" w14:textId="77777777" w:rsidTr="004C6E6D">
        <w:trPr>
          <w:cantSplit/>
          <w:trHeight w:val="201"/>
        </w:trPr>
        <w:tc>
          <w:tcPr>
            <w:tcW w:w="1666" w:type="pct"/>
          </w:tcPr>
          <w:p w14:paraId="03F59C5E" w14:textId="77777777" w:rsidR="00C841FF" w:rsidRPr="008B5C95" w:rsidRDefault="00EB38E1" w:rsidP="00C841FF">
            <w:pPr>
              <w:pStyle w:val="TableText"/>
            </w:pPr>
            <w:r w:rsidRPr="008B5C95">
              <w:t>Mature sheep on green pasture</w:t>
            </w:r>
          </w:p>
        </w:tc>
        <w:tc>
          <w:tcPr>
            <w:tcW w:w="1666" w:type="pct"/>
            <w:vAlign w:val="center"/>
          </w:tcPr>
          <w:p w14:paraId="03F59C5F" w14:textId="58094305" w:rsidR="00B05AF6" w:rsidRPr="005374A5" w:rsidRDefault="00A16F72" w:rsidP="004C6E6D">
            <w:pPr>
              <w:pStyle w:val="TableText"/>
              <w:tabs>
                <w:tab w:val="decimal" w:pos="1403"/>
              </w:tabs>
              <w:ind w:left="1406" w:hanging="1406"/>
            </w:pPr>
            <w:r>
              <w:t>3.5</w:t>
            </w:r>
          </w:p>
        </w:tc>
        <w:tc>
          <w:tcPr>
            <w:tcW w:w="1667" w:type="pct"/>
            <w:vAlign w:val="center"/>
          </w:tcPr>
          <w:p w14:paraId="03F59C60" w14:textId="7D9F9290" w:rsidR="00C841FF" w:rsidRPr="008B5C95" w:rsidRDefault="00DB7F0A" w:rsidP="004C6E6D">
            <w:pPr>
              <w:pStyle w:val="TableText"/>
              <w:tabs>
                <w:tab w:val="decimal" w:pos="1357"/>
              </w:tabs>
            </w:pPr>
            <w:r>
              <w:t>4.9</w:t>
            </w:r>
          </w:p>
        </w:tc>
      </w:tr>
      <w:tr w:rsidR="0054058D" w14:paraId="03F59C69" w14:textId="77777777" w:rsidTr="004C6E6D">
        <w:trPr>
          <w:cantSplit/>
          <w:trHeight w:val="201"/>
        </w:trPr>
        <w:tc>
          <w:tcPr>
            <w:tcW w:w="1666" w:type="pct"/>
          </w:tcPr>
          <w:p w14:paraId="03F59C66" w14:textId="77777777" w:rsidR="00C841FF" w:rsidRPr="008B5C95" w:rsidRDefault="00EB38E1" w:rsidP="008B5C95">
            <w:pPr>
              <w:pStyle w:val="TableText"/>
            </w:pPr>
            <w:r w:rsidRPr="008B5C95">
              <w:t>Fattening lambs on green pasture</w:t>
            </w:r>
          </w:p>
        </w:tc>
        <w:tc>
          <w:tcPr>
            <w:tcW w:w="1666" w:type="pct"/>
            <w:vAlign w:val="center"/>
          </w:tcPr>
          <w:p w14:paraId="03F59C67" w14:textId="0AFB62F5" w:rsidR="00C841FF" w:rsidRPr="008B5C95" w:rsidRDefault="00A16F72" w:rsidP="004C6E6D">
            <w:pPr>
              <w:pStyle w:val="TableText"/>
              <w:tabs>
                <w:tab w:val="decimal" w:pos="1403"/>
              </w:tabs>
              <w:ind w:left="1406" w:hanging="1406"/>
            </w:pPr>
            <w:r>
              <w:t>1.1</w:t>
            </w:r>
          </w:p>
        </w:tc>
        <w:tc>
          <w:tcPr>
            <w:tcW w:w="1667" w:type="pct"/>
            <w:vAlign w:val="center"/>
          </w:tcPr>
          <w:p w14:paraId="03F59C68" w14:textId="6FD5F88B" w:rsidR="00C841FF" w:rsidRPr="008B5C95" w:rsidRDefault="00A16F72" w:rsidP="004C6E6D">
            <w:pPr>
              <w:pStyle w:val="TableText"/>
              <w:tabs>
                <w:tab w:val="decimal" w:pos="1357"/>
              </w:tabs>
            </w:pPr>
            <w:r>
              <w:t>1.5</w:t>
            </w:r>
          </w:p>
        </w:tc>
      </w:tr>
      <w:tr w:rsidR="0054058D" w14:paraId="03F59C6D" w14:textId="77777777" w:rsidTr="00EF463D">
        <w:trPr>
          <w:cantSplit/>
        </w:trPr>
        <w:tc>
          <w:tcPr>
            <w:tcW w:w="1666" w:type="pct"/>
          </w:tcPr>
          <w:p w14:paraId="03F59C6A" w14:textId="77777777" w:rsidR="00003846" w:rsidRPr="008B5C95" w:rsidRDefault="00EB38E1" w:rsidP="000376C1">
            <w:pPr>
              <w:pStyle w:val="TableHeading"/>
            </w:pPr>
            <w:r w:rsidRPr="008B5C95">
              <w:t>Cattle</w:t>
            </w:r>
          </w:p>
        </w:tc>
        <w:tc>
          <w:tcPr>
            <w:tcW w:w="1666" w:type="pct"/>
          </w:tcPr>
          <w:p w14:paraId="03F59C6B" w14:textId="0FA7730F" w:rsidR="00003846" w:rsidRPr="008B5C95" w:rsidRDefault="00EB38E1" w:rsidP="004C6E6D">
            <w:pPr>
              <w:pStyle w:val="TableHeading"/>
              <w:jc w:val="center"/>
            </w:pPr>
            <w:r>
              <w:t>L</w:t>
            </w:r>
            <w:r w:rsidRPr="008B5C95">
              <w:t>itre/head</w:t>
            </w:r>
          </w:p>
        </w:tc>
        <w:tc>
          <w:tcPr>
            <w:tcW w:w="1667" w:type="pct"/>
          </w:tcPr>
          <w:p w14:paraId="03F59C6C" w14:textId="06213FA3" w:rsidR="00003846" w:rsidRPr="008B5C95" w:rsidRDefault="00EB38E1" w:rsidP="004C6E6D">
            <w:pPr>
              <w:pStyle w:val="TableHeading"/>
              <w:jc w:val="center"/>
            </w:pPr>
            <w:r>
              <w:t>L</w:t>
            </w:r>
            <w:r w:rsidRPr="008B5C95">
              <w:t>itre/head</w:t>
            </w:r>
          </w:p>
        </w:tc>
      </w:tr>
      <w:tr w:rsidR="0054058D" w14:paraId="03F59C71" w14:textId="77777777" w:rsidTr="004C6E6D">
        <w:trPr>
          <w:cantSplit/>
          <w:trHeight w:val="206"/>
        </w:trPr>
        <w:tc>
          <w:tcPr>
            <w:tcW w:w="1666" w:type="pct"/>
          </w:tcPr>
          <w:p w14:paraId="03F59C6E" w14:textId="0FD61DDE" w:rsidR="000376C1" w:rsidRPr="008B5C95" w:rsidRDefault="00EB38E1" w:rsidP="000376C1">
            <w:pPr>
              <w:pStyle w:val="TableText"/>
            </w:pPr>
            <w:r w:rsidRPr="008B5C95">
              <w:t>Dairy cows</w:t>
            </w:r>
            <w:r w:rsidR="000133DD">
              <w:t>, lactating</w:t>
            </w:r>
          </w:p>
        </w:tc>
        <w:tc>
          <w:tcPr>
            <w:tcW w:w="1666" w:type="pct"/>
            <w:vAlign w:val="center"/>
          </w:tcPr>
          <w:p w14:paraId="03F59C6F" w14:textId="7C1FFC63" w:rsidR="000376C1" w:rsidRPr="008B5C95" w:rsidRDefault="00A2070E" w:rsidP="004C6E6D">
            <w:pPr>
              <w:pStyle w:val="TableText"/>
              <w:tabs>
                <w:tab w:val="decimal" w:pos="1403"/>
              </w:tabs>
            </w:pPr>
            <w:r>
              <w:t>150</w:t>
            </w:r>
            <w:r w:rsidR="00200C19">
              <w:t>.0</w:t>
            </w:r>
          </w:p>
        </w:tc>
        <w:tc>
          <w:tcPr>
            <w:tcW w:w="1667" w:type="pct"/>
            <w:vAlign w:val="center"/>
          </w:tcPr>
          <w:p w14:paraId="03F59C70" w14:textId="4C5DA0ED" w:rsidR="000376C1" w:rsidRPr="008B5C95" w:rsidRDefault="00B979B9" w:rsidP="004C6E6D">
            <w:pPr>
              <w:pStyle w:val="TableText"/>
              <w:tabs>
                <w:tab w:val="decimal" w:pos="1349"/>
              </w:tabs>
            </w:pPr>
            <w:r>
              <w:t>210</w:t>
            </w:r>
            <w:r w:rsidR="00200C19">
              <w:t>.0</w:t>
            </w:r>
          </w:p>
        </w:tc>
      </w:tr>
      <w:tr w:rsidR="0054058D" w14:paraId="03F59C75" w14:textId="77777777" w:rsidTr="004C6E6D">
        <w:trPr>
          <w:cantSplit/>
          <w:trHeight w:val="204"/>
        </w:trPr>
        <w:tc>
          <w:tcPr>
            <w:tcW w:w="1666" w:type="pct"/>
          </w:tcPr>
          <w:p w14:paraId="03F59C72" w14:textId="77777777" w:rsidR="000376C1" w:rsidRPr="008B5C95" w:rsidRDefault="00EB38E1" w:rsidP="000376C1">
            <w:pPr>
              <w:pStyle w:val="TableText"/>
            </w:pPr>
            <w:r w:rsidRPr="008B5C95">
              <w:t>Dairy cows, dry</w:t>
            </w:r>
          </w:p>
        </w:tc>
        <w:tc>
          <w:tcPr>
            <w:tcW w:w="1666" w:type="pct"/>
            <w:vAlign w:val="center"/>
          </w:tcPr>
          <w:p w14:paraId="03F59C73" w14:textId="2307D8A7" w:rsidR="000376C1" w:rsidRPr="008B5C95" w:rsidRDefault="00A2070E" w:rsidP="004C6E6D">
            <w:pPr>
              <w:pStyle w:val="TableText"/>
              <w:tabs>
                <w:tab w:val="decimal" w:pos="1403"/>
              </w:tabs>
            </w:pPr>
            <w:r>
              <w:t>80</w:t>
            </w:r>
            <w:r w:rsidR="00200C19">
              <w:t>.0</w:t>
            </w:r>
          </w:p>
        </w:tc>
        <w:tc>
          <w:tcPr>
            <w:tcW w:w="1667" w:type="pct"/>
            <w:vAlign w:val="center"/>
          </w:tcPr>
          <w:p w14:paraId="03F59C74" w14:textId="298B4429" w:rsidR="000376C1" w:rsidRPr="008B5C95" w:rsidRDefault="00B979B9" w:rsidP="004C6E6D">
            <w:pPr>
              <w:pStyle w:val="TableText"/>
              <w:tabs>
                <w:tab w:val="decimal" w:pos="1349"/>
              </w:tabs>
            </w:pPr>
            <w:r>
              <w:t>112</w:t>
            </w:r>
            <w:r w:rsidR="00200C19">
              <w:t>.0</w:t>
            </w:r>
          </w:p>
        </w:tc>
      </w:tr>
      <w:tr w:rsidR="0054058D" w14:paraId="03F59C79" w14:textId="77777777" w:rsidTr="004C6E6D">
        <w:trPr>
          <w:cantSplit/>
          <w:trHeight w:val="204"/>
        </w:trPr>
        <w:tc>
          <w:tcPr>
            <w:tcW w:w="1666" w:type="pct"/>
          </w:tcPr>
          <w:p w14:paraId="03F59C76" w14:textId="77777777" w:rsidR="000376C1" w:rsidRPr="008B5C95" w:rsidRDefault="00EB38E1" w:rsidP="000376C1">
            <w:pPr>
              <w:pStyle w:val="TableText"/>
            </w:pPr>
            <w:r w:rsidRPr="008B5C95">
              <w:t>Beef cattle</w:t>
            </w:r>
          </w:p>
        </w:tc>
        <w:tc>
          <w:tcPr>
            <w:tcW w:w="1666" w:type="pct"/>
            <w:vAlign w:val="center"/>
          </w:tcPr>
          <w:p w14:paraId="03F59C77" w14:textId="560D92EE" w:rsidR="000376C1" w:rsidRPr="008B5C95" w:rsidRDefault="00A2070E" w:rsidP="004C6E6D">
            <w:pPr>
              <w:pStyle w:val="TableText"/>
              <w:tabs>
                <w:tab w:val="decimal" w:pos="1403"/>
              </w:tabs>
            </w:pPr>
            <w:r>
              <w:t>80</w:t>
            </w:r>
            <w:r w:rsidR="00200C19">
              <w:t>.0</w:t>
            </w:r>
          </w:p>
        </w:tc>
        <w:tc>
          <w:tcPr>
            <w:tcW w:w="1667" w:type="pct"/>
            <w:vAlign w:val="center"/>
          </w:tcPr>
          <w:p w14:paraId="03F59C78" w14:textId="290FE04F" w:rsidR="000376C1" w:rsidRPr="008B5C95" w:rsidRDefault="00B979B9" w:rsidP="004C6E6D">
            <w:pPr>
              <w:pStyle w:val="TableText"/>
              <w:tabs>
                <w:tab w:val="decimal" w:pos="1349"/>
              </w:tabs>
            </w:pPr>
            <w:r>
              <w:t>100</w:t>
            </w:r>
            <w:r w:rsidR="00200C19">
              <w:t>.0</w:t>
            </w:r>
          </w:p>
        </w:tc>
      </w:tr>
      <w:tr w:rsidR="0054058D" w14:paraId="03F59C7D" w14:textId="77777777" w:rsidTr="004C6E6D">
        <w:trPr>
          <w:cantSplit/>
          <w:trHeight w:val="204"/>
        </w:trPr>
        <w:tc>
          <w:tcPr>
            <w:tcW w:w="1666" w:type="pct"/>
          </w:tcPr>
          <w:p w14:paraId="03F59C7A" w14:textId="77777777" w:rsidR="000376C1" w:rsidRPr="008B5C95" w:rsidRDefault="00EB38E1" w:rsidP="008B5C95">
            <w:pPr>
              <w:pStyle w:val="TableText"/>
            </w:pPr>
            <w:r w:rsidRPr="008B5C95">
              <w:t>Calves</w:t>
            </w:r>
          </w:p>
        </w:tc>
        <w:tc>
          <w:tcPr>
            <w:tcW w:w="1666" w:type="pct"/>
            <w:vAlign w:val="center"/>
          </w:tcPr>
          <w:p w14:paraId="03F59C7B" w14:textId="31B8ADA7" w:rsidR="000376C1" w:rsidRPr="008B5C95" w:rsidRDefault="00B979B9" w:rsidP="004C6E6D">
            <w:pPr>
              <w:pStyle w:val="TableText"/>
              <w:tabs>
                <w:tab w:val="decimal" w:pos="1403"/>
              </w:tabs>
            </w:pPr>
            <w:r>
              <w:t>55</w:t>
            </w:r>
            <w:r w:rsidR="00200C19">
              <w:t>.0</w:t>
            </w:r>
          </w:p>
        </w:tc>
        <w:tc>
          <w:tcPr>
            <w:tcW w:w="1667" w:type="pct"/>
            <w:vAlign w:val="center"/>
          </w:tcPr>
          <w:p w14:paraId="03F59C7C" w14:textId="1BA634BF" w:rsidR="000376C1" w:rsidRPr="008B5C95" w:rsidRDefault="00B979B9" w:rsidP="004C6E6D">
            <w:pPr>
              <w:pStyle w:val="TableText"/>
              <w:tabs>
                <w:tab w:val="decimal" w:pos="1349"/>
              </w:tabs>
            </w:pPr>
            <w:r>
              <w:t>70</w:t>
            </w:r>
            <w:r w:rsidR="00200C19">
              <w:t>.0</w:t>
            </w:r>
          </w:p>
        </w:tc>
      </w:tr>
      <w:tr w:rsidR="0054058D" w14:paraId="03F59C81" w14:textId="77777777" w:rsidTr="00EF463D">
        <w:trPr>
          <w:cantSplit/>
        </w:trPr>
        <w:tc>
          <w:tcPr>
            <w:tcW w:w="1666" w:type="pct"/>
          </w:tcPr>
          <w:p w14:paraId="03F59C7E" w14:textId="77777777" w:rsidR="00003846" w:rsidRPr="008B5C95" w:rsidRDefault="00EB38E1" w:rsidP="000376C1">
            <w:pPr>
              <w:pStyle w:val="TableHeading"/>
            </w:pPr>
            <w:r w:rsidRPr="008B5C95">
              <w:t>Horses</w:t>
            </w:r>
          </w:p>
        </w:tc>
        <w:tc>
          <w:tcPr>
            <w:tcW w:w="1666" w:type="pct"/>
          </w:tcPr>
          <w:p w14:paraId="03F59C7F" w14:textId="2E7260DE" w:rsidR="00003846" w:rsidRPr="008B5C95" w:rsidRDefault="00EB38E1" w:rsidP="004C6E6D">
            <w:pPr>
              <w:pStyle w:val="TableHeading"/>
              <w:jc w:val="center"/>
            </w:pPr>
            <w:r>
              <w:t>L</w:t>
            </w:r>
            <w:r w:rsidRPr="008B5C95">
              <w:t>itre/head</w:t>
            </w:r>
          </w:p>
        </w:tc>
        <w:tc>
          <w:tcPr>
            <w:tcW w:w="1667" w:type="pct"/>
          </w:tcPr>
          <w:p w14:paraId="03F59C80" w14:textId="074FDD78" w:rsidR="00003846" w:rsidRPr="008B5C95" w:rsidRDefault="00EB38E1" w:rsidP="004C6E6D">
            <w:pPr>
              <w:pStyle w:val="TableHeading"/>
              <w:jc w:val="center"/>
            </w:pPr>
            <w:r>
              <w:t>L</w:t>
            </w:r>
            <w:r w:rsidRPr="008B5C95">
              <w:t>itre/head</w:t>
            </w:r>
          </w:p>
        </w:tc>
      </w:tr>
      <w:tr w:rsidR="0054058D" w14:paraId="03F59C85" w14:textId="77777777" w:rsidTr="004C6E6D">
        <w:trPr>
          <w:cantSplit/>
          <w:trHeight w:val="213"/>
        </w:trPr>
        <w:tc>
          <w:tcPr>
            <w:tcW w:w="1666" w:type="pct"/>
          </w:tcPr>
          <w:p w14:paraId="03F59C82" w14:textId="77777777" w:rsidR="000F2261" w:rsidRPr="008B5C95" w:rsidRDefault="00EB38E1" w:rsidP="000F4AE3">
            <w:pPr>
              <w:pStyle w:val="TableText"/>
            </w:pPr>
            <w:r w:rsidRPr="008B5C95">
              <w:t>Working</w:t>
            </w:r>
          </w:p>
        </w:tc>
        <w:tc>
          <w:tcPr>
            <w:tcW w:w="1666" w:type="pct"/>
            <w:vAlign w:val="center"/>
          </w:tcPr>
          <w:p w14:paraId="03F59C83" w14:textId="24B6937A" w:rsidR="000F2261" w:rsidRPr="008B5C95" w:rsidRDefault="00EB38E1" w:rsidP="004C6E6D">
            <w:pPr>
              <w:pStyle w:val="TableText"/>
              <w:tabs>
                <w:tab w:val="decimal" w:pos="1403"/>
              </w:tabs>
            </w:pPr>
            <w:r w:rsidRPr="008B5C95">
              <w:t>55</w:t>
            </w:r>
            <w:r w:rsidR="00200C19">
              <w:t>.0</w:t>
            </w:r>
          </w:p>
        </w:tc>
        <w:tc>
          <w:tcPr>
            <w:tcW w:w="1667" w:type="pct"/>
            <w:vAlign w:val="center"/>
          </w:tcPr>
          <w:p w14:paraId="03F59C84" w14:textId="5CA071CB" w:rsidR="000F2261" w:rsidRPr="008B5C95" w:rsidRDefault="00EB38E1" w:rsidP="004C6E6D">
            <w:pPr>
              <w:pStyle w:val="TableText"/>
              <w:tabs>
                <w:tab w:val="decimal" w:pos="1368"/>
              </w:tabs>
            </w:pPr>
            <w:r w:rsidRPr="008B5C95">
              <w:t>7</w:t>
            </w:r>
            <w:r w:rsidR="00025DE1">
              <w:t>7</w:t>
            </w:r>
            <w:r w:rsidR="00200C19">
              <w:t>.0</w:t>
            </w:r>
          </w:p>
        </w:tc>
      </w:tr>
      <w:tr w:rsidR="0054058D" w14:paraId="03F59C89" w14:textId="77777777" w:rsidTr="004C6E6D">
        <w:trPr>
          <w:cantSplit/>
          <w:trHeight w:val="212"/>
        </w:trPr>
        <w:tc>
          <w:tcPr>
            <w:tcW w:w="1666" w:type="pct"/>
          </w:tcPr>
          <w:p w14:paraId="03F59C86" w14:textId="77777777" w:rsidR="000F2261" w:rsidRPr="008B5C95" w:rsidRDefault="00EB38E1" w:rsidP="008B5C95">
            <w:pPr>
              <w:pStyle w:val="TableText"/>
            </w:pPr>
            <w:r w:rsidRPr="008B5C95">
              <w:t>Grazing</w:t>
            </w:r>
          </w:p>
        </w:tc>
        <w:tc>
          <w:tcPr>
            <w:tcW w:w="1666" w:type="pct"/>
            <w:vAlign w:val="center"/>
          </w:tcPr>
          <w:p w14:paraId="03F59C87" w14:textId="5AB72DCB" w:rsidR="000F2261" w:rsidRPr="008B5C95" w:rsidRDefault="00EB38E1" w:rsidP="004C6E6D">
            <w:pPr>
              <w:pStyle w:val="TableText"/>
              <w:tabs>
                <w:tab w:val="decimal" w:pos="1403"/>
              </w:tabs>
            </w:pPr>
            <w:r w:rsidRPr="008B5C95">
              <w:t>35</w:t>
            </w:r>
            <w:r w:rsidR="00200C19">
              <w:t>.0</w:t>
            </w:r>
          </w:p>
        </w:tc>
        <w:tc>
          <w:tcPr>
            <w:tcW w:w="1667" w:type="pct"/>
            <w:vAlign w:val="center"/>
          </w:tcPr>
          <w:p w14:paraId="03F59C88" w14:textId="672E90A0" w:rsidR="000F2261" w:rsidRPr="008B5C95" w:rsidRDefault="00EB38E1" w:rsidP="004C6E6D">
            <w:pPr>
              <w:pStyle w:val="TableText"/>
              <w:tabs>
                <w:tab w:val="decimal" w:pos="1368"/>
              </w:tabs>
            </w:pPr>
            <w:r w:rsidRPr="008B5C95">
              <w:t>4</w:t>
            </w:r>
            <w:r w:rsidR="00025DE1">
              <w:t>9</w:t>
            </w:r>
            <w:r w:rsidR="00200C19">
              <w:t>.0</w:t>
            </w:r>
          </w:p>
        </w:tc>
      </w:tr>
      <w:tr w:rsidR="0054058D" w14:paraId="03F59C8D" w14:textId="77777777" w:rsidTr="00EF463D">
        <w:trPr>
          <w:cantSplit/>
        </w:trPr>
        <w:tc>
          <w:tcPr>
            <w:tcW w:w="1666" w:type="pct"/>
          </w:tcPr>
          <w:p w14:paraId="03F59C8A" w14:textId="77777777" w:rsidR="00003846" w:rsidRPr="008B5C95" w:rsidRDefault="00EB38E1" w:rsidP="000376C1">
            <w:pPr>
              <w:pStyle w:val="TableHeading"/>
            </w:pPr>
            <w:r w:rsidRPr="008B5C95">
              <w:t>Pigs</w:t>
            </w:r>
          </w:p>
        </w:tc>
        <w:tc>
          <w:tcPr>
            <w:tcW w:w="1666" w:type="pct"/>
          </w:tcPr>
          <w:p w14:paraId="03F59C8B" w14:textId="6CFD9BCC" w:rsidR="00003846" w:rsidRPr="008B5C95" w:rsidRDefault="00EB38E1" w:rsidP="004C6E6D">
            <w:pPr>
              <w:pStyle w:val="TableHeading"/>
              <w:jc w:val="center"/>
            </w:pPr>
            <w:r>
              <w:t>L</w:t>
            </w:r>
            <w:r w:rsidRPr="008B5C95">
              <w:t>itre/head</w:t>
            </w:r>
          </w:p>
        </w:tc>
        <w:tc>
          <w:tcPr>
            <w:tcW w:w="1667" w:type="pct"/>
          </w:tcPr>
          <w:p w14:paraId="03F59C8C" w14:textId="210E922F" w:rsidR="00003846" w:rsidRPr="008B5C95" w:rsidRDefault="00EB38E1" w:rsidP="004C6E6D">
            <w:pPr>
              <w:pStyle w:val="TableHeading"/>
              <w:jc w:val="center"/>
            </w:pPr>
            <w:r>
              <w:t>L</w:t>
            </w:r>
            <w:r w:rsidRPr="008B5C95">
              <w:t>itre/head</w:t>
            </w:r>
          </w:p>
        </w:tc>
      </w:tr>
      <w:tr w:rsidR="0054058D" w14:paraId="03F59C91" w14:textId="77777777" w:rsidTr="004C6E6D">
        <w:trPr>
          <w:cantSplit/>
          <w:trHeight w:val="213"/>
        </w:trPr>
        <w:tc>
          <w:tcPr>
            <w:tcW w:w="1666" w:type="pct"/>
          </w:tcPr>
          <w:p w14:paraId="03F59C8E" w14:textId="77777777" w:rsidR="000F2261" w:rsidRPr="008B5C95" w:rsidRDefault="00EB38E1" w:rsidP="000F4AE3">
            <w:pPr>
              <w:pStyle w:val="TableText"/>
            </w:pPr>
            <w:r w:rsidRPr="008B5C95">
              <w:t>Brood sows</w:t>
            </w:r>
          </w:p>
        </w:tc>
        <w:tc>
          <w:tcPr>
            <w:tcW w:w="1666" w:type="pct"/>
            <w:vAlign w:val="center"/>
          </w:tcPr>
          <w:p w14:paraId="03F59C8F" w14:textId="7FE0CD58" w:rsidR="000F2261" w:rsidRPr="008B5C95" w:rsidRDefault="00025DE1" w:rsidP="004C6E6D">
            <w:pPr>
              <w:pStyle w:val="TableText"/>
              <w:tabs>
                <w:tab w:val="decimal" w:pos="1403"/>
              </w:tabs>
            </w:pPr>
            <w:r>
              <w:t>45</w:t>
            </w:r>
            <w:r w:rsidR="00200C19">
              <w:t>.0</w:t>
            </w:r>
          </w:p>
        </w:tc>
        <w:tc>
          <w:tcPr>
            <w:tcW w:w="1667" w:type="pct"/>
            <w:vAlign w:val="center"/>
          </w:tcPr>
          <w:p w14:paraId="03F59C90" w14:textId="14BFFE25" w:rsidR="000F2261" w:rsidRPr="008B5C95" w:rsidRDefault="002D394B" w:rsidP="004C6E6D">
            <w:pPr>
              <w:pStyle w:val="TableText"/>
              <w:tabs>
                <w:tab w:val="decimal" w:pos="1364"/>
              </w:tabs>
            </w:pPr>
            <w:r>
              <w:t>63</w:t>
            </w:r>
            <w:r w:rsidR="00200C19">
              <w:t>.0</w:t>
            </w:r>
          </w:p>
        </w:tc>
      </w:tr>
      <w:tr w:rsidR="0054058D" w14:paraId="03F59C95" w14:textId="77777777" w:rsidTr="004C6E6D">
        <w:trPr>
          <w:cantSplit/>
          <w:trHeight w:val="212"/>
        </w:trPr>
        <w:tc>
          <w:tcPr>
            <w:tcW w:w="1666" w:type="pct"/>
          </w:tcPr>
          <w:p w14:paraId="03F59C92" w14:textId="77777777" w:rsidR="000F2261" w:rsidRPr="008B5C95" w:rsidRDefault="00EB38E1" w:rsidP="008B5C95">
            <w:pPr>
              <w:pStyle w:val="TableText"/>
            </w:pPr>
            <w:r w:rsidRPr="008B5C95">
              <w:t>Mature pigs</w:t>
            </w:r>
          </w:p>
        </w:tc>
        <w:tc>
          <w:tcPr>
            <w:tcW w:w="1666" w:type="pct"/>
            <w:vAlign w:val="center"/>
          </w:tcPr>
          <w:p w14:paraId="03F59C93" w14:textId="489C4A44" w:rsidR="000F2261" w:rsidRPr="008B5C95" w:rsidRDefault="002D394B" w:rsidP="004C6E6D">
            <w:pPr>
              <w:pStyle w:val="TableText"/>
              <w:tabs>
                <w:tab w:val="decimal" w:pos="1403"/>
              </w:tabs>
            </w:pPr>
            <w:r>
              <w:t>20</w:t>
            </w:r>
            <w:r w:rsidR="00200C19">
              <w:t>.0</w:t>
            </w:r>
          </w:p>
        </w:tc>
        <w:tc>
          <w:tcPr>
            <w:tcW w:w="1667" w:type="pct"/>
            <w:vAlign w:val="center"/>
          </w:tcPr>
          <w:p w14:paraId="03F59C94" w14:textId="4F9386B7" w:rsidR="000F2261" w:rsidRPr="008B5C95" w:rsidRDefault="002D394B" w:rsidP="004C6E6D">
            <w:pPr>
              <w:pStyle w:val="TableText"/>
              <w:tabs>
                <w:tab w:val="decimal" w:pos="1364"/>
              </w:tabs>
            </w:pPr>
            <w:r>
              <w:t>28</w:t>
            </w:r>
            <w:r w:rsidR="00200C19">
              <w:t>.0</w:t>
            </w:r>
          </w:p>
        </w:tc>
      </w:tr>
      <w:tr w:rsidR="00025DE1" w14:paraId="6D932CDB" w14:textId="77777777" w:rsidTr="004C6E6D">
        <w:trPr>
          <w:cantSplit/>
          <w:trHeight w:val="212"/>
        </w:trPr>
        <w:tc>
          <w:tcPr>
            <w:tcW w:w="1666" w:type="pct"/>
          </w:tcPr>
          <w:p w14:paraId="49505733" w14:textId="1332962E" w:rsidR="00025DE1" w:rsidRPr="008B5C95" w:rsidRDefault="002D394B" w:rsidP="008B5C95">
            <w:pPr>
              <w:pStyle w:val="TableText"/>
            </w:pPr>
            <w:r>
              <w:t>Grower</w:t>
            </w:r>
          </w:p>
        </w:tc>
        <w:tc>
          <w:tcPr>
            <w:tcW w:w="1666" w:type="pct"/>
            <w:vAlign w:val="center"/>
          </w:tcPr>
          <w:p w14:paraId="2A2E097C" w14:textId="4E060929" w:rsidR="00025DE1" w:rsidRPr="008B5C95" w:rsidRDefault="002D394B" w:rsidP="004C6E6D">
            <w:pPr>
              <w:pStyle w:val="TableText"/>
              <w:tabs>
                <w:tab w:val="decimal" w:pos="1403"/>
              </w:tabs>
            </w:pPr>
            <w:r>
              <w:t>12</w:t>
            </w:r>
            <w:r w:rsidR="00200C19">
              <w:t>.0</w:t>
            </w:r>
          </w:p>
        </w:tc>
        <w:tc>
          <w:tcPr>
            <w:tcW w:w="1667" w:type="pct"/>
            <w:vAlign w:val="center"/>
          </w:tcPr>
          <w:p w14:paraId="432E983D" w14:textId="4BB5FD18" w:rsidR="00025DE1" w:rsidRPr="008B5C95" w:rsidRDefault="002D394B" w:rsidP="004C6E6D">
            <w:pPr>
              <w:pStyle w:val="TableText"/>
              <w:tabs>
                <w:tab w:val="decimal" w:pos="1364"/>
              </w:tabs>
            </w:pPr>
            <w:r>
              <w:t>16.8</w:t>
            </w:r>
          </w:p>
        </w:tc>
      </w:tr>
      <w:tr w:rsidR="0054058D" w14:paraId="03F59C99" w14:textId="77777777" w:rsidTr="00EF463D">
        <w:trPr>
          <w:cantSplit/>
        </w:trPr>
        <w:tc>
          <w:tcPr>
            <w:tcW w:w="1666" w:type="pct"/>
            <w:tcBorders>
              <w:bottom w:val="single" w:sz="4" w:space="0" w:color="auto"/>
            </w:tcBorders>
          </w:tcPr>
          <w:p w14:paraId="03F59C96" w14:textId="77777777" w:rsidR="00183BCF" w:rsidRPr="008B5C95" w:rsidRDefault="00EB38E1" w:rsidP="000376C1">
            <w:pPr>
              <w:pStyle w:val="TableHeading"/>
            </w:pPr>
            <w:r w:rsidRPr="008B5C95">
              <w:t>Poultry</w:t>
            </w:r>
          </w:p>
        </w:tc>
        <w:tc>
          <w:tcPr>
            <w:tcW w:w="1666" w:type="pct"/>
            <w:tcBorders>
              <w:bottom w:val="single" w:sz="4" w:space="0" w:color="auto"/>
            </w:tcBorders>
          </w:tcPr>
          <w:p w14:paraId="03F59C97" w14:textId="568AE4BA" w:rsidR="00183BCF" w:rsidRPr="008B5C95" w:rsidRDefault="00EB38E1" w:rsidP="004C6E6D">
            <w:pPr>
              <w:pStyle w:val="TableHeading"/>
              <w:jc w:val="center"/>
            </w:pPr>
            <w:r>
              <w:t>L</w:t>
            </w:r>
            <w:r w:rsidRPr="008B5C95">
              <w:t>itre/100 birds</w:t>
            </w:r>
          </w:p>
        </w:tc>
        <w:tc>
          <w:tcPr>
            <w:tcW w:w="1667" w:type="pct"/>
            <w:tcBorders>
              <w:bottom w:val="single" w:sz="4" w:space="0" w:color="auto"/>
            </w:tcBorders>
          </w:tcPr>
          <w:p w14:paraId="03F59C98" w14:textId="7DB2741F" w:rsidR="00183BCF" w:rsidRPr="008B5C95" w:rsidRDefault="00EB38E1" w:rsidP="004C6E6D">
            <w:pPr>
              <w:pStyle w:val="TableHeading"/>
              <w:jc w:val="center"/>
            </w:pPr>
            <w:r>
              <w:t>L</w:t>
            </w:r>
            <w:r w:rsidRPr="008B5C95">
              <w:t>itre/100 birds</w:t>
            </w:r>
          </w:p>
        </w:tc>
      </w:tr>
      <w:tr w:rsidR="0054058D" w14:paraId="03F59C9D" w14:textId="77777777" w:rsidTr="004C6E6D">
        <w:trPr>
          <w:cantSplit/>
          <w:trHeight w:val="208"/>
        </w:trPr>
        <w:tc>
          <w:tcPr>
            <w:tcW w:w="1666" w:type="pct"/>
          </w:tcPr>
          <w:p w14:paraId="03F59C9A" w14:textId="77777777" w:rsidR="000F2261" w:rsidRPr="008B5C95" w:rsidRDefault="00EB38E1" w:rsidP="000F4AE3">
            <w:pPr>
              <w:pStyle w:val="TableText"/>
            </w:pPr>
            <w:r w:rsidRPr="008B5C95">
              <w:t>Laying hens</w:t>
            </w:r>
          </w:p>
        </w:tc>
        <w:tc>
          <w:tcPr>
            <w:tcW w:w="1666" w:type="pct"/>
            <w:vAlign w:val="center"/>
          </w:tcPr>
          <w:p w14:paraId="03F59C9B" w14:textId="50AFAE83" w:rsidR="000F2261" w:rsidRPr="008B5C95" w:rsidRDefault="00EB38E1" w:rsidP="004C6E6D">
            <w:pPr>
              <w:pStyle w:val="TableText"/>
              <w:tabs>
                <w:tab w:val="decimal" w:pos="1403"/>
              </w:tabs>
            </w:pPr>
            <w:r w:rsidRPr="008B5C95">
              <w:t>3</w:t>
            </w:r>
            <w:r w:rsidR="00487BD1">
              <w:t>3</w:t>
            </w:r>
            <w:r w:rsidR="00200C19">
              <w:t>.0</w:t>
            </w:r>
          </w:p>
        </w:tc>
        <w:tc>
          <w:tcPr>
            <w:tcW w:w="1667" w:type="pct"/>
            <w:vAlign w:val="center"/>
          </w:tcPr>
          <w:p w14:paraId="03F59C9C" w14:textId="4BB4FF63" w:rsidR="000F2261" w:rsidRPr="008B5C95" w:rsidRDefault="00EB38E1" w:rsidP="004C6E6D">
            <w:pPr>
              <w:pStyle w:val="TableText"/>
              <w:tabs>
                <w:tab w:val="decimal" w:pos="1357"/>
              </w:tabs>
            </w:pPr>
            <w:r w:rsidRPr="008B5C95">
              <w:t>4</w:t>
            </w:r>
            <w:r w:rsidR="00487BD1">
              <w:t>6</w:t>
            </w:r>
            <w:r w:rsidR="00200C19">
              <w:t>.0</w:t>
            </w:r>
          </w:p>
        </w:tc>
      </w:tr>
      <w:tr w:rsidR="0054058D" w14:paraId="03F59CA1" w14:textId="77777777" w:rsidTr="004C6E6D">
        <w:trPr>
          <w:cantSplit/>
          <w:trHeight w:val="207"/>
        </w:trPr>
        <w:tc>
          <w:tcPr>
            <w:tcW w:w="1666" w:type="pct"/>
          </w:tcPr>
          <w:p w14:paraId="03F59C9E" w14:textId="2B299DA2" w:rsidR="000F2261" w:rsidRPr="008B5C95" w:rsidRDefault="00487BD1" w:rsidP="000F4AE3">
            <w:pPr>
              <w:pStyle w:val="TableText"/>
            </w:pPr>
            <w:r>
              <w:t>Pullet</w:t>
            </w:r>
          </w:p>
        </w:tc>
        <w:tc>
          <w:tcPr>
            <w:tcW w:w="1666" w:type="pct"/>
            <w:vAlign w:val="center"/>
          </w:tcPr>
          <w:p w14:paraId="03F59C9F" w14:textId="7BBC1074" w:rsidR="000F2261" w:rsidRPr="008B5C95" w:rsidRDefault="00EB38E1" w:rsidP="004C6E6D">
            <w:pPr>
              <w:pStyle w:val="TableText"/>
              <w:tabs>
                <w:tab w:val="decimal" w:pos="1403"/>
              </w:tabs>
            </w:pPr>
            <w:r w:rsidRPr="008B5C95">
              <w:t>18</w:t>
            </w:r>
            <w:r w:rsidR="00200C19">
              <w:t>.0</w:t>
            </w:r>
          </w:p>
        </w:tc>
        <w:tc>
          <w:tcPr>
            <w:tcW w:w="1667" w:type="pct"/>
            <w:vAlign w:val="center"/>
          </w:tcPr>
          <w:p w14:paraId="03F59CA0" w14:textId="5F59784F" w:rsidR="000F2261" w:rsidRPr="008B5C95" w:rsidRDefault="00EB38E1" w:rsidP="004C6E6D">
            <w:pPr>
              <w:pStyle w:val="TableText"/>
              <w:tabs>
                <w:tab w:val="decimal" w:pos="1357"/>
              </w:tabs>
            </w:pPr>
            <w:r w:rsidRPr="008B5C95">
              <w:t>2</w:t>
            </w:r>
            <w:r w:rsidR="00487BD1">
              <w:t>5</w:t>
            </w:r>
            <w:r w:rsidR="00200C19">
              <w:t>.0</w:t>
            </w:r>
          </w:p>
        </w:tc>
      </w:tr>
      <w:tr w:rsidR="0054058D" w14:paraId="03F59CA5" w14:textId="77777777" w:rsidTr="004C6E6D">
        <w:trPr>
          <w:cantSplit/>
          <w:trHeight w:val="207"/>
        </w:trPr>
        <w:tc>
          <w:tcPr>
            <w:tcW w:w="1666" w:type="pct"/>
            <w:tcBorders>
              <w:bottom w:val="single" w:sz="12" w:space="0" w:color="auto"/>
            </w:tcBorders>
          </w:tcPr>
          <w:p w14:paraId="03F59CA2" w14:textId="77777777" w:rsidR="000F2261" w:rsidRPr="008B5C95" w:rsidRDefault="00EB38E1" w:rsidP="008B5C95">
            <w:pPr>
              <w:pStyle w:val="TableText"/>
            </w:pPr>
            <w:r w:rsidRPr="008B5C95">
              <w:t>Turkeys</w:t>
            </w:r>
          </w:p>
        </w:tc>
        <w:tc>
          <w:tcPr>
            <w:tcW w:w="1666" w:type="pct"/>
            <w:tcBorders>
              <w:bottom w:val="single" w:sz="12" w:space="0" w:color="auto"/>
            </w:tcBorders>
            <w:vAlign w:val="center"/>
          </w:tcPr>
          <w:p w14:paraId="03F59CA3" w14:textId="0ECE2536" w:rsidR="000F2261" w:rsidRPr="008B5C95" w:rsidRDefault="00EB38E1" w:rsidP="004C6E6D">
            <w:pPr>
              <w:pStyle w:val="TableText"/>
              <w:tabs>
                <w:tab w:val="decimal" w:pos="1403"/>
              </w:tabs>
            </w:pPr>
            <w:r w:rsidRPr="008B5C95">
              <w:t>55</w:t>
            </w:r>
            <w:r w:rsidR="00200C19">
              <w:t>.0</w:t>
            </w:r>
          </w:p>
        </w:tc>
        <w:tc>
          <w:tcPr>
            <w:tcW w:w="1667" w:type="pct"/>
            <w:tcBorders>
              <w:bottom w:val="single" w:sz="12" w:space="0" w:color="auto"/>
            </w:tcBorders>
            <w:vAlign w:val="center"/>
          </w:tcPr>
          <w:p w14:paraId="03F59CA4" w14:textId="7B3D6D6D" w:rsidR="000F2261" w:rsidRPr="008B5C95" w:rsidRDefault="00EB38E1" w:rsidP="004C6E6D">
            <w:pPr>
              <w:pStyle w:val="TableText"/>
              <w:tabs>
                <w:tab w:val="decimal" w:pos="1357"/>
              </w:tabs>
            </w:pPr>
            <w:r w:rsidRPr="008B5C95">
              <w:t>7</w:t>
            </w:r>
            <w:r w:rsidR="00487BD1">
              <w:t>7</w:t>
            </w:r>
            <w:r w:rsidR="00200C19">
              <w:t>.0</w:t>
            </w:r>
          </w:p>
        </w:tc>
      </w:tr>
    </w:tbl>
    <w:p w14:paraId="03F59CA6" w14:textId="2444883F" w:rsidR="00C37789" w:rsidRDefault="00EB38E1" w:rsidP="00C1087A">
      <w:pPr>
        <w:pStyle w:val="FigureTableNoteSource"/>
      </w:pPr>
      <w:r w:rsidRPr="00D15C05">
        <w:t xml:space="preserve">Source: </w:t>
      </w:r>
      <w:r w:rsidR="00DB7F0A" w:rsidRPr="00DB7F0A">
        <w:t>https://agriculture.vic.gov.au/farm-management/water/farm-water-solutions/managing-farm-water-supplies</w:t>
      </w:r>
    </w:p>
    <w:p w14:paraId="0E1660F7" w14:textId="22182DD6" w:rsidR="0096400D" w:rsidRDefault="0096400D" w:rsidP="0096400D">
      <w:pPr>
        <w:pStyle w:val="Heading3"/>
      </w:pPr>
      <w:bookmarkStart w:id="24" w:name="_Toc134441281"/>
      <w:bookmarkStart w:id="25" w:name="_Toc134441728"/>
      <w:bookmarkStart w:id="26" w:name="_Toc134442064"/>
      <w:bookmarkStart w:id="27" w:name="_Toc134442211"/>
      <w:bookmarkStart w:id="28" w:name="_Toc134442422"/>
      <w:bookmarkStart w:id="29" w:name="_Toc134441282"/>
      <w:bookmarkStart w:id="30" w:name="_Toc134441729"/>
      <w:bookmarkStart w:id="31" w:name="_Toc134442065"/>
      <w:bookmarkStart w:id="32" w:name="_Toc134442212"/>
      <w:bookmarkStart w:id="33" w:name="_Toc134442423"/>
      <w:bookmarkStart w:id="34" w:name="_Toc134441321"/>
      <w:bookmarkStart w:id="35" w:name="_Toc134441768"/>
      <w:bookmarkStart w:id="36" w:name="_Toc134442104"/>
      <w:bookmarkStart w:id="37" w:name="_Toc134442251"/>
      <w:bookmarkStart w:id="38" w:name="_Toc134442462"/>
      <w:bookmarkStart w:id="39" w:name="_Toc134442105"/>
      <w:bookmarkStart w:id="40" w:name="_Toc134442252"/>
      <w:bookmarkStart w:id="41" w:name="_Toc134442463"/>
      <w:bookmarkStart w:id="42" w:name="_Toc134442106"/>
      <w:bookmarkStart w:id="43" w:name="_Toc134442253"/>
      <w:bookmarkStart w:id="44" w:name="_Toc134442464"/>
      <w:bookmarkStart w:id="45" w:name="_Toc134442107"/>
      <w:bookmarkStart w:id="46" w:name="_Toc134442254"/>
      <w:bookmarkStart w:id="47" w:name="_Toc134442465"/>
      <w:bookmarkStart w:id="48" w:name="_Toc134442108"/>
      <w:bookmarkStart w:id="49" w:name="_Toc134442255"/>
      <w:bookmarkStart w:id="50" w:name="_Toc134442466"/>
      <w:bookmarkStart w:id="51" w:name="_Toc134442109"/>
      <w:bookmarkStart w:id="52" w:name="_Toc134442256"/>
      <w:bookmarkStart w:id="53" w:name="_Toc134442467"/>
      <w:bookmarkStart w:id="54" w:name="_Toc134442111"/>
      <w:bookmarkStart w:id="55" w:name="_Toc134442258"/>
      <w:bookmarkStart w:id="56" w:name="_Toc134442469"/>
      <w:bookmarkStart w:id="57" w:name="_Toc134442112"/>
      <w:bookmarkStart w:id="58" w:name="_Toc134442259"/>
      <w:bookmarkStart w:id="59" w:name="_Toc134442470"/>
      <w:bookmarkStart w:id="60" w:name="_Toc134442113"/>
      <w:bookmarkStart w:id="61" w:name="_Toc134442260"/>
      <w:bookmarkStart w:id="62" w:name="_Toc134442471"/>
      <w:bookmarkStart w:id="63" w:name="_Toc134442114"/>
      <w:bookmarkStart w:id="64" w:name="_Toc134442261"/>
      <w:bookmarkStart w:id="65" w:name="_Toc134442472"/>
      <w:bookmarkStart w:id="66" w:name="_Toc134442115"/>
      <w:bookmarkStart w:id="67" w:name="_Toc134442262"/>
      <w:bookmarkStart w:id="68" w:name="_Toc134442473"/>
      <w:bookmarkStart w:id="69" w:name="_Toc134442116"/>
      <w:bookmarkStart w:id="70" w:name="_Toc134442263"/>
      <w:bookmarkStart w:id="71" w:name="_Toc134442474"/>
      <w:bookmarkStart w:id="72" w:name="_Toc134442117"/>
      <w:bookmarkStart w:id="73" w:name="_Toc134442264"/>
      <w:bookmarkStart w:id="74" w:name="_Toc134442475"/>
      <w:bookmarkStart w:id="75" w:name="_Toc134442118"/>
      <w:bookmarkStart w:id="76" w:name="_Toc134442265"/>
      <w:bookmarkStart w:id="77" w:name="_Toc134442476"/>
      <w:bookmarkStart w:id="78" w:name="_Toc134442119"/>
      <w:bookmarkStart w:id="79" w:name="_Toc134442266"/>
      <w:bookmarkStart w:id="80" w:name="_Toc134442477"/>
      <w:bookmarkStart w:id="81" w:name="_Toc134442120"/>
      <w:bookmarkStart w:id="82" w:name="_Toc134442267"/>
      <w:bookmarkStart w:id="83" w:name="_Toc134442478"/>
      <w:bookmarkStart w:id="84" w:name="_Toc134442130"/>
      <w:bookmarkStart w:id="85" w:name="_Toc134442277"/>
      <w:bookmarkStart w:id="86" w:name="_Toc134442488"/>
      <w:bookmarkStart w:id="87" w:name="_Toc134442131"/>
      <w:bookmarkStart w:id="88" w:name="_Toc134442278"/>
      <w:bookmarkStart w:id="89" w:name="_Toc134442489"/>
      <w:bookmarkStart w:id="90" w:name="_Toc134442132"/>
      <w:bookmarkStart w:id="91" w:name="_Toc134442279"/>
      <w:bookmarkStart w:id="92" w:name="_Toc134442490"/>
      <w:bookmarkStart w:id="93" w:name="_Toc134442133"/>
      <w:bookmarkStart w:id="94" w:name="_Toc134442280"/>
      <w:bookmarkStart w:id="95" w:name="_Toc134442491"/>
      <w:bookmarkStart w:id="96" w:name="_Toc134442134"/>
      <w:bookmarkStart w:id="97" w:name="_Toc134442281"/>
      <w:bookmarkStart w:id="98" w:name="_Toc134442492"/>
      <w:bookmarkStart w:id="99" w:name="_Toc134442135"/>
      <w:bookmarkStart w:id="100" w:name="_Toc134442282"/>
      <w:bookmarkStart w:id="101" w:name="_Toc134442493"/>
      <w:bookmarkStart w:id="102" w:name="_Toc134442136"/>
      <w:bookmarkStart w:id="103" w:name="_Toc134442283"/>
      <w:bookmarkStart w:id="104" w:name="_Toc134442494"/>
      <w:bookmarkStart w:id="105" w:name="_Toc134442137"/>
      <w:bookmarkStart w:id="106" w:name="_Toc134442284"/>
      <w:bookmarkStart w:id="107" w:name="_Toc134442495"/>
      <w:bookmarkStart w:id="108" w:name="_Toc134442138"/>
      <w:bookmarkStart w:id="109" w:name="_Toc134442285"/>
      <w:bookmarkStart w:id="110" w:name="_Toc134442496"/>
      <w:bookmarkStart w:id="111" w:name="_Toc134442139"/>
      <w:bookmarkStart w:id="112" w:name="_Toc134442286"/>
      <w:bookmarkStart w:id="113" w:name="_Toc134442497"/>
      <w:bookmarkStart w:id="114" w:name="_Toc134442140"/>
      <w:bookmarkStart w:id="115" w:name="_Toc134442287"/>
      <w:bookmarkStart w:id="116" w:name="_Toc134442498"/>
      <w:bookmarkStart w:id="117" w:name="_Toc134442141"/>
      <w:bookmarkStart w:id="118" w:name="_Toc134442288"/>
      <w:bookmarkStart w:id="119" w:name="_Toc134442499"/>
      <w:bookmarkStart w:id="120" w:name="_Toc134442142"/>
      <w:bookmarkStart w:id="121" w:name="_Toc134442289"/>
      <w:bookmarkStart w:id="122" w:name="_Toc134442500"/>
      <w:bookmarkStart w:id="123" w:name="_Toc141704551"/>
      <w:bookmarkStart w:id="124" w:name="_Toc134442143"/>
      <w:bookmarkStart w:id="125" w:name="_Toc13444229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t>2.</w:t>
      </w:r>
      <w:r w:rsidR="00E85734">
        <w:t>3</w:t>
      </w:r>
      <w:r>
        <w:tab/>
        <w:t>Water assessment</w:t>
      </w:r>
      <w:bookmarkEnd w:id="123"/>
    </w:p>
    <w:p w14:paraId="0B928B5F" w14:textId="77777777" w:rsidR="0096400D" w:rsidRDefault="0096400D" w:rsidP="0096400D">
      <w:r w:rsidRPr="00F769C9">
        <w:t xml:space="preserve">Producers should assess </w:t>
      </w:r>
      <w:r>
        <w:t xml:space="preserve">and monitor </w:t>
      </w:r>
      <w:r w:rsidRPr="00F769C9">
        <w:t xml:space="preserve">livestock drinking water to determine its safety. However, </w:t>
      </w:r>
      <w:r w:rsidRPr="00FD2341">
        <w:t>it is not economically viable to regularly sample livestock water for screening purposes. The frequency will vary from situation to situation</w:t>
      </w:r>
      <w:r>
        <w:t>:</w:t>
      </w:r>
    </w:p>
    <w:p w14:paraId="0FF9725D" w14:textId="45F3DA9D" w:rsidR="0096400D" w:rsidRDefault="0096400D" w:rsidP="0096400D">
      <w:pPr>
        <w:pStyle w:val="ListBullet"/>
        <w:spacing w:after="0"/>
        <w:rPr>
          <w:lang w:eastAsia="ja-JP"/>
        </w:rPr>
      </w:pPr>
      <w:r>
        <w:rPr>
          <w:lang w:eastAsia="ja-JP"/>
        </w:rPr>
        <w:t>If the water source is</w:t>
      </w:r>
      <w:r w:rsidR="00C866C9">
        <w:rPr>
          <w:lang w:eastAsia="ja-JP"/>
        </w:rPr>
        <w:t xml:space="preserve"> </w:t>
      </w:r>
      <w:r>
        <w:rPr>
          <w:lang w:eastAsia="ja-JP"/>
        </w:rPr>
        <w:t>groundwater or surface water, screening may be required when:</w:t>
      </w:r>
    </w:p>
    <w:p w14:paraId="6FA50BC2" w14:textId="77777777" w:rsidR="0096400D" w:rsidRDefault="0096400D" w:rsidP="0096400D">
      <w:pPr>
        <w:pStyle w:val="ListBullet2"/>
        <w:spacing w:before="0"/>
        <w:rPr>
          <w:lang w:eastAsia="ja-JP"/>
        </w:rPr>
      </w:pPr>
      <w:r>
        <w:rPr>
          <w:lang w:eastAsia="ja-JP"/>
        </w:rPr>
        <w:t xml:space="preserve">a known contamination has </w:t>
      </w:r>
      <w:proofErr w:type="gramStart"/>
      <w:r>
        <w:rPr>
          <w:lang w:eastAsia="ja-JP"/>
        </w:rPr>
        <w:t>occurred</w:t>
      </w:r>
      <w:proofErr w:type="gramEnd"/>
    </w:p>
    <w:p w14:paraId="29C1179A" w14:textId="77777777" w:rsidR="0096400D" w:rsidRDefault="0096400D" w:rsidP="0096400D">
      <w:pPr>
        <w:pStyle w:val="ListBullet2"/>
        <w:rPr>
          <w:lang w:eastAsia="ja-JP"/>
        </w:rPr>
      </w:pPr>
      <w:r>
        <w:rPr>
          <w:lang w:eastAsia="ja-JP"/>
        </w:rPr>
        <w:t xml:space="preserve">historical data suggest the water body is at high risk for a specific </w:t>
      </w:r>
      <w:proofErr w:type="gramStart"/>
      <w:r>
        <w:rPr>
          <w:lang w:eastAsia="ja-JP"/>
        </w:rPr>
        <w:t>contamination</w:t>
      </w:r>
      <w:proofErr w:type="gramEnd"/>
    </w:p>
    <w:p w14:paraId="6FB327D0" w14:textId="3716847D" w:rsidR="0096400D" w:rsidRDefault="0096400D" w:rsidP="0096400D">
      <w:pPr>
        <w:pStyle w:val="ListBullet2"/>
        <w:rPr>
          <w:lang w:eastAsia="ja-JP"/>
        </w:rPr>
      </w:pPr>
      <w:r>
        <w:rPr>
          <w:lang w:eastAsia="ja-JP"/>
        </w:rPr>
        <w:t>there are visual symptoms of contamination (</w:t>
      </w:r>
      <w:proofErr w:type="gramStart"/>
      <w:r>
        <w:rPr>
          <w:lang w:eastAsia="ja-JP"/>
        </w:rPr>
        <w:t>e.g.</w:t>
      </w:r>
      <w:proofErr w:type="gramEnd"/>
      <w:r w:rsidR="0060368B">
        <w:t> </w:t>
      </w:r>
      <w:r>
        <w:rPr>
          <w:lang w:eastAsia="ja-JP"/>
        </w:rPr>
        <w:t>algal bloom)</w:t>
      </w:r>
    </w:p>
    <w:p w14:paraId="470B5198" w14:textId="75E585E0" w:rsidR="0096400D" w:rsidRDefault="0096400D" w:rsidP="0096400D">
      <w:pPr>
        <w:pStyle w:val="ListBullet2"/>
        <w:rPr>
          <w:lang w:eastAsia="ja-JP"/>
        </w:rPr>
      </w:pPr>
      <w:r>
        <w:rPr>
          <w:lang w:eastAsia="ja-JP"/>
        </w:rPr>
        <w:t>livestock discomfort is observed (</w:t>
      </w:r>
      <w:proofErr w:type="gramStart"/>
      <w:r>
        <w:rPr>
          <w:lang w:eastAsia="ja-JP"/>
        </w:rPr>
        <w:t>e.g.</w:t>
      </w:r>
      <w:proofErr w:type="gramEnd"/>
      <w:r w:rsidR="0060368B">
        <w:t> </w:t>
      </w:r>
      <w:r>
        <w:rPr>
          <w:lang w:eastAsia="ja-JP"/>
        </w:rPr>
        <w:t>reluctance to drink, lethargy, scouring).</w:t>
      </w:r>
    </w:p>
    <w:p w14:paraId="184617F3" w14:textId="014DD3BF" w:rsidR="0096400D" w:rsidRDefault="0096400D" w:rsidP="004C6E6D">
      <w:pPr>
        <w:pStyle w:val="ListBullet"/>
        <w:keepLines/>
        <w:rPr>
          <w:lang w:eastAsia="ja-JP"/>
        </w:rPr>
      </w:pPr>
      <w:r>
        <w:rPr>
          <w:lang w:eastAsia="ja-JP"/>
        </w:rPr>
        <w:lastRenderedPageBreak/>
        <w:t xml:space="preserve">If a use agreement or permit is being sought to use reclaimed water for livestock watering, the water needs to be sampled before use so that the background concentrations of possible contaminants can be established. The water should then be regularly tested to establish the variation </w:t>
      </w:r>
      <w:r w:rsidR="00046044">
        <w:rPr>
          <w:lang w:eastAsia="ja-JP"/>
        </w:rPr>
        <w:t>in</w:t>
      </w:r>
      <w:r>
        <w:rPr>
          <w:lang w:eastAsia="ja-JP"/>
        </w:rPr>
        <w:t xml:space="preserve"> the concentration of constituents over time.</w:t>
      </w:r>
    </w:p>
    <w:p w14:paraId="5411960D" w14:textId="77777777" w:rsidR="0096400D" w:rsidRDefault="0096400D" w:rsidP="0096400D">
      <w:pPr>
        <w:pStyle w:val="ListBullet"/>
        <w:spacing w:after="240"/>
        <w:rPr>
          <w:lang w:eastAsia="ja-JP"/>
        </w:rPr>
      </w:pPr>
      <w:r>
        <w:rPr>
          <w:lang w:eastAsia="ja-JP"/>
        </w:rPr>
        <w:t>Where salinity is known to be the major contaminant, frequent low-cost sampling and analysis should be undertaken.</w:t>
      </w:r>
    </w:p>
    <w:p w14:paraId="41B64338" w14:textId="77777777" w:rsidR="0096400D" w:rsidRDefault="0096400D" w:rsidP="0096400D">
      <w:r>
        <w:t>The guideline values in this section are neither meant to be considered in isolation nor are they absolute values to be adhered to. Rather they are guideline values (</w:t>
      </w:r>
      <w:proofErr w:type="gramStart"/>
      <w:r>
        <w:t>i.e.</w:t>
      </w:r>
      <w:proofErr w:type="gramEnd"/>
      <w:r>
        <w:t> a starting point for each specific situation) from which the weight of evidence is built up.</w:t>
      </w:r>
    </w:p>
    <w:p w14:paraId="3D7CDEA7" w14:textId="0F772C83" w:rsidR="0096400D" w:rsidRDefault="0096400D" w:rsidP="0096400D">
      <w:r>
        <w:t>Weight of evidence (Figure</w:t>
      </w:r>
      <w:r w:rsidR="0060368B">
        <w:t> </w:t>
      </w:r>
      <w:r w:rsidR="00A92BC1">
        <w:t>2</w:t>
      </w:r>
      <w:r>
        <w:t xml:space="preserve">.1) is accumulated by comparing the measured concentration of a substance in drinking water with the </w:t>
      </w:r>
      <w:r w:rsidR="00EE72A5">
        <w:t xml:space="preserve">guideline </w:t>
      </w:r>
      <w:r>
        <w:t xml:space="preserve">value (Weight of evidence 1); by comparing with historical </w:t>
      </w:r>
      <w:r w:rsidR="002F1BAD">
        <w:t xml:space="preserve">background </w:t>
      </w:r>
      <w:r>
        <w:t>data for the water source (Weight of evidence 2); and by considering the livestock species, the agricultural production system (e.g. cattle for beef or for dairy) and water intake for the specific conditions (Weight of evidence 3).</w:t>
      </w:r>
      <w:r w:rsidR="00AB45C1">
        <w:t xml:space="preserve"> </w:t>
      </w:r>
      <w:r>
        <w:t>Once the weight of evidence has been accumulated, a risk management plan can be developed (</w:t>
      </w:r>
      <w:proofErr w:type="gramStart"/>
      <w:r>
        <w:t>e.g.</w:t>
      </w:r>
      <w:proofErr w:type="gramEnd"/>
      <w:r>
        <w:t> see Table 3.4).</w:t>
      </w:r>
    </w:p>
    <w:p w14:paraId="7D2CAE3D" w14:textId="6C3D4EFC" w:rsidR="00E85734" w:rsidRDefault="00E85734" w:rsidP="0096400D">
      <w:r>
        <w:t xml:space="preserve">This method is recommended for various contaminants; however, it </w:t>
      </w:r>
      <w:r w:rsidRPr="00237569">
        <w:t xml:space="preserve">may be less useful for the assessment of pathogen risk, </w:t>
      </w:r>
      <w:r>
        <w:t>because</w:t>
      </w:r>
      <w:r w:rsidRPr="00237569">
        <w:t xml:space="preserve"> the source of the pathogen is an important factor to determine </w:t>
      </w:r>
      <w:r>
        <w:t xml:space="preserve">the level of </w:t>
      </w:r>
      <w:r w:rsidRPr="00237569">
        <w:t>risk.</w:t>
      </w:r>
    </w:p>
    <w:p w14:paraId="2E94AC1A" w14:textId="77777777" w:rsidR="0096400D" w:rsidRDefault="0096400D" w:rsidP="0096400D">
      <w:r>
        <w:rPr>
          <w:noProof/>
        </w:rPr>
        <w:drawing>
          <wp:inline distT="0" distB="0" distL="0" distR="0" wp14:anchorId="1C658101" wp14:editId="5DA8F5B8">
            <wp:extent cx="4467400" cy="3857625"/>
            <wp:effectExtent l="0" t="0" r="9525" b="0"/>
            <wp:docPr id="494517382" name="Picture 494517382" descr="A screenshot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91446" name="Picture 252891446" descr="A screenshot of a black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4474353" cy="3863629"/>
                    </a:xfrm>
                    <a:prstGeom prst="rect">
                      <a:avLst/>
                    </a:prstGeom>
                    <a:noFill/>
                  </pic:spPr>
                </pic:pic>
              </a:graphicData>
            </a:graphic>
          </wp:inline>
        </w:drawing>
      </w:r>
    </w:p>
    <w:p w14:paraId="189B1F90" w14:textId="4A10D822" w:rsidR="0096400D" w:rsidRDefault="0096400D" w:rsidP="0096400D">
      <w:pPr>
        <w:pStyle w:val="FigureTableNoteSource"/>
      </w:pPr>
      <w:r>
        <w:rPr>
          <w:lang w:eastAsia="ja-JP"/>
        </w:rPr>
        <w:t xml:space="preserve">Source: </w:t>
      </w:r>
      <w:r>
        <w:t xml:space="preserve">The approach of weight of evidence is also detailed </w:t>
      </w:r>
      <w:r w:rsidR="00E02C38">
        <w:t>on</w:t>
      </w:r>
      <w:r>
        <w:t xml:space="preserve"> the </w:t>
      </w:r>
      <w:r w:rsidRPr="007C2B58">
        <w:t xml:space="preserve">Australia &amp; New Zealand Guidelines for Fresh &amp; Marine </w:t>
      </w:r>
      <w:r w:rsidR="00E02C38">
        <w:t>W</w:t>
      </w:r>
      <w:r w:rsidRPr="007C2B58">
        <w:t>ater Quality web page</w:t>
      </w:r>
      <w:r>
        <w:t xml:space="preserve"> (ANZ, 2018)</w:t>
      </w:r>
    </w:p>
    <w:p w14:paraId="092CF2A6" w14:textId="7D6D79B3" w:rsidR="0096400D" w:rsidRPr="00251410" w:rsidRDefault="0096400D" w:rsidP="004C6E6D">
      <w:pPr>
        <w:pStyle w:val="Caption"/>
      </w:pPr>
      <w:bookmarkStart w:id="126" w:name="_Toc142999647"/>
      <w:bookmarkStart w:id="127" w:name="_Toc148089841"/>
      <w:r w:rsidRPr="00DC687E">
        <w:t xml:space="preserve">Figure </w:t>
      </w:r>
      <w:r w:rsidR="00A92BC1">
        <w:t>2</w:t>
      </w:r>
      <w:r w:rsidRPr="00DC687E">
        <w:t xml:space="preserve">.1 Weight of evidence approach to risk management for livestock drinking </w:t>
      </w:r>
      <w:proofErr w:type="gramStart"/>
      <w:r w:rsidRPr="00DC687E">
        <w:t>water</w:t>
      </w:r>
      <w:bookmarkEnd w:id="126"/>
      <w:bookmarkEnd w:id="127"/>
      <w:proofErr w:type="gramEnd"/>
    </w:p>
    <w:p w14:paraId="03F59CA8" w14:textId="08AB048B" w:rsidR="000C6B83" w:rsidRDefault="001C306F" w:rsidP="00E92133">
      <w:pPr>
        <w:pStyle w:val="Heading2"/>
      </w:pPr>
      <w:bookmarkStart w:id="128" w:name="_Toc141704552"/>
      <w:r>
        <w:lastRenderedPageBreak/>
        <w:t>3</w:t>
      </w:r>
      <w:r>
        <w:tab/>
      </w:r>
      <w:r w:rsidR="00EB38E1">
        <w:t>Guideline values</w:t>
      </w:r>
      <w:bookmarkEnd w:id="124"/>
      <w:bookmarkEnd w:id="125"/>
      <w:bookmarkEnd w:id="128"/>
    </w:p>
    <w:p w14:paraId="284F9877" w14:textId="40A3650E" w:rsidR="007B5E4A" w:rsidRDefault="00EB38E1" w:rsidP="00F769C9">
      <w:r>
        <w:t xml:space="preserve">The guidelines for livestock drinking water cover biological, chemical </w:t>
      </w:r>
      <w:r w:rsidR="00B5107A">
        <w:t>(including ions, metal and metalloids, and pesticides and other organic contam</w:t>
      </w:r>
      <w:r w:rsidR="00291C8A">
        <w:t>i</w:t>
      </w:r>
      <w:r w:rsidR="00B5107A">
        <w:t xml:space="preserve">nants) </w:t>
      </w:r>
      <w:r>
        <w:t xml:space="preserve">and radiological </w:t>
      </w:r>
      <w:r w:rsidR="00530DE2">
        <w:t>substances</w:t>
      </w:r>
      <w:r>
        <w:t xml:space="preserve"> that may affect animal health</w:t>
      </w:r>
      <w:r w:rsidR="00A61BDD">
        <w:t xml:space="preserve">, </w:t>
      </w:r>
      <w:r w:rsidR="00A61BDD" w:rsidRPr="008A6AEE">
        <w:t>whether from surface or groundwater sources</w:t>
      </w:r>
      <w:r>
        <w:t xml:space="preserve">. </w:t>
      </w:r>
    </w:p>
    <w:p w14:paraId="03F59CA9" w14:textId="5768AD5D" w:rsidR="00CD4CD2" w:rsidRDefault="00EB38E1" w:rsidP="00F769C9">
      <w:r w:rsidRPr="00D20820">
        <w:t xml:space="preserve">The </w:t>
      </w:r>
      <w:r>
        <w:t xml:space="preserve">water quality guideline values </w:t>
      </w:r>
      <w:r w:rsidRPr="00D20820">
        <w:t>are the recommended values for which there should be little risk of adverse effects on animal health</w:t>
      </w:r>
      <w:r w:rsidR="00B0512E">
        <w:t>, even with long-term daily intake (</w:t>
      </w:r>
      <w:proofErr w:type="gramStart"/>
      <w:r w:rsidR="00B0512E">
        <w:t>i.e</w:t>
      </w:r>
      <w:r w:rsidR="00DF4D1C">
        <w:t>.</w:t>
      </w:r>
      <w:proofErr w:type="gramEnd"/>
      <w:r w:rsidR="00B0512E">
        <w:t xml:space="preserve"> chronic use)</w:t>
      </w:r>
      <w:r w:rsidRPr="00D20820">
        <w:t xml:space="preserve">. </w:t>
      </w:r>
      <w:r>
        <w:t xml:space="preserve">If the </w:t>
      </w:r>
      <w:r w:rsidR="00530DE2">
        <w:t xml:space="preserve">level of a substance in livestock drinking water </w:t>
      </w:r>
      <w:r>
        <w:t>exceeds a guideline value, it is advisable to investigate further to determine the level of risk.</w:t>
      </w:r>
    </w:p>
    <w:p w14:paraId="03F59CAA" w14:textId="77777777" w:rsidR="00CD4CD2" w:rsidRDefault="00EB38E1" w:rsidP="00CD4CD2">
      <w:r>
        <w:t xml:space="preserve">Information used to determine the guideline values was sourced from the current literature and evaluated for relevance, with preference given to data from Australia and New Zealand. Much of the information was based on field observations rather than rigorous experimentation. In several cases, guideline values </w:t>
      </w:r>
      <w:r w:rsidR="00D151EA">
        <w:t xml:space="preserve">have been calculated </w:t>
      </w:r>
      <w:r>
        <w:t>using data on chronic and toxic effects on animals, taking into consideration animal weights, percentage intake from water, and safety factors for data not specific to the species.</w:t>
      </w:r>
    </w:p>
    <w:p w14:paraId="3613A6ED" w14:textId="18D3A4B3" w:rsidR="00A87471" w:rsidRDefault="00A87471" w:rsidP="00A87471">
      <w:r>
        <w:t>T</w:t>
      </w:r>
      <w:r w:rsidRPr="00457683">
        <w:t xml:space="preserve">he guidelines </w:t>
      </w:r>
      <w:r w:rsidR="0051290B">
        <w:t xml:space="preserve">values </w:t>
      </w:r>
      <w:r w:rsidRPr="00457683">
        <w:t>focus on stock health</w:t>
      </w:r>
      <w:r>
        <w:t xml:space="preserve"> and performance. However, producers may also need to meet the requirements of other guidelines </w:t>
      </w:r>
      <w:r>
        <w:rPr>
          <w:rFonts w:cstheme="minorHAnsi"/>
        </w:rPr>
        <w:t>–</w:t>
      </w:r>
      <w:r>
        <w:t xml:space="preserve"> in particular, guidelines around food and export safety</w:t>
      </w:r>
      <w:r w:rsidR="00E16FC2">
        <w:t>, and bioaccumulation of contaminants in animal tissue</w:t>
      </w:r>
      <w:r>
        <w:t xml:space="preserve">. </w:t>
      </w:r>
      <w:r w:rsidR="00E16FC2">
        <w:t>Relevant guidelines</w:t>
      </w:r>
      <w:r>
        <w:t xml:space="preserve"> include:</w:t>
      </w:r>
    </w:p>
    <w:p w14:paraId="2AF7B5D4" w14:textId="77777777" w:rsidR="00A87471" w:rsidRDefault="00F9095E" w:rsidP="00A87471">
      <w:pPr>
        <w:pStyle w:val="Bullet"/>
      </w:pPr>
      <w:hyperlink r:id="rId24" w:history="1">
        <w:r w:rsidR="00A87471" w:rsidRPr="00966E0E">
          <w:rPr>
            <w:rStyle w:val="Hyperlink"/>
          </w:rPr>
          <w:t>Primary Production and Processing Standards</w:t>
        </w:r>
      </w:hyperlink>
      <w:r w:rsidR="00A87471">
        <w:t xml:space="preserve"> of </w:t>
      </w:r>
      <w:hyperlink r:id="rId25" w:history="1">
        <w:r w:rsidR="00A87471" w:rsidRPr="00EF4BA4">
          <w:rPr>
            <w:rStyle w:val="Hyperlink"/>
          </w:rPr>
          <w:t>Food Standards Australia New Zealand</w:t>
        </w:r>
      </w:hyperlink>
    </w:p>
    <w:p w14:paraId="7C0756C9" w14:textId="77777777" w:rsidR="00A87471" w:rsidRDefault="00F9095E" w:rsidP="00A87471">
      <w:pPr>
        <w:pStyle w:val="Bullet"/>
      </w:pPr>
      <w:hyperlink r:id="rId26" w:history="1">
        <w:r w:rsidR="00A87471" w:rsidRPr="00B90DAA">
          <w:rPr>
            <w:rStyle w:val="Hyperlink"/>
          </w:rPr>
          <w:t>Maximum Residue Limits</w:t>
        </w:r>
      </w:hyperlink>
      <w:r w:rsidR="00A87471">
        <w:t xml:space="preserve"> of </w:t>
      </w:r>
      <w:hyperlink r:id="rId27" w:history="1">
        <w:r w:rsidR="00A87471" w:rsidRPr="00EF4BA4">
          <w:rPr>
            <w:rStyle w:val="Hyperlink"/>
          </w:rPr>
          <w:t>Food Standards Australia New Zealand</w:t>
        </w:r>
      </w:hyperlink>
      <w:r w:rsidR="00A87471">
        <w:t xml:space="preserve"> </w:t>
      </w:r>
    </w:p>
    <w:p w14:paraId="409955E1" w14:textId="77777777" w:rsidR="00A87471" w:rsidRDefault="00F9095E" w:rsidP="00E85734">
      <w:pPr>
        <w:pStyle w:val="Bullet"/>
        <w:spacing w:after="240"/>
      </w:pPr>
      <w:hyperlink r:id="rId28" w:history="1">
        <w:r w:rsidR="00A87471" w:rsidRPr="00BA00B4">
          <w:rPr>
            <w:rStyle w:val="Hyperlink"/>
          </w:rPr>
          <w:t>Maximum Residue Limits</w:t>
        </w:r>
      </w:hyperlink>
      <w:r w:rsidR="00A87471">
        <w:t xml:space="preserve"> of the </w:t>
      </w:r>
      <w:hyperlink r:id="rId29" w:history="1">
        <w:r w:rsidR="00A87471" w:rsidRPr="00820064">
          <w:rPr>
            <w:rStyle w:val="Hyperlink"/>
          </w:rPr>
          <w:t>Australian Pesticides and Veterinary Medicines Authority</w:t>
        </w:r>
      </w:hyperlink>
      <w:r w:rsidR="00A87471">
        <w:t>.</w:t>
      </w:r>
    </w:p>
    <w:p w14:paraId="5B2AE53E" w14:textId="33EB7F91" w:rsidR="00E85734" w:rsidRDefault="00E85734" w:rsidP="00E85734">
      <w:r>
        <w:t xml:space="preserve">The research for these </w:t>
      </w:r>
      <w:r w:rsidR="00692346" w:rsidRPr="004C6E6D">
        <w:t xml:space="preserve">Livestock drinking water </w:t>
      </w:r>
      <w:r>
        <w:t xml:space="preserve">guidelines has focused on the most common livestock produced in Australia: cattle, sheep, </w:t>
      </w:r>
      <w:proofErr w:type="gramStart"/>
      <w:r>
        <w:t>pigs</w:t>
      </w:r>
      <w:proofErr w:type="gramEnd"/>
      <w:r>
        <w:t xml:space="preserve"> and poultry. Producers who raise other species (</w:t>
      </w:r>
      <w:proofErr w:type="gramStart"/>
      <w:r>
        <w:t>e.g.</w:t>
      </w:r>
      <w:proofErr w:type="gramEnd"/>
      <w:r w:rsidR="0091209A">
        <w:t> </w:t>
      </w:r>
      <w:r>
        <w:t xml:space="preserve">alpaca, deer, bison) are advised to investigate species-specific tolerances and sensitivities to substances. </w:t>
      </w:r>
    </w:p>
    <w:p w14:paraId="17A9755C" w14:textId="6C899DBD" w:rsidR="00E85734" w:rsidRDefault="00E85734" w:rsidP="00E85734">
      <w:r>
        <w:t xml:space="preserve">Other domestic animals may also be exposed to livestock drinking water, such as working dogs. These guidelines do not include information on other domestic animals, but </w:t>
      </w:r>
      <w:r w:rsidR="00835E24">
        <w:t>they</w:t>
      </w:r>
      <w:r>
        <w:t xml:space="preserve"> may be covered in future editions. Producers should take care to keep other animals away from any water that is suspected to be contaminated.</w:t>
      </w:r>
    </w:p>
    <w:p w14:paraId="161A09B7" w14:textId="77777777" w:rsidR="0096400D" w:rsidRDefault="0096400D">
      <w:pPr>
        <w:spacing w:after="0" w:line="240" w:lineRule="auto"/>
        <w:rPr>
          <w:rFonts w:ascii="Arial" w:eastAsiaTheme="majorEastAsia" w:hAnsi="Arial" w:cs="Arial (Headings CS)"/>
          <w:bCs/>
          <w:color w:val="4F81BD" w:themeColor="accent1"/>
          <w:sz w:val="28"/>
          <w:lang w:val="en-GB"/>
        </w:rPr>
      </w:pPr>
      <w:r>
        <w:br w:type="page"/>
      </w:r>
    </w:p>
    <w:p w14:paraId="03F59CBB" w14:textId="695323D4" w:rsidR="00912965" w:rsidRDefault="002942DD" w:rsidP="0096400D">
      <w:pPr>
        <w:pStyle w:val="Heading3"/>
      </w:pPr>
      <w:bookmarkStart w:id="129" w:name="_Toc134442144"/>
      <w:bookmarkStart w:id="130" w:name="_Toc134442291"/>
      <w:bookmarkStart w:id="131" w:name="_Toc141704553"/>
      <w:r>
        <w:lastRenderedPageBreak/>
        <w:t>3.1</w:t>
      </w:r>
      <w:r>
        <w:tab/>
      </w:r>
      <w:r w:rsidR="00EB38E1">
        <w:t>Biological parameters</w:t>
      </w:r>
      <w:bookmarkEnd w:id="129"/>
      <w:bookmarkEnd w:id="130"/>
      <w:bookmarkEnd w:id="131"/>
    </w:p>
    <w:p w14:paraId="03F59CBC" w14:textId="0B4FCD48" w:rsidR="00007360" w:rsidRPr="00007360" w:rsidRDefault="00EB38E1" w:rsidP="00C1087A">
      <w:r>
        <w:t xml:space="preserve">Substances in livestock drinking water can </w:t>
      </w:r>
      <w:r w:rsidR="005374A5">
        <w:t>be of biological origin, including algae</w:t>
      </w:r>
      <w:r w:rsidR="00AB45C1">
        <w:t xml:space="preserve">, </w:t>
      </w:r>
      <w:proofErr w:type="gramStart"/>
      <w:r w:rsidR="005374A5">
        <w:t>pathogens</w:t>
      </w:r>
      <w:proofErr w:type="gramEnd"/>
      <w:r w:rsidR="005374A5">
        <w:t xml:space="preserve"> and parasites. These substances can be hazardous to animal health.</w:t>
      </w:r>
    </w:p>
    <w:p w14:paraId="03F59CBD" w14:textId="6AB44FCD" w:rsidR="00912965" w:rsidRPr="007802DA" w:rsidRDefault="00441154" w:rsidP="000C6B83">
      <w:pPr>
        <w:pStyle w:val="Heading4"/>
      </w:pPr>
      <w:bookmarkStart w:id="132" w:name="_Cyanobacteria_(blue–green_algae)"/>
      <w:bookmarkStart w:id="133" w:name="_Toc134442292"/>
      <w:bookmarkStart w:id="134" w:name="_Toc141704554"/>
      <w:bookmarkEnd w:id="132"/>
      <w:r>
        <w:t>3.1.1</w:t>
      </w:r>
      <w:r>
        <w:tab/>
      </w:r>
      <w:r w:rsidR="00EB38E1" w:rsidRPr="007802DA">
        <w:t>Cyanobacteria (blue</w:t>
      </w:r>
      <w:r w:rsidR="0030014F" w:rsidRPr="007802DA">
        <w:t>–</w:t>
      </w:r>
      <w:r w:rsidR="00EB38E1" w:rsidRPr="007802DA">
        <w:t>green algae)</w:t>
      </w:r>
      <w:bookmarkEnd w:id="133"/>
      <w:bookmarkEnd w:id="134"/>
    </w:p>
    <w:p w14:paraId="03F59CBE" w14:textId="77777777" w:rsidR="00912965" w:rsidRPr="00007360" w:rsidRDefault="00EB38E1" w:rsidP="00C1087A">
      <w:pPr>
        <w:pStyle w:val="Sectionkeypoints"/>
      </w:pPr>
      <w:r w:rsidRPr="00007360">
        <w:t>Algal blooms should be treated as toxic</w:t>
      </w:r>
      <w:r w:rsidR="00A705A7" w:rsidRPr="00007360">
        <w:t>,</w:t>
      </w:r>
      <w:r w:rsidRPr="00007360">
        <w:t xml:space="preserve"> and </w:t>
      </w:r>
      <w:r w:rsidR="00A705A7" w:rsidRPr="00007360">
        <w:t xml:space="preserve">livestock should be removed from </w:t>
      </w:r>
      <w:r w:rsidRPr="00007360">
        <w:t xml:space="preserve">the water source until the algae are identified and the </w:t>
      </w:r>
      <w:r w:rsidR="00A705A7" w:rsidRPr="00007360">
        <w:t>toxicity is</w:t>
      </w:r>
      <w:r w:rsidRPr="00007360">
        <w:t xml:space="preserve"> determined.</w:t>
      </w:r>
    </w:p>
    <w:p w14:paraId="03F59CBF" w14:textId="77777777" w:rsidR="00953B7B" w:rsidRDefault="00EB38E1" w:rsidP="00FD2341">
      <w:pPr>
        <w:pStyle w:val="Sectionkeypoints"/>
      </w:pPr>
      <w:r>
        <w:t xml:space="preserve">Identification, enumeration and cyanotoxin assessment </w:t>
      </w:r>
      <w:r w:rsidR="00B372DD">
        <w:t>sh</w:t>
      </w:r>
      <w:r>
        <w:t xml:space="preserve">ould be triggered when levels </w:t>
      </w:r>
      <w:r w:rsidR="004D795C">
        <w:t>of all cyanobacteria known to produce toxins</w:t>
      </w:r>
      <w:r w:rsidR="004D795C">
        <w:rPr>
          <w:rFonts w:cstheme="minorHAnsi"/>
        </w:rPr>
        <w:t xml:space="preserve"> are &gt;</w:t>
      </w:r>
      <w:r>
        <w:t>0.4</w:t>
      </w:r>
      <w:r w:rsidR="004D795C">
        <w:t> </w:t>
      </w:r>
      <w:r>
        <w:t>mm</w:t>
      </w:r>
      <w:r w:rsidRPr="00384C8B">
        <w:rPr>
          <w:vertAlign w:val="superscript"/>
        </w:rPr>
        <w:t>3</w:t>
      </w:r>
      <w:r>
        <w:t>/L, which is equiva</w:t>
      </w:r>
      <w:r w:rsidR="004D795C">
        <w:t xml:space="preserve">lent </w:t>
      </w:r>
      <w:r>
        <w:t>to 5</w:t>
      </w:r>
      <w:r w:rsidR="00B372DD">
        <w:t>,</w:t>
      </w:r>
      <w:r>
        <w:t>000</w:t>
      </w:r>
      <w:r w:rsidR="004D795C">
        <w:t> </w:t>
      </w:r>
      <w:r>
        <w:t xml:space="preserve">cells/mL </w:t>
      </w:r>
      <w:r w:rsidR="004D795C">
        <w:t xml:space="preserve">of </w:t>
      </w:r>
      <w:r w:rsidRPr="00FD2341">
        <w:rPr>
          <w:i w:val="0"/>
          <w:iCs w:val="0"/>
        </w:rPr>
        <w:t>Microcystis aeruginosa</w:t>
      </w:r>
      <w:r>
        <w:t>, or 1</w:t>
      </w:r>
      <w:r w:rsidR="004D795C">
        <w:t> </w:t>
      </w:r>
      <w:r>
        <w:t xml:space="preserve">µg/L </w:t>
      </w:r>
      <w:r w:rsidR="004D795C">
        <w:t xml:space="preserve">of </w:t>
      </w:r>
      <w:r>
        <w:t xml:space="preserve">total </w:t>
      </w:r>
      <w:proofErr w:type="spellStart"/>
      <w:r>
        <w:t>microcystins</w:t>
      </w:r>
      <w:proofErr w:type="spellEnd"/>
      <w:r>
        <w:t>-LR.</w:t>
      </w:r>
    </w:p>
    <w:p w14:paraId="03F59CC0" w14:textId="77777777" w:rsidR="002277E8" w:rsidRDefault="00EB38E1" w:rsidP="000C6B83">
      <w:pPr>
        <w:pStyle w:val="Heading5"/>
        <w:rPr>
          <w:lang w:eastAsia="ja-JP"/>
        </w:rPr>
      </w:pPr>
      <w:bookmarkStart w:id="135" w:name="_Toc134441325"/>
      <w:bookmarkEnd w:id="135"/>
      <w:r>
        <w:rPr>
          <w:lang w:eastAsia="ja-JP"/>
        </w:rPr>
        <w:t>Source</w:t>
      </w:r>
    </w:p>
    <w:p w14:paraId="03F59CC1" w14:textId="77777777" w:rsidR="009051E2" w:rsidRDefault="00EB38E1" w:rsidP="00C1087A">
      <w:r w:rsidRPr="0056438C">
        <w:rPr>
          <w:lang w:val="en-GB"/>
        </w:rPr>
        <w:t>Cyanobacteria (blue</w:t>
      </w:r>
      <w:r w:rsidR="007A6B8D">
        <w:rPr>
          <w:lang w:val="en-GB"/>
        </w:rPr>
        <w:t>–green</w:t>
      </w:r>
      <w:r w:rsidRPr="0056438C">
        <w:rPr>
          <w:lang w:val="en-GB"/>
        </w:rPr>
        <w:t xml:space="preserve"> algae) are naturally occurring micro</w:t>
      </w:r>
      <w:r w:rsidR="007A6B8D">
        <w:rPr>
          <w:lang w:val="en-GB"/>
        </w:rPr>
        <w:t>organisms</w:t>
      </w:r>
      <w:r w:rsidRPr="0056438C">
        <w:rPr>
          <w:lang w:val="en-GB"/>
        </w:rPr>
        <w:t xml:space="preserve"> that closely resemble algae in morphology, </w:t>
      </w:r>
      <w:proofErr w:type="gramStart"/>
      <w:r w:rsidRPr="0056438C">
        <w:rPr>
          <w:lang w:val="en-GB"/>
        </w:rPr>
        <w:t>habitat</w:t>
      </w:r>
      <w:proofErr w:type="gramEnd"/>
      <w:r w:rsidRPr="0056438C">
        <w:rPr>
          <w:lang w:val="en-GB"/>
        </w:rPr>
        <w:t xml:space="preserve"> and photosynthetic ability. Some cyanobacteria can produce toxins.</w:t>
      </w:r>
    </w:p>
    <w:p w14:paraId="03F59CC2" w14:textId="77777777" w:rsidR="00B372DD" w:rsidRDefault="00EB38E1" w:rsidP="00B372DD">
      <w:pPr>
        <w:rPr>
          <w:lang w:eastAsia="ja-JP"/>
        </w:rPr>
      </w:pPr>
      <w:r>
        <w:t xml:space="preserve">Cyanobacteria are a component of the natural plankton population in healthy surface water supplies. However, they can become hazardous when present in large numbers (blooms or mats), and various </w:t>
      </w:r>
      <w:r w:rsidRPr="004508FF">
        <w:t>factors can contribute to blooms and the accumulation of cyto</w:t>
      </w:r>
      <w:r>
        <w:t>to</w:t>
      </w:r>
      <w:r w:rsidRPr="004508FF">
        <w:t>xins in water. For example</w:t>
      </w:r>
      <w:r>
        <w:t xml:space="preserve">, </w:t>
      </w:r>
      <w:r>
        <w:rPr>
          <w:lang w:eastAsia="ja-JP"/>
        </w:rPr>
        <w:t>p</w:t>
      </w:r>
      <w:r>
        <w:t>hytop</w:t>
      </w:r>
      <w:r w:rsidRPr="004508FF">
        <w:rPr>
          <w:lang w:eastAsia="ja-JP"/>
        </w:rPr>
        <w:t>lanktonic blooms typically occur on warm days with light-to-calm winds (summer to autumn) in neutral-to-alkaline water containing elevated levels of inorganic phosphorus and nitrogen, although blooms are possible at other times (</w:t>
      </w:r>
      <w:r w:rsidRPr="003208A8">
        <w:rPr>
          <w:lang w:eastAsia="ja-JP"/>
        </w:rPr>
        <w:t>Carmichael 1994);</w:t>
      </w:r>
      <w:r>
        <w:rPr>
          <w:lang w:eastAsia="ja-JP"/>
        </w:rPr>
        <w:t xml:space="preserve"> for example, i</w:t>
      </w:r>
      <w:r w:rsidRPr="004508FF">
        <w:rPr>
          <w:lang w:eastAsia="ja-JP"/>
        </w:rPr>
        <w:t>n South Australian conditions, benthic cyanobacterial growth peak</w:t>
      </w:r>
      <w:r>
        <w:rPr>
          <w:lang w:eastAsia="ja-JP"/>
        </w:rPr>
        <w:t>s</w:t>
      </w:r>
      <w:r w:rsidRPr="004508FF">
        <w:rPr>
          <w:lang w:eastAsia="ja-JP"/>
        </w:rPr>
        <w:t xml:space="preserve"> in autumn and spring (</w:t>
      </w:r>
      <w:proofErr w:type="spellStart"/>
      <w:r w:rsidRPr="004508FF">
        <w:rPr>
          <w:lang w:eastAsia="ja-JP"/>
        </w:rPr>
        <w:t>Gaget</w:t>
      </w:r>
      <w:proofErr w:type="spellEnd"/>
      <w:r w:rsidRPr="004508FF">
        <w:rPr>
          <w:lang w:eastAsia="ja-JP"/>
        </w:rPr>
        <w:t xml:space="preserve"> et al. 2020)</w:t>
      </w:r>
      <w:r>
        <w:rPr>
          <w:lang w:eastAsia="ja-JP"/>
        </w:rPr>
        <w:t>. M</w:t>
      </w:r>
      <w:r w:rsidRPr="004508FF">
        <w:rPr>
          <w:lang w:eastAsia="ja-JP"/>
        </w:rPr>
        <w:t xml:space="preserve">ore than one </w:t>
      </w:r>
      <w:proofErr w:type="gramStart"/>
      <w:r w:rsidRPr="004508FF">
        <w:rPr>
          <w:lang w:eastAsia="ja-JP"/>
        </w:rPr>
        <w:t>cyanobacteria</w:t>
      </w:r>
      <w:proofErr w:type="gramEnd"/>
      <w:r w:rsidRPr="004508FF">
        <w:rPr>
          <w:lang w:eastAsia="ja-JP"/>
        </w:rPr>
        <w:t xml:space="preserve"> species </w:t>
      </w:r>
      <w:r>
        <w:rPr>
          <w:lang w:eastAsia="ja-JP"/>
        </w:rPr>
        <w:t xml:space="preserve">can be </w:t>
      </w:r>
      <w:r w:rsidRPr="004508FF">
        <w:rPr>
          <w:lang w:eastAsia="ja-JP"/>
        </w:rPr>
        <w:t>associated with a bloom (</w:t>
      </w:r>
      <w:proofErr w:type="spellStart"/>
      <w:r w:rsidRPr="004508FF">
        <w:rPr>
          <w:lang w:eastAsia="ja-JP"/>
        </w:rPr>
        <w:t>Ressom</w:t>
      </w:r>
      <w:proofErr w:type="spellEnd"/>
      <w:r w:rsidRPr="004508FF">
        <w:rPr>
          <w:lang w:eastAsia="ja-JP"/>
        </w:rPr>
        <w:t xml:space="preserve"> et al. 1994)</w:t>
      </w:r>
      <w:r>
        <w:rPr>
          <w:lang w:eastAsia="ja-JP"/>
        </w:rPr>
        <w:t>.</w:t>
      </w:r>
    </w:p>
    <w:p w14:paraId="03F59CC3" w14:textId="77777777" w:rsidR="002277E8" w:rsidRDefault="00EB38E1" w:rsidP="00C1087A">
      <w:r>
        <w:t xml:space="preserve">Most of the research reported in the literature concerning algal blooms and </w:t>
      </w:r>
      <w:proofErr w:type="spellStart"/>
      <w:r>
        <w:t>cyanotoxicity</w:t>
      </w:r>
      <w:proofErr w:type="spellEnd"/>
      <w:r>
        <w:t xml:space="preserve"> refers to phytoplanktonic cyanobacteria. However, it </w:t>
      </w:r>
      <w:r w:rsidR="002F62D6">
        <w:t xml:space="preserve">is </w:t>
      </w:r>
      <w:r>
        <w:t xml:space="preserve">now recognised that benthic cyanobacteria can release </w:t>
      </w:r>
      <w:r w:rsidRPr="000E6B90">
        <w:t xml:space="preserve">cytotoxins and </w:t>
      </w:r>
      <w:r w:rsidR="00EF1295" w:rsidRPr="000E6B90">
        <w:t>may have caused</w:t>
      </w:r>
      <w:r w:rsidRPr="000E6B90">
        <w:t xml:space="preserve"> livestock </w:t>
      </w:r>
      <w:r w:rsidR="00EF1295" w:rsidRPr="000E6B90">
        <w:t xml:space="preserve">deaths </w:t>
      </w:r>
      <w:r w:rsidRPr="000E6B90">
        <w:t>in several countries (</w:t>
      </w:r>
      <w:proofErr w:type="spellStart"/>
      <w:r w:rsidRPr="000E6B90">
        <w:t>Quiblier</w:t>
      </w:r>
      <w:proofErr w:type="spellEnd"/>
      <w:r w:rsidRPr="000E6B90">
        <w:t xml:space="preserve"> et al. 2013).</w:t>
      </w:r>
    </w:p>
    <w:p w14:paraId="03F59CC4" w14:textId="0F82EB3F" w:rsidR="002277E8" w:rsidRDefault="00EB38E1" w:rsidP="00C1087A">
      <w:r>
        <w:t>P</w:t>
      </w:r>
      <w:r w:rsidR="00EF1295">
        <w:t>hytop</w:t>
      </w:r>
      <w:r>
        <w:t>lanktonic cyanobacteria are found as single cells or in clumped or filamentous colonies. Cyanobacteria can move vertically through water by adjusting their buoyancy (</w:t>
      </w:r>
      <w:proofErr w:type="spellStart"/>
      <w:r w:rsidRPr="00893D19">
        <w:t>Ressom</w:t>
      </w:r>
      <w:proofErr w:type="spellEnd"/>
      <w:r w:rsidRPr="00893D19">
        <w:t xml:space="preserve"> et al. 1994). In</w:t>
      </w:r>
      <w:r>
        <w:t xml:space="preserve"> Australia</w:t>
      </w:r>
      <w:r w:rsidR="005A6BEC">
        <w:t>,</w:t>
      </w:r>
      <w:r>
        <w:t xml:space="preserve"> the most common genera of cyanobacteria associated with known animal poisoning incidents are </w:t>
      </w:r>
      <w:r w:rsidRPr="005A6BEC">
        <w:rPr>
          <w:rStyle w:val="Emphasis"/>
        </w:rPr>
        <w:t>Microcystis</w:t>
      </w:r>
      <w:r>
        <w:t xml:space="preserve"> (</w:t>
      </w:r>
      <w:r w:rsidR="00EF1295">
        <w:t>clumped</w:t>
      </w:r>
      <w:r>
        <w:t>)</w:t>
      </w:r>
      <w:r w:rsidR="005A6BEC">
        <w:t>,</w:t>
      </w:r>
      <w:r>
        <w:t xml:space="preserve"> </w:t>
      </w:r>
      <w:proofErr w:type="spellStart"/>
      <w:r w:rsidR="00C43812" w:rsidRPr="008126A3">
        <w:rPr>
          <w:rStyle w:val="Emphasis"/>
        </w:rPr>
        <w:t>Dolichospermum</w:t>
      </w:r>
      <w:proofErr w:type="spellEnd"/>
      <w:r w:rsidR="00B77C5B">
        <w:rPr>
          <w:rStyle w:val="Emphasis"/>
        </w:rPr>
        <w:t xml:space="preserve"> </w:t>
      </w:r>
      <w:r w:rsidR="00B77C5B" w:rsidRPr="007E1210">
        <w:rPr>
          <w:rStyle w:val="Emphasis"/>
          <w:i w:val="0"/>
          <w:iCs w:val="0"/>
        </w:rPr>
        <w:t>(previously known as</w:t>
      </w:r>
      <w:r w:rsidR="00B77C5B">
        <w:rPr>
          <w:rStyle w:val="Emphasis"/>
        </w:rPr>
        <w:t xml:space="preserve"> </w:t>
      </w:r>
      <w:r w:rsidR="007E1210">
        <w:rPr>
          <w:rStyle w:val="Emphasis"/>
        </w:rPr>
        <w:t>Anabaena)</w:t>
      </w:r>
      <w:r>
        <w:t xml:space="preserve">, </w:t>
      </w:r>
      <w:r w:rsidR="00B91997">
        <w:t xml:space="preserve">and </w:t>
      </w:r>
      <w:proofErr w:type="spellStart"/>
      <w:r w:rsidRPr="008126A3">
        <w:rPr>
          <w:rStyle w:val="Emphasis"/>
        </w:rPr>
        <w:t>Nodularia</w:t>
      </w:r>
      <w:proofErr w:type="spellEnd"/>
      <w:r>
        <w:t xml:space="preserve"> and </w:t>
      </w:r>
      <w:proofErr w:type="spellStart"/>
      <w:r w:rsidR="00E65306" w:rsidRPr="008126A3">
        <w:rPr>
          <w:rStyle w:val="Emphasis"/>
        </w:rPr>
        <w:t>Raphidiopsis</w:t>
      </w:r>
      <w:proofErr w:type="spellEnd"/>
      <w:r w:rsidR="00E65306">
        <w:t xml:space="preserve"> </w:t>
      </w:r>
      <w:r>
        <w:t>(</w:t>
      </w:r>
      <w:r w:rsidR="009C06EA">
        <w:t xml:space="preserve">previously known as </w:t>
      </w:r>
      <w:proofErr w:type="spellStart"/>
      <w:r w:rsidR="009C06EA" w:rsidRPr="009C06EA">
        <w:rPr>
          <w:i/>
          <w:iCs/>
        </w:rPr>
        <w:t>Cylindrospermopsis</w:t>
      </w:r>
      <w:proofErr w:type="spellEnd"/>
      <w:r w:rsidR="009C06EA" w:rsidRPr="009C06EA">
        <w:t>;</w:t>
      </w:r>
      <w:r w:rsidR="009C06EA">
        <w:t xml:space="preserve"> </w:t>
      </w:r>
      <w:r>
        <w:t xml:space="preserve">filamentous) </w:t>
      </w:r>
      <w:r w:rsidRPr="002309E1">
        <w:t>(</w:t>
      </w:r>
      <w:r w:rsidR="00503A01" w:rsidRPr="002309E1">
        <w:t xml:space="preserve">Queensland Water Quality Task Force 1992, </w:t>
      </w:r>
      <w:r w:rsidR="00131F52" w:rsidRPr="004067D5">
        <w:t xml:space="preserve">Jones 1994, </w:t>
      </w:r>
      <w:r w:rsidR="00503A01" w:rsidRPr="004067D5">
        <w:t>Jones</w:t>
      </w:r>
      <w:r w:rsidR="00131F52">
        <w:t xml:space="preserve"> &amp; Orr</w:t>
      </w:r>
      <w:r w:rsidR="00503A01" w:rsidRPr="004067D5">
        <w:t xml:space="preserve"> 199</w:t>
      </w:r>
      <w:r w:rsidR="005A7980">
        <w:t>4</w:t>
      </w:r>
      <w:r w:rsidR="00503A01" w:rsidRPr="004067D5">
        <w:t xml:space="preserve">, </w:t>
      </w:r>
      <w:r w:rsidRPr="00C44017">
        <w:t>Steffensen et al. 1998).</w:t>
      </w:r>
    </w:p>
    <w:p w14:paraId="03F59CC5" w14:textId="77777777" w:rsidR="002277E8" w:rsidRDefault="00EB38E1" w:rsidP="00C1087A">
      <w:r>
        <w:t>Benthic cyanobacteria (</w:t>
      </w:r>
      <w:proofErr w:type="gramStart"/>
      <w:r>
        <w:t>e.g.</w:t>
      </w:r>
      <w:proofErr w:type="gramEnd"/>
      <w:r>
        <w:t xml:space="preserve"> </w:t>
      </w:r>
      <w:proofErr w:type="spellStart"/>
      <w:r w:rsidRPr="008126A3">
        <w:rPr>
          <w:rStyle w:val="Emphasis"/>
        </w:rPr>
        <w:t>Phormidium</w:t>
      </w:r>
      <w:proofErr w:type="spellEnd"/>
      <w:r>
        <w:t xml:space="preserve">, </w:t>
      </w:r>
      <w:proofErr w:type="spellStart"/>
      <w:r w:rsidRPr="008126A3">
        <w:rPr>
          <w:rStyle w:val="Emphasis"/>
        </w:rPr>
        <w:t>Pseudanabaena</w:t>
      </w:r>
      <w:proofErr w:type="spellEnd"/>
      <w:r>
        <w:t xml:space="preserve"> and </w:t>
      </w:r>
      <w:r w:rsidRPr="008126A3">
        <w:rPr>
          <w:rStyle w:val="Emphasis"/>
        </w:rPr>
        <w:t>Oscillatoria</w:t>
      </w:r>
      <w:r>
        <w:t>) tend to occur in shallow, clear waterbodies. They attach to a substrate (</w:t>
      </w:r>
      <w:proofErr w:type="gramStart"/>
      <w:r w:rsidR="006E4CD7">
        <w:t>e.g.</w:t>
      </w:r>
      <w:proofErr w:type="gramEnd"/>
      <w:r w:rsidR="006E4CD7">
        <w:t xml:space="preserve"> </w:t>
      </w:r>
      <w:r>
        <w:t>rock</w:t>
      </w:r>
      <w:r w:rsidR="006E4CD7">
        <w:t>,</w:t>
      </w:r>
      <w:r>
        <w:t xml:space="preserve"> sediment) below the </w:t>
      </w:r>
      <w:r w:rsidR="006E4CD7">
        <w:t xml:space="preserve">water </w:t>
      </w:r>
      <w:r>
        <w:t xml:space="preserve">surface, forming mats </w:t>
      </w:r>
      <w:r w:rsidR="006E4CD7">
        <w:t xml:space="preserve">that </w:t>
      </w:r>
      <w:r>
        <w:t>can separate and rise to the surface where they may accumulate as scum and be eaten by animals (</w:t>
      </w:r>
      <w:proofErr w:type="spellStart"/>
      <w:r>
        <w:t>Quiblier</w:t>
      </w:r>
      <w:proofErr w:type="spellEnd"/>
      <w:r>
        <w:t xml:space="preserve"> </w:t>
      </w:r>
      <w:r w:rsidR="000E6B90">
        <w:t xml:space="preserve">et al. </w:t>
      </w:r>
      <w:r>
        <w:t>2013).</w:t>
      </w:r>
    </w:p>
    <w:p w14:paraId="03F59CC6" w14:textId="77777777" w:rsidR="008126A3" w:rsidRDefault="00EB38E1" w:rsidP="000C6B83">
      <w:pPr>
        <w:pStyle w:val="Heading5"/>
        <w:rPr>
          <w:lang w:eastAsia="ja-JP"/>
        </w:rPr>
      </w:pPr>
      <w:r>
        <w:rPr>
          <w:lang w:eastAsia="ja-JP"/>
        </w:rPr>
        <w:t>Effects on a</w:t>
      </w:r>
      <w:r w:rsidR="002D2750" w:rsidRPr="004508FF">
        <w:rPr>
          <w:lang w:eastAsia="ja-JP"/>
        </w:rPr>
        <w:t>nimal health</w:t>
      </w:r>
    </w:p>
    <w:p w14:paraId="03F59CC7" w14:textId="77777777" w:rsidR="008126A3" w:rsidRDefault="00EB38E1" w:rsidP="00C1087A">
      <w:r>
        <w:t xml:space="preserve">The toxins associated with cyanobacteria </w:t>
      </w:r>
      <w:r w:rsidR="004E0D0F">
        <w:t>generally</w:t>
      </w:r>
      <w:r>
        <w:t xml:space="preserve"> only affect </w:t>
      </w:r>
      <w:r w:rsidR="007D7885">
        <w:t>live</w:t>
      </w:r>
      <w:r>
        <w:t xml:space="preserve">stock </w:t>
      </w:r>
      <w:r w:rsidR="00073704">
        <w:t xml:space="preserve">if they </w:t>
      </w:r>
      <w:r>
        <w:t>direct</w:t>
      </w:r>
      <w:r w:rsidR="00073704">
        <w:t>ly</w:t>
      </w:r>
      <w:r>
        <w:t xml:space="preserve"> ingest cells (either in the water or as dried mats left on the shore), or drink water where the death of cells has release</w:t>
      </w:r>
      <w:r w:rsidR="00073704">
        <w:t>d</w:t>
      </w:r>
      <w:r>
        <w:t xml:space="preserve"> toxins into the water.</w:t>
      </w:r>
    </w:p>
    <w:p w14:paraId="03F59CC8" w14:textId="77777777" w:rsidR="00B372DD" w:rsidRDefault="00EB38E1" w:rsidP="00FD2341">
      <w:r>
        <w:t>The effect on livestock depends on the type of cyanobacteria and associated toxin</w:t>
      </w:r>
      <w:r w:rsidR="004C6612">
        <w:t>:</w:t>
      </w:r>
    </w:p>
    <w:p w14:paraId="03F59CC9" w14:textId="2C878A2F" w:rsidR="00B372DD" w:rsidRDefault="00EB38E1" w:rsidP="00FD2341">
      <w:pPr>
        <w:pStyle w:val="Bullet"/>
      </w:pPr>
      <w:r>
        <w:t xml:space="preserve">Worldwide, the most common cyanobacterial toxin is microcystin, a hepatotoxin </w:t>
      </w:r>
      <w:r w:rsidR="00B0444F">
        <w:t xml:space="preserve">that </w:t>
      </w:r>
      <w:r>
        <w:t xml:space="preserve">is produced predominantly by the genus </w:t>
      </w:r>
      <w:r w:rsidRPr="00E947B5">
        <w:rPr>
          <w:rStyle w:val="Emphasis"/>
        </w:rPr>
        <w:t>Microcystis</w:t>
      </w:r>
      <w:r>
        <w:t xml:space="preserve">, but also by species of </w:t>
      </w:r>
      <w:proofErr w:type="spellStart"/>
      <w:r w:rsidRPr="00E947B5">
        <w:rPr>
          <w:rStyle w:val="Emphasis"/>
        </w:rPr>
        <w:t>Fischerella</w:t>
      </w:r>
      <w:proofErr w:type="spellEnd"/>
      <w:r>
        <w:t xml:space="preserve"> (</w:t>
      </w:r>
      <w:proofErr w:type="spellStart"/>
      <w:r>
        <w:t>Cirés</w:t>
      </w:r>
      <w:proofErr w:type="spellEnd"/>
      <w:r>
        <w:t xml:space="preserve"> et al. 2014) and </w:t>
      </w:r>
      <w:r w:rsidRPr="00B0444F">
        <w:rPr>
          <w:rStyle w:val="Emphasis"/>
        </w:rPr>
        <w:t>Nostoc</w:t>
      </w:r>
      <w:r>
        <w:t xml:space="preserve"> (</w:t>
      </w:r>
      <w:proofErr w:type="spellStart"/>
      <w:r>
        <w:t>Gaget</w:t>
      </w:r>
      <w:proofErr w:type="spellEnd"/>
      <w:r>
        <w:t xml:space="preserve"> et al. 2017). </w:t>
      </w:r>
      <w:r w:rsidR="00B0444F">
        <w:t>Though t</w:t>
      </w:r>
      <w:r>
        <w:t xml:space="preserve">here </w:t>
      </w:r>
      <w:r w:rsidR="00B0444F">
        <w:t>are</w:t>
      </w:r>
      <w:r>
        <w:t xml:space="preserve"> some differences between </w:t>
      </w:r>
      <w:r w:rsidR="002002C1">
        <w:t xml:space="preserve">livestock types, </w:t>
      </w:r>
      <w:r>
        <w:t>microcystin poisoning</w:t>
      </w:r>
      <w:r w:rsidR="002002C1">
        <w:t xml:space="preserve"> symptoms</w:t>
      </w:r>
      <w:r>
        <w:t xml:space="preserve"> typically include weakness, lethargy, anorexia, paleness, </w:t>
      </w:r>
      <w:r w:rsidR="002002C1">
        <w:lastRenderedPageBreak/>
        <w:t xml:space="preserve">diarrhoea, and </w:t>
      </w:r>
      <w:r>
        <w:t>sometimes mental derangement. In serious cases</w:t>
      </w:r>
      <w:r w:rsidR="00574C52">
        <w:t>,</w:t>
      </w:r>
      <w:r>
        <w:t xml:space="preserve"> animals suffer general distress, muscle tremors and coma</w:t>
      </w:r>
      <w:r w:rsidR="0004068D">
        <w:t>,</w:t>
      </w:r>
      <w:r>
        <w:t xml:space="preserve"> followed by death within a few hours to a few days. Animals, particularly cattle, </w:t>
      </w:r>
      <w:r w:rsidR="00574C52">
        <w:t xml:space="preserve">that </w:t>
      </w:r>
      <w:r>
        <w:t xml:space="preserve">survive </w:t>
      </w:r>
      <w:proofErr w:type="spellStart"/>
      <w:r>
        <w:t>hepatotoxicosis</w:t>
      </w:r>
      <w:proofErr w:type="spellEnd"/>
      <w:r>
        <w:t xml:space="preserve"> may suffer from photosensitisation resulting in cows refusing to suckle their young (Carmichael &amp; Falconer 1993).</w:t>
      </w:r>
    </w:p>
    <w:p w14:paraId="03F59CCA" w14:textId="66CCECB0" w:rsidR="008126A3" w:rsidRDefault="00EB38E1" w:rsidP="00FD2341">
      <w:pPr>
        <w:pStyle w:val="Bullet"/>
      </w:pPr>
      <w:r w:rsidRPr="00FD2341">
        <w:t xml:space="preserve">The hepatotoxin nodularin, which is produced by </w:t>
      </w:r>
      <w:proofErr w:type="spellStart"/>
      <w:r w:rsidRPr="00B95A81">
        <w:rPr>
          <w:i/>
          <w:iCs/>
        </w:rPr>
        <w:t>Nodularia</w:t>
      </w:r>
      <w:proofErr w:type="spellEnd"/>
      <w:r w:rsidRPr="00B95A81">
        <w:rPr>
          <w:i/>
          <w:iCs/>
        </w:rPr>
        <w:t xml:space="preserve"> </w:t>
      </w:r>
      <w:proofErr w:type="spellStart"/>
      <w:r w:rsidRPr="00B95A81">
        <w:rPr>
          <w:i/>
          <w:iCs/>
        </w:rPr>
        <w:t>spumigena</w:t>
      </w:r>
      <w:proofErr w:type="spellEnd"/>
      <w:r w:rsidRPr="00FD2341">
        <w:t>, has also affected domestic animals in Australia (Steffensen et al. 1998</w:t>
      </w:r>
      <w:r>
        <w:rPr>
          <w:rStyle w:val="cf01"/>
        </w:rPr>
        <w:t xml:space="preserve">). </w:t>
      </w:r>
      <w:r w:rsidR="002D2750">
        <w:t xml:space="preserve">Nodularin can also be produced by </w:t>
      </w:r>
      <w:proofErr w:type="spellStart"/>
      <w:r w:rsidR="004E0D0F" w:rsidRPr="00E947B5">
        <w:rPr>
          <w:rStyle w:val="Emphasis"/>
        </w:rPr>
        <w:t>Iningainema</w:t>
      </w:r>
      <w:proofErr w:type="spellEnd"/>
      <w:r w:rsidR="004E0D0F" w:rsidRPr="00E947B5">
        <w:rPr>
          <w:rStyle w:val="Emphasis"/>
        </w:rPr>
        <w:t xml:space="preserve"> pulvinus</w:t>
      </w:r>
      <w:r w:rsidR="004E0D0F">
        <w:t xml:space="preserve"> </w:t>
      </w:r>
      <w:r w:rsidR="004E0D0F">
        <w:rPr>
          <w:rFonts w:cstheme="minorHAnsi"/>
        </w:rPr>
        <w:t>–</w:t>
      </w:r>
      <w:r w:rsidR="004E0D0F">
        <w:t xml:space="preserve"> an algae species that lives at the lowest levels of water bodies such as lakes (benthic zone) </w:t>
      </w:r>
      <w:r w:rsidR="002D2750">
        <w:t xml:space="preserve">(McGregor </w:t>
      </w:r>
      <w:r w:rsidR="00574C52">
        <w:t xml:space="preserve">&amp; </w:t>
      </w:r>
      <w:proofErr w:type="spellStart"/>
      <w:r w:rsidR="002D2750">
        <w:t>Sendall</w:t>
      </w:r>
      <w:proofErr w:type="spellEnd"/>
      <w:r w:rsidR="002D2750">
        <w:t xml:space="preserve"> 2017).</w:t>
      </w:r>
    </w:p>
    <w:p w14:paraId="03F59CCB" w14:textId="5EA0FDF1" w:rsidR="008126A3" w:rsidRDefault="00EB38E1" w:rsidP="00FD2341">
      <w:pPr>
        <w:pStyle w:val="Bullet"/>
      </w:pPr>
      <w:r>
        <w:t xml:space="preserve">The neurotoxins produced by </w:t>
      </w:r>
      <w:proofErr w:type="spellStart"/>
      <w:r w:rsidRPr="00E947B5">
        <w:rPr>
          <w:rStyle w:val="Emphasis"/>
        </w:rPr>
        <w:t>Dolichospermum</w:t>
      </w:r>
      <w:proofErr w:type="spellEnd"/>
      <w:r w:rsidRPr="00E947B5">
        <w:rPr>
          <w:rStyle w:val="Emphasis"/>
        </w:rPr>
        <w:t xml:space="preserve"> </w:t>
      </w:r>
      <w:proofErr w:type="spellStart"/>
      <w:r w:rsidRPr="00E947B5">
        <w:rPr>
          <w:rStyle w:val="Emphasis"/>
        </w:rPr>
        <w:t>circinale</w:t>
      </w:r>
      <w:proofErr w:type="spellEnd"/>
      <w:r>
        <w:t xml:space="preserve"> are a group of closely related alkaloids known as saxitoxins</w:t>
      </w:r>
      <w:r w:rsidR="00E31F49">
        <w:t>,</w:t>
      </w:r>
      <w:r>
        <w:t xml:space="preserve"> which can also be produced by species of the benthic genus </w:t>
      </w:r>
      <w:proofErr w:type="spellStart"/>
      <w:r w:rsidRPr="00E947B5">
        <w:rPr>
          <w:rStyle w:val="Emphasis"/>
        </w:rPr>
        <w:t>Heteroscytonema</w:t>
      </w:r>
      <w:proofErr w:type="spellEnd"/>
      <w:r>
        <w:t xml:space="preserve"> (</w:t>
      </w:r>
      <w:proofErr w:type="spellStart"/>
      <w:r>
        <w:t>Sendall</w:t>
      </w:r>
      <w:proofErr w:type="spellEnd"/>
      <w:r>
        <w:t xml:space="preserve"> </w:t>
      </w:r>
      <w:r w:rsidR="00811ED5">
        <w:t>&amp;</w:t>
      </w:r>
      <w:r>
        <w:t xml:space="preserve"> McGregor 2018). When ingested by animals, these toxins restrict message transmission between neurons</w:t>
      </w:r>
      <w:r w:rsidR="00E31F49">
        <w:t>,</w:t>
      </w:r>
      <w:r>
        <w:t xml:space="preserve"> which affects muscle tissues, including those required for breathing. Death is almost always due to respiratory failure (</w:t>
      </w:r>
      <w:r w:rsidRPr="00850048">
        <w:t xml:space="preserve">Negri et al. 1995, </w:t>
      </w:r>
      <w:r w:rsidRPr="00C44017">
        <w:t xml:space="preserve">Steffensen et al. 1998). </w:t>
      </w:r>
      <w:r>
        <w:t xml:space="preserve">Water containing </w:t>
      </w:r>
      <w:r w:rsidRPr="00E947B5">
        <w:rPr>
          <w:rStyle w:val="Emphasis"/>
        </w:rPr>
        <w:t>D.</w:t>
      </w:r>
      <w:r w:rsidR="00E0401C">
        <w:rPr>
          <w:rStyle w:val="Emphasis"/>
        </w:rPr>
        <w:t> </w:t>
      </w:r>
      <w:proofErr w:type="spellStart"/>
      <w:r w:rsidRPr="00E947B5">
        <w:rPr>
          <w:rStyle w:val="Emphasis"/>
        </w:rPr>
        <w:t>circinale</w:t>
      </w:r>
      <w:proofErr w:type="spellEnd"/>
      <w:r>
        <w:t xml:space="preserve"> at </w:t>
      </w:r>
      <w:r w:rsidR="00B372DD">
        <w:t>50,</w:t>
      </w:r>
      <w:r>
        <w:t>000</w:t>
      </w:r>
      <w:r w:rsidR="008D497C">
        <w:t> </w:t>
      </w:r>
      <w:r>
        <w:t xml:space="preserve">cells/mL caused the death of sheep in </w:t>
      </w:r>
      <w:r w:rsidR="001D2A5F">
        <w:t>c</w:t>
      </w:r>
      <w:r>
        <w:t xml:space="preserve">entral New South Wales (Negri et al. 1995). Since the neurotoxins act more rapidly, their effects </w:t>
      </w:r>
      <w:r w:rsidR="001D2A5F">
        <w:t>are</w:t>
      </w:r>
      <w:r>
        <w:t xml:space="preserve"> more obvious than the effects of hepatotoxins </w:t>
      </w:r>
      <w:r w:rsidR="001D2A5F">
        <w:t>(</w:t>
      </w:r>
      <w:r>
        <w:t>in cases where both are present</w:t>
      </w:r>
      <w:r w:rsidR="001D2A5F">
        <w:t>)</w:t>
      </w:r>
      <w:r>
        <w:t xml:space="preserve"> (Carmichael &amp; Falconer 1993).</w:t>
      </w:r>
    </w:p>
    <w:p w14:paraId="03F59CCC" w14:textId="3491B530" w:rsidR="008126A3" w:rsidRPr="005A302D" w:rsidRDefault="00EB38E1" w:rsidP="004735B2">
      <w:pPr>
        <w:pStyle w:val="Bullet"/>
      </w:pPr>
      <w:proofErr w:type="spellStart"/>
      <w:r w:rsidRPr="005A302D">
        <w:t>Cylindrospermopsin</w:t>
      </w:r>
      <w:proofErr w:type="spellEnd"/>
      <w:r w:rsidRPr="005A302D">
        <w:t xml:space="preserve"> is a cytotoxic alkaloid produced by </w:t>
      </w:r>
      <w:r w:rsidR="00A54B6A" w:rsidRPr="004735B2">
        <w:t>several cyanobacterial genera, including</w:t>
      </w:r>
      <w:r w:rsidR="00CB719F" w:rsidRPr="005A302D">
        <w:t xml:space="preserve"> </w:t>
      </w:r>
      <w:proofErr w:type="spellStart"/>
      <w:r w:rsidR="00A54B6A" w:rsidRPr="004735B2">
        <w:rPr>
          <w:rStyle w:val="Emphasis"/>
        </w:rPr>
        <w:t>Cylindrospermopsis</w:t>
      </w:r>
      <w:proofErr w:type="spellEnd"/>
      <w:r w:rsidR="00A54B6A" w:rsidRPr="004735B2">
        <w:rPr>
          <w:rStyle w:val="Emphasis"/>
          <w:i w:val="0"/>
          <w:iCs w:val="0"/>
        </w:rPr>
        <w:t xml:space="preserve">, </w:t>
      </w:r>
      <w:proofErr w:type="spellStart"/>
      <w:r w:rsidR="00A54B6A" w:rsidRPr="004735B2">
        <w:rPr>
          <w:rStyle w:val="Emphasis"/>
        </w:rPr>
        <w:t>Aphanizomenon</w:t>
      </w:r>
      <w:proofErr w:type="spellEnd"/>
      <w:r w:rsidR="00A54B6A" w:rsidRPr="004735B2">
        <w:rPr>
          <w:rStyle w:val="Emphasis"/>
          <w:i w:val="0"/>
          <w:iCs w:val="0"/>
        </w:rPr>
        <w:t xml:space="preserve">, </w:t>
      </w:r>
      <w:proofErr w:type="spellStart"/>
      <w:r w:rsidR="00A54B6A" w:rsidRPr="004735B2">
        <w:rPr>
          <w:rStyle w:val="Emphasis"/>
        </w:rPr>
        <w:t>Umezakia</w:t>
      </w:r>
      <w:proofErr w:type="spellEnd"/>
      <w:r w:rsidR="00A54B6A" w:rsidRPr="004735B2">
        <w:rPr>
          <w:rStyle w:val="Emphasis"/>
          <w:i w:val="0"/>
          <w:iCs w:val="0"/>
        </w:rPr>
        <w:t>,</w:t>
      </w:r>
      <w:r w:rsidR="00CB719F" w:rsidRPr="005A302D">
        <w:rPr>
          <w:rStyle w:val="Emphasis"/>
          <w:i w:val="0"/>
          <w:iCs w:val="0"/>
        </w:rPr>
        <w:t xml:space="preserve"> </w:t>
      </w:r>
      <w:hyperlink r:id="rId30" w:tooltip="Learn more about Anabaena from ScienceDirect's AI-generated Topic Pages" w:history="1">
        <w:r w:rsidR="00A54B6A" w:rsidRPr="004735B2">
          <w:rPr>
            <w:rStyle w:val="Hyperlink"/>
            <w:i/>
            <w:iCs/>
            <w:color w:val="auto"/>
            <w:u w:val="none"/>
          </w:rPr>
          <w:t>Anabaena</w:t>
        </w:r>
      </w:hyperlink>
      <w:r w:rsidR="00A54B6A" w:rsidRPr="004735B2">
        <w:t> (now </w:t>
      </w:r>
      <w:proofErr w:type="spellStart"/>
      <w:r w:rsidR="00A54B6A" w:rsidRPr="004735B2">
        <w:rPr>
          <w:rStyle w:val="Emphasis"/>
        </w:rPr>
        <w:t>Dolichospermum</w:t>
      </w:r>
      <w:proofErr w:type="spellEnd"/>
      <w:r w:rsidR="00A54B6A" w:rsidRPr="004735B2">
        <w:t>),</w:t>
      </w:r>
      <w:r w:rsidR="00CB719F" w:rsidRPr="005A302D">
        <w:t xml:space="preserve"> </w:t>
      </w:r>
      <w:proofErr w:type="spellStart"/>
      <w:r w:rsidR="00A54B6A" w:rsidRPr="004735B2">
        <w:rPr>
          <w:rStyle w:val="Emphasis"/>
        </w:rPr>
        <w:t>Lyngbya</w:t>
      </w:r>
      <w:proofErr w:type="spellEnd"/>
      <w:r w:rsidR="00A54B6A" w:rsidRPr="004735B2">
        <w:t>, and</w:t>
      </w:r>
      <w:r w:rsidR="00CB719F" w:rsidRPr="005A302D">
        <w:t xml:space="preserve"> </w:t>
      </w:r>
      <w:proofErr w:type="spellStart"/>
      <w:r w:rsidR="00A54B6A" w:rsidRPr="004735B2">
        <w:rPr>
          <w:rStyle w:val="Emphasis"/>
        </w:rPr>
        <w:t>Raphidiopsis</w:t>
      </w:r>
      <w:proofErr w:type="spellEnd"/>
      <w:r w:rsidR="00876D8D" w:rsidRPr="004735B2">
        <w:rPr>
          <w:rStyle w:val="Emphasis"/>
          <w:i w:val="0"/>
          <w:iCs w:val="0"/>
        </w:rPr>
        <w:t xml:space="preserve"> (</w:t>
      </w:r>
      <w:r w:rsidR="00CB719F" w:rsidRPr="005A302D">
        <w:rPr>
          <w:rStyle w:val="Emphasis"/>
          <w:i w:val="0"/>
          <w:iCs w:val="0"/>
        </w:rPr>
        <w:t>van der Merwe 2015</w:t>
      </w:r>
      <w:r w:rsidRPr="005A302D">
        <w:t xml:space="preserve">). This toxin affects the liver, kidney, small </w:t>
      </w:r>
      <w:proofErr w:type="gramStart"/>
      <w:r w:rsidRPr="005A302D">
        <w:t>intestine</w:t>
      </w:r>
      <w:proofErr w:type="gramEnd"/>
      <w:r w:rsidRPr="005A302D">
        <w:t xml:space="preserve"> and lungs of animals</w:t>
      </w:r>
      <w:r w:rsidR="00DD0845" w:rsidRPr="005A302D">
        <w:t>,</w:t>
      </w:r>
      <w:r w:rsidRPr="005A302D">
        <w:t xml:space="preserve"> which can result in death (Hawkins et al. 1996).</w:t>
      </w:r>
    </w:p>
    <w:p w14:paraId="03F59CCD" w14:textId="77777777" w:rsidR="002B6056" w:rsidRDefault="00EB38E1" w:rsidP="00C1087A">
      <w:r>
        <w:t xml:space="preserve">There have been few toxicological trials carried out to determine safe levels of intake of cyanobacterial cells or toxins for domestic animals. </w:t>
      </w:r>
      <w:r w:rsidR="00937E58">
        <w:t>I</w:t>
      </w:r>
      <w:r>
        <w:t xml:space="preserve">n experiments with bloom material of </w:t>
      </w:r>
      <w:r w:rsidRPr="00B57A60">
        <w:rPr>
          <w:rStyle w:val="Emphasis"/>
        </w:rPr>
        <w:t>Microcystis aeruginosa</w:t>
      </w:r>
      <w:r w:rsidR="00937E58">
        <w:t xml:space="preserve">, </w:t>
      </w:r>
      <w:r w:rsidR="00937E58" w:rsidRPr="004C4F9E">
        <w:t xml:space="preserve">Falconer et al. (1994) </w:t>
      </w:r>
      <w:r>
        <w:t>showed there was no adverse effect on the livers of pigs supplied with 280</w:t>
      </w:r>
      <w:r w:rsidR="00B57A60">
        <w:t> </w:t>
      </w:r>
      <w:r>
        <w:t>µg</w:t>
      </w:r>
      <w:r w:rsidR="00AD5103">
        <w:t> </w:t>
      </w:r>
      <w:r>
        <w:t>toxins/kg/d</w:t>
      </w:r>
      <w:r w:rsidR="00A6565D">
        <w:t>ay</w:t>
      </w:r>
      <w:r>
        <w:t xml:space="preserve"> via drinking water over 44</w:t>
      </w:r>
      <w:r w:rsidR="00AD5103">
        <w:t> </w:t>
      </w:r>
      <w:r>
        <w:t>days. Long-term effects of ingestion of lower levels of toxins are not well understood.</w:t>
      </w:r>
    </w:p>
    <w:p w14:paraId="03F59CCE" w14:textId="77777777" w:rsidR="00B372DD" w:rsidRDefault="00EB38E1" w:rsidP="00B372DD">
      <w:r>
        <w:t xml:space="preserve">Not all cyanobacteria blooms appear to be hazardous to animals </w:t>
      </w:r>
      <w:r w:rsidR="004C6612">
        <w:t>beca</w:t>
      </w:r>
      <w:r w:rsidR="004C6612" w:rsidRPr="00FD5483">
        <w:t xml:space="preserve">use </w:t>
      </w:r>
      <w:r w:rsidRPr="00FD5483">
        <w:t>(Carmichael &amp; Falconer 1993):</w:t>
      </w:r>
    </w:p>
    <w:p w14:paraId="03F59CCF" w14:textId="77777777" w:rsidR="00B372DD" w:rsidRDefault="00EB38E1" w:rsidP="00B372DD">
      <w:pPr>
        <w:pStyle w:val="ListBullet"/>
        <w:rPr>
          <w:lang w:eastAsia="ja-JP"/>
        </w:rPr>
      </w:pPr>
      <w:r>
        <w:rPr>
          <w:lang w:eastAsia="ja-JP"/>
        </w:rPr>
        <w:t xml:space="preserve">the bloom may have low concentrations of </w:t>
      </w:r>
      <w:proofErr w:type="gramStart"/>
      <w:r>
        <w:rPr>
          <w:lang w:eastAsia="ja-JP"/>
        </w:rPr>
        <w:t>toxins</w:t>
      </w:r>
      <w:proofErr w:type="gramEnd"/>
    </w:p>
    <w:p w14:paraId="03F59CD0" w14:textId="77777777" w:rsidR="00B372DD" w:rsidRDefault="00EB38E1" w:rsidP="00B372DD">
      <w:pPr>
        <w:pStyle w:val="ListBullet"/>
        <w:rPr>
          <w:lang w:eastAsia="ja-JP"/>
        </w:rPr>
      </w:pPr>
      <w:r>
        <w:rPr>
          <w:lang w:eastAsia="ja-JP"/>
        </w:rPr>
        <w:t xml:space="preserve">livestock are not equally susceptible to algal intoxication </w:t>
      </w:r>
      <w:r>
        <w:rPr>
          <w:rFonts w:cstheme="minorHAnsi"/>
          <w:lang w:eastAsia="ja-JP"/>
        </w:rPr>
        <w:t>–</w:t>
      </w:r>
      <w:r>
        <w:rPr>
          <w:lang w:eastAsia="ja-JP"/>
        </w:rPr>
        <w:t xml:space="preserve"> species, age and sex affect susceptibility, and monogastric animals are less sensitive than ruminants and </w:t>
      </w:r>
      <w:proofErr w:type="gramStart"/>
      <w:r>
        <w:rPr>
          <w:lang w:eastAsia="ja-JP"/>
        </w:rPr>
        <w:t>birds</w:t>
      </w:r>
      <w:proofErr w:type="gramEnd"/>
    </w:p>
    <w:p w14:paraId="03F59CD1" w14:textId="77777777" w:rsidR="00B372DD" w:rsidRDefault="00EB38E1" w:rsidP="00B372DD">
      <w:pPr>
        <w:pStyle w:val="ListBullet"/>
        <w:spacing w:after="240"/>
        <w:rPr>
          <w:lang w:eastAsia="ja-JP"/>
        </w:rPr>
      </w:pPr>
      <w:r>
        <w:rPr>
          <w:lang w:eastAsia="ja-JP"/>
        </w:rPr>
        <w:t>the amount of toxin consumed may be small and/or countered by the amount of food in the animal’s gut.</w:t>
      </w:r>
    </w:p>
    <w:p w14:paraId="03F59CD2" w14:textId="77777777" w:rsidR="00AD38A0" w:rsidRPr="00AD38A0" w:rsidRDefault="00EB38E1" w:rsidP="000C6B83">
      <w:pPr>
        <w:pStyle w:val="Heading5"/>
        <w:rPr>
          <w:lang w:eastAsia="ja-JP"/>
        </w:rPr>
      </w:pPr>
      <w:r w:rsidRPr="00AD38A0">
        <w:rPr>
          <w:lang w:eastAsia="ja-JP"/>
        </w:rPr>
        <w:t>Derivation of guideline values</w:t>
      </w:r>
    </w:p>
    <w:p w14:paraId="03F59CD3" w14:textId="77777777" w:rsidR="005132D4" w:rsidRDefault="00EB38E1" w:rsidP="00FD2341">
      <w:r>
        <w:t xml:space="preserve">Establishing guideline values based on </w:t>
      </w:r>
      <w:r w:rsidR="00B96CCB">
        <w:t xml:space="preserve">the </w:t>
      </w:r>
      <w:r>
        <w:t xml:space="preserve">health of animals is difficult </w:t>
      </w:r>
      <w:r w:rsidR="004C6612">
        <w:t>because</w:t>
      </w:r>
      <w:r>
        <w:t>:</w:t>
      </w:r>
    </w:p>
    <w:p w14:paraId="03F59CD4" w14:textId="77777777" w:rsidR="005132D4" w:rsidRDefault="00EB38E1" w:rsidP="00011687">
      <w:pPr>
        <w:pStyle w:val="ListBullet"/>
        <w:rPr>
          <w:lang w:eastAsia="ja-JP"/>
        </w:rPr>
      </w:pPr>
      <w:r>
        <w:rPr>
          <w:lang w:eastAsia="ja-JP"/>
        </w:rPr>
        <w:t xml:space="preserve">not all blooms appear to be toxic, and toxic and non-toxic blooms of the same species have been </w:t>
      </w:r>
      <w:proofErr w:type="gramStart"/>
      <w:r>
        <w:rPr>
          <w:lang w:eastAsia="ja-JP"/>
        </w:rPr>
        <w:t>found</w:t>
      </w:r>
      <w:proofErr w:type="gramEnd"/>
    </w:p>
    <w:p w14:paraId="03F59CD5" w14:textId="77777777" w:rsidR="00642687" w:rsidRDefault="00EB38E1" w:rsidP="00642687">
      <w:pPr>
        <w:pStyle w:val="ListBullet"/>
        <w:rPr>
          <w:lang w:eastAsia="ja-JP"/>
        </w:rPr>
      </w:pPr>
      <w:r>
        <w:rPr>
          <w:lang w:eastAsia="ja-JP"/>
        </w:rPr>
        <w:t>the toxicity per cell can vary over time (weeks to months), making it difficult to relate cell numbers to toxicity (toxin levels)</w:t>
      </w:r>
    </w:p>
    <w:p w14:paraId="38774598" w14:textId="4FFDE679" w:rsidR="009C06EA" w:rsidRDefault="009C06EA" w:rsidP="00642687">
      <w:pPr>
        <w:pStyle w:val="ListBullet"/>
        <w:rPr>
          <w:lang w:eastAsia="ja-JP"/>
        </w:rPr>
      </w:pPr>
      <w:r w:rsidRPr="00CB5931">
        <w:rPr>
          <w:lang w:eastAsia="ja-JP"/>
        </w:rPr>
        <w:t>different toxin-producing and non</w:t>
      </w:r>
      <w:r w:rsidR="00E80635">
        <w:rPr>
          <w:rFonts w:cstheme="minorHAnsi"/>
          <w:lang w:eastAsia="ja-JP"/>
        </w:rPr>
        <w:t>–</w:t>
      </w:r>
      <w:r w:rsidRPr="00B760DA">
        <w:rPr>
          <w:lang w:eastAsia="ja-JP"/>
        </w:rPr>
        <w:t>toxin</w:t>
      </w:r>
      <w:r w:rsidR="00E80635">
        <w:rPr>
          <w:lang w:eastAsia="ja-JP"/>
        </w:rPr>
        <w:t>-</w:t>
      </w:r>
      <w:r w:rsidRPr="00CB5931">
        <w:rPr>
          <w:lang w:eastAsia="ja-JP"/>
        </w:rPr>
        <w:t>producing cyanobacterial species can appear and disappear over time (days to weeks)</w:t>
      </w:r>
    </w:p>
    <w:p w14:paraId="03F59CD6" w14:textId="77777777" w:rsidR="005132D4" w:rsidRDefault="00EB38E1" w:rsidP="00FD2341">
      <w:pPr>
        <w:pStyle w:val="ListBullet"/>
        <w:spacing w:after="240"/>
        <w:rPr>
          <w:lang w:eastAsia="ja-JP"/>
        </w:rPr>
      </w:pPr>
      <w:r>
        <w:rPr>
          <w:lang w:eastAsia="ja-JP"/>
        </w:rPr>
        <w:t>insufficient toxicological data are available for all toxins.</w:t>
      </w:r>
    </w:p>
    <w:p w14:paraId="03F59CD7" w14:textId="77777777" w:rsidR="001E718B" w:rsidRDefault="00EB38E1" w:rsidP="00FD2341">
      <w:r>
        <w:lastRenderedPageBreak/>
        <w:t>In addition, a</w:t>
      </w:r>
      <w:r w:rsidR="002D2750">
        <w:t xml:space="preserve">n implicit assumption in devising guidelines and recommendations is that toxic concentrations of cyanotoxins are only associated with a visible bloom. This does not </w:t>
      </w:r>
      <w:proofErr w:type="gramStart"/>
      <w:r w:rsidR="002D2750">
        <w:t>take into account</w:t>
      </w:r>
      <w:proofErr w:type="gramEnd"/>
      <w:r w:rsidR="002D2750">
        <w:t xml:space="preserve"> </w:t>
      </w:r>
      <w:r>
        <w:t>other potential sources:</w:t>
      </w:r>
    </w:p>
    <w:p w14:paraId="03F59CD8" w14:textId="77777777" w:rsidR="001E718B" w:rsidRDefault="00EB38E1" w:rsidP="00FD2341">
      <w:pPr>
        <w:pStyle w:val="Bullet"/>
      </w:pPr>
      <w:r>
        <w:t>In some species, the</w:t>
      </w:r>
      <w:r w:rsidRPr="001E718B">
        <w:t xml:space="preserve"> </w:t>
      </w:r>
      <w:r>
        <w:t>cyanobacteria population can also be distributed throughout the water column</w:t>
      </w:r>
      <w:r w:rsidR="00F6216C">
        <w:t>.</w:t>
      </w:r>
    </w:p>
    <w:p w14:paraId="03F59CD9" w14:textId="77777777" w:rsidR="001E718B" w:rsidRDefault="00EB38E1" w:rsidP="00FD2341">
      <w:pPr>
        <w:pStyle w:val="Bullet"/>
      </w:pPr>
      <w:r>
        <w:t xml:space="preserve">Cyanotoxins </w:t>
      </w:r>
      <w:r w:rsidR="002D2750">
        <w:t xml:space="preserve">persist after a bloom has dissipated </w:t>
      </w:r>
      <w:r>
        <w:rPr>
          <w:rFonts w:cstheme="minorHAnsi"/>
        </w:rPr>
        <w:t>–</w:t>
      </w:r>
      <w:r>
        <w:t xml:space="preserve"> once toxins are released into the water by the death of the cyanobacteria cells, it may take weeks for toxins to be degraded by naturally occurring bacteria (Carmichael 1994, Jones</w:t>
      </w:r>
      <w:r w:rsidR="00131F52">
        <w:t xml:space="preserve"> &amp; Orr</w:t>
      </w:r>
      <w:r>
        <w:t xml:space="preserve"> 1994). </w:t>
      </w:r>
      <w:r w:rsidR="002D2750">
        <w:t>The photo</w:t>
      </w:r>
      <w:r w:rsidR="00222DFE">
        <w:t>-</w:t>
      </w:r>
      <w:r w:rsidR="002D2750">
        <w:t xml:space="preserve">degradation of microcystin-LR toxins in full sunlight can take as little as </w:t>
      </w:r>
      <w:r w:rsidR="00C95065">
        <w:t>2 </w:t>
      </w:r>
      <w:r w:rsidR="002D2750">
        <w:t xml:space="preserve">weeks or longer than </w:t>
      </w:r>
      <w:r w:rsidR="00C95065">
        <w:t>6 </w:t>
      </w:r>
      <w:r w:rsidR="002D2750">
        <w:t>weeks depending on the presence of water-soluble cell pigments (Corbel et al. 2014).</w:t>
      </w:r>
    </w:p>
    <w:p w14:paraId="03F59CDA" w14:textId="77777777" w:rsidR="005132D4" w:rsidRDefault="00EB38E1" w:rsidP="00FD2341">
      <w:pPr>
        <w:pStyle w:val="Bullet"/>
        <w:spacing w:after="240"/>
      </w:pPr>
      <w:r>
        <w:t xml:space="preserve">Cyanotoxins can persist in the dried scum that is the remains of blooms, and livestock can eat the scum. </w:t>
      </w:r>
      <w:r w:rsidR="002D2750">
        <w:t xml:space="preserve">Jones et al. (1995) reported that scums of </w:t>
      </w:r>
      <w:r w:rsidR="002D2750" w:rsidRPr="008C40FF">
        <w:rPr>
          <w:rStyle w:val="Emphasis"/>
        </w:rPr>
        <w:t>M</w:t>
      </w:r>
      <w:r w:rsidR="00910928">
        <w:rPr>
          <w:rStyle w:val="Emphasis"/>
        </w:rPr>
        <w:t>.</w:t>
      </w:r>
      <w:r w:rsidR="00910928">
        <w:t> </w:t>
      </w:r>
      <w:r w:rsidR="002D2750" w:rsidRPr="008C40FF">
        <w:rPr>
          <w:rStyle w:val="Emphasis"/>
        </w:rPr>
        <w:t>aeruginosa</w:t>
      </w:r>
      <w:r w:rsidR="002D2750">
        <w:t xml:space="preserve"> that dry on the shores of lakes may contain high concentrations of microcystin-LR for several months.</w:t>
      </w:r>
    </w:p>
    <w:p w14:paraId="03F59CDB" w14:textId="77777777" w:rsidR="00C37789" w:rsidRDefault="00EB38E1" w:rsidP="00C1087A">
      <w:r>
        <w:t>Accurate and sensitive methods for the determination of cyanotoxins in water are available. However, due to their cost, they are not commonly used in a monitoring framework.</w:t>
      </w:r>
    </w:p>
    <w:p w14:paraId="03F59CDC" w14:textId="613AF6DE" w:rsidR="004D795C" w:rsidRDefault="00EB38E1" w:rsidP="004D795C">
      <w:r>
        <w:t xml:space="preserve">The 1 µg/L total microcystin-LR trigger level has been adopted in South </w:t>
      </w:r>
      <w:r w:rsidRPr="00180696">
        <w:t>Africa (DWAF 1996) for</w:t>
      </w:r>
      <w:r>
        <w:t xml:space="preserve"> livestock. A </w:t>
      </w:r>
      <w:proofErr w:type="spellStart"/>
      <w:r>
        <w:t>subchronic</w:t>
      </w:r>
      <w:proofErr w:type="spellEnd"/>
      <w:r>
        <w:t xml:space="preserve"> action level of 0.9 µg/L has been adopted in California (CEPA 2012). The Australian Drinking Water Guidelines (as distinct from livestock drinking water) value is 1.3 µg/L of total </w:t>
      </w:r>
      <w:proofErr w:type="spellStart"/>
      <w:r>
        <w:t>microcystins</w:t>
      </w:r>
      <w:proofErr w:type="spellEnd"/>
      <w:r>
        <w:t>-LR toxicity equivalents (NHMRC</w:t>
      </w:r>
      <w:r w:rsidR="006B0F92">
        <w:t xml:space="preserve"> &amp; </w:t>
      </w:r>
      <w:r>
        <w:t>NRMMC 2011).</w:t>
      </w:r>
    </w:p>
    <w:p w14:paraId="03F59CDD" w14:textId="697C543B" w:rsidR="004D795C" w:rsidRDefault="00EB38E1" w:rsidP="004D795C">
      <w:r>
        <w:t xml:space="preserve">There are insufficient data available to derive guideline values for other cyanobacteria species, but </w:t>
      </w:r>
      <w:r w:rsidR="00CE73B3">
        <w:t>several</w:t>
      </w:r>
      <w:r w:rsidR="00C24162">
        <w:t xml:space="preserve"> other</w:t>
      </w:r>
      <w:r w:rsidRPr="00384C8B">
        <w:t xml:space="preserve"> toxin</w:t>
      </w:r>
      <w:r w:rsidR="00F6216C">
        <w:t>-</w:t>
      </w:r>
      <w:r w:rsidRPr="00384C8B">
        <w:t xml:space="preserve">producing genera </w:t>
      </w:r>
      <w:r w:rsidR="00C24162">
        <w:t xml:space="preserve">are </w:t>
      </w:r>
      <w:r w:rsidRPr="00384C8B">
        <w:t>known from Australian freshwaters</w:t>
      </w:r>
      <w:r w:rsidR="00F6216C">
        <w:t xml:space="preserve"> (</w:t>
      </w:r>
      <w:proofErr w:type="gramStart"/>
      <w:r w:rsidR="00836AD3">
        <w:t>e.g.</w:t>
      </w:r>
      <w:proofErr w:type="gramEnd"/>
      <w:r w:rsidR="00836AD3">
        <w:t xml:space="preserve"> </w:t>
      </w:r>
      <w:r w:rsidR="00836AD3" w:rsidRPr="000E4E0A">
        <w:rPr>
          <w:i/>
          <w:iCs/>
        </w:rPr>
        <w:t>Anabaena</w:t>
      </w:r>
      <w:r w:rsidR="00836AD3">
        <w:t xml:space="preserve"> spp., </w:t>
      </w:r>
      <w:proofErr w:type="spellStart"/>
      <w:r w:rsidR="00CE73B3" w:rsidRPr="000E4E0A">
        <w:rPr>
          <w:i/>
          <w:iCs/>
        </w:rPr>
        <w:t>Cylindrospermopsis</w:t>
      </w:r>
      <w:proofErr w:type="spellEnd"/>
      <w:r w:rsidR="00CE73B3" w:rsidRPr="000E4E0A">
        <w:rPr>
          <w:i/>
          <w:iCs/>
        </w:rPr>
        <w:t xml:space="preserve"> </w:t>
      </w:r>
      <w:proofErr w:type="spellStart"/>
      <w:r w:rsidR="00CE73B3" w:rsidRPr="000E4E0A">
        <w:rPr>
          <w:i/>
          <w:iCs/>
        </w:rPr>
        <w:t>raciborskii</w:t>
      </w:r>
      <w:proofErr w:type="spellEnd"/>
      <w:r w:rsidR="00CE73B3" w:rsidRPr="000E4E0A">
        <w:rPr>
          <w:i/>
          <w:iCs/>
        </w:rPr>
        <w:t>,</w:t>
      </w:r>
      <w:r w:rsidR="00CE73B3" w:rsidRPr="00384C8B" w:rsidDel="00D84A83">
        <w:t xml:space="preserve"> </w:t>
      </w:r>
      <w:r w:rsidR="00815665" w:rsidRPr="0050285E">
        <w:rPr>
          <w:rStyle w:val="Emphasis"/>
        </w:rPr>
        <w:t xml:space="preserve">Nostoc </w:t>
      </w:r>
      <w:proofErr w:type="spellStart"/>
      <w:r w:rsidR="00815665" w:rsidRPr="0050285E">
        <w:rPr>
          <w:rStyle w:val="Emphasis"/>
        </w:rPr>
        <w:t>lin</w:t>
      </w:r>
      <w:r w:rsidR="00815665">
        <w:rPr>
          <w:rStyle w:val="Emphasis"/>
        </w:rPr>
        <w:t>c</w:t>
      </w:r>
      <w:r w:rsidR="00815665" w:rsidRPr="0050285E">
        <w:rPr>
          <w:rStyle w:val="Emphasis"/>
        </w:rPr>
        <w:t>kia</w:t>
      </w:r>
      <w:proofErr w:type="spellEnd"/>
      <w:r w:rsidR="00F6216C">
        <w:t>)</w:t>
      </w:r>
      <w:r w:rsidR="00E37E84">
        <w:t xml:space="preserve"> (e.g. </w:t>
      </w:r>
      <w:r w:rsidR="005B713C">
        <w:t>Sydney Catchment Authority 2010</w:t>
      </w:r>
      <w:r w:rsidR="00E37E84">
        <w:t>).</w:t>
      </w:r>
      <w:r w:rsidR="00F6216C">
        <w:t xml:space="preserve"> </w:t>
      </w:r>
      <w:r>
        <w:t xml:space="preserve">Therefore, detection of any level of </w:t>
      </w:r>
      <w:r w:rsidR="00F6216C">
        <w:t xml:space="preserve">cyanobacteria </w:t>
      </w:r>
      <w:r>
        <w:t>in livestock drinking water should be considered significant and</w:t>
      </w:r>
      <w:r w:rsidRPr="00953B7B">
        <w:t xml:space="preserve"> </w:t>
      </w:r>
      <w:r>
        <w:t>should trigger management action.</w:t>
      </w:r>
    </w:p>
    <w:p w14:paraId="03F59CDE" w14:textId="77777777" w:rsidR="004109B2" w:rsidRDefault="00EB38E1" w:rsidP="000C6B83">
      <w:pPr>
        <w:pStyle w:val="Heading6"/>
        <w:rPr>
          <w:lang w:eastAsia="ja-JP"/>
        </w:rPr>
      </w:pPr>
      <w:r>
        <w:rPr>
          <w:lang w:eastAsia="ja-JP"/>
        </w:rPr>
        <w:t>Microcystin</w:t>
      </w:r>
    </w:p>
    <w:p w14:paraId="03F59CDF" w14:textId="6AF5F349" w:rsidR="008C40FF" w:rsidRDefault="00EB38E1" w:rsidP="00C1087A">
      <w:r>
        <w:t xml:space="preserve">The following calculations and assumptions were used to derive a </w:t>
      </w:r>
      <w:bookmarkStart w:id="136" w:name="_Hlk82099250"/>
      <w:r>
        <w:t>guideline value for microcystin-LR toxicity equivalents</w:t>
      </w:r>
      <w:bookmarkEnd w:id="136"/>
      <w:r w:rsidR="00096898">
        <w:t>.</w:t>
      </w:r>
      <w:r>
        <w:t xml:space="preserve"> (</w:t>
      </w:r>
      <w:r w:rsidR="00686CA4">
        <w:t>O</w:t>
      </w:r>
      <w:r>
        <w:t xml:space="preserve">ther </w:t>
      </w:r>
      <w:proofErr w:type="spellStart"/>
      <w:r>
        <w:t>microcystins</w:t>
      </w:r>
      <w:proofErr w:type="spellEnd"/>
      <w:r>
        <w:t xml:space="preserve"> </w:t>
      </w:r>
      <w:r w:rsidR="00686CA4">
        <w:t xml:space="preserve">include </w:t>
      </w:r>
      <w:r>
        <w:t>microcystin</w:t>
      </w:r>
      <w:r w:rsidR="00096898">
        <w:t>-</w:t>
      </w:r>
      <w:r>
        <w:t xml:space="preserve">LA, </w:t>
      </w:r>
      <w:r w:rsidR="00096898">
        <w:t>microcystin-</w:t>
      </w:r>
      <w:proofErr w:type="gramStart"/>
      <w:r>
        <w:t>RR</w:t>
      </w:r>
      <w:proofErr w:type="gramEnd"/>
      <w:r>
        <w:t xml:space="preserve"> and </w:t>
      </w:r>
      <w:r w:rsidR="00096898">
        <w:t>microcystin-</w:t>
      </w:r>
      <w:r>
        <w:t>YR. While the most extensive toxicological information is available for the LR congener, the LA, RR and YR congeners appear to have similar toxicological effects (CEPA 2012))</w:t>
      </w:r>
      <w:r w:rsidR="00F6216C">
        <w:t>.</w:t>
      </w:r>
      <w:r>
        <w:t xml:space="preserve"> They are based on the principles adopted by the United States Environmental Protection </w:t>
      </w:r>
      <w:r w:rsidRPr="007C69AE">
        <w:t>Agency (</w:t>
      </w:r>
      <w:proofErr w:type="spellStart"/>
      <w:r w:rsidRPr="007C69AE">
        <w:t>Belluck</w:t>
      </w:r>
      <w:proofErr w:type="spellEnd"/>
      <w:r w:rsidRPr="007C69AE">
        <w:t xml:space="preserve"> &amp; Anderson 1988, cited by </w:t>
      </w:r>
      <w:r w:rsidRPr="009E0011">
        <w:t xml:space="preserve">Hamilton &amp; Haydon 1996) </w:t>
      </w:r>
      <w:r>
        <w:t>and the World Health Organi</w:t>
      </w:r>
      <w:r w:rsidR="00E20BC6">
        <w:t>z</w:t>
      </w:r>
      <w:r>
        <w:t xml:space="preserve">ation </w:t>
      </w:r>
      <w:r w:rsidRPr="00DD3BEB">
        <w:t>(Falconer et al. 1999). The</w:t>
      </w:r>
      <w:r>
        <w:t xml:space="preserve"> example</w:t>
      </w:r>
      <w:r w:rsidR="00F6216C">
        <w:t xml:space="preserve"> given in Equation </w:t>
      </w:r>
      <w:r w:rsidR="00257B02">
        <w:t>3.1</w:t>
      </w:r>
      <w:r>
        <w:t xml:space="preserve"> is for pigs; data for other livestock are in</w:t>
      </w:r>
      <w:r w:rsidR="0094720B">
        <w:t xml:space="preserve"> </w:t>
      </w:r>
      <w:r w:rsidR="0094720B">
        <w:fldChar w:fldCharType="begin"/>
      </w:r>
      <w:r w:rsidR="0094720B">
        <w:instrText xml:space="preserve"> REF _Ref84839182 \h </w:instrText>
      </w:r>
      <w:r w:rsidR="0094720B">
        <w:fldChar w:fldCharType="separate"/>
      </w:r>
      <w:r w:rsidR="0061517C" w:rsidRPr="00254185">
        <w:t>Table 3.1</w:t>
      </w:r>
      <w:r w:rsidR="0094720B">
        <w:fldChar w:fldCharType="end"/>
      </w:r>
      <w:r w:rsidR="00B351F8">
        <w:t>.</w:t>
      </w:r>
    </w:p>
    <w:p w14:paraId="03F59CE0" w14:textId="77777777" w:rsidR="00907E2C" w:rsidRDefault="00EB38E1" w:rsidP="00DF778F">
      <w:pPr>
        <w:pStyle w:val="Caption"/>
      </w:pPr>
      <w:bookmarkStart w:id="137" w:name="_Toc135056370"/>
      <w:bookmarkStart w:id="138" w:name="_Toc142999648"/>
      <w:bookmarkStart w:id="139" w:name="_Toc148089842"/>
      <w:r>
        <w:t xml:space="preserve">Equation </w:t>
      </w:r>
      <w:r w:rsidR="00073704">
        <w:t>3.1</w:t>
      </w:r>
      <w:bookmarkEnd w:id="137"/>
      <w:bookmarkEnd w:id="138"/>
      <w:bookmarkEnd w:id="139"/>
    </w:p>
    <w:p w14:paraId="03F59CE1" w14:textId="77777777" w:rsidR="004109B2" w:rsidRPr="00907E2C" w:rsidRDefault="00EB38E1" w:rsidP="00FD2341">
      <w:pPr>
        <w:jc w:val="center"/>
      </w:pPr>
      <w:bookmarkStart w:id="140" w:name="_Hlk80786596"/>
      <m:oMath>
        <m:r>
          <m:rPr>
            <m:sty m:val="p"/>
          </m:rPr>
          <w:rPr>
            <w:rFonts w:ascii="Cambria Math" w:hAnsi="Cambria Math"/>
          </w:rPr>
          <m:t>guideline value=</m:t>
        </m:r>
        <m:f>
          <m:fPr>
            <m:ctrlPr>
              <w:rPr>
                <w:rFonts w:ascii="Cambria Math" w:hAnsi="Cambria Math"/>
              </w:rPr>
            </m:ctrlPr>
          </m:fPr>
          <m:num>
            <m:r>
              <m:rPr>
                <m:sty m:val="p"/>
              </m:rPr>
              <w:rPr>
                <w:rFonts w:ascii="Cambria Math" w:hAnsi="Cambria Math"/>
              </w:rPr>
              <m:t xml:space="preserve">LOAEL x </m:t>
            </m:r>
            <m:r>
              <m:rPr>
                <m:sty m:val="p"/>
              </m:rPr>
              <w:rPr>
                <w:rFonts w:ascii="Cambria Math" w:hAnsi="Cambria Math"/>
                <w:sz w:val="20"/>
                <w:szCs w:val="20"/>
              </w:rPr>
              <m:t>animalweight</m:t>
            </m:r>
          </m:num>
          <m:den>
            <m:r>
              <m:rPr>
                <m:sty m:val="p"/>
              </m:rPr>
              <w:rPr>
                <w:rFonts w:ascii="Cambria Math" w:hAnsi="Cambria Math"/>
              </w:rPr>
              <m:t>maxdailywaterintake x safetyfactor</m:t>
            </m:r>
          </m:den>
        </m:f>
        <m:r>
          <m:rPr>
            <m:sty m:val="p"/>
          </m:rPr>
          <w:rPr>
            <w:rFonts w:ascii="Cambria Math" w:hAnsi="Cambria Math"/>
          </w:rPr>
          <m:t>=</m:t>
        </m:r>
        <m:f>
          <m:fPr>
            <m:ctrlPr>
              <w:rPr>
                <w:rFonts w:ascii="Cambria Math" w:hAnsi="Cambria Math"/>
              </w:rPr>
            </m:ctrlPr>
          </m:fPr>
          <m:num>
            <m:r>
              <m:rPr>
                <m:sty m:val="p"/>
              </m:rPr>
              <w:rPr>
                <w:rFonts w:ascii="Cambria Math" w:hAnsi="Cambria Math"/>
              </w:rPr>
              <m:t>100µ</m:t>
            </m:r>
            <m:f>
              <m:fPr>
                <m:ctrlPr>
                  <w:rPr>
                    <w:rFonts w:ascii="Cambria Math" w:hAnsi="Cambria Math"/>
                  </w:rPr>
                </m:ctrlPr>
              </m:fPr>
              <m:num>
                <m:f>
                  <m:fPr>
                    <m:ctrlPr>
                      <w:rPr>
                        <w:rFonts w:ascii="Cambria Math" w:hAnsi="Cambria Math"/>
                      </w:rPr>
                    </m:ctrlPr>
                  </m:fPr>
                  <m:num>
                    <m:r>
                      <m:rPr>
                        <m:sty m:val="p"/>
                      </m:rPr>
                      <w:rPr>
                        <w:rFonts w:ascii="Cambria Math" w:hAnsi="Cambria Math"/>
                      </w:rPr>
                      <m:t>g</m:t>
                    </m:r>
                  </m:num>
                  <m:den>
                    <m:r>
                      <m:rPr>
                        <m:sty m:val="p"/>
                      </m:rPr>
                      <w:rPr>
                        <w:rFonts w:ascii="Cambria Math" w:hAnsi="Cambria Math"/>
                      </w:rPr>
                      <m:t>kg</m:t>
                    </m:r>
                  </m:den>
                </m:f>
              </m:num>
              <m:den>
                <m:r>
                  <m:rPr>
                    <m:sty m:val="p"/>
                  </m:rPr>
                  <w:rPr>
                    <w:rFonts w:ascii="Cambria Math" w:hAnsi="Cambria Math"/>
                  </w:rPr>
                  <m:t>day</m:t>
                </m:r>
              </m:den>
            </m:f>
            <m:r>
              <m:rPr>
                <m:sty m:val="p"/>
              </m:rPr>
              <w:rPr>
                <w:rFonts w:ascii="Cambria Math" w:hAnsi="Cambria Math"/>
              </w:rPr>
              <m:t>x110kg</m:t>
            </m:r>
          </m:num>
          <m:den>
            <m:f>
              <m:fPr>
                <m:ctrlPr>
                  <w:rPr>
                    <w:rFonts w:ascii="Cambria Math" w:hAnsi="Cambria Math"/>
                  </w:rPr>
                </m:ctrlPr>
              </m:fPr>
              <m:num>
                <m:r>
                  <m:rPr>
                    <m:sty m:val="p"/>
                  </m:rPr>
                  <w:rPr>
                    <w:rFonts w:ascii="Cambria Math" w:hAnsi="Cambria Math"/>
                  </w:rPr>
                  <m:t>15L</m:t>
                </m:r>
              </m:num>
              <m:den>
                <m:r>
                  <m:rPr>
                    <m:sty m:val="p"/>
                  </m:rPr>
                  <w:rPr>
                    <w:rFonts w:ascii="Cambria Math" w:hAnsi="Cambria Math"/>
                  </w:rPr>
                  <m:t>day</m:t>
                </m:r>
              </m:den>
            </m:f>
            <m:r>
              <m:rPr>
                <m:sty m:val="p"/>
              </m:rPr>
              <w:rPr>
                <w:rFonts w:ascii="Cambria Math" w:hAnsi="Cambria Math"/>
              </w:rPr>
              <m:t>x45</m:t>
            </m:r>
          </m:den>
        </m:f>
        <m:r>
          <m:rPr>
            <m:sty m:val="p"/>
          </m:rPr>
          <w:rPr>
            <w:rFonts w:ascii="Cambria Math" w:hAnsi="Cambria Math"/>
          </w:rPr>
          <m:t>=16.3</m:t>
        </m:r>
        <m:f>
          <m:fPr>
            <m:type m:val="lin"/>
            <m:ctrlPr>
              <w:rPr>
                <w:rFonts w:ascii="Cambria Math" w:hAnsi="Cambria Math"/>
              </w:rPr>
            </m:ctrlPr>
          </m:fPr>
          <m:num>
            <m:r>
              <m:rPr>
                <m:sty m:val="p"/>
              </m:rPr>
              <w:rPr>
                <w:rFonts w:ascii="Cambria Math" w:hAnsi="Cambria Math"/>
              </w:rPr>
              <m:t>µg</m:t>
            </m:r>
          </m:num>
          <m:den/>
        </m:f>
      </m:oMath>
      <w:r w:rsidR="002D2750" w:rsidRPr="00907E2C">
        <w:rPr>
          <w:rFonts w:eastAsiaTheme="minorEastAsia"/>
        </w:rPr>
        <w:t>L</w:t>
      </w:r>
    </w:p>
    <w:bookmarkEnd w:id="140"/>
    <w:p w14:paraId="03F59CE2" w14:textId="77777777" w:rsidR="007A3608" w:rsidRDefault="00EB38E1" w:rsidP="00FD2341">
      <w:r>
        <w:t>Where:</w:t>
      </w:r>
    </w:p>
    <w:p w14:paraId="03F59CE3" w14:textId="77777777" w:rsidR="007A3608" w:rsidRDefault="00EB38E1" w:rsidP="007A3608">
      <w:pPr>
        <w:pStyle w:val="ListBullet"/>
        <w:rPr>
          <w:lang w:eastAsia="ja-JP"/>
        </w:rPr>
      </w:pPr>
      <w:r>
        <w:rPr>
          <w:lang w:eastAsia="ja-JP"/>
        </w:rPr>
        <w:t>100</w:t>
      </w:r>
      <w:r w:rsidR="0044632E">
        <w:rPr>
          <w:lang w:eastAsia="ja-JP"/>
        </w:rPr>
        <w:t> </w:t>
      </w:r>
      <w:r>
        <w:rPr>
          <w:lang w:eastAsia="ja-JP"/>
        </w:rPr>
        <w:t>µg microcystin-LR toxicity equivalents/kg</w:t>
      </w:r>
      <w:r w:rsidR="00F6216C">
        <w:rPr>
          <w:lang w:eastAsia="ja-JP"/>
        </w:rPr>
        <w:t>/</w:t>
      </w:r>
      <w:r w:rsidR="00F6216C" w:rsidRPr="00B34071">
        <w:rPr>
          <w:lang w:eastAsia="ja-JP"/>
        </w:rPr>
        <w:t>day</w:t>
      </w:r>
      <w:r w:rsidRPr="00B34071">
        <w:rPr>
          <w:lang w:eastAsia="ja-JP"/>
        </w:rPr>
        <w:t xml:space="preserve"> </w:t>
      </w:r>
      <w:r w:rsidR="00F6216C" w:rsidRPr="00B34071">
        <w:rPr>
          <w:lang w:eastAsia="ja-JP"/>
        </w:rPr>
        <w:t xml:space="preserve">per </w:t>
      </w:r>
      <w:r w:rsidRPr="00B34071">
        <w:rPr>
          <w:lang w:eastAsia="ja-JP"/>
        </w:rPr>
        <w:t>b</w:t>
      </w:r>
      <w:r w:rsidR="00F6216C" w:rsidRPr="00B34071">
        <w:rPr>
          <w:lang w:eastAsia="ja-JP"/>
        </w:rPr>
        <w:t xml:space="preserve">ody </w:t>
      </w:r>
      <w:r w:rsidRPr="00B34071">
        <w:rPr>
          <w:lang w:eastAsia="ja-JP"/>
        </w:rPr>
        <w:t>w</w:t>
      </w:r>
      <w:r w:rsidR="00F6216C" w:rsidRPr="00B34071">
        <w:rPr>
          <w:lang w:eastAsia="ja-JP"/>
        </w:rPr>
        <w:t>eight</w:t>
      </w:r>
      <w:r w:rsidRPr="00B34071">
        <w:rPr>
          <w:lang w:eastAsia="ja-JP"/>
        </w:rPr>
        <w:t xml:space="preserve"> is the </w:t>
      </w:r>
      <w:r w:rsidR="00F6216C" w:rsidRPr="00B34071">
        <w:rPr>
          <w:lang w:eastAsia="ja-JP"/>
        </w:rPr>
        <w:t>lowest observed adverse effect level</w:t>
      </w:r>
      <w:r w:rsidRPr="00B34071">
        <w:rPr>
          <w:lang w:eastAsia="ja-JP"/>
        </w:rPr>
        <w:t xml:space="preserve"> (LOAEL) for pigs fed over 44</w:t>
      </w:r>
      <w:r w:rsidR="0044632E" w:rsidRPr="00B34071">
        <w:rPr>
          <w:lang w:eastAsia="ja-JP"/>
        </w:rPr>
        <w:t> </w:t>
      </w:r>
      <w:r w:rsidRPr="00B34071">
        <w:rPr>
          <w:lang w:eastAsia="ja-JP"/>
        </w:rPr>
        <w:t>days (Falconer et al. 1994, Kuiper-Goodman et al. 1999)</w:t>
      </w:r>
    </w:p>
    <w:p w14:paraId="03F59CE4" w14:textId="77777777" w:rsidR="007A3608" w:rsidRDefault="00EB38E1" w:rsidP="007A3608">
      <w:pPr>
        <w:pStyle w:val="ListBullet"/>
        <w:rPr>
          <w:lang w:eastAsia="ja-JP"/>
        </w:rPr>
      </w:pPr>
      <w:r>
        <w:rPr>
          <w:lang w:eastAsia="ja-JP"/>
        </w:rPr>
        <w:t>110</w:t>
      </w:r>
      <w:r w:rsidR="0044632E">
        <w:rPr>
          <w:lang w:eastAsia="ja-JP"/>
        </w:rPr>
        <w:t> </w:t>
      </w:r>
      <w:r>
        <w:rPr>
          <w:lang w:eastAsia="ja-JP"/>
        </w:rPr>
        <w:t xml:space="preserve">kg is the upper weight of pigs going to </w:t>
      </w:r>
      <w:proofErr w:type="gramStart"/>
      <w:r>
        <w:rPr>
          <w:lang w:eastAsia="ja-JP"/>
        </w:rPr>
        <w:t>market</w:t>
      </w:r>
      <w:proofErr w:type="gramEnd"/>
    </w:p>
    <w:p w14:paraId="03F59CE5" w14:textId="77777777" w:rsidR="007A3608" w:rsidRDefault="00EB38E1" w:rsidP="007A3608">
      <w:pPr>
        <w:pStyle w:val="ListBullet"/>
        <w:rPr>
          <w:lang w:eastAsia="ja-JP"/>
        </w:rPr>
      </w:pPr>
      <w:r>
        <w:rPr>
          <w:lang w:eastAsia="ja-JP"/>
        </w:rPr>
        <w:t>15</w:t>
      </w:r>
      <w:r w:rsidR="0044632E">
        <w:rPr>
          <w:lang w:eastAsia="ja-JP"/>
        </w:rPr>
        <w:t> </w:t>
      </w:r>
      <w:r>
        <w:rPr>
          <w:lang w:eastAsia="ja-JP"/>
        </w:rPr>
        <w:t xml:space="preserve">L/day is the peak consumption of water for pigs at this stage of </w:t>
      </w:r>
      <w:proofErr w:type="gramStart"/>
      <w:r>
        <w:rPr>
          <w:lang w:eastAsia="ja-JP"/>
        </w:rPr>
        <w:t>development</w:t>
      </w:r>
      <w:proofErr w:type="gramEnd"/>
    </w:p>
    <w:p w14:paraId="03F59CE6" w14:textId="77777777" w:rsidR="004109B2" w:rsidRDefault="00EB38E1" w:rsidP="00FD2341">
      <w:pPr>
        <w:pStyle w:val="ListBullet"/>
        <w:spacing w:after="240"/>
        <w:rPr>
          <w:lang w:eastAsia="ja-JP"/>
        </w:rPr>
      </w:pPr>
      <w:r>
        <w:rPr>
          <w:lang w:eastAsia="ja-JP"/>
        </w:rPr>
        <w:lastRenderedPageBreak/>
        <w:t xml:space="preserve">45 is the safety factor to allow for the less than lifetime study, varying susceptibilities of animals and deriving a </w:t>
      </w:r>
      <w:r w:rsidR="00F6216C">
        <w:rPr>
          <w:lang w:eastAsia="ja-JP"/>
        </w:rPr>
        <w:t xml:space="preserve">no observed effect level </w:t>
      </w:r>
      <w:r w:rsidR="00B856DD">
        <w:rPr>
          <w:lang w:eastAsia="ja-JP"/>
        </w:rPr>
        <w:t>(NOEL)</w:t>
      </w:r>
      <w:r>
        <w:rPr>
          <w:lang w:eastAsia="ja-JP"/>
        </w:rPr>
        <w:t xml:space="preserve"> from the LOEAL of the pig study.</w:t>
      </w:r>
    </w:p>
    <w:p w14:paraId="03F59CE7" w14:textId="09BCA5DD" w:rsidR="008C40FF" w:rsidRPr="00254185" w:rsidRDefault="00EB38E1" w:rsidP="00DF778F">
      <w:pPr>
        <w:pStyle w:val="Caption"/>
      </w:pPr>
      <w:bookmarkStart w:id="141" w:name="_Ref84839182"/>
      <w:bookmarkStart w:id="142" w:name="_Toc148089843"/>
      <w:r w:rsidRPr="00254185">
        <w:t>Table </w:t>
      </w:r>
      <w:r w:rsidR="00A348FB" w:rsidRPr="00254185">
        <w:t>3.1</w:t>
      </w:r>
      <w:bookmarkEnd w:id="141"/>
      <w:r w:rsidR="00407BAD" w:rsidRPr="00254185">
        <w:t xml:space="preserve"> </w:t>
      </w:r>
      <w:r w:rsidR="007F09F7" w:rsidRPr="00254185">
        <w:t>D</w:t>
      </w:r>
      <w:r w:rsidR="0079366E" w:rsidRPr="00254185">
        <w:t>ata for deriving</w:t>
      </w:r>
      <w:r w:rsidR="005B0966" w:rsidRPr="00254185">
        <w:t xml:space="preserve"> guideline value</w:t>
      </w:r>
      <w:r w:rsidR="0037262F">
        <w:t>s</w:t>
      </w:r>
      <w:r w:rsidR="005B0966" w:rsidRPr="00254185">
        <w:t xml:space="preserve"> for microcystin-LR toxicity equivalents</w:t>
      </w:r>
      <w:bookmarkEnd w:id="142"/>
    </w:p>
    <w:tbl>
      <w:tblPr>
        <w:tblStyle w:val="TableGrid"/>
        <w:tblW w:w="5000" w:type="pct"/>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ayout w:type="fixed"/>
        <w:tblLook w:val="04A0" w:firstRow="1" w:lastRow="0" w:firstColumn="1" w:lastColumn="0" w:noHBand="0" w:noVBand="1"/>
      </w:tblPr>
      <w:tblGrid>
        <w:gridCol w:w="926"/>
        <w:gridCol w:w="775"/>
        <w:gridCol w:w="851"/>
        <w:gridCol w:w="992"/>
        <w:gridCol w:w="911"/>
        <w:gridCol w:w="912"/>
        <w:gridCol w:w="698"/>
        <w:gridCol w:w="651"/>
        <w:gridCol w:w="1090"/>
        <w:gridCol w:w="1264"/>
      </w:tblGrid>
      <w:tr w:rsidR="0054058D" w14:paraId="03F59CEE" w14:textId="77777777" w:rsidTr="0018126A">
        <w:trPr>
          <w:cantSplit/>
          <w:trHeight w:val="105"/>
          <w:tblHeader/>
        </w:trPr>
        <w:tc>
          <w:tcPr>
            <w:tcW w:w="510" w:type="pct"/>
            <w:vMerge w:val="restart"/>
            <w:tcBorders>
              <w:top w:val="single" w:sz="12" w:space="0" w:color="000000"/>
            </w:tcBorders>
            <w:shd w:val="clear" w:color="auto" w:fill="auto"/>
          </w:tcPr>
          <w:p w14:paraId="03F59CE8" w14:textId="77777777" w:rsidR="00927E30" w:rsidRPr="00927E30" w:rsidRDefault="00EB38E1" w:rsidP="00927E30">
            <w:pPr>
              <w:pStyle w:val="TableHeading"/>
            </w:pPr>
            <w:r>
              <w:t>Livestock</w:t>
            </w:r>
          </w:p>
        </w:tc>
        <w:tc>
          <w:tcPr>
            <w:tcW w:w="427" w:type="pct"/>
            <w:vMerge w:val="restart"/>
            <w:tcBorders>
              <w:top w:val="single" w:sz="12" w:space="0" w:color="000000"/>
            </w:tcBorders>
            <w:shd w:val="clear" w:color="auto" w:fill="auto"/>
          </w:tcPr>
          <w:p w14:paraId="03F59CE9" w14:textId="77777777" w:rsidR="00927E30" w:rsidRPr="00927E30" w:rsidRDefault="00EB38E1" w:rsidP="004C6E6D">
            <w:pPr>
              <w:pStyle w:val="TableHeading"/>
              <w:jc w:val="center"/>
            </w:pPr>
            <w:r w:rsidRPr="00927E30">
              <w:t>Body</w:t>
            </w:r>
            <w:r>
              <w:t xml:space="preserve"> </w:t>
            </w:r>
            <w:r w:rsidRPr="00927E30">
              <w:t>weight</w:t>
            </w:r>
            <w:r w:rsidR="00962035">
              <w:t xml:space="preserve"> </w:t>
            </w:r>
            <w:r w:rsidRPr="00927E30">
              <w:t>(kg)</w:t>
            </w:r>
          </w:p>
        </w:tc>
        <w:tc>
          <w:tcPr>
            <w:tcW w:w="469" w:type="pct"/>
            <w:vMerge w:val="restart"/>
            <w:tcBorders>
              <w:top w:val="single" w:sz="12" w:space="0" w:color="000000"/>
            </w:tcBorders>
            <w:shd w:val="clear" w:color="auto" w:fill="auto"/>
          </w:tcPr>
          <w:p w14:paraId="03F59CEA" w14:textId="77777777" w:rsidR="00927E30" w:rsidRPr="00927E30" w:rsidRDefault="00EB38E1" w:rsidP="004C6E6D">
            <w:pPr>
              <w:pStyle w:val="TableHeading"/>
              <w:jc w:val="center"/>
            </w:pPr>
            <w:r w:rsidRPr="00927E30">
              <w:t>Peak</w:t>
            </w:r>
            <w:r>
              <w:t xml:space="preserve"> </w:t>
            </w:r>
            <w:r w:rsidRPr="00927E30">
              <w:t>water</w:t>
            </w:r>
            <w:r>
              <w:t xml:space="preserve"> </w:t>
            </w:r>
            <w:r w:rsidRPr="00927E30">
              <w:t>intake</w:t>
            </w:r>
            <w:r w:rsidR="00962035">
              <w:t xml:space="preserve"> </w:t>
            </w:r>
            <w:r w:rsidRPr="00927E30">
              <w:t>(L/day)</w:t>
            </w:r>
          </w:p>
        </w:tc>
        <w:tc>
          <w:tcPr>
            <w:tcW w:w="2295" w:type="pct"/>
            <w:gridSpan w:val="5"/>
            <w:tcBorders>
              <w:top w:val="single" w:sz="12" w:space="0" w:color="000000"/>
            </w:tcBorders>
            <w:shd w:val="clear" w:color="auto" w:fill="auto"/>
          </w:tcPr>
          <w:p w14:paraId="03F59CEB" w14:textId="77777777" w:rsidR="00927E30" w:rsidRPr="00927E30" w:rsidRDefault="00EB38E1" w:rsidP="000E126E">
            <w:pPr>
              <w:pStyle w:val="TableHeading"/>
              <w:jc w:val="center"/>
            </w:pPr>
            <w:r w:rsidRPr="00927E30">
              <w:t>Safety factor</w:t>
            </w:r>
          </w:p>
        </w:tc>
        <w:tc>
          <w:tcPr>
            <w:tcW w:w="601" w:type="pct"/>
            <w:vMerge w:val="restart"/>
            <w:tcBorders>
              <w:top w:val="single" w:sz="12" w:space="0" w:color="000000"/>
            </w:tcBorders>
            <w:shd w:val="clear" w:color="auto" w:fill="auto"/>
          </w:tcPr>
          <w:p w14:paraId="03F59CEC" w14:textId="77777777" w:rsidR="00927E30" w:rsidRPr="00927E30" w:rsidRDefault="00EB38E1" w:rsidP="004C6E6D">
            <w:pPr>
              <w:pStyle w:val="TableHeading"/>
              <w:jc w:val="center"/>
            </w:pPr>
            <w:r w:rsidRPr="00927E30">
              <w:rPr>
                <w:rFonts w:cstheme="minorHAnsi"/>
              </w:rPr>
              <w:t>Microcystin</w:t>
            </w:r>
            <w:r>
              <w:rPr>
                <w:rFonts w:cstheme="minorHAnsi"/>
              </w:rPr>
              <w:t xml:space="preserve"> </w:t>
            </w:r>
            <w:r w:rsidRPr="00927E30">
              <w:rPr>
                <w:rFonts w:cstheme="minorHAnsi"/>
              </w:rPr>
              <w:t>(µ</w:t>
            </w:r>
            <w:r w:rsidRPr="00927E30">
              <w:t>g/</w:t>
            </w:r>
            <w:proofErr w:type="gramStart"/>
            <w:r w:rsidRPr="00927E30">
              <w:t>L)</w:t>
            </w:r>
            <w:r w:rsidR="00F04040" w:rsidRPr="00FD2341">
              <w:rPr>
                <w:vertAlign w:val="superscript"/>
              </w:rPr>
              <w:t>a</w:t>
            </w:r>
            <w:proofErr w:type="gramEnd"/>
          </w:p>
        </w:tc>
        <w:tc>
          <w:tcPr>
            <w:tcW w:w="697" w:type="pct"/>
            <w:vMerge w:val="restart"/>
            <w:tcBorders>
              <w:top w:val="single" w:sz="12" w:space="0" w:color="000000"/>
            </w:tcBorders>
            <w:shd w:val="clear" w:color="auto" w:fill="auto"/>
          </w:tcPr>
          <w:p w14:paraId="03F59CED" w14:textId="77777777" w:rsidR="00927E30" w:rsidRPr="00927E30" w:rsidRDefault="00EB38E1" w:rsidP="004C6E6D">
            <w:pPr>
              <w:pStyle w:val="TableHeading"/>
              <w:jc w:val="center"/>
              <w:rPr>
                <w:vertAlign w:val="superscript"/>
              </w:rPr>
            </w:pPr>
            <w:r w:rsidRPr="00927E30">
              <w:t>Equivalent</w:t>
            </w:r>
            <w:r>
              <w:t xml:space="preserve"> </w:t>
            </w:r>
            <w:r w:rsidRPr="00927E30">
              <w:t>cell</w:t>
            </w:r>
            <w:r>
              <w:t xml:space="preserve"> </w:t>
            </w:r>
            <w:r w:rsidRPr="00927E30">
              <w:t>concentration</w:t>
            </w:r>
            <w:r>
              <w:t xml:space="preserve"> </w:t>
            </w:r>
            <w:r w:rsidRPr="00927E30">
              <w:t>(cells/mL)</w:t>
            </w:r>
          </w:p>
        </w:tc>
      </w:tr>
      <w:tr w:rsidR="0054058D" w14:paraId="03F59CF9" w14:textId="77777777" w:rsidTr="0018126A">
        <w:trPr>
          <w:cantSplit/>
          <w:trHeight w:val="329"/>
          <w:tblHeader/>
        </w:trPr>
        <w:tc>
          <w:tcPr>
            <w:tcW w:w="510" w:type="pct"/>
            <w:vMerge/>
            <w:tcBorders>
              <w:bottom w:val="single" w:sz="12" w:space="0" w:color="000000"/>
            </w:tcBorders>
            <w:shd w:val="clear" w:color="auto" w:fill="auto"/>
          </w:tcPr>
          <w:p w14:paraId="03F59CEF" w14:textId="77777777" w:rsidR="00927E30" w:rsidRPr="00927E30" w:rsidRDefault="00927E30" w:rsidP="00927E30">
            <w:pPr>
              <w:pStyle w:val="TableHeading"/>
            </w:pPr>
          </w:p>
        </w:tc>
        <w:tc>
          <w:tcPr>
            <w:tcW w:w="427" w:type="pct"/>
            <w:vMerge/>
            <w:tcBorders>
              <w:bottom w:val="single" w:sz="12" w:space="0" w:color="000000"/>
            </w:tcBorders>
            <w:shd w:val="clear" w:color="auto" w:fill="auto"/>
          </w:tcPr>
          <w:p w14:paraId="03F59CF0" w14:textId="77777777" w:rsidR="00927E30" w:rsidRPr="00927E30" w:rsidRDefault="00927E30" w:rsidP="00927E30">
            <w:pPr>
              <w:pStyle w:val="TableHeading"/>
            </w:pPr>
          </w:p>
        </w:tc>
        <w:tc>
          <w:tcPr>
            <w:tcW w:w="469" w:type="pct"/>
            <w:vMerge/>
            <w:tcBorders>
              <w:bottom w:val="single" w:sz="12" w:space="0" w:color="000000"/>
            </w:tcBorders>
            <w:shd w:val="clear" w:color="auto" w:fill="auto"/>
          </w:tcPr>
          <w:p w14:paraId="03F59CF1" w14:textId="77777777" w:rsidR="00927E30" w:rsidRPr="00927E30" w:rsidRDefault="00927E30" w:rsidP="00927E30">
            <w:pPr>
              <w:pStyle w:val="TableHeading"/>
            </w:pPr>
          </w:p>
        </w:tc>
        <w:tc>
          <w:tcPr>
            <w:tcW w:w="547" w:type="pct"/>
            <w:tcBorders>
              <w:bottom w:val="single" w:sz="12" w:space="0" w:color="000000"/>
            </w:tcBorders>
            <w:shd w:val="clear" w:color="auto" w:fill="auto"/>
          </w:tcPr>
          <w:p w14:paraId="03F59CF2" w14:textId="77777777" w:rsidR="00927E30" w:rsidRPr="00927E30" w:rsidRDefault="00EB38E1" w:rsidP="004C6E6D">
            <w:pPr>
              <w:pStyle w:val="TableHeading"/>
              <w:jc w:val="center"/>
            </w:pPr>
            <w:r w:rsidRPr="00927E30">
              <w:t>Less</w:t>
            </w:r>
            <w:r>
              <w:t xml:space="preserve"> </w:t>
            </w:r>
            <w:r w:rsidRPr="00927E30">
              <w:t>than</w:t>
            </w:r>
            <w:r>
              <w:t xml:space="preserve"> </w:t>
            </w:r>
            <w:r w:rsidRPr="00927E30">
              <w:t>lifetime</w:t>
            </w:r>
          </w:p>
        </w:tc>
        <w:tc>
          <w:tcPr>
            <w:tcW w:w="502" w:type="pct"/>
            <w:tcBorders>
              <w:bottom w:val="single" w:sz="12" w:space="0" w:color="000000"/>
            </w:tcBorders>
            <w:shd w:val="clear" w:color="auto" w:fill="auto"/>
          </w:tcPr>
          <w:p w14:paraId="03F59CF3" w14:textId="77777777" w:rsidR="00927E30" w:rsidRPr="00927E30" w:rsidRDefault="00EB38E1" w:rsidP="004C6E6D">
            <w:pPr>
              <w:pStyle w:val="TableHeading"/>
              <w:jc w:val="center"/>
            </w:pPr>
            <w:r w:rsidRPr="00927E30">
              <w:t>Inter-species</w:t>
            </w:r>
            <w:r>
              <w:t xml:space="preserve"> </w:t>
            </w:r>
            <w:r w:rsidRPr="00927E30">
              <w:t>variation</w:t>
            </w:r>
          </w:p>
        </w:tc>
        <w:tc>
          <w:tcPr>
            <w:tcW w:w="503" w:type="pct"/>
            <w:tcBorders>
              <w:bottom w:val="single" w:sz="12" w:space="0" w:color="000000"/>
            </w:tcBorders>
            <w:shd w:val="clear" w:color="auto" w:fill="auto"/>
          </w:tcPr>
          <w:p w14:paraId="03F59CF4" w14:textId="77777777" w:rsidR="00927E30" w:rsidRPr="00927E30" w:rsidRDefault="00EB38E1" w:rsidP="004C6E6D">
            <w:pPr>
              <w:pStyle w:val="TableHeading"/>
              <w:jc w:val="center"/>
            </w:pPr>
            <w:r w:rsidRPr="00927E30">
              <w:t>Intra-species</w:t>
            </w:r>
            <w:r>
              <w:t xml:space="preserve"> </w:t>
            </w:r>
            <w:r w:rsidRPr="00927E30">
              <w:t>variation</w:t>
            </w:r>
          </w:p>
        </w:tc>
        <w:tc>
          <w:tcPr>
            <w:tcW w:w="385" w:type="pct"/>
            <w:tcBorders>
              <w:bottom w:val="single" w:sz="12" w:space="0" w:color="000000"/>
            </w:tcBorders>
            <w:shd w:val="clear" w:color="auto" w:fill="auto"/>
          </w:tcPr>
          <w:p w14:paraId="03F59CF5" w14:textId="77777777" w:rsidR="00927E30" w:rsidRPr="00927E30" w:rsidRDefault="00EB38E1" w:rsidP="004C6E6D">
            <w:pPr>
              <w:pStyle w:val="TableHeading"/>
              <w:jc w:val="center"/>
            </w:pPr>
            <w:r w:rsidRPr="00927E30">
              <w:t>LOAEL</w:t>
            </w:r>
            <w:r>
              <w:t xml:space="preserve"> </w:t>
            </w:r>
            <w:r w:rsidRPr="00927E30">
              <w:t>to</w:t>
            </w:r>
            <w:r>
              <w:t xml:space="preserve"> </w:t>
            </w:r>
            <w:r w:rsidRPr="00927E30">
              <w:t>NOEL</w:t>
            </w:r>
          </w:p>
        </w:tc>
        <w:tc>
          <w:tcPr>
            <w:tcW w:w="359" w:type="pct"/>
            <w:tcBorders>
              <w:bottom w:val="single" w:sz="12" w:space="0" w:color="000000"/>
            </w:tcBorders>
            <w:shd w:val="clear" w:color="auto" w:fill="auto"/>
          </w:tcPr>
          <w:p w14:paraId="03F59CF6" w14:textId="77777777" w:rsidR="00927E30" w:rsidRPr="00927E30" w:rsidRDefault="00EB38E1" w:rsidP="004C6E6D">
            <w:pPr>
              <w:pStyle w:val="TableHeading"/>
              <w:jc w:val="center"/>
            </w:pPr>
            <w:r w:rsidRPr="00927E30">
              <w:t>Total</w:t>
            </w:r>
          </w:p>
        </w:tc>
        <w:tc>
          <w:tcPr>
            <w:tcW w:w="601" w:type="pct"/>
            <w:vMerge/>
            <w:tcBorders>
              <w:bottom w:val="single" w:sz="12" w:space="0" w:color="000000"/>
            </w:tcBorders>
            <w:shd w:val="clear" w:color="auto" w:fill="auto"/>
          </w:tcPr>
          <w:p w14:paraId="03F59CF7" w14:textId="77777777" w:rsidR="00927E30" w:rsidRPr="00927E30" w:rsidRDefault="00927E30" w:rsidP="00927E30">
            <w:pPr>
              <w:pStyle w:val="TableHeading"/>
            </w:pPr>
          </w:p>
        </w:tc>
        <w:tc>
          <w:tcPr>
            <w:tcW w:w="697" w:type="pct"/>
            <w:vMerge/>
            <w:tcBorders>
              <w:bottom w:val="single" w:sz="12" w:space="0" w:color="000000"/>
            </w:tcBorders>
            <w:shd w:val="clear" w:color="auto" w:fill="auto"/>
          </w:tcPr>
          <w:p w14:paraId="03F59CF8" w14:textId="77777777" w:rsidR="00927E30" w:rsidRPr="00927E30" w:rsidRDefault="00927E30" w:rsidP="00927E30">
            <w:pPr>
              <w:pStyle w:val="TableHeading"/>
            </w:pPr>
          </w:p>
        </w:tc>
      </w:tr>
      <w:tr w:rsidR="0054058D" w14:paraId="03F59D04" w14:textId="77777777" w:rsidTr="00962035">
        <w:trPr>
          <w:cantSplit/>
        </w:trPr>
        <w:tc>
          <w:tcPr>
            <w:tcW w:w="510" w:type="pct"/>
            <w:tcBorders>
              <w:top w:val="single" w:sz="12" w:space="0" w:color="000000"/>
            </w:tcBorders>
            <w:shd w:val="clear" w:color="auto" w:fill="auto"/>
          </w:tcPr>
          <w:p w14:paraId="03F59CFA" w14:textId="2B62168B" w:rsidR="00407BAD" w:rsidRPr="00927E30" w:rsidRDefault="00EB38E1" w:rsidP="00927E30">
            <w:pPr>
              <w:pStyle w:val="TableText"/>
            </w:pPr>
            <w:r>
              <w:t>C</w:t>
            </w:r>
            <w:r w:rsidR="005C742C">
              <w:t>attle</w:t>
            </w:r>
          </w:p>
        </w:tc>
        <w:tc>
          <w:tcPr>
            <w:tcW w:w="427" w:type="pct"/>
            <w:tcBorders>
              <w:top w:val="single" w:sz="12" w:space="0" w:color="000000"/>
            </w:tcBorders>
            <w:shd w:val="clear" w:color="auto" w:fill="auto"/>
          </w:tcPr>
          <w:p w14:paraId="03F59CFB" w14:textId="05D551F0" w:rsidR="00407BAD" w:rsidRPr="00927E30" w:rsidRDefault="00EB38E1" w:rsidP="004C6E6D">
            <w:pPr>
              <w:pStyle w:val="TableText"/>
              <w:tabs>
                <w:tab w:val="decimal" w:pos="240"/>
              </w:tabs>
            </w:pPr>
            <w:r w:rsidRPr="00927E30">
              <w:t>800</w:t>
            </w:r>
            <w:r w:rsidR="000E126E">
              <w:t>.0</w:t>
            </w:r>
          </w:p>
        </w:tc>
        <w:tc>
          <w:tcPr>
            <w:tcW w:w="469" w:type="pct"/>
            <w:tcBorders>
              <w:top w:val="single" w:sz="12" w:space="0" w:color="000000"/>
            </w:tcBorders>
            <w:shd w:val="clear" w:color="auto" w:fill="auto"/>
          </w:tcPr>
          <w:p w14:paraId="03F59CFC" w14:textId="31A13EC5" w:rsidR="00407BAD" w:rsidRPr="00927E30" w:rsidRDefault="00EB38E1" w:rsidP="004C6E6D">
            <w:pPr>
              <w:pStyle w:val="TableText"/>
              <w:tabs>
                <w:tab w:val="decimal" w:pos="317"/>
              </w:tabs>
            </w:pPr>
            <w:r w:rsidRPr="00927E30">
              <w:t>85</w:t>
            </w:r>
            <w:r w:rsidR="000E126E">
              <w:t>.0</w:t>
            </w:r>
          </w:p>
        </w:tc>
        <w:tc>
          <w:tcPr>
            <w:tcW w:w="547" w:type="pct"/>
            <w:tcBorders>
              <w:top w:val="single" w:sz="12" w:space="0" w:color="000000"/>
            </w:tcBorders>
            <w:shd w:val="clear" w:color="auto" w:fill="auto"/>
          </w:tcPr>
          <w:p w14:paraId="03F59CFD" w14:textId="77777777" w:rsidR="00407BAD" w:rsidRPr="00927E30" w:rsidRDefault="00EB38E1" w:rsidP="004C6E6D">
            <w:pPr>
              <w:pStyle w:val="TableText"/>
              <w:tabs>
                <w:tab w:val="decimal" w:pos="388"/>
              </w:tabs>
            </w:pPr>
            <w:r w:rsidRPr="00927E30">
              <w:t>3</w:t>
            </w:r>
          </w:p>
        </w:tc>
        <w:tc>
          <w:tcPr>
            <w:tcW w:w="502" w:type="pct"/>
            <w:tcBorders>
              <w:top w:val="single" w:sz="12" w:space="0" w:color="000000"/>
            </w:tcBorders>
            <w:shd w:val="clear" w:color="auto" w:fill="auto"/>
          </w:tcPr>
          <w:p w14:paraId="03F59CFE" w14:textId="77777777" w:rsidR="00407BAD" w:rsidRPr="00927E30" w:rsidRDefault="00EB38E1" w:rsidP="004C6E6D">
            <w:pPr>
              <w:pStyle w:val="TableText"/>
              <w:jc w:val="center"/>
            </w:pPr>
            <w:r w:rsidRPr="00927E30">
              <w:t>5</w:t>
            </w:r>
          </w:p>
        </w:tc>
        <w:tc>
          <w:tcPr>
            <w:tcW w:w="503" w:type="pct"/>
            <w:tcBorders>
              <w:top w:val="single" w:sz="12" w:space="0" w:color="000000"/>
            </w:tcBorders>
            <w:shd w:val="clear" w:color="auto" w:fill="auto"/>
          </w:tcPr>
          <w:p w14:paraId="03F59CFF" w14:textId="77777777" w:rsidR="00407BAD" w:rsidRPr="00927E30" w:rsidRDefault="00EB38E1" w:rsidP="004C6E6D">
            <w:pPr>
              <w:pStyle w:val="TableText"/>
              <w:jc w:val="center"/>
            </w:pPr>
            <w:r w:rsidRPr="00927E30">
              <w:t>3</w:t>
            </w:r>
          </w:p>
        </w:tc>
        <w:tc>
          <w:tcPr>
            <w:tcW w:w="385" w:type="pct"/>
            <w:tcBorders>
              <w:top w:val="single" w:sz="12" w:space="0" w:color="000000"/>
            </w:tcBorders>
            <w:shd w:val="clear" w:color="auto" w:fill="auto"/>
          </w:tcPr>
          <w:p w14:paraId="03F59D00" w14:textId="77777777" w:rsidR="00407BAD" w:rsidRPr="00927E30" w:rsidRDefault="00EB38E1" w:rsidP="004C6E6D">
            <w:pPr>
              <w:pStyle w:val="TableText"/>
              <w:jc w:val="center"/>
            </w:pPr>
            <w:r w:rsidRPr="00927E30">
              <w:t>5</w:t>
            </w:r>
          </w:p>
        </w:tc>
        <w:tc>
          <w:tcPr>
            <w:tcW w:w="359" w:type="pct"/>
            <w:tcBorders>
              <w:top w:val="single" w:sz="12" w:space="0" w:color="000000"/>
            </w:tcBorders>
            <w:shd w:val="clear" w:color="auto" w:fill="auto"/>
          </w:tcPr>
          <w:p w14:paraId="03F59D01" w14:textId="77777777" w:rsidR="00407BAD" w:rsidRPr="00927E30" w:rsidRDefault="00EB38E1" w:rsidP="004C6E6D">
            <w:pPr>
              <w:pStyle w:val="TableText"/>
              <w:tabs>
                <w:tab w:val="decimal" w:pos="349"/>
              </w:tabs>
            </w:pPr>
            <w:r w:rsidRPr="00927E30">
              <w:t>225</w:t>
            </w:r>
          </w:p>
        </w:tc>
        <w:tc>
          <w:tcPr>
            <w:tcW w:w="601" w:type="pct"/>
            <w:tcBorders>
              <w:top w:val="single" w:sz="12" w:space="0" w:color="000000"/>
            </w:tcBorders>
            <w:shd w:val="clear" w:color="auto" w:fill="auto"/>
          </w:tcPr>
          <w:p w14:paraId="03F59D02" w14:textId="77777777" w:rsidR="00407BAD" w:rsidRPr="00927E30" w:rsidRDefault="00EB38E1" w:rsidP="004C6E6D">
            <w:pPr>
              <w:pStyle w:val="TableText"/>
              <w:tabs>
                <w:tab w:val="decimal" w:pos="407"/>
              </w:tabs>
            </w:pPr>
            <w:r w:rsidRPr="00927E30">
              <w:t>4.2</w:t>
            </w:r>
          </w:p>
        </w:tc>
        <w:tc>
          <w:tcPr>
            <w:tcW w:w="697" w:type="pct"/>
            <w:tcBorders>
              <w:top w:val="single" w:sz="12" w:space="0" w:color="000000"/>
            </w:tcBorders>
            <w:shd w:val="clear" w:color="auto" w:fill="auto"/>
          </w:tcPr>
          <w:p w14:paraId="03F59D03" w14:textId="77777777" w:rsidR="00407BAD" w:rsidRPr="00927E30" w:rsidRDefault="00EB38E1" w:rsidP="004C6E6D">
            <w:pPr>
              <w:pStyle w:val="TableText"/>
              <w:tabs>
                <w:tab w:val="decimal" w:pos="732"/>
              </w:tabs>
            </w:pPr>
            <w:r w:rsidRPr="00927E30">
              <w:t>21</w:t>
            </w:r>
            <w:r>
              <w:t>,</w:t>
            </w:r>
            <w:r w:rsidR="002D2750" w:rsidRPr="00927E30">
              <w:t>000</w:t>
            </w:r>
          </w:p>
        </w:tc>
      </w:tr>
      <w:tr w:rsidR="0054058D" w14:paraId="03F59D0F" w14:textId="77777777" w:rsidTr="00962035">
        <w:trPr>
          <w:cantSplit/>
        </w:trPr>
        <w:tc>
          <w:tcPr>
            <w:tcW w:w="510" w:type="pct"/>
            <w:shd w:val="clear" w:color="auto" w:fill="auto"/>
          </w:tcPr>
          <w:p w14:paraId="03F59D05" w14:textId="77777777" w:rsidR="00407BAD" w:rsidRPr="00927E30" w:rsidRDefault="00EB38E1" w:rsidP="00927E30">
            <w:pPr>
              <w:pStyle w:val="TableText"/>
            </w:pPr>
            <w:r w:rsidRPr="00927E30">
              <w:t>Sheep</w:t>
            </w:r>
          </w:p>
        </w:tc>
        <w:tc>
          <w:tcPr>
            <w:tcW w:w="427" w:type="pct"/>
            <w:shd w:val="clear" w:color="auto" w:fill="auto"/>
          </w:tcPr>
          <w:p w14:paraId="03F59D06" w14:textId="5501AB8C" w:rsidR="00407BAD" w:rsidRPr="00927E30" w:rsidRDefault="00EB38E1" w:rsidP="004C6E6D">
            <w:pPr>
              <w:pStyle w:val="TableText"/>
              <w:tabs>
                <w:tab w:val="decimal" w:pos="240"/>
              </w:tabs>
            </w:pPr>
            <w:r w:rsidRPr="00927E30">
              <w:t>100</w:t>
            </w:r>
            <w:r w:rsidR="000E126E">
              <w:t>.0</w:t>
            </w:r>
          </w:p>
        </w:tc>
        <w:tc>
          <w:tcPr>
            <w:tcW w:w="469" w:type="pct"/>
            <w:shd w:val="clear" w:color="auto" w:fill="auto"/>
          </w:tcPr>
          <w:p w14:paraId="03F59D07" w14:textId="77777777" w:rsidR="00407BAD" w:rsidRPr="00927E30" w:rsidRDefault="00EB38E1" w:rsidP="004C6E6D">
            <w:pPr>
              <w:pStyle w:val="TableText"/>
              <w:tabs>
                <w:tab w:val="decimal" w:pos="317"/>
              </w:tabs>
            </w:pPr>
            <w:r w:rsidRPr="00927E30">
              <w:t>11.5</w:t>
            </w:r>
          </w:p>
        </w:tc>
        <w:tc>
          <w:tcPr>
            <w:tcW w:w="547" w:type="pct"/>
            <w:shd w:val="clear" w:color="auto" w:fill="auto"/>
          </w:tcPr>
          <w:p w14:paraId="03F59D08" w14:textId="77777777" w:rsidR="00407BAD" w:rsidRPr="00927E30" w:rsidRDefault="00EB38E1" w:rsidP="004C6E6D">
            <w:pPr>
              <w:pStyle w:val="TableText"/>
              <w:tabs>
                <w:tab w:val="decimal" w:pos="388"/>
              </w:tabs>
            </w:pPr>
            <w:r w:rsidRPr="00927E30">
              <w:t>3</w:t>
            </w:r>
          </w:p>
        </w:tc>
        <w:tc>
          <w:tcPr>
            <w:tcW w:w="502" w:type="pct"/>
            <w:shd w:val="clear" w:color="auto" w:fill="auto"/>
          </w:tcPr>
          <w:p w14:paraId="03F59D09" w14:textId="77777777" w:rsidR="00407BAD" w:rsidRPr="00927E30" w:rsidRDefault="00EB38E1" w:rsidP="004C6E6D">
            <w:pPr>
              <w:pStyle w:val="TableText"/>
              <w:jc w:val="center"/>
            </w:pPr>
            <w:r w:rsidRPr="00927E30">
              <w:t>5</w:t>
            </w:r>
          </w:p>
        </w:tc>
        <w:tc>
          <w:tcPr>
            <w:tcW w:w="503" w:type="pct"/>
            <w:shd w:val="clear" w:color="auto" w:fill="auto"/>
          </w:tcPr>
          <w:p w14:paraId="03F59D0A" w14:textId="77777777" w:rsidR="00407BAD" w:rsidRPr="00927E30" w:rsidRDefault="00EB38E1" w:rsidP="004C6E6D">
            <w:pPr>
              <w:pStyle w:val="TableText"/>
              <w:jc w:val="center"/>
            </w:pPr>
            <w:r w:rsidRPr="00927E30">
              <w:t>3</w:t>
            </w:r>
          </w:p>
        </w:tc>
        <w:tc>
          <w:tcPr>
            <w:tcW w:w="385" w:type="pct"/>
            <w:shd w:val="clear" w:color="auto" w:fill="auto"/>
          </w:tcPr>
          <w:p w14:paraId="03F59D0B" w14:textId="77777777" w:rsidR="00407BAD" w:rsidRPr="00927E30" w:rsidRDefault="00EB38E1" w:rsidP="004C6E6D">
            <w:pPr>
              <w:pStyle w:val="TableText"/>
              <w:jc w:val="center"/>
            </w:pPr>
            <w:r w:rsidRPr="00927E30">
              <w:t>5</w:t>
            </w:r>
          </w:p>
        </w:tc>
        <w:tc>
          <w:tcPr>
            <w:tcW w:w="359" w:type="pct"/>
            <w:shd w:val="clear" w:color="auto" w:fill="auto"/>
          </w:tcPr>
          <w:p w14:paraId="03F59D0C" w14:textId="77777777" w:rsidR="00407BAD" w:rsidRPr="00927E30" w:rsidRDefault="00EB38E1" w:rsidP="004C6E6D">
            <w:pPr>
              <w:pStyle w:val="TableText"/>
              <w:tabs>
                <w:tab w:val="decimal" w:pos="349"/>
              </w:tabs>
            </w:pPr>
            <w:r w:rsidRPr="00927E30">
              <w:t>225</w:t>
            </w:r>
          </w:p>
        </w:tc>
        <w:tc>
          <w:tcPr>
            <w:tcW w:w="601" w:type="pct"/>
            <w:shd w:val="clear" w:color="auto" w:fill="auto"/>
          </w:tcPr>
          <w:p w14:paraId="03F59D0D" w14:textId="77777777" w:rsidR="00407BAD" w:rsidRPr="00927E30" w:rsidRDefault="00EB38E1" w:rsidP="004C6E6D">
            <w:pPr>
              <w:pStyle w:val="TableText"/>
              <w:tabs>
                <w:tab w:val="decimal" w:pos="407"/>
              </w:tabs>
            </w:pPr>
            <w:r w:rsidRPr="00927E30">
              <w:t>3.9</w:t>
            </w:r>
          </w:p>
        </w:tc>
        <w:tc>
          <w:tcPr>
            <w:tcW w:w="697" w:type="pct"/>
            <w:shd w:val="clear" w:color="auto" w:fill="auto"/>
          </w:tcPr>
          <w:p w14:paraId="03F59D0E" w14:textId="77777777" w:rsidR="00407BAD" w:rsidRPr="00927E30" w:rsidRDefault="00EB38E1" w:rsidP="004C6E6D">
            <w:pPr>
              <w:pStyle w:val="TableText"/>
              <w:tabs>
                <w:tab w:val="decimal" w:pos="732"/>
              </w:tabs>
            </w:pPr>
            <w:r w:rsidRPr="00927E30">
              <w:t>19</w:t>
            </w:r>
            <w:r>
              <w:t>,</w:t>
            </w:r>
            <w:r w:rsidR="002D2750" w:rsidRPr="00927E30">
              <w:t>500</w:t>
            </w:r>
          </w:p>
        </w:tc>
      </w:tr>
      <w:tr w:rsidR="0054058D" w14:paraId="03F59D1A" w14:textId="77777777" w:rsidTr="00962035">
        <w:trPr>
          <w:cantSplit/>
        </w:trPr>
        <w:tc>
          <w:tcPr>
            <w:tcW w:w="510" w:type="pct"/>
            <w:shd w:val="clear" w:color="auto" w:fill="auto"/>
          </w:tcPr>
          <w:p w14:paraId="03F59D10" w14:textId="17FA7335" w:rsidR="00407BAD" w:rsidRPr="00927E30" w:rsidRDefault="00EB38E1" w:rsidP="00927E30">
            <w:pPr>
              <w:pStyle w:val="TableText"/>
            </w:pPr>
            <w:r w:rsidRPr="00927E30">
              <w:t>Pig</w:t>
            </w:r>
            <w:r w:rsidR="005C742C">
              <w:t>s</w:t>
            </w:r>
          </w:p>
        </w:tc>
        <w:tc>
          <w:tcPr>
            <w:tcW w:w="427" w:type="pct"/>
            <w:shd w:val="clear" w:color="auto" w:fill="auto"/>
          </w:tcPr>
          <w:p w14:paraId="03F59D11" w14:textId="2A1543E6" w:rsidR="00407BAD" w:rsidRPr="00927E30" w:rsidRDefault="00EB38E1" w:rsidP="004C6E6D">
            <w:pPr>
              <w:pStyle w:val="TableText"/>
              <w:tabs>
                <w:tab w:val="decimal" w:pos="240"/>
              </w:tabs>
            </w:pPr>
            <w:r w:rsidRPr="00927E30">
              <w:t>110</w:t>
            </w:r>
            <w:r w:rsidR="000E126E">
              <w:t>.0</w:t>
            </w:r>
          </w:p>
        </w:tc>
        <w:tc>
          <w:tcPr>
            <w:tcW w:w="469" w:type="pct"/>
            <w:shd w:val="clear" w:color="auto" w:fill="auto"/>
          </w:tcPr>
          <w:p w14:paraId="03F59D12" w14:textId="61A5615D" w:rsidR="00407BAD" w:rsidRPr="00927E30" w:rsidRDefault="00EB38E1" w:rsidP="004C6E6D">
            <w:pPr>
              <w:pStyle w:val="TableText"/>
              <w:tabs>
                <w:tab w:val="decimal" w:pos="317"/>
              </w:tabs>
            </w:pPr>
            <w:r w:rsidRPr="00927E30">
              <w:t>15</w:t>
            </w:r>
            <w:r w:rsidR="000E126E">
              <w:t>.0</w:t>
            </w:r>
          </w:p>
        </w:tc>
        <w:tc>
          <w:tcPr>
            <w:tcW w:w="547" w:type="pct"/>
            <w:shd w:val="clear" w:color="auto" w:fill="auto"/>
          </w:tcPr>
          <w:p w14:paraId="03F59D13" w14:textId="77777777" w:rsidR="00407BAD" w:rsidRPr="00927E30" w:rsidRDefault="00EB38E1" w:rsidP="004C6E6D">
            <w:pPr>
              <w:pStyle w:val="TableText"/>
              <w:tabs>
                <w:tab w:val="decimal" w:pos="388"/>
              </w:tabs>
            </w:pPr>
            <w:r w:rsidRPr="00927E30">
              <w:t>3</w:t>
            </w:r>
          </w:p>
        </w:tc>
        <w:tc>
          <w:tcPr>
            <w:tcW w:w="502" w:type="pct"/>
            <w:shd w:val="clear" w:color="auto" w:fill="auto"/>
          </w:tcPr>
          <w:p w14:paraId="03F59D14" w14:textId="77777777" w:rsidR="00407BAD" w:rsidRPr="00927E30" w:rsidRDefault="00EB38E1" w:rsidP="004C6E6D">
            <w:pPr>
              <w:pStyle w:val="TableText"/>
              <w:jc w:val="center"/>
            </w:pPr>
            <w:r w:rsidRPr="00927E30">
              <w:t>1</w:t>
            </w:r>
          </w:p>
        </w:tc>
        <w:tc>
          <w:tcPr>
            <w:tcW w:w="503" w:type="pct"/>
            <w:shd w:val="clear" w:color="auto" w:fill="auto"/>
          </w:tcPr>
          <w:p w14:paraId="03F59D15" w14:textId="77777777" w:rsidR="00407BAD" w:rsidRPr="00927E30" w:rsidRDefault="00EB38E1" w:rsidP="004C6E6D">
            <w:pPr>
              <w:pStyle w:val="TableText"/>
              <w:jc w:val="center"/>
            </w:pPr>
            <w:r w:rsidRPr="00927E30">
              <w:t>3</w:t>
            </w:r>
          </w:p>
        </w:tc>
        <w:tc>
          <w:tcPr>
            <w:tcW w:w="385" w:type="pct"/>
            <w:shd w:val="clear" w:color="auto" w:fill="auto"/>
          </w:tcPr>
          <w:p w14:paraId="03F59D16" w14:textId="77777777" w:rsidR="00407BAD" w:rsidRPr="00927E30" w:rsidRDefault="00EB38E1" w:rsidP="004C6E6D">
            <w:pPr>
              <w:pStyle w:val="TableText"/>
              <w:jc w:val="center"/>
            </w:pPr>
            <w:r w:rsidRPr="00927E30">
              <w:t>5</w:t>
            </w:r>
          </w:p>
        </w:tc>
        <w:tc>
          <w:tcPr>
            <w:tcW w:w="359" w:type="pct"/>
            <w:shd w:val="clear" w:color="auto" w:fill="auto"/>
          </w:tcPr>
          <w:p w14:paraId="03F59D17" w14:textId="77777777" w:rsidR="00407BAD" w:rsidRPr="00927E30" w:rsidRDefault="00EB38E1" w:rsidP="004C6E6D">
            <w:pPr>
              <w:pStyle w:val="TableText"/>
              <w:tabs>
                <w:tab w:val="decimal" w:pos="349"/>
              </w:tabs>
            </w:pPr>
            <w:r w:rsidRPr="00927E30">
              <w:t>45</w:t>
            </w:r>
          </w:p>
        </w:tc>
        <w:tc>
          <w:tcPr>
            <w:tcW w:w="601" w:type="pct"/>
            <w:shd w:val="clear" w:color="auto" w:fill="auto"/>
          </w:tcPr>
          <w:p w14:paraId="03F59D18" w14:textId="77777777" w:rsidR="00407BAD" w:rsidRPr="00927E30" w:rsidRDefault="00EB38E1" w:rsidP="004C6E6D">
            <w:pPr>
              <w:pStyle w:val="TableText"/>
              <w:tabs>
                <w:tab w:val="decimal" w:pos="407"/>
              </w:tabs>
            </w:pPr>
            <w:r w:rsidRPr="00927E30">
              <w:t>16.3</w:t>
            </w:r>
          </w:p>
        </w:tc>
        <w:tc>
          <w:tcPr>
            <w:tcW w:w="697" w:type="pct"/>
            <w:shd w:val="clear" w:color="auto" w:fill="auto"/>
          </w:tcPr>
          <w:p w14:paraId="03F59D19" w14:textId="77777777" w:rsidR="00407BAD" w:rsidRPr="00927E30" w:rsidRDefault="00EB38E1" w:rsidP="004C6E6D">
            <w:pPr>
              <w:pStyle w:val="TableText"/>
              <w:tabs>
                <w:tab w:val="decimal" w:pos="732"/>
              </w:tabs>
            </w:pPr>
            <w:r w:rsidRPr="00927E30">
              <w:t>81</w:t>
            </w:r>
            <w:r>
              <w:t>,</w:t>
            </w:r>
            <w:r w:rsidR="002D2750" w:rsidRPr="00927E30">
              <w:t>500</w:t>
            </w:r>
          </w:p>
        </w:tc>
      </w:tr>
      <w:tr w:rsidR="0054058D" w14:paraId="03F59D25" w14:textId="77777777" w:rsidTr="00962035">
        <w:trPr>
          <w:cantSplit/>
        </w:trPr>
        <w:tc>
          <w:tcPr>
            <w:tcW w:w="510" w:type="pct"/>
            <w:tcBorders>
              <w:bottom w:val="single" w:sz="4" w:space="0" w:color="000000"/>
            </w:tcBorders>
            <w:shd w:val="clear" w:color="auto" w:fill="auto"/>
          </w:tcPr>
          <w:p w14:paraId="03F59D1B" w14:textId="6D078EAA" w:rsidR="00407BAD" w:rsidRPr="00927E30" w:rsidRDefault="00EB38E1" w:rsidP="00927E30">
            <w:pPr>
              <w:pStyle w:val="TableText"/>
              <w:rPr>
                <w:vertAlign w:val="superscript"/>
              </w:rPr>
            </w:pPr>
            <w:proofErr w:type="spellStart"/>
            <w:r w:rsidRPr="00927E30">
              <w:t>Chicken</w:t>
            </w:r>
            <w:r w:rsidR="005C742C">
              <w:t>s</w:t>
            </w:r>
            <w:r w:rsidRPr="00927E30">
              <w:rPr>
                <w:vertAlign w:val="superscript"/>
              </w:rPr>
              <w:t>b</w:t>
            </w:r>
            <w:proofErr w:type="spellEnd"/>
          </w:p>
        </w:tc>
        <w:tc>
          <w:tcPr>
            <w:tcW w:w="427" w:type="pct"/>
            <w:tcBorders>
              <w:bottom w:val="single" w:sz="4" w:space="0" w:color="000000"/>
            </w:tcBorders>
            <w:shd w:val="clear" w:color="auto" w:fill="auto"/>
          </w:tcPr>
          <w:p w14:paraId="03F59D1C" w14:textId="1E691720" w:rsidR="00407BAD" w:rsidRPr="00927E30" w:rsidRDefault="00EB38E1" w:rsidP="004C6E6D">
            <w:pPr>
              <w:pStyle w:val="TableText"/>
              <w:tabs>
                <w:tab w:val="decimal" w:pos="240"/>
              </w:tabs>
            </w:pPr>
            <w:r w:rsidRPr="00927E30">
              <w:t>2.8</w:t>
            </w:r>
          </w:p>
        </w:tc>
        <w:tc>
          <w:tcPr>
            <w:tcW w:w="469" w:type="pct"/>
            <w:tcBorders>
              <w:bottom w:val="single" w:sz="4" w:space="0" w:color="000000"/>
            </w:tcBorders>
            <w:shd w:val="clear" w:color="auto" w:fill="auto"/>
          </w:tcPr>
          <w:p w14:paraId="03F59D1D" w14:textId="77777777" w:rsidR="00407BAD" w:rsidRPr="00927E30" w:rsidRDefault="00EB38E1" w:rsidP="004C6E6D">
            <w:pPr>
              <w:pStyle w:val="TableText"/>
              <w:tabs>
                <w:tab w:val="decimal" w:pos="317"/>
              </w:tabs>
            </w:pPr>
            <w:r w:rsidRPr="00927E30">
              <w:t>0.4</w:t>
            </w:r>
          </w:p>
        </w:tc>
        <w:tc>
          <w:tcPr>
            <w:tcW w:w="547" w:type="pct"/>
            <w:tcBorders>
              <w:bottom w:val="single" w:sz="4" w:space="0" w:color="000000"/>
            </w:tcBorders>
            <w:shd w:val="clear" w:color="auto" w:fill="auto"/>
          </w:tcPr>
          <w:p w14:paraId="03F59D1E" w14:textId="77777777" w:rsidR="00407BAD" w:rsidRPr="00927E30" w:rsidRDefault="00EB38E1" w:rsidP="004C6E6D">
            <w:pPr>
              <w:pStyle w:val="TableText"/>
              <w:tabs>
                <w:tab w:val="decimal" w:pos="388"/>
              </w:tabs>
            </w:pPr>
            <w:r w:rsidRPr="00927E30">
              <w:t>3</w:t>
            </w:r>
          </w:p>
        </w:tc>
        <w:tc>
          <w:tcPr>
            <w:tcW w:w="502" w:type="pct"/>
            <w:tcBorders>
              <w:bottom w:val="single" w:sz="4" w:space="0" w:color="000000"/>
            </w:tcBorders>
            <w:shd w:val="clear" w:color="auto" w:fill="auto"/>
          </w:tcPr>
          <w:p w14:paraId="03F59D1F" w14:textId="77777777" w:rsidR="00407BAD" w:rsidRPr="00927E30" w:rsidRDefault="00EB38E1" w:rsidP="004C6E6D">
            <w:pPr>
              <w:pStyle w:val="TableText"/>
              <w:jc w:val="center"/>
            </w:pPr>
            <w:r w:rsidRPr="00927E30">
              <w:t>5</w:t>
            </w:r>
          </w:p>
        </w:tc>
        <w:tc>
          <w:tcPr>
            <w:tcW w:w="503" w:type="pct"/>
            <w:tcBorders>
              <w:bottom w:val="single" w:sz="4" w:space="0" w:color="000000"/>
            </w:tcBorders>
            <w:shd w:val="clear" w:color="auto" w:fill="auto"/>
          </w:tcPr>
          <w:p w14:paraId="03F59D20" w14:textId="77777777" w:rsidR="00407BAD" w:rsidRPr="00927E30" w:rsidRDefault="00EB38E1" w:rsidP="004C6E6D">
            <w:pPr>
              <w:pStyle w:val="TableText"/>
              <w:jc w:val="center"/>
            </w:pPr>
            <w:r w:rsidRPr="00927E30">
              <w:t>3</w:t>
            </w:r>
          </w:p>
        </w:tc>
        <w:tc>
          <w:tcPr>
            <w:tcW w:w="385" w:type="pct"/>
            <w:tcBorders>
              <w:bottom w:val="single" w:sz="4" w:space="0" w:color="000000"/>
            </w:tcBorders>
            <w:shd w:val="clear" w:color="auto" w:fill="auto"/>
          </w:tcPr>
          <w:p w14:paraId="03F59D21" w14:textId="77777777" w:rsidR="00407BAD" w:rsidRPr="00927E30" w:rsidRDefault="00EB38E1" w:rsidP="004C6E6D">
            <w:pPr>
              <w:pStyle w:val="TableText"/>
              <w:jc w:val="center"/>
            </w:pPr>
            <w:r w:rsidRPr="00927E30">
              <w:t>5</w:t>
            </w:r>
          </w:p>
        </w:tc>
        <w:tc>
          <w:tcPr>
            <w:tcW w:w="359" w:type="pct"/>
            <w:tcBorders>
              <w:bottom w:val="single" w:sz="4" w:space="0" w:color="000000"/>
            </w:tcBorders>
            <w:shd w:val="clear" w:color="auto" w:fill="auto"/>
          </w:tcPr>
          <w:p w14:paraId="03F59D22" w14:textId="77777777" w:rsidR="00407BAD" w:rsidRPr="00927E30" w:rsidRDefault="00EB38E1" w:rsidP="004C6E6D">
            <w:pPr>
              <w:pStyle w:val="TableText"/>
              <w:tabs>
                <w:tab w:val="decimal" w:pos="349"/>
              </w:tabs>
            </w:pPr>
            <w:r w:rsidRPr="00927E30">
              <w:t>225</w:t>
            </w:r>
          </w:p>
        </w:tc>
        <w:tc>
          <w:tcPr>
            <w:tcW w:w="601" w:type="pct"/>
            <w:tcBorders>
              <w:bottom w:val="single" w:sz="4" w:space="0" w:color="000000"/>
            </w:tcBorders>
            <w:shd w:val="clear" w:color="auto" w:fill="auto"/>
          </w:tcPr>
          <w:p w14:paraId="03F59D23" w14:textId="77777777" w:rsidR="00407BAD" w:rsidRPr="00927E30" w:rsidRDefault="00EB38E1" w:rsidP="004C6E6D">
            <w:pPr>
              <w:pStyle w:val="TableText"/>
              <w:tabs>
                <w:tab w:val="decimal" w:pos="407"/>
              </w:tabs>
            </w:pPr>
            <w:r w:rsidRPr="00927E30">
              <w:t>3.1</w:t>
            </w:r>
          </w:p>
        </w:tc>
        <w:tc>
          <w:tcPr>
            <w:tcW w:w="697" w:type="pct"/>
            <w:tcBorders>
              <w:bottom w:val="single" w:sz="4" w:space="0" w:color="000000"/>
            </w:tcBorders>
            <w:shd w:val="clear" w:color="auto" w:fill="auto"/>
          </w:tcPr>
          <w:p w14:paraId="03F59D24" w14:textId="77777777" w:rsidR="00407BAD" w:rsidRPr="00927E30" w:rsidRDefault="00EB38E1" w:rsidP="004C6E6D">
            <w:pPr>
              <w:pStyle w:val="TableText"/>
              <w:tabs>
                <w:tab w:val="decimal" w:pos="732"/>
              </w:tabs>
            </w:pPr>
            <w:r w:rsidRPr="00927E30">
              <w:t>15</w:t>
            </w:r>
            <w:r>
              <w:t>,</w:t>
            </w:r>
            <w:r w:rsidR="002D2750" w:rsidRPr="00927E30">
              <w:t>500</w:t>
            </w:r>
          </w:p>
        </w:tc>
      </w:tr>
      <w:tr w:rsidR="0054058D" w14:paraId="03F59D30" w14:textId="77777777" w:rsidTr="00962035">
        <w:trPr>
          <w:cantSplit/>
        </w:trPr>
        <w:tc>
          <w:tcPr>
            <w:tcW w:w="510" w:type="pct"/>
            <w:tcBorders>
              <w:bottom w:val="single" w:sz="12" w:space="0" w:color="000000"/>
            </w:tcBorders>
            <w:shd w:val="clear" w:color="auto" w:fill="auto"/>
          </w:tcPr>
          <w:p w14:paraId="03F59D26" w14:textId="3DAF69F7" w:rsidR="00407BAD" w:rsidRPr="00927E30" w:rsidRDefault="00EB38E1" w:rsidP="00927E30">
            <w:pPr>
              <w:pStyle w:val="TableText"/>
            </w:pPr>
            <w:r w:rsidRPr="00927E30">
              <w:t>Horse</w:t>
            </w:r>
            <w:r w:rsidR="005C742C">
              <w:t>s</w:t>
            </w:r>
          </w:p>
        </w:tc>
        <w:tc>
          <w:tcPr>
            <w:tcW w:w="427" w:type="pct"/>
            <w:tcBorders>
              <w:bottom w:val="single" w:sz="12" w:space="0" w:color="000000"/>
            </w:tcBorders>
            <w:shd w:val="clear" w:color="auto" w:fill="auto"/>
          </w:tcPr>
          <w:p w14:paraId="03F59D27" w14:textId="51B3C8E7" w:rsidR="00407BAD" w:rsidRPr="00927E30" w:rsidRDefault="00EB38E1" w:rsidP="004C6E6D">
            <w:pPr>
              <w:pStyle w:val="TableText"/>
              <w:tabs>
                <w:tab w:val="decimal" w:pos="240"/>
              </w:tabs>
            </w:pPr>
            <w:r w:rsidRPr="00927E30">
              <w:t>600</w:t>
            </w:r>
            <w:r w:rsidR="000E126E">
              <w:t>.0</w:t>
            </w:r>
          </w:p>
        </w:tc>
        <w:tc>
          <w:tcPr>
            <w:tcW w:w="469" w:type="pct"/>
            <w:tcBorders>
              <w:bottom w:val="single" w:sz="12" w:space="0" w:color="000000"/>
            </w:tcBorders>
            <w:shd w:val="clear" w:color="auto" w:fill="auto"/>
          </w:tcPr>
          <w:p w14:paraId="03F59D28" w14:textId="7A613388" w:rsidR="00407BAD" w:rsidRPr="00927E30" w:rsidRDefault="00EB38E1" w:rsidP="004C6E6D">
            <w:pPr>
              <w:pStyle w:val="TableText"/>
              <w:tabs>
                <w:tab w:val="decimal" w:pos="317"/>
              </w:tabs>
            </w:pPr>
            <w:r w:rsidRPr="00927E30">
              <w:t>70</w:t>
            </w:r>
            <w:r w:rsidR="000E126E">
              <w:t>.0</w:t>
            </w:r>
          </w:p>
        </w:tc>
        <w:tc>
          <w:tcPr>
            <w:tcW w:w="547" w:type="pct"/>
            <w:tcBorders>
              <w:bottom w:val="single" w:sz="12" w:space="0" w:color="000000"/>
            </w:tcBorders>
            <w:shd w:val="clear" w:color="auto" w:fill="auto"/>
          </w:tcPr>
          <w:p w14:paraId="03F59D29" w14:textId="77777777" w:rsidR="00407BAD" w:rsidRPr="00927E30" w:rsidRDefault="00EB38E1" w:rsidP="004C6E6D">
            <w:pPr>
              <w:pStyle w:val="TableText"/>
              <w:tabs>
                <w:tab w:val="decimal" w:pos="388"/>
              </w:tabs>
              <w:rPr>
                <w:vertAlign w:val="superscript"/>
              </w:rPr>
            </w:pPr>
            <w:r w:rsidRPr="00927E30">
              <w:t>5</w:t>
            </w:r>
            <w:r w:rsidRPr="00927E30">
              <w:rPr>
                <w:vertAlign w:val="superscript"/>
              </w:rPr>
              <w:t>c</w:t>
            </w:r>
          </w:p>
        </w:tc>
        <w:tc>
          <w:tcPr>
            <w:tcW w:w="502" w:type="pct"/>
            <w:tcBorders>
              <w:bottom w:val="single" w:sz="12" w:space="0" w:color="000000"/>
            </w:tcBorders>
            <w:shd w:val="clear" w:color="auto" w:fill="auto"/>
          </w:tcPr>
          <w:p w14:paraId="03F59D2A" w14:textId="77777777" w:rsidR="00407BAD" w:rsidRPr="00927E30" w:rsidRDefault="00EB38E1" w:rsidP="004C6E6D">
            <w:pPr>
              <w:pStyle w:val="TableText"/>
              <w:jc w:val="center"/>
            </w:pPr>
            <w:r w:rsidRPr="00927E30">
              <w:t>5</w:t>
            </w:r>
          </w:p>
        </w:tc>
        <w:tc>
          <w:tcPr>
            <w:tcW w:w="503" w:type="pct"/>
            <w:tcBorders>
              <w:bottom w:val="single" w:sz="12" w:space="0" w:color="000000"/>
            </w:tcBorders>
            <w:shd w:val="clear" w:color="auto" w:fill="auto"/>
          </w:tcPr>
          <w:p w14:paraId="03F59D2B" w14:textId="77777777" w:rsidR="00407BAD" w:rsidRPr="00927E30" w:rsidRDefault="00EB38E1" w:rsidP="004C6E6D">
            <w:pPr>
              <w:pStyle w:val="TableText"/>
              <w:jc w:val="center"/>
            </w:pPr>
            <w:r w:rsidRPr="00927E30">
              <w:t>3</w:t>
            </w:r>
          </w:p>
        </w:tc>
        <w:tc>
          <w:tcPr>
            <w:tcW w:w="385" w:type="pct"/>
            <w:tcBorders>
              <w:bottom w:val="single" w:sz="12" w:space="0" w:color="000000"/>
            </w:tcBorders>
            <w:shd w:val="clear" w:color="auto" w:fill="auto"/>
          </w:tcPr>
          <w:p w14:paraId="03F59D2C" w14:textId="77777777" w:rsidR="00407BAD" w:rsidRPr="00927E30" w:rsidRDefault="00EB38E1" w:rsidP="004C6E6D">
            <w:pPr>
              <w:pStyle w:val="TableText"/>
              <w:jc w:val="center"/>
            </w:pPr>
            <w:r w:rsidRPr="00927E30">
              <w:t>5</w:t>
            </w:r>
          </w:p>
        </w:tc>
        <w:tc>
          <w:tcPr>
            <w:tcW w:w="359" w:type="pct"/>
            <w:tcBorders>
              <w:bottom w:val="single" w:sz="12" w:space="0" w:color="000000"/>
            </w:tcBorders>
            <w:shd w:val="clear" w:color="auto" w:fill="auto"/>
          </w:tcPr>
          <w:p w14:paraId="03F59D2D" w14:textId="77777777" w:rsidR="00407BAD" w:rsidRPr="00927E30" w:rsidRDefault="00EB38E1" w:rsidP="004C6E6D">
            <w:pPr>
              <w:pStyle w:val="TableText"/>
              <w:tabs>
                <w:tab w:val="decimal" w:pos="349"/>
              </w:tabs>
            </w:pPr>
            <w:r w:rsidRPr="00927E30">
              <w:t>375</w:t>
            </w:r>
          </w:p>
        </w:tc>
        <w:tc>
          <w:tcPr>
            <w:tcW w:w="601" w:type="pct"/>
            <w:tcBorders>
              <w:bottom w:val="single" w:sz="12" w:space="0" w:color="000000"/>
            </w:tcBorders>
            <w:shd w:val="clear" w:color="auto" w:fill="auto"/>
          </w:tcPr>
          <w:p w14:paraId="03F59D2E" w14:textId="77777777" w:rsidR="00407BAD" w:rsidRPr="00927E30" w:rsidRDefault="00EB38E1" w:rsidP="004C6E6D">
            <w:pPr>
              <w:pStyle w:val="TableText"/>
              <w:tabs>
                <w:tab w:val="decimal" w:pos="407"/>
              </w:tabs>
            </w:pPr>
            <w:r w:rsidRPr="00927E30">
              <w:t>2.3</w:t>
            </w:r>
          </w:p>
        </w:tc>
        <w:tc>
          <w:tcPr>
            <w:tcW w:w="697" w:type="pct"/>
            <w:tcBorders>
              <w:bottom w:val="single" w:sz="12" w:space="0" w:color="000000"/>
            </w:tcBorders>
            <w:shd w:val="clear" w:color="auto" w:fill="auto"/>
          </w:tcPr>
          <w:p w14:paraId="03F59D2F" w14:textId="77777777" w:rsidR="00407BAD" w:rsidRPr="00927E30" w:rsidRDefault="00EB38E1" w:rsidP="004C6E6D">
            <w:pPr>
              <w:pStyle w:val="TableText"/>
              <w:tabs>
                <w:tab w:val="decimal" w:pos="732"/>
              </w:tabs>
            </w:pPr>
            <w:r w:rsidRPr="00927E30">
              <w:t>11</w:t>
            </w:r>
            <w:r>
              <w:t>,</w:t>
            </w:r>
            <w:r w:rsidR="002D2750" w:rsidRPr="00927E30">
              <w:t>500</w:t>
            </w:r>
          </w:p>
        </w:tc>
      </w:tr>
    </w:tbl>
    <w:p w14:paraId="03F59D31" w14:textId="77777777" w:rsidR="00407BAD" w:rsidRDefault="00EB38E1" w:rsidP="00C1087A">
      <w:pPr>
        <w:pStyle w:val="FigureTableNoteSource"/>
      </w:pPr>
      <w:proofErr w:type="gramStart"/>
      <w:r w:rsidRPr="004C6E6D">
        <w:rPr>
          <w:b/>
          <w:bCs/>
        </w:rPr>
        <w:t>a</w:t>
      </w:r>
      <w:proofErr w:type="gramEnd"/>
      <w:r>
        <w:t xml:space="preserve"> Assuming 0.2</w:t>
      </w:r>
      <w:r w:rsidR="00DA5560">
        <w:t> </w:t>
      </w:r>
      <w:proofErr w:type="spellStart"/>
      <w:r>
        <w:t>pg</w:t>
      </w:r>
      <w:proofErr w:type="spellEnd"/>
      <w:r>
        <w:t xml:space="preserve"> total </w:t>
      </w:r>
      <w:proofErr w:type="spellStart"/>
      <w:r>
        <w:t>microcystins</w:t>
      </w:r>
      <w:proofErr w:type="spellEnd"/>
      <w:r>
        <w:t>/cell (Falconer et al. 1994).</w:t>
      </w:r>
    </w:p>
    <w:p w14:paraId="03F59D32" w14:textId="77777777" w:rsidR="00407BAD" w:rsidRDefault="00EB38E1" w:rsidP="00C1087A">
      <w:pPr>
        <w:pStyle w:val="FigureTableNoteSource"/>
      </w:pPr>
      <w:r w:rsidRPr="004C6E6D">
        <w:rPr>
          <w:b/>
          <w:bCs/>
        </w:rPr>
        <w:t>b</w:t>
      </w:r>
      <w:r>
        <w:t xml:space="preserve"> These values can be taken to represent all poultry, since all poultry ha</w:t>
      </w:r>
      <w:r w:rsidR="002D021F">
        <w:t>s</w:t>
      </w:r>
      <w:r>
        <w:t xml:space="preserve"> a similar body </w:t>
      </w:r>
      <w:proofErr w:type="spellStart"/>
      <w:proofErr w:type="gramStart"/>
      <w:r>
        <w:t>weight</w:t>
      </w:r>
      <w:r w:rsidR="002D021F">
        <w:t>:</w:t>
      </w:r>
      <w:r>
        <w:t>water</w:t>
      </w:r>
      <w:proofErr w:type="spellEnd"/>
      <w:proofErr w:type="gramEnd"/>
      <w:r>
        <w:t xml:space="preserve"> intake ratio.</w:t>
      </w:r>
    </w:p>
    <w:p w14:paraId="03F59D33" w14:textId="77777777" w:rsidR="00407BAD" w:rsidRDefault="00EB38E1" w:rsidP="00C1087A">
      <w:pPr>
        <w:pStyle w:val="FigureTableNoteSource"/>
        <w:rPr>
          <w:highlight w:val="yellow"/>
        </w:rPr>
      </w:pPr>
      <w:r w:rsidRPr="004C6E6D">
        <w:rPr>
          <w:b/>
          <w:bCs/>
        </w:rPr>
        <w:t>c</w:t>
      </w:r>
      <w:r>
        <w:t xml:space="preserve"> Horses generally live longer than other livestock.</w:t>
      </w:r>
    </w:p>
    <w:p w14:paraId="03F59D34" w14:textId="6E4E4796" w:rsidR="00213F98" w:rsidRDefault="00EB38E1" w:rsidP="00C1087A">
      <w:pPr>
        <w:rPr>
          <w:highlight w:val="yellow"/>
        </w:rPr>
      </w:pPr>
      <w:r w:rsidRPr="00D91933">
        <w:t>Using th</w:t>
      </w:r>
      <w:r w:rsidR="00BA611C">
        <w:t>is</w:t>
      </w:r>
      <w:r w:rsidRPr="00D91933">
        <w:t xml:space="preserve"> approach</w:t>
      </w:r>
      <w:r w:rsidR="00BA611C">
        <w:t xml:space="preserve"> (</w:t>
      </w:r>
      <w:r w:rsidR="004A4970">
        <w:t xml:space="preserve">Equation 3.1, </w:t>
      </w:r>
      <w:r w:rsidR="0094720B">
        <w:fldChar w:fldCharType="begin"/>
      </w:r>
      <w:r w:rsidR="0094720B">
        <w:instrText xml:space="preserve"> REF _Ref84839182 \h </w:instrText>
      </w:r>
      <w:r w:rsidR="0094720B">
        <w:fldChar w:fldCharType="separate"/>
      </w:r>
      <w:r w:rsidR="0061517C" w:rsidRPr="00254185">
        <w:t>Table 3.1</w:t>
      </w:r>
      <w:r w:rsidR="0094720B">
        <w:fldChar w:fldCharType="end"/>
      </w:r>
      <w:r w:rsidR="00BA611C">
        <w:t>)</w:t>
      </w:r>
      <w:r w:rsidRPr="00D91933">
        <w:t>, estimated guideline values for microcystin-LR toxicity for different livestock range from 2.3</w:t>
      </w:r>
      <w:r w:rsidR="00DF4855">
        <w:t> </w:t>
      </w:r>
      <w:r w:rsidR="00DF4855" w:rsidRPr="00D91933">
        <w:t>µg/L</w:t>
      </w:r>
      <w:r w:rsidRPr="00D91933">
        <w:t xml:space="preserve"> to 16.3</w:t>
      </w:r>
      <w:r w:rsidR="00DA5560">
        <w:t> </w:t>
      </w:r>
      <w:r w:rsidRPr="00D91933">
        <w:t xml:space="preserve">µg/L. A study conducted on </w:t>
      </w:r>
      <w:r w:rsidRPr="00FD2341">
        <w:rPr>
          <w:rStyle w:val="Emphasis"/>
          <w:i w:val="0"/>
          <w:iCs w:val="0"/>
        </w:rPr>
        <w:t>growing</w:t>
      </w:r>
      <w:r w:rsidRPr="00D91933">
        <w:t xml:space="preserve"> pigs exposed to </w:t>
      </w:r>
      <w:proofErr w:type="spellStart"/>
      <w:r w:rsidRPr="00D91933">
        <w:t>microcystins</w:t>
      </w:r>
      <w:proofErr w:type="spellEnd"/>
      <w:r w:rsidRPr="00D91933">
        <w:t xml:space="preserve"> over 44</w:t>
      </w:r>
      <w:r w:rsidR="00490885">
        <w:t> </w:t>
      </w:r>
      <w:r w:rsidRPr="00D91933">
        <w:t>days concluded that no adverse effect was observed at concentrations lower than 1</w:t>
      </w:r>
      <w:r w:rsidR="00DA5560">
        <w:t> </w:t>
      </w:r>
      <w:r w:rsidRPr="00D91933">
        <w:t xml:space="preserve">µg/L (Falconer et al. 1994), which could represent the guideline </w:t>
      </w:r>
      <w:r w:rsidR="00490885">
        <w:t>value.</w:t>
      </w:r>
    </w:p>
    <w:p w14:paraId="03F59D35" w14:textId="77777777" w:rsidR="00B66EBE" w:rsidRDefault="00EB38E1" w:rsidP="000C6B83">
      <w:pPr>
        <w:pStyle w:val="Heading6"/>
        <w:rPr>
          <w:lang w:eastAsia="ja-JP"/>
        </w:rPr>
      </w:pPr>
      <w:r>
        <w:rPr>
          <w:lang w:eastAsia="ja-JP"/>
        </w:rPr>
        <w:t>Other cyanotoxins</w:t>
      </w:r>
    </w:p>
    <w:p w14:paraId="03F59D36" w14:textId="77777777" w:rsidR="00B66EBE" w:rsidRDefault="00EB38E1" w:rsidP="00C1087A">
      <w:r>
        <w:t xml:space="preserve">There are presently insufficient animal toxicity data available to derive guideline values for cyanotoxins other than </w:t>
      </w:r>
      <w:proofErr w:type="spellStart"/>
      <w:r>
        <w:t>microcystins</w:t>
      </w:r>
      <w:proofErr w:type="spellEnd"/>
      <w:r>
        <w:t xml:space="preserve"> in livestock drinking water.</w:t>
      </w:r>
    </w:p>
    <w:p w14:paraId="03F59D37" w14:textId="5D94B24C" w:rsidR="00B66EBE" w:rsidRDefault="00EB38E1" w:rsidP="00C1087A">
      <w:r>
        <w:t xml:space="preserve">CEPA (2012) conducted toxicity assessments on </w:t>
      </w:r>
      <w:proofErr w:type="spellStart"/>
      <w:r>
        <w:t>microcystins</w:t>
      </w:r>
      <w:proofErr w:type="spellEnd"/>
      <w:r>
        <w:t xml:space="preserve">, anatoxin-a and </w:t>
      </w:r>
      <w:proofErr w:type="spellStart"/>
      <w:r>
        <w:t>cylindrospermopsin</w:t>
      </w:r>
      <w:proofErr w:type="spellEnd"/>
      <w:r w:rsidR="006F56E3">
        <w:t>; the</w:t>
      </w:r>
      <w:r>
        <w:t xml:space="preserve"> findings for livestock drinking water are summarised </w:t>
      </w:r>
      <w:r w:rsidR="006F56E3">
        <w:t>in</w:t>
      </w:r>
      <w:r w:rsidR="003C310F">
        <w:t xml:space="preserve"> </w:t>
      </w:r>
      <w:r w:rsidR="003C310F">
        <w:fldChar w:fldCharType="begin"/>
      </w:r>
      <w:r w:rsidR="003C310F">
        <w:instrText xml:space="preserve"> REF _Ref84839245 \h </w:instrText>
      </w:r>
      <w:r w:rsidR="003C310F">
        <w:fldChar w:fldCharType="separate"/>
      </w:r>
      <w:r w:rsidR="0061517C">
        <w:t>Table 3.2</w:t>
      </w:r>
      <w:r w:rsidR="003C310F">
        <w:fldChar w:fldCharType="end"/>
      </w:r>
      <w:r w:rsidR="004A4970">
        <w:t>.</w:t>
      </w:r>
    </w:p>
    <w:p w14:paraId="03F59D38" w14:textId="77777777" w:rsidR="00213F98" w:rsidRDefault="00EB38E1" w:rsidP="00DF778F">
      <w:pPr>
        <w:pStyle w:val="Caption"/>
      </w:pPr>
      <w:bookmarkStart w:id="143" w:name="_Ref84839245"/>
      <w:bookmarkStart w:id="144" w:name="_Toc148089844"/>
      <w:r>
        <w:t>Table </w:t>
      </w:r>
      <w:r w:rsidR="00A348FB">
        <w:t>3.2</w:t>
      </w:r>
      <w:bookmarkEnd w:id="143"/>
      <w:r w:rsidR="00B66EBE">
        <w:t xml:space="preserve"> </w:t>
      </w:r>
      <w:proofErr w:type="spellStart"/>
      <w:r w:rsidR="00B66EBE">
        <w:t>Subchronic</w:t>
      </w:r>
      <w:proofErr w:type="spellEnd"/>
      <w:r w:rsidR="00B66EBE">
        <w:t xml:space="preserve"> action level for </w:t>
      </w:r>
      <w:r w:rsidR="001C64C7">
        <w:t xml:space="preserve">toxins, </w:t>
      </w:r>
      <w:proofErr w:type="gramStart"/>
      <w:r w:rsidR="00B66EBE">
        <w:t>beef</w:t>
      </w:r>
      <w:proofErr w:type="gramEnd"/>
      <w:r w:rsidR="00AF41AA">
        <w:t xml:space="preserve"> and dairy</w:t>
      </w:r>
      <w:r w:rsidR="00B66EBE">
        <w:t xml:space="preserve"> cattle</w:t>
      </w:r>
      <w:bookmarkEnd w:id="144"/>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67"/>
        <w:gridCol w:w="2267"/>
        <w:gridCol w:w="2268"/>
        <w:gridCol w:w="2268"/>
      </w:tblGrid>
      <w:tr w:rsidR="0054058D" w14:paraId="03F59D3D" w14:textId="77777777" w:rsidTr="000D49DD">
        <w:trPr>
          <w:cantSplit/>
          <w:tblHeader/>
        </w:trPr>
        <w:tc>
          <w:tcPr>
            <w:tcW w:w="1250" w:type="pct"/>
            <w:tcBorders>
              <w:top w:val="single" w:sz="12" w:space="0" w:color="auto"/>
              <w:bottom w:val="single" w:sz="12" w:space="0" w:color="auto"/>
            </w:tcBorders>
            <w:shd w:val="clear" w:color="auto" w:fill="auto"/>
          </w:tcPr>
          <w:p w14:paraId="03F59D39" w14:textId="77777777" w:rsidR="007D151E" w:rsidRPr="00514C7A" w:rsidRDefault="00EB38E1" w:rsidP="00514C7A">
            <w:pPr>
              <w:pStyle w:val="TableHeading"/>
            </w:pPr>
            <w:r>
              <w:t>Cattle</w:t>
            </w:r>
          </w:p>
        </w:tc>
        <w:tc>
          <w:tcPr>
            <w:tcW w:w="1250" w:type="pct"/>
            <w:tcBorders>
              <w:top w:val="single" w:sz="12" w:space="0" w:color="auto"/>
              <w:bottom w:val="single" w:sz="12" w:space="0" w:color="auto"/>
            </w:tcBorders>
            <w:shd w:val="clear" w:color="auto" w:fill="auto"/>
          </w:tcPr>
          <w:p w14:paraId="03F59D3A" w14:textId="77777777" w:rsidR="007D151E" w:rsidRPr="00514C7A" w:rsidRDefault="00EB38E1" w:rsidP="004C6E6D">
            <w:pPr>
              <w:pStyle w:val="TableHeading"/>
              <w:jc w:val="center"/>
            </w:pPr>
            <w:r w:rsidRPr="00514C7A">
              <w:t>Microcystin</w:t>
            </w:r>
            <w:r w:rsidR="00AF41AA">
              <w:t xml:space="preserve"> </w:t>
            </w:r>
            <w:r w:rsidR="00AF41AA" w:rsidRPr="00AF41AA">
              <w:t>(µg/L)</w:t>
            </w:r>
          </w:p>
        </w:tc>
        <w:tc>
          <w:tcPr>
            <w:tcW w:w="1250" w:type="pct"/>
            <w:tcBorders>
              <w:top w:val="single" w:sz="12" w:space="0" w:color="auto"/>
              <w:bottom w:val="single" w:sz="12" w:space="0" w:color="auto"/>
            </w:tcBorders>
            <w:shd w:val="clear" w:color="auto" w:fill="auto"/>
          </w:tcPr>
          <w:p w14:paraId="03F59D3B" w14:textId="77777777" w:rsidR="007D151E" w:rsidRPr="00514C7A" w:rsidRDefault="00EB38E1" w:rsidP="004C6E6D">
            <w:pPr>
              <w:pStyle w:val="TableHeading"/>
              <w:jc w:val="center"/>
            </w:pPr>
            <w:r w:rsidRPr="00514C7A">
              <w:t>Anatoxin-a</w:t>
            </w:r>
            <w:r w:rsidR="00AF41AA">
              <w:t xml:space="preserve"> </w:t>
            </w:r>
            <w:r w:rsidR="00AF41AA" w:rsidRPr="00AF41AA">
              <w:t>(µg/L)</w:t>
            </w:r>
          </w:p>
        </w:tc>
        <w:tc>
          <w:tcPr>
            <w:tcW w:w="1250" w:type="pct"/>
            <w:tcBorders>
              <w:top w:val="single" w:sz="12" w:space="0" w:color="auto"/>
              <w:bottom w:val="single" w:sz="12" w:space="0" w:color="auto"/>
            </w:tcBorders>
            <w:shd w:val="clear" w:color="auto" w:fill="auto"/>
          </w:tcPr>
          <w:p w14:paraId="03F59D3C" w14:textId="77777777" w:rsidR="007D151E" w:rsidRPr="00514C7A" w:rsidRDefault="00EB38E1" w:rsidP="004C6E6D">
            <w:pPr>
              <w:pStyle w:val="TableHeading"/>
              <w:jc w:val="center"/>
            </w:pPr>
            <w:proofErr w:type="spellStart"/>
            <w:r w:rsidRPr="00514C7A">
              <w:t>Cylindrospermopsin</w:t>
            </w:r>
            <w:proofErr w:type="spellEnd"/>
            <w:r w:rsidR="00AF41AA">
              <w:t xml:space="preserve"> </w:t>
            </w:r>
            <w:r w:rsidR="00AF41AA" w:rsidRPr="00AF41AA">
              <w:t>(µg/L)</w:t>
            </w:r>
          </w:p>
        </w:tc>
      </w:tr>
      <w:tr w:rsidR="0054058D" w14:paraId="03F59D42" w14:textId="77777777" w:rsidTr="000D49DD">
        <w:trPr>
          <w:cantSplit/>
        </w:trPr>
        <w:tc>
          <w:tcPr>
            <w:tcW w:w="1250" w:type="pct"/>
            <w:tcBorders>
              <w:top w:val="single" w:sz="12" w:space="0" w:color="auto"/>
              <w:bottom w:val="single" w:sz="4" w:space="0" w:color="auto"/>
            </w:tcBorders>
            <w:shd w:val="clear" w:color="auto" w:fill="auto"/>
          </w:tcPr>
          <w:p w14:paraId="03F59D3E" w14:textId="77777777" w:rsidR="007D151E" w:rsidRPr="007D151E" w:rsidRDefault="00EB38E1" w:rsidP="00514C7A">
            <w:pPr>
              <w:pStyle w:val="TableText"/>
            </w:pPr>
            <w:r w:rsidRPr="007D151E">
              <w:t xml:space="preserve">Dairy </w:t>
            </w:r>
          </w:p>
        </w:tc>
        <w:tc>
          <w:tcPr>
            <w:tcW w:w="1250" w:type="pct"/>
            <w:tcBorders>
              <w:top w:val="single" w:sz="12" w:space="0" w:color="auto"/>
              <w:bottom w:val="single" w:sz="4" w:space="0" w:color="auto"/>
            </w:tcBorders>
            <w:shd w:val="clear" w:color="auto" w:fill="auto"/>
          </w:tcPr>
          <w:p w14:paraId="03F59D3F" w14:textId="77777777" w:rsidR="007D151E" w:rsidRPr="007D151E" w:rsidRDefault="00EB38E1" w:rsidP="004C6E6D">
            <w:pPr>
              <w:pStyle w:val="TableText"/>
              <w:tabs>
                <w:tab w:val="decimal" w:pos="1027"/>
              </w:tabs>
            </w:pPr>
            <w:r w:rsidRPr="007D151E">
              <w:t>0.9</w:t>
            </w:r>
          </w:p>
        </w:tc>
        <w:tc>
          <w:tcPr>
            <w:tcW w:w="1250" w:type="pct"/>
            <w:tcBorders>
              <w:top w:val="single" w:sz="12" w:space="0" w:color="auto"/>
              <w:bottom w:val="single" w:sz="4" w:space="0" w:color="auto"/>
            </w:tcBorders>
            <w:shd w:val="clear" w:color="auto" w:fill="auto"/>
          </w:tcPr>
          <w:p w14:paraId="03F59D40" w14:textId="77777777" w:rsidR="007D151E" w:rsidRPr="007D151E" w:rsidRDefault="00EB38E1" w:rsidP="004C6E6D">
            <w:pPr>
              <w:pStyle w:val="TableText"/>
              <w:tabs>
                <w:tab w:val="decimal" w:pos="1045"/>
              </w:tabs>
            </w:pPr>
            <w:r w:rsidRPr="007D151E">
              <w:t>40</w:t>
            </w:r>
          </w:p>
        </w:tc>
        <w:tc>
          <w:tcPr>
            <w:tcW w:w="1250" w:type="pct"/>
            <w:tcBorders>
              <w:top w:val="single" w:sz="12" w:space="0" w:color="auto"/>
              <w:bottom w:val="single" w:sz="4" w:space="0" w:color="auto"/>
            </w:tcBorders>
            <w:shd w:val="clear" w:color="auto" w:fill="auto"/>
          </w:tcPr>
          <w:p w14:paraId="03F59D41" w14:textId="77777777" w:rsidR="007D151E" w:rsidRPr="007D151E" w:rsidRDefault="00EB38E1" w:rsidP="004C6E6D">
            <w:pPr>
              <w:pStyle w:val="TableText"/>
              <w:tabs>
                <w:tab w:val="decimal" w:pos="1028"/>
              </w:tabs>
            </w:pPr>
            <w:r w:rsidRPr="007D151E">
              <w:t>5</w:t>
            </w:r>
          </w:p>
        </w:tc>
      </w:tr>
      <w:tr w:rsidR="0054058D" w14:paraId="03F59D47" w14:textId="77777777" w:rsidTr="000D49DD">
        <w:trPr>
          <w:cantSplit/>
        </w:trPr>
        <w:tc>
          <w:tcPr>
            <w:tcW w:w="1250" w:type="pct"/>
            <w:tcBorders>
              <w:bottom w:val="single" w:sz="12" w:space="0" w:color="auto"/>
            </w:tcBorders>
            <w:shd w:val="clear" w:color="auto" w:fill="auto"/>
          </w:tcPr>
          <w:p w14:paraId="03F59D43" w14:textId="77777777" w:rsidR="007D151E" w:rsidRPr="007D151E" w:rsidRDefault="00EB38E1" w:rsidP="00514C7A">
            <w:pPr>
              <w:pStyle w:val="TableText"/>
            </w:pPr>
            <w:r w:rsidRPr="007D151E">
              <w:t xml:space="preserve">Beef </w:t>
            </w:r>
          </w:p>
        </w:tc>
        <w:tc>
          <w:tcPr>
            <w:tcW w:w="1250" w:type="pct"/>
            <w:tcBorders>
              <w:bottom w:val="single" w:sz="12" w:space="0" w:color="auto"/>
            </w:tcBorders>
            <w:shd w:val="clear" w:color="auto" w:fill="auto"/>
          </w:tcPr>
          <w:p w14:paraId="03F59D44" w14:textId="52834BE5" w:rsidR="007D151E" w:rsidRPr="007D151E" w:rsidRDefault="00EB38E1" w:rsidP="004C6E6D">
            <w:pPr>
              <w:pStyle w:val="TableText"/>
              <w:tabs>
                <w:tab w:val="decimal" w:pos="1027"/>
              </w:tabs>
            </w:pPr>
            <w:r w:rsidRPr="007D151E">
              <w:t>3</w:t>
            </w:r>
            <w:r w:rsidR="00FC196B">
              <w:t>.0</w:t>
            </w:r>
          </w:p>
        </w:tc>
        <w:tc>
          <w:tcPr>
            <w:tcW w:w="1250" w:type="pct"/>
            <w:tcBorders>
              <w:bottom w:val="single" w:sz="12" w:space="0" w:color="auto"/>
            </w:tcBorders>
            <w:shd w:val="clear" w:color="auto" w:fill="auto"/>
          </w:tcPr>
          <w:p w14:paraId="03F59D45" w14:textId="77777777" w:rsidR="007D151E" w:rsidRPr="007D151E" w:rsidRDefault="00EB38E1" w:rsidP="004C6E6D">
            <w:pPr>
              <w:pStyle w:val="TableText"/>
              <w:tabs>
                <w:tab w:val="decimal" w:pos="1045"/>
              </w:tabs>
            </w:pPr>
            <w:r w:rsidRPr="007D151E">
              <w:t>100</w:t>
            </w:r>
          </w:p>
        </w:tc>
        <w:tc>
          <w:tcPr>
            <w:tcW w:w="1250" w:type="pct"/>
            <w:tcBorders>
              <w:bottom w:val="single" w:sz="12" w:space="0" w:color="auto"/>
            </w:tcBorders>
            <w:shd w:val="clear" w:color="auto" w:fill="auto"/>
          </w:tcPr>
          <w:p w14:paraId="03F59D46" w14:textId="77777777" w:rsidR="007D151E" w:rsidRPr="007D151E" w:rsidRDefault="00EB38E1" w:rsidP="004C6E6D">
            <w:pPr>
              <w:pStyle w:val="TableText"/>
              <w:tabs>
                <w:tab w:val="decimal" w:pos="1028"/>
              </w:tabs>
            </w:pPr>
            <w:r w:rsidRPr="007D151E">
              <w:t>20</w:t>
            </w:r>
          </w:p>
        </w:tc>
      </w:tr>
    </w:tbl>
    <w:p w14:paraId="03F59D48" w14:textId="6FA4B612" w:rsidR="007D151E" w:rsidRDefault="00EB38E1" w:rsidP="00C1087A">
      <w:pPr>
        <w:pStyle w:val="FigureTableNoteSource"/>
        <w:rPr>
          <w:highlight w:val="yellow"/>
        </w:rPr>
      </w:pPr>
      <w:r w:rsidRPr="007D151E">
        <w:t xml:space="preserve">Source: CEPA </w:t>
      </w:r>
      <w:r w:rsidR="00AF41AA">
        <w:t>(</w:t>
      </w:r>
      <w:r w:rsidRPr="007D151E">
        <w:t>2012</w:t>
      </w:r>
      <w:r w:rsidR="00AF41AA">
        <w:t>)</w:t>
      </w:r>
    </w:p>
    <w:p w14:paraId="03F59D49" w14:textId="77777777" w:rsidR="000D49DD" w:rsidRDefault="00EB38E1" w:rsidP="000C6B83">
      <w:pPr>
        <w:pStyle w:val="Heading5"/>
        <w:rPr>
          <w:lang w:eastAsia="ja-JP"/>
        </w:rPr>
      </w:pPr>
      <w:r>
        <w:rPr>
          <w:lang w:eastAsia="ja-JP"/>
        </w:rPr>
        <w:t>M</w:t>
      </w:r>
      <w:r w:rsidR="003645F7">
        <w:rPr>
          <w:lang w:eastAsia="ja-JP"/>
        </w:rPr>
        <w:t>onitoring and m</w:t>
      </w:r>
      <w:r>
        <w:rPr>
          <w:lang w:eastAsia="ja-JP"/>
        </w:rPr>
        <w:t>anagement</w:t>
      </w:r>
    </w:p>
    <w:p w14:paraId="03F59D4A" w14:textId="77777777" w:rsidR="000D49DD" w:rsidRDefault="00EB38E1" w:rsidP="00C1087A">
      <w:r>
        <w:t>Monitoring of algal blooms and cell levels in drinking water is an important component of livestock management. However, n</w:t>
      </w:r>
      <w:r w:rsidR="002D2750">
        <w:t>either the presence nor the absence of</w:t>
      </w:r>
      <w:r>
        <w:t xml:space="preserve"> cells or</w:t>
      </w:r>
      <w:r w:rsidR="002D2750">
        <w:t xml:space="preserve"> an algal bloom</w:t>
      </w:r>
      <w:r w:rsidR="00541B12">
        <w:t xml:space="preserve"> in drinking water</w:t>
      </w:r>
      <w:r w:rsidR="002D2750">
        <w:t xml:space="preserve"> is an accurate indicator of </w:t>
      </w:r>
      <w:r w:rsidR="00CB29D0">
        <w:t>drinking water quality.</w:t>
      </w:r>
      <w:r w:rsidR="002D2750">
        <w:t xml:space="preserve"> Hence, the diagnostic procedure is based on prevention and a risk management plan.</w:t>
      </w:r>
    </w:p>
    <w:p w14:paraId="03F59D4B" w14:textId="77777777" w:rsidR="00907E2C" w:rsidRDefault="00EB38E1" w:rsidP="00FD2341">
      <w:pPr>
        <w:pStyle w:val="Heading6"/>
        <w:rPr>
          <w:lang w:eastAsia="ja-JP"/>
        </w:rPr>
      </w:pPr>
      <w:r>
        <w:rPr>
          <w:lang w:eastAsia="ja-JP"/>
        </w:rPr>
        <w:t>Cell biovolume</w:t>
      </w:r>
    </w:p>
    <w:p w14:paraId="03F59D4C" w14:textId="77777777" w:rsidR="00F6216C" w:rsidRDefault="00EB38E1" w:rsidP="00F6216C">
      <w:r>
        <w:t>In guidelines for algal blooms in livestock water and several worldwide guidelines for human drinking water, guideline value</w:t>
      </w:r>
      <w:r w:rsidR="00CB29D0">
        <w:t>s</w:t>
      </w:r>
      <w:r>
        <w:t xml:space="preserve"> are sometimes expressed in terms of cells/mL or colonies/</w:t>
      </w:r>
      <w:proofErr w:type="spellStart"/>
      <w:r>
        <w:t>mL.</w:t>
      </w:r>
      <w:proofErr w:type="spellEnd"/>
      <w:r>
        <w:t xml:space="preserve"> This approach could be misleading in certain circumstances because different cyanobacteria have different cell sizes. Values may be better expressed as a cell biovolume in mm</w:t>
      </w:r>
      <w:r w:rsidRPr="00A964D4">
        <w:rPr>
          <w:vertAlign w:val="superscript"/>
        </w:rPr>
        <w:t>3</w:t>
      </w:r>
      <w:r>
        <w:t>/L. For example, NHMRC (2008) suggested that a cell biovolume of ≥4 mm</w:t>
      </w:r>
      <w:r w:rsidRPr="00A964D4">
        <w:rPr>
          <w:vertAlign w:val="superscript"/>
        </w:rPr>
        <w:t>3</w:t>
      </w:r>
      <w:r>
        <w:t>/L could be applied for unknown cyanobacterial populations in recreational water (in terms of human impact).</w:t>
      </w:r>
    </w:p>
    <w:p w14:paraId="03F59D4D" w14:textId="509DDEE8" w:rsidR="00F6216C" w:rsidRDefault="00063896" w:rsidP="00F6216C">
      <w:r>
        <w:lastRenderedPageBreak/>
        <w:t>The effect</w:t>
      </w:r>
      <w:r w:rsidR="00EB38E1">
        <w:t xml:space="preserve"> of using cell numbers versus cell biovolume can be illustrated by considering 178,000 cells/mL of 2 common </w:t>
      </w:r>
      <w:r w:rsidR="00EB38E1" w:rsidRPr="00685FF1">
        <w:rPr>
          <w:rStyle w:val="Emphasis"/>
        </w:rPr>
        <w:t>Microcystis</w:t>
      </w:r>
      <w:r w:rsidR="00EB38E1">
        <w:t xml:space="preserve"> species that occur in Australia: </w:t>
      </w:r>
      <w:r w:rsidR="00EB38E1" w:rsidRPr="00685FF1">
        <w:rPr>
          <w:rStyle w:val="Emphasis"/>
        </w:rPr>
        <w:t>M</w:t>
      </w:r>
      <w:r w:rsidR="00EB38E1">
        <w:rPr>
          <w:rStyle w:val="Emphasis"/>
        </w:rPr>
        <w:t>.</w:t>
      </w:r>
      <w:r w:rsidR="00EB38E1" w:rsidRPr="00685FF1">
        <w:rPr>
          <w:rStyle w:val="Emphasis"/>
        </w:rPr>
        <w:t xml:space="preserve"> aeruginosa</w:t>
      </w:r>
      <w:r w:rsidR="00EB38E1">
        <w:t xml:space="preserve"> (which has large cells) and </w:t>
      </w:r>
      <w:r w:rsidR="00EB38E1" w:rsidRPr="00685FF1">
        <w:rPr>
          <w:rStyle w:val="Emphasis"/>
        </w:rPr>
        <w:t>M</w:t>
      </w:r>
      <w:r w:rsidR="00EB38E1">
        <w:rPr>
          <w:rStyle w:val="Emphasis"/>
        </w:rPr>
        <w:t>.</w:t>
      </w:r>
      <w:r w:rsidR="00EB38E1" w:rsidRPr="00685FF1">
        <w:rPr>
          <w:rStyle w:val="Emphasis"/>
        </w:rPr>
        <w:t xml:space="preserve"> </w:t>
      </w:r>
      <w:proofErr w:type="spellStart"/>
      <w:r w:rsidR="00EB38E1" w:rsidRPr="00685FF1">
        <w:rPr>
          <w:rStyle w:val="Emphasis"/>
        </w:rPr>
        <w:t>flos</w:t>
      </w:r>
      <w:proofErr w:type="spellEnd"/>
      <w:r w:rsidR="00EB38E1" w:rsidRPr="00685FF1">
        <w:rPr>
          <w:rStyle w:val="Emphasis"/>
        </w:rPr>
        <w:t>-aquae</w:t>
      </w:r>
      <w:r w:rsidR="00EB38E1">
        <w:t xml:space="preserve"> (which has small cells). When 178,000 cells/mL are converted into mm</w:t>
      </w:r>
      <w:r w:rsidR="00EB38E1" w:rsidRPr="00685FF1">
        <w:rPr>
          <w:vertAlign w:val="superscript"/>
        </w:rPr>
        <w:t>3</w:t>
      </w:r>
      <w:r w:rsidR="00EB38E1">
        <w:t xml:space="preserve">/L, the result for </w:t>
      </w:r>
      <w:r w:rsidR="00EB38E1" w:rsidRPr="00685FF1">
        <w:rPr>
          <w:rStyle w:val="Emphasis"/>
        </w:rPr>
        <w:t>M</w:t>
      </w:r>
      <w:r w:rsidR="00EB38E1">
        <w:rPr>
          <w:rStyle w:val="Emphasis"/>
        </w:rPr>
        <w:t>.</w:t>
      </w:r>
      <w:r w:rsidR="00EB38E1" w:rsidRPr="00685FF1">
        <w:rPr>
          <w:rStyle w:val="Emphasis"/>
        </w:rPr>
        <w:t xml:space="preserve"> aeruginosa</w:t>
      </w:r>
      <w:r w:rsidR="00EB38E1">
        <w:t xml:space="preserve"> is 15.49 mm</w:t>
      </w:r>
      <w:r w:rsidR="00EB38E1" w:rsidRPr="00685FF1">
        <w:rPr>
          <w:vertAlign w:val="superscript"/>
        </w:rPr>
        <w:t>3</w:t>
      </w:r>
      <w:r w:rsidR="00EB38E1">
        <w:t>/L (nearly 4 times higher than the guideline value recommended by NHMRC (2008)</w:t>
      </w:r>
      <w:r w:rsidR="008444CC">
        <w:t xml:space="preserve"> for recreational water</w:t>
      </w:r>
      <w:r w:rsidR="00EB38E1">
        <w:t xml:space="preserve">) whereas the result for </w:t>
      </w:r>
      <w:r w:rsidR="00EB38E1" w:rsidRPr="00685FF1">
        <w:rPr>
          <w:rStyle w:val="Emphasis"/>
        </w:rPr>
        <w:t>M</w:t>
      </w:r>
      <w:r w:rsidR="00EB38E1">
        <w:rPr>
          <w:rStyle w:val="Emphasis"/>
        </w:rPr>
        <w:t>.</w:t>
      </w:r>
      <w:r w:rsidR="00EB38E1">
        <w:t> </w:t>
      </w:r>
      <w:proofErr w:type="spellStart"/>
      <w:r w:rsidR="00EB38E1" w:rsidRPr="00685FF1">
        <w:rPr>
          <w:rStyle w:val="Emphasis"/>
        </w:rPr>
        <w:t>flos</w:t>
      </w:r>
      <w:proofErr w:type="spellEnd"/>
      <w:r w:rsidR="00EB38E1" w:rsidRPr="00685FF1">
        <w:rPr>
          <w:rStyle w:val="Emphasis"/>
        </w:rPr>
        <w:t>-aquae</w:t>
      </w:r>
      <w:r w:rsidR="00EB38E1">
        <w:t xml:space="preserve"> is 3.8 mm</w:t>
      </w:r>
      <w:r w:rsidR="00EB38E1" w:rsidRPr="00685FF1">
        <w:rPr>
          <w:vertAlign w:val="superscript"/>
        </w:rPr>
        <w:t>3</w:t>
      </w:r>
      <w:r w:rsidR="00EB38E1">
        <w:t>/L (below the</w:t>
      </w:r>
      <w:r w:rsidR="008444CC">
        <w:t xml:space="preserve"> recreational water</w:t>
      </w:r>
      <w:r w:rsidR="00EB38E1">
        <w:t xml:space="preserve"> guideline value recommended by NHMRC (2008)). The value of 178,000 cells/mL of </w:t>
      </w:r>
      <w:r w:rsidR="00EB38E1" w:rsidRPr="00685FF1">
        <w:rPr>
          <w:rStyle w:val="Emphasis"/>
        </w:rPr>
        <w:t>M</w:t>
      </w:r>
      <w:r w:rsidR="00EB38E1">
        <w:rPr>
          <w:rStyle w:val="Emphasis"/>
        </w:rPr>
        <w:t>.</w:t>
      </w:r>
      <w:r w:rsidR="00EB38E1">
        <w:t xml:space="preserve"> </w:t>
      </w:r>
      <w:proofErr w:type="spellStart"/>
      <w:r w:rsidR="00EB38E1" w:rsidRPr="00685FF1">
        <w:rPr>
          <w:rStyle w:val="Emphasis"/>
        </w:rPr>
        <w:t>flos</w:t>
      </w:r>
      <w:proofErr w:type="spellEnd"/>
      <w:r w:rsidR="00EB38E1" w:rsidRPr="00685FF1">
        <w:rPr>
          <w:rStyle w:val="Emphasis"/>
        </w:rPr>
        <w:t>-aquae</w:t>
      </w:r>
      <w:r w:rsidR="00EB38E1">
        <w:t xml:space="preserve"> was found in Class A recycled water stored in a dam and a tank on the Northern Adelaide Plains (Kelly &amp; Stevens 2001)</w:t>
      </w:r>
      <w:r w:rsidR="00CB29D0">
        <w:t>; n</w:t>
      </w:r>
      <w:r w:rsidR="00EB38E1">
        <w:t>o toxicity problems were observed when using the water for crop irrigation</w:t>
      </w:r>
      <w:r w:rsidR="00CB29D0">
        <w:t>.</w:t>
      </w:r>
    </w:p>
    <w:p w14:paraId="03F59D4E" w14:textId="77777777" w:rsidR="00F6727A" w:rsidRDefault="00EB38E1" w:rsidP="00F6727A">
      <w:r>
        <w:t xml:space="preserve">For microcystin-producing species other than </w:t>
      </w:r>
      <w:r w:rsidRPr="00DB0941">
        <w:rPr>
          <w:rStyle w:val="Emphasis"/>
        </w:rPr>
        <w:t>M.</w:t>
      </w:r>
      <w:r>
        <w:rPr>
          <w:rStyle w:val="Emphasis"/>
        </w:rPr>
        <w:t> </w:t>
      </w:r>
      <w:r w:rsidRPr="00DB0941">
        <w:rPr>
          <w:rStyle w:val="Emphasis"/>
        </w:rPr>
        <w:t>aeruginosa</w:t>
      </w:r>
      <w:r>
        <w:t>, notifications and alerts should be based on cell biovolumes. In all cases, cell numbers in water should be used only as preliminary signals and as guidelines for toxin testing to enable assessment of potential health risks.</w:t>
      </w:r>
    </w:p>
    <w:p w14:paraId="03F59D4F" w14:textId="77777777" w:rsidR="00F6727A" w:rsidRDefault="00EB38E1" w:rsidP="00F6727A">
      <w:r>
        <w:t xml:space="preserve">For assessing cyanobacteria other than </w:t>
      </w:r>
      <w:r w:rsidRPr="00DB0941">
        <w:rPr>
          <w:rStyle w:val="Emphasis"/>
        </w:rPr>
        <w:t>M</w:t>
      </w:r>
      <w:r>
        <w:rPr>
          <w:rStyle w:val="Emphasis"/>
        </w:rPr>
        <w:t>. </w:t>
      </w:r>
      <w:r w:rsidRPr="00DB0941">
        <w:rPr>
          <w:rStyle w:val="Emphasis"/>
        </w:rPr>
        <w:t>aeruginosa</w:t>
      </w:r>
      <w:r>
        <w:t xml:space="preserve"> (</w:t>
      </w:r>
      <w:proofErr w:type="gramStart"/>
      <w:r>
        <w:t>i.e.</w:t>
      </w:r>
      <w:proofErr w:type="gramEnd"/>
      <w:r>
        <w:t xml:space="preserve"> containing </w:t>
      </w:r>
      <w:proofErr w:type="spellStart"/>
      <w:r>
        <w:t>microcystins</w:t>
      </w:r>
      <w:proofErr w:type="spellEnd"/>
      <w:r>
        <w:t>), the approximate cell biovolume equivalent of 4 mm</w:t>
      </w:r>
      <w:r w:rsidRPr="00080345">
        <w:rPr>
          <w:vertAlign w:val="superscript"/>
        </w:rPr>
        <w:t>3</w:t>
      </w:r>
      <w:r>
        <w:t>/L for the total of all cyanobacteria is recommended (NHMRC 2008).</w:t>
      </w:r>
    </w:p>
    <w:p w14:paraId="03F59D50" w14:textId="61B8460E" w:rsidR="00907E2C" w:rsidRDefault="004537CB" w:rsidP="00FD2341">
      <w:r w:rsidRPr="00280FF0">
        <w:t xml:space="preserve">The Australian Drinking Water Guidelines </w:t>
      </w:r>
      <w:r>
        <w:t>(</w:t>
      </w:r>
      <w:r w:rsidR="00EB38E1">
        <w:t>NHMRC</w:t>
      </w:r>
      <w:r w:rsidR="006B0F92">
        <w:t xml:space="preserve"> &amp; </w:t>
      </w:r>
      <w:r w:rsidR="00EB38E1">
        <w:t xml:space="preserve">NRMMC 2011) recommends that a notification procedure </w:t>
      </w:r>
      <w:r w:rsidR="00D2559F">
        <w:t xml:space="preserve">for the presence of cyanobacteria </w:t>
      </w:r>
      <w:r w:rsidR="00EB38E1">
        <w:t xml:space="preserve">be developed by water and health authorities. A tiered framework should be </w:t>
      </w:r>
      <w:proofErr w:type="gramStart"/>
      <w:r w:rsidR="00EB38E1">
        <w:t>considered</w:t>
      </w:r>
      <w:r w:rsidR="00F6727A">
        <w:t>;</w:t>
      </w:r>
      <w:proofErr w:type="gramEnd"/>
      <w:r w:rsidR="00F6727A">
        <w:t xml:space="preserve"> for example</w:t>
      </w:r>
      <w:r w:rsidR="009703A8">
        <w:t xml:space="preserve">, for </w:t>
      </w:r>
      <w:r w:rsidR="009703A8" w:rsidRPr="00DB0941">
        <w:rPr>
          <w:rStyle w:val="Emphasis"/>
          <w:lang w:eastAsia="ja-JP"/>
        </w:rPr>
        <w:t>M.</w:t>
      </w:r>
      <w:r w:rsidR="009703A8">
        <w:rPr>
          <w:rStyle w:val="Emphasis"/>
          <w:lang w:eastAsia="ja-JP"/>
        </w:rPr>
        <w:t> </w:t>
      </w:r>
      <w:r w:rsidR="009703A8" w:rsidRPr="00DB0941">
        <w:rPr>
          <w:rStyle w:val="Emphasis"/>
          <w:lang w:eastAsia="ja-JP"/>
        </w:rPr>
        <w:t>aeruginosa</w:t>
      </w:r>
      <w:r w:rsidR="00F6727A">
        <w:t>:</w:t>
      </w:r>
    </w:p>
    <w:p w14:paraId="03F59D51" w14:textId="77777777" w:rsidR="00907E2C" w:rsidRDefault="00EB38E1" w:rsidP="00907E2C">
      <w:pPr>
        <w:pStyle w:val="ListBullet"/>
        <w:rPr>
          <w:lang w:eastAsia="ja-JP"/>
        </w:rPr>
      </w:pPr>
      <w:r>
        <w:rPr>
          <w:lang w:eastAsia="ja-JP"/>
        </w:rPr>
        <w:t xml:space="preserve">Initial notification to health authorities could be provided when cell concentrations of </w:t>
      </w:r>
      <w:r w:rsidRPr="00DB0941">
        <w:rPr>
          <w:rStyle w:val="Emphasis"/>
          <w:lang w:eastAsia="ja-JP"/>
        </w:rPr>
        <w:t>M.</w:t>
      </w:r>
      <w:r>
        <w:rPr>
          <w:rStyle w:val="Emphasis"/>
          <w:lang w:eastAsia="ja-JP"/>
        </w:rPr>
        <w:t> </w:t>
      </w:r>
      <w:r w:rsidRPr="00DB0941">
        <w:rPr>
          <w:rStyle w:val="Emphasis"/>
          <w:lang w:eastAsia="ja-JP"/>
        </w:rPr>
        <w:t>aeruginosa</w:t>
      </w:r>
      <w:r>
        <w:rPr>
          <w:lang w:eastAsia="ja-JP"/>
        </w:rPr>
        <w:t xml:space="preserve"> reach 30% of the cell concentration equivalent to the guideline value of 1.3 </w:t>
      </w:r>
      <w:proofErr w:type="spellStart"/>
      <w:r>
        <w:rPr>
          <w:lang w:eastAsia="ja-JP"/>
        </w:rPr>
        <w:t>μg</w:t>
      </w:r>
      <w:proofErr w:type="spellEnd"/>
      <w:r>
        <w:rPr>
          <w:lang w:eastAsia="ja-JP"/>
        </w:rPr>
        <w:t>/L microcystin (2</w:t>
      </w:r>
      <w:r w:rsidR="00F6216C">
        <w:rPr>
          <w:lang w:eastAsia="ja-JP"/>
        </w:rPr>
        <w:t>,</w:t>
      </w:r>
      <w:r>
        <w:rPr>
          <w:lang w:eastAsia="ja-JP"/>
        </w:rPr>
        <w:t>000 cells/mL or cell biovolume 0.2 mm</w:t>
      </w:r>
      <w:r w:rsidRPr="00DB0941">
        <w:rPr>
          <w:vertAlign w:val="superscript"/>
          <w:lang w:eastAsia="ja-JP"/>
        </w:rPr>
        <w:t>3</w:t>
      </w:r>
      <w:r>
        <w:rPr>
          <w:lang w:eastAsia="ja-JP"/>
        </w:rPr>
        <w:t>/L).</w:t>
      </w:r>
    </w:p>
    <w:p w14:paraId="03F59D52" w14:textId="77777777" w:rsidR="00907E2C" w:rsidRDefault="00EB38E1" w:rsidP="00FD2341">
      <w:pPr>
        <w:pStyle w:val="ListBullet"/>
        <w:spacing w:after="240"/>
        <w:rPr>
          <w:lang w:eastAsia="ja-JP"/>
        </w:rPr>
      </w:pPr>
      <w:r>
        <w:rPr>
          <w:lang w:eastAsia="ja-JP"/>
        </w:rPr>
        <w:t>An alert could be provided when cell numbers are equivalent to the guideline value (6</w:t>
      </w:r>
      <w:r w:rsidR="00F6216C">
        <w:rPr>
          <w:lang w:eastAsia="ja-JP"/>
        </w:rPr>
        <w:t>,</w:t>
      </w:r>
      <w:r>
        <w:rPr>
          <w:lang w:eastAsia="ja-JP"/>
        </w:rPr>
        <w:t>500 cells/mL or cell biovolume 0.6 mm</w:t>
      </w:r>
      <w:r w:rsidRPr="00DB0941">
        <w:rPr>
          <w:vertAlign w:val="superscript"/>
          <w:lang w:eastAsia="ja-JP"/>
        </w:rPr>
        <w:t>3</w:t>
      </w:r>
      <w:r>
        <w:rPr>
          <w:lang w:eastAsia="ja-JP"/>
        </w:rPr>
        <w:t>/L).</w:t>
      </w:r>
    </w:p>
    <w:p w14:paraId="2475D0E2" w14:textId="696EEA21" w:rsidR="00AC7149" w:rsidRPr="00280FF0" w:rsidRDefault="009703A8" w:rsidP="00280FF0">
      <w:r w:rsidRPr="00280FF0">
        <w:t>T</w:t>
      </w:r>
      <w:r w:rsidR="00AC7149" w:rsidRPr="00280FF0">
        <w:t xml:space="preserve">he </w:t>
      </w:r>
      <w:r w:rsidRPr="00280FF0">
        <w:t>Australian Drinking Water Guidelines</w:t>
      </w:r>
      <w:r w:rsidR="009F5A34" w:rsidRPr="00280FF0">
        <w:t xml:space="preserve"> have</w:t>
      </w:r>
      <w:r w:rsidR="00AC7149" w:rsidRPr="00280FF0">
        <w:t xml:space="preserve"> equivalent notification procedures for </w:t>
      </w:r>
      <w:proofErr w:type="spellStart"/>
      <w:r w:rsidR="009F5A34" w:rsidRPr="00280FF0">
        <w:rPr>
          <w:i/>
          <w:iCs/>
        </w:rPr>
        <w:t>Raphidiopsis</w:t>
      </w:r>
      <w:proofErr w:type="spellEnd"/>
      <w:r w:rsidR="009F5A34" w:rsidRPr="00280FF0">
        <w:rPr>
          <w:i/>
          <w:iCs/>
        </w:rPr>
        <w:t xml:space="preserve"> </w:t>
      </w:r>
      <w:proofErr w:type="spellStart"/>
      <w:r w:rsidR="009F5A34" w:rsidRPr="00280FF0">
        <w:rPr>
          <w:i/>
          <w:iCs/>
        </w:rPr>
        <w:t>raciborskii</w:t>
      </w:r>
      <w:proofErr w:type="spellEnd"/>
      <w:r w:rsidR="009F5A34" w:rsidRPr="00280FF0">
        <w:t>,</w:t>
      </w:r>
      <w:r w:rsidR="00AC7149" w:rsidRPr="00FA4F2C">
        <w:t xml:space="preserve"> </w:t>
      </w:r>
      <w:proofErr w:type="spellStart"/>
      <w:r w:rsidR="00AC7149" w:rsidRPr="00280FF0">
        <w:rPr>
          <w:i/>
          <w:iCs/>
        </w:rPr>
        <w:t>Nodularia</w:t>
      </w:r>
      <w:proofErr w:type="spellEnd"/>
      <w:r w:rsidR="00AC7149" w:rsidRPr="00280FF0">
        <w:t xml:space="preserve"> and </w:t>
      </w:r>
      <w:r w:rsidR="00AC7149" w:rsidRPr="00280FF0">
        <w:rPr>
          <w:i/>
          <w:iCs/>
        </w:rPr>
        <w:t>Anabaena</w:t>
      </w:r>
      <w:r w:rsidR="00AC7149" w:rsidRPr="00280FF0">
        <w:t>.</w:t>
      </w:r>
    </w:p>
    <w:p w14:paraId="03F59D53" w14:textId="77777777" w:rsidR="000C6B83" w:rsidRDefault="00EB38E1" w:rsidP="000C6B83">
      <w:pPr>
        <w:pStyle w:val="Heading6"/>
        <w:rPr>
          <w:lang w:eastAsia="ja-JP"/>
        </w:rPr>
      </w:pPr>
      <w:r>
        <w:rPr>
          <w:lang w:eastAsia="ja-JP"/>
        </w:rPr>
        <w:t>Prevention</w:t>
      </w:r>
    </w:p>
    <w:p w14:paraId="03F59D54" w14:textId="537D5B6C" w:rsidR="000C6B83" w:rsidRDefault="00EB38E1" w:rsidP="000C6B83">
      <w:pPr>
        <w:rPr>
          <w:highlight w:val="yellow"/>
        </w:rPr>
      </w:pPr>
      <w:r>
        <w:t xml:space="preserve">To minimise monitoring and laboratory analyses, waterbodies are </w:t>
      </w:r>
      <w:r w:rsidR="00F04040">
        <w:t xml:space="preserve">initially </w:t>
      </w:r>
      <w:r>
        <w:t>graded according to their susceptibility to algal blooms</w:t>
      </w:r>
      <w:r w:rsidR="00F04040">
        <w:t>,</w:t>
      </w:r>
      <w:r>
        <w:t xml:space="preserve"> as suggested by GWRC (2004) and NHMRC (2008). </w:t>
      </w:r>
      <w:r w:rsidR="00D2559F">
        <w:t>The w</w:t>
      </w:r>
      <w:r>
        <w:t xml:space="preserve">eight of evidence for establishing the </w:t>
      </w:r>
      <w:r w:rsidR="00D2559F">
        <w:t>likelihood</w:t>
      </w:r>
      <w:r>
        <w:t xml:space="preserve"> of cyanobacteria build-up is in</w:t>
      </w:r>
      <w:r w:rsidR="00D2559F">
        <w:t xml:space="preserve"> Table</w:t>
      </w:r>
      <w:r w:rsidR="00CF1228">
        <w:t> </w:t>
      </w:r>
      <w:r w:rsidR="00D2559F">
        <w:t>3.3</w:t>
      </w:r>
      <w:r>
        <w:t>.</w:t>
      </w:r>
    </w:p>
    <w:p w14:paraId="03F59D55" w14:textId="77777777" w:rsidR="000C6B83" w:rsidRDefault="00EB38E1" w:rsidP="00DF778F">
      <w:pPr>
        <w:pStyle w:val="Caption"/>
      </w:pPr>
      <w:bookmarkStart w:id="145" w:name="_Toc148089845"/>
      <w:r>
        <w:t>Table 3.</w:t>
      </w:r>
      <w:r w:rsidR="00D2559F">
        <w:t>3</w:t>
      </w:r>
      <w:r w:rsidRPr="000D49DD">
        <w:t xml:space="preserve"> Likelihood of cyanobacterial growth</w:t>
      </w:r>
      <w:bookmarkEnd w:id="145"/>
    </w:p>
    <w:tbl>
      <w:tblPr>
        <w:tblW w:w="5000" w:type="pct"/>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984"/>
        <w:gridCol w:w="1702"/>
        <w:gridCol w:w="1985"/>
        <w:gridCol w:w="1585"/>
        <w:gridCol w:w="1814"/>
      </w:tblGrid>
      <w:tr w:rsidR="0054058D" w14:paraId="03F59D5B" w14:textId="77777777" w:rsidTr="0053429C">
        <w:trPr>
          <w:cantSplit/>
          <w:tblHeader/>
        </w:trPr>
        <w:tc>
          <w:tcPr>
            <w:tcW w:w="1094" w:type="pct"/>
            <w:tcBorders>
              <w:top w:val="single" w:sz="12" w:space="0" w:color="000000"/>
              <w:bottom w:val="single" w:sz="12" w:space="0" w:color="000000"/>
            </w:tcBorders>
            <w:shd w:val="clear" w:color="auto" w:fill="auto"/>
          </w:tcPr>
          <w:p w14:paraId="03F59D56" w14:textId="77777777" w:rsidR="000C6B83" w:rsidRPr="000D49DD" w:rsidRDefault="00EB38E1" w:rsidP="0053429C">
            <w:pPr>
              <w:pStyle w:val="TableHeading"/>
            </w:pPr>
            <w:r w:rsidRPr="000D49DD">
              <w:t>Likelihood of cyanobacterial growth</w:t>
            </w:r>
          </w:p>
        </w:tc>
        <w:tc>
          <w:tcPr>
            <w:tcW w:w="938" w:type="pct"/>
            <w:tcBorders>
              <w:top w:val="single" w:sz="12" w:space="0" w:color="000000"/>
              <w:bottom w:val="single" w:sz="12" w:space="0" w:color="000000"/>
            </w:tcBorders>
            <w:shd w:val="clear" w:color="auto" w:fill="auto"/>
          </w:tcPr>
          <w:p w14:paraId="03F59D57" w14:textId="77777777" w:rsidR="000C6B83" w:rsidRPr="000D49DD" w:rsidRDefault="00EB38E1" w:rsidP="0053429C">
            <w:pPr>
              <w:pStyle w:val="TableHeading"/>
            </w:pPr>
            <w:r w:rsidRPr="000D49DD">
              <w:t>History of previous algal blooms</w:t>
            </w:r>
          </w:p>
        </w:tc>
        <w:tc>
          <w:tcPr>
            <w:tcW w:w="1094" w:type="pct"/>
            <w:tcBorders>
              <w:top w:val="single" w:sz="12" w:space="0" w:color="000000"/>
              <w:bottom w:val="single" w:sz="12" w:space="0" w:color="000000"/>
            </w:tcBorders>
            <w:shd w:val="clear" w:color="auto" w:fill="auto"/>
          </w:tcPr>
          <w:p w14:paraId="03F59D58" w14:textId="77777777" w:rsidR="000C6B83" w:rsidRPr="000D49DD" w:rsidRDefault="00EB38E1" w:rsidP="00607CB0">
            <w:pPr>
              <w:pStyle w:val="TableHeading"/>
            </w:pPr>
            <w:r w:rsidRPr="000D49DD">
              <w:t>Water temperature</w:t>
            </w:r>
            <w:r>
              <w:t xml:space="preserve"> </w:t>
            </w:r>
            <w:r w:rsidRPr="000D49DD">
              <w:t>planktonic/benthic</w:t>
            </w:r>
            <w:r>
              <w:t xml:space="preserve"> </w:t>
            </w:r>
            <w:r w:rsidRPr="000D49DD">
              <w:t>(°C)</w:t>
            </w:r>
          </w:p>
        </w:tc>
        <w:tc>
          <w:tcPr>
            <w:tcW w:w="874" w:type="pct"/>
            <w:tcBorders>
              <w:top w:val="single" w:sz="12" w:space="0" w:color="000000"/>
              <w:bottom w:val="single" w:sz="12" w:space="0" w:color="000000"/>
            </w:tcBorders>
            <w:shd w:val="clear" w:color="auto" w:fill="auto"/>
          </w:tcPr>
          <w:p w14:paraId="03F59D59" w14:textId="77777777" w:rsidR="000C6B83" w:rsidRPr="000D49DD" w:rsidRDefault="00EB38E1" w:rsidP="00607CB0">
            <w:pPr>
              <w:pStyle w:val="TableHeading"/>
            </w:pPr>
            <w:r w:rsidRPr="000D49DD">
              <w:t>Total phosphorus (µg/L)</w:t>
            </w:r>
          </w:p>
        </w:tc>
        <w:tc>
          <w:tcPr>
            <w:tcW w:w="1000" w:type="pct"/>
            <w:tcBorders>
              <w:top w:val="single" w:sz="12" w:space="0" w:color="000000"/>
              <w:bottom w:val="single" w:sz="12" w:space="0" w:color="000000"/>
            </w:tcBorders>
            <w:shd w:val="clear" w:color="auto" w:fill="auto"/>
          </w:tcPr>
          <w:p w14:paraId="03F59D5A" w14:textId="77777777" w:rsidR="000C6B83" w:rsidRPr="000D49DD" w:rsidRDefault="00EB38E1" w:rsidP="0053429C">
            <w:pPr>
              <w:pStyle w:val="TableHeading"/>
            </w:pPr>
            <w:r w:rsidRPr="000D49DD">
              <w:t>Thermal stratification</w:t>
            </w:r>
          </w:p>
        </w:tc>
      </w:tr>
      <w:tr w:rsidR="0054058D" w14:paraId="03F59D61" w14:textId="77777777" w:rsidTr="0053429C">
        <w:trPr>
          <w:cantSplit/>
        </w:trPr>
        <w:tc>
          <w:tcPr>
            <w:tcW w:w="1094" w:type="pct"/>
            <w:tcBorders>
              <w:top w:val="single" w:sz="12" w:space="0" w:color="000000"/>
            </w:tcBorders>
            <w:shd w:val="clear" w:color="auto" w:fill="auto"/>
          </w:tcPr>
          <w:p w14:paraId="03F59D5C" w14:textId="77777777" w:rsidR="000C6B83" w:rsidRPr="000D49DD" w:rsidRDefault="00EB38E1" w:rsidP="0053429C">
            <w:pPr>
              <w:pStyle w:val="TableText"/>
            </w:pPr>
            <w:r w:rsidRPr="000D49DD">
              <w:t>Rare</w:t>
            </w:r>
          </w:p>
        </w:tc>
        <w:tc>
          <w:tcPr>
            <w:tcW w:w="938" w:type="pct"/>
            <w:tcBorders>
              <w:top w:val="single" w:sz="12" w:space="0" w:color="000000"/>
            </w:tcBorders>
            <w:shd w:val="clear" w:color="auto" w:fill="auto"/>
          </w:tcPr>
          <w:p w14:paraId="03F59D5D" w14:textId="77777777" w:rsidR="000C6B83" w:rsidRPr="000D49DD" w:rsidRDefault="00EB38E1" w:rsidP="0053429C">
            <w:pPr>
              <w:pStyle w:val="TableText"/>
            </w:pPr>
            <w:r w:rsidRPr="000D49DD">
              <w:t>No</w:t>
            </w:r>
          </w:p>
        </w:tc>
        <w:tc>
          <w:tcPr>
            <w:tcW w:w="1094" w:type="pct"/>
            <w:tcBorders>
              <w:top w:val="single" w:sz="12" w:space="0" w:color="000000"/>
            </w:tcBorders>
            <w:shd w:val="clear" w:color="auto" w:fill="auto"/>
          </w:tcPr>
          <w:p w14:paraId="03F59D5E" w14:textId="77777777" w:rsidR="000C6B83" w:rsidRPr="000D49DD" w:rsidRDefault="00EB38E1" w:rsidP="00607CB0">
            <w:pPr>
              <w:pStyle w:val="TableText"/>
            </w:pPr>
            <w:r w:rsidRPr="000D49DD">
              <w:t>&lt;15/&lt;12</w:t>
            </w:r>
          </w:p>
        </w:tc>
        <w:tc>
          <w:tcPr>
            <w:tcW w:w="874" w:type="pct"/>
            <w:tcBorders>
              <w:top w:val="single" w:sz="12" w:space="0" w:color="000000"/>
            </w:tcBorders>
            <w:shd w:val="clear" w:color="auto" w:fill="auto"/>
          </w:tcPr>
          <w:p w14:paraId="03F59D5F" w14:textId="77777777" w:rsidR="000C6B83" w:rsidRPr="000D49DD" w:rsidRDefault="00EB38E1" w:rsidP="00607CB0">
            <w:pPr>
              <w:pStyle w:val="TableText"/>
            </w:pPr>
            <w:r w:rsidRPr="000D49DD">
              <w:t>&lt;10</w:t>
            </w:r>
          </w:p>
        </w:tc>
        <w:tc>
          <w:tcPr>
            <w:tcW w:w="1000" w:type="pct"/>
            <w:tcBorders>
              <w:top w:val="single" w:sz="12" w:space="0" w:color="000000"/>
            </w:tcBorders>
            <w:shd w:val="clear" w:color="auto" w:fill="auto"/>
          </w:tcPr>
          <w:p w14:paraId="03F59D60" w14:textId="77777777" w:rsidR="000C6B83" w:rsidRPr="000D49DD" w:rsidRDefault="00EB38E1" w:rsidP="0053429C">
            <w:pPr>
              <w:pStyle w:val="TableText"/>
            </w:pPr>
            <w:r w:rsidRPr="000D49DD">
              <w:t>None</w:t>
            </w:r>
          </w:p>
        </w:tc>
      </w:tr>
      <w:tr w:rsidR="0054058D" w14:paraId="03F59D67" w14:textId="77777777" w:rsidTr="0053429C">
        <w:trPr>
          <w:cantSplit/>
        </w:trPr>
        <w:tc>
          <w:tcPr>
            <w:tcW w:w="1094" w:type="pct"/>
            <w:shd w:val="clear" w:color="auto" w:fill="auto"/>
          </w:tcPr>
          <w:p w14:paraId="03F59D62" w14:textId="77777777" w:rsidR="000C6B83" w:rsidRPr="000D49DD" w:rsidRDefault="00EB38E1" w:rsidP="0053429C">
            <w:pPr>
              <w:pStyle w:val="TableText"/>
            </w:pPr>
            <w:r w:rsidRPr="000D49DD">
              <w:t>Unlikely</w:t>
            </w:r>
          </w:p>
        </w:tc>
        <w:tc>
          <w:tcPr>
            <w:tcW w:w="938" w:type="pct"/>
            <w:shd w:val="clear" w:color="auto" w:fill="auto"/>
          </w:tcPr>
          <w:p w14:paraId="03F59D63" w14:textId="77777777" w:rsidR="000C6B83" w:rsidRPr="000D49DD" w:rsidRDefault="00EB38E1" w:rsidP="0053429C">
            <w:pPr>
              <w:pStyle w:val="TableText"/>
            </w:pPr>
            <w:r w:rsidRPr="000D49DD">
              <w:t>Yes</w:t>
            </w:r>
          </w:p>
        </w:tc>
        <w:tc>
          <w:tcPr>
            <w:tcW w:w="1094" w:type="pct"/>
            <w:shd w:val="clear" w:color="auto" w:fill="auto"/>
          </w:tcPr>
          <w:p w14:paraId="03F59D64" w14:textId="77777777" w:rsidR="000C6B83" w:rsidRPr="000D49DD" w:rsidRDefault="00EB38E1" w:rsidP="00607CB0">
            <w:pPr>
              <w:pStyle w:val="TableText"/>
            </w:pPr>
            <w:r w:rsidRPr="000D49DD">
              <w:t>15</w:t>
            </w:r>
            <w:r>
              <w:rPr>
                <w:rFonts w:cstheme="minorHAnsi"/>
              </w:rPr>
              <w:t>–</w:t>
            </w:r>
            <w:r w:rsidRPr="000D49DD">
              <w:t>20/12</w:t>
            </w:r>
            <w:r>
              <w:rPr>
                <w:rFonts w:cstheme="minorHAnsi"/>
              </w:rPr>
              <w:t>–</w:t>
            </w:r>
            <w:r w:rsidRPr="000D49DD">
              <w:t>15</w:t>
            </w:r>
          </w:p>
        </w:tc>
        <w:tc>
          <w:tcPr>
            <w:tcW w:w="874" w:type="pct"/>
            <w:shd w:val="clear" w:color="auto" w:fill="auto"/>
          </w:tcPr>
          <w:p w14:paraId="03F59D65" w14:textId="77777777" w:rsidR="000C6B83" w:rsidRPr="000D49DD" w:rsidRDefault="00EB38E1" w:rsidP="00607CB0">
            <w:pPr>
              <w:pStyle w:val="TableText"/>
            </w:pPr>
            <w:r w:rsidRPr="000D49DD">
              <w:t>&lt;10</w:t>
            </w:r>
          </w:p>
        </w:tc>
        <w:tc>
          <w:tcPr>
            <w:tcW w:w="1000" w:type="pct"/>
            <w:shd w:val="clear" w:color="auto" w:fill="auto"/>
          </w:tcPr>
          <w:p w14:paraId="03F59D66" w14:textId="77777777" w:rsidR="000C6B83" w:rsidRPr="000D49DD" w:rsidRDefault="00EB38E1" w:rsidP="0053429C">
            <w:pPr>
              <w:pStyle w:val="TableText"/>
            </w:pPr>
            <w:r w:rsidRPr="000D49DD">
              <w:t>Infrequent</w:t>
            </w:r>
          </w:p>
        </w:tc>
      </w:tr>
      <w:tr w:rsidR="0054058D" w14:paraId="03F59D6D" w14:textId="77777777" w:rsidTr="0053429C">
        <w:trPr>
          <w:cantSplit/>
        </w:trPr>
        <w:tc>
          <w:tcPr>
            <w:tcW w:w="1094" w:type="pct"/>
            <w:shd w:val="clear" w:color="auto" w:fill="auto"/>
          </w:tcPr>
          <w:p w14:paraId="03F59D68" w14:textId="77777777" w:rsidR="000C6B83" w:rsidRPr="000D49DD" w:rsidRDefault="00EB38E1" w:rsidP="0053429C">
            <w:pPr>
              <w:pStyle w:val="TableText"/>
            </w:pPr>
            <w:r w:rsidRPr="000D49DD">
              <w:t>Possible</w:t>
            </w:r>
          </w:p>
        </w:tc>
        <w:tc>
          <w:tcPr>
            <w:tcW w:w="938" w:type="pct"/>
            <w:shd w:val="clear" w:color="auto" w:fill="auto"/>
          </w:tcPr>
          <w:p w14:paraId="03F59D69" w14:textId="77777777" w:rsidR="000C6B83" w:rsidRPr="000D49DD" w:rsidRDefault="00EB38E1" w:rsidP="0053429C">
            <w:pPr>
              <w:pStyle w:val="TableText"/>
            </w:pPr>
            <w:r w:rsidRPr="000D49DD">
              <w:t>Yes</w:t>
            </w:r>
          </w:p>
        </w:tc>
        <w:tc>
          <w:tcPr>
            <w:tcW w:w="1094" w:type="pct"/>
            <w:shd w:val="clear" w:color="auto" w:fill="auto"/>
          </w:tcPr>
          <w:p w14:paraId="03F59D6A" w14:textId="77777777" w:rsidR="000C6B83" w:rsidRPr="000D49DD" w:rsidRDefault="00EB38E1" w:rsidP="00607CB0">
            <w:pPr>
              <w:pStyle w:val="TableText"/>
            </w:pPr>
            <w:r w:rsidRPr="000D49DD">
              <w:t>20</w:t>
            </w:r>
            <w:r>
              <w:rPr>
                <w:rFonts w:cstheme="minorHAnsi"/>
              </w:rPr>
              <w:t>–</w:t>
            </w:r>
            <w:r w:rsidRPr="000D49DD">
              <w:t>25/15</w:t>
            </w:r>
            <w:r>
              <w:rPr>
                <w:rFonts w:cstheme="minorHAnsi"/>
              </w:rPr>
              <w:t>–</w:t>
            </w:r>
            <w:r w:rsidRPr="000D49DD">
              <w:t>20</w:t>
            </w:r>
          </w:p>
        </w:tc>
        <w:tc>
          <w:tcPr>
            <w:tcW w:w="874" w:type="pct"/>
            <w:shd w:val="clear" w:color="auto" w:fill="auto"/>
          </w:tcPr>
          <w:p w14:paraId="03F59D6B" w14:textId="77777777" w:rsidR="000C6B83" w:rsidRPr="000D49DD" w:rsidRDefault="00EB38E1" w:rsidP="00607CB0">
            <w:pPr>
              <w:pStyle w:val="TableText"/>
            </w:pPr>
            <w:r w:rsidRPr="000D49DD">
              <w:t>10</w:t>
            </w:r>
            <w:r>
              <w:t>–</w:t>
            </w:r>
            <w:r w:rsidRPr="000D49DD">
              <w:t>25</w:t>
            </w:r>
          </w:p>
        </w:tc>
        <w:tc>
          <w:tcPr>
            <w:tcW w:w="1000" w:type="pct"/>
            <w:shd w:val="clear" w:color="auto" w:fill="auto"/>
          </w:tcPr>
          <w:p w14:paraId="03F59D6C" w14:textId="77777777" w:rsidR="000C6B83" w:rsidRPr="000D49DD" w:rsidRDefault="00EB38E1" w:rsidP="0053429C">
            <w:pPr>
              <w:pStyle w:val="TableText"/>
            </w:pPr>
            <w:r w:rsidRPr="000D49DD">
              <w:t>Occasional</w:t>
            </w:r>
          </w:p>
        </w:tc>
      </w:tr>
      <w:tr w:rsidR="0054058D" w14:paraId="03F59D73" w14:textId="77777777" w:rsidTr="0053429C">
        <w:trPr>
          <w:cantSplit/>
        </w:trPr>
        <w:tc>
          <w:tcPr>
            <w:tcW w:w="1094" w:type="pct"/>
            <w:tcBorders>
              <w:bottom w:val="single" w:sz="4" w:space="0" w:color="000000"/>
            </w:tcBorders>
            <w:shd w:val="clear" w:color="auto" w:fill="auto"/>
          </w:tcPr>
          <w:p w14:paraId="03F59D6E" w14:textId="0B2922B7" w:rsidR="000C6B83" w:rsidRPr="000D49DD" w:rsidRDefault="00EB38E1" w:rsidP="0053429C">
            <w:pPr>
              <w:pStyle w:val="TableText"/>
            </w:pPr>
            <w:r w:rsidRPr="000D49DD">
              <w:t>Likel</w:t>
            </w:r>
            <w:r w:rsidR="00215B7C">
              <w:t>y</w:t>
            </w:r>
          </w:p>
        </w:tc>
        <w:tc>
          <w:tcPr>
            <w:tcW w:w="938" w:type="pct"/>
            <w:tcBorders>
              <w:bottom w:val="single" w:sz="4" w:space="0" w:color="000000"/>
            </w:tcBorders>
            <w:shd w:val="clear" w:color="auto" w:fill="auto"/>
          </w:tcPr>
          <w:p w14:paraId="03F59D6F" w14:textId="77777777" w:rsidR="000C6B83" w:rsidRPr="000D49DD" w:rsidRDefault="00EB38E1" w:rsidP="0053429C">
            <w:pPr>
              <w:pStyle w:val="TableText"/>
            </w:pPr>
            <w:r w:rsidRPr="000D49DD">
              <w:t>Yes</w:t>
            </w:r>
          </w:p>
        </w:tc>
        <w:tc>
          <w:tcPr>
            <w:tcW w:w="1094" w:type="pct"/>
            <w:tcBorders>
              <w:bottom w:val="single" w:sz="4" w:space="0" w:color="000000"/>
            </w:tcBorders>
            <w:shd w:val="clear" w:color="auto" w:fill="auto"/>
          </w:tcPr>
          <w:p w14:paraId="03F59D70" w14:textId="77777777" w:rsidR="000C6B83" w:rsidRPr="000D49DD" w:rsidRDefault="00EB38E1" w:rsidP="00607CB0">
            <w:pPr>
              <w:pStyle w:val="TableText"/>
            </w:pPr>
            <w:r w:rsidRPr="000D49DD">
              <w:t>&gt;25/20</w:t>
            </w:r>
            <w:r>
              <w:rPr>
                <w:rFonts w:cstheme="minorHAnsi"/>
              </w:rPr>
              <w:t>–</w:t>
            </w:r>
            <w:r w:rsidRPr="000D49DD">
              <w:t>20</w:t>
            </w:r>
          </w:p>
        </w:tc>
        <w:tc>
          <w:tcPr>
            <w:tcW w:w="874" w:type="pct"/>
            <w:tcBorders>
              <w:bottom w:val="single" w:sz="4" w:space="0" w:color="000000"/>
            </w:tcBorders>
            <w:shd w:val="clear" w:color="auto" w:fill="auto"/>
          </w:tcPr>
          <w:p w14:paraId="03F59D71" w14:textId="77777777" w:rsidR="000C6B83" w:rsidRPr="000D49DD" w:rsidRDefault="00EB38E1" w:rsidP="00607CB0">
            <w:pPr>
              <w:pStyle w:val="TableText"/>
            </w:pPr>
            <w:r w:rsidRPr="000D49DD">
              <w:t>25</w:t>
            </w:r>
            <w:r>
              <w:t>–</w:t>
            </w:r>
            <w:r w:rsidRPr="000D49DD">
              <w:t>100</w:t>
            </w:r>
          </w:p>
        </w:tc>
        <w:tc>
          <w:tcPr>
            <w:tcW w:w="1000" w:type="pct"/>
            <w:tcBorders>
              <w:bottom w:val="single" w:sz="4" w:space="0" w:color="000000"/>
            </w:tcBorders>
            <w:shd w:val="clear" w:color="auto" w:fill="auto"/>
          </w:tcPr>
          <w:p w14:paraId="03F59D72" w14:textId="77777777" w:rsidR="000C6B83" w:rsidRPr="000D49DD" w:rsidRDefault="00EB38E1" w:rsidP="0053429C">
            <w:pPr>
              <w:pStyle w:val="TableText"/>
            </w:pPr>
            <w:r w:rsidRPr="000D49DD">
              <w:t>Frequent and persistent</w:t>
            </w:r>
          </w:p>
        </w:tc>
      </w:tr>
      <w:tr w:rsidR="0054058D" w14:paraId="03F59D79" w14:textId="77777777" w:rsidTr="0053429C">
        <w:trPr>
          <w:cantSplit/>
        </w:trPr>
        <w:tc>
          <w:tcPr>
            <w:tcW w:w="1094" w:type="pct"/>
            <w:tcBorders>
              <w:bottom w:val="single" w:sz="12" w:space="0" w:color="000000"/>
            </w:tcBorders>
            <w:shd w:val="clear" w:color="auto" w:fill="auto"/>
          </w:tcPr>
          <w:p w14:paraId="03F59D74" w14:textId="77777777" w:rsidR="000C6B83" w:rsidRPr="000D49DD" w:rsidRDefault="00EB38E1" w:rsidP="0053429C">
            <w:pPr>
              <w:pStyle w:val="TableText"/>
            </w:pPr>
            <w:r w:rsidRPr="000D49DD">
              <w:t>Certain</w:t>
            </w:r>
          </w:p>
        </w:tc>
        <w:tc>
          <w:tcPr>
            <w:tcW w:w="938" w:type="pct"/>
            <w:tcBorders>
              <w:bottom w:val="single" w:sz="12" w:space="0" w:color="000000"/>
            </w:tcBorders>
            <w:shd w:val="clear" w:color="auto" w:fill="auto"/>
          </w:tcPr>
          <w:p w14:paraId="03F59D75" w14:textId="77777777" w:rsidR="000C6B83" w:rsidRPr="000D49DD" w:rsidRDefault="00EB38E1" w:rsidP="0053429C">
            <w:pPr>
              <w:pStyle w:val="TableText"/>
            </w:pPr>
            <w:r w:rsidRPr="000D49DD">
              <w:t>Yes</w:t>
            </w:r>
          </w:p>
        </w:tc>
        <w:tc>
          <w:tcPr>
            <w:tcW w:w="1094" w:type="pct"/>
            <w:tcBorders>
              <w:bottom w:val="single" w:sz="12" w:space="0" w:color="000000"/>
            </w:tcBorders>
            <w:shd w:val="clear" w:color="auto" w:fill="auto"/>
          </w:tcPr>
          <w:p w14:paraId="03F59D76" w14:textId="77777777" w:rsidR="000C6B83" w:rsidRPr="000D49DD" w:rsidRDefault="00EB38E1" w:rsidP="00607CB0">
            <w:pPr>
              <w:pStyle w:val="TableText"/>
            </w:pPr>
            <w:r w:rsidRPr="000D49DD">
              <w:t>&gt;25/&gt;25</w:t>
            </w:r>
          </w:p>
        </w:tc>
        <w:tc>
          <w:tcPr>
            <w:tcW w:w="874" w:type="pct"/>
            <w:tcBorders>
              <w:bottom w:val="single" w:sz="12" w:space="0" w:color="000000"/>
            </w:tcBorders>
            <w:shd w:val="clear" w:color="auto" w:fill="auto"/>
          </w:tcPr>
          <w:p w14:paraId="03F59D77" w14:textId="77777777" w:rsidR="000C6B83" w:rsidRPr="000D49DD" w:rsidRDefault="00EB38E1" w:rsidP="00607CB0">
            <w:pPr>
              <w:pStyle w:val="TableText"/>
            </w:pPr>
            <w:r w:rsidRPr="000D49DD">
              <w:t>&gt;100</w:t>
            </w:r>
          </w:p>
        </w:tc>
        <w:tc>
          <w:tcPr>
            <w:tcW w:w="1000" w:type="pct"/>
            <w:tcBorders>
              <w:bottom w:val="single" w:sz="12" w:space="0" w:color="000000"/>
            </w:tcBorders>
            <w:shd w:val="clear" w:color="auto" w:fill="auto"/>
          </w:tcPr>
          <w:p w14:paraId="03F59D78" w14:textId="77777777" w:rsidR="000C6B83" w:rsidRPr="000D49DD" w:rsidRDefault="00EB38E1" w:rsidP="0053429C">
            <w:pPr>
              <w:pStyle w:val="TableText"/>
            </w:pPr>
            <w:r w:rsidRPr="000D49DD">
              <w:t>Frequent and persistent/strong</w:t>
            </w:r>
          </w:p>
        </w:tc>
      </w:tr>
    </w:tbl>
    <w:p w14:paraId="03F59D7A" w14:textId="701A3743" w:rsidR="000C6B83" w:rsidRDefault="00EB38E1" w:rsidP="000C6B83">
      <w:pPr>
        <w:pStyle w:val="FigureTableNoteSource"/>
      </w:pPr>
      <w:r>
        <w:t xml:space="preserve">Source: </w:t>
      </w:r>
      <w:r w:rsidR="00EB3359">
        <w:t>A</w:t>
      </w:r>
      <w:r>
        <w:t>dapted from GWRC (2004)</w:t>
      </w:r>
    </w:p>
    <w:p w14:paraId="03F59D7B" w14:textId="38C708C4" w:rsidR="00D2559F" w:rsidRDefault="00EB38E1" w:rsidP="00D2559F">
      <w:r>
        <w:t>Table 3.3 is used in Step 1 of the risk management plan (Table</w:t>
      </w:r>
      <w:r w:rsidR="007F408E">
        <w:t> </w:t>
      </w:r>
      <w:r>
        <w:t xml:space="preserve">3.4). Further weight of evidence can be accumulated by considering site-specific conditions </w:t>
      </w:r>
      <w:r w:rsidR="00607CB0">
        <w:t>(</w:t>
      </w:r>
      <w:proofErr w:type="gramStart"/>
      <w:r>
        <w:t>e.g.</w:t>
      </w:r>
      <w:proofErr w:type="gramEnd"/>
      <w:r>
        <w:t> the livestock species, production system and water intake).</w:t>
      </w:r>
    </w:p>
    <w:p w14:paraId="03F59D7C" w14:textId="77777777" w:rsidR="000C6B83" w:rsidRDefault="00EB38E1" w:rsidP="000C6B83">
      <w:r>
        <w:lastRenderedPageBreak/>
        <w:t>Water considered high risk would have a more rigorous monitoring plan at high</w:t>
      </w:r>
      <w:r w:rsidR="00D2559F">
        <w:t>-</w:t>
      </w:r>
      <w:r>
        <w:t>risk times of the year than those considered low risk.</w:t>
      </w:r>
    </w:p>
    <w:p w14:paraId="03F59D7D" w14:textId="77777777" w:rsidR="00D2559F" w:rsidRDefault="00EB38E1" w:rsidP="00D2559F">
      <w:pPr>
        <w:pStyle w:val="Heading6"/>
        <w:rPr>
          <w:lang w:eastAsia="ja-JP"/>
        </w:rPr>
      </w:pPr>
      <w:bookmarkStart w:id="146" w:name="_Toc134442293"/>
      <w:r>
        <w:rPr>
          <w:lang w:eastAsia="ja-JP"/>
        </w:rPr>
        <w:t>Risk management plan</w:t>
      </w:r>
    </w:p>
    <w:p w14:paraId="03F59D7E" w14:textId="77777777" w:rsidR="00D2559F" w:rsidRDefault="00EB38E1" w:rsidP="00D2559F">
      <w:r>
        <w:t>Table 3.4 outlines a cyanobacteria risk management plan that can be adapted for individual conditions. It is based on a plan created by TEPA (2011) for wastewater.</w:t>
      </w:r>
    </w:p>
    <w:p w14:paraId="03F59D7F" w14:textId="3BDD2376" w:rsidR="00D2559F" w:rsidRDefault="00EB38E1" w:rsidP="00D2559F">
      <w:r>
        <w:t xml:space="preserve">A separate risk management plan should be derived for benthic cyanobacteria because their growth and toxin release </w:t>
      </w:r>
      <w:proofErr w:type="gramStart"/>
      <w:r>
        <w:t>appears</w:t>
      </w:r>
      <w:proofErr w:type="gramEnd"/>
      <w:r>
        <w:t xml:space="preserve"> to be affected by different factors or different levels of factors. For example, temperature is just as important for benthic cyanobacteria as for planktonic species. However, they have been observed to release cytotoxins at temperatures lower than those observed for toxin release by planktonic cyanobacteria (Mez et al. 1997). New Zealand </w:t>
      </w:r>
      <w:r w:rsidR="004B5F18">
        <w:t>developed</w:t>
      </w:r>
      <w:r>
        <w:t xml:space="preserve"> interim guidelines for benthic cyanobacteria in fresh waters used for recreation </w:t>
      </w:r>
      <w:r w:rsidR="004B5F18">
        <w:t xml:space="preserve">in 2009 </w:t>
      </w:r>
      <w:r>
        <w:t>(Wood et al. 2009)</w:t>
      </w:r>
      <w:r w:rsidR="004B5F18">
        <w:t>; these were updated in 20</w:t>
      </w:r>
      <w:r w:rsidR="00181E93">
        <w:t>22</w:t>
      </w:r>
      <w:r w:rsidR="007A2725">
        <w:t xml:space="preserve"> (</w:t>
      </w:r>
      <w:proofErr w:type="spellStart"/>
      <w:r w:rsidR="008C0E96">
        <w:t>Puddick</w:t>
      </w:r>
      <w:proofErr w:type="spellEnd"/>
      <w:r w:rsidR="008C0E96">
        <w:t xml:space="preserve"> et al. 2022)</w:t>
      </w:r>
      <w:r>
        <w:t>.</w:t>
      </w:r>
    </w:p>
    <w:p w14:paraId="03F59D80" w14:textId="77777777" w:rsidR="00D2559F" w:rsidRDefault="00EB38E1" w:rsidP="00DF778F">
      <w:pPr>
        <w:pStyle w:val="Caption"/>
      </w:pPr>
      <w:bookmarkStart w:id="147" w:name="_Toc148089846"/>
      <w:r>
        <w:t>Table 3.4</w:t>
      </w:r>
      <w:r w:rsidRPr="00643538">
        <w:t xml:space="preserve"> </w:t>
      </w:r>
      <w:r>
        <w:t>Example of c</w:t>
      </w:r>
      <w:r w:rsidRPr="00643538">
        <w:t xml:space="preserve">yanobacteria </w:t>
      </w:r>
      <w:r>
        <w:t>risk management plan</w:t>
      </w:r>
      <w:bookmarkEnd w:id="147"/>
    </w:p>
    <w:tbl>
      <w:tblPr>
        <w:tblW w:w="5314" w:type="pct"/>
        <w:tblBorders>
          <w:top w:val="single" w:sz="4" w:space="0" w:color="000000"/>
          <w:bottom w:val="single" w:sz="4" w:space="0" w:color="000000"/>
          <w:insideH w:val="single" w:sz="4" w:space="0" w:color="000000"/>
        </w:tblBorders>
        <w:tblLook w:val="04A0" w:firstRow="1" w:lastRow="0" w:firstColumn="1" w:lastColumn="0" w:noHBand="0" w:noVBand="1"/>
      </w:tblPr>
      <w:tblGrid>
        <w:gridCol w:w="1192"/>
        <w:gridCol w:w="2816"/>
        <w:gridCol w:w="2817"/>
        <w:gridCol w:w="2815"/>
      </w:tblGrid>
      <w:tr w:rsidR="0054058D" w14:paraId="03F59D85" w14:textId="77777777" w:rsidTr="001F1C34">
        <w:trPr>
          <w:tblHeader/>
        </w:trPr>
        <w:tc>
          <w:tcPr>
            <w:tcW w:w="618" w:type="pct"/>
            <w:tcBorders>
              <w:top w:val="single" w:sz="12" w:space="0" w:color="000000"/>
              <w:bottom w:val="single" w:sz="12" w:space="0" w:color="000000"/>
            </w:tcBorders>
            <w:shd w:val="clear" w:color="auto" w:fill="auto"/>
          </w:tcPr>
          <w:p w14:paraId="03F59D81" w14:textId="77777777" w:rsidR="00D2559F" w:rsidRPr="00E569B9" w:rsidRDefault="00EB38E1" w:rsidP="001F1C34">
            <w:pPr>
              <w:pStyle w:val="TableHeading"/>
            </w:pPr>
            <w:r w:rsidRPr="00E569B9">
              <w:t xml:space="preserve">Alert level </w:t>
            </w:r>
          </w:p>
        </w:tc>
        <w:tc>
          <w:tcPr>
            <w:tcW w:w="1461" w:type="pct"/>
            <w:tcBorders>
              <w:top w:val="single" w:sz="12" w:space="0" w:color="000000"/>
              <w:bottom w:val="single" w:sz="12" w:space="0" w:color="000000"/>
            </w:tcBorders>
            <w:shd w:val="clear" w:color="auto" w:fill="auto"/>
          </w:tcPr>
          <w:p w14:paraId="03F59D82" w14:textId="46A811C2" w:rsidR="00D2559F" w:rsidRPr="00E569B9" w:rsidRDefault="00EB38E1" w:rsidP="001F1C34">
            <w:pPr>
              <w:pStyle w:val="TableHeading"/>
            </w:pPr>
            <w:r w:rsidRPr="00E569B9">
              <w:t xml:space="preserve">Monitoring </w:t>
            </w:r>
            <w:proofErr w:type="spellStart"/>
            <w:r w:rsidRPr="00E569B9">
              <w:t>actions</w:t>
            </w:r>
            <w:r w:rsidRPr="005417B8">
              <w:rPr>
                <w:rStyle w:val="Strong"/>
                <w:b/>
                <w:vertAlign w:val="superscript"/>
              </w:rPr>
              <w:t>a</w:t>
            </w:r>
            <w:proofErr w:type="spellEnd"/>
          </w:p>
        </w:tc>
        <w:tc>
          <w:tcPr>
            <w:tcW w:w="1461" w:type="pct"/>
            <w:tcBorders>
              <w:top w:val="single" w:sz="12" w:space="0" w:color="000000"/>
              <w:bottom w:val="single" w:sz="12" w:space="0" w:color="000000"/>
            </w:tcBorders>
            <w:shd w:val="clear" w:color="auto" w:fill="auto"/>
          </w:tcPr>
          <w:p w14:paraId="03F59D83" w14:textId="77777777" w:rsidR="00D2559F" w:rsidRPr="00E569B9" w:rsidRDefault="00EB38E1" w:rsidP="001F1C34">
            <w:pPr>
              <w:pStyle w:val="TableHeading"/>
            </w:pPr>
            <w:r w:rsidRPr="00E569B9">
              <w:t>Observations</w:t>
            </w:r>
          </w:p>
        </w:tc>
        <w:tc>
          <w:tcPr>
            <w:tcW w:w="1461" w:type="pct"/>
            <w:tcBorders>
              <w:top w:val="single" w:sz="12" w:space="0" w:color="000000"/>
              <w:bottom w:val="single" w:sz="12" w:space="0" w:color="000000"/>
            </w:tcBorders>
            <w:shd w:val="clear" w:color="auto" w:fill="auto"/>
          </w:tcPr>
          <w:p w14:paraId="03F59D84" w14:textId="77777777" w:rsidR="00D2559F" w:rsidRPr="00E569B9" w:rsidRDefault="00EB38E1" w:rsidP="001F1C34">
            <w:pPr>
              <w:pStyle w:val="TableHeading"/>
            </w:pPr>
            <w:r w:rsidRPr="00E569B9">
              <w:t>Response actions</w:t>
            </w:r>
            <w:r>
              <w:t xml:space="preserve"> </w:t>
            </w:r>
            <w:r w:rsidRPr="00FA5F3B">
              <w:t>for high</w:t>
            </w:r>
            <w:r w:rsidR="007A6B8D">
              <w:t>-risk</w:t>
            </w:r>
            <w:r w:rsidRPr="00FA5F3B">
              <w:t xml:space="preserve"> or deteriorating situation</w:t>
            </w:r>
            <w:r>
              <w:t>s</w:t>
            </w:r>
          </w:p>
        </w:tc>
      </w:tr>
      <w:tr w:rsidR="0054058D" w14:paraId="03F59D8B" w14:textId="77777777" w:rsidTr="001F1C34">
        <w:tc>
          <w:tcPr>
            <w:tcW w:w="618" w:type="pct"/>
            <w:tcBorders>
              <w:top w:val="single" w:sz="12" w:space="0" w:color="000000"/>
            </w:tcBorders>
            <w:shd w:val="clear" w:color="auto" w:fill="auto"/>
          </w:tcPr>
          <w:p w14:paraId="03F59D86" w14:textId="77777777" w:rsidR="00D2559F" w:rsidRPr="00E569B9" w:rsidRDefault="00EB38E1" w:rsidP="001F1C34">
            <w:pPr>
              <w:pStyle w:val="TableText"/>
            </w:pPr>
            <w:r w:rsidRPr="00E569B9">
              <w:t>Identification of high</w:t>
            </w:r>
            <w:r>
              <w:t>-</w:t>
            </w:r>
            <w:r w:rsidRPr="00E569B9">
              <w:t>risk waterbody</w:t>
            </w:r>
          </w:p>
        </w:tc>
        <w:tc>
          <w:tcPr>
            <w:tcW w:w="1461" w:type="pct"/>
            <w:tcBorders>
              <w:top w:val="single" w:sz="12" w:space="0" w:color="000000"/>
            </w:tcBorders>
            <w:shd w:val="clear" w:color="auto" w:fill="auto"/>
          </w:tcPr>
          <w:p w14:paraId="03F59D87" w14:textId="77777777" w:rsidR="00D2559F" w:rsidRPr="00E569B9" w:rsidRDefault="00EB38E1" w:rsidP="001F1C34">
            <w:pPr>
              <w:pStyle w:val="TableBullet"/>
            </w:pPr>
            <w:r w:rsidRPr="00E569B9">
              <w:t xml:space="preserve">Establish frequency and extent of previous algal </w:t>
            </w:r>
            <w:proofErr w:type="gramStart"/>
            <w:r w:rsidRPr="00E569B9">
              <w:t>blooms</w:t>
            </w:r>
            <w:proofErr w:type="gramEnd"/>
          </w:p>
          <w:p w14:paraId="03F59D88" w14:textId="77777777" w:rsidR="00D2559F" w:rsidRPr="00E569B9" w:rsidRDefault="00EB38E1" w:rsidP="001F1C34">
            <w:pPr>
              <w:pStyle w:val="TableBullet"/>
            </w:pPr>
            <w:r w:rsidRPr="00E569B9">
              <w:t>Establish susceptibility of the water to algal bloom</w:t>
            </w:r>
            <w:r>
              <w:t>s</w:t>
            </w:r>
          </w:p>
        </w:tc>
        <w:tc>
          <w:tcPr>
            <w:tcW w:w="1461" w:type="pct"/>
            <w:tcBorders>
              <w:top w:val="single" w:sz="12" w:space="0" w:color="000000"/>
            </w:tcBorders>
            <w:shd w:val="clear" w:color="auto" w:fill="auto"/>
          </w:tcPr>
          <w:p w14:paraId="03F59D89" w14:textId="38BE0F0D" w:rsidR="00D2559F" w:rsidRPr="00E569B9" w:rsidRDefault="00EB38E1" w:rsidP="001F1C34">
            <w:pPr>
              <w:pStyle w:val="TableBullet"/>
            </w:pPr>
            <w:r>
              <w:t>A</w:t>
            </w:r>
            <w:r w:rsidRPr="00E569B9">
              <w:t xml:space="preserve">ssess using </w:t>
            </w:r>
            <w:r w:rsidR="008D06EB">
              <w:t>Table 3.3.</w:t>
            </w:r>
          </w:p>
        </w:tc>
        <w:tc>
          <w:tcPr>
            <w:tcW w:w="1461" w:type="pct"/>
            <w:tcBorders>
              <w:top w:val="single" w:sz="12" w:space="0" w:color="000000"/>
            </w:tcBorders>
            <w:shd w:val="clear" w:color="auto" w:fill="auto"/>
          </w:tcPr>
          <w:p w14:paraId="03F59D8A" w14:textId="77777777" w:rsidR="00D2559F" w:rsidRPr="00E569B9" w:rsidRDefault="00EB38E1" w:rsidP="001F1C34">
            <w:pPr>
              <w:pStyle w:val="TableBullet"/>
            </w:pPr>
            <w:r>
              <w:t>Proceed</w:t>
            </w:r>
            <w:r w:rsidRPr="00E569B9">
              <w:t xml:space="preserve"> to </w:t>
            </w:r>
            <w:r>
              <w:t>‘</w:t>
            </w:r>
            <w:r w:rsidRPr="00E569B9">
              <w:t>Surveillance</w:t>
            </w:r>
            <w:r>
              <w:t>’</w:t>
            </w:r>
            <w:r w:rsidRPr="00E569B9">
              <w:t xml:space="preserve"> </w:t>
            </w:r>
          </w:p>
        </w:tc>
      </w:tr>
      <w:tr w:rsidR="0054058D" w14:paraId="03F59D98" w14:textId="77777777" w:rsidTr="001F1C34">
        <w:tc>
          <w:tcPr>
            <w:tcW w:w="618" w:type="pct"/>
            <w:shd w:val="clear" w:color="auto" w:fill="auto"/>
          </w:tcPr>
          <w:p w14:paraId="03F59D8C" w14:textId="77777777" w:rsidR="00D2559F" w:rsidRPr="00E569B9" w:rsidRDefault="00EB38E1" w:rsidP="001F1C34">
            <w:pPr>
              <w:pStyle w:val="TableText"/>
            </w:pPr>
            <w:r w:rsidRPr="00E569B9">
              <w:t xml:space="preserve">Surveillance </w:t>
            </w:r>
          </w:p>
        </w:tc>
        <w:tc>
          <w:tcPr>
            <w:tcW w:w="1461" w:type="pct"/>
            <w:shd w:val="clear" w:color="auto" w:fill="auto"/>
          </w:tcPr>
          <w:p w14:paraId="03F59D8D" w14:textId="77777777" w:rsidR="00D2559F" w:rsidRPr="00E569B9" w:rsidRDefault="00EB38E1" w:rsidP="001F1C34">
            <w:pPr>
              <w:pStyle w:val="TableBullet"/>
            </w:pPr>
            <w:r w:rsidRPr="00E569B9">
              <w:t>Establish colour and clarity of water when there is no algal bloom (take photograph)</w:t>
            </w:r>
          </w:p>
          <w:p w14:paraId="03F59D8E" w14:textId="77777777" w:rsidR="00D2559F" w:rsidRPr="00E569B9" w:rsidRDefault="00EB38E1" w:rsidP="001F1C34">
            <w:pPr>
              <w:pStyle w:val="TableBullet"/>
            </w:pPr>
            <w:r>
              <w:t>Visually m</w:t>
            </w:r>
            <w:r w:rsidRPr="00E569B9">
              <w:t>onitor water appearance monthly</w:t>
            </w:r>
          </w:p>
          <w:p w14:paraId="03F59D8F" w14:textId="77777777" w:rsidR="00D2559F" w:rsidRPr="00E569B9" w:rsidRDefault="00EB38E1" w:rsidP="001F1C34">
            <w:pPr>
              <w:pStyle w:val="TableBullet"/>
            </w:pPr>
            <w:r w:rsidRPr="00E569B9">
              <w:t xml:space="preserve">Monitor livestock for signs of </w:t>
            </w:r>
            <w:proofErr w:type="gramStart"/>
            <w:r w:rsidRPr="00E569B9">
              <w:t>discomfort</w:t>
            </w:r>
            <w:proofErr w:type="gramEnd"/>
          </w:p>
          <w:p w14:paraId="03F59D90" w14:textId="77777777" w:rsidR="00D2559F" w:rsidRPr="00E569B9" w:rsidRDefault="00EB38E1" w:rsidP="001F1C34">
            <w:pPr>
              <w:pStyle w:val="TableBullet"/>
            </w:pPr>
            <w:r w:rsidRPr="00E569B9">
              <w:t>Consider increasing</w:t>
            </w:r>
            <w:r>
              <w:t xml:space="preserve"> monitoring</w:t>
            </w:r>
            <w:r w:rsidRPr="00E569B9">
              <w:t xml:space="preserve"> frequency at key risk periods (</w:t>
            </w:r>
            <w:proofErr w:type="gramStart"/>
            <w:r w:rsidRPr="00E569B9">
              <w:t>e.g.</w:t>
            </w:r>
            <w:proofErr w:type="gramEnd"/>
            <w:r w:rsidRPr="00E569B9">
              <w:t xml:space="preserve"> summer, after heavy rain on sandy soils)</w:t>
            </w:r>
          </w:p>
        </w:tc>
        <w:tc>
          <w:tcPr>
            <w:tcW w:w="1461" w:type="pct"/>
            <w:shd w:val="clear" w:color="auto" w:fill="auto"/>
          </w:tcPr>
          <w:p w14:paraId="03F59D91" w14:textId="77777777" w:rsidR="00D2559F" w:rsidRPr="00E569B9" w:rsidRDefault="00EB38E1" w:rsidP="001F1C34">
            <w:pPr>
              <w:pStyle w:val="TableBullet"/>
            </w:pPr>
            <w:r w:rsidRPr="00E569B9">
              <w:t>Coloured/cloudy water</w:t>
            </w:r>
          </w:p>
          <w:p w14:paraId="03F59D92" w14:textId="77777777" w:rsidR="00D2559F" w:rsidRPr="00E569B9" w:rsidRDefault="00EB38E1" w:rsidP="001F1C34">
            <w:pPr>
              <w:pStyle w:val="TableBullet"/>
            </w:pPr>
            <w:r w:rsidRPr="00E569B9">
              <w:t>Small surface scum</w:t>
            </w:r>
            <w:r w:rsidR="00BE2B52">
              <w:t xml:space="preserve"> or </w:t>
            </w:r>
            <w:r w:rsidRPr="00E569B9">
              <w:t xml:space="preserve">algal </w:t>
            </w:r>
            <w:r w:rsidR="00BE2B52">
              <w:t>blooms/</w:t>
            </w:r>
            <w:r w:rsidRPr="00E569B9">
              <w:t>mats</w:t>
            </w:r>
          </w:p>
          <w:p w14:paraId="03F59D93" w14:textId="77777777" w:rsidR="00D2559F" w:rsidRPr="00E569B9" w:rsidRDefault="00EB38E1" w:rsidP="001F1C34">
            <w:pPr>
              <w:pStyle w:val="TableBullet"/>
            </w:pPr>
            <w:r w:rsidRPr="00E569B9">
              <w:t>Animal discomfort (</w:t>
            </w:r>
            <w:r>
              <w:t>particularly</w:t>
            </w:r>
            <w:r w:rsidRPr="00E569B9">
              <w:t xml:space="preserve"> clinical signs of liver and neurological damage)</w:t>
            </w:r>
          </w:p>
        </w:tc>
        <w:tc>
          <w:tcPr>
            <w:tcW w:w="1461" w:type="pct"/>
            <w:shd w:val="clear" w:color="auto" w:fill="auto"/>
          </w:tcPr>
          <w:p w14:paraId="03F59D94" w14:textId="2DA64960" w:rsidR="00D2559F" w:rsidRPr="00E569B9" w:rsidRDefault="00AD292B" w:rsidP="001F1C34">
            <w:pPr>
              <w:pStyle w:val="TableBullet"/>
            </w:pPr>
            <w:r>
              <w:t>Keep</w:t>
            </w:r>
            <w:r w:rsidRPr="00E569B9">
              <w:t xml:space="preserve"> </w:t>
            </w:r>
            <w:r w:rsidR="00EB38E1" w:rsidRPr="00E569B9">
              <w:t xml:space="preserve">livestock </w:t>
            </w:r>
            <w:r>
              <w:t xml:space="preserve">away </w:t>
            </w:r>
            <w:r w:rsidR="00EB38E1" w:rsidRPr="00E569B9">
              <w:t>from water source</w:t>
            </w:r>
            <w:r w:rsidR="00674379">
              <w:t xml:space="preserve"> (</w:t>
            </w:r>
            <w:proofErr w:type="gramStart"/>
            <w:r w:rsidR="00674379" w:rsidRPr="00E569B9">
              <w:t>e.g.</w:t>
            </w:r>
            <w:proofErr w:type="gramEnd"/>
            <w:r w:rsidR="00674379" w:rsidRPr="00E569B9">
              <w:t xml:space="preserve"> use electric fence if </w:t>
            </w:r>
            <w:r w:rsidR="00674379">
              <w:t xml:space="preserve">water </w:t>
            </w:r>
            <w:r w:rsidR="00674379" w:rsidRPr="00E569B9">
              <w:t>source is in paddock required for fodder</w:t>
            </w:r>
            <w:r w:rsidR="00674379">
              <w:t>)</w:t>
            </w:r>
          </w:p>
          <w:p w14:paraId="03F59D95" w14:textId="77777777" w:rsidR="00D2559F" w:rsidRPr="00E569B9" w:rsidRDefault="00EB38E1" w:rsidP="001F1C34">
            <w:pPr>
              <w:pStyle w:val="TableBullet"/>
            </w:pPr>
            <w:r w:rsidRPr="00E569B9">
              <w:t>Increase frequency of monitoring</w:t>
            </w:r>
          </w:p>
          <w:p w14:paraId="03F59D96" w14:textId="77777777" w:rsidR="00D2559F" w:rsidRPr="00E569B9" w:rsidRDefault="00EB38E1" w:rsidP="001F1C34">
            <w:pPr>
              <w:pStyle w:val="TableBullet"/>
            </w:pPr>
            <w:r w:rsidRPr="00E569B9">
              <w:t>Contact local advis</w:t>
            </w:r>
            <w:r w:rsidR="007A6B8D">
              <w:t>ers</w:t>
            </w:r>
            <w:r w:rsidRPr="00E569B9">
              <w:t xml:space="preserve"> for </w:t>
            </w:r>
            <w:proofErr w:type="gramStart"/>
            <w:r w:rsidRPr="00E569B9">
              <w:t>up</w:t>
            </w:r>
            <w:r>
              <w:t>-</w:t>
            </w:r>
            <w:r w:rsidRPr="00E569B9">
              <w:t>to</w:t>
            </w:r>
            <w:r>
              <w:t>-</w:t>
            </w:r>
            <w:r w:rsidRPr="00E569B9">
              <w:t>date</w:t>
            </w:r>
            <w:proofErr w:type="gramEnd"/>
            <w:r w:rsidRPr="00E569B9">
              <w:t xml:space="preserve"> information</w:t>
            </w:r>
          </w:p>
          <w:p w14:paraId="03F59D97" w14:textId="77777777" w:rsidR="00D2559F" w:rsidRPr="00E569B9" w:rsidRDefault="00EB38E1" w:rsidP="001F1C34">
            <w:pPr>
              <w:pStyle w:val="TableBullet"/>
            </w:pPr>
            <w:r>
              <w:t>Proceed</w:t>
            </w:r>
            <w:r w:rsidRPr="00E569B9">
              <w:t xml:space="preserve"> to </w:t>
            </w:r>
            <w:r>
              <w:t>‘</w:t>
            </w:r>
            <w:r w:rsidRPr="00E569B9">
              <w:t>Low Alert</w:t>
            </w:r>
            <w:r>
              <w:t>’</w:t>
            </w:r>
            <w:r w:rsidRPr="00E569B9">
              <w:t xml:space="preserve"> </w:t>
            </w:r>
          </w:p>
        </w:tc>
      </w:tr>
      <w:tr w:rsidR="0054058D" w14:paraId="03F59D9E" w14:textId="77777777" w:rsidTr="001F1C34">
        <w:tc>
          <w:tcPr>
            <w:tcW w:w="618" w:type="pct"/>
            <w:shd w:val="clear" w:color="auto" w:fill="auto"/>
          </w:tcPr>
          <w:p w14:paraId="03F59D99" w14:textId="77777777" w:rsidR="00D2559F" w:rsidRPr="00E569B9" w:rsidRDefault="00EB38E1" w:rsidP="001F1C34">
            <w:pPr>
              <w:pStyle w:val="TableText"/>
            </w:pPr>
            <w:r w:rsidRPr="00E569B9">
              <w:t>Low alert</w:t>
            </w:r>
          </w:p>
        </w:tc>
        <w:tc>
          <w:tcPr>
            <w:tcW w:w="1461" w:type="pct"/>
            <w:shd w:val="clear" w:color="auto" w:fill="auto"/>
          </w:tcPr>
          <w:p w14:paraId="03F59D9A" w14:textId="77777777" w:rsidR="00D2559F" w:rsidRPr="00E569B9" w:rsidRDefault="00EB38E1" w:rsidP="001F1C34">
            <w:pPr>
              <w:pStyle w:val="TableBullet"/>
            </w:pPr>
            <w:r>
              <w:t>Increase visual monitoring frequency</w:t>
            </w:r>
            <w:r w:rsidRPr="00E569B9">
              <w:t>, choosing the time interval according to the severity of the algal bloom</w:t>
            </w:r>
            <w:r w:rsidR="00BE2B52">
              <w:t xml:space="preserve"> (</w:t>
            </w:r>
            <w:proofErr w:type="gramStart"/>
            <w:r w:rsidR="00BE2B52">
              <w:t>e.g.</w:t>
            </w:r>
            <w:proofErr w:type="gramEnd"/>
            <w:r w:rsidR="00BE2B52">
              <w:t> fortnightly, weekly)</w:t>
            </w:r>
          </w:p>
        </w:tc>
        <w:tc>
          <w:tcPr>
            <w:tcW w:w="1461" w:type="pct"/>
            <w:shd w:val="clear" w:color="auto" w:fill="auto"/>
          </w:tcPr>
          <w:p w14:paraId="03F59D9B" w14:textId="77777777" w:rsidR="00D2559F" w:rsidRPr="00E569B9" w:rsidRDefault="00EB38E1" w:rsidP="001F1C34">
            <w:pPr>
              <w:pStyle w:val="TableBullet"/>
            </w:pPr>
            <w:r w:rsidRPr="00E569B9">
              <w:t xml:space="preserve">Increasing size and depth of </w:t>
            </w:r>
            <w:r w:rsidR="00BE2B52" w:rsidRPr="00E569B9">
              <w:t xml:space="preserve">algal </w:t>
            </w:r>
            <w:r w:rsidR="00BE2B52">
              <w:t>blooms/</w:t>
            </w:r>
            <w:r w:rsidR="00BE2B52" w:rsidRPr="00E569B9">
              <w:t>mats</w:t>
            </w:r>
          </w:p>
        </w:tc>
        <w:tc>
          <w:tcPr>
            <w:tcW w:w="1461" w:type="pct"/>
            <w:shd w:val="clear" w:color="auto" w:fill="auto"/>
          </w:tcPr>
          <w:p w14:paraId="03F59D9C" w14:textId="77777777" w:rsidR="00D2559F" w:rsidRPr="00E569B9" w:rsidRDefault="00EB38E1" w:rsidP="001F1C34">
            <w:pPr>
              <w:pStyle w:val="TableBullet"/>
            </w:pPr>
            <w:r>
              <w:t>Proceed</w:t>
            </w:r>
            <w:r w:rsidRPr="00E569B9">
              <w:t xml:space="preserve"> to </w:t>
            </w:r>
            <w:r>
              <w:t>‘</w:t>
            </w:r>
            <w:r w:rsidRPr="00E569B9">
              <w:t xml:space="preserve">Medium </w:t>
            </w:r>
            <w:r>
              <w:t>a</w:t>
            </w:r>
            <w:r w:rsidRPr="00E569B9">
              <w:t>lert</w:t>
            </w:r>
            <w:r>
              <w:t>’</w:t>
            </w:r>
          </w:p>
          <w:p w14:paraId="03F59D9D" w14:textId="0F5024DA" w:rsidR="00D2559F" w:rsidRPr="00E569B9" w:rsidRDefault="00674379" w:rsidP="00674379">
            <w:pPr>
              <w:pStyle w:val="TableBullet"/>
            </w:pPr>
            <w:r>
              <w:t>Keep</w:t>
            </w:r>
            <w:r w:rsidRPr="00E569B9">
              <w:t xml:space="preserve"> livestock </w:t>
            </w:r>
            <w:r>
              <w:t xml:space="preserve">away </w:t>
            </w:r>
            <w:r w:rsidRPr="00E569B9">
              <w:t>from water source</w:t>
            </w:r>
            <w:r>
              <w:t xml:space="preserve"> </w:t>
            </w:r>
            <w:r w:rsidR="00EB38E1">
              <w:t>(</w:t>
            </w:r>
            <w:proofErr w:type="gramStart"/>
            <w:r w:rsidR="00EB38E1" w:rsidRPr="00E569B9">
              <w:t>e.g.</w:t>
            </w:r>
            <w:proofErr w:type="gramEnd"/>
            <w:r w:rsidR="00EB38E1" w:rsidRPr="00E569B9">
              <w:t xml:space="preserve"> use electric fence if </w:t>
            </w:r>
            <w:r w:rsidR="00EB38E1">
              <w:t xml:space="preserve">water </w:t>
            </w:r>
            <w:r w:rsidR="00EB38E1" w:rsidRPr="00E569B9">
              <w:t>source is in paddock required for fodder</w:t>
            </w:r>
            <w:r w:rsidR="00EB38E1">
              <w:t>)</w:t>
            </w:r>
          </w:p>
        </w:tc>
      </w:tr>
      <w:tr w:rsidR="0054058D" w14:paraId="03F59DA7" w14:textId="77777777" w:rsidTr="001F1C34">
        <w:tc>
          <w:tcPr>
            <w:tcW w:w="618" w:type="pct"/>
            <w:shd w:val="clear" w:color="auto" w:fill="auto"/>
          </w:tcPr>
          <w:p w14:paraId="03F59D9F" w14:textId="77777777" w:rsidR="00D2559F" w:rsidRPr="00E569B9" w:rsidRDefault="00EB38E1" w:rsidP="001F1C34">
            <w:pPr>
              <w:pStyle w:val="TableText"/>
            </w:pPr>
            <w:r w:rsidRPr="00E569B9">
              <w:t>Medium alert</w:t>
            </w:r>
          </w:p>
        </w:tc>
        <w:tc>
          <w:tcPr>
            <w:tcW w:w="1461" w:type="pct"/>
            <w:shd w:val="clear" w:color="auto" w:fill="auto"/>
          </w:tcPr>
          <w:p w14:paraId="03F59DA0" w14:textId="77777777" w:rsidR="00D2559F" w:rsidRPr="00E569B9" w:rsidRDefault="00EB38E1" w:rsidP="001F1C34">
            <w:pPr>
              <w:pStyle w:val="TableBullet"/>
            </w:pPr>
            <w:r w:rsidRPr="00E569B9">
              <w:t>Increase visual monitoring frequency</w:t>
            </w:r>
            <w:r w:rsidR="00BE2B52">
              <w:t xml:space="preserve"> (</w:t>
            </w:r>
            <w:proofErr w:type="gramStart"/>
            <w:r w:rsidR="00BE2B52">
              <w:t>e.g.</w:t>
            </w:r>
            <w:proofErr w:type="gramEnd"/>
            <w:r w:rsidR="00BE2B52">
              <w:t> weekly, bi-weekly)</w:t>
            </w:r>
          </w:p>
          <w:p w14:paraId="03F59DA1" w14:textId="77777777" w:rsidR="00D2559F" w:rsidRPr="00E569B9" w:rsidRDefault="00EB38E1" w:rsidP="001F1C34">
            <w:pPr>
              <w:pStyle w:val="TableBullet"/>
            </w:pPr>
            <w:r w:rsidRPr="00E569B9">
              <w:t xml:space="preserve">Identify and enumerate cyanobacterial species and cell biovolume </w:t>
            </w:r>
            <w:r w:rsidRPr="00BE2B52">
              <w:t xml:space="preserve">of </w:t>
            </w:r>
            <w:r w:rsidRPr="00FA1797">
              <w:t>all cyanobacteria</w:t>
            </w:r>
            <w:r w:rsidRPr="00BE2B52">
              <w:t xml:space="preserve"> where a known toxin producer</w:t>
            </w:r>
            <w:r w:rsidRPr="00E569B9">
              <w:t xml:space="preserve"> is </w:t>
            </w:r>
            <w:proofErr w:type="gramStart"/>
            <w:r w:rsidRPr="00E569B9">
              <w:t>dominant</w:t>
            </w:r>
            <w:proofErr w:type="gramEnd"/>
          </w:p>
          <w:p w14:paraId="03F59DA2" w14:textId="10A2657D" w:rsidR="00D2559F" w:rsidRPr="00E569B9" w:rsidRDefault="00EB38E1" w:rsidP="001F1C34">
            <w:pPr>
              <w:pStyle w:val="TableBullet"/>
            </w:pPr>
            <w:r>
              <w:t xml:space="preserve">Consider </w:t>
            </w:r>
            <w:r w:rsidRPr="00E569B9">
              <w:t>undertak</w:t>
            </w:r>
            <w:r>
              <w:t>ing</w:t>
            </w:r>
            <w:r w:rsidRPr="00E569B9">
              <w:t xml:space="preserve"> toxin testing</w:t>
            </w:r>
            <w:r w:rsidR="00CB13A5">
              <w:t xml:space="preserve">, noting that </w:t>
            </w:r>
            <w:r w:rsidR="00CB13A5" w:rsidRPr="00FA1797">
              <w:t xml:space="preserve">some laboratories may </w:t>
            </w:r>
            <w:r w:rsidR="00CB13A5">
              <w:t>only undertake</w:t>
            </w:r>
            <w:r w:rsidR="00CB13A5" w:rsidRPr="00FA1797">
              <w:t xml:space="preserve"> toxin testing if </w:t>
            </w:r>
            <w:proofErr w:type="gramStart"/>
            <w:r w:rsidR="00CB13A5" w:rsidRPr="00FA1797">
              <w:t>sufficient numbers of</w:t>
            </w:r>
            <w:proofErr w:type="gramEnd"/>
            <w:r w:rsidR="00CB13A5" w:rsidRPr="00FA1797">
              <w:t xml:space="preserve"> toxin-producers have been confirmed</w:t>
            </w:r>
          </w:p>
        </w:tc>
        <w:tc>
          <w:tcPr>
            <w:tcW w:w="1461" w:type="pct"/>
            <w:shd w:val="clear" w:color="auto" w:fill="auto"/>
          </w:tcPr>
          <w:p w14:paraId="03F59DA3" w14:textId="77777777" w:rsidR="00D2559F" w:rsidRPr="00E569B9" w:rsidRDefault="00EB38E1" w:rsidP="001F1C34">
            <w:pPr>
              <w:pStyle w:val="TableBullet"/>
            </w:pPr>
            <w:r w:rsidRPr="00E569B9">
              <w:t xml:space="preserve">Continued increase in area and depth of </w:t>
            </w:r>
            <w:r w:rsidR="00BE2B52" w:rsidRPr="00E569B9">
              <w:t xml:space="preserve">algal </w:t>
            </w:r>
            <w:r w:rsidR="00BE2B52">
              <w:t>blooms/</w:t>
            </w:r>
            <w:r w:rsidR="00BE2B52" w:rsidRPr="00E569B9">
              <w:t>mats</w:t>
            </w:r>
          </w:p>
        </w:tc>
        <w:tc>
          <w:tcPr>
            <w:tcW w:w="1461" w:type="pct"/>
            <w:shd w:val="clear" w:color="auto" w:fill="auto"/>
          </w:tcPr>
          <w:p w14:paraId="03F59DA4" w14:textId="77777777" w:rsidR="00D2559F" w:rsidRPr="00E569B9" w:rsidRDefault="00EB38E1" w:rsidP="001F1C34">
            <w:pPr>
              <w:pStyle w:val="TableBullet"/>
            </w:pPr>
            <w:r w:rsidRPr="00E569B9">
              <w:t xml:space="preserve">Seek specialist </w:t>
            </w:r>
            <w:proofErr w:type="gramStart"/>
            <w:r w:rsidRPr="00E569B9">
              <w:t>advice</w:t>
            </w:r>
            <w:proofErr w:type="gramEnd"/>
          </w:p>
          <w:p w14:paraId="03F59DA5" w14:textId="77777777" w:rsidR="00D2559F" w:rsidRPr="00E569B9" w:rsidRDefault="00EB38E1" w:rsidP="001F1C34">
            <w:pPr>
              <w:pStyle w:val="TableBullet"/>
            </w:pPr>
            <w:r w:rsidRPr="00E569B9">
              <w:t>Conduct risk assessment based on cyanobacterial species identified</w:t>
            </w:r>
            <w:r>
              <w:t>;</w:t>
            </w:r>
            <w:r w:rsidRPr="00E569B9">
              <w:t xml:space="preserve"> levels of cyanotoxins</w:t>
            </w:r>
            <w:r>
              <w:t>;</w:t>
            </w:r>
            <w:r w:rsidRPr="00E569B9">
              <w:t xml:space="preserve"> livestock species</w:t>
            </w:r>
            <w:r>
              <w:t>;</w:t>
            </w:r>
            <w:r w:rsidRPr="00E569B9">
              <w:t xml:space="preserve"> and </w:t>
            </w:r>
            <w:r>
              <w:t xml:space="preserve">livestock </w:t>
            </w:r>
            <w:proofErr w:type="gramStart"/>
            <w:r w:rsidRPr="00E569B9">
              <w:t>maturity</w:t>
            </w:r>
            <w:proofErr w:type="gramEnd"/>
          </w:p>
          <w:p w14:paraId="03F59DA6" w14:textId="13E61B9A" w:rsidR="00D2559F" w:rsidRPr="00E569B9" w:rsidRDefault="00EB38E1" w:rsidP="001F1C34">
            <w:pPr>
              <w:pStyle w:val="TableBullet"/>
            </w:pPr>
            <w:r w:rsidRPr="00E569B9">
              <w:t>If cell biovolume ≥0.9 mm</w:t>
            </w:r>
            <w:r w:rsidRPr="00E569B9">
              <w:rPr>
                <w:vertAlign w:val="superscript"/>
              </w:rPr>
              <w:t>3</w:t>
            </w:r>
            <w:r w:rsidRPr="00E569B9">
              <w:t>/L or ≥2.3 </w:t>
            </w:r>
            <w:proofErr w:type="spellStart"/>
            <w:r w:rsidRPr="00E569B9">
              <w:t>μg</w:t>
            </w:r>
            <w:proofErr w:type="spellEnd"/>
            <w:r w:rsidRPr="00E569B9">
              <w:t xml:space="preserve">/L microcystin or </w:t>
            </w:r>
            <w:r w:rsidR="0060175A" w:rsidRPr="00E569B9">
              <w:t>11</w:t>
            </w:r>
            <w:r w:rsidR="0060175A">
              <w:t>,</w:t>
            </w:r>
            <w:r w:rsidRPr="00E569B9">
              <w:t>500</w:t>
            </w:r>
            <w:r>
              <w:t> </w:t>
            </w:r>
            <w:r w:rsidRPr="00E569B9">
              <w:t xml:space="preserve">cells/mL </w:t>
            </w:r>
            <w:r w:rsidRPr="007E3713">
              <w:rPr>
                <w:rStyle w:val="Emphasis"/>
              </w:rPr>
              <w:t>Microcystis</w:t>
            </w:r>
            <w:r w:rsidRPr="00E569B9">
              <w:t xml:space="preserve">, </w:t>
            </w:r>
            <w:r>
              <w:t>proceed</w:t>
            </w:r>
            <w:r w:rsidRPr="00E569B9">
              <w:t xml:space="preserve"> to </w:t>
            </w:r>
            <w:r>
              <w:t>‘</w:t>
            </w:r>
            <w:r w:rsidRPr="00E569B9">
              <w:t xml:space="preserve">High </w:t>
            </w:r>
            <w:r w:rsidR="00BE2B52">
              <w:t>a</w:t>
            </w:r>
            <w:r w:rsidRPr="00E569B9">
              <w:t>lert</w:t>
            </w:r>
            <w:r>
              <w:t>’</w:t>
            </w:r>
          </w:p>
        </w:tc>
      </w:tr>
      <w:tr w:rsidR="0054058D" w14:paraId="03F59DAE" w14:textId="77777777" w:rsidTr="001F1C34">
        <w:tc>
          <w:tcPr>
            <w:tcW w:w="618" w:type="pct"/>
            <w:tcBorders>
              <w:bottom w:val="single" w:sz="4" w:space="0" w:color="000000"/>
            </w:tcBorders>
            <w:shd w:val="clear" w:color="auto" w:fill="auto"/>
          </w:tcPr>
          <w:p w14:paraId="03F59DA8" w14:textId="77777777" w:rsidR="00D2559F" w:rsidRPr="00E569B9" w:rsidRDefault="00EB38E1" w:rsidP="001F1C34">
            <w:pPr>
              <w:pStyle w:val="TableText"/>
            </w:pPr>
            <w:r w:rsidRPr="00E569B9">
              <w:t>High alert</w:t>
            </w:r>
          </w:p>
        </w:tc>
        <w:tc>
          <w:tcPr>
            <w:tcW w:w="1461" w:type="pct"/>
            <w:tcBorders>
              <w:bottom w:val="single" w:sz="4" w:space="0" w:color="000000"/>
            </w:tcBorders>
            <w:shd w:val="clear" w:color="auto" w:fill="auto"/>
          </w:tcPr>
          <w:p w14:paraId="03F59DA9" w14:textId="77777777" w:rsidR="00D2559F" w:rsidRPr="00155C3F" w:rsidRDefault="00EB38E1" w:rsidP="001F1C34">
            <w:pPr>
              <w:pStyle w:val="TableBullet"/>
            </w:pPr>
            <w:r w:rsidRPr="00155C3F">
              <w:t xml:space="preserve">Monitor livestock for clinical signs </w:t>
            </w:r>
            <w:r>
              <w:t>of</w:t>
            </w:r>
            <w:r w:rsidRPr="00155C3F">
              <w:t xml:space="preserve"> liver or neurological </w:t>
            </w:r>
            <w:r w:rsidRPr="00155C3F">
              <w:lastRenderedPageBreak/>
              <w:t xml:space="preserve">damage (if stock has not been isolated from the water source as per </w:t>
            </w:r>
            <w:r>
              <w:t>the precautionary action for</w:t>
            </w:r>
            <w:r w:rsidRPr="00155C3F">
              <w:t xml:space="preserve"> </w:t>
            </w:r>
            <w:r>
              <w:t>‘</w:t>
            </w:r>
            <w:r w:rsidRPr="00155C3F">
              <w:t xml:space="preserve">Low </w:t>
            </w:r>
            <w:r w:rsidR="00BE2B52">
              <w:t>a</w:t>
            </w:r>
            <w:r w:rsidRPr="00155C3F">
              <w:t>lert</w:t>
            </w:r>
            <w:r>
              <w:t>’</w:t>
            </w:r>
            <w:r w:rsidRPr="00155C3F">
              <w:t>)</w:t>
            </w:r>
          </w:p>
          <w:p w14:paraId="03F59DAA" w14:textId="77777777" w:rsidR="00D2559F" w:rsidRPr="00155C3F" w:rsidRDefault="00EB38E1" w:rsidP="001F1C34">
            <w:pPr>
              <w:pStyle w:val="TableBullet"/>
            </w:pPr>
            <w:r w:rsidRPr="00155C3F">
              <w:t xml:space="preserve">Increase visual monitoring frequency </w:t>
            </w:r>
            <w:r w:rsidR="00BE2B52">
              <w:t>(</w:t>
            </w:r>
            <w:proofErr w:type="gramStart"/>
            <w:r w:rsidR="00BE2B52">
              <w:t>e.g.</w:t>
            </w:r>
            <w:proofErr w:type="gramEnd"/>
            <w:r w:rsidR="00BE2B52">
              <w:t xml:space="preserve"> bi-weekly, daily)</w:t>
            </w:r>
          </w:p>
          <w:p w14:paraId="03F59DAB" w14:textId="77777777" w:rsidR="00D2559F" w:rsidRPr="00155C3F" w:rsidRDefault="00EB38E1" w:rsidP="001F1C34">
            <w:pPr>
              <w:pStyle w:val="TableBullet"/>
            </w:pPr>
            <w:r>
              <w:t>Undertake t</w:t>
            </w:r>
            <w:r w:rsidRPr="00155C3F">
              <w:t xml:space="preserve">oxin testing </w:t>
            </w:r>
          </w:p>
        </w:tc>
        <w:tc>
          <w:tcPr>
            <w:tcW w:w="1461" w:type="pct"/>
            <w:tcBorders>
              <w:bottom w:val="single" w:sz="4" w:space="0" w:color="000000"/>
            </w:tcBorders>
            <w:shd w:val="clear" w:color="auto" w:fill="auto"/>
          </w:tcPr>
          <w:p w14:paraId="03F59DAC" w14:textId="77777777" w:rsidR="00D2559F" w:rsidRPr="00E569B9" w:rsidRDefault="00EB38E1" w:rsidP="001F1C34">
            <w:pPr>
              <w:pStyle w:val="TableBullet"/>
            </w:pPr>
            <w:r w:rsidRPr="00E569B9">
              <w:lastRenderedPageBreak/>
              <w:t>Continued increase in area and depth of algal bloom</w:t>
            </w:r>
            <w:r w:rsidR="00BE2B52">
              <w:t>s</w:t>
            </w:r>
            <w:r w:rsidRPr="00E569B9">
              <w:t>/mats</w:t>
            </w:r>
          </w:p>
        </w:tc>
        <w:tc>
          <w:tcPr>
            <w:tcW w:w="1461" w:type="pct"/>
            <w:tcBorders>
              <w:bottom w:val="single" w:sz="4" w:space="0" w:color="000000"/>
            </w:tcBorders>
            <w:shd w:val="clear" w:color="auto" w:fill="auto"/>
          </w:tcPr>
          <w:p w14:paraId="03F59DAD" w14:textId="79C5B464" w:rsidR="00D2559F" w:rsidRPr="006B348E" w:rsidRDefault="00EB38E1" w:rsidP="001F1C34">
            <w:pPr>
              <w:pStyle w:val="TableBullet"/>
            </w:pPr>
            <w:r w:rsidRPr="006B348E">
              <w:t>If ≥10 </w:t>
            </w:r>
            <w:proofErr w:type="spellStart"/>
            <w:r w:rsidRPr="006B348E">
              <w:t>μg</w:t>
            </w:r>
            <w:proofErr w:type="spellEnd"/>
            <w:r w:rsidRPr="006B348E">
              <w:t>/L microcystin or cell biovolume ≥4 mm</w:t>
            </w:r>
            <w:r w:rsidRPr="0045357E">
              <w:rPr>
                <w:vertAlign w:val="superscript"/>
              </w:rPr>
              <w:t>3</w:t>
            </w:r>
            <w:r w:rsidRPr="006B348E">
              <w:t xml:space="preserve">/L for all </w:t>
            </w:r>
            <w:r w:rsidRPr="006B348E">
              <w:lastRenderedPageBreak/>
              <w:t>cyanobacteria known to produce toxins, or &gt;</w:t>
            </w:r>
            <w:r w:rsidR="0060175A" w:rsidRPr="006B348E">
              <w:t>50</w:t>
            </w:r>
            <w:r w:rsidR="0060175A">
              <w:t>,</w:t>
            </w:r>
            <w:r w:rsidRPr="006B348E">
              <w:t xml:space="preserve">000 cells/mL </w:t>
            </w:r>
            <w:r w:rsidRPr="006B348E">
              <w:rPr>
                <w:rStyle w:val="Emphasis"/>
              </w:rPr>
              <w:t>Microcystis</w:t>
            </w:r>
            <w:r w:rsidRPr="006B348E">
              <w:t xml:space="preserve">, </w:t>
            </w:r>
            <w:r>
              <w:t>proceed</w:t>
            </w:r>
            <w:r w:rsidRPr="006B348E">
              <w:t xml:space="preserve"> to ‘Immediate </w:t>
            </w:r>
            <w:r w:rsidR="00BE2B52">
              <w:t>a</w:t>
            </w:r>
            <w:r w:rsidRPr="006B348E">
              <w:t>ction’</w:t>
            </w:r>
          </w:p>
        </w:tc>
      </w:tr>
      <w:tr w:rsidR="0054058D" w14:paraId="03F59DB8" w14:textId="77777777" w:rsidTr="001F1C34">
        <w:trPr>
          <w:trHeight w:val="330"/>
        </w:trPr>
        <w:tc>
          <w:tcPr>
            <w:tcW w:w="618" w:type="pct"/>
            <w:tcBorders>
              <w:bottom w:val="single" w:sz="12" w:space="0" w:color="000000"/>
            </w:tcBorders>
            <w:shd w:val="clear" w:color="auto" w:fill="auto"/>
          </w:tcPr>
          <w:p w14:paraId="03F59DAF" w14:textId="77777777" w:rsidR="00D2559F" w:rsidRPr="00E569B9" w:rsidRDefault="00EB38E1" w:rsidP="001F1C34">
            <w:pPr>
              <w:pStyle w:val="TableText"/>
            </w:pPr>
            <w:r w:rsidRPr="00E569B9">
              <w:lastRenderedPageBreak/>
              <w:t>Immediate action</w:t>
            </w:r>
          </w:p>
        </w:tc>
        <w:tc>
          <w:tcPr>
            <w:tcW w:w="1461" w:type="pct"/>
            <w:tcBorders>
              <w:bottom w:val="single" w:sz="12" w:space="0" w:color="000000"/>
            </w:tcBorders>
            <w:shd w:val="clear" w:color="auto" w:fill="auto"/>
          </w:tcPr>
          <w:p w14:paraId="03F59DB0" w14:textId="77777777" w:rsidR="00D2559F" w:rsidRDefault="00EB38E1" w:rsidP="001F1C34">
            <w:pPr>
              <w:pStyle w:val="TableBullet"/>
            </w:pPr>
            <w:r>
              <w:t xml:space="preserve">If not done at previous alert levels, isolate water source from </w:t>
            </w:r>
            <w:proofErr w:type="gramStart"/>
            <w:r>
              <w:t>livestock</w:t>
            </w:r>
            <w:proofErr w:type="gramEnd"/>
          </w:p>
          <w:p w14:paraId="03F59DB1" w14:textId="77777777" w:rsidR="00D2559F" w:rsidRDefault="00EB38E1" w:rsidP="001F1C34">
            <w:pPr>
              <w:pStyle w:val="TableBullet"/>
            </w:pPr>
            <w:r w:rsidRPr="00E569B9">
              <w:t xml:space="preserve">Continue </w:t>
            </w:r>
            <w:r w:rsidR="00BE2B52">
              <w:t xml:space="preserve">frequent </w:t>
            </w:r>
            <w:r w:rsidRPr="00E569B9">
              <w:t xml:space="preserve">visual </w:t>
            </w:r>
            <w:proofErr w:type="gramStart"/>
            <w:r w:rsidRPr="00E569B9">
              <w:t>monitoring</w:t>
            </w:r>
            <w:proofErr w:type="gramEnd"/>
          </w:p>
          <w:p w14:paraId="03F59DB2" w14:textId="77777777" w:rsidR="00D2559F" w:rsidRPr="00E569B9" w:rsidRDefault="00EB38E1" w:rsidP="001F1C34">
            <w:pPr>
              <w:pStyle w:val="TableBullet"/>
            </w:pPr>
            <w:r w:rsidRPr="00E569B9">
              <w:t xml:space="preserve">Once there are no visual signs </w:t>
            </w:r>
            <w:r>
              <w:t xml:space="preserve">of </w:t>
            </w:r>
            <w:r w:rsidRPr="00E569B9">
              <w:t xml:space="preserve">algal </w:t>
            </w:r>
            <w:r>
              <w:t>blooms</w:t>
            </w:r>
            <w:r w:rsidRPr="00E569B9">
              <w:t xml:space="preserve"> persisting in the water column, or the results of cell biovolumes are &lt;0.4 mm</w:t>
            </w:r>
            <w:r w:rsidRPr="00E569B9">
              <w:rPr>
                <w:vertAlign w:val="superscript"/>
              </w:rPr>
              <w:t>3</w:t>
            </w:r>
            <w:r w:rsidRPr="00E569B9">
              <w:t xml:space="preserve">/L, </w:t>
            </w:r>
            <w:r>
              <w:t xml:space="preserve">undertake </w:t>
            </w:r>
            <w:r w:rsidRPr="00E569B9">
              <w:t xml:space="preserve">a toxin analysis to </w:t>
            </w:r>
            <w:r>
              <w:t>confirm</w:t>
            </w:r>
            <w:r w:rsidRPr="00E569B9">
              <w:t xml:space="preserve"> the water is safe for </w:t>
            </w:r>
            <w:r>
              <w:t xml:space="preserve">livestock </w:t>
            </w:r>
            <w:r w:rsidRPr="00E569B9">
              <w:t>to consume</w:t>
            </w:r>
          </w:p>
        </w:tc>
        <w:tc>
          <w:tcPr>
            <w:tcW w:w="1461" w:type="pct"/>
            <w:tcBorders>
              <w:bottom w:val="single" w:sz="12" w:space="0" w:color="000000"/>
            </w:tcBorders>
            <w:shd w:val="clear" w:color="auto" w:fill="auto"/>
          </w:tcPr>
          <w:p w14:paraId="03F59DB3" w14:textId="77777777" w:rsidR="00D2559F" w:rsidRPr="00E569B9" w:rsidRDefault="00EB38E1" w:rsidP="00BE2B52">
            <w:pPr>
              <w:pStyle w:val="TableBullet"/>
            </w:pPr>
            <w:r w:rsidRPr="00E569B9">
              <w:t>Bloom well established with visible scums/mats, or in decay</w:t>
            </w:r>
          </w:p>
        </w:tc>
        <w:tc>
          <w:tcPr>
            <w:tcW w:w="1461" w:type="pct"/>
            <w:tcBorders>
              <w:bottom w:val="single" w:sz="12" w:space="0" w:color="000000"/>
            </w:tcBorders>
            <w:shd w:val="clear" w:color="auto" w:fill="auto"/>
          </w:tcPr>
          <w:p w14:paraId="03F59DB4" w14:textId="77777777" w:rsidR="00D2559F" w:rsidRPr="00E569B9" w:rsidRDefault="00EB38E1" w:rsidP="001F1C34">
            <w:pPr>
              <w:pStyle w:val="TableBullet"/>
            </w:pPr>
            <w:r w:rsidRPr="00E569B9">
              <w:t>Source alternative water</w:t>
            </w:r>
          </w:p>
          <w:p w14:paraId="03F59DB5" w14:textId="77777777" w:rsidR="00D2559F" w:rsidRPr="00E569B9" w:rsidRDefault="00EB38E1" w:rsidP="001F1C34">
            <w:pPr>
              <w:pStyle w:val="TableBullet"/>
            </w:pPr>
            <w:r w:rsidRPr="00E569B9">
              <w:t xml:space="preserve">Implement management </w:t>
            </w:r>
            <w:proofErr w:type="gramStart"/>
            <w:r w:rsidRPr="00E569B9">
              <w:t>plan</w:t>
            </w:r>
            <w:proofErr w:type="gramEnd"/>
          </w:p>
          <w:p w14:paraId="03F59DB6" w14:textId="77777777" w:rsidR="00D2559F" w:rsidRPr="00E569B9" w:rsidRDefault="00EB38E1" w:rsidP="001F1C34">
            <w:pPr>
              <w:pStyle w:val="TableBullet"/>
            </w:pPr>
            <w:r w:rsidRPr="00E569B9">
              <w:t xml:space="preserve">Liaise with local </w:t>
            </w:r>
            <w:proofErr w:type="gramStart"/>
            <w:r w:rsidRPr="00E569B9">
              <w:t>specialists</w:t>
            </w:r>
            <w:proofErr w:type="gramEnd"/>
          </w:p>
          <w:p w14:paraId="03F59DB7" w14:textId="77777777" w:rsidR="00D2559F" w:rsidRPr="00E569B9" w:rsidRDefault="00EB38E1" w:rsidP="001F1C34">
            <w:pPr>
              <w:pStyle w:val="TableBullet"/>
            </w:pPr>
            <w:r w:rsidRPr="00E569B9">
              <w:t xml:space="preserve">When sample colour and clarity is </w:t>
            </w:r>
            <w:proofErr w:type="gramStart"/>
            <w:r w:rsidRPr="00E569B9">
              <w:t>similar to</w:t>
            </w:r>
            <w:proofErr w:type="gramEnd"/>
            <w:r w:rsidRPr="00E569B9">
              <w:t xml:space="preserve"> control samples taken in absence of a</w:t>
            </w:r>
            <w:r>
              <w:t xml:space="preserve"> </w:t>
            </w:r>
            <w:r w:rsidRPr="00E569B9">
              <w:t xml:space="preserve">harmful algal bloom, revert to </w:t>
            </w:r>
            <w:r>
              <w:t>‘</w:t>
            </w:r>
            <w:r w:rsidRPr="00E569B9">
              <w:t>Low Alert</w:t>
            </w:r>
            <w:r>
              <w:t>’</w:t>
            </w:r>
            <w:r w:rsidRPr="00E569B9">
              <w:t xml:space="preserve"> </w:t>
            </w:r>
          </w:p>
        </w:tc>
      </w:tr>
    </w:tbl>
    <w:p w14:paraId="03F59DB9" w14:textId="77777777" w:rsidR="00D2559F" w:rsidRDefault="00EB38E1" w:rsidP="00D2559F">
      <w:pPr>
        <w:pStyle w:val="FigureTableNoteSource"/>
      </w:pPr>
      <w:r w:rsidRPr="005417B8">
        <w:rPr>
          <w:rStyle w:val="Strong"/>
        </w:rPr>
        <w:t>a</w:t>
      </w:r>
      <w:r>
        <w:t xml:space="preserve"> </w:t>
      </w:r>
      <w:r w:rsidRPr="00643538">
        <w:t>Monitoring actions also include collection and analysis of historical information when necessary</w:t>
      </w:r>
      <w:r>
        <w:t>.</w:t>
      </w:r>
    </w:p>
    <w:p w14:paraId="03F59DBA" w14:textId="14AB8F26" w:rsidR="00085000" w:rsidRDefault="00441154" w:rsidP="000C6B83">
      <w:pPr>
        <w:pStyle w:val="Heading4"/>
        <w:rPr>
          <w:lang w:eastAsia="ja-JP"/>
        </w:rPr>
      </w:pPr>
      <w:bookmarkStart w:id="148" w:name="_Toc141704555"/>
      <w:r>
        <w:rPr>
          <w:lang w:eastAsia="ja-JP"/>
        </w:rPr>
        <w:t>3.1.2</w:t>
      </w:r>
      <w:r>
        <w:rPr>
          <w:lang w:eastAsia="ja-JP"/>
        </w:rPr>
        <w:tab/>
      </w:r>
      <w:r w:rsidR="00EB38E1">
        <w:rPr>
          <w:lang w:eastAsia="ja-JP"/>
        </w:rPr>
        <w:t>Pathogens and parasites</w:t>
      </w:r>
      <w:bookmarkEnd w:id="146"/>
      <w:bookmarkEnd w:id="148"/>
    </w:p>
    <w:p w14:paraId="03F59DBB" w14:textId="4DF3DFDC" w:rsidR="00085000" w:rsidRDefault="00EB38E1" w:rsidP="00C1087A">
      <w:pPr>
        <w:pStyle w:val="Sectionkeypoints"/>
      </w:pPr>
      <w:r w:rsidRPr="00F74889">
        <w:rPr>
          <w:rStyle w:val="Emphasis"/>
        </w:rPr>
        <w:t>E.</w:t>
      </w:r>
      <w:r>
        <w:rPr>
          <w:rStyle w:val="Emphasis"/>
        </w:rPr>
        <w:t> </w:t>
      </w:r>
      <w:r w:rsidRPr="00F74889">
        <w:rPr>
          <w:rStyle w:val="Emphasis"/>
        </w:rPr>
        <w:t>coli</w:t>
      </w:r>
      <w:r>
        <w:t xml:space="preserve"> is a critical indicator for managing risk for human and non-human infection by </w:t>
      </w:r>
      <w:proofErr w:type="gramStart"/>
      <w:r>
        <w:t>pathogens</w:t>
      </w:r>
      <w:r w:rsidR="00614A49">
        <w:t>, and</w:t>
      </w:r>
      <w:proofErr w:type="gramEnd"/>
      <w:r w:rsidR="00614A49">
        <w:t xml:space="preserve"> is therefore used as the guid</w:t>
      </w:r>
      <w:r w:rsidR="00B43EE3">
        <w:t>e</w:t>
      </w:r>
      <w:r w:rsidR="00614A49">
        <w:t>line value</w:t>
      </w:r>
      <w:r>
        <w:t xml:space="preserve">. </w:t>
      </w:r>
      <w:r w:rsidR="002D2750">
        <w:t xml:space="preserve">Drinking water for livestock should contain </w:t>
      </w:r>
      <w:r w:rsidR="00D20F62">
        <w:rPr>
          <w:rFonts w:cstheme="minorHAnsi"/>
        </w:rPr>
        <w:t>&lt;</w:t>
      </w:r>
      <w:r w:rsidR="002D2750">
        <w:t>100</w:t>
      </w:r>
      <w:r w:rsidR="00246726">
        <w:t> </w:t>
      </w:r>
      <w:proofErr w:type="spellStart"/>
      <w:r w:rsidR="002D2750">
        <w:t>cfu</w:t>
      </w:r>
      <w:proofErr w:type="spellEnd"/>
      <w:r w:rsidR="002D2750">
        <w:t>/100</w:t>
      </w:r>
      <w:r w:rsidR="0038389E">
        <w:t> </w:t>
      </w:r>
      <w:r w:rsidR="002D2750">
        <w:t>mL (median value)</w:t>
      </w:r>
      <w:r w:rsidR="0038389E">
        <w:t xml:space="preserve"> of </w:t>
      </w:r>
      <w:r w:rsidR="0038389E" w:rsidRPr="002F6859">
        <w:rPr>
          <w:rStyle w:val="Emphasis"/>
        </w:rPr>
        <w:t>E.</w:t>
      </w:r>
      <w:r w:rsidR="00912ED8">
        <w:rPr>
          <w:rStyle w:val="Emphasis"/>
        </w:rPr>
        <w:t> c</w:t>
      </w:r>
      <w:r w:rsidR="00912ED8" w:rsidRPr="002F6859">
        <w:rPr>
          <w:rStyle w:val="Emphasis"/>
        </w:rPr>
        <w:t>oli</w:t>
      </w:r>
      <w:r w:rsidR="002D2750">
        <w:t>.</w:t>
      </w:r>
    </w:p>
    <w:p w14:paraId="03F59DBC" w14:textId="77777777" w:rsidR="00085000" w:rsidRDefault="00EB38E1" w:rsidP="000C6B83">
      <w:pPr>
        <w:pStyle w:val="Heading5"/>
        <w:rPr>
          <w:lang w:eastAsia="ja-JP"/>
        </w:rPr>
      </w:pPr>
      <w:bookmarkStart w:id="149" w:name="_Toc134441331"/>
      <w:bookmarkEnd w:id="149"/>
      <w:r>
        <w:rPr>
          <w:lang w:eastAsia="ja-JP"/>
        </w:rPr>
        <w:t>Source</w:t>
      </w:r>
    </w:p>
    <w:p w14:paraId="03F59DBD" w14:textId="15670E24" w:rsidR="00085000" w:rsidRDefault="00EB38E1" w:rsidP="00C1087A">
      <w:r>
        <w:t>M</w:t>
      </w:r>
      <w:r w:rsidR="002D2750">
        <w:t xml:space="preserve">icrobial pathogens can be transmitted to </w:t>
      </w:r>
      <w:r w:rsidR="00BE73BF">
        <w:t>live</w:t>
      </w:r>
      <w:r w:rsidR="002D2750">
        <w:t xml:space="preserve">stock from drinking water supplies </w:t>
      </w:r>
      <w:r w:rsidR="0091709F">
        <w:t xml:space="preserve">that are </w:t>
      </w:r>
      <w:r w:rsidR="002D2750">
        <w:t>contaminated by animals</w:t>
      </w:r>
      <w:r w:rsidR="007A1717">
        <w:t xml:space="preserve">, </w:t>
      </w:r>
      <w:proofErr w:type="gramStart"/>
      <w:r w:rsidR="007A1717">
        <w:t>humans</w:t>
      </w:r>
      <w:proofErr w:type="gramEnd"/>
      <w:r w:rsidR="002D2750">
        <w:t xml:space="preserve"> and their faeces. The risk of contamination is greatest in surface water (</w:t>
      </w:r>
      <w:proofErr w:type="gramStart"/>
      <w:r w:rsidR="00BE73BF">
        <w:t>e.g.</w:t>
      </w:r>
      <w:proofErr w:type="gramEnd"/>
      <w:r>
        <w:t> </w:t>
      </w:r>
      <w:r w:rsidR="002D2750">
        <w:t xml:space="preserve">dams, watercourses) </w:t>
      </w:r>
      <w:r w:rsidR="00BE73BF">
        <w:t xml:space="preserve">that </w:t>
      </w:r>
      <w:r w:rsidR="00381E63">
        <w:t>is</w:t>
      </w:r>
      <w:r w:rsidR="002D2750">
        <w:t xml:space="preserve"> directly accessible by </w:t>
      </w:r>
      <w:r w:rsidR="00BE73BF">
        <w:t>live</w:t>
      </w:r>
      <w:r w:rsidR="002D2750">
        <w:t xml:space="preserve">stock or </w:t>
      </w:r>
      <w:r w:rsidR="00BE73BF">
        <w:t xml:space="preserve">that </w:t>
      </w:r>
      <w:r w:rsidR="002D2750">
        <w:t>receive</w:t>
      </w:r>
      <w:r w:rsidR="00381E63">
        <w:t>s</w:t>
      </w:r>
      <w:r w:rsidR="002D2750">
        <w:t xml:space="preserve"> </w:t>
      </w:r>
      <w:r w:rsidR="00AA0DF2">
        <w:t>run-off</w:t>
      </w:r>
      <w:r w:rsidR="002D2750">
        <w:t xml:space="preserve"> or drainage from intensive livestock operations or human waste. The incidence of groundwater contamination by pathogens is generally low, particularly for deep bores and wells. Some shallow groundwater supplies have the potential to be contaminated, particularly in sandy soils.</w:t>
      </w:r>
    </w:p>
    <w:p w14:paraId="03F59DBE" w14:textId="77777777" w:rsidR="001B6BEB" w:rsidRDefault="00EB38E1" w:rsidP="00C1087A">
      <w:r>
        <w:t>Pathogens may be of particular concern if reclaimed water from sewage systems is used as livestock drinking water.</w:t>
      </w:r>
    </w:p>
    <w:p w14:paraId="03F59DBF" w14:textId="77777777" w:rsidR="00AD38A0" w:rsidRDefault="00EB38E1" w:rsidP="000C6B83">
      <w:pPr>
        <w:pStyle w:val="Heading5"/>
        <w:rPr>
          <w:lang w:eastAsia="ja-JP"/>
        </w:rPr>
      </w:pPr>
      <w:r>
        <w:rPr>
          <w:lang w:eastAsia="ja-JP"/>
        </w:rPr>
        <w:t>Effects on a</w:t>
      </w:r>
      <w:r w:rsidRPr="004508FF">
        <w:rPr>
          <w:lang w:eastAsia="ja-JP"/>
        </w:rPr>
        <w:t>nimal health</w:t>
      </w:r>
    </w:p>
    <w:p w14:paraId="353148E6" w14:textId="77777777" w:rsidR="0038634E" w:rsidRDefault="00EB38E1" w:rsidP="00C1087A">
      <w:r>
        <w:t>Bacterial i</w:t>
      </w:r>
      <w:r w:rsidR="002D2750">
        <w:t xml:space="preserve">nfections in livestock often reduce growth and </w:t>
      </w:r>
      <w:r>
        <w:t xml:space="preserve">cause </w:t>
      </w:r>
      <w:r w:rsidR="002D2750">
        <w:t xml:space="preserve">morbidity and </w:t>
      </w:r>
      <w:r>
        <w:t xml:space="preserve">sometimes </w:t>
      </w:r>
      <w:r w:rsidR="002D2750">
        <w:t xml:space="preserve">mortality </w:t>
      </w:r>
      <w:r w:rsidR="002D2750" w:rsidRPr="00DD527C">
        <w:t>(Smith et al. 1974).</w:t>
      </w:r>
      <w:r w:rsidR="002D2750">
        <w:t xml:space="preserve"> </w:t>
      </w:r>
      <w:r w:rsidR="00D97A89">
        <w:t>In water supplies, t</w:t>
      </w:r>
      <w:r w:rsidR="002D2750">
        <w:t xml:space="preserve">he bacteria of most concern are the enteric bacteria </w:t>
      </w:r>
      <w:r w:rsidR="002D2750" w:rsidRPr="00BC5205">
        <w:rPr>
          <w:rStyle w:val="Emphasis"/>
        </w:rPr>
        <w:t>Escherichia coli</w:t>
      </w:r>
      <w:r w:rsidR="002D2750">
        <w:t xml:space="preserve"> and </w:t>
      </w:r>
      <w:r w:rsidR="002D2750" w:rsidRPr="00BC5205">
        <w:rPr>
          <w:rStyle w:val="Emphasis"/>
        </w:rPr>
        <w:t>Salmonella</w:t>
      </w:r>
      <w:r w:rsidR="00D97A89">
        <w:t xml:space="preserve"> </w:t>
      </w:r>
      <w:r w:rsidR="00953B7B">
        <w:t xml:space="preserve">spp., </w:t>
      </w:r>
      <w:r w:rsidR="002D2750">
        <w:t xml:space="preserve">and to a lesser extent </w:t>
      </w:r>
      <w:r w:rsidR="002D2750" w:rsidRPr="00BC5205">
        <w:rPr>
          <w:rStyle w:val="Emphasis"/>
        </w:rPr>
        <w:t>Campylobacter</w:t>
      </w:r>
      <w:r w:rsidR="002D2750">
        <w:t xml:space="preserve"> </w:t>
      </w:r>
      <w:proofErr w:type="spellStart"/>
      <w:r w:rsidR="002D2750" w:rsidRPr="00BC5205">
        <w:rPr>
          <w:rStyle w:val="Emphasis"/>
        </w:rPr>
        <w:t>jejuni</w:t>
      </w:r>
      <w:proofErr w:type="spellEnd"/>
      <w:r w:rsidR="00D97A89">
        <w:rPr>
          <w:rStyle w:val="Emphasis"/>
          <w:i w:val="0"/>
          <w:iCs w:val="0"/>
        </w:rPr>
        <w:t>,</w:t>
      </w:r>
      <w:r w:rsidR="00A56D1C">
        <w:t xml:space="preserve"> </w:t>
      </w:r>
      <w:r w:rsidR="002D2750" w:rsidRPr="00BC5205">
        <w:rPr>
          <w:rStyle w:val="Emphasis"/>
        </w:rPr>
        <w:t>C</w:t>
      </w:r>
      <w:r w:rsidR="00D97A89">
        <w:rPr>
          <w:rStyle w:val="Emphasis"/>
        </w:rPr>
        <w:t>.</w:t>
      </w:r>
      <w:r w:rsidR="0091709F">
        <w:rPr>
          <w:rStyle w:val="Emphasis"/>
        </w:rPr>
        <w:t> </w:t>
      </w:r>
      <w:r w:rsidR="002D2750" w:rsidRPr="00BC5205">
        <w:rPr>
          <w:rStyle w:val="Emphasis"/>
        </w:rPr>
        <w:t>coli</w:t>
      </w:r>
      <w:r w:rsidR="002D2750">
        <w:t xml:space="preserve">, </w:t>
      </w:r>
      <w:r w:rsidR="002D2750" w:rsidRPr="00BC5205">
        <w:rPr>
          <w:rStyle w:val="Emphasis"/>
        </w:rPr>
        <w:t>Yersinia</w:t>
      </w:r>
      <w:r w:rsidR="002D2750">
        <w:t xml:space="preserve"> </w:t>
      </w:r>
      <w:r w:rsidR="002D2750" w:rsidRPr="00BC5205">
        <w:rPr>
          <w:rStyle w:val="Emphasis"/>
        </w:rPr>
        <w:t>enterocolitica</w:t>
      </w:r>
      <w:r w:rsidR="002D2750">
        <w:t xml:space="preserve"> and </w:t>
      </w:r>
      <w:r w:rsidR="002D2750" w:rsidRPr="00BC5205">
        <w:rPr>
          <w:rStyle w:val="Emphasis"/>
        </w:rPr>
        <w:t>Y</w:t>
      </w:r>
      <w:r w:rsidR="00D97A89">
        <w:rPr>
          <w:rStyle w:val="Emphasis"/>
        </w:rPr>
        <w:t>.</w:t>
      </w:r>
      <w:r w:rsidR="0091709F">
        <w:rPr>
          <w:rStyle w:val="Emphasis"/>
        </w:rPr>
        <w:t> </w:t>
      </w:r>
      <w:r w:rsidR="002D2750" w:rsidRPr="00BC5205">
        <w:rPr>
          <w:rStyle w:val="Emphasis"/>
        </w:rPr>
        <w:t>pseudotuberculosis</w:t>
      </w:r>
      <w:r w:rsidR="002D2750">
        <w:t xml:space="preserve">. Other bacteria known to affect </w:t>
      </w:r>
      <w:r w:rsidR="00D97A89">
        <w:t>live</w:t>
      </w:r>
      <w:r w:rsidR="002D2750">
        <w:t xml:space="preserve">stock and </w:t>
      </w:r>
      <w:r w:rsidR="00D97A89">
        <w:t>that</w:t>
      </w:r>
      <w:r w:rsidR="002D2750">
        <w:t xml:space="preserve"> may be transmitted through water supplies include</w:t>
      </w:r>
      <w:r w:rsidR="0038634E">
        <w:t>:</w:t>
      </w:r>
    </w:p>
    <w:p w14:paraId="5D144B5A" w14:textId="2D963BF8" w:rsidR="003F7708" w:rsidRPr="007D4FCE" w:rsidRDefault="003F7708" w:rsidP="00F81658">
      <w:pPr>
        <w:pStyle w:val="Bullet"/>
      </w:pPr>
      <w:r w:rsidRPr="00F81658">
        <w:rPr>
          <w:i/>
          <w:iCs/>
        </w:rPr>
        <w:t xml:space="preserve">Aeromonas </w:t>
      </w:r>
      <w:proofErr w:type="spellStart"/>
      <w:r w:rsidRPr="00F81658">
        <w:rPr>
          <w:i/>
          <w:iCs/>
        </w:rPr>
        <w:t>hydrophila</w:t>
      </w:r>
      <w:proofErr w:type="spellEnd"/>
      <w:r w:rsidR="00C03654">
        <w:rPr>
          <w:i/>
          <w:iCs/>
        </w:rPr>
        <w:t xml:space="preserve"> </w:t>
      </w:r>
      <w:r w:rsidR="00C03654" w:rsidRPr="00C03654">
        <w:t xml:space="preserve">(gastroenteritis, </w:t>
      </w:r>
      <w:proofErr w:type="gramStart"/>
      <w:r w:rsidR="00C03654" w:rsidRPr="00C03654">
        <w:t>septic</w:t>
      </w:r>
      <w:r w:rsidR="00AB45C1">
        <w:t>aemia</w:t>
      </w:r>
      <w:proofErr w:type="gramEnd"/>
      <w:r w:rsidR="00C03654" w:rsidRPr="00C03654">
        <w:t xml:space="preserve"> and wound infections)</w:t>
      </w:r>
    </w:p>
    <w:p w14:paraId="05E29955" w14:textId="148466F4" w:rsidR="0038634E" w:rsidRDefault="0038634E" w:rsidP="00341E55">
      <w:pPr>
        <w:pStyle w:val="Bullet"/>
      </w:pPr>
      <w:r w:rsidRPr="00341E55">
        <w:rPr>
          <w:i/>
          <w:iCs/>
        </w:rPr>
        <w:t>Bacillus anthracis</w:t>
      </w:r>
      <w:r>
        <w:t xml:space="preserve"> </w:t>
      </w:r>
      <w:r w:rsidRPr="00E62D7E">
        <w:t>(anthrax)</w:t>
      </w:r>
    </w:p>
    <w:p w14:paraId="6395E312" w14:textId="77CB7BE9" w:rsidR="003F7708" w:rsidRDefault="003F7708" w:rsidP="003F7708">
      <w:pPr>
        <w:pStyle w:val="Bullet"/>
      </w:pPr>
      <w:proofErr w:type="spellStart"/>
      <w:r w:rsidRPr="000935F8">
        <w:rPr>
          <w:i/>
          <w:iCs/>
        </w:rPr>
        <w:t>Burkholderia</w:t>
      </w:r>
      <w:proofErr w:type="spellEnd"/>
      <w:r w:rsidRPr="000935F8">
        <w:rPr>
          <w:i/>
          <w:iCs/>
        </w:rPr>
        <w:t xml:space="preserve"> </w:t>
      </w:r>
      <w:proofErr w:type="spellStart"/>
      <w:r w:rsidRPr="000935F8">
        <w:rPr>
          <w:i/>
          <w:iCs/>
        </w:rPr>
        <w:t>pseudomallei</w:t>
      </w:r>
      <w:proofErr w:type="spellEnd"/>
      <w:r w:rsidR="000935F8">
        <w:t xml:space="preserve"> (</w:t>
      </w:r>
      <w:r w:rsidR="000C5C5E">
        <w:t>m</w:t>
      </w:r>
      <w:r w:rsidR="000935F8" w:rsidRPr="000935F8">
        <w:t>elioidosis)</w:t>
      </w:r>
    </w:p>
    <w:p w14:paraId="6E19E20C" w14:textId="77777777" w:rsidR="00341E55" w:rsidRDefault="0038634E" w:rsidP="00341E55">
      <w:pPr>
        <w:pStyle w:val="Bullet"/>
      </w:pPr>
      <w:r w:rsidRPr="00341E55">
        <w:rPr>
          <w:i/>
          <w:iCs/>
        </w:rPr>
        <w:t>Clostridium</w:t>
      </w:r>
      <w:r w:rsidRPr="00FA1797">
        <w:t xml:space="preserve"> </w:t>
      </w:r>
      <w:r>
        <w:t xml:space="preserve">spp. (botulism and tetanus) </w:t>
      </w:r>
    </w:p>
    <w:p w14:paraId="69F850D9" w14:textId="4598C5CD" w:rsidR="003F7708" w:rsidRDefault="003F7708" w:rsidP="003F7708">
      <w:pPr>
        <w:pStyle w:val="Bullet"/>
      </w:pPr>
      <w:r w:rsidRPr="00167432">
        <w:rPr>
          <w:i/>
          <w:iCs/>
        </w:rPr>
        <w:t>Helicobacter</w:t>
      </w:r>
      <w:r w:rsidR="00167432" w:rsidRPr="00167432">
        <w:rPr>
          <w:i/>
          <w:iCs/>
        </w:rPr>
        <w:t xml:space="preserve"> pylori</w:t>
      </w:r>
      <w:r w:rsidR="00167432">
        <w:t xml:space="preserve"> (gastric and duodenal ulcers)</w:t>
      </w:r>
    </w:p>
    <w:p w14:paraId="5A9658EA" w14:textId="07F8D087" w:rsidR="00F81658" w:rsidRDefault="00F81658" w:rsidP="00F81658">
      <w:pPr>
        <w:pStyle w:val="Bullet"/>
      </w:pPr>
      <w:r w:rsidRPr="006A4D45">
        <w:rPr>
          <w:i/>
          <w:iCs/>
        </w:rPr>
        <w:lastRenderedPageBreak/>
        <w:t>Klebsiella</w:t>
      </w:r>
      <w:r w:rsidR="006A4D45">
        <w:t xml:space="preserve"> spp. </w:t>
      </w:r>
      <w:r w:rsidR="002F5660" w:rsidRPr="002E7B7D">
        <w:t>(</w:t>
      </w:r>
      <w:r w:rsidR="002E7B7D" w:rsidRPr="002E7B7D">
        <w:t>meningitis, pneumonia, sepsis</w:t>
      </w:r>
      <w:r w:rsidR="002E7B7D">
        <w:t>)</w:t>
      </w:r>
    </w:p>
    <w:p w14:paraId="09099158" w14:textId="7B1F13FA" w:rsidR="00F81658" w:rsidRDefault="00F81658" w:rsidP="00F81658">
      <w:pPr>
        <w:pStyle w:val="Bullet"/>
      </w:pPr>
      <w:r w:rsidRPr="002F5660">
        <w:rPr>
          <w:i/>
          <w:iCs/>
        </w:rPr>
        <w:t>Legionella</w:t>
      </w:r>
      <w:r w:rsidR="002F5660">
        <w:t xml:space="preserve"> </w:t>
      </w:r>
      <w:r w:rsidR="000C5C5E">
        <w:t xml:space="preserve">spp. </w:t>
      </w:r>
      <w:r w:rsidR="002F5660">
        <w:t>(</w:t>
      </w:r>
      <w:r w:rsidR="002F5660" w:rsidRPr="003F7708">
        <w:t>Legion</w:t>
      </w:r>
      <w:r w:rsidR="009C587D">
        <w:t>naires’ disease)</w:t>
      </w:r>
    </w:p>
    <w:p w14:paraId="66E6785D" w14:textId="721CE791" w:rsidR="00341E55" w:rsidRDefault="00341E55" w:rsidP="00341E55">
      <w:pPr>
        <w:pStyle w:val="Bullet"/>
      </w:pPr>
      <w:r w:rsidRPr="00BC5205">
        <w:rPr>
          <w:rStyle w:val="Emphasis"/>
        </w:rPr>
        <w:t>Leptospira</w:t>
      </w:r>
      <w:r>
        <w:t xml:space="preserve"> spp. (leptospirosis)</w:t>
      </w:r>
    </w:p>
    <w:p w14:paraId="73CC6AB1" w14:textId="7E403178" w:rsidR="0038634E" w:rsidRDefault="00260B3E" w:rsidP="00341E55">
      <w:pPr>
        <w:pStyle w:val="Bullet"/>
      </w:pPr>
      <w:r w:rsidRPr="00341E55">
        <w:rPr>
          <w:i/>
          <w:iCs/>
        </w:rPr>
        <w:t>Listeria</w:t>
      </w:r>
      <w:r w:rsidR="007339F5" w:rsidRPr="00341E55">
        <w:rPr>
          <w:i/>
          <w:iCs/>
        </w:rPr>
        <w:t xml:space="preserve"> </w:t>
      </w:r>
      <w:r w:rsidR="00DA28D6" w:rsidRPr="00341E55">
        <w:rPr>
          <w:i/>
          <w:iCs/>
        </w:rPr>
        <w:t>monocytogenes</w:t>
      </w:r>
      <w:r>
        <w:t xml:space="preserve"> (</w:t>
      </w:r>
      <w:r w:rsidR="007339F5">
        <w:t>listeriosis)</w:t>
      </w:r>
      <w:r w:rsidR="002D2750">
        <w:t xml:space="preserve"> </w:t>
      </w:r>
    </w:p>
    <w:p w14:paraId="7EFB5975" w14:textId="243ED4E4" w:rsidR="0038634E" w:rsidRDefault="002D2750" w:rsidP="00341E55">
      <w:pPr>
        <w:pStyle w:val="Bullet"/>
      </w:pPr>
      <w:r w:rsidRPr="00BC5205">
        <w:rPr>
          <w:rStyle w:val="Emphasis"/>
        </w:rPr>
        <w:t>Mycobacteri</w:t>
      </w:r>
      <w:r w:rsidR="00C83C7F">
        <w:rPr>
          <w:rStyle w:val="Emphasis"/>
        </w:rPr>
        <w:t>um</w:t>
      </w:r>
      <w:r>
        <w:t xml:space="preserve"> spp. </w:t>
      </w:r>
      <w:r w:rsidR="00C83C7F">
        <w:t>(</w:t>
      </w:r>
      <w:r>
        <w:t xml:space="preserve">such as </w:t>
      </w:r>
      <w:r w:rsidRPr="00BC5205">
        <w:rPr>
          <w:rStyle w:val="Emphasis"/>
        </w:rPr>
        <w:t>M</w:t>
      </w:r>
      <w:r w:rsidR="00C83C7F">
        <w:rPr>
          <w:rStyle w:val="Emphasis"/>
        </w:rPr>
        <w:t>.</w:t>
      </w:r>
      <w:r>
        <w:t xml:space="preserve"> </w:t>
      </w:r>
      <w:proofErr w:type="spellStart"/>
      <w:r w:rsidRPr="00BC5205">
        <w:rPr>
          <w:rStyle w:val="Emphasis"/>
        </w:rPr>
        <w:t>bovis</w:t>
      </w:r>
      <w:proofErr w:type="spellEnd"/>
      <w:r>
        <w:t xml:space="preserve">, </w:t>
      </w:r>
      <w:r w:rsidRPr="00BC5205">
        <w:rPr>
          <w:rStyle w:val="Emphasis"/>
        </w:rPr>
        <w:t>M</w:t>
      </w:r>
      <w:r w:rsidR="00C83C7F">
        <w:rPr>
          <w:rStyle w:val="Emphasis"/>
        </w:rPr>
        <w:t>.</w:t>
      </w:r>
      <w:r>
        <w:t xml:space="preserve"> </w:t>
      </w:r>
      <w:r w:rsidRPr="00BC5205">
        <w:rPr>
          <w:rStyle w:val="Emphasis"/>
        </w:rPr>
        <w:t>avium</w:t>
      </w:r>
      <w:r>
        <w:t xml:space="preserve"> subsp. </w:t>
      </w:r>
      <w:r w:rsidRPr="00BC5205">
        <w:rPr>
          <w:rStyle w:val="Emphasis"/>
        </w:rPr>
        <w:t>avium</w:t>
      </w:r>
      <w:r w:rsidRPr="00C83C7F">
        <w:t>,</w:t>
      </w:r>
      <w:r>
        <w:t xml:space="preserve"> </w:t>
      </w:r>
      <w:r w:rsidRPr="00BC5205">
        <w:rPr>
          <w:rStyle w:val="Emphasis"/>
        </w:rPr>
        <w:t>M</w:t>
      </w:r>
      <w:r w:rsidR="00C83C7F">
        <w:rPr>
          <w:rStyle w:val="Emphasis"/>
        </w:rPr>
        <w:t>.</w:t>
      </w:r>
      <w:r w:rsidRPr="00BC5205">
        <w:rPr>
          <w:rStyle w:val="Emphasis"/>
        </w:rPr>
        <w:t xml:space="preserve"> avium</w:t>
      </w:r>
      <w:r>
        <w:t xml:space="preserve"> subsp. </w:t>
      </w:r>
      <w:r w:rsidRPr="00BC5205">
        <w:rPr>
          <w:rStyle w:val="Emphasis"/>
        </w:rPr>
        <w:t>paratuberculosis</w:t>
      </w:r>
      <w:r w:rsidR="00DA28D6">
        <w:rPr>
          <w:rStyle w:val="Emphasis"/>
        </w:rPr>
        <w:t>;</w:t>
      </w:r>
      <w:r>
        <w:t xml:space="preserve"> responsible for pulmonary or gastrointestinal diseases</w:t>
      </w:r>
      <w:r w:rsidR="007A1717">
        <w:t xml:space="preserve"> such as Johne’s disease in ruminants</w:t>
      </w:r>
      <w:r w:rsidR="00C83C7F">
        <w:t>)</w:t>
      </w:r>
    </w:p>
    <w:p w14:paraId="03F59DC0" w14:textId="044662D0" w:rsidR="00085000" w:rsidRDefault="002D2750" w:rsidP="00341E55">
      <w:pPr>
        <w:pStyle w:val="Bullet"/>
      </w:pPr>
      <w:r w:rsidRPr="00BC5205">
        <w:rPr>
          <w:rStyle w:val="Emphasis"/>
        </w:rPr>
        <w:t>Pseudomonas</w:t>
      </w:r>
      <w:r>
        <w:t xml:space="preserve"> spp. (mastitis</w:t>
      </w:r>
      <w:r w:rsidR="00E83EDE">
        <w:t>)</w:t>
      </w:r>
      <w:r w:rsidR="0091709F">
        <w:t>.</w:t>
      </w:r>
    </w:p>
    <w:p w14:paraId="366E5710" w14:textId="1F4979AA" w:rsidR="00F81658" w:rsidRDefault="00F81658" w:rsidP="00F81658">
      <w:pPr>
        <w:pStyle w:val="Bullet"/>
      </w:pPr>
      <w:r w:rsidRPr="00D722BC">
        <w:rPr>
          <w:i/>
          <w:iCs/>
        </w:rPr>
        <w:t>Shigella</w:t>
      </w:r>
      <w:r w:rsidR="00D722BC">
        <w:t xml:space="preserve"> spp. (shigellosis)</w:t>
      </w:r>
      <w:r w:rsidRPr="003F7708">
        <w:t>.</w:t>
      </w:r>
    </w:p>
    <w:p w14:paraId="03F59DC1" w14:textId="0FA789FF" w:rsidR="00085000" w:rsidRDefault="00EB38E1" w:rsidP="00C1087A">
      <w:r>
        <w:t>Several</w:t>
      </w:r>
      <w:r w:rsidR="002D2750">
        <w:t xml:space="preserve"> livestock </w:t>
      </w:r>
      <w:r w:rsidR="00005B0B">
        <w:t>diseases</w:t>
      </w:r>
      <w:r w:rsidR="00501AB6">
        <w:t xml:space="preserve"> </w:t>
      </w:r>
      <w:r w:rsidR="002D2750">
        <w:t xml:space="preserve">can be caused by </w:t>
      </w:r>
      <w:r>
        <w:t>water</w:t>
      </w:r>
      <w:r w:rsidR="007A6B8D">
        <w:t>borne</w:t>
      </w:r>
      <w:r>
        <w:t xml:space="preserve"> </w:t>
      </w:r>
      <w:r w:rsidR="002D2750">
        <w:t>viruses</w:t>
      </w:r>
      <w:r w:rsidR="0049458E">
        <w:t>; for example,</w:t>
      </w:r>
      <w:r w:rsidR="002D2750">
        <w:t xml:space="preserve"> </w:t>
      </w:r>
      <w:r w:rsidR="0049458E">
        <w:t>w</w:t>
      </w:r>
      <w:r w:rsidR="002D2750">
        <w:t xml:space="preserve">ater supplies have been implicated in transmitting Newcastle disease in poultry </w:t>
      </w:r>
      <w:r w:rsidR="002D2750" w:rsidRPr="00F91856">
        <w:t>(</w:t>
      </w:r>
      <w:r w:rsidR="005825C5">
        <w:t>Animal Health Australia 2022</w:t>
      </w:r>
      <w:r w:rsidR="002D2750" w:rsidRPr="00F91856">
        <w:t>).</w:t>
      </w:r>
    </w:p>
    <w:p w14:paraId="03F59DC2" w14:textId="3EE74718" w:rsidR="00D410A8" w:rsidRDefault="00EB38E1" w:rsidP="00C1087A">
      <w:r>
        <w:t xml:space="preserve">Well-managed livestock usually </w:t>
      </w:r>
      <w:r w:rsidR="00FE7049">
        <w:t xml:space="preserve">has </w:t>
      </w:r>
      <w:r>
        <w:t xml:space="preserve">a relatively low incidence of parasitic infections. Most </w:t>
      </w:r>
      <w:r w:rsidR="00912ED8">
        <w:t xml:space="preserve">parasites </w:t>
      </w:r>
      <w:r>
        <w:t>do not cause mortality directly</w:t>
      </w:r>
      <w:r w:rsidR="00FE7049">
        <w:t>; instead, they</w:t>
      </w:r>
      <w:r>
        <w:t xml:space="preserve"> </w:t>
      </w:r>
      <w:r w:rsidR="00FE7049">
        <w:t xml:space="preserve">reduce </w:t>
      </w:r>
      <w:r>
        <w:t>growth rates and vitality</w:t>
      </w:r>
      <w:r w:rsidR="00FE7049">
        <w:t>, increasing the</w:t>
      </w:r>
      <w:r>
        <w:t xml:space="preserve"> susceptibility to fatal infectious diseases (</w:t>
      </w:r>
      <w:r w:rsidR="00940835">
        <w:t>MLA 2023</w:t>
      </w:r>
      <w:r>
        <w:t>).</w:t>
      </w:r>
    </w:p>
    <w:p w14:paraId="03F59DC3" w14:textId="5F9C5EDF" w:rsidR="001B6BEB" w:rsidRDefault="00EB38E1" w:rsidP="00FD2341">
      <w:r>
        <w:t>Several</w:t>
      </w:r>
      <w:r w:rsidR="002D2750">
        <w:t xml:space="preserve"> </w:t>
      </w:r>
      <w:r w:rsidR="00BF5C35">
        <w:t>live</w:t>
      </w:r>
      <w:r w:rsidR="002D2750">
        <w:t>stock parasites</w:t>
      </w:r>
      <w:r w:rsidR="00D4380C">
        <w:t>, including</w:t>
      </w:r>
      <w:r w:rsidR="002D2750">
        <w:t xml:space="preserve"> </w:t>
      </w:r>
      <w:r w:rsidR="00D4380C">
        <w:t xml:space="preserve">helminths (worms) and </w:t>
      </w:r>
      <w:r w:rsidR="00501AB6">
        <w:t>protozoa</w:t>
      </w:r>
      <w:r w:rsidR="00D4380C">
        <w:t>,</w:t>
      </w:r>
      <w:r w:rsidR="00501AB6">
        <w:t xml:space="preserve"> </w:t>
      </w:r>
      <w:r w:rsidR="002D2750">
        <w:t xml:space="preserve">spend part of their lifecycles in water, and faecal contamination of water is the usual means of introduction. </w:t>
      </w:r>
      <w:r>
        <w:t>P</w:t>
      </w:r>
      <w:r w:rsidR="002D2750">
        <w:t>arasitic disease</w:t>
      </w:r>
      <w:r>
        <w:t>s</w:t>
      </w:r>
      <w:r w:rsidR="002D2750">
        <w:t xml:space="preserve"> of concern in Australia</w:t>
      </w:r>
      <w:r>
        <w:t xml:space="preserve"> include:</w:t>
      </w:r>
    </w:p>
    <w:p w14:paraId="03F59DC4" w14:textId="77777777" w:rsidR="001B6BEB" w:rsidRDefault="00EB38E1" w:rsidP="00FD2341">
      <w:pPr>
        <w:pStyle w:val="Bullet"/>
      </w:pPr>
      <w:r>
        <w:t xml:space="preserve">cysticercosis in cattle (beef measles) caused by </w:t>
      </w:r>
      <w:r w:rsidRPr="00F23242">
        <w:rPr>
          <w:rStyle w:val="Emphasis"/>
        </w:rPr>
        <w:t xml:space="preserve">Taenia </w:t>
      </w:r>
      <w:proofErr w:type="spellStart"/>
      <w:r w:rsidRPr="00F23242">
        <w:rPr>
          <w:rStyle w:val="Emphasis"/>
        </w:rPr>
        <w:t>saginata</w:t>
      </w:r>
      <w:proofErr w:type="spellEnd"/>
      <w:r>
        <w:t xml:space="preserve"> </w:t>
      </w:r>
      <w:r w:rsidR="00BE48BB">
        <w:t xml:space="preserve">(a tapeworm that affects humans) </w:t>
      </w:r>
      <w:r>
        <w:t>(</w:t>
      </w:r>
      <w:r w:rsidRPr="00F670F0">
        <w:t>Arundel 1972)</w:t>
      </w:r>
    </w:p>
    <w:p w14:paraId="03F59DC6" w14:textId="42F44E03" w:rsidR="00501AB6" w:rsidRDefault="00EB38E1" w:rsidP="00835DFD">
      <w:pPr>
        <w:pStyle w:val="Bullet"/>
      </w:pPr>
      <w:r>
        <w:t xml:space="preserve">cysticercosis in pigs </w:t>
      </w:r>
      <w:r w:rsidR="0087742D">
        <w:t xml:space="preserve">caused by </w:t>
      </w:r>
      <w:r w:rsidRPr="007D02F0">
        <w:rPr>
          <w:i/>
          <w:iCs/>
        </w:rPr>
        <w:t xml:space="preserve">Taenia </w:t>
      </w:r>
      <w:proofErr w:type="spellStart"/>
      <w:r w:rsidRPr="007D02F0">
        <w:rPr>
          <w:i/>
          <w:iCs/>
        </w:rPr>
        <w:t>solium</w:t>
      </w:r>
      <w:proofErr w:type="spellEnd"/>
      <w:r w:rsidR="007E2D42">
        <w:rPr>
          <w:i/>
          <w:iCs/>
        </w:rPr>
        <w:t>,</w:t>
      </w:r>
      <w:r>
        <w:t xml:space="preserve"> </w:t>
      </w:r>
      <w:r w:rsidR="007E2D42">
        <w:t xml:space="preserve">which </w:t>
      </w:r>
      <w:r>
        <w:t xml:space="preserve">can be </w:t>
      </w:r>
      <w:r w:rsidRPr="00835DFD">
        <w:t>transmitted</w:t>
      </w:r>
      <w:r>
        <w:t xml:space="preserve"> between pigs and humans</w:t>
      </w:r>
      <w:r w:rsidR="003C2636">
        <w:t xml:space="preserve"> </w:t>
      </w:r>
      <w:r w:rsidR="0087742D">
        <w:t>and causes cy</w:t>
      </w:r>
      <w:r w:rsidR="003C2636">
        <w:t>s</w:t>
      </w:r>
      <w:r w:rsidR="0087742D">
        <w:t>ts in</w:t>
      </w:r>
      <w:r w:rsidR="003C2636">
        <w:t xml:space="preserve"> muscles and the </w:t>
      </w:r>
      <w:proofErr w:type="gramStart"/>
      <w:r w:rsidR="003C2636">
        <w:t>brain</w:t>
      </w:r>
      <w:proofErr w:type="gramEnd"/>
    </w:p>
    <w:p w14:paraId="03F59DC7" w14:textId="77777777" w:rsidR="001B6BEB" w:rsidRDefault="00EB38E1" w:rsidP="00FD2341">
      <w:pPr>
        <w:pStyle w:val="Bullet"/>
      </w:pPr>
      <w:r w:rsidRPr="00F23242">
        <w:rPr>
          <w:rStyle w:val="Emphasis"/>
        </w:rPr>
        <w:t>Cryptosporidium parvum</w:t>
      </w:r>
      <w:r>
        <w:t xml:space="preserve"> </w:t>
      </w:r>
      <w:r>
        <w:rPr>
          <w:rFonts w:cstheme="minorHAnsi"/>
        </w:rPr>
        <w:t>–</w:t>
      </w:r>
      <w:r>
        <w:t xml:space="preserve"> e</w:t>
      </w:r>
      <w:r w:rsidR="002D2750">
        <w:t xml:space="preserve">xperiments with lambs have shown that the minimum infectious dose of the protozoan </w:t>
      </w:r>
      <w:r w:rsidR="002D2750" w:rsidRPr="00F23242">
        <w:rPr>
          <w:rStyle w:val="Emphasis"/>
        </w:rPr>
        <w:t>C</w:t>
      </w:r>
      <w:r>
        <w:rPr>
          <w:rStyle w:val="Emphasis"/>
        </w:rPr>
        <w:t>. </w:t>
      </w:r>
      <w:r w:rsidR="002D2750" w:rsidRPr="00F23242">
        <w:rPr>
          <w:rStyle w:val="Emphasis"/>
        </w:rPr>
        <w:t>parvum</w:t>
      </w:r>
      <w:r w:rsidR="002D2750">
        <w:t xml:space="preserve"> may be as little as one oocyst and that the infection may be waterborne (</w:t>
      </w:r>
      <w:r w:rsidR="002D2750" w:rsidRPr="007C69AE">
        <w:t>Blewett et al. 1993)</w:t>
      </w:r>
    </w:p>
    <w:p w14:paraId="03F59DC8" w14:textId="77777777" w:rsidR="00085000" w:rsidRDefault="00EB38E1" w:rsidP="00FD2341">
      <w:pPr>
        <w:pStyle w:val="Bullet"/>
        <w:spacing w:after="240"/>
      </w:pPr>
      <w:r w:rsidRPr="00F23242">
        <w:rPr>
          <w:rStyle w:val="Emphasis"/>
        </w:rPr>
        <w:t>Giardia</w:t>
      </w:r>
      <w:r>
        <w:t xml:space="preserve"> </w:t>
      </w:r>
      <w:r w:rsidR="00907E2C">
        <w:t xml:space="preserve">spp. </w:t>
      </w:r>
      <w:r w:rsidR="001B6BEB">
        <w:rPr>
          <w:rFonts w:cstheme="minorHAnsi"/>
        </w:rPr>
        <w:t>–</w:t>
      </w:r>
      <w:r w:rsidR="001B6BEB">
        <w:t xml:space="preserve"> w</w:t>
      </w:r>
      <w:r>
        <w:t xml:space="preserve">eight loss in </w:t>
      </w:r>
      <w:r w:rsidR="00C5281A">
        <w:t>live</w:t>
      </w:r>
      <w:r>
        <w:t xml:space="preserve">stock has been reported from infection with </w:t>
      </w:r>
      <w:r w:rsidR="001B6BEB">
        <w:t xml:space="preserve">the protozoan </w:t>
      </w:r>
      <w:r w:rsidRPr="00F23242">
        <w:rPr>
          <w:rStyle w:val="Emphasis"/>
        </w:rPr>
        <w:t>Giardia</w:t>
      </w:r>
      <w:r>
        <w:t xml:space="preserve"> </w:t>
      </w:r>
      <w:r w:rsidRPr="0005149D">
        <w:t>(Olson et al. 1995).</w:t>
      </w:r>
    </w:p>
    <w:p w14:paraId="09FA93F5" w14:textId="5CE6C540" w:rsidR="00A91C39" w:rsidRDefault="00A91C39" w:rsidP="007D02F0">
      <w:r w:rsidRPr="007D02F0">
        <w:t>Trematodes</w:t>
      </w:r>
      <w:r w:rsidR="00ED211A" w:rsidRPr="007D02F0">
        <w:t xml:space="preserve"> such as </w:t>
      </w:r>
      <w:proofErr w:type="spellStart"/>
      <w:r w:rsidR="00B918A7" w:rsidRPr="007D02F0">
        <w:t>f</w:t>
      </w:r>
      <w:r w:rsidRPr="007D02F0">
        <w:t>asciola</w:t>
      </w:r>
      <w:proofErr w:type="spellEnd"/>
      <w:r w:rsidRPr="007D02F0">
        <w:t xml:space="preserve"> and schistosomes</w:t>
      </w:r>
      <w:r w:rsidR="00B918A7" w:rsidRPr="007D02F0">
        <w:t xml:space="preserve"> </w:t>
      </w:r>
      <w:r w:rsidR="00341E55">
        <w:t>can c</w:t>
      </w:r>
      <w:r w:rsidRPr="00B760DA">
        <w:t>aus</w:t>
      </w:r>
      <w:r w:rsidR="00B918A7" w:rsidRPr="00B760DA">
        <w:t>e</w:t>
      </w:r>
      <w:r w:rsidRPr="00B760DA">
        <w:t xml:space="preserve"> liver and biliary system damage </w:t>
      </w:r>
      <w:r w:rsidR="00B918A7" w:rsidRPr="00B760DA">
        <w:t>that affects</w:t>
      </w:r>
      <w:r w:rsidRPr="00B760DA">
        <w:t xml:space="preserve"> the health of the animal </w:t>
      </w:r>
      <w:r w:rsidR="00A50FE7" w:rsidRPr="00B760DA">
        <w:t xml:space="preserve">and can </w:t>
      </w:r>
      <w:r w:rsidR="00A50FE7">
        <w:t>prevent livers being</w:t>
      </w:r>
      <w:r>
        <w:t xml:space="preserve"> </w:t>
      </w:r>
      <w:r w:rsidR="00341E55">
        <w:t>sold for human consumption.</w:t>
      </w:r>
    </w:p>
    <w:p w14:paraId="03F59DC9" w14:textId="2C282C2B" w:rsidR="00085000" w:rsidRDefault="00EB38E1" w:rsidP="00C1087A">
      <w:r>
        <w:t xml:space="preserve">Waterborne pathogens </w:t>
      </w:r>
      <w:r w:rsidR="002852E7">
        <w:t>and parasites can</w:t>
      </w:r>
      <w:r>
        <w:t xml:space="preserve"> also </w:t>
      </w:r>
      <w:r w:rsidR="002852E7">
        <w:t xml:space="preserve">affect </w:t>
      </w:r>
      <w:r>
        <w:t>human health</w:t>
      </w:r>
      <w:r w:rsidR="00912ED8">
        <w:t>.</w:t>
      </w:r>
      <w:r>
        <w:t xml:space="preserve"> High </w:t>
      </w:r>
      <w:r w:rsidR="00501AB6">
        <w:t xml:space="preserve">prevalence </w:t>
      </w:r>
      <w:r>
        <w:t xml:space="preserve">of pathogens in </w:t>
      </w:r>
      <w:r w:rsidR="00F40FD8">
        <w:t xml:space="preserve">a </w:t>
      </w:r>
      <w:r>
        <w:t xml:space="preserve">herd could lead to high numbers of </w:t>
      </w:r>
      <w:r w:rsidR="00F40FD8">
        <w:t xml:space="preserve">pathogens </w:t>
      </w:r>
      <w:r w:rsidR="00912ED8">
        <w:t xml:space="preserve">in </w:t>
      </w:r>
      <w:r>
        <w:t xml:space="preserve">meat, </w:t>
      </w:r>
      <w:r w:rsidR="00F40FD8">
        <w:t>increasing the</w:t>
      </w:r>
      <w:r>
        <w:t xml:space="preserve"> risk of </w:t>
      </w:r>
      <w:r w:rsidR="006B0AD0">
        <w:t xml:space="preserve">disease </w:t>
      </w:r>
      <w:r w:rsidR="00501AB6">
        <w:t xml:space="preserve">for </w:t>
      </w:r>
      <w:r>
        <w:t>human consumers.</w:t>
      </w:r>
    </w:p>
    <w:p w14:paraId="03F59DCA" w14:textId="77777777" w:rsidR="00AD38A0" w:rsidRPr="00AD38A0" w:rsidRDefault="00EB38E1" w:rsidP="000C6B83">
      <w:pPr>
        <w:pStyle w:val="Heading5"/>
        <w:rPr>
          <w:lang w:eastAsia="ja-JP"/>
        </w:rPr>
      </w:pPr>
      <w:r w:rsidRPr="00AD38A0">
        <w:rPr>
          <w:lang w:eastAsia="ja-JP"/>
        </w:rPr>
        <w:t>Derivation of guideline values</w:t>
      </w:r>
    </w:p>
    <w:p w14:paraId="4CE33F22" w14:textId="5E468E41" w:rsidR="006602B3" w:rsidRDefault="00EB38E1" w:rsidP="006602B3">
      <w:r>
        <w:t xml:space="preserve">The </w:t>
      </w:r>
      <w:r w:rsidR="007E58EC" w:rsidRPr="007E58EC">
        <w:t xml:space="preserve">National Water Quality Management Strategy </w:t>
      </w:r>
      <w:r>
        <w:t xml:space="preserve">guidelines for pathogens in drinking </w:t>
      </w:r>
      <w:r w:rsidRPr="00015BF1">
        <w:t>water (ARMCANZ, ANZECC &amp; NHMRC 2000)</w:t>
      </w:r>
      <w:r>
        <w:t xml:space="preserve"> </w:t>
      </w:r>
      <w:r w:rsidR="0034639F">
        <w:t>were</w:t>
      </w:r>
      <w:r w:rsidR="006602B3">
        <w:t xml:space="preserve"> based on:</w:t>
      </w:r>
    </w:p>
    <w:p w14:paraId="44F9D544" w14:textId="77777777" w:rsidR="006602B3" w:rsidRDefault="006602B3" w:rsidP="006602B3">
      <w:pPr>
        <w:pStyle w:val="ListBullet"/>
        <w:rPr>
          <w:lang w:eastAsia="ja-JP"/>
        </w:rPr>
      </w:pPr>
      <w:r>
        <w:rPr>
          <w:lang w:eastAsia="ja-JP"/>
        </w:rPr>
        <w:t>the best available scientific evidence</w:t>
      </w:r>
    </w:p>
    <w:p w14:paraId="3F776A58" w14:textId="77777777" w:rsidR="006602B3" w:rsidRDefault="006602B3" w:rsidP="006602B3">
      <w:pPr>
        <w:pStyle w:val="ListBullet"/>
        <w:rPr>
          <w:lang w:eastAsia="ja-JP"/>
        </w:rPr>
      </w:pPr>
      <w:r>
        <w:rPr>
          <w:lang w:eastAsia="ja-JP"/>
        </w:rPr>
        <w:t>international practice in reclaimed water use</w:t>
      </w:r>
    </w:p>
    <w:p w14:paraId="6337873C" w14:textId="77777777" w:rsidR="006602B3" w:rsidRDefault="006602B3" w:rsidP="006602B3">
      <w:pPr>
        <w:pStyle w:val="ListBullet"/>
        <w:spacing w:after="240"/>
        <w:rPr>
          <w:lang w:eastAsia="ja-JP"/>
        </w:rPr>
      </w:pPr>
      <w:r>
        <w:rPr>
          <w:lang w:eastAsia="ja-JP"/>
        </w:rPr>
        <w:t>a consensus of local practice demonstrated to be safe.</w:t>
      </w:r>
    </w:p>
    <w:p w14:paraId="4C346350" w14:textId="77777777" w:rsidR="00AB45C1" w:rsidRDefault="00AB45C1">
      <w:pPr>
        <w:spacing w:after="0" w:line="240" w:lineRule="auto"/>
      </w:pPr>
      <w:r>
        <w:br w:type="page"/>
      </w:r>
    </w:p>
    <w:p w14:paraId="03F59DCB" w14:textId="0AC53FFC" w:rsidR="00123408" w:rsidRDefault="006602B3" w:rsidP="00FD2341">
      <w:r>
        <w:lastRenderedPageBreak/>
        <w:t>In particular, the guidelines considered</w:t>
      </w:r>
      <w:r w:rsidR="00EB38E1">
        <w:t>:</w:t>
      </w:r>
    </w:p>
    <w:p w14:paraId="03F59DCC" w14:textId="77777777" w:rsidR="002D53BF" w:rsidRDefault="00EB38E1" w:rsidP="00123408">
      <w:pPr>
        <w:pStyle w:val="ListBullet"/>
        <w:rPr>
          <w:lang w:eastAsia="ja-JP"/>
        </w:rPr>
      </w:pPr>
      <w:r>
        <w:rPr>
          <w:lang w:eastAsia="ja-JP"/>
        </w:rPr>
        <w:t>the method</w:t>
      </w:r>
      <w:r w:rsidR="00123408">
        <w:rPr>
          <w:lang w:eastAsia="ja-JP"/>
        </w:rPr>
        <w:t>s</w:t>
      </w:r>
      <w:r>
        <w:rPr>
          <w:lang w:eastAsia="ja-JP"/>
        </w:rPr>
        <w:t xml:space="preserve"> and information used </w:t>
      </w:r>
      <w:r w:rsidR="00123408">
        <w:rPr>
          <w:lang w:eastAsia="ja-JP"/>
        </w:rPr>
        <w:t>to develop</w:t>
      </w:r>
      <w:r>
        <w:rPr>
          <w:lang w:eastAsia="ja-JP"/>
        </w:rPr>
        <w:t xml:space="preserve"> guidelines from the World Health Organization (</w:t>
      </w:r>
      <w:r w:rsidRPr="00254357">
        <w:rPr>
          <w:lang w:eastAsia="ja-JP"/>
        </w:rPr>
        <w:t>WHO 1989) and</w:t>
      </w:r>
      <w:r>
        <w:rPr>
          <w:lang w:eastAsia="ja-JP"/>
        </w:rPr>
        <w:t xml:space="preserve"> the United States Environmental Protection Agency (</w:t>
      </w:r>
      <w:r w:rsidRPr="00D82148">
        <w:rPr>
          <w:lang w:eastAsia="ja-JP"/>
        </w:rPr>
        <w:t>USEPA 1992)</w:t>
      </w:r>
    </w:p>
    <w:p w14:paraId="03F59DCD" w14:textId="77777777" w:rsidR="00123408" w:rsidRDefault="00EB38E1" w:rsidP="00FD2341">
      <w:pPr>
        <w:pStyle w:val="ListBullet"/>
        <w:spacing w:after="240"/>
        <w:rPr>
          <w:lang w:eastAsia="ja-JP"/>
        </w:rPr>
      </w:pPr>
      <w:r>
        <w:rPr>
          <w:lang w:eastAsia="ja-JP"/>
        </w:rPr>
        <w:t xml:space="preserve">local guidelines adapted to local conditions and socio-economic factors </w:t>
      </w:r>
      <w:r w:rsidRPr="00907317">
        <w:rPr>
          <w:lang w:eastAsia="ja-JP"/>
        </w:rPr>
        <w:t>(</w:t>
      </w:r>
      <w:proofErr w:type="spellStart"/>
      <w:r w:rsidRPr="00907317">
        <w:rPr>
          <w:lang w:eastAsia="ja-JP"/>
        </w:rPr>
        <w:t>Hespanhol</w:t>
      </w:r>
      <w:proofErr w:type="spellEnd"/>
      <w:r w:rsidRPr="00907317">
        <w:rPr>
          <w:lang w:eastAsia="ja-JP"/>
        </w:rPr>
        <w:t xml:space="preserve"> &amp; Prost 1994).</w:t>
      </w:r>
    </w:p>
    <w:p w14:paraId="03F59DD2" w14:textId="77777777" w:rsidR="00912ED8" w:rsidRDefault="00EB38E1" w:rsidP="00FD2341">
      <w:r>
        <w:t xml:space="preserve">In addition, the management and use of reclaimed water from sewage systems are important components of the National Water Quality Management Strategy. Pathogen guidelines for livestock drinking water have been proposed in the </w:t>
      </w:r>
      <w:bookmarkStart w:id="150" w:name="_Hlk135132238"/>
      <w:r>
        <w:t>Australian Guidelines for Water Recycling (NWQMS 2006).</w:t>
      </w:r>
      <w:bookmarkEnd w:id="150"/>
    </w:p>
    <w:p w14:paraId="03F59DD3" w14:textId="77777777" w:rsidR="003645F7" w:rsidRDefault="00EB38E1" w:rsidP="000C6B83">
      <w:pPr>
        <w:pStyle w:val="Heading5"/>
        <w:rPr>
          <w:lang w:eastAsia="ja-JP"/>
        </w:rPr>
      </w:pPr>
      <w:r>
        <w:rPr>
          <w:lang w:eastAsia="ja-JP"/>
        </w:rPr>
        <w:t>Monitoring and management</w:t>
      </w:r>
    </w:p>
    <w:p w14:paraId="03F59DD4" w14:textId="7787581B" w:rsidR="00623E79" w:rsidRDefault="00EB38E1" w:rsidP="00912ED8">
      <w:r>
        <w:t xml:space="preserve">It is generally not feasible nor warranted to test livestock drinking water for the presence of the wide </w:t>
      </w:r>
      <w:r w:rsidR="00554F51">
        <w:t>variety</w:t>
      </w:r>
      <w:r>
        <w:t xml:space="preserve"> of water</w:t>
      </w:r>
      <w:r w:rsidR="007A6B8D">
        <w:t>borne</w:t>
      </w:r>
      <w:r>
        <w:t xml:space="preserve"> microbial pathogens (bacteria, viruses</w:t>
      </w:r>
      <w:r w:rsidR="00501AB6">
        <w:t>,</w:t>
      </w:r>
      <w:r>
        <w:t xml:space="preserve"> </w:t>
      </w:r>
      <w:proofErr w:type="gramStart"/>
      <w:r>
        <w:t>protozoa</w:t>
      </w:r>
      <w:proofErr w:type="gramEnd"/>
      <w:r w:rsidR="00501AB6">
        <w:t xml:space="preserve"> and helminths</w:t>
      </w:r>
      <w:r>
        <w:t>) that may affect stock health.</w:t>
      </w:r>
      <w:r w:rsidR="00C66B84">
        <w:t xml:space="preserve"> Instead,</w:t>
      </w:r>
      <w:r w:rsidR="00E96F52">
        <w:t xml:space="preserve"> </w:t>
      </w:r>
      <w:r w:rsidR="000A5AB6">
        <w:t xml:space="preserve">tests to detect </w:t>
      </w:r>
      <w:r w:rsidR="00E96F52">
        <w:t>faecal contamination</w:t>
      </w:r>
      <w:r w:rsidR="000A5AB6">
        <w:t xml:space="preserve"> are used to </w:t>
      </w:r>
      <w:r w:rsidR="009C2B92">
        <w:t xml:space="preserve">indicate the possible presence of microbial pathogens. </w:t>
      </w:r>
      <w:r w:rsidR="002B27A8">
        <w:t>F</w:t>
      </w:r>
      <w:r w:rsidR="009C2B92">
        <w:t>aecal contamination</w:t>
      </w:r>
      <w:r w:rsidR="00E96F52">
        <w:t xml:space="preserve"> is </w:t>
      </w:r>
      <w:r w:rsidR="00DF28C7">
        <w:t>detected by testing for</w:t>
      </w:r>
      <w:r w:rsidR="000D0642">
        <w:t xml:space="preserve"> </w:t>
      </w:r>
      <w:r w:rsidR="000D0642">
        <w:rPr>
          <w:i/>
          <w:iCs/>
        </w:rPr>
        <w:t>E. coli</w:t>
      </w:r>
      <w:r w:rsidR="0032709D">
        <w:t xml:space="preserve">, </w:t>
      </w:r>
      <w:r w:rsidR="009C2B92">
        <w:t xml:space="preserve">which is </w:t>
      </w:r>
      <w:r w:rsidR="000D0642">
        <w:t xml:space="preserve">the recommended primary indicator </w:t>
      </w:r>
      <w:r w:rsidR="00710889">
        <w:t>because of its presence in warm</w:t>
      </w:r>
      <w:r w:rsidR="00065D8C">
        <w:t>-</w:t>
      </w:r>
      <w:r w:rsidR="00710889">
        <w:t>blooded animals (</w:t>
      </w:r>
      <w:r w:rsidR="00D15F0E" w:rsidRPr="003C6A1E">
        <w:t>NHMRC</w:t>
      </w:r>
      <w:r w:rsidR="00D15F0E">
        <w:t xml:space="preserve"> &amp; </w:t>
      </w:r>
      <w:r w:rsidR="00D15F0E" w:rsidRPr="003C6A1E">
        <w:t>N</w:t>
      </w:r>
      <w:r w:rsidR="00D15F0E">
        <w:t>R</w:t>
      </w:r>
      <w:r w:rsidR="00D15F0E" w:rsidRPr="003C6A1E">
        <w:t>MMC 2011</w:t>
      </w:r>
      <w:r>
        <w:t>).</w:t>
      </w:r>
    </w:p>
    <w:p w14:paraId="03F59DD6" w14:textId="0FDDAF30" w:rsidR="00F62F67" w:rsidRDefault="00887F4A" w:rsidP="00DE3A76">
      <w:r>
        <w:t xml:space="preserve">Drinking water for livestock should contain </w:t>
      </w:r>
      <w:r>
        <w:rPr>
          <w:rFonts w:cstheme="minorHAnsi"/>
        </w:rPr>
        <w:t>&lt;</w:t>
      </w:r>
      <w:r>
        <w:t>100 </w:t>
      </w:r>
      <w:proofErr w:type="spellStart"/>
      <w:r>
        <w:t>cfu</w:t>
      </w:r>
      <w:proofErr w:type="spellEnd"/>
      <w:r>
        <w:t xml:space="preserve">/100 mL (median value) of </w:t>
      </w:r>
      <w:r w:rsidRPr="002F6859">
        <w:rPr>
          <w:rStyle w:val="Emphasis"/>
        </w:rPr>
        <w:t>E.</w:t>
      </w:r>
      <w:r>
        <w:rPr>
          <w:rStyle w:val="Emphasis"/>
        </w:rPr>
        <w:t> c</w:t>
      </w:r>
      <w:r w:rsidRPr="002F6859">
        <w:rPr>
          <w:rStyle w:val="Emphasis"/>
        </w:rPr>
        <w:t>oli</w:t>
      </w:r>
      <w:r>
        <w:t xml:space="preserve">. </w:t>
      </w:r>
      <w:r w:rsidR="00EB38E1">
        <w:t>I</w:t>
      </w:r>
      <w:r w:rsidR="00245528">
        <w:t xml:space="preserve">n testing for </w:t>
      </w:r>
      <w:r w:rsidR="00245528" w:rsidRPr="00FD2341">
        <w:rPr>
          <w:i/>
          <w:iCs/>
        </w:rPr>
        <w:t>E.</w:t>
      </w:r>
      <w:r w:rsidR="00ED0667">
        <w:rPr>
          <w:i/>
          <w:iCs/>
        </w:rPr>
        <w:t> </w:t>
      </w:r>
      <w:r w:rsidR="00245528" w:rsidRPr="00FD2341">
        <w:rPr>
          <w:i/>
          <w:iCs/>
        </w:rPr>
        <w:t>coli</w:t>
      </w:r>
      <w:r w:rsidR="00245528">
        <w:t>, i</w:t>
      </w:r>
      <w:r w:rsidR="00EB38E1">
        <w:t xml:space="preserve">t is recommended that a median value of </w:t>
      </w:r>
      <w:r w:rsidR="00EB38E1" w:rsidRPr="00FD2341">
        <w:rPr>
          <w:i/>
          <w:iCs/>
        </w:rPr>
        <w:t>E.</w:t>
      </w:r>
      <w:r w:rsidR="00623E79" w:rsidRPr="00FD2341">
        <w:rPr>
          <w:i/>
          <w:iCs/>
        </w:rPr>
        <w:t> </w:t>
      </w:r>
      <w:r w:rsidR="00EB38E1" w:rsidRPr="00FD2341">
        <w:rPr>
          <w:i/>
          <w:iCs/>
        </w:rPr>
        <w:t>coli</w:t>
      </w:r>
      <w:r w:rsidR="00EB38E1">
        <w:t xml:space="preserve"> is used, based on </w:t>
      </w:r>
      <w:r w:rsidR="00623E79">
        <w:t>several</w:t>
      </w:r>
      <w:r w:rsidR="00EB38E1">
        <w:t xml:space="preserve"> readings over time from a regular monitoring program. Investigations of likely causes are warranted when 20% of results </w:t>
      </w:r>
      <w:r w:rsidR="00000012">
        <w:t xml:space="preserve">are </w:t>
      </w:r>
      <w:r w:rsidR="001B6BEB">
        <w:rPr>
          <w:rFonts w:cstheme="minorHAnsi"/>
        </w:rPr>
        <w:t>&gt;</w:t>
      </w:r>
      <w:r w:rsidR="00623E79">
        <w:t>4</w:t>
      </w:r>
      <w:r w:rsidR="00EB38E1">
        <w:t xml:space="preserve"> times the median guideline level (ARMCANZ, ANZECC &amp; NHMRC 2000)</w:t>
      </w:r>
      <w:r w:rsidR="00623E79">
        <w:t>,</w:t>
      </w:r>
      <w:r w:rsidR="00EB38E1">
        <w:t xml:space="preserve"> unless it is clear from the monitoring program that the background in the stream is already carrying an unacceptable bacterial load.</w:t>
      </w:r>
    </w:p>
    <w:p w14:paraId="03F59DD7" w14:textId="3EDAAD7D" w:rsidR="00953B7B" w:rsidRPr="00204479" w:rsidRDefault="00EB38E1" w:rsidP="00FD2341">
      <w:r w:rsidRPr="00204479">
        <w:t>Managing water supplies to minimise contamination is the best strategy for protecting livestock from waterborne microbial pathogens. Effective measures include:</w:t>
      </w:r>
    </w:p>
    <w:p w14:paraId="03F59DD8" w14:textId="77777777" w:rsidR="00953B7B" w:rsidRDefault="00EB38E1" w:rsidP="008E12AE">
      <w:pPr>
        <w:pStyle w:val="Bullet"/>
        <w:rPr>
          <w:lang w:eastAsia="ja-JP"/>
        </w:rPr>
      </w:pPr>
      <w:r>
        <w:rPr>
          <w:lang w:eastAsia="ja-JP"/>
        </w:rPr>
        <w:t>preventing livestock access to watercourses</w:t>
      </w:r>
    </w:p>
    <w:p w14:paraId="3E6501C6" w14:textId="77777777" w:rsidR="00B91060" w:rsidRDefault="00EB38E1" w:rsidP="008E12AE">
      <w:pPr>
        <w:pStyle w:val="Bullet"/>
        <w:rPr>
          <w:lang w:eastAsia="ja-JP"/>
        </w:rPr>
      </w:pPr>
      <w:r>
        <w:rPr>
          <w:lang w:eastAsia="ja-JP"/>
        </w:rPr>
        <w:t>minimising the drainage of water containing animal or human waste to surface water and groundwater</w:t>
      </w:r>
    </w:p>
    <w:p w14:paraId="47B8293C" w14:textId="77777777" w:rsidR="009F2FDF" w:rsidRDefault="009F2FDF" w:rsidP="009F2FDF">
      <w:pPr>
        <w:pStyle w:val="ListBullet"/>
        <w:rPr>
          <w:lang w:eastAsia="ja-JP"/>
        </w:rPr>
      </w:pPr>
      <w:r>
        <w:rPr>
          <w:lang w:eastAsia="ja-JP"/>
        </w:rPr>
        <w:t xml:space="preserve">locating </w:t>
      </w:r>
      <w:r w:rsidRPr="008E12AE">
        <w:rPr>
          <w:lang w:eastAsia="ja-JP"/>
        </w:rPr>
        <w:t>high-density animal areas (</w:t>
      </w:r>
      <w:proofErr w:type="gramStart"/>
      <w:r w:rsidRPr="008E12AE">
        <w:rPr>
          <w:lang w:eastAsia="ja-JP"/>
        </w:rPr>
        <w:t>e.g.</w:t>
      </w:r>
      <w:proofErr w:type="gramEnd"/>
      <w:r w:rsidRPr="008E12AE">
        <w:rPr>
          <w:lang w:eastAsia="ja-JP"/>
        </w:rPr>
        <w:t xml:space="preserve"> dairy platforms and indoor/outdoor pig farms</w:t>
      </w:r>
      <w:r>
        <w:rPr>
          <w:lang w:eastAsia="ja-JP"/>
        </w:rPr>
        <w:t xml:space="preserve">) </w:t>
      </w:r>
      <w:r w:rsidRPr="008E12AE">
        <w:rPr>
          <w:lang w:eastAsia="ja-JP"/>
        </w:rPr>
        <w:t>away from watercourses</w:t>
      </w:r>
    </w:p>
    <w:p w14:paraId="7F448F29" w14:textId="0EF3CCFF" w:rsidR="009F2FDF" w:rsidRDefault="009F2FDF" w:rsidP="009F2FDF">
      <w:pPr>
        <w:pStyle w:val="ListBullet"/>
        <w:rPr>
          <w:lang w:eastAsia="ja-JP"/>
        </w:rPr>
      </w:pPr>
      <w:r w:rsidRPr="008E12AE">
        <w:rPr>
          <w:lang w:eastAsia="ja-JP"/>
        </w:rPr>
        <w:t>safeguarding water sources during adverse weather events (</w:t>
      </w:r>
      <w:proofErr w:type="gramStart"/>
      <w:r w:rsidRPr="008E12AE">
        <w:rPr>
          <w:lang w:eastAsia="ja-JP"/>
        </w:rPr>
        <w:t>e.g.</w:t>
      </w:r>
      <w:proofErr w:type="gramEnd"/>
      <w:r w:rsidRPr="008E12AE">
        <w:rPr>
          <w:lang w:eastAsia="ja-JP"/>
        </w:rPr>
        <w:t xml:space="preserve"> droughts and flooding events).</w:t>
      </w:r>
    </w:p>
    <w:p w14:paraId="03F59DDB" w14:textId="77777777" w:rsidR="00A348FB" w:rsidRDefault="00EB38E1" w:rsidP="00FD2341">
      <w:pPr>
        <w:rPr>
          <w:highlight w:val="yellow"/>
          <w:lang w:eastAsia="ja-JP"/>
        </w:rPr>
      </w:pPr>
      <w:r>
        <w:rPr>
          <w:highlight w:val="yellow"/>
        </w:rPr>
        <w:br w:type="page"/>
      </w:r>
    </w:p>
    <w:p w14:paraId="03F59DDC" w14:textId="0E31E045" w:rsidR="00F80A25" w:rsidRDefault="00A54315" w:rsidP="0096400D">
      <w:pPr>
        <w:pStyle w:val="Heading3"/>
      </w:pPr>
      <w:bookmarkStart w:id="151" w:name="_Toc134441342"/>
      <w:bookmarkStart w:id="152" w:name="_Toc134441773"/>
      <w:bookmarkStart w:id="153" w:name="_Toc134442145"/>
      <w:bookmarkStart w:id="154" w:name="_Toc134442294"/>
      <w:bookmarkStart w:id="155" w:name="_Toc134442505"/>
      <w:bookmarkStart w:id="156" w:name="_Toc134442146"/>
      <w:bookmarkStart w:id="157" w:name="_Toc134442295"/>
      <w:bookmarkStart w:id="158" w:name="_Toc141704556"/>
      <w:bookmarkEnd w:id="151"/>
      <w:bookmarkEnd w:id="152"/>
      <w:bookmarkEnd w:id="153"/>
      <w:bookmarkEnd w:id="154"/>
      <w:bookmarkEnd w:id="155"/>
      <w:r>
        <w:lastRenderedPageBreak/>
        <w:t>3.2</w:t>
      </w:r>
      <w:r>
        <w:tab/>
      </w:r>
      <w:r w:rsidR="00EB38E1">
        <w:t>Ma</w:t>
      </w:r>
      <w:r w:rsidR="00A51460">
        <w:t>in</w:t>
      </w:r>
      <w:r w:rsidR="00EB38E1">
        <w:t xml:space="preserve"> ions </w:t>
      </w:r>
      <w:r w:rsidR="00A51460">
        <w:t>of concern</w:t>
      </w:r>
      <w:bookmarkEnd w:id="156"/>
      <w:bookmarkEnd w:id="157"/>
      <w:bookmarkEnd w:id="158"/>
    </w:p>
    <w:p w14:paraId="03F59DDD" w14:textId="1E4BFACC" w:rsidR="00F14B8D" w:rsidRDefault="00EB38E1" w:rsidP="00C1087A">
      <w:r>
        <w:t xml:space="preserve">Salts are chemical compounds formed from positive and negative ions. When the salts are dissolved in water, the bond between the ions breaks. </w:t>
      </w:r>
      <w:r w:rsidR="00E25D6A">
        <w:t xml:space="preserve">Many inorganic salts </w:t>
      </w:r>
      <w:r>
        <w:t>(salts without a carbon</w:t>
      </w:r>
      <w:r>
        <w:rPr>
          <w:rFonts w:cstheme="minorHAnsi"/>
        </w:rPr>
        <w:t>–</w:t>
      </w:r>
      <w:r>
        <w:t xml:space="preserve">hydrogen bond) </w:t>
      </w:r>
      <w:r w:rsidR="00E25D6A">
        <w:t xml:space="preserve">are essential nutrients for animal health, but elevated concentrations of </w:t>
      </w:r>
      <w:r>
        <w:t>some</w:t>
      </w:r>
      <w:r w:rsidR="00E25D6A">
        <w:t xml:space="preserve"> compounds </w:t>
      </w:r>
      <w:r>
        <w:t xml:space="preserve">in drinking water </w:t>
      </w:r>
      <w:r w:rsidR="00E25D6A">
        <w:t xml:space="preserve">may </w:t>
      </w:r>
      <w:r w:rsidR="00713077">
        <w:t>have</w:t>
      </w:r>
      <w:r w:rsidR="00E25D6A">
        <w:t xml:space="preserve"> chronic or toxic effects in livestock.</w:t>
      </w:r>
    </w:p>
    <w:p w14:paraId="03F59DDE" w14:textId="095742D8" w:rsidR="001B6BEB" w:rsidRDefault="00EB38E1">
      <w:r>
        <w:t>Unless otherwise stated, the guideline values relate to the total concentration of the constituent, irrespective of whether it is dissolved, complexed with an organic compound, or bound to suspended solids.</w:t>
      </w:r>
      <w:r w:rsidR="00AE4681">
        <w:t xml:space="preserve"> </w:t>
      </w:r>
      <w:r w:rsidR="00AE4681" w:rsidRPr="007768AC">
        <w:t>Measured concentrations from unfiltered samples should be used to compare with the guideline values. Further assessment of risk should consider the bioavailability and solubility of the constituent, including results from filtered samples.</w:t>
      </w:r>
    </w:p>
    <w:p w14:paraId="03F59DDF" w14:textId="77777777" w:rsidR="001B6BEB" w:rsidRDefault="00EB38E1" w:rsidP="001B6BEB">
      <w:pPr>
        <w:pStyle w:val="Heading5"/>
        <w:rPr>
          <w:lang w:eastAsia="ja-JP"/>
        </w:rPr>
      </w:pPr>
      <w:r>
        <w:rPr>
          <w:lang w:eastAsia="ja-JP"/>
        </w:rPr>
        <w:t>Monitoring and management</w:t>
      </w:r>
    </w:p>
    <w:p w14:paraId="619AB55C" w14:textId="129C6DF0" w:rsidR="007D37DE" w:rsidRDefault="001C66B1">
      <w:r>
        <w:t>Livestock drinking water should be monitored and regularly assessed for con</w:t>
      </w:r>
      <w:r w:rsidR="007D37DE">
        <w:t xml:space="preserve">taminants of concern. </w:t>
      </w:r>
      <w:r w:rsidR="00571866">
        <w:t>Further information is ava</w:t>
      </w:r>
      <w:r w:rsidR="00132F91">
        <w:t>i</w:t>
      </w:r>
      <w:r w:rsidR="00571866">
        <w:t>lable in the Australian</w:t>
      </w:r>
      <w:r w:rsidR="00132F91">
        <w:t xml:space="preserve"> and New Zealand</w:t>
      </w:r>
      <w:r w:rsidR="00571866">
        <w:t xml:space="preserve"> </w:t>
      </w:r>
      <w:hyperlink r:id="rId31" w:history="1">
        <w:r w:rsidR="00571866" w:rsidRPr="00132F91">
          <w:rPr>
            <w:rStyle w:val="Hyperlink"/>
          </w:rPr>
          <w:t>Water Quality Management Framework</w:t>
        </w:r>
      </w:hyperlink>
      <w:r w:rsidR="000227E9">
        <w:t xml:space="preserve">, particularly the </w:t>
      </w:r>
      <w:hyperlink r:id="rId32" w:history="1">
        <w:r w:rsidR="000227E9" w:rsidRPr="00346D28">
          <w:rPr>
            <w:rStyle w:val="Hyperlink"/>
          </w:rPr>
          <w:t>Monitoring</w:t>
        </w:r>
      </w:hyperlink>
      <w:r w:rsidR="000227E9">
        <w:t xml:space="preserve"> section.</w:t>
      </w:r>
      <w:r w:rsidR="00132F91">
        <w:t xml:space="preserve"> </w:t>
      </w:r>
    </w:p>
    <w:p w14:paraId="5666F88E" w14:textId="77777777" w:rsidR="00FA72B8" w:rsidRDefault="00FA72B8" w:rsidP="00FA72B8">
      <w:proofErr w:type="gramStart"/>
      <w:r>
        <w:t>In particular, water</w:t>
      </w:r>
      <w:proofErr w:type="gramEnd"/>
      <w:r>
        <w:t xml:space="preserve"> should be tested if:</w:t>
      </w:r>
    </w:p>
    <w:p w14:paraId="475A36F4" w14:textId="77777777" w:rsidR="00FA72B8" w:rsidRDefault="00FA72B8" w:rsidP="00FA72B8">
      <w:pPr>
        <w:pStyle w:val="Bullet"/>
      </w:pPr>
      <w:r>
        <w:t xml:space="preserve">any adverse health or growth effects are noticed in </w:t>
      </w:r>
      <w:proofErr w:type="gramStart"/>
      <w:r>
        <w:t>livestock</w:t>
      </w:r>
      <w:proofErr w:type="gramEnd"/>
    </w:p>
    <w:p w14:paraId="6AFB0089" w14:textId="77777777" w:rsidR="00FA72B8" w:rsidRDefault="00FA72B8" w:rsidP="00FA72B8">
      <w:pPr>
        <w:pStyle w:val="Bullet"/>
      </w:pPr>
      <w:r>
        <w:t>warm weather causes high rates of evaporation, which can increase the concentration of ions of concern.</w:t>
      </w:r>
    </w:p>
    <w:p w14:paraId="2248D9B0" w14:textId="3A507611" w:rsidR="001729A7" w:rsidRDefault="00FA72B8" w:rsidP="00FA72B8">
      <w:r>
        <w:t>Actions to be taken will depend on the results of testing</w:t>
      </w:r>
      <w:r w:rsidR="00350307">
        <w:t xml:space="preserve">. </w:t>
      </w:r>
      <w:r w:rsidR="00CF23F4">
        <w:t xml:space="preserve">If levels are increased but not yet unsafe, </w:t>
      </w:r>
      <w:r w:rsidR="003F4016">
        <w:t xml:space="preserve">increased monitoring is recommended. </w:t>
      </w:r>
      <w:r w:rsidR="00514E43">
        <w:t>If levels exceed guideline values</w:t>
      </w:r>
      <w:r w:rsidR="006C6F8B">
        <w:t xml:space="preserve"> or adverse health or growth effects are noticed</w:t>
      </w:r>
      <w:r w:rsidR="00514E43">
        <w:t>, keep stock away from the water source.</w:t>
      </w:r>
      <w:r w:rsidR="00344E13">
        <w:t xml:space="preserve"> </w:t>
      </w:r>
    </w:p>
    <w:p w14:paraId="03F59DE1" w14:textId="212FBF00" w:rsidR="00F80A25" w:rsidRDefault="00D87898" w:rsidP="000C6B83">
      <w:pPr>
        <w:pStyle w:val="Heading4"/>
        <w:rPr>
          <w:lang w:eastAsia="ja-JP"/>
        </w:rPr>
      </w:pPr>
      <w:bookmarkStart w:id="159" w:name="_Toc134442296"/>
      <w:bookmarkStart w:id="160" w:name="_Toc141704557"/>
      <w:r>
        <w:rPr>
          <w:lang w:eastAsia="ja-JP"/>
        </w:rPr>
        <w:t xml:space="preserve"> </w:t>
      </w:r>
      <w:r w:rsidR="00441154">
        <w:rPr>
          <w:lang w:eastAsia="ja-JP"/>
        </w:rPr>
        <w:t>3.2.1</w:t>
      </w:r>
      <w:r w:rsidR="00441154">
        <w:rPr>
          <w:lang w:eastAsia="ja-JP"/>
        </w:rPr>
        <w:tab/>
      </w:r>
      <w:r w:rsidR="00EB38E1">
        <w:rPr>
          <w:lang w:eastAsia="ja-JP"/>
        </w:rPr>
        <w:t>Calcium</w:t>
      </w:r>
      <w:bookmarkEnd w:id="159"/>
      <w:bookmarkEnd w:id="160"/>
    </w:p>
    <w:p w14:paraId="03F59DE2" w14:textId="77777777" w:rsidR="00E25D6A" w:rsidRDefault="00EB38E1" w:rsidP="00C1087A">
      <w:pPr>
        <w:pStyle w:val="Sectionkeypoints"/>
      </w:pPr>
      <w:bookmarkStart w:id="161" w:name="_Hlk135129676"/>
      <w:bookmarkStart w:id="162" w:name="_Hlk135129193"/>
      <w:r>
        <w:t>C</w:t>
      </w:r>
      <w:r w:rsidR="00554F51">
        <w:t xml:space="preserve">alcium </w:t>
      </w:r>
      <w:r>
        <w:t xml:space="preserve">concentrations </w:t>
      </w:r>
      <w:r w:rsidR="00554F51">
        <w:rPr>
          <w:rFonts w:cstheme="minorHAnsi"/>
        </w:rPr>
        <w:t>&lt;</w:t>
      </w:r>
      <w:r>
        <w:t>1</w:t>
      </w:r>
      <w:r w:rsidR="004C686D">
        <w:t>,</w:t>
      </w:r>
      <w:r>
        <w:t>000</w:t>
      </w:r>
      <w:r w:rsidR="00554F51">
        <w:t> </w:t>
      </w:r>
      <w:r>
        <w:t>mg/L</w:t>
      </w:r>
      <w:r w:rsidR="00554F51" w:rsidRPr="00554F51">
        <w:t xml:space="preserve"> </w:t>
      </w:r>
      <w:r w:rsidR="00554F51">
        <w:t>in drinking water</w:t>
      </w:r>
      <w:r>
        <w:t xml:space="preserve"> should not be harmful to animal </w:t>
      </w:r>
      <w:proofErr w:type="gramStart"/>
      <w:r>
        <w:t>health</w:t>
      </w:r>
      <w:bookmarkEnd w:id="161"/>
      <w:r>
        <w:t>, if</w:t>
      </w:r>
      <w:proofErr w:type="gramEnd"/>
      <w:r>
        <w:t xml:space="preserve"> calcium is the </w:t>
      </w:r>
      <w:r w:rsidR="009F7DEE">
        <w:t>main</w:t>
      </w:r>
      <w:r>
        <w:t xml:space="preserve"> cation </w:t>
      </w:r>
      <w:r w:rsidR="009F7DEE">
        <w:t xml:space="preserve">present </w:t>
      </w:r>
      <w:r>
        <w:t xml:space="preserve">and </w:t>
      </w:r>
      <w:r w:rsidR="009F7DEE">
        <w:t xml:space="preserve">if </w:t>
      </w:r>
      <w:r>
        <w:t xml:space="preserve">dietary phosphorus levels are adequate. </w:t>
      </w:r>
      <w:bookmarkEnd w:id="162"/>
      <w:r>
        <w:t>In the presence of high concentrations of magnesium and sodium, or if calcium is added to feed as a dietary supplement, the level of calcium tolerable in livestock drinking water may be less.</w:t>
      </w:r>
    </w:p>
    <w:p w14:paraId="03F59DE3" w14:textId="77777777" w:rsidR="00F80A25" w:rsidRDefault="00EB38E1" w:rsidP="000C6B83">
      <w:pPr>
        <w:pStyle w:val="Heading5"/>
        <w:rPr>
          <w:lang w:eastAsia="ja-JP"/>
        </w:rPr>
      </w:pPr>
      <w:r>
        <w:rPr>
          <w:lang w:eastAsia="ja-JP"/>
        </w:rPr>
        <w:t>Source</w:t>
      </w:r>
    </w:p>
    <w:p w14:paraId="03F59DE4" w14:textId="77777777" w:rsidR="00F80A25" w:rsidRDefault="00EB38E1" w:rsidP="00C1087A">
      <w:r>
        <w:t xml:space="preserve">Calcium is found in natural waters over a wide range of concentrations. The </w:t>
      </w:r>
      <w:r w:rsidR="00C75768">
        <w:t xml:space="preserve">concentration </w:t>
      </w:r>
      <w:r>
        <w:t xml:space="preserve">of calcium in water is </w:t>
      </w:r>
      <w:r w:rsidR="00C75768">
        <w:t xml:space="preserve">closely </w:t>
      </w:r>
      <w:r>
        <w:t xml:space="preserve">related to the geology of the </w:t>
      </w:r>
      <w:r w:rsidR="00F14B8D">
        <w:t xml:space="preserve">catchment </w:t>
      </w:r>
      <w:proofErr w:type="gramStart"/>
      <w:r>
        <w:t xml:space="preserve">areas, </w:t>
      </w:r>
      <w:r w:rsidR="003300B1">
        <w:t>because</w:t>
      </w:r>
      <w:proofErr w:type="gramEnd"/>
      <w:r w:rsidR="003300B1">
        <w:t xml:space="preserve"> the </w:t>
      </w:r>
      <w:r>
        <w:t xml:space="preserve">calcium </w:t>
      </w:r>
      <w:r w:rsidR="003300B1">
        <w:t>comes from</w:t>
      </w:r>
      <w:r>
        <w:t xml:space="preserve"> weathering </w:t>
      </w:r>
      <w:r w:rsidR="003300B1">
        <w:t>of</w:t>
      </w:r>
      <w:r>
        <w:t xml:space="preserve"> minerals such as gypsum, limestone and dolomite. Calcium contributes to the hardness of the water</w:t>
      </w:r>
      <w:r w:rsidR="00B93E28">
        <w:t xml:space="preserve"> and</w:t>
      </w:r>
      <w:r>
        <w:t xml:space="preserve"> may cause scaling problems in pipes, </w:t>
      </w:r>
      <w:proofErr w:type="gramStart"/>
      <w:r>
        <w:t>troughs</w:t>
      </w:r>
      <w:proofErr w:type="gramEnd"/>
      <w:r>
        <w:t xml:space="preserve"> and fittings.</w:t>
      </w:r>
    </w:p>
    <w:p w14:paraId="03F59DE5" w14:textId="77777777" w:rsidR="00131E39" w:rsidRDefault="00EB38E1" w:rsidP="000C6B83">
      <w:pPr>
        <w:pStyle w:val="Heading5"/>
        <w:rPr>
          <w:lang w:eastAsia="ja-JP"/>
        </w:rPr>
      </w:pPr>
      <w:r>
        <w:rPr>
          <w:lang w:eastAsia="ja-JP"/>
        </w:rPr>
        <w:t>Effects on a</w:t>
      </w:r>
      <w:r w:rsidRPr="004508FF">
        <w:rPr>
          <w:lang w:eastAsia="ja-JP"/>
        </w:rPr>
        <w:t>nimal health</w:t>
      </w:r>
    </w:p>
    <w:p w14:paraId="03F59DE6" w14:textId="2844773A" w:rsidR="003300B1" w:rsidRDefault="00EB38E1" w:rsidP="00C1087A">
      <w:r>
        <w:t xml:space="preserve">Calcium is an essential element </w:t>
      </w:r>
      <w:r w:rsidR="00E36FBD">
        <w:t>in</w:t>
      </w:r>
      <w:r w:rsidR="00B93E28">
        <w:t xml:space="preserve"> animal nutrition</w:t>
      </w:r>
      <w:r>
        <w:t xml:space="preserve">. However, high calcium concentrations may cause </w:t>
      </w:r>
      <w:proofErr w:type="spellStart"/>
      <w:r>
        <w:t>calcious</w:t>
      </w:r>
      <w:proofErr w:type="spellEnd"/>
      <w:r>
        <w:t xml:space="preserve"> formation</w:t>
      </w:r>
      <w:r w:rsidR="00C4609E">
        <w:t>s</w:t>
      </w:r>
      <w:r>
        <w:t xml:space="preserve"> in the body, or phosphorus deficiency by interfering with phosphorus absorption in the gastrointestinal tract </w:t>
      </w:r>
      <w:r w:rsidR="002D2750">
        <w:t>(</w:t>
      </w:r>
      <w:r w:rsidR="002D2750" w:rsidRPr="00E47260">
        <w:t>Mulhearn 1964).</w:t>
      </w:r>
      <w:r w:rsidR="000660E2">
        <w:t xml:space="preserve"> It can also contribute to poor growth, soft bones, </w:t>
      </w:r>
      <w:proofErr w:type="gramStart"/>
      <w:r w:rsidR="000660E2">
        <w:t>fractures</w:t>
      </w:r>
      <w:proofErr w:type="gramEnd"/>
      <w:r w:rsidR="000660E2">
        <w:t xml:space="preserve"> and infertility</w:t>
      </w:r>
      <w:r w:rsidR="00194042">
        <w:t xml:space="preserve"> (</w:t>
      </w:r>
      <w:r w:rsidR="00EE2C93">
        <w:t>Agriculture Victoria 2023)</w:t>
      </w:r>
      <w:r w:rsidR="000660E2">
        <w:t>.</w:t>
      </w:r>
    </w:p>
    <w:p w14:paraId="03F59DE7" w14:textId="77777777" w:rsidR="00F80A25" w:rsidRDefault="00EB38E1" w:rsidP="00C1087A">
      <w:r>
        <w:t xml:space="preserve">Long-term intake by sheep of water containing </w:t>
      </w:r>
      <w:r w:rsidR="005C596F">
        <w:t xml:space="preserve">approximately </w:t>
      </w:r>
      <w:r w:rsidR="004C686D">
        <w:t>1,</w:t>
      </w:r>
      <w:r>
        <w:t>100</w:t>
      </w:r>
      <w:r w:rsidR="00DD6BE9">
        <w:t> </w:t>
      </w:r>
      <w:r>
        <w:t xml:space="preserve">mg/L </w:t>
      </w:r>
      <w:r w:rsidR="00F46B58">
        <w:t xml:space="preserve">of </w:t>
      </w:r>
      <w:r>
        <w:t xml:space="preserve">calcium </w:t>
      </w:r>
      <w:r w:rsidR="00F46B58">
        <w:t xml:space="preserve">had </w:t>
      </w:r>
      <w:r>
        <w:t xml:space="preserve">no adverse effect on health and wool production, although the calcium concentration </w:t>
      </w:r>
      <w:r w:rsidR="00F46B58">
        <w:t xml:space="preserve">in </w:t>
      </w:r>
      <w:r>
        <w:t xml:space="preserve">plasma increased while the sodium concentration </w:t>
      </w:r>
      <w:r w:rsidR="00F46B58">
        <w:t xml:space="preserve">in plasma </w:t>
      </w:r>
      <w:r w:rsidRPr="005C3A9D">
        <w:t>decreased (Peirce 1960).</w:t>
      </w:r>
    </w:p>
    <w:p w14:paraId="03F59DE8" w14:textId="77777777" w:rsidR="00AD38A0" w:rsidRPr="00AD38A0" w:rsidRDefault="00EB38E1" w:rsidP="000C6B83">
      <w:pPr>
        <w:pStyle w:val="Heading5"/>
        <w:rPr>
          <w:lang w:eastAsia="ja-JP"/>
        </w:rPr>
      </w:pPr>
      <w:r w:rsidRPr="00AD38A0">
        <w:rPr>
          <w:lang w:eastAsia="ja-JP"/>
        </w:rPr>
        <w:t>Derivation of guideline values</w:t>
      </w:r>
    </w:p>
    <w:p w14:paraId="03F59DE9" w14:textId="63E128AB" w:rsidR="00E569B9" w:rsidRDefault="00EB38E1" w:rsidP="00C1087A">
      <w:pPr>
        <w:rPr>
          <w:highlight w:val="yellow"/>
        </w:rPr>
      </w:pPr>
      <w:r>
        <w:t xml:space="preserve">The </w:t>
      </w:r>
      <w:r w:rsidRPr="00AC387B">
        <w:t xml:space="preserve">ANZECC (1992) </w:t>
      </w:r>
      <w:r>
        <w:t xml:space="preserve">guideline for calcium has been retained in the absence of new </w:t>
      </w:r>
      <w:r w:rsidR="00F52270">
        <w:t>contradicting</w:t>
      </w:r>
      <w:r>
        <w:t xml:space="preserve"> information.</w:t>
      </w:r>
      <w:r w:rsidR="007D5E1D">
        <w:t xml:space="preserve"> Agriculture </w:t>
      </w:r>
      <w:r w:rsidR="00EF0505">
        <w:t xml:space="preserve">Victoria </w:t>
      </w:r>
      <w:r w:rsidR="007954F1">
        <w:t>(20</w:t>
      </w:r>
      <w:r w:rsidR="004D523E">
        <w:t>2</w:t>
      </w:r>
      <w:r w:rsidR="007954F1">
        <w:t xml:space="preserve">3) </w:t>
      </w:r>
      <w:r w:rsidR="00EF0505">
        <w:t>recommends a maximum level of 1,000 mg/L</w:t>
      </w:r>
      <w:r w:rsidR="00650371">
        <w:t xml:space="preserve"> of calcium for </w:t>
      </w:r>
      <w:r w:rsidR="00650371">
        <w:lastRenderedPageBreak/>
        <w:t>water</w:t>
      </w:r>
      <w:r w:rsidR="004D523E">
        <w:t xml:space="preserve"> in stock containment areas</w:t>
      </w:r>
      <w:r w:rsidR="007954F1">
        <w:t>.</w:t>
      </w:r>
      <w:r>
        <w:t xml:space="preserve"> The guideline value of </w:t>
      </w:r>
      <w:r w:rsidR="004C686D">
        <w:t>1,</w:t>
      </w:r>
      <w:r>
        <w:t>000</w:t>
      </w:r>
      <w:r w:rsidR="00982A1B">
        <w:t> </w:t>
      </w:r>
      <w:r>
        <w:t>mg/L is consistent with guidelines developed in Canada (CCME 2005) and South Africa (</w:t>
      </w:r>
      <w:r w:rsidRPr="004415D2">
        <w:t>DWAF 1996).</w:t>
      </w:r>
      <w:r w:rsidR="00D87898">
        <w:t xml:space="preserve"> </w:t>
      </w:r>
      <w:r w:rsidR="00F31B73">
        <w:t xml:space="preserve">However, in the presence of high concentrations of magnesium and sodium, or if calcium is added to feed as a dietary supplement, the level of calcium tolerable in drinking water may be less </w:t>
      </w:r>
      <w:r w:rsidR="00D87898">
        <w:t>(Olkowski 2009).</w:t>
      </w:r>
    </w:p>
    <w:p w14:paraId="03F59DEA" w14:textId="5EB7B490" w:rsidR="00850156" w:rsidRDefault="00441154" w:rsidP="000C6B83">
      <w:pPr>
        <w:pStyle w:val="Heading4"/>
        <w:rPr>
          <w:lang w:eastAsia="ja-JP"/>
        </w:rPr>
      </w:pPr>
      <w:bookmarkStart w:id="163" w:name="_Toc134441349"/>
      <w:bookmarkStart w:id="164" w:name="_Toc134441776"/>
      <w:bookmarkStart w:id="165" w:name="_Toc134442297"/>
      <w:bookmarkStart w:id="166" w:name="_Toc134442508"/>
      <w:bookmarkStart w:id="167" w:name="_Toc134442298"/>
      <w:bookmarkStart w:id="168" w:name="_Toc141704558"/>
      <w:bookmarkEnd w:id="163"/>
      <w:bookmarkEnd w:id="164"/>
      <w:bookmarkEnd w:id="165"/>
      <w:bookmarkEnd w:id="166"/>
      <w:r>
        <w:rPr>
          <w:lang w:eastAsia="ja-JP"/>
        </w:rPr>
        <w:t>3.2.2</w:t>
      </w:r>
      <w:r>
        <w:rPr>
          <w:lang w:eastAsia="ja-JP"/>
        </w:rPr>
        <w:tab/>
      </w:r>
      <w:r w:rsidR="00EB38E1">
        <w:rPr>
          <w:lang w:eastAsia="ja-JP"/>
        </w:rPr>
        <w:t>Magnesium</w:t>
      </w:r>
      <w:bookmarkEnd w:id="167"/>
      <w:bookmarkEnd w:id="168"/>
    </w:p>
    <w:p w14:paraId="03F59DEB" w14:textId="77777777" w:rsidR="00854404" w:rsidRDefault="00EB38E1" w:rsidP="00C1087A">
      <w:pPr>
        <w:pStyle w:val="Sectionkeypoints"/>
      </w:pPr>
      <w:bookmarkStart w:id="169" w:name="_Hlk135129213"/>
      <w:r>
        <w:t>For ruminants, m</w:t>
      </w:r>
      <w:r w:rsidR="00850156">
        <w:t xml:space="preserve">agnesium concentrations </w:t>
      </w:r>
      <w:r>
        <w:t>&lt;</w:t>
      </w:r>
      <w:r w:rsidR="00850156">
        <w:t>500</w:t>
      </w:r>
      <w:r w:rsidR="004D468F">
        <w:t> </w:t>
      </w:r>
      <w:r w:rsidR="00850156">
        <w:t xml:space="preserve">mg/L </w:t>
      </w:r>
      <w:r w:rsidR="00380D15">
        <w:t xml:space="preserve">in drinking water </w:t>
      </w:r>
      <w:r w:rsidR="00850156">
        <w:t>should not be harmful</w:t>
      </w:r>
      <w:r w:rsidR="00D06F7F">
        <w:t xml:space="preserve"> to health</w:t>
      </w:r>
      <w:r>
        <w:t xml:space="preserve">. </w:t>
      </w:r>
      <w:bookmarkEnd w:id="169"/>
      <w:r>
        <w:t xml:space="preserve">However, </w:t>
      </w:r>
      <w:r w:rsidR="00850156">
        <w:t xml:space="preserve">for lactating cows and ewes with lambs, </w:t>
      </w:r>
      <w:r>
        <w:t xml:space="preserve">concentrations should be </w:t>
      </w:r>
      <w:r w:rsidR="00850156">
        <w:t>&lt;250</w:t>
      </w:r>
      <w:r w:rsidR="007C6F75">
        <w:t> </w:t>
      </w:r>
      <w:r w:rsidR="00850156">
        <w:t>mg/L.</w:t>
      </w:r>
    </w:p>
    <w:p w14:paraId="03F59DEC" w14:textId="77777777" w:rsidR="00850156" w:rsidRDefault="00EB38E1" w:rsidP="00C1087A">
      <w:pPr>
        <w:pStyle w:val="Sectionkeypoints"/>
      </w:pPr>
      <w:r>
        <w:t xml:space="preserve">For poultry, magnesium concentrations in drinking water should be </w:t>
      </w:r>
      <w:r w:rsidR="00854404">
        <w:t>&lt;</w:t>
      </w:r>
      <w:r>
        <w:t>125</w:t>
      </w:r>
      <w:r w:rsidR="007C6F75">
        <w:t> </w:t>
      </w:r>
      <w:r>
        <w:t>mg/L</w:t>
      </w:r>
      <w:r w:rsidR="009F7DEE">
        <w:t>;</w:t>
      </w:r>
      <w:r>
        <w:t xml:space="preserve"> higher </w:t>
      </w:r>
      <w:r w:rsidR="00854404">
        <w:t xml:space="preserve">concentrations may </w:t>
      </w:r>
      <w:r>
        <w:t xml:space="preserve">have a laxative effect. Also, if </w:t>
      </w:r>
      <w:proofErr w:type="spellStart"/>
      <w:r>
        <w:t>sulfate</w:t>
      </w:r>
      <w:proofErr w:type="spellEnd"/>
      <w:r>
        <w:t xml:space="preserve"> levels are high, </w:t>
      </w:r>
      <w:r w:rsidR="00B93E28">
        <w:t xml:space="preserve">poultry </w:t>
      </w:r>
      <w:r>
        <w:t xml:space="preserve">performance may be affected at </w:t>
      </w:r>
      <w:r w:rsidR="00AE14CB">
        <w:t>magnesium concentrations</w:t>
      </w:r>
      <w:r>
        <w:t xml:space="preserve"> </w:t>
      </w:r>
      <w:r w:rsidR="00AE14CB">
        <w:t>&gt;</w:t>
      </w:r>
      <w:r>
        <w:t>50</w:t>
      </w:r>
      <w:r w:rsidR="007C6F75">
        <w:t> </w:t>
      </w:r>
      <w:r>
        <w:t>mg/L.</w:t>
      </w:r>
    </w:p>
    <w:p w14:paraId="03F59DED" w14:textId="77777777" w:rsidR="00850156" w:rsidRDefault="00EB38E1" w:rsidP="000C6B83">
      <w:pPr>
        <w:pStyle w:val="Heading5"/>
        <w:rPr>
          <w:lang w:eastAsia="ja-JP"/>
        </w:rPr>
      </w:pPr>
      <w:bookmarkStart w:id="170" w:name="_Toc134441351"/>
      <w:bookmarkEnd w:id="170"/>
      <w:r>
        <w:rPr>
          <w:lang w:eastAsia="ja-JP"/>
        </w:rPr>
        <w:t>Source</w:t>
      </w:r>
    </w:p>
    <w:p w14:paraId="03F59DEE" w14:textId="77777777" w:rsidR="00850156" w:rsidRDefault="00EB38E1" w:rsidP="00C1087A">
      <w:r>
        <w:t>The concentration of magnesium in natural waters varies from &lt;1</w:t>
      </w:r>
      <w:r w:rsidR="007C6F75">
        <w:t> </w:t>
      </w:r>
      <w:r>
        <w:t>mg/L to &gt;</w:t>
      </w:r>
      <w:r w:rsidR="004C686D">
        <w:t>1,</w:t>
      </w:r>
      <w:r>
        <w:t>000</w:t>
      </w:r>
      <w:r w:rsidR="007C6F75">
        <w:t> </w:t>
      </w:r>
      <w:r>
        <w:t>mg/L, depending on catchment geology (</w:t>
      </w:r>
      <w:proofErr w:type="spellStart"/>
      <w:r w:rsidRPr="00D8408B">
        <w:t>Meybeck</w:t>
      </w:r>
      <w:proofErr w:type="spellEnd"/>
      <w:r w:rsidRPr="00D8408B">
        <w:t xml:space="preserve"> 1979, Galvin</w:t>
      </w:r>
      <w:r w:rsidRPr="00BA3750">
        <w:t xml:space="preserve"> 1996, APHA, AWWA &amp; WEF 1998).</w:t>
      </w:r>
      <w:r>
        <w:t xml:space="preserve"> Magnesium contributes to the hardness of water and may cause scaling problems in </w:t>
      </w:r>
      <w:r w:rsidR="00B93E28">
        <w:t xml:space="preserve">pipes, </w:t>
      </w:r>
      <w:proofErr w:type="gramStart"/>
      <w:r>
        <w:t>troughs</w:t>
      </w:r>
      <w:proofErr w:type="gramEnd"/>
      <w:r>
        <w:t xml:space="preserve"> and fittings.</w:t>
      </w:r>
    </w:p>
    <w:p w14:paraId="03F59DEF" w14:textId="77777777" w:rsidR="00131E39" w:rsidRDefault="00EB38E1" w:rsidP="000C6B83">
      <w:pPr>
        <w:pStyle w:val="Heading5"/>
        <w:rPr>
          <w:lang w:eastAsia="ja-JP"/>
        </w:rPr>
      </w:pPr>
      <w:r>
        <w:rPr>
          <w:lang w:eastAsia="ja-JP"/>
        </w:rPr>
        <w:t>Effects on a</w:t>
      </w:r>
      <w:r w:rsidRPr="004508FF">
        <w:rPr>
          <w:lang w:eastAsia="ja-JP"/>
        </w:rPr>
        <w:t>nimal health</w:t>
      </w:r>
    </w:p>
    <w:p w14:paraId="03F59DF0" w14:textId="4BFEACFD" w:rsidR="00B93E28" w:rsidRDefault="00EB38E1" w:rsidP="00C1087A">
      <w:r>
        <w:t xml:space="preserve">Magnesium is an essential element </w:t>
      </w:r>
      <w:r w:rsidR="00E36FBD">
        <w:t>in</w:t>
      </w:r>
      <w:r>
        <w:t xml:space="preserve"> animal nutrition</w:t>
      </w:r>
      <w:r w:rsidR="00897069">
        <w:t xml:space="preserve"> and is required in large amounts</w:t>
      </w:r>
      <w:r>
        <w:t xml:space="preserve">. </w:t>
      </w:r>
      <w:r w:rsidR="009F7DEE">
        <w:t>However, i</w:t>
      </w:r>
      <w:r>
        <w:t xml:space="preserve">n </w:t>
      </w:r>
      <w:r w:rsidR="00AC301D">
        <w:t xml:space="preserve">very </w:t>
      </w:r>
      <w:r>
        <w:t>high doses magnesium can cause scouring and diarrhoea, lethargy, lameness, decreased feed intake and decreased performance.</w:t>
      </w:r>
    </w:p>
    <w:p w14:paraId="03F59DF1" w14:textId="2D9A1EB8" w:rsidR="00850156" w:rsidRDefault="00EB38E1" w:rsidP="00C1087A">
      <w:r>
        <w:t>Drinking water containing magnesium at concentrations up to 2</w:t>
      </w:r>
      <w:r w:rsidR="007C2B25">
        <w:t>,</w:t>
      </w:r>
      <w:r>
        <w:t>000</w:t>
      </w:r>
      <w:r w:rsidR="007C2B25">
        <w:t> </w:t>
      </w:r>
      <w:r>
        <w:t>mg/L has been found to have no adverse effects on cattle.</w:t>
      </w:r>
      <w:r w:rsidR="00B93E28">
        <w:t xml:space="preserve"> </w:t>
      </w:r>
      <w:r w:rsidR="002D2750">
        <w:t>Work by CSIRO in Queensland suggests that Brahman steers can tolerate magnesium concentrations in drinking water up to 2</w:t>
      </w:r>
      <w:r w:rsidR="007C2B25">
        <w:t>,</w:t>
      </w:r>
      <w:r w:rsidR="002D2750">
        <w:t>000</w:t>
      </w:r>
      <w:r w:rsidR="003471B0">
        <w:t> </w:t>
      </w:r>
      <w:r w:rsidR="002D2750">
        <w:t>mg/L with no adverse effects (GS Harper pers. comm.). Several earlier st</w:t>
      </w:r>
      <w:r w:rsidR="002D2750" w:rsidRPr="00F60704">
        <w:t>udies have reported possible adverse effects on livestock from drinking water containing magnesium at concentrations of 250</w:t>
      </w:r>
      <w:r w:rsidR="003471B0" w:rsidRPr="00F60704">
        <w:t> </w:t>
      </w:r>
      <w:r w:rsidR="002D2750" w:rsidRPr="00F60704">
        <w:t>mg/L and higher (</w:t>
      </w:r>
      <w:r w:rsidR="002D2750" w:rsidRPr="007D4FCE">
        <w:t>Peirce 1960, Saul &amp; Flinn 1978, 1985, VIRASC 1980).</w:t>
      </w:r>
      <w:r w:rsidR="002D2750" w:rsidRPr="00F60704">
        <w:t xml:space="preserve"> However, it is not clear whether the reported effects were due to magnesium or other issues such as salinity</w:t>
      </w:r>
      <w:r w:rsidR="002D2750">
        <w:t xml:space="preserve"> or other ions (</w:t>
      </w:r>
      <w:proofErr w:type="gramStart"/>
      <w:r w:rsidR="002D2750">
        <w:t>e.g.</w:t>
      </w:r>
      <w:proofErr w:type="gramEnd"/>
      <w:r w:rsidR="002D2750">
        <w:t xml:space="preserve"> </w:t>
      </w:r>
      <w:proofErr w:type="spellStart"/>
      <w:r w:rsidR="002D2750">
        <w:t>sulfate</w:t>
      </w:r>
      <w:proofErr w:type="spellEnd"/>
      <w:r w:rsidR="002D2750">
        <w:t>).</w:t>
      </w:r>
    </w:p>
    <w:p w14:paraId="03F59DF2" w14:textId="77777777" w:rsidR="00850156" w:rsidRDefault="00EB38E1" w:rsidP="00C1087A">
      <w:r>
        <w:t>High magnesium concentrations in water are generally associated with high concentrations of total dissolved salts (TDS)</w:t>
      </w:r>
      <w:r w:rsidR="00B93E28">
        <w:t>. This means that</w:t>
      </w:r>
      <w:r>
        <w:t xml:space="preserve"> problems attributed to magnesium may</w:t>
      </w:r>
      <w:r w:rsidR="00B93E28">
        <w:t xml:space="preserve"> instead</w:t>
      </w:r>
      <w:r>
        <w:t xml:space="preserve"> be due to high TDS </w:t>
      </w:r>
      <w:r w:rsidR="004D3FC8">
        <w:t>concentrations</w:t>
      </w:r>
      <w:r>
        <w:t xml:space="preserve">. </w:t>
      </w:r>
      <w:r w:rsidRPr="00210607">
        <w:t>Flinn (1980) showed</w:t>
      </w:r>
      <w:r>
        <w:t xml:space="preserve"> that concentrations of 400–600</w:t>
      </w:r>
      <w:r w:rsidR="00FD3B3B">
        <w:t> </w:t>
      </w:r>
      <w:r>
        <w:t xml:space="preserve">mg/L magnesium were typically found in water containing </w:t>
      </w:r>
      <w:r w:rsidR="007C2B25">
        <w:t>8,</w:t>
      </w:r>
      <w:r>
        <w:t>000–</w:t>
      </w:r>
      <w:r w:rsidR="007C2B25">
        <w:t>12,</w:t>
      </w:r>
      <w:r>
        <w:t>000</w:t>
      </w:r>
      <w:r w:rsidR="00FD3B3B">
        <w:t> </w:t>
      </w:r>
      <w:r>
        <w:t>mg/L TDS</w:t>
      </w:r>
      <w:r w:rsidR="00C07575">
        <w:t>,</w:t>
      </w:r>
      <w:r>
        <w:t xml:space="preserve"> which is at the upper limit of tolerance by </w:t>
      </w:r>
      <w:r w:rsidR="00C07575">
        <w:t>live</w:t>
      </w:r>
      <w:r>
        <w:t>stock. The findings of Saul and Flinn (1985) also seem to support this.</w:t>
      </w:r>
    </w:p>
    <w:p w14:paraId="03F59DF3" w14:textId="77777777" w:rsidR="00AD38A0" w:rsidRPr="00AD38A0" w:rsidRDefault="00EB38E1" w:rsidP="000C6B83">
      <w:pPr>
        <w:pStyle w:val="Heading5"/>
        <w:rPr>
          <w:lang w:eastAsia="ja-JP"/>
        </w:rPr>
      </w:pPr>
      <w:r w:rsidRPr="00AD38A0">
        <w:rPr>
          <w:lang w:eastAsia="ja-JP"/>
        </w:rPr>
        <w:t>Derivation of guideline values</w:t>
      </w:r>
    </w:p>
    <w:p w14:paraId="32E4A786" w14:textId="46EE2ABE" w:rsidR="00682023" w:rsidRDefault="000A3570" w:rsidP="00C1087A">
      <w:r>
        <w:t>I</w:t>
      </w:r>
      <w:r w:rsidR="002D2750">
        <w:t>nformation</w:t>
      </w:r>
      <w:r w:rsidR="00EB38E1">
        <w:t xml:space="preserve"> about</w:t>
      </w:r>
      <w:r w:rsidR="002D2750">
        <w:t xml:space="preserve"> </w:t>
      </w:r>
      <w:r w:rsidR="004418BB">
        <w:t>recommended limits for</w:t>
      </w:r>
      <w:r w:rsidR="002D2750">
        <w:t xml:space="preserve"> magnesium in </w:t>
      </w:r>
      <w:r w:rsidR="00EB38E1">
        <w:t xml:space="preserve">livestock </w:t>
      </w:r>
      <w:r w:rsidR="002D2750">
        <w:t>drinking water on animal health</w:t>
      </w:r>
      <w:r w:rsidR="00747BAB">
        <w:t xml:space="preserve"> </w:t>
      </w:r>
      <w:r>
        <w:t>varies</w:t>
      </w:r>
      <w:r w:rsidR="002D2750">
        <w:t xml:space="preserve">. The </w:t>
      </w:r>
      <w:r w:rsidR="002D2750" w:rsidRPr="00AC387B">
        <w:t>ANZECC (1992)</w:t>
      </w:r>
      <w:r w:rsidR="002D2750">
        <w:t xml:space="preserve"> guidelines (based </w:t>
      </w:r>
      <w:r w:rsidR="002D2750" w:rsidRPr="00210607">
        <w:t>on Flinn 1984) gave</w:t>
      </w:r>
      <w:r w:rsidR="002D2750">
        <w:t xml:space="preserve"> </w:t>
      </w:r>
      <w:r w:rsidR="00EC4011">
        <w:t>the</w:t>
      </w:r>
      <w:r w:rsidR="002D2750">
        <w:t xml:space="preserve"> upper limit </w:t>
      </w:r>
      <w:r w:rsidR="00EC4011">
        <w:t xml:space="preserve">of 600 mg/L </w:t>
      </w:r>
      <w:r w:rsidR="002D2750">
        <w:t>for magnesium for all livestock</w:t>
      </w:r>
      <w:r w:rsidR="00EC4011">
        <w:t xml:space="preserve">, </w:t>
      </w:r>
      <w:r w:rsidR="002D2750">
        <w:t xml:space="preserve">but this is </w:t>
      </w:r>
      <w:r w:rsidR="00EC4011">
        <w:t xml:space="preserve">no longer </w:t>
      </w:r>
      <w:r w:rsidR="002D2750">
        <w:t xml:space="preserve">supported. </w:t>
      </w:r>
      <w:r w:rsidR="00D02A97">
        <w:t xml:space="preserve">Agriculture Victoria (2003) recommends a maximum level of </w:t>
      </w:r>
      <w:r w:rsidR="00FF7A05">
        <w:t>5</w:t>
      </w:r>
      <w:r w:rsidR="00D02A97">
        <w:t>00 mg/L of magnesium for water</w:t>
      </w:r>
      <w:r w:rsidR="00DD1FF1">
        <w:t xml:space="preserve"> in stock containment areas</w:t>
      </w:r>
      <w:r w:rsidR="00D02A97">
        <w:t xml:space="preserve">. </w:t>
      </w:r>
    </w:p>
    <w:p w14:paraId="03F59DF4" w14:textId="2916B3BF" w:rsidR="00E56187" w:rsidRDefault="002D2750" w:rsidP="00C1087A">
      <w:r>
        <w:t xml:space="preserve">Canadian </w:t>
      </w:r>
      <w:r w:rsidR="008A7912">
        <w:t>g</w:t>
      </w:r>
      <w:r w:rsidRPr="002A4702">
        <w:t>uidelines (CCME 2005) do</w:t>
      </w:r>
      <w:r>
        <w:t xml:space="preserve"> not include a </w:t>
      </w:r>
      <w:r w:rsidR="006A6F05">
        <w:t xml:space="preserve">magnesium </w:t>
      </w:r>
      <w:r>
        <w:t>guideline for livestock drinking water</w:t>
      </w:r>
      <w:r w:rsidR="006A6F05">
        <w:t>.</w:t>
      </w:r>
      <w:r>
        <w:t xml:space="preserve"> </w:t>
      </w:r>
      <w:r w:rsidR="006A6F05">
        <w:t>I</w:t>
      </w:r>
      <w:r>
        <w:t>n South Africa, the target water quality range is between 0</w:t>
      </w:r>
      <w:r w:rsidR="006A6F05">
        <w:t> mg/L</w:t>
      </w:r>
      <w:r>
        <w:t xml:space="preserve"> and 500</w:t>
      </w:r>
      <w:r w:rsidR="006D79FF">
        <w:t> </w:t>
      </w:r>
      <w:r>
        <w:t>mg/L, with adverse chronic (for ruminants) and acute (for non-ruminants) effects occurring at concentrations of 500–</w:t>
      </w:r>
      <w:r w:rsidR="007C2B25">
        <w:t>1,</w:t>
      </w:r>
      <w:r>
        <w:t>000</w:t>
      </w:r>
      <w:r w:rsidR="006D79FF">
        <w:t> </w:t>
      </w:r>
      <w:r>
        <w:t xml:space="preserve">mg/L </w:t>
      </w:r>
      <w:r w:rsidRPr="004415D2">
        <w:t>(DWAF 1996).</w:t>
      </w:r>
      <w:r>
        <w:t xml:space="preserve"> For poultry, </w:t>
      </w:r>
      <w:r w:rsidR="004E4E8F">
        <w:t xml:space="preserve">the </w:t>
      </w:r>
      <w:r w:rsidR="000A3570">
        <w:t xml:space="preserve">suggested </w:t>
      </w:r>
      <w:r>
        <w:t xml:space="preserve">maximum acceptable </w:t>
      </w:r>
      <w:r w:rsidR="004E4E8F">
        <w:t xml:space="preserve">concentration </w:t>
      </w:r>
      <w:r>
        <w:t xml:space="preserve">of magnesium in </w:t>
      </w:r>
      <w:r w:rsidR="004E4E8F">
        <w:t xml:space="preserve">drinking </w:t>
      </w:r>
      <w:r>
        <w:t xml:space="preserve">water </w:t>
      </w:r>
      <w:r w:rsidR="004E4E8F">
        <w:t>is</w:t>
      </w:r>
      <w:r>
        <w:t xml:space="preserve"> 125</w:t>
      </w:r>
      <w:r w:rsidR="00F6323D">
        <w:t> </w:t>
      </w:r>
      <w:r>
        <w:t xml:space="preserve">mg/L (Watkins 2008, cited in MSU 2013). </w:t>
      </w:r>
    </w:p>
    <w:p w14:paraId="6C7D67FF" w14:textId="315876CA" w:rsidR="00D60B54" w:rsidRDefault="00695339" w:rsidP="00C1087A">
      <w:r>
        <w:t xml:space="preserve">The UN </w:t>
      </w:r>
      <w:r w:rsidRPr="007D4FCE">
        <w:t>Food and Agriculture Organization (</w:t>
      </w:r>
      <w:r w:rsidR="00D60B54">
        <w:t>FAO</w:t>
      </w:r>
      <w:r>
        <w:t>;</w:t>
      </w:r>
      <w:r w:rsidR="00D60B54">
        <w:t xml:space="preserve"> Ayers &amp; Westcot 1994) provides the following table of suggested limits for magnesium in drinking water for livestock.</w:t>
      </w:r>
    </w:p>
    <w:p w14:paraId="76173793" w14:textId="26A6111A" w:rsidR="009625EA" w:rsidRDefault="009625EA" w:rsidP="00DF778F">
      <w:pPr>
        <w:pStyle w:val="Caption"/>
      </w:pPr>
      <w:bookmarkStart w:id="171" w:name="_Toc148089847"/>
      <w:r>
        <w:lastRenderedPageBreak/>
        <w:t>Table 3.</w:t>
      </w:r>
      <w:r w:rsidR="006F2FF0">
        <w:t>5</w:t>
      </w:r>
      <w:r w:rsidRPr="00561CE3">
        <w:t xml:space="preserve"> </w:t>
      </w:r>
      <w:r>
        <w:t xml:space="preserve">Suggested limits for magnesium in livestock drinking </w:t>
      </w:r>
      <w:proofErr w:type="gramStart"/>
      <w:r>
        <w:t>water</w:t>
      </w:r>
      <w:bookmarkEnd w:id="171"/>
      <w:proofErr w:type="gramEnd"/>
    </w:p>
    <w:tbl>
      <w:tblPr>
        <w:tblW w:w="4767" w:type="pct"/>
        <w:tblBorders>
          <w:top w:val="single" w:sz="4" w:space="0" w:color="000000"/>
          <w:bottom w:val="single" w:sz="4" w:space="0" w:color="000000"/>
          <w:insideH w:val="single" w:sz="4" w:space="0" w:color="000000"/>
        </w:tblBorders>
        <w:tblLook w:val="04A0" w:firstRow="1" w:lastRow="0" w:firstColumn="1" w:lastColumn="0" w:noHBand="0" w:noVBand="1"/>
      </w:tblPr>
      <w:tblGrid>
        <w:gridCol w:w="2834"/>
        <w:gridCol w:w="5813"/>
      </w:tblGrid>
      <w:tr w:rsidR="00205524" w14:paraId="1998048A" w14:textId="77777777" w:rsidTr="009625EA">
        <w:trPr>
          <w:cantSplit/>
          <w:tblHeader/>
        </w:trPr>
        <w:tc>
          <w:tcPr>
            <w:tcW w:w="1639" w:type="pct"/>
            <w:tcBorders>
              <w:top w:val="single" w:sz="12" w:space="0" w:color="000000"/>
              <w:bottom w:val="single" w:sz="12" w:space="0" w:color="000000"/>
            </w:tcBorders>
            <w:shd w:val="clear" w:color="auto" w:fill="auto"/>
          </w:tcPr>
          <w:p w14:paraId="73BBF258" w14:textId="77777777" w:rsidR="009625EA" w:rsidRPr="00561CE3" w:rsidRDefault="009625EA" w:rsidP="00E13390">
            <w:pPr>
              <w:pStyle w:val="TableHeading"/>
            </w:pPr>
            <w:r>
              <w:t>Livestock</w:t>
            </w:r>
          </w:p>
        </w:tc>
        <w:tc>
          <w:tcPr>
            <w:tcW w:w="3361" w:type="pct"/>
            <w:tcBorders>
              <w:top w:val="single" w:sz="12" w:space="0" w:color="000000"/>
              <w:bottom w:val="single" w:sz="12" w:space="0" w:color="000000"/>
            </w:tcBorders>
            <w:shd w:val="clear" w:color="auto" w:fill="auto"/>
          </w:tcPr>
          <w:p w14:paraId="0C4D0233" w14:textId="0E90E516" w:rsidR="009625EA" w:rsidRPr="00561CE3" w:rsidRDefault="009B0BF2" w:rsidP="004C6E6D">
            <w:pPr>
              <w:pStyle w:val="TableHeading"/>
              <w:jc w:val="center"/>
            </w:pPr>
            <w:r>
              <w:t>Maximum magnesium level (mg/L)</w:t>
            </w:r>
          </w:p>
        </w:tc>
      </w:tr>
      <w:tr w:rsidR="00205524" w14:paraId="1C869B6E" w14:textId="77777777" w:rsidTr="009625EA">
        <w:trPr>
          <w:cantSplit/>
        </w:trPr>
        <w:tc>
          <w:tcPr>
            <w:tcW w:w="1639" w:type="pct"/>
            <w:tcBorders>
              <w:top w:val="single" w:sz="12" w:space="0" w:color="000000"/>
            </w:tcBorders>
            <w:shd w:val="clear" w:color="auto" w:fill="auto"/>
          </w:tcPr>
          <w:p w14:paraId="668D865B" w14:textId="5AD85032" w:rsidR="009625EA" w:rsidRPr="00561CE3" w:rsidRDefault="009625EA" w:rsidP="00E13390">
            <w:pPr>
              <w:pStyle w:val="TableText"/>
            </w:pPr>
            <w:r>
              <w:t>Adult sheep on dry feed</w:t>
            </w:r>
          </w:p>
        </w:tc>
        <w:tc>
          <w:tcPr>
            <w:tcW w:w="3361" w:type="pct"/>
            <w:tcBorders>
              <w:top w:val="single" w:sz="12" w:space="0" w:color="000000"/>
            </w:tcBorders>
            <w:shd w:val="clear" w:color="auto" w:fill="auto"/>
          </w:tcPr>
          <w:p w14:paraId="5E684100" w14:textId="77CFB13B" w:rsidR="009625EA" w:rsidRPr="00561CE3" w:rsidRDefault="000E7C3F" w:rsidP="004C6E6D">
            <w:pPr>
              <w:pStyle w:val="TableText"/>
              <w:tabs>
                <w:tab w:val="decimal" w:pos="2872"/>
              </w:tabs>
            </w:pPr>
            <w:r>
              <w:t>500</w:t>
            </w:r>
          </w:p>
        </w:tc>
      </w:tr>
      <w:tr w:rsidR="00205524" w14:paraId="68092498" w14:textId="77777777" w:rsidTr="009625EA">
        <w:trPr>
          <w:cantSplit/>
        </w:trPr>
        <w:tc>
          <w:tcPr>
            <w:tcW w:w="1639" w:type="pct"/>
            <w:tcBorders>
              <w:bottom w:val="single" w:sz="4" w:space="0" w:color="000000"/>
            </w:tcBorders>
            <w:shd w:val="clear" w:color="auto" w:fill="auto"/>
          </w:tcPr>
          <w:p w14:paraId="1FBA0C67" w14:textId="65771BC9" w:rsidR="009625EA" w:rsidRPr="00561CE3" w:rsidRDefault="009625EA" w:rsidP="00E13390">
            <w:pPr>
              <w:pStyle w:val="TableText"/>
            </w:pPr>
            <w:r>
              <w:t>Beef cattle</w:t>
            </w:r>
          </w:p>
        </w:tc>
        <w:tc>
          <w:tcPr>
            <w:tcW w:w="3361" w:type="pct"/>
            <w:tcBorders>
              <w:bottom w:val="single" w:sz="4" w:space="0" w:color="000000"/>
            </w:tcBorders>
            <w:shd w:val="clear" w:color="auto" w:fill="auto"/>
          </w:tcPr>
          <w:p w14:paraId="3F7A8D35" w14:textId="21A8856B" w:rsidR="009625EA" w:rsidRPr="00561CE3" w:rsidRDefault="000E7C3F" w:rsidP="004C6E6D">
            <w:pPr>
              <w:pStyle w:val="TableText"/>
              <w:tabs>
                <w:tab w:val="decimal" w:pos="2872"/>
              </w:tabs>
            </w:pPr>
            <w:r>
              <w:t>400</w:t>
            </w:r>
          </w:p>
        </w:tc>
      </w:tr>
      <w:tr w:rsidR="00581CC8" w14:paraId="26C827E3" w14:textId="77777777" w:rsidTr="009625EA">
        <w:trPr>
          <w:cantSplit/>
        </w:trPr>
        <w:tc>
          <w:tcPr>
            <w:tcW w:w="1639" w:type="pct"/>
            <w:tcBorders>
              <w:bottom w:val="single" w:sz="4" w:space="0" w:color="000000"/>
            </w:tcBorders>
            <w:shd w:val="clear" w:color="auto" w:fill="auto"/>
          </w:tcPr>
          <w:p w14:paraId="0C126FE7" w14:textId="5C3DAFB8" w:rsidR="009625EA" w:rsidRDefault="009625EA" w:rsidP="00E13390">
            <w:pPr>
              <w:pStyle w:val="TableText"/>
            </w:pPr>
            <w:r>
              <w:t>Ewes with lambs</w:t>
            </w:r>
          </w:p>
        </w:tc>
        <w:tc>
          <w:tcPr>
            <w:tcW w:w="3361" w:type="pct"/>
            <w:tcBorders>
              <w:bottom w:val="single" w:sz="4" w:space="0" w:color="000000"/>
            </w:tcBorders>
            <w:shd w:val="clear" w:color="auto" w:fill="auto"/>
          </w:tcPr>
          <w:p w14:paraId="3A5B975B" w14:textId="71ABAAA5" w:rsidR="009625EA" w:rsidRPr="00561CE3" w:rsidRDefault="000E7C3F" w:rsidP="004C6E6D">
            <w:pPr>
              <w:pStyle w:val="TableText"/>
              <w:tabs>
                <w:tab w:val="decimal" w:pos="2872"/>
              </w:tabs>
            </w:pPr>
            <w:r>
              <w:t>250</w:t>
            </w:r>
          </w:p>
        </w:tc>
      </w:tr>
      <w:tr w:rsidR="00581CC8" w14:paraId="739DADAB" w14:textId="77777777" w:rsidTr="009625EA">
        <w:trPr>
          <w:cantSplit/>
        </w:trPr>
        <w:tc>
          <w:tcPr>
            <w:tcW w:w="1639" w:type="pct"/>
            <w:tcBorders>
              <w:bottom w:val="single" w:sz="4" w:space="0" w:color="000000"/>
            </w:tcBorders>
            <w:shd w:val="clear" w:color="auto" w:fill="auto"/>
          </w:tcPr>
          <w:p w14:paraId="1C5C8B14" w14:textId="6F484070" w:rsidR="009625EA" w:rsidRDefault="0073346D" w:rsidP="00E13390">
            <w:pPr>
              <w:pStyle w:val="TableText"/>
            </w:pPr>
            <w:r>
              <w:t>Dairy cattle</w:t>
            </w:r>
          </w:p>
        </w:tc>
        <w:tc>
          <w:tcPr>
            <w:tcW w:w="3361" w:type="pct"/>
            <w:tcBorders>
              <w:bottom w:val="single" w:sz="4" w:space="0" w:color="000000"/>
            </w:tcBorders>
            <w:shd w:val="clear" w:color="auto" w:fill="auto"/>
          </w:tcPr>
          <w:p w14:paraId="255035DD" w14:textId="38942805" w:rsidR="009625EA" w:rsidRPr="00561CE3" w:rsidRDefault="000E7C3F" w:rsidP="004C6E6D">
            <w:pPr>
              <w:pStyle w:val="TableText"/>
              <w:tabs>
                <w:tab w:val="decimal" w:pos="2872"/>
              </w:tabs>
            </w:pPr>
            <w:r>
              <w:t>250</w:t>
            </w:r>
          </w:p>
        </w:tc>
      </w:tr>
      <w:tr w:rsidR="00581CC8" w14:paraId="5B27B7CE" w14:textId="77777777" w:rsidTr="009625EA">
        <w:trPr>
          <w:cantSplit/>
        </w:trPr>
        <w:tc>
          <w:tcPr>
            <w:tcW w:w="1639" w:type="pct"/>
            <w:tcBorders>
              <w:bottom w:val="single" w:sz="4" w:space="0" w:color="000000"/>
            </w:tcBorders>
            <w:shd w:val="clear" w:color="auto" w:fill="auto"/>
          </w:tcPr>
          <w:p w14:paraId="6C7DDE97" w14:textId="1E10F6E2" w:rsidR="009625EA" w:rsidRDefault="0073346D" w:rsidP="00E13390">
            <w:pPr>
              <w:pStyle w:val="TableText"/>
            </w:pPr>
            <w:r>
              <w:t>Horses</w:t>
            </w:r>
          </w:p>
        </w:tc>
        <w:tc>
          <w:tcPr>
            <w:tcW w:w="3361" w:type="pct"/>
            <w:tcBorders>
              <w:bottom w:val="single" w:sz="4" w:space="0" w:color="000000"/>
            </w:tcBorders>
            <w:shd w:val="clear" w:color="auto" w:fill="auto"/>
          </w:tcPr>
          <w:p w14:paraId="33D12737" w14:textId="3E614926" w:rsidR="009625EA" w:rsidRPr="00561CE3" w:rsidRDefault="000E7C3F" w:rsidP="004C6E6D">
            <w:pPr>
              <w:pStyle w:val="TableText"/>
              <w:tabs>
                <w:tab w:val="decimal" w:pos="2872"/>
              </w:tabs>
            </w:pPr>
            <w:r>
              <w:t>250</w:t>
            </w:r>
          </w:p>
        </w:tc>
      </w:tr>
      <w:tr w:rsidR="00581CC8" w14:paraId="499612D0" w14:textId="77777777" w:rsidTr="009625EA">
        <w:trPr>
          <w:cantSplit/>
        </w:trPr>
        <w:tc>
          <w:tcPr>
            <w:tcW w:w="1639" w:type="pct"/>
            <w:tcBorders>
              <w:bottom w:val="single" w:sz="4" w:space="0" w:color="000000"/>
            </w:tcBorders>
            <w:shd w:val="clear" w:color="auto" w:fill="auto"/>
          </w:tcPr>
          <w:p w14:paraId="75E9FE00" w14:textId="0858A1B5" w:rsidR="009625EA" w:rsidRDefault="0073346D" w:rsidP="00E13390">
            <w:pPr>
              <w:pStyle w:val="TableText"/>
            </w:pPr>
            <w:r>
              <w:t>Pigs</w:t>
            </w:r>
          </w:p>
        </w:tc>
        <w:tc>
          <w:tcPr>
            <w:tcW w:w="3361" w:type="pct"/>
            <w:tcBorders>
              <w:bottom w:val="single" w:sz="4" w:space="0" w:color="000000"/>
            </w:tcBorders>
            <w:shd w:val="clear" w:color="auto" w:fill="auto"/>
          </w:tcPr>
          <w:p w14:paraId="2CC22D07" w14:textId="0C994FC4" w:rsidR="009625EA" w:rsidRPr="00561CE3" w:rsidRDefault="000E7C3F" w:rsidP="004C6E6D">
            <w:pPr>
              <w:pStyle w:val="TableText"/>
              <w:tabs>
                <w:tab w:val="decimal" w:pos="2872"/>
              </w:tabs>
            </w:pPr>
            <w:r>
              <w:t>250</w:t>
            </w:r>
          </w:p>
        </w:tc>
      </w:tr>
      <w:tr w:rsidR="00B61004" w14:paraId="591B3024" w14:textId="77777777" w:rsidTr="009625EA">
        <w:trPr>
          <w:cantSplit/>
        </w:trPr>
        <w:tc>
          <w:tcPr>
            <w:tcW w:w="1639" w:type="pct"/>
            <w:tcBorders>
              <w:bottom w:val="single" w:sz="12" w:space="0" w:color="000000"/>
            </w:tcBorders>
            <w:shd w:val="clear" w:color="auto" w:fill="auto"/>
          </w:tcPr>
          <w:p w14:paraId="6EC0E110" w14:textId="44C272D6" w:rsidR="009625EA" w:rsidRPr="00561CE3" w:rsidRDefault="0073346D" w:rsidP="00E13390">
            <w:pPr>
              <w:pStyle w:val="TableText"/>
            </w:pPr>
            <w:r>
              <w:t>Poultry</w:t>
            </w:r>
          </w:p>
        </w:tc>
        <w:tc>
          <w:tcPr>
            <w:tcW w:w="3361" w:type="pct"/>
            <w:tcBorders>
              <w:bottom w:val="single" w:sz="12" w:space="0" w:color="000000"/>
            </w:tcBorders>
            <w:shd w:val="clear" w:color="auto" w:fill="auto"/>
          </w:tcPr>
          <w:p w14:paraId="78870CFC" w14:textId="7095BA4A" w:rsidR="009625EA" w:rsidRPr="00561CE3" w:rsidRDefault="000E7C3F" w:rsidP="004C6E6D">
            <w:pPr>
              <w:pStyle w:val="TableText"/>
              <w:tabs>
                <w:tab w:val="decimal" w:pos="2872"/>
              </w:tabs>
            </w:pPr>
            <w:r>
              <w:t>2</w:t>
            </w:r>
            <w:r w:rsidR="009625EA" w:rsidRPr="00561CE3">
              <w:t>50</w:t>
            </w:r>
          </w:p>
        </w:tc>
      </w:tr>
    </w:tbl>
    <w:p w14:paraId="2B41F369" w14:textId="792011AA" w:rsidR="006725BE" w:rsidRPr="008C6FC1" w:rsidRDefault="00D7767E" w:rsidP="004C6E6D">
      <w:pPr>
        <w:pStyle w:val="FigureTableNoteSource"/>
      </w:pPr>
      <w:r w:rsidRPr="008C6FC1">
        <w:t>Source: Ayers &amp; Westcot 1994</w:t>
      </w:r>
    </w:p>
    <w:p w14:paraId="03F59DF5" w14:textId="36C66E7A" w:rsidR="00757974" w:rsidRDefault="00441154" w:rsidP="000C6B83">
      <w:pPr>
        <w:pStyle w:val="Heading4"/>
        <w:rPr>
          <w:lang w:eastAsia="ja-JP"/>
        </w:rPr>
      </w:pPr>
      <w:bookmarkStart w:id="172" w:name="_Toc134441356"/>
      <w:bookmarkStart w:id="173" w:name="_Toc134441778"/>
      <w:bookmarkStart w:id="174" w:name="_Toc134442299"/>
      <w:bookmarkStart w:id="175" w:name="_Toc134442510"/>
      <w:bookmarkStart w:id="176" w:name="_Toc134441357"/>
      <w:bookmarkStart w:id="177" w:name="_Toc134441779"/>
      <w:bookmarkStart w:id="178" w:name="_Toc134442300"/>
      <w:bookmarkStart w:id="179" w:name="_Toc134442511"/>
      <w:bookmarkStart w:id="180" w:name="_Toc134442301"/>
      <w:bookmarkStart w:id="181" w:name="_Toc141704559"/>
      <w:bookmarkEnd w:id="172"/>
      <w:bookmarkEnd w:id="173"/>
      <w:bookmarkEnd w:id="174"/>
      <w:bookmarkEnd w:id="175"/>
      <w:bookmarkEnd w:id="176"/>
      <w:bookmarkEnd w:id="177"/>
      <w:bookmarkEnd w:id="178"/>
      <w:bookmarkEnd w:id="179"/>
      <w:r>
        <w:rPr>
          <w:lang w:eastAsia="ja-JP"/>
        </w:rPr>
        <w:t>3.2.3</w:t>
      </w:r>
      <w:r>
        <w:rPr>
          <w:lang w:eastAsia="ja-JP"/>
        </w:rPr>
        <w:tab/>
      </w:r>
      <w:r w:rsidR="00EB38E1">
        <w:rPr>
          <w:lang w:eastAsia="ja-JP"/>
        </w:rPr>
        <w:t>Nitrate and nitrite</w:t>
      </w:r>
      <w:bookmarkEnd w:id="180"/>
      <w:bookmarkEnd w:id="181"/>
    </w:p>
    <w:p w14:paraId="03F59DF6" w14:textId="6AA88F0B" w:rsidR="003B6F76" w:rsidRDefault="00EB38E1" w:rsidP="00FD2341">
      <w:pPr>
        <w:pStyle w:val="Sectionkeypoints"/>
      </w:pPr>
      <w:bookmarkStart w:id="182" w:name="_Hlk135129180"/>
      <w:r>
        <w:t xml:space="preserve">Nitrate concentrations </w:t>
      </w:r>
      <w:r w:rsidR="008A3572">
        <w:rPr>
          <w:rFonts w:cstheme="minorHAnsi"/>
        </w:rPr>
        <w:t>&lt;</w:t>
      </w:r>
      <w:r>
        <w:t>100</w:t>
      </w:r>
      <w:r w:rsidR="00BB4D37">
        <w:t> </w:t>
      </w:r>
      <w:r>
        <w:t xml:space="preserve">mg/L and nitrite concentrations </w:t>
      </w:r>
      <w:r>
        <w:rPr>
          <w:rFonts w:cstheme="minorHAnsi"/>
        </w:rPr>
        <w:t>&lt;</w:t>
      </w:r>
      <w:r>
        <w:t>10</w:t>
      </w:r>
      <w:r w:rsidR="004C686D">
        <w:t> </w:t>
      </w:r>
      <w:r>
        <w:t>mg/L in livestock drinking water should not be harmful to animal health.</w:t>
      </w:r>
      <w:bookmarkEnd w:id="182"/>
    </w:p>
    <w:p w14:paraId="03F59DF7" w14:textId="77777777" w:rsidR="004E4E8F" w:rsidRDefault="00EB38E1" w:rsidP="00FD2341">
      <w:pPr>
        <w:pStyle w:val="Sectionkeypoints"/>
      </w:pPr>
      <w:r>
        <w:t>However, tolerance varies between animals.</w:t>
      </w:r>
      <w:r w:rsidRPr="00EC1D74">
        <w:t xml:space="preserve"> </w:t>
      </w:r>
      <w:r>
        <w:t>Generally, levels of nitrate tolerance are lowest in poultry, medium in pigs and highest in cattle:</w:t>
      </w:r>
    </w:p>
    <w:p w14:paraId="03F59DF8" w14:textId="77777777" w:rsidR="004C686D" w:rsidRPr="005C4224" w:rsidRDefault="00EB38E1" w:rsidP="00FD2341">
      <w:pPr>
        <w:pStyle w:val="Bullet"/>
      </w:pPr>
      <w:r w:rsidRPr="005C4224">
        <w:rPr>
          <w:b/>
          <w:bCs/>
          <w:i/>
          <w:iCs/>
        </w:rPr>
        <w:t xml:space="preserve">For poultry, adverse effects are expected at nitrate concentrations </w:t>
      </w:r>
      <w:r w:rsidR="008A3572" w:rsidRPr="005C4224">
        <w:rPr>
          <w:rFonts w:cstheme="minorHAnsi"/>
          <w:b/>
          <w:bCs/>
          <w:i/>
          <w:iCs/>
        </w:rPr>
        <w:t>&gt;</w:t>
      </w:r>
      <w:r w:rsidRPr="005C4224">
        <w:rPr>
          <w:b/>
          <w:bCs/>
          <w:i/>
          <w:iCs/>
        </w:rPr>
        <w:t>25 mg/L. Poultry may tolerate higher nitrate concentrations in drinking water if nitrate concentrations in feed are not high.</w:t>
      </w:r>
    </w:p>
    <w:p w14:paraId="03F59DF9" w14:textId="77777777" w:rsidR="00E25D6A" w:rsidRDefault="00EB38E1" w:rsidP="00FD2341">
      <w:pPr>
        <w:pStyle w:val="Bullet"/>
        <w:spacing w:after="240"/>
      </w:pPr>
      <w:r w:rsidRPr="005C4224">
        <w:rPr>
          <w:b/>
          <w:bCs/>
          <w:i/>
          <w:iCs/>
        </w:rPr>
        <w:t xml:space="preserve">For cattle, adverse effects are expected at nitrate concentrations </w:t>
      </w:r>
      <w:r w:rsidR="008A3572" w:rsidRPr="005C4224">
        <w:rPr>
          <w:rFonts w:cstheme="minorHAnsi"/>
          <w:b/>
          <w:bCs/>
          <w:i/>
          <w:iCs/>
        </w:rPr>
        <w:t>&gt;</w:t>
      </w:r>
      <w:r w:rsidRPr="005C4224">
        <w:rPr>
          <w:b/>
          <w:bCs/>
          <w:i/>
          <w:iCs/>
        </w:rPr>
        <w:t xml:space="preserve">400 mg/L nitrate. Stock may tolerate higher nitrate concentrations in drinking water </w:t>
      </w:r>
      <w:r w:rsidR="008A3572" w:rsidRPr="005C4224">
        <w:rPr>
          <w:b/>
          <w:bCs/>
          <w:i/>
          <w:iCs/>
        </w:rPr>
        <w:t>if</w:t>
      </w:r>
      <w:r w:rsidRPr="005C4224">
        <w:rPr>
          <w:b/>
          <w:bCs/>
          <w:i/>
          <w:iCs/>
        </w:rPr>
        <w:t xml:space="preserve"> nitrate concentrations in feed are not high.</w:t>
      </w:r>
    </w:p>
    <w:p w14:paraId="03F59DFA" w14:textId="77777777" w:rsidR="00757974" w:rsidRDefault="00EB38E1" w:rsidP="000C6B83">
      <w:pPr>
        <w:pStyle w:val="Heading5"/>
        <w:rPr>
          <w:lang w:eastAsia="ja-JP"/>
        </w:rPr>
      </w:pPr>
      <w:r>
        <w:rPr>
          <w:lang w:eastAsia="ja-JP"/>
        </w:rPr>
        <w:t>Source</w:t>
      </w:r>
    </w:p>
    <w:p w14:paraId="03F59DFB" w14:textId="77777777" w:rsidR="00757974" w:rsidRDefault="00EB38E1" w:rsidP="00C1087A">
      <w:r>
        <w:t xml:space="preserve">Nitrate and nitrite are oxidised forms of nitrogen, both of which can occur naturally in water, though nitrate </w:t>
      </w:r>
      <w:r w:rsidR="00C1087A">
        <w:t xml:space="preserve">is </w:t>
      </w:r>
      <w:r>
        <w:t xml:space="preserve">generally </w:t>
      </w:r>
      <w:r w:rsidR="00C1087A">
        <w:t>predominant</w:t>
      </w:r>
      <w:r>
        <w:t xml:space="preserve">. Nitrate is usually present in unpolluted streams at concentrations </w:t>
      </w:r>
      <w:r w:rsidR="00AF4400">
        <w:t>&lt;</w:t>
      </w:r>
      <w:r>
        <w:t>1</w:t>
      </w:r>
      <w:r w:rsidR="00B60B42">
        <w:t> </w:t>
      </w:r>
      <w:r>
        <w:t>mg/</w:t>
      </w:r>
      <w:r w:rsidRPr="00D8408B">
        <w:t>L (</w:t>
      </w:r>
      <w:proofErr w:type="spellStart"/>
      <w:r w:rsidRPr="00D8408B">
        <w:t>Meybeck</w:t>
      </w:r>
      <w:proofErr w:type="spellEnd"/>
      <w:r w:rsidRPr="00D8408B">
        <w:t xml:space="preserve"> 1982).</w:t>
      </w:r>
      <w:r>
        <w:t xml:space="preserve"> Higher concentrations are often associated with over-use of nitrogen fertilisers and manures</w:t>
      </w:r>
      <w:r w:rsidR="005D6098">
        <w:t>,</w:t>
      </w:r>
      <w:r>
        <w:t xml:space="preserve"> intensive livestock operations</w:t>
      </w:r>
      <w:r w:rsidR="005D6098">
        <w:t>,</w:t>
      </w:r>
      <w:r>
        <w:t xml:space="preserve"> and/or leak</w:t>
      </w:r>
      <w:r w:rsidR="005D6098">
        <w:t>s</w:t>
      </w:r>
      <w:r>
        <w:t xml:space="preserve"> from septic systems and municipal wastes. </w:t>
      </w:r>
      <w:r w:rsidR="005D6098">
        <w:t>Typically, e</w:t>
      </w:r>
      <w:r>
        <w:t>levated nitrite concentrations are found only under anoxic conditions</w:t>
      </w:r>
      <w:r w:rsidR="005D6098">
        <w:t xml:space="preserve"> (</w:t>
      </w:r>
      <w:proofErr w:type="gramStart"/>
      <w:r w:rsidR="005D6098">
        <w:t>e.g.</w:t>
      </w:r>
      <w:proofErr w:type="gramEnd"/>
      <w:r>
        <w:t xml:space="preserve"> where water</w:t>
      </w:r>
      <w:r w:rsidR="005D6098">
        <w:t xml:space="preserve"> i</w:t>
      </w:r>
      <w:r>
        <w:t>s polluted by organic waste</w:t>
      </w:r>
      <w:r w:rsidR="005D6098">
        <w:t>)</w:t>
      </w:r>
      <w:r>
        <w:t>.</w:t>
      </w:r>
    </w:p>
    <w:p w14:paraId="03F59DFC" w14:textId="77777777" w:rsidR="00757974" w:rsidRDefault="00EB38E1" w:rsidP="00C1087A">
      <w:r>
        <w:t xml:space="preserve">Groundwater may contain elevated nitrate concentrations due to natural </w:t>
      </w:r>
      <w:r w:rsidRPr="00B34071">
        <w:t>processes (Lawrence 1983)</w:t>
      </w:r>
      <w:r w:rsidR="00AF4400" w:rsidRPr="00B34071">
        <w:t>,</w:t>
      </w:r>
      <w:r>
        <w:t xml:space="preserve"> but more typically, high nitrate concentrations in groundwater are associated with contamination. Nitrate concentrations &gt;20</w:t>
      </w:r>
      <w:r w:rsidR="00B60B42">
        <w:t> </w:t>
      </w:r>
      <w:r>
        <w:t>mg/L have been reported in many Australian groundwaters, with a small proportion showing concentrations &gt;100</w:t>
      </w:r>
      <w:r w:rsidR="00B60B42">
        <w:t> </w:t>
      </w:r>
      <w:r>
        <w:t xml:space="preserve">mg/L </w:t>
      </w:r>
      <w:r w:rsidRPr="00B34071">
        <w:t>nitrate (Lawrence 1983, Keating</w:t>
      </w:r>
      <w:r w:rsidRPr="00A47F5C">
        <w:t xml:space="preserve"> et al. 1996).</w:t>
      </w:r>
    </w:p>
    <w:p w14:paraId="03F59DFD" w14:textId="77777777" w:rsidR="00757974" w:rsidRDefault="00EB38E1" w:rsidP="00C1087A">
      <w:r>
        <w:t xml:space="preserve">Animals are likely to be at higher risk of nitrate/nitrite poisoning through consumption of pastures, forages and feeds containing high concentrations of nitrate than from their water supplies. </w:t>
      </w:r>
      <w:r w:rsidR="002D2750">
        <w:t>Over</w:t>
      </w:r>
      <w:r w:rsidR="00EB2A68">
        <w:t>-</w:t>
      </w:r>
      <w:r w:rsidR="002D2750">
        <w:t>fertilis</w:t>
      </w:r>
      <w:r w:rsidR="00EB2A68">
        <w:t>ing</w:t>
      </w:r>
      <w:r w:rsidR="002D2750">
        <w:t xml:space="preserve"> plants with nitrogen fertilisers, poultry litter or animal manures can lead to excessive nitrate accumulation in plants. Plants under stress (</w:t>
      </w:r>
      <w:proofErr w:type="gramStart"/>
      <w:r w:rsidR="002D2750">
        <w:t>e.g.</w:t>
      </w:r>
      <w:proofErr w:type="gramEnd"/>
      <w:r w:rsidR="002D2750">
        <w:t xml:space="preserve"> from drought, or a lack of adequate nutrition or sunlight) may also accumulate nitrate.</w:t>
      </w:r>
    </w:p>
    <w:p w14:paraId="03F59DFE" w14:textId="77777777" w:rsidR="00131E39" w:rsidRDefault="00EB38E1" w:rsidP="000C6B83">
      <w:pPr>
        <w:pStyle w:val="Heading5"/>
        <w:rPr>
          <w:lang w:eastAsia="ja-JP"/>
        </w:rPr>
      </w:pPr>
      <w:bookmarkStart w:id="183" w:name="_Toc134441360"/>
      <w:bookmarkStart w:id="184" w:name="_Toc134441361"/>
      <w:bookmarkStart w:id="185" w:name="_Toc134441362"/>
      <w:bookmarkStart w:id="186" w:name="_Toc134441363"/>
      <w:bookmarkStart w:id="187" w:name="_Toc134441364"/>
      <w:bookmarkEnd w:id="183"/>
      <w:bookmarkEnd w:id="184"/>
      <w:bookmarkEnd w:id="185"/>
      <w:bookmarkEnd w:id="186"/>
      <w:bookmarkEnd w:id="187"/>
      <w:r>
        <w:rPr>
          <w:lang w:eastAsia="ja-JP"/>
        </w:rPr>
        <w:t>Effects on a</w:t>
      </w:r>
      <w:r w:rsidRPr="004508FF">
        <w:rPr>
          <w:lang w:eastAsia="ja-JP"/>
        </w:rPr>
        <w:t>nimal health</w:t>
      </w:r>
    </w:p>
    <w:p w14:paraId="03F59DFF" w14:textId="23C5723E" w:rsidR="008A3572" w:rsidRDefault="00EB38E1" w:rsidP="008A3572">
      <w:r>
        <w:t>Both nitrate</w:t>
      </w:r>
      <w:r w:rsidR="002D2750">
        <w:t xml:space="preserve"> and nitrite can cause toxicity</w:t>
      </w:r>
      <w:r>
        <w:t xml:space="preserve"> to animals</w:t>
      </w:r>
      <w:r w:rsidR="002D2750">
        <w:t>, with nitrite being 10–15</w:t>
      </w:r>
      <w:r w:rsidR="00CA3D80">
        <w:t> </w:t>
      </w:r>
      <w:r w:rsidR="002D2750">
        <w:t>times more toxic than nitrate (</w:t>
      </w:r>
      <w:r w:rsidR="002D2750" w:rsidRPr="002A4702">
        <w:t>Case 1963).</w:t>
      </w:r>
      <w:r w:rsidR="001713B7">
        <w:t xml:space="preserve"> Nitrate and nitrite can cause vomiting, </w:t>
      </w:r>
      <w:proofErr w:type="gramStart"/>
      <w:r w:rsidR="001713B7">
        <w:t>convulsions</w:t>
      </w:r>
      <w:proofErr w:type="gramEnd"/>
      <w:r w:rsidR="001713B7">
        <w:t xml:space="preserve"> and death (Agriculture Victoria 2023).</w:t>
      </w:r>
    </w:p>
    <w:p w14:paraId="03F59E00" w14:textId="64BCBCA7" w:rsidR="00564579" w:rsidRDefault="00EB38E1" w:rsidP="00C1087A">
      <w:r>
        <w:lastRenderedPageBreak/>
        <w:t>T</w:t>
      </w:r>
      <w:r w:rsidR="002D2750">
        <w:t xml:space="preserve">oxicity is </w:t>
      </w:r>
      <w:r w:rsidR="001643F1">
        <w:t>increased</w:t>
      </w:r>
      <w:r w:rsidR="002D2750">
        <w:t xml:space="preserve"> when nitrate is reduced to nitrite, which is an intermediate product of the reduction of nitrate to ammonia by bacteria in the rumens of sheep and cattle and</w:t>
      </w:r>
      <w:r w:rsidR="00DC5C11">
        <w:t>,</w:t>
      </w:r>
      <w:r w:rsidR="002D2750">
        <w:t xml:space="preserve"> to some degree</w:t>
      </w:r>
      <w:r w:rsidR="00DC5C11">
        <w:t>,</w:t>
      </w:r>
      <w:r w:rsidR="002D2750">
        <w:t xml:space="preserve"> in the cecum of horses. Non-ruminants (pigs and chickens) are less susceptible as they rapidly eliminate nitrate in the urine</w:t>
      </w:r>
      <w:r w:rsidR="004920DA">
        <w:t xml:space="preserve"> (Thompson 2022)</w:t>
      </w:r>
      <w:r w:rsidR="002D2750">
        <w:t>. However, excess nitrate intake can also lead to absorption of nitrate and nitrite</w:t>
      </w:r>
      <w:r w:rsidR="00DC5C11">
        <w:t>,</w:t>
      </w:r>
      <w:r w:rsidR="002D2750">
        <w:t xml:space="preserve"> which will cause toxicity.</w:t>
      </w:r>
    </w:p>
    <w:p w14:paraId="03F59E01" w14:textId="77777777" w:rsidR="008A3572" w:rsidRDefault="00EB38E1" w:rsidP="00C1087A">
      <w:r>
        <w:t xml:space="preserve">Nitrite is absorbed into the bloodstream, where it converts haemoglobin to methaemoglobin, thus reducing the oxygen-carrying capacity of the blood and causing eventual suffocation due to a lack of oxygen in body tissues. Symptoms of acute poisoning include increased urination, </w:t>
      </w:r>
      <w:proofErr w:type="gramStart"/>
      <w:r>
        <w:t>restlessness</w:t>
      </w:r>
      <w:proofErr w:type="gramEnd"/>
      <w:r>
        <w:t xml:space="preserve"> and cyanosis, leading to vomiting, convulsions and death.</w:t>
      </w:r>
    </w:p>
    <w:p w14:paraId="03F59E02" w14:textId="77777777" w:rsidR="00564579" w:rsidRDefault="00EB38E1" w:rsidP="00C1087A">
      <w:r>
        <w:t xml:space="preserve">Rumens of animals previously fed high nitrate diets have an increased tolerance. </w:t>
      </w:r>
      <w:r w:rsidR="003B6F76">
        <w:t>T</w:t>
      </w:r>
      <w:r>
        <w:t>oxicity also depend</w:t>
      </w:r>
      <w:r w:rsidR="008A3572">
        <w:t>s</w:t>
      </w:r>
      <w:r>
        <w:t xml:space="preserve"> on the rate of consumption, with slow intake and a balanced ration reducing toxicity </w:t>
      </w:r>
      <w:r w:rsidRPr="003E1AEC">
        <w:t>(Crowley 1985).</w:t>
      </w:r>
    </w:p>
    <w:p w14:paraId="03F59E03" w14:textId="77777777" w:rsidR="003B6F76" w:rsidRDefault="00EB38E1" w:rsidP="00FD2341">
      <w:r>
        <w:t>Livestock</w:t>
      </w:r>
      <w:r w:rsidR="002D2750">
        <w:t xml:space="preserve"> vary in their sensitivity to nitrate and nitrite.</w:t>
      </w:r>
    </w:p>
    <w:p w14:paraId="03F59E04" w14:textId="77777777" w:rsidR="003B6F76" w:rsidRPr="00242AAB" w:rsidRDefault="00EB38E1" w:rsidP="00FD2341">
      <w:pPr>
        <w:pStyle w:val="Bullet"/>
      </w:pPr>
      <w:r w:rsidRPr="00242AAB">
        <w:t>Winks (1963) reported</w:t>
      </w:r>
      <w:r>
        <w:t xml:space="preserve"> death of calves and cattle in Queensland from drinking water containing 2,200</w:t>
      </w:r>
      <w:r w:rsidR="00FE3A4C">
        <w:t> </w:t>
      </w:r>
      <w:r>
        <w:t>mg/L nitrate. He suggested a toxic nitrate concentration for cattle as between 300</w:t>
      </w:r>
      <w:r w:rsidR="00FE3A4C">
        <w:t> </w:t>
      </w:r>
      <w:r>
        <w:t>mg/L and 2,200</w:t>
      </w:r>
      <w:r w:rsidR="00FE3A4C">
        <w:t> </w:t>
      </w:r>
      <w:r>
        <w:t>mg/L. In dairy cows, nitrate concentrations up to 180</w:t>
      </w:r>
      <w:r w:rsidR="00FE3A4C">
        <w:t> </w:t>
      </w:r>
      <w:r>
        <w:t xml:space="preserve">mg/L in drinking water did not </w:t>
      </w:r>
      <w:r w:rsidRPr="00242AAB">
        <w:t>increase the concentration of nitrate in milk (Kammerer et al. 1992).</w:t>
      </w:r>
    </w:p>
    <w:p w14:paraId="03F59E05" w14:textId="5209249F" w:rsidR="003B6F76" w:rsidRDefault="00EB38E1" w:rsidP="00FD2341">
      <w:pPr>
        <w:pStyle w:val="Bullet"/>
      </w:pPr>
      <w:proofErr w:type="spellStart"/>
      <w:r w:rsidRPr="00DD527C">
        <w:t>Seerl</w:t>
      </w:r>
      <w:r w:rsidR="00B86FBF" w:rsidRPr="00DD527C">
        <w:t>e</w:t>
      </w:r>
      <w:r w:rsidRPr="00DD527C">
        <w:t>y</w:t>
      </w:r>
      <w:proofErr w:type="spellEnd"/>
      <w:r w:rsidRPr="00DD527C">
        <w:t xml:space="preserve"> et al. (1965) concluded</w:t>
      </w:r>
      <w:r>
        <w:t xml:space="preserve"> that drinking water containing approximately 300</w:t>
      </w:r>
      <w:r w:rsidR="00FE3A4C">
        <w:t> </w:t>
      </w:r>
      <w:r>
        <w:t>mg/L nitrate</w:t>
      </w:r>
      <w:r w:rsidR="00A65EC7">
        <w:t>-</w:t>
      </w:r>
      <w:r>
        <w:t>N had no effect on the health of pigs or sheep and that levels of nitrite</w:t>
      </w:r>
      <w:r w:rsidR="00A65EC7">
        <w:t>-</w:t>
      </w:r>
      <w:r>
        <w:t xml:space="preserve">N </w:t>
      </w:r>
      <w:r w:rsidR="00A32200">
        <w:t>&lt;</w:t>
      </w:r>
      <w:r>
        <w:t>100</w:t>
      </w:r>
      <w:r w:rsidR="00FE3A4C">
        <w:t> </w:t>
      </w:r>
      <w:r>
        <w:t>mg/L over 105</w:t>
      </w:r>
      <w:r w:rsidR="00FE3A4C">
        <w:t> </w:t>
      </w:r>
      <w:r>
        <w:t xml:space="preserve">days did not adversely affect pig health. </w:t>
      </w:r>
      <w:r w:rsidRPr="00F670F0">
        <w:t>Anderson and Stothers (1978)</w:t>
      </w:r>
      <w:r>
        <w:t xml:space="preserve"> similarly reported no ill effects in weanling pigs after 6</w:t>
      </w:r>
      <w:r w:rsidR="00FE3A4C">
        <w:t> </w:t>
      </w:r>
      <w:r>
        <w:t xml:space="preserve">weeks of drinking water containing </w:t>
      </w:r>
      <w:r w:rsidR="00566B1D">
        <w:t xml:space="preserve">approximately </w:t>
      </w:r>
      <w:r w:rsidR="00E75B27">
        <w:t>1,</w:t>
      </w:r>
      <w:r>
        <w:t>300</w:t>
      </w:r>
      <w:r w:rsidR="00FE3A4C">
        <w:t> </w:t>
      </w:r>
      <w:r>
        <w:t xml:space="preserve">mg/L nitrate. </w:t>
      </w:r>
      <w:r w:rsidRPr="00DD527C">
        <w:t>Sorensen et al. (1994) found</w:t>
      </w:r>
      <w:r>
        <w:t xml:space="preserve"> no effect on early weaned piglets and growing pigs from water containing up to 2</w:t>
      </w:r>
      <w:r w:rsidR="00C353A7">
        <w:t>,</w:t>
      </w:r>
      <w:r>
        <w:t>000</w:t>
      </w:r>
      <w:r w:rsidR="00FE3A4C">
        <w:t> </w:t>
      </w:r>
      <w:r>
        <w:t>mg/L nitrate or up to 17</w:t>
      </w:r>
      <w:r w:rsidR="00FE3A4C">
        <w:t> </w:t>
      </w:r>
      <w:r>
        <w:t>mg/L nitrite. In experiments carried out in Queensland, pigs raised from 20</w:t>
      </w:r>
      <w:r w:rsidR="00C457E1">
        <w:t> kg</w:t>
      </w:r>
      <w:r>
        <w:t xml:space="preserve"> to 80</w:t>
      </w:r>
      <w:r w:rsidR="00C457E1">
        <w:t> </w:t>
      </w:r>
      <w:r>
        <w:t xml:space="preserve">kg showed no decrease in performance and no adverse </w:t>
      </w:r>
      <w:r w:rsidR="00C457E1">
        <w:t xml:space="preserve">health </w:t>
      </w:r>
      <w:r>
        <w:t>effects when given water containing up to 500</w:t>
      </w:r>
      <w:r w:rsidR="00FE3A4C">
        <w:t> </w:t>
      </w:r>
      <w:r>
        <w:t>mg/L nitrate or up to 50</w:t>
      </w:r>
      <w:r w:rsidR="00FE3A4C">
        <w:t> </w:t>
      </w:r>
      <w:r>
        <w:t xml:space="preserve">mg/L nitrite </w:t>
      </w:r>
      <w:r w:rsidRPr="00D8408B">
        <w:t>(McIntosh 1981). A</w:t>
      </w:r>
      <w:r>
        <w:t xml:space="preserve"> national survey of pig farms in the </w:t>
      </w:r>
      <w:r w:rsidR="007D7D99">
        <w:t xml:space="preserve">United States </w:t>
      </w:r>
      <w:r>
        <w:t>showed no association between animal health or performance and drinking water containing up to 460</w:t>
      </w:r>
      <w:r w:rsidR="009F4C07">
        <w:t> </w:t>
      </w:r>
      <w:r>
        <w:t xml:space="preserve">mg/L nitrate </w:t>
      </w:r>
      <w:r w:rsidRPr="006B147F">
        <w:t>(Bruning-Fann et al. 1996).</w:t>
      </w:r>
    </w:p>
    <w:p w14:paraId="03F59E06" w14:textId="77777777" w:rsidR="00564579" w:rsidRDefault="00EB38E1" w:rsidP="00FD2341">
      <w:pPr>
        <w:pStyle w:val="Bullet"/>
        <w:spacing w:after="240"/>
      </w:pPr>
      <w:r>
        <w:t>P</w:t>
      </w:r>
      <w:r w:rsidR="002D2750">
        <w:t>oultry are very sensitive to nitrate. Blake and Hess (2001) report poultry performance may be affected by 3–20</w:t>
      </w:r>
      <w:r w:rsidR="009F4C07">
        <w:t> </w:t>
      </w:r>
      <w:r w:rsidR="002D2750">
        <w:t>mg/L of nitrate. Fairchild and Ritz (2009) state a limit of 25</w:t>
      </w:r>
      <w:r w:rsidR="009F4C07">
        <w:t> </w:t>
      </w:r>
      <w:r w:rsidR="002D2750">
        <w:t>mg/L of nitrate for poultry water</w:t>
      </w:r>
      <w:r w:rsidR="008725C2">
        <w:t>;</w:t>
      </w:r>
      <w:r w:rsidR="002D2750">
        <w:t xml:space="preserve"> however, they note that concentrations up to 600</w:t>
      </w:r>
      <w:r w:rsidR="009F4C07">
        <w:t> </w:t>
      </w:r>
      <w:r w:rsidR="002D2750">
        <w:t xml:space="preserve">mg/L have been shown to have no adverse effect on </w:t>
      </w:r>
      <w:r w:rsidR="008725C2">
        <w:t xml:space="preserve">poultry </w:t>
      </w:r>
      <w:r w:rsidR="002D2750">
        <w:t>health.</w:t>
      </w:r>
    </w:p>
    <w:p w14:paraId="03F59E07" w14:textId="77777777" w:rsidR="00AD38A0" w:rsidRPr="00AD38A0" w:rsidRDefault="00EB38E1" w:rsidP="000C6B83">
      <w:pPr>
        <w:pStyle w:val="Heading5"/>
        <w:rPr>
          <w:lang w:eastAsia="ja-JP"/>
        </w:rPr>
      </w:pPr>
      <w:r w:rsidRPr="00AD38A0">
        <w:rPr>
          <w:lang w:eastAsia="ja-JP"/>
        </w:rPr>
        <w:t>Derivation of guideline values</w:t>
      </w:r>
    </w:p>
    <w:p w14:paraId="03F59E08" w14:textId="77777777" w:rsidR="003B6F76" w:rsidRPr="00C1087A" w:rsidRDefault="00EB38E1" w:rsidP="00FD2341">
      <w:r w:rsidRPr="00C1087A">
        <w:t xml:space="preserve">Confusion can arise concerning guideline values for nitrate and nitrite because concentrations are sometimes reported </w:t>
      </w:r>
      <w:proofErr w:type="gramStart"/>
      <w:r w:rsidRPr="00C1087A">
        <w:t>on the basis of</w:t>
      </w:r>
      <w:proofErr w:type="gramEnd"/>
      <w:r w:rsidRPr="00C1087A">
        <w:t xml:space="preserve"> their respective nitrogen (N) contents: nitrate-N (NO</w:t>
      </w:r>
      <w:r w:rsidRPr="008A3572">
        <w:rPr>
          <w:vertAlign w:val="subscript"/>
        </w:rPr>
        <w:t>3</w:t>
      </w:r>
      <w:r w:rsidRPr="00C1087A">
        <w:t xml:space="preserve"> N) and nitrite-N (NO</w:t>
      </w:r>
      <w:r w:rsidRPr="008A3572">
        <w:rPr>
          <w:vertAlign w:val="subscript"/>
        </w:rPr>
        <w:t>2</w:t>
      </w:r>
      <w:r w:rsidRPr="00C1087A">
        <w:t>-N). The conversions are as follows:</w:t>
      </w:r>
    </w:p>
    <w:p w14:paraId="03F59E09" w14:textId="6CAF9095" w:rsidR="003B6F76" w:rsidRPr="001F736D" w:rsidRDefault="00EB38E1" w:rsidP="003B6F76">
      <w:pPr>
        <w:pStyle w:val="ListBullet"/>
        <w:rPr>
          <w:lang w:val="de-DE"/>
        </w:rPr>
      </w:pPr>
      <w:r w:rsidRPr="001F736D">
        <w:rPr>
          <w:lang w:val="de-DE"/>
        </w:rPr>
        <w:t>1</w:t>
      </w:r>
      <w:r w:rsidR="00A35966">
        <w:t> </w:t>
      </w:r>
      <w:r w:rsidRPr="001F736D">
        <w:rPr>
          <w:lang w:val="de-DE"/>
        </w:rPr>
        <w:t>mg/L nitrate-N = 4.43</w:t>
      </w:r>
      <w:r w:rsidR="00A35966">
        <w:t> </w:t>
      </w:r>
      <w:r w:rsidRPr="001F736D">
        <w:rPr>
          <w:lang w:val="de-DE"/>
        </w:rPr>
        <w:t>mg/L nitrate</w:t>
      </w:r>
    </w:p>
    <w:p w14:paraId="03F59E0A" w14:textId="16337DC9" w:rsidR="003B6F76" w:rsidRPr="001F736D" w:rsidRDefault="00EB38E1" w:rsidP="00FD2341">
      <w:pPr>
        <w:pStyle w:val="Bullet"/>
        <w:spacing w:after="240"/>
        <w:rPr>
          <w:lang w:val="de-DE"/>
        </w:rPr>
      </w:pPr>
      <w:r w:rsidRPr="001F736D">
        <w:rPr>
          <w:lang w:val="de-DE"/>
        </w:rPr>
        <w:t>1</w:t>
      </w:r>
      <w:r w:rsidR="00A35966">
        <w:t> </w:t>
      </w:r>
      <w:r w:rsidRPr="001F736D">
        <w:rPr>
          <w:lang w:val="de-DE"/>
        </w:rPr>
        <w:t>mg/L nitrite-N = 3.29</w:t>
      </w:r>
      <w:r w:rsidR="00A35966">
        <w:t> </w:t>
      </w:r>
      <w:r w:rsidRPr="001F736D">
        <w:rPr>
          <w:lang w:val="de-DE"/>
        </w:rPr>
        <w:t>mg/L nitrite.</w:t>
      </w:r>
    </w:p>
    <w:p w14:paraId="03F59E0B" w14:textId="2414FFE7" w:rsidR="003B6F76" w:rsidRDefault="00EB38E1" w:rsidP="00C1087A">
      <w:r>
        <w:t xml:space="preserve">Because </w:t>
      </w:r>
      <w:r w:rsidR="002D2750">
        <w:t>ingestion of nitrite leads to a more rapid onset of toxic</w:t>
      </w:r>
      <w:r>
        <w:t>ity</w:t>
      </w:r>
      <w:r w:rsidR="002D2750">
        <w:t xml:space="preserve"> than </w:t>
      </w:r>
      <w:r>
        <w:t xml:space="preserve">ingestion of </w:t>
      </w:r>
      <w:r w:rsidR="002D2750">
        <w:t xml:space="preserve">nitrate, the guideline value for nitrite </w:t>
      </w:r>
      <w:r w:rsidR="00FF1E0D">
        <w:t>is</w:t>
      </w:r>
      <w:r w:rsidR="002D2750">
        <w:t xml:space="preserve"> lower than that for nitrate.</w:t>
      </w:r>
    </w:p>
    <w:p w14:paraId="03F59E0C" w14:textId="1723EE0A" w:rsidR="00564579" w:rsidRDefault="00EB38E1" w:rsidP="00C1087A">
      <w:r>
        <w:t xml:space="preserve">The total dietary intake of nitrate by livestock </w:t>
      </w:r>
      <w:r w:rsidR="00937C65">
        <w:t xml:space="preserve">should </w:t>
      </w:r>
      <w:r>
        <w:t xml:space="preserve">be considered when interpreting the guideline values. High nitrate concentrations in the water supply may indicate that nitrate </w:t>
      </w:r>
      <w:r w:rsidR="00BD5553">
        <w:t xml:space="preserve">concentrations </w:t>
      </w:r>
      <w:r>
        <w:t>in locally grown feed may also be elevated.</w:t>
      </w:r>
    </w:p>
    <w:p w14:paraId="03F59E0D" w14:textId="77777777" w:rsidR="00564579" w:rsidRDefault="00EB38E1" w:rsidP="00C1087A">
      <w:r>
        <w:lastRenderedPageBreak/>
        <w:t xml:space="preserve">The NRC (2005) noted that in ruminants, diets containing more than </w:t>
      </w:r>
      <w:r w:rsidR="00DC4DFE">
        <w:t>5,</w:t>
      </w:r>
      <w:r>
        <w:t>000</w:t>
      </w:r>
      <w:r w:rsidR="00DC09A8">
        <w:t> </w:t>
      </w:r>
      <w:r>
        <w:t>mg/kg nitrate (dry matter) may result in toxicity. Rumen bacteria have been suggested to provide a good buffer against nitrate toxicosis</w:t>
      </w:r>
      <w:r w:rsidR="00BD5553">
        <w:t>;</w:t>
      </w:r>
      <w:r>
        <w:t xml:space="preserve"> however, this makes the derivation of a maximum tolerable intake difficult, given the broad range of dietary conditions. Also, ammonia toxicosis in ruminants is a risk if the rate of ammonia production exceeds the capacity of micro</w:t>
      </w:r>
      <w:r w:rsidR="007A6B8D">
        <w:t>organisms</w:t>
      </w:r>
      <w:r>
        <w:t xml:space="preserve"> in the rumen to </w:t>
      </w:r>
      <w:r w:rsidR="00BD5553">
        <w:t xml:space="preserve">use </w:t>
      </w:r>
      <w:r>
        <w:t>it to form amino acids.</w:t>
      </w:r>
    </w:p>
    <w:p w14:paraId="03F59E0E" w14:textId="23D45316" w:rsidR="00687771" w:rsidRDefault="00EB38E1" w:rsidP="00C1087A">
      <w:r>
        <w:t>Nitrate g</w:t>
      </w:r>
      <w:r w:rsidR="00564579">
        <w:t>uideline values for different species were estimated using</w:t>
      </w:r>
      <w:r w:rsidR="00BD5553">
        <w:t xml:space="preserve"> </w:t>
      </w:r>
      <w:r w:rsidR="00C1087A">
        <w:t>E</w:t>
      </w:r>
      <w:r w:rsidR="00564579">
        <w:t>quation</w:t>
      </w:r>
      <w:r w:rsidR="00C1087A">
        <w:t xml:space="preserve"> </w:t>
      </w:r>
      <w:r w:rsidR="00257B02">
        <w:t>3.2</w:t>
      </w:r>
      <w:r w:rsidR="00CF7725">
        <w:t xml:space="preserve"> (ANZECC/ARMCANZ 2000)</w:t>
      </w:r>
      <w:r w:rsidR="00564579">
        <w:t xml:space="preserve"> </w:t>
      </w:r>
      <w:r w:rsidR="00BD5553">
        <w:t xml:space="preserve">and </w:t>
      </w:r>
      <w:r w:rsidR="00564579">
        <w:t>based on the NRC (2005) dietary recommendations.</w:t>
      </w:r>
      <w:r w:rsidR="00457B65">
        <w:t xml:space="preserve"> The calculated guideline values are shown in</w:t>
      </w:r>
      <w:r w:rsidR="00257B02">
        <w:t xml:space="preserve"> Table 3.</w:t>
      </w:r>
      <w:r w:rsidR="006F2FF0">
        <w:t>6</w:t>
      </w:r>
      <w:r w:rsidR="00457B65">
        <w:t>.</w:t>
      </w:r>
    </w:p>
    <w:p w14:paraId="03F59E0F" w14:textId="77777777" w:rsidR="00C1087A" w:rsidRDefault="00EB38E1" w:rsidP="00DF778F">
      <w:pPr>
        <w:pStyle w:val="Caption"/>
      </w:pPr>
      <w:bookmarkStart w:id="188" w:name="_Toc135056375"/>
      <w:bookmarkStart w:id="189" w:name="_Toc142999654"/>
      <w:bookmarkStart w:id="190" w:name="_Toc148089848"/>
      <w:r>
        <w:t xml:space="preserve">Equation </w:t>
      </w:r>
      <w:r w:rsidR="00257B02">
        <w:t>3.2</w:t>
      </w:r>
      <w:bookmarkEnd w:id="188"/>
      <w:bookmarkEnd w:id="189"/>
      <w:bookmarkEnd w:id="190"/>
    </w:p>
    <w:p w14:paraId="03F59E10" w14:textId="77777777" w:rsidR="00A00063" w:rsidRPr="00457B65" w:rsidRDefault="00EB38E1" w:rsidP="00C1087A">
      <w:pPr>
        <w:rPr>
          <w:rFonts w:eastAsiaTheme="minorEastAsia"/>
        </w:rPr>
      </w:pPr>
      <m:oMathPara>
        <m:oMath>
          <m:r>
            <m:rPr>
              <m:nor/>
            </m:rPr>
            <w:rPr>
              <w:rFonts w:asciiTheme="majorHAnsi" w:hAnsiTheme="majorHAnsi"/>
              <w:sz w:val="20"/>
              <w:szCs w:val="20"/>
            </w:rPr>
            <m:t>Guideline value</m:t>
          </m:r>
          <m:r>
            <w:rPr>
              <w:rFonts w:ascii="Cambria Math" w:hAnsi="Cambria Math"/>
              <w:sz w:val="20"/>
              <w:szCs w:val="20"/>
            </w:rPr>
            <m:t>=</m:t>
          </m:r>
          <m:f>
            <m:fPr>
              <m:ctrlPr>
                <w:rPr>
                  <w:rFonts w:ascii="Cambria Math" w:hAnsi="Cambria Math"/>
                  <w:sz w:val="20"/>
                  <w:szCs w:val="20"/>
                </w:rPr>
              </m:ctrlPr>
            </m:fPr>
            <m:num>
              <m:r>
                <m:rPr>
                  <m:lit/>
                  <m:nor/>
                </m:rPr>
                <w:rPr>
                  <w:rFonts w:asciiTheme="majorHAnsi" w:hAnsiTheme="majorHAnsi"/>
                  <w:sz w:val="20"/>
                  <w:szCs w:val="20"/>
                </w:rPr>
                <m:t>MTDL</m:t>
              </m:r>
              <m:r>
                <w:rPr>
                  <w:rFonts w:ascii="Cambria Math" w:hAnsi="Cambria Math"/>
                  <w:sz w:val="20"/>
                  <w:szCs w:val="20"/>
                </w:rPr>
                <m:t>×</m:t>
              </m:r>
              <m:r>
                <m:rPr>
                  <m:sty m:val="p"/>
                </m:rPr>
                <w:rPr>
                  <w:rFonts w:ascii="Cambria Math" w:hAnsi="Cambria Math"/>
                  <w:sz w:val="20"/>
                  <w:szCs w:val="20"/>
                </w:rPr>
                <m:t>P</m:t>
              </m:r>
              <m:r>
                <m:rPr>
                  <m:lit/>
                  <m:nor/>
                </m:rPr>
                <w:rPr>
                  <w:rFonts w:asciiTheme="majorHAnsi" w:hAnsiTheme="majorHAnsi"/>
                  <w:sz w:val="20"/>
                  <w:szCs w:val="20"/>
                </w:rPr>
                <m:t>FI</m:t>
              </m:r>
              <m:r>
                <w:rPr>
                  <w:rFonts w:ascii="Cambria Math" w:hAnsi="Cambria Math"/>
                  <w:sz w:val="20"/>
                  <w:szCs w:val="20"/>
                </w:rPr>
                <m:t>×</m:t>
              </m:r>
              <m:r>
                <m:rPr>
                  <m:lit/>
                  <m:nor/>
                </m:rPr>
                <w:rPr>
                  <w:rFonts w:asciiTheme="majorHAnsi" w:hAnsiTheme="majorHAnsi"/>
                  <w:sz w:val="20"/>
                  <w:szCs w:val="20"/>
                </w:rPr>
                <m:t xml:space="preserve"> proportion of water contribution</m:t>
              </m:r>
            </m:num>
            <m:den>
              <m:r>
                <m:rPr>
                  <m:lit/>
                  <m:nor/>
                </m:rPr>
                <w:rPr>
                  <w:rFonts w:asciiTheme="majorHAnsi" w:hAnsiTheme="majorHAnsi"/>
                  <w:sz w:val="20"/>
                  <w:szCs w:val="20"/>
                </w:rPr>
                <m:t>WIR</m:t>
              </m:r>
              <m:r>
                <w:rPr>
                  <w:rFonts w:ascii="Cambria Math" w:hAnsi="Cambria Math"/>
                  <w:sz w:val="20"/>
                  <w:szCs w:val="20"/>
                </w:rPr>
                <m:t>×</m:t>
              </m:r>
              <m:r>
                <m:rPr>
                  <m:lit/>
                  <m:nor/>
                </m:rPr>
                <w:rPr>
                  <w:rFonts w:asciiTheme="majorHAnsi" w:hAnsiTheme="majorHAnsi"/>
                  <w:sz w:val="20"/>
                  <w:szCs w:val="20"/>
                </w:rPr>
                <m:t>SF</m:t>
              </m:r>
            </m:den>
          </m:f>
          <m:r>
            <w:rPr>
              <w:rFonts w:ascii="Cambria Math" w:hAnsi="Cambria Math"/>
              <w:sz w:val="20"/>
              <w:szCs w:val="20"/>
            </w:rPr>
            <m:t xml:space="preserve"> </m:t>
          </m:r>
        </m:oMath>
      </m:oMathPara>
    </w:p>
    <w:p w14:paraId="03F59E11" w14:textId="77777777" w:rsidR="006F47DF" w:rsidRDefault="00EB38E1" w:rsidP="00FD2341">
      <w:r>
        <w:t>Where:</w:t>
      </w:r>
    </w:p>
    <w:p w14:paraId="03F59E12" w14:textId="506D5771" w:rsidR="006F47DF" w:rsidRPr="006F47DF" w:rsidRDefault="00EB38E1" w:rsidP="006F47DF">
      <w:pPr>
        <w:pStyle w:val="ListBullet"/>
        <w:rPr>
          <w:lang w:eastAsia="ja-JP"/>
        </w:rPr>
      </w:pPr>
      <w:r w:rsidRPr="006F47DF">
        <w:rPr>
          <w:lang w:eastAsia="ja-JP"/>
        </w:rPr>
        <w:t xml:space="preserve">MTDL </w:t>
      </w:r>
      <w:r w:rsidR="00AB45C1">
        <w:rPr>
          <w:lang w:eastAsia="ja-JP"/>
        </w:rPr>
        <w:t>is the</w:t>
      </w:r>
      <w:r w:rsidRPr="006F47DF">
        <w:rPr>
          <w:lang w:eastAsia="ja-JP"/>
        </w:rPr>
        <w:t xml:space="preserve"> maximum tolerable dietary level (mg/kg feed)</w:t>
      </w:r>
    </w:p>
    <w:p w14:paraId="03F59E13" w14:textId="0DC07893" w:rsidR="006F47DF" w:rsidRPr="006F47DF" w:rsidRDefault="00EB38E1" w:rsidP="006F47DF">
      <w:pPr>
        <w:pStyle w:val="ListBullet"/>
        <w:rPr>
          <w:lang w:eastAsia="ja-JP"/>
        </w:rPr>
      </w:pPr>
      <w:r w:rsidRPr="006F47DF">
        <w:rPr>
          <w:lang w:eastAsia="ja-JP"/>
        </w:rPr>
        <w:t xml:space="preserve">PFI </w:t>
      </w:r>
      <w:r w:rsidR="00AB45C1">
        <w:rPr>
          <w:lang w:eastAsia="ja-JP"/>
        </w:rPr>
        <w:t>is the</w:t>
      </w:r>
      <w:r w:rsidRPr="006F47DF">
        <w:rPr>
          <w:lang w:eastAsia="ja-JP"/>
        </w:rPr>
        <w:t xml:space="preserve"> peak food intake (kg feed/day)</w:t>
      </w:r>
    </w:p>
    <w:p w14:paraId="03F59E14" w14:textId="0AA878B7" w:rsidR="006F47DF" w:rsidRPr="006F47DF" w:rsidRDefault="00AB45C1" w:rsidP="006F47DF">
      <w:pPr>
        <w:pStyle w:val="ListBullet"/>
        <w:rPr>
          <w:lang w:eastAsia="ja-JP"/>
        </w:rPr>
      </w:pPr>
      <w:r>
        <w:rPr>
          <w:lang w:eastAsia="ja-JP"/>
        </w:rPr>
        <w:t xml:space="preserve">0.2 is the </w:t>
      </w:r>
      <w:r w:rsidR="00EB38E1" w:rsidRPr="006F47DF">
        <w:rPr>
          <w:lang w:eastAsia="ja-JP"/>
        </w:rPr>
        <w:t xml:space="preserve">proportion of water </w:t>
      </w:r>
      <w:proofErr w:type="gramStart"/>
      <w:r w:rsidR="00EB38E1" w:rsidRPr="006F47DF">
        <w:rPr>
          <w:lang w:eastAsia="ja-JP"/>
        </w:rPr>
        <w:t>co</w:t>
      </w:r>
      <w:r w:rsidR="00457B65" w:rsidRPr="006F47DF">
        <w:rPr>
          <w:lang w:eastAsia="ja-JP"/>
        </w:rPr>
        <w:t>ntribution</w:t>
      </w:r>
      <w:proofErr w:type="gramEnd"/>
    </w:p>
    <w:p w14:paraId="03F59E15" w14:textId="367EC9AF" w:rsidR="006F47DF" w:rsidRPr="006F47DF" w:rsidRDefault="00EB38E1" w:rsidP="006F47DF">
      <w:pPr>
        <w:pStyle w:val="ListBullet"/>
        <w:rPr>
          <w:lang w:eastAsia="ja-JP"/>
        </w:rPr>
      </w:pPr>
      <w:r w:rsidRPr="006F47DF">
        <w:rPr>
          <w:lang w:eastAsia="ja-JP"/>
        </w:rPr>
        <w:t xml:space="preserve">WIR </w:t>
      </w:r>
      <w:r w:rsidR="00AB45C1">
        <w:rPr>
          <w:lang w:eastAsia="ja-JP"/>
        </w:rPr>
        <w:t xml:space="preserve">is the </w:t>
      </w:r>
      <w:r w:rsidRPr="006F47DF">
        <w:rPr>
          <w:lang w:eastAsia="ja-JP"/>
        </w:rPr>
        <w:t>water intake rate (L/day)</w:t>
      </w:r>
    </w:p>
    <w:p w14:paraId="03F59E16" w14:textId="390C0156" w:rsidR="00687771" w:rsidRPr="006F47DF" w:rsidRDefault="00EB38E1" w:rsidP="00305905">
      <w:pPr>
        <w:pStyle w:val="ListBullet"/>
        <w:spacing w:after="360"/>
        <w:rPr>
          <w:lang w:eastAsia="ja-JP"/>
        </w:rPr>
      </w:pPr>
      <w:r w:rsidRPr="006F47DF">
        <w:rPr>
          <w:lang w:eastAsia="ja-JP"/>
        </w:rPr>
        <w:t xml:space="preserve">SF </w:t>
      </w:r>
      <w:r w:rsidR="00AB45C1">
        <w:rPr>
          <w:lang w:eastAsia="ja-JP"/>
        </w:rPr>
        <w:t>is the</w:t>
      </w:r>
      <w:r w:rsidRPr="006F47DF">
        <w:rPr>
          <w:lang w:eastAsia="ja-JP"/>
        </w:rPr>
        <w:t xml:space="preserve"> safety factor.</w:t>
      </w:r>
    </w:p>
    <w:p w14:paraId="03F59E17" w14:textId="22C138DE" w:rsidR="00E3673D" w:rsidRDefault="00EB38E1" w:rsidP="00DF778F">
      <w:pPr>
        <w:pStyle w:val="Caption"/>
      </w:pPr>
      <w:bookmarkStart w:id="191" w:name="_Ref84839432"/>
      <w:bookmarkStart w:id="192" w:name="_Toc148089849"/>
      <w:r>
        <w:t>Table </w:t>
      </w:r>
      <w:bookmarkEnd w:id="191"/>
      <w:r w:rsidR="00A348FB">
        <w:t>3.</w:t>
      </w:r>
      <w:r w:rsidR="006F2FF0">
        <w:t>6</w:t>
      </w:r>
      <w:r w:rsidR="006F2FF0" w:rsidRPr="00561CE3">
        <w:t xml:space="preserve"> </w:t>
      </w:r>
      <w:r w:rsidR="00561CE3" w:rsidRPr="00561CE3">
        <w:t xml:space="preserve">Calculated guideline values </w:t>
      </w:r>
      <w:r w:rsidR="001F6A0D">
        <w:t xml:space="preserve">for nitrate </w:t>
      </w:r>
      <w:r w:rsidR="00E90DDE">
        <w:t xml:space="preserve">in livestock drinking </w:t>
      </w:r>
      <w:proofErr w:type="gramStart"/>
      <w:r w:rsidR="00E90DDE">
        <w:t>water</w:t>
      </w:r>
      <w:bookmarkEnd w:id="192"/>
      <w:proofErr w:type="gramEnd"/>
    </w:p>
    <w:tbl>
      <w:tblPr>
        <w:tblW w:w="5000" w:type="pct"/>
        <w:tblBorders>
          <w:top w:val="single" w:sz="4" w:space="0" w:color="000000"/>
          <w:bottom w:val="single" w:sz="4" w:space="0" w:color="000000"/>
          <w:insideH w:val="single" w:sz="4" w:space="0" w:color="000000"/>
        </w:tblBorders>
        <w:tblLook w:val="04A0" w:firstRow="1" w:lastRow="0" w:firstColumn="1" w:lastColumn="0" w:noHBand="0" w:noVBand="1"/>
      </w:tblPr>
      <w:tblGrid>
        <w:gridCol w:w="1427"/>
        <w:gridCol w:w="2547"/>
        <w:gridCol w:w="2547"/>
        <w:gridCol w:w="2549"/>
      </w:tblGrid>
      <w:tr w:rsidR="0054058D" w14:paraId="03F59E1C" w14:textId="77777777" w:rsidTr="00561CE3">
        <w:trPr>
          <w:cantSplit/>
          <w:tblHeader/>
        </w:trPr>
        <w:tc>
          <w:tcPr>
            <w:tcW w:w="787" w:type="pct"/>
            <w:tcBorders>
              <w:top w:val="single" w:sz="12" w:space="0" w:color="000000"/>
              <w:bottom w:val="single" w:sz="12" w:space="0" w:color="000000"/>
            </w:tcBorders>
            <w:shd w:val="clear" w:color="auto" w:fill="auto"/>
          </w:tcPr>
          <w:p w14:paraId="03F59E18" w14:textId="77777777" w:rsidR="00561CE3" w:rsidRPr="00561CE3" w:rsidRDefault="00EB38E1" w:rsidP="00561CE3">
            <w:pPr>
              <w:pStyle w:val="TableHeading"/>
            </w:pPr>
            <w:r>
              <w:t>Livestock</w:t>
            </w:r>
          </w:p>
        </w:tc>
        <w:tc>
          <w:tcPr>
            <w:tcW w:w="1404" w:type="pct"/>
            <w:tcBorders>
              <w:top w:val="single" w:sz="12" w:space="0" w:color="000000"/>
              <w:bottom w:val="single" w:sz="12" w:space="0" w:color="000000"/>
            </w:tcBorders>
            <w:shd w:val="clear" w:color="auto" w:fill="auto"/>
          </w:tcPr>
          <w:p w14:paraId="03F59E19" w14:textId="1C9C1404" w:rsidR="00561CE3" w:rsidRPr="00561CE3" w:rsidRDefault="00EB38E1" w:rsidP="004C6E6D">
            <w:pPr>
              <w:pStyle w:val="TableHeading"/>
              <w:jc w:val="center"/>
            </w:pPr>
            <w:r w:rsidRPr="00561CE3">
              <w:t xml:space="preserve">Maximum </w:t>
            </w:r>
            <w:r w:rsidR="001F6A0D" w:rsidRPr="00561CE3">
              <w:t xml:space="preserve">nitrate in feed </w:t>
            </w:r>
            <w:r w:rsidR="001F6A0D">
              <w:t>(</w:t>
            </w:r>
            <w:r w:rsidR="001F6A0D" w:rsidRPr="00561CE3">
              <w:t>dry matter</w:t>
            </w:r>
            <w:r w:rsidR="001F6A0D">
              <w:t>) (mg/</w:t>
            </w:r>
            <w:proofErr w:type="gramStart"/>
            <w:r w:rsidR="001F6A0D">
              <w:t>kg)</w:t>
            </w:r>
            <w:r w:rsidR="00E90DDE" w:rsidRPr="00E90DDE">
              <w:rPr>
                <w:rStyle w:val="Strong"/>
                <w:b/>
                <w:vertAlign w:val="superscript"/>
              </w:rPr>
              <w:t>a</w:t>
            </w:r>
            <w:proofErr w:type="gramEnd"/>
          </w:p>
        </w:tc>
        <w:tc>
          <w:tcPr>
            <w:tcW w:w="1404" w:type="pct"/>
            <w:tcBorders>
              <w:top w:val="single" w:sz="12" w:space="0" w:color="000000"/>
              <w:bottom w:val="single" w:sz="12" w:space="0" w:color="000000"/>
            </w:tcBorders>
            <w:shd w:val="clear" w:color="auto" w:fill="auto"/>
          </w:tcPr>
          <w:p w14:paraId="03F59E1A" w14:textId="2AB893C7" w:rsidR="00561CE3" w:rsidRPr="00561CE3" w:rsidRDefault="00EB38E1" w:rsidP="004C6E6D">
            <w:pPr>
              <w:pStyle w:val="TableHeading"/>
              <w:jc w:val="center"/>
            </w:pPr>
            <w:r w:rsidRPr="00561CE3">
              <w:t xml:space="preserve">Safety </w:t>
            </w:r>
            <w:proofErr w:type="spellStart"/>
            <w:r w:rsidRPr="00561CE3">
              <w:t>factor</w:t>
            </w:r>
            <w:r w:rsidR="00E90DDE">
              <w:rPr>
                <w:vertAlign w:val="superscript"/>
              </w:rPr>
              <w:t>b</w:t>
            </w:r>
            <w:proofErr w:type="spellEnd"/>
          </w:p>
        </w:tc>
        <w:tc>
          <w:tcPr>
            <w:tcW w:w="1405" w:type="pct"/>
            <w:tcBorders>
              <w:top w:val="single" w:sz="12" w:space="0" w:color="000000"/>
              <w:bottom w:val="single" w:sz="12" w:space="0" w:color="000000"/>
            </w:tcBorders>
            <w:shd w:val="clear" w:color="auto" w:fill="auto"/>
          </w:tcPr>
          <w:p w14:paraId="03F59E1B" w14:textId="77777777" w:rsidR="00561CE3" w:rsidRPr="00561CE3" w:rsidRDefault="00EB38E1" w:rsidP="004C6E6D">
            <w:pPr>
              <w:pStyle w:val="TableHeading"/>
              <w:jc w:val="center"/>
            </w:pPr>
            <w:r>
              <w:t xml:space="preserve">Nitrate </w:t>
            </w:r>
            <w:r w:rsidR="002D2750" w:rsidRPr="00561CE3">
              <w:t>guideline value</w:t>
            </w:r>
            <w:r>
              <w:t xml:space="preserve"> (mg/L)</w:t>
            </w:r>
          </w:p>
        </w:tc>
      </w:tr>
      <w:tr w:rsidR="0054058D" w14:paraId="03F59E21" w14:textId="77777777" w:rsidTr="00561CE3">
        <w:trPr>
          <w:cantSplit/>
        </w:trPr>
        <w:tc>
          <w:tcPr>
            <w:tcW w:w="787" w:type="pct"/>
            <w:tcBorders>
              <w:top w:val="single" w:sz="12" w:space="0" w:color="000000"/>
            </w:tcBorders>
            <w:shd w:val="clear" w:color="auto" w:fill="auto"/>
          </w:tcPr>
          <w:p w14:paraId="03F59E1D" w14:textId="77777777" w:rsidR="00561CE3" w:rsidRPr="00561CE3" w:rsidRDefault="00EB38E1" w:rsidP="00561CE3">
            <w:pPr>
              <w:pStyle w:val="TableText"/>
            </w:pPr>
            <w:r w:rsidRPr="00561CE3">
              <w:t>Cattle</w:t>
            </w:r>
          </w:p>
        </w:tc>
        <w:tc>
          <w:tcPr>
            <w:tcW w:w="1404" w:type="pct"/>
            <w:tcBorders>
              <w:top w:val="single" w:sz="12" w:space="0" w:color="000000"/>
            </w:tcBorders>
            <w:shd w:val="clear" w:color="auto" w:fill="auto"/>
          </w:tcPr>
          <w:p w14:paraId="03F59E1E" w14:textId="77777777" w:rsidR="00561CE3" w:rsidRPr="00561CE3" w:rsidRDefault="00EB38E1" w:rsidP="004C6E6D">
            <w:pPr>
              <w:pStyle w:val="TableText"/>
              <w:tabs>
                <w:tab w:val="decimal" w:pos="1159"/>
              </w:tabs>
            </w:pPr>
            <w:r w:rsidRPr="00561CE3">
              <w:t>5</w:t>
            </w:r>
            <w:r w:rsidR="003B6F76">
              <w:t>,</w:t>
            </w:r>
            <w:r w:rsidRPr="00561CE3">
              <w:t>000</w:t>
            </w:r>
            <w:r w:rsidR="001F6A0D" w:rsidRPr="00561CE3">
              <w:t xml:space="preserve"> </w:t>
            </w:r>
          </w:p>
        </w:tc>
        <w:tc>
          <w:tcPr>
            <w:tcW w:w="1404" w:type="pct"/>
            <w:tcBorders>
              <w:top w:val="single" w:sz="12" w:space="0" w:color="000000"/>
            </w:tcBorders>
            <w:shd w:val="clear" w:color="auto" w:fill="auto"/>
          </w:tcPr>
          <w:p w14:paraId="03F59E1F" w14:textId="77777777" w:rsidR="00561CE3" w:rsidRPr="00561CE3" w:rsidRDefault="00EB38E1" w:rsidP="004C6E6D">
            <w:pPr>
              <w:pStyle w:val="TableText"/>
              <w:tabs>
                <w:tab w:val="decimal" w:pos="1165"/>
              </w:tabs>
            </w:pPr>
            <w:r w:rsidRPr="00561CE3">
              <w:t>1</w:t>
            </w:r>
          </w:p>
        </w:tc>
        <w:tc>
          <w:tcPr>
            <w:tcW w:w="1405" w:type="pct"/>
            <w:tcBorders>
              <w:top w:val="single" w:sz="12" w:space="0" w:color="000000"/>
            </w:tcBorders>
            <w:shd w:val="clear" w:color="auto" w:fill="auto"/>
          </w:tcPr>
          <w:p w14:paraId="03F59E20" w14:textId="77777777" w:rsidR="00561CE3" w:rsidRPr="00561CE3" w:rsidRDefault="00EB38E1" w:rsidP="004C6E6D">
            <w:pPr>
              <w:pStyle w:val="TableText"/>
              <w:tabs>
                <w:tab w:val="decimal" w:pos="1308"/>
              </w:tabs>
            </w:pPr>
            <w:r w:rsidRPr="00561CE3">
              <w:t>235</w:t>
            </w:r>
          </w:p>
        </w:tc>
      </w:tr>
      <w:tr w:rsidR="0054058D" w14:paraId="03F59E26" w14:textId="77777777" w:rsidTr="00561CE3">
        <w:trPr>
          <w:cantSplit/>
        </w:trPr>
        <w:tc>
          <w:tcPr>
            <w:tcW w:w="787" w:type="pct"/>
            <w:tcBorders>
              <w:bottom w:val="single" w:sz="4" w:space="0" w:color="000000"/>
            </w:tcBorders>
            <w:shd w:val="clear" w:color="auto" w:fill="auto"/>
          </w:tcPr>
          <w:p w14:paraId="03F59E22" w14:textId="77777777" w:rsidR="00561CE3" w:rsidRPr="00561CE3" w:rsidRDefault="00EB38E1" w:rsidP="00561CE3">
            <w:pPr>
              <w:pStyle w:val="TableText"/>
            </w:pPr>
            <w:r w:rsidRPr="00561CE3">
              <w:t>Sheep</w:t>
            </w:r>
          </w:p>
        </w:tc>
        <w:tc>
          <w:tcPr>
            <w:tcW w:w="1404" w:type="pct"/>
            <w:tcBorders>
              <w:bottom w:val="single" w:sz="4" w:space="0" w:color="000000"/>
            </w:tcBorders>
            <w:shd w:val="clear" w:color="auto" w:fill="auto"/>
          </w:tcPr>
          <w:p w14:paraId="03F59E23" w14:textId="77777777" w:rsidR="00561CE3" w:rsidRPr="00561CE3" w:rsidRDefault="00EB38E1" w:rsidP="004C6E6D">
            <w:pPr>
              <w:pStyle w:val="TableText"/>
              <w:tabs>
                <w:tab w:val="decimal" w:pos="1159"/>
              </w:tabs>
            </w:pPr>
            <w:r w:rsidRPr="00561CE3">
              <w:t>10</w:t>
            </w:r>
          </w:p>
        </w:tc>
        <w:tc>
          <w:tcPr>
            <w:tcW w:w="1404" w:type="pct"/>
            <w:tcBorders>
              <w:bottom w:val="single" w:sz="4" w:space="0" w:color="000000"/>
            </w:tcBorders>
            <w:shd w:val="clear" w:color="auto" w:fill="auto"/>
          </w:tcPr>
          <w:p w14:paraId="03F59E24" w14:textId="77777777" w:rsidR="00561CE3" w:rsidRPr="00561CE3" w:rsidRDefault="00EB38E1" w:rsidP="004C6E6D">
            <w:pPr>
              <w:pStyle w:val="TableText"/>
              <w:tabs>
                <w:tab w:val="decimal" w:pos="1165"/>
              </w:tabs>
            </w:pPr>
            <w:r w:rsidRPr="00561CE3">
              <w:t>1</w:t>
            </w:r>
          </w:p>
        </w:tc>
        <w:tc>
          <w:tcPr>
            <w:tcW w:w="1405" w:type="pct"/>
            <w:tcBorders>
              <w:bottom w:val="single" w:sz="4" w:space="0" w:color="000000"/>
            </w:tcBorders>
            <w:shd w:val="clear" w:color="auto" w:fill="auto"/>
          </w:tcPr>
          <w:p w14:paraId="03F59E25" w14:textId="77777777" w:rsidR="00561CE3" w:rsidRPr="00561CE3" w:rsidRDefault="00EB38E1" w:rsidP="004C6E6D">
            <w:pPr>
              <w:pStyle w:val="TableText"/>
              <w:tabs>
                <w:tab w:val="decimal" w:pos="1308"/>
              </w:tabs>
            </w:pPr>
            <w:r w:rsidRPr="00561CE3">
              <w:t>209</w:t>
            </w:r>
          </w:p>
        </w:tc>
      </w:tr>
      <w:tr w:rsidR="0054058D" w14:paraId="03F59E2B" w14:textId="77777777" w:rsidTr="00561CE3">
        <w:trPr>
          <w:cantSplit/>
        </w:trPr>
        <w:tc>
          <w:tcPr>
            <w:tcW w:w="787" w:type="pct"/>
            <w:tcBorders>
              <w:bottom w:val="single" w:sz="12" w:space="0" w:color="000000"/>
            </w:tcBorders>
            <w:shd w:val="clear" w:color="auto" w:fill="auto"/>
          </w:tcPr>
          <w:p w14:paraId="03F59E27" w14:textId="77777777" w:rsidR="00561CE3" w:rsidRPr="00561CE3" w:rsidRDefault="00EB38E1" w:rsidP="00561CE3">
            <w:pPr>
              <w:pStyle w:val="TableText"/>
            </w:pPr>
            <w:r w:rsidRPr="00561CE3">
              <w:t>Poultry</w:t>
            </w:r>
          </w:p>
        </w:tc>
        <w:tc>
          <w:tcPr>
            <w:tcW w:w="1404" w:type="pct"/>
            <w:tcBorders>
              <w:bottom w:val="single" w:sz="12" w:space="0" w:color="000000"/>
            </w:tcBorders>
            <w:shd w:val="clear" w:color="auto" w:fill="auto"/>
          </w:tcPr>
          <w:p w14:paraId="03F59E28" w14:textId="77777777" w:rsidR="00561CE3" w:rsidRPr="00561CE3" w:rsidRDefault="00EB38E1" w:rsidP="004C6E6D">
            <w:pPr>
              <w:pStyle w:val="TableText"/>
              <w:tabs>
                <w:tab w:val="decimal" w:pos="1159"/>
              </w:tabs>
            </w:pPr>
            <w:r w:rsidRPr="00561CE3">
              <w:t>50</w:t>
            </w:r>
          </w:p>
        </w:tc>
        <w:tc>
          <w:tcPr>
            <w:tcW w:w="1404" w:type="pct"/>
            <w:tcBorders>
              <w:bottom w:val="single" w:sz="12" w:space="0" w:color="000000"/>
            </w:tcBorders>
            <w:shd w:val="clear" w:color="auto" w:fill="auto"/>
          </w:tcPr>
          <w:p w14:paraId="03F59E29" w14:textId="060A0739" w:rsidR="00561CE3" w:rsidRPr="00561CE3" w:rsidRDefault="004E20EE" w:rsidP="004C6E6D">
            <w:pPr>
              <w:pStyle w:val="TableText"/>
              <w:tabs>
                <w:tab w:val="decimal" w:pos="1165"/>
              </w:tabs>
            </w:pPr>
            <w:r>
              <w:t>1</w:t>
            </w:r>
          </w:p>
        </w:tc>
        <w:tc>
          <w:tcPr>
            <w:tcW w:w="1405" w:type="pct"/>
            <w:tcBorders>
              <w:bottom w:val="single" w:sz="12" w:space="0" w:color="000000"/>
            </w:tcBorders>
            <w:shd w:val="clear" w:color="auto" w:fill="auto"/>
          </w:tcPr>
          <w:p w14:paraId="03F59E2A" w14:textId="49C3C596" w:rsidR="00561CE3" w:rsidRPr="00561CE3" w:rsidRDefault="00EB38E1" w:rsidP="004C6E6D">
            <w:pPr>
              <w:pStyle w:val="TableText"/>
              <w:tabs>
                <w:tab w:val="decimal" w:pos="1308"/>
              </w:tabs>
            </w:pPr>
            <w:r w:rsidRPr="00561CE3">
              <w:t>25</w:t>
            </w:r>
            <w:r w:rsidR="00E90DDE">
              <w:rPr>
                <w:rStyle w:val="Strong"/>
                <w:vertAlign w:val="superscript"/>
              </w:rPr>
              <w:t>c</w:t>
            </w:r>
          </w:p>
        </w:tc>
      </w:tr>
    </w:tbl>
    <w:p w14:paraId="03F59E2C" w14:textId="77777777" w:rsidR="00E90DDE" w:rsidRPr="00E90DDE" w:rsidRDefault="00EB38E1" w:rsidP="00C1087A">
      <w:pPr>
        <w:pStyle w:val="FigureTableNoteSource"/>
      </w:pPr>
      <w:r>
        <w:rPr>
          <w:rStyle w:val="Strong"/>
        </w:rPr>
        <w:t xml:space="preserve">a </w:t>
      </w:r>
      <w:proofErr w:type="gramStart"/>
      <w:r>
        <w:t>B</w:t>
      </w:r>
      <w:r w:rsidRPr="00E90DDE">
        <w:t>ased on</w:t>
      </w:r>
      <w:proofErr w:type="gramEnd"/>
      <w:r w:rsidRPr="00E90DDE">
        <w:t xml:space="preserve"> NRC (2005) assumed maximum intake of nitrate in feed</w:t>
      </w:r>
      <w:r>
        <w:t>.</w:t>
      </w:r>
    </w:p>
    <w:p w14:paraId="03F59E2D" w14:textId="767FE7F3" w:rsidR="00561CE3" w:rsidRDefault="00EB38E1" w:rsidP="00C1087A">
      <w:pPr>
        <w:pStyle w:val="FigureTableNoteSource"/>
      </w:pPr>
      <w:r>
        <w:rPr>
          <w:rStyle w:val="Strong"/>
        </w:rPr>
        <w:t>b</w:t>
      </w:r>
      <w:r>
        <w:t xml:space="preserve"> No safety factor was included in th</w:t>
      </w:r>
      <w:r w:rsidR="008D20A9">
        <w:t>e</w:t>
      </w:r>
      <w:r>
        <w:t>s</w:t>
      </w:r>
      <w:r w:rsidR="008D20A9">
        <w:t>e</w:t>
      </w:r>
      <w:r>
        <w:t xml:space="preserve"> calculation</w:t>
      </w:r>
      <w:r w:rsidR="008D20A9">
        <w:t>s</w:t>
      </w:r>
      <w:r>
        <w:t>.</w:t>
      </w:r>
    </w:p>
    <w:p w14:paraId="03F59E2E" w14:textId="77777777" w:rsidR="00561CE3" w:rsidRDefault="00EB38E1" w:rsidP="00C1087A">
      <w:pPr>
        <w:pStyle w:val="FigureTableNoteSource"/>
      </w:pPr>
      <w:r>
        <w:rPr>
          <w:rStyle w:val="Strong"/>
        </w:rPr>
        <w:t>c</w:t>
      </w:r>
      <w:r w:rsidR="002D2750">
        <w:t xml:space="preserve"> </w:t>
      </w:r>
      <w:r w:rsidR="00A4056A">
        <w:t>This value</w:t>
      </w:r>
      <w:r w:rsidR="002D2750">
        <w:t xml:space="preserve"> from Blake and Hess (2001).</w:t>
      </w:r>
    </w:p>
    <w:p w14:paraId="03F59E2F" w14:textId="77777777" w:rsidR="00DF679D" w:rsidRDefault="00EB38E1" w:rsidP="00305905">
      <w:pPr>
        <w:spacing w:after="120"/>
      </w:pPr>
      <w:r>
        <w:t>NRC (1974) provides the following information about concentrations in cattle drinking water.</w:t>
      </w:r>
    </w:p>
    <w:p w14:paraId="03F59E30" w14:textId="77777777" w:rsidR="00F0640F" w:rsidRDefault="00EB38E1" w:rsidP="00DF679D">
      <w:pPr>
        <w:pStyle w:val="ListBullet"/>
        <w:rPr>
          <w:lang w:eastAsia="ja-JP"/>
        </w:rPr>
      </w:pPr>
      <w:r>
        <w:rPr>
          <w:lang w:eastAsia="ja-JP"/>
        </w:rPr>
        <w:t xml:space="preserve">Concentrations of </w:t>
      </w:r>
      <w:r w:rsidR="003A1120">
        <w:rPr>
          <w:lang w:eastAsia="ja-JP"/>
        </w:rPr>
        <w:t>&lt;</w:t>
      </w:r>
      <w:r>
        <w:rPr>
          <w:lang w:eastAsia="ja-JP"/>
        </w:rPr>
        <w:t>10 mg/L of n</w:t>
      </w:r>
      <w:r w:rsidR="00B55C07">
        <w:rPr>
          <w:lang w:eastAsia="ja-JP"/>
        </w:rPr>
        <w:t>itrate as nitrogen (</w:t>
      </w:r>
      <w:proofErr w:type="gramStart"/>
      <w:r w:rsidR="00B55C07">
        <w:rPr>
          <w:lang w:eastAsia="ja-JP"/>
        </w:rPr>
        <w:t>i.e.</w:t>
      </w:r>
      <w:proofErr w:type="gramEnd"/>
      <w:r w:rsidR="00B55C07">
        <w:rPr>
          <w:lang w:eastAsia="ja-JP"/>
        </w:rPr>
        <w:t xml:space="preserve"> nitrate</w:t>
      </w:r>
      <w:r w:rsidR="008C79CE">
        <w:rPr>
          <w:lang w:eastAsia="ja-JP"/>
        </w:rPr>
        <w:t>-</w:t>
      </w:r>
      <w:r w:rsidR="00B55C07">
        <w:rPr>
          <w:lang w:eastAsia="ja-JP"/>
        </w:rPr>
        <w:t xml:space="preserve">N) or </w:t>
      </w:r>
      <w:r w:rsidR="003A1120">
        <w:rPr>
          <w:lang w:eastAsia="ja-JP"/>
        </w:rPr>
        <w:t>&lt;</w:t>
      </w:r>
      <w:r w:rsidR="00B55C07">
        <w:rPr>
          <w:lang w:eastAsia="ja-JP"/>
        </w:rPr>
        <w:t>44</w:t>
      </w:r>
      <w:r w:rsidR="00DC09A8">
        <w:rPr>
          <w:lang w:eastAsia="ja-JP"/>
        </w:rPr>
        <w:t> </w:t>
      </w:r>
      <w:r w:rsidR="00B55C07">
        <w:rPr>
          <w:lang w:eastAsia="ja-JP"/>
        </w:rPr>
        <w:t xml:space="preserve">mg/L </w:t>
      </w:r>
      <w:r w:rsidR="003A1120">
        <w:rPr>
          <w:lang w:eastAsia="ja-JP"/>
        </w:rPr>
        <w:t xml:space="preserve">of </w:t>
      </w:r>
      <w:r w:rsidR="00B55C07">
        <w:rPr>
          <w:lang w:eastAsia="ja-JP"/>
        </w:rPr>
        <w:t>nitrate (NO</w:t>
      </w:r>
      <w:r w:rsidR="00B55C07" w:rsidRPr="00B731DB">
        <w:rPr>
          <w:vertAlign w:val="subscript"/>
          <w:lang w:eastAsia="ja-JP"/>
        </w:rPr>
        <w:t>3</w:t>
      </w:r>
      <w:r w:rsidR="00B55C07">
        <w:rPr>
          <w:lang w:eastAsia="ja-JP"/>
        </w:rPr>
        <w:t>) are generally considered safe</w:t>
      </w:r>
      <w:r>
        <w:rPr>
          <w:lang w:eastAsia="ja-JP"/>
        </w:rPr>
        <w:t>.</w:t>
      </w:r>
    </w:p>
    <w:p w14:paraId="03F59E31" w14:textId="77777777" w:rsidR="00F0640F" w:rsidRDefault="00EB38E1" w:rsidP="00DF679D">
      <w:pPr>
        <w:pStyle w:val="ListBullet"/>
        <w:rPr>
          <w:lang w:eastAsia="ja-JP"/>
        </w:rPr>
      </w:pPr>
      <w:r>
        <w:rPr>
          <w:lang w:eastAsia="ja-JP"/>
        </w:rPr>
        <w:t>Concentrations of</w:t>
      </w:r>
      <w:r w:rsidR="00B55C07">
        <w:rPr>
          <w:lang w:eastAsia="ja-JP"/>
        </w:rPr>
        <w:t xml:space="preserve"> 10</w:t>
      </w:r>
      <w:r>
        <w:rPr>
          <w:lang w:eastAsia="ja-JP"/>
        </w:rPr>
        <w:t>–</w:t>
      </w:r>
      <w:r w:rsidR="00B55C07">
        <w:rPr>
          <w:lang w:eastAsia="ja-JP"/>
        </w:rPr>
        <w:t>100</w:t>
      </w:r>
      <w:r w:rsidR="00DC09A8">
        <w:rPr>
          <w:lang w:eastAsia="ja-JP"/>
        </w:rPr>
        <w:t> </w:t>
      </w:r>
      <w:r w:rsidR="00B55C07">
        <w:rPr>
          <w:lang w:eastAsia="ja-JP"/>
        </w:rPr>
        <w:t xml:space="preserve">mg/L </w:t>
      </w:r>
      <w:r>
        <w:rPr>
          <w:lang w:eastAsia="ja-JP"/>
        </w:rPr>
        <w:t>(nitrate-N) or 44–443 mg/L (NO</w:t>
      </w:r>
      <w:r>
        <w:rPr>
          <w:vertAlign w:val="subscript"/>
          <w:lang w:eastAsia="ja-JP"/>
        </w:rPr>
        <w:t>3</w:t>
      </w:r>
      <w:r>
        <w:rPr>
          <w:lang w:eastAsia="ja-JP"/>
        </w:rPr>
        <w:t xml:space="preserve">) </w:t>
      </w:r>
      <w:r w:rsidR="00B55C07">
        <w:rPr>
          <w:lang w:eastAsia="ja-JP"/>
        </w:rPr>
        <w:t>are questionable</w:t>
      </w:r>
      <w:r>
        <w:rPr>
          <w:lang w:eastAsia="ja-JP"/>
        </w:rPr>
        <w:t>.</w:t>
      </w:r>
    </w:p>
    <w:p w14:paraId="03F59E32" w14:textId="77777777" w:rsidR="00DF679D" w:rsidRDefault="00EB38E1" w:rsidP="00FD2341">
      <w:pPr>
        <w:pStyle w:val="ListBullet"/>
        <w:spacing w:after="240"/>
        <w:rPr>
          <w:lang w:eastAsia="ja-JP"/>
        </w:rPr>
      </w:pPr>
      <w:r>
        <w:rPr>
          <w:lang w:eastAsia="ja-JP"/>
        </w:rPr>
        <w:t>Concentrations of &gt;</w:t>
      </w:r>
      <w:r w:rsidR="00B55C07">
        <w:rPr>
          <w:lang w:eastAsia="ja-JP"/>
        </w:rPr>
        <w:t>100</w:t>
      </w:r>
      <w:r w:rsidR="00321B1F">
        <w:rPr>
          <w:lang w:eastAsia="ja-JP"/>
        </w:rPr>
        <w:t> </w:t>
      </w:r>
      <w:r w:rsidR="00B55C07">
        <w:rPr>
          <w:lang w:eastAsia="ja-JP"/>
        </w:rPr>
        <w:t xml:space="preserve">mg/L </w:t>
      </w:r>
      <w:r w:rsidR="00A7553C">
        <w:rPr>
          <w:lang w:eastAsia="ja-JP"/>
        </w:rPr>
        <w:t>(</w:t>
      </w:r>
      <w:proofErr w:type="gramStart"/>
      <w:r w:rsidR="00A7553C">
        <w:rPr>
          <w:lang w:eastAsia="ja-JP"/>
        </w:rPr>
        <w:t>nitrate-N</w:t>
      </w:r>
      <w:proofErr w:type="gramEnd"/>
      <w:r w:rsidR="00A7553C">
        <w:rPr>
          <w:lang w:eastAsia="ja-JP"/>
        </w:rPr>
        <w:t xml:space="preserve">) or </w:t>
      </w:r>
      <w:r w:rsidR="00B55C07">
        <w:rPr>
          <w:lang w:eastAsia="ja-JP"/>
        </w:rPr>
        <w:t>443</w:t>
      </w:r>
      <w:r w:rsidR="00321B1F">
        <w:rPr>
          <w:lang w:eastAsia="ja-JP"/>
        </w:rPr>
        <w:t> </w:t>
      </w:r>
      <w:r w:rsidR="00B55C07">
        <w:rPr>
          <w:lang w:eastAsia="ja-JP"/>
        </w:rPr>
        <w:t xml:space="preserve">mg/L </w:t>
      </w:r>
      <w:r w:rsidR="00A7553C">
        <w:rPr>
          <w:lang w:eastAsia="ja-JP"/>
        </w:rPr>
        <w:t>(</w:t>
      </w:r>
      <w:r w:rsidR="00B55C07">
        <w:rPr>
          <w:lang w:eastAsia="ja-JP"/>
        </w:rPr>
        <w:t>NO</w:t>
      </w:r>
      <w:r w:rsidR="00B55C07" w:rsidRPr="00B731DB">
        <w:rPr>
          <w:vertAlign w:val="subscript"/>
          <w:lang w:eastAsia="ja-JP"/>
        </w:rPr>
        <w:t>3</w:t>
      </w:r>
      <w:r w:rsidR="00B55C07">
        <w:rPr>
          <w:lang w:eastAsia="ja-JP"/>
        </w:rPr>
        <w:t>) are generally considered unsafe.</w:t>
      </w:r>
    </w:p>
    <w:p w14:paraId="03F59E33" w14:textId="0D1CD4C6" w:rsidR="00B55C07" w:rsidRDefault="00EB38E1" w:rsidP="00C1087A">
      <w:r>
        <w:t>A target water quality range of 0–100</w:t>
      </w:r>
      <w:r w:rsidR="00321B1F">
        <w:t> </w:t>
      </w:r>
      <w:r>
        <w:t>mg/L of nitrate is supported by the South African Livestock Drinking Water guidelines (</w:t>
      </w:r>
      <w:r w:rsidRPr="004415D2">
        <w:t>DWAF 1996).</w:t>
      </w:r>
      <w:r w:rsidR="004469EB">
        <w:t xml:space="preserve"> </w:t>
      </w:r>
      <w:r w:rsidR="006D4E4B">
        <w:t>Canada has set a guideline value of 100 mg/L</w:t>
      </w:r>
      <w:r w:rsidR="00203E9A">
        <w:t xml:space="preserve"> for nitrate and </w:t>
      </w:r>
      <w:r w:rsidR="00DD680B">
        <w:t xml:space="preserve">10 mg/L for </w:t>
      </w:r>
      <w:r w:rsidR="00203E9A">
        <w:t xml:space="preserve">nitrite (CCME 2005). </w:t>
      </w:r>
      <w:r w:rsidR="004469EB">
        <w:t>Agriculture Victoria (2023) recommends a maximum level of 1,500 mg/L of nitrate for water in stock containment areas.</w:t>
      </w:r>
    </w:p>
    <w:p w14:paraId="03F59E34" w14:textId="77777777" w:rsidR="00561CE3" w:rsidRDefault="00EB38E1" w:rsidP="00C1087A">
      <w:r>
        <w:t xml:space="preserve">Concentrations higher than 200 mg/L may be toxic to </w:t>
      </w:r>
      <w:proofErr w:type="spellStart"/>
      <w:r>
        <w:t>monogastrics</w:t>
      </w:r>
      <w:proofErr w:type="spellEnd"/>
      <w:r>
        <w:t xml:space="preserve">, and concentrations &gt;400 mg/L increase the potential for adverse effects for ruminants. </w:t>
      </w:r>
      <w:r w:rsidR="002D2750">
        <w:t xml:space="preserve">Nitrate </w:t>
      </w:r>
      <w:r w:rsidR="00145421">
        <w:t>concentration</w:t>
      </w:r>
      <w:r w:rsidR="00A45260">
        <w:t>s</w:t>
      </w:r>
      <w:r w:rsidR="003B6F76">
        <w:t xml:space="preserve"> of</w:t>
      </w:r>
      <w:r w:rsidR="00145421">
        <w:t xml:space="preserve"> </w:t>
      </w:r>
      <w:r w:rsidR="003B6F76">
        <w:t xml:space="preserve">100–200 mg/L for </w:t>
      </w:r>
      <w:proofErr w:type="spellStart"/>
      <w:r w:rsidR="003B6F76">
        <w:t>monogastrics</w:t>
      </w:r>
      <w:proofErr w:type="spellEnd"/>
      <w:r w:rsidR="003B6F76">
        <w:t xml:space="preserve"> and 200–400 mg/L for ruminants </w:t>
      </w:r>
      <w:r w:rsidR="002D2750">
        <w:t>may have toxic effects on pregnant livestock</w:t>
      </w:r>
      <w:r w:rsidR="003B6F76">
        <w:t>.</w:t>
      </w:r>
      <w:r w:rsidR="002D2750">
        <w:t xml:space="preserve"> For non-pregnant animals</w:t>
      </w:r>
      <w:r w:rsidR="00145421">
        <w:t>,</w:t>
      </w:r>
      <w:r w:rsidR="002D2750">
        <w:t xml:space="preserve"> these ranges may be tolerated. </w:t>
      </w:r>
      <w:r w:rsidR="00A45260">
        <w:t xml:space="preserve">In the </w:t>
      </w:r>
      <w:r w:rsidR="003B6F76">
        <w:t>United States</w:t>
      </w:r>
      <w:r w:rsidR="00A45260">
        <w:t>, NRC</w:t>
      </w:r>
      <w:r w:rsidR="002D2750">
        <w:t xml:space="preserve"> (1974) set a range of </w:t>
      </w:r>
      <w:r w:rsidR="002D2750">
        <w:lastRenderedPageBreak/>
        <w:t>221</w:t>
      </w:r>
      <w:r w:rsidR="00321B1F">
        <w:t>–</w:t>
      </w:r>
      <w:r w:rsidR="002D2750">
        <w:t>660</w:t>
      </w:r>
      <w:r w:rsidR="00321B1F">
        <w:t> </w:t>
      </w:r>
      <w:r w:rsidR="002D2750">
        <w:t xml:space="preserve">mg/L of nitrate for risk and death to cattle. The calculated guideline values are in the lower part of </w:t>
      </w:r>
      <w:r w:rsidR="00A45260">
        <w:t xml:space="preserve">this </w:t>
      </w:r>
      <w:r w:rsidR="002D2750">
        <w:t>range for ruminants.</w:t>
      </w:r>
    </w:p>
    <w:p w14:paraId="03F59E35" w14:textId="5DDD6CA3" w:rsidR="00BF3282" w:rsidRDefault="00441154" w:rsidP="000C6B83">
      <w:pPr>
        <w:pStyle w:val="Heading4"/>
        <w:rPr>
          <w:lang w:eastAsia="ja-JP"/>
        </w:rPr>
      </w:pPr>
      <w:bookmarkStart w:id="193" w:name="_Toc134441367"/>
      <w:bookmarkStart w:id="194" w:name="_Toc134441781"/>
      <w:bookmarkStart w:id="195" w:name="_Toc134442302"/>
      <w:bookmarkStart w:id="196" w:name="_Toc134442513"/>
      <w:bookmarkStart w:id="197" w:name="_Toc134441368"/>
      <w:bookmarkStart w:id="198" w:name="_Toc134441782"/>
      <w:bookmarkStart w:id="199" w:name="_Toc134442303"/>
      <w:bookmarkStart w:id="200" w:name="_Toc134442514"/>
      <w:bookmarkStart w:id="201" w:name="_Toc134442304"/>
      <w:bookmarkStart w:id="202" w:name="_Toc141704560"/>
      <w:bookmarkEnd w:id="193"/>
      <w:bookmarkEnd w:id="194"/>
      <w:bookmarkEnd w:id="195"/>
      <w:bookmarkEnd w:id="196"/>
      <w:bookmarkEnd w:id="197"/>
      <w:bookmarkEnd w:id="198"/>
      <w:bookmarkEnd w:id="199"/>
      <w:bookmarkEnd w:id="200"/>
      <w:r>
        <w:rPr>
          <w:lang w:eastAsia="ja-JP"/>
        </w:rPr>
        <w:t>3.2.4</w:t>
      </w:r>
      <w:r>
        <w:rPr>
          <w:lang w:eastAsia="ja-JP"/>
        </w:rPr>
        <w:tab/>
      </w:r>
      <w:proofErr w:type="spellStart"/>
      <w:r w:rsidR="00EB38E1">
        <w:rPr>
          <w:lang w:eastAsia="ja-JP"/>
        </w:rPr>
        <w:t>Sulfate</w:t>
      </w:r>
      <w:bookmarkEnd w:id="201"/>
      <w:bookmarkEnd w:id="202"/>
      <w:proofErr w:type="spellEnd"/>
    </w:p>
    <w:p w14:paraId="03F59E36" w14:textId="77777777" w:rsidR="00AB3E54" w:rsidRDefault="00EB38E1" w:rsidP="00C1087A">
      <w:pPr>
        <w:pStyle w:val="Sectionkeypoints"/>
      </w:pPr>
      <w:bookmarkStart w:id="203" w:name="_Hlk135129235"/>
      <w:proofErr w:type="spellStart"/>
      <w:r>
        <w:t>S</w:t>
      </w:r>
      <w:r w:rsidR="002D2750">
        <w:t>ulfate</w:t>
      </w:r>
      <w:proofErr w:type="spellEnd"/>
      <w:r w:rsidR="002D2750">
        <w:t xml:space="preserve"> (measured as SO</w:t>
      </w:r>
      <w:r w:rsidR="002D2750" w:rsidRPr="00294085">
        <w:rPr>
          <w:vertAlign w:val="subscript"/>
        </w:rPr>
        <w:t>4</w:t>
      </w:r>
      <w:r w:rsidR="002D2750">
        <w:t>) concentration</w:t>
      </w:r>
      <w:r>
        <w:t xml:space="preserve">s </w:t>
      </w:r>
      <w:r>
        <w:rPr>
          <w:rFonts w:cstheme="minorHAnsi"/>
        </w:rPr>
        <w:t>&lt;</w:t>
      </w:r>
      <w:r>
        <w:t xml:space="preserve">500 mg/L </w:t>
      </w:r>
      <w:r w:rsidR="002D2750">
        <w:t xml:space="preserve">in livestock drinking water </w:t>
      </w:r>
      <w:r>
        <w:t xml:space="preserve">should not be harmful to animal health. </w:t>
      </w:r>
      <w:bookmarkEnd w:id="203"/>
      <w:r w:rsidR="002D2750">
        <w:t>The exception to this is poultry, where 250</w:t>
      </w:r>
      <w:r w:rsidR="003701D9">
        <w:t> </w:t>
      </w:r>
      <w:r w:rsidR="002D2750">
        <w:t xml:space="preserve">mg/L of </w:t>
      </w:r>
      <w:proofErr w:type="spellStart"/>
      <w:r w:rsidR="002D2750">
        <w:t>sulfate</w:t>
      </w:r>
      <w:proofErr w:type="spellEnd"/>
      <w:r w:rsidR="002D2750">
        <w:t xml:space="preserve"> in drinking water is the maximum concentration.</w:t>
      </w:r>
    </w:p>
    <w:p w14:paraId="03F59E37" w14:textId="77777777" w:rsidR="00C812A6" w:rsidRDefault="00EB38E1" w:rsidP="00C1087A">
      <w:pPr>
        <w:pStyle w:val="Sectionkeypoints"/>
      </w:pPr>
      <w:r>
        <w:t xml:space="preserve">For </w:t>
      </w:r>
      <w:r w:rsidR="0091419E">
        <w:t>cattle</w:t>
      </w:r>
      <w:r>
        <w:t>, a</w:t>
      </w:r>
      <w:r w:rsidR="002D2750">
        <w:t xml:space="preserve">dverse effects may occur at </w:t>
      </w:r>
      <w:proofErr w:type="spellStart"/>
      <w:r w:rsidR="002D2750">
        <w:t>sulfate</w:t>
      </w:r>
      <w:proofErr w:type="spellEnd"/>
      <w:r w:rsidR="002D2750">
        <w:t xml:space="preserve"> concentrations &gt;500</w:t>
      </w:r>
      <w:r w:rsidR="003701D9">
        <w:t> </w:t>
      </w:r>
      <w:r w:rsidR="002D2750">
        <w:t xml:space="preserve">mg/L, especially in feedlot, young or lactating animals or in dry, hot weather when water intake is high. These effects may be temporary and may cease once stock become accustomed to the water. </w:t>
      </w:r>
      <w:r w:rsidR="0091419E">
        <w:t xml:space="preserve">Chronic exposure effects seem to start at </w:t>
      </w:r>
      <w:proofErr w:type="spellStart"/>
      <w:r w:rsidR="0091419E">
        <w:t>s</w:t>
      </w:r>
      <w:r w:rsidR="002D2750">
        <w:t>ulfate</w:t>
      </w:r>
      <w:proofErr w:type="spellEnd"/>
      <w:r w:rsidR="002D2750">
        <w:t xml:space="preserve"> concentrations of 1</w:t>
      </w:r>
      <w:r>
        <w:t>,</w:t>
      </w:r>
      <w:r w:rsidR="002D2750">
        <w:t>000 mg/L</w:t>
      </w:r>
      <w:r w:rsidR="0091419E">
        <w:t xml:space="preserve">. </w:t>
      </w:r>
      <w:r w:rsidR="00BF3282">
        <w:t xml:space="preserve">Chronic or acute health problems are expected at </w:t>
      </w:r>
      <w:r w:rsidR="002D2750">
        <w:t>concentrations</w:t>
      </w:r>
      <w:r w:rsidR="00BF3282">
        <w:t xml:space="preserve"> of </w:t>
      </w:r>
      <w:r>
        <w:t>1,</w:t>
      </w:r>
      <w:r w:rsidR="00BF3282">
        <w:t>500–</w:t>
      </w:r>
      <w:r>
        <w:t>2,</w:t>
      </w:r>
      <w:r w:rsidR="00BF3282">
        <w:t>000</w:t>
      </w:r>
      <w:r w:rsidR="003701D9">
        <w:t> </w:t>
      </w:r>
      <w:r w:rsidR="00BF3282">
        <w:t>mg/L</w:t>
      </w:r>
      <w:r w:rsidR="002D2750">
        <w:t>,</w:t>
      </w:r>
      <w:r w:rsidR="00BF3282">
        <w:t xml:space="preserve"> and adverse acute effects </w:t>
      </w:r>
      <w:r w:rsidR="002D2750">
        <w:t xml:space="preserve">are expected </w:t>
      </w:r>
      <w:r w:rsidR="0091419E">
        <w:t xml:space="preserve">at </w:t>
      </w:r>
      <w:r>
        <w:rPr>
          <w:rFonts w:cstheme="minorHAnsi"/>
        </w:rPr>
        <w:t>&gt;</w:t>
      </w:r>
      <w:r w:rsidR="00BF3282">
        <w:t>2</w:t>
      </w:r>
      <w:r>
        <w:t>,</w:t>
      </w:r>
      <w:r w:rsidR="00BF3282">
        <w:t>000</w:t>
      </w:r>
      <w:r w:rsidR="003701D9">
        <w:t> </w:t>
      </w:r>
      <w:r w:rsidR="00BF3282">
        <w:t>mg/L.</w:t>
      </w:r>
    </w:p>
    <w:p w14:paraId="03F59E38" w14:textId="77777777" w:rsidR="00BF3282" w:rsidRDefault="00EB38E1" w:rsidP="00C1087A">
      <w:pPr>
        <w:pStyle w:val="Sectionkeypoints"/>
      </w:pPr>
      <w:r>
        <w:t xml:space="preserve">Pigs appear to tolerate higher </w:t>
      </w:r>
      <w:proofErr w:type="spellStart"/>
      <w:r>
        <w:t>sulfate</w:t>
      </w:r>
      <w:proofErr w:type="spellEnd"/>
      <w:r>
        <w:t xml:space="preserve"> concentrations (</w:t>
      </w:r>
      <w:r w:rsidR="0091419E">
        <w:t>2,</w:t>
      </w:r>
      <w:r>
        <w:t>650</w:t>
      </w:r>
      <w:r w:rsidR="003701D9">
        <w:t> </w:t>
      </w:r>
      <w:r>
        <w:t>mg/L).</w:t>
      </w:r>
    </w:p>
    <w:p w14:paraId="03F59E39" w14:textId="77777777" w:rsidR="00BF3282" w:rsidRDefault="00EB38E1" w:rsidP="000C6B83">
      <w:pPr>
        <w:pStyle w:val="Heading5"/>
        <w:rPr>
          <w:lang w:eastAsia="ja-JP"/>
        </w:rPr>
      </w:pPr>
      <w:bookmarkStart w:id="204" w:name="_Toc134441371"/>
      <w:bookmarkStart w:id="205" w:name="_Toc134441372"/>
      <w:bookmarkEnd w:id="204"/>
      <w:bookmarkEnd w:id="205"/>
      <w:r>
        <w:rPr>
          <w:lang w:eastAsia="ja-JP"/>
        </w:rPr>
        <w:t>Source</w:t>
      </w:r>
    </w:p>
    <w:p w14:paraId="03F59E3A" w14:textId="77777777" w:rsidR="00BF3282" w:rsidRDefault="00EB38E1" w:rsidP="00C1087A">
      <w:proofErr w:type="spellStart"/>
      <w:r>
        <w:t>Sulfate</w:t>
      </w:r>
      <w:proofErr w:type="spellEnd"/>
      <w:r>
        <w:t xml:space="preserve"> is found in most natural waters in the form of calcium, iron, </w:t>
      </w:r>
      <w:proofErr w:type="gramStart"/>
      <w:r>
        <w:t>magnesium</w:t>
      </w:r>
      <w:proofErr w:type="gramEnd"/>
      <w:r>
        <w:t xml:space="preserve"> and sodium salts as a result of the dissolution of </w:t>
      </w:r>
      <w:proofErr w:type="spellStart"/>
      <w:r>
        <w:t>sulfate</w:t>
      </w:r>
      <w:proofErr w:type="spellEnd"/>
      <w:r>
        <w:t xml:space="preserve">-bearing minerals in soils and rocks. </w:t>
      </w:r>
      <w:proofErr w:type="spellStart"/>
      <w:r>
        <w:t>Sulfate</w:t>
      </w:r>
      <w:proofErr w:type="spellEnd"/>
      <w:r>
        <w:t xml:space="preserve"> can occur naturally at concentrations up to thousands of milligrams per litre, particularly in groundwater. Domestic and industrial wastewater such as treated sewage effluent and mine contaminated water can contain high concentrations of </w:t>
      </w:r>
      <w:proofErr w:type="spellStart"/>
      <w:r>
        <w:t>sulfate</w:t>
      </w:r>
      <w:proofErr w:type="spellEnd"/>
      <w:r>
        <w:t xml:space="preserve">. Tannery wastes and other industrial discharges also contain high concentrations of </w:t>
      </w:r>
      <w:proofErr w:type="spellStart"/>
      <w:r>
        <w:t>sulfate</w:t>
      </w:r>
      <w:proofErr w:type="spellEnd"/>
      <w:r>
        <w:t xml:space="preserve">, </w:t>
      </w:r>
      <w:r w:rsidR="00D320CB">
        <w:t>and</w:t>
      </w:r>
      <w:r>
        <w:t xml:space="preserve"> the use of alum (usually a hydrated double </w:t>
      </w:r>
      <w:proofErr w:type="spellStart"/>
      <w:r>
        <w:t>sulfate</w:t>
      </w:r>
      <w:proofErr w:type="spellEnd"/>
      <w:r>
        <w:t xml:space="preserve"> salt of aluminium) as a flocculant may increase the </w:t>
      </w:r>
      <w:r w:rsidR="00323AF2">
        <w:t xml:space="preserve">concentrations </w:t>
      </w:r>
      <w:r>
        <w:t xml:space="preserve">of </w:t>
      </w:r>
      <w:proofErr w:type="spellStart"/>
      <w:r>
        <w:t>sulfate</w:t>
      </w:r>
      <w:proofErr w:type="spellEnd"/>
      <w:r>
        <w:t xml:space="preserve"> in stock drinking water.</w:t>
      </w:r>
    </w:p>
    <w:p w14:paraId="03F59E3B" w14:textId="77777777" w:rsidR="00BF3282" w:rsidRDefault="00EB38E1" w:rsidP="00C1087A">
      <w:r>
        <w:t>Under anoxic conditions</w:t>
      </w:r>
      <w:r w:rsidR="00D320CB">
        <w:t>,</w:t>
      </w:r>
      <w:r>
        <w:t xml:space="preserve"> bacteria in water can reduce </w:t>
      </w:r>
      <w:proofErr w:type="spellStart"/>
      <w:r>
        <w:t>sulfate</w:t>
      </w:r>
      <w:proofErr w:type="spellEnd"/>
      <w:r>
        <w:t xml:space="preserve"> to </w:t>
      </w:r>
      <w:proofErr w:type="spellStart"/>
      <w:r>
        <w:t>sulfide</w:t>
      </w:r>
      <w:proofErr w:type="spellEnd"/>
      <w:r>
        <w:t>, which release</w:t>
      </w:r>
      <w:r w:rsidR="00D320CB">
        <w:t>s</w:t>
      </w:r>
      <w:r>
        <w:t xml:space="preserve"> hydrogen </w:t>
      </w:r>
      <w:proofErr w:type="spellStart"/>
      <w:r>
        <w:t>sulfide</w:t>
      </w:r>
      <w:proofErr w:type="spellEnd"/>
      <w:r>
        <w:t>, causing an unpleasant taste and odour and increasing the potential for corrosion of pipes and fittings.</w:t>
      </w:r>
    </w:p>
    <w:p w14:paraId="03F59E3C" w14:textId="77777777" w:rsidR="00CF7725" w:rsidRDefault="00EB38E1" w:rsidP="00C1087A">
      <w:r>
        <w:t xml:space="preserve">Note: 1 mg/L </w:t>
      </w:r>
      <w:proofErr w:type="spellStart"/>
      <w:r>
        <w:t>sulfate</w:t>
      </w:r>
      <w:proofErr w:type="spellEnd"/>
      <w:r>
        <w:t xml:space="preserve">-S = 2.99 mg/L </w:t>
      </w:r>
      <w:proofErr w:type="spellStart"/>
      <w:r>
        <w:t>sulfate</w:t>
      </w:r>
      <w:proofErr w:type="spellEnd"/>
      <w:r>
        <w:t>.</w:t>
      </w:r>
    </w:p>
    <w:p w14:paraId="03F59E3D" w14:textId="77777777" w:rsidR="00131E39" w:rsidRDefault="00EB38E1" w:rsidP="000C6B83">
      <w:pPr>
        <w:pStyle w:val="Heading5"/>
        <w:rPr>
          <w:lang w:eastAsia="ja-JP"/>
        </w:rPr>
      </w:pPr>
      <w:bookmarkStart w:id="206" w:name="_Toc134441375"/>
      <w:bookmarkEnd w:id="206"/>
      <w:r>
        <w:rPr>
          <w:lang w:eastAsia="ja-JP"/>
        </w:rPr>
        <w:t>Effects on a</w:t>
      </w:r>
      <w:r w:rsidRPr="004508FF">
        <w:rPr>
          <w:lang w:eastAsia="ja-JP"/>
        </w:rPr>
        <w:t>nimal health</w:t>
      </w:r>
    </w:p>
    <w:p w14:paraId="03F59E3E" w14:textId="77777777" w:rsidR="00BF3282" w:rsidRDefault="00EB38E1" w:rsidP="00C1087A">
      <w:proofErr w:type="spellStart"/>
      <w:r>
        <w:t>Sulfate</w:t>
      </w:r>
      <w:proofErr w:type="spellEnd"/>
      <w:r>
        <w:t xml:space="preserve"> is </w:t>
      </w:r>
      <w:r w:rsidR="00856A0A">
        <w:t xml:space="preserve">an </w:t>
      </w:r>
      <w:r>
        <w:t xml:space="preserve">essential </w:t>
      </w:r>
      <w:r w:rsidR="00856A0A">
        <w:t xml:space="preserve">element in </w:t>
      </w:r>
      <w:r>
        <w:t>animal nutrition</w:t>
      </w:r>
      <w:r w:rsidR="00856A0A">
        <w:t>, but e</w:t>
      </w:r>
      <w:r>
        <w:t xml:space="preserve">xcessive concentrations of </w:t>
      </w:r>
      <w:proofErr w:type="spellStart"/>
      <w:r>
        <w:t>sulfate</w:t>
      </w:r>
      <w:proofErr w:type="spellEnd"/>
      <w:r>
        <w:t xml:space="preserve"> in water typically cause diarrhoea in </w:t>
      </w:r>
      <w:r w:rsidR="00AE6883">
        <w:t>live</w:t>
      </w:r>
      <w:r>
        <w:t xml:space="preserve">stock. </w:t>
      </w:r>
      <w:r w:rsidR="00CF7725">
        <w:t>However, a</w:t>
      </w:r>
      <w:r>
        <w:t xml:space="preserve">nimals generally avoid water containing high </w:t>
      </w:r>
      <w:proofErr w:type="spellStart"/>
      <w:r>
        <w:t>sulfate</w:t>
      </w:r>
      <w:proofErr w:type="spellEnd"/>
      <w:r>
        <w:t xml:space="preserve"> </w:t>
      </w:r>
      <w:r w:rsidRPr="00254357">
        <w:t>concentrations in favour of water containing lower concentrations, where available (Weeth &amp; Capps 1972).</w:t>
      </w:r>
    </w:p>
    <w:p w14:paraId="03F59E40" w14:textId="1C325A05" w:rsidR="00856A0A" w:rsidRDefault="00EB38E1" w:rsidP="00C1087A">
      <w:r>
        <w:t xml:space="preserve">A </w:t>
      </w:r>
      <w:proofErr w:type="spellStart"/>
      <w:r>
        <w:t>sulfate</w:t>
      </w:r>
      <w:proofErr w:type="spellEnd"/>
      <w:r>
        <w:t xml:space="preserve"> concentration of </w:t>
      </w:r>
      <w:r w:rsidR="00E75B27">
        <w:t>1,</w:t>
      </w:r>
      <w:r>
        <w:t xml:space="preserve">000 mg/L </w:t>
      </w:r>
      <w:r w:rsidR="0091419E">
        <w:t xml:space="preserve">in drinking water </w:t>
      </w:r>
      <w:r>
        <w:t xml:space="preserve">can cause diarrhoea in young animals </w:t>
      </w:r>
      <w:r w:rsidRPr="00F91856">
        <w:t>(Church 1979).</w:t>
      </w:r>
      <w:r>
        <w:t xml:space="preserve"> Higher concentrations of </w:t>
      </w:r>
      <w:proofErr w:type="spellStart"/>
      <w:r>
        <w:t>sulfate</w:t>
      </w:r>
      <w:proofErr w:type="spellEnd"/>
      <w:r>
        <w:t xml:space="preserve"> may be tolerated, depending on the </w:t>
      </w:r>
      <w:r w:rsidR="00047D5A">
        <w:t xml:space="preserve">type and age </w:t>
      </w:r>
      <w:r>
        <w:t>of livestock</w:t>
      </w:r>
      <w:r w:rsidR="00A56D1C">
        <w:t xml:space="preserve"> </w:t>
      </w:r>
      <w:r>
        <w:t xml:space="preserve">and the principal cations associated with the </w:t>
      </w:r>
      <w:proofErr w:type="spellStart"/>
      <w:r>
        <w:t>sulfate</w:t>
      </w:r>
      <w:proofErr w:type="spellEnd"/>
      <w:r>
        <w:t xml:space="preserve"> ion, but loss of production may be expected (CCREM 1987</w:t>
      </w:r>
      <w:r w:rsidR="00CA0E9E">
        <w:t>, 2005</w:t>
      </w:r>
      <w:r>
        <w:t>).</w:t>
      </w:r>
    </w:p>
    <w:p w14:paraId="03F59E41" w14:textId="1D172B4C" w:rsidR="00856A0A" w:rsidRDefault="00F23C2E" w:rsidP="00C1087A">
      <w:r>
        <w:t xml:space="preserve">Pigs and poultry can tolerate higher levels of </w:t>
      </w:r>
      <w:proofErr w:type="spellStart"/>
      <w:r>
        <w:t>sul</w:t>
      </w:r>
      <w:r w:rsidR="005854EC">
        <w:t>f</w:t>
      </w:r>
      <w:r>
        <w:t>ate</w:t>
      </w:r>
      <w:proofErr w:type="spellEnd"/>
      <w:r>
        <w:t xml:space="preserve"> than cattle or sheep (</w:t>
      </w:r>
      <w:r w:rsidR="0060584C">
        <w:t xml:space="preserve">Olkowski 2009, </w:t>
      </w:r>
      <w:proofErr w:type="spellStart"/>
      <w:r w:rsidR="005854EC">
        <w:t>Meays</w:t>
      </w:r>
      <w:proofErr w:type="spellEnd"/>
      <w:r w:rsidR="005854EC">
        <w:t xml:space="preserve"> &amp; Nordin 2013).</w:t>
      </w:r>
      <w:r>
        <w:t xml:space="preserve"> </w:t>
      </w:r>
      <w:r w:rsidR="00EB38E1">
        <w:t xml:space="preserve">Weanling pigs showed no significant effect on performance </w:t>
      </w:r>
      <w:r w:rsidR="00402F56">
        <w:t xml:space="preserve">after </w:t>
      </w:r>
      <w:r w:rsidR="00EB38E1">
        <w:t>drinking water containing up to 2,400</w:t>
      </w:r>
      <w:r w:rsidR="00E67F29">
        <w:t> </w:t>
      </w:r>
      <w:r w:rsidR="00EB38E1">
        <w:t xml:space="preserve">mg/L </w:t>
      </w:r>
      <w:r w:rsidR="00402F56">
        <w:t xml:space="preserve">of </w:t>
      </w:r>
      <w:proofErr w:type="spellStart"/>
      <w:r w:rsidR="00EB38E1">
        <w:t>sulfate</w:t>
      </w:r>
      <w:proofErr w:type="spellEnd"/>
      <w:r w:rsidR="00EB38E1">
        <w:t xml:space="preserve"> for 20</w:t>
      </w:r>
      <w:r w:rsidR="008A45D5">
        <w:t> </w:t>
      </w:r>
      <w:r w:rsidR="00EB38E1">
        <w:t>days (although scouring was reported), but performance was reduced at 4,880</w:t>
      </w:r>
      <w:r w:rsidR="008A45D5">
        <w:t> </w:t>
      </w:r>
      <w:r w:rsidR="00EB38E1">
        <w:t xml:space="preserve">mg/L </w:t>
      </w:r>
      <w:r w:rsidR="00402F56">
        <w:t xml:space="preserve">of </w:t>
      </w:r>
      <w:proofErr w:type="spellStart"/>
      <w:r w:rsidR="00EB38E1">
        <w:t>sulfate</w:t>
      </w:r>
      <w:proofErr w:type="spellEnd"/>
      <w:r w:rsidR="00EB38E1">
        <w:t xml:space="preserve"> (</w:t>
      </w:r>
      <w:r w:rsidR="00EB38E1" w:rsidRPr="00D8408B">
        <w:t>McLeese et al. 1992).</w:t>
      </w:r>
    </w:p>
    <w:p w14:paraId="03F59E42" w14:textId="23F25B07" w:rsidR="00BF3282" w:rsidRDefault="00EB38E1" w:rsidP="00C1087A">
      <w:r>
        <w:t>I</w:t>
      </w:r>
      <w:r w:rsidR="002D2750">
        <w:t>mprovement</w:t>
      </w:r>
      <w:r>
        <w:t>s</w:t>
      </w:r>
      <w:r w:rsidR="002D2750">
        <w:t xml:space="preserve"> in </w:t>
      </w:r>
      <w:r>
        <w:t xml:space="preserve">dairy cattle </w:t>
      </w:r>
      <w:r w:rsidR="002D2750">
        <w:t xml:space="preserve">productivity and health </w:t>
      </w:r>
      <w:r>
        <w:t>were reported</w:t>
      </w:r>
      <w:r w:rsidR="002D2750">
        <w:t xml:space="preserve"> when their source of drinking water was changed from deep-well water containing </w:t>
      </w:r>
      <w:r w:rsidR="00856A0A">
        <w:t>1,</w:t>
      </w:r>
      <w:r w:rsidR="002D2750">
        <w:t>500–</w:t>
      </w:r>
      <w:r w:rsidR="00856A0A">
        <w:t>2,</w:t>
      </w:r>
      <w:r w:rsidR="002D2750">
        <w:t>500</w:t>
      </w:r>
      <w:r w:rsidR="003A4017">
        <w:t> </w:t>
      </w:r>
      <w:r w:rsidR="002D2750">
        <w:t xml:space="preserve">mg/L </w:t>
      </w:r>
      <w:r w:rsidR="006E183F">
        <w:t xml:space="preserve">of </w:t>
      </w:r>
      <w:proofErr w:type="spellStart"/>
      <w:r w:rsidR="002D2750">
        <w:t>sulfate</w:t>
      </w:r>
      <w:proofErr w:type="spellEnd"/>
      <w:r w:rsidR="002D2750">
        <w:t xml:space="preserve"> to surface water containing less than </w:t>
      </w:r>
      <w:r w:rsidR="0091419E">
        <w:t>1,</w:t>
      </w:r>
      <w:r w:rsidR="002D2750">
        <w:t>000</w:t>
      </w:r>
      <w:r w:rsidR="009149E6">
        <w:t> </w:t>
      </w:r>
      <w:r w:rsidR="002D2750">
        <w:t xml:space="preserve">mg/L </w:t>
      </w:r>
      <w:r w:rsidR="006E183F">
        <w:t xml:space="preserve">of </w:t>
      </w:r>
      <w:proofErr w:type="spellStart"/>
      <w:r w:rsidR="002D2750">
        <w:t>sulfate</w:t>
      </w:r>
      <w:proofErr w:type="spellEnd"/>
      <w:r w:rsidR="002D2750">
        <w:t xml:space="preserve"> (CCREM 1987). Hereford cattle showed decreased water and food consumption, weight loss and diuresis when consuming water containing 3</w:t>
      </w:r>
      <w:r w:rsidR="00E26535">
        <w:t>,</w:t>
      </w:r>
      <w:r w:rsidR="002D2750">
        <w:t>380</w:t>
      </w:r>
      <w:r w:rsidR="009149E6">
        <w:t> </w:t>
      </w:r>
      <w:r w:rsidR="002D2750">
        <w:t xml:space="preserve">mg/L </w:t>
      </w:r>
      <w:r>
        <w:t xml:space="preserve">of </w:t>
      </w:r>
      <w:proofErr w:type="spellStart"/>
      <w:r w:rsidR="002D2750" w:rsidRPr="00254357">
        <w:t>sulfate</w:t>
      </w:r>
      <w:proofErr w:type="spellEnd"/>
      <w:r w:rsidR="002D2750" w:rsidRPr="00254357">
        <w:t xml:space="preserve"> (Weeth &amp; Hunter 1971). Cattle</w:t>
      </w:r>
      <w:r w:rsidR="002D2750">
        <w:t xml:space="preserve"> feedlot performance declined with </w:t>
      </w:r>
      <w:proofErr w:type="spellStart"/>
      <w:r w:rsidR="002D2750">
        <w:t>sulfate</w:t>
      </w:r>
      <w:proofErr w:type="spellEnd"/>
      <w:r w:rsidR="002D2750">
        <w:t xml:space="preserve"> concentrations </w:t>
      </w:r>
      <w:r w:rsidR="002D2750">
        <w:lastRenderedPageBreak/>
        <w:t>greater than 583</w:t>
      </w:r>
      <w:r w:rsidR="009149E6">
        <w:t> </w:t>
      </w:r>
      <w:r w:rsidR="002D2750">
        <w:t>mg/L (</w:t>
      </w:r>
      <w:proofErr w:type="spellStart"/>
      <w:r w:rsidR="002D2750">
        <w:t>Loneragan</w:t>
      </w:r>
      <w:proofErr w:type="spellEnd"/>
      <w:r w:rsidR="002D2750">
        <w:t xml:space="preserve"> et al. 2001)</w:t>
      </w:r>
      <w:r w:rsidR="00891989">
        <w:t>,</w:t>
      </w:r>
      <w:r w:rsidR="002D2750">
        <w:t xml:space="preserve"> and water intake declined linearly as magnesium </w:t>
      </w:r>
      <w:proofErr w:type="spellStart"/>
      <w:r w:rsidR="002D2750">
        <w:t>sulfate</w:t>
      </w:r>
      <w:proofErr w:type="spellEnd"/>
      <w:r w:rsidR="002D2750">
        <w:t xml:space="preserve"> concentration</w:t>
      </w:r>
      <w:r w:rsidR="00891989">
        <w:t>s</w:t>
      </w:r>
      <w:r w:rsidR="002D2750">
        <w:t xml:space="preserve"> in cattle water </w:t>
      </w:r>
      <w:r w:rsidR="00891989">
        <w:t xml:space="preserve">increased </w:t>
      </w:r>
      <w:r w:rsidR="002D2750">
        <w:t xml:space="preserve">(Grout et al. 2006). However, this effect was not observed when sodium was the accompanying cation rather than </w:t>
      </w:r>
      <w:r w:rsidR="00CE09DE">
        <w:t>magnesium</w:t>
      </w:r>
      <w:r w:rsidR="002D2750">
        <w:t>. The</w:t>
      </w:r>
      <w:r w:rsidR="00395AB4">
        <w:t xml:space="preserve"> authors</w:t>
      </w:r>
      <w:r w:rsidR="002D2750">
        <w:t xml:space="preserve"> attributed the difference to the functional roles played by the </w:t>
      </w:r>
      <w:r w:rsidR="0091419E">
        <w:t xml:space="preserve">2 </w:t>
      </w:r>
      <w:r w:rsidR="002D2750">
        <w:t xml:space="preserve">cations and an aversion to consumption due to the bitter taste of the magnesium </w:t>
      </w:r>
      <w:proofErr w:type="spellStart"/>
      <w:r w:rsidR="002D2750">
        <w:t>sulfate</w:t>
      </w:r>
      <w:proofErr w:type="spellEnd"/>
      <w:r w:rsidR="002D2750">
        <w:t>. NRC (2005) recommended a limit of 600</w:t>
      </w:r>
      <w:r w:rsidR="009149E6">
        <w:t> </w:t>
      </w:r>
      <w:r w:rsidR="002D2750">
        <w:t xml:space="preserve">mg/L </w:t>
      </w:r>
      <w:r w:rsidR="00F20AD3">
        <w:t xml:space="preserve">of </w:t>
      </w:r>
      <w:proofErr w:type="spellStart"/>
      <w:r w:rsidR="00F20AD3">
        <w:t>sulfate</w:t>
      </w:r>
      <w:proofErr w:type="spellEnd"/>
      <w:r w:rsidR="00F20AD3">
        <w:t xml:space="preserve"> in drinking water </w:t>
      </w:r>
      <w:r w:rsidR="002D2750">
        <w:t xml:space="preserve">for cattle being fed </w:t>
      </w:r>
      <w:r w:rsidR="00E75B27">
        <w:t>high-</w:t>
      </w:r>
      <w:r w:rsidR="002D2750">
        <w:t>concentrate diets such as in feedlots.</w:t>
      </w:r>
    </w:p>
    <w:p w14:paraId="03F59E43" w14:textId="147A934F" w:rsidR="00BF3282" w:rsidRDefault="00EB38E1" w:rsidP="00C1087A">
      <w:r>
        <w:t xml:space="preserve">Brahman steers fed diluted coal mine pit water containing approximately </w:t>
      </w:r>
      <w:r w:rsidR="0091419E">
        <w:t>2,</w:t>
      </w:r>
      <w:r>
        <w:t>000</w:t>
      </w:r>
      <w:r w:rsidR="00E141AD">
        <w:t> </w:t>
      </w:r>
      <w:r>
        <w:t xml:space="preserve">mg/L </w:t>
      </w:r>
      <w:r w:rsidR="00EA6508">
        <w:t xml:space="preserve">of </w:t>
      </w:r>
      <w:proofErr w:type="spellStart"/>
      <w:r>
        <w:t>sulfate</w:t>
      </w:r>
      <w:proofErr w:type="spellEnd"/>
      <w:r>
        <w:t xml:space="preserve"> showed no reduction in performance over 46</w:t>
      </w:r>
      <w:r w:rsidR="00E141AD">
        <w:t> </w:t>
      </w:r>
      <w:r>
        <w:t xml:space="preserve">days when progressively adapted to the high </w:t>
      </w:r>
      <w:proofErr w:type="spellStart"/>
      <w:r>
        <w:t>sulfate</w:t>
      </w:r>
      <w:proofErr w:type="spellEnd"/>
      <w:r>
        <w:t xml:space="preserve"> concentrations under controlled experimental </w:t>
      </w:r>
      <w:r w:rsidRPr="00527BF6">
        <w:t>conditions (Robertson et al. 1996).</w:t>
      </w:r>
      <w:r>
        <w:t xml:space="preserve"> Similarly, beef steers showed no ill effects when introduced gradually to water containing </w:t>
      </w:r>
      <w:r w:rsidR="0091419E">
        <w:t>2,</w:t>
      </w:r>
      <w:r>
        <w:t>000</w:t>
      </w:r>
      <w:r w:rsidR="00E141AD">
        <w:t> </w:t>
      </w:r>
      <w:r>
        <w:t xml:space="preserve">mg/L </w:t>
      </w:r>
      <w:r w:rsidR="00C4705E">
        <w:t xml:space="preserve">of </w:t>
      </w:r>
      <w:proofErr w:type="spellStart"/>
      <w:r>
        <w:t>sulfate</w:t>
      </w:r>
      <w:proofErr w:type="spellEnd"/>
      <w:r>
        <w:t xml:space="preserve">, but </w:t>
      </w:r>
      <w:r w:rsidR="0048665A">
        <w:t xml:space="preserve">their </w:t>
      </w:r>
      <w:r>
        <w:t xml:space="preserve">water and dry matter intake reduced when exposed to drinking water containing </w:t>
      </w:r>
      <w:r w:rsidR="0091419E">
        <w:t>4,</w:t>
      </w:r>
      <w:r>
        <w:t>000</w:t>
      </w:r>
      <w:r w:rsidR="00E141AD">
        <w:t> </w:t>
      </w:r>
      <w:r>
        <w:t xml:space="preserve">mg/L </w:t>
      </w:r>
      <w:r w:rsidR="0048665A">
        <w:t xml:space="preserve">of </w:t>
      </w:r>
      <w:proofErr w:type="spellStart"/>
      <w:r w:rsidR="0048665A">
        <w:t>sulfate</w:t>
      </w:r>
      <w:proofErr w:type="spellEnd"/>
      <w:r w:rsidR="0048665A">
        <w:t xml:space="preserve"> </w:t>
      </w:r>
      <w:r>
        <w:t>(</w:t>
      </w:r>
      <w:r w:rsidRPr="00964F66">
        <w:t>Harper et al. 1997</w:t>
      </w:r>
      <w:r>
        <w:t>).</w:t>
      </w:r>
      <w:r w:rsidR="00BE44F2">
        <w:t xml:space="preserve"> </w:t>
      </w:r>
      <w:r w:rsidR="00D62027">
        <w:t xml:space="preserve">Body weight </w:t>
      </w:r>
      <w:r>
        <w:t xml:space="preserve">gains for lactating cows and their calves were significantly reduced by drinking water containing </w:t>
      </w:r>
      <w:r w:rsidR="0091419E">
        <w:t>1,</w:t>
      </w:r>
      <w:r>
        <w:t>300</w:t>
      </w:r>
      <w:r w:rsidR="00E141AD">
        <w:t> </w:t>
      </w:r>
      <w:r>
        <w:t xml:space="preserve">mg/L </w:t>
      </w:r>
      <w:r w:rsidR="0048665A">
        <w:t xml:space="preserve">of </w:t>
      </w:r>
      <w:proofErr w:type="spellStart"/>
      <w:r>
        <w:t>sulfate</w:t>
      </w:r>
      <w:proofErr w:type="spellEnd"/>
      <w:r>
        <w:t>, but not at 630</w:t>
      </w:r>
      <w:r w:rsidR="00E141AD">
        <w:t> </w:t>
      </w:r>
      <w:r>
        <w:t>mg/L (</w:t>
      </w:r>
      <w:r w:rsidR="004A4EAE">
        <w:t>Hunter</w:t>
      </w:r>
      <w:r w:rsidR="004A4EAE" w:rsidRPr="00964F66">
        <w:t xml:space="preserve"> </w:t>
      </w:r>
      <w:r w:rsidRPr="00964F66">
        <w:t xml:space="preserve">et al. </w:t>
      </w:r>
      <w:r w:rsidR="004A4EAE" w:rsidRPr="00964F66">
        <w:t>200</w:t>
      </w:r>
      <w:r w:rsidR="004A4EAE">
        <w:t>2</w:t>
      </w:r>
      <w:r w:rsidRPr="00964F66">
        <w:t>).</w:t>
      </w:r>
    </w:p>
    <w:p w14:paraId="03F59E44" w14:textId="77777777" w:rsidR="00BF3282" w:rsidRDefault="00EB38E1" w:rsidP="00C1087A">
      <w:r>
        <w:t xml:space="preserve">Very high concentrations of </w:t>
      </w:r>
      <w:proofErr w:type="spellStart"/>
      <w:r>
        <w:t>sulfate</w:t>
      </w:r>
      <w:proofErr w:type="spellEnd"/>
      <w:r>
        <w:t xml:space="preserve"> in drinking water (</w:t>
      </w:r>
      <w:r w:rsidR="00E75B27">
        <w:t>7,</w:t>
      </w:r>
      <w:r>
        <w:t>200</w:t>
      </w:r>
      <w:r w:rsidR="00C25ECA">
        <w:t> </w:t>
      </w:r>
      <w:r>
        <w:t xml:space="preserve">mg/L) have been associated with an outbreak of </w:t>
      </w:r>
      <w:proofErr w:type="spellStart"/>
      <w:r>
        <w:t>polioencephalomalacia</w:t>
      </w:r>
      <w:proofErr w:type="spellEnd"/>
      <w:r>
        <w:t xml:space="preserve"> in cattle, with symptoms including depression, ataxia, cortical blindness, </w:t>
      </w:r>
      <w:proofErr w:type="gramStart"/>
      <w:r>
        <w:t>dysphagia</w:t>
      </w:r>
      <w:proofErr w:type="gramEnd"/>
      <w:r>
        <w:t xml:space="preserve"> and death (</w:t>
      </w:r>
      <w:r w:rsidRPr="001C405C">
        <w:t>Hamlen et al. 1993)</w:t>
      </w:r>
      <w:r w:rsidR="0091419E" w:rsidRPr="001C405C">
        <w:t>.</w:t>
      </w:r>
    </w:p>
    <w:p w14:paraId="03F59E45" w14:textId="77777777" w:rsidR="00AD38A0" w:rsidRPr="00AD38A0" w:rsidRDefault="00EB38E1" w:rsidP="000C6B83">
      <w:pPr>
        <w:pStyle w:val="Heading5"/>
        <w:rPr>
          <w:lang w:eastAsia="ja-JP"/>
        </w:rPr>
      </w:pPr>
      <w:r w:rsidRPr="00AD38A0">
        <w:rPr>
          <w:lang w:eastAsia="ja-JP"/>
        </w:rPr>
        <w:t>Derivation of guideline values</w:t>
      </w:r>
    </w:p>
    <w:p w14:paraId="32FFE25D" w14:textId="77777777" w:rsidR="00A06D1C" w:rsidRDefault="00A06D1C" w:rsidP="00A06D1C">
      <w:r>
        <w:t xml:space="preserve">The NRC (2005) recommendation for total dietary </w:t>
      </w:r>
      <w:proofErr w:type="spellStart"/>
      <w:r>
        <w:t>sulfur</w:t>
      </w:r>
      <w:proofErr w:type="spellEnd"/>
      <w:r>
        <w:t xml:space="preserve"> intake is between 0.3% and 0.5% for various species. This value is determined given the potential for </w:t>
      </w:r>
      <w:proofErr w:type="spellStart"/>
      <w:r>
        <w:t>sulfur</w:t>
      </w:r>
      <w:proofErr w:type="spellEnd"/>
      <w:r>
        <w:t xml:space="preserve"> to be toxic to animals, and notes that many animals are exposed to </w:t>
      </w:r>
      <w:proofErr w:type="spellStart"/>
      <w:r>
        <w:t>sulfate</w:t>
      </w:r>
      <w:proofErr w:type="spellEnd"/>
      <w:r>
        <w:t xml:space="preserve"> in water as opposed to food.</w:t>
      </w:r>
    </w:p>
    <w:p w14:paraId="03F59E46" w14:textId="239AD7DD" w:rsidR="00BF3282" w:rsidRDefault="00EB38E1" w:rsidP="00C1087A">
      <w:r>
        <w:t xml:space="preserve">The NRC (2005) maximum tolerable </w:t>
      </w:r>
      <w:proofErr w:type="spellStart"/>
      <w:r>
        <w:t>sulfur</w:t>
      </w:r>
      <w:proofErr w:type="spellEnd"/>
      <w:r>
        <w:t xml:space="preserve"> </w:t>
      </w:r>
      <w:r w:rsidR="00A9588C">
        <w:t xml:space="preserve">concentrations </w:t>
      </w:r>
      <w:r>
        <w:t xml:space="preserve">were used to calculate indicative guideline values using </w:t>
      </w:r>
      <w:r w:rsidR="00A9588C">
        <w:t xml:space="preserve">the </w:t>
      </w:r>
      <w:r w:rsidR="00DC4DFE">
        <w:t>Equation</w:t>
      </w:r>
      <w:r w:rsidR="003B1CB7">
        <w:t> </w:t>
      </w:r>
      <w:r w:rsidR="00DC4DFE">
        <w:t>3.2.</w:t>
      </w:r>
      <w:r>
        <w:t xml:space="preserve"> T</w:t>
      </w:r>
      <w:r w:rsidR="00A9588C">
        <w:t>he calculated guideline values are shown in</w:t>
      </w:r>
      <w:r w:rsidR="00257B02">
        <w:t xml:space="preserve"> Table</w:t>
      </w:r>
      <w:r w:rsidR="00E75B27">
        <w:t> </w:t>
      </w:r>
      <w:r w:rsidR="00257B02">
        <w:t>3.</w:t>
      </w:r>
      <w:r w:rsidR="006F2FF0">
        <w:t>7</w:t>
      </w:r>
      <w:r>
        <w:t>.</w:t>
      </w:r>
    </w:p>
    <w:p w14:paraId="03F59E47" w14:textId="78123DA5" w:rsidR="00B731DB" w:rsidRPr="00FD2341" w:rsidRDefault="00EB38E1" w:rsidP="00DF778F">
      <w:pPr>
        <w:pStyle w:val="Caption"/>
      </w:pPr>
      <w:bookmarkStart w:id="207" w:name="_Ref84839494"/>
      <w:bookmarkStart w:id="208" w:name="_Toc148089850"/>
      <w:r>
        <w:t>Table </w:t>
      </w:r>
      <w:bookmarkEnd w:id="207"/>
      <w:r w:rsidR="00A348FB">
        <w:t>3.</w:t>
      </w:r>
      <w:r w:rsidR="006F2FF0">
        <w:t xml:space="preserve">7 </w:t>
      </w:r>
      <w:r w:rsidR="00BF3282">
        <w:t xml:space="preserve">Calculated guideline values </w:t>
      </w:r>
      <w:r w:rsidR="00281A4E">
        <w:t xml:space="preserve">for </w:t>
      </w:r>
      <w:proofErr w:type="spellStart"/>
      <w:r w:rsidR="00281A4E">
        <w:t>sulfate</w:t>
      </w:r>
      <w:proofErr w:type="spellEnd"/>
      <w:r w:rsidR="00281A4E">
        <w:t xml:space="preserve"> in livestock drinking </w:t>
      </w:r>
      <w:proofErr w:type="gramStart"/>
      <w:r w:rsidR="00281A4E">
        <w:t>water</w:t>
      </w:r>
      <w:bookmarkEnd w:id="208"/>
      <w:proofErr w:type="gramEnd"/>
    </w:p>
    <w:tbl>
      <w:tblPr>
        <w:tblW w:w="5000" w:type="pct"/>
        <w:tblBorders>
          <w:top w:val="single" w:sz="4" w:space="0" w:color="000000"/>
          <w:bottom w:val="single" w:sz="4" w:space="0" w:color="000000"/>
          <w:insideH w:val="single" w:sz="4" w:space="0" w:color="000000"/>
        </w:tblBorders>
        <w:tblLook w:val="04A0" w:firstRow="1" w:lastRow="0" w:firstColumn="1" w:lastColumn="0" w:noHBand="0" w:noVBand="1"/>
      </w:tblPr>
      <w:tblGrid>
        <w:gridCol w:w="1142"/>
        <w:gridCol w:w="1981"/>
        <w:gridCol w:w="1983"/>
        <w:gridCol w:w="1983"/>
        <w:gridCol w:w="1981"/>
      </w:tblGrid>
      <w:tr w:rsidR="0054058D" w14:paraId="03F59E4D" w14:textId="77777777" w:rsidTr="00645177">
        <w:trPr>
          <w:cantSplit/>
          <w:tblHeader/>
        </w:trPr>
        <w:tc>
          <w:tcPr>
            <w:tcW w:w="630" w:type="pct"/>
            <w:tcBorders>
              <w:top w:val="single" w:sz="12" w:space="0" w:color="000000"/>
              <w:bottom w:val="single" w:sz="12" w:space="0" w:color="000000"/>
            </w:tcBorders>
            <w:shd w:val="clear" w:color="auto" w:fill="auto"/>
          </w:tcPr>
          <w:p w14:paraId="03F59E48" w14:textId="77777777" w:rsidR="00843906" w:rsidRPr="004B5AAC" w:rsidRDefault="00EB38E1" w:rsidP="004B5AAC">
            <w:pPr>
              <w:pStyle w:val="TableHeading"/>
            </w:pPr>
            <w:r>
              <w:t>Livestock</w:t>
            </w:r>
          </w:p>
        </w:tc>
        <w:tc>
          <w:tcPr>
            <w:tcW w:w="1092" w:type="pct"/>
            <w:tcBorders>
              <w:top w:val="single" w:sz="12" w:space="0" w:color="000000"/>
              <w:bottom w:val="single" w:sz="12" w:space="0" w:color="000000"/>
            </w:tcBorders>
            <w:shd w:val="clear" w:color="auto" w:fill="auto"/>
          </w:tcPr>
          <w:p w14:paraId="03F59E49" w14:textId="0657F53B" w:rsidR="00843906" w:rsidRPr="004B5AAC" w:rsidRDefault="00EB38E1" w:rsidP="00053660">
            <w:pPr>
              <w:pStyle w:val="TableHeading"/>
            </w:pPr>
            <w:r w:rsidRPr="004B5AAC">
              <w:t>Maximum S</w:t>
            </w:r>
            <w:r w:rsidRPr="003E5ACC">
              <w:rPr>
                <w:vertAlign w:val="superscript"/>
              </w:rPr>
              <w:t>-</w:t>
            </w:r>
            <w:r w:rsidRPr="004B5AAC">
              <w:t xml:space="preserve"> in </w:t>
            </w:r>
            <w:r w:rsidR="00B045EF" w:rsidRPr="004B5AAC">
              <w:t>feed</w:t>
            </w:r>
            <w:r w:rsidR="00B045EF">
              <w:t xml:space="preserve"> </w:t>
            </w:r>
            <w:r w:rsidR="003E5ACC">
              <w:t>(</w:t>
            </w:r>
            <w:proofErr w:type="gramStart"/>
            <w:r w:rsidR="003E5ACC">
              <w:t>%)</w:t>
            </w:r>
            <w:r w:rsidR="00281A4E" w:rsidRPr="00281A4E">
              <w:rPr>
                <w:rStyle w:val="Strong"/>
                <w:b/>
                <w:vertAlign w:val="superscript"/>
              </w:rPr>
              <w:t>a</w:t>
            </w:r>
            <w:proofErr w:type="gramEnd"/>
          </w:p>
        </w:tc>
        <w:tc>
          <w:tcPr>
            <w:tcW w:w="1093" w:type="pct"/>
            <w:tcBorders>
              <w:top w:val="single" w:sz="12" w:space="0" w:color="000000"/>
              <w:bottom w:val="single" w:sz="12" w:space="0" w:color="000000"/>
            </w:tcBorders>
            <w:shd w:val="clear" w:color="auto" w:fill="auto"/>
          </w:tcPr>
          <w:p w14:paraId="03F59E4A" w14:textId="776797E5" w:rsidR="00843906" w:rsidRPr="004B5AAC" w:rsidRDefault="00EB38E1" w:rsidP="004C6E6D">
            <w:pPr>
              <w:pStyle w:val="TableHeading"/>
              <w:jc w:val="center"/>
              <w:rPr>
                <w:vertAlign w:val="superscript"/>
              </w:rPr>
            </w:pPr>
            <w:r w:rsidRPr="004B5AAC">
              <w:t xml:space="preserve">Safety </w:t>
            </w:r>
            <w:proofErr w:type="spellStart"/>
            <w:r w:rsidR="00B045EF" w:rsidRPr="004B5AAC">
              <w:t>factor</w:t>
            </w:r>
            <w:r w:rsidR="00281A4E">
              <w:rPr>
                <w:vertAlign w:val="superscript"/>
              </w:rPr>
              <w:t>b</w:t>
            </w:r>
            <w:proofErr w:type="spellEnd"/>
          </w:p>
        </w:tc>
        <w:tc>
          <w:tcPr>
            <w:tcW w:w="1093" w:type="pct"/>
            <w:tcBorders>
              <w:top w:val="single" w:sz="12" w:space="0" w:color="000000"/>
              <w:bottom w:val="single" w:sz="12" w:space="0" w:color="000000"/>
            </w:tcBorders>
            <w:shd w:val="clear" w:color="auto" w:fill="auto"/>
          </w:tcPr>
          <w:p w14:paraId="03F59E4B" w14:textId="77777777" w:rsidR="00843906" w:rsidRPr="004B5AAC" w:rsidRDefault="00EB38E1" w:rsidP="004C6E6D">
            <w:pPr>
              <w:pStyle w:val="TableHeading"/>
              <w:jc w:val="center"/>
            </w:pPr>
            <w:r>
              <w:t>G</w:t>
            </w:r>
            <w:r w:rsidR="00A9588C" w:rsidRPr="004B5AAC">
              <w:t>uideline val</w:t>
            </w:r>
            <w:r w:rsidR="002D2750" w:rsidRPr="004B5AAC">
              <w:t>ue S</w:t>
            </w:r>
            <w:r w:rsidR="003E5ACC">
              <w:t xml:space="preserve"> (mg/L)</w:t>
            </w:r>
          </w:p>
        </w:tc>
        <w:tc>
          <w:tcPr>
            <w:tcW w:w="1093" w:type="pct"/>
            <w:tcBorders>
              <w:top w:val="single" w:sz="12" w:space="0" w:color="000000"/>
              <w:bottom w:val="single" w:sz="12" w:space="0" w:color="000000"/>
            </w:tcBorders>
            <w:shd w:val="clear" w:color="auto" w:fill="auto"/>
          </w:tcPr>
          <w:p w14:paraId="03F59E4C" w14:textId="77777777" w:rsidR="00843906" w:rsidRPr="003E5ACC" w:rsidRDefault="00EB38E1" w:rsidP="004C6E6D">
            <w:pPr>
              <w:pStyle w:val="TableHeading"/>
              <w:jc w:val="center"/>
            </w:pPr>
            <w:r>
              <w:t>G</w:t>
            </w:r>
            <w:r w:rsidR="00A9588C" w:rsidRPr="004B5AAC">
              <w:t xml:space="preserve">uideline value </w:t>
            </w:r>
            <w:r w:rsidR="002D2750" w:rsidRPr="004B5AAC">
              <w:t>SO</w:t>
            </w:r>
            <w:r w:rsidR="002D2750" w:rsidRPr="004B5AAC">
              <w:rPr>
                <w:vertAlign w:val="subscript"/>
              </w:rPr>
              <w:t>4</w:t>
            </w:r>
            <w:r w:rsidR="002D2750" w:rsidRPr="004B5AAC">
              <w:rPr>
                <w:vertAlign w:val="superscript"/>
              </w:rPr>
              <w:t>2-</w:t>
            </w:r>
            <w:r w:rsidR="003E5ACC" w:rsidRPr="003E5ACC">
              <w:t xml:space="preserve"> </w:t>
            </w:r>
            <w:r w:rsidR="003E5ACC">
              <w:t>(mg/L)</w:t>
            </w:r>
          </w:p>
        </w:tc>
      </w:tr>
      <w:tr w:rsidR="0054058D" w14:paraId="03F59E53" w14:textId="77777777" w:rsidTr="00645177">
        <w:trPr>
          <w:cantSplit/>
        </w:trPr>
        <w:tc>
          <w:tcPr>
            <w:tcW w:w="630" w:type="pct"/>
            <w:tcBorders>
              <w:top w:val="single" w:sz="12" w:space="0" w:color="000000"/>
            </w:tcBorders>
            <w:shd w:val="clear" w:color="auto" w:fill="auto"/>
          </w:tcPr>
          <w:p w14:paraId="03F59E4E" w14:textId="77777777" w:rsidR="008E1CD9" w:rsidRPr="004B5AAC" w:rsidRDefault="00EB38E1" w:rsidP="008E1CD9">
            <w:pPr>
              <w:pStyle w:val="TableText"/>
            </w:pPr>
            <w:r>
              <w:t>Pigs</w:t>
            </w:r>
          </w:p>
        </w:tc>
        <w:tc>
          <w:tcPr>
            <w:tcW w:w="1092" w:type="pct"/>
            <w:tcBorders>
              <w:top w:val="single" w:sz="12" w:space="0" w:color="000000"/>
            </w:tcBorders>
            <w:shd w:val="clear" w:color="auto" w:fill="auto"/>
          </w:tcPr>
          <w:p w14:paraId="03F59E4F" w14:textId="77777777" w:rsidR="00843906" w:rsidRPr="004B5AAC" w:rsidRDefault="00EB38E1" w:rsidP="004B5AAC">
            <w:pPr>
              <w:pStyle w:val="TableText"/>
            </w:pPr>
            <w:r w:rsidRPr="004B5AAC">
              <w:t>0.4</w:t>
            </w:r>
          </w:p>
        </w:tc>
        <w:tc>
          <w:tcPr>
            <w:tcW w:w="1093" w:type="pct"/>
            <w:tcBorders>
              <w:top w:val="single" w:sz="12" w:space="0" w:color="000000"/>
            </w:tcBorders>
            <w:shd w:val="clear" w:color="auto" w:fill="auto"/>
          </w:tcPr>
          <w:p w14:paraId="03F59E50" w14:textId="77777777" w:rsidR="00843906" w:rsidRPr="004B5AAC" w:rsidRDefault="00EB38E1" w:rsidP="004C6E6D">
            <w:pPr>
              <w:pStyle w:val="TableText"/>
              <w:tabs>
                <w:tab w:val="decimal" w:pos="881"/>
              </w:tabs>
            </w:pPr>
            <w:r w:rsidRPr="004B5AAC">
              <w:t>1</w:t>
            </w:r>
          </w:p>
        </w:tc>
        <w:tc>
          <w:tcPr>
            <w:tcW w:w="1093" w:type="pct"/>
            <w:tcBorders>
              <w:top w:val="single" w:sz="12" w:space="0" w:color="000000"/>
            </w:tcBorders>
            <w:shd w:val="clear" w:color="auto" w:fill="auto"/>
          </w:tcPr>
          <w:p w14:paraId="03F59E51" w14:textId="77777777" w:rsidR="00843906" w:rsidRPr="004B5AAC" w:rsidRDefault="00EB38E1" w:rsidP="004C6E6D">
            <w:pPr>
              <w:pStyle w:val="TableText"/>
              <w:tabs>
                <w:tab w:val="decimal" w:pos="990"/>
              </w:tabs>
            </w:pPr>
            <w:r w:rsidRPr="004B5AAC">
              <w:t xml:space="preserve">155 </w:t>
            </w:r>
          </w:p>
        </w:tc>
        <w:tc>
          <w:tcPr>
            <w:tcW w:w="1093" w:type="pct"/>
            <w:tcBorders>
              <w:top w:val="single" w:sz="12" w:space="0" w:color="000000"/>
            </w:tcBorders>
            <w:shd w:val="clear" w:color="auto" w:fill="auto"/>
          </w:tcPr>
          <w:p w14:paraId="03F59E52" w14:textId="77777777" w:rsidR="00843906" w:rsidRPr="004B5AAC" w:rsidRDefault="00EB38E1" w:rsidP="004C6E6D">
            <w:pPr>
              <w:pStyle w:val="TableText"/>
              <w:tabs>
                <w:tab w:val="decimal" w:pos="1027"/>
              </w:tabs>
            </w:pPr>
            <w:r w:rsidRPr="004B5AAC">
              <w:t xml:space="preserve">464 </w:t>
            </w:r>
          </w:p>
        </w:tc>
      </w:tr>
      <w:tr w:rsidR="0054058D" w14:paraId="03F59E59" w14:textId="77777777" w:rsidTr="00645177">
        <w:trPr>
          <w:cantSplit/>
        </w:trPr>
        <w:tc>
          <w:tcPr>
            <w:tcW w:w="630" w:type="pct"/>
            <w:shd w:val="clear" w:color="auto" w:fill="auto"/>
          </w:tcPr>
          <w:p w14:paraId="03F59E54" w14:textId="77777777" w:rsidR="00843906" w:rsidRPr="004B5AAC" w:rsidRDefault="00EB38E1" w:rsidP="004B5AAC">
            <w:pPr>
              <w:pStyle w:val="TableText"/>
            </w:pPr>
            <w:r w:rsidRPr="004B5AAC">
              <w:t>Cattle</w:t>
            </w:r>
          </w:p>
        </w:tc>
        <w:tc>
          <w:tcPr>
            <w:tcW w:w="1092" w:type="pct"/>
            <w:shd w:val="clear" w:color="auto" w:fill="auto"/>
          </w:tcPr>
          <w:p w14:paraId="03F59E55" w14:textId="77777777" w:rsidR="00843906" w:rsidRPr="004B5AAC" w:rsidRDefault="00EB38E1" w:rsidP="004B5AAC">
            <w:pPr>
              <w:pStyle w:val="TableText"/>
            </w:pPr>
            <w:r w:rsidRPr="004B5AAC">
              <w:t>0.3 (</w:t>
            </w:r>
            <w:proofErr w:type="gramStart"/>
            <w:r w:rsidRPr="004B5AAC">
              <w:t>high</w:t>
            </w:r>
            <w:r w:rsidR="007A6B8D">
              <w:t>-concentrate</w:t>
            </w:r>
            <w:proofErr w:type="gramEnd"/>
            <w:r w:rsidRPr="004B5AAC">
              <w:t>)</w:t>
            </w:r>
          </w:p>
        </w:tc>
        <w:tc>
          <w:tcPr>
            <w:tcW w:w="1093" w:type="pct"/>
            <w:shd w:val="clear" w:color="auto" w:fill="auto"/>
          </w:tcPr>
          <w:p w14:paraId="03F59E56" w14:textId="77777777" w:rsidR="00843906" w:rsidRPr="004B5AAC" w:rsidRDefault="00EB38E1" w:rsidP="004C6E6D">
            <w:pPr>
              <w:pStyle w:val="TableText"/>
              <w:tabs>
                <w:tab w:val="decimal" w:pos="881"/>
              </w:tabs>
            </w:pPr>
            <w:r w:rsidRPr="004B5AAC">
              <w:t>1</w:t>
            </w:r>
          </w:p>
        </w:tc>
        <w:tc>
          <w:tcPr>
            <w:tcW w:w="1093" w:type="pct"/>
            <w:shd w:val="clear" w:color="auto" w:fill="auto"/>
          </w:tcPr>
          <w:p w14:paraId="03F59E57" w14:textId="77777777" w:rsidR="00843906" w:rsidRPr="004B5AAC" w:rsidRDefault="00EB38E1" w:rsidP="004C6E6D">
            <w:pPr>
              <w:pStyle w:val="TableText"/>
              <w:tabs>
                <w:tab w:val="decimal" w:pos="990"/>
              </w:tabs>
            </w:pPr>
            <w:r w:rsidRPr="004B5AAC">
              <w:t xml:space="preserve">141 </w:t>
            </w:r>
          </w:p>
        </w:tc>
        <w:tc>
          <w:tcPr>
            <w:tcW w:w="1093" w:type="pct"/>
            <w:shd w:val="clear" w:color="auto" w:fill="auto"/>
          </w:tcPr>
          <w:p w14:paraId="03F59E58" w14:textId="77777777" w:rsidR="00843906" w:rsidRPr="004B5AAC" w:rsidRDefault="00EB38E1" w:rsidP="004C6E6D">
            <w:pPr>
              <w:pStyle w:val="TableText"/>
              <w:tabs>
                <w:tab w:val="decimal" w:pos="1027"/>
              </w:tabs>
            </w:pPr>
            <w:r w:rsidRPr="004B5AAC">
              <w:t xml:space="preserve">422 </w:t>
            </w:r>
          </w:p>
        </w:tc>
      </w:tr>
      <w:tr w:rsidR="0054058D" w14:paraId="03F59E5F" w14:textId="77777777" w:rsidTr="00645177">
        <w:trPr>
          <w:cantSplit/>
        </w:trPr>
        <w:tc>
          <w:tcPr>
            <w:tcW w:w="630" w:type="pct"/>
            <w:shd w:val="clear" w:color="auto" w:fill="auto"/>
          </w:tcPr>
          <w:p w14:paraId="03F59E5A" w14:textId="77777777" w:rsidR="00843906" w:rsidRPr="004B5AAC" w:rsidRDefault="00EB38E1" w:rsidP="004B5AAC">
            <w:pPr>
              <w:pStyle w:val="TableText"/>
            </w:pPr>
            <w:r>
              <w:t xml:space="preserve"> </w:t>
            </w:r>
          </w:p>
        </w:tc>
        <w:tc>
          <w:tcPr>
            <w:tcW w:w="1092" w:type="pct"/>
            <w:shd w:val="clear" w:color="auto" w:fill="auto"/>
          </w:tcPr>
          <w:p w14:paraId="03F59E5B" w14:textId="77777777" w:rsidR="00843906" w:rsidRPr="004B5AAC" w:rsidRDefault="00EB38E1" w:rsidP="004B5AAC">
            <w:pPr>
              <w:pStyle w:val="TableText"/>
            </w:pPr>
            <w:r w:rsidRPr="004B5AAC">
              <w:t>0.5 (high-forage diet)</w:t>
            </w:r>
          </w:p>
        </w:tc>
        <w:tc>
          <w:tcPr>
            <w:tcW w:w="1093" w:type="pct"/>
            <w:shd w:val="clear" w:color="auto" w:fill="auto"/>
          </w:tcPr>
          <w:p w14:paraId="03F59E5C" w14:textId="4705CA8D" w:rsidR="00843906" w:rsidRPr="004B5AAC" w:rsidRDefault="00EB38E1" w:rsidP="004C6E6D">
            <w:pPr>
              <w:pStyle w:val="TableText"/>
              <w:tabs>
                <w:tab w:val="decimal" w:pos="881"/>
              </w:tabs>
            </w:pPr>
            <w:r>
              <w:t xml:space="preserve"> </w:t>
            </w:r>
            <w:r w:rsidR="00780FFF">
              <w:t>1</w:t>
            </w:r>
          </w:p>
        </w:tc>
        <w:tc>
          <w:tcPr>
            <w:tcW w:w="1093" w:type="pct"/>
            <w:shd w:val="clear" w:color="auto" w:fill="auto"/>
          </w:tcPr>
          <w:p w14:paraId="03F59E5D" w14:textId="77777777" w:rsidR="00843906" w:rsidRPr="004B5AAC" w:rsidRDefault="00EB38E1" w:rsidP="004C6E6D">
            <w:pPr>
              <w:pStyle w:val="TableText"/>
              <w:tabs>
                <w:tab w:val="decimal" w:pos="990"/>
              </w:tabs>
            </w:pPr>
            <w:r w:rsidRPr="004B5AAC">
              <w:t xml:space="preserve">235 </w:t>
            </w:r>
          </w:p>
        </w:tc>
        <w:tc>
          <w:tcPr>
            <w:tcW w:w="1093" w:type="pct"/>
            <w:shd w:val="clear" w:color="auto" w:fill="auto"/>
          </w:tcPr>
          <w:p w14:paraId="03F59E5E" w14:textId="77777777" w:rsidR="00843906" w:rsidRPr="004B5AAC" w:rsidRDefault="00EB38E1" w:rsidP="004C6E6D">
            <w:pPr>
              <w:pStyle w:val="TableText"/>
              <w:tabs>
                <w:tab w:val="decimal" w:pos="1027"/>
              </w:tabs>
            </w:pPr>
            <w:r w:rsidRPr="004B5AAC">
              <w:t xml:space="preserve">704 </w:t>
            </w:r>
          </w:p>
        </w:tc>
      </w:tr>
      <w:tr w:rsidR="0054058D" w14:paraId="03F59E65" w14:textId="77777777" w:rsidTr="00645177">
        <w:trPr>
          <w:cantSplit/>
        </w:trPr>
        <w:tc>
          <w:tcPr>
            <w:tcW w:w="630" w:type="pct"/>
            <w:shd w:val="clear" w:color="auto" w:fill="auto"/>
          </w:tcPr>
          <w:p w14:paraId="03F59E60" w14:textId="77777777" w:rsidR="00843906" w:rsidRPr="004B5AAC" w:rsidRDefault="00EB38E1" w:rsidP="004B5AAC">
            <w:pPr>
              <w:pStyle w:val="TableText"/>
            </w:pPr>
            <w:r w:rsidRPr="004B5AAC">
              <w:t>Sheep</w:t>
            </w:r>
          </w:p>
        </w:tc>
        <w:tc>
          <w:tcPr>
            <w:tcW w:w="1092" w:type="pct"/>
            <w:shd w:val="clear" w:color="auto" w:fill="auto"/>
          </w:tcPr>
          <w:p w14:paraId="03F59E61" w14:textId="77777777" w:rsidR="00843906" w:rsidRPr="004B5AAC" w:rsidRDefault="00EB38E1" w:rsidP="004B5AAC">
            <w:pPr>
              <w:pStyle w:val="TableText"/>
            </w:pPr>
            <w:r w:rsidRPr="004B5AAC">
              <w:t>0.3 (</w:t>
            </w:r>
            <w:proofErr w:type="gramStart"/>
            <w:r w:rsidRPr="004B5AAC">
              <w:t>high</w:t>
            </w:r>
            <w:r w:rsidR="007A6B8D">
              <w:t>-concentrate</w:t>
            </w:r>
            <w:proofErr w:type="gramEnd"/>
            <w:r w:rsidRPr="004B5AAC">
              <w:t>)</w:t>
            </w:r>
          </w:p>
        </w:tc>
        <w:tc>
          <w:tcPr>
            <w:tcW w:w="1093" w:type="pct"/>
            <w:shd w:val="clear" w:color="auto" w:fill="auto"/>
          </w:tcPr>
          <w:p w14:paraId="03F59E62" w14:textId="77777777" w:rsidR="00843906" w:rsidRPr="004B5AAC" w:rsidRDefault="00EB38E1" w:rsidP="004C6E6D">
            <w:pPr>
              <w:pStyle w:val="TableText"/>
              <w:tabs>
                <w:tab w:val="decimal" w:pos="881"/>
              </w:tabs>
            </w:pPr>
            <w:r w:rsidRPr="004B5AAC">
              <w:t>1</w:t>
            </w:r>
          </w:p>
        </w:tc>
        <w:tc>
          <w:tcPr>
            <w:tcW w:w="1093" w:type="pct"/>
            <w:shd w:val="clear" w:color="auto" w:fill="auto"/>
          </w:tcPr>
          <w:p w14:paraId="03F59E63" w14:textId="77777777" w:rsidR="00843906" w:rsidRPr="004B5AAC" w:rsidRDefault="00EB38E1" w:rsidP="004C6E6D">
            <w:pPr>
              <w:pStyle w:val="TableText"/>
              <w:tabs>
                <w:tab w:val="decimal" w:pos="990"/>
              </w:tabs>
            </w:pPr>
            <w:r w:rsidRPr="004B5AAC">
              <w:t xml:space="preserve">125 </w:t>
            </w:r>
          </w:p>
        </w:tc>
        <w:tc>
          <w:tcPr>
            <w:tcW w:w="1093" w:type="pct"/>
            <w:shd w:val="clear" w:color="auto" w:fill="auto"/>
          </w:tcPr>
          <w:p w14:paraId="03F59E64" w14:textId="77777777" w:rsidR="00843906" w:rsidRPr="004B5AAC" w:rsidRDefault="00EB38E1" w:rsidP="004C6E6D">
            <w:pPr>
              <w:pStyle w:val="TableText"/>
              <w:tabs>
                <w:tab w:val="decimal" w:pos="1027"/>
              </w:tabs>
            </w:pPr>
            <w:r w:rsidRPr="004B5AAC">
              <w:t xml:space="preserve">374 </w:t>
            </w:r>
          </w:p>
        </w:tc>
      </w:tr>
      <w:tr w:rsidR="0054058D" w14:paraId="03F59E6B" w14:textId="77777777" w:rsidTr="00645177">
        <w:trPr>
          <w:cantSplit/>
        </w:trPr>
        <w:tc>
          <w:tcPr>
            <w:tcW w:w="630" w:type="pct"/>
            <w:tcBorders>
              <w:bottom w:val="single" w:sz="4" w:space="0" w:color="000000"/>
            </w:tcBorders>
            <w:shd w:val="clear" w:color="auto" w:fill="auto"/>
          </w:tcPr>
          <w:p w14:paraId="03F59E66" w14:textId="77777777" w:rsidR="00843906" w:rsidRPr="004B5AAC" w:rsidRDefault="00EB38E1" w:rsidP="004B5AAC">
            <w:pPr>
              <w:pStyle w:val="TableText"/>
            </w:pPr>
            <w:r>
              <w:t xml:space="preserve"> </w:t>
            </w:r>
          </w:p>
        </w:tc>
        <w:tc>
          <w:tcPr>
            <w:tcW w:w="1092" w:type="pct"/>
            <w:tcBorders>
              <w:bottom w:val="single" w:sz="4" w:space="0" w:color="000000"/>
            </w:tcBorders>
            <w:shd w:val="clear" w:color="auto" w:fill="auto"/>
          </w:tcPr>
          <w:p w14:paraId="03F59E67" w14:textId="77777777" w:rsidR="00843906" w:rsidRPr="004B5AAC" w:rsidRDefault="00EB38E1" w:rsidP="004B5AAC">
            <w:pPr>
              <w:pStyle w:val="TableText"/>
            </w:pPr>
            <w:r w:rsidRPr="004B5AAC">
              <w:t>0.5 (high-forage diet)</w:t>
            </w:r>
          </w:p>
        </w:tc>
        <w:tc>
          <w:tcPr>
            <w:tcW w:w="1093" w:type="pct"/>
            <w:tcBorders>
              <w:bottom w:val="single" w:sz="4" w:space="0" w:color="000000"/>
            </w:tcBorders>
            <w:shd w:val="clear" w:color="auto" w:fill="auto"/>
          </w:tcPr>
          <w:p w14:paraId="03F59E68" w14:textId="062289FE" w:rsidR="00843906" w:rsidRPr="004B5AAC" w:rsidRDefault="00EB38E1" w:rsidP="004C6E6D">
            <w:pPr>
              <w:pStyle w:val="TableText"/>
              <w:tabs>
                <w:tab w:val="decimal" w:pos="881"/>
              </w:tabs>
            </w:pPr>
            <w:r>
              <w:t xml:space="preserve"> </w:t>
            </w:r>
            <w:r w:rsidR="00780FFF">
              <w:t>1</w:t>
            </w:r>
          </w:p>
        </w:tc>
        <w:tc>
          <w:tcPr>
            <w:tcW w:w="1093" w:type="pct"/>
            <w:tcBorders>
              <w:bottom w:val="single" w:sz="4" w:space="0" w:color="000000"/>
            </w:tcBorders>
            <w:shd w:val="clear" w:color="auto" w:fill="auto"/>
          </w:tcPr>
          <w:p w14:paraId="03F59E69" w14:textId="77777777" w:rsidR="00843906" w:rsidRPr="004B5AAC" w:rsidRDefault="00EB38E1" w:rsidP="004C6E6D">
            <w:pPr>
              <w:pStyle w:val="TableText"/>
              <w:tabs>
                <w:tab w:val="decimal" w:pos="990"/>
              </w:tabs>
            </w:pPr>
            <w:r w:rsidRPr="004B5AAC">
              <w:t xml:space="preserve">209 </w:t>
            </w:r>
          </w:p>
        </w:tc>
        <w:tc>
          <w:tcPr>
            <w:tcW w:w="1093" w:type="pct"/>
            <w:tcBorders>
              <w:bottom w:val="single" w:sz="4" w:space="0" w:color="000000"/>
            </w:tcBorders>
            <w:shd w:val="clear" w:color="auto" w:fill="auto"/>
          </w:tcPr>
          <w:p w14:paraId="03F59E6A" w14:textId="77777777" w:rsidR="00843906" w:rsidRPr="004B5AAC" w:rsidRDefault="00EB38E1" w:rsidP="004C6E6D">
            <w:pPr>
              <w:pStyle w:val="TableText"/>
              <w:tabs>
                <w:tab w:val="decimal" w:pos="1027"/>
              </w:tabs>
            </w:pPr>
            <w:r w:rsidRPr="004B5AAC">
              <w:t xml:space="preserve">626 </w:t>
            </w:r>
          </w:p>
        </w:tc>
      </w:tr>
      <w:tr w:rsidR="0054058D" w14:paraId="03F59E71" w14:textId="77777777" w:rsidTr="00645177">
        <w:trPr>
          <w:cantSplit/>
        </w:trPr>
        <w:tc>
          <w:tcPr>
            <w:tcW w:w="630" w:type="pct"/>
            <w:tcBorders>
              <w:bottom w:val="single" w:sz="12" w:space="0" w:color="000000"/>
            </w:tcBorders>
            <w:shd w:val="clear" w:color="auto" w:fill="auto"/>
          </w:tcPr>
          <w:p w14:paraId="03F59E6C" w14:textId="77777777" w:rsidR="00843906" w:rsidRPr="004B5AAC" w:rsidRDefault="00EB38E1" w:rsidP="004B5AAC">
            <w:pPr>
              <w:pStyle w:val="TableText"/>
            </w:pPr>
            <w:r w:rsidRPr="004B5AAC">
              <w:t>Poultry</w:t>
            </w:r>
          </w:p>
        </w:tc>
        <w:tc>
          <w:tcPr>
            <w:tcW w:w="1092" w:type="pct"/>
            <w:tcBorders>
              <w:bottom w:val="single" w:sz="12" w:space="0" w:color="000000"/>
            </w:tcBorders>
            <w:shd w:val="clear" w:color="auto" w:fill="auto"/>
          </w:tcPr>
          <w:p w14:paraId="03F59E6D" w14:textId="77777777" w:rsidR="00843906" w:rsidRPr="004B5AAC" w:rsidRDefault="00EB38E1" w:rsidP="004B5AAC">
            <w:pPr>
              <w:pStyle w:val="TableText"/>
            </w:pPr>
            <w:r w:rsidRPr="004B5AAC">
              <w:t>0.4</w:t>
            </w:r>
          </w:p>
        </w:tc>
        <w:tc>
          <w:tcPr>
            <w:tcW w:w="1093" w:type="pct"/>
            <w:tcBorders>
              <w:bottom w:val="single" w:sz="12" w:space="0" w:color="000000"/>
            </w:tcBorders>
            <w:shd w:val="clear" w:color="auto" w:fill="auto"/>
          </w:tcPr>
          <w:p w14:paraId="03F59E6E" w14:textId="77777777" w:rsidR="00843906" w:rsidRPr="004B5AAC" w:rsidRDefault="00EB38E1" w:rsidP="004C6E6D">
            <w:pPr>
              <w:pStyle w:val="TableText"/>
              <w:tabs>
                <w:tab w:val="decimal" w:pos="881"/>
              </w:tabs>
            </w:pPr>
            <w:r w:rsidRPr="004B5AAC">
              <w:t>1</w:t>
            </w:r>
          </w:p>
        </w:tc>
        <w:tc>
          <w:tcPr>
            <w:tcW w:w="1093" w:type="pct"/>
            <w:tcBorders>
              <w:bottom w:val="single" w:sz="12" w:space="0" w:color="000000"/>
            </w:tcBorders>
            <w:shd w:val="clear" w:color="auto" w:fill="auto"/>
          </w:tcPr>
          <w:p w14:paraId="03F59E6F" w14:textId="77777777" w:rsidR="00843906" w:rsidRPr="004B5AAC" w:rsidRDefault="00EB38E1" w:rsidP="004C6E6D">
            <w:pPr>
              <w:pStyle w:val="TableText"/>
              <w:tabs>
                <w:tab w:val="decimal" w:pos="990"/>
              </w:tabs>
            </w:pPr>
            <w:r w:rsidRPr="004B5AAC">
              <w:t xml:space="preserve">100 </w:t>
            </w:r>
          </w:p>
        </w:tc>
        <w:tc>
          <w:tcPr>
            <w:tcW w:w="1093" w:type="pct"/>
            <w:tcBorders>
              <w:bottom w:val="single" w:sz="12" w:space="0" w:color="000000"/>
            </w:tcBorders>
            <w:shd w:val="clear" w:color="auto" w:fill="auto"/>
          </w:tcPr>
          <w:p w14:paraId="03F59E70" w14:textId="77777777" w:rsidR="00843906" w:rsidRPr="004B5AAC" w:rsidRDefault="00EB38E1" w:rsidP="004C6E6D">
            <w:pPr>
              <w:pStyle w:val="TableText"/>
              <w:tabs>
                <w:tab w:val="decimal" w:pos="1027"/>
              </w:tabs>
            </w:pPr>
            <w:r w:rsidRPr="004B5AAC">
              <w:t xml:space="preserve">300 </w:t>
            </w:r>
          </w:p>
        </w:tc>
      </w:tr>
    </w:tbl>
    <w:p w14:paraId="03F59E72" w14:textId="59B4281A" w:rsidR="00A9588C" w:rsidRDefault="00EB38E1" w:rsidP="00C1087A">
      <w:pPr>
        <w:pStyle w:val="FigureTableNoteSource"/>
      </w:pPr>
      <w:r>
        <w:t xml:space="preserve">Note: </w:t>
      </w:r>
      <w:proofErr w:type="spellStart"/>
      <w:r w:rsidR="00E26535">
        <w:t>S</w:t>
      </w:r>
      <w:r w:rsidRPr="00A9588C">
        <w:t>ulfate</w:t>
      </w:r>
      <w:proofErr w:type="spellEnd"/>
      <w:r w:rsidRPr="00A9588C">
        <w:t xml:space="preserve"> limits were calculated based on </w:t>
      </w:r>
      <w:proofErr w:type="spellStart"/>
      <w:r w:rsidRPr="00A9588C">
        <w:t>sulfur</w:t>
      </w:r>
      <w:proofErr w:type="spellEnd"/>
      <w:r w:rsidRPr="00A9588C">
        <w:t xml:space="preserve"> constitut</w:t>
      </w:r>
      <w:r>
        <w:t xml:space="preserve">ing </w:t>
      </w:r>
      <w:r w:rsidRPr="00A9588C">
        <w:t xml:space="preserve">33.4% of </w:t>
      </w:r>
      <w:proofErr w:type="spellStart"/>
      <w:r w:rsidRPr="00A9588C">
        <w:t>sulfate</w:t>
      </w:r>
      <w:proofErr w:type="spellEnd"/>
      <w:r>
        <w:t>.</w:t>
      </w:r>
    </w:p>
    <w:p w14:paraId="03F59E73" w14:textId="77777777" w:rsidR="00281A4E" w:rsidRPr="00281A4E" w:rsidRDefault="00EB38E1" w:rsidP="00C1087A">
      <w:pPr>
        <w:pStyle w:val="FigureTableNoteSource"/>
      </w:pPr>
      <w:r w:rsidRPr="00281A4E">
        <w:rPr>
          <w:rStyle w:val="Strong"/>
        </w:rPr>
        <w:t>a</w:t>
      </w:r>
      <w:r w:rsidRPr="00281A4E">
        <w:t xml:space="preserve"> </w:t>
      </w:r>
      <w:proofErr w:type="gramStart"/>
      <w:r w:rsidRPr="00281A4E">
        <w:t>Based on</w:t>
      </w:r>
      <w:proofErr w:type="gramEnd"/>
      <w:r w:rsidRPr="00281A4E">
        <w:t xml:space="preserve"> NRC (2005) assumed maximum dietary intake of </w:t>
      </w:r>
      <w:proofErr w:type="spellStart"/>
      <w:r w:rsidRPr="00281A4E">
        <w:t>sulfur</w:t>
      </w:r>
      <w:proofErr w:type="spellEnd"/>
      <w:r w:rsidRPr="00281A4E">
        <w:t xml:space="preserve"> in feed.</w:t>
      </w:r>
    </w:p>
    <w:p w14:paraId="03F59E74" w14:textId="77777777" w:rsidR="00843906" w:rsidRDefault="00EB38E1" w:rsidP="00C1087A">
      <w:pPr>
        <w:pStyle w:val="FigureTableNoteSource"/>
      </w:pPr>
      <w:r w:rsidRPr="00281A4E">
        <w:rPr>
          <w:rStyle w:val="Strong"/>
        </w:rPr>
        <w:t>b</w:t>
      </w:r>
      <w:r w:rsidR="002D2750">
        <w:t xml:space="preserve"> No safety factors were considered in this assessment as long-term effects were not considered.</w:t>
      </w:r>
    </w:p>
    <w:p w14:paraId="7F1EC6A7" w14:textId="37488D40" w:rsidR="00D03AC9" w:rsidRDefault="00EB38E1" w:rsidP="00C1087A">
      <w:r>
        <w:t>Based on these results, a</w:t>
      </w:r>
      <w:r w:rsidR="002D2750">
        <w:t xml:space="preserve"> guideline value of 500</w:t>
      </w:r>
      <w:r w:rsidR="00E31D47">
        <w:t> </w:t>
      </w:r>
      <w:r w:rsidR="002D2750">
        <w:t>mg/L is recommended</w:t>
      </w:r>
      <w:r w:rsidR="00131369">
        <w:t xml:space="preserve"> </w:t>
      </w:r>
      <w:r w:rsidR="00531F7A">
        <w:t xml:space="preserve">for all livestock </w:t>
      </w:r>
      <w:r w:rsidR="00131369">
        <w:t>except for poultry</w:t>
      </w:r>
      <w:r w:rsidR="00531F7A">
        <w:t>, for which a guideline value of 250 mg/L is recommended</w:t>
      </w:r>
      <w:r w:rsidR="002D2750">
        <w:t>.</w:t>
      </w:r>
      <w:r>
        <w:t xml:space="preserve"> </w:t>
      </w:r>
      <w:r w:rsidR="004C237D">
        <w:t xml:space="preserve">Agriculture Victoria (2023) recommends a maximum level of 1,000 mg/L of </w:t>
      </w:r>
      <w:proofErr w:type="spellStart"/>
      <w:r w:rsidR="004C237D">
        <w:t>sulfate</w:t>
      </w:r>
      <w:proofErr w:type="spellEnd"/>
      <w:r w:rsidR="004C237D">
        <w:t xml:space="preserve"> for water in stock containment areas. </w:t>
      </w:r>
      <w:r w:rsidR="00D03AC9">
        <w:t>Canada recommends a water quality guideline of 1,000</w:t>
      </w:r>
      <w:r w:rsidR="00DD1945">
        <w:t> </w:t>
      </w:r>
      <w:r w:rsidR="00D03AC9">
        <w:t xml:space="preserve">mg/L </w:t>
      </w:r>
      <w:proofErr w:type="spellStart"/>
      <w:r w:rsidR="00D03AC9">
        <w:t>sul</w:t>
      </w:r>
      <w:r w:rsidR="00AB45C1">
        <w:t>fate</w:t>
      </w:r>
      <w:proofErr w:type="spellEnd"/>
      <w:r w:rsidR="00D03AC9">
        <w:t xml:space="preserve"> for livestock</w:t>
      </w:r>
      <w:r w:rsidR="00C8567D">
        <w:t xml:space="preserve"> </w:t>
      </w:r>
      <w:r w:rsidR="00C47FFB">
        <w:t>(CCME 2005)</w:t>
      </w:r>
      <w:r w:rsidR="00D03AC9">
        <w:t>; however, this level may cause health problems</w:t>
      </w:r>
      <w:r w:rsidR="00C8567D" w:rsidRPr="00C8567D">
        <w:t xml:space="preserve"> </w:t>
      </w:r>
      <w:r w:rsidR="00C8567D">
        <w:t>for ruminant livestock</w:t>
      </w:r>
      <w:r w:rsidR="00D03AC9">
        <w:t>, especially when combined with dietary sources</w:t>
      </w:r>
      <w:r w:rsidR="00C8567D">
        <w:t xml:space="preserve"> (</w:t>
      </w:r>
      <w:proofErr w:type="spellStart"/>
      <w:r w:rsidR="00C8567D">
        <w:t>Meays</w:t>
      </w:r>
      <w:proofErr w:type="spellEnd"/>
      <w:r w:rsidR="00C8567D">
        <w:t xml:space="preserve"> &amp; Nordin 2013)</w:t>
      </w:r>
      <w:r w:rsidR="00D03AC9">
        <w:t xml:space="preserve">. </w:t>
      </w:r>
    </w:p>
    <w:p w14:paraId="03F59E75" w14:textId="1432E242" w:rsidR="00B731DB" w:rsidRDefault="002D2750" w:rsidP="00C1087A">
      <w:r>
        <w:t xml:space="preserve">Interactions with dietary </w:t>
      </w:r>
      <w:hyperlink w:anchor="_Copper" w:history="1">
        <w:r w:rsidRPr="00856A0A">
          <w:rPr>
            <w:rStyle w:val="Hyperlink"/>
          </w:rPr>
          <w:t>copper</w:t>
        </w:r>
      </w:hyperlink>
      <w:r>
        <w:t xml:space="preserve"> and </w:t>
      </w:r>
      <w:hyperlink w:anchor="_Molybdenum" w:history="1">
        <w:r w:rsidRPr="00856A0A">
          <w:rPr>
            <w:rStyle w:val="Hyperlink"/>
          </w:rPr>
          <w:t>molybdenum</w:t>
        </w:r>
      </w:hyperlink>
      <w:r>
        <w:t xml:space="preserve"> should </w:t>
      </w:r>
      <w:r w:rsidR="00EB38E1">
        <w:t xml:space="preserve">also </w:t>
      </w:r>
      <w:r>
        <w:t xml:space="preserve">be </w:t>
      </w:r>
      <w:proofErr w:type="gramStart"/>
      <w:r>
        <w:t>taken into account</w:t>
      </w:r>
      <w:proofErr w:type="gramEnd"/>
      <w:r>
        <w:t xml:space="preserve"> when deciding </w:t>
      </w:r>
      <w:r w:rsidR="00D31418">
        <w:t xml:space="preserve">if water with </w:t>
      </w:r>
      <w:r>
        <w:t xml:space="preserve">high </w:t>
      </w:r>
      <w:proofErr w:type="spellStart"/>
      <w:r>
        <w:t>sulfate</w:t>
      </w:r>
      <w:proofErr w:type="spellEnd"/>
      <w:r>
        <w:t xml:space="preserve"> concentrations</w:t>
      </w:r>
      <w:r w:rsidR="00D31418">
        <w:t xml:space="preserve"> is suitable for livestock drinking water</w:t>
      </w:r>
      <w:r>
        <w:t>.</w:t>
      </w:r>
    </w:p>
    <w:p w14:paraId="03F59E76" w14:textId="708D8DB3" w:rsidR="00645177" w:rsidRDefault="00441154" w:rsidP="000C6B83">
      <w:pPr>
        <w:pStyle w:val="Heading4"/>
        <w:rPr>
          <w:lang w:eastAsia="ja-JP"/>
        </w:rPr>
      </w:pPr>
      <w:bookmarkStart w:id="209" w:name="_Toc134441379"/>
      <w:bookmarkStart w:id="210" w:name="_Toc134441784"/>
      <w:bookmarkStart w:id="211" w:name="_Toc134442305"/>
      <w:bookmarkStart w:id="212" w:name="_Toc134442516"/>
      <w:bookmarkStart w:id="213" w:name="_Toc134441380"/>
      <w:bookmarkStart w:id="214" w:name="_Toc134441785"/>
      <w:bookmarkStart w:id="215" w:name="_Toc134442306"/>
      <w:bookmarkStart w:id="216" w:name="_Toc134442517"/>
      <w:bookmarkStart w:id="217" w:name="_Toc134442307"/>
      <w:bookmarkStart w:id="218" w:name="_Toc141704561"/>
      <w:bookmarkEnd w:id="209"/>
      <w:bookmarkEnd w:id="210"/>
      <w:bookmarkEnd w:id="211"/>
      <w:bookmarkEnd w:id="212"/>
      <w:bookmarkEnd w:id="213"/>
      <w:bookmarkEnd w:id="214"/>
      <w:bookmarkEnd w:id="215"/>
      <w:bookmarkEnd w:id="216"/>
      <w:r>
        <w:rPr>
          <w:lang w:eastAsia="ja-JP"/>
        </w:rPr>
        <w:lastRenderedPageBreak/>
        <w:t>3.2.5</w:t>
      </w:r>
      <w:r>
        <w:rPr>
          <w:lang w:eastAsia="ja-JP"/>
        </w:rPr>
        <w:tab/>
      </w:r>
      <w:r w:rsidR="00EB38E1">
        <w:rPr>
          <w:lang w:eastAsia="ja-JP"/>
        </w:rPr>
        <w:t>Total dissolved solids (salinity)</w:t>
      </w:r>
      <w:bookmarkEnd w:id="217"/>
      <w:bookmarkEnd w:id="218"/>
    </w:p>
    <w:p w14:paraId="03F59E77" w14:textId="77777777" w:rsidR="0011571F" w:rsidRDefault="00EB38E1" w:rsidP="0011571F">
      <w:pPr>
        <w:pStyle w:val="Sectionkeypoints"/>
      </w:pPr>
      <w:bookmarkStart w:id="219" w:name="_Hlk135129243"/>
      <w:r>
        <w:t>T</w:t>
      </w:r>
      <w:r w:rsidR="004B02D7">
        <w:t xml:space="preserve">otal dissolved solids (TDS) concentrations &lt;500 mg/L in drinking water </w:t>
      </w:r>
      <w:r w:rsidR="0091419E">
        <w:t>should not be harmful to animal health</w:t>
      </w:r>
      <w:r w:rsidR="004B02D7">
        <w:t>.</w:t>
      </w:r>
    </w:p>
    <w:bookmarkEnd w:id="219"/>
    <w:p w14:paraId="03F59E78" w14:textId="755F9542" w:rsidR="007C2B25" w:rsidRDefault="00EB38E1" w:rsidP="007C2B25">
      <w:r>
        <w:t xml:space="preserve">Salinity is used as a convenient guide to the suitability of water for livestock watering. </w:t>
      </w:r>
      <w:r w:rsidR="004B02D7">
        <w:t xml:space="preserve">However, </w:t>
      </w:r>
      <w:r w:rsidR="002D2750">
        <w:t>TDS should not be measured in isolation</w:t>
      </w:r>
      <w:r w:rsidR="0011571F">
        <w:t>.</w:t>
      </w:r>
      <w:r w:rsidRPr="007C2B25">
        <w:t xml:space="preserve"> </w:t>
      </w:r>
      <w:r>
        <w:t>Individual ion concentration should be included where possible to better assess the suitability or palatability of water for stock.</w:t>
      </w:r>
      <w:r w:rsidR="0011571F">
        <w:t xml:space="preserve"> </w:t>
      </w:r>
      <w:r w:rsidR="00E8352E">
        <w:t xml:space="preserve">In particular, </w:t>
      </w:r>
      <w:r w:rsidR="00E8352E" w:rsidRPr="007D4FCE">
        <w:t>the concentration of calcium, magnesium, nitrate/</w:t>
      </w:r>
      <w:proofErr w:type="gramStart"/>
      <w:r w:rsidR="00E8352E" w:rsidRPr="007D4FCE">
        <w:t>nitrite</w:t>
      </w:r>
      <w:proofErr w:type="gramEnd"/>
      <w:r w:rsidR="00E8352E" w:rsidRPr="007D4FCE">
        <w:t xml:space="preserve"> and </w:t>
      </w:r>
      <w:proofErr w:type="spellStart"/>
      <w:r w:rsidR="00E8352E" w:rsidRPr="007D4FCE">
        <w:t>sul</w:t>
      </w:r>
      <w:r w:rsidR="00AB45C1">
        <w:t>fate</w:t>
      </w:r>
      <w:proofErr w:type="spellEnd"/>
      <w:r w:rsidR="00E8352E" w:rsidRPr="007D4FCE">
        <w:t xml:space="preserve"> ions may need monitoring</w:t>
      </w:r>
      <w:r w:rsidR="006215B1">
        <w:t>,</w:t>
      </w:r>
      <w:r w:rsidR="00E8352E" w:rsidRPr="007D4FCE">
        <w:t xml:space="preserve"> especially if using groundwater</w:t>
      </w:r>
      <w:r w:rsidR="006215B1">
        <w:t>,</w:t>
      </w:r>
      <w:r w:rsidR="00E8352E" w:rsidRPr="007D4FCE">
        <w:t xml:space="preserve"> as they can cause purgative or toxic effects</w:t>
      </w:r>
      <w:r w:rsidR="00F5372E" w:rsidRPr="007D4FCE">
        <w:t xml:space="preserve"> (</w:t>
      </w:r>
      <w:r w:rsidR="006215B1" w:rsidRPr="007D4FCE">
        <w:t>DPIRD 2</w:t>
      </w:r>
      <w:r w:rsidR="006215B1">
        <w:t>0</w:t>
      </w:r>
      <w:r w:rsidR="006215B1" w:rsidRPr="007D4FCE">
        <w:t>21)</w:t>
      </w:r>
      <w:r w:rsidR="00E8352E" w:rsidRPr="007D4FCE">
        <w:t xml:space="preserve">. </w:t>
      </w:r>
      <w:r>
        <w:t xml:space="preserve">If a water has purgative or toxic effects, especially if the TDS concentration is </w:t>
      </w:r>
      <w:r w:rsidRPr="006215B1">
        <w:t>&gt;</w:t>
      </w:r>
      <w:r>
        <w:t>2,400 mg/L, the water should be analysed to determine the concentrations of specific ions.</w:t>
      </w:r>
    </w:p>
    <w:p w14:paraId="03F59E79" w14:textId="77777777" w:rsidR="003F13E5" w:rsidRDefault="00EB38E1" w:rsidP="000C6B83">
      <w:pPr>
        <w:pStyle w:val="Heading5"/>
        <w:rPr>
          <w:lang w:eastAsia="ja-JP"/>
        </w:rPr>
      </w:pPr>
      <w:bookmarkStart w:id="220" w:name="_Toc134441382"/>
      <w:bookmarkStart w:id="221" w:name="_Toc134441384"/>
      <w:bookmarkStart w:id="222" w:name="_Toc134441385"/>
      <w:bookmarkStart w:id="223" w:name="_Toc134441386"/>
      <w:bookmarkStart w:id="224" w:name="_Toc134441387"/>
      <w:bookmarkStart w:id="225" w:name="_Toc134441388"/>
      <w:bookmarkStart w:id="226" w:name="_Toc134441389"/>
      <w:bookmarkStart w:id="227" w:name="_Toc134441422"/>
      <w:bookmarkStart w:id="228" w:name="_Toc134441423"/>
      <w:bookmarkStart w:id="229" w:name="_Toc134441424"/>
      <w:bookmarkStart w:id="230" w:name="_Toc134441443"/>
      <w:bookmarkStart w:id="231" w:name="_Toc134441444"/>
      <w:bookmarkStart w:id="232" w:name="_Toc134441445"/>
      <w:bookmarkStart w:id="233" w:name="_Toc134441446"/>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lang w:eastAsia="ja-JP"/>
        </w:rPr>
        <w:t>Source</w:t>
      </w:r>
    </w:p>
    <w:p w14:paraId="03F59E7A" w14:textId="77777777" w:rsidR="0098444A" w:rsidRDefault="00EB38E1" w:rsidP="0098444A">
      <w:r>
        <w:t>T</w:t>
      </w:r>
      <w:r w:rsidR="00562899">
        <w:t>DS</w:t>
      </w:r>
      <w:r>
        <w:t xml:space="preserve"> is a measure of all inorganic salts dissolved in water. TDS are any ions smaller than 2</w:t>
      </w:r>
      <w:r w:rsidR="00B51486">
        <w:t> </w:t>
      </w:r>
      <w:r>
        <w:t xml:space="preserve">µm including chlorides, carbonates, nitrates and </w:t>
      </w:r>
      <w:proofErr w:type="spellStart"/>
      <w:r>
        <w:t>sul</w:t>
      </w:r>
      <w:r w:rsidR="00AF7A4B">
        <w:t>f</w:t>
      </w:r>
      <w:r>
        <w:t>ates</w:t>
      </w:r>
      <w:proofErr w:type="spellEnd"/>
      <w:r>
        <w:t xml:space="preserve"> of calcium, magnesium, sodium, and potassium. The mass of dissolved salts in water is a measure of salinity.</w:t>
      </w:r>
    </w:p>
    <w:p w14:paraId="03F59E7B" w14:textId="77777777" w:rsidR="009145A6" w:rsidRDefault="00EB38E1" w:rsidP="00C1087A">
      <w:r>
        <w:rPr>
          <w:lang w:val="en-GB"/>
        </w:rPr>
        <w:t>S</w:t>
      </w:r>
      <w:r w:rsidRPr="0056438C">
        <w:rPr>
          <w:lang w:val="en-GB"/>
        </w:rPr>
        <w:t>alts</w:t>
      </w:r>
      <w:r>
        <w:rPr>
          <w:lang w:val="en-GB"/>
        </w:rPr>
        <w:t xml:space="preserve"> are</w:t>
      </w:r>
      <w:r w:rsidRPr="0056438C">
        <w:rPr>
          <w:lang w:val="en-GB"/>
        </w:rPr>
        <w:t xml:space="preserve"> </w:t>
      </w:r>
      <w:r w:rsidRPr="0056438C">
        <w:rPr>
          <w:spacing w:val="-3"/>
          <w:lang w:val="en-GB"/>
        </w:rPr>
        <w:t>derive</w:t>
      </w:r>
      <w:r>
        <w:rPr>
          <w:spacing w:val="-3"/>
          <w:lang w:val="en-GB"/>
        </w:rPr>
        <w:t>d</w:t>
      </w:r>
      <w:r w:rsidRPr="0056438C">
        <w:rPr>
          <w:spacing w:val="-3"/>
          <w:lang w:val="en-GB"/>
        </w:rPr>
        <w:t xml:space="preserve"> </w:t>
      </w:r>
      <w:r w:rsidRPr="0056438C">
        <w:rPr>
          <w:lang w:val="en-GB"/>
        </w:rPr>
        <w:t xml:space="preserve">from the weathering of the </w:t>
      </w:r>
      <w:r w:rsidR="00D06F7F">
        <w:rPr>
          <w:lang w:val="en-GB"/>
        </w:rPr>
        <w:t>E</w:t>
      </w:r>
      <w:r w:rsidRPr="0056438C">
        <w:rPr>
          <w:lang w:val="en-GB"/>
        </w:rPr>
        <w:t xml:space="preserve">arth’s crust and are transported </w:t>
      </w:r>
      <w:r w:rsidRPr="0056438C">
        <w:rPr>
          <w:spacing w:val="-2"/>
          <w:lang w:val="en-GB"/>
        </w:rPr>
        <w:t xml:space="preserve">and </w:t>
      </w:r>
      <w:r w:rsidRPr="0056438C">
        <w:rPr>
          <w:spacing w:val="-3"/>
          <w:lang w:val="en-GB"/>
        </w:rPr>
        <w:t>cycled</w:t>
      </w:r>
      <w:r>
        <w:rPr>
          <w:spacing w:val="-3"/>
          <w:lang w:val="en-GB"/>
        </w:rPr>
        <w:t xml:space="preserve"> in the broader environment</w:t>
      </w:r>
      <w:r w:rsidRPr="0056438C">
        <w:rPr>
          <w:spacing w:val="-3"/>
          <w:lang w:val="en-GB"/>
        </w:rPr>
        <w:t xml:space="preserve"> through rainfall </w:t>
      </w:r>
      <w:r w:rsidRPr="0056438C">
        <w:rPr>
          <w:lang w:val="en-GB"/>
        </w:rPr>
        <w:t xml:space="preserve">and the </w:t>
      </w:r>
      <w:r w:rsidRPr="0056438C">
        <w:rPr>
          <w:spacing w:val="-4"/>
          <w:lang w:val="en-GB"/>
        </w:rPr>
        <w:t xml:space="preserve">movement </w:t>
      </w:r>
      <w:r w:rsidRPr="0056438C">
        <w:rPr>
          <w:lang w:val="en-GB"/>
        </w:rPr>
        <w:t xml:space="preserve">of </w:t>
      </w:r>
      <w:r w:rsidRPr="0056438C">
        <w:rPr>
          <w:spacing w:val="-3"/>
          <w:lang w:val="en-GB"/>
        </w:rPr>
        <w:t xml:space="preserve">water. </w:t>
      </w:r>
      <w:r w:rsidR="002D2750">
        <w:t xml:space="preserve">The concentration of TDS in natural waters ranges widely, from &lt;1 mg/L in rainwater to </w:t>
      </w:r>
      <w:r w:rsidR="00B51486">
        <w:t>35,</w:t>
      </w:r>
      <w:r w:rsidR="002D2750">
        <w:t xml:space="preserve">000 mg/L in seawater. The TDS of natural waters reflects the geology of source areas; the major contributing ions are typically the cations calcium, magnesium, sodium and potassium, and the anions bicarbonate, chloride, </w:t>
      </w:r>
      <w:proofErr w:type="spellStart"/>
      <w:r w:rsidR="002D2750">
        <w:t>sulfate</w:t>
      </w:r>
      <w:proofErr w:type="spellEnd"/>
      <w:r w:rsidR="002D2750">
        <w:t xml:space="preserve"> and</w:t>
      </w:r>
      <w:r w:rsidR="00421537">
        <w:t>,</w:t>
      </w:r>
      <w:r w:rsidR="002D2750">
        <w:t xml:space="preserve"> in some cases, nitrate.</w:t>
      </w:r>
    </w:p>
    <w:p w14:paraId="03F59E7C" w14:textId="6EEDE9FA" w:rsidR="009145A6" w:rsidRDefault="00EB38E1" w:rsidP="00C1087A">
      <w:r>
        <w:t xml:space="preserve">Surface waters generally have lower TDS concentrations than groundwaters. In streams, TDS can increase through the continual addition of salts </w:t>
      </w:r>
      <w:r w:rsidR="00B51486">
        <w:t xml:space="preserve">from </w:t>
      </w:r>
      <w:r>
        <w:t xml:space="preserve">both natural weathering processes and human activities, such as discharges of domestic and industrial effluents and </w:t>
      </w:r>
      <w:r w:rsidR="00AA0DF2">
        <w:t>run-off</w:t>
      </w:r>
      <w:r>
        <w:t xml:space="preserve"> from urban and rural areas. </w:t>
      </w:r>
      <w:r w:rsidR="00421537">
        <w:t xml:space="preserve">TDS concentrations </w:t>
      </w:r>
      <w:r>
        <w:t xml:space="preserve">in </w:t>
      </w:r>
      <w:r w:rsidR="00B51486">
        <w:t xml:space="preserve">surface water storages such as </w:t>
      </w:r>
      <w:r>
        <w:t xml:space="preserve">dams, lakes and water troughs can increase due to evaporation, particularly if </w:t>
      </w:r>
      <w:r w:rsidR="00B51486">
        <w:t xml:space="preserve">they are </w:t>
      </w:r>
      <w:r>
        <w:t>not flushed regularly</w:t>
      </w:r>
      <w:r w:rsidR="00B51486">
        <w:t xml:space="preserve"> with fresh water</w:t>
      </w:r>
      <w:r>
        <w:t>. In still water</w:t>
      </w:r>
      <w:r w:rsidR="00421537">
        <w:t>,</w:t>
      </w:r>
      <w:r>
        <w:t xml:space="preserve"> </w:t>
      </w:r>
      <w:r w:rsidR="00421537">
        <w:t xml:space="preserve">water </w:t>
      </w:r>
      <w:r w:rsidR="00B51486">
        <w:t xml:space="preserve">at the </w:t>
      </w:r>
      <w:r w:rsidR="00E83008">
        <w:t>lower levels (</w:t>
      </w:r>
      <w:r w:rsidR="00B51486">
        <w:t>bottom</w:t>
      </w:r>
      <w:r w:rsidR="00E83008">
        <w:t xml:space="preserve"> of the storage)</w:t>
      </w:r>
      <w:r w:rsidR="00B51486">
        <w:t xml:space="preserve"> </w:t>
      </w:r>
      <w:r>
        <w:t>can have much higher salinity</w:t>
      </w:r>
      <w:r w:rsidR="00421537">
        <w:t>,</w:t>
      </w:r>
      <w:r>
        <w:t xml:space="preserve"> </w:t>
      </w:r>
      <w:r w:rsidR="0030730B">
        <w:t xml:space="preserve">and these levels </w:t>
      </w:r>
      <w:r>
        <w:t>can be exposed by evaporation.</w:t>
      </w:r>
    </w:p>
    <w:p w14:paraId="03F59E7D" w14:textId="77777777" w:rsidR="00131E39" w:rsidRDefault="00EB38E1" w:rsidP="000C6B83">
      <w:pPr>
        <w:pStyle w:val="Heading5"/>
        <w:rPr>
          <w:lang w:eastAsia="ja-JP"/>
        </w:rPr>
      </w:pPr>
      <w:r>
        <w:rPr>
          <w:lang w:eastAsia="ja-JP"/>
        </w:rPr>
        <w:t>Effects on a</w:t>
      </w:r>
      <w:r w:rsidRPr="004508FF">
        <w:rPr>
          <w:lang w:eastAsia="ja-JP"/>
        </w:rPr>
        <w:t>nimal health</w:t>
      </w:r>
    </w:p>
    <w:p w14:paraId="03F59E7E" w14:textId="4FD89259" w:rsidR="00A06B7A" w:rsidRDefault="00EB38E1" w:rsidP="00C1087A">
      <w:r>
        <w:t>W</w:t>
      </w:r>
      <w:r w:rsidR="002D2750">
        <w:t xml:space="preserve">ater </w:t>
      </w:r>
      <w:r>
        <w:t xml:space="preserve">with high TDS concentrations </w:t>
      </w:r>
      <w:r w:rsidR="002D2750">
        <w:t xml:space="preserve">can cause physiological </w:t>
      </w:r>
      <w:r w:rsidR="00D77DF0">
        <w:t xml:space="preserve">problems </w:t>
      </w:r>
      <w:r w:rsidR="002D2750">
        <w:t xml:space="preserve">and sometimes death in </w:t>
      </w:r>
      <w:r w:rsidR="00E83008">
        <w:t xml:space="preserve">land </w:t>
      </w:r>
      <w:r w:rsidR="002D2750">
        <w:t>animals. Animals under physiological stress</w:t>
      </w:r>
      <w:r w:rsidR="00D77DF0">
        <w:t xml:space="preserve"> (</w:t>
      </w:r>
      <w:proofErr w:type="gramStart"/>
      <w:r w:rsidR="00D77DF0">
        <w:t>e.g.</w:t>
      </w:r>
      <w:proofErr w:type="gramEnd"/>
      <w:r w:rsidR="002D2750">
        <w:t xml:space="preserve"> due to pregnancy, lactation, rapid growth or temporary water deprivation</w:t>
      </w:r>
      <w:r w:rsidR="00D77DF0">
        <w:t>)</w:t>
      </w:r>
      <w:r w:rsidR="002D2750">
        <w:t xml:space="preserve"> are particularly susceptible to mineral imbalances and salt poisoning.</w:t>
      </w:r>
      <w:r w:rsidR="0016293C">
        <w:t xml:space="preserve"> However, </w:t>
      </w:r>
      <w:r w:rsidR="0016293C" w:rsidRPr="007D4FCE">
        <w:t xml:space="preserve">unless they have been previously deprived of water, animals can </w:t>
      </w:r>
      <w:r w:rsidR="00A07E18" w:rsidRPr="007D4FCE">
        <w:t>drink</w:t>
      </w:r>
      <w:r w:rsidR="0016293C" w:rsidRPr="007D4FCE">
        <w:t xml:space="preserve"> moderate amounts of highly saline water for a few days without being harmed</w:t>
      </w:r>
      <w:r w:rsidR="00A07E18">
        <w:t xml:space="preserve"> (Ayers &amp; Westcot 1994)</w:t>
      </w:r>
      <w:r w:rsidR="00A07E18" w:rsidRPr="007D4FCE">
        <w:t>.</w:t>
      </w:r>
    </w:p>
    <w:p w14:paraId="089868E3" w14:textId="1BDDF015" w:rsidR="00AB2489" w:rsidRPr="00AB2489" w:rsidRDefault="00EB38E1" w:rsidP="002801C2">
      <w:pPr>
        <w:rPr>
          <w:rFonts w:ascii="Arial" w:hAnsi="Arial" w:cs="Arial"/>
          <w:sz w:val="20"/>
          <w:szCs w:val="20"/>
        </w:rPr>
      </w:pPr>
      <w:r>
        <w:t xml:space="preserve">Livestock generally find </w:t>
      </w:r>
      <w:r w:rsidR="00C27C19">
        <w:t>high-</w:t>
      </w:r>
      <w:r>
        <w:t xml:space="preserve">salinity </w:t>
      </w:r>
      <w:r w:rsidR="00D77DF0">
        <w:t xml:space="preserve">water </w:t>
      </w:r>
      <w:r>
        <w:t xml:space="preserve">unpalatable. </w:t>
      </w:r>
      <w:r w:rsidR="00AB2489" w:rsidRPr="00AB2489">
        <w:t xml:space="preserve">Urolithiasis </w:t>
      </w:r>
      <w:r w:rsidR="00F37B4F">
        <w:t xml:space="preserve">(kidney stones) </w:t>
      </w:r>
      <w:r w:rsidR="00AB2489" w:rsidRPr="00AB2489">
        <w:t xml:space="preserve">in ruminants is often associated with reduced water intake owing to poor palatability (Beggs 2014). In north Queensland it is seen in steers and </w:t>
      </w:r>
      <w:proofErr w:type="spellStart"/>
      <w:r w:rsidR="00AB2489" w:rsidRPr="00AB2489">
        <w:t>wethers</w:t>
      </w:r>
      <w:proofErr w:type="spellEnd"/>
      <w:r w:rsidR="00AB2489" w:rsidRPr="00AB2489">
        <w:t xml:space="preserve"> on bore water and mineral supplements towards the end of dry season. </w:t>
      </w:r>
    </w:p>
    <w:p w14:paraId="03F59E7F" w14:textId="1507A3EB" w:rsidR="00A06B7A" w:rsidRDefault="00EB38E1" w:rsidP="00C1087A">
      <w:r>
        <w:t xml:space="preserve">Water of marginal quality can cause gastrointestinal symptoms and </w:t>
      </w:r>
      <w:r w:rsidR="00D77DF0">
        <w:t>reduce</w:t>
      </w:r>
      <w:r>
        <w:t xml:space="preserve"> weight gain and milk or egg production. However, </w:t>
      </w:r>
      <w:r w:rsidR="00D77DF0">
        <w:t xml:space="preserve">to some extent, </w:t>
      </w:r>
      <w:r>
        <w:t xml:space="preserve">livestock can </w:t>
      </w:r>
      <w:r w:rsidR="00D77DF0">
        <w:t xml:space="preserve">physiologically </w:t>
      </w:r>
      <w:r>
        <w:t xml:space="preserve">acclimatise to </w:t>
      </w:r>
      <w:r w:rsidR="00D77DF0">
        <w:t>high</w:t>
      </w:r>
      <w:r w:rsidR="007A6B8D">
        <w:t>-salinity</w:t>
      </w:r>
      <w:r w:rsidR="00D77DF0">
        <w:t xml:space="preserve"> </w:t>
      </w:r>
      <w:r>
        <w:t xml:space="preserve">water when the </w:t>
      </w:r>
      <w:r w:rsidR="00D77DF0">
        <w:t xml:space="preserve">concentration </w:t>
      </w:r>
      <w:r>
        <w:t>is adjusted over several weeks.</w:t>
      </w:r>
    </w:p>
    <w:p w14:paraId="03F59E80" w14:textId="77777777" w:rsidR="00A06B7A" w:rsidRDefault="00EB38E1" w:rsidP="00C1087A">
      <w:r>
        <w:t>In dairy cattle, reduc</w:t>
      </w:r>
      <w:r w:rsidR="00D73224">
        <w:t>ed</w:t>
      </w:r>
      <w:r>
        <w:t xml:space="preserve"> milk production and </w:t>
      </w:r>
      <w:r w:rsidR="00D62027">
        <w:t xml:space="preserve">body weight </w:t>
      </w:r>
      <w:r>
        <w:t xml:space="preserve">gain have been reported at TDS </w:t>
      </w:r>
      <w:r w:rsidR="00D73224">
        <w:t xml:space="preserve">concentrations </w:t>
      </w:r>
      <w:r>
        <w:t>of 4</w:t>
      </w:r>
      <w:r w:rsidR="00E83008">
        <w:t>,</w:t>
      </w:r>
      <w:r>
        <w:t>360</w:t>
      </w:r>
      <w:r w:rsidR="00BB2232">
        <w:t> </w:t>
      </w:r>
      <w:r>
        <w:t>mg/</w:t>
      </w:r>
      <w:r w:rsidRPr="00F91856">
        <w:t>L (Challis et al. 1987)</w:t>
      </w:r>
      <w:r w:rsidR="001A7512" w:rsidRPr="00F91856">
        <w:t>,</w:t>
      </w:r>
      <w:r w:rsidRPr="00F91856">
        <w:t xml:space="preserve"> </w:t>
      </w:r>
      <w:r w:rsidR="00E83008" w:rsidRPr="00F91856">
        <w:t>3</w:t>
      </w:r>
      <w:r w:rsidR="00E83008">
        <w:t>,</w:t>
      </w:r>
      <w:r>
        <w:t>574</w:t>
      </w:r>
      <w:r w:rsidR="00BB2232">
        <w:t> </w:t>
      </w:r>
      <w:r>
        <w:t>mg</w:t>
      </w:r>
      <w:r w:rsidRPr="00DD527C">
        <w:t>/L (Solomon et al. 1995) and</w:t>
      </w:r>
      <w:r>
        <w:t xml:space="preserve"> </w:t>
      </w:r>
      <w:r w:rsidR="00E83008">
        <w:t>2,</w:t>
      </w:r>
      <w:r>
        <w:t>696</w:t>
      </w:r>
      <w:r w:rsidR="00BB2232">
        <w:t> </w:t>
      </w:r>
      <w:r>
        <w:t xml:space="preserve">mg/L </w:t>
      </w:r>
      <w:r w:rsidRPr="00D8408B">
        <w:t>(Jaster et al. 1978). Saul</w:t>
      </w:r>
      <w:r>
        <w:t xml:space="preserve"> and Flinn (1985) reported losses in animal production when </w:t>
      </w:r>
      <w:r w:rsidR="00FE50F8">
        <w:t>H</w:t>
      </w:r>
      <w:r w:rsidR="00D62027">
        <w:t xml:space="preserve">ereford </w:t>
      </w:r>
      <w:r>
        <w:t xml:space="preserve">heifers were introduced to water containing TDS </w:t>
      </w:r>
      <w:r w:rsidR="001A7512">
        <w:t xml:space="preserve">concentrations </w:t>
      </w:r>
      <w:r>
        <w:t xml:space="preserve">of </w:t>
      </w:r>
      <w:r w:rsidR="00E83008">
        <w:t>5,</w:t>
      </w:r>
      <w:r>
        <w:t>000</w:t>
      </w:r>
      <w:r w:rsidR="00BB2232">
        <w:t>–</w:t>
      </w:r>
      <w:r w:rsidR="00E83008">
        <w:t>11,</w:t>
      </w:r>
      <w:r>
        <w:t>000</w:t>
      </w:r>
      <w:r w:rsidR="00BB2232">
        <w:t> </w:t>
      </w:r>
      <w:r>
        <w:t>mg/L.</w:t>
      </w:r>
    </w:p>
    <w:p w14:paraId="03F59E81" w14:textId="77777777" w:rsidR="00D65D26" w:rsidRDefault="00EB38E1" w:rsidP="00FD2341">
      <w:r>
        <w:lastRenderedPageBreak/>
        <w:t xml:space="preserve">The tolerance of sheep to saline drinking water may depend on the type of forage consumed. Sheep raised in pens were shown to tolerate up to </w:t>
      </w:r>
      <w:r w:rsidR="00D62027">
        <w:t>13,</w:t>
      </w:r>
      <w:r>
        <w:t>000</w:t>
      </w:r>
      <w:r w:rsidR="00F843F7">
        <w:t> </w:t>
      </w:r>
      <w:r>
        <w:t xml:space="preserve">mg/L </w:t>
      </w:r>
      <w:r w:rsidRPr="005C3A9D">
        <w:t>TDS (Peirce 1966, 1968a).</w:t>
      </w:r>
      <w:r>
        <w:t xml:space="preserve"> However, with sheep raised on pasture, lambs </w:t>
      </w:r>
      <w:r w:rsidR="00E666C5">
        <w:t>experience</w:t>
      </w:r>
      <w:r>
        <w:t>d:</w:t>
      </w:r>
    </w:p>
    <w:p w14:paraId="03F59E82" w14:textId="77777777" w:rsidR="00D65D26" w:rsidRDefault="00EB38E1" w:rsidP="00D65D26">
      <w:pPr>
        <w:pStyle w:val="ListBullet"/>
        <w:rPr>
          <w:lang w:eastAsia="ja-JP"/>
        </w:rPr>
      </w:pPr>
      <w:r>
        <w:rPr>
          <w:lang w:eastAsia="ja-JP"/>
        </w:rPr>
        <w:t xml:space="preserve">diarrhoea, </w:t>
      </w:r>
      <w:proofErr w:type="gramStart"/>
      <w:r>
        <w:rPr>
          <w:lang w:eastAsia="ja-JP"/>
        </w:rPr>
        <w:t>mortality</w:t>
      </w:r>
      <w:proofErr w:type="gramEnd"/>
      <w:r>
        <w:rPr>
          <w:lang w:eastAsia="ja-JP"/>
        </w:rPr>
        <w:t xml:space="preserve"> and decreased body weight gains at </w:t>
      </w:r>
      <w:r w:rsidR="00E83008">
        <w:rPr>
          <w:lang w:eastAsia="ja-JP"/>
        </w:rPr>
        <w:t>13,</w:t>
      </w:r>
      <w:r>
        <w:rPr>
          <w:lang w:eastAsia="ja-JP"/>
        </w:rPr>
        <w:t>000</w:t>
      </w:r>
      <w:r w:rsidR="00F843F7">
        <w:rPr>
          <w:lang w:eastAsia="ja-JP"/>
        </w:rPr>
        <w:t> </w:t>
      </w:r>
      <w:r>
        <w:rPr>
          <w:lang w:eastAsia="ja-JP"/>
        </w:rPr>
        <w:t xml:space="preserve">mg/L </w:t>
      </w:r>
      <w:r w:rsidR="002F4DF7">
        <w:rPr>
          <w:lang w:eastAsia="ja-JP"/>
        </w:rPr>
        <w:t xml:space="preserve">of </w:t>
      </w:r>
      <w:r>
        <w:rPr>
          <w:lang w:eastAsia="ja-JP"/>
        </w:rPr>
        <w:t>TDS</w:t>
      </w:r>
    </w:p>
    <w:p w14:paraId="03F59E83" w14:textId="77777777" w:rsidR="00A06B7A" w:rsidRDefault="00EB38E1" w:rsidP="00FD2341">
      <w:pPr>
        <w:pStyle w:val="ListBullet"/>
        <w:spacing w:after="240"/>
        <w:rPr>
          <w:lang w:eastAsia="ja-JP"/>
        </w:rPr>
      </w:pPr>
      <w:r>
        <w:rPr>
          <w:lang w:eastAsia="ja-JP"/>
        </w:rPr>
        <w:t xml:space="preserve">reduced body weight gains and wool production at </w:t>
      </w:r>
      <w:r w:rsidR="00E83008">
        <w:rPr>
          <w:lang w:eastAsia="ja-JP"/>
        </w:rPr>
        <w:t>10,</w:t>
      </w:r>
      <w:r>
        <w:rPr>
          <w:lang w:eastAsia="ja-JP"/>
        </w:rPr>
        <w:t>000</w:t>
      </w:r>
      <w:r w:rsidR="00F843F7">
        <w:rPr>
          <w:lang w:eastAsia="ja-JP"/>
        </w:rPr>
        <w:t> </w:t>
      </w:r>
      <w:r>
        <w:rPr>
          <w:lang w:eastAsia="ja-JP"/>
        </w:rPr>
        <w:t xml:space="preserve">mg/L </w:t>
      </w:r>
      <w:r w:rsidR="00D65D26">
        <w:rPr>
          <w:lang w:eastAsia="ja-JP"/>
        </w:rPr>
        <w:t xml:space="preserve">of </w:t>
      </w:r>
      <w:r w:rsidRPr="005C3A9D">
        <w:rPr>
          <w:lang w:eastAsia="ja-JP"/>
        </w:rPr>
        <w:t>TDS (Peirce 1968b).</w:t>
      </w:r>
    </w:p>
    <w:p w14:paraId="03F59E84" w14:textId="77777777" w:rsidR="00A06B7A" w:rsidRDefault="00EB38E1" w:rsidP="00C1087A">
      <w:r>
        <w:t>In chickens, the incidence of eggshell defects (thin and cracked shells) significantly increased as mineral salts intake increased (</w:t>
      </w:r>
      <w:r w:rsidRPr="00A60CC9">
        <w:t>Balnave &amp; Scott 1986).</w:t>
      </w:r>
      <w:r>
        <w:t xml:space="preserve"> Municipal water supplemented with 250</w:t>
      </w:r>
      <w:r w:rsidR="00F843F7">
        <w:t> </w:t>
      </w:r>
      <w:r>
        <w:t xml:space="preserve">mg/L </w:t>
      </w:r>
      <w:r w:rsidR="00156799">
        <w:t xml:space="preserve">of </w:t>
      </w:r>
      <w:r>
        <w:t xml:space="preserve">sodium chloride </w:t>
      </w:r>
      <w:r w:rsidR="00D62027">
        <w:t xml:space="preserve">doubled the rate of </w:t>
      </w:r>
      <w:r>
        <w:t xml:space="preserve">shell defects, </w:t>
      </w:r>
      <w:r w:rsidR="00D62027">
        <w:t xml:space="preserve">and </w:t>
      </w:r>
      <w:r w:rsidR="00E83008">
        <w:t>2,</w:t>
      </w:r>
      <w:r>
        <w:t>000</w:t>
      </w:r>
      <w:r w:rsidR="00A874ED">
        <w:t> </w:t>
      </w:r>
      <w:r>
        <w:t xml:space="preserve">mg/L added to drinking water </w:t>
      </w:r>
      <w:r w:rsidR="00FE50F8">
        <w:t xml:space="preserve">resulted in defects in </w:t>
      </w:r>
      <w:r>
        <w:t>up to 50% of all eggs (</w:t>
      </w:r>
      <w:r w:rsidRPr="00A60CC9">
        <w:t xml:space="preserve">Balnave &amp; </w:t>
      </w:r>
      <w:proofErr w:type="spellStart"/>
      <w:r w:rsidRPr="00A60CC9">
        <w:t>Yoselwitz</w:t>
      </w:r>
      <w:proofErr w:type="spellEnd"/>
      <w:r w:rsidRPr="00A60CC9">
        <w:t xml:space="preserve"> 1987, </w:t>
      </w:r>
      <w:proofErr w:type="spellStart"/>
      <w:r w:rsidRPr="007C69AE">
        <w:t>Brackpool</w:t>
      </w:r>
      <w:proofErr w:type="spellEnd"/>
      <w:r w:rsidRPr="007C69AE">
        <w:t xml:space="preserve"> et al. 1996).</w:t>
      </w:r>
      <w:r>
        <w:t xml:space="preserve"> The adverse effect of drinking the saline water even for short periods during early lay</w:t>
      </w:r>
      <w:r w:rsidR="003F7769">
        <w:t>ing</w:t>
      </w:r>
      <w:r>
        <w:t xml:space="preserve"> was not overcome when the water supply was replaced with </w:t>
      </w:r>
      <w:r w:rsidR="00C27C19">
        <w:t>lower-</w:t>
      </w:r>
      <w:r>
        <w:t>salinity water (</w:t>
      </w:r>
      <w:r w:rsidRPr="00A60CC9">
        <w:t>Balnave &amp; Zhang 1998).</w:t>
      </w:r>
      <w:r>
        <w:t xml:space="preserve"> Equivalent </w:t>
      </w:r>
      <w:r w:rsidR="003F7769">
        <w:t xml:space="preserve">concentrations </w:t>
      </w:r>
      <w:r>
        <w:t xml:space="preserve">of sodium chloride in feed did not adversely affect eggshell quality </w:t>
      </w:r>
      <w:r w:rsidRPr="00242AAB">
        <w:t>(</w:t>
      </w:r>
      <w:proofErr w:type="spellStart"/>
      <w:r w:rsidRPr="00242AAB">
        <w:t>Yoselwitz</w:t>
      </w:r>
      <w:proofErr w:type="spellEnd"/>
      <w:r w:rsidRPr="00242AAB">
        <w:t xml:space="preserve"> &amp; Balnave 1989).</w:t>
      </w:r>
    </w:p>
    <w:p w14:paraId="03F59E85" w14:textId="4F2F2589" w:rsidR="00C84914" w:rsidRDefault="00EB38E1" w:rsidP="00C1087A">
      <w:r>
        <w:t xml:space="preserve">While increased water consumption and some initial </w:t>
      </w:r>
      <w:proofErr w:type="gramStart"/>
      <w:r>
        <w:t>diarrhoea</w:t>
      </w:r>
      <w:proofErr w:type="gramEnd"/>
      <w:r>
        <w:t xml:space="preserve"> are common when pigs are introduced to water containing &gt;</w:t>
      </w:r>
      <w:r w:rsidR="00FE50F8">
        <w:t>4,</w:t>
      </w:r>
      <w:r>
        <w:t>000</w:t>
      </w:r>
      <w:r w:rsidR="00F843F7">
        <w:t> </w:t>
      </w:r>
      <w:r>
        <w:t xml:space="preserve">mg/L </w:t>
      </w:r>
      <w:r w:rsidR="00253A2C">
        <w:t xml:space="preserve">of </w:t>
      </w:r>
      <w:r>
        <w:t xml:space="preserve">TDS, concentrations as </w:t>
      </w:r>
      <w:r w:rsidRPr="00527BF6">
        <w:t xml:space="preserve">high as </w:t>
      </w:r>
      <w:r w:rsidR="00E83008" w:rsidRPr="00527BF6">
        <w:t>6,</w:t>
      </w:r>
      <w:r w:rsidRPr="00527BF6">
        <w:t>000</w:t>
      </w:r>
      <w:r w:rsidR="00F843F7" w:rsidRPr="00527BF6">
        <w:t> </w:t>
      </w:r>
      <w:r w:rsidRPr="00527BF6">
        <w:t xml:space="preserve">mg/L </w:t>
      </w:r>
      <w:r w:rsidR="00253A2C" w:rsidRPr="00527BF6">
        <w:t xml:space="preserve">of </w:t>
      </w:r>
      <w:r w:rsidRPr="00527BF6">
        <w:t xml:space="preserve">TDS are unlikely to adversely affect pigs that have become accustomed to the water (Robards &amp; Radcliffe 1987, </w:t>
      </w:r>
      <w:r w:rsidRPr="00BB3E70">
        <w:t xml:space="preserve">Williams 1990). </w:t>
      </w:r>
      <w:r w:rsidR="00040E00">
        <w:t xml:space="preserve">Concentrations </w:t>
      </w:r>
      <w:r w:rsidR="00C27C19">
        <w:rPr>
          <w:rFonts w:cstheme="minorHAnsi"/>
        </w:rPr>
        <w:t>&gt;</w:t>
      </w:r>
      <w:r w:rsidR="00FE50F8">
        <w:t>7,</w:t>
      </w:r>
      <w:r>
        <w:t>000</w:t>
      </w:r>
      <w:r w:rsidR="00F843F7">
        <w:t> </w:t>
      </w:r>
      <w:r>
        <w:t>mg/L are considered unfit for pigs</w:t>
      </w:r>
      <w:r w:rsidR="00040E00">
        <w:t>,</w:t>
      </w:r>
      <w:r>
        <w:t xml:space="preserve"> and this threshold is lower </w:t>
      </w:r>
      <w:r w:rsidR="00040E00">
        <w:t>(</w:t>
      </w:r>
      <w:r>
        <w:t>5</w:t>
      </w:r>
      <w:r w:rsidR="00FE50F8">
        <w:t>,</w:t>
      </w:r>
      <w:r>
        <w:t>000</w:t>
      </w:r>
      <w:r w:rsidR="00F843F7">
        <w:t> </w:t>
      </w:r>
      <w:r>
        <w:t>mg/L</w:t>
      </w:r>
      <w:r w:rsidR="00040E00">
        <w:t>)</w:t>
      </w:r>
      <w:r>
        <w:t xml:space="preserve"> for pregnant and </w:t>
      </w:r>
      <w:r w:rsidRPr="00D82148">
        <w:t xml:space="preserve">lactating pigs (van </w:t>
      </w:r>
      <w:proofErr w:type="spellStart"/>
      <w:r w:rsidRPr="00D82148">
        <w:t>Heugten</w:t>
      </w:r>
      <w:proofErr w:type="spellEnd"/>
      <w:r w:rsidRPr="00D82148">
        <w:t xml:space="preserve"> 2000).</w:t>
      </w:r>
    </w:p>
    <w:p w14:paraId="03F59E86" w14:textId="77777777" w:rsidR="00AD5521" w:rsidRDefault="00EB38E1" w:rsidP="000C6B83">
      <w:pPr>
        <w:pStyle w:val="Heading5"/>
        <w:rPr>
          <w:lang w:eastAsia="ja-JP"/>
        </w:rPr>
      </w:pPr>
      <w:r>
        <w:rPr>
          <w:lang w:eastAsia="ja-JP"/>
        </w:rPr>
        <w:t>Derivation of guideline values</w:t>
      </w:r>
    </w:p>
    <w:p w14:paraId="03F59E87" w14:textId="77777777" w:rsidR="00AD5521" w:rsidRDefault="00EB38E1" w:rsidP="00C1087A">
      <w:r>
        <w:t xml:space="preserve">Salinity (TDS) is used throughout Australia as a guide to the suitability of </w:t>
      </w:r>
      <w:r w:rsidR="00725F85">
        <w:t xml:space="preserve">livestock drinking </w:t>
      </w:r>
      <w:r>
        <w:t>water.</w:t>
      </w:r>
    </w:p>
    <w:p w14:paraId="03F59E88" w14:textId="0E036DC2" w:rsidR="00AD5521" w:rsidRDefault="00C82950" w:rsidP="00C1087A">
      <w:r>
        <w:t>Table 3.8</w:t>
      </w:r>
      <w:r w:rsidR="006F2FF0">
        <w:t xml:space="preserve"> </w:t>
      </w:r>
      <w:r w:rsidR="00EB38E1">
        <w:t xml:space="preserve">summarises the salinity </w:t>
      </w:r>
      <w:r w:rsidR="00583F55">
        <w:t>guidelines for</w:t>
      </w:r>
      <w:r w:rsidR="00EB38E1">
        <w:t xml:space="preserve"> livestock (from </w:t>
      </w:r>
      <w:r w:rsidR="00EB38E1" w:rsidRPr="00F670F0">
        <w:t>ANZECC 1992)</w:t>
      </w:r>
      <w:r w:rsidR="00583F55" w:rsidRPr="00F670F0">
        <w:t>,</w:t>
      </w:r>
      <w:r w:rsidR="00583F55">
        <w:t xml:space="preserve"> and </w:t>
      </w:r>
      <w:r w:rsidR="00DC4DFE">
        <w:t>Table 3.</w:t>
      </w:r>
      <w:r w:rsidR="006F2FF0">
        <w:t xml:space="preserve">9 </w:t>
      </w:r>
      <w:r w:rsidR="00583F55">
        <w:t>summarises the guidelines for pigs</w:t>
      </w:r>
      <w:r w:rsidR="00EB38E1">
        <w:t>. The</w:t>
      </w:r>
      <w:r w:rsidR="00F93B54">
        <w:t>se</w:t>
      </w:r>
      <w:r w:rsidR="00EB38E1">
        <w:t xml:space="preserve"> guidelines are broadly consistent with those recommended in Canada (CCREM </w:t>
      </w:r>
      <w:r w:rsidR="007877C8">
        <w:t>2005</w:t>
      </w:r>
      <w:r w:rsidR="00EB38E1">
        <w:t xml:space="preserve">) and South Africa (DWAF 1996), although there are some differences in TDS concentration ranges for different types of livestock. In Canada, the maximum TDS </w:t>
      </w:r>
      <w:r w:rsidR="00F93B54">
        <w:t xml:space="preserve">concentration </w:t>
      </w:r>
      <w:r w:rsidR="00EB38E1">
        <w:t xml:space="preserve">recommended as safe for livestock consumption is </w:t>
      </w:r>
      <w:r w:rsidR="0030730B">
        <w:t>10,</w:t>
      </w:r>
      <w:r w:rsidR="00EB38E1">
        <w:t>000</w:t>
      </w:r>
      <w:r w:rsidR="00475825">
        <w:t> </w:t>
      </w:r>
      <w:r w:rsidR="00EB38E1">
        <w:t xml:space="preserve">mg/L (CCREM </w:t>
      </w:r>
      <w:r w:rsidR="00BA465D">
        <w:t>2005</w:t>
      </w:r>
      <w:r w:rsidR="00EB38E1">
        <w:t>).</w:t>
      </w:r>
    </w:p>
    <w:p w14:paraId="03F59E89" w14:textId="1436970F" w:rsidR="00F93B54" w:rsidRPr="00C32C13" w:rsidRDefault="00EB38E1" w:rsidP="00DF778F">
      <w:pPr>
        <w:pStyle w:val="Caption"/>
      </w:pPr>
      <w:bookmarkStart w:id="234" w:name="_Ref84839533"/>
      <w:bookmarkStart w:id="235" w:name="_Toc148089851"/>
      <w:r w:rsidRPr="00C32C13">
        <w:t>Table </w:t>
      </w:r>
      <w:bookmarkEnd w:id="234"/>
      <w:r w:rsidR="00A348FB" w:rsidRPr="00C32C13">
        <w:t>3.</w:t>
      </w:r>
      <w:r w:rsidR="006F2FF0">
        <w:t>8</w:t>
      </w:r>
      <w:r w:rsidR="006F2FF0" w:rsidRPr="00C32C13">
        <w:t xml:space="preserve"> </w:t>
      </w:r>
      <w:r w:rsidR="00C96DD7" w:rsidRPr="00C32C13">
        <w:t>Guideline values for</w:t>
      </w:r>
      <w:r w:rsidRPr="00C32C13">
        <w:t xml:space="preserve"> total dissolved solids in </w:t>
      </w:r>
      <w:r w:rsidR="00A45482" w:rsidRPr="00C32C13">
        <w:t xml:space="preserve">livestock </w:t>
      </w:r>
      <w:r w:rsidRPr="00C32C13">
        <w:t xml:space="preserve">drinking </w:t>
      </w:r>
      <w:proofErr w:type="gramStart"/>
      <w:r w:rsidRPr="00C32C13">
        <w:t>water</w:t>
      </w:r>
      <w:bookmarkEnd w:id="235"/>
      <w:proofErr w:type="gramEnd"/>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134"/>
        <w:gridCol w:w="2128"/>
        <w:gridCol w:w="2904"/>
        <w:gridCol w:w="2904"/>
      </w:tblGrid>
      <w:tr w:rsidR="008144DC" w14:paraId="03F59E8C" w14:textId="77777777" w:rsidTr="00583F55">
        <w:trPr>
          <w:cantSplit/>
          <w:trHeight w:val="53"/>
          <w:tblHeader/>
        </w:trPr>
        <w:tc>
          <w:tcPr>
            <w:tcW w:w="625" w:type="pct"/>
            <w:vMerge w:val="restart"/>
            <w:tcBorders>
              <w:top w:val="single" w:sz="12" w:space="0" w:color="auto"/>
            </w:tcBorders>
            <w:shd w:val="clear" w:color="auto" w:fill="auto"/>
          </w:tcPr>
          <w:p w14:paraId="03F59E8A" w14:textId="77777777" w:rsidR="00F93B54" w:rsidRPr="00E4556E" w:rsidRDefault="00EB38E1" w:rsidP="004827E1">
            <w:pPr>
              <w:pStyle w:val="TableHeading"/>
            </w:pPr>
            <w:r w:rsidRPr="00E4556E">
              <w:t>Livestock</w:t>
            </w:r>
          </w:p>
        </w:tc>
        <w:tc>
          <w:tcPr>
            <w:tcW w:w="4375" w:type="pct"/>
            <w:gridSpan w:val="3"/>
            <w:tcBorders>
              <w:top w:val="single" w:sz="12" w:space="0" w:color="auto"/>
            </w:tcBorders>
            <w:shd w:val="clear" w:color="auto" w:fill="auto"/>
          </w:tcPr>
          <w:p w14:paraId="03F59E8B" w14:textId="77777777" w:rsidR="00F93B54" w:rsidRPr="00E4556E" w:rsidRDefault="00EB38E1" w:rsidP="004827E1">
            <w:pPr>
              <w:pStyle w:val="TableHeading"/>
              <w:jc w:val="center"/>
            </w:pPr>
            <w:r w:rsidRPr="00E4556E">
              <w:t xml:space="preserve">Total </w:t>
            </w:r>
            <w:r w:rsidR="00C96DD7" w:rsidRPr="00E4556E">
              <w:t xml:space="preserve">dissolved solids </w:t>
            </w:r>
            <w:r w:rsidRPr="00E4556E">
              <w:t>(mg/L)</w:t>
            </w:r>
          </w:p>
        </w:tc>
      </w:tr>
      <w:tr w:rsidR="005328D3" w14:paraId="03F59E95" w14:textId="77777777" w:rsidTr="00583F55">
        <w:trPr>
          <w:cantSplit/>
          <w:trHeight w:val="986"/>
          <w:tblHeader/>
        </w:trPr>
        <w:tc>
          <w:tcPr>
            <w:tcW w:w="625" w:type="pct"/>
            <w:vMerge/>
            <w:tcBorders>
              <w:bottom w:val="single" w:sz="12" w:space="0" w:color="auto"/>
            </w:tcBorders>
            <w:shd w:val="clear" w:color="auto" w:fill="auto"/>
          </w:tcPr>
          <w:p w14:paraId="03F59E8D" w14:textId="77777777" w:rsidR="00F93B54" w:rsidRPr="00E4556E" w:rsidRDefault="00F93B54" w:rsidP="004827E1">
            <w:pPr>
              <w:pStyle w:val="TableHeading"/>
            </w:pPr>
          </w:p>
        </w:tc>
        <w:tc>
          <w:tcPr>
            <w:tcW w:w="1173" w:type="pct"/>
            <w:tcBorders>
              <w:bottom w:val="single" w:sz="12" w:space="0" w:color="auto"/>
            </w:tcBorders>
            <w:shd w:val="clear" w:color="auto" w:fill="auto"/>
          </w:tcPr>
          <w:p w14:paraId="03F59E8E" w14:textId="77777777" w:rsidR="00F93B54" w:rsidRPr="00E4556E" w:rsidRDefault="00EB38E1" w:rsidP="007B7F9A">
            <w:pPr>
              <w:pStyle w:val="TableHeading"/>
            </w:pPr>
            <w:r w:rsidRPr="00E4556E">
              <w:t>No adverse effects expected</w:t>
            </w:r>
          </w:p>
        </w:tc>
        <w:tc>
          <w:tcPr>
            <w:tcW w:w="1601" w:type="pct"/>
            <w:tcBorders>
              <w:bottom w:val="single" w:sz="12" w:space="0" w:color="auto"/>
            </w:tcBorders>
            <w:shd w:val="clear" w:color="auto" w:fill="auto"/>
          </w:tcPr>
          <w:p w14:paraId="03F59E8F" w14:textId="77777777" w:rsidR="00A45482" w:rsidRDefault="00EB38E1" w:rsidP="007B7F9A">
            <w:pPr>
              <w:pStyle w:val="TableHeading"/>
            </w:pPr>
            <w:r>
              <w:t>Livestock</w:t>
            </w:r>
            <w:r w:rsidR="00F93B54" w:rsidRPr="00E4556E">
              <w:t xml:space="preserve"> may </w:t>
            </w:r>
            <w:r>
              <w:t>be reluctant</w:t>
            </w:r>
            <w:r w:rsidR="00F93B54" w:rsidRPr="00E4556E">
              <w:t xml:space="preserve"> to </w:t>
            </w:r>
            <w:proofErr w:type="gramStart"/>
            <w:r w:rsidR="00F93B54" w:rsidRPr="00E4556E">
              <w:t>drink</w:t>
            </w:r>
            <w:proofErr w:type="gramEnd"/>
          </w:p>
          <w:p w14:paraId="03F59E90" w14:textId="77777777" w:rsidR="00A45482" w:rsidRDefault="00EB38E1" w:rsidP="007B7F9A">
            <w:pPr>
              <w:pStyle w:val="TableHeading"/>
            </w:pPr>
            <w:r>
              <w:t>M</w:t>
            </w:r>
            <w:r w:rsidRPr="00E4556E">
              <w:t xml:space="preserve">ay be some </w:t>
            </w:r>
            <w:proofErr w:type="gramStart"/>
            <w:r w:rsidRPr="00E4556E">
              <w:t>scouring</w:t>
            </w:r>
            <w:proofErr w:type="gramEnd"/>
          </w:p>
          <w:p w14:paraId="03F59E91" w14:textId="77777777" w:rsidR="00F93B54" w:rsidRPr="00E4556E" w:rsidRDefault="00EB38E1" w:rsidP="007B7F9A">
            <w:pPr>
              <w:pStyle w:val="TableHeading"/>
            </w:pPr>
            <w:r>
              <w:t>Livestock</w:t>
            </w:r>
            <w:r w:rsidR="00A23DCA">
              <w:t xml:space="preserve"> </w:t>
            </w:r>
            <w:r w:rsidR="002D2750" w:rsidRPr="00E4556E">
              <w:t>should adapt without loss of production</w:t>
            </w:r>
          </w:p>
        </w:tc>
        <w:tc>
          <w:tcPr>
            <w:tcW w:w="1601" w:type="pct"/>
            <w:tcBorders>
              <w:bottom w:val="single" w:sz="12" w:space="0" w:color="auto"/>
            </w:tcBorders>
            <w:shd w:val="clear" w:color="auto" w:fill="auto"/>
          </w:tcPr>
          <w:p w14:paraId="03F59E92" w14:textId="77777777" w:rsidR="00A45482" w:rsidRDefault="00EB38E1" w:rsidP="007B7F9A">
            <w:pPr>
              <w:pStyle w:val="TableHeading"/>
            </w:pPr>
            <w:r w:rsidRPr="00E4556E">
              <w:t>Loss of production</w:t>
            </w:r>
          </w:p>
          <w:p w14:paraId="03F59E93" w14:textId="77777777" w:rsidR="00A45482" w:rsidRDefault="00EB38E1" w:rsidP="007B7F9A">
            <w:pPr>
              <w:pStyle w:val="TableHeading"/>
            </w:pPr>
            <w:r>
              <w:t>D</w:t>
            </w:r>
            <w:r w:rsidRPr="00E4556E">
              <w:t xml:space="preserve">ecline in </w:t>
            </w:r>
            <w:r>
              <w:t>livestock</w:t>
            </w:r>
            <w:r w:rsidRPr="00E4556E">
              <w:t xml:space="preserve"> condition and </w:t>
            </w:r>
            <w:proofErr w:type="gramStart"/>
            <w:r w:rsidRPr="00E4556E">
              <w:t>health</w:t>
            </w:r>
            <w:proofErr w:type="gramEnd"/>
          </w:p>
          <w:p w14:paraId="03F59E94" w14:textId="77777777" w:rsidR="00F93B54" w:rsidRPr="00E4556E" w:rsidRDefault="00EB38E1" w:rsidP="007B7F9A">
            <w:pPr>
              <w:pStyle w:val="TableHeading"/>
            </w:pPr>
            <w:r>
              <w:t>Lives</w:t>
            </w:r>
            <w:r w:rsidR="002D2750" w:rsidRPr="00E4556E">
              <w:t>tock may tolerate for short periods if introduced gradually</w:t>
            </w:r>
          </w:p>
        </w:tc>
      </w:tr>
      <w:tr w:rsidR="005328D3" w14:paraId="03F59E9A" w14:textId="77777777" w:rsidTr="00583F55">
        <w:trPr>
          <w:cantSplit/>
          <w:trHeight w:val="80"/>
        </w:trPr>
        <w:tc>
          <w:tcPr>
            <w:tcW w:w="625" w:type="pct"/>
            <w:tcBorders>
              <w:top w:val="single" w:sz="12" w:space="0" w:color="auto"/>
            </w:tcBorders>
            <w:shd w:val="clear" w:color="auto" w:fill="auto"/>
          </w:tcPr>
          <w:p w14:paraId="03F59E96" w14:textId="77777777" w:rsidR="00F93B54" w:rsidRPr="00E4556E" w:rsidRDefault="00EB38E1" w:rsidP="004827E1">
            <w:pPr>
              <w:pStyle w:val="TableText"/>
            </w:pPr>
            <w:r w:rsidRPr="00E4556E">
              <w:t>Beef cattle</w:t>
            </w:r>
          </w:p>
        </w:tc>
        <w:tc>
          <w:tcPr>
            <w:tcW w:w="1173" w:type="pct"/>
            <w:tcBorders>
              <w:top w:val="single" w:sz="12" w:space="0" w:color="auto"/>
            </w:tcBorders>
            <w:shd w:val="clear" w:color="auto" w:fill="auto"/>
          </w:tcPr>
          <w:p w14:paraId="03F59E97" w14:textId="77777777" w:rsidR="00F93B54" w:rsidRPr="00E4556E" w:rsidRDefault="00EB38E1" w:rsidP="00B60117">
            <w:pPr>
              <w:pStyle w:val="TableText"/>
            </w:pPr>
            <w:r w:rsidRPr="00E4556E">
              <w:t>0</w:t>
            </w:r>
            <w:r>
              <w:t>–</w:t>
            </w:r>
            <w:r w:rsidRPr="00E4556E">
              <w:t>4</w:t>
            </w:r>
            <w:r w:rsidR="003312B1">
              <w:t>,</w:t>
            </w:r>
            <w:r w:rsidRPr="00E4556E">
              <w:t>000</w:t>
            </w:r>
          </w:p>
        </w:tc>
        <w:tc>
          <w:tcPr>
            <w:tcW w:w="1601" w:type="pct"/>
            <w:tcBorders>
              <w:top w:val="single" w:sz="12" w:space="0" w:color="auto"/>
            </w:tcBorders>
            <w:shd w:val="clear" w:color="auto" w:fill="auto"/>
          </w:tcPr>
          <w:p w14:paraId="03F59E98" w14:textId="77777777" w:rsidR="00F93B54" w:rsidRPr="00E4556E" w:rsidRDefault="00EB38E1" w:rsidP="00B60117">
            <w:pPr>
              <w:pStyle w:val="TableText"/>
            </w:pPr>
            <w:r w:rsidRPr="00E4556E">
              <w:t>4</w:t>
            </w:r>
            <w:r w:rsidR="003312B1">
              <w:t>,</w:t>
            </w:r>
            <w:r w:rsidRPr="00E4556E">
              <w:t>000</w:t>
            </w:r>
            <w:r>
              <w:t>–</w:t>
            </w:r>
            <w:r w:rsidRPr="00E4556E">
              <w:t>5</w:t>
            </w:r>
            <w:r w:rsidR="003312B1">
              <w:t>,</w:t>
            </w:r>
            <w:r w:rsidRPr="00E4556E">
              <w:t>000</w:t>
            </w:r>
          </w:p>
        </w:tc>
        <w:tc>
          <w:tcPr>
            <w:tcW w:w="1601" w:type="pct"/>
            <w:tcBorders>
              <w:top w:val="single" w:sz="12" w:space="0" w:color="auto"/>
            </w:tcBorders>
            <w:shd w:val="clear" w:color="auto" w:fill="auto"/>
          </w:tcPr>
          <w:p w14:paraId="03F59E99" w14:textId="77777777" w:rsidR="00F93B54" w:rsidRPr="00E4556E" w:rsidRDefault="00EB38E1" w:rsidP="00B60117">
            <w:pPr>
              <w:pStyle w:val="TableText"/>
            </w:pPr>
            <w:r w:rsidRPr="00E4556E">
              <w:t>5</w:t>
            </w:r>
            <w:r w:rsidR="003312B1">
              <w:t>,</w:t>
            </w:r>
            <w:r w:rsidRPr="00E4556E">
              <w:t>000</w:t>
            </w:r>
            <w:r>
              <w:t>–</w:t>
            </w:r>
            <w:r w:rsidRPr="00E4556E">
              <w:t>10</w:t>
            </w:r>
            <w:r w:rsidR="00E5597A">
              <w:t>,</w:t>
            </w:r>
            <w:r w:rsidRPr="00E4556E">
              <w:t>000</w:t>
            </w:r>
          </w:p>
        </w:tc>
      </w:tr>
      <w:tr w:rsidR="005328D3" w14:paraId="03F59E9F" w14:textId="77777777" w:rsidTr="00583F55">
        <w:trPr>
          <w:cantSplit/>
        </w:trPr>
        <w:tc>
          <w:tcPr>
            <w:tcW w:w="625" w:type="pct"/>
            <w:shd w:val="clear" w:color="auto" w:fill="auto"/>
          </w:tcPr>
          <w:p w14:paraId="03F59E9B" w14:textId="77777777" w:rsidR="00F93B54" w:rsidRPr="00E4556E" w:rsidRDefault="00EB38E1" w:rsidP="004827E1">
            <w:pPr>
              <w:pStyle w:val="TableText"/>
            </w:pPr>
            <w:r w:rsidRPr="00E4556E">
              <w:t>Dairy cattle</w:t>
            </w:r>
          </w:p>
        </w:tc>
        <w:tc>
          <w:tcPr>
            <w:tcW w:w="1173" w:type="pct"/>
            <w:shd w:val="clear" w:color="auto" w:fill="auto"/>
          </w:tcPr>
          <w:p w14:paraId="03F59E9C" w14:textId="77777777" w:rsidR="00F93B54" w:rsidRPr="00E4556E" w:rsidRDefault="00EB38E1" w:rsidP="00B60117">
            <w:pPr>
              <w:pStyle w:val="TableText"/>
            </w:pPr>
            <w:r w:rsidRPr="00E4556E">
              <w:t>0</w:t>
            </w:r>
            <w:r>
              <w:t>–</w:t>
            </w:r>
            <w:r w:rsidRPr="00E4556E">
              <w:t>2</w:t>
            </w:r>
            <w:r w:rsidR="003312B1">
              <w:t>,</w:t>
            </w:r>
            <w:r w:rsidRPr="00E4556E">
              <w:t>400</w:t>
            </w:r>
          </w:p>
        </w:tc>
        <w:tc>
          <w:tcPr>
            <w:tcW w:w="1601" w:type="pct"/>
            <w:shd w:val="clear" w:color="auto" w:fill="auto"/>
          </w:tcPr>
          <w:p w14:paraId="03F59E9D" w14:textId="77777777" w:rsidR="00F93B54" w:rsidRPr="00E4556E" w:rsidRDefault="00EB38E1" w:rsidP="00B60117">
            <w:pPr>
              <w:pStyle w:val="TableText"/>
            </w:pPr>
            <w:r w:rsidRPr="00E4556E">
              <w:t>2</w:t>
            </w:r>
            <w:r w:rsidR="003312B1">
              <w:t>,</w:t>
            </w:r>
            <w:r w:rsidRPr="00E4556E">
              <w:t>400</w:t>
            </w:r>
            <w:r>
              <w:t>–</w:t>
            </w:r>
            <w:r w:rsidRPr="00E4556E">
              <w:t>4</w:t>
            </w:r>
            <w:r w:rsidR="003312B1">
              <w:t>,</w:t>
            </w:r>
            <w:r w:rsidRPr="00E4556E">
              <w:t>000</w:t>
            </w:r>
          </w:p>
        </w:tc>
        <w:tc>
          <w:tcPr>
            <w:tcW w:w="1601" w:type="pct"/>
            <w:shd w:val="clear" w:color="auto" w:fill="auto"/>
          </w:tcPr>
          <w:p w14:paraId="03F59E9E" w14:textId="77777777" w:rsidR="00F93B54" w:rsidRPr="00E4556E" w:rsidRDefault="00EB38E1" w:rsidP="00B60117">
            <w:pPr>
              <w:pStyle w:val="TableText"/>
            </w:pPr>
            <w:r w:rsidRPr="00E4556E">
              <w:t>4</w:t>
            </w:r>
            <w:r w:rsidR="003312B1">
              <w:t>,</w:t>
            </w:r>
            <w:r w:rsidRPr="00E4556E">
              <w:t>000</w:t>
            </w:r>
            <w:r>
              <w:t>–</w:t>
            </w:r>
            <w:r w:rsidRPr="00E4556E">
              <w:t>7</w:t>
            </w:r>
            <w:r w:rsidR="00E5597A">
              <w:t>,</w:t>
            </w:r>
            <w:r w:rsidRPr="00E4556E">
              <w:t>000</w:t>
            </w:r>
          </w:p>
        </w:tc>
      </w:tr>
      <w:tr w:rsidR="005328D3" w14:paraId="03F59EA4" w14:textId="77777777" w:rsidTr="00583F55">
        <w:trPr>
          <w:cantSplit/>
        </w:trPr>
        <w:tc>
          <w:tcPr>
            <w:tcW w:w="625" w:type="pct"/>
            <w:shd w:val="clear" w:color="auto" w:fill="auto"/>
          </w:tcPr>
          <w:p w14:paraId="03F59EA0" w14:textId="77777777" w:rsidR="00F93B54" w:rsidRPr="00E4556E" w:rsidRDefault="00EB38E1" w:rsidP="004827E1">
            <w:pPr>
              <w:pStyle w:val="TableText"/>
            </w:pPr>
            <w:r w:rsidRPr="00E4556E">
              <w:t xml:space="preserve">Sheep </w:t>
            </w:r>
          </w:p>
        </w:tc>
        <w:tc>
          <w:tcPr>
            <w:tcW w:w="1173" w:type="pct"/>
            <w:shd w:val="clear" w:color="auto" w:fill="auto"/>
          </w:tcPr>
          <w:p w14:paraId="03F59EA1" w14:textId="77777777" w:rsidR="00F93B54" w:rsidRPr="00E4556E" w:rsidRDefault="00EB38E1" w:rsidP="00B60117">
            <w:pPr>
              <w:pStyle w:val="TableText"/>
            </w:pPr>
            <w:r w:rsidRPr="00E4556E">
              <w:t>0</w:t>
            </w:r>
            <w:r>
              <w:t>–</w:t>
            </w:r>
            <w:r w:rsidRPr="00E4556E">
              <w:t>4</w:t>
            </w:r>
            <w:r w:rsidR="003312B1">
              <w:t>,</w:t>
            </w:r>
            <w:r w:rsidRPr="00E4556E">
              <w:t>000</w:t>
            </w:r>
          </w:p>
        </w:tc>
        <w:tc>
          <w:tcPr>
            <w:tcW w:w="1601" w:type="pct"/>
            <w:shd w:val="clear" w:color="auto" w:fill="auto"/>
          </w:tcPr>
          <w:p w14:paraId="03F59EA2" w14:textId="77777777" w:rsidR="00F93B54" w:rsidRPr="00E4556E" w:rsidRDefault="00EB38E1" w:rsidP="00B60117">
            <w:pPr>
              <w:pStyle w:val="TableText"/>
            </w:pPr>
            <w:r w:rsidRPr="00E4556E">
              <w:t>4</w:t>
            </w:r>
            <w:r w:rsidR="003312B1">
              <w:t>,</w:t>
            </w:r>
            <w:r w:rsidRPr="00E4556E">
              <w:t>000</w:t>
            </w:r>
            <w:r>
              <w:t>–</w:t>
            </w:r>
            <w:r w:rsidRPr="00E4556E">
              <w:t>1</w:t>
            </w:r>
            <w:r w:rsidR="003312B1">
              <w:t>,</w:t>
            </w:r>
            <w:r>
              <w:t> </w:t>
            </w:r>
            <w:r w:rsidRPr="00E4556E">
              <w:t>000</w:t>
            </w:r>
          </w:p>
        </w:tc>
        <w:tc>
          <w:tcPr>
            <w:tcW w:w="1601" w:type="pct"/>
            <w:shd w:val="clear" w:color="auto" w:fill="auto"/>
          </w:tcPr>
          <w:p w14:paraId="03F59EA3" w14:textId="34966BC4" w:rsidR="00F93B54" w:rsidRPr="00E4556E" w:rsidRDefault="00EB38E1" w:rsidP="00B60117">
            <w:pPr>
              <w:pStyle w:val="TableText"/>
            </w:pPr>
            <w:r w:rsidRPr="00E4556E">
              <w:t>10</w:t>
            </w:r>
            <w:r w:rsidR="00E5597A">
              <w:t>,</w:t>
            </w:r>
            <w:r w:rsidRPr="00E4556E">
              <w:t>000</w:t>
            </w:r>
            <w:r>
              <w:t>–</w:t>
            </w:r>
            <w:r w:rsidRPr="00E4556E">
              <w:t>13</w:t>
            </w:r>
            <w:r w:rsidR="00E5597A">
              <w:t>,</w:t>
            </w:r>
            <w:r w:rsidRPr="00E4556E">
              <w:t>000</w:t>
            </w:r>
            <w:r w:rsidR="00CC1902" w:rsidRPr="00CC1902">
              <w:rPr>
                <w:rStyle w:val="Strong"/>
                <w:vertAlign w:val="superscript"/>
              </w:rPr>
              <w:t>a</w:t>
            </w:r>
          </w:p>
        </w:tc>
      </w:tr>
      <w:tr w:rsidR="005328D3" w14:paraId="03F59EA9" w14:textId="77777777" w:rsidTr="00583F55">
        <w:trPr>
          <w:cantSplit/>
        </w:trPr>
        <w:tc>
          <w:tcPr>
            <w:tcW w:w="625" w:type="pct"/>
            <w:tcBorders>
              <w:bottom w:val="single" w:sz="4" w:space="0" w:color="auto"/>
            </w:tcBorders>
            <w:shd w:val="clear" w:color="auto" w:fill="auto"/>
          </w:tcPr>
          <w:p w14:paraId="03F59EA5" w14:textId="77777777" w:rsidR="00F93B54" w:rsidRPr="00E4556E" w:rsidRDefault="00EB38E1" w:rsidP="004827E1">
            <w:pPr>
              <w:pStyle w:val="TableText"/>
            </w:pPr>
            <w:r w:rsidRPr="00E4556E">
              <w:t>Horses</w:t>
            </w:r>
          </w:p>
        </w:tc>
        <w:tc>
          <w:tcPr>
            <w:tcW w:w="1173" w:type="pct"/>
            <w:tcBorders>
              <w:bottom w:val="single" w:sz="4" w:space="0" w:color="auto"/>
            </w:tcBorders>
            <w:shd w:val="clear" w:color="auto" w:fill="auto"/>
          </w:tcPr>
          <w:p w14:paraId="03F59EA6" w14:textId="77777777" w:rsidR="00F93B54" w:rsidRPr="00E4556E" w:rsidRDefault="00EB38E1" w:rsidP="00B60117">
            <w:pPr>
              <w:pStyle w:val="TableText"/>
            </w:pPr>
            <w:r w:rsidRPr="00E4556E">
              <w:t>0</w:t>
            </w:r>
            <w:r>
              <w:t>–</w:t>
            </w:r>
            <w:r w:rsidRPr="006F4A30">
              <w:t>4</w:t>
            </w:r>
            <w:r w:rsidR="003312B1">
              <w:t>,</w:t>
            </w:r>
            <w:r w:rsidRPr="006F4A30">
              <w:t>000</w:t>
            </w:r>
          </w:p>
        </w:tc>
        <w:tc>
          <w:tcPr>
            <w:tcW w:w="1601" w:type="pct"/>
            <w:tcBorders>
              <w:bottom w:val="single" w:sz="4" w:space="0" w:color="auto"/>
            </w:tcBorders>
            <w:shd w:val="clear" w:color="auto" w:fill="auto"/>
          </w:tcPr>
          <w:p w14:paraId="03F59EA7" w14:textId="77777777" w:rsidR="00F93B54" w:rsidRPr="00E4556E" w:rsidRDefault="00EB38E1" w:rsidP="00B60117">
            <w:pPr>
              <w:pStyle w:val="TableText"/>
            </w:pPr>
            <w:r w:rsidRPr="00E4556E">
              <w:t>4</w:t>
            </w:r>
            <w:r w:rsidR="003312B1">
              <w:t>,</w:t>
            </w:r>
            <w:r w:rsidRPr="00E4556E">
              <w:t>000</w:t>
            </w:r>
            <w:r>
              <w:t>–</w:t>
            </w:r>
            <w:r w:rsidRPr="00E4556E">
              <w:t>6</w:t>
            </w:r>
            <w:r w:rsidR="003312B1">
              <w:t>,</w:t>
            </w:r>
            <w:r w:rsidRPr="00E4556E">
              <w:t>000</w:t>
            </w:r>
          </w:p>
        </w:tc>
        <w:tc>
          <w:tcPr>
            <w:tcW w:w="1601" w:type="pct"/>
            <w:tcBorders>
              <w:bottom w:val="single" w:sz="4" w:space="0" w:color="auto"/>
            </w:tcBorders>
            <w:shd w:val="clear" w:color="auto" w:fill="auto"/>
          </w:tcPr>
          <w:p w14:paraId="03F59EA8" w14:textId="77777777" w:rsidR="00F93B54" w:rsidRPr="00E4556E" w:rsidRDefault="00EB38E1" w:rsidP="00B60117">
            <w:pPr>
              <w:pStyle w:val="TableText"/>
            </w:pPr>
            <w:r>
              <w:t>6,</w:t>
            </w:r>
            <w:r w:rsidR="00746DA9" w:rsidRPr="00E4556E">
              <w:t>000</w:t>
            </w:r>
            <w:r w:rsidR="00746DA9">
              <w:t>–</w:t>
            </w:r>
            <w:r w:rsidR="00746DA9" w:rsidRPr="00E4556E">
              <w:t>7</w:t>
            </w:r>
            <w:r w:rsidR="00E5597A">
              <w:t>,</w:t>
            </w:r>
            <w:r w:rsidR="00746DA9" w:rsidRPr="00E4556E">
              <w:t>000</w:t>
            </w:r>
          </w:p>
        </w:tc>
      </w:tr>
      <w:tr w:rsidR="00EC341F" w14:paraId="2106CDE8" w14:textId="77777777" w:rsidTr="00583F55">
        <w:trPr>
          <w:cantSplit/>
        </w:trPr>
        <w:tc>
          <w:tcPr>
            <w:tcW w:w="625" w:type="pct"/>
            <w:tcBorders>
              <w:bottom w:val="single" w:sz="4" w:space="0" w:color="auto"/>
            </w:tcBorders>
            <w:shd w:val="clear" w:color="auto" w:fill="auto"/>
          </w:tcPr>
          <w:p w14:paraId="20818C1F" w14:textId="182C34C5" w:rsidR="00861EEB" w:rsidRPr="00E4556E" w:rsidRDefault="00861EEB" w:rsidP="00861EEB">
            <w:pPr>
              <w:pStyle w:val="TableText"/>
            </w:pPr>
            <w:r>
              <w:t>Pigs</w:t>
            </w:r>
          </w:p>
        </w:tc>
        <w:tc>
          <w:tcPr>
            <w:tcW w:w="1173" w:type="pct"/>
            <w:tcBorders>
              <w:bottom w:val="single" w:sz="4" w:space="0" w:color="auto"/>
            </w:tcBorders>
            <w:shd w:val="clear" w:color="auto" w:fill="auto"/>
          </w:tcPr>
          <w:p w14:paraId="24E9327E" w14:textId="61756A0C" w:rsidR="00861EEB" w:rsidRPr="00E4556E" w:rsidRDefault="00861EEB" w:rsidP="00B60117">
            <w:pPr>
              <w:pStyle w:val="TableText"/>
            </w:pPr>
            <w:r>
              <w:t>0</w:t>
            </w:r>
            <w:r>
              <w:rPr>
                <w:rFonts w:cstheme="minorHAnsi"/>
              </w:rPr>
              <w:t>–4,000</w:t>
            </w:r>
          </w:p>
        </w:tc>
        <w:tc>
          <w:tcPr>
            <w:tcW w:w="1601" w:type="pct"/>
            <w:tcBorders>
              <w:bottom w:val="single" w:sz="4" w:space="0" w:color="auto"/>
            </w:tcBorders>
            <w:shd w:val="clear" w:color="auto" w:fill="auto"/>
          </w:tcPr>
          <w:p w14:paraId="2142CC37" w14:textId="1ECE431C" w:rsidR="00861EEB" w:rsidRPr="00E4556E" w:rsidRDefault="00861EEB" w:rsidP="00B60117">
            <w:pPr>
              <w:pStyle w:val="TableText"/>
            </w:pPr>
            <w:r w:rsidRPr="00E4556E">
              <w:t>4</w:t>
            </w:r>
            <w:r>
              <w:t>,</w:t>
            </w:r>
            <w:r w:rsidRPr="00E4556E">
              <w:t>000</w:t>
            </w:r>
            <w:r>
              <w:t>–</w:t>
            </w:r>
            <w:r w:rsidRPr="00E4556E">
              <w:t>6</w:t>
            </w:r>
            <w:r>
              <w:t>,</w:t>
            </w:r>
            <w:r w:rsidRPr="00E4556E">
              <w:t>000</w:t>
            </w:r>
          </w:p>
        </w:tc>
        <w:tc>
          <w:tcPr>
            <w:tcW w:w="1601" w:type="pct"/>
            <w:tcBorders>
              <w:bottom w:val="single" w:sz="4" w:space="0" w:color="auto"/>
            </w:tcBorders>
            <w:shd w:val="clear" w:color="auto" w:fill="auto"/>
          </w:tcPr>
          <w:p w14:paraId="1AA1158D" w14:textId="1D3B7256" w:rsidR="00861EEB" w:rsidRDefault="00861EEB" w:rsidP="00B60117">
            <w:pPr>
              <w:pStyle w:val="TableText"/>
            </w:pPr>
            <w:r>
              <w:t>6,000</w:t>
            </w:r>
            <w:r>
              <w:rPr>
                <w:rFonts w:cstheme="minorHAnsi"/>
              </w:rPr>
              <w:t>–</w:t>
            </w:r>
            <w:r>
              <w:t>7,000</w:t>
            </w:r>
          </w:p>
        </w:tc>
      </w:tr>
      <w:tr w:rsidR="005328D3" w14:paraId="03F59EAE" w14:textId="77777777" w:rsidTr="00583F55">
        <w:trPr>
          <w:cantSplit/>
        </w:trPr>
        <w:tc>
          <w:tcPr>
            <w:tcW w:w="625" w:type="pct"/>
            <w:tcBorders>
              <w:bottom w:val="single" w:sz="12" w:space="0" w:color="auto"/>
            </w:tcBorders>
            <w:shd w:val="clear" w:color="auto" w:fill="auto"/>
          </w:tcPr>
          <w:p w14:paraId="03F59EAA" w14:textId="77777777" w:rsidR="00861EEB" w:rsidRPr="00E4556E" w:rsidRDefault="00861EEB" w:rsidP="00861EEB">
            <w:pPr>
              <w:pStyle w:val="TableText"/>
            </w:pPr>
            <w:r w:rsidRPr="00E4556E">
              <w:t>Poultry</w:t>
            </w:r>
          </w:p>
        </w:tc>
        <w:tc>
          <w:tcPr>
            <w:tcW w:w="1173" w:type="pct"/>
            <w:tcBorders>
              <w:bottom w:val="single" w:sz="12" w:space="0" w:color="auto"/>
            </w:tcBorders>
            <w:shd w:val="clear" w:color="auto" w:fill="auto"/>
          </w:tcPr>
          <w:p w14:paraId="03F59EAB" w14:textId="77777777" w:rsidR="00861EEB" w:rsidRPr="00E4556E" w:rsidRDefault="00861EEB" w:rsidP="00B60117">
            <w:pPr>
              <w:pStyle w:val="TableText"/>
            </w:pPr>
            <w:r w:rsidRPr="00E4556E">
              <w:t>0</w:t>
            </w:r>
            <w:r>
              <w:t>–</w:t>
            </w:r>
            <w:r w:rsidRPr="006F4A30">
              <w:t>2</w:t>
            </w:r>
            <w:r>
              <w:t>,</w:t>
            </w:r>
            <w:r w:rsidRPr="006F4A30">
              <w:t>000</w:t>
            </w:r>
          </w:p>
        </w:tc>
        <w:tc>
          <w:tcPr>
            <w:tcW w:w="1601" w:type="pct"/>
            <w:tcBorders>
              <w:bottom w:val="single" w:sz="12" w:space="0" w:color="auto"/>
            </w:tcBorders>
            <w:shd w:val="clear" w:color="auto" w:fill="auto"/>
          </w:tcPr>
          <w:p w14:paraId="03F59EAC" w14:textId="77777777" w:rsidR="00861EEB" w:rsidRPr="00E4556E" w:rsidRDefault="00861EEB" w:rsidP="00B60117">
            <w:pPr>
              <w:pStyle w:val="TableText"/>
            </w:pPr>
            <w:r w:rsidRPr="00E4556E">
              <w:t>2</w:t>
            </w:r>
            <w:r>
              <w:t>,</w:t>
            </w:r>
            <w:r w:rsidRPr="00E4556E">
              <w:t>000</w:t>
            </w:r>
            <w:r>
              <w:t>–</w:t>
            </w:r>
            <w:r w:rsidRPr="00E4556E">
              <w:t>3</w:t>
            </w:r>
            <w:r>
              <w:t>,</w:t>
            </w:r>
            <w:r w:rsidRPr="00E4556E">
              <w:t>000</w:t>
            </w:r>
          </w:p>
        </w:tc>
        <w:tc>
          <w:tcPr>
            <w:tcW w:w="1601" w:type="pct"/>
            <w:tcBorders>
              <w:bottom w:val="single" w:sz="12" w:space="0" w:color="auto"/>
            </w:tcBorders>
            <w:shd w:val="clear" w:color="auto" w:fill="auto"/>
          </w:tcPr>
          <w:p w14:paraId="03F59EAD" w14:textId="77777777" w:rsidR="00861EEB" w:rsidRPr="00E4556E" w:rsidRDefault="00861EEB" w:rsidP="00B60117">
            <w:pPr>
              <w:pStyle w:val="TableText"/>
            </w:pPr>
            <w:r w:rsidRPr="00E4556E">
              <w:t>3</w:t>
            </w:r>
            <w:r>
              <w:t>,</w:t>
            </w:r>
            <w:r w:rsidRPr="00E4556E">
              <w:t>000</w:t>
            </w:r>
            <w:r>
              <w:t>–</w:t>
            </w:r>
            <w:r w:rsidRPr="00E4556E">
              <w:t>4</w:t>
            </w:r>
            <w:r>
              <w:t>,</w:t>
            </w:r>
            <w:r w:rsidRPr="00E4556E">
              <w:t>000</w:t>
            </w:r>
          </w:p>
        </w:tc>
      </w:tr>
    </w:tbl>
    <w:p w14:paraId="03F59EAF" w14:textId="6913F9C1" w:rsidR="00F93B54" w:rsidRDefault="00EB38E1" w:rsidP="00C1087A">
      <w:pPr>
        <w:pStyle w:val="FigureTableNoteSource"/>
      </w:pPr>
      <w:r>
        <w:t xml:space="preserve">Source: </w:t>
      </w:r>
      <w:r w:rsidR="006E6CD8">
        <w:t>A</w:t>
      </w:r>
      <w:r>
        <w:t>dapted from ANZECC (1992)</w:t>
      </w:r>
    </w:p>
    <w:p w14:paraId="03F59EB0" w14:textId="3E61490A" w:rsidR="00F93B54" w:rsidRDefault="00EB38E1" w:rsidP="00C1087A">
      <w:pPr>
        <w:pStyle w:val="FigureTableNoteSource"/>
      </w:pPr>
      <w:r w:rsidRPr="00CC1902">
        <w:rPr>
          <w:rStyle w:val="Strong"/>
        </w:rPr>
        <w:t>a</w:t>
      </w:r>
      <w:r>
        <w:t xml:space="preserve"> Sheep on lush green feed may tolerate up to 13</w:t>
      </w:r>
      <w:r w:rsidR="00C82950">
        <w:t>,</w:t>
      </w:r>
      <w:r>
        <w:t>000</w:t>
      </w:r>
      <w:r w:rsidR="00583F55">
        <w:t> </w:t>
      </w:r>
      <w:r>
        <w:t xml:space="preserve">mg/L </w:t>
      </w:r>
      <w:r w:rsidR="00583F55">
        <w:t xml:space="preserve">of </w:t>
      </w:r>
      <w:r>
        <w:t>TDS without loss of condition or production.</w:t>
      </w:r>
    </w:p>
    <w:p w14:paraId="03F59EB1" w14:textId="5396F7A3" w:rsidR="00F93B54" w:rsidRDefault="00EB38E1" w:rsidP="00DF778F">
      <w:pPr>
        <w:pStyle w:val="Caption"/>
      </w:pPr>
      <w:bookmarkStart w:id="236" w:name="_Ref84839572"/>
      <w:bookmarkStart w:id="237" w:name="_Toc148089852"/>
      <w:r>
        <w:lastRenderedPageBreak/>
        <w:t>Table </w:t>
      </w:r>
      <w:bookmarkEnd w:id="236"/>
      <w:r w:rsidR="00A348FB">
        <w:t>3.</w:t>
      </w:r>
      <w:r w:rsidR="006F2FF0">
        <w:t>9</w:t>
      </w:r>
      <w:r w:rsidR="006F2FF0" w:rsidRPr="00C84914">
        <w:t xml:space="preserve"> </w:t>
      </w:r>
      <w:r w:rsidR="00583F55">
        <w:t>Guideline values for</w:t>
      </w:r>
      <w:r w:rsidRPr="00C84914">
        <w:t xml:space="preserve"> total dissolved solids in drinking water</w:t>
      </w:r>
      <w:r>
        <w:t xml:space="preserve"> </w:t>
      </w:r>
      <w:r w:rsidR="00583F55">
        <w:t>for pigs</w:t>
      </w:r>
      <w:bookmarkEnd w:id="237"/>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552"/>
        <w:gridCol w:w="6518"/>
      </w:tblGrid>
      <w:tr w:rsidR="0054058D" w14:paraId="03F59EB4" w14:textId="77777777" w:rsidTr="004827E1">
        <w:trPr>
          <w:cantSplit/>
          <w:tblHeader/>
        </w:trPr>
        <w:tc>
          <w:tcPr>
            <w:tcW w:w="1407" w:type="pct"/>
            <w:tcBorders>
              <w:top w:val="single" w:sz="12" w:space="0" w:color="auto"/>
              <w:bottom w:val="single" w:sz="12" w:space="0" w:color="auto"/>
            </w:tcBorders>
            <w:shd w:val="clear" w:color="auto" w:fill="auto"/>
          </w:tcPr>
          <w:p w14:paraId="03F59EB2" w14:textId="77777777" w:rsidR="00F93B54" w:rsidRPr="00B9609A" w:rsidRDefault="00EB38E1" w:rsidP="004827E1">
            <w:pPr>
              <w:pStyle w:val="TableHeading"/>
            </w:pPr>
            <w:r w:rsidRPr="00B9609A">
              <w:t>Total dissolved solids (mg/L)</w:t>
            </w:r>
          </w:p>
        </w:tc>
        <w:tc>
          <w:tcPr>
            <w:tcW w:w="3593" w:type="pct"/>
            <w:tcBorders>
              <w:top w:val="single" w:sz="12" w:space="0" w:color="auto"/>
              <w:bottom w:val="single" w:sz="12" w:space="0" w:color="auto"/>
            </w:tcBorders>
            <w:shd w:val="clear" w:color="auto" w:fill="auto"/>
          </w:tcPr>
          <w:p w14:paraId="03F59EB3" w14:textId="77777777" w:rsidR="00F93B54" w:rsidRPr="00B9609A" w:rsidRDefault="00EB38E1" w:rsidP="004827E1">
            <w:pPr>
              <w:pStyle w:val="TableHeading"/>
            </w:pPr>
            <w:r w:rsidRPr="00B9609A">
              <w:t>Effect</w:t>
            </w:r>
          </w:p>
        </w:tc>
      </w:tr>
      <w:tr w:rsidR="0054058D" w14:paraId="03F59EB7" w14:textId="77777777" w:rsidTr="004827E1">
        <w:trPr>
          <w:cantSplit/>
        </w:trPr>
        <w:tc>
          <w:tcPr>
            <w:tcW w:w="1407" w:type="pct"/>
            <w:tcBorders>
              <w:top w:val="single" w:sz="12" w:space="0" w:color="auto"/>
            </w:tcBorders>
            <w:shd w:val="clear" w:color="auto" w:fill="auto"/>
          </w:tcPr>
          <w:p w14:paraId="03F59EB5" w14:textId="77777777" w:rsidR="00F93B54" w:rsidRPr="00B9609A" w:rsidRDefault="00EB38E1" w:rsidP="004827E1">
            <w:pPr>
              <w:pStyle w:val="TableText"/>
            </w:pPr>
            <w:r w:rsidRPr="00B9609A">
              <w:t>&lt;</w:t>
            </w:r>
            <w:r w:rsidR="00E75B27" w:rsidRPr="00B9609A">
              <w:t>1</w:t>
            </w:r>
            <w:r w:rsidR="00E75B27">
              <w:t>,</w:t>
            </w:r>
            <w:r w:rsidRPr="00B9609A">
              <w:t>000</w:t>
            </w:r>
          </w:p>
        </w:tc>
        <w:tc>
          <w:tcPr>
            <w:tcW w:w="3593" w:type="pct"/>
            <w:tcBorders>
              <w:top w:val="single" w:sz="12" w:space="0" w:color="auto"/>
            </w:tcBorders>
            <w:shd w:val="clear" w:color="auto" w:fill="auto"/>
          </w:tcPr>
          <w:p w14:paraId="03F59EB6" w14:textId="353BDC00" w:rsidR="00F93B54" w:rsidRPr="00B9609A" w:rsidRDefault="00EB38E1" w:rsidP="004827E1">
            <w:pPr>
              <w:pStyle w:val="TableText"/>
            </w:pPr>
            <w:r w:rsidRPr="00B9609A">
              <w:t>No risk</w:t>
            </w:r>
          </w:p>
        </w:tc>
      </w:tr>
      <w:tr w:rsidR="0054058D" w14:paraId="03F59EBA" w14:textId="77777777" w:rsidTr="004827E1">
        <w:trPr>
          <w:cantSplit/>
          <w:trHeight w:val="153"/>
        </w:trPr>
        <w:tc>
          <w:tcPr>
            <w:tcW w:w="1407" w:type="pct"/>
            <w:shd w:val="clear" w:color="auto" w:fill="auto"/>
          </w:tcPr>
          <w:p w14:paraId="03F59EB8" w14:textId="77777777" w:rsidR="00F93B54" w:rsidRPr="00B9609A" w:rsidRDefault="00EB38E1" w:rsidP="004827E1">
            <w:pPr>
              <w:pStyle w:val="TableText"/>
            </w:pPr>
            <w:r w:rsidRPr="00B9609A">
              <w:t>1</w:t>
            </w:r>
            <w:r>
              <w:t>,</w:t>
            </w:r>
            <w:r w:rsidR="002D2750" w:rsidRPr="00B9609A">
              <w:t>000</w:t>
            </w:r>
            <w:r w:rsidR="002D2750">
              <w:t>–</w:t>
            </w:r>
            <w:r w:rsidRPr="00B9609A">
              <w:t>2</w:t>
            </w:r>
            <w:r>
              <w:t>,</w:t>
            </w:r>
            <w:r w:rsidR="002D2750" w:rsidRPr="00B9609A">
              <w:t>999</w:t>
            </w:r>
          </w:p>
        </w:tc>
        <w:tc>
          <w:tcPr>
            <w:tcW w:w="3593" w:type="pct"/>
            <w:shd w:val="clear" w:color="auto" w:fill="auto"/>
          </w:tcPr>
          <w:p w14:paraId="03F59EB9" w14:textId="14E4B6DC" w:rsidR="00F93B54" w:rsidRPr="00B9609A" w:rsidRDefault="00EB38E1" w:rsidP="004827E1">
            <w:pPr>
              <w:pStyle w:val="TableText"/>
            </w:pPr>
            <w:r w:rsidRPr="00B9609A">
              <w:t>Satisfactory for pigs</w:t>
            </w:r>
            <w:r w:rsidR="004B7FF1">
              <w:t xml:space="preserve">, but may </w:t>
            </w:r>
            <w:r w:rsidR="002C0546">
              <w:t>cause</w:t>
            </w:r>
            <w:r w:rsidR="004B7FF1">
              <w:t xml:space="preserve"> slightly reduced feed intake and</w:t>
            </w:r>
            <w:r w:rsidR="00D63090">
              <w:t>,</w:t>
            </w:r>
            <w:r w:rsidR="004B7FF1">
              <w:t xml:space="preserve"> in pigs not adapted to it, mild </w:t>
            </w:r>
            <w:r w:rsidRPr="00B9609A">
              <w:rPr>
                <w:rFonts w:cs="Arial"/>
              </w:rPr>
              <w:t>diarrhoea</w:t>
            </w:r>
          </w:p>
        </w:tc>
      </w:tr>
      <w:tr w:rsidR="0054058D" w14:paraId="03F59EBD" w14:textId="77777777" w:rsidTr="004827E1">
        <w:trPr>
          <w:cantSplit/>
        </w:trPr>
        <w:tc>
          <w:tcPr>
            <w:tcW w:w="1407" w:type="pct"/>
            <w:shd w:val="clear" w:color="auto" w:fill="auto"/>
          </w:tcPr>
          <w:p w14:paraId="03F59EBB" w14:textId="77777777" w:rsidR="00F93B54" w:rsidRPr="00B9609A" w:rsidRDefault="00EB38E1" w:rsidP="004827E1">
            <w:pPr>
              <w:pStyle w:val="TableText"/>
            </w:pPr>
            <w:r w:rsidRPr="00B9609A">
              <w:t>3</w:t>
            </w:r>
            <w:r>
              <w:t>,</w:t>
            </w:r>
            <w:r w:rsidR="002D2750" w:rsidRPr="00B9609A">
              <w:t>000</w:t>
            </w:r>
            <w:r w:rsidR="002D2750">
              <w:t>–</w:t>
            </w:r>
            <w:r w:rsidRPr="00B9609A">
              <w:t>4</w:t>
            </w:r>
            <w:r>
              <w:t>,</w:t>
            </w:r>
            <w:r w:rsidR="002D2750" w:rsidRPr="00B9609A">
              <w:t>999</w:t>
            </w:r>
          </w:p>
        </w:tc>
        <w:tc>
          <w:tcPr>
            <w:tcW w:w="3593" w:type="pct"/>
            <w:shd w:val="clear" w:color="auto" w:fill="auto"/>
          </w:tcPr>
          <w:p w14:paraId="03F59EBC" w14:textId="0AACAC6C" w:rsidR="00F93B54" w:rsidRPr="00B9609A" w:rsidRDefault="00EB38E1" w:rsidP="004827E1">
            <w:pPr>
              <w:pStyle w:val="TableText"/>
            </w:pPr>
            <w:r w:rsidRPr="00B9609A">
              <w:rPr>
                <w:rFonts w:cs="Arial"/>
              </w:rPr>
              <w:t>Satisfactory for pigs</w:t>
            </w:r>
            <w:r w:rsidR="001E7E10">
              <w:rPr>
                <w:rFonts w:cs="Arial"/>
              </w:rPr>
              <w:t xml:space="preserve">, but likely to </w:t>
            </w:r>
            <w:r w:rsidR="00380456">
              <w:rPr>
                <w:rFonts w:cs="Arial"/>
              </w:rPr>
              <w:t>cause</w:t>
            </w:r>
            <w:r w:rsidR="001E7E10">
              <w:rPr>
                <w:rFonts w:cs="Arial"/>
              </w:rPr>
              <w:t xml:space="preserve"> reduced </w:t>
            </w:r>
            <w:r w:rsidR="00D513F5">
              <w:rPr>
                <w:rFonts w:cs="Arial"/>
              </w:rPr>
              <w:t>feed intake and may cause</w:t>
            </w:r>
            <w:r w:rsidRPr="00B9609A">
              <w:rPr>
                <w:rFonts w:cs="Arial"/>
              </w:rPr>
              <w:t xml:space="preserve"> </w:t>
            </w:r>
            <w:r w:rsidR="00D513F5">
              <w:rPr>
                <w:rFonts w:cs="Arial"/>
              </w:rPr>
              <w:t xml:space="preserve">reduced health, temporary </w:t>
            </w:r>
            <w:proofErr w:type="gramStart"/>
            <w:r w:rsidR="00D513F5">
              <w:rPr>
                <w:rFonts w:cs="Arial"/>
              </w:rPr>
              <w:t>diarrhoea</w:t>
            </w:r>
            <w:proofErr w:type="gramEnd"/>
            <w:r w:rsidR="00D513F5">
              <w:rPr>
                <w:rFonts w:cs="Arial"/>
              </w:rPr>
              <w:t xml:space="preserve"> and </w:t>
            </w:r>
            <w:r w:rsidRPr="00B9609A">
              <w:rPr>
                <w:rFonts w:cs="Arial"/>
              </w:rPr>
              <w:t xml:space="preserve">temporary refusal of water </w:t>
            </w:r>
          </w:p>
        </w:tc>
      </w:tr>
      <w:tr w:rsidR="0054058D" w14:paraId="03F59EC0" w14:textId="77777777" w:rsidTr="004827E1">
        <w:trPr>
          <w:cantSplit/>
        </w:trPr>
        <w:tc>
          <w:tcPr>
            <w:tcW w:w="1407" w:type="pct"/>
            <w:tcBorders>
              <w:bottom w:val="single" w:sz="4" w:space="0" w:color="auto"/>
            </w:tcBorders>
            <w:shd w:val="clear" w:color="auto" w:fill="auto"/>
          </w:tcPr>
          <w:p w14:paraId="03F59EBE" w14:textId="77777777" w:rsidR="00F93B54" w:rsidRPr="00B9609A" w:rsidRDefault="00EB38E1" w:rsidP="004827E1">
            <w:pPr>
              <w:pStyle w:val="TableText"/>
            </w:pPr>
            <w:r w:rsidRPr="00B9609A">
              <w:rPr>
                <w:rFonts w:cs="Arial"/>
              </w:rPr>
              <w:t>5</w:t>
            </w:r>
            <w:r>
              <w:t>,</w:t>
            </w:r>
            <w:r w:rsidR="002D2750" w:rsidRPr="00B9609A">
              <w:rPr>
                <w:rFonts w:cs="Arial"/>
              </w:rPr>
              <w:t>000</w:t>
            </w:r>
            <w:r w:rsidR="002D2750">
              <w:rPr>
                <w:rFonts w:cs="Arial"/>
              </w:rPr>
              <w:t>–</w:t>
            </w:r>
            <w:r w:rsidRPr="00B9609A">
              <w:rPr>
                <w:rFonts w:cs="Arial"/>
              </w:rPr>
              <w:t>6</w:t>
            </w:r>
            <w:r>
              <w:t>,</w:t>
            </w:r>
            <w:r w:rsidR="002D2750" w:rsidRPr="00B9609A">
              <w:rPr>
                <w:rFonts w:cs="Arial"/>
              </w:rPr>
              <w:t>999</w:t>
            </w:r>
          </w:p>
        </w:tc>
        <w:tc>
          <w:tcPr>
            <w:tcW w:w="3593" w:type="pct"/>
            <w:tcBorders>
              <w:bottom w:val="single" w:sz="4" w:space="0" w:color="auto"/>
            </w:tcBorders>
            <w:shd w:val="clear" w:color="auto" w:fill="auto"/>
          </w:tcPr>
          <w:p w14:paraId="03F59EBF" w14:textId="1D5F574B" w:rsidR="00F93B54" w:rsidRPr="00B9609A" w:rsidRDefault="00EB38E1" w:rsidP="004827E1">
            <w:pPr>
              <w:pStyle w:val="TableText"/>
            </w:pPr>
            <w:r w:rsidRPr="00B9609A">
              <w:rPr>
                <w:rFonts w:cs="Arial"/>
              </w:rPr>
              <w:t>Reasonably safe for pigs, but unfit for pregnant and lactating pigs</w:t>
            </w:r>
          </w:p>
        </w:tc>
      </w:tr>
      <w:tr w:rsidR="0054058D" w14:paraId="03F59EC3" w14:textId="77777777" w:rsidTr="004827E1">
        <w:trPr>
          <w:cantSplit/>
          <w:trHeight w:val="56"/>
        </w:trPr>
        <w:tc>
          <w:tcPr>
            <w:tcW w:w="1407" w:type="pct"/>
            <w:tcBorders>
              <w:bottom w:val="single" w:sz="12" w:space="0" w:color="auto"/>
            </w:tcBorders>
            <w:shd w:val="clear" w:color="auto" w:fill="auto"/>
          </w:tcPr>
          <w:p w14:paraId="03F59EC1" w14:textId="77777777" w:rsidR="00F93B54" w:rsidRPr="00B9609A" w:rsidRDefault="00EB38E1" w:rsidP="004827E1">
            <w:pPr>
              <w:pStyle w:val="TableText"/>
            </w:pPr>
            <w:r w:rsidRPr="00B9609A">
              <w:t>&gt;</w:t>
            </w:r>
            <w:r w:rsidR="00E75B27" w:rsidRPr="00B9609A">
              <w:t>7</w:t>
            </w:r>
            <w:r w:rsidR="00E75B27">
              <w:t>,</w:t>
            </w:r>
            <w:r w:rsidRPr="00B9609A">
              <w:t>000</w:t>
            </w:r>
          </w:p>
        </w:tc>
        <w:tc>
          <w:tcPr>
            <w:tcW w:w="3593" w:type="pct"/>
            <w:tcBorders>
              <w:bottom w:val="single" w:sz="12" w:space="0" w:color="auto"/>
            </w:tcBorders>
            <w:shd w:val="clear" w:color="auto" w:fill="auto"/>
          </w:tcPr>
          <w:p w14:paraId="03F59EC2" w14:textId="6DA4AA97" w:rsidR="00F93B54" w:rsidRPr="00B9609A" w:rsidRDefault="00EB38E1" w:rsidP="004827E1">
            <w:pPr>
              <w:pStyle w:val="TableText"/>
            </w:pPr>
            <w:r w:rsidRPr="00B9609A">
              <w:t>Unfit for pigs and not recommended for use</w:t>
            </w:r>
          </w:p>
        </w:tc>
      </w:tr>
    </w:tbl>
    <w:p w14:paraId="03F59EC4" w14:textId="3C87413B" w:rsidR="00F93B54" w:rsidRDefault="00EB38E1" w:rsidP="00C1087A">
      <w:pPr>
        <w:pStyle w:val="FigureTableNoteSource"/>
      </w:pPr>
      <w:r>
        <w:t xml:space="preserve">Source: </w:t>
      </w:r>
      <w:r w:rsidR="00380456">
        <w:t>A</w:t>
      </w:r>
      <w:r w:rsidRPr="00C84914">
        <w:t xml:space="preserve">dapted from </w:t>
      </w:r>
      <w:r>
        <w:t>v</w:t>
      </w:r>
      <w:r w:rsidRPr="00C84914">
        <w:t xml:space="preserve">an </w:t>
      </w:r>
      <w:proofErr w:type="spellStart"/>
      <w:r w:rsidRPr="00C84914">
        <w:t>Heugten</w:t>
      </w:r>
      <w:proofErr w:type="spellEnd"/>
      <w:r w:rsidRPr="00C84914">
        <w:t xml:space="preserve"> (2000)</w:t>
      </w:r>
    </w:p>
    <w:p w14:paraId="03F59EC5" w14:textId="77777777" w:rsidR="00FE50F8" w:rsidRDefault="00EB38E1" w:rsidP="00FE50F8">
      <w:r>
        <w:t>TDS is sometimes expressed as total dissolved ions (TDI), which is a summation of the concentrations of inorganic ions present in water, but unlike TDS, it does not include any other substances (</w:t>
      </w:r>
      <w:proofErr w:type="gramStart"/>
      <w:r>
        <w:t>e.g.</w:t>
      </w:r>
      <w:proofErr w:type="gramEnd"/>
      <w:r>
        <w:t> organic compounds) that may also be dissolved in the water.</w:t>
      </w:r>
    </w:p>
    <w:p w14:paraId="03F59EC6" w14:textId="77777777" w:rsidR="00FE50F8" w:rsidRDefault="00EB38E1" w:rsidP="00FD2341">
      <w:r>
        <w:t>For convenience, TDS is often estimated from electrical conductivity (EC). An approximate conversion of EC to TDS is:</w:t>
      </w:r>
    </w:p>
    <w:p w14:paraId="03F59EC7" w14:textId="77777777" w:rsidR="00FE50F8" w:rsidRDefault="00EB38E1" w:rsidP="00FE50F8">
      <w:pPr>
        <w:pStyle w:val="Bullet"/>
      </w:pPr>
      <w:r>
        <w:t>EC (</w:t>
      </w:r>
      <w:proofErr w:type="spellStart"/>
      <w:r>
        <w:t>dS</w:t>
      </w:r>
      <w:proofErr w:type="spellEnd"/>
      <w:r>
        <w:t>/m) x 670 = TDS (mg/L)</w:t>
      </w:r>
    </w:p>
    <w:p w14:paraId="03F59EC8" w14:textId="77777777" w:rsidR="00FE50F8" w:rsidRDefault="00EB38E1" w:rsidP="00FE50F8">
      <w:pPr>
        <w:pStyle w:val="Bullet"/>
      </w:pPr>
      <w:r>
        <w:t>EC (µS/cm) x 0.67 = TDS (mg/L).</w:t>
      </w:r>
    </w:p>
    <w:p w14:paraId="03F59EC9" w14:textId="77777777" w:rsidR="004F203D" w:rsidRDefault="00EB38E1" w:rsidP="00FD2341">
      <w:pPr>
        <w:rPr>
          <w:lang w:eastAsia="ja-JP"/>
        </w:rPr>
      </w:pPr>
      <w:bookmarkStart w:id="238" w:name="_Toc134441451"/>
      <w:bookmarkStart w:id="239" w:name="_Toc134441787"/>
      <w:bookmarkStart w:id="240" w:name="_Toc134442147"/>
      <w:bookmarkStart w:id="241" w:name="_Toc134442308"/>
      <w:bookmarkStart w:id="242" w:name="_Toc134442519"/>
      <w:bookmarkEnd w:id="238"/>
      <w:bookmarkEnd w:id="239"/>
      <w:bookmarkEnd w:id="240"/>
      <w:bookmarkEnd w:id="241"/>
      <w:bookmarkEnd w:id="242"/>
      <w:r>
        <w:rPr>
          <w:lang w:eastAsia="ja-JP"/>
        </w:rPr>
        <w:br w:type="page"/>
      </w:r>
    </w:p>
    <w:p w14:paraId="03F59ECA" w14:textId="74A89F63" w:rsidR="00C119A5" w:rsidRDefault="00A54315" w:rsidP="0096400D">
      <w:pPr>
        <w:pStyle w:val="Heading3"/>
      </w:pPr>
      <w:bookmarkStart w:id="243" w:name="_Toc134441453"/>
      <w:bookmarkStart w:id="244" w:name="_Toc134441789"/>
      <w:bookmarkStart w:id="245" w:name="_Toc134442149"/>
      <w:bookmarkStart w:id="246" w:name="_Toc134442310"/>
      <w:bookmarkStart w:id="247" w:name="_Toc134442521"/>
      <w:bookmarkStart w:id="248" w:name="_Toc134442151"/>
      <w:bookmarkStart w:id="249" w:name="_Toc134442312"/>
      <w:bookmarkStart w:id="250" w:name="_Toc141704562"/>
      <w:bookmarkEnd w:id="243"/>
      <w:bookmarkEnd w:id="244"/>
      <w:bookmarkEnd w:id="245"/>
      <w:bookmarkEnd w:id="246"/>
      <w:bookmarkEnd w:id="247"/>
      <w:r>
        <w:lastRenderedPageBreak/>
        <w:t>3.3</w:t>
      </w:r>
      <w:r>
        <w:tab/>
      </w:r>
      <w:r w:rsidR="00EB38E1">
        <w:t>Metals and metalloids</w:t>
      </w:r>
      <w:bookmarkEnd w:id="248"/>
      <w:bookmarkEnd w:id="249"/>
      <w:bookmarkEnd w:id="250"/>
    </w:p>
    <w:p w14:paraId="03F59ECB" w14:textId="77777777" w:rsidR="004C686D" w:rsidRDefault="00EB38E1" w:rsidP="00C1087A">
      <w:r>
        <w:t xml:space="preserve">Many metal elements are essential nutrients for animal health, but elevated concentrations of some compounds may cause chronic or toxic effects in livestock. Stock can tolerate many metal elements in drinking water if </w:t>
      </w:r>
      <w:r w:rsidR="0056215A">
        <w:t xml:space="preserve">there are not high levels </w:t>
      </w:r>
      <w:r>
        <w:t>in the diet, because accumulation in the body depends on the amount ingested from both food and water sources.</w:t>
      </w:r>
    </w:p>
    <w:p w14:paraId="03F59ECC" w14:textId="24EE2946" w:rsidR="00E25D6A" w:rsidRDefault="00EB38E1" w:rsidP="00C1087A">
      <w:r>
        <w:t>Unless otherwise stated, the guideline values relate to the total concentration of the constituent, irrespective of whether it is dissolved, complexed with an organic compound, or bound to suspended solids.</w:t>
      </w:r>
      <w:r w:rsidR="00AE4681">
        <w:t xml:space="preserve"> </w:t>
      </w:r>
      <w:r w:rsidR="00AE4681" w:rsidRPr="008C60E9">
        <w:t>Measured concentrations from unfiltered samples should be used to compare with the guideline values. Further assessment of risk should consider the bioavailability and solubility of the constituent, including results from filtered samples.</w:t>
      </w:r>
    </w:p>
    <w:p w14:paraId="0C3AC127" w14:textId="77777777" w:rsidR="00E147AC" w:rsidRDefault="00E147AC" w:rsidP="00E147AC">
      <w:pPr>
        <w:pStyle w:val="Heading5"/>
        <w:rPr>
          <w:lang w:eastAsia="ja-JP"/>
        </w:rPr>
      </w:pPr>
      <w:r>
        <w:rPr>
          <w:lang w:eastAsia="ja-JP"/>
        </w:rPr>
        <w:t>Monitoring and management</w:t>
      </w:r>
    </w:p>
    <w:p w14:paraId="4510BFB9" w14:textId="77777777" w:rsidR="00E147AC" w:rsidRDefault="00E147AC" w:rsidP="00E147AC">
      <w:r>
        <w:t xml:space="preserve">Livestock drinking water should be monitored and regularly assessed for contaminants of concern. Further information is available in the Australian and New Zealand </w:t>
      </w:r>
      <w:hyperlink r:id="rId33" w:history="1">
        <w:r w:rsidRPr="00132F91">
          <w:rPr>
            <w:rStyle w:val="Hyperlink"/>
          </w:rPr>
          <w:t>Water Quality Management Framework</w:t>
        </w:r>
      </w:hyperlink>
      <w:r>
        <w:t xml:space="preserve">, particularly the </w:t>
      </w:r>
      <w:hyperlink r:id="rId34" w:history="1">
        <w:r w:rsidRPr="00346D28">
          <w:rPr>
            <w:rStyle w:val="Hyperlink"/>
          </w:rPr>
          <w:t>Monitoring</w:t>
        </w:r>
      </w:hyperlink>
      <w:r>
        <w:t xml:space="preserve"> section. </w:t>
      </w:r>
    </w:p>
    <w:p w14:paraId="2E97EBC8" w14:textId="77777777" w:rsidR="00E147AC" w:rsidRDefault="00E147AC" w:rsidP="00E147AC">
      <w:proofErr w:type="gramStart"/>
      <w:r>
        <w:t>In particular, water</w:t>
      </w:r>
      <w:proofErr w:type="gramEnd"/>
      <w:r>
        <w:t xml:space="preserve"> should be tested if:</w:t>
      </w:r>
    </w:p>
    <w:p w14:paraId="153D2DC0" w14:textId="77777777" w:rsidR="00E147AC" w:rsidRDefault="00E147AC" w:rsidP="00E147AC">
      <w:pPr>
        <w:pStyle w:val="Bullet"/>
      </w:pPr>
      <w:r>
        <w:t xml:space="preserve">any adverse health or growth effects are noticed in </w:t>
      </w:r>
      <w:proofErr w:type="gramStart"/>
      <w:r>
        <w:t>livestock</w:t>
      </w:r>
      <w:proofErr w:type="gramEnd"/>
    </w:p>
    <w:p w14:paraId="13403064" w14:textId="76AC379A" w:rsidR="00B6154E" w:rsidRDefault="00E147AC" w:rsidP="00E147AC">
      <w:pPr>
        <w:pStyle w:val="Bullet"/>
      </w:pPr>
      <w:r>
        <w:t xml:space="preserve">warm weather causes high rates of evaporation, which can increase the concentration of </w:t>
      </w:r>
      <w:r w:rsidR="00A112BB">
        <w:t xml:space="preserve">metals and </w:t>
      </w:r>
      <w:proofErr w:type="gramStart"/>
      <w:r w:rsidR="00A112BB">
        <w:t>metalloids</w:t>
      </w:r>
      <w:proofErr w:type="gramEnd"/>
      <w:r w:rsidR="00A112BB" w:rsidDel="00A112BB">
        <w:t xml:space="preserve"> </w:t>
      </w:r>
    </w:p>
    <w:p w14:paraId="6710ED46" w14:textId="382EEBB0" w:rsidR="00E147AC" w:rsidRDefault="00A83820" w:rsidP="00E147AC">
      <w:pPr>
        <w:pStyle w:val="Bullet"/>
      </w:pPr>
      <w:r>
        <w:t xml:space="preserve">levels of metals and metalloids may have been affected by </w:t>
      </w:r>
      <w:r w:rsidR="00B6154E">
        <w:t>local changes or events</w:t>
      </w:r>
      <w:r w:rsidR="009D4064">
        <w:t xml:space="preserve"> such as new development</w:t>
      </w:r>
      <w:r w:rsidR="00AA632C">
        <w:t xml:space="preserve"> or mining, </w:t>
      </w:r>
      <w:r w:rsidR="00A112BB">
        <w:t xml:space="preserve">or </w:t>
      </w:r>
      <w:r w:rsidR="00AA632C">
        <w:t>new roads and increased traffic</w:t>
      </w:r>
      <w:r w:rsidR="00E147AC">
        <w:t>.</w:t>
      </w:r>
    </w:p>
    <w:p w14:paraId="0F6B7E0F" w14:textId="59B4E666" w:rsidR="00E147AC" w:rsidRDefault="00E147AC" w:rsidP="00E147AC">
      <w:r>
        <w:t>Actions to be taken will depend on the results of testing. If levels are increased but not yet unsafe, increased monitoring is recommended. If levels exceed guideline values</w:t>
      </w:r>
      <w:r w:rsidR="004E2E10">
        <w:t xml:space="preserve"> or adverse health or growth effects are noticed</w:t>
      </w:r>
      <w:r>
        <w:t xml:space="preserve">, keep stock away from the water source. </w:t>
      </w:r>
    </w:p>
    <w:p w14:paraId="03F59ECF" w14:textId="1E7B4A7C" w:rsidR="00C119A5" w:rsidRDefault="00441154" w:rsidP="000C6B83">
      <w:pPr>
        <w:pStyle w:val="Heading4"/>
        <w:rPr>
          <w:lang w:eastAsia="ja-JP"/>
        </w:rPr>
      </w:pPr>
      <w:bookmarkStart w:id="251" w:name="_Toc134442313"/>
      <w:bookmarkStart w:id="252" w:name="_Toc141704563"/>
      <w:r>
        <w:rPr>
          <w:lang w:eastAsia="ja-JP"/>
        </w:rPr>
        <w:t>3.3.1</w:t>
      </w:r>
      <w:r>
        <w:rPr>
          <w:lang w:eastAsia="ja-JP"/>
        </w:rPr>
        <w:tab/>
      </w:r>
      <w:r w:rsidR="00EB38E1">
        <w:rPr>
          <w:lang w:eastAsia="ja-JP"/>
        </w:rPr>
        <w:t>Aluminium</w:t>
      </w:r>
      <w:bookmarkEnd w:id="251"/>
      <w:bookmarkEnd w:id="252"/>
    </w:p>
    <w:p w14:paraId="03F59ED0" w14:textId="7B148CB6" w:rsidR="00EA6217" w:rsidRDefault="00EB38E1" w:rsidP="00FD2341">
      <w:pPr>
        <w:pStyle w:val="Sectionkeypoints"/>
      </w:pPr>
      <w:bookmarkStart w:id="253" w:name="_Hlk135129253"/>
      <w:r>
        <w:t xml:space="preserve">Aluminium concentrations </w:t>
      </w:r>
      <w:r>
        <w:rPr>
          <w:rFonts w:cstheme="minorHAnsi"/>
        </w:rPr>
        <w:t>&lt;</w:t>
      </w:r>
      <w:r>
        <w:t>5 mg/L in livestock drinking water should not be harmful to animal health.</w:t>
      </w:r>
      <w:r w:rsidR="006E1A3C">
        <w:t xml:space="preserve"> Concentrations &lt;3.6</w:t>
      </w:r>
      <w:r w:rsidR="001B73AC">
        <w:t xml:space="preserve"> mg/L are recommended for chickens.</w:t>
      </w:r>
    </w:p>
    <w:p w14:paraId="03F59ED1" w14:textId="77777777" w:rsidR="00C119A5" w:rsidRDefault="00EB38E1" w:rsidP="000C6B83">
      <w:pPr>
        <w:pStyle w:val="Heading5"/>
        <w:rPr>
          <w:lang w:eastAsia="ja-JP"/>
        </w:rPr>
      </w:pPr>
      <w:bookmarkStart w:id="254" w:name="_Toc134441457"/>
      <w:bookmarkEnd w:id="253"/>
      <w:bookmarkEnd w:id="254"/>
      <w:r>
        <w:rPr>
          <w:lang w:eastAsia="ja-JP"/>
        </w:rPr>
        <w:t>Source</w:t>
      </w:r>
    </w:p>
    <w:p w14:paraId="03F59ED2" w14:textId="77777777" w:rsidR="00D23338" w:rsidRPr="0056438C" w:rsidRDefault="00EB38E1" w:rsidP="00FD2341">
      <w:pPr>
        <w:rPr>
          <w:lang w:val="en-GB"/>
        </w:rPr>
      </w:pPr>
      <w:r w:rsidRPr="0056438C">
        <w:rPr>
          <w:lang w:val="en-GB"/>
        </w:rPr>
        <w:t>Aluminium is found in abundance in the geosphere (8</w:t>
      </w:r>
      <w:r>
        <w:rPr>
          <w:lang w:val="en-GB"/>
        </w:rPr>
        <w:t>%</w:t>
      </w:r>
      <w:r w:rsidRPr="0056438C">
        <w:rPr>
          <w:lang w:val="en-GB"/>
        </w:rPr>
        <w:t xml:space="preserve"> in </w:t>
      </w:r>
      <w:r w:rsidR="0056215A">
        <w:rPr>
          <w:lang w:val="en-GB"/>
        </w:rPr>
        <w:t xml:space="preserve">the </w:t>
      </w:r>
      <w:r>
        <w:rPr>
          <w:lang w:val="en-GB"/>
        </w:rPr>
        <w:t>E</w:t>
      </w:r>
      <w:r w:rsidRPr="0056438C">
        <w:rPr>
          <w:lang w:val="en-GB"/>
        </w:rPr>
        <w:t xml:space="preserve">arth’s crust) in complexes with oxygen, </w:t>
      </w:r>
      <w:proofErr w:type="gramStart"/>
      <w:r w:rsidRPr="0056438C">
        <w:rPr>
          <w:lang w:val="en-GB"/>
        </w:rPr>
        <w:t>fluorine</w:t>
      </w:r>
      <w:proofErr w:type="gramEnd"/>
      <w:r w:rsidRPr="0056438C">
        <w:rPr>
          <w:lang w:val="en-GB"/>
        </w:rPr>
        <w:t xml:space="preserve"> and silicone. Aluminium compounds are very stable</w:t>
      </w:r>
      <w:r>
        <w:rPr>
          <w:lang w:val="en-GB"/>
        </w:rPr>
        <w:t xml:space="preserve"> and are </w:t>
      </w:r>
      <w:r w:rsidRPr="0056438C">
        <w:rPr>
          <w:lang w:val="en-GB"/>
        </w:rPr>
        <w:t>contain</w:t>
      </w:r>
      <w:r>
        <w:rPr>
          <w:lang w:val="en-GB"/>
        </w:rPr>
        <w:t>ed in all soils</w:t>
      </w:r>
      <w:r w:rsidRPr="0056438C">
        <w:rPr>
          <w:lang w:val="en-GB"/>
        </w:rPr>
        <w:t xml:space="preserve">, mostly in </w:t>
      </w:r>
      <w:proofErr w:type="spellStart"/>
      <w:r w:rsidRPr="0056438C">
        <w:rPr>
          <w:lang w:val="en-GB"/>
        </w:rPr>
        <w:t>alumino</w:t>
      </w:r>
      <w:proofErr w:type="spellEnd"/>
      <w:r w:rsidRPr="0056438C">
        <w:rPr>
          <w:lang w:val="en-GB"/>
        </w:rPr>
        <w:t xml:space="preserve">-silicate minerals, although aluminium may be present in </w:t>
      </w:r>
      <w:r>
        <w:rPr>
          <w:lang w:val="en-GB"/>
        </w:rPr>
        <w:t xml:space="preserve">an </w:t>
      </w:r>
      <w:r w:rsidRPr="0056438C">
        <w:rPr>
          <w:lang w:val="en-GB"/>
        </w:rPr>
        <w:t>ion-exchangeable form in acidic soils (Scott-Fordsmand &amp; Peterson</w:t>
      </w:r>
      <w:r w:rsidRPr="0056438C">
        <w:rPr>
          <w:spacing w:val="-5"/>
          <w:lang w:val="en-GB"/>
        </w:rPr>
        <w:t xml:space="preserve"> </w:t>
      </w:r>
      <w:r w:rsidRPr="0056438C">
        <w:rPr>
          <w:lang w:val="en-GB"/>
        </w:rPr>
        <w:t>1995).</w:t>
      </w:r>
    </w:p>
    <w:p w14:paraId="03F59ED3" w14:textId="5E9375CF" w:rsidR="00C119A5" w:rsidRDefault="00EB38E1" w:rsidP="00C1087A">
      <w:r>
        <w:t>Aluminium is usually present in natural waters in concentrations below 1</w:t>
      </w:r>
      <w:r w:rsidR="000F30B6">
        <w:t> </w:t>
      </w:r>
      <w:r>
        <w:t>mg/L, except in areas with low soil pH</w:t>
      </w:r>
      <w:r w:rsidR="004C686D">
        <w:t xml:space="preserve"> (acidic)</w:t>
      </w:r>
      <w:r>
        <w:t>, where the aluminium content may be as high as 10</w:t>
      </w:r>
      <w:r w:rsidR="00D7647D">
        <w:t> </w:t>
      </w:r>
      <w:r>
        <w:t>mg/L, due to the increased solubility of aluminium oxides and clay minerals (</w:t>
      </w:r>
      <w:r w:rsidRPr="00BA3750">
        <w:t>Galvin 1996).</w:t>
      </w:r>
      <w:r>
        <w:t xml:space="preserve"> </w:t>
      </w:r>
      <w:r w:rsidR="005418EA" w:rsidRPr="006813AE">
        <w:t>The bioavailability and toxicity of aluminium is generally greatest in more acidic solutions (Campbell &amp; Stokes 1985).</w:t>
      </w:r>
      <w:r w:rsidR="005418EA">
        <w:t xml:space="preserve"> </w:t>
      </w:r>
      <w:r>
        <w:t>The use of alum and other aluminium</w:t>
      </w:r>
      <w:r w:rsidR="004F203D">
        <w:t>-</w:t>
      </w:r>
      <w:r>
        <w:t xml:space="preserve">based flocculants </w:t>
      </w:r>
      <w:r w:rsidR="004F203D">
        <w:t xml:space="preserve">(used in water treatment to </w:t>
      </w:r>
      <w:r w:rsidR="004F203D" w:rsidRPr="00FD2341">
        <w:t>promote clumping of fine particles into ‘floc’ that can then be readily separated from the water)</w:t>
      </w:r>
      <w:r w:rsidR="004F203D">
        <w:t xml:space="preserve"> </w:t>
      </w:r>
      <w:r>
        <w:t>may also increase concentrations of aluminium in water supplies.</w:t>
      </w:r>
      <w:r w:rsidR="00C0019E">
        <w:t xml:space="preserve"> </w:t>
      </w:r>
    </w:p>
    <w:p w14:paraId="03F59ED4" w14:textId="3B97E8F4" w:rsidR="00131E39" w:rsidRDefault="00EB38E1" w:rsidP="000C6B83">
      <w:pPr>
        <w:pStyle w:val="Heading5"/>
        <w:rPr>
          <w:lang w:eastAsia="ja-JP"/>
        </w:rPr>
      </w:pPr>
      <w:r>
        <w:rPr>
          <w:lang w:eastAsia="ja-JP"/>
        </w:rPr>
        <w:t>Effects on a</w:t>
      </w:r>
      <w:r w:rsidRPr="004508FF">
        <w:rPr>
          <w:lang w:eastAsia="ja-JP"/>
        </w:rPr>
        <w:t>nimal health</w:t>
      </w:r>
    </w:p>
    <w:p w14:paraId="03F59ED5" w14:textId="54BEEF5F" w:rsidR="00C119A5" w:rsidRDefault="00EB38E1" w:rsidP="00C1087A">
      <w:r>
        <w:t>High levels of aluminium react with phosphorus in the intestine of animals to form a non</w:t>
      </w:r>
      <w:r w:rsidR="004E0FD5">
        <w:t>-</w:t>
      </w:r>
      <w:r>
        <w:t xml:space="preserve">absorbable complex, thus affecting phosphorus absorption and metabolism and resulting in phosphorus </w:t>
      </w:r>
      <w:r w:rsidRPr="002B658C">
        <w:t>deficiency (</w:t>
      </w:r>
      <w:r w:rsidRPr="007D4FCE">
        <w:t>NRC 1980</w:t>
      </w:r>
      <w:r w:rsidRPr="002B658C">
        <w:t xml:space="preserve">). Symptoms </w:t>
      </w:r>
      <w:r w:rsidR="00026698" w:rsidRPr="002B658C">
        <w:t xml:space="preserve">of phosphorus deficiency </w:t>
      </w:r>
      <w:r w:rsidRPr="002B658C">
        <w:t>include reduced growth</w:t>
      </w:r>
      <w:r w:rsidR="00E9573A" w:rsidRPr="002B658C">
        <w:t>, soft bones</w:t>
      </w:r>
      <w:r w:rsidR="00837FDA" w:rsidRPr="002B658C">
        <w:t xml:space="preserve"> and</w:t>
      </w:r>
      <w:r w:rsidR="00837FDA">
        <w:t xml:space="preserve"> </w:t>
      </w:r>
      <w:r w:rsidR="00837FDA">
        <w:lastRenderedPageBreak/>
        <w:t>fractures, and infertility (Agriculture Victoria</w:t>
      </w:r>
      <w:r w:rsidR="00053169">
        <w:t xml:space="preserve"> </w:t>
      </w:r>
      <w:r w:rsidR="00837FDA">
        <w:t>2023)</w:t>
      </w:r>
      <w:r>
        <w:t>. Ruminants may be less susceptible t</w:t>
      </w:r>
      <w:r w:rsidRPr="000A084B">
        <w:t xml:space="preserve">han </w:t>
      </w:r>
      <w:proofErr w:type="spellStart"/>
      <w:r w:rsidRPr="000A084B">
        <w:t>monogastrics</w:t>
      </w:r>
      <w:proofErr w:type="spellEnd"/>
      <w:r w:rsidRPr="000A084B">
        <w:t xml:space="preserve">, since organic anions in the rumen may prevent </w:t>
      </w:r>
      <w:r w:rsidR="004F203D" w:rsidRPr="000A084B">
        <w:t xml:space="preserve">the aluminium </w:t>
      </w:r>
      <w:r w:rsidRPr="000A084B">
        <w:t>precipitating with phosphate (Thompson et al. 1959, cited</w:t>
      </w:r>
      <w:r>
        <w:t xml:space="preserve"> by NRC 1980).</w:t>
      </w:r>
    </w:p>
    <w:p w14:paraId="03F59ED6" w14:textId="77777777" w:rsidR="00EA6217" w:rsidRDefault="00EB38E1" w:rsidP="00EA6217">
      <w:r>
        <w:t xml:space="preserve">Animals, particularly ruminants, may tolerate high concentrations of aluminium if there is sufficient phosphorus in the diet to compensate for the effects of aluminium. </w:t>
      </w:r>
      <w:r w:rsidR="00E80220">
        <w:t>Where aluminium concentrations in drinking water exceed 5 mg/L (3.6 mg/L for chickens), livestock intake of phosphorus in the diet should be investigated.</w:t>
      </w:r>
    </w:p>
    <w:p w14:paraId="03F59ED7" w14:textId="3BF1FC3C" w:rsidR="00037329" w:rsidRDefault="00EB38E1" w:rsidP="00C1087A">
      <w:r>
        <w:t xml:space="preserve">No adverse effects were observed when aluminium </w:t>
      </w:r>
      <w:proofErr w:type="spellStart"/>
      <w:r>
        <w:t>sulfate</w:t>
      </w:r>
      <w:proofErr w:type="spellEnd"/>
      <w:r>
        <w:t xml:space="preserve"> was fed to sheep and cattle at concentrations of </w:t>
      </w:r>
      <w:r w:rsidR="004F203D">
        <w:t>1,</w:t>
      </w:r>
      <w:r>
        <w:t>215</w:t>
      </w:r>
      <w:r w:rsidR="00D7647D">
        <w:t> </w:t>
      </w:r>
      <w:r>
        <w:t>mg/kg (</w:t>
      </w:r>
      <w:r w:rsidRPr="00CC7BAA">
        <w:t>Bailey 1977),</w:t>
      </w:r>
      <w:r>
        <w:t xml:space="preserve"> or when aluminium chloride was added to feed for steers at concentrations of </w:t>
      </w:r>
      <w:r w:rsidR="004F203D">
        <w:t>1,</w:t>
      </w:r>
      <w:r>
        <w:t>200</w:t>
      </w:r>
      <w:r w:rsidR="00D7647D">
        <w:t> </w:t>
      </w:r>
      <w:r>
        <w:t>mg/</w:t>
      </w:r>
      <w:r w:rsidRPr="00D82148">
        <w:t>kg (Valdivia et al. 1978). Based</w:t>
      </w:r>
      <w:r>
        <w:t xml:space="preserve"> on these results, NRC (1980</w:t>
      </w:r>
      <w:r w:rsidR="00DE762C">
        <w:t>, 2005</w:t>
      </w:r>
      <w:r>
        <w:t xml:space="preserve">) set the maximum tolerable concentration of aluminium in the diet of </w:t>
      </w:r>
      <w:r w:rsidR="00351351">
        <w:t>livestock</w:t>
      </w:r>
      <w:r>
        <w:t xml:space="preserve"> as </w:t>
      </w:r>
      <w:r w:rsidR="004F203D">
        <w:t>1,</w:t>
      </w:r>
      <w:r>
        <w:t>000</w:t>
      </w:r>
      <w:r w:rsidR="00D7647D">
        <w:t> </w:t>
      </w:r>
      <w:r>
        <w:t>mg/kg.</w:t>
      </w:r>
    </w:p>
    <w:p w14:paraId="03F59ED8" w14:textId="77777777" w:rsidR="00C119A5" w:rsidRDefault="00EB38E1" w:rsidP="00C1087A">
      <w:r>
        <w:t>Chicks and turkeys showed no effects when fed 486</w:t>
      </w:r>
      <w:r w:rsidR="00D7647D">
        <w:t> </w:t>
      </w:r>
      <w:r>
        <w:t>mg/kg</w:t>
      </w:r>
      <w:r w:rsidR="004F203D">
        <w:t>. T</w:t>
      </w:r>
      <w:r>
        <w:t>here is no information on the tolerance of pigs to aluminium (</w:t>
      </w:r>
      <w:r w:rsidRPr="006B147F">
        <w:t xml:space="preserve">Cakir et al. 1978, </w:t>
      </w:r>
      <w:r>
        <w:t>cited by NRC 1980).</w:t>
      </w:r>
    </w:p>
    <w:p w14:paraId="03F59ED9" w14:textId="77777777" w:rsidR="00AD38A0" w:rsidRPr="00AD38A0" w:rsidRDefault="00EB38E1" w:rsidP="000C6B83">
      <w:pPr>
        <w:pStyle w:val="Heading5"/>
        <w:rPr>
          <w:lang w:eastAsia="ja-JP"/>
        </w:rPr>
      </w:pPr>
      <w:r w:rsidRPr="00AD38A0">
        <w:rPr>
          <w:lang w:eastAsia="ja-JP"/>
        </w:rPr>
        <w:t>Derivation of guideline values</w:t>
      </w:r>
    </w:p>
    <w:p w14:paraId="03F59EDA" w14:textId="542EF8CA" w:rsidR="000633DE" w:rsidRDefault="00EB38E1" w:rsidP="00C1087A">
      <w:r>
        <w:t>The ANZECC (1992) guideline value of 5</w:t>
      </w:r>
      <w:r w:rsidR="00D7647D">
        <w:t> </w:t>
      </w:r>
      <w:r>
        <w:t xml:space="preserve">mg/L has been retained and is supported by </w:t>
      </w:r>
      <w:r w:rsidR="00FB1382">
        <w:t xml:space="preserve">the </w:t>
      </w:r>
      <w:r>
        <w:t>calculation of a theoretical guideline value based on a toxicological approach using data from the literature and assumptions as detailed below.</w:t>
      </w:r>
      <w:r w:rsidR="00196C57">
        <w:t xml:space="preserve"> The example in</w:t>
      </w:r>
      <w:r w:rsidR="00CF7725">
        <w:t xml:space="preserve"> </w:t>
      </w:r>
      <w:r w:rsidR="00395AB4">
        <w:t>E</w:t>
      </w:r>
      <w:r w:rsidR="00CF7725">
        <w:t>quation</w:t>
      </w:r>
      <w:r w:rsidR="00B520EB">
        <w:t> </w:t>
      </w:r>
      <w:r w:rsidR="00257B02">
        <w:t>3.</w:t>
      </w:r>
      <w:r w:rsidR="00DC4DFE">
        <w:t>3</w:t>
      </w:r>
      <w:r w:rsidR="00CF7725">
        <w:t xml:space="preserve"> </w:t>
      </w:r>
      <w:r w:rsidR="00196C57">
        <w:t xml:space="preserve">is for cattle; data for other livestock are provided in </w:t>
      </w:r>
      <w:r w:rsidR="007C59FE">
        <w:t>Table 3.10</w:t>
      </w:r>
      <w:r w:rsidR="00196C57">
        <w:t>.</w:t>
      </w:r>
    </w:p>
    <w:p w14:paraId="03F59EDB" w14:textId="77777777" w:rsidR="00395AB4" w:rsidRDefault="00EB38E1" w:rsidP="00DF778F">
      <w:pPr>
        <w:pStyle w:val="Caption"/>
      </w:pPr>
      <w:bookmarkStart w:id="255" w:name="_Toc135056380"/>
      <w:bookmarkStart w:id="256" w:name="_Toc142999659"/>
      <w:bookmarkStart w:id="257" w:name="_Toc148089853"/>
      <w:r>
        <w:t xml:space="preserve">Equation </w:t>
      </w:r>
      <w:r w:rsidR="00257B02">
        <w:t>3.3</w:t>
      </w:r>
      <w:bookmarkEnd w:id="255"/>
      <w:bookmarkEnd w:id="256"/>
      <w:bookmarkEnd w:id="257"/>
    </w:p>
    <w:p w14:paraId="03F59EDC" w14:textId="77777777" w:rsidR="00395AB4" w:rsidRPr="00FD2341" w:rsidRDefault="00EB38E1" w:rsidP="00C1087A">
      <w:pPr>
        <w:rPr>
          <w:rFonts w:eastAsiaTheme="majorEastAsia" w:cstheme="majorBidi"/>
        </w:rPr>
      </w:pPr>
      <m:oMathPara>
        <m:oMath>
          <m:r>
            <m:rPr>
              <m:sty m:val="p"/>
            </m:rPr>
            <w:rPr>
              <w:rFonts w:ascii="Cambria Math" w:hAnsi="Cambria Math"/>
              <w:sz w:val="20"/>
              <w:szCs w:val="20"/>
            </w:rPr>
            <m:t>Guideline value=</m:t>
          </m:r>
          <m:f>
            <m:fPr>
              <m:ctrlPr>
                <w:rPr>
                  <w:rFonts w:ascii="Cambria Math" w:hAnsi="Cambria Math"/>
                  <w:sz w:val="20"/>
                  <w:szCs w:val="20"/>
                </w:rPr>
              </m:ctrlPr>
            </m:fPr>
            <m:num>
              <m:r>
                <m:rPr>
                  <m:sty m:val="p"/>
                </m:rPr>
                <w:rPr>
                  <w:rFonts w:ascii="Cambria Math" w:hAnsi="Cambria Math"/>
                  <w:sz w:val="20"/>
                  <w:szCs w:val="20"/>
                </w:rPr>
                <m:t xml:space="preserve">NOEL x </m:t>
              </m:r>
              <m:r>
                <m:rPr>
                  <m:sty m:val="p"/>
                </m:rPr>
                <w:rPr>
                  <w:rFonts w:ascii="Cambria Math" w:hAnsi="Cambria Math"/>
                  <w:sz w:val="18"/>
                  <w:szCs w:val="18"/>
                </w:rPr>
                <m:t>dailyfeedintake</m:t>
              </m:r>
              <m:r>
                <m:rPr>
                  <m:sty m:val="p"/>
                </m:rPr>
                <w:rPr>
                  <w:rFonts w:ascii="Cambria Math" w:hAnsi="Cambria Math"/>
                  <w:sz w:val="20"/>
                  <w:szCs w:val="20"/>
                </w:rPr>
                <m:t xml:space="preserve"> x proportionwater</m:t>
              </m:r>
            </m:num>
            <m:den>
              <m:r>
                <m:rPr>
                  <m:sty m:val="p"/>
                </m:rPr>
                <w:rPr>
                  <w:rFonts w:ascii="Cambria Math" w:hAnsi="Cambria Math"/>
                  <w:sz w:val="20"/>
                  <w:szCs w:val="20"/>
                </w:rPr>
                <m:t>maxdailywaterintake x safetyfactor</m:t>
              </m:r>
            </m:den>
          </m:f>
        </m:oMath>
      </m:oMathPara>
    </w:p>
    <w:p w14:paraId="03F59EDD" w14:textId="77777777" w:rsidR="00395AB4" w:rsidRPr="00196C57" w:rsidRDefault="00EB38E1" w:rsidP="00C1087A">
      <m:oMathPara>
        <m:oMath>
          <m:r>
            <m:rPr>
              <m:sty m:val="p"/>
            </m:rPr>
            <w:rPr>
              <w:rFonts w:ascii="Cambria Math" w:hAnsi="Cambria Math"/>
              <w:sz w:val="20"/>
              <w:szCs w:val="20"/>
            </w:rPr>
            <m:t>=</m:t>
          </m:r>
          <m:f>
            <m:fPr>
              <m:ctrlPr>
                <w:rPr>
                  <w:rFonts w:ascii="Cambria Math" w:hAnsi="Cambria Math"/>
                  <w:sz w:val="20"/>
                  <w:szCs w:val="20"/>
                </w:rPr>
              </m:ctrlPr>
            </m:fPr>
            <m:num>
              <m:f>
                <m:fPr>
                  <m:type m:val="lin"/>
                  <m:ctrlPr>
                    <w:rPr>
                      <w:rFonts w:ascii="Cambria Math" w:hAnsi="Cambria Math"/>
                      <w:sz w:val="20"/>
                      <w:szCs w:val="20"/>
                    </w:rPr>
                  </m:ctrlPr>
                </m:fPr>
                <m:num>
                  <m:d>
                    <m:dPr>
                      <m:ctrlPr>
                        <w:rPr>
                          <w:rFonts w:ascii="Cambria Math" w:hAnsi="Cambria Math"/>
                          <w:sz w:val="20"/>
                          <w:szCs w:val="20"/>
                        </w:rPr>
                      </m:ctrlPr>
                    </m:dPr>
                    <m:e>
                      <m:r>
                        <m:rPr>
                          <m:sty m:val="p"/>
                        </m:rPr>
                        <w:rPr>
                          <w:rFonts w:ascii="Cambria Math" w:hAnsi="Cambria Math"/>
                          <w:sz w:val="20"/>
                          <w:szCs w:val="20"/>
                        </w:rPr>
                        <m:t>1200</m:t>
                      </m:r>
                      <m:f>
                        <m:fPr>
                          <m:type m:val="lin"/>
                          <m:ctrlPr>
                            <w:rPr>
                              <w:rFonts w:ascii="Cambria Math" w:hAnsi="Cambria Math"/>
                              <w:sz w:val="20"/>
                              <w:szCs w:val="20"/>
                            </w:rPr>
                          </m:ctrlPr>
                        </m:fPr>
                        <m:num>
                          <m:r>
                            <m:rPr>
                              <m:sty m:val="p"/>
                            </m:rPr>
                            <w:rPr>
                              <w:rFonts w:ascii="Cambria Math" w:hAnsi="Cambria Math"/>
                              <w:sz w:val="20"/>
                              <w:szCs w:val="20"/>
                            </w:rPr>
                            <m:t>mg</m:t>
                          </m:r>
                        </m:num>
                        <m:den>
                          <m:r>
                            <m:rPr>
                              <m:sty m:val="p"/>
                            </m:rPr>
                            <w:rPr>
                              <w:rFonts w:ascii="Cambria Math" w:hAnsi="Cambria Math"/>
                              <w:sz w:val="20"/>
                              <w:szCs w:val="20"/>
                            </w:rPr>
                            <m:t>kg</m:t>
                          </m:r>
                        </m:den>
                      </m:f>
                    </m:e>
                  </m:d>
                </m:num>
                <m:den>
                  <m:r>
                    <m:rPr>
                      <m:sty m:val="p"/>
                    </m:rPr>
                    <w:rPr>
                      <w:rFonts w:ascii="Cambria Math" w:hAnsi="Cambria Math"/>
                      <w:sz w:val="20"/>
                      <w:szCs w:val="20"/>
                    </w:rPr>
                    <m:t>day</m:t>
                  </m:r>
                </m:den>
              </m:f>
              <m:r>
                <m:rPr>
                  <m:sty m:val="p"/>
                </m:rPr>
                <w:rPr>
                  <w:rFonts w:ascii="Cambria Math" w:hAnsi="Cambria Math"/>
                  <w:sz w:val="20"/>
                  <w:szCs w:val="20"/>
                </w:rPr>
                <m:t>x 20 kg x 0.2</m:t>
              </m:r>
            </m:num>
            <m:den>
              <m:r>
                <m:rPr>
                  <m:sty m:val="p"/>
                </m:rPr>
                <w:rPr>
                  <w:rFonts w:ascii="Cambria Math" w:hAnsi="Cambria Math"/>
                  <w:sz w:val="20"/>
                  <w:szCs w:val="20"/>
                </w:rPr>
                <m:t>85</m:t>
              </m:r>
              <m:f>
                <m:fPr>
                  <m:type m:val="lin"/>
                  <m:ctrlPr>
                    <w:rPr>
                      <w:rFonts w:ascii="Cambria Math" w:hAnsi="Cambria Math"/>
                      <w:sz w:val="20"/>
                      <w:szCs w:val="20"/>
                    </w:rPr>
                  </m:ctrlPr>
                </m:fPr>
                <m:num>
                  <m:r>
                    <m:rPr>
                      <m:sty m:val="p"/>
                    </m:rPr>
                    <w:rPr>
                      <w:rFonts w:ascii="Cambria Math" w:hAnsi="Cambria Math"/>
                      <w:sz w:val="20"/>
                      <w:szCs w:val="20"/>
                    </w:rPr>
                    <m:t>L</m:t>
                  </m:r>
                </m:num>
                <m:den>
                  <m:r>
                    <m:rPr>
                      <m:sty m:val="p"/>
                    </m:rPr>
                    <w:rPr>
                      <w:rFonts w:ascii="Cambria Math" w:hAnsi="Cambria Math"/>
                      <w:sz w:val="20"/>
                      <w:szCs w:val="20"/>
                    </w:rPr>
                    <m:t>day</m:t>
                  </m:r>
                </m:den>
              </m:f>
              <m:r>
                <m:rPr>
                  <m:sty m:val="p"/>
                </m:rPr>
                <w:rPr>
                  <w:rFonts w:ascii="Cambria Math" w:hAnsi="Cambria Math"/>
                  <w:sz w:val="20"/>
                  <w:szCs w:val="20"/>
                </w:rPr>
                <m:t>x 10</m:t>
              </m:r>
            </m:den>
          </m:f>
          <m:r>
            <m:rPr>
              <m:sty m:val="p"/>
            </m:rPr>
            <w:rPr>
              <w:rFonts w:ascii="Cambria Math" w:hAnsi="Cambria Math"/>
              <w:sz w:val="20"/>
              <w:szCs w:val="20"/>
            </w:rPr>
            <m:t>=5.6</m:t>
          </m:r>
          <m:f>
            <m:fPr>
              <m:type m:val="lin"/>
              <m:ctrlPr>
                <w:rPr>
                  <w:rFonts w:ascii="Cambria Math" w:hAnsi="Cambria Math"/>
                  <w:sz w:val="20"/>
                  <w:szCs w:val="20"/>
                </w:rPr>
              </m:ctrlPr>
            </m:fPr>
            <m:num>
              <m:r>
                <m:rPr>
                  <m:sty m:val="p"/>
                </m:rPr>
                <w:rPr>
                  <w:rFonts w:ascii="Cambria Math" w:hAnsi="Cambria Math"/>
                  <w:sz w:val="20"/>
                  <w:szCs w:val="20"/>
                </w:rPr>
                <m:t>mg</m:t>
              </m:r>
            </m:num>
            <m:den>
              <m:r>
                <m:rPr>
                  <m:sty m:val="p"/>
                </m:rPr>
                <w:rPr>
                  <w:rFonts w:ascii="Cambria Math" w:hAnsi="Cambria Math"/>
                  <w:sz w:val="20"/>
                  <w:szCs w:val="20"/>
                </w:rPr>
                <m:t>L</m:t>
              </m:r>
            </m:den>
          </m:f>
        </m:oMath>
      </m:oMathPara>
    </w:p>
    <w:p w14:paraId="03F59EDE" w14:textId="77777777" w:rsidR="00E1579B" w:rsidRDefault="00EB38E1" w:rsidP="00FD2341">
      <w:r>
        <w:t>Where:</w:t>
      </w:r>
    </w:p>
    <w:p w14:paraId="03F59EDF" w14:textId="77777777" w:rsidR="00E1579B" w:rsidRDefault="00EB38E1" w:rsidP="00637F9E">
      <w:pPr>
        <w:pStyle w:val="ListBullet"/>
        <w:rPr>
          <w:lang w:eastAsia="ja-JP"/>
        </w:rPr>
      </w:pPr>
      <w:r>
        <w:rPr>
          <w:lang w:eastAsia="ja-JP"/>
        </w:rPr>
        <w:t>1,</w:t>
      </w:r>
      <w:r w:rsidR="002D2750">
        <w:rPr>
          <w:lang w:eastAsia="ja-JP"/>
        </w:rPr>
        <w:t>200</w:t>
      </w:r>
      <w:r w:rsidR="00D7647D">
        <w:rPr>
          <w:lang w:eastAsia="ja-JP"/>
        </w:rPr>
        <w:t> </w:t>
      </w:r>
      <w:r w:rsidR="002D2750">
        <w:rPr>
          <w:lang w:eastAsia="ja-JP"/>
        </w:rPr>
        <w:t xml:space="preserve">mg/kg is the </w:t>
      </w:r>
      <w:r w:rsidR="006967AD">
        <w:rPr>
          <w:lang w:eastAsia="ja-JP"/>
        </w:rPr>
        <w:t>concentration of aluminium</w:t>
      </w:r>
      <w:r w:rsidR="002D2750">
        <w:rPr>
          <w:lang w:eastAsia="ja-JP"/>
        </w:rPr>
        <w:t xml:space="preserve"> in the diet for cattle fed over 84</w:t>
      </w:r>
      <w:r w:rsidR="00D7647D">
        <w:rPr>
          <w:lang w:eastAsia="ja-JP"/>
        </w:rPr>
        <w:t> </w:t>
      </w:r>
      <w:r w:rsidR="002D2750">
        <w:rPr>
          <w:lang w:eastAsia="ja-JP"/>
        </w:rPr>
        <w:t xml:space="preserve">days used as the </w:t>
      </w:r>
      <w:r w:rsidR="00562899">
        <w:rPr>
          <w:lang w:eastAsia="ja-JP"/>
        </w:rPr>
        <w:t>NOEL</w:t>
      </w:r>
      <w:r w:rsidR="002D2750">
        <w:rPr>
          <w:lang w:eastAsia="ja-JP"/>
        </w:rPr>
        <w:t xml:space="preserve"> (Valdivia et al. 1978)</w:t>
      </w:r>
    </w:p>
    <w:p w14:paraId="03F59EE0" w14:textId="77777777" w:rsidR="00E1579B" w:rsidRDefault="00EB38E1" w:rsidP="00637F9E">
      <w:pPr>
        <w:pStyle w:val="ListBullet"/>
        <w:rPr>
          <w:lang w:eastAsia="ja-JP"/>
        </w:rPr>
      </w:pPr>
      <w:r>
        <w:rPr>
          <w:lang w:eastAsia="ja-JP"/>
        </w:rPr>
        <w:t>20</w:t>
      </w:r>
      <w:r w:rsidR="00D7647D">
        <w:rPr>
          <w:lang w:eastAsia="ja-JP"/>
        </w:rPr>
        <w:t> </w:t>
      </w:r>
      <w:r>
        <w:rPr>
          <w:lang w:eastAsia="ja-JP"/>
        </w:rPr>
        <w:t xml:space="preserve">kg/day is an estimate of the average </w:t>
      </w:r>
      <w:r w:rsidR="00E80220">
        <w:rPr>
          <w:lang w:eastAsia="ja-JP"/>
        </w:rPr>
        <w:t>daily feed intake</w:t>
      </w:r>
      <w:r>
        <w:rPr>
          <w:lang w:eastAsia="ja-JP"/>
        </w:rPr>
        <w:t xml:space="preserve"> of cattle at this weight</w:t>
      </w:r>
      <w:r w:rsidR="00E80220">
        <w:rPr>
          <w:lang w:eastAsia="ja-JP"/>
        </w:rPr>
        <w:t>,</w:t>
      </w:r>
      <w:r>
        <w:rPr>
          <w:lang w:eastAsia="ja-JP"/>
        </w:rPr>
        <w:t xml:space="preserve"> assuming they consume </w:t>
      </w:r>
      <w:r w:rsidR="006967AD">
        <w:rPr>
          <w:lang w:eastAsia="ja-JP"/>
        </w:rPr>
        <w:t xml:space="preserve">approximately </w:t>
      </w:r>
      <w:r>
        <w:rPr>
          <w:lang w:eastAsia="ja-JP"/>
        </w:rPr>
        <w:t xml:space="preserve">2.5% </w:t>
      </w:r>
      <w:r w:rsidR="006967AD">
        <w:rPr>
          <w:lang w:eastAsia="ja-JP"/>
        </w:rPr>
        <w:t xml:space="preserve">of </w:t>
      </w:r>
      <w:r>
        <w:rPr>
          <w:lang w:eastAsia="ja-JP"/>
        </w:rPr>
        <w:t>their body</w:t>
      </w:r>
      <w:r w:rsidR="006967AD">
        <w:rPr>
          <w:lang w:eastAsia="ja-JP"/>
        </w:rPr>
        <w:t xml:space="preserve"> </w:t>
      </w:r>
      <w:r>
        <w:rPr>
          <w:lang w:eastAsia="ja-JP"/>
        </w:rPr>
        <w:t xml:space="preserve">weight in </w:t>
      </w:r>
      <w:proofErr w:type="gramStart"/>
      <w:r>
        <w:rPr>
          <w:lang w:eastAsia="ja-JP"/>
        </w:rPr>
        <w:t>feed</w:t>
      </w:r>
      <w:proofErr w:type="gramEnd"/>
    </w:p>
    <w:p w14:paraId="03F59EE1" w14:textId="77777777" w:rsidR="00E1579B" w:rsidRDefault="00EB38E1" w:rsidP="00637F9E">
      <w:pPr>
        <w:pStyle w:val="ListBullet"/>
        <w:rPr>
          <w:lang w:eastAsia="ja-JP"/>
        </w:rPr>
      </w:pPr>
      <w:r>
        <w:rPr>
          <w:lang w:eastAsia="ja-JP"/>
        </w:rPr>
        <w:t xml:space="preserve">0.2 is the proportion of aluminium attributed to the intake of </w:t>
      </w:r>
      <w:proofErr w:type="gramStart"/>
      <w:r>
        <w:rPr>
          <w:lang w:eastAsia="ja-JP"/>
        </w:rPr>
        <w:t>water</w:t>
      </w:r>
      <w:proofErr w:type="gramEnd"/>
    </w:p>
    <w:p w14:paraId="03F59EE2" w14:textId="77777777" w:rsidR="00E1579B" w:rsidRDefault="00EB38E1" w:rsidP="00637F9E">
      <w:pPr>
        <w:pStyle w:val="ListBullet"/>
        <w:rPr>
          <w:lang w:eastAsia="ja-JP"/>
        </w:rPr>
      </w:pPr>
      <w:r>
        <w:rPr>
          <w:lang w:eastAsia="ja-JP"/>
        </w:rPr>
        <w:t>85</w:t>
      </w:r>
      <w:r w:rsidR="00D7647D">
        <w:rPr>
          <w:lang w:eastAsia="ja-JP"/>
        </w:rPr>
        <w:t> </w:t>
      </w:r>
      <w:r>
        <w:rPr>
          <w:lang w:eastAsia="ja-JP"/>
        </w:rPr>
        <w:t xml:space="preserve">L/day is the peak </w:t>
      </w:r>
      <w:r w:rsidR="00911CA9">
        <w:rPr>
          <w:lang w:eastAsia="ja-JP"/>
        </w:rPr>
        <w:t xml:space="preserve">water </w:t>
      </w:r>
      <w:proofErr w:type="gramStart"/>
      <w:r>
        <w:rPr>
          <w:lang w:eastAsia="ja-JP"/>
        </w:rPr>
        <w:t>consumption</w:t>
      </w:r>
      <w:proofErr w:type="gramEnd"/>
    </w:p>
    <w:p w14:paraId="03F59EE3" w14:textId="77777777" w:rsidR="000633DE" w:rsidRDefault="00EB38E1" w:rsidP="00FD2341">
      <w:pPr>
        <w:pStyle w:val="ListBullet"/>
        <w:spacing w:after="240"/>
        <w:rPr>
          <w:lang w:eastAsia="ja-JP"/>
        </w:rPr>
      </w:pPr>
      <w:r>
        <w:rPr>
          <w:lang w:eastAsia="ja-JP"/>
        </w:rPr>
        <w:t>10 is the safety factor for possible long-term effects and tissue accumulation.</w:t>
      </w:r>
    </w:p>
    <w:p w14:paraId="03F59EE4" w14:textId="2E7D7571" w:rsidR="00DF0573" w:rsidRDefault="00EB38E1" w:rsidP="00C1087A">
      <w:r>
        <w:t>Based on th</w:t>
      </w:r>
      <w:r w:rsidR="006B1D57">
        <w:t>is</w:t>
      </w:r>
      <w:r>
        <w:t xml:space="preserve"> approach, estimated guideline values for various types of livestock range from 3.6</w:t>
      </w:r>
      <w:r w:rsidR="006B1D57">
        <w:t> mg/L</w:t>
      </w:r>
      <w:r>
        <w:t xml:space="preserve"> to 5.6</w:t>
      </w:r>
      <w:r w:rsidR="00D7647D">
        <w:t> </w:t>
      </w:r>
      <w:r>
        <w:t>mg Al/L (</w:t>
      </w:r>
      <w:r w:rsidR="007C59FE">
        <w:t>Table 3.10)</w:t>
      </w:r>
      <w:r>
        <w:t>, consistent with a guideline value of 5</w:t>
      </w:r>
      <w:r w:rsidR="00D7647D">
        <w:t> </w:t>
      </w:r>
      <w:r>
        <w:t xml:space="preserve">mg/L for all livestock. </w:t>
      </w:r>
      <w:r w:rsidR="0019089C">
        <w:t xml:space="preserve">Agriculture Victoria (2023) recommends a maximum level of 5 mg/L of aluminium for water in stock containment areas. </w:t>
      </w:r>
      <w:r>
        <w:t xml:space="preserve">The guideline is also consistent with </w:t>
      </w:r>
      <w:r w:rsidR="001F4A0A">
        <w:t xml:space="preserve">the </w:t>
      </w:r>
      <w:r>
        <w:t xml:space="preserve">Canadian (CCREM </w:t>
      </w:r>
      <w:r w:rsidR="00BA465D">
        <w:t>2005</w:t>
      </w:r>
      <w:r>
        <w:t xml:space="preserve">) and South African (DWAF 1996) guideline </w:t>
      </w:r>
      <w:r w:rsidR="00A56D1C">
        <w:t>value</w:t>
      </w:r>
      <w:r w:rsidR="00FD383C">
        <w:t>s</w:t>
      </w:r>
      <w:r w:rsidR="00A56D1C">
        <w:t xml:space="preserve"> for</w:t>
      </w:r>
      <w:r>
        <w:t xml:space="preserve"> aluminium in livestock drinking water</w:t>
      </w:r>
      <w:r w:rsidR="00FD383C">
        <w:t xml:space="preserve"> of</w:t>
      </w:r>
      <w:r>
        <w:t xml:space="preserve"> 5</w:t>
      </w:r>
      <w:r w:rsidR="00D7647D">
        <w:t> </w:t>
      </w:r>
      <w:r>
        <w:t>mg/L</w:t>
      </w:r>
      <w:r w:rsidR="001F4A0A">
        <w:t>.</w:t>
      </w:r>
      <w:r>
        <w:t xml:space="preserve"> </w:t>
      </w:r>
      <w:r w:rsidR="001F4A0A">
        <w:t>T</w:t>
      </w:r>
      <w:r>
        <w:t xml:space="preserve">he Canadian and South African guidelines </w:t>
      </w:r>
      <w:r w:rsidR="001F4A0A">
        <w:t>also indicate</w:t>
      </w:r>
      <w:r>
        <w:t xml:space="preserve"> that much higher </w:t>
      </w:r>
      <w:r w:rsidR="001F4A0A">
        <w:t xml:space="preserve">concentrations </w:t>
      </w:r>
      <w:r>
        <w:t>of aluminium may be tolerated.</w:t>
      </w:r>
    </w:p>
    <w:p w14:paraId="5650F4B7" w14:textId="77777777" w:rsidR="006D673F" w:rsidRDefault="006D673F">
      <w:pPr>
        <w:spacing w:after="0" w:line="240" w:lineRule="auto"/>
        <w:rPr>
          <w:rFonts w:ascii="Arial" w:eastAsiaTheme="majorEastAsia" w:hAnsi="Arial" w:cs="Arial"/>
          <w:color w:val="000000" w:themeColor="text1"/>
          <w:sz w:val="24"/>
          <w:szCs w:val="2"/>
          <w:lang w:val="en-GB" w:eastAsia="ja-JP"/>
        </w:rPr>
      </w:pPr>
      <w:bookmarkStart w:id="258" w:name="_Ref84839616"/>
      <w:r>
        <w:br w:type="page"/>
      </w:r>
    </w:p>
    <w:p w14:paraId="03F59EE5" w14:textId="1EA26031" w:rsidR="000633DE" w:rsidRDefault="00EB38E1" w:rsidP="00DF778F">
      <w:pPr>
        <w:pStyle w:val="Caption"/>
      </w:pPr>
      <w:bookmarkStart w:id="259" w:name="_Toc148089854"/>
      <w:r>
        <w:lastRenderedPageBreak/>
        <w:t>Table </w:t>
      </w:r>
      <w:bookmarkEnd w:id="258"/>
      <w:r w:rsidR="004F203D">
        <w:t>3.</w:t>
      </w:r>
      <w:r w:rsidR="00EC18B0">
        <w:t xml:space="preserve">10 </w:t>
      </w:r>
      <w:r w:rsidR="00AD4FF6">
        <w:t>Calculated guideline values</w:t>
      </w:r>
      <w:r w:rsidR="00DF0573">
        <w:t xml:space="preserve"> for aluminium in drinking water</w:t>
      </w:r>
      <w:bookmarkEnd w:id="259"/>
    </w:p>
    <w:tbl>
      <w:tblPr>
        <w:tblW w:w="5000" w:type="pct"/>
        <w:tblBorders>
          <w:top w:val="single" w:sz="4" w:space="0" w:color="000000"/>
          <w:bottom w:val="single" w:sz="4" w:space="0" w:color="000000"/>
          <w:insideH w:val="single" w:sz="4" w:space="0" w:color="000000"/>
        </w:tblBorders>
        <w:tblLook w:val="04A0" w:firstRow="1" w:lastRow="0" w:firstColumn="1" w:lastColumn="0" w:noHBand="0" w:noVBand="1"/>
      </w:tblPr>
      <w:tblGrid>
        <w:gridCol w:w="1135"/>
        <w:gridCol w:w="1587"/>
        <w:gridCol w:w="1587"/>
        <w:gridCol w:w="1587"/>
        <w:gridCol w:w="1587"/>
        <w:gridCol w:w="1587"/>
      </w:tblGrid>
      <w:tr w:rsidR="0054058D" w14:paraId="03F59EEC" w14:textId="77777777" w:rsidTr="00DF3A92">
        <w:trPr>
          <w:cantSplit/>
          <w:tblHeader/>
        </w:trPr>
        <w:tc>
          <w:tcPr>
            <w:tcW w:w="625" w:type="pct"/>
            <w:tcBorders>
              <w:top w:val="single" w:sz="12" w:space="0" w:color="000000"/>
              <w:bottom w:val="single" w:sz="12" w:space="0" w:color="000000"/>
            </w:tcBorders>
            <w:shd w:val="clear" w:color="auto" w:fill="auto"/>
          </w:tcPr>
          <w:p w14:paraId="03F59EE6" w14:textId="77777777" w:rsidR="0035702B" w:rsidRPr="00026DC1" w:rsidRDefault="00EB38E1" w:rsidP="00DF3A92">
            <w:pPr>
              <w:pStyle w:val="TableHeading"/>
            </w:pPr>
            <w:r>
              <w:t>Livestock</w:t>
            </w:r>
          </w:p>
        </w:tc>
        <w:tc>
          <w:tcPr>
            <w:tcW w:w="875" w:type="pct"/>
            <w:tcBorders>
              <w:top w:val="single" w:sz="12" w:space="0" w:color="000000"/>
              <w:bottom w:val="single" w:sz="12" w:space="0" w:color="000000"/>
            </w:tcBorders>
            <w:shd w:val="clear" w:color="auto" w:fill="auto"/>
          </w:tcPr>
          <w:p w14:paraId="03F59EE7" w14:textId="3BF30E3D" w:rsidR="0035702B" w:rsidRPr="00026DC1" w:rsidRDefault="00EB38E1" w:rsidP="007C5D8D">
            <w:pPr>
              <w:pStyle w:val="TableHeading"/>
              <w:jc w:val="center"/>
            </w:pPr>
            <w:r>
              <w:t>Concentration (mg/</w:t>
            </w:r>
            <w:proofErr w:type="gramStart"/>
            <w:r>
              <w:t>kg)</w:t>
            </w:r>
            <w:r w:rsidRPr="00957E8A">
              <w:rPr>
                <w:rStyle w:val="Strong"/>
                <w:b/>
                <w:vertAlign w:val="superscript"/>
              </w:rPr>
              <w:t>a</w:t>
            </w:r>
            <w:proofErr w:type="gramEnd"/>
          </w:p>
        </w:tc>
        <w:tc>
          <w:tcPr>
            <w:tcW w:w="875" w:type="pct"/>
            <w:tcBorders>
              <w:top w:val="single" w:sz="12" w:space="0" w:color="000000"/>
              <w:bottom w:val="single" w:sz="12" w:space="0" w:color="000000"/>
            </w:tcBorders>
            <w:shd w:val="clear" w:color="auto" w:fill="auto"/>
          </w:tcPr>
          <w:p w14:paraId="03F59EE8" w14:textId="77777777" w:rsidR="0035702B" w:rsidRPr="00026DC1" w:rsidRDefault="00EB38E1" w:rsidP="007C5D8D">
            <w:pPr>
              <w:pStyle w:val="TableHeading"/>
              <w:jc w:val="center"/>
            </w:pPr>
            <w:r w:rsidRPr="00026DC1">
              <w:t>Daily feed intake (kg/day)</w:t>
            </w:r>
          </w:p>
        </w:tc>
        <w:tc>
          <w:tcPr>
            <w:tcW w:w="875" w:type="pct"/>
            <w:tcBorders>
              <w:top w:val="single" w:sz="12" w:space="0" w:color="000000"/>
              <w:bottom w:val="single" w:sz="12" w:space="0" w:color="000000"/>
            </w:tcBorders>
            <w:shd w:val="clear" w:color="auto" w:fill="auto"/>
          </w:tcPr>
          <w:p w14:paraId="03F59EE9" w14:textId="77777777" w:rsidR="0035702B" w:rsidRPr="00026DC1" w:rsidRDefault="00EB38E1" w:rsidP="007C5D8D">
            <w:pPr>
              <w:pStyle w:val="TableHeading"/>
              <w:jc w:val="center"/>
            </w:pPr>
            <w:r w:rsidRPr="00026DC1">
              <w:t>Peak water intake (L/day)</w:t>
            </w:r>
          </w:p>
        </w:tc>
        <w:tc>
          <w:tcPr>
            <w:tcW w:w="875" w:type="pct"/>
            <w:tcBorders>
              <w:top w:val="single" w:sz="12" w:space="0" w:color="000000"/>
              <w:bottom w:val="single" w:sz="12" w:space="0" w:color="000000"/>
            </w:tcBorders>
            <w:shd w:val="clear" w:color="auto" w:fill="auto"/>
          </w:tcPr>
          <w:p w14:paraId="03F59EEA" w14:textId="76761EA3" w:rsidR="0035702B" w:rsidRPr="00026DC1" w:rsidRDefault="00EB38E1" w:rsidP="007C5D8D">
            <w:pPr>
              <w:pStyle w:val="TableHeading"/>
              <w:jc w:val="center"/>
            </w:pPr>
            <w:r w:rsidRPr="00026DC1">
              <w:t xml:space="preserve">Safety </w:t>
            </w:r>
            <w:proofErr w:type="spellStart"/>
            <w:r w:rsidRPr="00026DC1">
              <w:t>factor</w:t>
            </w:r>
            <w:r w:rsidRPr="00957E8A">
              <w:rPr>
                <w:rStyle w:val="Strong"/>
                <w:b/>
                <w:vertAlign w:val="superscript"/>
              </w:rPr>
              <w:t>b</w:t>
            </w:r>
            <w:proofErr w:type="spellEnd"/>
          </w:p>
        </w:tc>
        <w:tc>
          <w:tcPr>
            <w:tcW w:w="875" w:type="pct"/>
            <w:tcBorders>
              <w:top w:val="single" w:sz="12" w:space="0" w:color="000000"/>
              <w:bottom w:val="single" w:sz="12" w:space="0" w:color="000000"/>
            </w:tcBorders>
            <w:shd w:val="clear" w:color="auto" w:fill="auto"/>
          </w:tcPr>
          <w:p w14:paraId="03F59EEB" w14:textId="77777777" w:rsidR="0035702B" w:rsidRPr="00026DC1" w:rsidRDefault="00EB38E1" w:rsidP="007C5D8D">
            <w:pPr>
              <w:pStyle w:val="TableHeading"/>
              <w:jc w:val="center"/>
              <w:rPr>
                <w:vertAlign w:val="superscript"/>
              </w:rPr>
            </w:pPr>
            <w:r>
              <w:t>Guideline</w:t>
            </w:r>
            <w:r w:rsidRPr="00026DC1">
              <w:t xml:space="preserve"> </w:t>
            </w:r>
            <w:r w:rsidR="002D2750" w:rsidRPr="00026DC1">
              <w:t>value (mg/L)</w:t>
            </w:r>
          </w:p>
        </w:tc>
      </w:tr>
      <w:tr w:rsidR="0054058D" w14:paraId="03F59EF3" w14:textId="77777777" w:rsidTr="00DF3A92">
        <w:trPr>
          <w:cantSplit/>
        </w:trPr>
        <w:tc>
          <w:tcPr>
            <w:tcW w:w="625" w:type="pct"/>
            <w:tcBorders>
              <w:top w:val="single" w:sz="12" w:space="0" w:color="000000"/>
            </w:tcBorders>
            <w:shd w:val="clear" w:color="auto" w:fill="auto"/>
          </w:tcPr>
          <w:p w14:paraId="03F59EED" w14:textId="77777777" w:rsidR="0035702B" w:rsidRPr="00026DC1" w:rsidRDefault="00EB38E1" w:rsidP="00026DC1">
            <w:pPr>
              <w:pStyle w:val="TableText"/>
            </w:pPr>
            <w:r w:rsidRPr="00026DC1">
              <w:t>Cattle</w:t>
            </w:r>
          </w:p>
        </w:tc>
        <w:tc>
          <w:tcPr>
            <w:tcW w:w="875" w:type="pct"/>
            <w:tcBorders>
              <w:top w:val="single" w:sz="12" w:space="0" w:color="000000"/>
            </w:tcBorders>
            <w:shd w:val="clear" w:color="auto" w:fill="auto"/>
          </w:tcPr>
          <w:p w14:paraId="03F59EEE" w14:textId="77777777" w:rsidR="0035702B" w:rsidRPr="00026DC1" w:rsidRDefault="00EB38E1" w:rsidP="006D673F">
            <w:pPr>
              <w:pStyle w:val="TableText"/>
              <w:tabs>
                <w:tab w:val="decimal" w:pos="740"/>
              </w:tabs>
            </w:pPr>
            <w:r w:rsidRPr="00026DC1">
              <w:t>1</w:t>
            </w:r>
            <w:r>
              <w:t>,</w:t>
            </w:r>
            <w:r w:rsidR="002D2750" w:rsidRPr="00026DC1">
              <w:t>200</w:t>
            </w:r>
          </w:p>
        </w:tc>
        <w:tc>
          <w:tcPr>
            <w:tcW w:w="875" w:type="pct"/>
            <w:tcBorders>
              <w:top w:val="single" w:sz="12" w:space="0" w:color="000000"/>
            </w:tcBorders>
            <w:shd w:val="clear" w:color="auto" w:fill="auto"/>
          </w:tcPr>
          <w:p w14:paraId="03F59EEF" w14:textId="0E1E5CA2" w:rsidR="0035702B" w:rsidRPr="00026DC1" w:rsidRDefault="00EB38E1" w:rsidP="006D673F">
            <w:pPr>
              <w:pStyle w:val="TableText"/>
              <w:tabs>
                <w:tab w:val="decimal" w:pos="717"/>
              </w:tabs>
            </w:pPr>
            <w:r w:rsidRPr="00026DC1">
              <w:t>20</w:t>
            </w:r>
            <w:r w:rsidR="006D673F">
              <w:t>.0</w:t>
            </w:r>
          </w:p>
        </w:tc>
        <w:tc>
          <w:tcPr>
            <w:tcW w:w="875" w:type="pct"/>
            <w:tcBorders>
              <w:top w:val="single" w:sz="12" w:space="0" w:color="000000"/>
            </w:tcBorders>
            <w:shd w:val="clear" w:color="auto" w:fill="auto"/>
          </w:tcPr>
          <w:p w14:paraId="03F59EF0" w14:textId="0361F086" w:rsidR="0035702B" w:rsidRPr="00026DC1" w:rsidRDefault="00EB38E1" w:rsidP="006D673F">
            <w:pPr>
              <w:pStyle w:val="TableText"/>
              <w:tabs>
                <w:tab w:val="decimal" w:pos="711"/>
              </w:tabs>
            </w:pPr>
            <w:r w:rsidRPr="00026DC1">
              <w:t>85</w:t>
            </w:r>
            <w:r w:rsidR="006D673F">
              <w:t>.0</w:t>
            </w:r>
          </w:p>
        </w:tc>
        <w:tc>
          <w:tcPr>
            <w:tcW w:w="875" w:type="pct"/>
            <w:tcBorders>
              <w:top w:val="single" w:sz="12" w:space="0" w:color="000000"/>
            </w:tcBorders>
            <w:shd w:val="clear" w:color="auto" w:fill="auto"/>
          </w:tcPr>
          <w:p w14:paraId="03F59EF1" w14:textId="77777777" w:rsidR="0035702B" w:rsidRPr="00026DC1" w:rsidRDefault="00EB38E1" w:rsidP="006D673F">
            <w:pPr>
              <w:pStyle w:val="TableText"/>
              <w:tabs>
                <w:tab w:val="decimal" w:pos="659"/>
              </w:tabs>
            </w:pPr>
            <w:r w:rsidRPr="00026DC1">
              <w:t>10</w:t>
            </w:r>
          </w:p>
        </w:tc>
        <w:tc>
          <w:tcPr>
            <w:tcW w:w="875" w:type="pct"/>
            <w:tcBorders>
              <w:top w:val="single" w:sz="12" w:space="0" w:color="000000"/>
            </w:tcBorders>
            <w:shd w:val="clear" w:color="auto" w:fill="auto"/>
          </w:tcPr>
          <w:p w14:paraId="03F59EF2" w14:textId="77777777" w:rsidR="0035702B" w:rsidRPr="00026DC1" w:rsidRDefault="00EB38E1" w:rsidP="006D673F">
            <w:pPr>
              <w:pStyle w:val="TableText"/>
              <w:tabs>
                <w:tab w:val="decimal" w:pos="705"/>
              </w:tabs>
            </w:pPr>
            <w:r w:rsidRPr="00026DC1">
              <w:t>5.6</w:t>
            </w:r>
          </w:p>
        </w:tc>
      </w:tr>
      <w:tr w:rsidR="0054058D" w14:paraId="03F59EFA" w14:textId="77777777" w:rsidTr="00DF3A92">
        <w:trPr>
          <w:cantSplit/>
        </w:trPr>
        <w:tc>
          <w:tcPr>
            <w:tcW w:w="625" w:type="pct"/>
            <w:tcBorders>
              <w:bottom w:val="single" w:sz="4" w:space="0" w:color="000000"/>
            </w:tcBorders>
            <w:shd w:val="clear" w:color="auto" w:fill="auto"/>
          </w:tcPr>
          <w:p w14:paraId="03F59EF4" w14:textId="77777777" w:rsidR="0035702B" w:rsidRPr="00026DC1" w:rsidRDefault="00EB38E1" w:rsidP="00026DC1">
            <w:pPr>
              <w:pStyle w:val="TableText"/>
            </w:pPr>
            <w:r w:rsidRPr="00026DC1">
              <w:t>Sheep</w:t>
            </w:r>
          </w:p>
        </w:tc>
        <w:tc>
          <w:tcPr>
            <w:tcW w:w="875" w:type="pct"/>
            <w:tcBorders>
              <w:bottom w:val="single" w:sz="4" w:space="0" w:color="000000"/>
            </w:tcBorders>
            <w:shd w:val="clear" w:color="auto" w:fill="auto"/>
          </w:tcPr>
          <w:p w14:paraId="03F59EF5" w14:textId="77777777" w:rsidR="0035702B" w:rsidRPr="00026DC1" w:rsidRDefault="00EB38E1" w:rsidP="006D673F">
            <w:pPr>
              <w:pStyle w:val="TableText"/>
              <w:tabs>
                <w:tab w:val="decimal" w:pos="740"/>
              </w:tabs>
            </w:pPr>
            <w:r w:rsidRPr="00026DC1">
              <w:t>1</w:t>
            </w:r>
            <w:r>
              <w:t>,</w:t>
            </w:r>
            <w:r w:rsidR="002D2750" w:rsidRPr="00026DC1">
              <w:t>215</w:t>
            </w:r>
          </w:p>
        </w:tc>
        <w:tc>
          <w:tcPr>
            <w:tcW w:w="875" w:type="pct"/>
            <w:tcBorders>
              <w:bottom w:val="single" w:sz="4" w:space="0" w:color="000000"/>
            </w:tcBorders>
            <w:shd w:val="clear" w:color="auto" w:fill="auto"/>
          </w:tcPr>
          <w:p w14:paraId="03F59EF6" w14:textId="24B676B7" w:rsidR="0035702B" w:rsidRPr="00026DC1" w:rsidRDefault="00EB38E1" w:rsidP="006D673F">
            <w:pPr>
              <w:pStyle w:val="TableText"/>
              <w:tabs>
                <w:tab w:val="decimal" w:pos="717"/>
              </w:tabs>
            </w:pPr>
            <w:r w:rsidRPr="00026DC1">
              <w:t>2.4</w:t>
            </w:r>
          </w:p>
        </w:tc>
        <w:tc>
          <w:tcPr>
            <w:tcW w:w="875" w:type="pct"/>
            <w:tcBorders>
              <w:bottom w:val="single" w:sz="4" w:space="0" w:color="000000"/>
            </w:tcBorders>
            <w:shd w:val="clear" w:color="auto" w:fill="auto"/>
          </w:tcPr>
          <w:p w14:paraId="03F59EF7" w14:textId="77777777" w:rsidR="0035702B" w:rsidRPr="00026DC1" w:rsidRDefault="00EB38E1" w:rsidP="006D673F">
            <w:pPr>
              <w:pStyle w:val="TableText"/>
              <w:tabs>
                <w:tab w:val="decimal" w:pos="711"/>
              </w:tabs>
            </w:pPr>
            <w:r w:rsidRPr="00026DC1">
              <w:t>11.5</w:t>
            </w:r>
          </w:p>
        </w:tc>
        <w:tc>
          <w:tcPr>
            <w:tcW w:w="875" w:type="pct"/>
            <w:tcBorders>
              <w:bottom w:val="single" w:sz="4" w:space="0" w:color="000000"/>
            </w:tcBorders>
            <w:shd w:val="clear" w:color="auto" w:fill="auto"/>
          </w:tcPr>
          <w:p w14:paraId="03F59EF8" w14:textId="77777777" w:rsidR="0035702B" w:rsidRPr="00026DC1" w:rsidRDefault="00EB38E1" w:rsidP="006D673F">
            <w:pPr>
              <w:pStyle w:val="TableText"/>
              <w:tabs>
                <w:tab w:val="decimal" w:pos="659"/>
              </w:tabs>
            </w:pPr>
            <w:r w:rsidRPr="00026DC1">
              <w:t>10</w:t>
            </w:r>
          </w:p>
        </w:tc>
        <w:tc>
          <w:tcPr>
            <w:tcW w:w="875" w:type="pct"/>
            <w:tcBorders>
              <w:bottom w:val="single" w:sz="4" w:space="0" w:color="000000"/>
            </w:tcBorders>
            <w:shd w:val="clear" w:color="auto" w:fill="auto"/>
          </w:tcPr>
          <w:p w14:paraId="03F59EF9" w14:textId="77777777" w:rsidR="0035702B" w:rsidRPr="00026DC1" w:rsidRDefault="00EB38E1" w:rsidP="006D673F">
            <w:pPr>
              <w:pStyle w:val="TableText"/>
              <w:tabs>
                <w:tab w:val="decimal" w:pos="705"/>
              </w:tabs>
            </w:pPr>
            <w:r w:rsidRPr="00026DC1">
              <w:t>5.1</w:t>
            </w:r>
          </w:p>
        </w:tc>
      </w:tr>
      <w:tr w:rsidR="0054058D" w14:paraId="03F59F01" w14:textId="77777777" w:rsidTr="00DF3A92">
        <w:trPr>
          <w:cantSplit/>
          <w:trHeight w:val="56"/>
        </w:trPr>
        <w:tc>
          <w:tcPr>
            <w:tcW w:w="625" w:type="pct"/>
            <w:tcBorders>
              <w:bottom w:val="single" w:sz="12" w:space="0" w:color="000000"/>
            </w:tcBorders>
            <w:shd w:val="clear" w:color="auto" w:fill="auto"/>
          </w:tcPr>
          <w:p w14:paraId="03F59EFB" w14:textId="36701C65" w:rsidR="0035702B" w:rsidRPr="00026DC1" w:rsidRDefault="000D278D" w:rsidP="00026DC1">
            <w:pPr>
              <w:pStyle w:val="TableText"/>
              <w:rPr>
                <w:vertAlign w:val="superscript"/>
              </w:rPr>
            </w:pPr>
            <w:proofErr w:type="spellStart"/>
            <w:r>
              <w:t>Poultry</w:t>
            </w:r>
            <w:r w:rsidR="00EB38E1" w:rsidRPr="00957E8A">
              <w:rPr>
                <w:rStyle w:val="Strong"/>
                <w:vertAlign w:val="superscript"/>
              </w:rPr>
              <w:t>c</w:t>
            </w:r>
            <w:proofErr w:type="spellEnd"/>
          </w:p>
        </w:tc>
        <w:tc>
          <w:tcPr>
            <w:tcW w:w="875" w:type="pct"/>
            <w:tcBorders>
              <w:bottom w:val="single" w:sz="12" w:space="0" w:color="000000"/>
            </w:tcBorders>
            <w:shd w:val="clear" w:color="auto" w:fill="auto"/>
          </w:tcPr>
          <w:p w14:paraId="03F59EFC" w14:textId="77777777" w:rsidR="0035702B" w:rsidRPr="00026DC1" w:rsidRDefault="00EB38E1" w:rsidP="006D673F">
            <w:pPr>
              <w:pStyle w:val="TableText"/>
              <w:tabs>
                <w:tab w:val="decimal" w:pos="740"/>
              </w:tabs>
            </w:pPr>
            <w:r w:rsidRPr="00026DC1">
              <w:t>486</w:t>
            </w:r>
          </w:p>
        </w:tc>
        <w:tc>
          <w:tcPr>
            <w:tcW w:w="875" w:type="pct"/>
            <w:tcBorders>
              <w:bottom w:val="single" w:sz="12" w:space="0" w:color="000000"/>
            </w:tcBorders>
            <w:shd w:val="clear" w:color="auto" w:fill="auto"/>
          </w:tcPr>
          <w:p w14:paraId="03F59EFD" w14:textId="77777777" w:rsidR="0035702B" w:rsidRPr="00026DC1" w:rsidRDefault="00EB38E1" w:rsidP="006D673F">
            <w:pPr>
              <w:pStyle w:val="TableText"/>
              <w:tabs>
                <w:tab w:val="decimal" w:pos="717"/>
              </w:tabs>
            </w:pPr>
            <w:r w:rsidRPr="00026DC1">
              <w:t>0.15</w:t>
            </w:r>
          </w:p>
        </w:tc>
        <w:tc>
          <w:tcPr>
            <w:tcW w:w="875" w:type="pct"/>
            <w:tcBorders>
              <w:bottom w:val="single" w:sz="12" w:space="0" w:color="000000"/>
            </w:tcBorders>
            <w:shd w:val="clear" w:color="auto" w:fill="auto"/>
          </w:tcPr>
          <w:p w14:paraId="03F59EFE" w14:textId="77777777" w:rsidR="0035702B" w:rsidRPr="00026DC1" w:rsidRDefault="00EB38E1" w:rsidP="006D673F">
            <w:pPr>
              <w:pStyle w:val="TableText"/>
              <w:tabs>
                <w:tab w:val="decimal" w:pos="711"/>
              </w:tabs>
            </w:pPr>
            <w:r w:rsidRPr="00026DC1">
              <w:t>0.4</w:t>
            </w:r>
          </w:p>
        </w:tc>
        <w:tc>
          <w:tcPr>
            <w:tcW w:w="875" w:type="pct"/>
            <w:tcBorders>
              <w:bottom w:val="single" w:sz="12" w:space="0" w:color="000000"/>
            </w:tcBorders>
            <w:shd w:val="clear" w:color="auto" w:fill="auto"/>
          </w:tcPr>
          <w:p w14:paraId="03F59EFF" w14:textId="77777777" w:rsidR="0035702B" w:rsidRPr="00026DC1" w:rsidRDefault="00EB38E1" w:rsidP="006D673F">
            <w:pPr>
              <w:pStyle w:val="TableText"/>
              <w:tabs>
                <w:tab w:val="decimal" w:pos="659"/>
              </w:tabs>
            </w:pPr>
            <w:r w:rsidRPr="00026DC1">
              <w:t>10</w:t>
            </w:r>
          </w:p>
        </w:tc>
        <w:tc>
          <w:tcPr>
            <w:tcW w:w="875" w:type="pct"/>
            <w:tcBorders>
              <w:bottom w:val="single" w:sz="12" w:space="0" w:color="000000"/>
            </w:tcBorders>
            <w:shd w:val="clear" w:color="auto" w:fill="auto"/>
          </w:tcPr>
          <w:p w14:paraId="03F59F00" w14:textId="77777777" w:rsidR="0035702B" w:rsidRPr="00026DC1" w:rsidRDefault="00EB38E1" w:rsidP="006D673F">
            <w:pPr>
              <w:pStyle w:val="TableText"/>
              <w:tabs>
                <w:tab w:val="decimal" w:pos="705"/>
              </w:tabs>
            </w:pPr>
            <w:r w:rsidRPr="00026DC1">
              <w:t>3.6</w:t>
            </w:r>
          </w:p>
        </w:tc>
      </w:tr>
    </w:tbl>
    <w:p w14:paraId="03F59F02" w14:textId="5906260B" w:rsidR="0035702B" w:rsidRDefault="00EB38E1" w:rsidP="00C1087A">
      <w:pPr>
        <w:pStyle w:val="FigureTableNoteSource"/>
      </w:pPr>
      <w:r w:rsidRPr="00957E8A">
        <w:rPr>
          <w:rStyle w:val="Strong"/>
        </w:rPr>
        <w:t>a</w:t>
      </w:r>
      <w:r>
        <w:t xml:space="preserve"> </w:t>
      </w:r>
      <w:proofErr w:type="gramStart"/>
      <w:r>
        <w:t>From</w:t>
      </w:r>
      <w:proofErr w:type="gramEnd"/>
      <w:r>
        <w:t xml:space="preserve"> summary of toxic responses of animals to aluminium </w:t>
      </w:r>
      <w:r w:rsidR="00FC5618">
        <w:t>concentrations</w:t>
      </w:r>
      <w:r>
        <w:t xml:space="preserve"> in feed in NRC (1980</w:t>
      </w:r>
      <w:r w:rsidR="00B03D45">
        <w:t>, 2005</w:t>
      </w:r>
      <w:r>
        <w:t>).</w:t>
      </w:r>
    </w:p>
    <w:p w14:paraId="03F59F03" w14:textId="77777777" w:rsidR="0035702B" w:rsidRDefault="00EB38E1" w:rsidP="00C1087A">
      <w:pPr>
        <w:pStyle w:val="FigureTableNoteSource"/>
      </w:pPr>
      <w:r w:rsidRPr="00957E8A">
        <w:rPr>
          <w:rStyle w:val="Strong"/>
        </w:rPr>
        <w:t>b</w:t>
      </w:r>
      <w:r>
        <w:t xml:space="preserve"> Safety factor for possible long-term effects and tissue accumulation.</w:t>
      </w:r>
    </w:p>
    <w:p w14:paraId="03F59F04" w14:textId="05FE1919" w:rsidR="00DF0573" w:rsidRDefault="00EB38E1" w:rsidP="00C1087A">
      <w:pPr>
        <w:pStyle w:val="FigureTableNoteSource"/>
      </w:pPr>
      <w:r w:rsidRPr="00957E8A">
        <w:rPr>
          <w:rStyle w:val="Strong"/>
        </w:rPr>
        <w:t>c</w:t>
      </w:r>
      <w:r>
        <w:t xml:space="preserve"> </w:t>
      </w:r>
      <w:r w:rsidR="000D278D">
        <w:t>Calculated for chickens; a</w:t>
      </w:r>
      <w:r>
        <w:t>ll poultry have a similar body weight</w:t>
      </w:r>
      <w:r w:rsidR="0019216B">
        <w:t xml:space="preserve"> to </w:t>
      </w:r>
      <w:r>
        <w:t>water intake ratio</w:t>
      </w:r>
      <w:r w:rsidR="0019216B">
        <w:t>;</w:t>
      </w:r>
      <w:r>
        <w:t xml:space="preserve"> hence</w:t>
      </w:r>
      <w:r w:rsidR="0019216B">
        <w:t>,</w:t>
      </w:r>
      <w:r>
        <w:t xml:space="preserve"> these values represent all poultry.</w:t>
      </w:r>
    </w:p>
    <w:p w14:paraId="03F59F05" w14:textId="560459C6" w:rsidR="00FB51D4" w:rsidRDefault="003A647C" w:rsidP="000C6B83">
      <w:pPr>
        <w:pStyle w:val="Heading4"/>
        <w:rPr>
          <w:lang w:eastAsia="ja-JP"/>
        </w:rPr>
      </w:pPr>
      <w:bookmarkStart w:id="260" w:name="_Toc134442314"/>
      <w:bookmarkStart w:id="261" w:name="_Toc141704564"/>
      <w:r>
        <w:rPr>
          <w:lang w:eastAsia="ja-JP"/>
        </w:rPr>
        <w:t>3.3.2</w:t>
      </w:r>
      <w:r>
        <w:rPr>
          <w:lang w:eastAsia="ja-JP"/>
        </w:rPr>
        <w:tab/>
      </w:r>
      <w:r w:rsidR="00EB38E1">
        <w:rPr>
          <w:lang w:eastAsia="ja-JP"/>
        </w:rPr>
        <w:t>Arsenic</w:t>
      </w:r>
      <w:bookmarkEnd w:id="260"/>
      <w:bookmarkEnd w:id="261"/>
    </w:p>
    <w:p w14:paraId="03F59F06" w14:textId="77777777" w:rsidR="00FB51D4" w:rsidRDefault="00EB38E1" w:rsidP="00C1087A">
      <w:pPr>
        <w:pStyle w:val="Sectionkeypoints"/>
      </w:pPr>
      <w:bookmarkStart w:id="262" w:name="_Hlk135129373"/>
      <w:r>
        <w:t>Total arsenic c</w:t>
      </w:r>
      <w:r w:rsidR="002D2750">
        <w:t>oncentration</w:t>
      </w:r>
      <w:r>
        <w:t>s</w:t>
      </w:r>
      <w:r w:rsidR="002D2750">
        <w:t xml:space="preserve"> </w:t>
      </w:r>
      <w:r w:rsidR="00EA6217">
        <w:rPr>
          <w:rFonts w:cstheme="minorHAnsi"/>
        </w:rPr>
        <w:t>&gt;</w:t>
      </w:r>
      <w:r w:rsidR="00EA6217">
        <w:t>0.025 mg/L</w:t>
      </w:r>
      <w:r w:rsidR="002D2750">
        <w:t xml:space="preserve"> </w:t>
      </w:r>
      <w:r w:rsidR="00E80220">
        <w:t xml:space="preserve">in </w:t>
      </w:r>
      <w:r w:rsidR="00647F23">
        <w:t xml:space="preserve">livestock </w:t>
      </w:r>
      <w:r w:rsidR="002D2750">
        <w:t>drinking water</w:t>
      </w:r>
      <w:r w:rsidR="00647F23">
        <w:t xml:space="preserve"> </w:t>
      </w:r>
      <w:r w:rsidR="002D2750">
        <w:t>may be hazardous to stock health.</w:t>
      </w:r>
    </w:p>
    <w:bookmarkEnd w:id="262"/>
    <w:p w14:paraId="03F59F07" w14:textId="77777777" w:rsidR="00FB51D4" w:rsidRDefault="00EB38E1" w:rsidP="000C6B83">
      <w:pPr>
        <w:pStyle w:val="Heading5"/>
        <w:rPr>
          <w:lang w:eastAsia="ja-JP"/>
        </w:rPr>
      </w:pPr>
      <w:r>
        <w:rPr>
          <w:lang w:eastAsia="ja-JP"/>
        </w:rPr>
        <w:t>Source</w:t>
      </w:r>
    </w:p>
    <w:p w14:paraId="03F59F08" w14:textId="698272FC" w:rsidR="00D23338" w:rsidRDefault="00EB38E1" w:rsidP="00C1087A">
      <w:pPr>
        <w:rPr>
          <w:lang w:val="en-GB"/>
        </w:rPr>
      </w:pPr>
      <w:r>
        <w:rPr>
          <w:lang w:val="en-GB"/>
        </w:rPr>
        <w:t xml:space="preserve">Arsenic is a naturally occurring element that is widely distributed in the Australian environment. It exhibits complex chemical and environmental behaviours as it can exist in a number of oxidative states </w:t>
      </w:r>
      <w:r>
        <w:rPr>
          <w:lang w:val="en-GB"/>
        </w:rPr>
        <w:fldChar w:fldCharType="begin"/>
      </w:r>
      <w:r>
        <w:rPr>
          <w:lang w:val="en-GB"/>
        </w:rPr>
        <w:instrText xml:space="preserve"> ADDIN ZOTERO_ITEM CSL_CITATION {"citationID":"oYAazsKN","properties":{"formattedCitation":"(Rajakovic and Rajakovic-Ognjanovic, 2018)","plainCitation":"(Rajakovic and Rajakovic-Ognjanovic, 2018)","noteIndex":0},"citationItems":[{"id":32943,"uris":["http://zotero.org/users/1938757/items/TK57PXTY"],"uri":["http://zotero.org/users/1938757/items/TK57PXTY"],"itemData":{"id":32943,"type":"article-journal","abstract":"Depending on the physical, chemical and biogeochemical processes and condition of the environment, various arsenic species can be present in water. Water soluble arsenic species existing in natural water are inorganic arsenic (iAs) and organic arsenic (oAs) species. All acidic species, according to the chemical equilibrium, have well-recognized molecular and ionic forms in water. The distribution of iAs and oAs species is a function of pH value of water traces of arsenic that are found in groundwater, lakes, rivers and ocean. The WHO provisional guideline value for arsenic in drinking water is 10 μg L−1. The most selective and sensitive methods for determination of total arsenic and its species in water are coupled techniques including chromatography, optical methods and mass spectrometry. Determination of arsenic species is of crucial importance for selection of arsenic removal technology. Best available technologies are based on absorption, precipitation, membrane and hybrid membrane processes. Adsorption is considered to be relatively simple, efficient and low-cost removal technique, especially convenient for application in rural areas. Sorbents for arsenic removal are biological materials, mineral oxides, activated carbons and polymer resins.","container-title":"Arsenic - Analytical and Toxicological Studies","DOI":"10.5772/intechopen.75531","language":"en","note":"publisher: IntechOpen","source":"www.intechopen.com","title":"Arsenic in Water: Determination and Removal","title-short":"Arsenic in Water","URL":"https://www.intechopen.com/books/arsenic-analytical-and-toxicological-studies/arsenic-in-water-determination-and-removal","author":[{"family":"Rajakovic","given":"Ljubinka"},{"family":"Rajakovic-Ognjanovic","given":"Vladana"}],"accessed":{"date-parts":[["2021",2,23]]},"issued":{"date-parts":[["2018",7,25]]}}}],"schema":"https://github.com/citation-style-language/schema/raw/master/csl-citation.json"} </w:instrText>
      </w:r>
      <w:r>
        <w:rPr>
          <w:lang w:val="en-GB"/>
        </w:rPr>
        <w:fldChar w:fldCharType="separate"/>
      </w:r>
      <w:r w:rsidRPr="007C2051">
        <w:rPr>
          <w:rFonts w:ascii="Calibri" w:hAnsi="Calibri" w:cs="Calibri"/>
        </w:rPr>
        <w:t xml:space="preserve">(Rajakovic </w:t>
      </w:r>
      <w:r>
        <w:rPr>
          <w:rFonts w:ascii="Calibri" w:hAnsi="Calibri" w:cs="Calibri"/>
        </w:rPr>
        <w:t>&amp;</w:t>
      </w:r>
      <w:r w:rsidRPr="007C2051">
        <w:rPr>
          <w:rFonts w:ascii="Calibri" w:hAnsi="Calibri" w:cs="Calibri"/>
        </w:rPr>
        <w:t xml:space="preserve"> Rajakovic-Ognjanovic 2018)</w:t>
      </w:r>
      <w:r>
        <w:rPr>
          <w:lang w:val="en-GB"/>
        </w:rPr>
        <w:fldChar w:fldCharType="end"/>
      </w:r>
      <w:r>
        <w:rPr>
          <w:lang w:val="en-GB"/>
        </w:rPr>
        <w:t>.</w:t>
      </w:r>
    </w:p>
    <w:p w14:paraId="03F59F09" w14:textId="001595B9" w:rsidR="00FB51D4" w:rsidRDefault="00EB38E1" w:rsidP="00C1087A">
      <w:r>
        <w:t>Arsenic occurs naturally in surface waters at low concentrations, generally &lt;0.01</w:t>
      </w:r>
      <w:r w:rsidR="00DF3DFA">
        <w:t> </w:t>
      </w:r>
      <w:r>
        <w:t xml:space="preserve">mg/L. Higher concentrations are found in some groundwaters and </w:t>
      </w:r>
      <w:proofErr w:type="gramStart"/>
      <w:r>
        <w:t>as a result of</w:t>
      </w:r>
      <w:proofErr w:type="gramEnd"/>
      <w:r>
        <w:t xml:space="preserve"> </w:t>
      </w:r>
      <w:r w:rsidR="00E80220">
        <w:t xml:space="preserve">local </w:t>
      </w:r>
      <w:r>
        <w:t xml:space="preserve">mining or industrial activities </w:t>
      </w:r>
      <w:r w:rsidRPr="00001218">
        <w:t xml:space="preserve">(Fergusson 1990, </w:t>
      </w:r>
      <w:r w:rsidRPr="00BA3750">
        <w:t>Galvin 1996).</w:t>
      </w:r>
      <w:r w:rsidR="00C25EC8">
        <w:t xml:space="preserve"> The potential sources of arsenic for farm animals</w:t>
      </w:r>
      <w:r w:rsidR="00C000C0">
        <w:t>, in order of contribution,</w:t>
      </w:r>
      <w:r w:rsidR="00C25EC8">
        <w:t xml:space="preserve"> are food, drinking water, soil and air</w:t>
      </w:r>
      <w:r w:rsidR="00C000C0">
        <w:t xml:space="preserve"> (</w:t>
      </w:r>
      <w:r w:rsidR="00D96DBA">
        <w:t>Olkowski 2009)</w:t>
      </w:r>
      <w:r w:rsidR="00C25EC8">
        <w:t>.</w:t>
      </w:r>
    </w:p>
    <w:p w14:paraId="03F59F0A" w14:textId="586FA8CF" w:rsidR="00FB51D4" w:rsidRDefault="00EB38E1" w:rsidP="00C1087A">
      <w:r>
        <w:t xml:space="preserve">Arsenic is used in </w:t>
      </w:r>
      <w:r w:rsidR="00E80220">
        <w:t>several</w:t>
      </w:r>
      <w:r>
        <w:t xml:space="preserve"> industrial processes. It is no longer used as insecticide in sheep dips</w:t>
      </w:r>
      <w:r w:rsidR="00E926B0">
        <w:t>,</w:t>
      </w:r>
      <w:r>
        <w:t xml:space="preserve"> but organic forms of arsenic are included in </w:t>
      </w:r>
      <w:r w:rsidR="00E80220">
        <w:t xml:space="preserve">some </w:t>
      </w:r>
      <w:r>
        <w:t>herbicide formulations (</w:t>
      </w:r>
      <w:r w:rsidR="00D95B90">
        <w:t xml:space="preserve">see </w:t>
      </w:r>
      <w:hyperlink r:id="rId35" w:history="1">
        <w:proofErr w:type="spellStart"/>
        <w:r w:rsidR="00D95B90" w:rsidRPr="00367D2C">
          <w:rPr>
            <w:rStyle w:val="Hyperlink"/>
          </w:rPr>
          <w:t>PubCRIS</w:t>
        </w:r>
        <w:proofErr w:type="spellEnd"/>
      </w:hyperlink>
      <w:r w:rsidRPr="009E0011">
        <w:t>).</w:t>
      </w:r>
    </w:p>
    <w:p w14:paraId="03F59F0B" w14:textId="77777777" w:rsidR="00FB51D4" w:rsidRDefault="00EB38E1" w:rsidP="000C6B83">
      <w:pPr>
        <w:pStyle w:val="Heading5"/>
        <w:rPr>
          <w:lang w:eastAsia="ja-JP"/>
        </w:rPr>
      </w:pPr>
      <w:r>
        <w:rPr>
          <w:lang w:eastAsia="ja-JP"/>
        </w:rPr>
        <w:t>Animal health</w:t>
      </w:r>
    </w:p>
    <w:p w14:paraId="0E7911EE" w14:textId="571D922D" w:rsidR="007D1C7F" w:rsidRDefault="00F56122" w:rsidP="00C1087A">
      <w:r>
        <w:t xml:space="preserve">Arsenic </w:t>
      </w:r>
      <w:r w:rsidR="00277011">
        <w:t xml:space="preserve">and inorganic arsenic compounds are </w:t>
      </w:r>
      <w:r>
        <w:t xml:space="preserve">classed as a Group 1 carcinogen </w:t>
      </w:r>
      <w:r w:rsidRPr="000E5716">
        <w:t xml:space="preserve">by the </w:t>
      </w:r>
      <w:hyperlink r:id="rId36" w:history="1">
        <w:r w:rsidRPr="00B92F53">
          <w:rPr>
            <w:rStyle w:val="Hyperlink"/>
          </w:rPr>
          <w:t>International Agency for Research on Cancer</w:t>
        </w:r>
      </w:hyperlink>
      <w:r w:rsidR="0061643C">
        <w:t>.</w:t>
      </w:r>
      <w:r>
        <w:t xml:space="preserve"> </w:t>
      </w:r>
      <w:r w:rsidR="00EB38E1">
        <w:t>The toxicity of arsenic depends</w:t>
      </w:r>
      <w:r w:rsidR="00942D53">
        <w:t>,</w:t>
      </w:r>
      <w:r w:rsidR="00EB38E1">
        <w:t xml:space="preserve"> to a large extent</w:t>
      </w:r>
      <w:r w:rsidR="00942D53">
        <w:t>,</w:t>
      </w:r>
      <w:r w:rsidR="00EB38E1">
        <w:t xml:space="preserve"> on the form in which it occurs: inorganic arsenic is more toxic than organic arsenic</w:t>
      </w:r>
      <w:r w:rsidR="00942D53">
        <w:t>;</w:t>
      </w:r>
      <w:r w:rsidR="00EB38E1">
        <w:t xml:space="preserve"> trivalent inorganic arsenic (</w:t>
      </w:r>
      <w:proofErr w:type="spellStart"/>
      <w:r w:rsidR="00EB38E1">
        <w:t>arsenite</w:t>
      </w:r>
      <w:proofErr w:type="spellEnd"/>
      <w:r w:rsidR="00EB38E1">
        <w:t xml:space="preserve">) is more </w:t>
      </w:r>
      <w:r w:rsidR="00962AEA">
        <w:t xml:space="preserve">toxic </w:t>
      </w:r>
      <w:r w:rsidR="00EB38E1">
        <w:t>than the pentavalent form (arsenate).</w:t>
      </w:r>
    </w:p>
    <w:p w14:paraId="03F59F0D" w14:textId="56DB0880" w:rsidR="00E80220" w:rsidRDefault="00EB38E1" w:rsidP="00C1087A">
      <w:r>
        <w:t>Symptoms of arsenic intoxication include a</w:t>
      </w:r>
      <w:r w:rsidR="002D2750">
        <w:t xml:space="preserve">cute effects such as diarrhoea, </w:t>
      </w:r>
      <w:r w:rsidR="009722A6">
        <w:t>in</w:t>
      </w:r>
      <w:r w:rsidR="002D2750">
        <w:t>coordination</w:t>
      </w:r>
      <w:r w:rsidR="002D42AA">
        <w:t>,</w:t>
      </w:r>
      <w:r w:rsidR="002D2750">
        <w:t xml:space="preserve"> and anaemia</w:t>
      </w:r>
      <w:r w:rsidR="00B72538">
        <w:t xml:space="preserve"> (Agriculture Victoria 2023)</w:t>
      </w:r>
      <w:r w:rsidR="002D2750">
        <w:t xml:space="preserve">. </w:t>
      </w:r>
      <w:proofErr w:type="spellStart"/>
      <w:r>
        <w:t>Monogastrics</w:t>
      </w:r>
      <w:proofErr w:type="spellEnd"/>
      <w:r w:rsidR="002D2750">
        <w:t xml:space="preserve"> (pigs and poultry) are more susceptible than ruminants and horses.</w:t>
      </w:r>
    </w:p>
    <w:p w14:paraId="03F59F0E" w14:textId="247DBC7D" w:rsidR="00FB51D4" w:rsidRDefault="00EB38E1" w:rsidP="00C1087A">
      <w:r>
        <w:t>Although the level of arsenic in animal tissue increases proportionally with the amount ingested, it does not accumulate in tissue and is efficiently excreted (NRC 1980</w:t>
      </w:r>
      <w:r w:rsidR="000C34DD">
        <w:t>, 2005</w:t>
      </w:r>
      <w:r>
        <w:t>).</w:t>
      </w:r>
      <w:r w:rsidR="00EA287E" w:rsidRPr="00EA287E">
        <w:t xml:space="preserve"> </w:t>
      </w:r>
      <w:r w:rsidR="00EA287E">
        <w:t>Arsenic increases excretion of selenium, which may lead to selenium deficiency (Olkowski 2009).</w:t>
      </w:r>
    </w:p>
    <w:p w14:paraId="426A3332" w14:textId="2848DED5" w:rsidR="00DF217D" w:rsidRDefault="00DF217D" w:rsidP="00DF217D">
      <w:r>
        <w:t xml:space="preserve">NRC (1980) </w:t>
      </w:r>
      <w:r w:rsidR="00B0774F">
        <w:t xml:space="preserve">set </w:t>
      </w:r>
      <w:r>
        <w:t>a maximum tolerable dietary concentration of 50 mg/kg in feed for inorganic forms of arsenic and 100 mg/kg in feed for organic forms of arsenic.</w:t>
      </w:r>
      <w:r w:rsidR="00F150A7">
        <w:t xml:space="preserve"> </w:t>
      </w:r>
      <w:r w:rsidR="00EA287E">
        <w:t>This was reduced in NRC (2005) to 30 mg/</w:t>
      </w:r>
      <w:r w:rsidR="00111324">
        <w:t>kg diet</w:t>
      </w:r>
      <w:r w:rsidR="00543734">
        <w:t xml:space="preserve"> for both forms of arsenic</w:t>
      </w:r>
      <w:r w:rsidR="00B0774F">
        <w:t xml:space="preserve"> to recognise the variability between species in their tolerance of arsenic</w:t>
      </w:r>
      <w:r w:rsidR="00543734">
        <w:t>.</w:t>
      </w:r>
      <w:r w:rsidR="00111324">
        <w:t xml:space="preserve"> </w:t>
      </w:r>
    </w:p>
    <w:p w14:paraId="03F59F0F" w14:textId="6A97CFB1" w:rsidR="00FB51D4" w:rsidRDefault="00EB38E1" w:rsidP="00C1087A">
      <w:r>
        <w:t xml:space="preserve">Rosas et al. (1999) reported that dairy cattle </w:t>
      </w:r>
      <w:r w:rsidR="00E80220">
        <w:t xml:space="preserve">in Mexico </w:t>
      </w:r>
      <w:r>
        <w:t xml:space="preserve">grazed on forage and given drinking water from wells naturally contaminated with </w:t>
      </w:r>
      <w:r w:rsidR="004B10D9">
        <w:t xml:space="preserve">arsenic </w:t>
      </w:r>
      <w:r>
        <w:t>(0.007</w:t>
      </w:r>
      <w:r w:rsidR="002D54A0">
        <w:t>–</w:t>
      </w:r>
      <w:r>
        <w:t>0.422</w:t>
      </w:r>
      <w:r w:rsidR="00DF3DFA">
        <w:t> </w:t>
      </w:r>
      <w:r>
        <w:t xml:space="preserve">mg/L) could transfer </w:t>
      </w:r>
      <w:r w:rsidR="004B10D9">
        <w:t xml:space="preserve">arsenic </w:t>
      </w:r>
      <w:r>
        <w:t xml:space="preserve">to milk. In 10% of the milk samples tested, </w:t>
      </w:r>
      <w:r w:rsidR="004B10D9">
        <w:t xml:space="preserve">arsenic </w:t>
      </w:r>
      <w:r>
        <w:t>was greater than the 10</w:t>
      </w:r>
      <w:r w:rsidR="003516BE">
        <w:t> </w:t>
      </w:r>
      <w:r>
        <w:t>ng/g limit suggested by the International Dairy Federation. However, in Argentina</w:t>
      </w:r>
      <w:r w:rsidR="00B87A5C">
        <w:t>,</w:t>
      </w:r>
      <w:r>
        <w:t xml:space="preserve"> where dairy cattle were drinking water ranging from 0.04</w:t>
      </w:r>
      <w:r w:rsidR="004B10D9">
        <w:t> mg/L to</w:t>
      </w:r>
      <w:r>
        <w:t>2.5</w:t>
      </w:r>
      <w:r w:rsidR="00DF3DFA">
        <w:t> </w:t>
      </w:r>
      <w:r>
        <w:t>mg/L</w:t>
      </w:r>
      <w:r w:rsidR="00D72FF8">
        <w:t xml:space="preserve"> of arsenic</w:t>
      </w:r>
      <w:r>
        <w:t xml:space="preserve">, only one milk sample showed an exceedance of the </w:t>
      </w:r>
      <w:r>
        <w:lastRenderedPageBreak/>
        <w:t xml:space="preserve">international standard. This suggests that </w:t>
      </w:r>
      <w:r w:rsidR="00D72FF8">
        <w:t xml:space="preserve">arsenic </w:t>
      </w:r>
      <w:r>
        <w:t>accumulate</w:t>
      </w:r>
      <w:r w:rsidR="00E80220">
        <w:t>s</w:t>
      </w:r>
      <w:r>
        <w:t xml:space="preserve"> differently </w:t>
      </w:r>
      <w:r w:rsidR="00D72FF8">
        <w:t xml:space="preserve">in </w:t>
      </w:r>
      <w:r>
        <w:t>cattle depending on local conditions.</w:t>
      </w:r>
    </w:p>
    <w:p w14:paraId="03F59F10" w14:textId="77777777" w:rsidR="00FB51D4" w:rsidRDefault="00EB38E1" w:rsidP="00C1087A">
      <w:r>
        <w:t xml:space="preserve">Chickens and ducks drinking well water </w:t>
      </w:r>
      <w:r w:rsidR="00FB2078">
        <w:t>with a concentration of</w:t>
      </w:r>
      <w:r>
        <w:t xml:space="preserve"> 0.122</w:t>
      </w:r>
      <w:r w:rsidR="00DF3DFA">
        <w:t> </w:t>
      </w:r>
      <w:r>
        <w:t xml:space="preserve">mg/L </w:t>
      </w:r>
      <w:r w:rsidR="00FB2078">
        <w:t xml:space="preserve">of arsenic </w:t>
      </w:r>
      <w:r>
        <w:t>had significantly higher</w:t>
      </w:r>
      <w:r w:rsidR="00E80220">
        <w:t xml:space="preserve"> levels of</w:t>
      </w:r>
      <w:r>
        <w:t xml:space="preserve"> </w:t>
      </w:r>
      <w:r w:rsidR="00FB2078">
        <w:t xml:space="preserve">arsenic </w:t>
      </w:r>
      <w:r>
        <w:t xml:space="preserve">in feathers, </w:t>
      </w:r>
      <w:proofErr w:type="gramStart"/>
      <w:r>
        <w:t>litter</w:t>
      </w:r>
      <w:proofErr w:type="gramEnd"/>
      <w:r>
        <w:t xml:space="preserve"> and eggs than </w:t>
      </w:r>
      <w:r w:rsidR="00E80220">
        <w:t xml:space="preserve">those </w:t>
      </w:r>
      <w:r>
        <w:t>of birds in a control zone with water at 0.011</w:t>
      </w:r>
      <w:r w:rsidR="00DF3DFA">
        <w:t> </w:t>
      </w:r>
      <w:r>
        <w:t xml:space="preserve">mg/L </w:t>
      </w:r>
      <w:r w:rsidR="00FB2078">
        <w:t xml:space="preserve">of arsenic </w:t>
      </w:r>
      <w:r>
        <w:t xml:space="preserve">(Rana et al. 2014). Feed and grain were also contaminated with </w:t>
      </w:r>
      <w:r w:rsidR="00E80220">
        <w:t xml:space="preserve">arsenic </w:t>
      </w:r>
      <w:r>
        <w:t xml:space="preserve">in the contaminated zone. Subclinical sufferings of chicken and duck were prevalent in arsenic endemic areas, reflected </w:t>
      </w:r>
      <w:r w:rsidR="00E80220">
        <w:t xml:space="preserve">in </w:t>
      </w:r>
      <w:r>
        <w:t>alterations in haemato-biochemical indices (Rana et al. 2014).</w:t>
      </w:r>
    </w:p>
    <w:p w14:paraId="03F59F11" w14:textId="2663C323" w:rsidR="00FB51D4" w:rsidRDefault="00EB38E1" w:rsidP="00C1087A">
      <w:r>
        <w:t xml:space="preserve">Significantly different toxicity was observed between different </w:t>
      </w:r>
      <w:r w:rsidR="00FB2078">
        <w:t xml:space="preserve">arsenic </w:t>
      </w:r>
      <w:r>
        <w:t>species administered to chickens</w:t>
      </w:r>
      <w:r w:rsidR="005C4224">
        <w:t xml:space="preserve">. </w:t>
      </w:r>
      <w:proofErr w:type="gramStart"/>
      <w:r w:rsidR="005C4224">
        <w:t>A</w:t>
      </w:r>
      <w:r w:rsidR="00FB2078">
        <w:t>rsenic</w:t>
      </w:r>
      <w:r>
        <w:t>(</w:t>
      </w:r>
      <w:proofErr w:type="gramEnd"/>
      <w:r>
        <w:t>III) result</w:t>
      </w:r>
      <w:r w:rsidR="005C4224">
        <w:t>ed</w:t>
      </w:r>
      <w:r>
        <w:t xml:space="preserve"> in an LD50 value of 4.89</w:t>
      </w:r>
      <w:r w:rsidR="00DF3DFA">
        <w:t> </w:t>
      </w:r>
      <w:r>
        <w:t xml:space="preserve">mg/kg, while </w:t>
      </w:r>
      <w:r w:rsidR="00FB2078">
        <w:t>arsenic</w:t>
      </w:r>
      <w:r>
        <w:t>(V) up to 40</w:t>
      </w:r>
      <w:r w:rsidR="00DF3DFA">
        <w:t> </w:t>
      </w:r>
      <w:r>
        <w:t>mg/L did not result in mortality, but did decrease sperm quality and fertilisation (</w:t>
      </w:r>
      <w:r w:rsidRPr="00A0294A">
        <w:t>Lin et al. 2002).</w:t>
      </w:r>
      <w:r>
        <w:t xml:space="preserve"> Often, only total </w:t>
      </w:r>
      <w:r w:rsidR="008B413A">
        <w:t xml:space="preserve">arsenic </w:t>
      </w:r>
      <w:r>
        <w:t xml:space="preserve">is analysed in livestock </w:t>
      </w:r>
      <w:r w:rsidR="008B413A">
        <w:t xml:space="preserve">drinking </w:t>
      </w:r>
      <w:r>
        <w:t>water</w:t>
      </w:r>
      <w:r w:rsidR="008B413A">
        <w:t>; therefore,</w:t>
      </w:r>
      <w:r>
        <w:t xml:space="preserve"> the guideline value </w:t>
      </w:r>
      <w:r w:rsidR="00AD105A">
        <w:t>is</w:t>
      </w:r>
      <w:r>
        <w:t xml:space="preserve"> suitably conservative to account for the variable toxicities if no speciation values are specified.</w:t>
      </w:r>
    </w:p>
    <w:p w14:paraId="03F59F12" w14:textId="77777777" w:rsidR="00AD38A0" w:rsidRPr="00AD38A0" w:rsidRDefault="00EB38E1" w:rsidP="000C6B83">
      <w:pPr>
        <w:pStyle w:val="Heading5"/>
        <w:rPr>
          <w:lang w:eastAsia="ja-JP"/>
        </w:rPr>
      </w:pPr>
      <w:r w:rsidRPr="00AD38A0">
        <w:rPr>
          <w:lang w:eastAsia="ja-JP"/>
        </w:rPr>
        <w:t>Derivation of guideline values</w:t>
      </w:r>
    </w:p>
    <w:p w14:paraId="03F59F13" w14:textId="06B4DD5B" w:rsidR="00FB51D4" w:rsidRDefault="007A1440" w:rsidP="00A67ABE">
      <w:r>
        <w:t>Because arsenic and inorganic arsenic compounds</w:t>
      </w:r>
      <w:r w:rsidR="0045328D">
        <w:t xml:space="preserve"> are</w:t>
      </w:r>
      <w:r w:rsidR="00EB38E1">
        <w:t xml:space="preserve"> classed as Group 1 carcinogen</w:t>
      </w:r>
      <w:r w:rsidR="0045328D">
        <w:t>s</w:t>
      </w:r>
      <w:r w:rsidR="00EB38E1">
        <w:t xml:space="preserve">, it is important to be conservative around the potential toxicity and accumulation of arsenic in some edible tissues. </w:t>
      </w:r>
      <w:r w:rsidR="002D2750">
        <w:t>In 1993</w:t>
      </w:r>
      <w:r w:rsidR="00CA03A9">
        <w:t>,</w:t>
      </w:r>
      <w:r w:rsidR="002D2750">
        <w:t xml:space="preserve"> Canada revised its </w:t>
      </w:r>
      <w:r w:rsidR="00CA03A9">
        <w:t xml:space="preserve">arsenic guideline </w:t>
      </w:r>
      <w:r w:rsidR="002D2750">
        <w:t>concentration to 0.071</w:t>
      </w:r>
      <w:r w:rsidR="00DF3DFA">
        <w:t> </w:t>
      </w:r>
      <w:r w:rsidR="002D2750">
        <w:t>mg/L, and in 2005 it was further revised to 0.025</w:t>
      </w:r>
      <w:r w:rsidR="002C3059">
        <w:t> </w:t>
      </w:r>
      <w:r w:rsidR="002D2750">
        <w:t>mg/L (CCME 2005</w:t>
      </w:r>
      <w:r w:rsidR="00A52956">
        <w:t>;</w:t>
      </w:r>
      <w:r w:rsidR="00A52956" w:rsidRPr="00A52956">
        <w:t xml:space="preserve"> </w:t>
      </w:r>
      <w:r w:rsidR="00A52956">
        <w:t xml:space="preserve">see </w:t>
      </w:r>
      <w:hyperlink r:id="rId37" w:history="1">
        <w:r w:rsidR="00A52956" w:rsidRPr="004C0CA0">
          <w:rPr>
            <w:rStyle w:val="Hyperlink"/>
          </w:rPr>
          <w:t xml:space="preserve">CCME </w:t>
        </w:r>
        <w:r w:rsidR="00A52956">
          <w:rPr>
            <w:rStyle w:val="Hyperlink"/>
          </w:rPr>
          <w:t>arsenic</w:t>
        </w:r>
        <w:r w:rsidR="00A52956" w:rsidRPr="004C0CA0">
          <w:rPr>
            <w:rStyle w:val="Hyperlink"/>
          </w:rPr>
          <w:t xml:space="preserve"> fact sheet</w:t>
        </w:r>
      </w:hyperlink>
      <w:r w:rsidR="002D2750">
        <w:t>). The limit of 0.025</w:t>
      </w:r>
      <w:r w:rsidR="002C3059">
        <w:t> </w:t>
      </w:r>
      <w:r w:rsidR="002D2750">
        <w:t xml:space="preserve">mg/L is also recommended </w:t>
      </w:r>
      <w:r w:rsidR="00EB38E1">
        <w:t xml:space="preserve">by </w:t>
      </w:r>
      <w:r w:rsidR="002D2750">
        <w:t xml:space="preserve">the </w:t>
      </w:r>
      <w:bookmarkStart w:id="263" w:name="_Hlk135133472"/>
      <w:r w:rsidR="00EB38E1">
        <w:t>F</w:t>
      </w:r>
      <w:r w:rsidR="00AB45C1">
        <w:t>AO</w:t>
      </w:r>
      <w:r w:rsidR="00EB38E1">
        <w:t xml:space="preserve"> (</w:t>
      </w:r>
      <w:r w:rsidR="002D2750">
        <w:t>Irrigation and Drainage Paper 61</w:t>
      </w:r>
      <w:r w:rsidR="00EB38E1">
        <w:t>,</w:t>
      </w:r>
      <w:r w:rsidR="002D2750">
        <w:t xml:space="preserve"> Tanji &amp; </w:t>
      </w:r>
      <w:proofErr w:type="spellStart"/>
      <w:r w:rsidR="002D2750">
        <w:t>Kielen</w:t>
      </w:r>
      <w:proofErr w:type="spellEnd"/>
      <w:r w:rsidR="002D2750">
        <w:t xml:space="preserve"> 2002)</w:t>
      </w:r>
      <w:r w:rsidR="00BE5126">
        <w:t>.</w:t>
      </w:r>
      <w:r w:rsidR="002D2750">
        <w:t xml:space="preserve"> </w:t>
      </w:r>
      <w:bookmarkEnd w:id="263"/>
      <w:r w:rsidR="00BE5126">
        <w:t>S</w:t>
      </w:r>
      <w:r w:rsidR="002D2750">
        <w:t>imilarly, the limit of 0.02</w:t>
      </w:r>
      <w:r w:rsidR="002C3059">
        <w:t> </w:t>
      </w:r>
      <w:r w:rsidR="002D2750">
        <w:t>mg/L</w:t>
      </w:r>
      <w:r w:rsidR="00BE5126">
        <w:t xml:space="preserve"> is recommended in the </w:t>
      </w:r>
      <w:r w:rsidR="00347912">
        <w:t xml:space="preserve">United States </w:t>
      </w:r>
      <w:r w:rsidR="002D2750">
        <w:t>(US</w:t>
      </w:r>
      <w:r w:rsidR="00111239">
        <w:t>DA</w:t>
      </w:r>
      <w:r w:rsidR="002D2750">
        <w:t xml:space="preserve"> 2009).</w:t>
      </w:r>
      <w:r w:rsidR="00312A05">
        <w:t xml:space="preserve"> </w:t>
      </w:r>
      <w:r w:rsidR="00B4789A">
        <w:t xml:space="preserve">Agriculture Victoria (2023) recommends a maximum level of </w:t>
      </w:r>
      <w:r w:rsidR="00730541">
        <w:t>0.5</w:t>
      </w:r>
      <w:r w:rsidR="00B4789A">
        <w:t xml:space="preserve"> mg/L of </w:t>
      </w:r>
      <w:r w:rsidR="00730541">
        <w:t>arsenic</w:t>
      </w:r>
      <w:r w:rsidR="00B4789A">
        <w:t xml:space="preserve"> for water in stock containment areas.</w:t>
      </w:r>
    </w:p>
    <w:p w14:paraId="03F59F14" w14:textId="0889254D" w:rsidR="00FB51D4" w:rsidRDefault="00EB38E1" w:rsidP="00C1087A">
      <w:r>
        <w:t xml:space="preserve">Beede (2012) suggested the maximum upper </w:t>
      </w:r>
      <w:r w:rsidR="005F1351">
        <w:t>concentration of arsenic in</w:t>
      </w:r>
      <w:r>
        <w:t xml:space="preserve"> </w:t>
      </w:r>
      <w:r w:rsidR="005F1351">
        <w:t>live</w:t>
      </w:r>
      <w:r>
        <w:t xml:space="preserve">stock </w:t>
      </w:r>
      <w:r w:rsidR="005F1351">
        <w:t xml:space="preserve">drinking water </w:t>
      </w:r>
      <w:r>
        <w:t>should be 0.2</w:t>
      </w:r>
      <w:r w:rsidR="00D74DCB">
        <w:t> </w:t>
      </w:r>
      <w:r>
        <w:t xml:space="preserve">mg/L, which is in line with that suggested by van </w:t>
      </w:r>
      <w:proofErr w:type="spellStart"/>
      <w:r>
        <w:t>Heugten</w:t>
      </w:r>
      <w:proofErr w:type="spellEnd"/>
      <w:r>
        <w:t xml:space="preserve"> (</w:t>
      </w:r>
      <w:r w:rsidR="00254357">
        <w:t>2000</w:t>
      </w:r>
      <w:r>
        <w:t xml:space="preserve">) for </w:t>
      </w:r>
      <w:r w:rsidR="00A67ABE">
        <w:t>pigs</w:t>
      </w:r>
      <w:r>
        <w:t>. However, NRC (2005) recommend</w:t>
      </w:r>
      <w:r w:rsidR="006D4A12">
        <w:t>s</w:t>
      </w:r>
      <w:r>
        <w:t xml:space="preserve"> a limit of 0.05</w:t>
      </w:r>
      <w:r w:rsidR="00D74DCB">
        <w:t> </w:t>
      </w:r>
      <w:r>
        <w:t xml:space="preserve">mg/L for </w:t>
      </w:r>
      <w:r w:rsidR="00F551FB">
        <w:t xml:space="preserve">arsenic </w:t>
      </w:r>
      <w:r>
        <w:t xml:space="preserve">in cattle drinking water, </w:t>
      </w:r>
      <w:r w:rsidR="006D4A12">
        <w:t xml:space="preserve">which is </w:t>
      </w:r>
      <w:r>
        <w:t xml:space="preserve">more in line with the guidelines in Canada and the </w:t>
      </w:r>
      <w:r w:rsidR="00A67ABE">
        <w:t>United States</w:t>
      </w:r>
      <w:r>
        <w:t>.</w:t>
      </w:r>
      <w:r w:rsidR="00A67ABE" w:rsidRPr="00A67ABE">
        <w:t xml:space="preserve"> </w:t>
      </w:r>
      <w:r w:rsidR="00A67ABE">
        <w:t>Fairchild and Ritz (2009) report that a maximum concentration for poultry water is 1 mg/L.</w:t>
      </w:r>
    </w:p>
    <w:p w14:paraId="03F59F15" w14:textId="77777777" w:rsidR="00DF0573" w:rsidRDefault="00EB38E1" w:rsidP="00C1087A">
      <w:proofErr w:type="gramStart"/>
      <w:r>
        <w:t>Following the</w:t>
      </w:r>
      <w:r w:rsidR="002D2750">
        <w:t xml:space="preserve"> precautionary principle, it</w:t>
      </w:r>
      <w:proofErr w:type="gramEnd"/>
      <w:r w:rsidR="002D2750">
        <w:t xml:space="preserve"> is recommended that the total arsenic guideline value be 0.025</w:t>
      </w:r>
      <w:r w:rsidR="00D74DCB">
        <w:t> </w:t>
      </w:r>
      <w:r w:rsidR="002D2750">
        <w:t>mg/L</w:t>
      </w:r>
      <w:r w:rsidR="00100468">
        <w:t>.</w:t>
      </w:r>
    </w:p>
    <w:p w14:paraId="03F59F16" w14:textId="2FBBD8B7" w:rsidR="000A0ABD" w:rsidRDefault="003A647C" w:rsidP="000C6B83">
      <w:pPr>
        <w:pStyle w:val="Heading4"/>
        <w:rPr>
          <w:lang w:eastAsia="ja-JP"/>
        </w:rPr>
      </w:pPr>
      <w:bookmarkStart w:id="264" w:name="_Toc134441466"/>
      <w:bookmarkStart w:id="265" w:name="_Toc134441794"/>
      <w:bookmarkStart w:id="266" w:name="_Toc134442315"/>
      <w:bookmarkStart w:id="267" w:name="_Toc134442526"/>
      <w:bookmarkStart w:id="268" w:name="_Toc134441467"/>
      <w:bookmarkStart w:id="269" w:name="_Toc134441795"/>
      <w:bookmarkStart w:id="270" w:name="_Toc134442316"/>
      <w:bookmarkStart w:id="271" w:name="_Toc134442527"/>
      <w:bookmarkStart w:id="272" w:name="_Toc134442317"/>
      <w:bookmarkStart w:id="273" w:name="_Toc141704565"/>
      <w:bookmarkEnd w:id="264"/>
      <w:bookmarkEnd w:id="265"/>
      <w:bookmarkEnd w:id="266"/>
      <w:bookmarkEnd w:id="267"/>
      <w:bookmarkEnd w:id="268"/>
      <w:bookmarkEnd w:id="269"/>
      <w:bookmarkEnd w:id="270"/>
      <w:bookmarkEnd w:id="271"/>
      <w:r>
        <w:rPr>
          <w:lang w:eastAsia="ja-JP"/>
        </w:rPr>
        <w:t>3.3.3</w:t>
      </w:r>
      <w:r>
        <w:rPr>
          <w:lang w:eastAsia="ja-JP"/>
        </w:rPr>
        <w:tab/>
      </w:r>
      <w:r w:rsidR="00EB38E1">
        <w:rPr>
          <w:lang w:eastAsia="ja-JP"/>
        </w:rPr>
        <w:t>Beryllium</w:t>
      </w:r>
      <w:bookmarkEnd w:id="272"/>
      <w:bookmarkEnd w:id="273"/>
    </w:p>
    <w:p w14:paraId="03F59F17" w14:textId="0E9958A4" w:rsidR="000A0ABD" w:rsidRDefault="00EB38E1" w:rsidP="00C1087A">
      <w:pPr>
        <w:pStyle w:val="Sectionkeypoints"/>
      </w:pPr>
      <w:r>
        <w:t xml:space="preserve">There are insufficient data to set guideline values for beryllium in livestock drinking water. The guideline value of </w:t>
      </w:r>
      <w:r w:rsidR="00D06F7F">
        <w:rPr>
          <w:rFonts w:cstheme="minorHAnsi"/>
        </w:rPr>
        <w:t>&lt;</w:t>
      </w:r>
      <w:r>
        <w:t>60</w:t>
      </w:r>
      <w:r w:rsidR="00D74DCB">
        <w:t> </w:t>
      </w:r>
      <w:r>
        <w:t xml:space="preserve">µg/L </w:t>
      </w:r>
      <w:r w:rsidR="00FA608C">
        <w:t xml:space="preserve">from </w:t>
      </w:r>
      <w:r>
        <w:t xml:space="preserve">the Australian </w:t>
      </w:r>
      <w:r w:rsidR="00FA608C">
        <w:t>D</w:t>
      </w:r>
      <w:r>
        <w:t xml:space="preserve">rinking </w:t>
      </w:r>
      <w:r w:rsidR="00FA608C">
        <w:t>W</w:t>
      </w:r>
      <w:r>
        <w:t>ater Guideline</w:t>
      </w:r>
      <w:r w:rsidR="00FA608C">
        <w:t>s</w:t>
      </w:r>
      <w:r>
        <w:t xml:space="preserve"> (NHMRC</w:t>
      </w:r>
      <w:r w:rsidR="006B0F92">
        <w:t xml:space="preserve"> &amp; </w:t>
      </w:r>
      <w:r>
        <w:t xml:space="preserve">NRMMC 2011) </w:t>
      </w:r>
      <w:r w:rsidR="00226B3F">
        <w:t>is</w:t>
      </w:r>
      <w:r>
        <w:t xml:space="preserve"> adopted as a precautionary level</w:t>
      </w:r>
      <w:r w:rsidR="005A0DF3">
        <w:t xml:space="preserve">, but concentrations as high as </w:t>
      </w:r>
      <w:r w:rsidR="009B7C8F">
        <w:t>100 </w:t>
      </w:r>
      <w:r w:rsidR="009B7C8F">
        <w:rPr>
          <w:rFonts w:cstheme="minorHAnsi"/>
        </w:rPr>
        <w:t>µ</w:t>
      </w:r>
      <w:r w:rsidR="009B7C8F">
        <w:t xml:space="preserve">g/L </w:t>
      </w:r>
      <w:r w:rsidR="001963B7">
        <w:t xml:space="preserve">(for cattle) </w:t>
      </w:r>
      <w:r w:rsidR="009B7C8F">
        <w:t xml:space="preserve">may be tolerated </w:t>
      </w:r>
      <w:r w:rsidR="00DB5F3E">
        <w:t xml:space="preserve">(Watts </w:t>
      </w:r>
      <w:r w:rsidR="0082576E">
        <w:t xml:space="preserve">et al. </w:t>
      </w:r>
      <w:r w:rsidR="000A1790">
        <w:t>2016).</w:t>
      </w:r>
    </w:p>
    <w:p w14:paraId="03F59F18" w14:textId="77777777" w:rsidR="000A0ABD" w:rsidRDefault="00EB38E1" w:rsidP="000C6B83">
      <w:pPr>
        <w:pStyle w:val="Heading5"/>
        <w:rPr>
          <w:lang w:eastAsia="ja-JP"/>
        </w:rPr>
      </w:pPr>
      <w:r>
        <w:rPr>
          <w:lang w:eastAsia="ja-JP"/>
        </w:rPr>
        <w:t>Source</w:t>
      </w:r>
    </w:p>
    <w:p w14:paraId="03F59F19" w14:textId="77777777" w:rsidR="00D23338" w:rsidRPr="0056438C" w:rsidRDefault="00EB38E1" w:rsidP="00FD2341">
      <w:pPr>
        <w:rPr>
          <w:lang w:val="en-GB"/>
        </w:rPr>
      </w:pPr>
      <w:r w:rsidRPr="0056438C">
        <w:rPr>
          <w:lang w:val="en-GB"/>
        </w:rPr>
        <w:t>Beryllium is commonly found in silicate and oxide minerals, predominantly as beryl, a beryllium aluminium silicate. The silicate and carbonate forms are insoluble in water and are generally bound tightly to sediments.</w:t>
      </w:r>
    </w:p>
    <w:p w14:paraId="03F59F1A" w14:textId="77777777" w:rsidR="003E1E56" w:rsidRDefault="00EB38E1" w:rsidP="00C1087A">
      <w:r>
        <w:t xml:space="preserve">Beryllium may </w:t>
      </w:r>
      <w:r w:rsidR="00A67ABE">
        <w:t>occur</w:t>
      </w:r>
      <w:r>
        <w:t xml:space="preserve"> in water supplies through the weathering of catchment rocks containing feldspar or it may be deposited from the atmosphere, predominantly </w:t>
      </w:r>
      <w:proofErr w:type="gramStart"/>
      <w:r>
        <w:t>as a result of</w:t>
      </w:r>
      <w:proofErr w:type="gramEnd"/>
      <w:r>
        <w:t xml:space="preserve"> burning fossil fuels.</w:t>
      </w:r>
    </w:p>
    <w:p w14:paraId="03F59F1B" w14:textId="1E31D1CF" w:rsidR="003E1E56" w:rsidRDefault="00EB38E1" w:rsidP="00C1087A">
      <w:r>
        <w:t>The concentration of beryllium in freshwater is usually &lt;1</w:t>
      </w:r>
      <w:r w:rsidR="00D74DCB">
        <w:t> </w:t>
      </w:r>
      <w:r>
        <w:t>µg/L (Galvin 1996)</w:t>
      </w:r>
      <w:r w:rsidR="00DC1B2D">
        <w:t>;</w:t>
      </w:r>
      <w:r>
        <w:t xml:space="preserve"> one exception </w:t>
      </w:r>
      <w:r w:rsidR="00DC1B2D">
        <w:t>was</w:t>
      </w:r>
      <w:r>
        <w:t xml:space="preserve"> found in Saudi Arabia</w:t>
      </w:r>
      <w:r w:rsidR="00DC1B2D">
        <w:t>,</w:t>
      </w:r>
      <w:r>
        <w:t xml:space="preserve"> with water samples presenting an average beryllium concentration of 1.24</w:t>
      </w:r>
      <w:r w:rsidR="00D74DCB">
        <w:t> </w:t>
      </w:r>
      <w:r>
        <w:t xml:space="preserve">µg/L (Vaessen &amp; </w:t>
      </w:r>
      <w:proofErr w:type="spellStart"/>
      <w:r>
        <w:t>Szteke</w:t>
      </w:r>
      <w:proofErr w:type="spellEnd"/>
      <w:r>
        <w:t xml:space="preserve"> 2000). </w:t>
      </w:r>
      <w:r w:rsidR="00DC1B2D">
        <w:t>However, t</w:t>
      </w:r>
      <w:r>
        <w:t xml:space="preserve">here are limited data on beryllium concentrations in water except from the </w:t>
      </w:r>
      <w:r w:rsidR="00A67ABE">
        <w:t>United States</w:t>
      </w:r>
      <w:r>
        <w:t xml:space="preserve">, where a survey was carried out to support possible regulation. Based on the United States Environmental Protection Agency’s STORET database for 1960–1988, the </w:t>
      </w:r>
      <w:r>
        <w:lastRenderedPageBreak/>
        <w:t>geometric mean concentration of total beryllium in surface waters was estimated to be 70</w:t>
      </w:r>
      <w:r w:rsidR="00F337BB">
        <w:t> </w:t>
      </w:r>
      <w:r>
        <w:t>ng/L (WHO 2009).</w:t>
      </w:r>
    </w:p>
    <w:p w14:paraId="03F59F1C" w14:textId="78243570" w:rsidR="000A0ABD" w:rsidRDefault="00EB38E1" w:rsidP="00C1087A">
      <w:r>
        <w:t>Groundwater in Germany contained an average beryllium concentration of 8</w:t>
      </w:r>
      <w:r w:rsidR="00F66526">
        <w:t> </w:t>
      </w:r>
      <w:r>
        <w:t>ng/</w:t>
      </w:r>
      <w:r w:rsidR="008E63F5">
        <w:t>L</w:t>
      </w:r>
      <w:r>
        <w:t xml:space="preserve"> (WHO 2009).</w:t>
      </w:r>
    </w:p>
    <w:p w14:paraId="03F59F1D" w14:textId="77777777" w:rsidR="000A0ABD" w:rsidRDefault="00EB38E1" w:rsidP="000C6B83">
      <w:pPr>
        <w:pStyle w:val="Heading5"/>
        <w:rPr>
          <w:lang w:eastAsia="ja-JP"/>
        </w:rPr>
      </w:pPr>
      <w:r>
        <w:rPr>
          <w:lang w:eastAsia="ja-JP"/>
        </w:rPr>
        <w:t>Animal health</w:t>
      </w:r>
    </w:p>
    <w:p w14:paraId="03F59F1E" w14:textId="4C20FB85" w:rsidR="003E1E56" w:rsidRDefault="00EB38E1" w:rsidP="00C1087A">
      <w:r>
        <w:t>Beryllium is generally poorly absorbed from the gastrointestinal tract, and toxicity due to ingestion is low (</w:t>
      </w:r>
      <w:r w:rsidRPr="00254357">
        <w:t>WHO 1984).</w:t>
      </w:r>
      <w:r w:rsidR="00296428">
        <w:t xml:space="preserve"> </w:t>
      </w:r>
      <w:r w:rsidR="003F1A60">
        <w:t>L</w:t>
      </w:r>
      <w:r w:rsidR="000B7AAA">
        <w:t xml:space="preserve">ivestock </w:t>
      </w:r>
      <w:r w:rsidR="003F5208">
        <w:t xml:space="preserve">eliminate </w:t>
      </w:r>
      <w:r w:rsidR="003F1A60">
        <w:t xml:space="preserve">most beryllium </w:t>
      </w:r>
      <w:r w:rsidR="003F5208">
        <w:t xml:space="preserve">quickly in urine and </w:t>
      </w:r>
      <w:r w:rsidR="004D49F4">
        <w:t>faeces</w:t>
      </w:r>
      <w:r w:rsidR="00520736">
        <w:t xml:space="preserve"> </w:t>
      </w:r>
      <w:r w:rsidR="00971B2E">
        <w:t>(</w:t>
      </w:r>
      <w:r w:rsidR="006B79DC">
        <w:t>ATS</w:t>
      </w:r>
      <w:r w:rsidR="001B7926">
        <w:t xml:space="preserve">DR </w:t>
      </w:r>
      <w:r w:rsidR="000503ED">
        <w:t>2002).</w:t>
      </w:r>
      <w:r w:rsidR="00CF3519">
        <w:t xml:space="preserve"> Additionally, beryllium </w:t>
      </w:r>
      <w:r w:rsidR="000E69F2">
        <w:t xml:space="preserve">does not occur at </w:t>
      </w:r>
      <w:r w:rsidR="00B37CE6">
        <w:t>sufficient</w:t>
      </w:r>
      <w:r w:rsidR="000E69F2">
        <w:t xml:space="preserve"> levels</w:t>
      </w:r>
      <w:r w:rsidR="00D22C05">
        <w:t xml:space="preserve"> </w:t>
      </w:r>
      <w:r w:rsidR="00706D60">
        <w:t>in natural water</w:t>
      </w:r>
      <w:r w:rsidR="006D0708">
        <w:t>s</w:t>
      </w:r>
      <w:r w:rsidR="00706D60">
        <w:t xml:space="preserve"> </w:t>
      </w:r>
      <w:r w:rsidR="00D22C05">
        <w:t xml:space="preserve">to cause </w:t>
      </w:r>
      <w:r w:rsidR="00D033A8">
        <w:t>harm</w:t>
      </w:r>
      <w:r w:rsidR="00D22C05" w:rsidDel="00D033A8">
        <w:t xml:space="preserve"> </w:t>
      </w:r>
      <w:r w:rsidR="00D033A8">
        <w:t>to</w:t>
      </w:r>
      <w:r w:rsidR="00D22C05">
        <w:t xml:space="preserve"> livestock </w:t>
      </w:r>
      <w:r w:rsidR="00D873DF">
        <w:t>(Dunbar</w:t>
      </w:r>
      <w:r w:rsidR="00335AD4">
        <w:t xml:space="preserve"> &amp; Miller </w:t>
      </w:r>
      <w:r w:rsidR="002B5B89">
        <w:t>2002)</w:t>
      </w:r>
      <w:r w:rsidR="00DC67C5">
        <w:t>.</w:t>
      </w:r>
    </w:p>
    <w:p w14:paraId="03F59F1F" w14:textId="482A6168" w:rsidR="000A0ABD" w:rsidRDefault="0088228F" w:rsidP="00C1087A">
      <w:r>
        <w:t>Long periods of exposure to beryllium have been reported to cause cancer in laboratory animals</w:t>
      </w:r>
      <w:r w:rsidR="00392A8C">
        <w:t xml:space="preserve"> (ATSDR 2002). </w:t>
      </w:r>
      <w:r w:rsidR="00EB38E1">
        <w:t xml:space="preserve">Mice and rats fed </w:t>
      </w:r>
      <w:r w:rsidR="003E1E56">
        <w:t xml:space="preserve">with a beryllium concentration (as beryllium </w:t>
      </w:r>
      <w:proofErr w:type="spellStart"/>
      <w:r w:rsidR="003E1E56">
        <w:t>sulfate</w:t>
      </w:r>
      <w:proofErr w:type="spellEnd"/>
      <w:r w:rsidR="003E1E56">
        <w:t xml:space="preserve">) of 0.43 mg/L </w:t>
      </w:r>
      <w:r w:rsidR="00EB38E1">
        <w:t>over their lifespan showed no effect in growth and longevity, but some leukemias and tumours were observed (</w:t>
      </w:r>
      <w:r w:rsidR="00EB38E1" w:rsidRPr="00DD527C">
        <w:t>Schroeder &amp; Mitchener 1975a,</w:t>
      </w:r>
      <w:r w:rsidR="009A457D" w:rsidRPr="00DD527C">
        <w:t xml:space="preserve"> 1975</w:t>
      </w:r>
      <w:r w:rsidR="00EB38E1" w:rsidRPr="00DD527C">
        <w:t>b). In</w:t>
      </w:r>
      <w:r w:rsidR="00EB38E1">
        <w:t xml:space="preserve"> another study, rats fed with beryllium</w:t>
      </w:r>
      <w:r w:rsidR="00D07629">
        <w:t xml:space="preserve"> concentrations</w:t>
      </w:r>
      <w:r w:rsidR="00EB38E1">
        <w:t xml:space="preserve"> of 5</w:t>
      </w:r>
      <w:r w:rsidR="00D74DCB">
        <w:t> </w:t>
      </w:r>
      <w:r w:rsidR="00EB38E1">
        <w:t>mg/kg, 50</w:t>
      </w:r>
      <w:r w:rsidR="00D74DCB">
        <w:t> </w:t>
      </w:r>
      <w:r w:rsidR="00EB38E1">
        <w:t>mg/kg and 500</w:t>
      </w:r>
      <w:r w:rsidR="00D74DCB">
        <w:t> </w:t>
      </w:r>
      <w:r w:rsidR="00EB38E1">
        <w:t xml:space="preserve">mg/kg </w:t>
      </w:r>
      <w:r w:rsidR="00D07629">
        <w:t>in their</w:t>
      </w:r>
      <w:r w:rsidR="00EB38E1">
        <w:t xml:space="preserve"> feed showed no carcinogenic response</w:t>
      </w:r>
      <w:r w:rsidR="00D07629">
        <w:t>s</w:t>
      </w:r>
      <w:r w:rsidR="00EB38E1">
        <w:t xml:space="preserve"> related to beryllium (WHO 1984).</w:t>
      </w:r>
    </w:p>
    <w:p w14:paraId="03F59F21" w14:textId="77777777" w:rsidR="00AD38A0" w:rsidRPr="00AD38A0" w:rsidRDefault="00EB38E1" w:rsidP="000C6B83">
      <w:pPr>
        <w:pStyle w:val="Heading5"/>
        <w:rPr>
          <w:lang w:eastAsia="ja-JP"/>
        </w:rPr>
      </w:pPr>
      <w:r w:rsidRPr="00AD38A0">
        <w:rPr>
          <w:lang w:eastAsia="ja-JP"/>
        </w:rPr>
        <w:t>Derivation of guideline values</w:t>
      </w:r>
    </w:p>
    <w:p w14:paraId="2579533A" w14:textId="1CE7BBE8" w:rsidR="001A0212" w:rsidRDefault="00EB38E1" w:rsidP="001A0212">
      <w:r>
        <w:t xml:space="preserve">Beryllium was classified as a Group 1 carcinogen </w:t>
      </w:r>
      <w:r w:rsidR="003E1E56" w:rsidRPr="000E5716">
        <w:t>by the International Agency for Research on Cancer</w:t>
      </w:r>
      <w:r>
        <w:t xml:space="preserve"> (IARC 1993). However, </w:t>
      </w:r>
      <w:r w:rsidR="001A0212">
        <w:t>in a review of the limited toxicity data available for animals</w:t>
      </w:r>
      <w:r w:rsidR="001A0212" w:rsidRPr="00240085">
        <w:t>, IPCS (1990) indicated</w:t>
      </w:r>
      <w:r w:rsidR="001A0212">
        <w:t xml:space="preserve"> that ingestion of beryllium in the water supply for long periods caused no ill effects.</w:t>
      </w:r>
    </w:p>
    <w:p w14:paraId="03F59F23" w14:textId="0CE07246" w:rsidR="000A0ABD" w:rsidRDefault="00EB38E1" w:rsidP="00C1087A">
      <w:r>
        <w:t>A chronic</w:t>
      </w:r>
      <w:r w:rsidR="00745B19">
        <w:t xml:space="preserve"> </w:t>
      </w:r>
      <w:r>
        <w:t xml:space="preserve">duration oral </w:t>
      </w:r>
      <w:r w:rsidR="00380D15" w:rsidRPr="00745B19">
        <w:t xml:space="preserve">maximum residue limit </w:t>
      </w:r>
      <w:r w:rsidR="00745B19">
        <w:t>(</w:t>
      </w:r>
      <w:r>
        <w:t>MRL</w:t>
      </w:r>
      <w:r w:rsidR="00745B19">
        <w:t>)</w:t>
      </w:r>
      <w:r>
        <w:t xml:space="preserve"> of 0.002</w:t>
      </w:r>
      <w:r w:rsidR="00D74DCB">
        <w:t> </w:t>
      </w:r>
      <w:r>
        <w:t>mg/kg/day was derived for beryllium</w:t>
      </w:r>
      <w:r w:rsidR="004F219C">
        <w:t xml:space="preserve"> (WHO 2009)</w:t>
      </w:r>
      <w:r>
        <w:t xml:space="preserve">. The MRL is based on a chronic dog feeding study in which groups of </w:t>
      </w:r>
      <w:r w:rsidR="00380D15">
        <w:t>10</w:t>
      </w:r>
      <w:r>
        <w:t xml:space="preserve"> dogs were exposed to beryllium </w:t>
      </w:r>
      <w:proofErr w:type="spellStart"/>
      <w:r>
        <w:t>sulfate</w:t>
      </w:r>
      <w:proofErr w:type="spellEnd"/>
      <w:r>
        <w:t xml:space="preserve"> in the diet for 143–172</w:t>
      </w:r>
      <w:r w:rsidR="00D74DCB">
        <w:t> </w:t>
      </w:r>
      <w:r>
        <w:t>weeks (</w:t>
      </w:r>
      <w:proofErr w:type="spellStart"/>
      <w:r>
        <w:t>Morgareidge</w:t>
      </w:r>
      <w:proofErr w:type="spellEnd"/>
      <w:r>
        <w:t xml:space="preserve"> et al. 1976). Ulcerative lesions of the small intestine were observed in </w:t>
      </w:r>
      <w:r w:rsidR="00C27135">
        <w:t xml:space="preserve">9 </w:t>
      </w:r>
      <w:r w:rsidR="00A82D42">
        <w:t>out</w:t>
      </w:r>
      <w:r>
        <w:t xml:space="preserve"> of 10 dogs exposed to the highest dose (500</w:t>
      </w:r>
      <w:r w:rsidR="00A82D42">
        <w:t> </w:t>
      </w:r>
      <w:r>
        <w:t>ppm; 12</w:t>
      </w:r>
      <w:r w:rsidR="00A82D42">
        <w:t> mg/kg/day</w:t>
      </w:r>
      <w:r>
        <w:t xml:space="preserve"> and 17</w:t>
      </w:r>
      <w:r w:rsidR="00EB10F4">
        <w:t> </w:t>
      </w:r>
      <w:r>
        <w:t xml:space="preserve">mg/kg/day for the males and females, respectively); similar lesions were observed in </w:t>
      </w:r>
      <w:r w:rsidR="00380D15">
        <w:t xml:space="preserve">1 </w:t>
      </w:r>
      <w:r w:rsidR="00A82D42">
        <w:t>out</w:t>
      </w:r>
      <w:r>
        <w:t xml:space="preserve"> of 10 dogs exposed to 50</w:t>
      </w:r>
      <w:r w:rsidR="00EB10F4">
        <w:t> </w:t>
      </w:r>
      <w:r>
        <w:t>ppm (1</w:t>
      </w:r>
      <w:r w:rsidR="00EB10F4">
        <w:t> </w:t>
      </w:r>
      <w:r>
        <w:t>mg/kg/day). No gastrointestinal effects were observed at the lower dose</w:t>
      </w:r>
      <w:r w:rsidR="00A82D42">
        <w:t>s</w:t>
      </w:r>
      <w:r>
        <w:t>.</w:t>
      </w:r>
    </w:p>
    <w:p w14:paraId="03F59F24" w14:textId="2178C971" w:rsidR="0007278D" w:rsidRDefault="00801924" w:rsidP="00FD2341">
      <w:pPr>
        <w:rPr>
          <w:lang w:eastAsia="ja-JP"/>
        </w:rPr>
      </w:pPr>
      <w:r>
        <w:t>FAO (</w:t>
      </w:r>
      <w:r w:rsidR="002D4DD7">
        <w:t xml:space="preserve">Ayers &amp; Westcot </w:t>
      </w:r>
      <w:r>
        <w:t xml:space="preserve">1994) </w:t>
      </w:r>
      <w:r w:rsidR="000566F1">
        <w:t xml:space="preserve">and Canada </w:t>
      </w:r>
      <w:r w:rsidR="00C429A0">
        <w:t>ha</w:t>
      </w:r>
      <w:r w:rsidR="000566F1">
        <w:t>ve</w:t>
      </w:r>
      <w:r w:rsidR="00C429A0">
        <w:t xml:space="preserve"> a guideline value of </w:t>
      </w:r>
      <w:r w:rsidR="00A95AFC">
        <w:t xml:space="preserve">0.1 mg/L </w:t>
      </w:r>
      <w:r w:rsidR="002D4DD7">
        <w:t xml:space="preserve">of beryllium </w:t>
      </w:r>
      <w:r w:rsidR="00A95AFC">
        <w:t xml:space="preserve">for livestock drinking water. </w:t>
      </w:r>
      <w:r w:rsidR="003725AE">
        <w:t xml:space="preserve">In Australia, the guideline value for beryllium in human drinking water is </w:t>
      </w:r>
      <w:r w:rsidR="00EB38E1">
        <w:t>60</w:t>
      </w:r>
      <w:r w:rsidR="00EB10F4">
        <w:t> </w:t>
      </w:r>
      <w:r w:rsidR="00EB38E1">
        <w:t>µg/L (NHMRC</w:t>
      </w:r>
      <w:r w:rsidR="006B0F92">
        <w:t xml:space="preserve"> &amp; </w:t>
      </w:r>
      <w:r w:rsidR="00EB38E1">
        <w:t>NRMMC 2011).</w:t>
      </w:r>
    </w:p>
    <w:p w14:paraId="03F59F25" w14:textId="2F051450" w:rsidR="00325DFC" w:rsidRDefault="00441154" w:rsidP="000C6B83">
      <w:pPr>
        <w:pStyle w:val="Heading4"/>
        <w:rPr>
          <w:lang w:eastAsia="ja-JP"/>
        </w:rPr>
      </w:pPr>
      <w:bookmarkStart w:id="274" w:name="_Toc134441472"/>
      <w:bookmarkStart w:id="275" w:name="_Toc134441797"/>
      <w:bookmarkStart w:id="276" w:name="_Toc134442318"/>
      <w:bookmarkStart w:id="277" w:name="_Toc134442529"/>
      <w:bookmarkStart w:id="278" w:name="_Toc134441473"/>
      <w:bookmarkStart w:id="279" w:name="_Toc134441798"/>
      <w:bookmarkStart w:id="280" w:name="_Toc134442319"/>
      <w:bookmarkStart w:id="281" w:name="_Toc134442530"/>
      <w:bookmarkStart w:id="282" w:name="_Toc134442320"/>
      <w:bookmarkStart w:id="283" w:name="_Toc141704566"/>
      <w:bookmarkEnd w:id="274"/>
      <w:bookmarkEnd w:id="275"/>
      <w:bookmarkEnd w:id="276"/>
      <w:bookmarkEnd w:id="277"/>
      <w:bookmarkEnd w:id="278"/>
      <w:bookmarkEnd w:id="279"/>
      <w:bookmarkEnd w:id="280"/>
      <w:bookmarkEnd w:id="281"/>
      <w:r>
        <w:rPr>
          <w:lang w:eastAsia="ja-JP"/>
        </w:rPr>
        <w:t>3.</w:t>
      </w:r>
      <w:r w:rsidR="003A647C">
        <w:rPr>
          <w:lang w:eastAsia="ja-JP"/>
        </w:rPr>
        <w:t>3.4</w:t>
      </w:r>
      <w:r w:rsidR="003A647C">
        <w:rPr>
          <w:lang w:eastAsia="ja-JP"/>
        </w:rPr>
        <w:tab/>
      </w:r>
      <w:r w:rsidR="00EB38E1">
        <w:rPr>
          <w:lang w:eastAsia="ja-JP"/>
        </w:rPr>
        <w:t>Boron</w:t>
      </w:r>
      <w:bookmarkEnd w:id="282"/>
      <w:bookmarkEnd w:id="283"/>
    </w:p>
    <w:p w14:paraId="03F59F26" w14:textId="77777777" w:rsidR="00325DFC" w:rsidRDefault="00EB38E1" w:rsidP="00C1087A">
      <w:pPr>
        <w:pStyle w:val="Sectionkeypoints"/>
      </w:pPr>
      <w:bookmarkStart w:id="284" w:name="_Hlk135129407"/>
      <w:r>
        <w:t xml:space="preserve">Boron concentrations </w:t>
      </w:r>
      <w:r>
        <w:rPr>
          <w:rFonts w:cstheme="minorHAnsi"/>
        </w:rPr>
        <w:t>&lt;</w:t>
      </w:r>
      <w:r>
        <w:t xml:space="preserve">5 mg/L in livestock drinking water should not be harmful to animal health. </w:t>
      </w:r>
      <w:bookmarkEnd w:id="284"/>
      <w:r w:rsidR="002D2750">
        <w:t xml:space="preserve">If the concentration of boron in </w:t>
      </w:r>
      <w:r w:rsidR="00AD25EB">
        <w:t xml:space="preserve">livestock drinking </w:t>
      </w:r>
      <w:r w:rsidR="002D2750">
        <w:t xml:space="preserve">water </w:t>
      </w:r>
      <w:r>
        <w:rPr>
          <w:rFonts w:cstheme="minorHAnsi"/>
        </w:rPr>
        <w:t>&gt;</w:t>
      </w:r>
      <w:r w:rsidR="002D2750">
        <w:t>5</w:t>
      </w:r>
      <w:r w:rsidR="00FF0799">
        <w:t> </w:t>
      </w:r>
      <w:r w:rsidR="002D2750">
        <w:t>mg/L, the total boron content of the livestock diet should be investigated.</w:t>
      </w:r>
    </w:p>
    <w:p w14:paraId="03F59F27" w14:textId="77777777" w:rsidR="00325DFC" w:rsidRDefault="00EB38E1" w:rsidP="000C6B83">
      <w:pPr>
        <w:pStyle w:val="Heading5"/>
        <w:rPr>
          <w:lang w:eastAsia="ja-JP"/>
        </w:rPr>
      </w:pPr>
      <w:r>
        <w:rPr>
          <w:lang w:eastAsia="ja-JP"/>
        </w:rPr>
        <w:t>Source</w:t>
      </w:r>
    </w:p>
    <w:p w14:paraId="03F59F28" w14:textId="77777777" w:rsidR="00D23338" w:rsidRPr="0056438C" w:rsidRDefault="00EB38E1" w:rsidP="00FD2341">
      <w:pPr>
        <w:rPr>
          <w:lang w:val="en-GB"/>
        </w:rPr>
      </w:pPr>
      <w:r w:rsidRPr="0056438C">
        <w:rPr>
          <w:lang w:val="en-GB"/>
        </w:rPr>
        <w:t xml:space="preserve">Boron is present in the environment as borates and borosilicate minerals, such as borax associated with salt deposits in saline lakes, </w:t>
      </w:r>
      <w:proofErr w:type="gramStart"/>
      <w:r w:rsidRPr="0056438C">
        <w:rPr>
          <w:lang w:val="en-GB"/>
        </w:rPr>
        <w:t>borate</w:t>
      </w:r>
      <w:proofErr w:type="gramEnd"/>
      <w:r w:rsidRPr="0056438C">
        <w:rPr>
          <w:lang w:val="en-GB"/>
        </w:rPr>
        <w:t xml:space="preserve"> and aluminium borosilicate. Boron is commonly associated with saline hydrogeological conditions.</w:t>
      </w:r>
    </w:p>
    <w:p w14:paraId="03F59F29" w14:textId="77777777" w:rsidR="00325DFC" w:rsidRDefault="00EB38E1" w:rsidP="00C1087A">
      <w:r>
        <w:t>Boron concentrations in unpolluted waters are generally &lt;0.1</w:t>
      </w:r>
      <w:r w:rsidR="00FD3B65">
        <w:t> </w:t>
      </w:r>
      <w:r>
        <w:t>mg/L (Galvin 1996). Boron concentrations in groundwater may be higher, though are normally &lt;4</w:t>
      </w:r>
      <w:r w:rsidR="00FD3B65">
        <w:t> </w:t>
      </w:r>
      <w:r>
        <w:t>mg/L (</w:t>
      </w:r>
      <w:r w:rsidRPr="006B4623">
        <w:t>Hart 1974).</w:t>
      </w:r>
      <w:r>
        <w:t xml:space="preserve"> Pesticides and fertilisers containing boron are a potential source of contamination of farm water supplies.</w:t>
      </w:r>
    </w:p>
    <w:p w14:paraId="03F59F2A" w14:textId="77777777" w:rsidR="00325DFC" w:rsidRDefault="00EB38E1" w:rsidP="000C6B83">
      <w:pPr>
        <w:pStyle w:val="Heading5"/>
        <w:rPr>
          <w:lang w:eastAsia="ja-JP"/>
        </w:rPr>
      </w:pPr>
      <w:r>
        <w:rPr>
          <w:lang w:eastAsia="ja-JP"/>
        </w:rPr>
        <w:t>Animal health</w:t>
      </w:r>
    </w:p>
    <w:p w14:paraId="03F59F2B" w14:textId="77777777" w:rsidR="00325DFC" w:rsidRDefault="00EB38E1" w:rsidP="00C1087A">
      <w:r>
        <w:t xml:space="preserve">Boron dissolved in water or contained in food is rapidly absorbed from the gastrointestinal tract in animals and excreted </w:t>
      </w:r>
      <w:r w:rsidR="00C27135">
        <w:t>in</w:t>
      </w:r>
      <w:r>
        <w:t xml:space="preserve"> urine.</w:t>
      </w:r>
    </w:p>
    <w:p w14:paraId="03F59F2C" w14:textId="1F2E782D" w:rsidR="00325DFC" w:rsidRDefault="00EB38E1" w:rsidP="00C1087A">
      <w:r w:rsidRPr="009E0011">
        <w:lastRenderedPageBreak/>
        <w:t xml:space="preserve">Green and Weeth (1977) </w:t>
      </w:r>
      <w:r>
        <w:t>reported that boron concentrations of 150</w:t>
      </w:r>
      <w:r w:rsidR="00FD3B65">
        <w:t> </w:t>
      </w:r>
      <w:r>
        <w:t>mg/L in drinking water for cattle resulted in reduced hay consumption and a loss of weight. The tolerance concentration of boron was estimated to be between 40</w:t>
      </w:r>
      <w:r w:rsidR="00FD3B65">
        <w:t> </w:t>
      </w:r>
      <w:r>
        <w:t>mg/L and 150</w:t>
      </w:r>
      <w:r w:rsidR="00FD3B65">
        <w:t> </w:t>
      </w:r>
      <w:r>
        <w:t>mg/L</w:t>
      </w:r>
      <w:r w:rsidRPr="00F25D79">
        <w:t>. NRC (1980</w:t>
      </w:r>
      <w:r w:rsidR="008D67B2">
        <w:t>, 2005</w:t>
      </w:r>
      <w:r w:rsidRPr="00F25D79">
        <w:t xml:space="preserve">) </w:t>
      </w:r>
      <w:r>
        <w:t>suggested a maximum tolerable level of 150</w:t>
      </w:r>
      <w:r w:rsidR="00FD3B65">
        <w:t> </w:t>
      </w:r>
      <w:r>
        <w:t xml:space="preserve">mg/kg (as borax) in the diet of </w:t>
      </w:r>
      <w:proofErr w:type="gramStart"/>
      <w:r>
        <w:t>cattle, and</w:t>
      </w:r>
      <w:proofErr w:type="gramEnd"/>
      <w:r>
        <w:t xml:space="preserve"> presumed that this value should be reasonable for other </w:t>
      </w:r>
      <w:r w:rsidR="001E77DD">
        <w:t>types</w:t>
      </w:r>
      <w:r>
        <w:t xml:space="preserve"> of livestock.</w:t>
      </w:r>
    </w:p>
    <w:p w14:paraId="03F59F2D" w14:textId="77777777" w:rsidR="00AD38A0" w:rsidRPr="00AD38A0" w:rsidRDefault="00EB38E1" w:rsidP="000C6B83">
      <w:pPr>
        <w:pStyle w:val="Heading5"/>
        <w:rPr>
          <w:lang w:eastAsia="ja-JP"/>
        </w:rPr>
      </w:pPr>
      <w:r w:rsidRPr="00AD38A0">
        <w:rPr>
          <w:lang w:eastAsia="ja-JP"/>
        </w:rPr>
        <w:t>Derivation of guideline values</w:t>
      </w:r>
    </w:p>
    <w:p w14:paraId="03F59F2E" w14:textId="603BC030" w:rsidR="00325DFC" w:rsidRDefault="00EB38E1" w:rsidP="00C1087A">
      <w:r>
        <w:t>The following calculations and assumptions</w:t>
      </w:r>
      <w:r w:rsidR="00162AAF">
        <w:t xml:space="preserve"> </w:t>
      </w:r>
      <w:r w:rsidR="00FD37CF">
        <w:t>(</w:t>
      </w:r>
      <w:r w:rsidR="008670FB">
        <w:t xml:space="preserve">Equation </w:t>
      </w:r>
      <w:r w:rsidR="00257B02">
        <w:t>3.4</w:t>
      </w:r>
      <w:r w:rsidR="00162AAF">
        <w:t xml:space="preserve">, </w:t>
      </w:r>
      <w:r w:rsidR="00315614">
        <w:t>Table 3.11</w:t>
      </w:r>
      <w:r w:rsidR="00162AAF">
        <w:t>)</w:t>
      </w:r>
      <w:r>
        <w:t xml:space="preserve">, based on the principles adopted by the World Health </w:t>
      </w:r>
      <w:r w:rsidRPr="00F670F0">
        <w:t>Organization (Albanus et al. 1989, cited by Hamilton &amp; Haydon 1996),</w:t>
      </w:r>
      <w:r>
        <w:t xml:space="preserve"> were used to derive a guideline value. Based on this approach, guideline values for various types of livestock range from 5.8</w:t>
      </w:r>
      <w:r w:rsidR="00E62425">
        <w:t> mg/L</w:t>
      </w:r>
      <w:r>
        <w:t xml:space="preserve"> to 11.3</w:t>
      </w:r>
      <w:r w:rsidR="00FD3B65">
        <w:t> </w:t>
      </w:r>
      <w:r>
        <w:t>mg/L.</w:t>
      </w:r>
      <w:r w:rsidR="00D36E77">
        <w:t xml:space="preserve"> </w:t>
      </w:r>
      <w:r w:rsidR="00A7319D">
        <w:t>The calculation in</w:t>
      </w:r>
      <w:r w:rsidR="008670FB">
        <w:t xml:space="preserve"> Equation </w:t>
      </w:r>
      <w:r w:rsidR="00DC4DFE">
        <w:t>3.4</w:t>
      </w:r>
      <w:r w:rsidR="00A7319D">
        <w:t xml:space="preserve"> is for cattle; data for other livestock are in</w:t>
      </w:r>
      <w:r w:rsidR="007734BF">
        <w:t xml:space="preserve"> </w:t>
      </w:r>
      <w:r w:rsidR="005D2F89">
        <w:t>Table 3.11</w:t>
      </w:r>
      <w:r w:rsidR="00A7319D">
        <w:t>.</w:t>
      </w:r>
    </w:p>
    <w:p w14:paraId="03F59F2F" w14:textId="77777777" w:rsidR="008670FB" w:rsidRDefault="00EB38E1" w:rsidP="00DF778F">
      <w:pPr>
        <w:pStyle w:val="Caption"/>
      </w:pPr>
      <w:bookmarkStart w:id="285" w:name="_Toc135056382"/>
      <w:bookmarkStart w:id="286" w:name="_Toc142999661"/>
      <w:bookmarkStart w:id="287" w:name="_Toc148089855"/>
      <w:r>
        <w:t xml:space="preserve">Equation </w:t>
      </w:r>
      <w:r w:rsidR="00257B02">
        <w:t>3.4</w:t>
      </w:r>
      <w:bookmarkEnd w:id="285"/>
      <w:bookmarkEnd w:id="286"/>
      <w:bookmarkEnd w:id="287"/>
    </w:p>
    <w:p w14:paraId="03F59F30" w14:textId="77777777" w:rsidR="00395AB4" w:rsidRPr="00FD2341" w:rsidRDefault="00EB38E1" w:rsidP="00C1087A">
      <w:pPr>
        <w:rPr>
          <w:rFonts w:eastAsiaTheme="majorEastAsia" w:cstheme="majorBidi"/>
        </w:rPr>
      </w:pPr>
      <m:oMathPara>
        <m:oMath>
          <m:r>
            <m:rPr>
              <m:sty m:val="p"/>
            </m:rPr>
            <w:rPr>
              <w:rFonts w:ascii="Cambria Math" w:hAnsi="Cambria Math"/>
              <w:sz w:val="20"/>
              <w:szCs w:val="20"/>
            </w:rPr>
            <m:t>Guideline value=</m:t>
          </m:r>
          <m:f>
            <m:fPr>
              <m:ctrlPr>
                <w:rPr>
                  <w:rFonts w:ascii="Cambria Math" w:hAnsi="Cambria Math"/>
                  <w:bCs/>
                  <w:sz w:val="20"/>
                  <w:szCs w:val="20"/>
                </w:rPr>
              </m:ctrlPr>
            </m:fPr>
            <m:num>
              <m:r>
                <m:rPr>
                  <m:sty m:val="p"/>
                </m:rPr>
                <w:rPr>
                  <w:rFonts w:ascii="Cambria Math" w:hAnsi="Cambria Math"/>
                  <w:sz w:val="20"/>
                  <w:szCs w:val="20"/>
                </w:rPr>
                <m:t xml:space="preserve">MTDL x </m:t>
              </m:r>
              <m:r>
                <m:rPr>
                  <m:sty m:val="p"/>
                </m:rPr>
                <w:rPr>
                  <w:rFonts w:ascii="Cambria Math" w:hAnsi="Cambria Math"/>
                  <w:sz w:val="18"/>
                  <w:szCs w:val="18"/>
                </w:rPr>
                <m:t>dailyfeedintake</m:t>
              </m:r>
              <m:r>
                <m:rPr>
                  <m:sty m:val="p"/>
                </m:rPr>
                <w:rPr>
                  <w:rFonts w:ascii="Cambria Math" w:hAnsi="Cambria Math"/>
                  <w:sz w:val="20"/>
                  <w:szCs w:val="20"/>
                </w:rPr>
                <m:t xml:space="preserve"> x proportionwater</m:t>
              </m:r>
            </m:num>
            <m:den>
              <m:r>
                <m:rPr>
                  <m:sty m:val="p"/>
                </m:rPr>
                <w:rPr>
                  <w:rFonts w:ascii="Cambria Math" w:hAnsi="Cambria Math"/>
                  <w:sz w:val="20"/>
                  <w:szCs w:val="20"/>
                </w:rPr>
                <m:t>maxdailywaterintake</m:t>
              </m:r>
            </m:den>
          </m:f>
        </m:oMath>
      </m:oMathPara>
    </w:p>
    <w:p w14:paraId="03F59F31" w14:textId="77777777" w:rsidR="00EF1B7E" w:rsidRDefault="00EB38E1" w:rsidP="00380D15">
      <m:oMathPara>
        <m:oMath>
          <m:r>
            <m:rPr>
              <m:sty m:val="p"/>
            </m:rPr>
            <w:rPr>
              <w:rFonts w:ascii="Cambria Math" w:hAnsi="Cambria Math"/>
              <w:sz w:val="20"/>
              <w:szCs w:val="20"/>
            </w:rPr>
            <m:t>=</m:t>
          </m:r>
          <m:f>
            <m:fPr>
              <m:ctrlPr>
                <w:rPr>
                  <w:rFonts w:ascii="Cambria Math" w:hAnsi="Cambria Math"/>
                  <w:bCs/>
                  <w:sz w:val="20"/>
                  <w:szCs w:val="20"/>
                </w:rPr>
              </m:ctrlPr>
            </m:fPr>
            <m:num>
              <m:r>
                <m:rPr>
                  <m:sty m:val="p"/>
                </m:rPr>
                <w:rPr>
                  <w:rFonts w:ascii="Cambria Math" w:hAnsi="Cambria Math"/>
                  <w:sz w:val="20"/>
                  <w:szCs w:val="20"/>
                </w:rPr>
                <m:t>150</m:t>
              </m:r>
              <m:f>
                <m:fPr>
                  <m:type m:val="lin"/>
                  <m:ctrlPr>
                    <w:rPr>
                      <w:rFonts w:ascii="Cambria Math" w:hAnsi="Cambria Math"/>
                      <w:bCs/>
                      <w:sz w:val="20"/>
                      <w:szCs w:val="20"/>
                    </w:rPr>
                  </m:ctrlPr>
                </m:fPr>
                <m:num>
                  <m:f>
                    <m:fPr>
                      <m:type m:val="lin"/>
                      <m:ctrlPr>
                        <w:rPr>
                          <w:rFonts w:ascii="Cambria Math" w:hAnsi="Cambria Math"/>
                          <w:bCs/>
                          <w:sz w:val="20"/>
                          <w:szCs w:val="20"/>
                        </w:rPr>
                      </m:ctrlPr>
                    </m:fPr>
                    <m:num>
                      <m:r>
                        <m:rPr>
                          <m:sty m:val="p"/>
                        </m:rPr>
                        <w:rPr>
                          <w:rFonts w:ascii="Cambria Math" w:hAnsi="Cambria Math"/>
                          <w:sz w:val="20"/>
                          <w:szCs w:val="20"/>
                        </w:rPr>
                        <m:t>mg</m:t>
                      </m:r>
                    </m:num>
                    <m:den>
                      <m:r>
                        <m:rPr>
                          <m:sty m:val="p"/>
                        </m:rPr>
                        <w:rPr>
                          <w:rFonts w:ascii="Cambria Math" w:hAnsi="Cambria Math"/>
                          <w:sz w:val="20"/>
                          <w:szCs w:val="20"/>
                        </w:rPr>
                        <m:t>kg</m:t>
                      </m:r>
                    </m:den>
                  </m:f>
                </m:num>
                <m:den>
                  <m:r>
                    <m:rPr>
                      <m:sty m:val="p"/>
                    </m:rPr>
                    <w:rPr>
                      <w:rFonts w:ascii="Cambria Math" w:hAnsi="Cambria Math"/>
                      <w:sz w:val="20"/>
                      <w:szCs w:val="20"/>
                    </w:rPr>
                    <m:t>day</m:t>
                  </m:r>
                </m:den>
              </m:f>
              <m:r>
                <m:rPr>
                  <m:sty m:val="p"/>
                </m:rPr>
                <w:rPr>
                  <w:rFonts w:ascii="Cambria Math" w:hAnsi="Cambria Math"/>
                  <w:sz w:val="20"/>
                  <w:szCs w:val="20"/>
                </w:rPr>
                <m:t>x 20kg x 0.2</m:t>
              </m:r>
            </m:num>
            <m:den>
              <m:r>
                <m:rPr>
                  <m:sty m:val="p"/>
                </m:rPr>
                <w:rPr>
                  <w:rFonts w:ascii="Cambria Math" w:hAnsi="Cambria Math"/>
                  <w:sz w:val="20"/>
                  <w:szCs w:val="20"/>
                </w:rPr>
                <m:t>85</m:t>
              </m:r>
              <m:f>
                <m:fPr>
                  <m:type m:val="lin"/>
                  <m:ctrlPr>
                    <w:rPr>
                      <w:rFonts w:ascii="Cambria Math" w:hAnsi="Cambria Math"/>
                      <w:bCs/>
                      <w:sz w:val="20"/>
                      <w:szCs w:val="20"/>
                    </w:rPr>
                  </m:ctrlPr>
                </m:fPr>
                <m:num>
                  <m:r>
                    <m:rPr>
                      <m:sty m:val="p"/>
                    </m:rPr>
                    <w:rPr>
                      <w:rFonts w:ascii="Cambria Math" w:hAnsi="Cambria Math"/>
                      <w:sz w:val="20"/>
                      <w:szCs w:val="20"/>
                    </w:rPr>
                    <m:t>L</m:t>
                  </m:r>
                </m:num>
                <m:den>
                  <m:r>
                    <m:rPr>
                      <m:sty m:val="p"/>
                    </m:rPr>
                    <w:rPr>
                      <w:rFonts w:ascii="Cambria Math" w:hAnsi="Cambria Math"/>
                      <w:sz w:val="20"/>
                      <w:szCs w:val="20"/>
                    </w:rPr>
                    <m:t>day</m:t>
                  </m:r>
                </m:den>
              </m:f>
            </m:den>
          </m:f>
          <m:r>
            <m:rPr>
              <m:sty m:val="p"/>
            </m:rPr>
            <w:rPr>
              <w:rFonts w:ascii="Cambria Math" w:hAnsi="Cambria Math"/>
              <w:sz w:val="20"/>
              <w:szCs w:val="20"/>
            </w:rPr>
            <m:t>=7</m:t>
          </m:r>
          <m:f>
            <m:fPr>
              <m:type m:val="lin"/>
              <m:ctrlPr>
                <w:rPr>
                  <w:rFonts w:ascii="Cambria Math" w:hAnsi="Cambria Math"/>
                  <w:bCs/>
                  <w:sz w:val="20"/>
                  <w:szCs w:val="20"/>
                </w:rPr>
              </m:ctrlPr>
            </m:fPr>
            <m:num>
              <m:r>
                <m:rPr>
                  <m:sty m:val="p"/>
                </m:rPr>
                <w:rPr>
                  <w:rFonts w:ascii="Cambria Math" w:hAnsi="Cambria Math"/>
                  <w:sz w:val="20"/>
                  <w:szCs w:val="20"/>
                </w:rPr>
                <m:t>mg</m:t>
              </m:r>
            </m:num>
            <m:den>
              <m:r>
                <m:rPr>
                  <m:sty m:val="p"/>
                </m:rPr>
                <w:rPr>
                  <w:rFonts w:ascii="Cambria Math" w:hAnsi="Cambria Math"/>
                  <w:sz w:val="20"/>
                  <w:szCs w:val="20"/>
                </w:rPr>
                <m:t>L</m:t>
              </m:r>
            </m:den>
          </m:f>
        </m:oMath>
      </m:oMathPara>
    </w:p>
    <w:p w14:paraId="03F59F32" w14:textId="77777777" w:rsidR="00380D15" w:rsidRDefault="00EB38E1" w:rsidP="00FD2341">
      <w:pPr>
        <w:rPr>
          <w:lang w:eastAsia="ja-JP"/>
        </w:rPr>
      </w:pPr>
      <w:r>
        <w:rPr>
          <w:lang w:eastAsia="ja-JP"/>
        </w:rPr>
        <w:t>Where:</w:t>
      </w:r>
    </w:p>
    <w:p w14:paraId="03F59F33" w14:textId="60394F84" w:rsidR="00EF1B7E" w:rsidRDefault="00EB38E1" w:rsidP="00EF1B7E">
      <w:pPr>
        <w:pStyle w:val="ListBullet"/>
        <w:rPr>
          <w:lang w:eastAsia="ja-JP"/>
        </w:rPr>
      </w:pPr>
      <w:r>
        <w:rPr>
          <w:lang w:eastAsia="ja-JP"/>
        </w:rPr>
        <w:t>MTDL is the suggested maximum total dietary level of 150</w:t>
      </w:r>
      <w:r w:rsidR="00082595">
        <w:rPr>
          <w:lang w:eastAsia="ja-JP"/>
        </w:rPr>
        <w:t> </w:t>
      </w:r>
      <w:r>
        <w:rPr>
          <w:lang w:eastAsia="ja-JP"/>
        </w:rPr>
        <w:t>mg/kg</w:t>
      </w:r>
      <w:r w:rsidR="00380D15">
        <w:rPr>
          <w:lang w:eastAsia="ja-JP"/>
        </w:rPr>
        <w:t>/day</w:t>
      </w:r>
      <w:r>
        <w:rPr>
          <w:lang w:eastAsia="ja-JP"/>
        </w:rPr>
        <w:t xml:space="preserve"> </w:t>
      </w:r>
      <w:r w:rsidR="00082595">
        <w:rPr>
          <w:lang w:eastAsia="ja-JP"/>
        </w:rPr>
        <w:t>of boron</w:t>
      </w:r>
      <w:r>
        <w:rPr>
          <w:lang w:eastAsia="ja-JP"/>
        </w:rPr>
        <w:t xml:space="preserve"> in the animal diet (NRC 1980</w:t>
      </w:r>
      <w:r w:rsidR="0075061A">
        <w:rPr>
          <w:lang w:eastAsia="ja-JP"/>
        </w:rPr>
        <w:t>, 2005</w:t>
      </w:r>
      <w:r>
        <w:rPr>
          <w:lang w:eastAsia="ja-JP"/>
        </w:rPr>
        <w:t>)</w:t>
      </w:r>
    </w:p>
    <w:p w14:paraId="03F59F34" w14:textId="77777777" w:rsidR="00EF1B7E" w:rsidRDefault="00EB38E1" w:rsidP="00EF1B7E">
      <w:pPr>
        <w:pStyle w:val="ListBullet"/>
        <w:rPr>
          <w:lang w:eastAsia="ja-JP"/>
        </w:rPr>
      </w:pPr>
      <w:r>
        <w:rPr>
          <w:lang w:eastAsia="ja-JP"/>
        </w:rPr>
        <w:t>20</w:t>
      </w:r>
      <w:r w:rsidR="00FD3B65">
        <w:rPr>
          <w:lang w:eastAsia="ja-JP"/>
        </w:rPr>
        <w:t> </w:t>
      </w:r>
      <w:r>
        <w:rPr>
          <w:lang w:eastAsia="ja-JP"/>
        </w:rPr>
        <w:t xml:space="preserve">kg/day is an estimate of the average </w:t>
      </w:r>
      <w:r w:rsidR="00380D15">
        <w:rPr>
          <w:lang w:eastAsia="ja-JP"/>
        </w:rPr>
        <w:t>daily feed intake</w:t>
      </w:r>
      <w:r>
        <w:rPr>
          <w:lang w:eastAsia="ja-JP"/>
        </w:rPr>
        <w:t xml:space="preserve"> of cattle at this weight</w:t>
      </w:r>
      <w:r w:rsidR="00380D15">
        <w:rPr>
          <w:lang w:eastAsia="ja-JP"/>
        </w:rPr>
        <w:t>,</w:t>
      </w:r>
      <w:r>
        <w:rPr>
          <w:lang w:eastAsia="ja-JP"/>
        </w:rPr>
        <w:t xml:space="preserve"> assuming they consume </w:t>
      </w:r>
      <w:r w:rsidR="00082595">
        <w:rPr>
          <w:lang w:eastAsia="ja-JP"/>
        </w:rPr>
        <w:t xml:space="preserve">approximately </w:t>
      </w:r>
      <w:r>
        <w:rPr>
          <w:lang w:eastAsia="ja-JP"/>
        </w:rPr>
        <w:t>2.5% of their body</w:t>
      </w:r>
      <w:r w:rsidR="00082595">
        <w:rPr>
          <w:lang w:eastAsia="ja-JP"/>
        </w:rPr>
        <w:t xml:space="preserve"> </w:t>
      </w:r>
      <w:r>
        <w:rPr>
          <w:lang w:eastAsia="ja-JP"/>
        </w:rPr>
        <w:t xml:space="preserve">weight in </w:t>
      </w:r>
      <w:proofErr w:type="gramStart"/>
      <w:r>
        <w:rPr>
          <w:lang w:eastAsia="ja-JP"/>
        </w:rPr>
        <w:t>feed</w:t>
      </w:r>
      <w:proofErr w:type="gramEnd"/>
    </w:p>
    <w:p w14:paraId="03F59F35" w14:textId="77777777" w:rsidR="00EF1B7E" w:rsidRDefault="00EB38E1" w:rsidP="00EF1B7E">
      <w:pPr>
        <w:pStyle w:val="ListBullet"/>
        <w:rPr>
          <w:lang w:eastAsia="ja-JP"/>
        </w:rPr>
      </w:pPr>
      <w:r>
        <w:rPr>
          <w:lang w:eastAsia="ja-JP"/>
        </w:rPr>
        <w:t xml:space="preserve">0.2 is the proportion of boron attributed to the intake of </w:t>
      </w:r>
      <w:proofErr w:type="gramStart"/>
      <w:r>
        <w:rPr>
          <w:lang w:eastAsia="ja-JP"/>
        </w:rPr>
        <w:t>water</w:t>
      </w:r>
      <w:proofErr w:type="gramEnd"/>
    </w:p>
    <w:p w14:paraId="03F59F36" w14:textId="77777777" w:rsidR="00EF1B7E" w:rsidRDefault="00EB38E1" w:rsidP="00EF1B7E">
      <w:pPr>
        <w:pStyle w:val="ListBullet"/>
        <w:rPr>
          <w:lang w:eastAsia="ja-JP"/>
        </w:rPr>
      </w:pPr>
      <w:r>
        <w:rPr>
          <w:lang w:eastAsia="ja-JP"/>
        </w:rPr>
        <w:t>85</w:t>
      </w:r>
      <w:r w:rsidR="00FD3B65">
        <w:rPr>
          <w:lang w:eastAsia="ja-JP"/>
        </w:rPr>
        <w:t> </w:t>
      </w:r>
      <w:r>
        <w:rPr>
          <w:lang w:eastAsia="ja-JP"/>
        </w:rPr>
        <w:t>L/day is the peak consumption rate of water by cattle.</w:t>
      </w:r>
    </w:p>
    <w:p w14:paraId="03F59F37" w14:textId="1172531D" w:rsidR="00EF1B7E" w:rsidRDefault="00EB38E1" w:rsidP="00C1087A">
      <w:r>
        <w:t>A</w:t>
      </w:r>
      <w:r w:rsidR="002D2750">
        <w:t xml:space="preserve"> safety factor for possible long-term effects was not included in the calculations because there is little likelihood of long-term effects due to boron ingestion (NRC 1980</w:t>
      </w:r>
      <w:r w:rsidR="00463947">
        <w:t>, 2005</w:t>
      </w:r>
      <w:r w:rsidR="002D2750">
        <w:t>).</w:t>
      </w:r>
    </w:p>
    <w:p w14:paraId="03F59F38" w14:textId="7A1C0012" w:rsidR="00162AAF" w:rsidRDefault="00EB38E1" w:rsidP="00DF778F">
      <w:pPr>
        <w:pStyle w:val="Caption"/>
      </w:pPr>
      <w:bookmarkStart w:id="288" w:name="_Ref84839658"/>
      <w:bookmarkStart w:id="289" w:name="_Toc148089856"/>
      <w:r>
        <w:t>Table </w:t>
      </w:r>
      <w:r w:rsidR="00257B02">
        <w:t>3.</w:t>
      </w:r>
      <w:bookmarkEnd w:id="288"/>
      <w:r w:rsidR="00EC18B0">
        <w:t xml:space="preserve">11 </w:t>
      </w:r>
      <w:r w:rsidR="00381E91">
        <w:t>Calculated</w:t>
      </w:r>
      <w:r>
        <w:t xml:space="preserve"> guideline </w:t>
      </w:r>
      <w:r w:rsidR="00115051">
        <w:t xml:space="preserve">values </w:t>
      </w:r>
      <w:r>
        <w:t xml:space="preserve">for boron in livestock drinking </w:t>
      </w:r>
      <w:proofErr w:type="gramStart"/>
      <w:r>
        <w:t>water</w:t>
      </w:r>
      <w:bookmarkEnd w:id="289"/>
      <w:proofErr w:type="gramEnd"/>
    </w:p>
    <w:tbl>
      <w:tblPr>
        <w:tblW w:w="5000" w:type="pct"/>
        <w:tblBorders>
          <w:top w:val="single" w:sz="4" w:space="0" w:color="000000"/>
          <w:bottom w:val="single" w:sz="4" w:space="0" w:color="000000"/>
          <w:insideH w:val="single" w:sz="4" w:space="0" w:color="000000"/>
        </w:tblBorders>
        <w:tblLook w:val="04A0" w:firstRow="1" w:lastRow="0" w:firstColumn="1" w:lastColumn="0" w:noHBand="0" w:noVBand="1"/>
      </w:tblPr>
      <w:tblGrid>
        <w:gridCol w:w="1276"/>
        <w:gridCol w:w="1949"/>
        <w:gridCol w:w="1949"/>
        <w:gridCol w:w="1948"/>
        <w:gridCol w:w="1948"/>
      </w:tblGrid>
      <w:tr w:rsidR="0054058D" w14:paraId="03F59F3E" w14:textId="77777777" w:rsidTr="00B939B4">
        <w:trPr>
          <w:cantSplit/>
          <w:tblHeader/>
        </w:trPr>
        <w:tc>
          <w:tcPr>
            <w:tcW w:w="703" w:type="pct"/>
            <w:tcBorders>
              <w:top w:val="single" w:sz="12" w:space="0" w:color="000000"/>
              <w:bottom w:val="single" w:sz="12" w:space="0" w:color="000000"/>
            </w:tcBorders>
            <w:shd w:val="clear" w:color="auto" w:fill="auto"/>
          </w:tcPr>
          <w:p w14:paraId="03F59F39" w14:textId="77777777" w:rsidR="00162AAF" w:rsidRPr="009549B3" w:rsidRDefault="00EB38E1" w:rsidP="00B939B4">
            <w:pPr>
              <w:pStyle w:val="TableHeading"/>
            </w:pPr>
            <w:r>
              <w:t>Livestock</w:t>
            </w:r>
          </w:p>
        </w:tc>
        <w:tc>
          <w:tcPr>
            <w:tcW w:w="1074" w:type="pct"/>
            <w:tcBorders>
              <w:top w:val="single" w:sz="12" w:space="0" w:color="000000"/>
              <w:bottom w:val="single" w:sz="12" w:space="0" w:color="000000"/>
            </w:tcBorders>
            <w:shd w:val="clear" w:color="auto" w:fill="auto"/>
          </w:tcPr>
          <w:p w14:paraId="03F59F3A" w14:textId="77777777" w:rsidR="00162AAF" w:rsidRPr="009549B3" w:rsidRDefault="00EB38E1" w:rsidP="004C6E6D">
            <w:pPr>
              <w:pStyle w:val="TableHeading"/>
              <w:jc w:val="center"/>
            </w:pPr>
            <w:r w:rsidRPr="009549B3">
              <w:t>Body weight (kg)</w:t>
            </w:r>
          </w:p>
        </w:tc>
        <w:tc>
          <w:tcPr>
            <w:tcW w:w="1074" w:type="pct"/>
            <w:tcBorders>
              <w:top w:val="single" w:sz="12" w:space="0" w:color="000000"/>
              <w:bottom w:val="single" w:sz="12" w:space="0" w:color="000000"/>
            </w:tcBorders>
            <w:shd w:val="clear" w:color="auto" w:fill="auto"/>
          </w:tcPr>
          <w:p w14:paraId="03F59F3B" w14:textId="77777777" w:rsidR="00162AAF" w:rsidRPr="009549B3" w:rsidRDefault="00EB38E1" w:rsidP="004C6E6D">
            <w:pPr>
              <w:pStyle w:val="TableHeading"/>
              <w:jc w:val="center"/>
            </w:pPr>
            <w:r w:rsidRPr="009549B3">
              <w:t>Peak water intake (L/day)</w:t>
            </w:r>
          </w:p>
        </w:tc>
        <w:tc>
          <w:tcPr>
            <w:tcW w:w="1074" w:type="pct"/>
            <w:tcBorders>
              <w:top w:val="single" w:sz="12" w:space="0" w:color="000000"/>
              <w:bottom w:val="single" w:sz="12" w:space="0" w:color="000000"/>
            </w:tcBorders>
            <w:shd w:val="clear" w:color="auto" w:fill="auto"/>
          </w:tcPr>
          <w:p w14:paraId="03F59F3C" w14:textId="77777777" w:rsidR="00162AAF" w:rsidRPr="009549B3" w:rsidRDefault="00EB38E1" w:rsidP="004C6E6D">
            <w:pPr>
              <w:pStyle w:val="TableHeading"/>
              <w:jc w:val="center"/>
            </w:pPr>
            <w:r w:rsidRPr="009549B3">
              <w:t xml:space="preserve">Peak </w:t>
            </w:r>
            <w:r w:rsidR="00FF7DC3">
              <w:t>feed</w:t>
            </w:r>
            <w:r w:rsidR="00FF7DC3" w:rsidRPr="009549B3">
              <w:t xml:space="preserve"> </w:t>
            </w:r>
            <w:r w:rsidRPr="009549B3">
              <w:t>intake (kg/day)</w:t>
            </w:r>
          </w:p>
        </w:tc>
        <w:tc>
          <w:tcPr>
            <w:tcW w:w="1074" w:type="pct"/>
            <w:tcBorders>
              <w:top w:val="single" w:sz="12" w:space="0" w:color="000000"/>
              <w:bottom w:val="single" w:sz="12" w:space="0" w:color="000000"/>
            </w:tcBorders>
            <w:shd w:val="clear" w:color="auto" w:fill="auto"/>
          </w:tcPr>
          <w:p w14:paraId="03F59F3D" w14:textId="77777777" w:rsidR="00162AAF" w:rsidRPr="009549B3" w:rsidRDefault="00EB38E1" w:rsidP="004C6E6D">
            <w:pPr>
              <w:pStyle w:val="TableHeading"/>
              <w:jc w:val="center"/>
            </w:pPr>
            <w:r>
              <w:t>Guideline</w:t>
            </w:r>
            <w:r w:rsidRPr="009549B3">
              <w:t xml:space="preserve"> </w:t>
            </w:r>
            <w:r w:rsidR="002D2750" w:rsidRPr="009549B3">
              <w:t>value (mg/L)</w:t>
            </w:r>
          </w:p>
        </w:tc>
      </w:tr>
      <w:tr w:rsidR="0054058D" w14:paraId="03F59F44" w14:textId="77777777" w:rsidTr="00B939B4">
        <w:trPr>
          <w:cantSplit/>
        </w:trPr>
        <w:tc>
          <w:tcPr>
            <w:tcW w:w="703" w:type="pct"/>
            <w:tcBorders>
              <w:top w:val="single" w:sz="12" w:space="0" w:color="000000"/>
            </w:tcBorders>
            <w:shd w:val="clear" w:color="auto" w:fill="auto"/>
          </w:tcPr>
          <w:p w14:paraId="03F59F3F" w14:textId="77777777" w:rsidR="00162AAF" w:rsidRPr="009549B3" w:rsidRDefault="00EB38E1" w:rsidP="00B939B4">
            <w:pPr>
              <w:pStyle w:val="TableText"/>
            </w:pPr>
            <w:r w:rsidRPr="009549B3">
              <w:t>Cattle</w:t>
            </w:r>
          </w:p>
        </w:tc>
        <w:tc>
          <w:tcPr>
            <w:tcW w:w="1074" w:type="pct"/>
            <w:tcBorders>
              <w:top w:val="single" w:sz="12" w:space="0" w:color="000000"/>
            </w:tcBorders>
            <w:shd w:val="clear" w:color="auto" w:fill="auto"/>
          </w:tcPr>
          <w:p w14:paraId="03F59F40" w14:textId="44AF6C64" w:rsidR="00162AAF" w:rsidRPr="009549B3" w:rsidRDefault="00EB38E1" w:rsidP="004C6E6D">
            <w:pPr>
              <w:pStyle w:val="TableText"/>
              <w:tabs>
                <w:tab w:val="decimal" w:pos="883"/>
              </w:tabs>
            </w:pPr>
            <w:r w:rsidRPr="009549B3">
              <w:t>150</w:t>
            </w:r>
            <w:r w:rsidR="003E5D85">
              <w:t>.0</w:t>
            </w:r>
          </w:p>
        </w:tc>
        <w:tc>
          <w:tcPr>
            <w:tcW w:w="1074" w:type="pct"/>
            <w:tcBorders>
              <w:top w:val="single" w:sz="12" w:space="0" w:color="000000"/>
            </w:tcBorders>
            <w:shd w:val="clear" w:color="auto" w:fill="auto"/>
          </w:tcPr>
          <w:p w14:paraId="03F59F41" w14:textId="5E86E099" w:rsidR="00162AAF" w:rsidRPr="009549B3" w:rsidRDefault="00EB38E1" w:rsidP="004C6E6D">
            <w:pPr>
              <w:pStyle w:val="TableText"/>
              <w:tabs>
                <w:tab w:val="decimal" w:pos="922"/>
              </w:tabs>
            </w:pPr>
            <w:r w:rsidRPr="009549B3">
              <w:t>85</w:t>
            </w:r>
            <w:r w:rsidR="003E5D85">
              <w:t>.0</w:t>
            </w:r>
          </w:p>
        </w:tc>
        <w:tc>
          <w:tcPr>
            <w:tcW w:w="1074" w:type="pct"/>
            <w:tcBorders>
              <w:top w:val="single" w:sz="12" w:space="0" w:color="000000"/>
            </w:tcBorders>
            <w:shd w:val="clear" w:color="auto" w:fill="auto"/>
          </w:tcPr>
          <w:p w14:paraId="03F59F42" w14:textId="3989D682" w:rsidR="00162AAF" w:rsidRPr="009549B3" w:rsidRDefault="00EB38E1" w:rsidP="004C6E6D">
            <w:pPr>
              <w:pStyle w:val="TableText"/>
              <w:tabs>
                <w:tab w:val="decimal" w:pos="814"/>
              </w:tabs>
            </w:pPr>
            <w:r w:rsidRPr="009549B3">
              <w:t>20</w:t>
            </w:r>
            <w:r w:rsidR="003E5D85">
              <w:t>.0</w:t>
            </w:r>
          </w:p>
        </w:tc>
        <w:tc>
          <w:tcPr>
            <w:tcW w:w="1074" w:type="pct"/>
            <w:tcBorders>
              <w:top w:val="single" w:sz="12" w:space="0" w:color="000000"/>
            </w:tcBorders>
            <w:shd w:val="clear" w:color="auto" w:fill="auto"/>
          </w:tcPr>
          <w:p w14:paraId="03F59F43" w14:textId="76314FE8" w:rsidR="00162AAF" w:rsidRPr="009549B3" w:rsidRDefault="00EB38E1" w:rsidP="004C6E6D">
            <w:pPr>
              <w:pStyle w:val="TableText"/>
              <w:tabs>
                <w:tab w:val="decimal" w:pos="852"/>
              </w:tabs>
            </w:pPr>
            <w:r w:rsidRPr="009549B3">
              <w:t>7</w:t>
            </w:r>
            <w:r w:rsidR="003E5D85">
              <w:t>.0</w:t>
            </w:r>
          </w:p>
        </w:tc>
      </w:tr>
      <w:tr w:rsidR="0054058D" w14:paraId="03F59F4A" w14:textId="77777777" w:rsidTr="00B939B4">
        <w:trPr>
          <w:cantSplit/>
        </w:trPr>
        <w:tc>
          <w:tcPr>
            <w:tcW w:w="703" w:type="pct"/>
            <w:shd w:val="clear" w:color="auto" w:fill="auto"/>
          </w:tcPr>
          <w:p w14:paraId="03F59F45" w14:textId="7D06FC42" w:rsidR="00162AAF" w:rsidRPr="009549B3" w:rsidRDefault="00EB38E1" w:rsidP="00B939B4">
            <w:pPr>
              <w:pStyle w:val="TableText"/>
            </w:pPr>
            <w:r w:rsidRPr="009549B3">
              <w:t>Pig</w:t>
            </w:r>
            <w:r w:rsidR="00F21AE9">
              <w:t>s</w:t>
            </w:r>
          </w:p>
        </w:tc>
        <w:tc>
          <w:tcPr>
            <w:tcW w:w="1074" w:type="pct"/>
            <w:shd w:val="clear" w:color="auto" w:fill="auto"/>
          </w:tcPr>
          <w:p w14:paraId="03F59F46" w14:textId="68AF54F7" w:rsidR="00162AAF" w:rsidRPr="009549B3" w:rsidRDefault="00EB38E1" w:rsidP="004C6E6D">
            <w:pPr>
              <w:pStyle w:val="TableText"/>
              <w:tabs>
                <w:tab w:val="decimal" w:pos="883"/>
              </w:tabs>
            </w:pPr>
            <w:r w:rsidRPr="009549B3">
              <w:t>110</w:t>
            </w:r>
            <w:r w:rsidR="003E5D85">
              <w:t>.0</w:t>
            </w:r>
          </w:p>
        </w:tc>
        <w:tc>
          <w:tcPr>
            <w:tcW w:w="1074" w:type="pct"/>
            <w:shd w:val="clear" w:color="auto" w:fill="auto"/>
          </w:tcPr>
          <w:p w14:paraId="03F59F47" w14:textId="797EEE1A" w:rsidR="00162AAF" w:rsidRPr="009549B3" w:rsidRDefault="00EB38E1" w:rsidP="004C6E6D">
            <w:pPr>
              <w:pStyle w:val="TableText"/>
              <w:tabs>
                <w:tab w:val="decimal" w:pos="922"/>
              </w:tabs>
            </w:pPr>
            <w:r w:rsidRPr="009549B3">
              <w:t>15</w:t>
            </w:r>
            <w:r w:rsidR="003E5D85">
              <w:t>.0</w:t>
            </w:r>
          </w:p>
        </w:tc>
        <w:tc>
          <w:tcPr>
            <w:tcW w:w="1074" w:type="pct"/>
            <w:shd w:val="clear" w:color="auto" w:fill="auto"/>
          </w:tcPr>
          <w:p w14:paraId="03F59F48" w14:textId="77777777" w:rsidR="00162AAF" w:rsidRPr="009549B3" w:rsidRDefault="00EB38E1" w:rsidP="004C6E6D">
            <w:pPr>
              <w:pStyle w:val="TableText"/>
              <w:tabs>
                <w:tab w:val="decimal" w:pos="814"/>
              </w:tabs>
            </w:pPr>
            <w:r w:rsidRPr="009549B3">
              <w:t>2.9</w:t>
            </w:r>
          </w:p>
        </w:tc>
        <w:tc>
          <w:tcPr>
            <w:tcW w:w="1074" w:type="pct"/>
            <w:shd w:val="clear" w:color="auto" w:fill="auto"/>
          </w:tcPr>
          <w:p w14:paraId="03F59F49" w14:textId="77777777" w:rsidR="00162AAF" w:rsidRPr="009549B3" w:rsidRDefault="00EB38E1" w:rsidP="004C6E6D">
            <w:pPr>
              <w:pStyle w:val="TableText"/>
              <w:tabs>
                <w:tab w:val="decimal" w:pos="852"/>
              </w:tabs>
            </w:pPr>
            <w:r w:rsidRPr="009549B3">
              <w:t>5.8</w:t>
            </w:r>
          </w:p>
        </w:tc>
      </w:tr>
      <w:tr w:rsidR="0054058D" w14:paraId="03F59F50" w14:textId="77777777" w:rsidTr="00B939B4">
        <w:trPr>
          <w:cantSplit/>
        </w:trPr>
        <w:tc>
          <w:tcPr>
            <w:tcW w:w="703" w:type="pct"/>
            <w:shd w:val="clear" w:color="auto" w:fill="auto"/>
          </w:tcPr>
          <w:p w14:paraId="03F59F4B" w14:textId="77777777" w:rsidR="00162AAF" w:rsidRPr="009549B3" w:rsidRDefault="00EB38E1" w:rsidP="00B939B4">
            <w:pPr>
              <w:pStyle w:val="TableText"/>
              <w:rPr>
                <w:vertAlign w:val="superscript"/>
              </w:rPr>
            </w:pPr>
            <w:r w:rsidRPr="009549B3">
              <w:t>Sheep</w:t>
            </w:r>
          </w:p>
        </w:tc>
        <w:tc>
          <w:tcPr>
            <w:tcW w:w="1074" w:type="pct"/>
            <w:shd w:val="clear" w:color="auto" w:fill="auto"/>
          </w:tcPr>
          <w:p w14:paraId="03F59F4C" w14:textId="77B80702" w:rsidR="00162AAF" w:rsidRPr="009549B3" w:rsidRDefault="00EB38E1" w:rsidP="004C6E6D">
            <w:pPr>
              <w:pStyle w:val="TableText"/>
              <w:tabs>
                <w:tab w:val="decimal" w:pos="883"/>
              </w:tabs>
            </w:pPr>
            <w:r w:rsidRPr="009549B3">
              <w:t>100</w:t>
            </w:r>
            <w:r w:rsidR="003E5D85">
              <w:t>.0</w:t>
            </w:r>
          </w:p>
        </w:tc>
        <w:tc>
          <w:tcPr>
            <w:tcW w:w="1074" w:type="pct"/>
            <w:shd w:val="clear" w:color="auto" w:fill="auto"/>
          </w:tcPr>
          <w:p w14:paraId="03F59F4D" w14:textId="77777777" w:rsidR="00162AAF" w:rsidRPr="009549B3" w:rsidRDefault="00EB38E1" w:rsidP="004C6E6D">
            <w:pPr>
              <w:pStyle w:val="TableText"/>
              <w:tabs>
                <w:tab w:val="decimal" w:pos="922"/>
              </w:tabs>
            </w:pPr>
            <w:r w:rsidRPr="009549B3">
              <w:t>11.5</w:t>
            </w:r>
          </w:p>
        </w:tc>
        <w:tc>
          <w:tcPr>
            <w:tcW w:w="1074" w:type="pct"/>
            <w:shd w:val="clear" w:color="auto" w:fill="auto"/>
          </w:tcPr>
          <w:p w14:paraId="03F59F4E" w14:textId="77777777" w:rsidR="00162AAF" w:rsidRPr="009549B3" w:rsidRDefault="00EB38E1" w:rsidP="004C6E6D">
            <w:pPr>
              <w:pStyle w:val="TableText"/>
              <w:tabs>
                <w:tab w:val="decimal" w:pos="814"/>
              </w:tabs>
            </w:pPr>
            <w:r w:rsidRPr="009549B3">
              <w:t>2.4</w:t>
            </w:r>
          </w:p>
        </w:tc>
        <w:tc>
          <w:tcPr>
            <w:tcW w:w="1074" w:type="pct"/>
            <w:shd w:val="clear" w:color="auto" w:fill="auto"/>
          </w:tcPr>
          <w:p w14:paraId="03F59F4F" w14:textId="77777777" w:rsidR="00162AAF" w:rsidRPr="009549B3" w:rsidRDefault="00EB38E1" w:rsidP="004C6E6D">
            <w:pPr>
              <w:pStyle w:val="TableText"/>
              <w:tabs>
                <w:tab w:val="decimal" w:pos="852"/>
              </w:tabs>
            </w:pPr>
            <w:r w:rsidRPr="009549B3">
              <w:t>6.2</w:t>
            </w:r>
          </w:p>
        </w:tc>
      </w:tr>
      <w:tr w:rsidR="0054058D" w14:paraId="03F59F56" w14:textId="77777777" w:rsidTr="00B939B4">
        <w:trPr>
          <w:cantSplit/>
        </w:trPr>
        <w:tc>
          <w:tcPr>
            <w:tcW w:w="703" w:type="pct"/>
            <w:tcBorders>
              <w:bottom w:val="single" w:sz="4" w:space="0" w:color="000000"/>
            </w:tcBorders>
            <w:shd w:val="clear" w:color="auto" w:fill="auto"/>
          </w:tcPr>
          <w:p w14:paraId="03F59F51" w14:textId="57C19D2D" w:rsidR="00162AAF" w:rsidRPr="009549B3" w:rsidRDefault="000D278D" w:rsidP="00B939B4">
            <w:pPr>
              <w:pStyle w:val="TableText"/>
              <w:rPr>
                <w:vertAlign w:val="superscript"/>
              </w:rPr>
            </w:pPr>
            <w:proofErr w:type="spellStart"/>
            <w:r>
              <w:t>Poultry</w:t>
            </w:r>
            <w:r w:rsidR="00EB38E1" w:rsidRPr="00E62425">
              <w:rPr>
                <w:rStyle w:val="Strong"/>
                <w:vertAlign w:val="superscript"/>
              </w:rPr>
              <w:t>a</w:t>
            </w:r>
            <w:proofErr w:type="spellEnd"/>
          </w:p>
        </w:tc>
        <w:tc>
          <w:tcPr>
            <w:tcW w:w="1074" w:type="pct"/>
            <w:tcBorders>
              <w:bottom w:val="single" w:sz="4" w:space="0" w:color="000000"/>
            </w:tcBorders>
            <w:shd w:val="clear" w:color="auto" w:fill="auto"/>
          </w:tcPr>
          <w:p w14:paraId="03F59F52" w14:textId="77777777" w:rsidR="00162AAF" w:rsidRPr="009549B3" w:rsidRDefault="00EB38E1" w:rsidP="004C6E6D">
            <w:pPr>
              <w:pStyle w:val="TableText"/>
              <w:tabs>
                <w:tab w:val="decimal" w:pos="883"/>
              </w:tabs>
            </w:pPr>
            <w:r w:rsidRPr="009549B3">
              <w:t>2.8</w:t>
            </w:r>
          </w:p>
        </w:tc>
        <w:tc>
          <w:tcPr>
            <w:tcW w:w="1074" w:type="pct"/>
            <w:tcBorders>
              <w:bottom w:val="single" w:sz="4" w:space="0" w:color="000000"/>
            </w:tcBorders>
            <w:shd w:val="clear" w:color="auto" w:fill="auto"/>
          </w:tcPr>
          <w:p w14:paraId="03F59F53" w14:textId="77777777" w:rsidR="00162AAF" w:rsidRPr="009549B3" w:rsidRDefault="00EB38E1" w:rsidP="004C6E6D">
            <w:pPr>
              <w:pStyle w:val="TableText"/>
              <w:tabs>
                <w:tab w:val="decimal" w:pos="922"/>
              </w:tabs>
            </w:pPr>
            <w:r w:rsidRPr="009549B3">
              <w:t>0.4</w:t>
            </w:r>
          </w:p>
        </w:tc>
        <w:tc>
          <w:tcPr>
            <w:tcW w:w="1074" w:type="pct"/>
            <w:tcBorders>
              <w:bottom w:val="single" w:sz="4" w:space="0" w:color="000000"/>
            </w:tcBorders>
            <w:shd w:val="clear" w:color="auto" w:fill="auto"/>
          </w:tcPr>
          <w:p w14:paraId="03F59F54" w14:textId="77777777" w:rsidR="00162AAF" w:rsidRPr="009549B3" w:rsidRDefault="00EB38E1" w:rsidP="004C6E6D">
            <w:pPr>
              <w:pStyle w:val="TableText"/>
              <w:tabs>
                <w:tab w:val="decimal" w:pos="814"/>
              </w:tabs>
            </w:pPr>
            <w:r w:rsidRPr="009549B3">
              <w:t>0.15</w:t>
            </w:r>
          </w:p>
        </w:tc>
        <w:tc>
          <w:tcPr>
            <w:tcW w:w="1074" w:type="pct"/>
            <w:tcBorders>
              <w:bottom w:val="single" w:sz="4" w:space="0" w:color="000000"/>
            </w:tcBorders>
            <w:shd w:val="clear" w:color="auto" w:fill="auto"/>
          </w:tcPr>
          <w:p w14:paraId="03F59F55" w14:textId="77777777" w:rsidR="00162AAF" w:rsidRPr="009549B3" w:rsidRDefault="00EB38E1" w:rsidP="004C6E6D">
            <w:pPr>
              <w:pStyle w:val="TableText"/>
              <w:tabs>
                <w:tab w:val="decimal" w:pos="852"/>
              </w:tabs>
            </w:pPr>
            <w:r w:rsidRPr="009549B3">
              <w:t>11.3</w:t>
            </w:r>
          </w:p>
        </w:tc>
      </w:tr>
      <w:tr w:rsidR="0054058D" w14:paraId="03F59F5C" w14:textId="77777777" w:rsidTr="00B939B4">
        <w:trPr>
          <w:cantSplit/>
        </w:trPr>
        <w:tc>
          <w:tcPr>
            <w:tcW w:w="703" w:type="pct"/>
            <w:tcBorders>
              <w:bottom w:val="single" w:sz="12" w:space="0" w:color="000000"/>
            </w:tcBorders>
            <w:shd w:val="clear" w:color="auto" w:fill="auto"/>
          </w:tcPr>
          <w:p w14:paraId="03F59F57" w14:textId="0324ED45" w:rsidR="00162AAF" w:rsidRPr="009549B3" w:rsidRDefault="00EB38E1" w:rsidP="00B939B4">
            <w:pPr>
              <w:pStyle w:val="TableText"/>
            </w:pPr>
            <w:r w:rsidRPr="009549B3">
              <w:t>Horse</w:t>
            </w:r>
            <w:r w:rsidR="00F21AE9">
              <w:t>s</w:t>
            </w:r>
          </w:p>
        </w:tc>
        <w:tc>
          <w:tcPr>
            <w:tcW w:w="1074" w:type="pct"/>
            <w:tcBorders>
              <w:bottom w:val="single" w:sz="12" w:space="0" w:color="000000"/>
            </w:tcBorders>
            <w:shd w:val="clear" w:color="auto" w:fill="auto"/>
          </w:tcPr>
          <w:p w14:paraId="03F59F58" w14:textId="38848283" w:rsidR="00162AAF" w:rsidRPr="009549B3" w:rsidRDefault="00EB38E1" w:rsidP="004C6E6D">
            <w:pPr>
              <w:pStyle w:val="TableText"/>
              <w:tabs>
                <w:tab w:val="decimal" w:pos="883"/>
              </w:tabs>
            </w:pPr>
            <w:r w:rsidRPr="009549B3">
              <w:t>600</w:t>
            </w:r>
            <w:r w:rsidR="003E5D85">
              <w:t>.0</w:t>
            </w:r>
          </w:p>
        </w:tc>
        <w:tc>
          <w:tcPr>
            <w:tcW w:w="1074" w:type="pct"/>
            <w:tcBorders>
              <w:bottom w:val="single" w:sz="12" w:space="0" w:color="000000"/>
            </w:tcBorders>
            <w:shd w:val="clear" w:color="auto" w:fill="auto"/>
          </w:tcPr>
          <w:p w14:paraId="03F59F59" w14:textId="5ECDF245" w:rsidR="00162AAF" w:rsidRPr="009549B3" w:rsidRDefault="00EB38E1" w:rsidP="004C6E6D">
            <w:pPr>
              <w:pStyle w:val="TableText"/>
              <w:tabs>
                <w:tab w:val="decimal" w:pos="922"/>
              </w:tabs>
            </w:pPr>
            <w:r w:rsidRPr="009549B3">
              <w:t>70</w:t>
            </w:r>
            <w:r w:rsidR="003E5D85">
              <w:t>.0</w:t>
            </w:r>
          </w:p>
        </w:tc>
        <w:tc>
          <w:tcPr>
            <w:tcW w:w="1074" w:type="pct"/>
            <w:tcBorders>
              <w:bottom w:val="single" w:sz="12" w:space="0" w:color="000000"/>
            </w:tcBorders>
            <w:shd w:val="clear" w:color="auto" w:fill="auto"/>
          </w:tcPr>
          <w:p w14:paraId="03F59F5A" w14:textId="28987E2D" w:rsidR="00162AAF" w:rsidRPr="009549B3" w:rsidRDefault="00EB38E1" w:rsidP="004C6E6D">
            <w:pPr>
              <w:pStyle w:val="TableText"/>
              <w:tabs>
                <w:tab w:val="decimal" w:pos="814"/>
              </w:tabs>
            </w:pPr>
            <w:r w:rsidRPr="009549B3">
              <w:t>20</w:t>
            </w:r>
            <w:r w:rsidR="003E5D85">
              <w:t>.0</w:t>
            </w:r>
          </w:p>
        </w:tc>
        <w:tc>
          <w:tcPr>
            <w:tcW w:w="1074" w:type="pct"/>
            <w:tcBorders>
              <w:bottom w:val="single" w:sz="12" w:space="0" w:color="000000"/>
            </w:tcBorders>
            <w:shd w:val="clear" w:color="auto" w:fill="auto"/>
          </w:tcPr>
          <w:p w14:paraId="03F59F5B" w14:textId="77777777" w:rsidR="00162AAF" w:rsidRPr="009549B3" w:rsidRDefault="00EB38E1" w:rsidP="004C6E6D">
            <w:pPr>
              <w:pStyle w:val="TableText"/>
              <w:tabs>
                <w:tab w:val="decimal" w:pos="852"/>
              </w:tabs>
            </w:pPr>
            <w:r w:rsidRPr="009549B3">
              <w:t>8.6</w:t>
            </w:r>
          </w:p>
        </w:tc>
      </w:tr>
    </w:tbl>
    <w:p w14:paraId="03F59F5D" w14:textId="39B7B38B" w:rsidR="00162AAF" w:rsidRDefault="00EB38E1" w:rsidP="00C1087A">
      <w:pPr>
        <w:pStyle w:val="FigureTableNoteSource"/>
        <w:rPr>
          <w:highlight w:val="yellow"/>
        </w:rPr>
      </w:pPr>
      <w:r w:rsidRPr="00E62425">
        <w:rPr>
          <w:rStyle w:val="Strong"/>
        </w:rPr>
        <w:t>a</w:t>
      </w:r>
      <w:r w:rsidRPr="00A71748">
        <w:t xml:space="preserve"> </w:t>
      </w:r>
      <w:r w:rsidR="000D278D">
        <w:t>Calculated for chickens; a</w:t>
      </w:r>
      <w:r w:rsidRPr="00A71748">
        <w:t>ll poultry have a similar body weight</w:t>
      </w:r>
      <w:r w:rsidR="0019216B">
        <w:t xml:space="preserve"> to </w:t>
      </w:r>
      <w:r w:rsidRPr="00A71748">
        <w:t>water intake ratio</w:t>
      </w:r>
      <w:r w:rsidR="0019216B">
        <w:t>;</w:t>
      </w:r>
      <w:r w:rsidRPr="00A71748">
        <w:t xml:space="preserve"> hence</w:t>
      </w:r>
      <w:r w:rsidR="0019216B">
        <w:t>,</w:t>
      </w:r>
      <w:r w:rsidRPr="00A71748">
        <w:t xml:space="preserve"> these values represent all poultry.</w:t>
      </w:r>
    </w:p>
    <w:p w14:paraId="03F59F5E" w14:textId="68FFC982" w:rsidR="00A71748" w:rsidRDefault="00EB38E1" w:rsidP="00C1087A">
      <w:r>
        <w:t>A value of 5</w:t>
      </w:r>
      <w:r w:rsidR="0036187F">
        <w:t> </w:t>
      </w:r>
      <w:r>
        <w:t xml:space="preserve">mg/L </w:t>
      </w:r>
      <w:r w:rsidR="00D655A1">
        <w:t xml:space="preserve">of boron </w:t>
      </w:r>
      <w:r>
        <w:t>has been proposed for livestock use in Canada (</w:t>
      </w:r>
      <w:r w:rsidRPr="00F91856">
        <w:t xml:space="preserve">CCREM </w:t>
      </w:r>
      <w:r w:rsidR="00BA465D">
        <w:t>2005</w:t>
      </w:r>
      <w:r w:rsidRPr="00F91856">
        <w:t xml:space="preserve">) </w:t>
      </w:r>
      <w:r>
        <w:t>and South Africa (DWAF 1996)</w:t>
      </w:r>
      <w:r w:rsidR="00380D15">
        <w:t>. A</w:t>
      </w:r>
      <w:r>
        <w:t xml:space="preserve">lthough </w:t>
      </w:r>
      <w:r w:rsidR="007D1E87">
        <w:t xml:space="preserve">this is </w:t>
      </w:r>
      <w:r>
        <w:t xml:space="preserve">somewhat contrary to evidence in Green and Weeth (1977), the values calculated </w:t>
      </w:r>
      <w:r w:rsidR="007D1E87">
        <w:t>in</w:t>
      </w:r>
      <w:r w:rsidR="007734BF">
        <w:t xml:space="preserve"> </w:t>
      </w:r>
      <w:r w:rsidR="007734BF">
        <w:fldChar w:fldCharType="begin"/>
      </w:r>
      <w:r w:rsidR="007734BF">
        <w:instrText xml:space="preserve"> REF _Ref84839658 \h </w:instrText>
      </w:r>
      <w:r w:rsidR="007734BF">
        <w:fldChar w:fldCharType="separate"/>
      </w:r>
      <w:r w:rsidR="0061517C">
        <w:t>Table 3.</w:t>
      </w:r>
      <w:r w:rsidR="007734BF">
        <w:fldChar w:fldCharType="end"/>
      </w:r>
      <w:r w:rsidR="00DD4049">
        <w:t>11</w:t>
      </w:r>
      <w:r w:rsidR="007D1E87">
        <w:t xml:space="preserve"> </w:t>
      </w:r>
      <w:r>
        <w:t xml:space="preserve">support </w:t>
      </w:r>
      <w:r w:rsidR="007D1E87">
        <w:t>the 5 mg/L</w:t>
      </w:r>
      <w:r>
        <w:t xml:space="preserve"> value.</w:t>
      </w:r>
    </w:p>
    <w:p w14:paraId="0B0D0BD0" w14:textId="77777777" w:rsidR="00AB45C1" w:rsidRDefault="00AB45C1">
      <w:pPr>
        <w:spacing w:after="0" w:line="240" w:lineRule="auto"/>
        <w:rPr>
          <w:rFonts w:ascii="Arial" w:eastAsiaTheme="majorEastAsia" w:hAnsi="Arial" w:cstheme="majorBidi"/>
          <w:iCs/>
          <w:color w:val="365F91" w:themeColor="accent1" w:themeShade="BF"/>
          <w:lang w:eastAsia="ja-JP"/>
        </w:rPr>
      </w:pPr>
      <w:bookmarkStart w:id="290" w:name="_Toc134441478"/>
      <w:bookmarkStart w:id="291" w:name="_Toc134441800"/>
      <w:bookmarkStart w:id="292" w:name="_Toc134442321"/>
      <w:bookmarkStart w:id="293" w:name="_Toc134442532"/>
      <w:bookmarkStart w:id="294" w:name="_Toc134441479"/>
      <w:bookmarkStart w:id="295" w:name="_Toc134441801"/>
      <w:bookmarkStart w:id="296" w:name="_Toc134442322"/>
      <w:bookmarkStart w:id="297" w:name="_Toc134442533"/>
      <w:bookmarkStart w:id="298" w:name="_Toc134442323"/>
      <w:bookmarkStart w:id="299" w:name="_Toc141704567"/>
      <w:bookmarkEnd w:id="290"/>
      <w:bookmarkEnd w:id="291"/>
      <w:bookmarkEnd w:id="292"/>
      <w:bookmarkEnd w:id="293"/>
      <w:bookmarkEnd w:id="294"/>
      <w:bookmarkEnd w:id="295"/>
      <w:bookmarkEnd w:id="296"/>
      <w:bookmarkEnd w:id="297"/>
      <w:r>
        <w:rPr>
          <w:lang w:eastAsia="ja-JP"/>
        </w:rPr>
        <w:br w:type="page"/>
      </w:r>
    </w:p>
    <w:p w14:paraId="03F59F5F" w14:textId="193B17CE" w:rsidR="00DC5F21" w:rsidRDefault="003A647C" w:rsidP="000C6B83">
      <w:pPr>
        <w:pStyle w:val="Heading4"/>
        <w:rPr>
          <w:lang w:eastAsia="ja-JP"/>
        </w:rPr>
      </w:pPr>
      <w:r>
        <w:rPr>
          <w:lang w:eastAsia="ja-JP"/>
        </w:rPr>
        <w:lastRenderedPageBreak/>
        <w:t>3.3.5</w:t>
      </w:r>
      <w:r>
        <w:rPr>
          <w:lang w:eastAsia="ja-JP"/>
        </w:rPr>
        <w:tab/>
      </w:r>
      <w:r w:rsidR="00EB38E1">
        <w:rPr>
          <w:lang w:eastAsia="ja-JP"/>
        </w:rPr>
        <w:t>Cadmium</w:t>
      </w:r>
      <w:bookmarkEnd w:id="298"/>
      <w:bookmarkEnd w:id="299"/>
    </w:p>
    <w:p w14:paraId="03F59F60" w14:textId="77777777" w:rsidR="00DC5F21" w:rsidRDefault="00EB38E1" w:rsidP="00FD2341">
      <w:pPr>
        <w:pStyle w:val="Sectionkeypoints"/>
      </w:pPr>
      <w:bookmarkStart w:id="300" w:name="_Hlk135129399"/>
      <w:r>
        <w:t>Total cadmium</w:t>
      </w:r>
      <w:r w:rsidR="002D2750">
        <w:t xml:space="preserve"> concentration</w:t>
      </w:r>
      <w:r>
        <w:t>s</w:t>
      </w:r>
      <w:r w:rsidR="002D2750">
        <w:t xml:space="preserve"> </w:t>
      </w:r>
      <w:r>
        <w:rPr>
          <w:rFonts w:cstheme="minorHAnsi"/>
        </w:rPr>
        <w:t>&gt;</w:t>
      </w:r>
      <w:r w:rsidR="002D2750">
        <w:t>0.01</w:t>
      </w:r>
      <w:r w:rsidR="00FD3B65">
        <w:t> </w:t>
      </w:r>
      <w:r w:rsidR="002D2750">
        <w:t xml:space="preserve">mg/L in </w:t>
      </w:r>
      <w:r w:rsidR="00A10C6B">
        <w:t xml:space="preserve">livestock </w:t>
      </w:r>
      <w:r w:rsidR="002D2750">
        <w:t>drinking water may be hazardous to animal health.</w:t>
      </w:r>
    </w:p>
    <w:bookmarkEnd w:id="300"/>
    <w:p w14:paraId="03F59F61" w14:textId="77777777" w:rsidR="00DC5F21" w:rsidRDefault="00EB38E1" w:rsidP="000C6B83">
      <w:pPr>
        <w:pStyle w:val="Heading5"/>
        <w:rPr>
          <w:lang w:eastAsia="ja-JP"/>
        </w:rPr>
      </w:pPr>
      <w:r>
        <w:rPr>
          <w:lang w:eastAsia="ja-JP"/>
        </w:rPr>
        <w:t>Source</w:t>
      </w:r>
    </w:p>
    <w:p w14:paraId="03F59F62" w14:textId="5C646F04" w:rsidR="00D23338" w:rsidRDefault="00EB38E1" w:rsidP="00D23338">
      <w:pPr>
        <w:rPr>
          <w:spacing w:val="-3"/>
          <w:lang w:val="en-GB"/>
        </w:rPr>
      </w:pPr>
      <w:r w:rsidRPr="0056438C">
        <w:rPr>
          <w:spacing w:val="-3"/>
          <w:lang w:val="en-GB"/>
        </w:rPr>
        <w:t xml:space="preserve">Cadmium </w:t>
      </w:r>
      <w:r w:rsidRPr="0056438C">
        <w:rPr>
          <w:lang w:val="en-GB"/>
        </w:rPr>
        <w:t xml:space="preserve">is readily </w:t>
      </w:r>
      <w:r w:rsidRPr="0056438C">
        <w:rPr>
          <w:spacing w:val="-3"/>
          <w:lang w:val="en-GB"/>
        </w:rPr>
        <w:t xml:space="preserve">soluble </w:t>
      </w:r>
      <w:r w:rsidRPr="0056438C">
        <w:rPr>
          <w:lang w:val="en-GB"/>
        </w:rPr>
        <w:t xml:space="preserve">in nitric acid, but only slowly </w:t>
      </w:r>
      <w:r w:rsidRPr="0056438C">
        <w:rPr>
          <w:spacing w:val="-3"/>
          <w:lang w:val="en-GB"/>
        </w:rPr>
        <w:t xml:space="preserve">soluble </w:t>
      </w:r>
      <w:r w:rsidRPr="0056438C">
        <w:rPr>
          <w:lang w:val="en-GB"/>
        </w:rPr>
        <w:t xml:space="preserve">in </w:t>
      </w:r>
      <w:r w:rsidRPr="0056438C">
        <w:rPr>
          <w:spacing w:val="-3"/>
          <w:lang w:val="en-GB"/>
        </w:rPr>
        <w:t xml:space="preserve">hydrochloric </w:t>
      </w:r>
      <w:r w:rsidRPr="0056438C">
        <w:rPr>
          <w:lang w:val="en-GB"/>
        </w:rPr>
        <w:t xml:space="preserve">and </w:t>
      </w:r>
      <w:r w:rsidRPr="0056438C">
        <w:rPr>
          <w:spacing w:val="-3"/>
          <w:lang w:val="en-GB"/>
        </w:rPr>
        <w:t>sul</w:t>
      </w:r>
      <w:r w:rsidR="00AF7A4B">
        <w:rPr>
          <w:spacing w:val="-3"/>
          <w:lang w:val="en-GB"/>
        </w:rPr>
        <w:t>f</w:t>
      </w:r>
      <w:r w:rsidRPr="0056438C">
        <w:rPr>
          <w:spacing w:val="-3"/>
          <w:lang w:val="en-GB"/>
        </w:rPr>
        <w:t xml:space="preserve">uric </w:t>
      </w:r>
      <w:r w:rsidRPr="0056438C">
        <w:rPr>
          <w:lang w:val="en-GB"/>
        </w:rPr>
        <w:t xml:space="preserve">acid </w:t>
      </w:r>
      <w:r w:rsidRPr="0056438C">
        <w:rPr>
          <w:spacing w:val="-2"/>
          <w:lang w:val="en-GB"/>
        </w:rPr>
        <w:t xml:space="preserve">and </w:t>
      </w:r>
      <w:r w:rsidRPr="0056438C">
        <w:rPr>
          <w:lang w:val="en-GB"/>
        </w:rPr>
        <w:t xml:space="preserve">insoluble in basic </w:t>
      </w:r>
      <w:r w:rsidR="00AF7A4B">
        <w:rPr>
          <w:lang w:val="en-GB"/>
        </w:rPr>
        <w:t xml:space="preserve">(alkaline) </w:t>
      </w:r>
      <w:r w:rsidRPr="0056438C">
        <w:rPr>
          <w:lang w:val="en-GB"/>
        </w:rPr>
        <w:t xml:space="preserve">solutions. Salts of </w:t>
      </w:r>
      <w:r w:rsidRPr="0056438C">
        <w:rPr>
          <w:spacing w:val="-3"/>
          <w:lang w:val="en-GB"/>
        </w:rPr>
        <w:t xml:space="preserve">cadmium </w:t>
      </w:r>
      <w:r w:rsidRPr="0056438C">
        <w:rPr>
          <w:lang w:val="en-GB"/>
        </w:rPr>
        <w:t xml:space="preserve">with strong acids are readily soluble in </w:t>
      </w:r>
      <w:r w:rsidRPr="0056438C">
        <w:rPr>
          <w:spacing w:val="-3"/>
          <w:lang w:val="en-GB"/>
        </w:rPr>
        <w:t xml:space="preserve">water, whereas cadmium </w:t>
      </w:r>
      <w:proofErr w:type="spellStart"/>
      <w:r w:rsidRPr="0056438C">
        <w:rPr>
          <w:spacing w:val="-3"/>
          <w:lang w:val="en-GB"/>
        </w:rPr>
        <w:t>sul</w:t>
      </w:r>
      <w:r w:rsidR="00AF7A4B">
        <w:rPr>
          <w:spacing w:val="-3"/>
          <w:lang w:val="en-GB"/>
        </w:rPr>
        <w:t>f</w:t>
      </w:r>
      <w:r w:rsidRPr="0056438C">
        <w:rPr>
          <w:spacing w:val="-3"/>
          <w:lang w:val="en-GB"/>
        </w:rPr>
        <w:t>ide</w:t>
      </w:r>
      <w:proofErr w:type="spellEnd"/>
      <w:r w:rsidRPr="0056438C">
        <w:rPr>
          <w:spacing w:val="-3"/>
          <w:lang w:val="en-GB"/>
        </w:rPr>
        <w:t xml:space="preserve">, </w:t>
      </w:r>
      <w:r w:rsidRPr="0056438C">
        <w:rPr>
          <w:lang w:val="en-GB"/>
        </w:rPr>
        <w:t xml:space="preserve">carbonate, </w:t>
      </w:r>
      <w:proofErr w:type="gramStart"/>
      <w:r w:rsidRPr="0056438C">
        <w:rPr>
          <w:spacing w:val="-3"/>
          <w:lang w:val="en-GB"/>
        </w:rPr>
        <w:t>fluoride</w:t>
      </w:r>
      <w:proofErr w:type="gramEnd"/>
      <w:r w:rsidRPr="0056438C">
        <w:rPr>
          <w:spacing w:val="-3"/>
          <w:lang w:val="en-GB"/>
        </w:rPr>
        <w:t xml:space="preserve"> </w:t>
      </w:r>
      <w:r w:rsidRPr="0056438C">
        <w:rPr>
          <w:lang w:val="en-GB"/>
        </w:rPr>
        <w:t xml:space="preserve">and </w:t>
      </w:r>
      <w:r w:rsidRPr="0056438C">
        <w:rPr>
          <w:spacing w:val="-3"/>
          <w:lang w:val="en-GB"/>
        </w:rPr>
        <w:t xml:space="preserve">hydroxide </w:t>
      </w:r>
      <w:r w:rsidRPr="0056438C">
        <w:rPr>
          <w:lang w:val="en-GB"/>
        </w:rPr>
        <w:t xml:space="preserve">are less </w:t>
      </w:r>
      <w:r w:rsidRPr="0056438C">
        <w:rPr>
          <w:spacing w:val="-3"/>
          <w:lang w:val="en-GB"/>
        </w:rPr>
        <w:t xml:space="preserve">soluble. </w:t>
      </w:r>
      <w:r w:rsidRPr="0056438C">
        <w:rPr>
          <w:spacing w:val="-4"/>
          <w:lang w:val="en-GB"/>
        </w:rPr>
        <w:t xml:space="preserve">In </w:t>
      </w:r>
      <w:r w:rsidRPr="0056438C">
        <w:rPr>
          <w:lang w:val="en-GB"/>
        </w:rPr>
        <w:t xml:space="preserve">the </w:t>
      </w:r>
      <w:r w:rsidRPr="0056438C">
        <w:rPr>
          <w:spacing w:val="-3"/>
          <w:lang w:val="en-GB"/>
        </w:rPr>
        <w:t xml:space="preserve">presence </w:t>
      </w:r>
      <w:r w:rsidRPr="0056438C">
        <w:rPr>
          <w:lang w:val="en-GB"/>
        </w:rPr>
        <w:t xml:space="preserve">of </w:t>
      </w:r>
      <w:r w:rsidRPr="0056438C">
        <w:rPr>
          <w:spacing w:val="-3"/>
          <w:lang w:val="en-GB"/>
        </w:rPr>
        <w:t xml:space="preserve">organic material, cadmium </w:t>
      </w:r>
      <w:r w:rsidRPr="0056438C">
        <w:rPr>
          <w:lang w:val="en-GB"/>
        </w:rPr>
        <w:t xml:space="preserve">has a </w:t>
      </w:r>
      <w:r w:rsidRPr="0056438C">
        <w:rPr>
          <w:spacing w:val="-3"/>
          <w:lang w:val="en-GB"/>
        </w:rPr>
        <w:t xml:space="preserve">high </w:t>
      </w:r>
      <w:r w:rsidRPr="0056438C">
        <w:rPr>
          <w:lang w:val="en-GB"/>
        </w:rPr>
        <w:t xml:space="preserve">affinity for thiol and </w:t>
      </w:r>
      <w:r w:rsidRPr="0056438C">
        <w:rPr>
          <w:spacing w:val="-3"/>
          <w:lang w:val="en-GB"/>
        </w:rPr>
        <w:t xml:space="preserve">hydroxyl groups, </w:t>
      </w:r>
      <w:r w:rsidRPr="0056438C">
        <w:rPr>
          <w:lang w:val="en-GB"/>
        </w:rPr>
        <w:t xml:space="preserve">for </w:t>
      </w:r>
      <w:r w:rsidRPr="0056438C">
        <w:rPr>
          <w:spacing w:val="-3"/>
          <w:lang w:val="en-GB"/>
        </w:rPr>
        <w:t xml:space="preserve">example, proteins, </w:t>
      </w:r>
      <w:proofErr w:type="gramStart"/>
      <w:r w:rsidRPr="0056438C">
        <w:rPr>
          <w:spacing w:val="-4"/>
          <w:lang w:val="en-GB"/>
        </w:rPr>
        <w:t>enzymes</w:t>
      </w:r>
      <w:proofErr w:type="gramEnd"/>
      <w:r w:rsidRPr="0056438C">
        <w:rPr>
          <w:spacing w:val="-4"/>
          <w:lang w:val="en-GB"/>
        </w:rPr>
        <w:t xml:space="preserve"> </w:t>
      </w:r>
      <w:r w:rsidRPr="0056438C">
        <w:rPr>
          <w:lang w:val="en-GB"/>
        </w:rPr>
        <w:t xml:space="preserve">and </w:t>
      </w:r>
      <w:r w:rsidRPr="0056438C">
        <w:rPr>
          <w:spacing w:val="-3"/>
          <w:lang w:val="en-GB"/>
        </w:rPr>
        <w:t xml:space="preserve">other </w:t>
      </w:r>
      <w:r w:rsidRPr="0056438C">
        <w:rPr>
          <w:lang w:val="en-GB"/>
        </w:rPr>
        <w:t xml:space="preserve">essential </w:t>
      </w:r>
      <w:r w:rsidRPr="0056438C">
        <w:rPr>
          <w:spacing w:val="-4"/>
          <w:lang w:val="en-GB"/>
        </w:rPr>
        <w:t xml:space="preserve">compounds (Scott-Fordsmand </w:t>
      </w:r>
      <w:r w:rsidRPr="0056438C">
        <w:rPr>
          <w:lang w:val="en-GB"/>
        </w:rPr>
        <w:t xml:space="preserve">&amp; </w:t>
      </w:r>
      <w:r>
        <w:rPr>
          <w:spacing w:val="-3"/>
          <w:lang w:val="en-GB"/>
        </w:rPr>
        <w:t>Pedersen,</w:t>
      </w:r>
      <w:r w:rsidRPr="0056438C">
        <w:rPr>
          <w:spacing w:val="-14"/>
          <w:lang w:val="en-GB"/>
        </w:rPr>
        <w:t xml:space="preserve"> </w:t>
      </w:r>
      <w:r w:rsidRPr="0056438C">
        <w:rPr>
          <w:spacing w:val="-3"/>
          <w:lang w:val="en-GB"/>
        </w:rPr>
        <w:t>1995).</w:t>
      </w:r>
    </w:p>
    <w:p w14:paraId="03F59F63" w14:textId="77777777" w:rsidR="007E5280" w:rsidRDefault="00EB38E1" w:rsidP="00C1087A">
      <w:r>
        <w:t>Cadmium concentrations in surface waters are usually extremely low (&lt;0.001</w:t>
      </w:r>
      <w:r w:rsidR="00504622">
        <w:t> </w:t>
      </w:r>
      <w:r>
        <w:t>mg/L). In unpolluted streams</w:t>
      </w:r>
      <w:r w:rsidR="00A10C6B">
        <w:t>,</w:t>
      </w:r>
      <w:r>
        <w:t xml:space="preserve"> cadmium occurs predominantly in association with suspended particulate matter, rather than in a dissolved state.</w:t>
      </w:r>
    </w:p>
    <w:p w14:paraId="03F59F64" w14:textId="77777777" w:rsidR="007E5280" w:rsidRDefault="00EB38E1" w:rsidP="00C1087A">
      <w:r>
        <w:t xml:space="preserve">Concentrations of cadmium in groundwaters may be slightly higher in some </w:t>
      </w:r>
      <w:r w:rsidRPr="00001218">
        <w:t>areas (Fergusson 1990).</w:t>
      </w:r>
    </w:p>
    <w:p w14:paraId="03F59F65" w14:textId="77777777" w:rsidR="00DC5F21" w:rsidRDefault="00EB38E1" w:rsidP="00C1087A">
      <w:r>
        <w:t xml:space="preserve">Industrial wastewater, metallurgical industries and fertilisers </w:t>
      </w:r>
      <w:r w:rsidR="00097510">
        <w:t xml:space="preserve">that </w:t>
      </w:r>
      <w:r>
        <w:t>contain cadmium as an impurity can be sources of cadmium released into the environment. Corrosion of galvanised tanks</w:t>
      </w:r>
      <w:r w:rsidR="00097510">
        <w:t>,</w:t>
      </w:r>
      <w:r>
        <w:t xml:space="preserve"> pipes and solders can contaminate water supplies with cadmium.</w:t>
      </w:r>
      <w:r w:rsidR="007E5280" w:rsidRPr="007E5280">
        <w:t xml:space="preserve"> </w:t>
      </w:r>
      <w:r w:rsidR="007E5280">
        <w:t>The solubility of cadmium in water increases with decreasing pH (increasing acidity).</w:t>
      </w:r>
    </w:p>
    <w:p w14:paraId="03F59F66" w14:textId="77777777" w:rsidR="00131E39" w:rsidRDefault="00EB38E1" w:rsidP="000C6B83">
      <w:pPr>
        <w:pStyle w:val="Heading5"/>
        <w:rPr>
          <w:lang w:eastAsia="ja-JP"/>
        </w:rPr>
      </w:pPr>
      <w:r>
        <w:rPr>
          <w:lang w:eastAsia="ja-JP"/>
        </w:rPr>
        <w:t>Effects on a</w:t>
      </w:r>
      <w:r w:rsidRPr="004508FF">
        <w:rPr>
          <w:lang w:eastAsia="ja-JP"/>
        </w:rPr>
        <w:t>nimal health</w:t>
      </w:r>
    </w:p>
    <w:p w14:paraId="03F59F67" w14:textId="77777777" w:rsidR="00DC5F21" w:rsidRDefault="00EB38E1" w:rsidP="00C1087A">
      <w:r w:rsidRPr="0056438C">
        <w:rPr>
          <w:lang w:val="en-GB"/>
        </w:rPr>
        <w:t xml:space="preserve">Cadmium is toxic to both animals and plants at low concentrations. </w:t>
      </w:r>
      <w:r w:rsidR="002D2750">
        <w:t>Usually</w:t>
      </w:r>
      <w:r w:rsidR="00097510">
        <w:t>,</w:t>
      </w:r>
      <w:r w:rsidR="002D2750">
        <w:t xml:space="preserve"> only a small amount of the total cadmium intake by livestock comes from drinking water, with most coming from food. Nevertheless, cadmium concentrations in drinking water for livestock should be restricted because of its toxic and possibly teratogenic, </w:t>
      </w:r>
      <w:proofErr w:type="gramStart"/>
      <w:r w:rsidR="002D2750">
        <w:t>mutagenic</w:t>
      </w:r>
      <w:proofErr w:type="gramEnd"/>
      <w:r w:rsidR="002D2750">
        <w:t xml:space="preserve"> and carcinogenic </w:t>
      </w:r>
      <w:r w:rsidR="002D2750" w:rsidRPr="00F91856">
        <w:t>effects (CCREM 1987, CCME 1996).</w:t>
      </w:r>
    </w:p>
    <w:p w14:paraId="03F59F68" w14:textId="77777777" w:rsidR="007E5280" w:rsidRDefault="00EB38E1" w:rsidP="007E5280">
      <w:r>
        <w:t xml:space="preserve">Anaemia, abortions, </w:t>
      </w:r>
      <w:proofErr w:type="gramStart"/>
      <w:r>
        <w:t>stillbirths</w:t>
      </w:r>
      <w:proofErr w:type="gramEnd"/>
      <w:r>
        <w:t xml:space="preserve"> and reduced growth were observed in animals given cadmium in doses of 1–160 mg/kg (</w:t>
      </w:r>
      <w:r w:rsidRPr="00DD527C">
        <w:t>Supplee 1961, Powell</w:t>
      </w:r>
      <w:r w:rsidRPr="005C3A9D">
        <w:t xml:space="preserve"> et al. 1964, </w:t>
      </w:r>
      <w:r w:rsidRPr="00DC4A8A">
        <w:t xml:space="preserve">Miller et al. 1967, </w:t>
      </w:r>
      <w:r w:rsidRPr="003E1AEC">
        <w:t>Doyle et al. 1974).</w:t>
      </w:r>
    </w:p>
    <w:p w14:paraId="03F59F69" w14:textId="3162D3CA" w:rsidR="00DC5F21" w:rsidRDefault="00EB38E1" w:rsidP="00C1087A">
      <w:r w:rsidRPr="00DC4A8A">
        <w:t>Miller (1971) reported</w:t>
      </w:r>
      <w:r>
        <w:t xml:space="preserve"> that only a small part of the ingested cadmium in ruminants was absorbed, with most absorbed cadmium going to the kidney and liver. Taking into consideration the accumulation in liver and kidney and long-term exposure, NRC (1980) </w:t>
      </w:r>
      <w:r w:rsidR="00CF0172">
        <w:t xml:space="preserve">set </w:t>
      </w:r>
      <w:r>
        <w:t>a concentration of 0.5</w:t>
      </w:r>
      <w:r w:rsidR="00504622">
        <w:t> </w:t>
      </w:r>
      <w:r>
        <w:t>mg/kg as the maximum tolerable dietary intake</w:t>
      </w:r>
      <w:r w:rsidR="00030D29">
        <w:t xml:space="preserve">; </w:t>
      </w:r>
      <w:r w:rsidR="008B0833">
        <w:t>NRC (2005)</w:t>
      </w:r>
      <w:r w:rsidR="00030D29">
        <w:t xml:space="preserve"> increased</w:t>
      </w:r>
      <w:r w:rsidR="008B0833">
        <w:t xml:space="preserve"> this</w:t>
      </w:r>
      <w:r w:rsidR="00030D29">
        <w:t xml:space="preserve"> to 1</w:t>
      </w:r>
      <w:r w:rsidR="00FD209E">
        <w:t>0 mg/kg</w:t>
      </w:r>
      <w:r w:rsidR="008B0833">
        <w:t xml:space="preserve"> for all livestock</w:t>
      </w:r>
      <w:r w:rsidR="00FD209E">
        <w:t xml:space="preserve"> to recognise that the </w:t>
      </w:r>
      <w:r w:rsidR="00FD209E" w:rsidRPr="00B760DA">
        <w:t>1980 levels were based on human health concerns and not on toxicity to animals</w:t>
      </w:r>
      <w:r w:rsidR="008B0833">
        <w:t>.</w:t>
      </w:r>
    </w:p>
    <w:p w14:paraId="03F59F6A" w14:textId="77777777" w:rsidR="00DC5F21" w:rsidRDefault="00EB38E1" w:rsidP="00C1087A">
      <w:r>
        <w:t xml:space="preserve">Toxic concentrations of cadmium can be passed to the consumer if they </w:t>
      </w:r>
      <w:r w:rsidR="007A6B8D">
        <w:t>ingest</w:t>
      </w:r>
      <w:r>
        <w:t xml:space="preserve"> the liver and kidneys of livestock, because of</w:t>
      </w:r>
      <w:r w:rsidR="002D2750">
        <w:t xml:space="preserve"> the accumulation of cadmium in the</w:t>
      </w:r>
      <w:r>
        <w:t>se organs.</w:t>
      </w:r>
    </w:p>
    <w:p w14:paraId="03F59F6B" w14:textId="77777777" w:rsidR="00AD38A0" w:rsidRPr="00AD38A0" w:rsidRDefault="00EB38E1" w:rsidP="000C6B83">
      <w:pPr>
        <w:pStyle w:val="Heading5"/>
        <w:rPr>
          <w:lang w:eastAsia="ja-JP"/>
        </w:rPr>
      </w:pPr>
      <w:r w:rsidRPr="00AD38A0">
        <w:rPr>
          <w:lang w:eastAsia="ja-JP"/>
        </w:rPr>
        <w:t>Derivation of guideline values</w:t>
      </w:r>
    </w:p>
    <w:p w14:paraId="03F59F6C" w14:textId="6E379294" w:rsidR="00325DFC" w:rsidRDefault="00EB38E1" w:rsidP="00C1087A">
      <w:r>
        <w:t xml:space="preserve">The ANZECC (1992) guideline </w:t>
      </w:r>
      <w:r w:rsidR="00EB771C">
        <w:t xml:space="preserve">value of 0.01 mg/L </w:t>
      </w:r>
      <w:r>
        <w:t xml:space="preserve">for cadmium (based on </w:t>
      </w:r>
      <w:r w:rsidRPr="006B4623">
        <w:t xml:space="preserve">Hart 1982) </w:t>
      </w:r>
      <w:r>
        <w:t>has been retained until more information becomes available from animal feeding trials. Th</w:t>
      </w:r>
      <w:r w:rsidR="00EB771C">
        <w:t>is</w:t>
      </w:r>
      <w:r>
        <w:t xml:space="preserve"> value is consistent with guidelines developed for cadmium in South Africa (DWAF 1996)</w:t>
      </w:r>
      <w:r w:rsidR="00EB771C">
        <w:t>.</w:t>
      </w:r>
      <w:r>
        <w:t xml:space="preserve"> </w:t>
      </w:r>
      <w:r w:rsidR="00EB771C">
        <w:t>A</w:t>
      </w:r>
      <w:r>
        <w:t xml:space="preserve"> value of 0.08</w:t>
      </w:r>
      <w:r w:rsidR="000E1DA0">
        <w:t> </w:t>
      </w:r>
      <w:r>
        <w:t xml:space="preserve">mg/L </w:t>
      </w:r>
      <w:r w:rsidR="000F0434">
        <w:t>is</w:t>
      </w:r>
      <w:r>
        <w:t xml:space="preserve"> </w:t>
      </w:r>
      <w:r w:rsidR="000F0434">
        <w:t xml:space="preserve">recommended </w:t>
      </w:r>
      <w:r>
        <w:t>in Canada (</w:t>
      </w:r>
      <w:r w:rsidR="004C0CA0">
        <w:t xml:space="preserve">see </w:t>
      </w:r>
      <w:hyperlink r:id="rId38" w:history="1">
        <w:r w:rsidRPr="004C0CA0">
          <w:rPr>
            <w:rStyle w:val="Hyperlink"/>
          </w:rPr>
          <w:t xml:space="preserve">CCME </w:t>
        </w:r>
        <w:r w:rsidR="004C0CA0" w:rsidRPr="004C0CA0">
          <w:rPr>
            <w:rStyle w:val="Hyperlink"/>
          </w:rPr>
          <w:t>cadmium fact sheet</w:t>
        </w:r>
      </w:hyperlink>
      <w:r>
        <w:t>).</w:t>
      </w:r>
    </w:p>
    <w:p w14:paraId="0D6F8013" w14:textId="77777777" w:rsidR="00AB45C1" w:rsidRDefault="00AB45C1">
      <w:pPr>
        <w:spacing w:after="0" w:line="240" w:lineRule="auto"/>
        <w:rPr>
          <w:rFonts w:ascii="Arial" w:eastAsiaTheme="majorEastAsia" w:hAnsi="Arial" w:cstheme="majorBidi"/>
          <w:iCs/>
          <w:color w:val="365F91" w:themeColor="accent1" w:themeShade="BF"/>
          <w:lang w:eastAsia="ja-JP"/>
        </w:rPr>
      </w:pPr>
      <w:bookmarkStart w:id="301" w:name="_Toc134442326"/>
      <w:bookmarkStart w:id="302" w:name="_Toc141704568"/>
      <w:r>
        <w:rPr>
          <w:lang w:eastAsia="ja-JP"/>
        </w:rPr>
        <w:br w:type="page"/>
      </w:r>
    </w:p>
    <w:p w14:paraId="03F59F6D" w14:textId="22D2D62F" w:rsidR="00202A7D" w:rsidRPr="00D56ACA" w:rsidRDefault="003A647C" w:rsidP="000C6B83">
      <w:pPr>
        <w:pStyle w:val="Heading4"/>
        <w:rPr>
          <w:lang w:eastAsia="ja-JP"/>
        </w:rPr>
      </w:pPr>
      <w:r>
        <w:rPr>
          <w:lang w:eastAsia="ja-JP"/>
        </w:rPr>
        <w:lastRenderedPageBreak/>
        <w:t>3.3.6</w:t>
      </w:r>
      <w:r>
        <w:rPr>
          <w:lang w:eastAsia="ja-JP"/>
        </w:rPr>
        <w:tab/>
      </w:r>
      <w:r w:rsidR="00EB38E1" w:rsidRPr="00D56ACA">
        <w:rPr>
          <w:lang w:eastAsia="ja-JP"/>
        </w:rPr>
        <w:t>Chromium</w:t>
      </w:r>
      <w:bookmarkEnd w:id="301"/>
      <w:bookmarkEnd w:id="302"/>
    </w:p>
    <w:p w14:paraId="03F59F6E" w14:textId="2E6932F6" w:rsidR="00202A7D" w:rsidRDefault="00EB38E1">
      <w:pPr>
        <w:pStyle w:val="Sectionkeypoints"/>
      </w:pPr>
      <w:bookmarkStart w:id="303" w:name="_Hlk135129417"/>
      <w:proofErr w:type="gramStart"/>
      <w:r>
        <w:t>Chromium(</w:t>
      </w:r>
      <w:proofErr w:type="gramEnd"/>
      <w:r>
        <w:t>III) and chromium(VI) c</w:t>
      </w:r>
      <w:r w:rsidR="00DF6D7C">
        <w:t xml:space="preserve">oncentrations </w:t>
      </w:r>
      <w:r w:rsidR="002C481A">
        <w:rPr>
          <w:rFonts w:cstheme="minorHAnsi"/>
        </w:rPr>
        <w:t>&lt;</w:t>
      </w:r>
      <w:r w:rsidR="002D2750">
        <w:t>0.05</w:t>
      </w:r>
      <w:r w:rsidR="000E1DA0">
        <w:t> </w:t>
      </w:r>
      <w:r w:rsidR="002D2750">
        <w:t xml:space="preserve">mg/L in </w:t>
      </w:r>
      <w:r w:rsidR="00DF6D7C">
        <w:t xml:space="preserve">livestock </w:t>
      </w:r>
      <w:r w:rsidR="002D2750">
        <w:t xml:space="preserve">drinking water </w:t>
      </w:r>
      <w:r w:rsidR="001236BB">
        <w:t>should not be harmful to animal health.</w:t>
      </w:r>
    </w:p>
    <w:bookmarkEnd w:id="303"/>
    <w:p w14:paraId="03F59F6F" w14:textId="77777777" w:rsidR="00202A7D" w:rsidRDefault="00EB38E1" w:rsidP="000C6B83">
      <w:pPr>
        <w:pStyle w:val="Heading5"/>
        <w:rPr>
          <w:lang w:eastAsia="ja-JP"/>
        </w:rPr>
      </w:pPr>
      <w:r>
        <w:rPr>
          <w:lang w:eastAsia="ja-JP"/>
        </w:rPr>
        <w:t>Source</w:t>
      </w:r>
    </w:p>
    <w:p w14:paraId="03F59F70" w14:textId="77777777" w:rsidR="00D23338" w:rsidRDefault="00EB38E1" w:rsidP="00FD2341">
      <w:pPr>
        <w:rPr>
          <w:lang w:val="en-GB"/>
        </w:rPr>
      </w:pPr>
      <w:r>
        <w:t xml:space="preserve">Total chromium concentrations in natural unpolluted water are generally very low (&lt;0.025 mg/L) (Galvin 1996). </w:t>
      </w:r>
      <w:r w:rsidRPr="006E5437">
        <w:rPr>
          <w:lang w:val="en-GB"/>
        </w:rPr>
        <w:t>Most surface waters contain between 0.001 and 0.010</w:t>
      </w:r>
      <w:r w:rsidR="00C27135">
        <w:rPr>
          <w:lang w:val="en-GB"/>
        </w:rPr>
        <w:t> </w:t>
      </w:r>
      <w:r w:rsidRPr="006E5437">
        <w:rPr>
          <w:lang w:val="en-GB"/>
        </w:rPr>
        <w:t xml:space="preserve">mg/L of chromium </w:t>
      </w:r>
      <w:r w:rsidRPr="006E5437">
        <w:rPr>
          <w:lang w:val="en-GB"/>
        </w:rPr>
        <w:fldChar w:fldCharType="begin"/>
      </w:r>
      <w:r>
        <w:rPr>
          <w:lang w:val="en-GB"/>
        </w:rPr>
        <w:instrText xml:space="preserve"> ADDIN ZOTERO_ITEM CSL_CITATION {"citationID":"Kg5jwi1Y","properties":{"formattedCitation":"(WHO, 2003)","plainCitation":"(WHO, 2003)","noteIndex":0},"citationItems":[{"id":32930,"uris":["http://zotero.org/users/1938757/items/9APU3X7F"],"uri":["http://zotero.org/users/1938757/items/9APU3X7F"],"itemData":{"id":32930,"type":"report","event-place":"Geneva, Switzerland","number":"WHO/SDE/WSH/03.04/04","publisher":"World Health Organization","publisher-place":"Geneva, Switzerland","title":"Chromium in Drinking-water. Background document for development of WHO Guidelines for Drinking-water Quality.","URL":"https://www.who.int/water_sanitation_health/dwq/chemicals/chromium.pdf","author":[{"family":"WHO","given":""}],"issued":{"date-parts":[["2003"]]}}}],"schema":"https://github.com/citation-style-language/schema/raw/master/csl-citation.json"} </w:instrText>
      </w:r>
      <w:r w:rsidRPr="006E5437">
        <w:rPr>
          <w:lang w:val="en-GB"/>
        </w:rPr>
        <w:fldChar w:fldCharType="separate"/>
      </w:r>
      <w:r w:rsidRPr="007C2051">
        <w:rPr>
          <w:rFonts w:ascii="Calibri" w:hAnsi="Calibri" w:cs="Calibri"/>
        </w:rPr>
        <w:t>(WHO, 2003)</w:t>
      </w:r>
      <w:r w:rsidRPr="006E5437">
        <w:rPr>
          <w:lang w:val="en-GB"/>
        </w:rPr>
        <w:fldChar w:fldCharType="end"/>
      </w:r>
      <w:r w:rsidRPr="006E5437">
        <w:rPr>
          <w:lang w:val="en-GB"/>
        </w:rPr>
        <w:t>.</w:t>
      </w:r>
    </w:p>
    <w:p w14:paraId="03F59F71" w14:textId="77777777" w:rsidR="00D23338" w:rsidRPr="006E5437" w:rsidRDefault="00EB38E1" w:rsidP="00FD2341">
      <w:pPr>
        <w:rPr>
          <w:lang w:val="en-GB"/>
        </w:rPr>
      </w:pPr>
      <w:r>
        <w:t>Chromium occurs in the environment in 2 forms: trivalent chromium (</w:t>
      </w:r>
      <w:proofErr w:type="gramStart"/>
      <w:r>
        <w:t>chromium(</w:t>
      </w:r>
      <w:proofErr w:type="gramEnd"/>
      <w:r>
        <w:t xml:space="preserve">III)) and hexavalent chromium (chromium(VI)). </w:t>
      </w:r>
      <w:r w:rsidRPr="006E5437">
        <w:rPr>
          <w:lang w:val="en-GB"/>
        </w:rPr>
        <w:t xml:space="preserve">Studies in lake water showed that the ratio of chromium (III) to chromium (VI) is affected by the amount of organic matter and dissolved oxygen </w:t>
      </w:r>
      <w:r w:rsidRPr="006E5437">
        <w:rPr>
          <w:lang w:val="en-GB"/>
        </w:rPr>
        <w:fldChar w:fldCharType="begin"/>
      </w:r>
      <w:r>
        <w:rPr>
          <w:lang w:val="en-GB"/>
        </w:rPr>
        <w:instrText xml:space="preserve"> ADDIN ZOTERO_ITEM CSL_CITATION {"citationID":"0n0OxTCh","properties":{"formattedCitation":"(ANZG, 2021)","plainCitation":"(ANZG, 2021)","noteIndex":0},"citationItems":[{"id":32931,"uris":["http://zotero.org/users/1938757/items/25JWBDWJ"],"uri":["http://zotero.org/users/1938757/items/25JWBDWJ"],"itemData":{"id":32931,"type":"report","abstract":"ANZG 2021 Australian and New Zealand Guidelines for Fresh and Marine Water Quality. Australian and New Zealand Governments and Australian state and territory governments, Canberra ACT, Australia.  Available at www.waterquality.gov.au/anz-guidelines","event-place":"Canberra, Australia","note":"http://www.waterquality.gov.au/anz-guidelines/resources/key-concepts/indicators#ecosystem-receptors\nSearch...\nhttps://www.waterquality.gov.au/anz-guidelines/guideline-values/default/water-quality-toxicants/search\n\nwww.waterquality.gov.au/anz-guidelines","publisher":"Australian and New Zealand Governments and Australian state and territory governments,","publisher-place":"Canberra, Australia","title":"Australian and New Zealand Guidelines for Fresh and Marine Water Quality. Toxicant default guideline values for protecting aquatic ecosystems","URL":"http://www.waterquality.gov.au/anz-guidelines","author":[{"family":"ANZG","given":""}],"accessed":{"date-parts":[["2021",3,1]]},"issued":{"date-parts":[["2021"]]}}}],"schema":"https://github.com/citation-style-language/schema/raw/master/csl-citation.json"} </w:instrText>
      </w:r>
      <w:r w:rsidRPr="006E5437">
        <w:rPr>
          <w:lang w:val="en-GB"/>
        </w:rPr>
        <w:fldChar w:fldCharType="separate"/>
      </w:r>
      <w:r w:rsidRPr="007C2051">
        <w:rPr>
          <w:rFonts w:ascii="Calibri" w:hAnsi="Calibri" w:cs="Calibri"/>
        </w:rPr>
        <w:t>(ANZG, 2021)</w:t>
      </w:r>
      <w:r w:rsidRPr="006E5437">
        <w:rPr>
          <w:lang w:val="en-GB"/>
        </w:rPr>
        <w:fldChar w:fldCharType="end"/>
      </w:r>
      <w:r w:rsidRPr="006E5437">
        <w:rPr>
          <w:lang w:val="en-GB"/>
        </w:rPr>
        <w:t>.</w:t>
      </w:r>
    </w:p>
    <w:p w14:paraId="03F59F72" w14:textId="77777777" w:rsidR="00D23338" w:rsidRDefault="00EB38E1" w:rsidP="00C1087A">
      <w:r w:rsidRPr="006E5437">
        <w:rPr>
          <w:lang w:val="en-GB"/>
        </w:rPr>
        <w:t xml:space="preserve">In general, the chromium content of surface waters reflects the extent of industrial activity. </w:t>
      </w:r>
      <w:r>
        <w:t>Chromium may enter water supplies through the waste of various industrial processes in which it is used</w:t>
      </w:r>
      <w:r w:rsidR="00317004">
        <w:t xml:space="preserve"> (</w:t>
      </w:r>
      <w:r w:rsidR="00317004" w:rsidRPr="006E5437">
        <w:rPr>
          <w:lang w:val="en-GB"/>
        </w:rPr>
        <w:t xml:space="preserve">alloy, tanning, textile dyes, pigments, glazes and treated timber) </w:t>
      </w:r>
      <w:r w:rsidR="00317004" w:rsidRPr="006E5437">
        <w:rPr>
          <w:lang w:val="en-GB"/>
        </w:rPr>
        <w:fldChar w:fldCharType="begin"/>
      </w:r>
      <w:r w:rsidR="00317004">
        <w:rPr>
          <w:lang w:val="en-GB"/>
        </w:rPr>
        <w:instrText xml:space="preserve"> ADDIN ZOTERO_ITEM CSL_CITATION {"citationID":"25DK7FFp","properties":{"formattedCitation":"(Subramanian et al., 2003)","plainCitation":"(Subramanian et al., 2003)","noteIndex":0},"citationItems":[{"id":32932,"uris":["http://zotero.org/users/1938757/items/AL8HPWV6"],"uri":["http://zotero.org/users/1938757/items/AL8HPWV6"],"itemData":{"id":32932,"type":"article-journal","abstract":"Worldwide chromium contamination of soils has arisen predominantly from the common practice of land-based disposal of tannery wastes under the assumption that the dominant species in the tannery waste would be the thermodynamically stable Cr(III) species. However, significant levels of toxic Cr(VI) recently detected in surface water and groundwater in India, China, Australia, and elsewhere raise critical questions relating to current disposal criteria for Cr-containing wastes. It now appears that despite the thermodynamic stability of Cr(III), the presence of certain naturally occurring minerals, especially Mn oxides, can enhance oxidation of Cr(III) to Cr(VI) in the soil environment. This factor is of public concern because at high pH, Cr(VI) is bioavailable, and it is this form that is highly mobile and therefore poses the greatest risk of groundwater contamination.\nA review of the current literature indicates that extensive research has been performed on the speciation of Cr in soil, the effect of pH on soil solution concentrations of Cr(III) and Cr(VI), soil adsorption phenomenon of Cr species, redox reactions, and transformation of Cr(III) and Cr(VI) together with remediation strategies to decontaminate Cr-contaminated soils. Most of the studies were conducted using an uncontaminated soil artificially spiked with Cr, and very limited research has been conducted in the contaminated soil environment. Furthermore, studies on tannery waste contaminated soils are limited, and obviously a serious gap of knowledge exists in understanding the influence of long-term tannery waste contamination on Cr behavior in soil.","container-title":"Reviews of environmental contamination and toxicology","DOI":"10.1007/0-387-21728-2_3","ISSN":"978-0-387-00441-9","journalAbbreviation":"Reviews of environmental contamination and toxicology","page":"53-91","source":"ResearchGate","title":"Chemistry of Chromium in Soils with Emphasis on Tannery Waste Sites","volume":"178","author":[{"family":"Subramanian","given":"Avudainayagam"},{"family":"Mallavarapu","given":"Megharaj"},{"family":"Owens","given":"Gary"},{"family":"Kookana","given":"Rai"},{"family":"Chittleborough","given":"D"},{"family":"Naidu","given":"Ravi"}],"issued":{"date-parts":[["2003",2,1]]}}}],"schema":"https://github.com/citation-style-language/schema/raw/master/csl-citation.json"} </w:instrText>
      </w:r>
      <w:r w:rsidR="00317004" w:rsidRPr="006E5437">
        <w:rPr>
          <w:lang w:val="en-GB"/>
        </w:rPr>
        <w:fldChar w:fldCharType="separate"/>
      </w:r>
      <w:r w:rsidR="00317004" w:rsidRPr="007C2051">
        <w:rPr>
          <w:rFonts w:ascii="Calibri" w:hAnsi="Calibri" w:cs="Calibri"/>
        </w:rPr>
        <w:t>(Subramanian et al., 2003)</w:t>
      </w:r>
      <w:r w:rsidR="00317004" w:rsidRPr="006E5437">
        <w:rPr>
          <w:lang w:val="en-GB"/>
        </w:rPr>
        <w:fldChar w:fldCharType="end"/>
      </w:r>
      <w:r w:rsidR="00317004" w:rsidRPr="006E5437">
        <w:rPr>
          <w:lang w:val="en-GB"/>
        </w:rPr>
        <w:t>.</w:t>
      </w:r>
    </w:p>
    <w:p w14:paraId="03F59F73" w14:textId="77777777" w:rsidR="00131E39" w:rsidRDefault="00EB38E1" w:rsidP="000C6B83">
      <w:pPr>
        <w:pStyle w:val="Heading5"/>
        <w:rPr>
          <w:lang w:eastAsia="ja-JP"/>
        </w:rPr>
      </w:pPr>
      <w:r>
        <w:rPr>
          <w:lang w:eastAsia="ja-JP"/>
        </w:rPr>
        <w:t>Effects on a</w:t>
      </w:r>
      <w:r w:rsidRPr="004508FF">
        <w:rPr>
          <w:lang w:eastAsia="ja-JP"/>
        </w:rPr>
        <w:t>nimal health</w:t>
      </w:r>
    </w:p>
    <w:p w14:paraId="03F59F74" w14:textId="31F9ABD9" w:rsidR="006E4555" w:rsidRDefault="00EB38E1" w:rsidP="00C1087A">
      <w:proofErr w:type="gramStart"/>
      <w:r>
        <w:t>C</w:t>
      </w:r>
      <w:r w:rsidR="002D2750">
        <w:t>hromium</w:t>
      </w:r>
      <w:r>
        <w:t>(</w:t>
      </w:r>
      <w:proofErr w:type="gramEnd"/>
      <w:r>
        <w:t>III)</w:t>
      </w:r>
      <w:r w:rsidR="002D2750">
        <w:t xml:space="preserve"> is essential</w:t>
      </w:r>
      <w:r>
        <w:t xml:space="preserve"> to </w:t>
      </w:r>
      <w:r w:rsidR="002D2750">
        <w:t>mammal</w:t>
      </w:r>
      <w:r w:rsidR="00E36FBD">
        <w:t xml:space="preserve"> nutrition</w:t>
      </w:r>
      <w:r>
        <w:t xml:space="preserve"> as it is </w:t>
      </w:r>
      <w:r w:rsidR="002D2750">
        <w:t xml:space="preserve">required for carbohydrate and lipid metabolism. </w:t>
      </w:r>
      <w:r w:rsidR="0013372C">
        <w:t>Chromium supplementation has been found to improve perf</w:t>
      </w:r>
      <w:r w:rsidR="00290056">
        <w:t>orm</w:t>
      </w:r>
      <w:r w:rsidR="008B6304">
        <w:t>a</w:t>
      </w:r>
      <w:r w:rsidR="0013372C">
        <w:t>nce in poultry</w:t>
      </w:r>
      <w:r w:rsidR="00290056">
        <w:t xml:space="preserve"> and ruminants</w:t>
      </w:r>
      <w:r w:rsidR="008B6304">
        <w:t xml:space="preserve"> (</w:t>
      </w:r>
      <w:proofErr w:type="spellStart"/>
      <w:r w:rsidR="008B6304">
        <w:t>Rajalekshmi</w:t>
      </w:r>
      <w:proofErr w:type="spellEnd"/>
      <w:r w:rsidR="008B6304">
        <w:t xml:space="preserve"> et al</w:t>
      </w:r>
      <w:r w:rsidR="00D42392">
        <w:t>.</w:t>
      </w:r>
      <w:r w:rsidR="008B6304">
        <w:t xml:space="preserve"> 2008)</w:t>
      </w:r>
      <w:r w:rsidR="00290056">
        <w:t>.</w:t>
      </w:r>
      <w:r w:rsidR="0013372C">
        <w:t xml:space="preserve"> </w:t>
      </w:r>
      <w:r w:rsidR="002D2750">
        <w:t xml:space="preserve">Salts of </w:t>
      </w:r>
      <w:proofErr w:type="gramStart"/>
      <w:r w:rsidR="002D2750">
        <w:t>chromium(</w:t>
      </w:r>
      <w:proofErr w:type="gramEnd"/>
      <w:r w:rsidR="002D2750">
        <w:t xml:space="preserve">III) are poorly absorbed by the gastrointestinal tract, whereas the absorption rate of chromium(VI) is much higher. </w:t>
      </w:r>
      <w:r w:rsidR="00800396">
        <w:t xml:space="preserve">Chromium </w:t>
      </w:r>
      <w:r w:rsidR="00C1360F">
        <w:t>accumulates in animal tissues</w:t>
      </w:r>
      <w:r w:rsidR="00313D1C">
        <w:t>;</w:t>
      </w:r>
      <w:r w:rsidR="00F50FBA">
        <w:t xml:space="preserve"> </w:t>
      </w:r>
      <w:r w:rsidR="00313D1C">
        <w:t>however,</w:t>
      </w:r>
      <w:r w:rsidR="00F50FBA">
        <w:t xml:space="preserve"> some studies show that </w:t>
      </w:r>
      <w:r w:rsidR="00D24AC2">
        <w:t xml:space="preserve">chromium was removed from </w:t>
      </w:r>
      <w:r w:rsidR="00E65097">
        <w:t>most organs</w:t>
      </w:r>
      <w:r w:rsidR="00FC1F7C">
        <w:t xml:space="preserve"> 140 days after exposure</w:t>
      </w:r>
      <w:r w:rsidR="009E01B7">
        <w:t xml:space="preserve"> </w:t>
      </w:r>
      <w:r w:rsidR="0076353D">
        <w:t xml:space="preserve">(Kapoor </w:t>
      </w:r>
      <w:r w:rsidR="006773D0">
        <w:t>e</w:t>
      </w:r>
      <w:r w:rsidR="0076353D">
        <w:t xml:space="preserve">t al. </w:t>
      </w:r>
      <w:r w:rsidR="006773D0">
        <w:t>2022)</w:t>
      </w:r>
      <w:r w:rsidR="00402182">
        <w:t>.</w:t>
      </w:r>
    </w:p>
    <w:p w14:paraId="03F59F75" w14:textId="1D74B0AD" w:rsidR="00202A7D" w:rsidRDefault="00EB38E1" w:rsidP="00C1087A">
      <w:r>
        <w:t xml:space="preserve">There is a lack of studies that tested </w:t>
      </w:r>
      <w:r w:rsidR="006E4555">
        <w:t xml:space="preserve">chromium </w:t>
      </w:r>
      <w:r>
        <w:t>toxicity in larger livestock</w:t>
      </w:r>
      <w:r w:rsidR="000A1942">
        <w:t>;</w:t>
      </w:r>
      <w:r>
        <w:t xml:space="preserve"> the toxicity studies that were found were </w:t>
      </w:r>
      <w:r w:rsidR="000A1942">
        <w:t>about</w:t>
      </w:r>
      <w:r>
        <w:t xml:space="preserve"> mice, rats, poultry, </w:t>
      </w:r>
      <w:proofErr w:type="gramStart"/>
      <w:r>
        <w:t>dogs</w:t>
      </w:r>
      <w:proofErr w:type="gramEnd"/>
      <w:r>
        <w:t xml:space="preserve"> and rabbits.</w:t>
      </w:r>
      <w:r w:rsidR="00D42392" w:rsidRPr="00D42392">
        <w:t xml:space="preserve"> </w:t>
      </w:r>
      <w:proofErr w:type="gramStart"/>
      <w:r w:rsidR="00D42392">
        <w:t>Chromium(</w:t>
      </w:r>
      <w:proofErr w:type="gramEnd"/>
      <w:r w:rsidR="00D42392">
        <w:t>VI) is more toxic to animals than chromium(III)(</w:t>
      </w:r>
      <w:r w:rsidR="00D42392" w:rsidRPr="00F25D79">
        <w:t>NRC 1980</w:t>
      </w:r>
      <w:r w:rsidR="00D42392" w:rsidRPr="00254357">
        <w:t xml:space="preserve">, WHO 1984, </w:t>
      </w:r>
      <w:r w:rsidR="00D42392" w:rsidRPr="00F91856">
        <w:t>CCREM 1987).</w:t>
      </w:r>
      <w:r w:rsidR="00B27949">
        <w:t xml:space="preserve"> </w:t>
      </w:r>
    </w:p>
    <w:p w14:paraId="03F59F76" w14:textId="134D56BF" w:rsidR="00202A7D" w:rsidRDefault="00824204" w:rsidP="00F62F67">
      <w:r>
        <w:t xml:space="preserve">Abdel-Rahman et al. (2012) noted male rabbits administered 0.14 mg/kg of </w:t>
      </w:r>
      <w:proofErr w:type="gramStart"/>
      <w:r>
        <w:t>chromium(</w:t>
      </w:r>
      <w:proofErr w:type="gramEnd"/>
      <w:r>
        <w:t xml:space="preserve">VI) had significantly increased levels of serum urea and creatinine, and histopathological and </w:t>
      </w:r>
      <w:proofErr w:type="spellStart"/>
      <w:r>
        <w:t>histomorphometrical</w:t>
      </w:r>
      <w:proofErr w:type="spellEnd"/>
      <w:r>
        <w:t xml:space="preserve"> changes in the kidneys. Apostoli et al. (2013) injected approximately 0.07 mg/kg of </w:t>
      </w:r>
      <w:proofErr w:type="gramStart"/>
      <w:r>
        <w:t>chromium(</w:t>
      </w:r>
      <w:proofErr w:type="gramEnd"/>
      <w:r>
        <w:t xml:space="preserve">III) into New Zealand white rabbits and found no adverse effects. </w:t>
      </w:r>
      <w:r w:rsidR="00EB38E1">
        <w:t>Stout et al. (2009) fed rats between 5</w:t>
      </w:r>
      <w:r w:rsidR="000A1942">
        <w:t xml:space="preserve"> mg/L and </w:t>
      </w:r>
      <w:r w:rsidR="00EB38E1">
        <w:t>180</w:t>
      </w:r>
      <w:r w:rsidR="000E1DA0">
        <w:t> </w:t>
      </w:r>
      <w:r w:rsidR="00EB38E1">
        <w:t xml:space="preserve">mg/L of sodium dichromate dihydrate in drinking water in a </w:t>
      </w:r>
      <w:proofErr w:type="gramStart"/>
      <w:r w:rsidR="000A1942">
        <w:t>2 </w:t>
      </w:r>
      <w:r w:rsidR="00EB38E1">
        <w:t>year</w:t>
      </w:r>
      <w:proofErr w:type="gramEnd"/>
      <w:r w:rsidR="00EB38E1">
        <w:t xml:space="preserve"> study and showed that carcinogenicity evolved in chromium</w:t>
      </w:r>
      <w:r w:rsidR="000A1942">
        <w:t>-</w:t>
      </w:r>
      <w:r w:rsidR="00EB38E1">
        <w:t>treated rats and mice. For this concentration range, the average daily ingested dose was between 0.2</w:t>
      </w:r>
      <w:r w:rsidR="000A1942">
        <w:t xml:space="preserve"> mg/kg and </w:t>
      </w:r>
      <w:r w:rsidR="00EB38E1">
        <w:t>5.9</w:t>
      </w:r>
      <w:r w:rsidR="000E1DA0">
        <w:t> </w:t>
      </w:r>
      <w:r w:rsidR="00EB38E1">
        <w:t>mg/kg</w:t>
      </w:r>
      <w:r w:rsidR="00D90A07">
        <w:t xml:space="preserve"> body weight</w:t>
      </w:r>
      <w:r w:rsidR="00EB38E1">
        <w:t xml:space="preserve">. </w:t>
      </w:r>
      <w:r w:rsidR="005F4932">
        <w:t>This</w:t>
      </w:r>
      <w:r w:rsidR="00EB38E1">
        <w:t xml:space="preserve"> was the first lifetime study to demonstrate increased carcinogenicity effects of </w:t>
      </w:r>
      <w:proofErr w:type="gramStart"/>
      <w:r w:rsidR="005F4932">
        <w:t>chromium</w:t>
      </w:r>
      <w:r w:rsidR="00EB38E1">
        <w:t>(</w:t>
      </w:r>
      <w:proofErr w:type="gramEnd"/>
      <w:r w:rsidR="00EB38E1">
        <w:t>VI) in rats, generally at concentrations greater than 2.4</w:t>
      </w:r>
      <w:r w:rsidR="000E1DA0">
        <w:t> </w:t>
      </w:r>
      <w:r w:rsidR="00EB38E1">
        <w:t xml:space="preserve">mg/kg body weight. Adverse effects, including neoplasms, </w:t>
      </w:r>
      <w:proofErr w:type="gramStart"/>
      <w:r w:rsidR="00EB38E1">
        <w:t>hyper</w:t>
      </w:r>
      <w:r w:rsidR="00D90A07">
        <w:t>p</w:t>
      </w:r>
      <w:r w:rsidR="00EB38E1">
        <w:t>lasia</w:t>
      </w:r>
      <w:proofErr w:type="gramEnd"/>
      <w:r w:rsidR="00EB38E1">
        <w:t xml:space="preserve"> and histiocytic cellular infiltration, were observed in all exposure groups.</w:t>
      </w:r>
    </w:p>
    <w:p w14:paraId="03F59F77" w14:textId="20AAAC0D" w:rsidR="00202A7D" w:rsidRDefault="00CE025C" w:rsidP="00C1087A">
      <w:r>
        <w:t xml:space="preserve">A study of the effects of </w:t>
      </w:r>
      <w:proofErr w:type="gramStart"/>
      <w:r>
        <w:t>chromium(</w:t>
      </w:r>
      <w:proofErr w:type="gramEnd"/>
      <w:r>
        <w:t xml:space="preserve">VI) in chickens (given in the form of </w:t>
      </w:r>
      <w:r w:rsidRPr="00DB2D06">
        <w:t>0.07424</w:t>
      </w:r>
      <w:r w:rsidR="000A3C46">
        <w:t> </w:t>
      </w:r>
      <w:r w:rsidRPr="00DB2D06">
        <w:t>mg/kg potassium dichromate from day 7</w:t>
      </w:r>
      <w:r>
        <w:t xml:space="preserve"> to day </w:t>
      </w:r>
      <w:r w:rsidRPr="00DB2D06">
        <w:t>35 post</w:t>
      </w:r>
      <w:r>
        <w:t>-</w:t>
      </w:r>
      <w:r w:rsidRPr="00DB2D06">
        <w:t>hatch</w:t>
      </w:r>
      <w:r>
        <w:t>) showed reduced diversity in gut microbiota – stable healthy gut microbiota are needed for efficient digestion and nutrient absorption</w:t>
      </w:r>
      <w:r w:rsidR="003B0DF7">
        <w:t xml:space="preserve"> (Li et al. 2022)</w:t>
      </w:r>
      <w:r>
        <w:t xml:space="preserve">. </w:t>
      </w:r>
      <w:proofErr w:type="spellStart"/>
      <w:r w:rsidR="00EB38E1">
        <w:t>Butkauskas</w:t>
      </w:r>
      <w:proofErr w:type="spellEnd"/>
      <w:r w:rsidR="00EB38E1">
        <w:t xml:space="preserve"> </w:t>
      </w:r>
      <w:r w:rsidR="006C171F">
        <w:t xml:space="preserve">and </w:t>
      </w:r>
      <w:proofErr w:type="spellStart"/>
      <w:r w:rsidR="006C171F">
        <w:t>Sruoga</w:t>
      </w:r>
      <w:proofErr w:type="spellEnd"/>
      <w:r w:rsidR="00EB38E1">
        <w:t xml:space="preserve"> (2004) found that </w:t>
      </w:r>
      <w:r w:rsidR="00455F65">
        <w:t xml:space="preserve">male </w:t>
      </w:r>
      <w:r w:rsidR="00EB38E1">
        <w:t>Japanese quails fed 0.142</w:t>
      </w:r>
      <w:r w:rsidR="000E1DA0">
        <w:t> </w:t>
      </w:r>
      <w:r w:rsidR="00EB38E1">
        <w:t xml:space="preserve">mg/kg </w:t>
      </w:r>
      <w:r w:rsidR="00455F65">
        <w:t xml:space="preserve">of chromium </w:t>
      </w:r>
      <w:r w:rsidR="00EB38E1">
        <w:t xml:space="preserve">in feed decreased the hatchability of their </w:t>
      </w:r>
      <w:r w:rsidR="00F12A01">
        <w:t>chicks</w:t>
      </w:r>
      <w:r w:rsidR="00E33801">
        <w:t>,</w:t>
      </w:r>
      <w:r w:rsidR="00EB38E1">
        <w:t xml:space="preserve"> and early mortality of embryos increased as much as 2</w:t>
      </w:r>
      <w:r w:rsidR="00B549F8">
        <w:t>–</w:t>
      </w:r>
      <w:r w:rsidR="00EB38E1">
        <w:t>3</w:t>
      </w:r>
      <w:r w:rsidR="000E1DA0">
        <w:t> </w:t>
      </w:r>
      <w:r w:rsidR="00EB38E1">
        <w:t>times. After 32</w:t>
      </w:r>
      <w:r w:rsidR="000E1DA0">
        <w:t> </w:t>
      </w:r>
      <w:r w:rsidR="00EB38E1">
        <w:t xml:space="preserve">weeks of feeding chicks </w:t>
      </w:r>
      <w:proofErr w:type="gramStart"/>
      <w:r w:rsidR="00FC34F4">
        <w:t>chromium(</w:t>
      </w:r>
      <w:proofErr w:type="gramEnd"/>
      <w:r w:rsidR="00FC34F4">
        <w:t xml:space="preserve">VI) at </w:t>
      </w:r>
      <w:r w:rsidR="00EB38E1">
        <w:t>88.4</w:t>
      </w:r>
      <w:r w:rsidR="000E1DA0">
        <w:t> </w:t>
      </w:r>
      <w:r w:rsidR="00EB38E1">
        <w:t>mg)/kg or 177</w:t>
      </w:r>
      <w:r w:rsidR="000E1DA0">
        <w:t> </w:t>
      </w:r>
      <w:r w:rsidR="00EB38E1">
        <w:t xml:space="preserve">mg/kg, Asma et al. (1999) found the total body weight was significantly decreased in both the </w:t>
      </w:r>
      <w:r w:rsidR="00FC34F4">
        <w:t>chromium-</w:t>
      </w:r>
      <w:r w:rsidR="00EB38E1">
        <w:t xml:space="preserve">treated groups relative to the control. Additionally, egg laying was enhanced but hatchability was considerably decreased after </w:t>
      </w:r>
      <w:proofErr w:type="gramStart"/>
      <w:r w:rsidR="00185B13">
        <w:t>chromium</w:t>
      </w:r>
      <w:r w:rsidR="00EB38E1">
        <w:t>(</w:t>
      </w:r>
      <w:proofErr w:type="gramEnd"/>
      <w:r w:rsidR="00EB38E1">
        <w:t>VI) treatment. The eggshell thickness increased significantly (13%)</w:t>
      </w:r>
      <w:r w:rsidR="00185B13">
        <w:t>,</w:t>
      </w:r>
      <w:r w:rsidR="00EB38E1">
        <w:t xml:space="preserve"> and </w:t>
      </w:r>
      <w:r w:rsidR="00185B13">
        <w:t xml:space="preserve">chromium </w:t>
      </w:r>
      <w:r w:rsidR="00EB38E1">
        <w:t>was deposited in a dose</w:t>
      </w:r>
      <w:r w:rsidR="00185B13">
        <w:t>-</w:t>
      </w:r>
      <w:r w:rsidR="00EB38E1">
        <w:t xml:space="preserve">dependent manner in the liver and lungs, with some structural derangements in the liver also noted in the treated chicks. </w:t>
      </w:r>
    </w:p>
    <w:p w14:paraId="03F59F78" w14:textId="16FF3097" w:rsidR="00202A7D" w:rsidRDefault="00EB38E1" w:rsidP="00C1087A">
      <w:r>
        <w:lastRenderedPageBreak/>
        <w:t>Studies with rats and dogs showed that water containing 5</w:t>
      </w:r>
      <w:r w:rsidR="00F10764">
        <w:t>–</w:t>
      </w:r>
      <w:r>
        <w:t>6</w:t>
      </w:r>
      <w:r w:rsidR="000E1DA0">
        <w:t> </w:t>
      </w:r>
      <w:r>
        <w:t xml:space="preserve">mg/L </w:t>
      </w:r>
      <w:proofErr w:type="gramStart"/>
      <w:r>
        <w:t>chromium(</w:t>
      </w:r>
      <w:proofErr w:type="gramEnd"/>
      <w:r>
        <w:t>VI) did not cause tissue damage</w:t>
      </w:r>
      <w:r w:rsidR="009F0C21">
        <w:t>,</w:t>
      </w:r>
      <w:r>
        <w:t xml:space="preserve"> whereas concentrations of</w:t>
      </w:r>
      <w:r w:rsidR="005C5B48">
        <w:t xml:space="preserve"> </w:t>
      </w:r>
      <w:r>
        <w:t>10</w:t>
      </w:r>
      <w:r w:rsidR="005C5B48">
        <w:t> </w:t>
      </w:r>
      <w:r>
        <w:t xml:space="preserve">mg/L resulted in tissue accumulation of chromium, but no toxic effects were </w:t>
      </w:r>
      <w:r w:rsidRPr="00C95D78">
        <w:t>detected (NRCC 1976).</w:t>
      </w:r>
      <w:r>
        <w:t xml:space="preserve"> Rats showed no obvious toxic effects at chromium concentrations (as potassium chromate) of 0.5</w:t>
      </w:r>
      <w:r w:rsidR="000E1DA0">
        <w:t> </w:t>
      </w:r>
      <w:r>
        <w:t>mg/</w:t>
      </w:r>
      <w:r w:rsidRPr="00527BF6">
        <w:t>L (Romoser et al. 1961)</w:t>
      </w:r>
      <w:r>
        <w:t xml:space="preserve"> </w:t>
      </w:r>
      <w:r w:rsidR="001F1952">
        <w:t xml:space="preserve">and </w:t>
      </w:r>
      <w:r>
        <w:t>25</w:t>
      </w:r>
      <w:r w:rsidR="000E1DA0">
        <w:t> </w:t>
      </w:r>
      <w:r>
        <w:t>mg/L (</w:t>
      </w:r>
      <w:proofErr w:type="spellStart"/>
      <w:r w:rsidRPr="00F670F0">
        <w:t>MacKenzie</w:t>
      </w:r>
      <w:proofErr w:type="spellEnd"/>
      <w:r w:rsidRPr="00F670F0">
        <w:t xml:space="preserve"> et al. 1958)</w:t>
      </w:r>
      <w:r>
        <w:t xml:space="preserve"> in their drinking water.</w:t>
      </w:r>
    </w:p>
    <w:p w14:paraId="03F59F79" w14:textId="77777777" w:rsidR="00AD38A0" w:rsidRPr="00AD38A0" w:rsidRDefault="00EB38E1" w:rsidP="000C6B83">
      <w:pPr>
        <w:pStyle w:val="Heading5"/>
        <w:rPr>
          <w:lang w:eastAsia="ja-JP"/>
        </w:rPr>
      </w:pPr>
      <w:r w:rsidRPr="00AD38A0">
        <w:rPr>
          <w:lang w:eastAsia="ja-JP"/>
        </w:rPr>
        <w:t>Derivation of guideline values</w:t>
      </w:r>
    </w:p>
    <w:p w14:paraId="03F59F7A" w14:textId="6790FF5C" w:rsidR="00202A7D" w:rsidRDefault="00EB38E1" w:rsidP="00C1087A">
      <w:r>
        <w:t>International guidelines for chromium vary by several orders of magnitude. The guideline of 1</w:t>
      </w:r>
      <w:r w:rsidR="00D9328A">
        <w:t> </w:t>
      </w:r>
      <w:r>
        <w:t xml:space="preserve">mg/L is </w:t>
      </w:r>
      <w:r w:rsidRPr="002F1265">
        <w:t xml:space="preserve">recommended </w:t>
      </w:r>
      <w:r w:rsidR="00B61874" w:rsidRPr="002F1265">
        <w:t xml:space="preserve">in the </w:t>
      </w:r>
      <w:r w:rsidR="00D56ACA" w:rsidRPr="002F1265">
        <w:t xml:space="preserve">United States </w:t>
      </w:r>
      <w:r w:rsidR="008B7BD5" w:rsidRPr="002F1265">
        <w:t>for chromium</w:t>
      </w:r>
      <w:r w:rsidRPr="002F1265">
        <w:t xml:space="preserve"> (USEPA </w:t>
      </w:r>
      <w:r w:rsidR="002F1265" w:rsidRPr="002F1265">
        <w:t>1992</w:t>
      </w:r>
      <w:r w:rsidRPr="002F1265">
        <w:t xml:space="preserve">) and </w:t>
      </w:r>
      <w:r w:rsidR="008B7BD5" w:rsidRPr="002F1265">
        <w:t>in</w:t>
      </w:r>
      <w:r w:rsidRPr="002F1265">
        <w:t xml:space="preserve"> South Africa</w:t>
      </w:r>
      <w:r w:rsidR="008B7BD5" w:rsidRPr="002F1265">
        <w:t xml:space="preserve"> for </w:t>
      </w:r>
      <w:proofErr w:type="gramStart"/>
      <w:r w:rsidR="008B7BD5" w:rsidRPr="002F1265">
        <w:t>chromium(</w:t>
      </w:r>
      <w:proofErr w:type="gramEnd"/>
      <w:r w:rsidR="008B7BD5" w:rsidRPr="002F1265">
        <w:t>VI)</w:t>
      </w:r>
      <w:r>
        <w:t xml:space="preserve"> (DWAF 1996)</w:t>
      </w:r>
      <w:r w:rsidR="008B7BD5">
        <w:t>; it is also</w:t>
      </w:r>
      <w:r>
        <w:t xml:space="preserve"> the maximum upper limit for livestock given by Beede (2012). However, the </w:t>
      </w:r>
      <w:r w:rsidRPr="002A698C">
        <w:t xml:space="preserve">Canadian guideline (CCME 2005) and that recommended by FAO </w:t>
      </w:r>
      <w:r w:rsidR="008B7BD5" w:rsidRPr="002A698C">
        <w:t>(</w:t>
      </w:r>
      <w:r w:rsidR="002A698C" w:rsidRPr="002A698C">
        <w:t xml:space="preserve">Tanji &amp; </w:t>
      </w:r>
      <w:proofErr w:type="spellStart"/>
      <w:r w:rsidR="002A698C" w:rsidRPr="002A698C">
        <w:t>Kielen</w:t>
      </w:r>
      <w:proofErr w:type="spellEnd"/>
      <w:r w:rsidR="002A698C" w:rsidRPr="002A698C">
        <w:t xml:space="preserve"> 2002)</w:t>
      </w:r>
      <w:r w:rsidRPr="002A698C">
        <w:t xml:space="preserve"> is significantly</w:t>
      </w:r>
      <w:r>
        <w:t xml:space="preserve"> lower at 0.</w:t>
      </w:r>
      <w:r w:rsidR="00A70F51">
        <w:t>049 </w:t>
      </w:r>
      <w:r>
        <w:t>mg/L</w:t>
      </w:r>
      <w:r w:rsidR="007A01F3">
        <w:t xml:space="preserve"> (see </w:t>
      </w:r>
      <w:hyperlink r:id="rId39" w:history="1">
        <w:r w:rsidR="007A01F3" w:rsidRPr="004C0CA0">
          <w:rPr>
            <w:rStyle w:val="Hyperlink"/>
          </w:rPr>
          <w:t xml:space="preserve">CCME </w:t>
        </w:r>
        <w:r w:rsidR="007A01F3">
          <w:rPr>
            <w:rStyle w:val="Hyperlink"/>
          </w:rPr>
          <w:t>chromium</w:t>
        </w:r>
        <w:r w:rsidR="007A01F3" w:rsidRPr="004C0CA0">
          <w:rPr>
            <w:rStyle w:val="Hyperlink"/>
          </w:rPr>
          <w:t xml:space="preserve"> fact sheet</w:t>
        </w:r>
      </w:hyperlink>
      <w:r w:rsidR="007A01F3">
        <w:t>)</w:t>
      </w:r>
      <w:r>
        <w:t>. The upper limit recommended by NRC (2005) for cattle is 0.1</w:t>
      </w:r>
      <w:r w:rsidR="0080584B">
        <w:t> </w:t>
      </w:r>
      <w:r>
        <w:t>mg/L.</w:t>
      </w:r>
    </w:p>
    <w:p w14:paraId="03F59F7B" w14:textId="77777777" w:rsidR="00F12A01" w:rsidRDefault="00EB38E1" w:rsidP="00F12A01">
      <w:proofErr w:type="gramStart"/>
      <w:r>
        <w:t>Chromium(</w:t>
      </w:r>
      <w:proofErr w:type="gramEnd"/>
      <w:r>
        <w:t>III) is unlikely to be in drinking water because it is oxidised in air.</w:t>
      </w:r>
    </w:p>
    <w:p w14:paraId="03F59F7C" w14:textId="77777777" w:rsidR="00D56ACA" w:rsidRDefault="00EB38E1" w:rsidP="00C1087A">
      <w:r>
        <w:t xml:space="preserve">The limit for soluble </w:t>
      </w:r>
      <w:proofErr w:type="gramStart"/>
      <w:r w:rsidR="00603979">
        <w:t>chromium</w:t>
      </w:r>
      <w:r>
        <w:t>(</w:t>
      </w:r>
      <w:proofErr w:type="gramEnd"/>
      <w:r>
        <w:t>III) in feed is assumed to be 100</w:t>
      </w:r>
      <w:r w:rsidR="000E1DA0">
        <w:t> </w:t>
      </w:r>
      <w:r>
        <w:t>mg/kg (dry matter) for all livestock, except poultry</w:t>
      </w:r>
      <w:r w:rsidR="00603979">
        <w:t>,</w:t>
      </w:r>
      <w:r>
        <w:t xml:space="preserve"> which can tolerate up to 500</w:t>
      </w:r>
      <w:r w:rsidR="00603979">
        <w:t> </w:t>
      </w:r>
      <w:r>
        <w:t>mg/kg (NRC 2005).</w:t>
      </w:r>
    </w:p>
    <w:p w14:paraId="03F59F7D" w14:textId="43C9C462" w:rsidR="00202A7D" w:rsidRDefault="00EB38E1" w:rsidP="00C1087A">
      <w:r w:rsidRPr="00DC4DFE">
        <w:t>Based on the most conservative estimate of maximum dietary intake (100</w:t>
      </w:r>
      <w:r w:rsidR="000E1DA0" w:rsidRPr="00DC4DFE">
        <w:t> </w:t>
      </w:r>
      <w:r w:rsidRPr="00DC4DFE">
        <w:t>mg/kg)</w:t>
      </w:r>
      <w:r w:rsidR="003C1A43" w:rsidRPr="00DC4DFE">
        <w:t xml:space="preserve"> (NRC 2005)</w:t>
      </w:r>
      <w:r w:rsidRPr="00DC4DFE">
        <w:t xml:space="preserve">, the guideline values for </w:t>
      </w:r>
      <w:r w:rsidR="0074235F" w:rsidRPr="00DC4DFE">
        <w:t xml:space="preserve">3 </w:t>
      </w:r>
      <w:r w:rsidR="0017694C" w:rsidRPr="00DC4DFE">
        <w:t>livestock types</w:t>
      </w:r>
      <w:r w:rsidRPr="00DC4DFE">
        <w:t xml:space="preserve"> have been estimated </w:t>
      </w:r>
      <w:r w:rsidR="00273A9E" w:rsidRPr="00DC4DFE">
        <w:t xml:space="preserve">for </w:t>
      </w:r>
      <w:proofErr w:type="gramStart"/>
      <w:r w:rsidR="00273A9E" w:rsidRPr="00DC4DFE">
        <w:t>chromium(</w:t>
      </w:r>
      <w:proofErr w:type="gramEnd"/>
      <w:r w:rsidR="00273A9E" w:rsidRPr="00DC4DFE">
        <w:t xml:space="preserve">III) </w:t>
      </w:r>
      <w:r w:rsidRPr="00DC4DFE">
        <w:t xml:space="preserve">in </w:t>
      </w:r>
      <w:r w:rsidR="00EC18B0" w:rsidRPr="00DC4DFE">
        <w:fldChar w:fldCharType="begin"/>
      </w:r>
      <w:r w:rsidR="00EC18B0" w:rsidRPr="00DC4DFE">
        <w:instrText xml:space="preserve"> REF _Ref84839728 \h </w:instrText>
      </w:r>
      <w:r w:rsidR="00EC18B0" w:rsidRPr="00FD2341">
        <w:instrText xml:space="preserve"> \* MERGEFORMAT </w:instrText>
      </w:r>
      <w:r w:rsidR="00EC18B0" w:rsidRPr="00DC4DFE">
        <w:fldChar w:fldCharType="separate"/>
      </w:r>
      <w:r w:rsidR="0061517C">
        <w:t>Table 3.</w:t>
      </w:r>
      <w:r w:rsidR="00EC18B0" w:rsidRPr="00DC4DFE">
        <w:fldChar w:fldCharType="end"/>
      </w:r>
      <w:r w:rsidR="00EC18B0" w:rsidRPr="00DC4DFE">
        <w:t xml:space="preserve"> </w:t>
      </w:r>
      <w:r w:rsidRPr="00DC4DFE">
        <w:t>using</w:t>
      </w:r>
      <w:r w:rsidR="0017694C" w:rsidRPr="00DC4DFE">
        <w:t xml:space="preserve"> </w:t>
      </w:r>
      <w:r w:rsidR="00DC4DFE" w:rsidRPr="00FD2341">
        <w:t>Equation</w:t>
      </w:r>
      <w:r w:rsidR="002131BE">
        <w:t> </w:t>
      </w:r>
      <w:r w:rsidR="00DC4DFE" w:rsidRPr="00FD2341">
        <w:t>3.2</w:t>
      </w:r>
      <w:r w:rsidRPr="00DC4DFE">
        <w:t>. A safety factor of 3 was assumed for possible long-term effects.</w:t>
      </w:r>
    </w:p>
    <w:p w14:paraId="03F59F7E" w14:textId="40DC7F1F" w:rsidR="00325DFC" w:rsidRPr="00FD2341" w:rsidRDefault="00EB38E1" w:rsidP="00DF778F">
      <w:pPr>
        <w:pStyle w:val="Caption"/>
      </w:pPr>
      <w:bookmarkStart w:id="304" w:name="_Ref84839728"/>
      <w:bookmarkStart w:id="305" w:name="_Toc148089857"/>
      <w:r>
        <w:t>Table </w:t>
      </w:r>
      <w:r w:rsidR="00257B02">
        <w:t>3.</w:t>
      </w:r>
      <w:bookmarkEnd w:id="304"/>
      <w:r w:rsidR="00EC18B0">
        <w:t xml:space="preserve">12 </w:t>
      </w:r>
      <w:r w:rsidR="00202A7D">
        <w:t xml:space="preserve">Calculated guideline values for </w:t>
      </w:r>
      <w:proofErr w:type="gramStart"/>
      <w:r w:rsidR="00320144">
        <w:t>chromium(</w:t>
      </w:r>
      <w:proofErr w:type="gramEnd"/>
      <w:r w:rsidR="00320144">
        <w:t>III) in livestock drinking water</w:t>
      </w:r>
      <w:bookmarkEnd w:id="305"/>
    </w:p>
    <w:tbl>
      <w:tblPr>
        <w:tblW w:w="5000" w:type="pct"/>
        <w:tblBorders>
          <w:top w:val="single" w:sz="4" w:space="0" w:color="000000"/>
          <w:bottom w:val="single" w:sz="4" w:space="0" w:color="000000"/>
          <w:insideH w:val="single" w:sz="4" w:space="0" w:color="000000"/>
        </w:tblBorders>
        <w:tblLook w:val="04A0" w:firstRow="1" w:lastRow="0" w:firstColumn="1" w:lastColumn="0" w:noHBand="0" w:noVBand="1"/>
      </w:tblPr>
      <w:tblGrid>
        <w:gridCol w:w="1420"/>
        <w:gridCol w:w="2836"/>
        <w:gridCol w:w="2407"/>
        <w:gridCol w:w="2407"/>
      </w:tblGrid>
      <w:tr w:rsidR="0054058D" w14:paraId="03F59F83" w14:textId="77777777" w:rsidTr="00020499">
        <w:trPr>
          <w:cantSplit/>
        </w:trPr>
        <w:tc>
          <w:tcPr>
            <w:tcW w:w="782" w:type="pct"/>
            <w:tcBorders>
              <w:top w:val="single" w:sz="12" w:space="0" w:color="000000"/>
              <w:bottom w:val="single" w:sz="12" w:space="0" w:color="000000"/>
            </w:tcBorders>
            <w:shd w:val="clear" w:color="auto" w:fill="auto"/>
          </w:tcPr>
          <w:p w14:paraId="03F59F7F" w14:textId="77777777" w:rsidR="00F83112" w:rsidRPr="00DA6B56" w:rsidRDefault="00EB38E1" w:rsidP="00DA6B56">
            <w:pPr>
              <w:pStyle w:val="TableHeading"/>
            </w:pPr>
            <w:r>
              <w:t>Livestock</w:t>
            </w:r>
          </w:p>
        </w:tc>
        <w:tc>
          <w:tcPr>
            <w:tcW w:w="1563" w:type="pct"/>
            <w:tcBorders>
              <w:top w:val="single" w:sz="12" w:space="0" w:color="000000"/>
              <w:bottom w:val="single" w:sz="12" w:space="0" w:color="000000"/>
            </w:tcBorders>
            <w:shd w:val="clear" w:color="auto" w:fill="auto"/>
          </w:tcPr>
          <w:p w14:paraId="03F59F80" w14:textId="4BDD07AF" w:rsidR="00F83112" w:rsidRPr="00DA6B56" w:rsidRDefault="00EB38E1" w:rsidP="00A9741A">
            <w:pPr>
              <w:pStyle w:val="TableHeading"/>
              <w:jc w:val="center"/>
            </w:pPr>
            <w:r w:rsidRPr="00DA6B56">
              <w:t xml:space="preserve">Maximum </w:t>
            </w:r>
            <w:proofErr w:type="gramStart"/>
            <w:r w:rsidR="00114E5E">
              <w:t>chromium(</w:t>
            </w:r>
            <w:proofErr w:type="gramEnd"/>
            <w:r w:rsidR="00114E5E">
              <w:t>III)</w:t>
            </w:r>
            <w:r w:rsidR="00A9741A">
              <w:t xml:space="preserve"> </w:t>
            </w:r>
            <w:r w:rsidRPr="00DA6B56">
              <w:t xml:space="preserve">in </w:t>
            </w:r>
            <w:r w:rsidR="008E50B0" w:rsidRPr="00DA6B56">
              <w:t>feed</w:t>
            </w:r>
            <w:r w:rsidR="008E50B0">
              <w:t xml:space="preserve"> </w:t>
            </w:r>
            <w:r w:rsidR="00AC4446">
              <w:t>(mg/kg)</w:t>
            </w:r>
            <w:r w:rsidR="00603283" w:rsidRPr="00603283">
              <w:rPr>
                <w:rStyle w:val="Strong"/>
                <w:b/>
                <w:vertAlign w:val="superscript"/>
              </w:rPr>
              <w:t>a</w:t>
            </w:r>
          </w:p>
        </w:tc>
        <w:tc>
          <w:tcPr>
            <w:tcW w:w="1327" w:type="pct"/>
            <w:tcBorders>
              <w:top w:val="single" w:sz="12" w:space="0" w:color="000000"/>
              <w:bottom w:val="single" w:sz="12" w:space="0" w:color="000000"/>
            </w:tcBorders>
            <w:shd w:val="clear" w:color="auto" w:fill="auto"/>
          </w:tcPr>
          <w:p w14:paraId="03F59F81" w14:textId="7E097511" w:rsidR="00F83112" w:rsidRPr="00DA6B56" w:rsidRDefault="00EB38E1" w:rsidP="00A9741A">
            <w:pPr>
              <w:pStyle w:val="TableHeading"/>
              <w:jc w:val="center"/>
              <w:rPr>
                <w:vertAlign w:val="superscript"/>
              </w:rPr>
            </w:pPr>
            <w:r w:rsidRPr="00DA6B56">
              <w:t xml:space="preserve">Safety </w:t>
            </w:r>
            <w:proofErr w:type="spellStart"/>
            <w:r w:rsidR="008E50B0" w:rsidRPr="00DA6B56">
              <w:t>factor</w:t>
            </w:r>
            <w:r w:rsidR="00603283">
              <w:rPr>
                <w:rStyle w:val="Strong"/>
                <w:b/>
                <w:vertAlign w:val="superscript"/>
              </w:rPr>
              <w:t>b</w:t>
            </w:r>
            <w:proofErr w:type="spellEnd"/>
          </w:p>
        </w:tc>
        <w:tc>
          <w:tcPr>
            <w:tcW w:w="1327" w:type="pct"/>
            <w:tcBorders>
              <w:top w:val="single" w:sz="12" w:space="0" w:color="000000"/>
              <w:bottom w:val="single" w:sz="12" w:space="0" w:color="000000"/>
            </w:tcBorders>
            <w:shd w:val="clear" w:color="auto" w:fill="auto"/>
          </w:tcPr>
          <w:p w14:paraId="03F59F82" w14:textId="77777777" w:rsidR="00F83112" w:rsidRPr="00DA6B56" w:rsidRDefault="00EB38E1" w:rsidP="00A9741A">
            <w:pPr>
              <w:pStyle w:val="TableHeading"/>
              <w:jc w:val="center"/>
            </w:pPr>
            <w:r>
              <w:t>G</w:t>
            </w:r>
            <w:r w:rsidR="008E50B0" w:rsidRPr="00DA6B56">
              <w:t>uideline value</w:t>
            </w:r>
            <w:r w:rsidR="008E50B0">
              <w:t xml:space="preserve"> </w:t>
            </w:r>
            <w:r w:rsidR="00AC4446">
              <w:t>(mg/L)</w:t>
            </w:r>
          </w:p>
        </w:tc>
      </w:tr>
      <w:tr w:rsidR="0054058D" w14:paraId="03F59F88" w14:textId="77777777" w:rsidTr="00020499">
        <w:trPr>
          <w:cantSplit/>
        </w:trPr>
        <w:tc>
          <w:tcPr>
            <w:tcW w:w="782" w:type="pct"/>
            <w:tcBorders>
              <w:top w:val="single" w:sz="12" w:space="0" w:color="000000"/>
            </w:tcBorders>
            <w:shd w:val="clear" w:color="auto" w:fill="auto"/>
          </w:tcPr>
          <w:p w14:paraId="03F59F84" w14:textId="77777777" w:rsidR="00F83112" w:rsidRPr="00DA6B56" w:rsidRDefault="00EB38E1" w:rsidP="00DA6B56">
            <w:pPr>
              <w:pStyle w:val="TableText"/>
            </w:pPr>
            <w:r>
              <w:t>Pigs</w:t>
            </w:r>
          </w:p>
        </w:tc>
        <w:tc>
          <w:tcPr>
            <w:tcW w:w="1563" w:type="pct"/>
            <w:tcBorders>
              <w:top w:val="single" w:sz="12" w:space="0" w:color="000000"/>
            </w:tcBorders>
            <w:shd w:val="clear" w:color="auto" w:fill="auto"/>
          </w:tcPr>
          <w:p w14:paraId="03F59F85" w14:textId="77777777" w:rsidR="00F83112" w:rsidRPr="00DA6B56" w:rsidRDefault="00EB38E1" w:rsidP="00DB502E">
            <w:pPr>
              <w:pStyle w:val="TableText"/>
              <w:jc w:val="center"/>
            </w:pPr>
            <w:r w:rsidRPr="00DA6B56">
              <w:t>100</w:t>
            </w:r>
          </w:p>
        </w:tc>
        <w:tc>
          <w:tcPr>
            <w:tcW w:w="1327" w:type="pct"/>
            <w:tcBorders>
              <w:top w:val="single" w:sz="12" w:space="0" w:color="000000"/>
            </w:tcBorders>
            <w:shd w:val="clear" w:color="auto" w:fill="auto"/>
          </w:tcPr>
          <w:p w14:paraId="03F59F86" w14:textId="77777777" w:rsidR="00F83112" w:rsidRPr="00DA6B56" w:rsidRDefault="00EB38E1" w:rsidP="00DB502E">
            <w:pPr>
              <w:pStyle w:val="TableText"/>
              <w:jc w:val="center"/>
            </w:pPr>
            <w:r w:rsidRPr="00DA6B56">
              <w:t>3</w:t>
            </w:r>
          </w:p>
        </w:tc>
        <w:tc>
          <w:tcPr>
            <w:tcW w:w="1327" w:type="pct"/>
            <w:tcBorders>
              <w:top w:val="single" w:sz="12" w:space="0" w:color="000000"/>
            </w:tcBorders>
            <w:shd w:val="clear" w:color="auto" w:fill="auto"/>
          </w:tcPr>
          <w:p w14:paraId="03F59F87" w14:textId="77777777" w:rsidR="00F83112" w:rsidRPr="00DA6B56" w:rsidRDefault="00EB38E1" w:rsidP="00DB502E">
            <w:pPr>
              <w:pStyle w:val="TableText"/>
              <w:jc w:val="center"/>
            </w:pPr>
            <w:r w:rsidRPr="00DA6B56">
              <w:t>1.29</w:t>
            </w:r>
          </w:p>
        </w:tc>
      </w:tr>
      <w:tr w:rsidR="0054058D" w14:paraId="03F59F8D" w14:textId="77777777" w:rsidTr="00020499">
        <w:trPr>
          <w:cantSplit/>
        </w:trPr>
        <w:tc>
          <w:tcPr>
            <w:tcW w:w="782" w:type="pct"/>
            <w:tcBorders>
              <w:bottom w:val="single" w:sz="4" w:space="0" w:color="000000"/>
            </w:tcBorders>
            <w:shd w:val="clear" w:color="auto" w:fill="auto"/>
          </w:tcPr>
          <w:p w14:paraId="03F59F89" w14:textId="77777777" w:rsidR="00F83112" w:rsidRPr="00DA6B56" w:rsidRDefault="00EB38E1" w:rsidP="00DA6B56">
            <w:pPr>
              <w:pStyle w:val="TableText"/>
            </w:pPr>
            <w:r w:rsidRPr="00DA6B56">
              <w:t>Cattle</w:t>
            </w:r>
          </w:p>
        </w:tc>
        <w:tc>
          <w:tcPr>
            <w:tcW w:w="1563" w:type="pct"/>
            <w:tcBorders>
              <w:bottom w:val="single" w:sz="4" w:space="0" w:color="000000"/>
            </w:tcBorders>
            <w:shd w:val="clear" w:color="auto" w:fill="auto"/>
          </w:tcPr>
          <w:p w14:paraId="03F59F8A" w14:textId="77777777" w:rsidR="00F83112" w:rsidRPr="00DA6B56" w:rsidRDefault="00EB38E1" w:rsidP="00DB502E">
            <w:pPr>
              <w:pStyle w:val="TableText"/>
              <w:jc w:val="center"/>
            </w:pPr>
            <w:r w:rsidRPr="00DA6B56">
              <w:t>100</w:t>
            </w:r>
          </w:p>
        </w:tc>
        <w:tc>
          <w:tcPr>
            <w:tcW w:w="1327" w:type="pct"/>
            <w:tcBorders>
              <w:bottom w:val="single" w:sz="4" w:space="0" w:color="000000"/>
            </w:tcBorders>
            <w:shd w:val="clear" w:color="auto" w:fill="auto"/>
          </w:tcPr>
          <w:p w14:paraId="03F59F8B" w14:textId="77777777" w:rsidR="00F83112" w:rsidRPr="00DA6B56" w:rsidRDefault="00EB38E1" w:rsidP="00DB502E">
            <w:pPr>
              <w:pStyle w:val="TableText"/>
              <w:jc w:val="center"/>
            </w:pPr>
            <w:r w:rsidRPr="00DA6B56">
              <w:t>3</w:t>
            </w:r>
          </w:p>
        </w:tc>
        <w:tc>
          <w:tcPr>
            <w:tcW w:w="1327" w:type="pct"/>
            <w:tcBorders>
              <w:bottom w:val="single" w:sz="4" w:space="0" w:color="000000"/>
            </w:tcBorders>
            <w:shd w:val="clear" w:color="auto" w:fill="auto"/>
          </w:tcPr>
          <w:p w14:paraId="03F59F8C" w14:textId="77777777" w:rsidR="00F83112" w:rsidRPr="00DA6B56" w:rsidRDefault="00EB38E1" w:rsidP="00DB502E">
            <w:pPr>
              <w:pStyle w:val="TableText"/>
              <w:jc w:val="center"/>
            </w:pPr>
            <w:r w:rsidRPr="00DA6B56">
              <w:t>1.57</w:t>
            </w:r>
          </w:p>
        </w:tc>
      </w:tr>
      <w:tr w:rsidR="0054058D" w14:paraId="03F59F92" w14:textId="77777777" w:rsidTr="00020499">
        <w:trPr>
          <w:cantSplit/>
        </w:trPr>
        <w:tc>
          <w:tcPr>
            <w:tcW w:w="782" w:type="pct"/>
            <w:tcBorders>
              <w:bottom w:val="single" w:sz="12" w:space="0" w:color="000000"/>
            </w:tcBorders>
            <w:shd w:val="clear" w:color="auto" w:fill="auto"/>
          </w:tcPr>
          <w:p w14:paraId="03F59F8E" w14:textId="77777777" w:rsidR="00F83112" w:rsidRPr="00DA6B56" w:rsidRDefault="00EB38E1" w:rsidP="00DA6B56">
            <w:pPr>
              <w:pStyle w:val="TableText"/>
              <w:rPr>
                <w:vertAlign w:val="superscript"/>
              </w:rPr>
            </w:pPr>
            <w:r w:rsidRPr="00DA6B56">
              <w:t>Sheep</w:t>
            </w:r>
          </w:p>
        </w:tc>
        <w:tc>
          <w:tcPr>
            <w:tcW w:w="1563" w:type="pct"/>
            <w:tcBorders>
              <w:bottom w:val="single" w:sz="12" w:space="0" w:color="000000"/>
            </w:tcBorders>
            <w:shd w:val="clear" w:color="auto" w:fill="auto"/>
          </w:tcPr>
          <w:p w14:paraId="03F59F8F" w14:textId="77777777" w:rsidR="00F83112" w:rsidRPr="00DA6B56" w:rsidRDefault="00EB38E1" w:rsidP="00DB502E">
            <w:pPr>
              <w:pStyle w:val="TableText"/>
              <w:jc w:val="center"/>
            </w:pPr>
            <w:r w:rsidRPr="00DA6B56">
              <w:t>100</w:t>
            </w:r>
          </w:p>
        </w:tc>
        <w:tc>
          <w:tcPr>
            <w:tcW w:w="1327" w:type="pct"/>
            <w:tcBorders>
              <w:bottom w:val="single" w:sz="12" w:space="0" w:color="000000"/>
            </w:tcBorders>
            <w:shd w:val="clear" w:color="auto" w:fill="auto"/>
          </w:tcPr>
          <w:p w14:paraId="03F59F90" w14:textId="77777777" w:rsidR="00F83112" w:rsidRPr="00DA6B56" w:rsidRDefault="00EB38E1" w:rsidP="00DB502E">
            <w:pPr>
              <w:pStyle w:val="TableText"/>
              <w:jc w:val="center"/>
            </w:pPr>
            <w:r w:rsidRPr="00DA6B56">
              <w:t>3</w:t>
            </w:r>
          </w:p>
        </w:tc>
        <w:tc>
          <w:tcPr>
            <w:tcW w:w="1327" w:type="pct"/>
            <w:tcBorders>
              <w:bottom w:val="single" w:sz="12" w:space="0" w:color="000000"/>
            </w:tcBorders>
            <w:shd w:val="clear" w:color="auto" w:fill="auto"/>
          </w:tcPr>
          <w:p w14:paraId="03F59F91" w14:textId="77777777" w:rsidR="00F83112" w:rsidRPr="00DA6B56" w:rsidRDefault="00EB38E1" w:rsidP="00DB502E">
            <w:pPr>
              <w:pStyle w:val="TableText"/>
              <w:jc w:val="center"/>
            </w:pPr>
            <w:r w:rsidRPr="00DA6B56">
              <w:t>1.40</w:t>
            </w:r>
          </w:p>
        </w:tc>
      </w:tr>
    </w:tbl>
    <w:p w14:paraId="03F59F93" w14:textId="77777777" w:rsidR="00114E5E" w:rsidRDefault="00EB38E1" w:rsidP="00C1087A">
      <w:pPr>
        <w:pStyle w:val="FigureTableNoteSource"/>
        <w:rPr>
          <w:rStyle w:val="Strong"/>
        </w:rPr>
      </w:pPr>
      <w:r w:rsidRPr="00D90D3B">
        <w:rPr>
          <w:rStyle w:val="Strong"/>
        </w:rPr>
        <w:t>a</w:t>
      </w:r>
      <w:r w:rsidRPr="00BC1F5B">
        <w:t xml:space="preserve"> Based on maximum tolerable dietary </w:t>
      </w:r>
      <w:proofErr w:type="gramStart"/>
      <w:r w:rsidRPr="00BC1F5B">
        <w:t>chromium(</w:t>
      </w:r>
      <w:proofErr w:type="gramEnd"/>
      <w:r w:rsidRPr="00BC1F5B">
        <w:t>III) in NRC (2005).</w:t>
      </w:r>
    </w:p>
    <w:p w14:paraId="03F59F94" w14:textId="77777777" w:rsidR="00F83112" w:rsidRDefault="00EB38E1" w:rsidP="00C1087A">
      <w:pPr>
        <w:pStyle w:val="FigureTableNoteSource"/>
      </w:pPr>
      <w:r w:rsidRPr="003C1A43">
        <w:rPr>
          <w:rStyle w:val="Strong"/>
        </w:rPr>
        <w:t>b</w:t>
      </w:r>
      <w:r>
        <w:t xml:space="preserve"> Safety factor of 3 was assumed for possible long-term effects.</w:t>
      </w:r>
    </w:p>
    <w:p w14:paraId="03F59F95" w14:textId="625D5024" w:rsidR="00F83112" w:rsidRDefault="00EB38E1" w:rsidP="00C1087A">
      <w:r>
        <w:t>T</w:t>
      </w:r>
      <w:r w:rsidR="002D2750">
        <w:t xml:space="preserve">he data in </w:t>
      </w:r>
      <w:r w:rsidR="00FE7917">
        <w:t xml:space="preserve">Table 3.12 </w:t>
      </w:r>
      <w:r w:rsidR="002D2750">
        <w:t xml:space="preserve">is based on maximum feed of only </w:t>
      </w:r>
      <w:proofErr w:type="gramStart"/>
      <w:r w:rsidR="002D2750">
        <w:t>chromium(</w:t>
      </w:r>
      <w:proofErr w:type="gramEnd"/>
      <w:r w:rsidR="002D2750">
        <w:t>III) (from NRC 2005)</w:t>
      </w:r>
      <w:r>
        <w:t>;</w:t>
      </w:r>
      <w:r w:rsidR="002D2750">
        <w:t xml:space="preserve"> </w:t>
      </w:r>
      <w:r w:rsidR="004E0E0D">
        <w:t xml:space="preserve">while </w:t>
      </w:r>
      <w:r w:rsidR="002D2750">
        <w:t xml:space="preserve">the guideline values presented in </w:t>
      </w:r>
      <w:r w:rsidR="00FE7917">
        <w:t>Table 3.13</w:t>
      </w:r>
      <w:r w:rsidR="00EC18B0">
        <w:t xml:space="preserve"> </w:t>
      </w:r>
      <w:r w:rsidR="002D2750">
        <w:t>for chromium(VI) are based on values from the literature.</w:t>
      </w:r>
    </w:p>
    <w:p w14:paraId="03F59F96" w14:textId="5DE42B40" w:rsidR="00325DFC" w:rsidRDefault="00EB38E1" w:rsidP="00DF778F">
      <w:pPr>
        <w:pStyle w:val="Caption"/>
      </w:pPr>
      <w:bookmarkStart w:id="306" w:name="_Ref84839792"/>
      <w:bookmarkStart w:id="307" w:name="_Toc148089858"/>
      <w:r>
        <w:t>Table </w:t>
      </w:r>
      <w:bookmarkEnd w:id="306"/>
      <w:r w:rsidR="00257B02">
        <w:t>3.</w:t>
      </w:r>
      <w:r w:rsidR="00EC18B0">
        <w:t xml:space="preserve">13 </w:t>
      </w:r>
      <w:r w:rsidR="00F83112">
        <w:t xml:space="preserve">Calculated guideline values </w:t>
      </w:r>
      <w:r w:rsidR="005C50B0">
        <w:t xml:space="preserve">for </w:t>
      </w:r>
      <w:proofErr w:type="gramStart"/>
      <w:r w:rsidR="005C50B0">
        <w:t>chromium(</w:t>
      </w:r>
      <w:proofErr w:type="gramEnd"/>
      <w:r w:rsidR="00F12A01">
        <w:t>VI</w:t>
      </w:r>
      <w:r w:rsidR="005C50B0">
        <w:t>) in livestock drinking water</w:t>
      </w:r>
      <w:bookmarkEnd w:id="307"/>
    </w:p>
    <w:tbl>
      <w:tblPr>
        <w:tblW w:w="5000" w:type="pct"/>
        <w:tblBorders>
          <w:top w:val="single" w:sz="4" w:space="0" w:color="000000"/>
          <w:bottom w:val="single" w:sz="4" w:space="0" w:color="000000"/>
          <w:insideH w:val="single" w:sz="4" w:space="0" w:color="000000"/>
        </w:tblBorders>
        <w:tblLook w:val="04A0" w:firstRow="1" w:lastRow="0" w:firstColumn="1" w:lastColumn="0" w:noHBand="0" w:noVBand="1"/>
      </w:tblPr>
      <w:tblGrid>
        <w:gridCol w:w="1133"/>
        <w:gridCol w:w="2979"/>
        <w:gridCol w:w="1275"/>
        <w:gridCol w:w="1983"/>
        <w:gridCol w:w="1700"/>
      </w:tblGrid>
      <w:tr w:rsidR="0054058D" w14:paraId="03F59F9C" w14:textId="77777777" w:rsidTr="00B94350">
        <w:trPr>
          <w:cantSplit/>
        </w:trPr>
        <w:tc>
          <w:tcPr>
            <w:tcW w:w="625" w:type="pct"/>
            <w:tcBorders>
              <w:top w:val="single" w:sz="12" w:space="0" w:color="000000"/>
              <w:bottom w:val="single" w:sz="12" w:space="0" w:color="000000"/>
            </w:tcBorders>
            <w:shd w:val="clear" w:color="auto" w:fill="auto"/>
          </w:tcPr>
          <w:p w14:paraId="03F59F97" w14:textId="77777777" w:rsidR="00F83112" w:rsidRPr="00181752" w:rsidRDefault="00EB38E1" w:rsidP="00181752">
            <w:pPr>
              <w:pStyle w:val="TableHeading"/>
            </w:pPr>
            <w:r>
              <w:t>Livestock</w:t>
            </w:r>
          </w:p>
        </w:tc>
        <w:tc>
          <w:tcPr>
            <w:tcW w:w="1642" w:type="pct"/>
            <w:tcBorders>
              <w:top w:val="single" w:sz="12" w:space="0" w:color="000000"/>
              <w:bottom w:val="single" w:sz="12" w:space="0" w:color="000000"/>
            </w:tcBorders>
            <w:shd w:val="clear" w:color="auto" w:fill="auto"/>
          </w:tcPr>
          <w:p w14:paraId="03F59F98" w14:textId="30D85882" w:rsidR="00F83112" w:rsidRPr="00181752" w:rsidRDefault="00EB38E1" w:rsidP="00181752">
            <w:pPr>
              <w:pStyle w:val="TableHeading"/>
            </w:pPr>
            <w:proofErr w:type="spellStart"/>
            <w:r w:rsidRPr="00181752">
              <w:t>LOAEL</w:t>
            </w:r>
            <w:r w:rsidRPr="008B24A0">
              <w:rPr>
                <w:rStyle w:val="Strong"/>
                <w:b/>
                <w:vertAlign w:val="superscript"/>
              </w:rPr>
              <w:t>a</w:t>
            </w:r>
            <w:proofErr w:type="spellEnd"/>
            <w:r w:rsidRPr="00181752">
              <w:t>/</w:t>
            </w:r>
            <w:r w:rsidR="00B94350">
              <w:t xml:space="preserve"> </w:t>
            </w:r>
            <w:r w:rsidRPr="00181752">
              <w:t>LD50</w:t>
            </w:r>
          </w:p>
        </w:tc>
        <w:tc>
          <w:tcPr>
            <w:tcW w:w="703" w:type="pct"/>
            <w:tcBorders>
              <w:top w:val="single" w:sz="12" w:space="0" w:color="000000"/>
              <w:bottom w:val="single" w:sz="12" w:space="0" w:color="000000"/>
            </w:tcBorders>
            <w:shd w:val="clear" w:color="auto" w:fill="auto"/>
          </w:tcPr>
          <w:p w14:paraId="03F59F99" w14:textId="77777777" w:rsidR="00F83112" w:rsidRPr="00181752" w:rsidRDefault="00EB38E1" w:rsidP="000F785B">
            <w:pPr>
              <w:pStyle w:val="TableHeading"/>
              <w:jc w:val="center"/>
            </w:pPr>
            <w:r w:rsidRPr="00181752">
              <w:t xml:space="preserve">Safety </w:t>
            </w:r>
            <w:r w:rsidR="00E225C1" w:rsidRPr="00181752">
              <w:t>factor</w:t>
            </w:r>
          </w:p>
        </w:tc>
        <w:tc>
          <w:tcPr>
            <w:tcW w:w="1093" w:type="pct"/>
            <w:tcBorders>
              <w:top w:val="single" w:sz="12" w:space="0" w:color="000000"/>
              <w:bottom w:val="single" w:sz="12" w:space="0" w:color="000000"/>
            </w:tcBorders>
            <w:shd w:val="clear" w:color="auto" w:fill="auto"/>
          </w:tcPr>
          <w:p w14:paraId="03F59F9A" w14:textId="77777777" w:rsidR="00F83112" w:rsidRPr="00181752" w:rsidRDefault="00EB38E1" w:rsidP="000F785B">
            <w:pPr>
              <w:pStyle w:val="TableHeading"/>
              <w:jc w:val="center"/>
            </w:pPr>
            <w:r w:rsidRPr="00181752">
              <w:t xml:space="preserve">Guideline </w:t>
            </w:r>
            <w:r w:rsidR="00E225C1" w:rsidRPr="00181752">
              <w:t>value</w:t>
            </w:r>
            <w:r w:rsidR="00E225C1">
              <w:t xml:space="preserve"> </w:t>
            </w:r>
            <w:r w:rsidR="003C3272">
              <w:t>(mg/L)</w:t>
            </w:r>
          </w:p>
        </w:tc>
        <w:tc>
          <w:tcPr>
            <w:tcW w:w="937" w:type="pct"/>
            <w:tcBorders>
              <w:top w:val="single" w:sz="12" w:space="0" w:color="000000"/>
              <w:bottom w:val="single" w:sz="12" w:space="0" w:color="000000"/>
            </w:tcBorders>
            <w:shd w:val="clear" w:color="auto" w:fill="auto"/>
          </w:tcPr>
          <w:p w14:paraId="03F59F9B" w14:textId="77777777" w:rsidR="00F83112" w:rsidRPr="00181752" w:rsidRDefault="00EB38E1" w:rsidP="00181752">
            <w:pPr>
              <w:pStyle w:val="TableHeading"/>
            </w:pPr>
            <w:r w:rsidRPr="00181752">
              <w:t>Reference</w:t>
            </w:r>
          </w:p>
        </w:tc>
      </w:tr>
      <w:tr w:rsidR="0054058D" w14:paraId="03F59FA2" w14:textId="77777777" w:rsidTr="00B94350">
        <w:trPr>
          <w:cantSplit/>
        </w:trPr>
        <w:tc>
          <w:tcPr>
            <w:tcW w:w="625" w:type="pct"/>
            <w:tcBorders>
              <w:top w:val="single" w:sz="12" w:space="0" w:color="000000"/>
            </w:tcBorders>
            <w:shd w:val="clear" w:color="auto" w:fill="auto"/>
          </w:tcPr>
          <w:p w14:paraId="03F59F9D" w14:textId="77777777" w:rsidR="00F83112" w:rsidRPr="00181752" w:rsidRDefault="00EB38E1" w:rsidP="00181752">
            <w:pPr>
              <w:pStyle w:val="TableText"/>
            </w:pPr>
            <w:r w:rsidRPr="00181752">
              <w:t>Rat</w:t>
            </w:r>
          </w:p>
        </w:tc>
        <w:tc>
          <w:tcPr>
            <w:tcW w:w="1642" w:type="pct"/>
            <w:tcBorders>
              <w:top w:val="single" w:sz="12" w:space="0" w:color="000000"/>
            </w:tcBorders>
            <w:shd w:val="clear" w:color="auto" w:fill="auto"/>
          </w:tcPr>
          <w:p w14:paraId="03F59F9E" w14:textId="77777777" w:rsidR="00F83112" w:rsidRPr="00181752" w:rsidRDefault="00EB38E1" w:rsidP="00181752">
            <w:pPr>
              <w:pStyle w:val="TableText"/>
            </w:pPr>
            <w:r w:rsidRPr="00181752">
              <w:t>0.2 mg/kg body weight</w:t>
            </w:r>
          </w:p>
        </w:tc>
        <w:tc>
          <w:tcPr>
            <w:tcW w:w="703" w:type="pct"/>
            <w:tcBorders>
              <w:top w:val="single" w:sz="12" w:space="0" w:color="000000"/>
            </w:tcBorders>
            <w:shd w:val="clear" w:color="auto" w:fill="auto"/>
          </w:tcPr>
          <w:p w14:paraId="03F59F9F" w14:textId="76C84E7C" w:rsidR="00F83112" w:rsidRPr="00181752" w:rsidRDefault="00EB38E1" w:rsidP="004C6E6D">
            <w:pPr>
              <w:pStyle w:val="TableText"/>
              <w:tabs>
                <w:tab w:val="decimal" w:pos="599"/>
              </w:tabs>
              <w:ind w:left="174" w:hanging="174"/>
              <w:rPr>
                <w:vertAlign w:val="superscript"/>
              </w:rPr>
            </w:pPr>
            <w:r w:rsidRPr="00181752">
              <w:t>3</w:t>
            </w:r>
            <w:r w:rsidRPr="00446786">
              <w:rPr>
                <w:rStyle w:val="Strong"/>
                <w:vertAlign w:val="superscript"/>
              </w:rPr>
              <w:t>b</w:t>
            </w:r>
          </w:p>
        </w:tc>
        <w:tc>
          <w:tcPr>
            <w:tcW w:w="1093" w:type="pct"/>
            <w:tcBorders>
              <w:top w:val="single" w:sz="12" w:space="0" w:color="000000"/>
            </w:tcBorders>
            <w:shd w:val="clear" w:color="auto" w:fill="auto"/>
          </w:tcPr>
          <w:p w14:paraId="03F59FA0" w14:textId="77777777" w:rsidR="00F83112" w:rsidRPr="00181752" w:rsidRDefault="00EB38E1" w:rsidP="002B123B">
            <w:pPr>
              <w:pStyle w:val="TableText"/>
              <w:jc w:val="center"/>
            </w:pPr>
            <w:r w:rsidRPr="00181752">
              <w:t>0.89</w:t>
            </w:r>
          </w:p>
        </w:tc>
        <w:tc>
          <w:tcPr>
            <w:tcW w:w="937" w:type="pct"/>
            <w:tcBorders>
              <w:top w:val="single" w:sz="12" w:space="0" w:color="000000"/>
            </w:tcBorders>
            <w:shd w:val="clear" w:color="auto" w:fill="auto"/>
          </w:tcPr>
          <w:p w14:paraId="03F59FA1" w14:textId="77777777" w:rsidR="00F83112" w:rsidRPr="00181752" w:rsidRDefault="00EB38E1" w:rsidP="00181752">
            <w:pPr>
              <w:pStyle w:val="TableText"/>
            </w:pPr>
            <w:r w:rsidRPr="00181752">
              <w:t>Stout et al. (2009)</w:t>
            </w:r>
          </w:p>
        </w:tc>
      </w:tr>
      <w:tr w:rsidR="0054058D" w14:paraId="03F59FA8" w14:textId="77777777" w:rsidTr="00B94350">
        <w:trPr>
          <w:cantSplit/>
        </w:trPr>
        <w:tc>
          <w:tcPr>
            <w:tcW w:w="625" w:type="pct"/>
            <w:shd w:val="clear" w:color="auto" w:fill="auto"/>
          </w:tcPr>
          <w:p w14:paraId="03F59FA3" w14:textId="77777777" w:rsidR="00F83112" w:rsidRPr="00181752" w:rsidRDefault="00EB38E1" w:rsidP="00181752">
            <w:pPr>
              <w:pStyle w:val="TableText"/>
            </w:pPr>
            <w:r w:rsidRPr="00181752">
              <w:t>Poultry (quail)</w:t>
            </w:r>
          </w:p>
        </w:tc>
        <w:tc>
          <w:tcPr>
            <w:tcW w:w="1642" w:type="pct"/>
            <w:shd w:val="clear" w:color="auto" w:fill="auto"/>
          </w:tcPr>
          <w:p w14:paraId="03F59FA4" w14:textId="77777777" w:rsidR="00F83112" w:rsidRPr="00181752" w:rsidRDefault="00EB38E1" w:rsidP="00181752">
            <w:pPr>
              <w:pStyle w:val="TableText"/>
            </w:pPr>
            <w:r w:rsidRPr="00181752">
              <w:t>50.1 mg/kg feed ~ converted to 2.68 mg/kg body weight</w:t>
            </w:r>
            <w:r w:rsidRPr="00181752">
              <w:rPr>
                <w:vertAlign w:val="superscript"/>
              </w:rPr>
              <w:t>+</w:t>
            </w:r>
          </w:p>
        </w:tc>
        <w:tc>
          <w:tcPr>
            <w:tcW w:w="703" w:type="pct"/>
            <w:shd w:val="clear" w:color="auto" w:fill="auto"/>
          </w:tcPr>
          <w:p w14:paraId="03F59FA5" w14:textId="7D77F463" w:rsidR="00F83112" w:rsidRPr="00446786" w:rsidRDefault="00EB38E1" w:rsidP="004C6E6D">
            <w:pPr>
              <w:pStyle w:val="TableText"/>
              <w:tabs>
                <w:tab w:val="decimal" w:pos="599"/>
              </w:tabs>
              <w:ind w:left="174" w:hanging="174"/>
              <w:rPr>
                <w:rStyle w:val="Strong"/>
              </w:rPr>
            </w:pPr>
            <w:r w:rsidRPr="00181752">
              <w:t>30</w:t>
            </w:r>
            <w:r w:rsidRPr="00446786">
              <w:rPr>
                <w:rStyle w:val="Strong"/>
                <w:vertAlign w:val="superscript"/>
              </w:rPr>
              <w:t>c</w:t>
            </w:r>
          </w:p>
        </w:tc>
        <w:tc>
          <w:tcPr>
            <w:tcW w:w="1093" w:type="pct"/>
            <w:shd w:val="clear" w:color="auto" w:fill="auto"/>
          </w:tcPr>
          <w:p w14:paraId="03F59FA6" w14:textId="77777777" w:rsidR="00F83112" w:rsidRPr="00181752" w:rsidRDefault="00EB38E1" w:rsidP="002B123B">
            <w:pPr>
              <w:pStyle w:val="TableText"/>
              <w:jc w:val="center"/>
            </w:pPr>
            <w:r w:rsidRPr="00181752">
              <w:t>0.63</w:t>
            </w:r>
          </w:p>
        </w:tc>
        <w:tc>
          <w:tcPr>
            <w:tcW w:w="937" w:type="pct"/>
            <w:shd w:val="clear" w:color="auto" w:fill="auto"/>
          </w:tcPr>
          <w:p w14:paraId="03F59FA7" w14:textId="77777777" w:rsidR="00F83112" w:rsidRPr="00181752" w:rsidRDefault="00EB38E1" w:rsidP="00181752">
            <w:pPr>
              <w:pStyle w:val="TableText"/>
            </w:pPr>
            <w:proofErr w:type="spellStart"/>
            <w:r w:rsidRPr="00181752">
              <w:t>Butkauskas</w:t>
            </w:r>
            <w:proofErr w:type="spellEnd"/>
            <w:r w:rsidRPr="00181752">
              <w:t xml:space="preserve"> </w:t>
            </w:r>
            <w:r w:rsidR="00725B24">
              <w:t xml:space="preserve">and </w:t>
            </w:r>
            <w:proofErr w:type="spellStart"/>
            <w:r w:rsidR="00725B24">
              <w:t>Sruoga</w:t>
            </w:r>
            <w:proofErr w:type="spellEnd"/>
            <w:r w:rsidRPr="00181752">
              <w:t xml:space="preserve"> (2004)</w:t>
            </w:r>
          </w:p>
        </w:tc>
      </w:tr>
      <w:tr w:rsidR="0054058D" w14:paraId="03F59FAE" w14:textId="77777777" w:rsidTr="00B94350">
        <w:trPr>
          <w:cantSplit/>
        </w:trPr>
        <w:tc>
          <w:tcPr>
            <w:tcW w:w="625" w:type="pct"/>
            <w:tcBorders>
              <w:bottom w:val="single" w:sz="4" w:space="0" w:color="000000"/>
            </w:tcBorders>
            <w:shd w:val="clear" w:color="auto" w:fill="auto"/>
          </w:tcPr>
          <w:p w14:paraId="03F59FA9" w14:textId="77777777" w:rsidR="00F83112" w:rsidRPr="00181752" w:rsidRDefault="00EB38E1" w:rsidP="00181752">
            <w:pPr>
              <w:pStyle w:val="TableText"/>
              <w:rPr>
                <w:vertAlign w:val="superscript"/>
              </w:rPr>
            </w:pPr>
            <w:r w:rsidRPr="00181752">
              <w:t>Poultry</w:t>
            </w:r>
          </w:p>
        </w:tc>
        <w:tc>
          <w:tcPr>
            <w:tcW w:w="1642" w:type="pct"/>
            <w:tcBorders>
              <w:bottom w:val="single" w:sz="4" w:space="0" w:color="000000"/>
            </w:tcBorders>
            <w:shd w:val="clear" w:color="auto" w:fill="auto"/>
          </w:tcPr>
          <w:p w14:paraId="03F59FAA" w14:textId="77777777" w:rsidR="00F83112" w:rsidRPr="00181752" w:rsidRDefault="00EB38E1" w:rsidP="00181752">
            <w:pPr>
              <w:pStyle w:val="TableText"/>
            </w:pPr>
            <w:r w:rsidRPr="00181752">
              <w:t>88.4 mg/kg feed ~ 4.74 mg/kg body weight</w:t>
            </w:r>
          </w:p>
        </w:tc>
        <w:tc>
          <w:tcPr>
            <w:tcW w:w="703" w:type="pct"/>
            <w:tcBorders>
              <w:bottom w:val="single" w:sz="4" w:space="0" w:color="000000"/>
            </w:tcBorders>
            <w:shd w:val="clear" w:color="auto" w:fill="auto"/>
          </w:tcPr>
          <w:p w14:paraId="03F59FAB" w14:textId="7DE77837" w:rsidR="00F83112" w:rsidRPr="00181752" w:rsidRDefault="00EB38E1" w:rsidP="004C6E6D">
            <w:pPr>
              <w:pStyle w:val="TableText"/>
              <w:tabs>
                <w:tab w:val="decimal" w:pos="599"/>
              </w:tabs>
              <w:ind w:left="174" w:hanging="174"/>
              <w:rPr>
                <w:vertAlign w:val="superscript"/>
              </w:rPr>
            </w:pPr>
            <w:r w:rsidRPr="00181752">
              <w:t>30</w:t>
            </w:r>
            <w:r w:rsidRPr="00446786">
              <w:rPr>
                <w:rStyle w:val="Strong"/>
                <w:vertAlign w:val="superscript"/>
              </w:rPr>
              <w:t>c</w:t>
            </w:r>
          </w:p>
        </w:tc>
        <w:tc>
          <w:tcPr>
            <w:tcW w:w="1093" w:type="pct"/>
            <w:tcBorders>
              <w:bottom w:val="single" w:sz="4" w:space="0" w:color="000000"/>
            </w:tcBorders>
            <w:shd w:val="clear" w:color="auto" w:fill="auto"/>
          </w:tcPr>
          <w:p w14:paraId="03F59FAC" w14:textId="77777777" w:rsidR="00F83112" w:rsidRPr="00181752" w:rsidRDefault="00EB38E1" w:rsidP="002B123B">
            <w:pPr>
              <w:pStyle w:val="TableText"/>
              <w:jc w:val="center"/>
            </w:pPr>
            <w:r w:rsidRPr="00181752">
              <w:t>1.12</w:t>
            </w:r>
          </w:p>
        </w:tc>
        <w:tc>
          <w:tcPr>
            <w:tcW w:w="937" w:type="pct"/>
            <w:tcBorders>
              <w:bottom w:val="single" w:sz="4" w:space="0" w:color="000000"/>
            </w:tcBorders>
            <w:shd w:val="clear" w:color="auto" w:fill="auto"/>
          </w:tcPr>
          <w:p w14:paraId="03F59FAD" w14:textId="77777777" w:rsidR="00F83112" w:rsidRPr="00181752" w:rsidRDefault="00EB38E1" w:rsidP="00181752">
            <w:pPr>
              <w:pStyle w:val="TableText"/>
            </w:pPr>
            <w:r w:rsidRPr="00181752">
              <w:t>Asma et al. (1999)</w:t>
            </w:r>
          </w:p>
        </w:tc>
      </w:tr>
      <w:tr w:rsidR="0054058D" w14:paraId="03F59FB4" w14:textId="77777777" w:rsidTr="00B94350">
        <w:trPr>
          <w:cantSplit/>
          <w:trHeight w:val="323"/>
        </w:trPr>
        <w:tc>
          <w:tcPr>
            <w:tcW w:w="625" w:type="pct"/>
            <w:tcBorders>
              <w:bottom w:val="single" w:sz="12" w:space="0" w:color="000000"/>
            </w:tcBorders>
            <w:shd w:val="clear" w:color="auto" w:fill="auto"/>
          </w:tcPr>
          <w:p w14:paraId="03F59FAF" w14:textId="7103A86E" w:rsidR="00F83112" w:rsidRPr="00181752" w:rsidRDefault="00EB38E1" w:rsidP="00181752">
            <w:pPr>
              <w:pStyle w:val="TableText"/>
            </w:pPr>
            <w:r w:rsidRPr="00181752">
              <w:t>Rabbit</w:t>
            </w:r>
            <w:r w:rsidR="002B123B">
              <w:t>s</w:t>
            </w:r>
          </w:p>
        </w:tc>
        <w:tc>
          <w:tcPr>
            <w:tcW w:w="1642" w:type="pct"/>
            <w:tcBorders>
              <w:bottom w:val="single" w:sz="12" w:space="0" w:color="000000"/>
            </w:tcBorders>
            <w:shd w:val="clear" w:color="auto" w:fill="auto"/>
          </w:tcPr>
          <w:p w14:paraId="03F59FB0" w14:textId="77777777" w:rsidR="00F83112" w:rsidRPr="00181752" w:rsidRDefault="00EB38E1" w:rsidP="00181752">
            <w:pPr>
              <w:pStyle w:val="TableText"/>
            </w:pPr>
            <w:r w:rsidRPr="00181752">
              <w:t>0.14 mg/kg body weight</w:t>
            </w:r>
          </w:p>
        </w:tc>
        <w:tc>
          <w:tcPr>
            <w:tcW w:w="703" w:type="pct"/>
            <w:tcBorders>
              <w:bottom w:val="single" w:sz="12" w:space="0" w:color="000000"/>
            </w:tcBorders>
            <w:shd w:val="clear" w:color="auto" w:fill="auto"/>
          </w:tcPr>
          <w:p w14:paraId="03F59FB1" w14:textId="33FBD8BB" w:rsidR="00F83112" w:rsidRPr="00181752" w:rsidRDefault="00EB38E1" w:rsidP="004C6E6D">
            <w:pPr>
              <w:pStyle w:val="TableText"/>
              <w:tabs>
                <w:tab w:val="decimal" w:pos="599"/>
              </w:tabs>
              <w:ind w:left="174" w:hanging="174"/>
            </w:pPr>
            <w:r w:rsidRPr="00181752">
              <w:t>30</w:t>
            </w:r>
            <w:r w:rsidRPr="00446786">
              <w:rPr>
                <w:rStyle w:val="Strong"/>
                <w:vertAlign w:val="superscript"/>
              </w:rPr>
              <w:t>c</w:t>
            </w:r>
          </w:p>
        </w:tc>
        <w:tc>
          <w:tcPr>
            <w:tcW w:w="1093" w:type="pct"/>
            <w:tcBorders>
              <w:bottom w:val="single" w:sz="12" w:space="0" w:color="000000"/>
            </w:tcBorders>
            <w:shd w:val="clear" w:color="auto" w:fill="auto"/>
          </w:tcPr>
          <w:p w14:paraId="03F59FB2" w14:textId="77777777" w:rsidR="00F83112" w:rsidRPr="00181752" w:rsidRDefault="00EB38E1" w:rsidP="002B123B">
            <w:pPr>
              <w:pStyle w:val="TableText"/>
              <w:jc w:val="center"/>
            </w:pPr>
            <w:r w:rsidRPr="00181752">
              <w:t>0.05</w:t>
            </w:r>
          </w:p>
        </w:tc>
        <w:tc>
          <w:tcPr>
            <w:tcW w:w="937" w:type="pct"/>
            <w:tcBorders>
              <w:bottom w:val="single" w:sz="12" w:space="0" w:color="000000"/>
            </w:tcBorders>
            <w:shd w:val="clear" w:color="auto" w:fill="auto"/>
          </w:tcPr>
          <w:p w14:paraId="03F59FB3" w14:textId="77777777" w:rsidR="00F83112" w:rsidRPr="00181752" w:rsidRDefault="00EB38E1" w:rsidP="00181752">
            <w:pPr>
              <w:pStyle w:val="TableText"/>
            </w:pPr>
            <w:r w:rsidRPr="00181752">
              <w:t>Abdel-Rahman et al. (2012)</w:t>
            </w:r>
          </w:p>
        </w:tc>
      </w:tr>
    </w:tbl>
    <w:p w14:paraId="03F59FB5" w14:textId="23177080" w:rsidR="00F83112" w:rsidRDefault="00EB38E1" w:rsidP="00C1087A">
      <w:pPr>
        <w:pStyle w:val="FigureTableNoteSource"/>
      </w:pPr>
      <w:proofErr w:type="spellStart"/>
      <w:r w:rsidRPr="001718CD">
        <w:rPr>
          <w:rStyle w:val="Strong"/>
        </w:rPr>
        <w:t>a</w:t>
      </w:r>
      <w:proofErr w:type="spellEnd"/>
      <w:r>
        <w:t xml:space="preserve"> Any concentration tested that showed an effect was assumed the LOAEL</w:t>
      </w:r>
      <w:r w:rsidR="00B94350">
        <w:t xml:space="preserve"> (</w:t>
      </w:r>
      <w:r w:rsidR="00D90A07" w:rsidRPr="00B94350">
        <w:t>lowest observed adverse effect level</w:t>
      </w:r>
      <w:r w:rsidR="00B94350">
        <w:t>)</w:t>
      </w:r>
      <w:r>
        <w:t xml:space="preserve">, even in cases where a range of concentrations were not fed to a species. Feed </w:t>
      </w:r>
      <w:proofErr w:type="gramStart"/>
      <w:r>
        <w:t>LOAEL</w:t>
      </w:r>
      <w:proofErr w:type="gramEnd"/>
      <w:r>
        <w:t xml:space="preserve"> were converted to body weight limits using the standard values</w:t>
      </w:r>
      <w:r w:rsidR="00D07FBC">
        <w:t>.</w:t>
      </w:r>
    </w:p>
    <w:p w14:paraId="03F59FB6" w14:textId="77777777" w:rsidR="00F83112" w:rsidRDefault="00EB38E1" w:rsidP="00C1087A">
      <w:pPr>
        <w:pStyle w:val="FigureTableNoteSource"/>
      </w:pPr>
      <w:r w:rsidRPr="001718CD">
        <w:rPr>
          <w:rStyle w:val="Strong"/>
        </w:rPr>
        <w:t>b</w:t>
      </w:r>
      <w:r>
        <w:t xml:space="preserve"> Safety factor of 3 due to intra-species variation as it was assumed that long-term effects were accounted for by the length of the study.</w:t>
      </w:r>
    </w:p>
    <w:p w14:paraId="03F59FB7" w14:textId="5FB6566C" w:rsidR="00F83112" w:rsidRDefault="00EB38E1" w:rsidP="00C1087A">
      <w:pPr>
        <w:pStyle w:val="FigureTableNoteSource"/>
      </w:pPr>
      <w:r w:rsidRPr="001718CD">
        <w:rPr>
          <w:rStyle w:val="Strong"/>
        </w:rPr>
        <w:t>c</w:t>
      </w:r>
      <w:r>
        <w:t xml:space="preserve"> Safety factor of 30 due to possible long-term effects</w:t>
      </w:r>
      <w:r w:rsidR="00725B24">
        <w:t>,</w:t>
      </w:r>
      <w:r>
        <w:t xml:space="preserve"> tissue accumulation and intra-species variation.</w:t>
      </w:r>
    </w:p>
    <w:p w14:paraId="03F59FB8" w14:textId="38A3F891" w:rsidR="00E767D6" w:rsidRDefault="003A647C" w:rsidP="000C6B83">
      <w:pPr>
        <w:pStyle w:val="Heading4"/>
        <w:rPr>
          <w:lang w:eastAsia="ja-JP"/>
        </w:rPr>
      </w:pPr>
      <w:bookmarkStart w:id="308" w:name="_Toc134441490"/>
      <w:bookmarkStart w:id="309" w:name="_Toc134441806"/>
      <w:bookmarkStart w:id="310" w:name="_Toc134442327"/>
      <w:bookmarkStart w:id="311" w:name="_Toc134442538"/>
      <w:bookmarkStart w:id="312" w:name="_Toc134441491"/>
      <w:bookmarkStart w:id="313" w:name="_Toc134441807"/>
      <w:bookmarkStart w:id="314" w:name="_Toc134442328"/>
      <w:bookmarkStart w:id="315" w:name="_Toc134442539"/>
      <w:bookmarkStart w:id="316" w:name="_Toc134442329"/>
      <w:bookmarkStart w:id="317" w:name="_Toc141704569"/>
      <w:bookmarkEnd w:id="308"/>
      <w:bookmarkEnd w:id="309"/>
      <w:bookmarkEnd w:id="310"/>
      <w:bookmarkEnd w:id="311"/>
      <w:bookmarkEnd w:id="312"/>
      <w:bookmarkEnd w:id="313"/>
      <w:bookmarkEnd w:id="314"/>
      <w:bookmarkEnd w:id="315"/>
      <w:r>
        <w:rPr>
          <w:lang w:eastAsia="ja-JP"/>
        </w:rPr>
        <w:lastRenderedPageBreak/>
        <w:t>3.3.7</w:t>
      </w:r>
      <w:r>
        <w:rPr>
          <w:lang w:eastAsia="ja-JP"/>
        </w:rPr>
        <w:tab/>
      </w:r>
      <w:r w:rsidR="00EB38E1">
        <w:rPr>
          <w:lang w:eastAsia="ja-JP"/>
        </w:rPr>
        <w:t>Cobalt</w:t>
      </w:r>
      <w:bookmarkEnd w:id="316"/>
      <w:bookmarkEnd w:id="317"/>
    </w:p>
    <w:p w14:paraId="3FF9A0AE" w14:textId="69E56232" w:rsidR="00537453" w:rsidRPr="00537453" w:rsidRDefault="00EB38E1" w:rsidP="00537453">
      <w:pPr>
        <w:rPr>
          <w:b/>
          <w:bCs/>
          <w:i/>
          <w:iCs/>
        </w:rPr>
      </w:pPr>
      <w:bookmarkStart w:id="318" w:name="_Hlk135129426"/>
      <w:r w:rsidRPr="00B760DA">
        <w:rPr>
          <w:b/>
          <w:bCs/>
          <w:i/>
          <w:iCs/>
        </w:rPr>
        <w:t>Total cobalt c</w:t>
      </w:r>
      <w:r w:rsidR="002D2750" w:rsidRPr="00B760DA">
        <w:rPr>
          <w:b/>
          <w:bCs/>
          <w:i/>
          <w:iCs/>
        </w:rPr>
        <w:t xml:space="preserve">oncentrations </w:t>
      </w:r>
      <w:r w:rsidR="00B333DB" w:rsidRPr="00B760DA">
        <w:rPr>
          <w:b/>
          <w:bCs/>
          <w:i/>
          <w:iCs/>
        </w:rPr>
        <w:t>&lt;</w:t>
      </w:r>
      <w:r w:rsidR="002D2750" w:rsidRPr="00B760DA">
        <w:rPr>
          <w:b/>
          <w:bCs/>
          <w:i/>
          <w:iCs/>
        </w:rPr>
        <w:t xml:space="preserve">1 mg/L in livestock drinking water </w:t>
      </w:r>
      <w:r w:rsidR="00B333DB" w:rsidRPr="00B760DA">
        <w:rPr>
          <w:b/>
          <w:bCs/>
          <w:i/>
          <w:iCs/>
        </w:rPr>
        <w:t>should not be harmful to animal health</w:t>
      </w:r>
      <w:r w:rsidR="00F9100D" w:rsidRPr="00B760DA">
        <w:rPr>
          <w:b/>
          <w:bCs/>
          <w:i/>
          <w:iCs/>
        </w:rPr>
        <w:t xml:space="preserve">. </w:t>
      </w:r>
      <w:r w:rsidR="00537453" w:rsidRPr="00537453">
        <w:rPr>
          <w:b/>
          <w:bCs/>
          <w:i/>
          <w:iCs/>
        </w:rPr>
        <w:t xml:space="preserve">If livestock diets are high in </w:t>
      </w:r>
      <w:r w:rsidR="00537453">
        <w:rPr>
          <w:b/>
          <w:bCs/>
          <w:i/>
          <w:iCs/>
        </w:rPr>
        <w:t>cobalt</w:t>
      </w:r>
      <w:r w:rsidR="00537453" w:rsidRPr="00537453">
        <w:rPr>
          <w:b/>
          <w:bCs/>
          <w:i/>
          <w:iCs/>
        </w:rPr>
        <w:t>, the concentration in drinking water should be reduced.</w:t>
      </w:r>
    </w:p>
    <w:bookmarkEnd w:id="318"/>
    <w:p w14:paraId="03F59FBA" w14:textId="77777777" w:rsidR="00E767D6" w:rsidRDefault="00EB38E1" w:rsidP="00222646">
      <w:pPr>
        <w:pStyle w:val="Heading5"/>
        <w:rPr>
          <w:lang w:eastAsia="ja-JP"/>
        </w:rPr>
      </w:pPr>
      <w:r>
        <w:rPr>
          <w:lang w:eastAsia="ja-JP"/>
        </w:rPr>
        <w:t>Source</w:t>
      </w:r>
    </w:p>
    <w:p w14:paraId="03F59FBB" w14:textId="77777777" w:rsidR="00317004" w:rsidRDefault="00EB38E1" w:rsidP="00317004">
      <w:r w:rsidRPr="0056438C">
        <w:rPr>
          <w:lang w:val="en-GB"/>
        </w:rPr>
        <w:t xml:space="preserve">Cobalt occurs as various </w:t>
      </w:r>
      <w:proofErr w:type="spellStart"/>
      <w:r w:rsidRPr="0056438C">
        <w:rPr>
          <w:lang w:val="en-GB"/>
        </w:rPr>
        <w:t>sulfide</w:t>
      </w:r>
      <w:proofErr w:type="spellEnd"/>
      <w:r w:rsidRPr="0056438C">
        <w:rPr>
          <w:lang w:val="en-GB"/>
        </w:rPr>
        <w:t xml:space="preserve"> ores in nature and is generally associated with arsenic, iron, nickel, and copper.</w:t>
      </w:r>
    </w:p>
    <w:p w14:paraId="03F59FBC" w14:textId="77777777" w:rsidR="00E767D6" w:rsidRDefault="00EB38E1" w:rsidP="00C1087A">
      <w:r>
        <w:t xml:space="preserve">Cobalt occurs in natural waters at </w:t>
      </w:r>
      <w:r w:rsidR="001004BF">
        <w:t>concentrations</w:t>
      </w:r>
      <w:r>
        <w:t xml:space="preserve"> </w:t>
      </w:r>
      <w:r w:rsidR="001004BF">
        <w:t>&lt;</w:t>
      </w:r>
      <w:r>
        <w:t>0.01</w:t>
      </w:r>
      <w:r w:rsidR="00EC333C">
        <w:t> </w:t>
      </w:r>
      <w:r>
        <w:t>mg/L and</w:t>
      </w:r>
      <w:r w:rsidR="001004BF">
        <w:t>,</w:t>
      </w:r>
      <w:r>
        <w:t xml:space="preserve"> in most cases</w:t>
      </w:r>
      <w:r w:rsidR="001004BF">
        <w:t>,</w:t>
      </w:r>
      <w:r>
        <w:t xml:space="preserve"> </w:t>
      </w:r>
      <w:r w:rsidR="001004BF">
        <w:t>&lt;</w:t>
      </w:r>
      <w:r>
        <w:t>0.001</w:t>
      </w:r>
      <w:r w:rsidR="00EC333C">
        <w:t> </w:t>
      </w:r>
      <w:r>
        <w:t xml:space="preserve">mg/L, but </w:t>
      </w:r>
      <w:r w:rsidR="00DE5E32">
        <w:t xml:space="preserve">concentrations </w:t>
      </w:r>
      <w:r>
        <w:t>may be higher in wastewater (</w:t>
      </w:r>
      <w:r w:rsidRPr="00EA043A">
        <w:t>Galvin 1996, APHA</w:t>
      </w:r>
      <w:r w:rsidRPr="00BA3750">
        <w:t>, AWWA &amp; WEF 1998).</w:t>
      </w:r>
    </w:p>
    <w:p w14:paraId="03F59FBD" w14:textId="77777777" w:rsidR="00131E39" w:rsidRDefault="00EB38E1" w:rsidP="000C6B83">
      <w:pPr>
        <w:pStyle w:val="Heading5"/>
        <w:rPr>
          <w:lang w:eastAsia="ja-JP"/>
        </w:rPr>
      </w:pPr>
      <w:r>
        <w:rPr>
          <w:lang w:eastAsia="ja-JP"/>
        </w:rPr>
        <w:t>Effects on a</w:t>
      </w:r>
      <w:r w:rsidRPr="004508FF">
        <w:rPr>
          <w:lang w:eastAsia="ja-JP"/>
        </w:rPr>
        <w:t>nimal health</w:t>
      </w:r>
    </w:p>
    <w:p w14:paraId="03F59FBE" w14:textId="77777777" w:rsidR="00D90A07" w:rsidRDefault="00EB38E1" w:rsidP="00C1087A">
      <w:r>
        <w:t>Cobalt is an essential element in animal</w:t>
      </w:r>
      <w:r w:rsidRPr="00D90A07">
        <w:t xml:space="preserve"> </w:t>
      </w:r>
      <w:r w:rsidR="00E36FBD">
        <w:t>nutrition</w:t>
      </w:r>
      <w:r>
        <w:t xml:space="preserve">, and </w:t>
      </w:r>
      <w:r w:rsidR="001424A9">
        <w:t xml:space="preserve">it </w:t>
      </w:r>
      <w:r>
        <w:t>is important in several enzyme systems, particularly as a component of vitamin B12.</w:t>
      </w:r>
    </w:p>
    <w:p w14:paraId="03F59FBF" w14:textId="2D1AE6BC" w:rsidR="00D90A07" w:rsidRDefault="00EB38E1" w:rsidP="00C1087A">
      <w:r>
        <w:t>Generally</w:t>
      </w:r>
      <w:r w:rsidR="001424A9">
        <w:t>,</w:t>
      </w:r>
      <w:r>
        <w:t xml:space="preserve"> cobalt has a low toxicity to animals; in ruminants, cobalt deficiency is more likely to occur </w:t>
      </w:r>
      <w:r w:rsidRPr="005F0423">
        <w:t>(NRC 1980</w:t>
      </w:r>
      <w:r w:rsidR="00AF4AF0">
        <w:t>, 2005</w:t>
      </w:r>
      <w:r w:rsidRPr="005F0423">
        <w:t>).</w:t>
      </w:r>
    </w:p>
    <w:p w14:paraId="03F59FC0" w14:textId="205228FC" w:rsidR="00E767D6" w:rsidRDefault="00EB38E1" w:rsidP="00C1087A">
      <w:r w:rsidRPr="002F1265">
        <w:t>Underwood (1977) reported reduced appetite and some weight loss when cobalt was administered</w:t>
      </w:r>
      <w:r>
        <w:t xml:space="preserve"> daily at concentrations of 1.1</w:t>
      </w:r>
      <w:r w:rsidR="00EC333C">
        <w:t> </w:t>
      </w:r>
      <w:r>
        <w:t>mg/kg body</w:t>
      </w:r>
      <w:r w:rsidR="000103D5">
        <w:t xml:space="preserve"> </w:t>
      </w:r>
      <w:r>
        <w:t>weight to the diet of calves. According to CCREM (1987), drinking water for calves would have to contain at least 10</w:t>
      </w:r>
      <w:r w:rsidR="00EC333C">
        <w:t> </w:t>
      </w:r>
      <w:r>
        <w:t xml:space="preserve">mg/L </w:t>
      </w:r>
      <w:r w:rsidR="000103D5">
        <w:t xml:space="preserve">of </w:t>
      </w:r>
      <w:r>
        <w:t xml:space="preserve">cobalt before the symptoms observed by Underwood would be evident. </w:t>
      </w:r>
      <w:r w:rsidR="00C23DFD">
        <w:t xml:space="preserve">NRC (1980) set the maximum tolerable limit </w:t>
      </w:r>
      <w:r w:rsidR="00A46E15">
        <w:t xml:space="preserve">for cobalt at </w:t>
      </w:r>
      <w:r>
        <w:t>10</w:t>
      </w:r>
      <w:r w:rsidR="00EC333C">
        <w:t> </w:t>
      </w:r>
      <w:r>
        <w:t>mg/kg diet</w:t>
      </w:r>
      <w:r w:rsidR="008D25AA">
        <w:t xml:space="preserve">; NRC (2005) </w:t>
      </w:r>
      <w:r w:rsidR="00E11B28">
        <w:t>increased</w:t>
      </w:r>
      <w:r w:rsidR="008D25AA">
        <w:t xml:space="preserve"> this to 25 mg/kg for </w:t>
      </w:r>
      <w:r w:rsidR="00FF5457">
        <w:t>cattle, sheep and poultry</w:t>
      </w:r>
      <w:r w:rsidR="008D25AA">
        <w:t xml:space="preserve"> and 100 mg/kg for pigs.</w:t>
      </w:r>
    </w:p>
    <w:p w14:paraId="03F59FC1" w14:textId="77777777" w:rsidR="00AD38A0" w:rsidRPr="00AD38A0" w:rsidRDefault="00EB38E1" w:rsidP="000C6B83">
      <w:pPr>
        <w:pStyle w:val="Heading5"/>
        <w:rPr>
          <w:lang w:eastAsia="ja-JP"/>
        </w:rPr>
      </w:pPr>
      <w:r w:rsidRPr="00AD38A0">
        <w:rPr>
          <w:lang w:eastAsia="ja-JP"/>
        </w:rPr>
        <w:t>Derivation of guideline values</w:t>
      </w:r>
    </w:p>
    <w:p w14:paraId="03F59FC2" w14:textId="0AFB20DB" w:rsidR="00202A7D" w:rsidRDefault="00EB38E1" w:rsidP="00C1087A">
      <w:r>
        <w:t xml:space="preserve">The ANZECC (1992) guideline </w:t>
      </w:r>
      <w:r w:rsidR="000103D5">
        <w:t xml:space="preserve">of 1 mg/L </w:t>
      </w:r>
      <w:r>
        <w:t>for cobalt has been retained until more information becomes available from animal feeding trials. Th</w:t>
      </w:r>
      <w:r w:rsidR="000103D5">
        <w:t>is</w:t>
      </w:r>
      <w:r>
        <w:t xml:space="preserve"> value is consistent with guidelines developed for cobalt in Canada (</w:t>
      </w:r>
      <w:r w:rsidR="00DD4790">
        <w:t>CCME 2005</w:t>
      </w:r>
      <w:r>
        <w:t>) and South Africa (DWAF 1996).</w:t>
      </w:r>
    </w:p>
    <w:p w14:paraId="03F59FC3" w14:textId="7BFECAC7" w:rsidR="00260855" w:rsidRDefault="003A647C" w:rsidP="000C6B83">
      <w:pPr>
        <w:pStyle w:val="Heading4"/>
        <w:rPr>
          <w:lang w:eastAsia="ja-JP"/>
        </w:rPr>
      </w:pPr>
      <w:bookmarkStart w:id="319" w:name="_Toc134441496"/>
      <w:bookmarkStart w:id="320" w:name="_Toc134441809"/>
      <w:bookmarkStart w:id="321" w:name="_Toc134442330"/>
      <w:bookmarkStart w:id="322" w:name="_Toc134442541"/>
      <w:bookmarkStart w:id="323" w:name="_Toc134441497"/>
      <w:bookmarkStart w:id="324" w:name="_Toc134441810"/>
      <w:bookmarkStart w:id="325" w:name="_Toc134442331"/>
      <w:bookmarkStart w:id="326" w:name="_Toc134442542"/>
      <w:bookmarkStart w:id="327" w:name="_Copper"/>
      <w:bookmarkStart w:id="328" w:name="_Toc134442332"/>
      <w:bookmarkStart w:id="329" w:name="_Toc141704570"/>
      <w:bookmarkEnd w:id="319"/>
      <w:bookmarkEnd w:id="320"/>
      <w:bookmarkEnd w:id="321"/>
      <w:bookmarkEnd w:id="322"/>
      <w:bookmarkEnd w:id="323"/>
      <w:bookmarkEnd w:id="324"/>
      <w:bookmarkEnd w:id="325"/>
      <w:bookmarkEnd w:id="326"/>
      <w:bookmarkEnd w:id="327"/>
      <w:r>
        <w:rPr>
          <w:lang w:eastAsia="ja-JP"/>
        </w:rPr>
        <w:t>3.3.8</w:t>
      </w:r>
      <w:r>
        <w:rPr>
          <w:lang w:eastAsia="ja-JP"/>
        </w:rPr>
        <w:tab/>
      </w:r>
      <w:r w:rsidR="00EB38E1">
        <w:rPr>
          <w:lang w:eastAsia="ja-JP"/>
        </w:rPr>
        <w:t>Copper</w:t>
      </w:r>
      <w:bookmarkEnd w:id="328"/>
      <w:bookmarkEnd w:id="329"/>
    </w:p>
    <w:p w14:paraId="03F59FC4" w14:textId="70E95DCB" w:rsidR="00365A8D" w:rsidRDefault="00EB38E1" w:rsidP="00FD2341">
      <w:pPr>
        <w:pStyle w:val="Sectionkeypoints"/>
      </w:pPr>
      <w:bookmarkStart w:id="330" w:name="_Hlk135129440"/>
      <w:r>
        <w:t xml:space="preserve">Copper in livestock drinking water </w:t>
      </w:r>
      <w:r w:rsidR="00106C92">
        <w:t>of</w:t>
      </w:r>
      <w:r>
        <w:t xml:space="preserve"> the following concentrations </w:t>
      </w:r>
      <w:r w:rsidR="00106C92">
        <w:t>should not be harmful to animal health</w:t>
      </w:r>
      <w:bookmarkEnd w:id="330"/>
      <w:r>
        <w:t>:</w:t>
      </w:r>
      <w:r w:rsidR="00106C92">
        <w:t xml:space="preserve"> </w:t>
      </w:r>
    </w:p>
    <w:p w14:paraId="03F59FC5" w14:textId="32D2C04D" w:rsidR="00365A8D" w:rsidRDefault="00106C92" w:rsidP="00FD2341">
      <w:pPr>
        <w:pStyle w:val="Sectionkeypoints"/>
        <w:numPr>
          <w:ilvl w:val="0"/>
          <w:numId w:val="33"/>
        </w:numPr>
        <w:rPr>
          <w:lang w:eastAsia="ja-JP"/>
        </w:rPr>
      </w:pPr>
      <w:r>
        <w:rPr>
          <w:lang w:eastAsia="ja-JP"/>
        </w:rPr>
        <w:t>&lt;</w:t>
      </w:r>
      <w:r w:rsidR="00EB38E1">
        <w:rPr>
          <w:lang w:eastAsia="ja-JP"/>
        </w:rPr>
        <w:t>0.5</w:t>
      </w:r>
      <w:r w:rsidR="00EC333C">
        <w:rPr>
          <w:lang w:eastAsia="ja-JP"/>
        </w:rPr>
        <w:t> </w:t>
      </w:r>
      <w:r w:rsidR="00EB38E1">
        <w:rPr>
          <w:lang w:eastAsia="ja-JP"/>
        </w:rPr>
        <w:t>mg/L for sheep</w:t>
      </w:r>
    </w:p>
    <w:p w14:paraId="03F59FC6" w14:textId="4F76FAB0" w:rsidR="00365A8D" w:rsidRDefault="00106C92" w:rsidP="00FD2341">
      <w:pPr>
        <w:pStyle w:val="Sectionkeypoints"/>
        <w:numPr>
          <w:ilvl w:val="0"/>
          <w:numId w:val="33"/>
        </w:numPr>
        <w:rPr>
          <w:lang w:eastAsia="ja-JP"/>
        </w:rPr>
      </w:pPr>
      <w:r>
        <w:rPr>
          <w:lang w:eastAsia="ja-JP"/>
        </w:rPr>
        <w:t>&lt;</w:t>
      </w:r>
      <w:r w:rsidR="00EB38E1">
        <w:rPr>
          <w:lang w:eastAsia="ja-JP"/>
        </w:rPr>
        <w:t>1</w:t>
      </w:r>
      <w:r w:rsidR="00EC333C">
        <w:rPr>
          <w:lang w:eastAsia="ja-JP"/>
        </w:rPr>
        <w:t> </w:t>
      </w:r>
      <w:r w:rsidR="00EB38E1">
        <w:rPr>
          <w:lang w:eastAsia="ja-JP"/>
        </w:rPr>
        <w:t>mg/L for cattle</w:t>
      </w:r>
    </w:p>
    <w:p w14:paraId="03F59FC7" w14:textId="3E20D141" w:rsidR="00365A8D" w:rsidRDefault="00106C92" w:rsidP="00FD2341">
      <w:pPr>
        <w:pStyle w:val="Sectionkeypoints"/>
        <w:numPr>
          <w:ilvl w:val="0"/>
          <w:numId w:val="33"/>
        </w:numPr>
        <w:rPr>
          <w:lang w:eastAsia="ja-JP"/>
        </w:rPr>
      </w:pPr>
      <w:r>
        <w:rPr>
          <w:lang w:eastAsia="ja-JP"/>
        </w:rPr>
        <w:t>&lt;</w:t>
      </w:r>
      <w:r w:rsidR="00EB38E1">
        <w:rPr>
          <w:lang w:eastAsia="ja-JP"/>
        </w:rPr>
        <w:t>5 mg/L for</w:t>
      </w:r>
      <w:r w:rsidR="00260855">
        <w:rPr>
          <w:lang w:eastAsia="ja-JP"/>
        </w:rPr>
        <w:t xml:space="preserve"> pigs and poultry.</w:t>
      </w:r>
    </w:p>
    <w:p w14:paraId="03F59FC8" w14:textId="77777777" w:rsidR="00260855" w:rsidRPr="00537453" w:rsidRDefault="00EB38E1" w:rsidP="00C1087A">
      <w:pPr>
        <w:rPr>
          <w:b/>
          <w:bCs/>
          <w:i/>
          <w:iCs/>
        </w:rPr>
      </w:pPr>
      <w:r w:rsidRPr="00537453">
        <w:rPr>
          <w:b/>
          <w:bCs/>
          <w:i/>
          <w:iCs/>
        </w:rPr>
        <w:t xml:space="preserve">If </w:t>
      </w:r>
      <w:r w:rsidR="00347EE9" w:rsidRPr="00537453">
        <w:rPr>
          <w:b/>
          <w:bCs/>
          <w:i/>
          <w:iCs/>
        </w:rPr>
        <w:t xml:space="preserve">livestock </w:t>
      </w:r>
      <w:r w:rsidRPr="00537453">
        <w:rPr>
          <w:b/>
          <w:bCs/>
          <w:i/>
          <w:iCs/>
        </w:rPr>
        <w:t xml:space="preserve">diets are high in copper, the </w:t>
      </w:r>
      <w:r w:rsidR="00A56D1C" w:rsidRPr="00537453">
        <w:rPr>
          <w:b/>
          <w:bCs/>
          <w:i/>
          <w:iCs/>
        </w:rPr>
        <w:t>concentration</w:t>
      </w:r>
      <w:r w:rsidRPr="00537453">
        <w:rPr>
          <w:b/>
          <w:bCs/>
          <w:i/>
          <w:iCs/>
        </w:rPr>
        <w:t xml:space="preserve"> in drinking water should be </w:t>
      </w:r>
      <w:r w:rsidR="00365A8D" w:rsidRPr="00537453">
        <w:rPr>
          <w:b/>
          <w:bCs/>
          <w:i/>
          <w:iCs/>
        </w:rPr>
        <w:t>reduced</w:t>
      </w:r>
      <w:r w:rsidRPr="00537453">
        <w:rPr>
          <w:b/>
          <w:bCs/>
          <w:i/>
          <w:iCs/>
        </w:rPr>
        <w:t>.</w:t>
      </w:r>
    </w:p>
    <w:p w14:paraId="03F59FC9" w14:textId="77777777" w:rsidR="00260855" w:rsidRDefault="00EB38E1" w:rsidP="000C6B83">
      <w:pPr>
        <w:pStyle w:val="Heading5"/>
        <w:rPr>
          <w:lang w:eastAsia="ja-JP"/>
        </w:rPr>
      </w:pPr>
      <w:r>
        <w:rPr>
          <w:lang w:eastAsia="ja-JP"/>
        </w:rPr>
        <w:t>Source</w:t>
      </w:r>
    </w:p>
    <w:p w14:paraId="03F59FCA" w14:textId="77777777" w:rsidR="00317004" w:rsidRPr="0056438C" w:rsidRDefault="00EB38E1" w:rsidP="00FD2341">
      <w:pPr>
        <w:rPr>
          <w:lang w:val="en-GB"/>
        </w:rPr>
      </w:pPr>
      <w:r w:rsidRPr="00FD2DEA">
        <w:t xml:space="preserve">Copper is widely distributed in rocks and soils as carbonate and </w:t>
      </w:r>
      <w:proofErr w:type="spellStart"/>
      <w:r w:rsidRPr="00FD2DEA">
        <w:t>sulfide</w:t>
      </w:r>
      <w:proofErr w:type="spellEnd"/>
      <w:r w:rsidRPr="00FD2DEA">
        <w:t xml:space="preserve"> minerals</w:t>
      </w:r>
      <w:r>
        <w:rPr>
          <w:lang w:val="en-GB"/>
        </w:rPr>
        <w:t xml:space="preserve">. </w:t>
      </w:r>
      <w:r w:rsidRPr="0056438C">
        <w:rPr>
          <w:lang w:val="en-GB"/>
        </w:rPr>
        <w:t>Copper is a near noble metal, only dissolving in oxidising acids.</w:t>
      </w:r>
    </w:p>
    <w:p w14:paraId="03F59FCB" w14:textId="77777777" w:rsidR="00260855" w:rsidRDefault="00EB38E1" w:rsidP="00C1087A">
      <w:r>
        <w:t xml:space="preserve">Copper is generally found in natural waters at concentrations </w:t>
      </w:r>
      <w:r w:rsidR="00FF0886">
        <w:t>&lt;</w:t>
      </w:r>
      <w:r>
        <w:t>1</w:t>
      </w:r>
      <w:r w:rsidR="00D4745D">
        <w:t> </w:t>
      </w:r>
      <w:r>
        <w:t>mg/L, often in association with organic compounds (Galvin 1996). However, concentrations in groundwater as high as 12</w:t>
      </w:r>
      <w:r w:rsidR="00D4745D">
        <w:t> </w:t>
      </w:r>
      <w:r>
        <w:t xml:space="preserve">mg/L have been reported (Hart 1982). Copper concentrations in water supplies can be elevated </w:t>
      </w:r>
      <w:proofErr w:type="gramStart"/>
      <w:r>
        <w:t>as a result of</w:t>
      </w:r>
      <w:proofErr w:type="gramEnd"/>
      <w:r>
        <w:t xml:space="preserve"> copper-based algicide treatment or corrosion of copper and brass fittings in water</w:t>
      </w:r>
      <w:r w:rsidR="00FF0886">
        <w:t xml:space="preserve"> with</w:t>
      </w:r>
      <w:r>
        <w:t xml:space="preserve"> low pH</w:t>
      </w:r>
      <w:r w:rsidR="00887015">
        <w:t xml:space="preserve"> (acidic)</w:t>
      </w:r>
      <w:r>
        <w:t>.</w:t>
      </w:r>
    </w:p>
    <w:p w14:paraId="03F59FCC" w14:textId="77777777" w:rsidR="00131E39" w:rsidRDefault="00EB38E1" w:rsidP="000C6B83">
      <w:pPr>
        <w:pStyle w:val="Heading5"/>
        <w:rPr>
          <w:lang w:eastAsia="ja-JP"/>
        </w:rPr>
      </w:pPr>
      <w:r>
        <w:rPr>
          <w:lang w:eastAsia="ja-JP"/>
        </w:rPr>
        <w:lastRenderedPageBreak/>
        <w:t>Effects on a</w:t>
      </w:r>
      <w:r w:rsidRPr="004508FF">
        <w:rPr>
          <w:lang w:eastAsia="ja-JP"/>
        </w:rPr>
        <w:t>nimal health</w:t>
      </w:r>
    </w:p>
    <w:p w14:paraId="03F59FCD" w14:textId="77777777" w:rsidR="00887015" w:rsidRDefault="00EB38E1" w:rsidP="00C1087A">
      <w:r>
        <w:t xml:space="preserve">Copper is an essential element in animal </w:t>
      </w:r>
      <w:r w:rsidR="00E36FBD">
        <w:t>nutrition</w:t>
      </w:r>
      <w:r>
        <w:t xml:space="preserve">. Copper deficiency can result in morbidity and, in some cases, </w:t>
      </w:r>
      <w:r w:rsidRPr="006601E0">
        <w:t>death (NAS 1977b).</w:t>
      </w:r>
    </w:p>
    <w:p w14:paraId="03F59FCE" w14:textId="77777777" w:rsidR="00260855" w:rsidRDefault="00EB38E1" w:rsidP="00C1087A">
      <w:r>
        <w:t xml:space="preserve">Copper nutrition in animals is influenced by the dietary intake of </w:t>
      </w:r>
      <w:r w:rsidR="00887015">
        <w:t xml:space="preserve">iron, </w:t>
      </w:r>
      <w:proofErr w:type="gramStart"/>
      <w:r>
        <w:t>molybdenum</w:t>
      </w:r>
      <w:proofErr w:type="gramEnd"/>
      <w:r>
        <w:t xml:space="preserve"> and </w:t>
      </w:r>
      <w:proofErr w:type="spellStart"/>
      <w:r>
        <w:t>sulfur</w:t>
      </w:r>
      <w:proofErr w:type="spellEnd"/>
      <w:r>
        <w:t xml:space="preserve">. </w:t>
      </w:r>
      <w:r w:rsidR="00887015">
        <w:t xml:space="preserve">Intake of iron, molybdenum and </w:t>
      </w:r>
      <w:proofErr w:type="spellStart"/>
      <w:r w:rsidR="00887015">
        <w:t>sulfur</w:t>
      </w:r>
      <w:proofErr w:type="spellEnd"/>
      <w:r w:rsidR="00887015">
        <w:t xml:space="preserve"> should also be considered in conjunction with copper. </w:t>
      </w:r>
      <w:r>
        <w:t>Cattle given water with 2.5</w:t>
      </w:r>
      <w:r w:rsidR="002F03E6">
        <w:t>–</w:t>
      </w:r>
      <w:r>
        <w:t>5</w:t>
      </w:r>
      <w:r w:rsidR="002F03E6">
        <w:t> </w:t>
      </w:r>
      <w:r>
        <w:t xml:space="preserve">mg/L added were prevented from developing seasonal decline in plasma copper levels and showed no ill effects </w:t>
      </w:r>
      <w:r w:rsidRPr="002027DF">
        <w:t>(Humphries et al. 1983).</w:t>
      </w:r>
    </w:p>
    <w:p w14:paraId="03F59FCF" w14:textId="32CF2C9B" w:rsidR="00260855" w:rsidRDefault="00EB38E1" w:rsidP="00C1087A">
      <w:r>
        <w:t xml:space="preserve">Excessive intake of copper can lead to copper toxicosis in livestock (nearly always in sheep). Initially, copper accumulates in the liver of animals and may cause some reduction in growth. Chronic and acute effects such as liver damage and haemolytic jaundice can occur with extended exposure to high </w:t>
      </w:r>
      <w:r w:rsidR="006D2395">
        <w:t xml:space="preserve">concentrations </w:t>
      </w:r>
      <w:r>
        <w:t>of copper</w:t>
      </w:r>
      <w:r w:rsidR="00106C92">
        <w:t xml:space="preserve"> </w:t>
      </w:r>
      <w:r w:rsidR="00703074">
        <w:t>(Blakley 2022a)</w:t>
      </w:r>
      <w:r>
        <w:t>.</w:t>
      </w:r>
    </w:p>
    <w:p w14:paraId="588A7CBC" w14:textId="3791DA33" w:rsidR="00F92102" w:rsidRDefault="00EB38E1" w:rsidP="00B760DA">
      <w:pPr>
        <w:rPr>
          <w:lang w:eastAsia="ja-JP"/>
        </w:rPr>
      </w:pPr>
      <w:r>
        <w:t>Toxic effects of copper depend on the type of livestock</w:t>
      </w:r>
      <w:r w:rsidR="00DE178F">
        <w:t xml:space="preserve"> and</w:t>
      </w:r>
      <w:r w:rsidR="00A56D1C">
        <w:t xml:space="preserve"> </w:t>
      </w:r>
      <w:r>
        <w:t xml:space="preserve">the form of copper. For example, copper chloride is </w:t>
      </w:r>
      <w:r w:rsidR="00464C29">
        <w:t>2–4 </w:t>
      </w:r>
      <w:r>
        <w:t xml:space="preserve">times more toxic </w:t>
      </w:r>
      <w:r w:rsidR="00887015">
        <w:t xml:space="preserve">to sheep than </w:t>
      </w:r>
      <w:r w:rsidR="00BF48B6">
        <w:t xml:space="preserve">copper </w:t>
      </w:r>
      <w:proofErr w:type="spellStart"/>
      <w:r w:rsidR="00BF48B6">
        <w:t>sulfate</w:t>
      </w:r>
      <w:proofErr w:type="spellEnd"/>
      <w:r w:rsidR="00BF48B6">
        <w:t xml:space="preserve"> </w:t>
      </w:r>
      <w:r>
        <w:t>(CCRE</w:t>
      </w:r>
      <w:r w:rsidRPr="003E1AEC">
        <w:t xml:space="preserve">M 1987). Demayo and Taylor (1981) </w:t>
      </w:r>
      <w:r>
        <w:t>suggested that to avoid toxicosis, the maximum copper concentration in the diet should not exceed</w:t>
      </w:r>
      <w:r w:rsidR="0019491B">
        <w:t xml:space="preserve"> </w:t>
      </w:r>
      <w:r>
        <w:rPr>
          <w:lang w:eastAsia="ja-JP"/>
        </w:rPr>
        <w:t>5–20</w:t>
      </w:r>
      <w:r w:rsidR="00D4745D">
        <w:rPr>
          <w:lang w:eastAsia="ja-JP"/>
        </w:rPr>
        <w:t> </w:t>
      </w:r>
      <w:r>
        <w:rPr>
          <w:lang w:eastAsia="ja-JP"/>
        </w:rPr>
        <w:t>mg/kg for sheep</w:t>
      </w:r>
      <w:r w:rsidR="0019491B">
        <w:rPr>
          <w:lang w:eastAsia="ja-JP"/>
        </w:rPr>
        <w:t xml:space="preserve">, </w:t>
      </w:r>
      <w:r>
        <w:rPr>
          <w:lang w:eastAsia="ja-JP"/>
        </w:rPr>
        <w:t>100</w:t>
      </w:r>
      <w:r w:rsidR="00D4745D">
        <w:rPr>
          <w:lang w:eastAsia="ja-JP"/>
        </w:rPr>
        <w:t> </w:t>
      </w:r>
      <w:r>
        <w:rPr>
          <w:lang w:eastAsia="ja-JP"/>
        </w:rPr>
        <w:t>mg/kg for cattle</w:t>
      </w:r>
      <w:r w:rsidR="0019491B">
        <w:rPr>
          <w:lang w:eastAsia="ja-JP"/>
        </w:rPr>
        <w:t xml:space="preserve">, </w:t>
      </w:r>
      <w:r>
        <w:rPr>
          <w:lang w:eastAsia="ja-JP"/>
        </w:rPr>
        <w:t>150–400</w:t>
      </w:r>
      <w:r w:rsidR="00D4745D">
        <w:rPr>
          <w:lang w:eastAsia="ja-JP"/>
        </w:rPr>
        <w:t> </w:t>
      </w:r>
      <w:r>
        <w:rPr>
          <w:lang w:eastAsia="ja-JP"/>
        </w:rPr>
        <w:t>mg/kg for pigs</w:t>
      </w:r>
      <w:r w:rsidR="0019491B">
        <w:rPr>
          <w:lang w:eastAsia="ja-JP"/>
        </w:rPr>
        <w:t xml:space="preserve"> and </w:t>
      </w:r>
      <w:r>
        <w:rPr>
          <w:lang w:eastAsia="ja-JP"/>
        </w:rPr>
        <w:t>250–500</w:t>
      </w:r>
      <w:r w:rsidR="00D4745D">
        <w:rPr>
          <w:lang w:eastAsia="ja-JP"/>
        </w:rPr>
        <w:t> </w:t>
      </w:r>
      <w:r>
        <w:rPr>
          <w:lang w:eastAsia="ja-JP"/>
        </w:rPr>
        <w:t>mg/kg for chickens.</w:t>
      </w:r>
      <w:r w:rsidR="00FC09B5">
        <w:rPr>
          <w:lang w:eastAsia="ja-JP"/>
        </w:rPr>
        <w:t xml:space="preserve"> </w:t>
      </w:r>
      <w:r w:rsidR="00F92102">
        <w:rPr>
          <w:lang w:eastAsia="ja-JP"/>
        </w:rPr>
        <w:t xml:space="preserve">NRC (2005) set maximum tolerable levels of copper in the diet as </w:t>
      </w:r>
      <w:r w:rsidR="0019491B">
        <w:t xml:space="preserve">15 </w:t>
      </w:r>
      <w:r w:rsidR="0061115F">
        <w:rPr>
          <w:lang w:eastAsia="ja-JP"/>
        </w:rPr>
        <w:t xml:space="preserve">mg/kg </w:t>
      </w:r>
      <w:r w:rsidR="0019491B">
        <w:t xml:space="preserve">for sheep, </w:t>
      </w:r>
      <w:r w:rsidR="0061115F">
        <w:t>40 </w:t>
      </w:r>
      <w:r w:rsidR="0061115F">
        <w:rPr>
          <w:lang w:eastAsia="ja-JP"/>
        </w:rPr>
        <w:t xml:space="preserve">mg/kg for cattle, </w:t>
      </w:r>
      <w:r w:rsidR="0004189E">
        <w:rPr>
          <w:lang w:eastAsia="ja-JP"/>
        </w:rPr>
        <w:t>100 mg/kg for pigs</w:t>
      </w:r>
      <w:r w:rsidR="00FC09B5">
        <w:rPr>
          <w:lang w:eastAsia="ja-JP"/>
        </w:rPr>
        <w:t xml:space="preserve"> and 250 mg/kg for chickens. </w:t>
      </w:r>
    </w:p>
    <w:p w14:paraId="03F59FD5" w14:textId="77777777" w:rsidR="00AD38A0" w:rsidRPr="00AD38A0" w:rsidRDefault="00EB38E1" w:rsidP="000C6B83">
      <w:pPr>
        <w:pStyle w:val="Heading5"/>
        <w:rPr>
          <w:lang w:eastAsia="ja-JP"/>
        </w:rPr>
      </w:pPr>
      <w:r w:rsidRPr="00AD38A0">
        <w:rPr>
          <w:lang w:eastAsia="ja-JP"/>
        </w:rPr>
        <w:t>Derivation of guideline values</w:t>
      </w:r>
    </w:p>
    <w:p w14:paraId="03F59FD6" w14:textId="791A2BB2" w:rsidR="00260855" w:rsidRDefault="00EB38E1" w:rsidP="00C1087A">
      <w:r>
        <w:t xml:space="preserve">The ANZECC (1992) guideline </w:t>
      </w:r>
      <w:r w:rsidR="004C7B35">
        <w:t xml:space="preserve">value </w:t>
      </w:r>
      <w:r w:rsidR="00EB7DC3">
        <w:t xml:space="preserve">of 0.5 mg/L of copper in </w:t>
      </w:r>
      <w:r>
        <w:t xml:space="preserve">sheep </w:t>
      </w:r>
      <w:r w:rsidR="00EB7DC3">
        <w:t xml:space="preserve">drinking water </w:t>
      </w:r>
      <w:r>
        <w:t>has been retained, which is consistent with guidelines in Canada (</w:t>
      </w:r>
      <w:r w:rsidR="009C12AA">
        <w:t>CCME 2005</w:t>
      </w:r>
      <w:r>
        <w:t xml:space="preserve">) and South Africa (DWAF 1996). </w:t>
      </w:r>
      <w:r w:rsidR="00CD7B90">
        <w:t>The copper g</w:t>
      </w:r>
      <w:r>
        <w:t xml:space="preserve">uideline values </w:t>
      </w:r>
      <w:r w:rsidR="00CD7B90">
        <w:t xml:space="preserve">of 5 mg/L </w:t>
      </w:r>
      <w:r>
        <w:t xml:space="preserve">for pigs and poultry and </w:t>
      </w:r>
      <w:r w:rsidR="00CD7B90">
        <w:t xml:space="preserve">of </w:t>
      </w:r>
      <w:r>
        <w:t>1</w:t>
      </w:r>
      <w:r w:rsidR="004D4B54">
        <w:t> </w:t>
      </w:r>
      <w:r>
        <w:t>mg/L</w:t>
      </w:r>
      <w:r w:rsidR="00CD7B90">
        <w:t xml:space="preserve"> for cattle</w:t>
      </w:r>
      <w:r>
        <w:t xml:space="preserve"> are consistent with Canadian (</w:t>
      </w:r>
      <w:r w:rsidR="00DE3A14">
        <w:t>CCME 2005</w:t>
      </w:r>
      <w:r>
        <w:t xml:space="preserve">) and South African (DWAF 1996) guidelines. </w:t>
      </w:r>
      <w:r w:rsidR="006806A4">
        <w:t xml:space="preserve">Agriculture Victoria (2023) recommends a maximum level of 0.5 mg/L of copper for water in stock containment areas. </w:t>
      </w:r>
      <w:r>
        <w:t>In all cases</w:t>
      </w:r>
      <w:r w:rsidR="00E12958">
        <w:t>,</w:t>
      </w:r>
      <w:r>
        <w:t xml:space="preserve"> the guideline value should be </w:t>
      </w:r>
      <w:r w:rsidR="00E12958">
        <w:t>reduced</w:t>
      </w:r>
      <w:r>
        <w:t xml:space="preserve"> if </w:t>
      </w:r>
      <w:r w:rsidR="00E12958">
        <w:t xml:space="preserve">livestock diets are high in </w:t>
      </w:r>
      <w:r w:rsidR="00A56D1C">
        <w:t>copper</w:t>
      </w:r>
      <w:r>
        <w:t>.</w:t>
      </w:r>
    </w:p>
    <w:p w14:paraId="03F59FD7" w14:textId="0C058230" w:rsidR="00B90078" w:rsidRDefault="003A647C" w:rsidP="000C6B83">
      <w:pPr>
        <w:pStyle w:val="Heading4"/>
        <w:rPr>
          <w:lang w:eastAsia="ja-JP"/>
        </w:rPr>
      </w:pPr>
      <w:bookmarkStart w:id="331" w:name="_Toc134441502"/>
      <w:bookmarkStart w:id="332" w:name="_Toc134441812"/>
      <w:bookmarkStart w:id="333" w:name="_Toc134442333"/>
      <w:bookmarkStart w:id="334" w:name="_Toc134442544"/>
      <w:bookmarkStart w:id="335" w:name="_Toc134441503"/>
      <w:bookmarkStart w:id="336" w:name="_Toc134441813"/>
      <w:bookmarkStart w:id="337" w:name="_Toc134442334"/>
      <w:bookmarkStart w:id="338" w:name="_Toc134442545"/>
      <w:bookmarkStart w:id="339" w:name="_Toc134442335"/>
      <w:bookmarkStart w:id="340" w:name="_Toc141704571"/>
      <w:bookmarkEnd w:id="331"/>
      <w:bookmarkEnd w:id="332"/>
      <w:bookmarkEnd w:id="333"/>
      <w:bookmarkEnd w:id="334"/>
      <w:bookmarkEnd w:id="335"/>
      <w:bookmarkEnd w:id="336"/>
      <w:bookmarkEnd w:id="337"/>
      <w:bookmarkEnd w:id="338"/>
      <w:r>
        <w:rPr>
          <w:lang w:eastAsia="ja-JP"/>
        </w:rPr>
        <w:t>3.3.9</w:t>
      </w:r>
      <w:r>
        <w:rPr>
          <w:lang w:eastAsia="ja-JP"/>
        </w:rPr>
        <w:tab/>
      </w:r>
      <w:r w:rsidR="00EB38E1">
        <w:rPr>
          <w:lang w:eastAsia="ja-JP"/>
        </w:rPr>
        <w:t>Fluoride</w:t>
      </w:r>
      <w:bookmarkEnd w:id="339"/>
      <w:bookmarkEnd w:id="340"/>
    </w:p>
    <w:p w14:paraId="03F59FD8" w14:textId="56E366FC" w:rsidR="00B90078" w:rsidRDefault="00EB38E1" w:rsidP="00FD2341">
      <w:pPr>
        <w:pStyle w:val="Sectionkeypoints"/>
      </w:pPr>
      <w:bookmarkStart w:id="341" w:name="_Hlk135129456"/>
      <w:r>
        <w:t xml:space="preserve">Fluoride concentrations </w:t>
      </w:r>
      <w:r w:rsidR="00517C1E">
        <w:t>&lt;</w:t>
      </w:r>
      <w:r>
        <w:t>2</w:t>
      </w:r>
      <w:r w:rsidR="003A234E">
        <w:t> </w:t>
      </w:r>
      <w:r>
        <w:t xml:space="preserve">mg/L in </w:t>
      </w:r>
      <w:r w:rsidR="003548FB">
        <w:t xml:space="preserve">livestock </w:t>
      </w:r>
      <w:r>
        <w:t xml:space="preserve">drinking water </w:t>
      </w:r>
      <w:r w:rsidR="0087121F">
        <w:t>should not be harmful to animal health</w:t>
      </w:r>
      <w:r>
        <w:t xml:space="preserve">. </w:t>
      </w:r>
      <w:bookmarkEnd w:id="341"/>
      <w:r>
        <w:t>If livestock feed</w:t>
      </w:r>
      <w:r w:rsidR="00ED7418">
        <w:t xml:space="preserve"> also</w:t>
      </w:r>
      <w:r>
        <w:t xml:space="preserve"> contains fluoride, the guideline value should be reduced to 1.0</w:t>
      </w:r>
      <w:r w:rsidR="003A234E">
        <w:t> </w:t>
      </w:r>
      <w:r>
        <w:t>mg/L.</w:t>
      </w:r>
    </w:p>
    <w:p w14:paraId="03F59FD9" w14:textId="77777777" w:rsidR="00B90078" w:rsidRDefault="00EB38E1" w:rsidP="000C6B83">
      <w:pPr>
        <w:pStyle w:val="Heading5"/>
        <w:rPr>
          <w:lang w:eastAsia="ja-JP"/>
        </w:rPr>
      </w:pPr>
      <w:r>
        <w:rPr>
          <w:lang w:eastAsia="ja-JP"/>
        </w:rPr>
        <w:t>Source</w:t>
      </w:r>
    </w:p>
    <w:p w14:paraId="03F59FDA" w14:textId="77777777" w:rsidR="00317004" w:rsidRDefault="00EB38E1" w:rsidP="00C1087A">
      <w:pPr>
        <w:rPr>
          <w:lang w:val="en-GB"/>
        </w:rPr>
      </w:pPr>
      <w:r w:rsidRPr="0056438C">
        <w:rPr>
          <w:lang w:val="en-GB"/>
        </w:rPr>
        <w:t xml:space="preserve">Fluorine does not occur free in nature, but is the most reactive metalloid and binds, directly or indirectly, to form fluorides with all the elements except the inert gases. The occurrence of fluoride in </w:t>
      </w:r>
      <w:r>
        <w:rPr>
          <w:lang w:val="en-GB"/>
        </w:rPr>
        <w:t>E</w:t>
      </w:r>
      <w:r w:rsidRPr="0056438C">
        <w:rPr>
          <w:lang w:val="en-GB"/>
        </w:rPr>
        <w:t>arth’s crust is 0.027%</w:t>
      </w:r>
      <w:r>
        <w:rPr>
          <w:lang w:val="en-GB"/>
        </w:rPr>
        <w:t xml:space="preserve"> and f</w:t>
      </w:r>
      <w:r w:rsidRPr="0056438C">
        <w:rPr>
          <w:lang w:val="en-GB"/>
        </w:rPr>
        <w:t>luoride has been found to occur naturally in all soils.</w:t>
      </w:r>
    </w:p>
    <w:p w14:paraId="03F59FDB" w14:textId="77777777" w:rsidR="00B90078" w:rsidRDefault="00EB38E1" w:rsidP="00C1087A">
      <w:r>
        <w:t>Unpolluted surface waters generally contain low concentrations of fluoride</w:t>
      </w:r>
      <w:r w:rsidR="00ED7418">
        <w:t>,</w:t>
      </w:r>
      <w:r>
        <w:t xml:space="preserve"> but concentrations in groundwater may be higher in some areas. </w:t>
      </w:r>
      <w:r w:rsidR="00ED7418">
        <w:t xml:space="preserve">Groundwater fluoride concentrations &gt;2 mg/L have been reported at several locations in Queensland, mainly in the Great Artesian Basin, and </w:t>
      </w:r>
      <w:r w:rsidR="00887015">
        <w:t xml:space="preserve">in </w:t>
      </w:r>
      <w:r w:rsidR="00ED7418">
        <w:t xml:space="preserve">some cases show concentrations &gt;10 mg/L (Gill 1986). </w:t>
      </w:r>
      <w:r w:rsidR="00887015">
        <w:t>G</w:t>
      </w:r>
      <w:r>
        <w:t>roundwater at Carnarvon, Western Australia, contains fluoride at concentrations up to 5</w:t>
      </w:r>
      <w:r w:rsidR="004D4B54">
        <w:t> </w:t>
      </w:r>
      <w:r>
        <w:t>mg/L (Hart 1974).</w:t>
      </w:r>
    </w:p>
    <w:p w14:paraId="03F59FDC" w14:textId="711E5AED" w:rsidR="00D63F89" w:rsidRDefault="00EB38E1" w:rsidP="00D63F89">
      <w:r>
        <w:t xml:space="preserve">The diet may be a source of excessive fluoride if vegetation is contaminated by aerial deposition in industrial </w:t>
      </w:r>
      <w:r w:rsidRPr="006601E0">
        <w:t>areas (NAS 1971).</w:t>
      </w:r>
    </w:p>
    <w:p w14:paraId="03F59FDD" w14:textId="77777777" w:rsidR="00D63F89" w:rsidRDefault="00EB38E1" w:rsidP="00FD2341">
      <w:r>
        <w:t>The risk of fluorosis in either sheep or cattle may be avoided through control measures. Control measures are less important in good seasons when stock receive most of their fluid requirements from pasture:</w:t>
      </w:r>
    </w:p>
    <w:p w14:paraId="03F59FDE" w14:textId="77777777" w:rsidR="00D63F89" w:rsidRDefault="00EB38E1" w:rsidP="00FD2341">
      <w:pPr>
        <w:pStyle w:val="Bullet"/>
      </w:pPr>
      <w:r>
        <w:t>I</w:t>
      </w:r>
      <w:r w:rsidR="00ED7418">
        <w:t>f sufficient water of low fluoride concentration (</w:t>
      </w:r>
      <w:proofErr w:type="gramStart"/>
      <w:r w:rsidR="00ED7418">
        <w:t>e.g.</w:t>
      </w:r>
      <w:proofErr w:type="gramEnd"/>
      <w:r w:rsidR="00ED7418">
        <w:t xml:space="preserve"> surface water) is available</w:t>
      </w:r>
      <w:r>
        <w:t>, arrange paddock stocking</w:t>
      </w:r>
      <w:r w:rsidR="00ED7418">
        <w:t xml:space="preserve"> so that young stock have access to only fluoride-free water for the first 3</w:t>
      </w:r>
      <w:r>
        <w:t> </w:t>
      </w:r>
      <w:r w:rsidR="00ED7418">
        <w:t>years of life.</w:t>
      </w:r>
    </w:p>
    <w:p w14:paraId="03F59FDF" w14:textId="0E23FEE5" w:rsidR="00D63F89" w:rsidRDefault="00EB38E1" w:rsidP="00FD2341">
      <w:pPr>
        <w:pStyle w:val="Bullet"/>
      </w:pPr>
      <w:r>
        <w:lastRenderedPageBreak/>
        <w:t>Where only limited quantities of low-fluoride water are available, rotate stock from fluoride-enriched water for no more than 3</w:t>
      </w:r>
      <w:r w:rsidR="00D75C05">
        <w:t> </w:t>
      </w:r>
      <w:r>
        <w:t>months to low-fluoride water for at least 3</w:t>
      </w:r>
      <w:r w:rsidR="00D75C05">
        <w:t> </w:t>
      </w:r>
      <w:r>
        <w:t>months. These measures may reduce the risk of dental fluorosis in growing animals, but not necessarily longer-term skeletal fluorosis risk owing to accumulation.</w:t>
      </w:r>
    </w:p>
    <w:p w14:paraId="03F59FE0" w14:textId="77777777" w:rsidR="00ED7418" w:rsidRDefault="00EB38E1" w:rsidP="00FD2341">
      <w:pPr>
        <w:pStyle w:val="Bullet"/>
        <w:spacing w:after="240"/>
      </w:pPr>
      <w:r>
        <w:t xml:space="preserve">The fluoride concentration in water is rapidly increased by evaporation. This is particularly evident in flowing bores where the water is reticulated through shallow bore drains. As a temporary measure while paddocks are being arranged so that young stock may be kept on low-fluoride water, </w:t>
      </w:r>
      <w:r w:rsidR="00D63F89">
        <w:t>water</w:t>
      </w:r>
      <w:r>
        <w:t xml:space="preserve"> young stock as near to the bore head as possible.</w:t>
      </w:r>
    </w:p>
    <w:p w14:paraId="03F59FE1" w14:textId="77777777" w:rsidR="00131E39" w:rsidRDefault="00EB38E1" w:rsidP="000C6B83">
      <w:pPr>
        <w:pStyle w:val="Heading5"/>
        <w:rPr>
          <w:lang w:eastAsia="ja-JP"/>
        </w:rPr>
      </w:pPr>
      <w:r>
        <w:rPr>
          <w:lang w:eastAsia="ja-JP"/>
        </w:rPr>
        <w:t>Effects on a</w:t>
      </w:r>
      <w:r w:rsidRPr="004508FF">
        <w:rPr>
          <w:lang w:eastAsia="ja-JP"/>
        </w:rPr>
        <w:t>nimal health</w:t>
      </w:r>
    </w:p>
    <w:p w14:paraId="03F59FE2" w14:textId="77777777" w:rsidR="00D63F89" w:rsidRDefault="00EB38E1" w:rsidP="00D63F89">
      <w:r>
        <w:t>Cattle are the most sensitive livestock to fluoride, followed by sheep, horses, pigs, rats, guinea pigs and poultry (</w:t>
      </w:r>
      <w:r w:rsidRPr="002F1265">
        <w:t xml:space="preserve">Van </w:t>
      </w:r>
      <w:proofErr w:type="spellStart"/>
      <w:r w:rsidRPr="002F1265">
        <w:t>Paemel</w:t>
      </w:r>
      <w:proofErr w:type="spellEnd"/>
      <w:r w:rsidRPr="002F1265">
        <w:t xml:space="preserve"> et al. 2010).</w:t>
      </w:r>
    </w:p>
    <w:p w14:paraId="03F59FE3" w14:textId="72CB3508" w:rsidR="00D63F89" w:rsidRDefault="00EB38E1" w:rsidP="00C1087A">
      <w:r>
        <w:t>Fluoride accumulates in bones rather than in soft tissue</w:t>
      </w:r>
      <w:r w:rsidR="00235DB9">
        <w:t>s,</w:t>
      </w:r>
      <w:r>
        <w:t xml:space="preserve"> </w:t>
      </w:r>
      <w:r w:rsidRPr="00527BF6">
        <w:t>and excess uptake of fluoride can result in tooth damage to growing animals and bone lesions in older animals (Rose &amp; Marier 1978,</w:t>
      </w:r>
      <w:r w:rsidRPr="003E1AEC">
        <w:t xml:space="preserve"> CPHA 1979).</w:t>
      </w:r>
      <w:r w:rsidR="00D22339">
        <w:t xml:space="preserve"> </w:t>
      </w:r>
      <w:r w:rsidR="00D22339" w:rsidRPr="00517C1E">
        <w:t>Chronic fluorosis is characteri</w:t>
      </w:r>
      <w:r w:rsidR="00085C44">
        <w:t>s</w:t>
      </w:r>
      <w:r w:rsidR="00D22339" w:rsidRPr="00517C1E">
        <w:t>ed by signs of malnutrition and skeletal and dental abnormalities (Blakley 2022</w:t>
      </w:r>
      <w:r w:rsidR="00EC30FD">
        <w:t>b</w:t>
      </w:r>
      <w:r w:rsidR="00085C44">
        <w:t>)</w:t>
      </w:r>
      <w:r w:rsidR="00D22339" w:rsidRPr="00517C1E">
        <w:t>.</w:t>
      </w:r>
    </w:p>
    <w:p w14:paraId="03F59FE4" w14:textId="15F65C94" w:rsidR="00D63F89" w:rsidRDefault="00EB38E1" w:rsidP="00D63F89">
      <w:r>
        <w:t xml:space="preserve">Moderate to severe dental disease caused by fluorosis can </w:t>
      </w:r>
      <w:r w:rsidR="007218A3">
        <w:t>affect</w:t>
      </w:r>
      <w:r>
        <w:t xml:space="preserve"> food consumption, </w:t>
      </w:r>
      <w:r w:rsidR="00747BBC">
        <w:t>cause pain and</w:t>
      </w:r>
      <w:r>
        <w:t xml:space="preserve"> loss of function</w:t>
      </w:r>
      <w:r w:rsidR="00747BBC">
        <w:t>,</w:t>
      </w:r>
      <w:r>
        <w:t xml:space="preserve"> and </w:t>
      </w:r>
      <w:r w:rsidR="00747BBC">
        <w:t xml:space="preserve">may lead to </w:t>
      </w:r>
      <w:r>
        <w:t xml:space="preserve">infection </w:t>
      </w:r>
      <w:r w:rsidRPr="00F676DA">
        <w:t>(Arundel et al. 1977, Leader</w:t>
      </w:r>
      <w:r w:rsidR="001B5093" w:rsidRPr="00F676DA">
        <w:t>-</w:t>
      </w:r>
      <w:r w:rsidRPr="00F676DA">
        <w:t>Williams 1980</w:t>
      </w:r>
      <w:r w:rsidR="00636A1A" w:rsidRPr="00F676DA">
        <w:t>, Borland et al. 2012</w:t>
      </w:r>
      <w:r w:rsidRPr="00F676DA">
        <w:t>).</w:t>
      </w:r>
      <w:r w:rsidRPr="00D63F89">
        <w:t xml:space="preserve"> </w:t>
      </w:r>
      <w:r>
        <w:t xml:space="preserve">In Queensland, livestock drinking water fluoride concentrations &gt;2 mg/L have been observed to affect the teeth of young </w:t>
      </w:r>
      <w:r w:rsidRPr="00254357">
        <w:t xml:space="preserve">animals (VIRASC 1980). </w:t>
      </w:r>
      <w:r>
        <w:t>Moreover, Hibbs and Thilsted (1983) reported tooth erosion at 3.3 mg/L in drinking water.</w:t>
      </w:r>
    </w:p>
    <w:p w14:paraId="03F59FE5" w14:textId="49222497" w:rsidR="00B90078" w:rsidRDefault="00EB38E1" w:rsidP="00C1087A">
      <w:r>
        <w:t xml:space="preserve">Severe skeletal disease can cause pain and lameness, and can result in a reduction in general health, fitness, body condition and reproductive parameters, due to alterations in metabolism, gait and feeding (Roholm 1937, Shupe et al. 1992b, Weatherell </w:t>
      </w:r>
      <w:r w:rsidR="003C5DAC">
        <w:t>&amp;</w:t>
      </w:r>
      <w:r>
        <w:t xml:space="preserve"> Weidmann 1959).</w:t>
      </w:r>
    </w:p>
    <w:p w14:paraId="03F59FE6" w14:textId="77777777" w:rsidR="00B90078" w:rsidRDefault="00EB38E1" w:rsidP="00C1087A">
      <w:r>
        <w:t>Experiments with laying hens showed a significant reduction in egg production for hens receiving 6</w:t>
      </w:r>
      <w:r w:rsidR="00D63F89">
        <w:t> </w:t>
      </w:r>
      <w:r>
        <w:t>and 20</w:t>
      </w:r>
      <w:r w:rsidR="00D63F89">
        <w:t> </w:t>
      </w:r>
      <w:r>
        <w:t>mg/L sodium fluoride (2.7 and 9</w:t>
      </w:r>
      <w:r w:rsidR="00870A95">
        <w:t> </w:t>
      </w:r>
      <w:r>
        <w:t>mg/L fluoride) in their drinking water, but that successful production could continue with concentrations up to 14</w:t>
      </w:r>
      <w:r w:rsidR="00870A95">
        <w:t> </w:t>
      </w:r>
      <w:r>
        <w:t>mg/L sodium fluoride (6.3</w:t>
      </w:r>
      <w:r w:rsidR="00870A95">
        <w:t> </w:t>
      </w:r>
      <w:r>
        <w:t>mg/L fluoride) (Coetzee et al. 1997).</w:t>
      </w:r>
    </w:p>
    <w:p w14:paraId="03F59FE7" w14:textId="77777777" w:rsidR="00AD38A0" w:rsidRPr="00AD38A0" w:rsidRDefault="00EB38E1" w:rsidP="000C6B83">
      <w:pPr>
        <w:pStyle w:val="Heading5"/>
        <w:rPr>
          <w:lang w:eastAsia="ja-JP"/>
        </w:rPr>
      </w:pPr>
      <w:bookmarkStart w:id="342" w:name="_Toc134441507"/>
      <w:bookmarkStart w:id="343" w:name="_Toc134441508"/>
      <w:bookmarkEnd w:id="342"/>
      <w:bookmarkEnd w:id="343"/>
      <w:r w:rsidRPr="00AD38A0">
        <w:rPr>
          <w:lang w:eastAsia="ja-JP"/>
        </w:rPr>
        <w:t>Derivation of guideline values</w:t>
      </w:r>
    </w:p>
    <w:p w14:paraId="03F59FE8" w14:textId="274A54E3" w:rsidR="00260855" w:rsidRDefault="00EB38E1" w:rsidP="00C1087A">
      <w:r>
        <w:t xml:space="preserve">The ANZECC (1992) guideline </w:t>
      </w:r>
      <w:r w:rsidR="00CD1D04">
        <w:t xml:space="preserve">value of 2 mg/L </w:t>
      </w:r>
      <w:r>
        <w:t xml:space="preserve">for fluoride has been retained in the absence of new </w:t>
      </w:r>
      <w:r w:rsidR="00F52270">
        <w:t>contradicting</w:t>
      </w:r>
      <w:r>
        <w:t xml:space="preserve"> information. Th</w:t>
      </w:r>
      <w:r w:rsidR="00CD1D04">
        <w:t>is</w:t>
      </w:r>
      <w:r>
        <w:t xml:space="preserve"> value is consistent with guidelines for fluoride in Canada (</w:t>
      </w:r>
      <w:r w:rsidR="00DE3A14">
        <w:t xml:space="preserve">CCME </w:t>
      </w:r>
      <w:r w:rsidR="00816A4E">
        <w:t>2005</w:t>
      </w:r>
      <w:r>
        <w:t xml:space="preserve">) and South Africa, although the South African guidelines suggest that adverse effects are unlikely to occur in ruminants at concentrations </w:t>
      </w:r>
      <w:r w:rsidR="00CD1D04">
        <w:t>&lt;</w:t>
      </w:r>
      <w:r>
        <w:t>4</w:t>
      </w:r>
      <w:r w:rsidR="00324564">
        <w:t> </w:t>
      </w:r>
      <w:r>
        <w:t>mg/L (DWAF 1996).</w:t>
      </w:r>
      <w:r w:rsidR="00055504">
        <w:t xml:space="preserve"> Agriculture Victoria (2023) recommends a maximum level of 2 mg/L of fluoride for water in stock containment areas.</w:t>
      </w:r>
    </w:p>
    <w:p w14:paraId="03F59FE9" w14:textId="53DFDF32" w:rsidR="00324564" w:rsidRDefault="003A647C" w:rsidP="000C6B83">
      <w:pPr>
        <w:pStyle w:val="Heading4"/>
        <w:rPr>
          <w:lang w:eastAsia="ja-JP"/>
        </w:rPr>
      </w:pPr>
      <w:bookmarkStart w:id="344" w:name="_Toc134442336"/>
      <w:bookmarkStart w:id="345" w:name="_Toc141704572"/>
      <w:r>
        <w:rPr>
          <w:lang w:eastAsia="ja-JP"/>
        </w:rPr>
        <w:t>3.3.10</w:t>
      </w:r>
      <w:r>
        <w:rPr>
          <w:lang w:eastAsia="ja-JP"/>
        </w:rPr>
        <w:tab/>
      </w:r>
      <w:r w:rsidR="00EB38E1">
        <w:rPr>
          <w:lang w:eastAsia="ja-JP"/>
        </w:rPr>
        <w:t>Iron</w:t>
      </w:r>
      <w:bookmarkEnd w:id="344"/>
      <w:bookmarkEnd w:id="345"/>
    </w:p>
    <w:p w14:paraId="03F59FEA" w14:textId="51A50912" w:rsidR="00324564" w:rsidRDefault="00EB38E1" w:rsidP="00FD2341">
      <w:pPr>
        <w:pStyle w:val="Sectionkeypoints"/>
      </w:pPr>
      <w:r>
        <w:t>There is no guideline value for iron in livestock drinking water because it poses a very low risk to animal</w:t>
      </w:r>
      <w:r w:rsidR="009C18C7">
        <w:t xml:space="preserve"> health.</w:t>
      </w:r>
    </w:p>
    <w:p w14:paraId="03F59FEB" w14:textId="77777777" w:rsidR="00324564" w:rsidRDefault="00EB38E1" w:rsidP="000C6B83">
      <w:pPr>
        <w:pStyle w:val="Heading5"/>
        <w:rPr>
          <w:lang w:eastAsia="ja-JP"/>
        </w:rPr>
      </w:pPr>
      <w:r>
        <w:rPr>
          <w:lang w:eastAsia="ja-JP"/>
        </w:rPr>
        <w:t>Source</w:t>
      </w:r>
    </w:p>
    <w:p w14:paraId="03F59FEC" w14:textId="77777777" w:rsidR="00317004" w:rsidRPr="0056438C" w:rsidRDefault="00EB38E1" w:rsidP="00FD2341">
      <w:pPr>
        <w:rPr>
          <w:lang w:val="en-GB"/>
        </w:rPr>
      </w:pPr>
      <w:r w:rsidRPr="0056438C">
        <w:rPr>
          <w:lang w:val="en-GB"/>
        </w:rPr>
        <w:t xml:space="preserve">Iron is stable in dry air but readily oxidises in moist air, forming rust. The occurrence of iron in the </w:t>
      </w:r>
      <w:r>
        <w:rPr>
          <w:lang w:val="en-GB"/>
        </w:rPr>
        <w:t>E</w:t>
      </w:r>
      <w:r w:rsidRPr="0056438C">
        <w:rPr>
          <w:lang w:val="en-GB"/>
        </w:rPr>
        <w:t>arth’s crust is 4.7%.</w:t>
      </w:r>
      <w:r>
        <w:rPr>
          <w:lang w:val="en-GB"/>
        </w:rPr>
        <w:t xml:space="preserve"> </w:t>
      </w:r>
      <w:r w:rsidRPr="0056438C">
        <w:rPr>
          <w:lang w:val="en-GB"/>
        </w:rPr>
        <w:t xml:space="preserve">In water, iron can be present as dissolved ferric iron, </w:t>
      </w:r>
      <w:proofErr w:type="gramStart"/>
      <w:r w:rsidRPr="0056438C">
        <w:rPr>
          <w:lang w:val="en-GB"/>
        </w:rPr>
        <w:t>Fe(</w:t>
      </w:r>
      <w:proofErr w:type="gramEnd"/>
      <w:r w:rsidRPr="0056438C">
        <w:rPr>
          <w:lang w:val="en-GB"/>
        </w:rPr>
        <w:t>III), as ferrous iron, Fe(II) or as suspended iron</w:t>
      </w:r>
      <w:r w:rsidRPr="0056438C">
        <w:rPr>
          <w:spacing w:val="1"/>
          <w:lang w:val="en-GB"/>
        </w:rPr>
        <w:t xml:space="preserve"> </w:t>
      </w:r>
      <w:r w:rsidRPr="0056438C">
        <w:rPr>
          <w:lang w:val="en-GB"/>
        </w:rPr>
        <w:t>hydroxides.</w:t>
      </w:r>
    </w:p>
    <w:p w14:paraId="03F59FED" w14:textId="69A74800" w:rsidR="00324564" w:rsidRDefault="00EB38E1" w:rsidP="00C1087A">
      <w:r>
        <w:t>Iron occurs naturally in water through dissolution of iron-bearing rock and minerals. It is present in water as soluble Fe</w:t>
      </w:r>
      <w:r w:rsidRPr="00A22B03">
        <w:rPr>
          <w:vertAlign w:val="superscript"/>
        </w:rPr>
        <w:t>2+</w:t>
      </w:r>
      <w:r>
        <w:t xml:space="preserve"> ions or the much less soluble Fe</w:t>
      </w:r>
      <w:r w:rsidRPr="00FD5C55">
        <w:rPr>
          <w:vertAlign w:val="superscript"/>
        </w:rPr>
        <w:t>3+</w:t>
      </w:r>
      <w:r>
        <w:t xml:space="preserve"> form. In aerated surface water</w:t>
      </w:r>
      <w:r w:rsidR="009A1AC4">
        <w:t>,</w:t>
      </w:r>
      <w:r>
        <w:t xml:space="preserve"> iron concentration</w:t>
      </w:r>
      <w:r w:rsidR="009A1AC4">
        <w:t>s are</w:t>
      </w:r>
      <w:r>
        <w:t xml:space="preserve"> usually &lt;1</w:t>
      </w:r>
      <w:r w:rsidR="00870A95">
        <w:t> </w:t>
      </w:r>
      <w:r>
        <w:t xml:space="preserve">mg/L. Groundwaters </w:t>
      </w:r>
      <w:r w:rsidR="009A1AC4">
        <w:t>that are</w:t>
      </w:r>
      <w:r w:rsidR="008C317E">
        <w:t xml:space="preserve"> poorly oxygenated and</w:t>
      </w:r>
      <w:r w:rsidR="009A1AC4">
        <w:t xml:space="preserve"> </w:t>
      </w:r>
      <w:r>
        <w:t xml:space="preserve">rich in dissolved </w:t>
      </w:r>
      <w:r>
        <w:lastRenderedPageBreak/>
        <w:t>carbon dioxide have been reported to have a total iron content of up to 100</w:t>
      </w:r>
      <w:r w:rsidR="00870A95">
        <w:t> </w:t>
      </w:r>
      <w:r>
        <w:t xml:space="preserve">mg/L (Galvin 1996, </w:t>
      </w:r>
      <w:r w:rsidRPr="00EA5B10">
        <w:t>NHMRC &amp; ARMCANZ 1996).</w:t>
      </w:r>
    </w:p>
    <w:p w14:paraId="03F59FEE" w14:textId="77777777" w:rsidR="00D63F89" w:rsidRDefault="00EB38E1" w:rsidP="00D63F89">
      <w:r>
        <w:t>Water sources for livestock do not usually contain sufficient iron to cause health problems in livestock,</w:t>
      </w:r>
      <w:r w:rsidRPr="00D63F89">
        <w:t xml:space="preserve"> </w:t>
      </w:r>
      <w:r>
        <w:t>but toxic effects have been reported when cows were grazed on pastures heavily irrigated with groundwater containing 17 mg/L of iron (Hart 1974).</w:t>
      </w:r>
    </w:p>
    <w:p w14:paraId="03F59FEF" w14:textId="77777777" w:rsidR="00131E39" w:rsidRDefault="00EB38E1" w:rsidP="000C6B83">
      <w:pPr>
        <w:pStyle w:val="Heading5"/>
        <w:rPr>
          <w:lang w:eastAsia="ja-JP"/>
        </w:rPr>
      </w:pPr>
      <w:r>
        <w:rPr>
          <w:lang w:eastAsia="ja-JP"/>
        </w:rPr>
        <w:t>Effects on a</w:t>
      </w:r>
      <w:r w:rsidRPr="004508FF">
        <w:rPr>
          <w:lang w:eastAsia="ja-JP"/>
        </w:rPr>
        <w:t>nimal health</w:t>
      </w:r>
    </w:p>
    <w:p w14:paraId="03F59FF0" w14:textId="51822967" w:rsidR="00D63F89" w:rsidRDefault="00EB38E1" w:rsidP="00D63F89">
      <w:r>
        <w:t xml:space="preserve">Iron is </w:t>
      </w:r>
      <w:r w:rsidR="00E36FBD">
        <w:t xml:space="preserve">an </w:t>
      </w:r>
      <w:r>
        <w:t xml:space="preserve">essential </w:t>
      </w:r>
      <w:r w:rsidR="00E36FBD">
        <w:t xml:space="preserve">element in </w:t>
      </w:r>
      <w:r>
        <w:t xml:space="preserve">animal </w:t>
      </w:r>
      <w:r w:rsidR="00E36FBD">
        <w:t xml:space="preserve">nutrition </w:t>
      </w:r>
      <w:r>
        <w:t>and has a low toxicity</w:t>
      </w:r>
      <w:r w:rsidR="007E5E5E">
        <w:t>; it is only</w:t>
      </w:r>
      <w:r>
        <w:t xml:space="preserve"> harmful to livestock if ingested in large amounts. </w:t>
      </w:r>
      <w:r w:rsidR="00544722">
        <w:t xml:space="preserve">Symptoms of iron toxicity include reduced feed intake and weight gain (Agriculture Victoria 2023). </w:t>
      </w:r>
      <w:r>
        <w:t xml:space="preserve">Excess intake of iron affects health through increasing reactive oxygen species (oxidative stress), which damages cell membranes and interrupts several biochemical reactions in the body. Oxidative stress in dairy cows has been related to increased incidences of mastitis, retained </w:t>
      </w:r>
      <w:proofErr w:type="spellStart"/>
      <w:r>
        <w:t>f</w:t>
      </w:r>
      <w:r w:rsidR="00AB45C1">
        <w:t>etal</w:t>
      </w:r>
      <w:proofErr w:type="spellEnd"/>
      <w:r>
        <w:t xml:space="preserve"> membranes, and a general decrease in immune function (Linn 2008).</w:t>
      </w:r>
      <w:r w:rsidR="00BA0E41" w:rsidRPr="00BA0E41">
        <w:rPr>
          <w:rFonts w:ascii="Segoe UI" w:eastAsia="Times New Roman" w:hAnsi="Segoe UI" w:cs="Segoe UI"/>
          <w:kern w:val="0"/>
          <w:sz w:val="18"/>
          <w:szCs w:val="18"/>
          <w:lang w:eastAsia="en-AU"/>
          <w14:ligatures w14:val="none"/>
        </w:rPr>
        <w:t xml:space="preserve"> </w:t>
      </w:r>
      <w:r w:rsidR="00BA0E41" w:rsidRPr="009D4B5A">
        <w:t xml:space="preserve">Excessive </w:t>
      </w:r>
      <w:r w:rsidR="00955B38" w:rsidRPr="00CE65A2">
        <w:t xml:space="preserve">iron </w:t>
      </w:r>
      <w:r w:rsidR="00BA0E41" w:rsidRPr="009D4B5A">
        <w:t xml:space="preserve">intake may </w:t>
      </w:r>
      <w:r w:rsidR="00955B38">
        <w:t xml:space="preserve">also </w:t>
      </w:r>
      <w:r w:rsidR="00955B38" w:rsidRPr="00B760DA">
        <w:t>reduce the absorption of</w:t>
      </w:r>
      <w:r w:rsidR="00BA0E41" w:rsidRPr="00B760DA">
        <w:t xml:space="preserve"> other essential micronutrients</w:t>
      </w:r>
      <w:r w:rsidR="00955B38" w:rsidRPr="00B760DA">
        <w:t>, such as c</w:t>
      </w:r>
      <w:r w:rsidR="00BA0E41" w:rsidRPr="00B760DA">
        <w:t xml:space="preserve">opper and </w:t>
      </w:r>
      <w:r w:rsidR="00955B38" w:rsidRPr="00B760DA">
        <w:t>zi</w:t>
      </w:r>
      <w:r w:rsidR="00BA0E41" w:rsidRPr="00B760DA">
        <w:t>nc.</w:t>
      </w:r>
    </w:p>
    <w:p w14:paraId="03F59FF1" w14:textId="64C1A7DC" w:rsidR="00324564" w:rsidRDefault="00EB38E1" w:rsidP="00C1087A">
      <w:r w:rsidRPr="003E1AEC">
        <w:t>Coup and Campbell (1964) reported</w:t>
      </w:r>
      <w:r>
        <w:t xml:space="preserve"> slight scouring and blackening of the faeces after administering a daily dose of 30</w:t>
      </w:r>
      <w:r w:rsidR="00972B9F">
        <w:t> </w:t>
      </w:r>
      <w:r>
        <w:t xml:space="preserve">g </w:t>
      </w:r>
      <w:r w:rsidR="00CC3F79">
        <w:t xml:space="preserve">of </w:t>
      </w:r>
      <w:r>
        <w:t xml:space="preserve">iron </w:t>
      </w:r>
      <w:r w:rsidR="00CC3F79">
        <w:t>(</w:t>
      </w:r>
      <w:r>
        <w:t>as ferric hydroxide</w:t>
      </w:r>
      <w:r w:rsidR="00CC3F79">
        <w:t>)</w:t>
      </w:r>
      <w:r w:rsidR="00D63F89">
        <w:t xml:space="preserve"> to cattle</w:t>
      </w:r>
      <w:r>
        <w:t>. At a dos</w:t>
      </w:r>
      <w:r w:rsidR="00CC3F79">
        <w:t>e</w:t>
      </w:r>
      <w:r>
        <w:t xml:space="preserve"> of 60</w:t>
      </w:r>
      <w:r w:rsidR="009B1DB3">
        <w:t> </w:t>
      </w:r>
      <w:r>
        <w:t>g/day, scouring and blackening were pronounced and associated with a decline in body</w:t>
      </w:r>
      <w:r w:rsidR="00CC3F79">
        <w:t xml:space="preserve"> </w:t>
      </w:r>
      <w:r>
        <w:t xml:space="preserve">weight, </w:t>
      </w:r>
      <w:r w:rsidR="006351A6">
        <w:t xml:space="preserve">coat condition, and </w:t>
      </w:r>
      <w:r>
        <w:t>milk and fat yield. No adverse effects were reported from a dos</w:t>
      </w:r>
      <w:r w:rsidR="00EF75C0">
        <w:t>e</w:t>
      </w:r>
      <w:r>
        <w:t xml:space="preserve"> of 15</w:t>
      </w:r>
      <w:r w:rsidR="00D768C1">
        <w:t> </w:t>
      </w:r>
      <w:r>
        <w:t>g/day.</w:t>
      </w:r>
    </w:p>
    <w:p w14:paraId="7386943F" w14:textId="53061442" w:rsidR="003F4641" w:rsidRPr="003F4641" w:rsidRDefault="009A4FE1" w:rsidP="009D4B5A">
      <w:pPr>
        <w:rPr>
          <w:rFonts w:ascii="Arial" w:hAnsi="Arial" w:cs="Arial"/>
          <w:sz w:val="20"/>
          <w:szCs w:val="20"/>
          <w:lang w:eastAsia="en-AU"/>
        </w:rPr>
      </w:pPr>
      <w:r>
        <w:rPr>
          <w:lang w:eastAsia="en-AU"/>
        </w:rPr>
        <w:t>H</w:t>
      </w:r>
      <w:r w:rsidR="003F4641" w:rsidRPr="003F4641">
        <w:rPr>
          <w:lang w:eastAsia="en-AU"/>
        </w:rPr>
        <w:t xml:space="preserve">igh levels of iron in drinking water may </w:t>
      </w:r>
      <w:r>
        <w:rPr>
          <w:lang w:eastAsia="en-AU"/>
        </w:rPr>
        <w:t>also</w:t>
      </w:r>
      <w:r w:rsidR="00955B38">
        <w:rPr>
          <w:lang w:eastAsia="en-AU"/>
        </w:rPr>
        <w:t xml:space="preserve"> </w:t>
      </w:r>
      <w:r w:rsidR="003F4641" w:rsidRPr="003F4641">
        <w:rPr>
          <w:lang w:eastAsia="en-AU"/>
        </w:rPr>
        <w:t xml:space="preserve">reduce water intake </w:t>
      </w:r>
      <w:r w:rsidR="003F4641">
        <w:rPr>
          <w:lang w:eastAsia="en-AU"/>
        </w:rPr>
        <w:t xml:space="preserve">because of effects on </w:t>
      </w:r>
      <w:r w:rsidR="003F4641" w:rsidRPr="003F4641">
        <w:rPr>
          <w:lang w:eastAsia="en-AU"/>
        </w:rPr>
        <w:t>palatability</w:t>
      </w:r>
      <w:r w:rsidR="00955B38">
        <w:rPr>
          <w:lang w:eastAsia="en-AU"/>
        </w:rPr>
        <w:t>.</w:t>
      </w:r>
    </w:p>
    <w:p w14:paraId="03F59FF2" w14:textId="77777777" w:rsidR="00AD38A0" w:rsidRPr="00AD38A0" w:rsidRDefault="00EB38E1" w:rsidP="000C6B83">
      <w:pPr>
        <w:pStyle w:val="Heading5"/>
        <w:rPr>
          <w:lang w:eastAsia="ja-JP"/>
        </w:rPr>
      </w:pPr>
      <w:r w:rsidRPr="00AD38A0">
        <w:rPr>
          <w:lang w:eastAsia="ja-JP"/>
        </w:rPr>
        <w:t>Derivation of guideline values</w:t>
      </w:r>
    </w:p>
    <w:p w14:paraId="03F59FF3" w14:textId="5F31B11F" w:rsidR="00260855" w:rsidRDefault="00EB38E1" w:rsidP="00C1087A">
      <w:r>
        <w:t>There is n</w:t>
      </w:r>
      <w:r w:rsidR="00324564">
        <w:t xml:space="preserve">o guideline value for iron </w:t>
      </w:r>
      <w:r>
        <w:t xml:space="preserve">because water sources for livestock </w:t>
      </w:r>
      <w:r w:rsidR="00324564">
        <w:t xml:space="preserve">do not usually contain </w:t>
      </w:r>
      <w:r>
        <w:t xml:space="preserve">sufficient </w:t>
      </w:r>
      <w:r w:rsidR="00324564">
        <w:t>iron to cause health problems in livestock. There is no guideline recommended for iron in livestock drinking water in Canada (</w:t>
      </w:r>
      <w:r w:rsidR="00DE3A14">
        <w:t xml:space="preserve">CCME </w:t>
      </w:r>
      <w:r w:rsidR="0052661D">
        <w:t>2005</w:t>
      </w:r>
      <w:r w:rsidR="00324564">
        <w:t xml:space="preserve">). </w:t>
      </w:r>
      <w:r w:rsidR="00862352">
        <w:t xml:space="preserve">Similarly, Agriculture Victoria (2023) does not recommend a maximum level of iron for water in stock containment areas, but notes that it is of ‘low toxicity’. </w:t>
      </w:r>
      <w:r w:rsidR="00324564">
        <w:t>A guideline value of 10</w:t>
      </w:r>
      <w:r w:rsidR="0049217D">
        <w:t> </w:t>
      </w:r>
      <w:r w:rsidR="00324564">
        <w:t xml:space="preserve">mg/L has been proposed in South Africa, although it was noted that adverse effects of excessive iron intake have not been well documented </w:t>
      </w:r>
      <w:r>
        <w:t>and</w:t>
      </w:r>
      <w:r w:rsidR="00324564">
        <w:t xml:space="preserve"> that concentrations up to 50</w:t>
      </w:r>
      <w:r w:rsidR="00870A95">
        <w:t> </w:t>
      </w:r>
      <w:r w:rsidR="00324564">
        <w:t>mg/L may be tolerated (DWAF 1996).</w:t>
      </w:r>
      <w:r w:rsidR="00CA476C">
        <w:t xml:space="preserve"> </w:t>
      </w:r>
      <w:r w:rsidR="00CC0953">
        <w:t>NRC (2005) set maximum tolerable concentrations of dietary iron at 500</w:t>
      </w:r>
      <w:r w:rsidR="00542DB5">
        <w:t> </w:t>
      </w:r>
      <w:r w:rsidR="00CC0953">
        <w:t>mg/kg for cattle, 500</w:t>
      </w:r>
      <w:r w:rsidR="00542DB5">
        <w:t> </w:t>
      </w:r>
      <w:r w:rsidR="00CC0953">
        <w:t>mg/kg for sheep, 500</w:t>
      </w:r>
      <w:r w:rsidR="00542DB5">
        <w:t> </w:t>
      </w:r>
      <w:r w:rsidR="00CC0953">
        <w:t>mg/kg for poultry, and 3,000</w:t>
      </w:r>
      <w:r w:rsidR="00542DB5">
        <w:t> </w:t>
      </w:r>
      <w:r w:rsidR="00CC0953">
        <w:t xml:space="preserve">mg/kg for pigs. </w:t>
      </w:r>
    </w:p>
    <w:p w14:paraId="03F59FF4" w14:textId="58486122" w:rsidR="00FD2441" w:rsidRDefault="003A647C" w:rsidP="000C6B83">
      <w:pPr>
        <w:pStyle w:val="Heading4"/>
        <w:rPr>
          <w:lang w:eastAsia="ja-JP"/>
        </w:rPr>
      </w:pPr>
      <w:bookmarkStart w:id="346" w:name="_Toc134441514"/>
      <w:bookmarkStart w:id="347" w:name="_Toc134441816"/>
      <w:bookmarkStart w:id="348" w:name="_Toc134442337"/>
      <w:bookmarkStart w:id="349" w:name="_Toc134442548"/>
      <w:bookmarkStart w:id="350" w:name="_Toc134441515"/>
      <w:bookmarkStart w:id="351" w:name="_Toc134441817"/>
      <w:bookmarkStart w:id="352" w:name="_Toc134442338"/>
      <w:bookmarkStart w:id="353" w:name="_Toc134442549"/>
      <w:bookmarkStart w:id="354" w:name="_Toc134442339"/>
      <w:bookmarkStart w:id="355" w:name="_Toc141704573"/>
      <w:bookmarkEnd w:id="346"/>
      <w:bookmarkEnd w:id="347"/>
      <w:bookmarkEnd w:id="348"/>
      <w:bookmarkEnd w:id="349"/>
      <w:bookmarkEnd w:id="350"/>
      <w:bookmarkEnd w:id="351"/>
      <w:bookmarkEnd w:id="352"/>
      <w:bookmarkEnd w:id="353"/>
      <w:r>
        <w:rPr>
          <w:lang w:eastAsia="ja-JP"/>
        </w:rPr>
        <w:t>3.3.11</w:t>
      </w:r>
      <w:r>
        <w:rPr>
          <w:lang w:eastAsia="ja-JP"/>
        </w:rPr>
        <w:tab/>
      </w:r>
      <w:r w:rsidR="00EB38E1">
        <w:rPr>
          <w:lang w:eastAsia="ja-JP"/>
        </w:rPr>
        <w:t>Lead</w:t>
      </w:r>
      <w:bookmarkEnd w:id="354"/>
      <w:bookmarkEnd w:id="355"/>
    </w:p>
    <w:p w14:paraId="03F59FF5" w14:textId="77777777" w:rsidR="008E5DE1" w:rsidRDefault="00EB38E1" w:rsidP="00FD2341">
      <w:pPr>
        <w:pStyle w:val="Sectionkeypoints"/>
      </w:pPr>
      <w:bookmarkStart w:id="356" w:name="_Hlk135129470"/>
      <w:r>
        <w:t xml:space="preserve">Lead concentrations &gt;0.1 mg/L in livestock drinking water may be hazardous to animal health. </w:t>
      </w:r>
      <w:bookmarkEnd w:id="356"/>
      <w:r>
        <w:t xml:space="preserve">However, </w:t>
      </w:r>
      <w:r w:rsidRPr="008E5DE1">
        <w:t>lead is accumulative</w:t>
      </w:r>
      <w:r>
        <w:t>,</w:t>
      </w:r>
      <w:r w:rsidRPr="008E5DE1">
        <w:t xml:space="preserve"> and problems may begin </w:t>
      </w:r>
      <w:r>
        <w:t xml:space="preserve">at concentrations </w:t>
      </w:r>
      <w:r w:rsidRPr="008E5DE1">
        <w:t>of 0.05</w:t>
      </w:r>
      <w:r>
        <w:t> </w:t>
      </w:r>
      <w:r w:rsidRPr="008E5DE1">
        <w:t>mg/L (Ayers &amp; Westcot 1994).</w:t>
      </w:r>
    </w:p>
    <w:p w14:paraId="03F59FF6" w14:textId="77777777" w:rsidR="00FD2441" w:rsidRDefault="00EB38E1" w:rsidP="000C6B83">
      <w:pPr>
        <w:pStyle w:val="Heading5"/>
        <w:rPr>
          <w:lang w:eastAsia="ja-JP"/>
        </w:rPr>
      </w:pPr>
      <w:r>
        <w:rPr>
          <w:lang w:eastAsia="ja-JP"/>
        </w:rPr>
        <w:t>Source</w:t>
      </w:r>
    </w:p>
    <w:p w14:paraId="178CBE1A" w14:textId="10C389FA" w:rsidR="002E469C" w:rsidRPr="00B760DA" w:rsidRDefault="00350415" w:rsidP="002E469C">
      <w:pPr>
        <w:rPr>
          <w:lang w:val="en-GB"/>
        </w:rPr>
      </w:pPr>
      <w:r w:rsidRPr="00B760DA">
        <w:rPr>
          <w:lang w:val="en-GB"/>
        </w:rPr>
        <w:t>Lead is generally present in very low concentrations in natural waters.</w:t>
      </w:r>
      <w:r w:rsidR="002E469C" w:rsidRPr="00B760DA">
        <w:rPr>
          <w:lang w:val="en-GB"/>
        </w:rPr>
        <w:t xml:space="preserve"> </w:t>
      </w:r>
      <w:r w:rsidR="002E469C" w:rsidRPr="0056438C">
        <w:rPr>
          <w:lang w:val="en-GB"/>
        </w:rPr>
        <w:t>Lead chloride</w:t>
      </w:r>
      <w:r w:rsidR="002E469C">
        <w:rPr>
          <w:lang w:val="en-GB"/>
        </w:rPr>
        <w:t xml:space="preserve"> </w:t>
      </w:r>
      <w:r w:rsidR="002E469C" w:rsidRPr="0056438C">
        <w:rPr>
          <w:lang w:val="en-GB"/>
        </w:rPr>
        <w:t>and bromide salts are slightly soluble (1%) in cold water, whereas carbonates and hydroxide salts are almost insoluble (Adriano 1986).</w:t>
      </w:r>
      <w:r w:rsidR="002E469C">
        <w:rPr>
          <w:lang w:val="en-GB"/>
        </w:rPr>
        <w:t xml:space="preserve"> </w:t>
      </w:r>
      <w:r w:rsidR="002E469C" w:rsidRPr="00B760DA">
        <w:rPr>
          <w:lang w:val="en-GB"/>
        </w:rPr>
        <w:t>Dissolved lead concentrations in unpolluted freshwater are generally &lt;0.01 mg/L (Fergusson 1990, Galvin 1996).</w:t>
      </w:r>
    </w:p>
    <w:p w14:paraId="1B98DCBF" w14:textId="0AF039D4" w:rsidR="00350415" w:rsidRPr="00B760DA" w:rsidRDefault="00350415" w:rsidP="00C1087A">
      <w:pPr>
        <w:rPr>
          <w:lang w:val="en-GB"/>
        </w:rPr>
      </w:pPr>
      <w:r w:rsidRPr="00B760DA">
        <w:rPr>
          <w:lang w:val="en-GB"/>
        </w:rPr>
        <w:t>Human outputs of lead to the environment outweigh natural sources</w:t>
      </w:r>
      <w:r w:rsidR="002E469C" w:rsidRPr="00B760DA">
        <w:rPr>
          <w:lang w:val="en-GB"/>
        </w:rPr>
        <w:t xml:space="preserve"> –</w:t>
      </w:r>
      <w:r w:rsidRPr="00B760DA">
        <w:rPr>
          <w:lang w:val="en-GB"/>
        </w:rPr>
        <w:t xml:space="preserve"> lead reaches the environment through precipitation, fall</w:t>
      </w:r>
      <w:r w:rsidR="00AB45C1">
        <w:rPr>
          <w:lang w:val="en-GB"/>
        </w:rPr>
        <w:t>out</w:t>
      </w:r>
      <w:r w:rsidRPr="00B760DA">
        <w:rPr>
          <w:lang w:val="en-GB"/>
        </w:rPr>
        <w:t xml:space="preserve"> of lead dust, street </w:t>
      </w:r>
      <w:r w:rsidR="00AA0DF2">
        <w:rPr>
          <w:lang w:val="en-GB"/>
        </w:rPr>
        <w:t>run-off</w:t>
      </w:r>
      <w:r w:rsidRPr="00B760DA">
        <w:rPr>
          <w:lang w:val="en-GB"/>
        </w:rPr>
        <w:t xml:space="preserve"> and industrial and municipal wastewater discharges (USEPA 1976, Jaques 1985). </w:t>
      </w:r>
    </w:p>
    <w:p w14:paraId="03F59FF9" w14:textId="77777777" w:rsidR="00131E39" w:rsidRDefault="00EB38E1" w:rsidP="000C6B83">
      <w:pPr>
        <w:pStyle w:val="Heading5"/>
        <w:rPr>
          <w:lang w:eastAsia="ja-JP"/>
        </w:rPr>
      </w:pPr>
      <w:r>
        <w:rPr>
          <w:lang w:eastAsia="ja-JP"/>
        </w:rPr>
        <w:t>Effects on a</w:t>
      </w:r>
      <w:r w:rsidRPr="004508FF">
        <w:rPr>
          <w:lang w:eastAsia="ja-JP"/>
        </w:rPr>
        <w:t>nimal health</w:t>
      </w:r>
    </w:p>
    <w:p w14:paraId="03F59FFA" w14:textId="77777777" w:rsidR="003157DB" w:rsidRDefault="00EB38E1" w:rsidP="003157DB">
      <w:r>
        <w:t xml:space="preserve">The toxicity of lead depends on the type </w:t>
      </w:r>
      <w:r w:rsidR="000857F7">
        <w:t xml:space="preserve">and age </w:t>
      </w:r>
      <w:r>
        <w:t xml:space="preserve">of </w:t>
      </w:r>
      <w:r w:rsidR="000857F7">
        <w:t xml:space="preserve">the </w:t>
      </w:r>
      <w:r>
        <w:t>animal, the form of lead</w:t>
      </w:r>
      <w:r w:rsidR="000857F7">
        <w:t>,</w:t>
      </w:r>
      <w:r>
        <w:t xml:space="preserve"> and the rate of lead ingestion (Hart 1982).</w:t>
      </w:r>
    </w:p>
    <w:p w14:paraId="03F59FFB" w14:textId="0E1651F0" w:rsidR="003157DB" w:rsidRDefault="001C427F" w:rsidP="003157DB">
      <w:r>
        <w:lastRenderedPageBreak/>
        <w:t>Young animals absorb lead more efficiently than older animals and show lower tolerance to lead. (</w:t>
      </w:r>
      <w:r w:rsidR="005F3A31">
        <w:t>Olkowski 2009</w:t>
      </w:r>
      <w:r>
        <w:t>).</w:t>
      </w:r>
      <w:r w:rsidR="005F3A31">
        <w:t xml:space="preserve"> </w:t>
      </w:r>
      <w:r w:rsidR="0050567B" w:rsidRPr="00785B6B">
        <w:t>Symptoms of l</w:t>
      </w:r>
      <w:r w:rsidR="000B11A3" w:rsidRPr="00785B6B">
        <w:t>ead poisoning in mammal</w:t>
      </w:r>
      <w:r w:rsidR="0050567B" w:rsidRPr="00785B6B">
        <w:t>s</w:t>
      </w:r>
      <w:r w:rsidR="000B11A3" w:rsidRPr="00785B6B">
        <w:t xml:space="preserve"> and </w:t>
      </w:r>
      <w:r w:rsidR="0050567B" w:rsidRPr="00785B6B">
        <w:t>birds</w:t>
      </w:r>
      <w:r w:rsidR="00785B6B">
        <w:t xml:space="preserve"> </w:t>
      </w:r>
      <w:r w:rsidR="0050567B" w:rsidRPr="0050567B">
        <w:t>include</w:t>
      </w:r>
      <w:r w:rsidR="000B11A3" w:rsidRPr="0050567B">
        <w:t xml:space="preserve"> </w:t>
      </w:r>
      <w:r w:rsidR="000B11A3" w:rsidRPr="00785B6B">
        <w:t>neurologic disturbances, gastrointestinal upset, h</w:t>
      </w:r>
      <w:r w:rsidR="00AB45C1">
        <w:t>aematologic</w:t>
      </w:r>
      <w:r w:rsidR="000B11A3" w:rsidRPr="00785B6B">
        <w:t xml:space="preserve"> abnormalities, immunosuppression, </w:t>
      </w:r>
      <w:proofErr w:type="gramStart"/>
      <w:r w:rsidR="000B11A3" w:rsidRPr="00785B6B">
        <w:t>infertility</w:t>
      </w:r>
      <w:proofErr w:type="gramEnd"/>
      <w:r w:rsidR="000B11A3" w:rsidRPr="00785B6B">
        <w:t xml:space="preserve"> and renal disease</w:t>
      </w:r>
      <w:r w:rsidR="0050567B" w:rsidRPr="00785B6B">
        <w:t xml:space="preserve"> (Blakley 2022</w:t>
      </w:r>
      <w:r w:rsidR="00EC30FD">
        <w:t>c</w:t>
      </w:r>
      <w:r w:rsidR="0050567B" w:rsidRPr="00785B6B">
        <w:t>)</w:t>
      </w:r>
      <w:r w:rsidR="000B11A3" w:rsidRPr="00785B6B">
        <w:t>.</w:t>
      </w:r>
      <w:r w:rsidR="0050567B" w:rsidRPr="00785B6B">
        <w:t xml:space="preserve"> </w:t>
      </w:r>
      <w:r w:rsidR="00EB38E1">
        <w:t xml:space="preserve">Reduced resistance to diseases has </w:t>
      </w:r>
      <w:r w:rsidR="00EB38E1" w:rsidRPr="00907317">
        <w:t>been reported following low-level intake of lead (Hemphill et al. 1971).</w:t>
      </w:r>
      <w:r w:rsidR="00EB38E1">
        <w:t xml:space="preserve"> Chronic effects such as anorexia and respiratory distress are associated with low-level poisoning.</w:t>
      </w:r>
    </w:p>
    <w:p w14:paraId="03F59FFC" w14:textId="533BBDED" w:rsidR="003157DB" w:rsidRDefault="00EB38E1" w:rsidP="003157DB">
      <w:r>
        <w:t xml:space="preserve">Lead is accumulated in the skeleton to a critical maximum level, after which circulating concentrations increase until poisoning </w:t>
      </w:r>
      <w:r w:rsidRPr="006B4623">
        <w:t>occurs (Hatch 1977</w:t>
      </w:r>
      <w:r w:rsidRPr="00D8408B">
        <w:t>, Jaworski 1979).</w:t>
      </w:r>
      <w:r>
        <w:t xml:space="preserve"> </w:t>
      </w:r>
      <w:r w:rsidR="00B84923">
        <w:t xml:space="preserve">Severe poisoning causes acute effects such as </w:t>
      </w:r>
      <w:r w:rsidR="00402F42">
        <w:t xml:space="preserve">blindness (Agriculture Victoria 2023), </w:t>
      </w:r>
      <w:r w:rsidR="00B84923">
        <w:t xml:space="preserve">frothing at the mouth, </w:t>
      </w:r>
      <w:proofErr w:type="gramStart"/>
      <w:r w:rsidR="00B84923">
        <w:t>incoordination</w:t>
      </w:r>
      <w:proofErr w:type="gramEnd"/>
      <w:r w:rsidR="00B84923">
        <w:t xml:space="preserve"> and convulsions (DWAF 1996).</w:t>
      </w:r>
    </w:p>
    <w:p w14:paraId="03F59FFD" w14:textId="453184F6" w:rsidR="003157DB" w:rsidRDefault="004475F8" w:rsidP="00C1087A">
      <w:r>
        <w:t xml:space="preserve">Cattle, especially young calves, are susceptible to lead toxicity (Olkowski 2009). </w:t>
      </w:r>
      <w:r w:rsidR="00EB38E1" w:rsidRPr="001C405C">
        <w:t xml:space="preserve">Hammond and Aronson (1964) </w:t>
      </w:r>
      <w:r w:rsidR="00EB38E1">
        <w:t>suggested that daily ingestion of 6–7</w:t>
      </w:r>
      <w:r w:rsidR="00870A95">
        <w:t> </w:t>
      </w:r>
      <w:r w:rsidR="00EB38E1">
        <w:t>mg/kg</w:t>
      </w:r>
      <w:r w:rsidR="00A13D7D">
        <w:t xml:space="preserve"> </w:t>
      </w:r>
      <w:r w:rsidR="00EB38E1">
        <w:t xml:space="preserve">body weight </w:t>
      </w:r>
      <w:r w:rsidR="00A13D7D">
        <w:t>of lead</w:t>
      </w:r>
      <w:r w:rsidR="00EB38E1">
        <w:t xml:space="preserve"> is the minimum dose that causes poisoning to cattle. Calves were killed by accidental exposure to an estimated dose of 5–8</w:t>
      </w:r>
      <w:r w:rsidR="00870A95">
        <w:t> </w:t>
      </w:r>
      <w:r w:rsidR="00EB38E1">
        <w:t>mg/kg/d</w:t>
      </w:r>
      <w:r w:rsidR="00A13D7D">
        <w:t>ay</w:t>
      </w:r>
      <w:r w:rsidR="00EB38E1">
        <w:t xml:space="preserve"> for 30</w:t>
      </w:r>
      <w:r w:rsidR="00A13D7D">
        <w:t> </w:t>
      </w:r>
      <w:r w:rsidR="00EB38E1">
        <w:t>days (</w:t>
      </w:r>
      <w:r w:rsidR="00EB38E1" w:rsidRPr="0003493D">
        <w:t>Osweiler &amp; Ruhr 1978).</w:t>
      </w:r>
      <w:r w:rsidR="00EB38E1">
        <w:t xml:space="preserve"> Sheep deaths were reported following dietary exposure to 5.7</w:t>
      </w:r>
      <w:r w:rsidR="00024C3C">
        <w:t> </w:t>
      </w:r>
      <w:r w:rsidR="00EB38E1">
        <w:t>mg/kg/day (</w:t>
      </w:r>
      <w:r w:rsidR="00EB38E1" w:rsidRPr="00E02640">
        <w:t>James et al. 1966).</w:t>
      </w:r>
      <w:r w:rsidR="00EB38E1">
        <w:t xml:space="preserve"> Horses have been reported to be more sensitive to lead poisoning than cattle and sheep (CCREM 1987</w:t>
      </w:r>
      <w:r w:rsidR="00DE3A14">
        <w:t>, CCME 2005</w:t>
      </w:r>
      <w:r w:rsidR="00EB38E1">
        <w:t>). In one case, chronic poisoning occurred after horses received drinking water and grass contaminated with lead at concentrations of 0.5–1</w:t>
      </w:r>
      <w:r w:rsidR="00870A95">
        <w:t> </w:t>
      </w:r>
      <w:r w:rsidR="00EB38E1">
        <w:t>mg/L and 5–20</w:t>
      </w:r>
      <w:r w:rsidR="00870A95">
        <w:t> </w:t>
      </w:r>
      <w:r w:rsidR="00EB38E1">
        <w:t xml:space="preserve">mg/kg (dry weight) </w:t>
      </w:r>
      <w:r w:rsidR="00EB38E1" w:rsidRPr="00DD527C">
        <w:t>respectively (Singer 1976). However</w:t>
      </w:r>
      <w:r w:rsidR="00EB38E1">
        <w:t>, horses have also been reported as less sensitive to lead (DWAF 1996).</w:t>
      </w:r>
    </w:p>
    <w:p w14:paraId="03F59FFE" w14:textId="537884F7" w:rsidR="003157DB" w:rsidRDefault="00EB38E1" w:rsidP="003157DB">
      <w:pPr>
        <w:rPr>
          <w:lang w:eastAsia="ja-JP"/>
        </w:rPr>
      </w:pPr>
      <w:r>
        <w:t>If livestock are raised in areas contaminated with lead, it can accumulate in soft tissues of animals to a degree which might exceed acceptable levels for human consumption</w:t>
      </w:r>
      <w:r w:rsidR="004D294E">
        <w:t xml:space="preserve"> </w:t>
      </w:r>
      <w:r>
        <w:t>(NRC 1980</w:t>
      </w:r>
      <w:r w:rsidR="004027F1">
        <w:t>, 2005</w:t>
      </w:r>
      <w:r>
        <w:t>).</w:t>
      </w:r>
    </w:p>
    <w:p w14:paraId="03F59FFF" w14:textId="77777777" w:rsidR="003157DB" w:rsidRDefault="00EB38E1" w:rsidP="003157DB">
      <w:pPr>
        <w:pStyle w:val="Heading5"/>
        <w:rPr>
          <w:lang w:eastAsia="ja-JP"/>
        </w:rPr>
      </w:pPr>
      <w:r>
        <w:rPr>
          <w:lang w:eastAsia="ja-JP"/>
        </w:rPr>
        <w:t>Derivation of guideline value</w:t>
      </w:r>
    </w:p>
    <w:p w14:paraId="4F77C754" w14:textId="38E2E8DE" w:rsidR="006541C2" w:rsidRPr="00B760DA" w:rsidRDefault="006541C2" w:rsidP="006541C2">
      <w:pPr>
        <w:pStyle w:val="pf0"/>
        <w:rPr>
          <w:rFonts w:asciiTheme="minorHAnsi" w:eastAsiaTheme="minorHAnsi" w:hAnsiTheme="minorHAnsi" w:cstheme="minorBidi"/>
          <w:lang w:eastAsia="en-US"/>
        </w:rPr>
      </w:pPr>
      <w:r w:rsidRPr="00B760DA">
        <w:rPr>
          <w:rFonts w:asciiTheme="minorHAnsi" w:eastAsiaTheme="minorHAnsi" w:hAnsiTheme="minorHAnsi" w:cstheme="minorBidi"/>
          <w:lang w:eastAsia="en-US"/>
        </w:rPr>
        <w:t xml:space="preserve">NRC (1980) set </w:t>
      </w:r>
      <w:r w:rsidR="00D2440C" w:rsidRPr="00B760DA">
        <w:rPr>
          <w:rFonts w:asciiTheme="minorHAnsi" w:eastAsiaTheme="minorHAnsi" w:hAnsiTheme="minorHAnsi" w:cstheme="minorBidi"/>
          <w:lang w:eastAsia="en-US"/>
        </w:rPr>
        <w:t>a</w:t>
      </w:r>
      <w:r w:rsidR="00EB38E1" w:rsidRPr="00B760DA">
        <w:rPr>
          <w:rFonts w:asciiTheme="minorHAnsi" w:eastAsiaTheme="minorHAnsi" w:hAnsiTheme="minorHAnsi" w:cstheme="minorBidi"/>
          <w:lang w:eastAsia="en-US"/>
        </w:rPr>
        <w:t xml:space="preserve"> maximum tolerable dietary concentration of 30 mg/kg of lead for all livestock </w:t>
      </w:r>
      <w:r w:rsidR="00D2440C" w:rsidRPr="00B760DA">
        <w:rPr>
          <w:rFonts w:asciiTheme="minorHAnsi" w:eastAsiaTheme="minorHAnsi" w:hAnsiTheme="minorHAnsi" w:cstheme="minorBidi"/>
          <w:lang w:eastAsia="en-US"/>
        </w:rPr>
        <w:t xml:space="preserve">diets; NRC (2005) </w:t>
      </w:r>
      <w:r w:rsidRPr="00B760DA">
        <w:rPr>
          <w:rFonts w:asciiTheme="minorHAnsi" w:eastAsiaTheme="minorHAnsi" w:hAnsiTheme="minorHAnsi" w:cstheme="minorBidi"/>
          <w:lang w:eastAsia="en-US"/>
        </w:rPr>
        <w:t xml:space="preserve">increased </w:t>
      </w:r>
      <w:r w:rsidR="00D2440C" w:rsidRPr="00B760DA">
        <w:rPr>
          <w:rFonts w:asciiTheme="minorHAnsi" w:eastAsiaTheme="minorHAnsi" w:hAnsiTheme="minorHAnsi" w:cstheme="minorBidi"/>
          <w:lang w:eastAsia="en-US"/>
        </w:rPr>
        <w:t xml:space="preserve">this to </w:t>
      </w:r>
      <w:r w:rsidR="00B46D57">
        <w:rPr>
          <w:rFonts w:asciiTheme="minorHAnsi" w:eastAsiaTheme="minorHAnsi" w:hAnsiTheme="minorHAnsi" w:cstheme="minorBidi"/>
          <w:lang w:eastAsia="en-US"/>
        </w:rPr>
        <w:t>100 mg/kg</w:t>
      </w:r>
      <w:r w:rsidR="00D2440C" w:rsidRPr="00B760DA">
        <w:rPr>
          <w:rFonts w:asciiTheme="minorHAnsi" w:eastAsiaTheme="minorHAnsi" w:hAnsiTheme="minorHAnsi" w:cstheme="minorBidi"/>
          <w:lang w:eastAsia="en-US"/>
        </w:rPr>
        <w:t xml:space="preserve"> </w:t>
      </w:r>
      <w:r w:rsidRPr="00B760DA">
        <w:rPr>
          <w:rFonts w:asciiTheme="minorHAnsi" w:eastAsiaTheme="minorHAnsi" w:hAnsiTheme="minorHAnsi" w:cstheme="minorBidi"/>
          <w:lang w:eastAsia="en-US"/>
        </w:rPr>
        <w:t xml:space="preserve">for ruminants </w:t>
      </w:r>
      <w:r w:rsidR="00B46D57">
        <w:rPr>
          <w:rFonts w:asciiTheme="minorHAnsi" w:eastAsiaTheme="minorHAnsi" w:hAnsiTheme="minorHAnsi" w:cstheme="minorBidi"/>
          <w:lang w:eastAsia="en-US"/>
        </w:rPr>
        <w:t>(</w:t>
      </w:r>
      <w:r w:rsidR="001A7085">
        <w:rPr>
          <w:rFonts w:asciiTheme="minorHAnsi" w:eastAsiaTheme="minorHAnsi" w:hAnsiTheme="minorHAnsi" w:cstheme="minorBidi"/>
          <w:lang w:eastAsia="en-US"/>
        </w:rPr>
        <w:t>cattle</w:t>
      </w:r>
      <w:r w:rsidR="00B46D57">
        <w:rPr>
          <w:rFonts w:asciiTheme="minorHAnsi" w:eastAsiaTheme="minorHAnsi" w:hAnsiTheme="minorHAnsi" w:cstheme="minorBidi"/>
          <w:lang w:eastAsia="en-US"/>
        </w:rPr>
        <w:t xml:space="preserve"> and sheep) </w:t>
      </w:r>
      <w:r w:rsidR="00D2440C" w:rsidRPr="00B760DA">
        <w:rPr>
          <w:rFonts w:asciiTheme="minorHAnsi" w:eastAsiaTheme="minorHAnsi" w:hAnsiTheme="minorHAnsi" w:cstheme="minorBidi"/>
          <w:lang w:eastAsia="en-US"/>
        </w:rPr>
        <w:t xml:space="preserve">and </w:t>
      </w:r>
      <w:r w:rsidR="001A7085">
        <w:rPr>
          <w:rFonts w:asciiTheme="minorHAnsi" w:eastAsiaTheme="minorHAnsi" w:hAnsiTheme="minorHAnsi" w:cstheme="minorBidi"/>
          <w:lang w:eastAsia="en-US"/>
        </w:rPr>
        <w:t>10 mg/kg</w:t>
      </w:r>
      <w:r w:rsidR="00B46D57" w:rsidRPr="00B760DA">
        <w:rPr>
          <w:rFonts w:asciiTheme="minorHAnsi" w:eastAsiaTheme="minorHAnsi" w:hAnsiTheme="minorHAnsi" w:cstheme="minorBidi"/>
          <w:lang w:eastAsia="en-US"/>
        </w:rPr>
        <w:t xml:space="preserve"> for nonruminants</w:t>
      </w:r>
      <w:r w:rsidR="001A7085">
        <w:rPr>
          <w:rFonts w:asciiTheme="minorHAnsi" w:eastAsiaTheme="minorHAnsi" w:hAnsiTheme="minorHAnsi" w:cstheme="minorBidi"/>
          <w:lang w:eastAsia="en-US"/>
        </w:rPr>
        <w:t xml:space="preserve"> (horses, </w:t>
      </w:r>
      <w:proofErr w:type="gramStart"/>
      <w:r w:rsidR="001A7085">
        <w:rPr>
          <w:rFonts w:asciiTheme="minorHAnsi" w:eastAsiaTheme="minorHAnsi" w:hAnsiTheme="minorHAnsi" w:cstheme="minorBidi"/>
          <w:lang w:eastAsia="en-US"/>
        </w:rPr>
        <w:t>pigs</w:t>
      </w:r>
      <w:proofErr w:type="gramEnd"/>
      <w:r w:rsidR="001A7085">
        <w:rPr>
          <w:rFonts w:asciiTheme="minorHAnsi" w:eastAsiaTheme="minorHAnsi" w:hAnsiTheme="minorHAnsi" w:cstheme="minorBidi"/>
          <w:lang w:eastAsia="en-US"/>
        </w:rPr>
        <w:t xml:space="preserve"> and poultry)</w:t>
      </w:r>
      <w:r w:rsidR="00B46D57" w:rsidRPr="00B760DA">
        <w:rPr>
          <w:rFonts w:asciiTheme="minorHAnsi" w:eastAsiaTheme="minorHAnsi" w:hAnsiTheme="minorHAnsi" w:cstheme="minorBidi"/>
          <w:lang w:eastAsia="en-US"/>
        </w:rPr>
        <w:t>, based on new data.</w:t>
      </w:r>
    </w:p>
    <w:p w14:paraId="03F5A001" w14:textId="09521665" w:rsidR="003157DB" w:rsidRDefault="00EB38E1" w:rsidP="003157DB">
      <w:r>
        <w:t xml:space="preserve">The ANZECC (1992) guideline </w:t>
      </w:r>
      <w:r w:rsidR="00940F34">
        <w:t xml:space="preserve">value of 0.1 mg/L </w:t>
      </w:r>
      <w:r>
        <w:t xml:space="preserve">for lead has been retained in the absence of </w:t>
      </w:r>
      <w:r w:rsidR="004D7E66">
        <w:t xml:space="preserve">contradicting </w:t>
      </w:r>
      <w:r>
        <w:t>information. Th</w:t>
      </w:r>
      <w:r w:rsidR="00940F34">
        <w:t>is</w:t>
      </w:r>
      <w:r>
        <w:t xml:space="preserve"> value is consistent with </w:t>
      </w:r>
      <w:r w:rsidR="00940F34">
        <w:t xml:space="preserve">lead </w:t>
      </w:r>
      <w:r>
        <w:t>guidelines in Canada (</w:t>
      </w:r>
      <w:r w:rsidR="00DE3A14">
        <w:t xml:space="preserve">CCME </w:t>
      </w:r>
      <w:r w:rsidR="00AE4226">
        <w:t>2005</w:t>
      </w:r>
      <w:r>
        <w:t>) and South Africa (DWAF 1996), although the</w:t>
      </w:r>
      <w:r w:rsidR="00940F34">
        <w:t xml:space="preserve"> </w:t>
      </w:r>
      <w:r>
        <w:t>S</w:t>
      </w:r>
      <w:r w:rsidR="00940F34">
        <w:t>outh African</w:t>
      </w:r>
      <w:r>
        <w:t xml:space="preserve"> guidelines suggest that for pigs, no adverse effects are likely to occur at </w:t>
      </w:r>
      <w:r w:rsidR="00940F34">
        <w:t xml:space="preserve">lead </w:t>
      </w:r>
      <w:r>
        <w:t>concentrations up to 0.5</w:t>
      </w:r>
      <w:r w:rsidR="009F5AB7">
        <w:t> </w:t>
      </w:r>
      <w:r>
        <w:t>mg/L (DWAF 1996).</w:t>
      </w:r>
      <w:r w:rsidR="0079752D">
        <w:t xml:space="preserve"> Agriculture Victoria (2023) recommends a maximum level of 0.1 mg/L of lead for water in stock containment areas.</w:t>
      </w:r>
    </w:p>
    <w:p w14:paraId="03F5A002" w14:textId="35E1DDF8" w:rsidR="004860DD" w:rsidRDefault="003A647C" w:rsidP="000C6B83">
      <w:pPr>
        <w:pStyle w:val="Heading4"/>
        <w:rPr>
          <w:lang w:eastAsia="ja-JP"/>
        </w:rPr>
      </w:pPr>
      <w:bookmarkStart w:id="357" w:name="_Toc134441520"/>
      <w:bookmarkStart w:id="358" w:name="_Toc134441819"/>
      <w:bookmarkStart w:id="359" w:name="_Toc134442340"/>
      <w:bookmarkStart w:id="360" w:name="_Toc134442551"/>
      <w:bookmarkStart w:id="361" w:name="_Toc134441521"/>
      <w:bookmarkStart w:id="362" w:name="_Toc134441820"/>
      <w:bookmarkStart w:id="363" w:name="_Toc134442341"/>
      <w:bookmarkStart w:id="364" w:name="_Toc134442552"/>
      <w:bookmarkStart w:id="365" w:name="_Toc134442342"/>
      <w:bookmarkStart w:id="366" w:name="_Toc141704574"/>
      <w:bookmarkEnd w:id="357"/>
      <w:bookmarkEnd w:id="358"/>
      <w:bookmarkEnd w:id="359"/>
      <w:bookmarkEnd w:id="360"/>
      <w:bookmarkEnd w:id="361"/>
      <w:bookmarkEnd w:id="362"/>
      <w:bookmarkEnd w:id="363"/>
      <w:bookmarkEnd w:id="364"/>
      <w:r>
        <w:rPr>
          <w:lang w:eastAsia="ja-JP"/>
        </w:rPr>
        <w:t>3.3.12</w:t>
      </w:r>
      <w:r>
        <w:rPr>
          <w:lang w:eastAsia="ja-JP"/>
        </w:rPr>
        <w:tab/>
      </w:r>
      <w:r w:rsidR="00EB38E1">
        <w:rPr>
          <w:lang w:eastAsia="ja-JP"/>
        </w:rPr>
        <w:t>Manganese</w:t>
      </w:r>
      <w:bookmarkEnd w:id="365"/>
      <w:bookmarkEnd w:id="366"/>
    </w:p>
    <w:p w14:paraId="03F5A003" w14:textId="795B3C56" w:rsidR="004860DD" w:rsidRDefault="00EB38E1" w:rsidP="00FD2341">
      <w:pPr>
        <w:pStyle w:val="Sectionkeypoints"/>
      </w:pPr>
      <w:bookmarkStart w:id="367" w:name="_Hlk135129547"/>
      <w:r>
        <w:t xml:space="preserve">Manganese concentrations </w:t>
      </w:r>
      <w:r w:rsidR="005676B2">
        <w:rPr>
          <w:rFonts w:cstheme="minorHAnsi"/>
        </w:rPr>
        <w:t>&lt;</w:t>
      </w:r>
      <w:r>
        <w:t xml:space="preserve">10 mg/L in livestock drinking water </w:t>
      </w:r>
      <w:r w:rsidR="005676B2">
        <w:t>should not be harmful to animal health</w:t>
      </w:r>
      <w:r w:rsidR="00F9109C">
        <w:t>.</w:t>
      </w:r>
    </w:p>
    <w:bookmarkEnd w:id="367"/>
    <w:p w14:paraId="03F5A004" w14:textId="77777777" w:rsidR="004860DD" w:rsidRDefault="00EB38E1" w:rsidP="000C6B83">
      <w:pPr>
        <w:pStyle w:val="Heading5"/>
        <w:rPr>
          <w:lang w:eastAsia="ja-JP"/>
        </w:rPr>
      </w:pPr>
      <w:r>
        <w:rPr>
          <w:lang w:eastAsia="ja-JP"/>
        </w:rPr>
        <w:t>Source</w:t>
      </w:r>
    </w:p>
    <w:p w14:paraId="03F5A005" w14:textId="02852E22" w:rsidR="003157DB" w:rsidRDefault="00EB38E1" w:rsidP="00C1087A">
      <w:r>
        <w:t xml:space="preserve">Manganese occurs in water in several ionic states </w:t>
      </w:r>
      <w:r w:rsidR="006E643B">
        <w:t>(</w:t>
      </w:r>
      <w:r>
        <w:t>Mn</w:t>
      </w:r>
      <w:r w:rsidRPr="002D7F8F">
        <w:rPr>
          <w:vertAlign w:val="superscript"/>
        </w:rPr>
        <w:t>2+</w:t>
      </w:r>
      <w:r>
        <w:t>, Mn</w:t>
      </w:r>
      <w:r w:rsidRPr="002D7F8F">
        <w:rPr>
          <w:vertAlign w:val="superscript"/>
        </w:rPr>
        <w:t>4+</w:t>
      </w:r>
      <w:r>
        <w:t xml:space="preserve"> and Mn</w:t>
      </w:r>
      <w:r w:rsidRPr="002D7F8F">
        <w:rPr>
          <w:vertAlign w:val="superscript"/>
        </w:rPr>
        <w:t>7+</w:t>
      </w:r>
      <w:r w:rsidR="006E643B">
        <w:t>),</w:t>
      </w:r>
      <w:r>
        <w:t xml:space="preserve"> of which the divalent compounds are soluble. Manganese can be found in dissolved and colloidal forms, as well as complexed with organic matter.</w:t>
      </w:r>
      <w:r w:rsidR="00317004">
        <w:t xml:space="preserve"> </w:t>
      </w:r>
      <w:r w:rsidR="00317004" w:rsidRPr="0056438C">
        <w:rPr>
          <w:lang w:val="en-GB"/>
        </w:rPr>
        <w:t xml:space="preserve">Manganese is a major constituent of </w:t>
      </w:r>
      <w:proofErr w:type="gramStart"/>
      <w:r w:rsidR="00317004" w:rsidRPr="0056438C">
        <w:rPr>
          <w:lang w:val="en-GB"/>
        </w:rPr>
        <w:t>soils</w:t>
      </w:r>
      <w:proofErr w:type="gramEnd"/>
      <w:r w:rsidR="00317004" w:rsidRPr="0056438C">
        <w:rPr>
          <w:lang w:val="en-GB"/>
        </w:rPr>
        <w:t xml:space="preserve"> and its solubility is controlled by pH </w:t>
      </w:r>
      <w:r w:rsidR="00317004" w:rsidRPr="0056438C">
        <w:rPr>
          <w:spacing w:val="2"/>
          <w:lang w:val="en-GB"/>
        </w:rPr>
        <w:t xml:space="preserve">and </w:t>
      </w:r>
      <w:r w:rsidR="00317004" w:rsidRPr="0056438C">
        <w:rPr>
          <w:lang w:val="en-GB"/>
        </w:rPr>
        <w:t>oxidation-reduction reactions, which control solubility</w:t>
      </w:r>
      <w:r w:rsidR="00317004">
        <w:rPr>
          <w:lang w:val="en-GB"/>
        </w:rPr>
        <w:t xml:space="preserve"> </w:t>
      </w:r>
      <w:r w:rsidR="00317004" w:rsidRPr="0056438C">
        <w:rPr>
          <w:lang w:val="en-GB"/>
        </w:rPr>
        <w:t>and</w:t>
      </w:r>
      <w:r w:rsidR="00317004">
        <w:rPr>
          <w:lang w:val="en-GB"/>
        </w:rPr>
        <w:t xml:space="preserve"> </w:t>
      </w:r>
      <w:r w:rsidR="00317004" w:rsidRPr="0056438C">
        <w:rPr>
          <w:lang w:val="en-GB"/>
        </w:rPr>
        <w:t>sorption</w:t>
      </w:r>
      <w:r w:rsidR="00317004">
        <w:rPr>
          <w:lang w:val="en-GB"/>
        </w:rPr>
        <w:t xml:space="preserve"> </w:t>
      </w:r>
      <w:r w:rsidR="00317004" w:rsidRPr="0056438C">
        <w:rPr>
          <w:lang w:val="en-GB"/>
        </w:rPr>
        <w:t>reactions</w:t>
      </w:r>
      <w:r w:rsidR="00317004">
        <w:rPr>
          <w:lang w:val="en-GB"/>
        </w:rPr>
        <w:t xml:space="preserve"> </w:t>
      </w:r>
      <w:r w:rsidR="00317004" w:rsidRPr="0056438C">
        <w:rPr>
          <w:lang w:val="en-GB"/>
        </w:rPr>
        <w:t>of</w:t>
      </w:r>
      <w:r w:rsidR="00317004">
        <w:rPr>
          <w:lang w:val="en-GB"/>
        </w:rPr>
        <w:t xml:space="preserve"> </w:t>
      </w:r>
      <w:r w:rsidR="00317004" w:rsidRPr="0056438C">
        <w:rPr>
          <w:lang w:val="en-GB"/>
        </w:rPr>
        <w:t>manganese</w:t>
      </w:r>
      <w:r w:rsidR="00317004" w:rsidRPr="0056438C">
        <w:rPr>
          <w:spacing w:val="32"/>
          <w:lang w:val="en-GB"/>
        </w:rPr>
        <w:t xml:space="preserve"> </w:t>
      </w:r>
      <w:r w:rsidR="00317004" w:rsidRPr="0056438C">
        <w:rPr>
          <w:lang w:val="en-GB"/>
        </w:rPr>
        <w:t>with</w:t>
      </w:r>
      <w:r w:rsidR="00317004" w:rsidRPr="0056438C">
        <w:rPr>
          <w:spacing w:val="32"/>
          <w:lang w:val="en-GB"/>
        </w:rPr>
        <w:t xml:space="preserve"> </w:t>
      </w:r>
      <w:r w:rsidR="00317004" w:rsidRPr="0056438C">
        <w:rPr>
          <w:lang w:val="en-GB"/>
        </w:rPr>
        <w:t>soil.</w:t>
      </w:r>
    </w:p>
    <w:p w14:paraId="03F5A006" w14:textId="77777777" w:rsidR="003157DB" w:rsidRDefault="00EB38E1" w:rsidP="00C1087A">
      <w:r>
        <w:t xml:space="preserve">Unpolluted surface water usually </w:t>
      </w:r>
      <w:r w:rsidR="006E643B">
        <w:t>has</w:t>
      </w:r>
      <w:r>
        <w:t xml:space="preserve"> low concentrations of manganese (</w:t>
      </w:r>
      <w:proofErr w:type="gramStart"/>
      <w:r w:rsidR="006E643B">
        <w:t>i.e.</w:t>
      </w:r>
      <w:proofErr w:type="gramEnd"/>
      <w:r>
        <w:t> 0.001–0.6</w:t>
      </w:r>
      <w:r w:rsidR="007B5FCF">
        <w:t> </w:t>
      </w:r>
      <w:r>
        <w:t>mg/L), as contact with air rapidly oxidises the divalent compounds</w:t>
      </w:r>
      <w:r w:rsidR="006E643B">
        <w:t>,</w:t>
      </w:r>
      <w:r>
        <w:t xml:space="preserve"> resulting in the precipitation of the insoluble Mn</w:t>
      </w:r>
      <w:r w:rsidRPr="00F11989">
        <w:rPr>
          <w:vertAlign w:val="superscript"/>
        </w:rPr>
        <w:t>4+</w:t>
      </w:r>
      <w:r>
        <w:t xml:space="preserve"> compounds.</w:t>
      </w:r>
    </w:p>
    <w:p w14:paraId="03F5A007" w14:textId="77777777" w:rsidR="004860DD" w:rsidRDefault="00EB38E1" w:rsidP="00C1087A">
      <w:r>
        <w:lastRenderedPageBreak/>
        <w:t>Higher concentrations of manganese may be found under anoxic conditions (which may occur in groundwater or the lower strata of deep dams and lakes)</w:t>
      </w:r>
      <w:r w:rsidR="0035774F">
        <w:t>,</w:t>
      </w:r>
      <w:r>
        <w:t xml:space="preserve"> particularly if the </w:t>
      </w:r>
      <w:r w:rsidR="0035774F">
        <w:t xml:space="preserve">water </w:t>
      </w:r>
      <w:r>
        <w:t>pH is low (</w:t>
      </w:r>
      <w:r w:rsidR="003157DB">
        <w:t xml:space="preserve">acidic; </w:t>
      </w:r>
      <w:r>
        <w:t>Galvin 1996, NHMRC &amp; ARMCANZ 1996).</w:t>
      </w:r>
    </w:p>
    <w:p w14:paraId="03F5A008" w14:textId="77777777" w:rsidR="004860DD" w:rsidRDefault="00EB38E1" w:rsidP="000C6B83">
      <w:pPr>
        <w:pStyle w:val="Heading5"/>
        <w:rPr>
          <w:lang w:eastAsia="ja-JP"/>
        </w:rPr>
      </w:pPr>
      <w:r>
        <w:rPr>
          <w:lang w:eastAsia="ja-JP"/>
        </w:rPr>
        <w:t>Animal health</w:t>
      </w:r>
    </w:p>
    <w:p w14:paraId="03F5A00A" w14:textId="5B1433EE" w:rsidR="004860DD" w:rsidRDefault="00EB38E1" w:rsidP="00C1087A">
      <w:r>
        <w:t xml:space="preserve">Manganese is an essential element in animal </w:t>
      </w:r>
      <w:r w:rsidR="00E36FBD">
        <w:t>nutrition</w:t>
      </w:r>
      <w:r>
        <w:t>, but only about 3% of ingested manganese is absorbed.</w:t>
      </w:r>
      <w:r w:rsidR="00256E09">
        <w:t xml:space="preserve"> </w:t>
      </w:r>
      <w:r>
        <w:t>Manganese has low toxicity unless ingested in large amounts (NRC 1980</w:t>
      </w:r>
      <w:r w:rsidR="00A80662">
        <w:t>, 2005</w:t>
      </w:r>
      <w:r>
        <w:t xml:space="preserve">). The issue </w:t>
      </w:r>
      <w:r w:rsidR="0035774F">
        <w:t xml:space="preserve">of manganese </w:t>
      </w:r>
      <w:r>
        <w:t>in drinking water is usually associated with palatability.</w:t>
      </w:r>
    </w:p>
    <w:p w14:paraId="03F5A00B" w14:textId="77777777" w:rsidR="003157DB" w:rsidRDefault="00EB38E1" w:rsidP="00C1087A">
      <w:r>
        <w:t>Some toxicity studies have been completed with manganese in pig feed at significantly lower concentrations and noted that under manganese</w:t>
      </w:r>
      <w:r w:rsidR="00DE26CD">
        <w:t>-</w:t>
      </w:r>
      <w:r>
        <w:t>deficient conditions, concentrations &lt;500</w:t>
      </w:r>
      <w:r w:rsidR="00C6443F">
        <w:t> </w:t>
      </w:r>
      <w:r>
        <w:t>mg/kg diet may cause toxicity effects (Miller et al. 2004).</w:t>
      </w:r>
    </w:p>
    <w:p w14:paraId="03F5A00C" w14:textId="77777777" w:rsidR="004860DD" w:rsidRDefault="00EB38E1" w:rsidP="00C1087A">
      <w:r>
        <w:t>Roy et al. (2015) noted histopathological changes in the liver with poultry birds when administered 100</w:t>
      </w:r>
      <w:r w:rsidR="001A377C">
        <w:t> </w:t>
      </w:r>
      <w:r>
        <w:t xml:space="preserve">mg/kg body weight. Liu et al. (2013) found that </w:t>
      </w:r>
      <w:r w:rsidR="003157DB">
        <w:t xml:space="preserve">manganese </w:t>
      </w:r>
      <w:r>
        <w:t>concentrations of ≤1</w:t>
      </w:r>
      <w:r w:rsidR="003157DB">
        <w:t>,</w:t>
      </w:r>
      <w:r>
        <w:t>800</w:t>
      </w:r>
      <w:r w:rsidR="00C6443F">
        <w:t> </w:t>
      </w:r>
      <w:r>
        <w:t>mg/kg caused testicular damage in cocks.</w:t>
      </w:r>
    </w:p>
    <w:p w14:paraId="03F5A00D" w14:textId="77777777" w:rsidR="00AD38A0" w:rsidRPr="00AD38A0" w:rsidRDefault="00EB38E1" w:rsidP="000C6B83">
      <w:pPr>
        <w:pStyle w:val="Heading5"/>
        <w:rPr>
          <w:lang w:eastAsia="ja-JP"/>
        </w:rPr>
      </w:pPr>
      <w:r w:rsidRPr="00AD38A0">
        <w:rPr>
          <w:lang w:eastAsia="ja-JP"/>
        </w:rPr>
        <w:t>Derivation of guideline values</w:t>
      </w:r>
    </w:p>
    <w:p w14:paraId="03F5A00E" w14:textId="1EA0EFF5" w:rsidR="003157DB" w:rsidRDefault="00EB38E1" w:rsidP="00C1087A">
      <w:r>
        <w:t>NRC (2005) stated that the limit for cattle should be 0.05</w:t>
      </w:r>
      <w:r w:rsidR="00807857">
        <w:t> </w:t>
      </w:r>
      <w:r>
        <w:t>mg/L in drinking water, as has Beede (2012). Similarly, Fairchild and Ritz (2009) quote</w:t>
      </w:r>
      <w:r w:rsidR="00CB4947">
        <w:t>d</w:t>
      </w:r>
      <w:r>
        <w:t xml:space="preserve"> a target value of 0.05</w:t>
      </w:r>
      <w:r w:rsidR="00BD3B40">
        <w:t> </w:t>
      </w:r>
      <w:r>
        <w:t>mg/</w:t>
      </w:r>
      <w:proofErr w:type="gramStart"/>
      <w:r>
        <w:t>L, but</w:t>
      </w:r>
      <w:proofErr w:type="gramEnd"/>
      <w:r>
        <w:t xml:space="preserve"> state</w:t>
      </w:r>
      <w:r w:rsidR="00CB4947">
        <w:t>d</w:t>
      </w:r>
      <w:r>
        <w:t xml:space="preserve"> that concentrations of up to 20</w:t>
      </w:r>
      <w:r w:rsidR="00C6443F">
        <w:t> </w:t>
      </w:r>
      <w:r>
        <w:t>mg/L have been reported to not affect bird health.</w:t>
      </w:r>
      <w:r w:rsidR="00CA2904">
        <w:t xml:space="preserve"> Canada has no guideline value for manganese in livestock </w:t>
      </w:r>
      <w:r w:rsidR="00E454B5">
        <w:t xml:space="preserve">drinking water </w:t>
      </w:r>
      <w:r w:rsidR="00CA2904">
        <w:t>(CCME 2005).</w:t>
      </w:r>
      <w:r>
        <w:t xml:space="preserve"> South African guidelines (DWAF 1996) recommend an upper limit of 10</w:t>
      </w:r>
      <w:r w:rsidR="00C6443F">
        <w:t> </w:t>
      </w:r>
      <w:r>
        <w:t xml:space="preserve">mg/L </w:t>
      </w:r>
      <w:r w:rsidR="00CB4947">
        <w:t xml:space="preserve">of manganese </w:t>
      </w:r>
      <w:r>
        <w:t xml:space="preserve">in livestock drinking </w:t>
      </w:r>
      <w:proofErr w:type="gramStart"/>
      <w:r>
        <w:t>water, and</w:t>
      </w:r>
      <w:proofErr w:type="gramEnd"/>
      <w:r>
        <w:t xml:space="preserve"> suggest the possibility of adverse chronic effects such as weight loss and anaemia at higher concentrations.</w:t>
      </w:r>
    </w:p>
    <w:p w14:paraId="03F5A00F" w14:textId="59A8DC31" w:rsidR="004A0996" w:rsidRDefault="00EB38E1" w:rsidP="00C1087A">
      <w:r>
        <w:t>The literature on manganese toxicity and feed limits has been used to calculate guideline values using</w:t>
      </w:r>
      <w:r w:rsidR="00DC4DFE">
        <w:t xml:space="preserve"> Equation 3.2;</w:t>
      </w:r>
      <w:r>
        <w:t xml:space="preserve"> the results are presented in </w:t>
      </w:r>
      <w:r w:rsidR="00842CCF">
        <w:fldChar w:fldCharType="begin"/>
      </w:r>
      <w:r w:rsidR="00842CCF">
        <w:instrText xml:space="preserve"> REF _Ref84839903 \h </w:instrText>
      </w:r>
      <w:r w:rsidR="00842CCF">
        <w:fldChar w:fldCharType="separate"/>
      </w:r>
      <w:r w:rsidR="0061517C">
        <w:t>Table </w:t>
      </w:r>
      <w:r w:rsidR="00842CCF">
        <w:fldChar w:fldCharType="end"/>
      </w:r>
      <w:r w:rsidR="00097B18">
        <w:t>3.14</w:t>
      </w:r>
      <w:r>
        <w:t>.</w:t>
      </w:r>
    </w:p>
    <w:p w14:paraId="03F5A010" w14:textId="01414A5E" w:rsidR="007762D2" w:rsidRPr="00FD2341" w:rsidRDefault="00EB38E1" w:rsidP="00DF778F">
      <w:pPr>
        <w:pStyle w:val="Caption"/>
      </w:pPr>
      <w:bookmarkStart w:id="368" w:name="_Ref84839903"/>
      <w:bookmarkStart w:id="369" w:name="_Toc148089859"/>
      <w:r>
        <w:t>Table </w:t>
      </w:r>
      <w:bookmarkEnd w:id="368"/>
      <w:r w:rsidR="003157DB">
        <w:t>3.</w:t>
      </w:r>
      <w:r w:rsidR="00842CCF">
        <w:t xml:space="preserve">14 </w:t>
      </w:r>
      <w:r w:rsidR="004860DD">
        <w:t xml:space="preserve">Calculated guideline values </w:t>
      </w:r>
      <w:r w:rsidR="00D06078">
        <w:t xml:space="preserve">for </w:t>
      </w:r>
      <w:r w:rsidR="005635A9">
        <w:t xml:space="preserve">manganese in livestock drinking </w:t>
      </w:r>
      <w:proofErr w:type="gramStart"/>
      <w:r w:rsidR="005635A9">
        <w:t>water</w:t>
      </w:r>
      <w:bookmarkEnd w:id="369"/>
      <w:proofErr w:type="gramEnd"/>
    </w:p>
    <w:tbl>
      <w:tblPr>
        <w:tblW w:w="5000" w:type="pct"/>
        <w:tblBorders>
          <w:top w:val="single" w:sz="4" w:space="0" w:color="000000"/>
          <w:bottom w:val="single" w:sz="4" w:space="0" w:color="000000"/>
          <w:insideH w:val="single" w:sz="4" w:space="0" w:color="000000"/>
        </w:tblBorders>
        <w:tblLook w:val="04A0" w:firstRow="1" w:lastRow="0" w:firstColumn="1" w:lastColumn="0" w:noHBand="0" w:noVBand="1"/>
      </w:tblPr>
      <w:tblGrid>
        <w:gridCol w:w="1601"/>
        <w:gridCol w:w="2935"/>
        <w:gridCol w:w="2043"/>
        <w:gridCol w:w="2491"/>
      </w:tblGrid>
      <w:tr w:rsidR="0054058D" w14:paraId="03F5A015" w14:textId="77777777" w:rsidTr="00131798">
        <w:trPr>
          <w:cantSplit/>
          <w:tblHeader/>
        </w:trPr>
        <w:tc>
          <w:tcPr>
            <w:tcW w:w="883" w:type="pct"/>
            <w:tcBorders>
              <w:top w:val="single" w:sz="12" w:space="0" w:color="000000"/>
              <w:bottom w:val="single" w:sz="12" w:space="0" w:color="000000"/>
            </w:tcBorders>
            <w:shd w:val="clear" w:color="auto" w:fill="auto"/>
          </w:tcPr>
          <w:p w14:paraId="03F5A011" w14:textId="77777777" w:rsidR="003D5187" w:rsidRPr="00EF119B" w:rsidRDefault="00EB38E1" w:rsidP="00EF119B">
            <w:pPr>
              <w:pStyle w:val="TableHeading"/>
            </w:pPr>
            <w:r>
              <w:t>Livestock</w:t>
            </w:r>
          </w:p>
        </w:tc>
        <w:tc>
          <w:tcPr>
            <w:tcW w:w="1618" w:type="pct"/>
            <w:tcBorders>
              <w:top w:val="single" w:sz="12" w:space="0" w:color="000000"/>
              <w:bottom w:val="single" w:sz="12" w:space="0" w:color="000000"/>
            </w:tcBorders>
            <w:shd w:val="clear" w:color="auto" w:fill="auto"/>
          </w:tcPr>
          <w:p w14:paraId="03F5A012" w14:textId="0D70B938" w:rsidR="003D5187" w:rsidRPr="00EF119B" w:rsidRDefault="00EB38E1" w:rsidP="004C6E6D">
            <w:pPr>
              <w:pStyle w:val="TableHeading"/>
              <w:jc w:val="center"/>
            </w:pPr>
            <w:r w:rsidRPr="00EF119B">
              <w:t>Maximum</w:t>
            </w:r>
            <w:r w:rsidR="00292616">
              <w:t xml:space="preserve"> manganese</w:t>
            </w:r>
            <w:r w:rsidRPr="00EF119B">
              <w:t xml:space="preserve"> in </w:t>
            </w:r>
            <w:r w:rsidR="00754D7C" w:rsidRPr="00EF119B">
              <w:t>feed</w:t>
            </w:r>
            <w:r w:rsidR="00754D7C">
              <w:t xml:space="preserve"> </w:t>
            </w:r>
            <w:r w:rsidR="00BD3B40">
              <w:t>(mg/</w:t>
            </w:r>
            <w:proofErr w:type="gramStart"/>
            <w:r w:rsidR="00BD3B40">
              <w:t>kg)</w:t>
            </w:r>
            <w:r w:rsidR="005635A9" w:rsidRPr="00292616">
              <w:rPr>
                <w:rStyle w:val="Strong"/>
                <w:b/>
                <w:vertAlign w:val="superscript"/>
              </w:rPr>
              <w:t>a</w:t>
            </w:r>
            <w:proofErr w:type="gramEnd"/>
          </w:p>
        </w:tc>
        <w:tc>
          <w:tcPr>
            <w:tcW w:w="1126" w:type="pct"/>
            <w:tcBorders>
              <w:top w:val="single" w:sz="12" w:space="0" w:color="000000"/>
              <w:bottom w:val="single" w:sz="12" w:space="0" w:color="000000"/>
            </w:tcBorders>
            <w:shd w:val="clear" w:color="auto" w:fill="auto"/>
          </w:tcPr>
          <w:p w14:paraId="03F5A013" w14:textId="387E43FB" w:rsidR="003D5187" w:rsidRPr="00EF119B" w:rsidRDefault="00EB38E1" w:rsidP="004C6E6D">
            <w:pPr>
              <w:pStyle w:val="TableHeading"/>
              <w:jc w:val="center"/>
            </w:pPr>
            <w:r w:rsidRPr="00EF119B">
              <w:t xml:space="preserve">Safety </w:t>
            </w:r>
            <w:proofErr w:type="spellStart"/>
            <w:r w:rsidR="00754D7C" w:rsidRPr="00EF119B">
              <w:t>factor</w:t>
            </w:r>
            <w:r w:rsidR="005635A9" w:rsidRPr="00292616">
              <w:rPr>
                <w:rStyle w:val="Strong"/>
                <w:b/>
                <w:vertAlign w:val="superscript"/>
              </w:rPr>
              <w:t>b</w:t>
            </w:r>
            <w:proofErr w:type="spellEnd"/>
          </w:p>
        </w:tc>
        <w:tc>
          <w:tcPr>
            <w:tcW w:w="1373" w:type="pct"/>
            <w:tcBorders>
              <w:top w:val="single" w:sz="12" w:space="0" w:color="000000"/>
              <w:bottom w:val="single" w:sz="12" w:space="0" w:color="000000"/>
            </w:tcBorders>
            <w:shd w:val="clear" w:color="auto" w:fill="auto"/>
          </w:tcPr>
          <w:p w14:paraId="03F5A014" w14:textId="77777777" w:rsidR="003D5187" w:rsidRPr="00EF119B" w:rsidRDefault="00EB38E1" w:rsidP="004C6E6D">
            <w:pPr>
              <w:pStyle w:val="TableHeading"/>
              <w:jc w:val="center"/>
            </w:pPr>
            <w:r>
              <w:t>G</w:t>
            </w:r>
            <w:r w:rsidR="00754D7C" w:rsidRPr="00EF119B">
              <w:t>uideline value</w:t>
            </w:r>
            <w:r w:rsidR="00754D7C">
              <w:t xml:space="preserve"> </w:t>
            </w:r>
            <w:r w:rsidR="00BD3B40">
              <w:t>(mg/L)</w:t>
            </w:r>
          </w:p>
        </w:tc>
      </w:tr>
      <w:tr w:rsidR="0054058D" w14:paraId="03F5A01A" w14:textId="77777777" w:rsidTr="00EF119B">
        <w:trPr>
          <w:cantSplit/>
        </w:trPr>
        <w:tc>
          <w:tcPr>
            <w:tcW w:w="883" w:type="pct"/>
            <w:tcBorders>
              <w:top w:val="single" w:sz="12" w:space="0" w:color="000000"/>
            </w:tcBorders>
            <w:shd w:val="clear" w:color="auto" w:fill="auto"/>
          </w:tcPr>
          <w:p w14:paraId="03F5A016" w14:textId="77777777" w:rsidR="003D5187" w:rsidRPr="00EF119B" w:rsidRDefault="00EB38E1" w:rsidP="00EF119B">
            <w:pPr>
              <w:pStyle w:val="TableText"/>
            </w:pPr>
            <w:r w:rsidRPr="00EF119B">
              <w:t>Poultry</w:t>
            </w:r>
          </w:p>
        </w:tc>
        <w:tc>
          <w:tcPr>
            <w:tcW w:w="1618" w:type="pct"/>
            <w:tcBorders>
              <w:top w:val="single" w:sz="12" w:space="0" w:color="000000"/>
            </w:tcBorders>
            <w:shd w:val="clear" w:color="auto" w:fill="auto"/>
          </w:tcPr>
          <w:p w14:paraId="03F5A017" w14:textId="77777777" w:rsidR="003D5187" w:rsidRPr="00EF119B" w:rsidRDefault="00EB38E1" w:rsidP="004C6E6D">
            <w:pPr>
              <w:pStyle w:val="TableText"/>
              <w:tabs>
                <w:tab w:val="decimal" w:pos="1555"/>
              </w:tabs>
            </w:pPr>
            <w:r w:rsidRPr="00EF119B">
              <w:t>2</w:t>
            </w:r>
            <w:r w:rsidR="003157DB">
              <w:t>,</w:t>
            </w:r>
            <w:r w:rsidRPr="00EF119B">
              <w:t>000</w:t>
            </w:r>
          </w:p>
        </w:tc>
        <w:tc>
          <w:tcPr>
            <w:tcW w:w="1126" w:type="pct"/>
            <w:tcBorders>
              <w:top w:val="single" w:sz="12" w:space="0" w:color="000000"/>
            </w:tcBorders>
            <w:shd w:val="clear" w:color="auto" w:fill="auto"/>
          </w:tcPr>
          <w:p w14:paraId="03F5A018" w14:textId="77777777" w:rsidR="003D5187" w:rsidRPr="00EF119B" w:rsidRDefault="00EB38E1" w:rsidP="004C6E6D">
            <w:pPr>
              <w:pStyle w:val="TableText"/>
              <w:jc w:val="center"/>
            </w:pPr>
            <w:r w:rsidRPr="00EF119B">
              <w:t>3</w:t>
            </w:r>
          </w:p>
        </w:tc>
        <w:tc>
          <w:tcPr>
            <w:tcW w:w="1373" w:type="pct"/>
            <w:tcBorders>
              <w:top w:val="single" w:sz="12" w:space="0" w:color="000000"/>
            </w:tcBorders>
            <w:shd w:val="clear" w:color="auto" w:fill="auto"/>
          </w:tcPr>
          <w:p w14:paraId="03F5A019" w14:textId="3E2E17EC" w:rsidR="003D5187" w:rsidRPr="00EF119B" w:rsidRDefault="00EB38E1" w:rsidP="004C6E6D">
            <w:pPr>
              <w:pStyle w:val="TableText"/>
              <w:tabs>
                <w:tab w:val="decimal" w:pos="1207"/>
              </w:tabs>
            </w:pPr>
            <w:r w:rsidRPr="00EF119B">
              <w:t>50</w:t>
            </w:r>
            <w:r w:rsidR="006B0630">
              <w:t>.0</w:t>
            </w:r>
          </w:p>
        </w:tc>
      </w:tr>
      <w:tr w:rsidR="0054058D" w14:paraId="03F5A01F" w14:textId="77777777" w:rsidTr="00EF119B">
        <w:trPr>
          <w:cantSplit/>
        </w:trPr>
        <w:tc>
          <w:tcPr>
            <w:tcW w:w="883" w:type="pct"/>
            <w:shd w:val="clear" w:color="auto" w:fill="auto"/>
          </w:tcPr>
          <w:p w14:paraId="03F5A01B" w14:textId="77777777" w:rsidR="003D5187" w:rsidRPr="00EF119B" w:rsidRDefault="00EB38E1" w:rsidP="00EF119B">
            <w:pPr>
              <w:pStyle w:val="TableText"/>
            </w:pPr>
            <w:r w:rsidRPr="00EF119B">
              <w:t>Horse</w:t>
            </w:r>
            <w:r w:rsidR="00292616">
              <w:t>s</w:t>
            </w:r>
          </w:p>
        </w:tc>
        <w:tc>
          <w:tcPr>
            <w:tcW w:w="1618" w:type="pct"/>
            <w:shd w:val="clear" w:color="auto" w:fill="auto"/>
          </w:tcPr>
          <w:p w14:paraId="03F5A01C" w14:textId="77777777" w:rsidR="003D5187" w:rsidRPr="00EF119B" w:rsidRDefault="00EB38E1" w:rsidP="004C6E6D">
            <w:pPr>
              <w:pStyle w:val="TableText"/>
              <w:tabs>
                <w:tab w:val="decimal" w:pos="1555"/>
              </w:tabs>
            </w:pPr>
            <w:r w:rsidRPr="00EF119B">
              <w:t>400</w:t>
            </w:r>
            <w:r w:rsidRPr="00EF119B">
              <w:rPr>
                <w:vertAlign w:val="superscript"/>
              </w:rPr>
              <w:t xml:space="preserve"> </w:t>
            </w:r>
          </w:p>
        </w:tc>
        <w:tc>
          <w:tcPr>
            <w:tcW w:w="1126" w:type="pct"/>
            <w:shd w:val="clear" w:color="auto" w:fill="auto"/>
          </w:tcPr>
          <w:p w14:paraId="03F5A01D" w14:textId="77777777" w:rsidR="003D5187" w:rsidRPr="00EF119B" w:rsidRDefault="00EB38E1" w:rsidP="004C6E6D">
            <w:pPr>
              <w:pStyle w:val="TableText"/>
              <w:jc w:val="center"/>
              <w:rPr>
                <w:vertAlign w:val="superscript"/>
              </w:rPr>
            </w:pPr>
            <w:r w:rsidRPr="00EF119B">
              <w:t>3</w:t>
            </w:r>
          </w:p>
        </w:tc>
        <w:tc>
          <w:tcPr>
            <w:tcW w:w="1373" w:type="pct"/>
            <w:shd w:val="clear" w:color="auto" w:fill="auto"/>
          </w:tcPr>
          <w:p w14:paraId="03F5A01E" w14:textId="77777777" w:rsidR="003D5187" w:rsidRPr="00EF119B" w:rsidRDefault="00EB38E1" w:rsidP="004C6E6D">
            <w:pPr>
              <w:pStyle w:val="TableText"/>
              <w:tabs>
                <w:tab w:val="decimal" w:pos="1207"/>
              </w:tabs>
            </w:pPr>
            <w:r w:rsidRPr="00EF119B">
              <w:t>7.6</w:t>
            </w:r>
          </w:p>
        </w:tc>
      </w:tr>
      <w:tr w:rsidR="0054058D" w14:paraId="03F5A024" w14:textId="77777777" w:rsidTr="00EF119B">
        <w:trPr>
          <w:cantSplit/>
        </w:trPr>
        <w:tc>
          <w:tcPr>
            <w:tcW w:w="883" w:type="pct"/>
            <w:shd w:val="clear" w:color="auto" w:fill="auto"/>
          </w:tcPr>
          <w:p w14:paraId="03F5A020" w14:textId="77777777" w:rsidR="003D5187" w:rsidRPr="00EF119B" w:rsidRDefault="00EB38E1" w:rsidP="00EF119B">
            <w:pPr>
              <w:pStyle w:val="TableText"/>
              <w:rPr>
                <w:vertAlign w:val="superscript"/>
              </w:rPr>
            </w:pPr>
            <w:r>
              <w:t>Pigs</w:t>
            </w:r>
          </w:p>
        </w:tc>
        <w:tc>
          <w:tcPr>
            <w:tcW w:w="1618" w:type="pct"/>
            <w:shd w:val="clear" w:color="auto" w:fill="auto"/>
          </w:tcPr>
          <w:p w14:paraId="03F5A021" w14:textId="77777777" w:rsidR="003D5187" w:rsidRPr="00EF119B" w:rsidRDefault="00EB38E1" w:rsidP="004C6E6D">
            <w:pPr>
              <w:pStyle w:val="TableText"/>
              <w:tabs>
                <w:tab w:val="decimal" w:pos="1555"/>
              </w:tabs>
            </w:pPr>
            <w:r w:rsidRPr="00EF119B">
              <w:t>1</w:t>
            </w:r>
            <w:r>
              <w:t>,</w:t>
            </w:r>
            <w:r w:rsidR="002D2750" w:rsidRPr="00EF119B">
              <w:t>000</w:t>
            </w:r>
          </w:p>
        </w:tc>
        <w:tc>
          <w:tcPr>
            <w:tcW w:w="1126" w:type="pct"/>
            <w:shd w:val="clear" w:color="auto" w:fill="auto"/>
          </w:tcPr>
          <w:p w14:paraId="03F5A022" w14:textId="77777777" w:rsidR="003D5187" w:rsidRPr="00EF119B" w:rsidRDefault="00EB38E1" w:rsidP="004C6E6D">
            <w:pPr>
              <w:pStyle w:val="TableText"/>
              <w:jc w:val="center"/>
            </w:pPr>
            <w:r w:rsidRPr="00EF119B">
              <w:t>3</w:t>
            </w:r>
          </w:p>
        </w:tc>
        <w:tc>
          <w:tcPr>
            <w:tcW w:w="1373" w:type="pct"/>
            <w:shd w:val="clear" w:color="auto" w:fill="auto"/>
          </w:tcPr>
          <w:p w14:paraId="03F5A023" w14:textId="77777777" w:rsidR="003D5187" w:rsidRPr="00EF119B" w:rsidRDefault="00EB38E1" w:rsidP="004C6E6D">
            <w:pPr>
              <w:pStyle w:val="TableText"/>
              <w:tabs>
                <w:tab w:val="decimal" w:pos="1207"/>
              </w:tabs>
            </w:pPr>
            <w:r w:rsidRPr="00EF119B">
              <w:t>12.9</w:t>
            </w:r>
          </w:p>
        </w:tc>
      </w:tr>
      <w:tr w:rsidR="0054058D" w14:paraId="03F5A029" w14:textId="77777777" w:rsidTr="00EF119B">
        <w:trPr>
          <w:cantSplit/>
        </w:trPr>
        <w:tc>
          <w:tcPr>
            <w:tcW w:w="883" w:type="pct"/>
            <w:tcBorders>
              <w:bottom w:val="single" w:sz="4" w:space="0" w:color="000000"/>
            </w:tcBorders>
            <w:shd w:val="clear" w:color="auto" w:fill="auto"/>
          </w:tcPr>
          <w:p w14:paraId="03F5A025" w14:textId="77777777" w:rsidR="003D5187" w:rsidRPr="00EF119B" w:rsidRDefault="00EB38E1" w:rsidP="00EF119B">
            <w:pPr>
              <w:pStyle w:val="TableText"/>
            </w:pPr>
            <w:r w:rsidRPr="00EF119B">
              <w:t>Cattle</w:t>
            </w:r>
          </w:p>
        </w:tc>
        <w:tc>
          <w:tcPr>
            <w:tcW w:w="1618" w:type="pct"/>
            <w:tcBorders>
              <w:bottom w:val="single" w:sz="4" w:space="0" w:color="000000"/>
            </w:tcBorders>
            <w:shd w:val="clear" w:color="auto" w:fill="auto"/>
          </w:tcPr>
          <w:p w14:paraId="03F5A026" w14:textId="77777777" w:rsidR="003D5187" w:rsidRPr="00EF119B" w:rsidRDefault="00EB38E1" w:rsidP="004C6E6D">
            <w:pPr>
              <w:pStyle w:val="TableText"/>
              <w:tabs>
                <w:tab w:val="decimal" w:pos="1555"/>
              </w:tabs>
            </w:pPr>
            <w:r w:rsidRPr="00EF119B">
              <w:t>2</w:t>
            </w:r>
            <w:r>
              <w:t>,</w:t>
            </w:r>
            <w:r w:rsidR="002D2750" w:rsidRPr="00EF119B">
              <w:t>000</w:t>
            </w:r>
          </w:p>
        </w:tc>
        <w:tc>
          <w:tcPr>
            <w:tcW w:w="1126" w:type="pct"/>
            <w:tcBorders>
              <w:bottom w:val="single" w:sz="4" w:space="0" w:color="000000"/>
            </w:tcBorders>
            <w:shd w:val="clear" w:color="auto" w:fill="auto"/>
          </w:tcPr>
          <w:p w14:paraId="03F5A027" w14:textId="77777777" w:rsidR="003D5187" w:rsidRPr="00EF119B" w:rsidRDefault="00EB38E1" w:rsidP="004C6E6D">
            <w:pPr>
              <w:pStyle w:val="TableText"/>
              <w:jc w:val="center"/>
            </w:pPr>
            <w:r w:rsidRPr="00EF119B">
              <w:t>3</w:t>
            </w:r>
          </w:p>
        </w:tc>
        <w:tc>
          <w:tcPr>
            <w:tcW w:w="1373" w:type="pct"/>
            <w:tcBorders>
              <w:bottom w:val="single" w:sz="4" w:space="0" w:color="000000"/>
            </w:tcBorders>
            <w:shd w:val="clear" w:color="auto" w:fill="auto"/>
          </w:tcPr>
          <w:p w14:paraId="03F5A028" w14:textId="77777777" w:rsidR="003D5187" w:rsidRPr="00EF119B" w:rsidRDefault="00EB38E1" w:rsidP="004C6E6D">
            <w:pPr>
              <w:pStyle w:val="TableText"/>
              <w:tabs>
                <w:tab w:val="decimal" w:pos="1207"/>
              </w:tabs>
            </w:pPr>
            <w:r w:rsidRPr="00EF119B">
              <w:t>27.8</w:t>
            </w:r>
          </w:p>
        </w:tc>
      </w:tr>
      <w:tr w:rsidR="0054058D" w14:paraId="03F5A02E" w14:textId="77777777" w:rsidTr="00EF119B">
        <w:trPr>
          <w:cantSplit/>
        </w:trPr>
        <w:tc>
          <w:tcPr>
            <w:tcW w:w="883" w:type="pct"/>
            <w:tcBorders>
              <w:bottom w:val="single" w:sz="12" w:space="0" w:color="000000"/>
            </w:tcBorders>
            <w:shd w:val="clear" w:color="auto" w:fill="auto"/>
          </w:tcPr>
          <w:p w14:paraId="03F5A02A" w14:textId="77777777" w:rsidR="003D5187" w:rsidRPr="00EF119B" w:rsidRDefault="00EB38E1" w:rsidP="00EF119B">
            <w:pPr>
              <w:pStyle w:val="TableText"/>
            </w:pPr>
            <w:r w:rsidRPr="00EF119B">
              <w:t>Sheep</w:t>
            </w:r>
          </w:p>
        </w:tc>
        <w:tc>
          <w:tcPr>
            <w:tcW w:w="1618" w:type="pct"/>
            <w:tcBorders>
              <w:bottom w:val="single" w:sz="12" w:space="0" w:color="000000"/>
            </w:tcBorders>
            <w:shd w:val="clear" w:color="auto" w:fill="auto"/>
          </w:tcPr>
          <w:p w14:paraId="03F5A02B" w14:textId="77777777" w:rsidR="003D5187" w:rsidRPr="00EF119B" w:rsidRDefault="00EB38E1" w:rsidP="004C6E6D">
            <w:pPr>
              <w:pStyle w:val="TableText"/>
              <w:tabs>
                <w:tab w:val="decimal" w:pos="1555"/>
              </w:tabs>
            </w:pPr>
            <w:r w:rsidRPr="00EF119B">
              <w:t>2</w:t>
            </w:r>
            <w:r>
              <w:t>,</w:t>
            </w:r>
            <w:r w:rsidR="002D2750" w:rsidRPr="00EF119B">
              <w:t>000</w:t>
            </w:r>
          </w:p>
        </w:tc>
        <w:tc>
          <w:tcPr>
            <w:tcW w:w="1126" w:type="pct"/>
            <w:tcBorders>
              <w:bottom w:val="single" w:sz="12" w:space="0" w:color="000000"/>
            </w:tcBorders>
            <w:shd w:val="clear" w:color="auto" w:fill="auto"/>
          </w:tcPr>
          <w:p w14:paraId="03F5A02C" w14:textId="77777777" w:rsidR="003D5187" w:rsidRPr="00EF119B" w:rsidRDefault="00EB38E1" w:rsidP="004C6E6D">
            <w:pPr>
              <w:pStyle w:val="TableText"/>
              <w:jc w:val="center"/>
            </w:pPr>
            <w:r w:rsidRPr="00EF119B">
              <w:t>3</w:t>
            </w:r>
          </w:p>
        </w:tc>
        <w:tc>
          <w:tcPr>
            <w:tcW w:w="1373" w:type="pct"/>
            <w:tcBorders>
              <w:bottom w:val="single" w:sz="12" w:space="0" w:color="000000"/>
            </w:tcBorders>
            <w:shd w:val="clear" w:color="auto" w:fill="auto"/>
          </w:tcPr>
          <w:p w14:paraId="03F5A02D" w14:textId="77777777" w:rsidR="003D5187" w:rsidRPr="00EF119B" w:rsidRDefault="00EB38E1" w:rsidP="004C6E6D">
            <w:pPr>
              <w:pStyle w:val="TableText"/>
              <w:tabs>
                <w:tab w:val="decimal" w:pos="1207"/>
              </w:tabs>
            </w:pPr>
            <w:r w:rsidRPr="00EF119B">
              <w:t>27.8</w:t>
            </w:r>
          </w:p>
        </w:tc>
      </w:tr>
    </w:tbl>
    <w:p w14:paraId="03F5A02F" w14:textId="77777777" w:rsidR="005635A9" w:rsidRDefault="00EB38E1" w:rsidP="00C1087A">
      <w:pPr>
        <w:pStyle w:val="FigureTableNoteSource"/>
      </w:pPr>
      <w:r w:rsidRPr="00292616">
        <w:rPr>
          <w:rStyle w:val="Strong"/>
        </w:rPr>
        <w:t>a</w:t>
      </w:r>
      <w:r>
        <w:t xml:space="preserve"> </w:t>
      </w:r>
      <w:r w:rsidR="00292616">
        <w:t>M</w:t>
      </w:r>
      <w:r w:rsidRPr="005635A9">
        <w:t xml:space="preserve">aximum tolerable dietary </w:t>
      </w:r>
      <w:r w:rsidR="00292616">
        <w:t>manganese</w:t>
      </w:r>
      <w:r w:rsidRPr="005635A9">
        <w:t xml:space="preserve"> given in NRC (2005)</w:t>
      </w:r>
      <w:r w:rsidR="00292616">
        <w:t>.</w:t>
      </w:r>
    </w:p>
    <w:p w14:paraId="03F5A030" w14:textId="77777777" w:rsidR="007762D2" w:rsidRDefault="00EB38E1" w:rsidP="00C1087A">
      <w:pPr>
        <w:pStyle w:val="FigureTableNoteSource"/>
      </w:pPr>
      <w:r w:rsidRPr="00292616">
        <w:rPr>
          <w:rStyle w:val="Strong"/>
        </w:rPr>
        <w:t>b</w:t>
      </w:r>
      <w:r w:rsidR="003D5187" w:rsidRPr="003D5187">
        <w:t xml:space="preserve"> Safety factor of 3 was assumed for possible long-term effects.</w:t>
      </w:r>
    </w:p>
    <w:p w14:paraId="03F5A031" w14:textId="2F24C6ED" w:rsidR="00E52DBD" w:rsidRDefault="003A647C" w:rsidP="000C6B83">
      <w:pPr>
        <w:pStyle w:val="Heading4"/>
        <w:rPr>
          <w:lang w:eastAsia="ja-JP"/>
        </w:rPr>
      </w:pPr>
      <w:bookmarkStart w:id="370" w:name="_Toc134441526"/>
      <w:bookmarkStart w:id="371" w:name="_Toc134441822"/>
      <w:bookmarkStart w:id="372" w:name="_Toc134442343"/>
      <w:bookmarkStart w:id="373" w:name="_Toc134442554"/>
      <w:bookmarkStart w:id="374" w:name="_Toc134441527"/>
      <w:bookmarkStart w:id="375" w:name="_Toc134441823"/>
      <w:bookmarkStart w:id="376" w:name="_Toc134442344"/>
      <w:bookmarkStart w:id="377" w:name="_Toc134442555"/>
      <w:bookmarkStart w:id="378" w:name="_Toc134442345"/>
      <w:bookmarkStart w:id="379" w:name="_Toc141704575"/>
      <w:bookmarkEnd w:id="370"/>
      <w:bookmarkEnd w:id="371"/>
      <w:bookmarkEnd w:id="372"/>
      <w:bookmarkEnd w:id="373"/>
      <w:bookmarkEnd w:id="374"/>
      <w:bookmarkEnd w:id="375"/>
      <w:bookmarkEnd w:id="376"/>
      <w:bookmarkEnd w:id="377"/>
      <w:r>
        <w:rPr>
          <w:lang w:eastAsia="ja-JP"/>
        </w:rPr>
        <w:t>3.3.13</w:t>
      </w:r>
      <w:r>
        <w:rPr>
          <w:lang w:eastAsia="ja-JP"/>
        </w:rPr>
        <w:tab/>
      </w:r>
      <w:r w:rsidR="00EB38E1">
        <w:rPr>
          <w:lang w:eastAsia="ja-JP"/>
        </w:rPr>
        <w:t>Mercury</w:t>
      </w:r>
      <w:bookmarkEnd w:id="378"/>
      <w:bookmarkEnd w:id="379"/>
    </w:p>
    <w:p w14:paraId="03F5A032" w14:textId="77777777" w:rsidR="00E52DBD" w:rsidRDefault="00EB38E1" w:rsidP="00FD2341">
      <w:pPr>
        <w:pStyle w:val="Sectionkeypoints"/>
      </w:pPr>
      <w:bookmarkStart w:id="380" w:name="_Hlk135129555"/>
      <w:r>
        <w:t xml:space="preserve">Mercury concentrations </w:t>
      </w:r>
      <w:r w:rsidR="00380D15">
        <w:rPr>
          <w:rFonts w:cstheme="minorHAnsi"/>
        </w:rPr>
        <w:t>&gt;</w:t>
      </w:r>
      <w:r>
        <w:t>0.002</w:t>
      </w:r>
      <w:r w:rsidR="00561E85">
        <w:t> </w:t>
      </w:r>
      <w:r>
        <w:t xml:space="preserve">mg/L in livestock drinking water may </w:t>
      </w:r>
      <w:r w:rsidR="003157DB">
        <w:t xml:space="preserve">be hazardous to animal health </w:t>
      </w:r>
      <w:bookmarkEnd w:id="380"/>
      <w:r w:rsidR="003157DB">
        <w:t xml:space="preserve">and may </w:t>
      </w:r>
      <w:r>
        <w:t>accumulate in edible animal tissue and pose a human health risk.</w:t>
      </w:r>
    </w:p>
    <w:p w14:paraId="03F5A033" w14:textId="77777777" w:rsidR="00E52DBD" w:rsidRDefault="00EB38E1" w:rsidP="000C6B83">
      <w:pPr>
        <w:pStyle w:val="Heading5"/>
        <w:rPr>
          <w:lang w:eastAsia="ja-JP"/>
        </w:rPr>
      </w:pPr>
      <w:r>
        <w:rPr>
          <w:lang w:eastAsia="ja-JP"/>
        </w:rPr>
        <w:t>Source</w:t>
      </w:r>
    </w:p>
    <w:p w14:paraId="03F5A034" w14:textId="35763E9A" w:rsidR="00317004" w:rsidRDefault="00EB38E1" w:rsidP="00C1087A">
      <w:pPr>
        <w:rPr>
          <w:lang w:val="en-GB"/>
        </w:rPr>
      </w:pPr>
      <w:r>
        <w:rPr>
          <w:lang w:val="en-GB"/>
        </w:rPr>
        <w:t>M</w:t>
      </w:r>
      <w:r w:rsidRPr="0056438C">
        <w:rPr>
          <w:lang w:val="en-GB"/>
        </w:rPr>
        <w:t xml:space="preserve">ercury </w:t>
      </w:r>
      <w:r w:rsidR="00AD5978">
        <w:rPr>
          <w:lang w:val="en-GB"/>
        </w:rPr>
        <w:t>occurs in</w:t>
      </w:r>
      <w:r w:rsidRPr="0056438C">
        <w:rPr>
          <w:lang w:val="en-GB"/>
        </w:rPr>
        <w:t xml:space="preserve"> </w:t>
      </w:r>
      <w:r w:rsidR="00AD5978">
        <w:rPr>
          <w:lang w:val="en-GB"/>
        </w:rPr>
        <w:t>3</w:t>
      </w:r>
      <w:r w:rsidRPr="0056438C">
        <w:rPr>
          <w:lang w:val="en-GB"/>
        </w:rPr>
        <w:t xml:space="preserve"> main categories: metallic mercury, which has a high vapour pressure and thus vaporises under atmospheric pressure; </w:t>
      </w:r>
      <w:r w:rsidR="00402D36" w:rsidRPr="0056438C">
        <w:rPr>
          <w:lang w:val="en-GB"/>
        </w:rPr>
        <w:t>organic mercury, which consists of mercury covalently bound to carbon</w:t>
      </w:r>
      <w:r w:rsidR="002E62CC">
        <w:rPr>
          <w:lang w:val="en-GB"/>
        </w:rPr>
        <w:t xml:space="preserve">; and </w:t>
      </w:r>
      <w:r w:rsidRPr="0056438C">
        <w:rPr>
          <w:lang w:val="en-GB"/>
        </w:rPr>
        <w:t xml:space="preserve">inorganic ions (mercury may exist as </w:t>
      </w:r>
      <w:r w:rsidRPr="0056438C">
        <w:rPr>
          <w:spacing w:val="-3"/>
          <w:lang w:val="en-GB"/>
        </w:rPr>
        <w:t>Hg</w:t>
      </w:r>
      <w:r w:rsidRPr="0056438C">
        <w:rPr>
          <w:spacing w:val="-3"/>
          <w:position w:val="5"/>
          <w:sz w:val="15"/>
          <w:lang w:val="en-GB"/>
        </w:rPr>
        <w:t xml:space="preserve">+ </w:t>
      </w:r>
      <w:r w:rsidRPr="0056438C">
        <w:rPr>
          <w:lang w:val="en-GB"/>
        </w:rPr>
        <w:t>and Hg</w:t>
      </w:r>
      <w:r w:rsidRPr="0056438C">
        <w:rPr>
          <w:position w:val="5"/>
          <w:sz w:val="15"/>
          <w:lang w:val="en-GB"/>
        </w:rPr>
        <w:t>2+</w:t>
      </w:r>
      <w:r w:rsidRPr="0056438C">
        <w:rPr>
          <w:sz w:val="18"/>
          <w:lang w:val="en-GB"/>
        </w:rPr>
        <w:t xml:space="preserve">, </w:t>
      </w:r>
      <w:r w:rsidRPr="0056438C">
        <w:rPr>
          <w:lang w:val="en-GB"/>
        </w:rPr>
        <w:t>bivalent mercury readily forms</w:t>
      </w:r>
      <w:r>
        <w:rPr>
          <w:lang w:val="en-GB"/>
        </w:rPr>
        <w:t xml:space="preserve"> </w:t>
      </w:r>
      <w:r w:rsidRPr="0056438C">
        <w:rPr>
          <w:lang w:val="en-GB"/>
        </w:rPr>
        <w:t>complexes with organic ligands, and monovalent mercury binds less readily to organics and forms less water</w:t>
      </w:r>
      <w:r w:rsidR="007A6B8D">
        <w:rPr>
          <w:lang w:val="en-GB"/>
        </w:rPr>
        <w:t>-soluble</w:t>
      </w:r>
      <w:r w:rsidRPr="0056438C">
        <w:rPr>
          <w:lang w:val="en-GB"/>
        </w:rPr>
        <w:t xml:space="preserve"> salts).</w:t>
      </w:r>
    </w:p>
    <w:p w14:paraId="03F5A035" w14:textId="77777777" w:rsidR="00E52DBD" w:rsidRDefault="00EB38E1" w:rsidP="00C1087A">
      <w:r>
        <w:lastRenderedPageBreak/>
        <w:t xml:space="preserve">The concentration of mercury in unpolluted streams and groundwater is generally </w:t>
      </w:r>
      <w:r w:rsidR="003157DB">
        <w:rPr>
          <w:rFonts w:cstheme="minorHAnsi"/>
        </w:rPr>
        <w:t>&lt;</w:t>
      </w:r>
      <w:r>
        <w:t>0.001</w:t>
      </w:r>
      <w:r w:rsidR="00246B8B">
        <w:t> </w:t>
      </w:r>
      <w:r>
        <w:t xml:space="preserve">mg/L (Fergusson 1990, Galvin 1996). Contamination through industrial emissions and spills can </w:t>
      </w:r>
      <w:r w:rsidR="003157DB">
        <w:t xml:space="preserve">increase </w:t>
      </w:r>
      <w:r>
        <w:t xml:space="preserve">mercury </w:t>
      </w:r>
      <w:r w:rsidR="00CF6963">
        <w:t>concentrations</w:t>
      </w:r>
      <w:r>
        <w:t>. Mercury is also used in certain pesticide formulations.</w:t>
      </w:r>
    </w:p>
    <w:p w14:paraId="03F5A036" w14:textId="77777777" w:rsidR="00E52DBD" w:rsidRDefault="00EB38E1" w:rsidP="00C1087A">
      <w:r>
        <w:t>Organic compounds of mercury, particularly methylmercury, are more bioavailable and more toxic than the inorganic salts, many of which are insoluble. However, inorganic salts of mercury in sediments can enter the food chain through biological conversion to organic forms (Hart 1982).</w:t>
      </w:r>
    </w:p>
    <w:p w14:paraId="03F5A037" w14:textId="77777777" w:rsidR="00E52DBD" w:rsidRDefault="00EB38E1" w:rsidP="000C6B83">
      <w:pPr>
        <w:pStyle w:val="Heading5"/>
        <w:rPr>
          <w:lang w:eastAsia="ja-JP"/>
        </w:rPr>
      </w:pPr>
      <w:r>
        <w:rPr>
          <w:lang w:eastAsia="ja-JP"/>
        </w:rPr>
        <w:t>Animal health</w:t>
      </w:r>
    </w:p>
    <w:p w14:paraId="03F5A038" w14:textId="788330DB" w:rsidR="00E52DBD" w:rsidRDefault="00F57E56" w:rsidP="00C1087A">
      <w:r>
        <w:t>Mercury is one of more toxic metals that may be present in the farm animal environment</w:t>
      </w:r>
      <w:r w:rsidR="0006249B">
        <w:t xml:space="preserve"> (Olkowski 2009)</w:t>
      </w:r>
      <w:r>
        <w:t xml:space="preserve">. </w:t>
      </w:r>
      <w:r w:rsidR="00EB38E1">
        <w:t xml:space="preserve">The toxicity of mercury depends on its chemical form, with alkylmercury compounds, particularly methylmercury, being the most toxic due to its greater absorption rate and increased retention in animals. Ingestion of feed is the predominant path of animal exposure to mercury. Symptoms of mercury poisoning in animals vary </w:t>
      </w:r>
      <w:r w:rsidR="00CF6963">
        <w:t xml:space="preserve">according to </w:t>
      </w:r>
      <w:r w:rsidR="00EB38E1">
        <w:t xml:space="preserve">the form of mercury, </w:t>
      </w:r>
      <w:r w:rsidR="00CF6963">
        <w:t xml:space="preserve">the </w:t>
      </w:r>
      <w:r w:rsidR="00EB38E1">
        <w:t>amount ingested</w:t>
      </w:r>
      <w:r w:rsidR="00CF6963">
        <w:t xml:space="preserve">, </w:t>
      </w:r>
      <w:r w:rsidR="00EB38E1">
        <w:t xml:space="preserve">and </w:t>
      </w:r>
      <w:r w:rsidR="00A56D1C">
        <w:t xml:space="preserve">the </w:t>
      </w:r>
      <w:r w:rsidR="00EB38E1">
        <w:t>route of intake (Hart 1982).</w:t>
      </w:r>
    </w:p>
    <w:p w14:paraId="03F5A039" w14:textId="22C9C4C2" w:rsidR="003157DB" w:rsidRDefault="00EB38E1" w:rsidP="003157DB">
      <w:r>
        <w:t xml:space="preserve">Chronic mercury poisoning in </w:t>
      </w:r>
      <w:proofErr w:type="gramStart"/>
      <w:r>
        <w:t>animals</w:t>
      </w:r>
      <w:proofErr w:type="gramEnd"/>
      <w:r>
        <w:t xml:space="preserve"> results in loss of appetite, with consequent weight loss leading to possible hair loss, anal lesions and paralysis. Severe poisoning results in nervous system disorders (such as lack of coordination, tetanic spasms, and convulsions) and is usually fatal</w:t>
      </w:r>
      <w:r w:rsidR="0006249B">
        <w:t xml:space="preserve"> (Blakley 2022</w:t>
      </w:r>
      <w:r w:rsidR="00EC30FD">
        <w:t>d</w:t>
      </w:r>
      <w:r w:rsidR="0006249B">
        <w:t>)</w:t>
      </w:r>
      <w:r>
        <w:t xml:space="preserve">. Ingestion of inorganic mercury results in the accumulation of mercury primarily in the </w:t>
      </w:r>
      <w:r w:rsidR="00C5139F">
        <w:t xml:space="preserve">brain, </w:t>
      </w:r>
      <w:proofErr w:type="gramStart"/>
      <w:r>
        <w:t>kidney</w:t>
      </w:r>
      <w:proofErr w:type="gramEnd"/>
      <w:r>
        <w:t xml:space="preserve"> and liver, whereas methylmercury is more evenly distributed through all </w:t>
      </w:r>
      <w:r w:rsidRPr="00C95D78">
        <w:t>tissues (NRCC 1979).</w:t>
      </w:r>
    </w:p>
    <w:p w14:paraId="03F5A03A" w14:textId="144C7476" w:rsidR="00E52DBD" w:rsidRDefault="00EB38E1" w:rsidP="00C1087A">
      <w:r>
        <w:t>Signs of mercury poisoning were observed at 2</w:t>
      </w:r>
      <w:r w:rsidR="009E1DED">
        <w:t> </w:t>
      </w:r>
      <w:r>
        <w:t>mg/kg in turkey</w:t>
      </w:r>
      <w:r w:rsidR="00CF6963">
        <w:t>s</w:t>
      </w:r>
      <w:r>
        <w:t>, 8</w:t>
      </w:r>
      <w:r w:rsidR="009E1DED">
        <w:t> </w:t>
      </w:r>
      <w:r>
        <w:t>mg/kg in cattle and 10</w:t>
      </w:r>
      <w:r w:rsidR="009E1DED">
        <w:t> </w:t>
      </w:r>
      <w:r>
        <w:t>mg/kg in sheep (</w:t>
      </w:r>
      <w:r w:rsidRPr="0003493D">
        <w:t>Palmer et al. 1973). Cattle</w:t>
      </w:r>
      <w:r>
        <w:t xml:space="preserve"> receiving 0.48</w:t>
      </w:r>
      <w:r w:rsidR="009E1DED">
        <w:t> </w:t>
      </w:r>
      <w:r>
        <w:t>mg/kg of methylmercury compound per day accumulated 100</w:t>
      </w:r>
      <w:r w:rsidR="009E1DED">
        <w:t> </w:t>
      </w:r>
      <w:r>
        <w:t>mg/kg in the kidney within 27</w:t>
      </w:r>
      <w:r w:rsidR="009E1DED">
        <w:t> </w:t>
      </w:r>
      <w:r>
        <w:t>days; sheep accumulated 120</w:t>
      </w:r>
      <w:r w:rsidR="009E1DED">
        <w:t>–</w:t>
      </w:r>
      <w:r>
        <w:t>210</w:t>
      </w:r>
      <w:r w:rsidR="00C9539E">
        <w:t> </w:t>
      </w:r>
      <w:r>
        <w:t>mg/kg under the same conditions (Palmer et al. 1973).</w:t>
      </w:r>
      <w:r w:rsidR="00CB55AE">
        <w:t xml:space="preserve"> NRC (1980, 2005) set a maximum tolerable limit on </w:t>
      </w:r>
      <w:r w:rsidR="00EF0A9A">
        <w:t xml:space="preserve">organic </w:t>
      </w:r>
      <w:r w:rsidR="00CB55AE">
        <w:t>mercury in the diet at 2</w:t>
      </w:r>
      <w:r w:rsidR="008A4A13">
        <w:t> </w:t>
      </w:r>
      <w:r w:rsidR="00CB55AE">
        <w:t>mg/kg for ruminants and pigs.</w:t>
      </w:r>
    </w:p>
    <w:p w14:paraId="03F5A03B" w14:textId="77777777" w:rsidR="00AD38A0" w:rsidRPr="00AD38A0" w:rsidRDefault="00EB38E1" w:rsidP="000C6B83">
      <w:pPr>
        <w:pStyle w:val="Heading5"/>
        <w:rPr>
          <w:lang w:eastAsia="ja-JP"/>
        </w:rPr>
      </w:pPr>
      <w:r w:rsidRPr="00AD38A0">
        <w:rPr>
          <w:lang w:eastAsia="ja-JP"/>
        </w:rPr>
        <w:t>Derivation of guideline values</w:t>
      </w:r>
    </w:p>
    <w:p w14:paraId="03F5A03C" w14:textId="475D2B4F" w:rsidR="00E52DBD" w:rsidRDefault="00EB38E1" w:rsidP="00C1087A">
      <w:r>
        <w:t xml:space="preserve">In establishing guidelines for mercury in </w:t>
      </w:r>
      <w:r w:rsidR="001A6081">
        <w:t xml:space="preserve">livestock </w:t>
      </w:r>
      <w:r>
        <w:t xml:space="preserve">drinking water, consideration </w:t>
      </w:r>
      <w:r w:rsidR="008E08BE">
        <w:t xml:space="preserve">should </w:t>
      </w:r>
      <w:r>
        <w:t xml:space="preserve">be given to the toxic </w:t>
      </w:r>
      <w:r w:rsidRPr="005C3A9D">
        <w:t xml:space="preserve">effects of mercury on animals </w:t>
      </w:r>
      <w:r w:rsidRPr="005C3A9D">
        <w:rPr>
          <w:rStyle w:val="Emphasis"/>
          <w:i w:val="0"/>
          <w:iCs w:val="0"/>
        </w:rPr>
        <w:t>and</w:t>
      </w:r>
      <w:r w:rsidRPr="005C3A9D">
        <w:t xml:space="preserve"> its possible accumulation in animal tissues used for human consumption. Reeder et al. (1979) </w:t>
      </w:r>
      <w:r>
        <w:t xml:space="preserve">suggested that drinking water guidelines for mercury should be based on a maximum acceptable </w:t>
      </w:r>
      <w:r w:rsidR="007E7642">
        <w:t xml:space="preserve">concentration </w:t>
      </w:r>
      <w:r>
        <w:t>of 0.5</w:t>
      </w:r>
      <w:r w:rsidR="00C42FB7">
        <w:t> </w:t>
      </w:r>
      <w:r>
        <w:t>mg/kg in edible animal tissue.</w:t>
      </w:r>
    </w:p>
    <w:p w14:paraId="03F5A03D" w14:textId="77777777" w:rsidR="00E52DBD" w:rsidRDefault="00EB38E1" w:rsidP="00C1087A">
      <w:r>
        <w:t>Using chicken</w:t>
      </w:r>
      <w:r w:rsidR="007E7642">
        <w:t>s</w:t>
      </w:r>
      <w:r>
        <w:t xml:space="preserve"> as a model, Reeder et al. (1979) calculated the maximum allowable intake of mercury in </w:t>
      </w:r>
      <w:r w:rsidR="007E7642">
        <w:t xml:space="preserve">livestock </w:t>
      </w:r>
      <w:r>
        <w:t>drinking water as 0.003</w:t>
      </w:r>
      <w:r w:rsidR="003D5683">
        <w:t> </w:t>
      </w:r>
      <w:r>
        <w:t>mg/L, assuming a maximum concentration of 0.2</w:t>
      </w:r>
      <w:r w:rsidR="003D5683">
        <w:t> </w:t>
      </w:r>
      <w:r>
        <w:t>mg/kg in edible animal tissue. Hart (1982) suggested a value of 0.002</w:t>
      </w:r>
      <w:r w:rsidR="003C5150">
        <w:t> </w:t>
      </w:r>
      <w:r>
        <w:t>mg/L as more appropriate under Australian conditions.</w:t>
      </w:r>
    </w:p>
    <w:p w14:paraId="03F5A03E" w14:textId="541C9687" w:rsidR="00E36FB2" w:rsidRDefault="00EB38E1" w:rsidP="00C1087A">
      <w:r>
        <w:t xml:space="preserve">The ANZECC (1992) guideline </w:t>
      </w:r>
      <w:r w:rsidR="007E7642">
        <w:t xml:space="preserve">value of 0.002 mg/L </w:t>
      </w:r>
      <w:r>
        <w:t xml:space="preserve">for mercury </w:t>
      </w:r>
      <w:r w:rsidR="007E7642">
        <w:t>in livestock drinking water</w:t>
      </w:r>
      <w:r>
        <w:t xml:space="preserve"> has been retained in the absence of new </w:t>
      </w:r>
      <w:r w:rsidR="00F52270">
        <w:t>contradicting</w:t>
      </w:r>
      <w:r>
        <w:t xml:space="preserve"> information. The </w:t>
      </w:r>
      <w:r w:rsidR="007E7642">
        <w:t xml:space="preserve">mercury </w:t>
      </w:r>
      <w:r>
        <w:t>guideline value in Canada is 0.003</w:t>
      </w:r>
      <w:r w:rsidR="00FC77C7">
        <w:t> </w:t>
      </w:r>
      <w:r>
        <w:t>mg/L (</w:t>
      </w:r>
      <w:r w:rsidR="00DE3A14">
        <w:t xml:space="preserve">CCME </w:t>
      </w:r>
      <w:r w:rsidR="00D949D2">
        <w:t>2005</w:t>
      </w:r>
      <w:r>
        <w:t>) and in South Africa</w:t>
      </w:r>
      <w:r w:rsidR="007E7642">
        <w:t xml:space="preserve"> is</w:t>
      </w:r>
      <w:r>
        <w:t xml:space="preserve"> 0.001</w:t>
      </w:r>
      <w:r w:rsidR="00FC77C7">
        <w:t> </w:t>
      </w:r>
      <w:r>
        <w:t>mg/L (DWAF 1996).</w:t>
      </w:r>
    </w:p>
    <w:p w14:paraId="03F5A03F" w14:textId="1D21913B" w:rsidR="005A20F3" w:rsidRDefault="003A647C" w:rsidP="000C6B83">
      <w:pPr>
        <w:pStyle w:val="Heading4"/>
        <w:rPr>
          <w:lang w:eastAsia="ja-JP"/>
        </w:rPr>
      </w:pPr>
      <w:bookmarkStart w:id="381" w:name="_Toc134441532"/>
      <w:bookmarkStart w:id="382" w:name="_Toc134441825"/>
      <w:bookmarkStart w:id="383" w:name="_Toc134442346"/>
      <w:bookmarkStart w:id="384" w:name="_Toc134442557"/>
      <w:bookmarkStart w:id="385" w:name="_Toc134441533"/>
      <w:bookmarkStart w:id="386" w:name="_Toc134441826"/>
      <w:bookmarkStart w:id="387" w:name="_Toc134442347"/>
      <w:bookmarkStart w:id="388" w:name="_Toc134442558"/>
      <w:bookmarkStart w:id="389" w:name="_Molybdenum"/>
      <w:bookmarkStart w:id="390" w:name="_Toc134442348"/>
      <w:bookmarkStart w:id="391" w:name="_Toc141704576"/>
      <w:bookmarkEnd w:id="381"/>
      <w:bookmarkEnd w:id="382"/>
      <w:bookmarkEnd w:id="383"/>
      <w:bookmarkEnd w:id="384"/>
      <w:bookmarkEnd w:id="385"/>
      <w:bookmarkEnd w:id="386"/>
      <w:bookmarkEnd w:id="387"/>
      <w:bookmarkEnd w:id="388"/>
      <w:bookmarkEnd w:id="389"/>
      <w:r>
        <w:rPr>
          <w:lang w:eastAsia="ja-JP"/>
        </w:rPr>
        <w:t>3.3.14</w:t>
      </w:r>
      <w:r>
        <w:rPr>
          <w:lang w:eastAsia="ja-JP"/>
        </w:rPr>
        <w:tab/>
      </w:r>
      <w:r w:rsidR="00EB38E1">
        <w:rPr>
          <w:lang w:eastAsia="ja-JP"/>
        </w:rPr>
        <w:t>Molybdenum</w:t>
      </w:r>
      <w:bookmarkEnd w:id="390"/>
      <w:bookmarkEnd w:id="391"/>
    </w:p>
    <w:p w14:paraId="03F5A040" w14:textId="500BB0D3" w:rsidR="005A20F3" w:rsidRDefault="00EB38E1" w:rsidP="00FD2341">
      <w:pPr>
        <w:pStyle w:val="Sectionkeypoints"/>
      </w:pPr>
      <w:bookmarkStart w:id="392" w:name="_Hlk135129590"/>
      <w:r>
        <w:t xml:space="preserve">Molybdenum concentrations </w:t>
      </w:r>
      <w:r w:rsidR="00A84BEE">
        <w:rPr>
          <w:rFonts w:cstheme="minorHAnsi"/>
        </w:rPr>
        <w:t>&lt;</w:t>
      </w:r>
      <w:r>
        <w:t xml:space="preserve">0.01 mg/L in livestock drinking water </w:t>
      </w:r>
      <w:r w:rsidR="00970B14">
        <w:t>should not be harmful to animal health</w:t>
      </w:r>
      <w:r>
        <w:t xml:space="preserve">, </w:t>
      </w:r>
      <w:bookmarkEnd w:id="392"/>
      <w:r>
        <w:t xml:space="preserve">depending on total dietary intake of molybdenum, copper, </w:t>
      </w:r>
      <w:proofErr w:type="gramStart"/>
      <w:r>
        <w:t>iron</w:t>
      </w:r>
      <w:proofErr w:type="gramEnd"/>
      <w:r>
        <w:t xml:space="preserve"> and </w:t>
      </w:r>
      <w:proofErr w:type="spellStart"/>
      <w:r>
        <w:t>sulfur</w:t>
      </w:r>
      <w:proofErr w:type="spellEnd"/>
      <w:r>
        <w:t xml:space="preserve">. If molybdenum concentrations in drinking </w:t>
      </w:r>
      <w:r w:rsidR="00A56D1C">
        <w:t>water</w:t>
      </w:r>
      <w:r>
        <w:t xml:space="preserve"> are </w:t>
      </w:r>
      <w:r w:rsidR="00380D15">
        <w:rPr>
          <w:rFonts w:cstheme="minorHAnsi"/>
        </w:rPr>
        <w:t>&gt;</w:t>
      </w:r>
      <w:r>
        <w:t>0.01</w:t>
      </w:r>
      <w:r w:rsidR="0032391D">
        <w:t> </w:t>
      </w:r>
      <w:r>
        <w:t>mg/L, the animal diet should be investigated to ensure that copper concentrations are sufficient to account for the total dietary intake of molybdenum.</w:t>
      </w:r>
    </w:p>
    <w:p w14:paraId="03F5A041" w14:textId="77777777" w:rsidR="005A20F3" w:rsidRDefault="00EB38E1" w:rsidP="000C6B83">
      <w:pPr>
        <w:pStyle w:val="Heading5"/>
        <w:rPr>
          <w:lang w:eastAsia="ja-JP"/>
        </w:rPr>
      </w:pPr>
      <w:r>
        <w:rPr>
          <w:lang w:eastAsia="ja-JP"/>
        </w:rPr>
        <w:t>Source</w:t>
      </w:r>
    </w:p>
    <w:p w14:paraId="03F5A042" w14:textId="77777777" w:rsidR="00317004" w:rsidRDefault="00EB38E1" w:rsidP="00C1087A">
      <w:pPr>
        <w:rPr>
          <w:lang w:val="en-GB"/>
        </w:rPr>
      </w:pPr>
      <w:r w:rsidRPr="00FD2DEA">
        <w:rPr>
          <w:lang w:val="en-GB"/>
        </w:rPr>
        <w:t xml:space="preserve">Molybdenum commonly exists as an anion in waters and soils. The behaviour of molybdenum in soils is </w:t>
      </w:r>
      <w:proofErr w:type="gramStart"/>
      <w:r w:rsidRPr="00FD2DEA">
        <w:rPr>
          <w:lang w:val="en-GB"/>
        </w:rPr>
        <w:t>similar to</w:t>
      </w:r>
      <w:proofErr w:type="gramEnd"/>
      <w:r w:rsidRPr="00FD2DEA">
        <w:rPr>
          <w:lang w:val="en-GB"/>
        </w:rPr>
        <w:t xml:space="preserve"> other negatively charged elements, which tend to be very mobile.</w:t>
      </w:r>
    </w:p>
    <w:p w14:paraId="03F5A043" w14:textId="77777777" w:rsidR="005A20F3" w:rsidRDefault="00EB38E1" w:rsidP="00C1087A">
      <w:r>
        <w:lastRenderedPageBreak/>
        <w:t xml:space="preserve">Molybdenum is usually found at concentrations of </w:t>
      </w:r>
      <w:r w:rsidR="003157DB">
        <w:rPr>
          <w:rFonts w:cstheme="minorHAnsi"/>
        </w:rPr>
        <w:t>≤</w:t>
      </w:r>
      <w:r>
        <w:t>0.05</w:t>
      </w:r>
      <w:r w:rsidR="00A05100">
        <w:t> </w:t>
      </w:r>
      <w:r>
        <w:t>mg/L in natural waters (Galvin 1996). Higher concentrations are generally associated with human activities such as mining, industry fallout and chemical fertilisation. The predominant ion is molybdate</w:t>
      </w:r>
      <w:r w:rsidR="0049644C">
        <w:t>,</w:t>
      </w:r>
      <w:r>
        <w:t xml:space="preserve"> which is more soluble at higher pH</w:t>
      </w:r>
      <w:r w:rsidR="003157DB">
        <w:t xml:space="preserve"> (more </w:t>
      </w:r>
      <w:r w:rsidR="003157DB" w:rsidRPr="003E1AEC">
        <w:t xml:space="preserve">alkaline; </w:t>
      </w:r>
      <w:r w:rsidRPr="003E1AEC">
        <w:t>Cotton &amp; Wilkinson 1972).</w:t>
      </w:r>
    </w:p>
    <w:p w14:paraId="03F5A044" w14:textId="77777777" w:rsidR="005A20F3" w:rsidRDefault="00EB38E1" w:rsidP="00C1087A">
      <w:r>
        <w:t>Livestock health effects are more likely to occur through forag</w:t>
      </w:r>
      <w:r w:rsidR="003157DB">
        <w:t xml:space="preserve">ing </w:t>
      </w:r>
      <w:r>
        <w:t>than through the intake of water. The concentrations of molybdenum in plants reflect the concentrations of the soils in which they are grown. High concentrations of molybdenum in plants may occur where soils are enriched with molybdenum (</w:t>
      </w:r>
      <w:proofErr w:type="gramStart"/>
      <w:r>
        <w:t>e.g.</w:t>
      </w:r>
      <w:proofErr w:type="gramEnd"/>
      <w:r>
        <w:t xml:space="preserve"> from fertilisers) but can </w:t>
      </w:r>
      <w:r w:rsidR="00B2276C">
        <w:t xml:space="preserve">also </w:t>
      </w:r>
      <w:r>
        <w:t>occur naturally, particularly when soils are of neutral to high pH, are very moist</w:t>
      </w:r>
      <w:r w:rsidR="00B2276C">
        <w:t>,</w:t>
      </w:r>
      <w:r>
        <w:t xml:space="preserve"> and have a high organic content, such as peats and mucks (</w:t>
      </w:r>
      <w:r w:rsidRPr="005F0423">
        <w:t xml:space="preserve">NRC 1980, </w:t>
      </w:r>
      <w:r w:rsidRPr="00EA10C8">
        <w:t>1988, 1996, Jones</w:t>
      </w:r>
      <w:r w:rsidRPr="004067D5">
        <w:t xml:space="preserve"> et al. 1994).</w:t>
      </w:r>
      <w:r>
        <w:t xml:space="preserve"> Pastures </w:t>
      </w:r>
      <w:r w:rsidR="00E03207">
        <w:t xml:space="preserve">with </w:t>
      </w:r>
      <w:r>
        <w:t xml:space="preserve">high molybdenum </w:t>
      </w:r>
      <w:r w:rsidR="00E03207">
        <w:t>concentrations</w:t>
      </w:r>
      <w:r>
        <w:t xml:space="preserve"> have been found on calcareous soils in southern Australia (</w:t>
      </w:r>
      <w:r w:rsidRPr="00F670F0">
        <w:t>McFarlane et al. 1990).</w:t>
      </w:r>
    </w:p>
    <w:p w14:paraId="03F5A045" w14:textId="77777777" w:rsidR="005A20F3" w:rsidRDefault="00EB38E1" w:rsidP="000C6B83">
      <w:pPr>
        <w:pStyle w:val="Heading5"/>
        <w:rPr>
          <w:lang w:eastAsia="ja-JP"/>
        </w:rPr>
      </w:pPr>
      <w:r>
        <w:rPr>
          <w:lang w:eastAsia="ja-JP"/>
        </w:rPr>
        <w:t>Animal health</w:t>
      </w:r>
    </w:p>
    <w:p w14:paraId="03F5A046" w14:textId="67C793B4" w:rsidR="005A20F3" w:rsidRDefault="00EB38E1" w:rsidP="00C1087A">
      <w:r>
        <w:t xml:space="preserve">Molybdenum is </w:t>
      </w:r>
      <w:r w:rsidR="00E36FBD">
        <w:t xml:space="preserve">an </w:t>
      </w:r>
      <w:r>
        <w:t xml:space="preserve">essential </w:t>
      </w:r>
      <w:r w:rsidR="00E36FBD">
        <w:t xml:space="preserve">element in </w:t>
      </w:r>
      <w:r>
        <w:t xml:space="preserve">animal nutrition. It is associated with various enzyme systems and </w:t>
      </w:r>
      <w:r w:rsidR="004B6B36">
        <w:t>is important</w:t>
      </w:r>
      <w:r>
        <w:t xml:space="preserve"> during </w:t>
      </w:r>
      <w:proofErr w:type="spellStart"/>
      <w:r>
        <w:t>f</w:t>
      </w:r>
      <w:r w:rsidR="00AB45C1">
        <w:t>etal</w:t>
      </w:r>
      <w:proofErr w:type="spellEnd"/>
      <w:r>
        <w:t xml:space="preserve"> development. There is little information on molybdenum requirements of domestic animals</w:t>
      </w:r>
      <w:r w:rsidR="006C4A4B">
        <w:t>,</w:t>
      </w:r>
      <w:r>
        <w:t xml:space="preserve"> but </w:t>
      </w:r>
      <w:r w:rsidR="006C4A4B">
        <w:t>concentrations</w:t>
      </w:r>
      <w:r>
        <w:t xml:space="preserve"> in the diet of &lt;0.02</w:t>
      </w:r>
      <w:r w:rsidR="00A05100">
        <w:t> </w:t>
      </w:r>
      <w:r>
        <w:t>mg/kg and 0.01</w:t>
      </w:r>
      <w:r w:rsidR="00733022">
        <w:t> </w:t>
      </w:r>
      <w:r>
        <w:t xml:space="preserve">mg/kg for </w:t>
      </w:r>
      <w:r w:rsidR="006C4A4B">
        <w:t xml:space="preserve">chicks and </w:t>
      </w:r>
      <w:r>
        <w:t>sheep</w:t>
      </w:r>
      <w:r w:rsidR="006C4A4B">
        <w:t>, respectively,</w:t>
      </w:r>
      <w:r>
        <w:t xml:space="preserve"> have been </w:t>
      </w:r>
      <w:r w:rsidRPr="00E47260">
        <w:t>suggested by Mills and Davis (1987) (cited</w:t>
      </w:r>
      <w:r w:rsidRPr="004067D5">
        <w:t xml:space="preserve"> by Jones et al. 1994).</w:t>
      </w:r>
    </w:p>
    <w:p w14:paraId="03F5A047" w14:textId="14E42B22" w:rsidR="005E6528" w:rsidRDefault="00EB38E1" w:rsidP="005E6528">
      <w:r>
        <w:t xml:space="preserve">Inorganic molybdenum combines with </w:t>
      </w:r>
      <w:proofErr w:type="spellStart"/>
      <w:r>
        <w:t>sulfide</w:t>
      </w:r>
      <w:proofErr w:type="spellEnd"/>
      <w:r>
        <w:t xml:space="preserve"> in the rumen to form thiomolybdates, which bind copper and interfere with its absorption. This increases the animal’s requirement for, and tolerance of, copper. Molybdenum concentrations of 5–6 mg/kg in the diets of cattle have resulted in copper deficiency, depending on the level of copper in the diet and the period of exposure (NRC 1980, 1996</w:t>
      </w:r>
      <w:r w:rsidR="00B252C8">
        <w:t>, 2005</w:t>
      </w:r>
      <w:r>
        <w:t xml:space="preserve">). In a survey of copper deficiencies in herds in South Australia, McFarlane et al. (1990) observed that the risk of copper deficiency is associated with moderate concentrations of molybdenum, </w:t>
      </w:r>
      <w:proofErr w:type="spellStart"/>
      <w:proofErr w:type="gramStart"/>
      <w:r>
        <w:t>sulfur</w:t>
      </w:r>
      <w:proofErr w:type="spellEnd"/>
      <w:proofErr w:type="gramEnd"/>
      <w:r>
        <w:t xml:space="preserve"> and iron in pasture, rather than low copper levels: copper from these pastures would rarely meet minimal cattle requirements when levels of molybdenum exceeded 2 mg/kg.</w:t>
      </w:r>
    </w:p>
    <w:p w14:paraId="03F5A048" w14:textId="77777777" w:rsidR="005E6528" w:rsidRDefault="00EB38E1" w:rsidP="005E6528">
      <w:proofErr w:type="spellStart"/>
      <w:r>
        <w:t>Molybdenosis</w:t>
      </w:r>
      <w:proofErr w:type="spellEnd"/>
      <w:r>
        <w:t xml:space="preserve"> (‘peat scours’ in New Zealand) in cattle is characterised by severe scouring and loss of condition, and secondary copper deficiency. The condition can be treated by adding sufficient copper to the diet. If dietary copper levels are low, molybdenum is toxic at lower concentrations (NRC 1980, 1988, 1996, Jones et al. 1994).</w:t>
      </w:r>
    </w:p>
    <w:p w14:paraId="03F5A049" w14:textId="7C6DA11D" w:rsidR="005E6528" w:rsidRDefault="00EB38E1" w:rsidP="005E6528">
      <w:r>
        <w:t xml:space="preserve">Ruminants are </w:t>
      </w:r>
      <w:r w:rsidR="00A0398D">
        <w:t xml:space="preserve">the </w:t>
      </w:r>
      <w:r>
        <w:t xml:space="preserve">most susceptible to excess molybdenum, with cattle more sensitive than sheep (NRC 1980, </w:t>
      </w:r>
      <w:r w:rsidR="00B252C8">
        <w:t xml:space="preserve">2005, </w:t>
      </w:r>
      <w:r>
        <w:t xml:space="preserve">Jones et al. 1994). Effects of excessive molybdenum intake in ruminants (other than those attributed to copper deficiency) </w:t>
      </w:r>
      <w:r w:rsidR="00984C9F">
        <w:t>may</w:t>
      </w:r>
      <w:r>
        <w:t xml:space="preserve"> includ</w:t>
      </w:r>
      <w:r w:rsidR="00984C9F">
        <w:t>e</w:t>
      </w:r>
      <w:r>
        <w:t xml:space="preserve"> infertility, increased puberty age, testicular damage, and disorders of phosphorus metabolism that cause skeletal abnormalities and lameness</w:t>
      </w:r>
      <w:r w:rsidR="00DF73B9">
        <w:t xml:space="preserve"> (</w:t>
      </w:r>
      <w:r w:rsidR="00FD1780">
        <w:t>Blakley 2022</w:t>
      </w:r>
      <w:r w:rsidR="00EC30FD">
        <w:t>e</w:t>
      </w:r>
      <w:r w:rsidR="00FD1780">
        <w:t>)</w:t>
      </w:r>
      <w:r>
        <w:t xml:space="preserve">. Concentrations as low as 5 mg/kg of molybdenum in feed have been reported to </w:t>
      </w:r>
      <w:r w:rsidRPr="005C3A9D">
        <w:t>cause infertility effects such as increased puberty age and reduced conception rate (Phillip</w:t>
      </w:r>
      <w:r w:rsidR="007E110A" w:rsidRPr="005C3A9D">
        <w:t>p</w:t>
      </w:r>
      <w:r w:rsidRPr="005C3A9D">
        <w:t>o et al. 1987,</w:t>
      </w:r>
      <w:r>
        <w:t xml:space="preserve"> cited by Jones et al. 1994 and NRC 1996).</w:t>
      </w:r>
    </w:p>
    <w:p w14:paraId="03F5A04A" w14:textId="6E7A5859" w:rsidR="005A20F3" w:rsidRDefault="00EB38E1" w:rsidP="00C1087A">
      <w:r>
        <w:t>In non-ruminant</w:t>
      </w:r>
      <w:r w:rsidR="0006799F">
        <w:t>s,</w:t>
      </w:r>
      <w:r>
        <w:t xml:space="preserve"> the </w:t>
      </w:r>
      <w:r w:rsidR="0006799F">
        <w:t>molybdenum–copper</w:t>
      </w:r>
      <w:r>
        <w:t xml:space="preserve"> antagonism only occurs with lower gut </w:t>
      </w:r>
      <w:proofErr w:type="spellStart"/>
      <w:r>
        <w:t>sulfide</w:t>
      </w:r>
      <w:proofErr w:type="spellEnd"/>
      <w:r>
        <w:t xml:space="preserve"> generation associated with high </w:t>
      </w:r>
      <w:proofErr w:type="spellStart"/>
      <w:r>
        <w:t>sulfur</w:t>
      </w:r>
      <w:proofErr w:type="spellEnd"/>
      <w:r>
        <w:t xml:space="preserve"> intake (as inorganic </w:t>
      </w:r>
      <w:proofErr w:type="spellStart"/>
      <w:r>
        <w:t>sulfur</w:t>
      </w:r>
      <w:proofErr w:type="spellEnd"/>
      <w:r>
        <w:t xml:space="preserve"> or in high protein feed). </w:t>
      </w:r>
      <w:r w:rsidR="00FE348A">
        <w:t xml:space="preserve">Horses appear more resistant to </w:t>
      </w:r>
      <w:proofErr w:type="spellStart"/>
      <w:r w:rsidR="00FE348A">
        <w:t>molybdenosis</w:t>
      </w:r>
      <w:proofErr w:type="spellEnd"/>
      <w:r w:rsidR="00FE348A">
        <w:t xml:space="preserve"> than cattle (Olkowski 2009). </w:t>
      </w:r>
      <w:r>
        <w:t>Molybdenum seems to be rapidly absorbed and excreted by pigs</w:t>
      </w:r>
      <w:r w:rsidR="0006799F">
        <w:t>,</w:t>
      </w:r>
      <w:r>
        <w:t xml:space="preserve"> which makes them extremely tolerant of high levels of intake</w:t>
      </w:r>
      <w:r w:rsidR="007510ED">
        <w:t>; p</w:t>
      </w:r>
      <w:r>
        <w:t>igs fed diets containing up to 1</w:t>
      </w:r>
      <w:r w:rsidR="0027294B">
        <w:t>,</w:t>
      </w:r>
      <w:r>
        <w:t>000</w:t>
      </w:r>
      <w:r w:rsidR="00733022">
        <w:t> </w:t>
      </w:r>
      <w:r>
        <w:t xml:space="preserve">mg/kg </w:t>
      </w:r>
      <w:r w:rsidR="007510ED">
        <w:t xml:space="preserve">of molybdenum </w:t>
      </w:r>
      <w:r>
        <w:t xml:space="preserve">for </w:t>
      </w:r>
      <w:r w:rsidR="007510ED">
        <w:t>3 </w:t>
      </w:r>
      <w:r>
        <w:t>months have shown no ill effects. Poultry appear</w:t>
      </w:r>
      <w:r w:rsidR="002B0ED6">
        <w:t>s</w:t>
      </w:r>
      <w:r>
        <w:t xml:space="preserve"> to be more sensitive to molybdenum</w:t>
      </w:r>
      <w:r w:rsidR="002B0ED6">
        <w:t>;</w:t>
      </w:r>
      <w:r>
        <w:t xml:space="preserve"> </w:t>
      </w:r>
      <w:r w:rsidR="002B0ED6">
        <w:t>concentrations of</w:t>
      </w:r>
      <w:r>
        <w:t xml:space="preserve"> 200</w:t>
      </w:r>
      <w:r w:rsidR="00733022">
        <w:t> </w:t>
      </w:r>
      <w:r>
        <w:t xml:space="preserve">mg/kg </w:t>
      </w:r>
      <w:r w:rsidR="002B0ED6">
        <w:t xml:space="preserve">in the diet </w:t>
      </w:r>
      <w:r>
        <w:t xml:space="preserve">have resulted in reduced growth (NRC 1980, </w:t>
      </w:r>
      <w:r w:rsidR="00B252C8">
        <w:t xml:space="preserve">2005, </w:t>
      </w:r>
      <w:r>
        <w:t>Mills &amp; Davis 1987, cited by Jones et al. 1994).</w:t>
      </w:r>
    </w:p>
    <w:p w14:paraId="03F5A04B" w14:textId="77777777" w:rsidR="005A20F3" w:rsidRDefault="00EB38E1" w:rsidP="00C1087A">
      <w:r>
        <w:t xml:space="preserve">The type of diet may also influence animal tolerance of molybdenum. In dry forages, molybdenum may not be as available as it is in green feed, possibly due to the availability of soluble </w:t>
      </w:r>
      <w:proofErr w:type="spellStart"/>
      <w:r>
        <w:t>sulfur</w:t>
      </w:r>
      <w:proofErr w:type="spellEnd"/>
      <w:r>
        <w:t xml:space="preserve"> </w:t>
      </w:r>
      <w:r>
        <w:lastRenderedPageBreak/>
        <w:t xml:space="preserve">containing proteins. </w:t>
      </w:r>
      <w:proofErr w:type="spellStart"/>
      <w:r w:rsidR="002B0ED6">
        <w:t>C</w:t>
      </w:r>
      <w:r>
        <w:t>opper:molybdenum</w:t>
      </w:r>
      <w:proofErr w:type="spellEnd"/>
      <w:r>
        <w:t xml:space="preserve"> </w:t>
      </w:r>
      <w:r w:rsidR="002B0ED6">
        <w:t xml:space="preserve">ratios of 2:1 and 4:1 </w:t>
      </w:r>
      <w:r>
        <w:t>in animal feed</w:t>
      </w:r>
      <w:r w:rsidR="002B0ED6">
        <w:t xml:space="preserve"> </w:t>
      </w:r>
      <w:r>
        <w:t>have been reported to prevent copper deficiency (NRC 1988, 1996).</w:t>
      </w:r>
    </w:p>
    <w:p w14:paraId="03F5A04C" w14:textId="77777777" w:rsidR="005A20F3" w:rsidRDefault="00EB38E1" w:rsidP="00C1087A">
      <w:r>
        <w:t xml:space="preserve">Toxicity was not observed in cattle grazing </w:t>
      </w:r>
      <w:r w:rsidR="008B563D">
        <w:t>at</w:t>
      </w:r>
      <w:r>
        <w:t xml:space="preserve"> a reclaimed mine tailings site with </w:t>
      </w:r>
      <w:r w:rsidR="008B563D">
        <w:t xml:space="preserve">molybdenum concentrations of </w:t>
      </w:r>
      <w:r>
        <w:t>21</w:t>
      </w:r>
      <w:r w:rsidR="00D468D2">
        <w:t>–</w:t>
      </w:r>
      <w:r>
        <w:t>44</w:t>
      </w:r>
      <w:r w:rsidR="00BA2EC4">
        <w:t> </w:t>
      </w:r>
      <w:r>
        <w:t xml:space="preserve">mg/kg in the forage. The absence of </w:t>
      </w:r>
      <w:proofErr w:type="spellStart"/>
      <w:r>
        <w:t>molybdenosis</w:t>
      </w:r>
      <w:proofErr w:type="spellEnd"/>
      <w:r>
        <w:t xml:space="preserve"> could be due to an interaction with high </w:t>
      </w:r>
      <w:r w:rsidR="008B563D">
        <w:t xml:space="preserve">copper </w:t>
      </w:r>
      <w:r>
        <w:t xml:space="preserve">concentrations (and other metal ions) in the forage (Gardner </w:t>
      </w:r>
      <w:r w:rsidR="008B563D">
        <w:t xml:space="preserve">et al. </w:t>
      </w:r>
      <w:r>
        <w:t>2003).</w:t>
      </w:r>
    </w:p>
    <w:p w14:paraId="03F5A04D" w14:textId="77777777" w:rsidR="00AD38A0" w:rsidRPr="00AD38A0" w:rsidRDefault="00EB38E1" w:rsidP="000C6B83">
      <w:pPr>
        <w:pStyle w:val="Heading5"/>
        <w:rPr>
          <w:lang w:eastAsia="ja-JP"/>
        </w:rPr>
      </w:pPr>
      <w:r w:rsidRPr="00AD38A0">
        <w:rPr>
          <w:lang w:eastAsia="ja-JP"/>
        </w:rPr>
        <w:t>Derivation of guideline values</w:t>
      </w:r>
    </w:p>
    <w:p w14:paraId="03F5A04E" w14:textId="4AA0D186" w:rsidR="005E6528" w:rsidRDefault="00EB38E1" w:rsidP="00C1087A">
      <w:r>
        <w:t>There are a range of molybdenum concentrations quoted in the literature as livestock drinking water guidelines. Canada has a guideline value of 0.5</w:t>
      </w:r>
      <w:r w:rsidR="003F01B9">
        <w:t> </w:t>
      </w:r>
      <w:r>
        <w:t xml:space="preserve">mg/L but states that it is more important to consider the </w:t>
      </w:r>
      <w:r w:rsidR="00345AEF">
        <w:t>molybdenum</w:t>
      </w:r>
      <w:r>
        <w:t xml:space="preserve"> water content in the context of total dietary </w:t>
      </w:r>
      <w:r w:rsidR="00345AEF">
        <w:t>intake of molybdenum,</w:t>
      </w:r>
      <w:r>
        <w:t xml:space="preserve"> </w:t>
      </w:r>
      <w:proofErr w:type="gramStart"/>
      <w:r>
        <w:t>copper</w:t>
      </w:r>
      <w:proofErr w:type="gramEnd"/>
      <w:r>
        <w:t xml:space="preserve"> and </w:t>
      </w:r>
      <w:proofErr w:type="spellStart"/>
      <w:r>
        <w:t>sulfur</w:t>
      </w:r>
      <w:proofErr w:type="spellEnd"/>
      <w:r w:rsidR="002A3581">
        <w:t xml:space="preserve"> (CCME 2005)</w:t>
      </w:r>
      <w:r>
        <w:t>. Raisbeck et al. (2008) noted that the problem</w:t>
      </w:r>
      <w:r w:rsidR="00345AEF">
        <w:t>s associated with molybdenum,</w:t>
      </w:r>
      <w:r>
        <w:t xml:space="preserve"> in many situations</w:t>
      </w:r>
      <w:r w:rsidR="00345AEF">
        <w:t>,</w:t>
      </w:r>
      <w:r>
        <w:t xml:space="preserve"> can be dealt with by dietary management of copper and </w:t>
      </w:r>
      <w:proofErr w:type="spellStart"/>
      <w:r>
        <w:t>sulfur</w:t>
      </w:r>
      <w:proofErr w:type="spellEnd"/>
      <w:r>
        <w:t>.</w:t>
      </w:r>
    </w:p>
    <w:p w14:paraId="03F5A04F" w14:textId="669C471D" w:rsidR="00C65A4B" w:rsidRDefault="00EB38E1" w:rsidP="00C1087A">
      <w:r>
        <w:t>FAO (</w:t>
      </w:r>
      <w:r w:rsidR="002A698C">
        <w:t xml:space="preserve">Tanji &amp; </w:t>
      </w:r>
      <w:proofErr w:type="spellStart"/>
      <w:r w:rsidR="002A698C">
        <w:t>Kielen</w:t>
      </w:r>
      <w:proofErr w:type="spellEnd"/>
      <w:r w:rsidR="002A698C">
        <w:t xml:space="preserve"> 2002)</w:t>
      </w:r>
      <w:r>
        <w:t xml:space="preserve"> quotes a limit of 0.5</w:t>
      </w:r>
      <w:r w:rsidR="003F01B9">
        <w:t> </w:t>
      </w:r>
      <w:r>
        <w:t xml:space="preserve">mg/L, which is </w:t>
      </w:r>
      <w:proofErr w:type="gramStart"/>
      <w:r>
        <w:t>similar to</w:t>
      </w:r>
      <w:proofErr w:type="gramEnd"/>
      <w:r>
        <w:t xml:space="preserve"> the value of 0.3</w:t>
      </w:r>
      <w:r w:rsidR="00720E60">
        <w:t> </w:t>
      </w:r>
      <w:r>
        <w:t>mg/L noted by Raisbeck et al</w:t>
      </w:r>
      <w:r w:rsidR="003B53FB">
        <w:t>.</w:t>
      </w:r>
      <w:r>
        <w:t xml:space="preserve"> (2008). In contrast, the South African </w:t>
      </w:r>
      <w:r w:rsidR="00EA1956">
        <w:t>g</w:t>
      </w:r>
      <w:r>
        <w:t>uidelines note that a target value of 0.01</w:t>
      </w:r>
      <w:r w:rsidR="004E3A90">
        <w:t> </w:t>
      </w:r>
      <w:r>
        <w:t xml:space="preserve">mg/L should be adopted to avoid possible adverse health issues and </w:t>
      </w:r>
      <w:r w:rsidR="00EA1956">
        <w:t>that concentrations</w:t>
      </w:r>
      <w:r>
        <w:t xml:space="preserve"> greater than 0.02</w:t>
      </w:r>
      <w:r w:rsidR="004E3A90">
        <w:t> </w:t>
      </w:r>
      <w:r>
        <w:t xml:space="preserve">mg/L should be avoided </w:t>
      </w:r>
      <w:r w:rsidR="00EA1956">
        <w:t>because</w:t>
      </w:r>
      <w:r>
        <w:t xml:space="preserve"> acute and chronic adverse effects may occur. Similarly, Beede (2012) states an upper limit of 0.03</w:t>
      </w:r>
      <w:r w:rsidR="004E3A90">
        <w:t> </w:t>
      </w:r>
      <w:r>
        <w:t>mg/L for livestock and maximum upper level of 0.06</w:t>
      </w:r>
      <w:r w:rsidR="004E3A90">
        <w:t> </w:t>
      </w:r>
      <w:r>
        <w:t xml:space="preserve">mg/L. </w:t>
      </w:r>
      <w:r w:rsidR="00E123DF">
        <w:t>NRC (1980) set a maximum tolerable concentration of 10 mg/kg in the diets of cattle and sheep for short-term intake. NRC (2005) decreased this to 5 mg/kg for cattle, sheep and horses and increased it to 100 mg/kg for poultry and 150</w:t>
      </w:r>
      <w:r w:rsidR="00CA0583">
        <w:t> </w:t>
      </w:r>
      <w:r w:rsidR="00E123DF">
        <w:t xml:space="preserve">mg/kg for pigs. </w:t>
      </w:r>
      <w:r w:rsidR="00606ABD">
        <w:t>Agriculture Victoria (2023) recommends a maximum level of 0.15 mg/L of molybdenum for water in stock containment areas.</w:t>
      </w:r>
    </w:p>
    <w:p w14:paraId="03F5A050" w14:textId="6C856843" w:rsidR="00C65A4B" w:rsidRDefault="00EB38E1" w:rsidP="00C1087A">
      <w:r>
        <w:t xml:space="preserve">The guideline </w:t>
      </w:r>
      <w:r w:rsidRPr="00DC4DFE">
        <w:t>values for molybdenum in livestock drinking water were calculat</w:t>
      </w:r>
      <w:r w:rsidR="00DC4DFE" w:rsidRPr="00DC4DFE">
        <w:t>ed using Equation</w:t>
      </w:r>
      <w:r w:rsidR="00880C92">
        <w:t> </w:t>
      </w:r>
      <w:r w:rsidR="00DC4DFE" w:rsidRPr="00DC4DFE">
        <w:t>3.2</w:t>
      </w:r>
      <w:r w:rsidRPr="00DC4DFE">
        <w:t>; the values are presented in</w:t>
      </w:r>
      <w:r w:rsidR="00FE46F8" w:rsidRPr="00DC4DFE">
        <w:t xml:space="preserve"> </w:t>
      </w:r>
      <w:r w:rsidR="0057001F">
        <w:t>Table</w:t>
      </w:r>
      <w:r w:rsidR="00CA0583">
        <w:t> </w:t>
      </w:r>
      <w:r w:rsidR="0057001F">
        <w:t>3.15</w:t>
      </w:r>
      <w:r w:rsidRPr="00DC4DFE">
        <w:t>.</w:t>
      </w:r>
    </w:p>
    <w:p w14:paraId="03F5A051" w14:textId="0875C26D" w:rsidR="00E36FB2" w:rsidRPr="00FD2341" w:rsidRDefault="00EB38E1" w:rsidP="00DF778F">
      <w:pPr>
        <w:pStyle w:val="Caption"/>
      </w:pPr>
      <w:bookmarkStart w:id="393" w:name="_Ref84839940"/>
      <w:bookmarkStart w:id="394" w:name="_Toc148089860"/>
      <w:r>
        <w:t>Table </w:t>
      </w:r>
      <w:r w:rsidR="00257B02">
        <w:t>3.</w:t>
      </w:r>
      <w:bookmarkEnd w:id="393"/>
      <w:r w:rsidR="00842CCF">
        <w:t xml:space="preserve">15 </w:t>
      </w:r>
      <w:r w:rsidR="005A20F3">
        <w:t xml:space="preserve">Calculated guideline values for </w:t>
      </w:r>
      <w:r w:rsidR="00900FD7">
        <w:t xml:space="preserve">molybdenum in livestock drinking </w:t>
      </w:r>
      <w:proofErr w:type="gramStart"/>
      <w:r w:rsidR="00900FD7">
        <w:t>water</w:t>
      </w:r>
      <w:bookmarkEnd w:id="394"/>
      <w:proofErr w:type="gramEnd"/>
    </w:p>
    <w:tbl>
      <w:tblPr>
        <w:tblW w:w="5000" w:type="pct"/>
        <w:tblBorders>
          <w:top w:val="single" w:sz="4" w:space="0" w:color="000000"/>
          <w:bottom w:val="single" w:sz="4" w:space="0" w:color="000000"/>
          <w:insideH w:val="single" w:sz="4" w:space="0" w:color="000000"/>
        </w:tblBorders>
        <w:tblLook w:val="04A0" w:firstRow="1" w:lastRow="0" w:firstColumn="1" w:lastColumn="0" w:noHBand="0" w:noVBand="1"/>
      </w:tblPr>
      <w:tblGrid>
        <w:gridCol w:w="1602"/>
        <w:gridCol w:w="3022"/>
        <w:gridCol w:w="1602"/>
        <w:gridCol w:w="2844"/>
      </w:tblGrid>
      <w:tr w:rsidR="0054058D" w14:paraId="03F5A056" w14:textId="77777777" w:rsidTr="00285B11">
        <w:trPr>
          <w:cantSplit/>
        </w:trPr>
        <w:tc>
          <w:tcPr>
            <w:tcW w:w="883" w:type="pct"/>
            <w:tcBorders>
              <w:top w:val="single" w:sz="12" w:space="0" w:color="000000"/>
              <w:bottom w:val="single" w:sz="12" w:space="0" w:color="000000"/>
            </w:tcBorders>
            <w:shd w:val="clear" w:color="auto" w:fill="auto"/>
          </w:tcPr>
          <w:p w14:paraId="03F5A052" w14:textId="77777777" w:rsidR="00391D64" w:rsidRPr="00285B11" w:rsidRDefault="00EB38E1" w:rsidP="00285B11">
            <w:pPr>
              <w:pStyle w:val="TableHeading"/>
            </w:pPr>
            <w:r>
              <w:t>Livestock</w:t>
            </w:r>
          </w:p>
        </w:tc>
        <w:tc>
          <w:tcPr>
            <w:tcW w:w="1666" w:type="pct"/>
            <w:tcBorders>
              <w:top w:val="single" w:sz="12" w:space="0" w:color="000000"/>
              <w:bottom w:val="single" w:sz="12" w:space="0" w:color="000000"/>
            </w:tcBorders>
            <w:shd w:val="clear" w:color="auto" w:fill="auto"/>
          </w:tcPr>
          <w:p w14:paraId="03F5A053" w14:textId="54FDC833" w:rsidR="00391D64" w:rsidRPr="00285B11" w:rsidRDefault="00EB38E1" w:rsidP="004C6E6D">
            <w:pPr>
              <w:pStyle w:val="TableHeading"/>
              <w:jc w:val="center"/>
            </w:pPr>
            <w:r w:rsidRPr="00285B11">
              <w:t xml:space="preserve">Maximum </w:t>
            </w:r>
            <w:r w:rsidR="00292616">
              <w:t>molybdenum</w:t>
            </w:r>
            <w:r w:rsidRPr="00285B11">
              <w:t xml:space="preserve"> in </w:t>
            </w:r>
            <w:r w:rsidR="00900FD7" w:rsidRPr="00285B11">
              <w:t>feed</w:t>
            </w:r>
            <w:r w:rsidR="00900FD7">
              <w:t xml:space="preserve"> </w:t>
            </w:r>
            <w:r w:rsidR="0044606D">
              <w:t>(</w:t>
            </w:r>
            <w:r w:rsidR="0044606D" w:rsidRPr="0044606D">
              <w:t>mg/</w:t>
            </w:r>
            <w:proofErr w:type="gramStart"/>
            <w:r w:rsidR="0044606D" w:rsidRPr="0044606D">
              <w:t>kg</w:t>
            </w:r>
            <w:r w:rsidR="0044606D">
              <w:t>)</w:t>
            </w:r>
            <w:r w:rsidR="00900FD7" w:rsidRPr="00900FD7">
              <w:rPr>
                <w:rStyle w:val="Strong"/>
                <w:b/>
                <w:vertAlign w:val="superscript"/>
              </w:rPr>
              <w:t>a</w:t>
            </w:r>
            <w:proofErr w:type="gramEnd"/>
          </w:p>
        </w:tc>
        <w:tc>
          <w:tcPr>
            <w:tcW w:w="883" w:type="pct"/>
            <w:tcBorders>
              <w:top w:val="single" w:sz="12" w:space="0" w:color="000000"/>
              <w:bottom w:val="single" w:sz="12" w:space="0" w:color="000000"/>
            </w:tcBorders>
            <w:shd w:val="clear" w:color="auto" w:fill="auto"/>
          </w:tcPr>
          <w:p w14:paraId="03F5A054" w14:textId="26F64217" w:rsidR="00391D64" w:rsidRPr="00285B11" w:rsidRDefault="00EB38E1" w:rsidP="004C6E6D">
            <w:pPr>
              <w:pStyle w:val="TableHeading"/>
              <w:jc w:val="center"/>
            </w:pPr>
            <w:r w:rsidRPr="00285B11">
              <w:t xml:space="preserve">Safety </w:t>
            </w:r>
            <w:proofErr w:type="spellStart"/>
            <w:r w:rsidR="00517B0F" w:rsidRPr="00285B11">
              <w:t>factor</w:t>
            </w:r>
            <w:r w:rsidR="00900FD7" w:rsidRPr="00900FD7">
              <w:rPr>
                <w:rStyle w:val="Strong"/>
                <w:b/>
                <w:vertAlign w:val="superscript"/>
              </w:rPr>
              <w:t>b</w:t>
            </w:r>
            <w:proofErr w:type="spellEnd"/>
          </w:p>
        </w:tc>
        <w:tc>
          <w:tcPr>
            <w:tcW w:w="1568" w:type="pct"/>
            <w:tcBorders>
              <w:top w:val="single" w:sz="12" w:space="0" w:color="000000"/>
              <w:bottom w:val="single" w:sz="12" w:space="0" w:color="000000"/>
            </w:tcBorders>
            <w:shd w:val="clear" w:color="auto" w:fill="auto"/>
          </w:tcPr>
          <w:p w14:paraId="03F5A055" w14:textId="77777777" w:rsidR="00391D64" w:rsidRPr="00285B11" w:rsidRDefault="00EB38E1" w:rsidP="004C6E6D">
            <w:pPr>
              <w:pStyle w:val="TableHeading"/>
              <w:jc w:val="center"/>
            </w:pPr>
            <w:r>
              <w:t>G</w:t>
            </w:r>
            <w:r w:rsidR="00517B0F" w:rsidRPr="00285B11">
              <w:t>uideline value</w:t>
            </w:r>
            <w:r w:rsidR="00517B0F">
              <w:t xml:space="preserve"> </w:t>
            </w:r>
            <w:r w:rsidR="0044606D">
              <w:t>(</w:t>
            </w:r>
            <w:r w:rsidR="0044606D" w:rsidRPr="0044606D">
              <w:t>mg/L</w:t>
            </w:r>
            <w:r w:rsidR="0044606D">
              <w:t>)</w:t>
            </w:r>
          </w:p>
        </w:tc>
      </w:tr>
      <w:tr w:rsidR="0054058D" w14:paraId="03F5A05B" w14:textId="77777777" w:rsidTr="00285B11">
        <w:trPr>
          <w:cantSplit/>
        </w:trPr>
        <w:tc>
          <w:tcPr>
            <w:tcW w:w="883" w:type="pct"/>
            <w:tcBorders>
              <w:top w:val="single" w:sz="12" w:space="0" w:color="000000"/>
            </w:tcBorders>
            <w:shd w:val="clear" w:color="auto" w:fill="auto"/>
          </w:tcPr>
          <w:p w14:paraId="03F5A057" w14:textId="77777777" w:rsidR="00391D64" w:rsidRPr="00285B11" w:rsidRDefault="00EB38E1" w:rsidP="00285B11">
            <w:pPr>
              <w:pStyle w:val="TableText"/>
            </w:pPr>
            <w:r w:rsidRPr="00285B11">
              <w:t>Poultry</w:t>
            </w:r>
          </w:p>
        </w:tc>
        <w:tc>
          <w:tcPr>
            <w:tcW w:w="1666" w:type="pct"/>
            <w:tcBorders>
              <w:top w:val="single" w:sz="12" w:space="0" w:color="000000"/>
            </w:tcBorders>
            <w:shd w:val="clear" w:color="auto" w:fill="auto"/>
          </w:tcPr>
          <w:p w14:paraId="03F5A058" w14:textId="77777777" w:rsidR="00391D64" w:rsidRPr="00285B11" w:rsidRDefault="00EB38E1" w:rsidP="004C6E6D">
            <w:pPr>
              <w:pStyle w:val="TableText"/>
              <w:tabs>
                <w:tab w:val="decimal" w:pos="1473"/>
              </w:tabs>
            </w:pPr>
            <w:r w:rsidRPr="00285B11">
              <w:t>100</w:t>
            </w:r>
          </w:p>
        </w:tc>
        <w:tc>
          <w:tcPr>
            <w:tcW w:w="883" w:type="pct"/>
            <w:tcBorders>
              <w:top w:val="single" w:sz="12" w:space="0" w:color="000000"/>
            </w:tcBorders>
            <w:shd w:val="clear" w:color="auto" w:fill="auto"/>
          </w:tcPr>
          <w:p w14:paraId="03F5A059" w14:textId="77777777" w:rsidR="00391D64" w:rsidRPr="00285B11" w:rsidRDefault="00EB38E1" w:rsidP="004C6E6D">
            <w:pPr>
              <w:pStyle w:val="TableText"/>
              <w:jc w:val="center"/>
            </w:pPr>
            <w:r w:rsidRPr="00285B11">
              <w:t>10</w:t>
            </w:r>
          </w:p>
        </w:tc>
        <w:tc>
          <w:tcPr>
            <w:tcW w:w="1568" w:type="pct"/>
            <w:tcBorders>
              <w:top w:val="single" w:sz="12" w:space="0" w:color="000000"/>
            </w:tcBorders>
            <w:shd w:val="clear" w:color="auto" w:fill="auto"/>
          </w:tcPr>
          <w:p w14:paraId="03F5A05A" w14:textId="77777777" w:rsidR="00391D64" w:rsidRPr="00285B11" w:rsidRDefault="00EB38E1" w:rsidP="004C6E6D">
            <w:pPr>
              <w:pStyle w:val="TableText"/>
              <w:jc w:val="center"/>
            </w:pPr>
            <w:r w:rsidRPr="00285B11">
              <w:t>0.038</w:t>
            </w:r>
          </w:p>
        </w:tc>
      </w:tr>
      <w:tr w:rsidR="0054058D" w14:paraId="03F5A060" w14:textId="77777777" w:rsidTr="00285B11">
        <w:trPr>
          <w:cantSplit/>
        </w:trPr>
        <w:tc>
          <w:tcPr>
            <w:tcW w:w="883" w:type="pct"/>
            <w:shd w:val="clear" w:color="auto" w:fill="auto"/>
          </w:tcPr>
          <w:p w14:paraId="03F5A05C" w14:textId="77777777" w:rsidR="00391D64" w:rsidRPr="00285B11" w:rsidRDefault="00EB38E1" w:rsidP="00285B11">
            <w:pPr>
              <w:pStyle w:val="TableText"/>
            </w:pPr>
            <w:r w:rsidRPr="00285B11">
              <w:t>Horse</w:t>
            </w:r>
            <w:r w:rsidR="00900FD7">
              <w:t>s</w:t>
            </w:r>
          </w:p>
        </w:tc>
        <w:tc>
          <w:tcPr>
            <w:tcW w:w="1666" w:type="pct"/>
            <w:shd w:val="clear" w:color="auto" w:fill="auto"/>
          </w:tcPr>
          <w:p w14:paraId="03F5A05D" w14:textId="77777777" w:rsidR="00391D64" w:rsidRPr="00285B11" w:rsidRDefault="00EB38E1" w:rsidP="004C6E6D">
            <w:pPr>
              <w:pStyle w:val="TableText"/>
              <w:tabs>
                <w:tab w:val="decimal" w:pos="1473"/>
              </w:tabs>
            </w:pPr>
            <w:r w:rsidRPr="00285B11">
              <w:t>5</w:t>
            </w:r>
            <w:r w:rsidRPr="00285B11">
              <w:rPr>
                <w:vertAlign w:val="superscript"/>
              </w:rPr>
              <w:t xml:space="preserve"> </w:t>
            </w:r>
          </w:p>
        </w:tc>
        <w:tc>
          <w:tcPr>
            <w:tcW w:w="883" w:type="pct"/>
            <w:shd w:val="clear" w:color="auto" w:fill="auto"/>
          </w:tcPr>
          <w:p w14:paraId="03F5A05E" w14:textId="77777777" w:rsidR="00391D64" w:rsidRPr="00AE4D6F" w:rsidRDefault="00EB38E1" w:rsidP="004C6E6D">
            <w:pPr>
              <w:pStyle w:val="TableText"/>
              <w:jc w:val="center"/>
            </w:pPr>
            <w:r w:rsidRPr="00285B11">
              <w:t>10</w:t>
            </w:r>
          </w:p>
        </w:tc>
        <w:tc>
          <w:tcPr>
            <w:tcW w:w="1568" w:type="pct"/>
            <w:shd w:val="clear" w:color="auto" w:fill="auto"/>
          </w:tcPr>
          <w:p w14:paraId="03F5A05F" w14:textId="77777777" w:rsidR="00391D64" w:rsidRPr="00285B11" w:rsidRDefault="00EB38E1" w:rsidP="004C6E6D">
            <w:pPr>
              <w:pStyle w:val="TableText"/>
              <w:jc w:val="center"/>
            </w:pPr>
            <w:r w:rsidRPr="00285B11">
              <w:t>0.029</w:t>
            </w:r>
          </w:p>
        </w:tc>
      </w:tr>
      <w:tr w:rsidR="0054058D" w14:paraId="03F5A065" w14:textId="77777777" w:rsidTr="00285B11">
        <w:trPr>
          <w:cantSplit/>
        </w:trPr>
        <w:tc>
          <w:tcPr>
            <w:tcW w:w="883" w:type="pct"/>
            <w:shd w:val="clear" w:color="auto" w:fill="auto"/>
          </w:tcPr>
          <w:p w14:paraId="03F5A061" w14:textId="77777777" w:rsidR="00391D64" w:rsidRPr="00285B11" w:rsidRDefault="00EB38E1" w:rsidP="00285B11">
            <w:pPr>
              <w:pStyle w:val="TableText"/>
              <w:rPr>
                <w:vertAlign w:val="superscript"/>
              </w:rPr>
            </w:pPr>
            <w:r>
              <w:t>Pigs</w:t>
            </w:r>
          </w:p>
        </w:tc>
        <w:tc>
          <w:tcPr>
            <w:tcW w:w="1666" w:type="pct"/>
            <w:shd w:val="clear" w:color="auto" w:fill="auto"/>
          </w:tcPr>
          <w:p w14:paraId="03F5A062" w14:textId="77777777" w:rsidR="00391D64" w:rsidRPr="00285B11" w:rsidRDefault="00EB38E1" w:rsidP="004C6E6D">
            <w:pPr>
              <w:pStyle w:val="TableText"/>
              <w:tabs>
                <w:tab w:val="decimal" w:pos="1473"/>
              </w:tabs>
            </w:pPr>
            <w:r w:rsidRPr="00285B11">
              <w:t>150</w:t>
            </w:r>
          </w:p>
        </w:tc>
        <w:tc>
          <w:tcPr>
            <w:tcW w:w="883" w:type="pct"/>
            <w:shd w:val="clear" w:color="auto" w:fill="auto"/>
          </w:tcPr>
          <w:p w14:paraId="03F5A063" w14:textId="77777777" w:rsidR="00391D64" w:rsidRPr="00285B11" w:rsidRDefault="00EB38E1" w:rsidP="004C6E6D">
            <w:pPr>
              <w:pStyle w:val="TableText"/>
              <w:jc w:val="center"/>
            </w:pPr>
            <w:r w:rsidRPr="00285B11">
              <w:t>10</w:t>
            </w:r>
          </w:p>
        </w:tc>
        <w:tc>
          <w:tcPr>
            <w:tcW w:w="1568" w:type="pct"/>
            <w:shd w:val="clear" w:color="auto" w:fill="auto"/>
          </w:tcPr>
          <w:p w14:paraId="03F5A064" w14:textId="47A372DD" w:rsidR="00391D64" w:rsidRPr="00285B11" w:rsidRDefault="00EB38E1" w:rsidP="004C6E6D">
            <w:pPr>
              <w:pStyle w:val="TableText"/>
              <w:jc w:val="center"/>
            </w:pPr>
            <w:r w:rsidRPr="00285B11">
              <w:t>0.58</w:t>
            </w:r>
            <w:r w:rsidR="00096362">
              <w:t>0</w:t>
            </w:r>
          </w:p>
        </w:tc>
      </w:tr>
      <w:tr w:rsidR="0054058D" w14:paraId="03F5A06A" w14:textId="77777777" w:rsidTr="00285B11">
        <w:trPr>
          <w:cantSplit/>
        </w:trPr>
        <w:tc>
          <w:tcPr>
            <w:tcW w:w="883" w:type="pct"/>
            <w:tcBorders>
              <w:bottom w:val="single" w:sz="4" w:space="0" w:color="000000"/>
            </w:tcBorders>
            <w:shd w:val="clear" w:color="auto" w:fill="auto"/>
          </w:tcPr>
          <w:p w14:paraId="03F5A066" w14:textId="77777777" w:rsidR="00391D64" w:rsidRPr="00285B11" w:rsidRDefault="00EB38E1" w:rsidP="00285B11">
            <w:pPr>
              <w:pStyle w:val="TableText"/>
            </w:pPr>
            <w:r w:rsidRPr="00285B11">
              <w:t>Cattle</w:t>
            </w:r>
          </w:p>
        </w:tc>
        <w:tc>
          <w:tcPr>
            <w:tcW w:w="1666" w:type="pct"/>
            <w:tcBorders>
              <w:bottom w:val="single" w:sz="4" w:space="0" w:color="000000"/>
            </w:tcBorders>
            <w:shd w:val="clear" w:color="auto" w:fill="auto"/>
          </w:tcPr>
          <w:p w14:paraId="03F5A067" w14:textId="77777777" w:rsidR="00391D64" w:rsidRPr="00285B11" w:rsidRDefault="00EB38E1" w:rsidP="004C6E6D">
            <w:pPr>
              <w:pStyle w:val="TableText"/>
              <w:tabs>
                <w:tab w:val="decimal" w:pos="1473"/>
              </w:tabs>
            </w:pPr>
            <w:r w:rsidRPr="00285B11">
              <w:t>5</w:t>
            </w:r>
          </w:p>
        </w:tc>
        <w:tc>
          <w:tcPr>
            <w:tcW w:w="883" w:type="pct"/>
            <w:tcBorders>
              <w:bottom w:val="single" w:sz="4" w:space="0" w:color="000000"/>
            </w:tcBorders>
            <w:shd w:val="clear" w:color="auto" w:fill="auto"/>
          </w:tcPr>
          <w:p w14:paraId="03F5A068" w14:textId="77777777" w:rsidR="00391D64" w:rsidRPr="00285B11" w:rsidRDefault="00EB38E1" w:rsidP="004C6E6D">
            <w:pPr>
              <w:pStyle w:val="TableText"/>
              <w:jc w:val="center"/>
            </w:pPr>
            <w:r w:rsidRPr="00285B11">
              <w:t>10</w:t>
            </w:r>
          </w:p>
        </w:tc>
        <w:tc>
          <w:tcPr>
            <w:tcW w:w="1568" w:type="pct"/>
            <w:tcBorders>
              <w:bottom w:val="single" w:sz="4" w:space="0" w:color="000000"/>
            </w:tcBorders>
            <w:shd w:val="clear" w:color="auto" w:fill="auto"/>
          </w:tcPr>
          <w:p w14:paraId="03F5A069" w14:textId="77777777" w:rsidR="00391D64" w:rsidRPr="00285B11" w:rsidRDefault="00EB38E1" w:rsidP="004C6E6D">
            <w:pPr>
              <w:pStyle w:val="TableText"/>
              <w:jc w:val="center"/>
            </w:pPr>
            <w:r w:rsidRPr="00285B11">
              <w:t>0.024</w:t>
            </w:r>
          </w:p>
        </w:tc>
      </w:tr>
      <w:tr w:rsidR="0054058D" w14:paraId="03F5A06F" w14:textId="77777777" w:rsidTr="00285B11">
        <w:trPr>
          <w:cantSplit/>
        </w:trPr>
        <w:tc>
          <w:tcPr>
            <w:tcW w:w="883" w:type="pct"/>
            <w:tcBorders>
              <w:bottom w:val="single" w:sz="12" w:space="0" w:color="000000"/>
            </w:tcBorders>
            <w:shd w:val="clear" w:color="auto" w:fill="auto"/>
          </w:tcPr>
          <w:p w14:paraId="03F5A06B" w14:textId="77777777" w:rsidR="00391D64" w:rsidRPr="00285B11" w:rsidRDefault="00EB38E1" w:rsidP="00285B11">
            <w:pPr>
              <w:pStyle w:val="TableText"/>
            </w:pPr>
            <w:r w:rsidRPr="00285B11">
              <w:t>Sheep</w:t>
            </w:r>
          </w:p>
        </w:tc>
        <w:tc>
          <w:tcPr>
            <w:tcW w:w="1666" w:type="pct"/>
            <w:tcBorders>
              <w:bottom w:val="single" w:sz="12" w:space="0" w:color="000000"/>
            </w:tcBorders>
            <w:shd w:val="clear" w:color="auto" w:fill="auto"/>
          </w:tcPr>
          <w:p w14:paraId="03F5A06C" w14:textId="77777777" w:rsidR="00391D64" w:rsidRPr="00285B11" w:rsidRDefault="00EB38E1" w:rsidP="004C6E6D">
            <w:pPr>
              <w:pStyle w:val="TableText"/>
              <w:tabs>
                <w:tab w:val="decimal" w:pos="1473"/>
              </w:tabs>
            </w:pPr>
            <w:r w:rsidRPr="00285B11">
              <w:t>5</w:t>
            </w:r>
          </w:p>
        </w:tc>
        <w:tc>
          <w:tcPr>
            <w:tcW w:w="883" w:type="pct"/>
            <w:tcBorders>
              <w:bottom w:val="single" w:sz="12" w:space="0" w:color="000000"/>
            </w:tcBorders>
            <w:shd w:val="clear" w:color="auto" w:fill="auto"/>
          </w:tcPr>
          <w:p w14:paraId="03F5A06D" w14:textId="77777777" w:rsidR="00391D64" w:rsidRPr="00285B11" w:rsidRDefault="00EB38E1" w:rsidP="004C6E6D">
            <w:pPr>
              <w:pStyle w:val="TableText"/>
              <w:jc w:val="center"/>
            </w:pPr>
            <w:r w:rsidRPr="00285B11">
              <w:t>10</w:t>
            </w:r>
          </w:p>
        </w:tc>
        <w:tc>
          <w:tcPr>
            <w:tcW w:w="1568" w:type="pct"/>
            <w:tcBorders>
              <w:bottom w:val="single" w:sz="12" w:space="0" w:color="000000"/>
            </w:tcBorders>
            <w:shd w:val="clear" w:color="auto" w:fill="auto"/>
          </w:tcPr>
          <w:p w14:paraId="03F5A06E" w14:textId="77777777" w:rsidR="00391D64" w:rsidRPr="00285B11" w:rsidRDefault="00EB38E1" w:rsidP="004C6E6D">
            <w:pPr>
              <w:pStyle w:val="TableText"/>
              <w:jc w:val="center"/>
            </w:pPr>
            <w:r w:rsidRPr="00285B11">
              <w:t>0.021</w:t>
            </w:r>
          </w:p>
        </w:tc>
      </w:tr>
    </w:tbl>
    <w:p w14:paraId="03F5A070" w14:textId="77777777" w:rsidR="00C65A4B" w:rsidRDefault="00EB38E1" w:rsidP="00C1087A">
      <w:pPr>
        <w:pStyle w:val="FigureTableNoteSource"/>
      </w:pPr>
      <w:r w:rsidRPr="00900FD7">
        <w:rPr>
          <w:rStyle w:val="Strong"/>
        </w:rPr>
        <w:t>a</w:t>
      </w:r>
      <w:r>
        <w:t xml:space="preserve"> </w:t>
      </w:r>
      <w:r w:rsidR="00900FD7">
        <w:t>M</w:t>
      </w:r>
      <w:r w:rsidR="00900FD7" w:rsidRPr="00900FD7">
        <w:t xml:space="preserve">aximum tolerable dietary </w:t>
      </w:r>
      <w:r w:rsidR="00900FD7">
        <w:t xml:space="preserve">molybdenum </w:t>
      </w:r>
      <w:r w:rsidR="00900FD7" w:rsidRPr="00900FD7">
        <w:t>given in NRC (2005)</w:t>
      </w:r>
      <w:r w:rsidR="00900FD7">
        <w:t>.</w:t>
      </w:r>
    </w:p>
    <w:p w14:paraId="03F5A071" w14:textId="77777777" w:rsidR="00391D64" w:rsidRDefault="00EB38E1" w:rsidP="00C1087A">
      <w:pPr>
        <w:pStyle w:val="FigureTableNoteSource"/>
      </w:pPr>
      <w:r w:rsidRPr="00900FD7">
        <w:rPr>
          <w:rStyle w:val="Strong"/>
        </w:rPr>
        <w:t>b</w:t>
      </w:r>
      <w:r>
        <w:t xml:space="preserve"> Safety factor of 10 was adopted due to possible long-term effects and tissue accumulation.</w:t>
      </w:r>
    </w:p>
    <w:p w14:paraId="03F5A072" w14:textId="478CF750" w:rsidR="003C0778" w:rsidRDefault="003A647C" w:rsidP="000C6B83">
      <w:pPr>
        <w:pStyle w:val="Heading4"/>
        <w:rPr>
          <w:lang w:eastAsia="ja-JP"/>
        </w:rPr>
      </w:pPr>
      <w:bookmarkStart w:id="395" w:name="_Toc134441538"/>
      <w:bookmarkStart w:id="396" w:name="_Toc134441828"/>
      <w:bookmarkStart w:id="397" w:name="_Toc134442349"/>
      <w:bookmarkStart w:id="398" w:name="_Toc134442560"/>
      <w:bookmarkStart w:id="399" w:name="_Toc134441539"/>
      <w:bookmarkStart w:id="400" w:name="_Toc134441829"/>
      <w:bookmarkStart w:id="401" w:name="_Toc134442350"/>
      <w:bookmarkStart w:id="402" w:name="_Toc134442561"/>
      <w:bookmarkStart w:id="403" w:name="_Toc134442351"/>
      <w:bookmarkStart w:id="404" w:name="_Toc141704577"/>
      <w:bookmarkEnd w:id="395"/>
      <w:bookmarkEnd w:id="396"/>
      <w:bookmarkEnd w:id="397"/>
      <w:bookmarkEnd w:id="398"/>
      <w:bookmarkEnd w:id="399"/>
      <w:bookmarkEnd w:id="400"/>
      <w:bookmarkEnd w:id="401"/>
      <w:bookmarkEnd w:id="402"/>
      <w:r>
        <w:rPr>
          <w:lang w:eastAsia="ja-JP"/>
        </w:rPr>
        <w:t>3.3.15</w:t>
      </w:r>
      <w:r>
        <w:rPr>
          <w:lang w:eastAsia="ja-JP"/>
        </w:rPr>
        <w:tab/>
      </w:r>
      <w:r w:rsidR="00EB38E1">
        <w:rPr>
          <w:lang w:eastAsia="ja-JP"/>
        </w:rPr>
        <w:t>Nickel</w:t>
      </w:r>
      <w:bookmarkEnd w:id="403"/>
      <w:bookmarkEnd w:id="404"/>
    </w:p>
    <w:p w14:paraId="03F5A073" w14:textId="7F9FEA1D" w:rsidR="003C0778" w:rsidRDefault="00EB38E1" w:rsidP="00FD2341">
      <w:pPr>
        <w:pStyle w:val="Sectionkeypoints"/>
      </w:pPr>
      <w:bookmarkStart w:id="405" w:name="_Hlk135129613"/>
      <w:r>
        <w:t xml:space="preserve">Nickel concentrations </w:t>
      </w:r>
      <w:r w:rsidR="00AE516A">
        <w:t>&lt;</w:t>
      </w:r>
      <w:r>
        <w:t>1</w:t>
      </w:r>
      <w:r w:rsidR="00C914BE">
        <w:t> </w:t>
      </w:r>
      <w:r>
        <w:t xml:space="preserve">mg/L in livestock drinking water </w:t>
      </w:r>
      <w:r w:rsidR="00AE516A">
        <w:t>should not be harmful to animal health</w:t>
      </w:r>
      <w:r>
        <w:t>.</w:t>
      </w:r>
    </w:p>
    <w:bookmarkEnd w:id="405"/>
    <w:p w14:paraId="03F5A074" w14:textId="77777777" w:rsidR="003C0778" w:rsidRDefault="00EB38E1" w:rsidP="000C6B83">
      <w:pPr>
        <w:pStyle w:val="Heading5"/>
        <w:rPr>
          <w:lang w:eastAsia="ja-JP"/>
        </w:rPr>
      </w:pPr>
      <w:r>
        <w:rPr>
          <w:lang w:eastAsia="ja-JP"/>
        </w:rPr>
        <w:t>Source</w:t>
      </w:r>
    </w:p>
    <w:p w14:paraId="03F5A075" w14:textId="4920F527" w:rsidR="00317004" w:rsidRDefault="00EB38E1" w:rsidP="00C1087A">
      <w:pPr>
        <w:rPr>
          <w:lang w:val="en-GB"/>
        </w:rPr>
      </w:pPr>
      <w:r>
        <w:rPr>
          <w:lang w:val="en-GB"/>
        </w:rPr>
        <w:t>N</w:t>
      </w:r>
      <w:r w:rsidRPr="0056438C">
        <w:rPr>
          <w:lang w:val="en-GB"/>
        </w:rPr>
        <w:t xml:space="preserve">ickel is mainly present in igneous rocks and is ubiquitous in the environment (Scott-Fordsmand &amp; </w:t>
      </w:r>
      <w:r>
        <w:rPr>
          <w:lang w:val="en-GB"/>
        </w:rPr>
        <w:t>Pedersen,</w:t>
      </w:r>
      <w:r w:rsidRPr="0056438C">
        <w:rPr>
          <w:lang w:val="en-GB"/>
        </w:rPr>
        <w:t xml:space="preserve"> 1995).</w:t>
      </w:r>
      <w:r>
        <w:rPr>
          <w:lang w:val="en-GB"/>
        </w:rPr>
        <w:t xml:space="preserve"> </w:t>
      </w:r>
      <w:r w:rsidRPr="0056438C">
        <w:rPr>
          <w:lang w:val="en-GB"/>
        </w:rPr>
        <w:t>Nickel concentrations in soils in Australia range from 5</w:t>
      </w:r>
      <w:r w:rsidR="00CA0583">
        <w:t> </w:t>
      </w:r>
      <w:r w:rsidRPr="0056438C">
        <w:rPr>
          <w:lang w:val="en-GB"/>
        </w:rPr>
        <w:t>mg/kg to 520</w:t>
      </w:r>
      <w:r w:rsidR="00CA0583">
        <w:t> </w:t>
      </w:r>
      <w:r w:rsidRPr="0056438C">
        <w:rPr>
          <w:lang w:val="en-GB"/>
        </w:rPr>
        <w:t>mg/kg with an average</w:t>
      </w:r>
      <w:r>
        <w:rPr>
          <w:lang w:val="en-GB"/>
        </w:rPr>
        <w:t xml:space="preserve"> </w:t>
      </w:r>
      <w:r w:rsidRPr="0056438C">
        <w:rPr>
          <w:lang w:val="en-GB"/>
        </w:rPr>
        <w:t>&lt;100</w:t>
      </w:r>
      <w:r w:rsidR="00DB4D5B">
        <w:t> </w:t>
      </w:r>
      <w:r w:rsidRPr="0056438C">
        <w:rPr>
          <w:lang w:val="en-GB"/>
        </w:rPr>
        <w:t>mg/kg (CSIRO, unpublished).</w:t>
      </w:r>
      <w:r>
        <w:rPr>
          <w:lang w:val="en-GB"/>
        </w:rPr>
        <w:t xml:space="preserve"> In New Zealand</w:t>
      </w:r>
      <w:r w:rsidR="00AD5978">
        <w:rPr>
          <w:lang w:val="en-GB"/>
        </w:rPr>
        <w:t>,</w:t>
      </w:r>
      <w:r>
        <w:rPr>
          <w:lang w:val="en-GB"/>
        </w:rPr>
        <w:t xml:space="preserve"> the median ranges from 1.9 to 27.4</w:t>
      </w:r>
      <w:r w:rsidR="00EB5010">
        <w:rPr>
          <w:lang w:val="en-GB"/>
        </w:rPr>
        <w:t> </w:t>
      </w:r>
      <w:r>
        <w:rPr>
          <w:lang w:val="en-GB"/>
        </w:rPr>
        <w:t>mg/kg and can range up to 154</w:t>
      </w:r>
      <w:r w:rsidR="00AB45C1">
        <w:t> </w:t>
      </w:r>
      <w:r>
        <w:rPr>
          <w:lang w:val="en-GB"/>
        </w:rPr>
        <w:t>mg/kg.</w:t>
      </w:r>
      <w:r w:rsidRPr="0056438C">
        <w:rPr>
          <w:lang w:val="en-GB"/>
        </w:rPr>
        <w:t xml:space="preserve"> Soils developed from serpentine rocks contain much higher nickel</w:t>
      </w:r>
      <w:r>
        <w:rPr>
          <w:lang w:val="en-GB"/>
        </w:rPr>
        <w:t xml:space="preserve"> quantities</w:t>
      </w:r>
      <w:r w:rsidRPr="0056438C">
        <w:rPr>
          <w:lang w:val="en-GB"/>
        </w:rPr>
        <w:t xml:space="preserve"> (400–500</w:t>
      </w:r>
      <w:r w:rsidR="00AB45C1">
        <w:t> </w:t>
      </w:r>
      <w:r w:rsidRPr="0056438C">
        <w:rPr>
          <w:lang w:val="en-GB"/>
        </w:rPr>
        <w:t>mg/kg).</w:t>
      </w:r>
    </w:p>
    <w:p w14:paraId="03F5A076" w14:textId="64B1522F" w:rsidR="003C0778" w:rsidRDefault="00AE7FA2" w:rsidP="00C1087A">
      <w:r w:rsidRPr="00B760DA">
        <w:rPr>
          <w:lang w:val="en-GB"/>
        </w:rPr>
        <w:lastRenderedPageBreak/>
        <w:t xml:space="preserve">Nickel </w:t>
      </w:r>
      <w:r w:rsidR="00496DAA" w:rsidRPr="00B760DA">
        <w:rPr>
          <w:lang w:val="en-GB"/>
        </w:rPr>
        <w:t>usually</w:t>
      </w:r>
      <w:r w:rsidRPr="00B760DA">
        <w:rPr>
          <w:lang w:val="en-GB"/>
        </w:rPr>
        <w:t xml:space="preserve"> enter</w:t>
      </w:r>
      <w:r w:rsidR="00496DAA" w:rsidRPr="00B760DA">
        <w:rPr>
          <w:lang w:val="en-GB"/>
        </w:rPr>
        <w:t>s natural waters</w:t>
      </w:r>
      <w:r w:rsidRPr="00B760DA">
        <w:rPr>
          <w:lang w:val="en-GB"/>
        </w:rPr>
        <w:t xml:space="preserve"> through weathering of minerals and rocks. </w:t>
      </w:r>
      <w:r w:rsidR="00EB38E1" w:rsidRPr="00B760DA">
        <w:rPr>
          <w:lang w:val="en-GB"/>
        </w:rPr>
        <w:t>The</w:t>
      </w:r>
      <w:r w:rsidR="00EB38E1">
        <w:t xml:space="preserve"> concentration of nickel in natural waters is usually </w:t>
      </w:r>
      <w:r w:rsidR="00EA07A6">
        <w:t>&lt;</w:t>
      </w:r>
      <w:r w:rsidR="00EB38E1">
        <w:t>0.01</w:t>
      </w:r>
      <w:r w:rsidR="003835F5">
        <w:t> </w:t>
      </w:r>
      <w:r w:rsidR="00EB38E1">
        <w:t>mg/L</w:t>
      </w:r>
      <w:r w:rsidR="00E36FBD">
        <w:t>,</w:t>
      </w:r>
      <w:r w:rsidR="00EB38E1">
        <w:t xml:space="preserve"> unless contaminated by industrial waste, fallout from burning fossil fuels or the corrosion of nickel-plated plumbing fittings (NHMRC &amp; ARMCANZ 1996, Galvin 1996).</w:t>
      </w:r>
    </w:p>
    <w:p w14:paraId="03F5A077" w14:textId="77777777" w:rsidR="00131E39" w:rsidRDefault="00EB38E1" w:rsidP="000C6B83">
      <w:pPr>
        <w:pStyle w:val="Heading5"/>
        <w:rPr>
          <w:lang w:eastAsia="ja-JP"/>
        </w:rPr>
      </w:pPr>
      <w:r>
        <w:rPr>
          <w:lang w:eastAsia="ja-JP"/>
        </w:rPr>
        <w:t>Effects on a</w:t>
      </w:r>
      <w:r w:rsidRPr="004508FF">
        <w:rPr>
          <w:lang w:eastAsia="ja-JP"/>
        </w:rPr>
        <w:t>nimal health</w:t>
      </w:r>
    </w:p>
    <w:p w14:paraId="03F5A078" w14:textId="77777777" w:rsidR="003C0778" w:rsidRDefault="00EB38E1" w:rsidP="00C1087A">
      <w:r>
        <w:t xml:space="preserve">Nickel is </w:t>
      </w:r>
      <w:r w:rsidR="00E36FBD">
        <w:t xml:space="preserve">an </w:t>
      </w:r>
      <w:r>
        <w:t xml:space="preserve">essential </w:t>
      </w:r>
      <w:r w:rsidR="00E36FBD">
        <w:t xml:space="preserve">element in </w:t>
      </w:r>
      <w:r>
        <w:t xml:space="preserve">animal nutrition and is seldom </w:t>
      </w:r>
      <w:r w:rsidRPr="00C95D78">
        <w:t>toxic (NRC</w:t>
      </w:r>
      <w:r w:rsidR="00087FC0" w:rsidRPr="00C95D78">
        <w:t>C</w:t>
      </w:r>
      <w:r w:rsidRPr="00C95D78">
        <w:t xml:space="preserve"> 1981). </w:t>
      </w:r>
      <w:r>
        <w:t xml:space="preserve">Nickel </w:t>
      </w:r>
      <w:r w:rsidR="008927F6">
        <w:t>concentrations</w:t>
      </w:r>
      <w:r>
        <w:t xml:space="preserve"> of 0.05–0.08</w:t>
      </w:r>
      <w:r w:rsidR="00484E1F">
        <w:t> </w:t>
      </w:r>
      <w:r>
        <w:t xml:space="preserve">mg/kg in the diet are regarded as essential (Hart 1982). Nickel deficiency can cause pigmentation changes and dermatitis of the shank skin in chickens. Effects of nickel deficiency on reproduction in pigs have been </w:t>
      </w:r>
      <w:r w:rsidRPr="00F670F0">
        <w:t>reported (</w:t>
      </w:r>
      <w:r w:rsidR="00C41A3F" w:rsidRPr="00F670F0">
        <w:t xml:space="preserve">Anke et al. 1974, </w:t>
      </w:r>
      <w:r w:rsidRPr="00177FCA">
        <w:t xml:space="preserve">Nielsen &amp; </w:t>
      </w:r>
      <w:proofErr w:type="spellStart"/>
      <w:r w:rsidRPr="00177FCA">
        <w:t>Ollerich</w:t>
      </w:r>
      <w:proofErr w:type="spellEnd"/>
      <w:r w:rsidRPr="00177FCA">
        <w:t xml:space="preserve"> 1974).</w:t>
      </w:r>
    </w:p>
    <w:p w14:paraId="03F5A079" w14:textId="77777777" w:rsidR="003C0778" w:rsidRDefault="00EB38E1" w:rsidP="00C1087A">
      <w:r>
        <w:t>Growth reduction in calves was induced by adding nickel salts to the diet at concentrations of 250</w:t>
      </w:r>
      <w:r w:rsidR="00C752E5">
        <w:t> </w:t>
      </w:r>
      <w:r w:rsidRPr="0021417B">
        <w:t>mg/kg (O’Dell et al. 1970). A</w:t>
      </w:r>
      <w:r>
        <w:t xml:space="preserve"> concentration of 5</w:t>
      </w:r>
      <w:r w:rsidR="006B51EB">
        <w:t> </w:t>
      </w:r>
      <w:r>
        <w:t xml:space="preserve">mg/L (as nickel acetate) in the drinking water of mice applied over a lifetime was not </w:t>
      </w:r>
      <w:r w:rsidRPr="00DD527C">
        <w:t>toxic (Schroeder et al. 1964),</w:t>
      </w:r>
      <w:r>
        <w:t xml:space="preserve"> whereas nickel chloride at 5</w:t>
      </w:r>
      <w:r w:rsidR="006B51EB">
        <w:t> </w:t>
      </w:r>
      <w:r>
        <w:t xml:space="preserve">mg/L in the drinking water of rats </w:t>
      </w:r>
      <w:r w:rsidR="00D76E37">
        <w:t xml:space="preserve">over </w:t>
      </w:r>
      <w:r w:rsidR="00F62F67">
        <w:t xml:space="preserve">3 </w:t>
      </w:r>
      <w:r>
        <w:t xml:space="preserve">generations resulted in increased perinatal mortality and an increased number of </w:t>
      </w:r>
      <w:r w:rsidRPr="00DD527C">
        <w:t>runts (Schroeder &amp; Mitchener 1971).</w:t>
      </w:r>
    </w:p>
    <w:p w14:paraId="03F5A07A" w14:textId="77777777" w:rsidR="00AD38A0" w:rsidRPr="00AD38A0" w:rsidRDefault="00EB38E1" w:rsidP="000C6B83">
      <w:pPr>
        <w:pStyle w:val="Heading5"/>
        <w:rPr>
          <w:lang w:eastAsia="ja-JP"/>
        </w:rPr>
      </w:pPr>
      <w:r w:rsidRPr="00AD38A0">
        <w:rPr>
          <w:lang w:eastAsia="ja-JP"/>
        </w:rPr>
        <w:t>Derivation of guideline values</w:t>
      </w:r>
    </w:p>
    <w:p w14:paraId="03F5A07B" w14:textId="0CA051B3" w:rsidR="003C0778" w:rsidRDefault="00EB38E1" w:rsidP="00C1087A">
      <w:r>
        <w:t xml:space="preserve">The ANZECC (1992) guideline </w:t>
      </w:r>
      <w:r w:rsidR="00D76E37">
        <w:t>value of 1 mg/L of nickel in livestock drinking water</w:t>
      </w:r>
      <w:r>
        <w:t xml:space="preserve"> has been retained until more information becomes available. Th</w:t>
      </w:r>
      <w:r w:rsidR="00D76E37">
        <w:t>is</w:t>
      </w:r>
      <w:r>
        <w:t xml:space="preserve"> value is consistent with </w:t>
      </w:r>
      <w:r w:rsidR="00A56D1C">
        <w:t>nickel</w:t>
      </w:r>
      <w:r w:rsidR="00D76E37">
        <w:t xml:space="preserve"> </w:t>
      </w:r>
      <w:r>
        <w:t>guidelines in Canada (</w:t>
      </w:r>
      <w:r w:rsidR="00DE3A14">
        <w:t xml:space="preserve">CCME </w:t>
      </w:r>
      <w:r w:rsidR="002A3581">
        <w:t>2005</w:t>
      </w:r>
      <w:r>
        <w:t>) and South Africa (DWAF 1996).</w:t>
      </w:r>
    </w:p>
    <w:p w14:paraId="03F5A07C" w14:textId="3938B605" w:rsidR="00B626A5" w:rsidRDefault="003A647C" w:rsidP="000C6B83">
      <w:pPr>
        <w:pStyle w:val="Heading4"/>
        <w:rPr>
          <w:lang w:eastAsia="ja-JP"/>
        </w:rPr>
      </w:pPr>
      <w:bookmarkStart w:id="406" w:name="_Toc134441544"/>
      <w:bookmarkStart w:id="407" w:name="_Toc134441831"/>
      <w:bookmarkStart w:id="408" w:name="_Toc134442352"/>
      <w:bookmarkStart w:id="409" w:name="_Toc134442563"/>
      <w:bookmarkStart w:id="410" w:name="_Toc134441545"/>
      <w:bookmarkStart w:id="411" w:name="_Toc134441832"/>
      <w:bookmarkStart w:id="412" w:name="_Toc134442353"/>
      <w:bookmarkStart w:id="413" w:name="_Toc134442564"/>
      <w:bookmarkStart w:id="414" w:name="_Toc134442354"/>
      <w:bookmarkStart w:id="415" w:name="_Toc141704578"/>
      <w:bookmarkEnd w:id="406"/>
      <w:bookmarkEnd w:id="407"/>
      <w:bookmarkEnd w:id="408"/>
      <w:bookmarkEnd w:id="409"/>
      <w:bookmarkEnd w:id="410"/>
      <w:bookmarkEnd w:id="411"/>
      <w:bookmarkEnd w:id="412"/>
      <w:bookmarkEnd w:id="413"/>
      <w:r>
        <w:rPr>
          <w:lang w:eastAsia="ja-JP"/>
        </w:rPr>
        <w:t>3.3.16</w:t>
      </w:r>
      <w:r>
        <w:rPr>
          <w:lang w:eastAsia="ja-JP"/>
        </w:rPr>
        <w:tab/>
      </w:r>
      <w:r w:rsidR="00EB38E1">
        <w:rPr>
          <w:lang w:eastAsia="ja-JP"/>
        </w:rPr>
        <w:t>Selenium</w:t>
      </w:r>
      <w:bookmarkEnd w:id="414"/>
      <w:bookmarkEnd w:id="415"/>
    </w:p>
    <w:p w14:paraId="03F5A07D" w14:textId="77777777" w:rsidR="00B626A5" w:rsidRDefault="00EB38E1" w:rsidP="00FD2341">
      <w:pPr>
        <w:pStyle w:val="Sectionkeypoints"/>
      </w:pPr>
      <w:bookmarkStart w:id="416" w:name="_Hlk135129661"/>
      <w:r>
        <w:t xml:space="preserve">Selenium concentrations </w:t>
      </w:r>
      <w:r w:rsidR="00380D15">
        <w:rPr>
          <w:rFonts w:cstheme="minorHAnsi"/>
        </w:rPr>
        <w:t>&gt;</w:t>
      </w:r>
      <w:r>
        <w:t>0.02 mg/L in livestock drinking water may be hazardous to animal health.</w:t>
      </w:r>
    </w:p>
    <w:bookmarkEnd w:id="416"/>
    <w:p w14:paraId="03F5A07E" w14:textId="77777777" w:rsidR="00B626A5" w:rsidRDefault="00EB38E1" w:rsidP="000C6B83">
      <w:pPr>
        <w:pStyle w:val="Heading5"/>
        <w:rPr>
          <w:lang w:eastAsia="ja-JP"/>
        </w:rPr>
      </w:pPr>
      <w:r>
        <w:rPr>
          <w:lang w:eastAsia="ja-JP"/>
        </w:rPr>
        <w:t>Source</w:t>
      </w:r>
    </w:p>
    <w:p w14:paraId="03F5A07F" w14:textId="77777777" w:rsidR="00B626A5" w:rsidRDefault="00EB38E1" w:rsidP="00C1087A">
      <w:r>
        <w:t xml:space="preserve">Selenium occurs in the environment in association with metal </w:t>
      </w:r>
      <w:proofErr w:type="spellStart"/>
      <w:r>
        <w:t>sulfides</w:t>
      </w:r>
      <w:proofErr w:type="spellEnd"/>
      <w:r>
        <w:t xml:space="preserve"> and is derived from igneous rocks (</w:t>
      </w:r>
      <w:r w:rsidRPr="00B0286A">
        <w:t>Ehrlich 1990). In</w:t>
      </w:r>
      <w:r>
        <w:t xml:space="preserve"> surface water, selenium is generally present at concentrations </w:t>
      </w:r>
      <w:r w:rsidR="0078215E">
        <w:t>&lt;</w:t>
      </w:r>
      <w:r>
        <w:t>0.01</w:t>
      </w:r>
      <w:r w:rsidR="00AA0654">
        <w:t> </w:t>
      </w:r>
      <w:r>
        <w:t>mg/L, although groundwater may contain up to 1</w:t>
      </w:r>
      <w:r w:rsidR="003F0DEE">
        <w:t> </w:t>
      </w:r>
      <w:r>
        <w:t xml:space="preserve">mg/L, usually in association with </w:t>
      </w:r>
      <w:r w:rsidR="00EE66DE">
        <w:t xml:space="preserve">volcanic </w:t>
      </w:r>
      <w:r>
        <w:t xml:space="preserve">areas (Galvin 1996). Selenium can be released into the environment through the burning of coal and as a discharge from the processing of </w:t>
      </w:r>
      <w:proofErr w:type="spellStart"/>
      <w:r>
        <w:t>sulfide</w:t>
      </w:r>
      <w:proofErr w:type="spellEnd"/>
      <w:r>
        <w:t xml:space="preserve"> ores (NHMRC &amp; ARMCANZ 1996).</w:t>
      </w:r>
    </w:p>
    <w:p w14:paraId="03F5A080" w14:textId="77777777" w:rsidR="00131E39" w:rsidRDefault="00EB38E1" w:rsidP="000C6B83">
      <w:pPr>
        <w:pStyle w:val="Heading5"/>
        <w:rPr>
          <w:lang w:eastAsia="ja-JP"/>
        </w:rPr>
      </w:pPr>
      <w:r>
        <w:rPr>
          <w:lang w:eastAsia="ja-JP"/>
        </w:rPr>
        <w:t>Effects on a</w:t>
      </w:r>
      <w:r w:rsidRPr="004508FF">
        <w:rPr>
          <w:lang w:eastAsia="ja-JP"/>
        </w:rPr>
        <w:t>nimal health</w:t>
      </w:r>
    </w:p>
    <w:p w14:paraId="03F5A081" w14:textId="77777777" w:rsidR="00B626A5" w:rsidRDefault="00EB38E1" w:rsidP="00C1087A">
      <w:r w:rsidRPr="009C6D73">
        <w:t xml:space="preserve">Selenium is </w:t>
      </w:r>
      <w:r w:rsidR="00E36FBD" w:rsidRPr="009C6D73">
        <w:t xml:space="preserve">an </w:t>
      </w:r>
      <w:r w:rsidRPr="009C6D73">
        <w:t xml:space="preserve">essential </w:t>
      </w:r>
      <w:r w:rsidR="00E36FBD" w:rsidRPr="009C6D73">
        <w:t xml:space="preserve">element in </w:t>
      </w:r>
      <w:r w:rsidRPr="009C6D73">
        <w:t xml:space="preserve">animal </w:t>
      </w:r>
      <w:r w:rsidR="00E36FBD" w:rsidRPr="009C6D73">
        <w:t>nutrition</w:t>
      </w:r>
      <w:r w:rsidRPr="009C6D73">
        <w:t>. Diets containing less than 0.02–0.04</w:t>
      </w:r>
      <w:r w:rsidR="006B51EB" w:rsidRPr="009C6D73">
        <w:t> </w:t>
      </w:r>
      <w:r w:rsidRPr="009C6D73">
        <w:t xml:space="preserve">mg/kg </w:t>
      </w:r>
      <w:r w:rsidR="00F03FA1" w:rsidRPr="009C6D73">
        <w:t xml:space="preserve">of selenium </w:t>
      </w:r>
      <w:r w:rsidRPr="009C6D73">
        <w:t xml:space="preserve">can result in deficiency in cattle, sheep, </w:t>
      </w:r>
      <w:proofErr w:type="gramStart"/>
      <w:r w:rsidRPr="009C6D73">
        <w:t>pigs</w:t>
      </w:r>
      <w:proofErr w:type="gramEnd"/>
      <w:r w:rsidRPr="009C6D73">
        <w:t xml:space="preserve"> and poultry (Oldfield et al. 1974, Underwood 1977).</w:t>
      </w:r>
    </w:p>
    <w:p w14:paraId="2B629500" w14:textId="04BD8057" w:rsidR="000179E7" w:rsidRPr="007757EB" w:rsidRDefault="000179E7" w:rsidP="00C1087A">
      <w:r w:rsidRPr="007757EB">
        <w:t xml:space="preserve">Selenium imbalances are common in </w:t>
      </w:r>
      <w:r>
        <w:t>livestock</w:t>
      </w:r>
      <w:r w:rsidRPr="007757EB">
        <w:t>.</w:t>
      </w:r>
      <w:r>
        <w:t xml:space="preserve"> </w:t>
      </w:r>
      <w:r w:rsidRPr="007757EB">
        <w:t>Both acute and chronic selenium toxicosis occasionally result from supplement overdose; chronic selenosis can also occur in areas with high soil selenium bioavailability</w:t>
      </w:r>
      <w:r>
        <w:t xml:space="preserve"> (Bischoff 2022)</w:t>
      </w:r>
      <w:r w:rsidRPr="007757EB">
        <w:t>.</w:t>
      </w:r>
    </w:p>
    <w:p w14:paraId="03F5A082" w14:textId="6BE4D91D" w:rsidR="00B626A5" w:rsidRDefault="00EB38E1" w:rsidP="00C1087A">
      <w:r>
        <w:t xml:space="preserve">At elevated concentrations, selenium is toxic to animals. The threshold </w:t>
      </w:r>
      <w:r w:rsidR="00345997">
        <w:t xml:space="preserve">concentration </w:t>
      </w:r>
      <w:r>
        <w:t>of dietary selenium required to induce toxicity is estimated to be 5</w:t>
      </w:r>
      <w:r w:rsidR="006B51EB">
        <w:t> </w:t>
      </w:r>
      <w:r>
        <w:t>mg/</w:t>
      </w:r>
      <w:r w:rsidRPr="00907317">
        <w:t>kg (Horvath 1976).</w:t>
      </w:r>
      <w:r>
        <w:t xml:space="preserve"> Poisoning of livestock has occurred following ingestion of forage grown in selenium-rich soil </w:t>
      </w:r>
      <w:r w:rsidRPr="00D8408B">
        <w:t>(Johnson 1976).</w:t>
      </w:r>
      <w:r>
        <w:t xml:space="preserve"> The chronic symptoms of selenium poisoning (Alkali Disease) include loss of hair, </w:t>
      </w:r>
      <w:proofErr w:type="gramStart"/>
      <w:r>
        <w:t>lameness</w:t>
      </w:r>
      <w:proofErr w:type="gramEnd"/>
      <w:r>
        <w:t xml:space="preserve"> and decrease</w:t>
      </w:r>
      <w:r w:rsidR="003B34A3">
        <w:t>d</w:t>
      </w:r>
      <w:r>
        <w:t xml:space="preserve"> food intake, which may result in starvation. </w:t>
      </w:r>
      <w:r w:rsidR="00126378">
        <w:t xml:space="preserve">Acute </w:t>
      </w:r>
      <w:r w:rsidR="00F62F67">
        <w:t xml:space="preserve">selenium poisoning </w:t>
      </w:r>
      <w:r w:rsidR="00126378">
        <w:t>results in blindness and often paralysis</w:t>
      </w:r>
      <w:r w:rsidR="008144DC">
        <w:t>, known as ‘blind staggers’</w:t>
      </w:r>
      <w:r w:rsidR="00126378">
        <w:t xml:space="preserve"> (Hart 1982). </w:t>
      </w:r>
      <w:r>
        <w:t>The symptoms of acute selenium poisoning include stumbling, difficulty breathing, diarrhoea and bloat, with death resulting from respiratory failure (NRC 1980</w:t>
      </w:r>
      <w:r w:rsidR="0064370C">
        <w:t>, 2005</w:t>
      </w:r>
      <w:r>
        <w:t>).</w:t>
      </w:r>
    </w:p>
    <w:p w14:paraId="03F5A083" w14:textId="77777777" w:rsidR="00B626A5" w:rsidRDefault="00EB38E1" w:rsidP="00C1087A">
      <w:r>
        <w:lastRenderedPageBreak/>
        <w:t xml:space="preserve">In lactating animals, selenium in milk may lead to the formation of </w:t>
      </w:r>
      <w:proofErr w:type="spellStart"/>
      <w:r>
        <w:t>selenomethionine</w:t>
      </w:r>
      <w:proofErr w:type="spellEnd"/>
      <w:r>
        <w:t xml:space="preserve"> proteins. Milk from cows in areas where selenium poisoning occur</w:t>
      </w:r>
      <w:r w:rsidR="000221B2">
        <w:t>r</w:t>
      </w:r>
      <w:r w:rsidR="009321A6">
        <w:t>ed</w:t>
      </w:r>
      <w:r>
        <w:t xml:space="preserve"> was reported to contain 0.3–1.2</w:t>
      </w:r>
      <w:r w:rsidR="006B51EB">
        <w:t> </w:t>
      </w:r>
      <w:r>
        <w:t>mg/L</w:t>
      </w:r>
      <w:r w:rsidR="006746F9">
        <w:t xml:space="preserve"> of selenium</w:t>
      </w:r>
      <w:r>
        <w:t>; normal concentrations range from 0.003</w:t>
      </w:r>
      <w:r w:rsidR="006746F9">
        <w:t> mg/L to</w:t>
      </w:r>
      <w:r>
        <w:t>0.007</w:t>
      </w:r>
      <w:r w:rsidR="006B51EB">
        <w:t> </w:t>
      </w:r>
      <w:r>
        <w:t>mg/L (</w:t>
      </w:r>
      <w:r w:rsidRPr="00D82148">
        <w:t>Underwood 1971).</w:t>
      </w:r>
    </w:p>
    <w:p w14:paraId="03F5A084" w14:textId="77777777" w:rsidR="00AD38A0" w:rsidRPr="00AD38A0" w:rsidRDefault="00EB38E1" w:rsidP="000C6B83">
      <w:pPr>
        <w:pStyle w:val="Heading5"/>
        <w:rPr>
          <w:lang w:eastAsia="ja-JP"/>
        </w:rPr>
      </w:pPr>
      <w:r w:rsidRPr="00AD38A0">
        <w:rPr>
          <w:lang w:eastAsia="ja-JP"/>
        </w:rPr>
        <w:t>Derivation of guideline values</w:t>
      </w:r>
    </w:p>
    <w:p w14:paraId="03F5A085" w14:textId="1069B45C" w:rsidR="00E36FB2" w:rsidRDefault="00EB38E1" w:rsidP="00C1087A">
      <w:r>
        <w:t xml:space="preserve">In the absence of new </w:t>
      </w:r>
      <w:r w:rsidR="00F52270">
        <w:t>contradicting</w:t>
      </w:r>
      <w:r>
        <w:t xml:space="preserve"> information</w:t>
      </w:r>
      <w:r w:rsidR="00751A70">
        <w:t>,</w:t>
      </w:r>
      <w:r>
        <w:t xml:space="preserve"> the existing guideline</w:t>
      </w:r>
      <w:r w:rsidR="00751A70">
        <w:t xml:space="preserve"> value</w:t>
      </w:r>
      <w:r>
        <w:t xml:space="preserve"> </w:t>
      </w:r>
      <w:r w:rsidR="00751A70">
        <w:t xml:space="preserve">of 0.02 mg/L </w:t>
      </w:r>
      <w:r w:rsidRPr="00F670F0">
        <w:t>(ANZECC 1992)</w:t>
      </w:r>
      <w:r>
        <w:t xml:space="preserve"> </w:t>
      </w:r>
      <w:r w:rsidR="00751A70">
        <w:t xml:space="preserve">for selenium in livestock drinking water </w:t>
      </w:r>
      <w:r>
        <w:t>has been retained. Guidelines in Canada (</w:t>
      </w:r>
      <w:r w:rsidR="00DE3A14">
        <w:t xml:space="preserve">CCME </w:t>
      </w:r>
      <w:r w:rsidR="00A61AD1">
        <w:t>2005</w:t>
      </w:r>
      <w:r>
        <w:t>) and South Africa (DWAF 1996) recommend an upper limit of 0.05</w:t>
      </w:r>
      <w:r w:rsidR="00701DE3">
        <w:t> </w:t>
      </w:r>
      <w:r>
        <w:t>mg/L</w:t>
      </w:r>
      <w:r w:rsidR="00834220">
        <w:t>; however, Olkowski (2009) notes that at this level water contribution to the total selenium intake can be substantial and total dietary selenium intake should be monitored</w:t>
      </w:r>
      <w:r>
        <w:t>.</w:t>
      </w:r>
    </w:p>
    <w:p w14:paraId="03F5A086" w14:textId="748361AF" w:rsidR="003C779D" w:rsidRDefault="003A647C" w:rsidP="000C6B83">
      <w:pPr>
        <w:pStyle w:val="Heading4"/>
        <w:rPr>
          <w:lang w:eastAsia="ja-JP"/>
        </w:rPr>
      </w:pPr>
      <w:bookmarkStart w:id="417" w:name="_Toc134441547"/>
      <w:bookmarkStart w:id="418" w:name="_Toc134441834"/>
      <w:bookmarkStart w:id="419" w:name="_Toc134442355"/>
      <w:bookmarkStart w:id="420" w:name="_Toc134442566"/>
      <w:bookmarkStart w:id="421" w:name="_Toc134441548"/>
      <w:bookmarkStart w:id="422" w:name="_Toc134441835"/>
      <w:bookmarkStart w:id="423" w:name="_Toc134442356"/>
      <w:bookmarkStart w:id="424" w:name="_Toc134442567"/>
      <w:bookmarkStart w:id="425" w:name="_Toc134442357"/>
      <w:bookmarkStart w:id="426" w:name="_Toc141704579"/>
      <w:bookmarkEnd w:id="417"/>
      <w:bookmarkEnd w:id="418"/>
      <w:bookmarkEnd w:id="419"/>
      <w:bookmarkEnd w:id="420"/>
      <w:bookmarkEnd w:id="421"/>
      <w:bookmarkEnd w:id="422"/>
      <w:bookmarkEnd w:id="423"/>
      <w:bookmarkEnd w:id="424"/>
      <w:r>
        <w:rPr>
          <w:lang w:eastAsia="ja-JP"/>
        </w:rPr>
        <w:t>3.3.17</w:t>
      </w:r>
      <w:r>
        <w:rPr>
          <w:lang w:eastAsia="ja-JP"/>
        </w:rPr>
        <w:tab/>
      </w:r>
      <w:r w:rsidR="00EB38E1">
        <w:rPr>
          <w:lang w:eastAsia="ja-JP"/>
        </w:rPr>
        <w:t>Uranium</w:t>
      </w:r>
      <w:bookmarkEnd w:id="425"/>
      <w:bookmarkEnd w:id="426"/>
    </w:p>
    <w:p w14:paraId="03F5A087" w14:textId="77777777" w:rsidR="003C779D" w:rsidRDefault="00EB38E1" w:rsidP="00FD2341">
      <w:pPr>
        <w:pStyle w:val="Sectionkeypoints"/>
      </w:pPr>
      <w:bookmarkStart w:id="427" w:name="_Hlk135129650"/>
      <w:r>
        <w:t>Uranium concentrations &lt;0.2</w:t>
      </w:r>
      <w:r w:rsidR="00996D1A">
        <w:t> </w:t>
      </w:r>
      <w:r>
        <w:t xml:space="preserve">mg/L in livestock drinking water </w:t>
      </w:r>
      <w:r w:rsidR="00D06F7F">
        <w:t>should not be</w:t>
      </w:r>
      <w:r>
        <w:t xml:space="preserve"> harmful to animal health.</w:t>
      </w:r>
    </w:p>
    <w:bookmarkEnd w:id="427"/>
    <w:p w14:paraId="03F5A088" w14:textId="77777777" w:rsidR="003C779D" w:rsidRDefault="00EB38E1" w:rsidP="000C6B83">
      <w:pPr>
        <w:pStyle w:val="Heading5"/>
        <w:rPr>
          <w:lang w:eastAsia="ja-JP"/>
        </w:rPr>
      </w:pPr>
      <w:r>
        <w:rPr>
          <w:lang w:eastAsia="ja-JP"/>
        </w:rPr>
        <w:t>Source</w:t>
      </w:r>
    </w:p>
    <w:p w14:paraId="03F5A089" w14:textId="772D04D7" w:rsidR="00317004" w:rsidRPr="0056438C" w:rsidRDefault="00EB38E1" w:rsidP="00FD2341">
      <w:pPr>
        <w:rPr>
          <w:lang w:val="en-GB"/>
        </w:rPr>
      </w:pPr>
      <w:r w:rsidRPr="0056438C">
        <w:rPr>
          <w:lang w:val="en-GB"/>
        </w:rPr>
        <w:t xml:space="preserve">Uranium is a naturally radioactive element and is a chemically reactive cation forming compounds with anions such as fluoride, </w:t>
      </w:r>
      <w:proofErr w:type="gramStart"/>
      <w:r w:rsidRPr="0056438C">
        <w:rPr>
          <w:lang w:val="en-GB"/>
        </w:rPr>
        <w:t>phosphorus</w:t>
      </w:r>
      <w:proofErr w:type="gramEnd"/>
      <w:r w:rsidRPr="0056438C">
        <w:rPr>
          <w:lang w:val="en-GB"/>
        </w:rPr>
        <w:t xml:space="preserve"> and arsenic.</w:t>
      </w:r>
      <w:r>
        <w:rPr>
          <w:lang w:val="en-GB"/>
        </w:rPr>
        <w:t xml:space="preserve"> </w:t>
      </w:r>
      <w:r w:rsidRPr="00FD2DEA">
        <w:t xml:space="preserve">Uranium may be present in the environment due to leaching from soils, rocks and natural deposits, release in mill tailings, combustion of coal and other fuels, and use of phosphate fertilisers </w:t>
      </w:r>
      <w:r w:rsidRPr="00F43A24">
        <w:fldChar w:fldCharType="begin"/>
      </w:r>
      <w:r>
        <w:instrText xml:space="preserve"> ADDIN ZOTERO_ITEM CSL_CITATION {"citationID":"z8JIfEFm","properties":{"formattedCitation":"(NHMRC and NRMMC, 2011)","plainCitation":"(NHMRC and NRMMC, 2011)","noteIndex":0},"citationItems":[{"id":31763,"uris":["http://zotero.org/users/1938757/items/B4JAB6EL"],"uri":["http://zotero.org/users/1938757/items/B4JAB6EL"],"itemData":{"id":31763,"type":"report","collection-title":"Paper 6. National Water Quality Management Stratergy","event-place":"Commonwealth of Australia, Canberra.","publisher":"National Health and Medical Research Council, National Resource Management Ministerial Council","publisher-place":"Commonwealth of Australia, Canberra.","title":"Australian Drinking Water Guidelines 6 (2018 update to 2011) V. 3.5","URL":"https://www.nhmrc.gov.au/about-us/publications/australian-drinking-water-guidelines#block-views-block-file-attachments-content-block-1","author":[{"family":"NHMRC","given":""},{"family":"NRMMC","given":""}],"accessed":{"date-parts":[["2016",6,27]]},"issued":{"date-parts":[["2011"]],"season":"2018 update"}}}],"schema":"https://github.com/citation-style-language/schema/raw/master/csl-citation.json"} </w:instrText>
      </w:r>
      <w:r w:rsidRPr="00F43A24">
        <w:fldChar w:fldCharType="separate"/>
      </w:r>
      <w:r w:rsidRPr="007C2051">
        <w:rPr>
          <w:rFonts w:ascii="Calibri" w:hAnsi="Calibri" w:cs="Calibri"/>
        </w:rPr>
        <w:t xml:space="preserve">(NHMRC </w:t>
      </w:r>
      <w:r w:rsidR="00563CB6">
        <w:rPr>
          <w:rFonts w:ascii="Calibri" w:hAnsi="Calibri" w:cs="Calibri"/>
        </w:rPr>
        <w:t>&amp;</w:t>
      </w:r>
      <w:r w:rsidR="00563CB6" w:rsidRPr="007C2051">
        <w:rPr>
          <w:rFonts w:ascii="Calibri" w:hAnsi="Calibri" w:cs="Calibri"/>
        </w:rPr>
        <w:t xml:space="preserve"> </w:t>
      </w:r>
      <w:r w:rsidRPr="007C2051">
        <w:rPr>
          <w:rFonts w:ascii="Calibri" w:hAnsi="Calibri" w:cs="Calibri"/>
        </w:rPr>
        <w:t>NRMMC 2011)</w:t>
      </w:r>
      <w:r w:rsidRPr="00F43A24">
        <w:fldChar w:fldCharType="end"/>
      </w:r>
      <w:r w:rsidRPr="00FD2DEA">
        <w:t>. Natural uranium consists almost entirely of the U-238 isotope</w:t>
      </w:r>
      <w:r>
        <w:t>.</w:t>
      </w:r>
    </w:p>
    <w:p w14:paraId="03F5A08A" w14:textId="4238E312" w:rsidR="00317004" w:rsidRPr="0029733E" w:rsidRDefault="00EB38E1" w:rsidP="00FD2341">
      <w:r w:rsidRPr="0029733E">
        <w:t>Typical concentrations of uranium in surface soils range from 0.7–9</w:t>
      </w:r>
      <w:r w:rsidR="00AB45C1">
        <w:t> </w:t>
      </w:r>
      <w:r w:rsidRPr="0029733E">
        <w:t>mg/kg, and as with most other cations, uranium binds strongly to negatively charged soil surfaces.</w:t>
      </w:r>
    </w:p>
    <w:p w14:paraId="03F5A08B" w14:textId="77777777" w:rsidR="003C779D" w:rsidRDefault="00EB38E1" w:rsidP="00C1087A">
      <w:r>
        <w:t>Uranium may be found in natural waters, particularly groundwaters</w:t>
      </w:r>
      <w:r w:rsidR="00505A2E">
        <w:t>,</w:t>
      </w:r>
      <w:r>
        <w:t xml:space="preserve"> </w:t>
      </w:r>
      <w:proofErr w:type="gramStart"/>
      <w:r w:rsidR="00505A2E">
        <w:t xml:space="preserve">as a </w:t>
      </w:r>
      <w:r>
        <w:t>result of</w:t>
      </w:r>
      <w:proofErr w:type="gramEnd"/>
      <w:r>
        <w:t xml:space="preserve"> natural processes or mineral processing.</w:t>
      </w:r>
    </w:p>
    <w:p w14:paraId="03F5A08C" w14:textId="77777777" w:rsidR="00131E39" w:rsidRDefault="00EB38E1" w:rsidP="000C6B83">
      <w:pPr>
        <w:pStyle w:val="Heading5"/>
        <w:rPr>
          <w:lang w:eastAsia="ja-JP"/>
        </w:rPr>
      </w:pPr>
      <w:r>
        <w:rPr>
          <w:lang w:eastAsia="ja-JP"/>
        </w:rPr>
        <w:t>Effects on a</w:t>
      </w:r>
      <w:r w:rsidRPr="004508FF">
        <w:rPr>
          <w:lang w:eastAsia="ja-JP"/>
        </w:rPr>
        <w:t>nimal health</w:t>
      </w:r>
    </w:p>
    <w:p w14:paraId="03F5A08D" w14:textId="54ACCC06" w:rsidR="003C779D" w:rsidRDefault="001C2455" w:rsidP="00C1087A">
      <w:r>
        <w:t xml:space="preserve">While </w:t>
      </w:r>
      <w:r w:rsidR="008D79A9">
        <w:t xml:space="preserve">uranium is usually considered in terms of its radioactive effects (see </w:t>
      </w:r>
      <w:hyperlink w:anchor="_3.5_Radionucleotides_(radiological" w:history="1">
        <w:r w:rsidR="00B829D9" w:rsidRPr="00B829D9">
          <w:rPr>
            <w:rStyle w:val="Hyperlink"/>
          </w:rPr>
          <w:t>Radionucleotides</w:t>
        </w:r>
      </w:hyperlink>
      <w:r w:rsidR="008D79A9">
        <w:t xml:space="preserve">), </w:t>
      </w:r>
      <w:r w:rsidR="008D79A9" w:rsidRPr="00A32DA2">
        <w:t xml:space="preserve">uranium is also a toxic chemical. Ingestion of </w:t>
      </w:r>
      <w:r w:rsidR="00A32DA2">
        <w:t xml:space="preserve">high levels of </w:t>
      </w:r>
      <w:r w:rsidR="008D79A9" w:rsidRPr="00A32DA2">
        <w:t>uranium can cause kidney damage from its chemical properties much sooner than its radioactive properties would cause cancers of the bone or liver (</w:t>
      </w:r>
      <w:r w:rsidR="00D01A8C" w:rsidRPr="00A32DA2">
        <w:t xml:space="preserve">CDC </w:t>
      </w:r>
      <w:r w:rsidR="00694995" w:rsidRPr="00A32DA2">
        <w:t>2022)</w:t>
      </w:r>
      <w:r w:rsidR="008D79A9" w:rsidRPr="00A32DA2">
        <w:t>.</w:t>
      </w:r>
      <w:r w:rsidR="00285CA5">
        <w:t xml:space="preserve"> </w:t>
      </w:r>
      <w:r w:rsidR="00EB38E1">
        <w:t xml:space="preserve">According to </w:t>
      </w:r>
      <w:r w:rsidR="00EB38E1" w:rsidRPr="00A32DA2">
        <w:t>Garner (1963),</w:t>
      </w:r>
      <w:r w:rsidR="00EB38E1">
        <w:t xml:space="preserve"> the minimum concentration of uranium found to cause poisoning was 50</w:t>
      </w:r>
      <w:r w:rsidR="00C14F70">
        <w:t> </w:t>
      </w:r>
      <w:r w:rsidR="00EB38E1">
        <w:t>mg/d</w:t>
      </w:r>
      <w:r w:rsidR="00262E18">
        <w:t>ay</w:t>
      </w:r>
      <w:r w:rsidR="00EB38E1">
        <w:t xml:space="preserve"> for sheep and 400</w:t>
      </w:r>
      <w:r w:rsidR="004A0198">
        <w:t> </w:t>
      </w:r>
      <w:r w:rsidR="00EB38E1">
        <w:t>mg/d</w:t>
      </w:r>
      <w:r w:rsidR="00262E18">
        <w:t>ay</w:t>
      </w:r>
      <w:r w:rsidR="00EB38E1">
        <w:t xml:space="preserve"> for cattle. Phosphorus </w:t>
      </w:r>
      <w:r w:rsidR="00EB38E1" w:rsidRPr="005C3A9D">
        <w:t>supplements fed to dairy cattle may contribute 16</w:t>
      </w:r>
      <w:r w:rsidR="004A0198" w:rsidRPr="005C3A9D">
        <w:t> </w:t>
      </w:r>
      <w:r w:rsidR="00EB38E1" w:rsidRPr="005C3A9D">
        <w:t>mg/d</w:t>
      </w:r>
      <w:r w:rsidR="00262E18" w:rsidRPr="005C3A9D">
        <w:t>ay of</w:t>
      </w:r>
      <w:r w:rsidR="00F237C2" w:rsidRPr="005C3A9D">
        <w:t xml:space="preserve"> </w:t>
      </w:r>
      <w:r w:rsidR="00EB38E1" w:rsidRPr="005C3A9D">
        <w:t>uranium, depending on the source of phosphorus (Reid et al. 1977).</w:t>
      </w:r>
    </w:p>
    <w:p w14:paraId="03F5A08E" w14:textId="77777777" w:rsidR="00AD38A0" w:rsidRPr="00AD38A0" w:rsidRDefault="00EB38E1" w:rsidP="000C6B83">
      <w:pPr>
        <w:pStyle w:val="Heading5"/>
        <w:rPr>
          <w:lang w:eastAsia="ja-JP"/>
        </w:rPr>
      </w:pPr>
      <w:r w:rsidRPr="00AD38A0">
        <w:rPr>
          <w:lang w:eastAsia="ja-JP"/>
        </w:rPr>
        <w:t>Derivation of guideline values</w:t>
      </w:r>
    </w:p>
    <w:p w14:paraId="03F5A08F" w14:textId="1A1AEE4B" w:rsidR="001015C5" w:rsidRDefault="00EB38E1" w:rsidP="00C1087A">
      <w:r>
        <w:t>CCREM (1987</w:t>
      </w:r>
      <w:r w:rsidR="00B86454">
        <w:t xml:space="preserve">, confirmed in </w:t>
      </w:r>
      <w:r w:rsidR="00DE3A14">
        <w:t>CCME</w:t>
      </w:r>
      <w:r w:rsidR="00B86454">
        <w:t xml:space="preserve"> 2005</w:t>
      </w:r>
      <w:r>
        <w:t>) developed a guideline value of 0.2</w:t>
      </w:r>
      <w:r w:rsidR="004A0198">
        <w:t> </w:t>
      </w:r>
      <w:r>
        <w:t xml:space="preserve">mg/L of uranium in livestock drinking water by </w:t>
      </w:r>
      <w:r w:rsidR="00D455AA">
        <w:t>including</w:t>
      </w:r>
      <w:r>
        <w:t xml:space="preserve"> a safety factor, </w:t>
      </w:r>
      <w:r w:rsidR="00D455AA">
        <w:t>estimating the</w:t>
      </w:r>
      <w:r>
        <w:t xml:space="preserve"> allowable intake of uranium through water</w:t>
      </w:r>
      <w:r w:rsidR="00D455AA">
        <w:t>,</w:t>
      </w:r>
      <w:r>
        <w:t xml:space="preserve"> and </w:t>
      </w:r>
      <w:r w:rsidR="00D455AA">
        <w:t xml:space="preserve">estimating </w:t>
      </w:r>
      <w:r>
        <w:t xml:space="preserve">the volume of water </w:t>
      </w:r>
      <w:r w:rsidR="00E36FBD">
        <w:t xml:space="preserve">that </w:t>
      </w:r>
      <w:r>
        <w:t>animals drink.</w:t>
      </w:r>
      <w:r w:rsidR="00EE75BC">
        <w:t xml:space="preserve"> NRC (2005) </w:t>
      </w:r>
      <w:r w:rsidR="00957140">
        <w:t>estimated that the maximum tolerable intake for domestic animals is probably 100</w:t>
      </w:r>
      <w:r w:rsidR="00957140">
        <w:rPr>
          <w:rFonts w:cstheme="minorHAnsi"/>
        </w:rPr>
        <w:t>–4</w:t>
      </w:r>
      <w:r w:rsidR="00957140">
        <w:t>00</w:t>
      </w:r>
      <w:r w:rsidR="00AB45C1">
        <w:t> </w:t>
      </w:r>
      <w:r w:rsidR="00957140">
        <w:t>mg/kg diet and noted that most diets probably do not exceed 3–4</w:t>
      </w:r>
      <w:r w:rsidR="00AB45C1">
        <w:t> </w:t>
      </w:r>
      <w:r w:rsidR="00957140">
        <w:t>mg/kg.</w:t>
      </w:r>
    </w:p>
    <w:p w14:paraId="03F5A090" w14:textId="262FE97C" w:rsidR="00923FBA" w:rsidRDefault="003A647C" w:rsidP="000C6B83">
      <w:pPr>
        <w:pStyle w:val="Heading4"/>
        <w:rPr>
          <w:lang w:eastAsia="ja-JP"/>
        </w:rPr>
      </w:pPr>
      <w:bookmarkStart w:id="428" w:name="_Toc134441553"/>
      <w:bookmarkStart w:id="429" w:name="_Toc134441837"/>
      <w:bookmarkStart w:id="430" w:name="_Toc134442358"/>
      <w:bookmarkStart w:id="431" w:name="_Toc134442569"/>
      <w:bookmarkStart w:id="432" w:name="_Toc134441554"/>
      <w:bookmarkStart w:id="433" w:name="_Toc134441838"/>
      <w:bookmarkStart w:id="434" w:name="_Toc134442359"/>
      <w:bookmarkStart w:id="435" w:name="_Toc134442570"/>
      <w:bookmarkStart w:id="436" w:name="_Toc134442360"/>
      <w:bookmarkStart w:id="437" w:name="_Toc141704580"/>
      <w:bookmarkEnd w:id="428"/>
      <w:bookmarkEnd w:id="429"/>
      <w:bookmarkEnd w:id="430"/>
      <w:bookmarkEnd w:id="431"/>
      <w:bookmarkEnd w:id="432"/>
      <w:bookmarkEnd w:id="433"/>
      <w:bookmarkEnd w:id="434"/>
      <w:bookmarkEnd w:id="435"/>
      <w:r>
        <w:rPr>
          <w:lang w:eastAsia="ja-JP"/>
        </w:rPr>
        <w:t>3.3.18</w:t>
      </w:r>
      <w:r>
        <w:rPr>
          <w:lang w:eastAsia="ja-JP"/>
        </w:rPr>
        <w:tab/>
      </w:r>
      <w:r w:rsidR="00EB38E1">
        <w:rPr>
          <w:lang w:eastAsia="ja-JP"/>
        </w:rPr>
        <w:t>Vanadium</w:t>
      </w:r>
      <w:bookmarkEnd w:id="436"/>
      <w:bookmarkEnd w:id="437"/>
    </w:p>
    <w:p w14:paraId="03F5A091" w14:textId="77777777" w:rsidR="00923FBA" w:rsidRDefault="00EB38E1" w:rsidP="00FD2341">
      <w:pPr>
        <w:pStyle w:val="Sectionkeypoints"/>
      </w:pPr>
      <w:r>
        <w:t xml:space="preserve">Vanadium concentrations </w:t>
      </w:r>
      <w:r w:rsidR="00380D15">
        <w:rPr>
          <w:rFonts w:cstheme="minorHAnsi"/>
        </w:rPr>
        <w:t>&gt;</w:t>
      </w:r>
      <w:r>
        <w:t>0.1</w:t>
      </w:r>
      <w:r w:rsidR="00004DB8">
        <w:t> </w:t>
      </w:r>
      <w:r>
        <w:t>mg/L in livestock drinking water may be hazardous to animal health.</w:t>
      </w:r>
    </w:p>
    <w:p w14:paraId="03F5A092" w14:textId="77777777" w:rsidR="00923FBA" w:rsidRDefault="00EB38E1" w:rsidP="000C6B83">
      <w:pPr>
        <w:pStyle w:val="Heading5"/>
        <w:rPr>
          <w:lang w:eastAsia="ja-JP"/>
        </w:rPr>
      </w:pPr>
      <w:r>
        <w:rPr>
          <w:lang w:eastAsia="ja-JP"/>
        </w:rPr>
        <w:t>Source</w:t>
      </w:r>
    </w:p>
    <w:p w14:paraId="03F5A093" w14:textId="77777777" w:rsidR="005355E0" w:rsidRDefault="00EB38E1" w:rsidP="00C1087A">
      <w:r w:rsidRPr="0056438C">
        <w:rPr>
          <w:lang w:val="en-GB"/>
        </w:rPr>
        <w:t xml:space="preserve">Metallic vanadium does not occur in nature, vanadium being generally present as </w:t>
      </w:r>
      <w:proofErr w:type="spellStart"/>
      <w:r w:rsidRPr="0056438C">
        <w:rPr>
          <w:lang w:val="en-GB"/>
        </w:rPr>
        <w:t>sulfide</w:t>
      </w:r>
      <w:proofErr w:type="spellEnd"/>
      <w:r w:rsidRPr="0056438C">
        <w:rPr>
          <w:lang w:val="en-GB"/>
        </w:rPr>
        <w:t xml:space="preserve"> and calcium salts. </w:t>
      </w:r>
      <w:r w:rsidR="002D2750">
        <w:t>Vanadium salts are soluble in water and do not normally adsorb onto clay particles.</w:t>
      </w:r>
    </w:p>
    <w:p w14:paraId="03F5A094" w14:textId="6716A638" w:rsidR="005355E0" w:rsidRPr="0056438C" w:rsidRDefault="00EB38E1" w:rsidP="00FD2341">
      <w:pPr>
        <w:rPr>
          <w:lang w:val="en-GB"/>
        </w:rPr>
      </w:pPr>
      <w:r w:rsidRPr="00FD2DEA">
        <w:rPr>
          <w:lang w:val="en-GB"/>
        </w:rPr>
        <w:lastRenderedPageBreak/>
        <w:t>Concentrations of vanadium in surface soils range from 5</w:t>
      </w:r>
      <w:r w:rsidR="00CA1A27">
        <w:rPr>
          <w:lang w:val="en-GB"/>
        </w:rPr>
        <w:t xml:space="preserve"> to </w:t>
      </w:r>
      <w:r w:rsidRPr="00FD2DEA">
        <w:rPr>
          <w:lang w:val="en-GB"/>
        </w:rPr>
        <w:t>250</w:t>
      </w:r>
      <w:r w:rsidR="00AB45C1">
        <w:t> </w:t>
      </w:r>
      <w:r w:rsidRPr="00FD2DEA">
        <w:rPr>
          <w:lang w:val="en-GB"/>
        </w:rPr>
        <w:t>mg/kg (Edwards et al.</w:t>
      </w:r>
      <w:r w:rsidRPr="00FD2DEA">
        <w:rPr>
          <w:spacing w:val="-7"/>
          <w:lang w:val="en-GB"/>
        </w:rPr>
        <w:t xml:space="preserve"> </w:t>
      </w:r>
      <w:r w:rsidRPr="00FD2DEA">
        <w:rPr>
          <w:lang w:val="en-GB"/>
        </w:rPr>
        <w:t xml:space="preserve">1995, Olszowy et al. 1995). </w:t>
      </w:r>
      <w:r w:rsidRPr="0056438C">
        <w:rPr>
          <w:lang w:val="en-GB"/>
        </w:rPr>
        <w:t>In Australia</w:t>
      </w:r>
      <w:r>
        <w:rPr>
          <w:lang w:val="en-GB"/>
        </w:rPr>
        <w:t>,</w:t>
      </w:r>
      <w:r w:rsidRPr="0056438C">
        <w:rPr>
          <w:lang w:val="en-GB"/>
        </w:rPr>
        <w:t xml:space="preserve"> the survey of Olszowy et al. (1995) </w:t>
      </w:r>
      <w:r>
        <w:rPr>
          <w:lang w:val="en-GB"/>
        </w:rPr>
        <w:t>found vanadium’s</w:t>
      </w:r>
      <w:r w:rsidRPr="0056438C">
        <w:rPr>
          <w:lang w:val="en-GB"/>
        </w:rPr>
        <w:t xml:space="preserve"> median concentration was 12 mg/kg. Concentrations in uncontaminated surface waters are generally &lt;</w:t>
      </w:r>
      <w:r>
        <w:rPr>
          <w:lang w:val="en-GB"/>
        </w:rPr>
        <w:t>0.000</w:t>
      </w:r>
      <w:r w:rsidRPr="0056438C">
        <w:rPr>
          <w:lang w:val="en-GB"/>
        </w:rPr>
        <w:t>1</w:t>
      </w:r>
      <w:r w:rsidR="00AB45C1">
        <w:t> </w:t>
      </w:r>
      <w:r>
        <w:rPr>
          <w:lang w:val="en-GB"/>
        </w:rPr>
        <w:t>m</w:t>
      </w:r>
      <w:r w:rsidRPr="0056438C">
        <w:rPr>
          <w:lang w:val="en-GB"/>
        </w:rPr>
        <w:t>g/L (DWAF 1996).</w:t>
      </w:r>
    </w:p>
    <w:p w14:paraId="03F5A095" w14:textId="3A956BD8" w:rsidR="00923FBA" w:rsidRDefault="00EB38E1" w:rsidP="00C1087A">
      <w:r>
        <w:t>Vanadium compounds are used as catalysts in many industrial processes</w:t>
      </w:r>
      <w:r w:rsidR="00533ABB">
        <w:t xml:space="preserve"> and livestock can ingest </w:t>
      </w:r>
      <w:r w:rsidR="00B028A1">
        <w:t xml:space="preserve">vanadium </w:t>
      </w:r>
      <w:r w:rsidR="00D91B31">
        <w:t>on contaminated land</w:t>
      </w:r>
      <w:r w:rsidR="002A1034">
        <w:t xml:space="preserve"> (</w:t>
      </w:r>
      <w:r w:rsidR="00CE4ACD">
        <w:t xml:space="preserve">Frank et al. 1996; </w:t>
      </w:r>
      <w:r w:rsidR="002A1034">
        <w:t>Jewell et al. 2022)</w:t>
      </w:r>
      <w:r>
        <w:t>.</w:t>
      </w:r>
    </w:p>
    <w:p w14:paraId="03F5A096" w14:textId="6CF33F34" w:rsidR="00131E39" w:rsidRDefault="00EB38E1" w:rsidP="000C6B83">
      <w:pPr>
        <w:pStyle w:val="Heading5"/>
        <w:rPr>
          <w:lang w:eastAsia="ja-JP"/>
        </w:rPr>
      </w:pPr>
      <w:r>
        <w:rPr>
          <w:lang w:eastAsia="ja-JP"/>
        </w:rPr>
        <w:t>Effects on a</w:t>
      </w:r>
      <w:r w:rsidRPr="004508FF">
        <w:rPr>
          <w:lang w:eastAsia="ja-JP"/>
        </w:rPr>
        <w:t>nimal health</w:t>
      </w:r>
    </w:p>
    <w:p w14:paraId="03F5A097" w14:textId="77777777" w:rsidR="00E36FBD" w:rsidRDefault="00EB38E1">
      <w:r>
        <w:t>Vanadium is toxic to animals at rel</w:t>
      </w:r>
      <w:r w:rsidR="0052057F">
        <w:t>a</w:t>
      </w:r>
      <w:r>
        <w:t>tively low levels.</w:t>
      </w:r>
    </w:p>
    <w:p w14:paraId="03F5A098" w14:textId="4BFB8FD2" w:rsidR="00923FBA" w:rsidRDefault="00EB38E1" w:rsidP="00C1087A">
      <w:r>
        <w:t>The a</w:t>
      </w:r>
      <w:r w:rsidR="002D2750">
        <w:t xml:space="preserve">verage daily intake of </w:t>
      </w:r>
      <w:r w:rsidR="003A0999">
        <w:t>vanadium</w:t>
      </w:r>
      <w:r w:rsidR="002D2750">
        <w:t xml:space="preserve"> in cattle grazing on a </w:t>
      </w:r>
      <w:r w:rsidR="003A0999">
        <w:t>vanadium-</w:t>
      </w:r>
      <w:r w:rsidR="002D2750">
        <w:t>contaminated field was estimated to be 72</w:t>
      </w:r>
      <w:r w:rsidR="004A0198">
        <w:t> </w:t>
      </w:r>
      <w:r w:rsidR="002D2750">
        <w:t>mg</w:t>
      </w:r>
      <w:r w:rsidR="002C715E">
        <w:t>/day/calf</w:t>
      </w:r>
      <w:r w:rsidR="002D2750">
        <w:t xml:space="preserve">. </w:t>
      </w:r>
      <w:r w:rsidR="00942293">
        <w:t>C</w:t>
      </w:r>
      <w:r w:rsidR="002D2750">
        <w:t xml:space="preserve">alves showed signs of stunted growth, pot belly, submandibular oedema, </w:t>
      </w:r>
      <w:proofErr w:type="gramStart"/>
      <w:r w:rsidR="002D2750">
        <w:t>diarrhoea</w:t>
      </w:r>
      <w:proofErr w:type="gramEnd"/>
      <w:r w:rsidR="002D2750">
        <w:t xml:space="preserve"> and some deaths (Gummow et al. 2006).</w:t>
      </w:r>
      <w:r w:rsidR="00E31D01">
        <w:t xml:space="preserve"> Symptoms for </w:t>
      </w:r>
      <w:r w:rsidR="00F1584E">
        <w:t xml:space="preserve">Swedish </w:t>
      </w:r>
      <w:r w:rsidR="00E31D01">
        <w:t xml:space="preserve">cattle grazing on land contaminated with slag </w:t>
      </w:r>
      <w:r w:rsidR="00ED5061">
        <w:t xml:space="preserve">included lethargy, diarrhoea, </w:t>
      </w:r>
      <w:r w:rsidR="009722A6">
        <w:t>i</w:t>
      </w:r>
      <w:r w:rsidR="00ED5061">
        <w:t xml:space="preserve">ncoordination, </w:t>
      </w:r>
      <w:proofErr w:type="gramStart"/>
      <w:r w:rsidR="00ED5061">
        <w:t>paralysis</w:t>
      </w:r>
      <w:proofErr w:type="gramEnd"/>
      <w:r w:rsidR="00ED5061" w:rsidRPr="00ED5061">
        <w:t xml:space="preserve"> </w:t>
      </w:r>
      <w:r w:rsidR="00ED5061">
        <w:t>and abortions (Frank</w:t>
      </w:r>
      <w:r w:rsidR="00BD6DFA">
        <w:t xml:space="preserve"> et al. 1996).</w:t>
      </w:r>
      <w:r w:rsidR="007F7BE3">
        <w:t xml:space="preserve"> </w:t>
      </w:r>
      <w:r w:rsidR="00AB2743">
        <w:t xml:space="preserve">Sheep fed vanadium compounds </w:t>
      </w:r>
      <w:r w:rsidR="00C9370D">
        <w:t xml:space="preserve">had reduced feed intake and diarrhoea at </w:t>
      </w:r>
      <w:r w:rsidR="00B94AF1">
        <w:t>400 mg</w:t>
      </w:r>
      <w:r w:rsidR="00C77A98">
        <w:t>/</w:t>
      </w:r>
      <w:r w:rsidR="00B94AF1">
        <w:t>day, and one fed 550 mg died 3 days after dosing</w:t>
      </w:r>
      <w:r w:rsidR="00C77A98">
        <w:t xml:space="preserve"> (</w:t>
      </w:r>
      <w:proofErr w:type="spellStart"/>
      <w:r w:rsidR="00C77A98">
        <w:t>Handsard</w:t>
      </w:r>
      <w:proofErr w:type="spellEnd"/>
      <w:r w:rsidR="00C77A98">
        <w:t xml:space="preserve"> et al. 1982).</w:t>
      </w:r>
    </w:p>
    <w:p w14:paraId="03F5A09A" w14:textId="3262F029" w:rsidR="00923FBA" w:rsidRDefault="00EB38E1" w:rsidP="00AB2743">
      <w:r>
        <w:t>For poultry, dietary concentrations of 30</w:t>
      </w:r>
      <w:r w:rsidR="004A0198">
        <w:t> </w:t>
      </w:r>
      <w:r>
        <w:t xml:space="preserve">mg/kg </w:t>
      </w:r>
      <w:r w:rsidR="00942293">
        <w:t>of vanadium</w:t>
      </w:r>
      <w:r>
        <w:t xml:space="preserve"> induce</w:t>
      </w:r>
      <w:r w:rsidR="00942293">
        <w:t>d</w:t>
      </w:r>
      <w:r>
        <w:t xml:space="preserve"> toxicity effects including oxidative damage, renal and hepatic </w:t>
      </w:r>
      <w:proofErr w:type="gramStart"/>
      <w:r>
        <w:t>toxicity</w:t>
      </w:r>
      <w:proofErr w:type="gramEnd"/>
      <w:r>
        <w:t xml:space="preserve"> </w:t>
      </w:r>
      <w:r w:rsidRPr="00BD6DFA">
        <w:t>and lesions (Dent et al. 2012</w:t>
      </w:r>
      <w:r w:rsidR="006D6A0C" w:rsidRPr="00BD6DFA">
        <w:t>, Liu et al. 2012</w:t>
      </w:r>
      <w:r w:rsidRPr="00BD6DFA">
        <w:t xml:space="preserve">). According to </w:t>
      </w:r>
      <w:r w:rsidR="00197CEE" w:rsidRPr="00BD6DFA">
        <w:t>v</w:t>
      </w:r>
      <w:r w:rsidRPr="00BD6DFA">
        <w:t xml:space="preserve">an </w:t>
      </w:r>
      <w:proofErr w:type="spellStart"/>
      <w:r w:rsidRPr="00BD6DFA">
        <w:t>Zinderen</w:t>
      </w:r>
      <w:proofErr w:type="spellEnd"/>
      <w:r w:rsidRPr="00BD6DFA">
        <w:t xml:space="preserve"> Bakker and Javorski (1980), reduced</w:t>
      </w:r>
      <w:r>
        <w:t xml:space="preserve"> growth rate resulted when chickens were given diets containing 13</w:t>
      </w:r>
      <w:r w:rsidR="004A0198">
        <w:t> </w:t>
      </w:r>
      <w:r>
        <w:t xml:space="preserve">mg/kg </w:t>
      </w:r>
      <w:r w:rsidR="008F69A1">
        <w:t>of vanadium</w:t>
      </w:r>
      <w:r>
        <w:t>.</w:t>
      </w:r>
    </w:p>
    <w:p w14:paraId="03F5A09B" w14:textId="77777777" w:rsidR="00AD38A0" w:rsidRPr="00AD38A0" w:rsidRDefault="00EB38E1" w:rsidP="000C6B83">
      <w:pPr>
        <w:pStyle w:val="Heading5"/>
        <w:rPr>
          <w:lang w:eastAsia="ja-JP"/>
        </w:rPr>
      </w:pPr>
      <w:r w:rsidRPr="00AD38A0">
        <w:rPr>
          <w:lang w:eastAsia="ja-JP"/>
        </w:rPr>
        <w:t>Derivation of guideline values</w:t>
      </w:r>
    </w:p>
    <w:p w14:paraId="03F5A09C" w14:textId="7F4C7AA9" w:rsidR="00923FBA" w:rsidRDefault="00EB38E1" w:rsidP="00C1087A">
      <w:r>
        <w:t xml:space="preserve">The South African guidelines state that </w:t>
      </w:r>
      <w:r w:rsidR="00E84186">
        <w:t xml:space="preserve">vanadium </w:t>
      </w:r>
      <w:r>
        <w:t xml:space="preserve">interacts with chromium and iron and </w:t>
      </w:r>
      <w:r w:rsidR="00E84186">
        <w:t xml:space="preserve">that </w:t>
      </w:r>
      <w:r>
        <w:t xml:space="preserve">the concentrations of these elements should be considered </w:t>
      </w:r>
      <w:r w:rsidR="00E84186">
        <w:t xml:space="preserve">when </w:t>
      </w:r>
      <w:r>
        <w:t xml:space="preserve">assessing </w:t>
      </w:r>
      <w:r w:rsidR="00E84186">
        <w:t>vanadium</w:t>
      </w:r>
      <w:r>
        <w:t xml:space="preserve"> toxicity (DWAF 1996). The South African guidelines recommend a target water concentration of </w:t>
      </w:r>
      <w:r w:rsidR="00C70139">
        <w:t>&lt;</w:t>
      </w:r>
      <w:r>
        <w:t>1</w:t>
      </w:r>
      <w:r w:rsidR="004A0198">
        <w:t> </w:t>
      </w:r>
      <w:r>
        <w:t>mg/L</w:t>
      </w:r>
      <w:r w:rsidR="00C70139">
        <w:t>,</w:t>
      </w:r>
      <w:r>
        <w:t xml:space="preserve"> with chronic and acute toxicity effects possible at concentrations </w:t>
      </w:r>
      <w:r w:rsidR="00C70139">
        <w:t>&gt;</w:t>
      </w:r>
      <w:r>
        <w:t>2</w:t>
      </w:r>
      <w:r w:rsidR="009B3CBA">
        <w:t> </w:t>
      </w:r>
      <w:r>
        <w:t xml:space="preserve">mg/L. Canada </w:t>
      </w:r>
      <w:r w:rsidR="00C70139">
        <w:t>has</w:t>
      </w:r>
      <w:r>
        <w:t xml:space="preserve"> a limit of 0.1</w:t>
      </w:r>
      <w:r w:rsidR="009B3CBA">
        <w:t> </w:t>
      </w:r>
      <w:r>
        <w:t>mg/L</w:t>
      </w:r>
      <w:r w:rsidR="00797182">
        <w:t xml:space="preserve"> (CCME 2005)</w:t>
      </w:r>
      <w:r>
        <w:t xml:space="preserve">, which is the same as that recommended by the </w:t>
      </w:r>
      <w:r w:rsidR="00010115">
        <w:t xml:space="preserve">United States </w:t>
      </w:r>
      <w:r>
        <w:t xml:space="preserve">(USDA 2009), FAO (Tanji &amp; </w:t>
      </w:r>
      <w:proofErr w:type="spellStart"/>
      <w:r>
        <w:t>Kielen</w:t>
      </w:r>
      <w:proofErr w:type="spellEnd"/>
      <w:r>
        <w:t xml:space="preserve"> 2002), as well as that recommended by Beede (2012) and NRC (2005) for cattle, and van </w:t>
      </w:r>
      <w:proofErr w:type="spellStart"/>
      <w:r>
        <w:t>Heugten</w:t>
      </w:r>
      <w:proofErr w:type="spellEnd"/>
      <w:r>
        <w:t xml:space="preserve"> (</w:t>
      </w:r>
      <w:r w:rsidR="00254357">
        <w:t>2000</w:t>
      </w:r>
      <w:r>
        <w:t xml:space="preserve">) for </w:t>
      </w:r>
      <w:r w:rsidR="00C70139">
        <w:t>pigs</w:t>
      </w:r>
      <w:r>
        <w:t>.</w:t>
      </w:r>
    </w:p>
    <w:p w14:paraId="03F5A09D" w14:textId="4C54B740" w:rsidR="00923FBA" w:rsidRDefault="00EB38E1" w:rsidP="00C1087A">
      <w:r w:rsidRPr="00DC4DFE">
        <w:t>NRC (2005) recommend</w:t>
      </w:r>
      <w:r w:rsidR="00E333E6" w:rsidRPr="00DC4DFE">
        <w:t>s</w:t>
      </w:r>
      <w:r w:rsidRPr="00DC4DFE">
        <w:t xml:space="preserve"> a vanadium </w:t>
      </w:r>
      <w:r w:rsidR="00E333E6" w:rsidRPr="00DC4DFE">
        <w:t xml:space="preserve">concentration </w:t>
      </w:r>
      <w:r w:rsidRPr="00DC4DFE">
        <w:t>in feed of 25</w:t>
      </w:r>
      <w:r w:rsidR="004A0198" w:rsidRPr="00DC4DFE">
        <w:t> </w:t>
      </w:r>
      <w:r w:rsidRPr="00DC4DFE">
        <w:t>mg/kg for poultry (or 5</w:t>
      </w:r>
      <w:r w:rsidR="004A0198" w:rsidRPr="00DC4DFE">
        <w:t> </w:t>
      </w:r>
      <w:r w:rsidRPr="00DC4DFE">
        <w:t xml:space="preserve">mg/kg for laying hens), </w:t>
      </w:r>
      <w:r w:rsidR="00E333E6" w:rsidRPr="00DC4DFE">
        <w:t xml:space="preserve">and </w:t>
      </w:r>
      <w:r w:rsidRPr="00DC4DFE">
        <w:t>50</w:t>
      </w:r>
      <w:r w:rsidR="004A0198" w:rsidRPr="00DC4DFE">
        <w:t> </w:t>
      </w:r>
      <w:r w:rsidRPr="00DC4DFE">
        <w:t>mg/kg for cattle and sheep. It assumes a value of 10</w:t>
      </w:r>
      <w:r w:rsidR="004A0198" w:rsidRPr="00DC4DFE">
        <w:t> </w:t>
      </w:r>
      <w:r w:rsidRPr="00DC4DFE">
        <w:t xml:space="preserve">mg/kg for </w:t>
      </w:r>
      <w:r w:rsidR="00E333E6" w:rsidRPr="00DC4DFE">
        <w:t xml:space="preserve">pigs </w:t>
      </w:r>
      <w:r w:rsidRPr="00DC4DFE">
        <w:t>and horses</w:t>
      </w:r>
      <w:r w:rsidR="00E333E6" w:rsidRPr="00DC4DFE">
        <w:t>,</w:t>
      </w:r>
      <w:r w:rsidRPr="00DC4DFE">
        <w:t xml:space="preserve"> but there </w:t>
      </w:r>
      <w:r w:rsidR="00E333E6" w:rsidRPr="00DC4DFE">
        <w:t>are</w:t>
      </w:r>
      <w:r w:rsidRPr="00DC4DFE">
        <w:t xml:space="preserve"> insufficient data available to set a precise value. These </w:t>
      </w:r>
      <w:r w:rsidR="00E333E6" w:rsidRPr="00DC4DFE">
        <w:t>concentrations</w:t>
      </w:r>
      <w:r w:rsidRPr="00DC4DFE">
        <w:t xml:space="preserve"> were used to calculate </w:t>
      </w:r>
      <w:r w:rsidR="00E333E6" w:rsidRPr="00DC4DFE">
        <w:t xml:space="preserve">the </w:t>
      </w:r>
      <w:r w:rsidRPr="00DC4DFE">
        <w:t xml:space="preserve">guideline values </w:t>
      </w:r>
      <w:r w:rsidR="00E333E6" w:rsidRPr="00DC4DFE">
        <w:t xml:space="preserve">in </w:t>
      </w:r>
      <w:r w:rsidR="007745BC">
        <w:t>Table</w:t>
      </w:r>
      <w:r w:rsidR="00AB45C1">
        <w:t> </w:t>
      </w:r>
      <w:r w:rsidR="007745BC">
        <w:t>3.16</w:t>
      </w:r>
      <w:r w:rsidR="00842CCF" w:rsidRPr="00DC4DFE">
        <w:t xml:space="preserve"> </w:t>
      </w:r>
      <w:r w:rsidR="00E333E6" w:rsidRPr="00DC4DFE">
        <w:t xml:space="preserve">using </w:t>
      </w:r>
      <w:r w:rsidR="00DC4DFE" w:rsidRPr="00FD2341">
        <w:t>E</w:t>
      </w:r>
      <w:r w:rsidR="00E333E6" w:rsidRPr="00DC4DFE">
        <w:t>quation</w:t>
      </w:r>
      <w:r w:rsidR="00AB45C1">
        <w:t> </w:t>
      </w:r>
      <w:r w:rsidR="00DC4DFE" w:rsidRPr="00FD2341">
        <w:t>3.2</w:t>
      </w:r>
      <w:r w:rsidRPr="00DC4DFE">
        <w:t>.</w:t>
      </w:r>
    </w:p>
    <w:p w14:paraId="03F5A09E" w14:textId="7E601676" w:rsidR="00A45DD9" w:rsidRDefault="00EB38E1" w:rsidP="00DF778F">
      <w:pPr>
        <w:pStyle w:val="Caption"/>
      </w:pPr>
      <w:bookmarkStart w:id="438" w:name="_Ref84839980"/>
      <w:bookmarkStart w:id="439" w:name="_Toc148089861"/>
      <w:r>
        <w:t>Table </w:t>
      </w:r>
      <w:r w:rsidR="00257B02">
        <w:t>3.</w:t>
      </w:r>
      <w:bookmarkEnd w:id="438"/>
      <w:r w:rsidR="00842CCF">
        <w:t xml:space="preserve">16 </w:t>
      </w:r>
      <w:r w:rsidR="00923FBA">
        <w:t xml:space="preserve">Calculated guideline values for </w:t>
      </w:r>
      <w:r w:rsidR="00AF5A11">
        <w:t xml:space="preserve">vanadium in livestock drinking </w:t>
      </w:r>
      <w:proofErr w:type="gramStart"/>
      <w:r w:rsidR="00AF5A11">
        <w:t>water</w:t>
      </w:r>
      <w:bookmarkEnd w:id="439"/>
      <w:proofErr w:type="gramEnd"/>
    </w:p>
    <w:tbl>
      <w:tblPr>
        <w:tblW w:w="5000" w:type="pct"/>
        <w:tblBorders>
          <w:top w:val="single" w:sz="4" w:space="0" w:color="000000"/>
          <w:bottom w:val="single" w:sz="4" w:space="0" w:color="000000"/>
          <w:insideH w:val="single" w:sz="4" w:space="0" w:color="000000"/>
        </w:tblBorders>
        <w:tblLook w:val="04A0" w:firstRow="1" w:lastRow="0" w:firstColumn="1" w:lastColumn="0" w:noHBand="0" w:noVBand="1"/>
      </w:tblPr>
      <w:tblGrid>
        <w:gridCol w:w="1602"/>
        <w:gridCol w:w="3022"/>
        <w:gridCol w:w="1602"/>
        <w:gridCol w:w="2844"/>
      </w:tblGrid>
      <w:tr w:rsidR="0054058D" w14:paraId="03F5A0A3" w14:textId="77777777" w:rsidTr="0060291D">
        <w:trPr>
          <w:cantSplit/>
          <w:tblHeader/>
        </w:trPr>
        <w:tc>
          <w:tcPr>
            <w:tcW w:w="883" w:type="pct"/>
            <w:tcBorders>
              <w:top w:val="single" w:sz="12" w:space="0" w:color="000000"/>
              <w:bottom w:val="single" w:sz="12" w:space="0" w:color="000000"/>
            </w:tcBorders>
            <w:shd w:val="clear" w:color="auto" w:fill="auto"/>
          </w:tcPr>
          <w:p w14:paraId="03F5A09F" w14:textId="77777777" w:rsidR="00711392" w:rsidRPr="00494185" w:rsidRDefault="00EB38E1" w:rsidP="00494185">
            <w:pPr>
              <w:pStyle w:val="TableHeading"/>
            </w:pPr>
            <w:r>
              <w:t>Livestock</w:t>
            </w:r>
          </w:p>
        </w:tc>
        <w:tc>
          <w:tcPr>
            <w:tcW w:w="1666" w:type="pct"/>
            <w:tcBorders>
              <w:top w:val="single" w:sz="12" w:space="0" w:color="000000"/>
              <w:bottom w:val="single" w:sz="12" w:space="0" w:color="000000"/>
            </w:tcBorders>
            <w:shd w:val="clear" w:color="auto" w:fill="auto"/>
          </w:tcPr>
          <w:p w14:paraId="03F5A0A0" w14:textId="6906EEB6" w:rsidR="00711392" w:rsidRPr="00494185" w:rsidRDefault="00EB38E1" w:rsidP="004C6E6D">
            <w:pPr>
              <w:pStyle w:val="TableHeading"/>
              <w:jc w:val="center"/>
            </w:pPr>
            <w:r w:rsidRPr="00494185">
              <w:t>Maximum</w:t>
            </w:r>
            <w:r w:rsidR="00292616">
              <w:t xml:space="preserve"> vanadium</w:t>
            </w:r>
            <w:r w:rsidRPr="00494185">
              <w:t xml:space="preserve"> in </w:t>
            </w:r>
            <w:r w:rsidR="00517B0F" w:rsidRPr="00494185">
              <w:t>feed</w:t>
            </w:r>
            <w:r w:rsidR="00517B0F">
              <w:t xml:space="preserve"> </w:t>
            </w:r>
            <w:r w:rsidR="00BA0E36">
              <w:t>(</w:t>
            </w:r>
            <w:r w:rsidR="00BA0E36" w:rsidRPr="00BA0E36">
              <w:t>mg/</w:t>
            </w:r>
            <w:proofErr w:type="gramStart"/>
            <w:r w:rsidR="00BA0E36" w:rsidRPr="00BA0E36">
              <w:t>kg</w:t>
            </w:r>
            <w:r w:rsidR="00BA0E36">
              <w:t>)</w:t>
            </w:r>
            <w:r w:rsidR="007E5516" w:rsidRPr="007E5516">
              <w:rPr>
                <w:rStyle w:val="Strong"/>
                <w:b/>
                <w:vertAlign w:val="superscript"/>
              </w:rPr>
              <w:t>a</w:t>
            </w:r>
            <w:proofErr w:type="gramEnd"/>
          </w:p>
        </w:tc>
        <w:tc>
          <w:tcPr>
            <w:tcW w:w="883" w:type="pct"/>
            <w:tcBorders>
              <w:top w:val="single" w:sz="12" w:space="0" w:color="000000"/>
              <w:bottom w:val="single" w:sz="12" w:space="0" w:color="000000"/>
            </w:tcBorders>
            <w:shd w:val="clear" w:color="auto" w:fill="auto"/>
          </w:tcPr>
          <w:p w14:paraId="03F5A0A1" w14:textId="4A009B80" w:rsidR="00711392" w:rsidRPr="00494185" w:rsidRDefault="00EB38E1" w:rsidP="004C6E6D">
            <w:pPr>
              <w:pStyle w:val="TableHeading"/>
              <w:jc w:val="center"/>
              <w:rPr>
                <w:vertAlign w:val="superscript"/>
              </w:rPr>
            </w:pPr>
            <w:r w:rsidRPr="00494185">
              <w:t xml:space="preserve">Safety </w:t>
            </w:r>
            <w:proofErr w:type="spellStart"/>
            <w:r w:rsidR="00517B0F" w:rsidRPr="00494185">
              <w:t>factor</w:t>
            </w:r>
            <w:r w:rsidR="007E5516" w:rsidRPr="007E5516">
              <w:rPr>
                <w:rStyle w:val="Strong"/>
                <w:b/>
                <w:vertAlign w:val="superscript"/>
              </w:rPr>
              <w:t>b</w:t>
            </w:r>
            <w:proofErr w:type="spellEnd"/>
          </w:p>
        </w:tc>
        <w:tc>
          <w:tcPr>
            <w:tcW w:w="1568" w:type="pct"/>
            <w:tcBorders>
              <w:top w:val="single" w:sz="12" w:space="0" w:color="000000"/>
              <w:bottom w:val="single" w:sz="12" w:space="0" w:color="000000"/>
            </w:tcBorders>
            <w:shd w:val="clear" w:color="auto" w:fill="auto"/>
          </w:tcPr>
          <w:p w14:paraId="03F5A0A2" w14:textId="77777777" w:rsidR="00711392" w:rsidRPr="00494185" w:rsidRDefault="00EB38E1" w:rsidP="004C6E6D">
            <w:pPr>
              <w:pStyle w:val="TableHeading"/>
              <w:jc w:val="center"/>
            </w:pPr>
            <w:r w:rsidRPr="00494185">
              <w:t xml:space="preserve">Calculated </w:t>
            </w:r>
            <w:r w:rsidR="00517B0F" w:rsidRPr="00494185">
              <w:t>guideline value</w:t>
            </w:r>
            <w:r w:rsidR="00517B0F">
              <w:t xml:space="preserve"> </w:t>
            </w:r>
            <w:r w:rsidR="00BA0E36">
              <w:t>(</w:t>
            </w:r>
            <w:r w:rsidR="00BA0E36" w:rsidRPr="00BA0E36">
              <w:t>mg/L</w:t>
            </w:r>
            <w:r w:rsidR="00BA0E36">
              <w:t>)</w:t>
            </w:r>
          </w:p>
        </w:tc>
      </w:tr>
      <w:tr w:rsidR="0054058D" w14:paraId="03F5A0AC" w14:textId="77777777" w:rsidTr="0060291D">
        <w:trPr>
          <w:cantSplit/>
        </w:trPr>
        <w:tc>
          <w:tcPr>
            <w:tcW w:w="883" w:type="pct"/>
            <w:tcBorders>
              <w:top w:val="single" w:sz="12" w:space="0" w:color="000000"/>
            </w:tcBorders>
            <w:shd w:val="clear" w:color="auto" w:fill="auto"/>
          </w:tcPr>
          <w:p w14:paraId="03F5A0A4" w14:textId="77777777" w:rsidR="00711392" w:rsidRDefault="00EB38E1" w:rsidP="00494185">
            <w:pPr>
              <w:pStyle w:val="TableText"/>
            </w:pPr>
            <w:r w:rsidRPr="00494185">
              <w:t>Poultry</w:t>
            </w:r>
          </w:p>
          <w:p w14:paraId="03F5A0A5" w14:textId="77777777" w:rsidR="00AF5A11" w:rsidRPr="00494185" w:rsidRDefault="00EB38E1" w:rsidP="00494185">
            <w:pPr>
              <w:pStyle w:val="TableText"/>
            </w:pPr>
            <w:r>
              <w:t>(</w:t>
            </w:r>
            <w:r w:rsidR="007E5516">
              <w:t>L</w:t>
            </w:r>
            <w:r>
              <w:t>aying hens)</w:t>
            </w:r>
          </w:p>
        </w:tc>
        <w:tc>
          <w:tcPr>
            <w:tcW w:w="1666" w:type="pct"/>
            <w:tcBorders>
              <w:top w:val="single" w:sz="12" w:space="0" w:color="000000"/>
            </w:tcBorders>
            <w:shd w:val="clear" w:color="auto" w:fill="auto"/>
          </w:tcPr>
          <w:p w14:paraId="03F5A0A6" w14:textId="77777777" w:rsidR="00711392" w:rsidRPr="00494185" w:rsidRDefault="00EB38E1" w:rsidP="004C6E6D">
            <w:pPr>
              <w:pStyle w:val="TableText"/>
              <w:jc w:val="center"/>
            </w:pPr>
            <w:r w:rsidRPr="00494185">
              <w:t>25</w:t>
            </w:r>
          </w:p>
          <w:p w14:paraId="03F5A0A7" w14:textId="77777777" w:rsidR="00711392" w:rsidRPr="00494185" w:rsidRDefault="00EB38E1" w:rsidP="004C6E6D">
            <w:pPr>
              <w:pStyle w:val="TableText"/>
              <w:jc w:val="center"/>
            </w:pPr>
            <w:r>
              <w:t>(</w:t>
            </w:r>
            <w:r w:rsidRPr="00494185">
              <w:t>5</w:t>
            </w:r>
            <w:r>
              <w:t>)</w:t>
            </w:r>
          </w:p>
        </w:tc>
        <w:tc>
          <w:tcPr>
            <w:tcW w:w="883" w:type="pct"/>
            <w:tcBorders>
              <w:top w:val="single" w:sz="12" w:space="0" w:color="000000"/>
            </w:tcBorders>
            <w:shd w:val="clear" w:color="auto" w:fill="auto"/>
          </w:tcPr>
          <w:p w14:paraId="03F5A0A8" w14:textId="77777777" w:rsidR="00711392" w:rsidRDefault="00EB38E1" w:rsidP="004C6E6D">
            <w:pPr>
              <w:pStyle w:val="TableText"/>
              <w:jc w:val="center"/>
            </w:pPr>
            <w:r w:rsidRPr="00494185">
              <w:t>3</w:t>
            </w:r>
          </w:p>
          <w:p w14:paraId="03F5A0A9" w14:textId="77777777" w:rsidR="00AF5A11" w:rsidRPr="00494185" w:rsidRDefault="00EB38E1" w:rsidP="004C6E6D">
            <w:pPr>
              <w:pStyle w:val="TableText"/>
              <w:jc w:val="center"/>
            </w:pPr>
            <w:r>
              <w:t>(3)</w:t>
            </w:r>
          </w:p>
        </w:tc>
        <w:tc>
          <w:tcPr>
            <w:tcW w:w="1568" w:type="pct"/>
            <w:tcBorders>
              <w:top w:val="single" w:sz="12" w:space="0" w:color="000000"/>
            </w:tcBorders>
            <w:shd w:val="clear" w:color="auto" w:fill="auto"/>
          </w:tcPr>
          <w:p w14:paraId="03F5A0AA" w14:textId="77777777" w:rsidR="00711392" w:rsidRPr="00494185" w:rsidRDefault="00EB38E1" w:rsidP="004C6E6D">
            <w:pPr>
              <w:pStyle w:val="TableText"/>
              <w:jc w:val="center"/>
            </w:pPr>
            <w:r w:rsidRPr="00494185">
              <w:t>0.63</w:t>
            </w:r>
          </w:p>
          <w:p w14:paraId="03F5A0AB" w14:textId="77777777" w:rsidR="00711392" w:rsidRPr="00494185" w:rsidRDefault="00EB38E1" w:rsidP="004C6E6D">
            <w:pPr>
              <w:pStyle w:val="TableText"/>
              <w:jc w:val="center"/>
            </w:pPr>
            <w:r>
              <w:t>(</w:t>
            </w:r>
            <w:r w:rsidRPr="00494185">
              <w:t>0.13</w:t>
            </w:r>
            <w:r>
              <w:t>)</w:t>
            </w:r>
          </w:p>
        </w:tc>
      </w:tr>
      <w:tr w:rsidR="0054058D" w14:paraId="03F5A0B1" w14:textId="77777777" w:rsidTr="0060291D">
        <w:trPr>
          <w:cantSplit/>
        </w:trPr>
        <w:tc>
          <w:tcPr>
            <w:tcW w:w="883" w:type="pct"/>
            <w:shd w:val="clear" w:color="auto" w:fill="auto"/>
          </w:tcPr>
          <w:p w14:paraId="03F5A0AD" w14:textId="77777777" w:rsidR="00711392" w:rsidRPr="00494185" w:rsidRDefault="00EB38E1" w:rsidP="00494185">
            <w:pPr>
              <w:pStyle w:val="TableText"/>
            </w:pPr>
            <w:r w:rsidRPr="00494185">
              <w:t>Horse</w:t>
            </w:r>
            <w:r w:rsidR="008331C5">
              <w:t>s</w:t>
            </w:r>
          </w:p>
        </w:tc>
        <w:tc>
          <w:tcPr>
            <w:tcW w:w="1666" w:type="pct"/>
            <w:shd w:val="clear" w:color="auto" w:fill="auto"/>
          </w:tcPr>
          <w:p w14:paraId="03F5A0AE" w14:textId="63081591" w:rsidR="00711392" w:rsidRPr="00494185" w:rsidRDefault="00EB38E1" w:rsidP="004C6E6D">
            <w:pPr>
              <w:pStyle w:val="TableText"/>
              <w:jc w:val="center"/>
            </w:pPr>
            <w:r w:rsidRPr="00494185">
              <w:t>10</w:t>
            </w:r>
          </w:p>
        </w:tc>
        <w:tc>
          <w:tcPr>
            <w:tcW w:w="883" w:type="pct"/>
            <w:shd w:val="clear" w:color="auto" w:fill="auto"/>
          </w:tcPr>
          <w:p w14:paraId="03F5A0AF" w14:textId="77777777" w:rsidR="00711392" w:rsidRPr="00494185" w:rsidRDefault="00EB38E1" w:rsidP="004C6E6D">
            <w:pPr>
              <w:pStyle w:val="TableText"/>
              <w:jc w:val="center"/>
              <w:rPr>
                <w:vertAlign w:val="superscript"/>
              </w:rPr>
            </w:pPr>
            <w:r w:rsidRPr="00494185">
              <w:t>3</w:t>
            </w:r>
          </w:p>
        </w:tc>
        <w:tc>
          <w:tcPr>
            <w:tcW w:w="1568" w:type="pct"/>
            <w:shd w:val="clear" w:color="auto" w:fill="auto"/>
          </w:tcPr>
          <w:p w14:paraId="03F5A0B0" w14:textId="77777777" w:rsidR="00711392" w:rsidRPr="00494185" w:rsidRDefault="00EB38E1" w:rsidP="004C6E6D">
            <w:pPr>
              <w:pStyle w:val="TableText"/>
              <w:jc w:val="center"/>
            </w:pPr>
            <w:r w:rsidRPr="00494185">
              <w:t>0.19</w:t>
            </w:r>
          </w:p>
        </w:tc>
      </w:tr>
      <w:tr w:rsidR="0054058D" w14:paraId="03F5A0B6" w14:textId="77777777" w:rsidTr="0060291D">
        <w:trPr>
          <w:cantSplit/>
        </w:trPr>
        <w:tc>
          <w:tcPr>
            <w:tcW w:w="883" w:type="pct"/>
            <w:shd w:val="clear" w:color="auto" w:fill="auto"/>
          </w:tcPr>
          <w:p w14:paraId="03F5A0B2" w14:textId="77777777" w:rsidR="00711392" w:rsidRPr="00494185" w:rsidRDefault="00EB38E1" w:rsidP="00494185">
            <w:pPr>
              <w:pStyle w:val="TableText"/>
              <w:rPr>
                <w:vertAlign w:val="superscript"/>
              </w:rPr>
            </w:pPr>
            <w:r>
              <w:t>Pigs</w:t>
            </w:r>
          </w:p>
        </w:tc>
        <w:tc>
          <w:tcPr>
            <w:tcW w:w="1666" w:type="pct"/>
            <w:shd w:val="clear" w:color="auto" w:fill="auto"/>
          </w:tcPr>
          <w:p w14:paraId="03F5A0B3" w14:textId="77777777" w:rsidR="00711392" w:rsidRPr="00494185" w:rsidRDefault="00EB38E1" w:rsidP="004C6E6D">
            <w:pPr>
              <w:pStyle w:val="TableText"/>
              <w:jc w:val="center"/>
            </w:pPr>
            <w:r w:rsidRPr="00494185">
              <w:t>10</w:t>
            </w:r>
          </w:p>
        </w:tc>
        <w:tc>
          <w:tcPr>
            <w:tcW w:w="883" w:type="pct"/>
            <w:shd w:val="clear" w:color="auto" w:fill="auto"/>
          </w:tcPr>
          <w:p w14:paraId="03F5A0B4" w14:textId="77777777" w:rsidR="00711392" w:rsidRPr="00494185" w:rsidRDefault="00EB38E1" w:rsidP="004C6E6D">
            <w:pPr>
              <w:pStyle w:val="TableText"/>
              <w:jc w:val="center"/>
            </w:pPr>
            <w:r w:rsidRPr="00494185">
              <w:t>3</w:t>
            </w:r>
          </w:p>
        </w:tc>
        <w:tc>
          <w:tcPr>
            <w:tcW w:w="1568" w:type="pct"/>
            <w:shd w:val="clear" w:color="auto" w:fill="auto"/>
          </w:tcPr>
          <w:p w14:paraId="03F5A0B5" w14:textId="77777777" w:rsidR="00711392" w:rsidRPr="00494185" w:rsidRDefault="00EB38E1" w:rsidP="004C6E6D">
            <w:pPr>
              <w:pStyle w:val="TableText"/>
              <w:jc w:val="center"/>
            </w:pPr>
            <w:r w:rsidRPr="00494185">
              <w:t>0.13</w:t>
            </w:r>
          </w:p>
        </w:tc>
      </w:tr>
      <w:tr w:rsidR="0054058D" w14:paraId="03F5A0BB" w14:textId="77777777" w:rsidTr="0060291D">
        <w:trPr>
          <w:cantSplit/>
        </w:trPr>
        <w:tc>
          <w:tcPr>
            <w:tcW w:w="883" w:type="pct"/>
            <w:tcBorders>
              <w:bottom w:val="single" w:sz="4" w:space="0" w:color="000000"/>
            </w:tcBorders>
            <w:shd w:val="clear" w:color="auto" w:fill="auto"/>
          </w:tcPr>
          <w:p w14:paraId="03F5A0B7" w14:textId="77777777" w:rsidR="00711392" w:rsidRPr="00494185" w:rsidRDefault="00EB38E1" w:rsidP="00494185">
            <w:pPr>
              <w:pStyle w:val="TableText"/>
            </w:pPr>
            <w:r w:rsidRPr="00494185">
              <w:t>Cattle</w:t>
            </w:r>
          </w:p>
        </w:tc>
        <w:tc>
          <w:tcPr>
            <w:tcW w:w="1666" w:type="pct"/>
            <w:tcBorders>
              <w:bottom w:val="single" w:sz="4" w:space="0" w:color="000000"/>
            </w:tcBorders>
            <w:shd w:val="clear" w:color="auto" w:fill="auto"/>
          </w:tcPr>
          <w:p w14:paraId="03F5A0B8" w14:textId="77777777" w:rsidR="00711392" w:rsidRPr="00494185" w:rsidRDefault="00EB38E1" w:rsidP="004C6E6D">
            <w:pPr>
              <w:pStyle w:val="TableText"/>
              <w:jc w:val="center"/>
            </w:pPr>
            <w:r w:rsidRPr="00494185">
              <w:t>50</w:t>
            </w:r>
          </w:p>
        </w:tc>
        <w:tc>
          <w:tcPr>
            <w:tcW w:w="883" w:type="pct"/>
            <w:tcBorders>
              <w:bottom w:val="single" w:sz="4" w:space="0" w:color="000000"/>
            </w:tcBorders>
            <w:shd w:val="clear" w:color="auto" w:fill="auto"/>
          </w:tcPr>
          <w:p w14:paraId="03F5A0B9" w14:textId="77777777" w:rsidR="00711392" w:rsidRPr="00494185" w:rsidRDefault="00EB38E1" w:rsidP="004C6E6D">
            <w:pPr>
              <w:pStyle w:val="TableText"/>
              <w:jc w:val="center"/>
            </w:pPr>
            <w:r w:rsidRPr="00494185">
              <w:t>3</w:t>
            </w:r>
          </w:p>
        </w:tc>
        <w:tc>
          <w:tcPr>
            <w:tcW w:w="1568" w:type="pct"/>
            <w:tcBorders>
              <w:bottom w:val="single" w:sz="4" w:space="0" w:color="000000"/>
            </w:tcBorders>
            <w:shd w:val="clear" w:color="auto" w:fill="auto"/>
          </w:tcPr>
          <w:p w14:paraId="03F5A0BA" w14:textId="77777777" w:rsidR="00711392" w:rsidRPr="00494185" w:rsidRDefault="00EB38E1" w:rsidP="004C6E6D">
            <w:pPr>
              <w:pStyle w:val="TableText"/>
              <w:jc w:val="center"/>
            </w:pPr>
            <w:r w:rsidRPr="00494185">
              <w:t>0.78</w:t>
            </w:r>
          </w:p>
        </w:tc>
      </w:tr>
      <w:tr w:rsidR="0054058D" w14:paraId="03F5A0C0" w14:textId="77777777" w:rsidTr="0060291D">
        <w:trPr>
          <w:cantSplit/>
        </w:trPr>
        <w:tc>
          <w:tcPr>
            <w:tcW w:w="883" w:type="pct"/>
            <w:tcBorders>
              <w:bottom w:val="single" w:sz="12" w:space="0" w:color="000000"/>
            </w:tcBorders>
            <w:shd w:val="clear" w:color="auto" w:fill="auto"/>
          </w:tcPr>
          <w:p w14:paraId="03F5A0BC" w14:textId="77777777" w:rsidR="00711392" w:rsidRPr="00494185" w:rsidRDefault="00EB38E1" w:rsidP="00494185">
            <w:pPr>
              <w:pStyle w:val="TableText"/>
            </w:pPr>
            <w:r w:rsidRPr="00494185">
              <w:t>Sheep</w:t>
            </w:r>
          </w:p>
        </w:tc>
        <w:tc>
          <w:tcPr>
            <w:tcW w:w="1666" w:type="pct"/>
            <w:tcBorders>
              <w:bottom w:val="single" w:sz="12" w:space="0" w:color="000000"/>
            </w:tcBorders>
            <w:shd w:val="clear" w:color="auto" w:fill="auto"/>
          </w:tcPr>
          <w:p w14:paraId="03F5A0BD" w14:textId="77777777" w:rsidR="00711392" w:rsidRPr="00494185" w:rsidRDefault="00EB38E1" w:rsidP="004C6E6D">
            <w:pPr>
              <w:pStyle w:val="TableText"/>
              <w:jc w:val="center"/>
            </w:pPr>
            <w:r w:rsidRPr="00494185">
              <w:t>50</w:t>
            </w:r>
          </w:p>
        </w:tc>
        <w:tc>
          <w:tcPr>
            <w:tcW w:w="883" w:type="pct"/>
            <w:tcBorders>
              <w:bottom w:val="single" w:sz="12" w:space="0" w:color="000000"/>
            </w:tcBorders>
            <w:shd w:val="clear" w:color="auto" w:fill="auto"/>
          </w:tcPr>
          <w:p w14:paraId="03F5A0BE" w14:textId="77777777" w:rsidR="00711392" w:rsidRPr="00494185" w:rsidRDefault="00EB38E1" w:rsidP="004C6E6D">
            <w:pPr>
              <w:pStyle w:val="TableText"/>
              <w:jc w:val="center"/>
            </w:pPr>
            <w:r w:rsidRPr="00494185">
              <w:t>3</w:t>
            </w:r>
          </w:p>
        </w:tc>
        <w:tc>
          <w:tcPr>
            <w:tcW w:w="1568" w:type="pct"/>
            <w:tcBorders>
              <w:bottom w:val="single" w:sz="12" w:space="0" w:color="000000"/>
            </w:tcBorders>
            <w:shd w:val="clear" w:color="auto" w:fill="auto"/>
          </w:tcPr>
          <w:p w14:paraId="03F5A0BF" w14:textId="77777777" w:rsidR="00711392" w:rsidRPr="00494185" w:rsidRDefault="00EB38E1" w:rsidP="004C6E6D">
            <w:pPr>
              <w:pStyle w:val="TableText"/>
              <w:jc w:val="center"/>
            </w:pPr>
            <w:r w:rsidRPr="00494185">
              <w:t>0.70</w:t>
            </w:r>
          </w:p>
        </w:tc>
      </w:tr>
    </w:tbl>
    <w:p w14:paraId="03F5A0C1" w14:textId="77777777" w:rsidR="00AF5A11" w:rsidRDefault="00EB38E1" w:rsidP="00C1087A">
      <w:pPr>
        <w:pStyle w:val="FigureTableNoteSource"/>
      </w:pPr>
      <w:r w:rsidRPr="007E5516">
        <w:rPr>
          <w:rStyle w:val="Strong"/>
        </w:rPr>
        <w:t>a</w:t>
      </w:r>
      <w:r>
        <w:t xml:space="preserve"> M</w:t>
      </w:r>
      <w:r w:rsidRPr="00AF5A11">
        <w:t xml:space="preserve">aximum tolerable dietary vanadium </w:t>
      </w:r>
      <w:r w:rsidR="00E469BC">
        <w:t>from</w:t>
      </w:r>
      <w:r w:rsidRPr="00AF5A11">
        <w:t xml:space="preserve"> NRC (2005)</w:t>
      </w:r>
      <w:r w:rsidR="00E469BC">
        <w:t>.</w:t>
      </w:r>
    </w:p>
    <w:p w14:paraId="03F5A0C2" w14:textId="77777777" w:rsidR="00711392" w:rsidRDefault="00EB38E1" w:rsidP="00C1087A">
      <w:pPr>
        <w:pStyle w:val="FigureTableNoteSource"/>
      </w:pPr>
      <w:r w:rsidRPr="007E5516">
        <w:rPr>
          <w:rStyle w:val="Strong"/>
        </w:rPr>
        <w:t>b</w:t>
      </w:r>
      <w:r>
        <w:t xml:space="preserve"> Safety factor of 3 adopted for possible long-term effects.</w:t>
      </w:r>
    </w:p>
    <w:p w14:paraId="03F5A0C3" w14:textId="6A25C725" w:rsidR="00923FBA" w:rsidRDefault="00EB38E1" w:rsidP="00C1087A">
      <w:r>
        <w:t>A guideline value of 0.1</w:t>
      </w:r>
      <w:r w:rsidR="00EB38A7">
        <w:t> </w:t>
      </w:r>
      <w:r>
        <w:t>mg/L is recommended</w:t>
      </w:r>
      <w:r w:rsidR="00055D67">
        <w:t xml:space="preserve"> for vanadium in livestock drinking water</w:t>
      </w:r>
      <w:r>
        <w:t xml:space="preserve">, </w:t>
      </w:r>
      <w:r w:rsidR="00055D67">
        <w:t xml:space="preserve">which is </w:t>
      </w:r>
      <w:r>
        <w:t>in line with the US</w:t>
      </w:r>
      <w:r w:rsidR="00055D67">
        <w:t>A</w:t>
      </w:r>
      <w:r>
        <w:t xml:space="preserve"> and Canada. However, each situation </w:t>
      </w:r>
      <w:r w:rsidR="00C1627D">
        <w:t>requires consideration of</w:t>
      </w:r>
      <w:r>
        <w:t xml:space="preserve"> </w:t>
      </w:r>
      <w:r w:rsidR="00055D67">
        <w:t>livestock type</w:t>
      </w:r>
      <w:r>
        <w:t xml:space="preserve"> and dietary sources of </w:t>
      </w:r>
      <w:r w:rsidR="00055D67">
        <w:t>vanadium</w:t>
      </w:r>
      <w:r>
        <w:t>.</w:t>
      </w:r>
    </w:p>
    <w:p w14:paraId="03F5A0C4" w14:textId="668F11ED" w:rsidR="00E04432" w:rsidRDefault="003A647C" w:rsidP="000C6B83">
      <w:pPr>
        <w:pStyle w:val="Heading4"/>
        <w:rPr>
          <w:lang w:eastAsia="ja-JP"/>
        </w:rPr>
      </w:pPr>
      <w:bookmarkStart w:id="440" w:name="_Toc134441559"/>
      <w:bookmarkStart w:id="441" w:name="_Toc134441840"/>
      <w:bookmarkStart w:id="442" w:name="_Toc134442361"/>
      <w:bookmarkStart w:id="443" w:name="_Toc134442572"/>
      <w:bookmarkStart w:id="444" w:name="_Toc134441560"/>
      <w:bookmarkStart w:id="445" w:name="_Toc134441841"/>
      <w:bookmarkStart w:id="446" w:name="_Toc134442362"/>
      <w:bookmarkStart w:id="447" w:name="_Toc134442573"/>
      <w:bookmarkStart w:id="448" w:name="_Toc134442363"/>
      <w:bookmarkStart w:id="449" w:name="_Toc141704581"/>
      <w:bookmarkEnd w:id="440"/>
      <w:bookmarkEnd w:id="441"/>
      <w:bookmarkEnd w:id="442"/>
      <w:bookmarkEnd w:id="443"/>
      <w:bookmarkEnd w:id="444"/>
      <w:bookmarkEnd w:id="445"/>
      <w:bookmarkEnd w:id="446"/>
      <w:bookmarkEnd w:id="447"/>
      <w:r>
        <w:rPr>
          <w:lang w:eastAsia="ja-JP"/>
        </w:rPr>
        <w:lastRenderedPageBreak/>
        <w:t>3.3.19</w:t>
      </w:r>
      <w:r>
        <w:rPr>
          <w:lang w:eastAsia="ja-JP"/>
        </w:rPr>
        <w:tab/>
      </w:r>
      <w:r w:rsidR="00EB38E1">
        <w:rPr>
          <w:lang w:eastAsia="ja-JP"/>
        </w:rPr>
        <w:t>Zinc</w:t>
      </w:r>
      <w:bookmarkEnd w:id="448"/>
      <w:bookmarkEnd w:id="449"/>
    </w:p>
    <w:p w14:paraId="03F5A0C5" w14:textId="1495A0C7" w:rsidR="00E04432" w:rsidRDefault="00EB38E1" w:rsidP="00FD2341">
      <w:pPr>
        <w:pStyle w:val="Sectionkeypoints"/>
      </w:pPr>
      <w:r>
        <w:t>Z</w:t>
      </w:r>
      <w:r w:rsidR="002D2750">
        <w:t>inc concentrations</w:t>
      </w:r>
      <w:r>
        <w:t xml:space="preserve"> &lt;20 mg/L</w:t>
      </w:r>
      <w:r w:rsidR="002D2750">
        <w:t xml:space="preserve"> in livestock drinking water </w:t>
      </w:r>
      <w:r w:rsidR="00070593">
        <w:t xml:space="preserve">should not </w:t>
      </w:r>
      <w:r>
        <w:t>be harmful</w:t>
      </w:r>
      <w:r w:rsidR="002D2750">
        <w:t xml:space="preserve"> to animal health.</w:t>
      </w:r>
    </w:p>
    <w:p w14:paraId="03F5A0C6" w14:textId="77777777" w:rsidR="00E04432" w:rsidRDefault="00EB38E1" w:rsidP="000C6B83">
      <w:pPr>
        <w:pStyle w:val="Heading5"/>
        <w:rPr>
          <w:lang w:eastAsia="ja-JP"/>
        </w:rPr>
      </w:pPr>
      <w:r>
        <w:rPr>
          <w:lang w:eastAsia="ja-JP"/>
        </w:rPr>
        <w:t>Source</w:t>
      </w:r>
    </w:p>
    <w:p w14:paraId="03F5A0C7" w14:textId="3C25D462" w:rsidR="005355E0" w:rsidRPr="0056438C" w:rsidRDefault="00EB38E1" w:rsidP="00FD2341">
      <w:pPr>
        <w:rPr>
          <w:lang w:val="en-GB"/>
        </w:rPr>
      </w:pPr>
      <w:r w:rsidRPr="0056438C">
        <w:rPr>
          <w:lang w:val="en-GB"/>
        </w:rPr>
        <w:t xml:space="preserve">Zinc is a natural composite of </w:t>
      </w:r>
      <w:r w:rsidR="00AD5978">
        <w:rPr>
          <w:lang w:val="en-GB"/>
        </w:rPr>
        <w:t>E</w:t>
      </w:r>
      <w:r w:rsidRPr="0056438C">
        <w:rPr>
          <w:lang w:val="en-GB"/>
        </w:rPr>
        <w:t>arth</w:t>
      </w:r>
      <w:r w:rsidR="00AD5978">
        <w:rPr>
          <w:lang w:val="en-GB"/>
        </w:rPr>
        <w:t>’s</w:t>
      </w:r>
      <w:r w:rsidRPr="0056438C">
        <w:rPr>
          <w:lang w:val="en-GB"/>
        </w:rPr>
        <w:t xml:space="preserve"> crust, present in </w:t>
      </w:r>
      <w:r w:rsidR="00AD5978">
        <w:rPr>
          <w:lang w:val="en-GB"/>
        </w:rPr>
        <w:t>various</w:t>
      </w:r>
      <w:r w:rsidRPr="0056438C">
        <w:rPr>
          <w:lang w:val="en-GB"/>
        </w:rPr>
        <w:t xml:space="preserve"> minerals</w:t>
      </w:r>
      <w:r w:rsidR="00AD5978">
        <w:rPr>
          <w:lang w:val="en-GB"/>
        </w:rPr>
        <w:t xml:space="preserve"> (</w:t>
      </w:r>
      <w:proofErr w:type="gramStart"/>
      <w:r w:rsidR="00AD5978">
        <w:rPr>
          <w:lang w:val="en-GB"/>
        </w:rPr>
        <w:t>e.g.</w:t>
      </w:r>
      <w:proofErr w:type="gramEnd"/>
      <w:r w:rsidRPr="0056438C">
        <w:rPr>
          <w:lang w:val="en-GB"/>
        </w:rPr>
        <w:t xml:space="preserve"> sphal</w:t>
      </w:r>
      <w:r w:rsidR="0052375A">
        <w:rPr>
          <w:lang w:val="en-GB"/>
        </w:rPr>
        <w:t>er</w:t>
      </w:r>
      <w:r w:rsidRPr="0056438C">
        <w:rPr>
          <w:lang w:val="en-GB"/>
        </w:rPr>
        <w:t>ite (ZnS), smithsonite (</w:t>
      </w:r>
      <w:proofErr w:type="spellStart"/>
      <w:r w:rsidRPr="0056438C">
        <w:rPr>
          <w:lang w:val="en-GB"/>
        </w:rPr>
        <w:t>ZnCO</w:t>
      </w:r>
      <w:proofErr w:type="spellEnd"/>
      <w:r w:rsidRPr="0056438C">
        <w:rPr>
          <w:position w:val="-4"/>
          <w:sz w:val="15"/>
          <w:lang w:val="en-GB"/>
        </w:rPr>
        <w:t>3</w:t>
      </w:r>
      <w:r w:rsidRPr="0056438C">
        <w:rPr>
          <w:lang w:val="en-GB"/>
        </w:rPr>
        <w:t>) and hemimorphite (Zn</w:t>
      </w:r>
      <w:r w:rsidRPr="0056438C">
        <w:rPr>
          <w:position w:val="-4"/>
          <w:sz w:val="15"/>
          <w:lang w:val="en-GB"/>
        </w:rPr>
        <w:t>4</w:t>
      </w:r>
      <w:r w:rsidRPr="0056438C">
        <w:rPr>
          <w:lang w:val="en-GB"/>
        </w:rPr>
        <w:t>(OH)</w:t>
      </w:r>
      <w:r w:rsidRPr="0056438C">
        <w:rPr>
          <w:position w:val="-4"/>
          <w:sz w:val="15"/>
          <w:lang w:val="en-GB"/>
        </w:rPr>
        <w:t>2</w:t>
      </w:r>
      <w:r w:rsidRPr="0056438C">
        <w:rPr>
          <w:lang w:val="en-GB"/>
        </w:rPr>
        <w:t>Si</w:t>
      </w:r>
      <w:r w:rsidRPr="0056438C">
        <w:rPr>
          <w:position w:val="-4"/>
          <w:sz w:val="15"/>
          <w:lang w:val="en-GB"/>
        </w:rPr>
        <w:t>2</w:t>
      </w:r>
      <w:r w:rsidRPr="0056438C">
        <w:rPr>
          <w:lang w:val="en-GB"/>
        </w:rPr>
        <w:t>O</w:t>
      </w:r>
      <w:r w:rsidRPr="0056438C">
        <w:rPr>
          <w:position w:val="-4"/>
          <w:sz w:val="15"/>
          <w:lang w:val="en-GB"/>
        </w:rPr>
        <w:t>7</w:t>
      </w:r>
      <w:r w:rsidRPr="0056438C">
        <w:rPr>
          <w:lang w:val="en-GB"/>
        </w:rPr>
        <w:t>H</w:t>
      </w:r>
      <w:r w:rsidRPr="0056438C">
        <w:rPr>
          <w:position w:val="-4"/>
          <w:sz w:val="15"/>
          <w:lang w:val="en-GB"/>
        </w:rPr>
        <w:t>2</w:t>
      </w:r>
      <w:r w:rsidRPr="0056438C">
        <w:rPr>
          <w:lang w:val="en-GB"/>
        </w:rPr>
        <w:t>O)</w:t>
      </w:r>
      <w:r w:rsidR="00AD5978">
        <w:rPr>
          <w:lang w:val="en-GB"/>
        </w:rPr>
        <w:t>)</w:t>
      </w:r>
      <w:r w:rsidRPr="0056438C">
        <w:rPr>
          <w:lang w:val="en-GB"/>
        </w:rPr>
        <w:t xml:space="preserve"> (Scott-Fordsmand &amp; </w:t>
      </w:r>
      <w:r>
        <w:rPr>
          <w:lang w:val="en-GB"/>
        </w:rPr>
        <w:t>Pedersen</w:t>
      </w:r>
      <w:r w:rsidRPr="0056438C">
        <w:rPr>
          <w:lang w:val="en-GB"/>
        </w:rPr>
        <w:t xml:space="preserve"> 1995). Zinc </w:t>
      </w:r>
      <w:proofErr w:type="spellStart"/>
      <w:r w:rsidRPr="0056438C">
        <w:rPr>
          <w:lang w:val="en-GB"/>
        </w:rPr>
        <w:t>sul</w:t>
      </w:r>
      <w:r w:rsidR="00AF7A4B">
        <w:rPr>
          <w:lang w:val="en-GB"/>
        </w:rPr>
        <w:t>f</w:t>
      </w:r>
      <w:r w:rsidRPr="0056438C">
        <w:rPr>
          <w:lang w:val="en-GB"/>
        </w:rPr>
        <w:t>ate</w:t>
      </w:r>
      <w:proofErr w:type="spellEnd"/>
      <w:r w:rsidRPr="0056438C">
        <w:rPr>
          <w:lang w:val="en-GB"/>
        </w:rPr>
        <w:t xml:space="preserve">, </w:t>
      </w:r>
      <w:proofErr w:type="gramStart"/>
      <w:r w:rsidRPr="0056438C">
        <w:rPr>
          <w:lang w:val="en-GB"/>
        </w:rPr>
        <w:t>nitrate</w:t>
      </w:r>
      <w:proofErr w:type="gramEnd"/>
      <w:r w:rsidRPr="0056438C">
        <w:rPr>
          <w:lang w:val="en-GB"/>
        </w:rPr>
        <w:t xml:space="preserve"> and halides (except fluorides) are</w:t>
      </w:r>
      <w:r>
        <w:rPr>
          <w:lang w:val="en-GB"/>
        </w:rPr>
        <w:t xml:space="preserve"> </w:t>
      </w:r>
      <w:r w:rsidRPr="0056438C">
        <w:rPr>
          <w:lang w:val="en-GB"/>
        </w:rPr>
        <w:t>readily soluble in water, while zinc carbonate, oxide, phosphate and silicate are sparingly soluble or insoluble in water (</w:t>
      </w:r>
      <w:r>
        <w:rPr>
          <w:lang w:val="en-GB"/>
        </w:rPr>
        <w:t xml:space="preserve">Weast </w:t>
      </w:r>
      <w:r w:rsidRPr="0056438C">
        <w:rPr>
          <w:lang w:val="en-GB"/>
        </w:rPr>
        <w:t xml:space="preserve">1982). In the presence of organic material, zinc has a high affinity for thiol and hydroxyl groups such as in proteins, </w:t>
      </w:r>
      <w:proofErr w:type="gramStart"/>
      <w:r w:rsidRPr="0056438C">
        <w:rPr>
          <w:lang w:val="en-GB"/>
        </w:rPr>
        <w:t>enzymes</w:t>
      </w:r>
      <w:proofErr w:type="gramEnd"/>
      <w:r w:rsidRPr="0056438C">
        <w:rPr>
          <w:lang w:val="en-GB"/>
        </w:rPr>
        <w:t xml:space="preserve"> and other essential compounds.</w:t>
      </w:r>
    </w:p>
    <w:p w14:paraId="03F5A0C8" w14:textId="77777777" w:rsidR="00E04432" w:rsidRDefault="00EB38E1" w:rsidP="00C1087A">
      <w:r>
        <w:t>Concentrations of zinc rarely exceed 0.01</w:t>
      </w:r>
      <w:r w:rsidR="002566A7">
        <w:t> </w:t>
      </w:r>
      <w:r>
        <w:t>mg/L in natural waters (Galvin 1996). Higher concentrations in water can be associated with pollution from industrial wastes (Hart 1982) or corrosion of zinc</w:t>
      </w:r>
      <w:r w:rsidR="00050D20">
        <w:t>-</w:t>
      </w:r>
      <w:r>
        <w:t>coated plumbing or galvanised iron water tanks, particularly at low pH (</w:t>
      </w:r>
      <w:r w:rsidR="00010115">
        <w:t xml:space="preserve">acidic; </w:t>
      </w:r>
      <w:r>
        <w:t>NHMRC &amp; ARMCANZ 1996).</w:t>
      </w:r>
    </w:p>
    <w:p w14:paraId="03F5A0C9" w14:textId="77777777" w:rsidR="00131E39" w:rsidRDefault="00EB38E1" w:rsidP="000C6B83">
      <w:pPr>
        <w:pStyle w:val="Heading5"/>
        <w:rPr>
          <w:lang w:eastAsia="ja-JP"/>
        </w:rPr>
      </w:pPr>
      <w:r>
        <w:rPr>
          <w:lang w:eastAsia="ja-JP"/>
        </w:rPr>
        <w:t>Effects on a</w:t>
      </w:r>
      <w:r w:rsidRPr="004508FF">
        <w:rPr>
          <w:lang w:eastAsia="ja-JP"/>
        </w:rPr>
        <w:t>nimal health</w:t>
      </w:r>
    </w:p>
    <w:p w14:paraId="71803126" w14:textId="2C18D1B0" w:rsidR="004435A6" w:rsidRDefault="00EB38E1" w:rsidP="004435A6">
      <w:r>
        <w:t xml:space="preserve">Zinc is </w:t>
      </w:r>
      <w:r w:rsidR="00010115">
        <w:t xml:space="preserve">an </w:t>
      </w:r>
      <w:r>
        <w:t xml:space="preserve">essential </w:t>
      </w:r>
      <w:r w:rsidR="00010115">
        <w:t xml:space="preserve">element in </w:t>
      </w:r>
      <w:r>
        <w:t xml:space="preserve">animal </w:t>
      </w:r>
      <w:r w:rsidR="00010115">
        <w:t xml:space="preserve">nutrition </w:t>
      </w:r>
      <w:r>
        <w:t xml:space="preserve">and is necessary for the function of various enzyme </w:t>
      </w:r>
      <w:r w:rsidRPr="0003493D">
        <w:t>systems (</w:t>
      </w:r>
      <w:proofErr w:type="spellStart"/>
      <w:r w:rsidRPr="0003493D">
        <w:t>Parisic</w:t>
      </w:r>
      <w:proofErr w:type="spellEnd"/>
      <w:r w:rsidRPr="0003493D">
        <w:t xml:space="preserve"> &amp; Vallee 1969).</w:t>
      </w:r>
      <w:r>
        <w:t xml:space="preserve"> Zinc deficiency leads to growth retardation, disorders of bones and joints, skin diseases</w:t>
      </w:r>
      <w:r w:rsidR="00582E10">
        <w:t>,</w:t>
      </w:r>
      <w:r>
        <w:t xml:space="preserve"> and low </w:t>
      </w:r>
      <w:r w:rsidRPr="00001218">
        <w:t>fertility (</w:t>
      </w:r>
      <w:r w:rsidR="009A4E86" w:rsidRPr="00793D4C">
        <w:t>Duffy et al. 2023</w:t>
      </w:r>
      <w:r w:rsidRPr="00001218">
        <w:t>).</w:t>
      </w:r>
      <w:r>
        <w:t xml:space="preserve"> </w:t>
      </w:r>
      <w:r w:rsidR="004435A6">
        <w:t>Diet requirements for zinc range from 50 mg/kg to 100 mg/kg (Underwood 1971).</w:t>
      </w:r>
    </w:p>
    <w:p w14:paraId="37370DAB" w14:textId="62C29005" w:rsidR="00FA42DB" w:rsidRDefault="00FA42DB" w:rsidP="00C1087A">
      <w:r w:rsidRPr="00D9314D">
        <w:t xml:space="preserve">Chronic overdosing of zinc in ruminants can </w:t>
      </w:r>
      <w:r w:rsidR="00F16BEA" w:rsidRPr="00D9314D">
        <w:t>damage</w:t>
      </w:r>
      <w:r w:rsidRPr="00D9314D">
        <w:t xml:space="preserve"> the liver, </w:t>
      </w:r>
      <w:proofErr w:type="gramStart"/>
      <w:r w:rsidRPr="00D9314D">
        <w:t>pancreas</w:t>
      </w:r>
      <w:proofErr w:type="gramEnd"/>
      <w:r w:rsidRPr="00D9314D">
        <w:t xml:space="preserve"> and kidneys. Pregnant and young animals are at greatest risk</w:t>
      </w:r>
      <w:r w:rsidR="00F16BEA" w:rsidRPr="00D9314D">
        <w:t xml:space="preserve"> (Benson</w:t>
      </w:r>
      <w:r w:rsidR="00D9314D" w:rsidRPr="00D9314D">
        <w:t xml:space="preserve"> 2022)</w:t>
      </w:r>
      <w:r w:rsidRPr="00D9314D">
        <w:t>.</w:t>
      </w:r>
      <w:r w:rsidR="006804DA">
        <w:t xml:space="preserve"> </w:t>
      </w:r>
      <w:r w:rsidR="00DC285F" w:rsidRPr="00A139D0">
        <w:t>Ruminants with acute zinc toxicosis can develop weight loss, diarrh</w:t>
      </w:r>
      <w:r w:rsidR="00AB45C1">
        <w:t>oea</w:t>
      </w:r>
      <w:r w:rsidR="00DC285F" w:rsidRPr="00A139D0">
        <w:t>, decreased appetite, decreased milk production, polyuria with secondary dehydration, and generali</w:t>
      </w:r>
      <w:r w:rsidR="00AB45C1">
        <w:t>s</w:t>
      </w:r>
      <w:r w:rsidR="00DC285F" w:rsidRPr="00A139D0">
        <w:t>ed listlessness (</w:t>
      </w:r>
      <w:r w:rsidR="00BF45FA" w:rsidRPr="00D9314D">
        <w:t>Benson 2022</w:t>
      </w:r>
      <w:r w:rsidR="0091132E" w:rsidRPr="00A139D0">
        <w:t xml:space="preserve">). </w:t>
      </w:r>
      <w:r w:rsidR="006804DA">
        <w:t>High levels of zinc can also affect copper uptake.</w:t>
      </w:r>
    </w:p>
    <w:p w14:paraId="03F5A0CB" w14:textId="77777777" w:rsidR="00AD38A0" w:rsidRPr="00AD38A0" w:rsidRDefault="00EB38E1" w:rsidP="000C6B83">
      <w:pPr>
        <w:pStyle w:val="Heading5"/>
        <w:rPr>
          <w:lang w:eastAsia="ja-JP"/>
        </w:rPr>
      </w:pPr>
      <w:r w:rsidRPr="00AD38A0">
        <w:rPr>
          <w:lang w:eastAsia="ja-JP"/>
        </w:rPr>
        <w:t>Derivation of guideline values</w:t>
      </w:r>
    </w:p>
    <w:p w14:paraId="03F5A0CC" w14:textId="20642059" w:rsidR="00711392" w:rsidRDefault="00EB38E1" w:rsidP="00C1087A">
      <w:r>
        <w:t xml:space="preserve">The ANZECC (1992) guideline </w:t>
      </w:r>
      <w:r w:rsidR="00951795">
        <w:t>value of 20 mg/L of</w:t>
      </w:r>
      <w:r>
        <w:t xml:space="preserve"> zinc </w:t>
      </w:r>
      <w:r w:rsidR="00951795">
        <w:t xml:space="preserve">in livestock drinking water </w:t>
      </w:r>
      <w:r>
        <w:t>(based on Hart 1982) has been retained. Th</w:t>
      </w:r>
      <w:r w:rsidR="00951795">
        <w:t>is</w:t>
      </w:r>
      <w:r>
        <w:t xml:space="preserve"> value is consistent with </w:t>
      </w:r>
      <w:r w:rsidR="00951795">
        <w:t xml:space="preserve">the zinc </w:t>
      </w:r>
      <w:r>
        <w:t>guidelines in South Africa (DWAF 1996)</w:t>
      </w:r>
      <w:r w:rsidR="00951795">
        <w:t>.</w:t>
      </w:r>
      <w:r>
        <w:t xml:space="preserve"> </w:t>
      </w:r>
      <w:r w:rsidR="00951795">
        <w:t>A</w:t>
      </w:r>
      <w:r>
        <w:t xml:space="preserve"> value of 50</w:t>
      </w:r>
      <w:r w:rsidR="002566A7">
        <w:t> </w:t>
      </w:r>
      <w:r>
        <w:t xml:space="preserve">mg/L has been </w:t>
      </w:r>
      <w:r w:rsidR="00E47C5E">
        <w:t xml:space="preserve">set </w:t>
      </w:r>
      <w:r>
        <w:t>in Canada (</w:t>
      </w:r>
      <w:r w:rsidR="00DE3A14">
        <w:t xml:space="preserve">CCME </w:t>
      </w:r>
      <w:r w:rsidR="00E47C5E">
        <w:t>2005</w:t>
      </w:r>
      <w:r>
        <w:t>).</w:t>
      </w:r>
    </w:p>
    <w:p w14:paraId="03F5A0CD" w14:textId="3D7827B3" w:rsidR="009321A6" w:rsidRDefault="00EB38E1" w:rsidP="009321A6">
      <w:r>
        <w:t xml:space="preserve">According to </w:t>
      </w:r>
      <w:r w:rsidRPr="001F636B">
        <w:t>Neathery and Miller (1977),</w:t>
      </w:r>
      <w:r>
        <w:t xml:space="preserve"> the estimated maximum safe zinc concentrations in the diet are 500 mg/kg for calves</w:t>
      </w:r>
      <w:r w:rsidR="001852A8">
        <w:t>;</w:t>
      </w:r>
      <w:r>
        <w:t xml:space="preserve"> 600 mg/kg for sheep</w:t>
      </w:r>
      <w:r w:rsidR="001852A8">
        <w:t>;</w:t>
      </w:r>
      <w:r>
        <w:t xml:space="preserve"> 1</w:t>
      </w:r>
      <w:r w:rsidR="00010115">
        <w:t>,</w:t>
      </w:r>
      <w:r>
        <w:t xml:space="preserve">000 mg/kg for chicks, </w:t>
      </w:r>
      <w:proofErr w:type="gramStart"/>
      <w:r>
        <w:t>pigs</w:t>
      </w:r>
      <w:proofErr w:type="gramEnd"/>
      <w:r>
        <w:t xml:space="preserve"> and mature cattle</w:t>
      </w:r>
      <w:r w:rsidR="001852A8">
        <w:t>;</w:t>
      </w:r>
      <w:r>
        <w:t xml:space="preserve"> and 2</w:t>
      </w:r>
      <w:r w:rsidR="00010115">
        <w:t>,</w:t>
      </w:r>
      <w:r>
        <w:t>000 mg/kg for turkeys. NRC (1980</w:t>
      </w:r>
      <w:r w:rsidR="0022055A">
        <w:t>, 2005</w:t>
      </w:r>
      <w:r>
        <w:t xml:space="preserve">) </w:t>
      </w:r>
      <w:r w:rsidR="008D5DB6">
        <w:t xml:space="preserve">set </w:t>
      </w:r>
      <w:r>
        <w:t>maximum tolerable concentrations of zinc in the diet as 500 mg/kg for cattle</w:t>
      </w:r>
      <w:r w:rsidR="008F5DC1">
        <w:t>,</w:t>
      </w:r>
      <w:r>
        <w:t xml:space="preserve"> 300 mg/kg for sheep</w:t>
      </w:r>
      <w:r w:rsidR="008F5DC1">
        <w:t>,</w:t>
      </w:r>
      <w:r w:rsidR="00782C45">
        <w:t xml:space="preserve"> and</w:t>
      </w:r>
      <w:r>
        <w:t xml:space="preserve"> 1</w:t>
      </w:r>
      <w:r w:rsidR="00010115">
        <w:t>,</w:t>
      </w:r>
      <w:r>
        <w:t>000 mg/kg for pigs</w:t>
      </w:r>
      <w:r w:rsidR="002A295B">
        <w:t xml:space="preserve">; </w:t>
      </w:r>
      <w:r>
        <w:t>poultry</w:t>
      </w:r>
      <w:r w:rsidR="002A295B">
        <w:t xml:space="preserve"> was reduced from 1,000 mg/kg in 1980 to </w:t>
      </w:r>
      <w:r w:rsidR="009C0E48">
        <w:t>500 mg/kg</w:t>
      </w:r>
      <w:r w:rsidR="002A295B">
        <w:t xml:space="preserve"> in 2005</w:t>
      </w:r>
      <w:r>
        <w:t>.</w:t>
      </w:r>
    </w:p>
    <w:p w14:paraId="03F5A0CE" w14:textId="29BCE619" w:rsidR="00760B23" w:rsidRDefault="00A54315" w:rsidP="0096400D">
      <w:pPr>
        <w:pStyle w:val="Heading3"/>
      </w:pPr>
      <w:bookmarkStart w:id="450" w:name="_Toc134441566"/>
      <w:bookmarkStart w:id="451" w:name="_Toc134441843"/>
      <w:bookmarkStart w:id="452" w:name="_Toc134442152"/>
      <w:bookmarkStart w:id="453" w:name="_Toc134442364"/>
      <w:bookmarkStart w:id="454" w:name="_Toc134442575"/>
      <w:bookmarkStart w:id="455" w:name="_Toc134441567"/>
      <w:bookmarkStart w:id="456" w:name="_Toc134441844"/>
      <w:bookmarkStart w:id="457" w:name="_Toc134442153"/>
      <w:bookmarkStart w:id="458" w:name="_Toc134442365"/>
      <w:bookmarkStart w:id="459" w:name="_Toc134442576"/>
      <w:bookmarkStart w:id="460" w:name="_Toc134441568"/>
      <w:bookmarkStart w:id="461" w:name="_Toc134441845"/>
      <w:bookmarkStart w:id="462" w:name="_Toc134442154"/>
      <w:bookmarkStart w:id="463" w:name="_Toc134442366"/>
      <w:bookmarkStart w:id="464" w:name="_Toc134442577"/>
      <w:bookmarkStart w:id="465" w:name="_Toc85535722"/>
      <w:bookmarkStart w:id="466" w:name="_Toc134442155"/>
      <w:bookmarkStart w:id="467" w:name="_Toc134442367"/>
      <w:bookmarkStart w:id="468" w:name="_Toc141704582"/>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t>3.4</w:t>
      </w:r>
      <w:r>
        <w:tab/>
      </w:r>
      <w:r w:rsidR="00EB38E1">
        <w:t>Pesticides and other organic contaminants</w:t>
      </w:r>
      <w:bookmarkEnd w:id="465"/>
      <w:bookmarkEnd w:id="466"/>
      <w:bookmarkEnd w:id="467"/>
      <w:bookmarkEnd w:id="468"/>
    </w:p>
    <w:p w14:paraId="03F5A0CF" w14:textId="4597DE03" w:rsidR="00B905BC" w:rsidRDefault="00EB38E1" w:rsidP="00FD2341">
      <w:pPr>
        <w:pStyle w:val="Sectionkeypoints"/>
      </w:pPr>
      <w:r>
        <w:t xml:space="preserve">In the absence of guidelines derived specifically for livestock, guidance around pesticides and other organic contaminants in livestock drinking water are based on the </w:t>
      </w:r>
      <w:hyperlink r:id="rId40" w:history="1">
        <w:r w:rsidRPr="00B905BC">
          <w:rPr>
            <w:rStyle w:val="Hyperlink"/>
          </w:rPr>
          <w:t>Australian Drinking Water Guidelines</w:t>
        </w:r>
      </w:hyperlink>
      <w:r>
        <w:t xml:space="preserve"> (NHMRC &amp; ARMCANZ 2011).</w:t>
      </w:r>
    </w:p>
    <w:p w14:paraId="03F5A0D0" w14:textId="77777777" w:rsidR="001B6BEB" w:rsidRDefault="00EB38E1" w:rsidP="00FD2341">
      <w:proofErr w:type="gramStart"/>
      <w:r>
        <w:t>These state</w:t>
      </w:r>
      <w:proofErr w:type="gramEnd"/>
      <w:r>
        <w:t>:</w:t>
      </w:r>
    </w:p>
    <w:p w14:paraId="03F5A0D1" w14:textId="6E2CE6B7" w:rsidR="00B905BC" w:rsidRDefault="006A0CDB" w:rsidP="00FD2341">
      <w:r>
        <w:t>‘</w:t>
      </w:r>
      <w:r w:rsidR="00EB38E1">
        <w:t xml:space="preserve">The Australian Pesticides and Veterinary Medicines Authority is responsible for assessing all pesticides prior to registration to allow sale and use in Australia. For registration, data required on the pesticide include information on the proposed use, the toxicity and the residues that might result from proper use. When the pesticide is registered, a safe level of exposure, conditions of use and </w:t>
      </w:r>
      <w:r w:rsidR="00EB38E1">
        <w:lastRenderedPageBreak/>
        <w:t>maximum levels of residues for water are determined. This mechanism allows the formulation of appropriate guideline values for pesticides in drinking water.</w:t>
      </w:r>
    </w:p>
    <w:p w14:paraId="03F5A0D2" w14:textId="4B9BDB36" w:rsidR="00B905BC" w:rsidRDefault="00EB38E1" w:rsidP="00C1087A">
      <w:r>
        <w:t xml:space="preserve">Pesticides should not be found in water supplies above safe levels and if they are, investigations </w:t>
      </w:r>
      <w:r w:rsidR="00E143FA">
        <w:t xml:space="preserve">should </w:t>
      </w:r>
      <w:r>
        <w:t>be undertaken to determine how they came to be there. These investigations should then be followed by corrective action aimed at the prevention of pesticide contamination of drinking water supplies.</w:t>
      </w:r>
      <w:r w:rsidR="006A0CDB">
        <w:t>’</w:t>
      </w:r>
    </w:p>
    <w:p w14:paraId="03F5A0D3" w14:textId="0361ADC0" w:rsidR="00B905BC" w:rsidRDefault="00EB38E1" w:rsidP="00C1087A">
      <w:r>
        <w:t xml:space="preserve">Guideline values for specific chemicals used in pesticides are provided in fact sheets attached to the </w:t>
      </w:r>
      <w:r w:rsidR="00C36321">
        <w:t xml:space="preserve">Australian </w:t>
      </w:r>
      <w:r w:rsidR="007774C4">
        <w:t>D</w:t>
      </w:r>
      <w:r>
        <w:t xml:space="preserve">rinking </w:t>
      </w:r>
      <w:r w:rsidR="007774C4">
        <w:t>W</w:t>
      </w:r>
      <w:r>
        <w:t xml:space="preserve">ater </w:t>
      </w:r>
      <w:r w:rsidR="007774C4">
        <w:t>G</w:t>
      </w:r>
      <w:r>
        <w:t>uidelines.</w:t>
      </w:r>
    </w:p>
    <w:p w14:paraId="4FB51AF5" w14:textId="50944580" w:rsidR="00C36321" w:rsidRDefault="00C92DB5" w:rsidP="00C1087A">
      <w:r>
        <w:t xml:space="preserve">For livestock drinking water, </w:t>
      </w:r>
      <w:r w:rsidRPr="00A54B53">
        <w:t>if a pesticide concentration is below the drinking water guidelines it is unlikely that there w</w:t>
      </w:r>
      <w:r>
        <w:t>ill</w:t>
      </w:r>
      <w:r w:rsidRPr="00A54B53">
        <w:t xml:space="preserve"> be an effect on animal health.</w:t>
      </w:r>
      <w:r w:rsidR="00DF528C">
        <w:t xml:space="preserve"> If the concentration is above guid</w:t>
      </w:r>
      <w:r w:rsidR="005B149D">
        <w:t>e</w:t>
      </w:r>
      <w:r w:rsidR="00DF528C">
        <w:t>line values</w:t>
      </w:r>
      <w:r w:rsidR="005B149D">
        <w:t>, then further investigation of the effect on animal health and appropriate action is recommended.</w:t>
      </w:r>
    </w:p>
    <w:p w14:paraId="1FA7760D" w14:textId="10E094BD" w:rsidR="000D6FF1" w:rsidRDefault="000D6FF1" w:rsidP="00C1087A">
      <w:r>
        <w:t xml:space="preserve">Additional information on safe </w:t>
      </w:r>
      <w:r w:rsidR="00083CB7">
        <w:t xml:space="preserve">livestock </w:t>
      </w:r>
      <w:r>
        <w:t>guideline values</w:t>
      </w:r>
      <w:r w:rsidR="00C31CF8">
        <w:t xml:space="preserve"> for pesticides</w:t>
      </w:r>
      <w:r>
        <w:t xml:space="preserve"> </w:t>
      </w:r>
      <w:r w:rsidR="00C31CF8">
        <w:t>may be included in future editions of these guidelines.</w:t>
      </w:r>
    </w:p>
    <w:p w14:paraId="03F5A0D4" w14:textId="77777777" w:rsidR="0008577C" w:rsidRPr="007C5D4D" w:rsidRDefault="00EB38E1" w:rsidP="000C6B83">
      <w:pPr>
        <w:pStyle w:val="Heading5"/>
        <w:rPr>
          <w:lang w:eastAsia="ja-JP"/>
        </w:rPr>
      </w:pPr>
      <w:r w:rsidRPr="007C5D4D">
        <w:rPr>
          <w:lang w:eastAsia="ja-JP"/>
        </w:rPr>
        <w:t>Source</w:t>
      </w:r>
    </w:p>
    <w:p w14:paraId="03F5A0D5" w14:textId="727FE0C3" w:rsidR="007C5D4D" w:rsidRPr="007C5D4D" w:rsidRDefault="00EB38E1" w:rsidP="00C1087A">
      <w:r w:rsidRPr="007C5D4D">
        <w:t xml:space="preserve">The use of pesticides to control insects, pathogens and weeds is </w:t>
      </w:r>
      <w:r w:rsidR="00597CDB">
        <w:t>important</w:t>
      </w:r>
      <w:r w:rsidR="00597CDB" w:rsidRPr="007C5D4D">
        <w:t xml:space="preserve"> </w:t>
      </w:r>
      <w:r w:rsidR="009927FD">
        <w:t>to</w:t>
      </w:r>
      <w:r w:rsidRPr="007C5D4D">
        <w:t xml:space="preserve"> the economic production of many agricultural commodities. Pesticides are also widely used for </w:t>
      </w:r>
      <w:proofErr w:type="gramStart"/>
      <w:r w:rsidRPr="007C5D4D">
        <w:t>weed</w:t>
      </w:r>
      <w:proofErr w:type="gramEnd"/>
      <w:r w:rsidRPr="007C5D4D">
        <w:t xml:space="preserve"> control along roads</w:t>
      </w:r>
      <w:r w:rsidR="009927FD">
        <w:t xml:space="preserve"> and</w:t>
      </w:r>
      <w:r w:rsidRPr="007C5D4D">
        <w:t xml:space="preserve"> waterways, and are sometimes applied in urban areas to control insects </w:t>
      </w:r>
      <w:r w:rsidR="009927FD">
        <w:t>(e.g.</w:t>
      </w:r>
      <w:r w:rsidRPr="007C5D4D">
        <w:t xml:space="preserve"> mosquitoes</w:t>
      </w:r>
      <w:r w:rsidR="009927FD">
        <w:t>)</w:t>
      </w:r>
      <w:r w:rsidRPr="007C5D4D">
        <w:t>.</w:t>
      </w:r>
    </w:p>
    <w:p w14:paraId="03F5A0D6" w14:textId="34EDB236" w:rsidR="00D07859" w:rsidRDefault="00EB38E1" w:rsidP="00C1087A">
      <w:r>
        <w:t xml:space="preserve">Pesticides are mainly organic compounds, or in some cases organometallic compounds, and are categorised according to their intended </w:t>
      </w:r>
      <w:proofErr w:type="gramStart"/>
      <w:r>
        <w:t>use</w:t>
      </w:r>
      <w:r w:rsidR="0039214C">
        <w:t>;</w:t>
      </w:r>
      <w:proofErr w:type="gramEnd"/>
      <w:r w:rsidR="0039214C">
        <w:t xml:space="preserve"> for example,</w:t>
      </w:r>
      <w:r>
        <w:t xml:space="preserve"> insecticides</w:t>
      </w:r>
      <w:r w:rsidR="0039214C">
        <w:t>,</w:t>
      </w:r>
      <w:r>
        <w:t xml:space="preserve"> herbicides</w:t>
      </w:r>
      <w:r w:rsidR="0039214C">
        <w:t>,</w:t>
      </w:r>
      <w:r>
        <w:t xml:space="preserve"> fungicides</w:t>
      </w:r>
      <w:r w:rsidR="0039214C">
        <w:t>, or</w:t>
      </w:r>
      <w:r>
        <w:t xml:space="preserve"> </w:t>
      </w:r>
      <w:r w:rsidR="0027177E">
        <w:t>vertebrate poisons</w:t>
      </w:r>
      <w:r>
        <w:t xml:space="preserve">. Each </w:t>
      </w:r>
      <w:r w:rsidR="002A14D7">
        <w:t xml:space="preserve">pesticide </w:t>
      </w:r>
      <w:r>
        <w:t xml:space="preserve">category is often grouped into classes of chemically similar compounds; for example, the organochlorine and organophosphate insecticides, and the phenoxy herbicides </w:t>
      </w:r>
      <w:r w:rsidRPr="00DF6B86">
        <w:t>(Schofield &amp; Simpson 1996).</w:t>
      </w:r>
      <w:r>
        <w:t xml:space="preserve"> </w:t>
      </w:r>
      <w:r w:rsidR="00960E36" w:rsidRPr="007C5D4D">
        <w:t xml:space="preserve">Agricultural chemical products must be registered by the Australian Pesticides and Veterinary Medicines Authority </w:t>
      </w:r>
      <w:r w:rsidR="00960E36">
        <w:t>before</w:t>
      </w:r>
      <w:r w:rsidR="00960E36" w:rsidRPr="007C5D4D">
        <w:t xml:space="preserve"> use in Australia. Information about registered products and </w:t>
      </w:r>
      <w:r w:rsidR="00EB7E76">
        <w:t xml:space="preserve">active constituents </w:t>
      </w:r>
      <w:r w:rsidR="00960E36">
        <w:t>can be found at</w:t>
      </w:r>
      <w:r w:rsidR="00960E36" w:rsidRPr="007C5D4D">
        <w:t xml:space="preserve"> </w:t>
      </w:r>
      <w:hyperlink r:id="rId41" w:history="1">
        <w:proofErr w:type="spellStart"/>
        <w:r w:rsidR="00960E36" w:rsidRPr="00367D2C">
          <w:rPr>
            <w:rStyle w:val="Hyperlink"/>
          </w:rPr>
          <w:t>Pub</w:t>
        </w:r>
        <w:r w:rsidR="00EB7E76" w:rsidRPr="00367D2C">
          <w:rPr>
            <w:rStyle w:val="Hyperlink"/>
          </w:rPr>
          <w:t>CRIS</w:t>
        </w:r>
        <w:proofErr w:type="spellEnd"/>
      </w:hyperlink>
      <w:r w:rsidR="00960E36" w:rsidRPr="007C5D4D">
        <w:t xml:space="preserve"> or </w:t>
      </w:r>
      <w:hyperlink r:id="rId42" w:history="1">
        <w:proofErr w:type="spellStart"/>
        <w:r w:rsidR="00960E36" w:rsidRPr="0046421D">
          <w:rPr>
            <w:rStyle w:val="Hyperlink"/>
          </w:rPr>
          <w:t>Infopest</w:t>
        </w:r>
        <w:proofErr w:type="spellEnd"/>
      </w:hyperlink>
      <w:r w:rsidR="00960E36" w:rsidRPr="007C5D4D">
        <w:t>.</w:t>
      </w:r>
    </w:p>
    <w:p w14:paraId="03F5A0D7" w14:textId="77777777" w:rsidR="00801B31" w:rsidRDefault="00EB38E1" w:rsidP="00C1087A">
      <w:r>
        <w:rPr>
          <w:lang w:val="en-GB"/>
        </w:rPr>
        <w:t>Pesticide residues can occur in both surface and groundwaters. In Australia, in a survey of surface water quality across 73 sites, pesticide residues were detected in 28% of the water samples (Scott et al., 2014).</w:t>
      </w:r>
    </w:p>
    <w:p w14:paraId="03F5A0D8" w14:textId="77777777" w:rsidR="00395E07" w:rsidRDefault="00EB38E1" w:rsidP="00FD2341">
      <w:r>
        <w:t>Pesticide residues</w:t>
      </w:r>
      <w:r w:rsidR="00D73B04">
        <w:t xml:space="preserve"> </w:t>
      </w:r>
      <w:r>
        <w:t xml:space="preserve">in </w:t>
      </w:r>
      <w:r w:rsidRPr="00DF6B86">
        <w:t>surface waters may result from</w:t>
      </w:r>
      <w:r w:rsidR="00960E36" w:rsidRPr="00DF6B86">
        <w:rPr>
          <w:lang w:eastAsia="ja-JP"/>
        </w:rPr>
        <w:t xml:space="preserve"> (Hunter 1992, CCREM 1987, Schofield &amp; Simpson 1996)</w:t>
      </w:r>
      <w:r w:rsidRPr="00DF6B86">
        <w:t>:</w:t>
      </w:r>
    </w:p>
    <w:p w14:paraId="03F5A0D9" w14:textId="77777777" w:rsidR="00395E07" w:rsidRDefault="00EB38E1" w:rsidP="00395E07">
      <w:pPr>
        <w:pStyle w:val="ListBullet"/>
        <w:rPr>
          <w:lang w:eastAsia="ja-JP"/>
        </w:rPr>
      </w:pPr>
      <w:r>
        <w:rPr>
          <w:lang w:eastAsia="ja-JP"/>
        </w:rPr>
        <w:t>direct application (</w:t>
      </w:r>
      <w:proofErr w:type="gramStart"/>
      <w:r>
        <w:rPr>
          <w:lang w:eastAsia="ja-JP"/>
        </w:rPr>
        <w:t>e.g.</w:t>
      </w:r>
      <w:proofErr w:type="gramEnd"/>
      <w:r>
        <w:rPr>
          <w:lang w:eastAsia="ja-JP"/>
        </w:rPr>
        <w:t xml:space="preserve"> for weed control)</w:t>
      </w:r>
    </w:p>
    <w:p w14:paraId="03F5A0DA" w14:textId="77777777" w:rsidR="00960E36" w:rsidRDefault="00EB38E1" w:rsidP="00395E07">
      <w:pPr>
        <w:pStyle w:val="ListBullet"/>
        <w:rPr>
          <w:lang w:eastAsia="ja-JP"/>
        </w:rPr>
      </w:pPr>
      <w:r>
        <w:t>accidental spillage</w:t>
      </w:r>
    </w:p>
    <w:p w14:paraId="03F5A0DB" w14:textId="77777777" w:rsidR="00395E07" w:rsidRPr="00515FE3" w:rsidRDefault="00EB38E1" w:rsidP="00395E07">
      <w:pPr>
        <w:pStyle w:val="ListBullet"/>
        <w:rPr>
          <w:lang w:eastAsia="ja-JP"/>
        </w:rPr>
      </w:pPr>
      <w:r w:rsidRPr="00515FE3">
        <w:rPr>
          <w:lang w:eastAsia="ja-JP"/>
        </w:rPr>
        <w:t>inappropriate</w:t>
      </w:r>
      <w:r w:rsidR="00D07859" w:rsidRPr="00515FE3">
        <w:rPr>
          <w:lang w:eastAsia="ja-JP"/>
        </w:rPr>
        <w:t xml:space="preserve"> use or disposal of pesticides and their containers</w:t>
      </w:r>
    </w:p>
    <w:p w14:paraId="03F5A0DC" w14:textId="77777777" w:rsidR="00395E07" w:rsidRPr="00515FE3" w:rsidRDefault="00EB38E1" w:rsidP="00395E07">
      <w:pPr>
        <w:pStyle w:val="ListBullet"/>
        <w:rPr>
          <w:lang w:eastAsia="ja-JP"/>
        </w:rPr>
      </w:pPr>
      <w:r w:rsidRPr="00515FE3">
        <w:rPr>
          <w:lang w:eastAsia="ja-JP"/>
        </w:rPr>
        <w:t>spray drift</w:t>
      </w:r>
    </w:p>
    <w:p w14:paraId="03F5A0DD" w14:textId="77777777" w:rsidR="00960E36" w:rsidRPr="00FD2341" w:rsidRDefault="00EB38E1" w:rsidP="00A775B7">
      <w:pPr>
        <w:pStyle w:val="ListBullet"/>
        <w:rPr>
          <w:lang w:eastAsia="ja-JP"/>
        </w:rPr>
      </w:pPr>
      <w:r w:rsidRPr="00515FE3">
        <w:t>deep percolation</w:t>
      </w:r>
    </w:p>
    <w:p w14:paraId="03F5A0DE" w14:textId="555359CB" w:rsidR="00192678" w:rsidRPr="00515FE3" w:rsidRDefault="00EB38E1" w:rsidP="00FD2341">
      <w:pPr>
        <w:pStyle w:val="ListBullet"/>
        <w:spacing w:after="240"/>
        <w:rPr>
          <w:lang w:eastAsia="ja-JP"/>
        </w:rPr>
      </w:pPr>
      <w:r w:rsidRPr="00515FE3">
        <w:t xml:space="preserve">surface </w:t>
      </w:r>
      <w:r w:rsidR="00AA0DF2">
        <w:t>run-off</w:t>
      </w:r>
      <w:r w:rsidR="00515FE3" w:rsidRPr="00FD2341">
        <w:rPr>
          <w:lang w:eastAsia="ja-JP"/>
        </w:rPr>
        <w:t>.</w:t>
      </w:r>
    </w:p>
    <w:p w14:paraId="03F5A0DF" w14:textId="79A89FAD" w:rsidR="00515FE3" w:rsidRDefault="00EB38E1" w:rsidP="00C1087A">
      <w:r w:rsidRPr="00515FE3">
        <w:t>Movement of pesticide residues, which bind strongly to soil particles and are relatively insoluble in</w:t>
      </w:r>
      <w:r>
        <w:t xml:space="preserve"> water, occurs mainly through soil erosion. </w:t>
      </w:r>
      <w:r w:rsidR="00AA0DF2">
        <w:t>Run-off</w:t>
      </w:r>
      <w:r>
        <w:t xml:space="preserve"> waters may also contain other residues in dissolved form. Leaching of pesticide residues to groundwaters can occur depending on the chemical and physical properties of both the pesticide compound and the soil.</w:t>
      </w:r>
    </w:p>
    <w:p w14:paraId="03F5A0E0" w14:textId="77777777" w:rsidR="00D07859" w:rsidRDefault="00EB38E1" w:rsidP="00C1087A">
      <w:r>
        <w:lastRenderedPageBreak/>
        <w:t>Residues of several pesticides, notably the herbicide atrazine, have been found in surveys of some Australian groundwaters, but generally at very low concentrations (</w:t>
      </w:r>
      <w:r w:rsidRPr="00A47F5C">
        <w:t xml:space="preserve">Keating et al. 1996, </w:t>
      </w:r>
      <w:r>
        <w:t>Schofield &amp; Simpson 1996).</w:t>
      </w:r>
    </w:p>
    <w:p w14:paraId="03F5A0E1" w14:textId="77777777" w:rsidR="00D07859" w:rsidRDefault="00EB38E1" w:rsidP="00C1087A">
      <w:r>
        <w:t xml:space="preserve">Many factors influence the persistence of pesticide residues in aquatic environments, including processes such as decomposition by sunlight, chemical </w:t>
      </w:r>
      <w:proofErr w:type="gramStart"/>
      <w:r>
        <w:t>transformation</w:t>
      </w:r>
      <w:proofErr w:type="gramEnd"/>
      <w:r>
        <w:t xml:space="preserve"> and microbial decomposition. Residues of some persistent organochlorines</w:t>
      </w:r>
      <w:r w:rsidR="00DF6769">
        <w:t xml:space="preserve"> (</w:t>
      </w:r>
      <w:proofErr w:type="gramStart"/>
      <w:r w:rsidR="00DF6769">
        <w:t>e.g.</w:t>
      </w:r>
      <w:proofErr w:type="gramEnd"/>
      <w:r>
        <w:t xml:space="preserve"> DDT</w:t>
      </w:r>
      <w:r w:rsidR="00DF6769">
        <w:t>,</w:t>
      </w:r>
      <w:r>
        <w:t xml:space="preserve"> dieldrin</w:t>
      </w:r>
      <w:r w:rsidR="00DF6769">
        <w:t>)</w:t>
      </w:r>
      <w:r>
        <w:t xml:space="preserve"> can still be found in the environment </w:t>
      </w:r>
      <w:r w:rsidR="00DF6769">
        <w:t xml:space="preserve">even though </w:t>
      </w:r>
      <w:r>
        <w:t>they were withdrawn from use or have had restricted use in Australian agriculture for decades (Schofield &amp; Simpson 1996).</w:t>
      </w:r>
    </w:p>
    <w:p w14:paraId="03F5A0E2" w14:textId="77777777" w:rsidR="00131E39" w:rsidRDefault="00EB38E1" w:rsidP="000C6B83">
      <w:pPr>
        <w:pStyle w:val="Heading5"/>
        <w:rPr>
          <w:lang w:eastAsia="ja-JP"/>
        </w:rPr>
      </w:pPr>
      <w:r>
        <w:rPr>
          <w:lang w:eastAsia="ja-JP"/>
        </w:rPr>
        <w:t>Effects on a</w:t>
      </w:r>
      <w:r w:rsidRPr="004508FF">
        <w:rPr>
          <w:lang w:eastAsia="ja-JP"/>
        </w:rPr>
        <w:t>nimal health</w:t>
      </w:r>
    </w:p>
    <w:p w14:paraId="03F5A0E3" w14:textId="77777777" w:rsidR="00515FE3" w:rsidRDefault="00EB38E1" w:rsidP="00515FE3">
      <w:r>
        <w:t xml:space="preserve">Pesticides encompass a broad range of natural and synthetic compounds of widely differing chemical composition; as a </w:t>
      </w:r>
      <w:proofErr w:type="gramStart"/>
      <w:r>
        <w:t>result</w:t>
      </w:r>
      <w:proofErr w:type="gramEnd"/>
      <w:r>
        <w:t xml:space="preserve"> the risks vary greatly and are influenced by factors such as toxicity to animals, solubility and stability.</w:t>
      </w:r>
    </w:p>
    <w:p w14:paraId="03F5A0E4" w14:textId="3ECEF193" w:rsidR="00D07859" w:rsidRDefault="00EB38E1" w:rsidP="00C1087A">
      <w:r>
        <w:t>O</w:t>
      </w:r>
      <w:r w:rsidR="002D2750">
        <w:t xml:space="preserve">rganophosphate and carbamate pesticides </w:t>
      </w:r>
      <w:r w:rsidR="002840AB">
        <w:t xml:space="preserve">are the most likely </w:t>
      </w:r>
      <w:proofErr w:type="gramStart"/>
      <w:r w:rsidR="002840AB">
        <w:t>to  be</w:t>
      </w:r>
      <w:proofErr w:type="gramEnd"/>
      <w:r w:rsidR="002D2750">
        <w:t xml:space="preserve"> toxic to livestock</w:t>
      </w:r>
      <w:r w:rsidR="00843CC3">
        <w:t>, depending on the concentration.</w:t>
      </w:r>
      <w:r w:rsidR="002D2750">
        <w:t xml:space="preserve"> </w:t>
      </w:r>
      <w:r w:rsidR="00843CC3">
        <w:t>T</w:t>
      </w:r>
      <w:r>
        <w:t>hey cause</w:t>
      </w:r>
      <w:r w:rsidR="002D2750">
        <w:t xml:space="preserve"> symptoms such as diarrhoea, salivation, excessive urination</w:t>
      </w:r>
      <w:r>
        <w:t>,</w:t>
      </w:r>
      <w:r w:rsidR="002D2750">
        <w:t xml:space="preserve"> and respiratory and muscle </w:t>
      </w:r>
      <w:r>
        <w:t xml:space="preserve">twitching </w:t>
      </w:r>
      <w:r w:rsidR="002D2750">
        <w:t>and tremors followed by convulsions. These pesticides break down rapidly in the aquatic environment through microbial action and hydrolysis in alkaline waters (DWAF 1996).</w:t>
      </w:r>
    </w:p>
    <w:p w14:paraId="03F5A0E5" w14:textId="77777777" w:rsidR="00D07859" w:rsidRDefault="00EB38E1" w:rsidP="00C1087A">
      <w:proofErr w:type="gramStart"/>
      <w:r>
        <w:t>Most commonly used</w:t>
      </w:r>
      <w:proofErr w:type="gramEnd"/>
      <w:r>
        <w:t xml:space="preserve"> herbicides are not highly toxic to mammals (CCREM 1987); however, some pesticides or their metabolites may accumulate in animal tissues or products meant for human consumption (DWAF 1996). The Codex Committee on Pesticide Residues develops and maintains acceptable pesticide </w:t>
      </w:r>
      <w:r w:rsidR="00562899">
        <w:t>MRLs</w:t>
      </w:r>
      <w:r>
        <w:t xml:space="preserve"> for food commodities in international trade.</w:t>
      </w:r>
    </w:p>
    <w:p w14:paraId="03F5A0E6" w14:textId="77777777" w:rsidR="00AD38A0" w:rsidRPr="00AD38A0" w:rsidRDefault="00EB38E1" w:rsidP="000C6B83">
      <w:pPr>
        <w:pStyle w:val="Heading5"/>
        <w:rPr>
          <w:lang w:eastAsia="ja-JP"/>
        </w:rPr>
      </w:pPr>
      <w:r w:rsidRPr="00AD38A0">
        <w:rPr>
          <w:lang w:eastAsia="ja-JP"/>
        </w:rPr>
        <w:t>Derivation of guideline values</w:t>
      </w:r>
    </w:p>
    <w:p w14:paraId="03F5A0E7" w14:textId="474091EC" w:rsidR="00515FE3" w:rsidRDefault="00EB38E1" w:rsidP="00C1087A">
      <w:r>
        <w:t>There is no i</w:t>
      </w:r>
      <w:r w:rsidR="00D07859">
        <w:t>nformation on guideline</w:t>
      </w:r>
      <w:r>
        <w:t xml:space="preserve"> value</w:t>
      </w:r>
      <w:r w:rsidR="00D07859">
        <w:t>s for pesticide</w:t>
      </w:r>
      <w:r>
        <w:t>s in livestock</w:t>
      </w:r>
      <w:r w:rsidR="00D07859">
        <w:t xml:space="preserve"> drinking water derived specifically for Australian and New Zealand. Adoption of the Australian Drinking Water Guidelines (NHMRC</w:t>
      </w:r>
      <w:r w:rsidR="006B0F92">
        <w:t xml:space="preserve"> &amp; </w:t>
      </w:r>
      <w:r w:rsidR="00D07859">
        <w:t>NRMMC 2011) should provide a margin of safety for livestock and prevent accumulation of unacceptable pesticide residues in animal products.</w:t>
      </w:r>
    </w:p>
    <w:p w14:paraId="583DC4C2" w14:textId="53AC8064" w:rsidR="00126C2F" w:rsidRDefault="00EB38E1" w:rsidP="00C1087A">
      <w:r>
        <w:t xml:space="preserve">Additional information can be obtained from guideline values for </w:t>
      </w:r>
      <w:r w:rsidR="00220ABE">
        <w:t xml:space="preserve">specific </w:t>
      </w:r>
      <w:r>
        <w:t>pesticides developed in Canada (CCME 2005), mainly using data obtained from animal toxicological studies</w:t>
      </w:r>
      <w:r w:rsidR="00417DFC">
        <w:t>:</w:t>
      </w:r>
    </w:p>
    <w:p w14:paraId="5B94651B" w14:textId="77777777" w:rsidR="00417DFC" w:rsidRDefault="00417DFC" w:rsidP="00B45131">
      <w:pPr>
        <w:pStyle w:val="Bullet"/>
        <w:sectPr w:rsidR="00417DFC" w:rsidSect="001F64A8">
          <w:headerReference w:type="even" r:id="rId43"/>
          <w:headerReference w:type="default" r:id="rId44"/>
          <w:footerReference w:type="default" r:id="rId45"/>
          <w:headerReference w:type="first" r:id="rId46"/>
          <w:footerReference w:type="first" r:id="rId47"/>
          <w:pgSz w:w="11906" w:h="16838" w:code="9"/>
          <w:pgMar w:top="1418" w:right="1418" w:bottom="1134" w:left="1418" w:header="567" w:footer="567" w:gutter="0"/>
          <w:pgNumType w:start="1"/>
          <w:cols w:space="708"/>
          <w:docGrid w:linePitch="360"/>
        </w:sectPr>
      </w:pPr>
    </w:p>
    <w:p w14:paraId="08580498" w14:textId="1FEBA66D" w:rsidR="00126C2F" w:rsidRDefault="00F9095E" w:rsidP="00B45131">
      <w:pPr>
        <w:pStyle w:val="Bullet"/>
      </w:pPr>
      <w:hyperlink r:id="rId48" w:history="1">
        <w:r w:rsidR="00C74CA9" w:rsidRPr="00B45131">
          <w:rPr>
            <w:rStyle w:val="Hyperlink"/>
          </w:rPr>
          <w:t>atrazine</w:t>
        </w:r>
      </w:hyperlink>
    </w:p>
    <w:p w14:paraId="550EC075" w14:textId="64F289BD" w:rsidR="00D968F7" w:rsidRDefault="00F9095E" w:rsidP="00B45131">
      <w:pPr>
        <w:pStyle w:val="Bullet"/>
      </w:pPr>
      <w:hyperlink r:id="rId49" w:history="1">
        <w:proofErr w:type="spellStart"/>
        <w:r w:rsidR="00C74CA9" w:rsidRPr="00D968F7">
          <w:rPr>
            <w:rStyle w:val="Hyperlink"/>
          </w:rPr>
          <w:t>bromacil</w:t>
        </w:r>
        <w:proofErr w:type="spellEnd"/>
      </w:hyperlink>
    </w:p>
    <w:p w14:paraId="6FDC6E2C" w14:textId="1E6BEA75" w:rsidR="007354A1" w:rsidRDefault="00F9095E" w:rsidP="00B45131">
      <w:pPr>
        <w:pStyle w:val="Bullet"/>
      </w:pPr>
      <w:hyperlink r:id="rId50" w:history="1">
        <w:r w:rsidR="00C74CA9" w:rsidRPr="007354A1">
          <w:rPr>
            <w:rStyle w:val="Hyperlink"/>
          </w:rPr>
          <w:t>bromoxynil</w:t>
        </w:r>
      </w:hyperlink>
    </w:p>
    <w:p w14:paraId="74ADDB1E" w14:textId="1AA2875C" w:rsidR="005D47F6" w:rsidRDefault="00F9095E" w:rsidP="00B45131">
      <w:pPr>
        <w:pStyle w:val="Bullet"/>
      </w:pPr>
      <w:hyperlink r:id="rId51" w:history="1">
        <w:r w:rsidR="00C74CA9" w:rsidRPr="005D47F6">
          <w:rPr>
            <w:rStyle w:val="Hyperlink"/>
          </w:rPr>
          <w:t>carbaryl</w:t>
        </w:r>
      </w:hyperlink>
    </w:p>
    <w:p w14:paraId="1CFFA742" w14:textId="068B058B" w:rsidR="00D968F7" w:rsidRDefault="00F9095E" w:rsidP="00B45131">
      <w:pPr>
        <w:pStyle w:val="Bullet"/>
      </w:pPr>
      <w:hyperlink r:id="rId52" w:history="1">
        <w:proofErr w:type="spellStart"/>
        <w:r w:rsidR="00C74CA9" w:rsidRPr="00D968F7">
          <w:rPr>
            <w:rStyle w:val="Hyperlink"/>
          </w:rPr>
          <w:t>captan</w:t>
        </w:r>
        <w:proofErr w:type="spellEnd"/>
      </w:hyperlink>
    </w:p>
    <w:p w14:paraId="435B1A2F" w14:textId="7275AC4A" w:rsidR="005D47F6" w:rsidRDefault="00F9095E" w:rsidP="00B45131">
      <w:pPr>
        <w:pStyle w:val="Bullet"/>
      </w:pPr>
      <w:hyperlink r:id="rId53" w:history="1">
        <w:r w:rsidR="00C74CA9" w:rsidRPr="00CC2CC4">
          <w:rPr>
            <w:rStyle w:val="Hyperlink"/>
          </w:rPr>
          <w:t>chlorothalonil</w:t>
        </w:r>
      </w:hyperlink>
    </w:p>
    <w:p w14:paraId="0D5EFB29" w14:textId="15B2062A" w:rsidR="00096F43" w:rsidRDefault="00F9095E" w:rsidP="00B45131">
      <w:pPr>
        <w:pStyle w:val="Bullet"/>
      </w:pPr>
      <w:hyperlink r:id="rId54" w:history="1">
        <w:r w:rsidR="00C74CA9" w:rsidRPr="00351552">
          <w:rPr>
            <w:rStyle w:val="Hyperlink"/>
          </w:rPr>
          <w:t>chlorpyrifos</w:t>
        </w:r>
      </w:hyperlink>
    </w:p>
    <w:p w14:paraId="078771EC" w14:textId="32E12684" w:rsidR="00096F43" w:rsidRDefault="00F9095E" w:rsidP="00B45131">
      <w:pPr>
        <w:pStyle w:val="Bullet"/>
      </w:pPr>
      <w:hyperlink r:id="rId55" w:history="1">
        <w:proofErr w:type="spellStart"/>
        <w:r w:rsidR="00C74CA9" w:rsidRPr="00096F43">
          <w:rPr>
            <w:rStyle w:val="Hyperlink"/>
          </w:rPr>
          <w:t>cyanazine</w:t>
        </w:r>
        <w:proofErr w:type="spellEnd"/>
      </w:hyperlink>
    </w:p>
    <w:p w14:paraId="614999FB" w14:textId="5059979A" w:rsidR="001B56B6" w:rsidRDefault="00F9095E" w:rsidP="00B45131">
      <w:pPr>
        <w:pStyle w:val="Bullet"/>
      </w:pPr>
      <w:hyperlink r:id="rId56" w:history="1">
        <w:r w:rsidR="00C74CA9" w:rsidRPr="00C945E2">
          <w:rPr>
            <w:rStyle w:val="Hyperlink"/>
          </w:rPr>
          <w:t>deltamethrin</w:t>
        </w:r>
      </w:hyperlink>
    </w:p>
    <w:p w14:paraId="7F3E653D" w14:textId="334F2C21" w:rsidR="00CC2CC4" w:rsidRDefault="00F9095E" w:rsidP="00B45131">
      <w:pPr>
        <w:pStyle w:val="Bullet"/>
      </w:pPr>
      <w:hyperlink r:id="rId57" w:history="1">
        <w:r w:rsidR="00C74CA9" w:rsidRPr="00CC2CC4">
          <w:rPr>
            <w:rStyle w:val="Hyperlink"/>
          </w:rPr>
          <w:t>dicamba</w:t>
        </w:r>
      </w:hyperlink>
    </w:p>
    <w:p w14:paraId="2BE81814" w14:textId="26A153B9" w:rsidR="00D17207" w:rsidRDefault="00F9095E" w:rsidP="00B45131">
      <w:pPr>
        <w:pStyle w:val="Bullet"/>
      </w:pPr>
      <w:hyperlink r:id="rId58" w:history="1">
        <w:proofErr w:type="spellStart"/>
        <w:r w:rsidR="00C74CA9" w:rsidRPr="00D17207">
          <w:rPr>
            <w:rStyle w:val="Hyperlink"/>
          </w:rPr>
          <w:t>diclofop</w:t>
        </w:r>
        <w:proofErr w:type="spellEnd"/>
        <w:r w:rsidR="00C74CA9" w:rsidRPr="00D17207">
          <w:rPr>
            <w:rStyle w:val="Hyperlink"/>
          </w:rPr>
          <w:t>-methyl</w:t>
        </w:r>
      </w:hyperlink>
    </w:p>
    <w:p w14:paraId="5769FB44" w14:textId="570E5861" w:rsidR="00945819" w:rsidRDefault="00F9095E" w:rsidP="00B45131">
      <w:pPr>
        <w:pStyle w:val="Bullet"/>
      </w:pPr>
      <w:hyperlink r:id="rId59" w:history="1">
        <w:r w:rsidR="00C74CA9" w:rsidRPr="00A76979">
          <w:rPr>
            <w:rStyle w:val="Hyperlink"/>
          </w:rPr>
          <w:t>dimethoate</w:t>
        </w:r>
      </w:hyperlink>
    </w:p>
    <w:p w14:paraId="260061AB" w14:textId="40DC5941" w:rsidR="00F1654F" w:rsidRDefault="00F9095E" w:rsidP="00B45131">
      <w:pPr>
        <w:pStyle w:val="Bullet"/>
      </w:pPr>
      <w:hyperlink r:id="rId60" w:history="1">
        <w:r w:rsidR="00F1654F" w:rsidRPr="00D17207">
          <w:rPr>
            <w:rStyle w:val="Hyperlink"/>
          </w:rPr>
          <w:t>DIPA</w:t>
        </w:r>
      </w:hyperlink>
    </w:p>
    <w:p w14:paraId="7F3FC46C" w14:textId="6385577A" w:rsidR="00A76979" w:rsidRDefault="00F9095E" w:rsidP="00B45131">
      <w:pPr>
        <w:pStyle w:val="Bullet"/>
      </w:pPr>
      <w:hyperlink r:id="rId61" w:history="1">
        <w:r w:rsidR="00C74CA9" w:rsidRPr="00A76979">
          <w:rPr>
            <w:rStyle w:val="Hyperlink"/>
          </w:rPr>
          <w:t>linuron</w:t>
        </w:r>
      </w:hyperlink>
    </w:p>
    <w:p w14:paraId="0AF8FAA2" w14:textId="5E650BCB" w:rsidR="00385482" w:rsidRDefault="00F9095E" w:rsidP="00B45131">
      <w:pPr>
        <w:pStyle w:val="Bullet"/>
      </w:pPr>
      <w:hyperlink r:id="rId62" w:history="1">
        <w:r w:rsidR="00385482" w:rsidRPr="00385482">
          <w:rPr>
            <w:rStyle w:val="Hyperlink"/>
          </w:rPr>
          <w:t>MCPA</w:t>
        </w:r>
      </w:hyperlink>
    </w:p>
    <w:p w14:paraId="3B1CAC91" w14:textId="56528557" w:rsidR="00D0611D" w:rsidRDefault="00F9095E" w:rsidP="00B45131">
      <w:pPr>
        <w:pStyle w:val="Bullet"/>
      </w:pPr>
      <w:hyperlink r:id="rId63" w:history="1">
        <w:r w:rsidR="00C74CA9" w:rsidRPr="00F1654F">
          <w:rPr>
            <w:rStyle w:val="Hyperlink"/>
          </w:rPr>
          <w:t>metolachlor</w:t>
        </w:r>
      </w:hyperlink>
    </w:p>
    <w:p w14:paraId="32D6BD43" w14:textId="6690AC97" w:rsidR="00A06BDD" w:rsidRDefault="00F9095E" w:rsidP="00B45131">
      <w:pPr>
        <w:pStyle w:val="Bullet"/>
      </w:pPr>
      <w:hyperlink r:id="rId64" w:history="1">
        <w:r w:rsidR="00C74CA9" w:rsidRPr="00A06BDD">
          <w:rPr>
            <w:rStyle w:val="Hyperlink"/>
          </w:rPr>
          <w:t>metribuzin</w:t>
        </w:r>
      </w:hyperlink>
    </w:p>
    <w:p w14:paraId="63649A89" w14:textId="68B0BA31" w:rsidR="00D0611D" w:rsidRDefault="00F9095E" w:rsidP="00B45131">
      <w:pPr>
        <w:pStyle w:val="Bullet"/>
      </w:pPr>
      <w:hyperlink r:id="rId65" w:history="1">
        <w:r w:rsidR="00C74CA9" w:rsidRPr="001B7DC7">
          <w:rPr>
            <w:rStyle w:val="Hyperlink"/>
          </w:rPr>
          <w:t>simazine</w:t>
        </w:r>
      </w:hyperlink>
    </w:p>
    <w:p w14:paraId="4571827D" w14:textId="27FCABB5" w:rsidR="001A1BF2" w:rsidRDefault="00F9095E">
      <w:pPr>
        <w:pStyle w:val="Bullet"/>
      </w:pPr>
      <w:hyperlink r:id="rId66" w:history="1">
        <w:proofErr w:type="spellStart"/>
        <w:r w:rsidR="00C74CA9" w:rsidRPr="0067054B">
          <w:rPr>
            <w:rStyle w:val="Hyperlink"/>
          </w:rPr>
          <w:t>tebuthiuron</w:t>
        </w:r>
        <w:proofErr w:type="spellEnd"/>
      </w:hyperlink>
    </w:p>
    <w:p w14:paraId="300F2AF4" w14:textId="01016CEA" w:rsidR="00B45131" w:rsidRDefault="00F9095E" w:rsidP="00DC0DEB">
      <w:pPr>
        <w:pStyle w:val="Bullet"/>
      </w:pPr>
      <w:hyperlink r:id="rId67" w:history="1">
        <w:r w:rsidR="00C74CA9" w:rsidRPr="0098509A">
          <w:rPr>
            <w:rStyle w:val="Hyperlink"/>
          </w:rPr>
          <w:t>trifluralin</w:t>
        </w:r>
      </w:hyperlink>
      <w:r w:rsidR="00C74CA9">
        <w:t>.</w:t>
      </w:r>
    </w:p>
    <w:p w14:paraId="66F7AA47" w14:textId="77777777" w:rsidR="00417DFC" w:rsidRDefault="00417DFC" w:rsidP="00C1087A">
      <w:pPr>
        <w:sectPr w:rsidR="00417DFC" w:rsidSect="00E85722">
          <w:type w:val="continuous"/>
          <w:pgSz w:w="11906" w:h="16838" w:code="9"/>
          <w:pgMar w:top="1418" w:right="1418" w:bottom="1134" w:left="1418" w:header="567" w:footer="567" w:gutter="0"/>
          <w:cols w:num="2" w:space="708"/>
          <w:docGrid w:linePitch="360"/>
        </w:sectPr>
      </w:pPr>
    </w:p>
    <w:p w14:paraId="03F5A0E8" w14:textId="6B3480CA" w:rsidR="007C5D4D" w:rsidRDefault="00EB38E1" w:rsidP="002362EC">
      <w:pPr>
        <w:spacing w:before="240"/>
      </w:pPr>
      <w:r>
        <w:t xml:space="preserve">If the </w:t>
      </w:r>
      <w:r w:rsidR="0033602F">
        <w:t>NHMRC</w:t>
      </w:r>
      <w:r w:rsidR="006B0F92">
        <w:t xml:space="preserve"> &amp; </w:t>
      </w:r>
      <w:r w:rsidR="0033602F">
        <w:t>NRMMC (2011)</w:t>
      </w:r>
      <w:r>
        <w:t xml:space="preserve"> values are greater than those endorsed in Canada </w:t>
      </w:r>
      <w:r w:rsidR="0033602F">
        <w:t>(</w:t>
      </w:r>
      <w:r>
        <w:t xml:space="preserve">or </w:t>
      </w:r>
      <w:r w:rsidR="0033602F">
        <w:t>NHMRC</w:t>
      </w:r>
      <w:r w:rsidR="006B0F92">
        <w:t xml:space="preserve"> &amp; </w:t>
      </w:r>
      <w:r w:rsidR="0033602F">
        <w:t>NRMMC (2011) does</w:t>
      </w:r>
      <w:r>
        <w:t xml:space="preserve"> not have a value for a particular pesticide</w:t>
      </w:r>
      <w:r w:rsidR="0033602F">
        <w:t>)</w:t>
      </w:r>
      <w:r>
        <w:t xml:space="preserve">, the Canadian water quality guidelines </w:t>
      </w:r>
      <w:r w:rsidR="0033602F">
        <w:t xml:space="preserve">should be used </w:t>
      </w:r>
      <w:r>
        <w:t>in the absence of more contemporary recommended guideline values.</w:t>
      </w:r>
    </w:p>
    <w:p w14:paraId="2A5B53AD" w14:textId="77777777" w:rsidR="00E32EE2" w:rsidRDefault="00E32EE2" w:rsidP="00E32EE2">
      <w:pPr>
        <w:pStyle w:val="Heading5"/>
        <w:rPr>
          <w:lang w:eastAsia="ja-JP"/>
        </w:rPr>
      </w:pPr>
      <w:r>
        <w:rPr>
          <w:lang w:eastAsia="ja-JP"/>
        </w:rPr>
        <w:lastRenderedPageBreak/>
        <w:t>Monitoring and management</w:t>
      </w:r>
    </w:p>
    <w:p w14:paraId="0CA5E24D" w14:textId="77777777" w:rsidR="00E32EE2" w:rsidRDefault="00E32EE2" w:rsidP="00E32EE2">
      <w:r>
        <w:t xml:space="preserve">Livestock drinking water should be monitored and regularly assessed for contaminants of concern. Further information is available in the Australian and New Zealand </w:t>
      </w:r>
      <w:hyperlink r:id="rId68" w:history="1">
        <w:r w:rsidRPr="00132F91">
          <w:rPr>
            <w:rStyle w:val="Hyperlink"/>
          </w:rPr>
          <w:t>Water Quality Management Framework</w:t>
        </w:r>
      </w:hyperlink>
      <w:r>
        <w:t xml:space="preserve">, particularly the </w:t>
      </w:r>
      <w:hyperlink r:id="rId69" w:history="1">
        <w:r w:rsidRPr="00346D28">
          <w:rPr>
            <w:rStyle w:val="Hyperlink"/>
          </w:rPr>
          <w:t>Monitoring</w:t>
        </w:r>
      </w:hyperlink>
      <w:r>
        <w:t xml:space="preserve"> section. </w:t>
      </w:r>
    </w:p>
    <w:p w14:paraId="11183CAF" w14:textId="7DBD0B54" w:rsidR="00E32EE2" w:rsidRDefault="00E32EE2" w:rsidP="00365122">
      <w:proofErr w:type="gramStart"/>
      <w:r>
        <w:t>In particular, water</w:t>
      </w:r>
      <w:proofErr w:type="gramEnd"/>
      <w:r>
        <w:t xml:space="preserve"> should be tested if</w:t>
      </w:r>
      <w:r w:rsidR="00365122">
        <w:t xml:space="preserve"> </w:t>
      </w:r>
      <w:r>
        <w:t>any adverse health or growth effects are noticed in livestock</w:t>
      </w:r>
      <w:r w:rsidR="00506E99">
        <w:t>.</w:t>
      </w:r>
    </w:p>
    <w:p w14:paraId="2E6E872A" w14:textId="4EFF1024" w:rsidR="00E32EE2" w:rsidRDefault="00E32EE2" w:rsidP="00E32EE2">
      <w:r>
        <w:t xml:space="preserve">Actions to be taken will depend on the results of testing. If levels are increased but not yet unsafe, increased monitoring is recommended. If </w:t>
      </w:r>
      <w:r w:rsidR="004E2E10">
        <w:t>adverse health or growth effects are noticed</w:t>
      </w:r>
      <w:r>
        <w:t xml:space="preserve">, keep stock away from the water source. </w:t>
      </w:r>
    </w:p>
    <w:p w14:paraId="03F5A0EB" w14:textId="14B9EF30" w:rsidR="00AE310D" w:rsidRDefault="00A54315" w:rsidP="0096400D">
      <w:pPr>
        <w:pStyle w:val="Heading3"/>
      </w:pPr>
      <w:bookmarkStart w:id="469" w:name="_Toc134441574"/>
      <w:bookmarkStart w:id="470" w:name="_Toc134441847"/>
      <w:bookmarkStart w:id="471" w:name="_Toc134442156"/>
      <w:bookmarkStart w:id="472" w:name="_Toc134442368"/>
      <w:bookmarkStart w:id="473" w:name="_Toc134442579"/>
      <w:bookmarkStart w:id="474" w:name="_Toc134441575"/>
      <w:bookmarkStart w:id="475" w:name="_Toc134441848"/>
      <w:bookmarkStart w:id="476" w:name="_Toc134442157"/>
      <w:bookmarkStart w:id="477" w:name="_Toc134442369"/>
      <w:bookmarkStart w:id="478" w:name="_Toc134442580"/>
      <w:bookmarkStart w:id="479" w:name="_3.5_Radionucleotides_(radiological"/>
      <w:bookmarkStart w:id="480" w:name="_Toc134442158"/>
      <w:bookmarkStart w:id="481" w:name="_Toc134442370"/>
      <w:bookmarkStart w:id="482" w:name="_Toc141704583"/>
      <w:bookmarkEnd w:id="469"/>
      <w:bookmarkEnd w:id="470"/>
      <w:bookmarkEnd w:id="471"/>
      <w:bookmarkEnd w:id="472"/>
      <w:bookmarkEnd w:id="473"/>
      <w:bookmarkEnd w:id="474"/>
      <w:bookmarkEnd w:id="475"/>
      <w:bookmarkEnd w:id="476"/>
      <w:bookmarkEnd w:id="477"/>
      <w:bookmarkEnd w:id="478"/>
      <w:bookmarkEnd w:id="479"/>
      <w:r>
        <w:t>3.5</w:t>
      </w:r>
      <w:r>
        <w:tab/>
      </w:r>
      <w:r w:rsidR="00EB38E1">
        <w:t>Radio</w:t>
      </w:r>
      <w:r w:rsidR="00AE312C">
        <w:t>nucleotides</w:t>
      </w:r>
      <w:bookmarkEnd w:id="480"/>
      <w:bookmarkEnd w:id="481"/>
      <w:r w:rsidR="00801B31">
        <w:t xml:space="preserve"> (radiological quality)</w:t>
      </w:r>
      <w:bookmarkEnd w:id="482"/>
    </w:p>
    <w:p w14:paraId="03F5A0EC" w14:textId="5502B55E" w:rsidR="00EE3F08" w:rsidRDefault="00EB38E1" w:rsidP="00FD2341">
      <w:pPr>
        <w:pStyle w:val="Sectionkeypoints"/>
      </w:pPr>
      <w:r>
        <w:t>Guid</w:t>
      </w:r>
      <w:r w:rsidR="00226DA6">
        <w:t>e</w:t>
      </w:r>
      <w:r w:rsidR="00990895">
        <w:t>line</w:t>
      </w:r>
      <w:r>
        <w:t xml:space="preserve"> values for the radiological quality of livestock drinking water are given in Table </w:t>
      </w:r>
      <w:r w:rsidR="00257B02">
        <w:t>3.</w:t>
      </w:r>
      <w:r w:rsidR="00AC1FC7">
        <w:t>17</w:t>
      </w:r>
      <w:r>
        <w:t>.</w:t>
      </w:r>
    </w:p>
    <w:p w14:paraId="03F5A0ED" w14:textId="63F4CB5C" w:rsidR="00760B23" w:rsidRDefault="00EB38E1" w:rsidP="00DF778F">
      <w:pPr>
        <w:pStyle w:val="Caption"/>
      </w:pPr>
      <w:bookmarkStart w:id="483" w:name="_Toc148089862"/>
      <w:r w:rsidRPr="0094552D">
        <w:t xml:space="preserve">Table </w:t>
      </w:r>
      <w:r w:rsidR="00257B02">
        <w:t>3.</w:t>
      </w:r>
      <w:r w:rsidR="00AC1FC7">
        <w:t>17</w:t>
      </w:r>
      <w:r w:rsidR="00AC1FC7" w:rsidRPr="0094552D">
        <w:t xml:space="preserve"> </w:t>
      </w:r>
      <w:r w:rsidRPr="0094552D">
        <w:t>Guid</w:t>
      </w:r>
      <w:r w:rsidR="00AB45C1">
        <w:t>e</w:t>
      </w:r>
      <w:r w:rsidR="00990895">
        <w:t>line</w:t>
      </w:r>
      <w:r w:rsidRPr="0094552D">
        <w:t xml:space="preserve"> values for radionucl</w:t>
      </w:r>
      <w:r w:rsidR="008D6126">
        <w:t>eot</w:t>
      </w:r>
      <w:r w:rsidRPr="0094552D">
        <w:t xml:space="preserve">ides in livestock drinking </w:t>
      </w:r>
      <w:proofErr w:type="gramStart"/>
      <w:r w:rsidRPr="0094552D">
        <w:t>water</w:t>
      </w:r>
      <w:bookmarkEnd w:id="483"/>
      <w:proofErr w:type="gramEnd"/>
    </w:p>
    <w:tbl>
      <w:tblPr>
        <w:tblW w:w="4845" w:type="pct"/>
        <w:tblBorders>
          <w:top w:val="single" w:sz="4" w:space="0" w:color="auto"/>
          <w:bottom w:val="single" w:sz="4" w:space="0" w:color="auto"/>
          <w:insideH w:val="single" w:sz="4" w:space="0" w:color="auto"/>
        </w:tblBorders>
        <w:tblLook w:val="04A0" w:firstRow="1" w:lastRow="0" w:firstColumn="1" w:lastColumn="0" w:noHBand="0" w:noVBand="1"/>
      </w:tblPr>
      <w:tblGrid>
        <w:gridCol w:w="3686"/>
        <w:gridCol w:w="5103"/>
      </w:tblGrid>
      <w:tr w:rsidR="0054058D" w14:paraId="03F5A0F0" w14:textId="77777777" w:rsidTr="00FD2341">
        <w:trPr>
          <w:cantSplit/>
          <w:trHeight w:val="361"/>
          <w:tblHeader/>
        </w:trPr>
        <w:tc>
          <w:tcPr>
            <w:tcW w:w="2097" w:type="pct"/>
            <w:tcBorders>
              <w:top w:val="single" w:sz="12" w:space="0" w:color="auto"/>
              <w:bottom w:val="single" w:sz="12" w:space="0" w:color="auto"/>
            </w:tcBorders>
          </w:tcPr>
          <w:p w14:paraId="03F5A0EE" w14:textId="77777777" w:rsidR="00760B23" w:rsidRPr="0094552D" w:rsidRDefault="00EB38E1" w:rsidP="002855AC">
            <w:pPr>
              <w:pStyle w:val="TableHeading"/>
            </w:pPr>
            <w:r w:rsidRPr="0094552D">
              <w:t>Source</w:t>
            </w:r>
          </w:p>
        </w:tc>
        <w:tc>
          <w:tcPr>
            <w:tcW w:w="2903" w:type="pct"/>
            <w:tcBorders>
              <w:top w:val="single" w:sz="12" w:space="0" w:color="auto"/>
              <w:bottom w:val="single" w:sz="12" w:space="0" w:color="auto"/>
            </w:tcBorders>
          </w:tcPr>
          <w:p w14:paraId="03F5A0EF" w14:textId="6AF4845F" w:rsidR="00760B23" w:rsidRPr="0094552D" w:rsidRDefault="00226DA6" w:rsidP="004C6E6D">
            <w:pPr>
              <w:pStyle w:val="TableHeading"/>
              <w:jc w:val="center"/>
              <w:rPr>
                <w:vertAlign w:val="superscript"/>
              </w:rPr>
            </w:pPr>
            <w:r>
              <w:t>G</w:t>
            </w:r>
            <w:r w:rsidR="00BF2060" w:rsidRPr="0094552D">
              <w:t xml:space="preserve">uideline value </w:t>
            </w:r>
            <w:r w:rsidR="00EB38E1" w:rsidRPr="0094552D">
              <w:rPr>
                <w:rFonts w:cstheme="minorHAnsi"/>
                <w:szCs w:val="18"/>
              </w:rPr>
              <w:t>(</w:t>
            </w:r>
            <w:r w:rsidR="00BF2060" w:rsidRPr="0056438C">
              <w:t>becquerel per litre</w:t>
            </w:r>
            <w:r w:rsidR="00BF2060">
              <w:t xml:space="preserve"> </w:t>
            </w:r>
            <w:r w:rsidR="00BF2060">
              <w:rPr>
                <w:rFonts w:cstheme="minorHAnsi"/>
              </w:rPr>
              <w:t>–</w:t>
            </w:r>
            <w:r w:rsidR="00BF2060" w:rsidRPr="0056438C">
              <w:t xml:space="preserve"> </w:t>
            </w:r>
            <w:proofErr w:type="spellStart"/>
            <w:r w:rsidR="00BF2060" w:rsidRPr="0056438C">
              <w:t>Bq</w:t>
            </w:r>
            <w:proofErr w:type="spellEnd"/>
            <w:r w:rsidR="00BF2060" w:rsidRPr="0056438C">
              <w:t>/</w:t>
            </w:r>
            <w:proofErr w:type="gramStart"/>
            <w:r w:rsidR="00BF2060" w:rsidRPr="0056438C">
              <w:t>L)</w:t>
            </w:r>
            <w:r w:rsidR="00EB38E1" w:rsidRPr="0094552D">
              <w:rPr>
                <w:rFonts w:cstheme="minorHAnsi"/>
                <w:szCs w:val="18"/>
                <w:vertAlign w:val="superscript"/>
              </w:rPr>
              <w:t>a</w:t>
            </w:r>
            <w:proofErr w:type="gramEnd"/>
          </w:p>
        </w:tc>
      </w:tr>
      <w:tr w:rsidR="0054058D" w14:paraId="03F5A0F3" w14:textId="77777777" w:rsidTr="00FD2341">
        <w:trPr>
          <w:cantSplit/>
          <w:trHeight w:val="365"/>
        </w:trPr>
        <w:tc>
          <w:tcPr>
            <w:tcW w:w="2097" w:type="pct"/>
            <w:tcBorders>
              <w:top w:val="single" w:sz="12" w:space="0" w:color="auto"/>
            </w:tcBorders>
          </w:tcPr>
          <w:p w14:paraId="03F5A0F1" w14:textId="77777777" w:rsidR="00760B23" w:rsidRPr="00C66B94" w:rsidRDefault="00EB38E1" w:rsidP="002855AC">
            <w:pPr>
              <w:pStyle w:val="TableText"/>
            </w:pPr>
            <w:bookmarkStart w:id="484" w:name="_Hlk135052821"/>
            <w:r w:rsidRPr="00C66B94">
              <w:t>Radium 226</w:t>
            </w:r>
          </w:p>
        </w:tc>
        <w:tc>
          <w:tcPr>
            <w:tcW w:w="2903" w:type="pct"/>
            <w:tcBorders>
              <w:top w:val="single" w:sz="12" w:space="0" w:color="auto"/>
            </w:tcBorders>
          </w:tcPr>
          <w:p w14:paraId="03F5A0F2" w14:textId="764A0FA6" w:rsidR="00760B23" w:rsidRPr="00C66B94" w:rsidRDefault="00226DA6" w:rsidP="004C6E6D">
            <w:pPr>
              <w:pStyle w:val="TableText"/>
              <w:tabs>
                <w:tab w:val="decimal" w:pos="2447"/>
              </w:tabs>
              <w:jc w:val="both"/>
            </w:pPr>
            <w:r>
              <w:t>&lt;</w:t>
            </w:r>
            <w:r w:rsidR="00EB38E1" w:rsidRPr="00C66B94">
              <w:t>5</w:t>
            </w:r>
          </w:p>
        </w:tc>
      </w:tr>
      <w:tr w:rsidR="0054058D" w14:paraId="03F5A0F6" w14:textId="77777777" w:rsidTr="00FD2341">
        <w:trPr>
          <w:cantSplit/>
          <w:trHeight w:val="361"/>
        </w:trPr>
        <w:tc>
          <w:tcPr>
            <w:tcW w:w="2097" w:type="pct"/>
          </w:tcPr>
          <w:p w14:paraId="03F5A0F4" w14:textId="77777777" w:rsidR="00760B23" w:rsidRPr="00C66B94" w:rsidRDefault="00EB38E1" w:rsidP="002855AC">
            <w:pPr>
              <w:pStyle w:val="TableText"/>
            </w:pPr>
            <w:r w:rsidRPr="00C66B94">
              <w:t>Radium 228</w:t>
            </w:r>
          </w:p>
        </w:tc>
        <w:tc>
          <w:tcPr>
            <w:tcW w:w="2903" w:type="pct"/>
          </w:tcPr>
          <w:p w14:paraId="03F5A0F5" w14:textId="6EBAEF79" w:rsidR="00760B23" w:rsidRPr="00C66B94" w:rsidRDefault="00226DA6" w:rsidP="004C6E6D">
            <w:pPr>
              <w:pStyle w:val="TableText"/>
              <w:tabs>
                <w:tab w:val="decimal" w:pos="2447"/>
              </w:tabs>
              <w:jc w:val="both"/>
            </w:pPr>
            <w:r>
              <w:t>&lt;</w:t>
            </w:r>
            <w:r w:rsidR="00EB38E1" w:rsidRPr="00C66B94">
              <w:t>5</w:t>
            </w:r>
          </w:p>
        </w:tc>
      </w:tr>
      <w:tr w:rsidR="0054058D" w14:paraId="03F5A0F9" w14:textId="77777777" w:rsidTr="00FD2341">
        <w:trPr>
          <w:cantSplit/>
          <w:trHeight w:val="361"/>
        </w:trPr>
        <w:tc>
          <w:tcPr>
            <w:tcW w:w="2097" w:type="pct"/>
          </w:tcPr>
          <w:p w14:paraId="03F5A0F7" w14:textId="77777777" w:rsidR="00760B23" w:rsidRPr="00C66B94" w:rsidRDefault="00EB38E1" w:rsidP="002855AC">
            <w:pPr>
              <w:pStyle w:val="TableText"/>
            </w:pPr>
            <w:r w:rsidRPr="00C66B94">
              <w:t>Uranium 238</w:t>
            </w:r>
          </w:p>
        </w:tc>
        <w:tc>
          <w:tcPr>
            <w:tcW w:w="2903" w:type="pct"/>
          </w:tcPr>
          <w:p w14:paraId="03F5A0F8" w14:textId="0269CEC4" w:rsidR="00760B23" w:rsidRPr="00C66B94" w:rsidRDefault="00226DA6" w:rsidP="004C6E6D">
            <w:pPr>
              <w:pStyle w:val="TableText"/>
              <w:tabs>
                <w:tab w:val="decimal" w:pos="2447"/>
              </w:tabs>
              <w:jc w:val="both"/>
            </w:pPr>
            <w:r>
              <w:t>&lt;</w:t>
            </w:r>
            <w:r w:rsidR="00EB38E1" w:rsidRPr="00C66B94">
              <w:t>2.5</w:t>
            </w:r>
          </w:p>
        </w:tc>
      </w:tr>
      <w:tr w:rsidR="0054058D" w14:paraId="03F5A0FC" w14:textId="77777777" w:rsidTr="00FD2341">
        <w:trPr>
          <w:cantSplit/>
          <w:trHeight w:val="361"/>
        </w:trPr>
        <w:tc>
          <w:tcPr>
            <w:tcW w:w="2097" w:type="pct"/>
          </w:tcPr>
          <w:p w14:paraId="03F5A0FA" w14:textId="77777777" w:rsidR="00760B23" w:rsidRPr="00C66B94" w:rsidRDefault="00EB38E1" w:rsidP="002855AC">
            <w:pPr>
              <w:pStyle w:val="TableText"/>
            </w:pPr>
            <w:r w:rsidRPr="00C66B94">
              <w:t>Gross alpha</w:t>
            </w:r>
          </w:p>
        </w:tc>
        <w:tc>
          <w:tcPr>
            <w:tcW w:w="2903" w:type="pct"/>
          </w:tcPr>
          <w:p w14:paraId="03F5A0FB" w14:textId="022DE2AA" w:rsidR="00760B23" w:rsidRPr="00C66B94" w:rsidRDefault="00226DA6" w:rsidP="004C6E6D">
            <w:pPr>
              <w:pStyle w:val="TableText"/>
              <w:tabs>
                <w:tab w:val="decimal" w:pos="2447"/>
              </w:tabs>
              <w:jc w:val="both"/>
            </w:pPr>
            <w:r>
              <w:t>&lt;</w:t>
            </w:r>
            <w:r w:rsidR="00EB38E1" w:rsidRPr="00C66B94">
              <w:t>1</w:t>
            </w:r>
          </w:p>
        </w:tc>
      </w:tr>
      <w:tr w:rsidR="0054058D" w14:paraId="03F5A0FF" w14:textId="77777777" w:rsidTr="00FD2341">
        <w:trPr>
          <w:cantSplit/>
          <w:trHeight w:val="361"/>
        </w:trPr>
        <w:tc>
          <w:tcPr>
            <w:tcW w:w="2097" w:type="pct"/>
            <w:tcBorders>
              <w:bottom w:val="single" w:sz="4" w:space="0" w:color="auto"/>
            </w:tcBorders>
          </w:tcPr>
          <w:p w14:paraId="03F5A0FD" w14:textId="77777777" w:rsidR="00760B23" w:rsidRPr="00C66B94" w:rsidRDefault="00EB38E1" w:rsidP="002855AC">
            <w:pPr>
              <w:pStyle w:val="TableText"/>
            </w:pPr>
            <w:r w:rsidRPr="00C66B94">
              <w:t>Gross beta (excluding k-40)</w:t>
            </w:r>
          </w:p>
        </w:tc>
        <w:tc>
          <w:tcPr>
            <w:tcW w:w="2903" w:type="pct"/>
            <w:tcBorders>
              <w:bottom w:val="single" w:sz="4" w:space="0" w:color="auto"/>
            </w:tcBorders>
          </w:tcPr>
          <w:p w14:paraId="03F5A0FE" w14:textId="3DB8827B" w:rsidR="00760B23" w:rsidRPr="00C66B94" w:rsidRDefault="00226DA6" w:rsidP="004C6E6D">
            <w:pPr>
              <w:pStyle w:val="TableText"/>
              <w:tabs>
                <w:tab w:val="decimal" w:pos="2447"/>
              </w:tabs>
              <w:jc w:val="both"/>
            </w:pPr>
            <w:r>
              <w:t>&lt;</w:t>
            </w:r>
            <w:r w:rsidR="00EB38E1" w:rsidRPr="00C66B94">
              <w:t>5</w:t>
            </w:r>
          </w:p>
        </w:tc>
      </w:tr>
      <w:tr w:rsidR="0054058D" w14:paraId="03F5A102" w14:textId="77777777" w:rsidTr="00FD2341">
        <w:trPr>
          <w:cantSplit/>
          <w:trHeight w:val="361"/>
        </w:trPr>
        <w:tc>
          <w:tcPr>
            <w:tcW w:w="2097" w:type="pct"/>
            <w:tcBorders>
              <w:bottom w:val="single" w:sz="12" w:space="0" w:color="auto"/>
            </w:tcBorders>
          </w:tcPr>
          <w:p w14:paraId="03F5A100" w14:textId="77777777" w:rsidR="00760B23" w:rsidRPr="00C66B94" w:rsidRDefault="00EB38E1" w:rsidP="002855AC">
            <w:pPr>
              <w:pStyle w:val="TableText"/>
            </w:pPr>
            <w:r w:rsidRPr="00C66B94">
              <w:t>Thorium 230/232/228</w:t>
            </w:r>
          </w:p>
        </w:tc>
        <w:tc>
          <w:tcPr>
            <w:tcW w:w="2903" w:type="pct"/>
            <w:tcBorders>
              <w:bottom w:val="single" w:sz="12" w:space="0" w:color="auto"/>
            </w:tcBorders>
          </w:tcPr>
          <w:p w14:paraId="03F5A101" w14:textId="3A086746" w:rsidR="00760B23" w:rsidRPr="00C66B94" w:rsidRDefault="00226DA6" w:rsidP="004C6E6D">
            <w:pPr>
              <w:pStyle w:val="TableText"/>
              <w:tabs>
                <w:tab w:val="decimal" w:pos="2447"/>
              </w:tabs>
              <w:jc w:val="both"/>
            </w:pPr>
            <w:r>
              <w:t>&lt;</w:t>
            </w:r>
            <w:r w:rsidR="00EB38E1" w:rsidRPr="00C66B94">
              <w:t>10</w:t>
            </w:r>
          </w:p>
        </w:tc>
      </w:tr>
    </w:tbl>
    <w:bookmarkEnd w:id="484"/>
    <w:p w14:paraId="03F5A103" w14:textId="03FB781B" w:rsidR="00760B23" w:rsidRDefault="00EB38E1" w:rsidP="00C1087A">
      <w:pPr>
        <w:pStyle w:val="FigureTableNoteSource"/>
      </w:pPr>
      <w:r w:rsidRPr="00C66B94">
        <w:rPr>
          <w:rStyle w:val="Strong"/>
        </w:rPr>
        <w:t>a</w:t>
      </w:r>
      <w:r w:rsidRPr="0094552D">
        <w:t xml:space="preserve"> </w:t>
      </w:r>
      <w:r w:rsidR="00556A0D">
        <w:t>C</w:t>
      </w:r>
      <w:r w:rsidRPr="0094552D">
        <w:t>hange is based on the previous assumption that only 10% of radiation will enter the parts of the animal that might be used for human consumption.</w:t>
      </w:r>
    </w:p>
    <w:p w14:paraId="03F5A104" w14:textId="716EC2A7" w:rsidR="004C4577" w:rsidRDefault="00EB38E1" w:rsidP="004C4577">
      <w:proofErr w:type="gramStart"/>
      <w:r w:rsidRPr="0056438C">
        <w:t>Taking into account</w:t>
      </w:r>
      <w:proofErr w:type="gramEnd"/>
      <w:r w:rsidRPr="0056438C">
        <w:t xml:space="preserve"> the recommended </w:t>
      </w:r>
      <w:r>
        <w:t>guideline</w:t>
      </w:r>
      <w:r w:rsidRPr="0056438C">
        <w:t xml:space="preserve"> value concentrations for specific radionucl</w:t>
      </w:r>
      <w:r w:rsidR="008D6126">
        <w:t>eot</w:t>
      </w:r>
      <w:r w:rsidRPr="0056438C">
        <w:t>ides, it is recommended that screening values should be established with a gross alpha level o</w:t>
      </w:r>
      <w:r>
        <w:t xml:space="preserve">f </w:t>
      </w:r>
      <w:r w:rsidRPr="0056438C">
        <w:t>0.5</w:t>
      </w:r>
      <w:r w:rsidR="00733446">
        <w:t> </w:t>
      </w:r>
      <w:r w:rsidRPr="0056438C">
        <w:t>becquerel per litre (</w:t>
      </w:r>
      <w:proofErr w:type="spellStart"/>
      <w:r w:rsidRPr="0056438C">
        <w:t>Bq</w:t>
      </w:r>
      <w:proofErr w:type="spellEnd"/>
      <w:r w:rsidRPr="0056438C">
        <w:t>/L) and a gross beta concentration of 0.5</w:t>
      </w:r>
      <w:r w:rsidR="008562CD">
        <w:t> </w:t>
      </w:r>
      <w:proofErr w:type="spellStart"/>
      <w:r w:rsidRPr="0056438C">
        <w:t>Bq</w:t>
      </w:r>
      <w:proofErr w:type="spellEnd"/>
      <w:r w:rsidRPr="0056438C">
        <w:t>/L, after discounting</w:t>
      </w:r>
      <w:r>
        <w:t xml:space="preserve"> </w:t>
      </w:r>
      <w:r w:rsidRPr="0056438C">
        <w:t>the contribution due to potassium-40.</w:t>
      </w:r>
    </w:p>
    <w:p w14:paraId="03F5A105" w14:textId="299C1F79" w:rsidR="00760B23" w:rsidRDefault="00EB38E1" w:rsidP="00C1087A">
      <w:r w:rsidRPr="007F0688">
        <w:t xml:space="preserve">There will be certain circumstances when a dose may exceed the guidelines. For example, the annual dose rate for </w:t>
      </w:r>
      <w:r w:rsidR="000133DD">
        <w:t xml:space="preserve">lactating </w:t>
      </w:r>
      <w:r w:rsidRPr="007F0688">
        <w:t xml:space="preserve">dairy cows, which </w:t>
      </w:r>
      <w:r w:rsidR="0096132A">
        <w:t>is</w:t>
      </w:r>
      <w:r w:rsidR="0096132A" w:rsidRPr="007F0688">
        <w:t xml:space="preserve"> </w:t>
      </w:r>
      <w:r w:rsidRPr="007F0688">
        <w:t xml:space="preserve">drinking water contaminated with </w:t>
      </w:r>
      <w:r w:rsidR="00562899">
        <w:t>radium</w:t>
      </w:r>
      <w:r w:rsidRPr="007F0688">
        <w:t xml:space="preserve"> 228 at the guideline value (5</w:t>
      </w:r>
      <w:r w:rsidR="008562CD">
        <w:t> </w:t>
      </w:r>
      <w:proofErr w:type="spellStart"/>
      <w:r w:rsidRPr="007F0688">
        <w:t>Bq</w:t>
      </w:r>
      <w:proofErr w:type="spellEnd"/>
      <w:r w:rsidRPr="007F0688">
        <w:t>/L)</w:t>
      </w:r>
      <w:r w:rsidR="007337E9">
        <w:t>,</w:t>
      </w:r>
      <w:r w:rsidRPr="007F0688">
        <w:t xml:space="preserve"> would be</w:t>
      </w:r>
      <w:r w:rsidR="00A05E18">
        <w:t xml:space="preserve"> </w:t>
      </w:r>
      <w:r w:rsidRPr="007F0688">
        <w:t>&gt;100</w:t>
      </w:r>
      <w:r w:rsidR="008562CD">
        <w:t> </w:t>
      </w:r>
      <w:r w:rsidRPr="007F0688">
        <w:t>mSv</w:t>
      </w:r>
      <w:r w:rsidR="004E3179">
        <w:t>,</w:t>
      </w:r>
      <w:r w:rsidRPr="007F0688">
        <w:t xml:space="preserve"> because they consume a high volume of water (85</w:t>
      </w:r>
      <w:r w:rsidR="0088482A">
        <w:t> </w:t>
      </w:r>
      <w:r w:rsidRPr="007F0688">
        <w:t xml:space="preserve">L/d). In such cases, the actual daily intake of water should replace the mean value used in estimating the dose before </w:t>
      </w:r>
      <w:r w:rsidR="00280D71">
        <w:t>protective measures are</w:t>
      </w:r>
      <w:r w:rsidRPr="007F0688">
        <w:t xml:space="preserve"> proposed.</w:t>
      </w:r>
    </w:p>
    <w:p w14:paraId="03F5A106" w14:textId="77777777" w:rsidR="00131E39" w:rsidRPr="00AD38A0" w:rsidRDefault="00EB38E1" w:rsidP="000C6B83">
      <w:pPr>
        <w:pStyle w:val="Heading5"/>
        <w:rPr>
          <w:lang w:eastAsia="ja-JP"/>
        </w:rPr>
      </w:pPr>
      <w:bookmarkStart w:id="485" w:name="_Toc134441577"/>
      <w:bookmarkStart w:id="486" w:name="_Toc134441578"/>
      <w:bookmarkStart w:id="487" w:name="_Toc134441580"/>
      <w:bookmarkStart w:id="488" w:name="_Toc134441581"/>
      <w:bookmarkStart w:id="489" w:name="_Toc134441582"/>
      <w:bookmarkStart w:id="490" w:name="_Toc134441583"/>
      <w:bookmarkStart w:id="491" w:name="_Toc134441584"/>
      <w:bookmarkStart w:id="492" w:name="_Toc134441585"/>
      <w:bookmarkStart w:id="493" w:name="_Toc134441604"/>
      <w:bookmarkStart w:id="494" w:name="_Toc134441605"/>
      <w:bookmarkStart w:id="495" w:name="_Toc134441606"/>
      <w:bookmarkStart w:id="496" w:name="_Toc134441607"/>
      <w:bookmarkStart w:id="497" w:name="_Toc134441608"/>
      <w:bookmarkStart w:id="498" w:name="_Toc134441612"/>
      <w:bookmarkStart w:id="499" w:name="_Toc134441656"/>
      <w:bookmarkStart w:id="500" w:name="_Toc134441657"/>
      <w:bookmarkStart w:id="501" w:name="_Toc134441658"/>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AD38A0">
        <w:rPr>
          <w:lang w:eastAsia="ja-JP"/>
        </w:rPr>
        <w:t>Source</w:t>
      </w:r>
    </w:p>
    <w:p w14:paraId="03F5A107" w14:textId="08E029D5" w:rsidR="00EE3F08" w:rsidRDefault="00EB38E1" w:rsidP="00EE3F08">
      <w:r>
        <w:t>Radioactive contaminants can originate from both natural and artificial sources and can potentially be found in surface water and groundwater.</w:t>
      </w:r>
    </w:p>
    <w:p w14:paraId="03F5A108" w14:textId="77777777" w:rsidR="00BF2060" w:rsidRDefault="00EB38E1" w:rsidP="00FD2341">
      <w:r>
        <w:t>It is important to determine the radiation dose for livestock associated with the presence of radioactive contaminants in different water sources:</w:t>
      </w:r>
    </w:p>
    <w:p w14:paraId="03F5A109" w14:textId="0C640273" w:rsidR="00BF2060" w:rsidRDefault="00EB38E1" w:rsidP="00FD2341">
      <w:pPr>
        <w:pStyle w:val="Bullet"/>
      </w:pPr>
      <w:r>
        <w:t>G</w:t>
      </w:r>
      <w:r w:rsidRPr="0056438C">
        <w:t xml:space="preserve">roundwater is </w:t>
      </w:r>
      <w:r>
        <w:t>a</w:t>
      </w:r>
      <w:r w:rsidRPr="0056438C">
        <w:t xml:space="preserve"> major source of water for agriculture in Australia</w:t>
      </w:r>
      <w:r>
        <w:t>. T</w:t>
      </w:r>
      <w:r w:rsidRPr="0056438C">
        <w:t xml:space="preserve">he most significant </w:t>
      </w:r>
      <w:r>
        <w:t xml:space="preserve">radionuclides </w:t>
      </w:r>
      <w:r w:rsidRPr="0056438C">
        <w:t xml:space="preserve">naturally occurring </w:t>
      </w:r>
      <w:r>
        <w:t>in groundwaters are those associated with the uranium and thorium</w:t>
      </w:r>
      <w:r w:rsidRPr="0056438C">
        <w:t xml:space="preserve"> series</w:t>
      </w:r>
      <w:r>
        <w:t>, because the parent nuclides were present during the formation of Earth (Kleinschmidt, 2011)</w:t>
      </w:r>
      <w:r w:rsidRPr="0056438C">
        <w:t xml:space="preserve">. </w:t>
      </w:r>
      <w:r>
        <w:t>More specifically, r</w:t>
      </w:r>
      <w:r w:rsidRPr="0056438C">
        <w:t>adium-226, radium-228 and uranium-238 are the natural radionuclides which are often detectable in groundwater supplies</w:t>
      </w:r>
      <w:r>
        <w:t xml:space="preserve">. </w:t>
      </w:r>
      <w:r w:rsidRPr="0056438C">
        <w:t>Potassium-40 is a common radioactive constituent of groundwater. However, this radionuclide occurs in a fixed ratio to stable potassium and is not considered a health risk (UN</w:t>
      </w:r>
      <w:r>
        <w:t>,</w:t>
      </w:r>
      <w:r w:rsidRPr="0056438C">
        <w:rPr>
          <w:spacing w:val="-3"/>
        </w:rPr>
        <w:t xml:space="preserve"> </w:t>
      </w:r>
      <w:r w:rsidRPr="0056438C">
        <w:t>1993).</w:t>
      </w:r>
    </w:p>
    <w:p w14:paraId="03F5A10A" w14:textId="7E34C743" w:rsidR="00BF2060" w:rsidRDefault="00EB38E1" w:rsidP="00FD2341">
      <w:pPr>
        <w:pStyle w:val="Bullet"/>
        <w:spacing w:after="240"/>
      </w:pPr>
      <w:r w:rsidRPr="0056438C">
        <w:lastRenderedPageBreak/>
        <w:t>Surface water generally contains considerably lower concentrations of these radionuclides. Other long-lived natural radionuclides</w:t>
      </w:r>
      <w:r>
        <w:t xml:space="preserve"> (</w:t>
      </w:r>
      <w:proofErr w:type="gramStart"/>
      <w:r>
        <w:t>e.g.</w:t>
      </w:r>
      <w:proofErr w:type="gramEnd"/>
      <w:r w:rsidRPr="0056438C">
        <w:t xml:space="preserve"> thorium isotopes and lead-210</w:t>
      </w:r>
      <w:r>
        <w:t>)</w:t>
      </w:r>
      <w:r w:rsidRPr="0056438C">
        <w:t xml:space="preserve"> are normally not found in </w:t>
      </w:r>
      <w:r w:rsidR="00831DFA">
        <w:t xml:space="preserve">significant quantities in </w:t>
      </w:r>
      <w:r w:rsidRPr="0056438C">
        <w:t>surface water or groundwater (UN</w:t>
      </w:r>
      <w:r>
        <w:t>,</w:t>
      </w:r>
      <w:r w:rsidRPr="0056438C">
        <w:t xml:space="preserve"> 1993).</w:t>
      </w:r>
    </w:p>
    <w:p w14:paraId="03F5A10B" w14:textId="32E403BF" w:rsidR="00131E39" w:rsidRPr="0056438C" w:rsidRDefault="00E460B8" w:rsidP="00FD2341">
      <w:r>
        <w:t xml:space="preserve">When assessing the radiological quality of stock waters, </w:t>
      </w:r>
      <w:r w:rsidR="00CD57DA">
        <w:t>consideration must also be given to t</w:t>
      </w:r>
      <w:r w:rsidR="00EB38E1" w:rsidRPr="0056438C">
        <w:t xml:space="preserve">he possibility of </w:t>
      </w:r>
      <w:r>
        <w:t>higher</w:t>
      </w:r>
      <w:r w:rsidRPr="0056438C">
        <w:t xml:space="preserve"> </w:t>
      </w:r>
      <w:r w:rsidR="00EB38E1" w:rsidRPr="0056438C">
        <w:t xml:space="preserve">levels of radionuclides arising from activities such as processing of minerals containing uranium and thorium </w:t>
      </w:r>
      <w:r w:rsidR="00EB38E1">
        <w:t>(</w:t>
      </w:r>
      <w:proofErr w:type="gramStart"/>
      <w:r w:rsidR="00EB38E1">
        <w:t>e.g.</w:t>
      </w:r>
      <w:proofErr w:type="gramEnd"/>
      <w:r w:rsidR="00EB38E1">
        <w:t xml:space="preserve"> from the processing of phosphate ores for fertiliser production, (Pearson et al. 2019))</w:t>
      </w:r>
      <w:r w:rsidR="00EB38E1" w:rsidRPr="0056438C">
        <w:t>.</w:t>
      </w:r>
    </w:p>
    <w:p w14:paraId="03F5A10C" w14:textId="5E3FF523" w:rsidR="00131E39" w:rsidRPr="0056438C" w:rsidRDefault="00EB38E1" w:rsidP="00207798">
      <w:pPr>
        <w:rPr>
          <w:rFonts w:ascii="Arial"/>
          <w:sz w:val="20"/>
        </w:rPr>
      </w:pPr>
      <w:r w:rsidRPr="0056438C">
        <w:t xml:space="preserve">Levels of radionuclides </w:t>
      </w:r>
      <w:r>
        <w:t xml:space="preserve">in soils </w:t>
      </w:r>
      <w:r w:rsidRPr="0056438C">
        <w:t xml:space="preserve">from nuclear fallout </w:t>
      </w:r>
      <w:r>
        <w:t xml:space="preserve">in the Australian environment </w:t>
      </w:r>
      <w:r w:rsidR="0016691A">
        <w:t xml:space="preserve">are no longer significant, having decreased </w:t>
      </w:r>
      <w:r w:rsidR="00EC5594">
        <w:t xml:space="preserve">substantially </w:t>
      </w:r>
      <w:r>
        <w:t>since the tests of nuclear weapons in the 1950s and 1960s</w:t>
      </w:r>
      <w:r w:rsidRPr="0056438C">
        <w:t>. They have still been detected in some Australian soils</w:t>
      </w:r>
      <w:r w:rsidR="007F50FA">
        <w:t>;</w:t>
      </w:r>
      <w:r w:rsidRPr="0056438C">
        <w:t xml:space="preserve"> however</w:t>
      </w:r>
      <w:r w:rsidR="007F50FA">
        <w:t>,</w:t>
      </w:r>
      <w:r w:rsidRPr="0056438C">
        <w:t xml:space="preserve"> their concentrations are well below the levels of natural radionuclides (M Cooper, </w:t>
      </w:r>
      <w:r w:rsidRPr="0059120D">
        <w:t xml:space="preserve">unpublished). UNSCEAR (2000) estimated that the </w:t>
      </w:r>
      <w:r w:rsidR="00562899">
        <w:t>southern</w:t>
      </w:r>
      <w:r w:rsidRPr="0059120D">
        <w:t xml:space="preserve"> hemisphere received about </w:t>
      </w:r>
      <w:r w:rsidR="00BF2060">
        <w:t>one-third</w:t>
      </w:r>
      <w:r w:rsidRPr="0059120D">
        <w:t xml:space="preserve"> of</w:t>
      </w:r>
      <w:r>
        <w:t xml:space="preserve"> global fallout from nuclear atmospheric tests. Nearly </w:t>
      </w:r>
      <w:r w:rsidR="00562899">
        <w:t>60</w:t>
      </w:r>
      <w:r>
        <w:t xml:space="preserve"> years later at the time of the update of these </w:t>
      </w:r>
      <w:r w:rsidR="00E142AB">
        <w:t>guidelines</w:t>
      </w:r>
      <w:r>
        <w:t xml:space="preserve">, almost </w:t>
      </w:r>
      <w:r w:rsidR="00E142AB">
        <w:t xml:space="preserve">2 </w:t>
      </w:r>
      <w:r>
        <w:t xml:space="preserve">half-lives of </w:t>
      </w:r>
      <w:r w:rsidRPr="00C94C1D">
        <w:rPr>
          <w:vertAlign w:val="superscript"/>
        </w:rPr>
        <w:t>137</w:t>
      </w:r>
      <w:r>
        <w:t>Cs have passed (30.07</w:t>
      </w:r>
      <w:r w:rsidR="00BF2060">
        <w:t>-</w:t>
      </w:r>
      <w:r>
        <w:t>year half-life) and it is therefore difficult to detect this radionuclide in the soil</w:t>
      </w:r>
      <w:r w:rsidR="00207798">
        <w:t>.</w:t>
      </w:r>
      <w:r>
        <w:t xml:space="preserve"> In the Sydney region, ratios of </w:t>
      </w:r>
      <w:r w:rsidRPr="00C94C1D">
        <w:rPr>
          <w:vertAlign w:val="superscript"/>
        </w:rPr>
        <w:t>240</w:t>
      </w:r>
      <w:r>
        <w:t>Pu/</w:t>
      </w:r>
      <w:r w:rsidRPr="00C94C1D">
        <w:rPr>
          <w:vertAlign w:val="superscript"/>
        </w:rPr>
        <w:t>239</w:t>
      </w:r>
      <w:r>
        <w:t xml:space="preserve">Pu in creek sediments were found to be lower than the global average (estimated to be around 0.18) and </w:t>
      </w:r>
      <w:proofErr w:type="gramStart"/>
      <w:r>
        <w:t>similar to</w:t>
      </w:r>
      <w:proofErr w:type="gramEnd"/>
      <w:r>
        <w:t xml:space="preserve"> those reported for other locations away from nuclear testing sites (Smith et al. 2016</w:t>
      </w:r>
      <w:r w:rsidR="00562899">
        <w:t>)</w:t>
      </w:r>
      <w:r>
        <w:t xml:space="preserve">. </w:t>
      </w:r>
    </w:p>
    <w:p w14:paraId="03F5A10D" w14:textId="77777777" w:rsidR="00131E39" w:rsidRPr="00AD38A0" w:rsidRDefault="00EB38E1" w:rsidP="000C6B83">
      <w:pPr>
        <w:pStyle w:val="Heading5"/>
        <w:rPr>
          <w:lang w:eastAsia="ja-JP"/>
        </w:rPr>
      </w:pPr>
      <w:bookmarkStart w:id="502" w:name="_Toc134441660"/>
      <w:bookmarkStart w:id="503" w:name="_Toc96693611"/>
      <w:bookmarkEnd w:id="502"/>
      <w:r w:rsidRPr="00AD38A0">
        <w:rPr>
          <w:lang w:eastAsia="ja-JP"/>
        </w:rPr>
        <w:t>Effect</w:t>
      </w:r>
      <w:r w:rsidR="00AD38A0">
        <w:rPr>
          <w:lang w:eastAsia="ja-JP"/>
        </w:rPr>
        <w:t>s</w:t>
      </w:r>
      <w:r w:rsidRPr="00AD38A0">
        <w:rPr>
          <w:lang w:eastAsia="ja-JP"/>
        </w:rPr>
        <w:t xml:space="preserve"> on animal health</w:t>
      </w:r>
      <w:bookmarkEnd w:id="503"/>
    </w:p>
    <w:p w14:paraId="03F5A10E" w14:textId="06E9FE3C" w:rsidR="00BF2060" w:rsidRDefault="00EB38E1" w:rsidP="00BF2060">
      <w:r w:rsidRPr="009046EE">
        <w:t xml:space="preserve">It is not considered feasible that levels of radioactivity in </w:t>
      </w:r>
      <w:r w:rsidR="008562CD">
        <w:t>live</w:t>
      </w:r>
      <w:r w:rsidRPr="009046EE">
        <w:t>stock drinking water would be a direct threat to the health of the animals (UN 1993</w:t>
      </w:r>
      <w:r w:rsidR="007B18DE">
        <w:t>;</w:t>
      </w:r>
      <w:r w:rsidR="007B18DE" w:rsidRPr="009046EE">
        <w:t xml:space="preserve"> </w:t>
      </w:r>
      <w:r w:rsidRPr="009046EE">
        <w:t>International Atomic Energy Agency</w:t>
      </w:r>
      <w:r w:rsidRPr="009046EE">
        <w:rPr>
          <w:spacing w:val="-7"/>
        </w:rPr>
        <w:t xml:space="preserve"> </w:t>
      </w:r>
      <w:r w:rsidRPr="009046EE">
        <w:t>1994).</w:t>
      </w:r>
    </w:p>
    <w:p w14:paraId="03F5A10F" w14:textId="77777777" w:rsidR="00131E39" w:rsidRPr="0056438C" w:rsidRDefault="00EB38E1" w:rsidP="00FD2341">
      <w:r w:rsidRPr="0056438C">
        <w:t>The main risks to health due to radioactivity in water will arise from the transfer of radionuclides from water to animal products and their subsequent consumption</w:t>
      </w:r>
      <w:r w:rsidR="00BF2060">
        <w:t xml:space="preserve"> by humans</w:t>
      </w:r>
      <w:r w:rsidRPr="0056438C">
        <w:t>. Cancer is the potential health concern for humans associated with exposure to natural radionuclides.</w:t>
      </w:r>
    </w:p>
    <w:p w14:paraId="03F5A110" w14:textId="5B829E55" w:rsidR="00131E39" w:rsidRPr="0056438C" w:rsidRDefault="00EB38E1" w:rsidP="00C1087A">
      <w:pPr>
        <w:rPr>
          <w:lang w:val="en-GB"/>
        </w:rPr>
      </w:pPr>
      <w:r>
        <w:rPr>
          <w:lang w:val="en-GB"/>
        </w:rPr>
        <w:t>However,</w:t>
      </w:r>
      <w:r w:rsidRPr="0056438C">
        <w:rPr>
          <w:lang w:val="en-GB"/>
        </w:rPr>
        <w:t xml:space="preserve"> the naturally occurring radionuclides representing the most significant radiological health risk, radium </w:t>
      </w:r>
      <w:r w:rsidRPr="00AD38A0">
        <w:t>isotopes</w:t>
      </w:r>
      <w:r w:rsidRPr="0056438C">
        <w:rPr>
          <w:lang w:val="en-GB"/>
        </w:rPr>
        <w:t xml:space="preserve"> and uranium-238, are not taken up</w:t>
      </w:r>
      <w:r>
        <w:rPr>
          <w:lang w:val="en-GB"/>
        </w:rPr>
        <w:t xml:space="preserve"> </w:t>
      </w:r>
      <w:r w:rsidRPr="0056438C">
        <w:rPr>
          <w:lang w:val="en-GB"/>
        </w:rPr>
        <w:t xml:space="preserve">readily into animal tissues or organs. Moreover, </w:t>
      </w:r>
      <w:r w:rsidRPr="00AD38A0">
        <w:t>these</w:t>
      </w:r>
      <w:r w:rsidRPr="0056438C">
        <w:rPr>
          <w:lang w:val="en-GB"/>
        </w:rPr>
        <w:t xml:space="preserve"> </w:t>
      </w:r>
      <w:r w:rsidRPr="00AD38A0">
        <w:t>radionuclides</w:t>
      </w:r>
      <w:r w:rsidRPr="0056438C">
        <w:rPr>
          <w:lang w:val="en-GB"/>
        </w:rPr>
        <w:t xml:space="preserve"> do not concentrate in meat tissue or milk (International Atomic Energy Agency 1994</w:t>
      </w:r>
      <w:r>
        <w:rPr>
          <w:lang w:val="en-GB"/>
        </w:rPr>
        <w:t>;</w:t>
      </w:r>
      <w:r w:rsidRPr="0056438C">
        <w:rPr>
          <w:lang w:val="en-GB"/>
        </w:rPr>
        <w:t xml:space="preserve"> Brown &amp; Simmonds</w:t>
      </w:r>
      <w:r w:rsidRPr="0056438C">
        <w:rPr>
          <w:spacing w:val="-14"/>
          <w:lang w:val="en-GB"/>
        </w:rPr>
        <w:t xml:space="preserve"> </w:t>
      </w:r>
      <w:r w:rsidRPr="0056438C">
        <w:rPr>
          <w:lang w:val="en-GB"/>
        </w:rPr>
        <w:t>1995).</w:t>
      </w:r>
    </w:p>
    <w:p w14:paraId="03F5A111" w14:textId="77777777" w:rsidR="00EE3F08" w:rsidRPr="00AD38A0" w:rsidRDefault="00EB38E1" w:rsidP="000C6B83">
      <w:pPr>
        <w:pStyle w:val="Heading5"/>
        <w:rPr>
          <w:lang w:eastAsia="ja-JP"/>
        </w:rPr>
      </w:pPr>
      <w:bookmarkStart w:id="504" w:name="_Toc134441662"/>
      <w:bookmarkStart w:id="505" w:name="_Toc134441663"/>
      <w:bookmarkEnd w:id="504"/>
      <w:bookmarkEnd w:id="505"/>
      <w:r w:rsidRPr="00AD38A0">
        <w:rPr>
          <w:lang w:eastAsia="ja-JP"/>
        </w:rPr>
        <w:t>Derivation of guideline values</w:t>
      </w:r>
    </w:p>
    <w:p w14:paraId="03F5A112" w14:textId="56AC1954" w:rsidR="00EE3F08" w:rsidRPr="0056438C" w:rsidRDefault="00EB38E1" w:rsidP="00FD2341">
      <w:r w:rsidRPr="0056438C">
        <w:t>Minimising human exposure to radiation where possible should be a major consideration in establishing guidelines for radiological water quality. An ideal approach may be to maintain the same set of radiological guidelines for stock water as apply for drinking water quality in Australia and New Zealand. However, in most cases this would be impractical. Given that the main source of potential contamination will be naturally occurring radioactivity, it would be sensible to derive guideline values based upon the same dose limit (0.1</w:t>
      </w:r>
      <w:r w:rsidR="00561D6F">
        <w:t> </w:t>
      </w:r>
      <w:r w:rsidRPr="0056438C">
        <w:t xml:space="preserve">mSv) as applies to drinking water but to </w:t>
      </w:r>
      <w:proofErr w:type="gramStart"/>
      <w:r w:rsidRPr="0056438C">
        <w:t>take into account</w:t>
      </w:r>
      <w:proofErr w:type="gramEnd"/>
      <w:r w:rsidRPr="0056438C">
        <w:t xml:space="preserve"> the low transfer factors for such radionuclides into the human food chain via the animal pathway.</w:t>
      </w:r>
    </w:p>
    <w:p w14:paraId="03F5A113" w14:textId="3D0104E3" w:rsidR="00EE3F08" w:rsidRDefault="00EB38E1" w:rsidP="00DD238A">
      <w:r w:rsidRPr="0056438C">
        <w:t xml:space="preserve">This </w:t>
      </w:r>
      <w:r w:rsidRPr="0056438C">
        <w:rPr>
          <w:spacing w:val="-3"/>
        </w:rPr>
        <w:t xml:space="preserve">review </w:t>
      </w:r>
      <w:r w:rsidRPr="0056438C">
        <w:t xml:space="preserve">follows the </w:t>
      </w:r>
      <w:r w:rsidRPr="0056438C">
        <w:rPr>
          <w:spacing w:val="-3"/>
        </w:rPr>
        <w:t xml:space="preserve">methodology </w:t>
      </w:r>
      <w:r w:rsidRPr="0056438C">
        <w:t xml:space="preserve">outlined in the </w:t>
      </w:r>
      <w:r w:rsidRPr="0056438C">
        <w:rPr>
          <w:i/>
        </w:rPr>
        <w:t xml:space="preserve">Australian Drinking </w:t>
      </w:r>
      <w:r w:rsidRPr="0056438C">
        <w:rPr>
          <w:i/>
          <w:spacing w:val="-3"/>
        </w:rPr>
        <w:t xml:space="preserve">Water Quality Guidelines </w:t>
      </w:r>
      <w:r w:rsidRPr="0056438C">
        <w:rPr>
          <w:spacing w:val="-3"/>
        </w:rPr>
        <w:t>(NHMRC</w:t>
      </w:r>
      <w:r>
        <w:rPr>
          <w:spacing w:val="-3"/>
        </w:rPr>
        <w:t xml:space="preserve"> </w:t>
      </w:r>
      <w:r>
        <w:t>2011</w:t>
      </w:r>
      <w:r w:rsidRPr="0056438C">
        <w:t>)</w:t>
      </w:r>
      <w:r>
        <w:t xml:space="preserve"> and WHO (2017</w:t>
      </w:r>
      <w:proofErr w:type="gramStart"/>
      <w:r>
        <w:t>)</w:t>
      </w:r>
      <w:r w:rsidRPr="0056438C">
        <w:t>, but</w:t>
      </w:r>
      <w:proofErr w:type="gramEnd"/>
      <w:r w:rsidRPr="0056438C">
        <w:t xml:space="preserve"> using an annual </w:t>
      </w:r>
      <w:r w:rsidRPr="0056438C">
        <w:rPr>
          <w:spacing w:val="-3"/>
        </w:rPr>
        <w:t>committed</w:t>
      </w:r>
      <w:r w:rsidRPr="0056438C">
        <w:rPr>
          <w:spacing w:val="49"/>
        </w:rPr>
        <w:t xml:space="preserve"> </w:t>
      </w:r>
      <w:r w:rsidRPr="0056438C">
        <w:rPr>
          <w:spacing w:val="-3"/>
        </w:rPr>
        <w:t>effective</w:t>
      </w:r>
      <w:r w:rsidRPr="0056438C">
        <w:rPr>
          <w:spacing w:val="49"/>
        </w:rPr>
        <w:t xml:space="preserve"> </w:t>
      </w:r>
      <w:r w:rsidRPr="0056438C">
        <w:t>dose of 1</w:t>
      </w:r>
      <w:r w:rsidR="00B57AE6">
        <w:t> </w:t>
      </w:r>
      <w:r w:rsidRPr="0056438C">
        <w:rPr>
          <w:spacing w:val="-4"/>
        </w:rPr>
        <w:t xml:space="preserve">mSv </w:t>
      </w:r>
      <w:r w:rsidRPr="0056438C">
        <w:t>instead of 0.1</w:t>
      </w:r>
      <w:r w:rsidR="00B57AE6">
        <w:t> </w:t>
      </w:r>
      <w:r w:rsidRPr="0056438C">
        <w:rPr>
          <w:spacing w:val="-4"/>
        </w:rPr>
        <w:t xml:space="preserve">mSv </w:t>
      </w:r>
      <w:r w:rsidRPr="0056438C">
        <w:t xml:space="preserve">to calculate </w:t>
      </w:r>
      <w:r>
        <w:rPr>
          <w:spacing w:val="-3"/>
        </w:rPr>
        <w:t>guideline</w:t>
      </w:r>
      <w:r w:rsidRPr="0056438C">
        <w:rPr>
          <w:spacing w:val="-3"/>
        </w:rPr>
        <w:t xml:space="preserve"> values </w:t>
      </w:r>
      <w:r w:rsidRPr="0056438C">
        <w:t>for specific radionuclides in stock</w:t>
      </w:r>
      <w:r w:rsidRPr="0056438C">
        <w:rPr>
          <w:spacing w:val="-10"/>
        </w:rPr>
        <w:t xml:space="preserve"> </w:t>
      </w:r>
      <w:r w:rsidRPr="0056438C">
        <w:t>waters</w:t>
      </w:r>
      <w:r>
        <w:t>.</w:t>
      </w:r>
    </w:p>
    <w:p w14:paraId="03F5A114" w14:textId="77777777" w:rsidR="00257B02" w:rsidRDefault="00EB38E1">
      <w:r>
        <w:t>The guideline value (</w:t>
      </w:r>
      <w:proofErr w:type="spellStart"/>
      <w:r>
        <w:t>Bq</w:t>
      </w:r>
      <w:proofErr w:type="spellEnd"/>
      <w:r>
        <w:t>/L) for radionuclides in drinking</w:t>
      </w:r>
      <w:r w:rsidR="007A6B8D">
        <w:t xml:space="preserve"> water</w:t>
      </w:r>
      <w:r>
        <w:t xml:space="preserve"> are calculated using Equation 3.5.</w:t>
      </w:r>
    </w:p>
    <w:p w14:paraId="3310EC3B" w14:textId="77777777" w:rsidR="00AB45C1" w:rsidRDefault="00AB45C1">
      <w:pPr>
        <w:spacing w:after="0" w:line="240" w:lineRule="auto"/>
        <w:rPr>
          <w:rFonts w:ascii="Arial" w:eastAsiaTheme="majorEastAsia" w:hAnsi="Arial" w:cs="Arial"/>
          <w:color w:val="000000" w:themeColor="text1"/>
          <w:sz w:val="24"/>
          <w:szCs w:val="2"/>
          <w:lang w:val="en-GB" w:eastAsia="ja-JP"/>
        </w:rPr>
      </w:pPr>
      <w:bookmarkStart w:id="506" w:name="_Toc135056390"/>
      <w:bookmarkStart w:id="507" w:name="_Toc142999669"/>
      <w:bookmarkStart w:id="508" w:name="_Toc148089863"/>
      <w:r>
        <w:br w:type="page"/>
      </w:r>
    </w:p>
    <w:p w14:paraId="03F5A115" w14:textId="537E65B6" w:rsidR="00257B02" w:rsidRDefault="00EB38E1" w:rsidP="00DF778F">
      <w:pPr>
        <w:pStyle w:val="Caption"/>
      </w:pPr>
      <w:r>
        <w:lastRenderedPageBreak/>
        <w:t>Equation 3.5</w:t>
      </w:r>
      <w:bookmarkEnd w:id="506"/>
      <w:bookmarkEnd w:id="507"/>
      <w:bookmarkEnd w:id="508"/>
    </w:p>
    <w:p w14:paraId="03F5A116" w14:textId="77777777" w:rsidR="00EE3F08" w:rsidRPr="00FD2341" w:rsidRDefault="00EB38E1" w:rsidP="00FD2341">
      <w:pPr>
        <w:ind w:left="567"/>
        <w:rPr>
          <w:rFonts w:asciiTheme="majorHAnsi" w:hAnsiTheme="majorHAnsi" w:cstheme="minorHAnsi"/>
          <w:sz w:val="20"/>
          <w:szCs w:val="20"/>
        </w:rPr>
      </w:pPr>
      <w:r w:rsidRPr="00FD2341">
        <w:rPr>
          <w:rFonts w:asciiTheme="majorHAnsi" w:hAnsiTheme="majorHAnsi" w:cstheme="minorHAnsi"/>
          <w:sz w:val="20"/>
          <w:szCs w:val="20"/>
        </w:rPr>
        <w:t>Annual dose (mSv/year) = Dose per unit intake (mSv/</w:t>
      </w:r>
      <w:proofErr w:type="spellStart"/>
      <w:r w:rsidRPr="00FD2341">
        <w:rPr>
          <w:rFonts w:asciiTheme="majorHAnsi" w:hAnsiTheme="majorHAnsi" w:cstheme="minorHAnsi"/>
          <w:sz w:val="20"/>
          <w:szCs w:val="20"/>
        </w:rPr>
        <w:t>Bq</w:t>
      </w:r>
      <w:proofErr w:type="spellEnd"/>
      <w:r w:rsidRPr="00FD2341">
        <w:rPr>
          <w:rFonts w:asciiTheme="majorHAnsi" w:hAnsiTheme="majorHAnsi" w:cstheme="minorHAnsi"/>
          <w:sz w:val="20"/>
          <w:szCs w:val="20"/>
        </w:rPr>
        <w:t>) x Annual water consumption (L) x Radionuclide concentration (</w:t>
      </w:r>
      <w:proofErr w:type="spellStart"/>
      <w:r w:rsidRPr="00FD2341">
        <w:rPr>
          <w:rFonts w:asciiTheme="majorHAnsi" w:hAnsiTheme="majorHAnsi" w:cstheme="minorHAnsi"/>
          <w:sz w:val="20"/>
          <w:szCs w:val="20"/>
        </w:rPr>
        <w:t>Bq</w:t>
      </w:r>
      <w:proofErr w:type="spellEnd"/>
      <w:r w:rsidRPr="00FD2341">
        <w:rPr>
          <w:rFonts w:asciiTheme="majorHAnsi" w:hAnsiTheme="majorHAnsi" w:cstheme="minorHAnsi"/>
          <w:sz w:val="20"/>
          <w:szCs w:val="20"/>
        </w:rPr>
        <w:t>/L).</w:t>
      </w:r>
    </w:p>
    <w:p w14:paraId="03F5A117" w14:textId="77777777" w:rsidR="004C4577" w:rsidRDefault="00EB38E1" w:rsidP="00FD2341">
      <w:r>
        <w:t>Where:</w:t>
      </w:r>
    </w:p>
    <w:p w14:paraId="03F5A118" w14:textId="6EFFA75B" w:rsidR="00EE3F08" w:rsidRDefault="00EB38E1" w:rsidP="00FD2341">
      <w:pPr>
        <w:pStyle w:val="ListParagraph"/>
        <w:numPr>
          <w:ilvl w:val="0"/>
          <w:numId w:val="35"/>
        </w:numPr>
      </w:pPr>
      <w:r>
        <w:t>The annual water consumption is estimated at 730</w:t>
      </w:r>
      <w:r w:rsidR="00B57AE6">
        <w:t> </w:t>
      </w:r>
      <w:r>
        <w:t>L/year (WHO, 2017), which is a daily intake of 2</w:t>
      </w:r>
      <w:r w:rsidR="00B57AE6">
        <w:t> </w:t>
      </w:r>
      <w:r>
        <w:t>L per adult person.</w:t>
      </w:r>
    </w:p>
    <w:p w14:paraId="03F5A119" w14:textId="665C9846" w:rsidR="00EE3F08" w:rsidRPr="0056438C" w:rsidRDefault="00EB38E1" w:rsidP="00FD2341">
      <w:r w:rsidRPr="0056438C">
        <w:rPr>
          <w:spacing w:val="-3"/>
        </w:rPr>
        <w:t xml:space="preserve">Only key </w:t>
      </w:r>
      <w:r w:rsidRPr="0056438C">
        <w:t xml:space="preserve">natural radionuclides </w:t>
      </w:r>
      <w:r w:rsidRPr="0056438C">
        <w:rPr>
          <w:spacing w:val="-3"/>
        </w:rPr>
        <w:t xml:space="preserve">have </w:t>
      </w:r>
      <w:r w:rsidRPr="0056438C">
        <w:t xml:space="preserve">been considered. </w:t>
      </w:r>
      <w:r w:rsidRPr="0056438C">
        <w:rPr>
          <w:spacing w:val="-4"/>
        </w:rPr>
        <w:t xml:space="preserve">It </w:t>
      </w:r>
      <w:r w:rsidRPr="0056438C">
        <w:rPr>
          <w:spacing w:val="-3"/>
        </w:rPr>
        <w:t xml:space="preserve">should </w:t>
      </w:r>
      <w:r w:rsidRPr="0056438C">
        <w:t xml:space="preserve">be noted that the </w:t>
      </w:r>
      <w:r>
        <w:rPr>
          <w:spacing w:val="-3"/>
        </w:rPr>
        <w:t>DGV</w:t>
      </w:r>
      <w:r w:rsidRPr="0056438C">
        <w:rPr>
          <w:spacing w:val="-3"/>
        </w:rPr>
        <w:t xml:space="preserve"> </w:t>
      </w:r>
      <w:r w:rsidRPr="0056438C">
        <w:rPr>
          <w:spacing w:val="-2"/>
        </w:rPr>
        <w:t xml:space="preserve">for </w:t>
      </w:r>
      <w:r w:rsidRPr="0056438C">
        <w:rPr>
          <w:spacing w:val="-3"/>
        </w:rPr>
        <w:t>uranium-238</w:t>
      </w:r>
      <w:r w:rsidRPr="0056438C">
        <w:rPr>
          <w:spacing w:val="13"/>
        </w:rPr>
        <w:t xml:space="preserve"> </w:t>
      </w:r>
      <w:r w:rsidRPr="0056438C">
        <w:t>is</w:t>
      </w:r>
      <w:r w:rsidRPr="0056438C">
        <w:rPr>
          <w:spacing w:val="14"/>
        </w:rPr>
        <w:t xml:space="preserve"> </w:t>
      </w:r>
      <w:r w:rsidRPr="0056438C">
        <w:t>based</w:t>
      </w:r>
      <w:r w:rsidRPr="0056438C">
        <w:rPr>
          <w:spacing w:val="14"/>
        </w:rPr>
        <w:t xml:space="preserve"> </w:t>
      </w:r>
      <w:r w:rsidRPr="0056438C">
        <w:t>on</w:t>
      </w:r>
      <w:r w:rsidRPr="0056438C">
        <w:rPr>
          <w:spacing w:val="14"/>
        </w:rPr>
        <w:t xml:space="preserve"> </w:t>
      </w:r>
      <w:r w:rsidRPr="0056438C">
        <w:rPr>
          <w:spacing w:val="-3"/>
        </w:rPr>
        <w:t>chemical</w:t>
      </w:r>
      <w:r w:rsidRPr="0056438C">
        <w:rPr>
          <w:spacing w:val="14"/>
        </w:rPr>
        <w:t xml:space="preserve"> </w:t>
      </w:r>
      <w:r w:rsidRPr="0056438C">
        <w:t>toxicity</w:t>
      </w:r>
      <w:r w:rsidRPr="0056438C">
        <w:rPr>
          <w:spacing w:val="11"/>
        </w:rPr>
        <w:t xml:space="preserve"> </w:t>
      </w:r>
      <w:r w:rsidRPr="0056438C">
        <w:t>considerations</w:t>
      </w:r>
      <w:r w:rsidRPr="0056438C">
        <w:rPr>
          <w:spacing w:val="14"/>
        </w:rPr>
        <w:t xml:space="preserve"> </w:t>
      </w:r>
      <w:r w:rsidRPr="0056438C">
        <w:rPr>
          <w:spacing w:val="-3"/>
        </w:rPr>
        <w:t>rather</w:t>
      </w:r>
      <w:r w:rsidRPr="0056438C">
        <w:rPr>
          <w:spacing w:val="14"/>
        </w:rPr>
        <w:t xml:space="preserve"> </w:t>
      </w:r>
      <w:r w:rsidRPr="0056438C">
        <w:t>than</w:t>
      </w:r>
      <w:r w:rsidRPr="0056438C">
        <w:rPr>
          <w:spacing w:val="16"/>
        </w:rPr>
        <w:t xml:space="preserve"> </w:t>
      </w:r>
      <w:r w:rsidRPr="0056438C">
        <w:t>on</w:t>
      </w:r>
      <w:r w:rsidRPr="0056438C">
        <w:rPr>
          <w:spacing w:val="16"/>
        </w:rPr>
        <w:t xml:space="preserve"> </w:t>
      </w:r>
      <w:r w:rsidRPr="0056438C">
        <w:rPr>
          <w:spacing w:val="-3"/>
        </w:rPr>
        <w:t>radiological</w:t>
      </w:r>
      <w:r w:rsidRPr="0056438C">
        <w:rPr>
          <w:spacing w:val="16"/>
        </w:rPr>
        <w:t xml:space="preserve"> </w:t>
      </w:r>
      <w:r w:rsidRPr="0056438C">
        <w:rPr>
          <w:spacing w:val="-3"/>
        </w:rPr>
        <w:t>grounds</w:t>
      </w:r>
      <w:r>
        <w:rPr>
          <w:spacing w:val="-3"/>
        </w:rPr>
        <w:t xml:space="preserve">. </w:t>
      </w:r>
      <w:r w:rsidRPr="0056438C">
        <w:t xml:space="preserve">No </w:t>
      </w:r>
      <w:r>
        <w:rPr>
          <w:spacing w:val="-3"/>
        </w:rPr>
        <w:t>guideline</w:t>
      </w:r>
      <w:r w:rsidRPr="0056438C">
        <w:rPr>
          <w:spacing w:val="-3"/>
        </w:rPr>
        <w:t xml:space="preserve"> values </w:t>
      </w:r>
      <w:r w:rsidRPr="0056438C">
        <w:t xml:space="preserve">are presented for other natural </w:t>
      </w:r>
      <w:r>
        <w:t>radio</w:t>
      </w:r>
      <w:r w:rsidRPr="0056438C">
        <w:t xml:space="preserve">nuclides, </w:t>
      </w:r>
      <w:r w:rsidRPr="0056438C">
        <w:rPr>
          <w:spacing w:val="-3"/>
        </w:rPr>
        <w:t xml:space="preserve">such </w:t>
      </w:r>
      <w:r w:rsidRPr="0056438C">
        <w:t xml:space="preserve">as thorium isotopes, </w:t>
      </w:r>
      <w:r w:rsidRPr="0054508C">
        <w:t xml:space="preserve">lead-210 </w:t>
      </w:r>
      <w:r w:rsidRPr="0056438C">
        <w:t xml:space="preserve">or </w:t>
      </w:r>
      <w:r w:rsidRPr="0054508C">
        <w:t>polonium</w:t>
      </w:r>
      <w:r w:rsidRPr="0056438C">
        <w:rPr>
          <w:spacing w:val="-3"/>
        </w:rPr>
        <w:t xml:space="preserve">-210, </w:t>
      </w:r>
      <w:r w:rsidRPr="0056438C">
        <w:t xml:space="preserve">because they are </w:t>
      </w:r>
      <w:r w:rsidRPr="0056438C">
        <w:rPr>
          <w:spacing w:val="-3"/>
        </w:rPr>
        <w:t xml:space="preserve">rarely found </w:t>
      </w:r>
      <w:r w:rsidRPr="0056438C">
        <w:t xml:space="preserve">in </w:t>
      </w:r>
      <w:r w:rsidRPr="0056438C">
        <w:rPr>
          <w:spacing w:val="-3"/>
        </w:rPr>
        <w:t xml:space="preserve">surface </w:t>
      </w:r>
      <w:r w:rsidRPr="0056438C">
        <w:t xml:space="preserve">or </w:t>
      </w:r>
      <w:r w:rsidRPr="0056438C">
        <w:rPr>
          <w:spacing w:val="-3"/>
        </w:rPr>
        <w:t xml:space="preserve">groundwater </w:t>
      </w:r>
      <w:proofErr w:type="gramStart"/>
      <w:r w:rsidRPr="0056438C">
        <w:t>in</w:t>
      </w:r>
      <w:r w:rsidR="00A95D52">
        <w:t xml:space="preserve"> </w:t>
      </w:r>
      <w:r w:rsidRPr="0056438C">
        <w:rPr>
          <w:spacing w:val="-40"/>
        </w:rPr>
        <w:t xml:space="preserve"> </w:t>
      </w:r>
      <w:r w:rsidRPr="0056438C">
        <w:rPr>
          <w:spacing w:val="-3"/>
        </w:rPr>
        <w:t>significant</w:t>
      </w:r>
      <w:proofErr w:type="gramEnd"/>
      <w:r w:rsidRPr="0056438C">
        <w:rPr>
          <w:spacing w:val="-3"/>
        </w:rPr>
        <w:t xml:space="preserve"> </w:t>
      </w:r>
      <w:r w:rsidRPr="0056438C">
        <w:t>quantities.</w:t>
      </w:r>
    </w:p>
    <w:p w14:paraId="03F5A11A" w14:textId="77777777" w:rsidR="00EE3F08" w:rsidRPr="0056438C" w:rsidRDefault="00EB38E1" w:rsidP="00FD2341">
      <w:pPr>
        <w:pStyle w:val="Heading5"/>
        <w:rPr>
          <w:lang w:eastAsia="ja-JP"/>
        </w:rPr>
      </w:pPr>
      <w:bookmarkStart w:id="509" w:name="_Toc134441667"/>
      <w:bookmarkStart w:id="510" w:name="_Toc134441668"/>
      <w:bookmarkEnd w:id="509"/>
      <w:bookmarkEnd w:id="510"/>
      <w:r>
        <w:rPr>
          <w:lang w:eastAsia="ja-JP"/>
        </w:rPr>
        <w:t>Monitoring and management</w:t>
      </w:r>
    </w:p>
    <w:p w14:paraId="03F5A11B" w14:textId="77777777" w:rsidR="004C4577" w:rsidRPr="0056438C" w:rsidRDefault="00EB38E1" w:rsidP="004C4577">
      <w:r>
        <w:t>T</w:t>
      </w:r>
      <w:r w:rsidRPr="0056438C">
        <w:t xml:space="preserve">o </w:t>
      </w:r>
      <w:r w:rsidRPr="0056438C">
        <w:rPr>
          <w:spacing w:val="-3"/>
        </w:rPr>
        <w:t xml:space="preserve">have </w:t>
      </w:r>
      <w:r w:rsidRPr="0056438C">
        <w:t xml:space="preserve">a practical </w:t>
      </w:r>
      <w:r w:rsidRPr="0056438C">
        <w:rPr>
          <w:spacing w:val="-3"/>
        </w:rPr>
        <w:t xml:space="preserve">monitoring program, </w:t>
      </w:r>
      <w:r w:rsidRPr="0056438C">
        <w:t xml:space="preserve">it </w:t>
      </w:r>
      <w:r w:rsidRPr="0056438C">
        <w:rPr>
          <w:spacing w:val="-3"/>
        </w:rPr>
        <w:t xml:space="preserve">would </w:t>
      </w:r>
      <w:r w:rsidRPr="0056438C">
        <w:t xml:space="preserve">be appropriate to use </w:t>
      </w:r>
      <w:r w:rsidRPr="0056438C">
        <w:rPr>
          <w:spacing w:val="-3"/>
        </w:rPr>
        <w:t xml:space="preserve">gross radioactivity </w:t>
      </w:r>
      <w:r w:rsidRPr="0056438C">
        <w:t xml:space="preserve">as a screening technique with a </w:t>
      </w:r>
      <w:r w:rsidRPr="0056438C">
        <w:rPr>
          <w:spacing w:val="-3"/>
        </w:rPr>
        <w:t xml:space="preserve">level </w:t>
      </w:r>
      <w:r w:rsidRPr="0056438C">
        <w:t xml:space="preserve">established </w:t>
      </w:r>
      <w:r w:rsidRPr="0056438C">
        <w:rPr>
          <w:spacing w:val="-3"/>
        </w:rPr>
        <w:t xml:space="preserve">above which </w:t>
      </w:r>
      <w:r w:rsidRPr="0056438C">
        <w:t xml:space="preserve">specific radionuclide </w:t>
      </w:r>
      <w:r w:rsidRPr="0056438C">
        <w:rPr>
          <w:spacing w:val="-3"/>
        </w:rPr>
        <w:t xml:space="preserve">analysis </w:t>
      </w:r>
      <w:r w:rsidRPr="0056438C">
        <w:t>should be carried out.</w:t>
      </w:r>
    </w:p>
    <w:p w14:paraId="03F5A11C" w14:textId="77777777" w:rsidR="00131E39" w:rsidRPr="0056438C" w:rsidRDefault="00EB38E1" w:rsidP="00FD2341">
      <w:proofErr w:type="gramStart"/>
      <w:r w:rsidRPr="0056438C">
        <w:t>In applying these guidelines</w:t>
      </w:r>
      <w:r>
        <w:t>,</w:t>
      </w:r>
      <w:r w:rsidRPr="0056438C">
        <w:t xml:space="preserve"> it</w:t>
      </w:r>
      <w:proofErr w:type="gramEnd"/>
      <w:r w:rsidRPr="0056438C">
        <w:t xml:space="preserve"> should be noted that the gross alpha and beta recommendations are given to simplify screening measurements and monitoring procedures. Specific radionuclide analysis would only be appropriate if these values are exceeded.</w:t>
      </w:r>
    </w:p>
    <w:p w14:paraId="03F5A11D" w14:textId="77777777" w:rsidR="004C4577" w:rsidRDefault="00EB38E1" w:rsidP="004C4577">
      <w:r w:rsidRPr="0056438C">
        <w:t xml:space="preserve">Gross alpha </w:t>
      </w:r>
      <w:r w:rsidRPr="0056438C">
        <w:rPr>
          <w:spacing w:val="-3"/>
        </w:rPr>
        <w:t xml:space="preserve">radioactivity </w:t>
      </w:r>
      <w:r w:rsidRPr="0056438C">
        <w:t>will indicate the</w:t>
      </w:r>
      <w:r w:rsidRPr="0056438C">
        <w:rPr>
          <w:spacing w:val="-17"/>
        </w:rPr>
        <w:t xml:space="preserve"> </w:t>
      </w:r>
      <w:r w:rsidRPr="0056438C">
        <w:t xml:space="preserve">presence of </w:t>
      </w:r>
      <w:r w:rsidRPr="0056438C">
        <w:rPr>
          <w:spacing w:val="-3"/>
        </w:rPr>
        <w:t xml:space="preserve">radium-226 </w:t>
      </w:r>
      <w:r w:rsidRPr="0056438C">
        <w:t xml:space="preserve">and uranium isotopes. </w:t>
      </w:r>
      <w:r w:rsidRPr="0056438C">
        <w:rPr>
          <w:spacing w:val="-4"/>
        </w:rPr>
        <w:t xml:space="preserve">Potassium-40 </w:t>
      </w:r>
      <w:r w:rsidRPr="0056438C">
        <w:t xml:space="preserve">will be the </w:t>
      </w:r>
      <w:r w:rsidRPr="0056438C">
        <w:rPr>
          <w:spacing w:val="-4"/>
        </w:rPr>
        <w:t xml:space="preserve">most </w:t>
      </w:r>
      <w:r w:rsidRPr="0056438C">
        <w:rPr>
          <w:spacing w:val="-3"/>
        </w:rPr>
        <w:t xml:space="preserve">likely </w:t>
      </w:r>
      <w:r w:rsidRPr="0056438C">
        <w:t xml:space="preserve">contributor to </w:t>
      </w:r>
      <w:r w:rsidRPr="0056438C">
        <w:rPr>
          <w:spacing w:val="-3"/>
        </w:rPr>
        <w:t xml:space="preserve">gross </w:t>
      </w:r>
      <w:r w:rsidRPr="0056438C">
        <w:t xml:space="preserve">beta </w:t>
      </w:r>
      <w:r w:rsidRPr="0056438C">
        <w:rPr>
          <w:spacing w:val="-3"/>
        </w:rPr>
        <w:t xml:space="preserve">radioactivity, </w:t>
      </w:r>
      <w:r w:rsidRPr="0056438C">
        <w:t xml:space="preserve">along </w:t>
      </w:r>
      <w:r w:rsidRPr="0056438C">
        <w:rPr>
          <w:spacing w:val="-3"/>
        </w:rPr>
        <w:t xml:space="preserve">with radium-228. </w:t>
      </w:r>
      <w:r w:rsidRPr="0056438C">
        <w:t xml:space="preserve">The contribution of </w:t>
      </w:r>
      <w:r w:rsidRPr="0056438C">
        <w:rPr>
          <w:spacing w:val="-3"/>
        </w:rPr>
        <w:t xml:space="preserve">potassium-40 </w:t>
      </w:r>
      <w:r w:rsidRPr="0056438C">
        <w:t xml:space="preserve">to the </w:t>
      </w:r>
      <w:r w:rsidRPr="0056438C">
        <w:rPr>
          <w:spacing w:val="-3"/>
        </w:rPr>
        <w:t xml:space="preserve">gross </w:t>
      </w:r>
      <w:r w:rsidRPr="0056438C">
        <w:t xml:space="preserve">beta </w:t>
      </w:r>
      <w:r w:rsidRPr="0056438C">
        <w:rPr>
          <w:spacing w:val="-3"/>
        </w:rPr>
        <w:t>activity</w:t>
      </w:r>
      <w:r w:rsidRPr="0056438C">
        <w:rPr>
          <w:spacing w:val="-8"/>
        </w:rPr>
        <w:t xml:space="preserve"> </w:t>
      </w:r>
      <w:r w:rsidRPr="0056438C">
        <w:t>should</w:t>
      </w:r>
      <w:r w:rsidRPr="0056438C">
        <w:rPr>
          <w:spacing w:val="-5"/>
        </w:rPr>
        <w:t xml:space="preserve"> </w:t>
      </w:r>
      <w:r w:rsidRPr="0056438C">
        <w:t>be</w:t>
      </w:r>
      <w:r w:rsidRPr="0056438C">
        <w:rPr>
          <w:spacing w:val="-6"/>
        </w:rPr>
        <w:t xml:space="preserve"> </w:t>
      </w:r>
      <w:r w:rsidRPr="0056438C">
        <w:rPr>
          <w:spacing w:val="-3"/>
        </w:rPr>
        <w:t>determined</w:t>
      </w:r>
      <w:r w:rsidRPr="0056438C">
        <w:rPr>
          <w:spacing w:val="-5"/>
        </w:rPr>
        <w:t xml:space="preserve"> </w:t>
      </w:r>
      <w:r w:rsidR="008562CD">
        <w:t>before</w:t>
      </w:r>
      <w:r w:rsidRPr="0056438C">
        <w:rPr>
          <w:spacing w:val="-6"/>
        </w:rPr>
        <w:t xml:space="preserve"> </w:t>
      </w:r>
      <w:r w:rsidRPr="0056438C">
        <w:t>further</w:t>
      </w:r>
      <w:r w:rsidRPr="0056438C">
        <w:rPr>
          <w:spacing w:val="-5"/>
        </w:rPr>
        <w:t xml:space="preserve"> </w:t>
      </w:r>
      <w:r w:rsidRPr="0056438C">
        <w:rPr>
          <w:spacing w:val="-3"/>
        </w:rPr>
        <w:t>assessment</w:t>
      </w:r>
      <w:r w:rsidR="008562CD">
        <w:t>.</w:t>
      </w:r>
    </w:p>
    <w:p w14:paraId="03F5A11E" w14:textId="390E617D" w:rsidR="00131E39" w:rsidRPr="0056438C" w:rsidRDefault="00EB38E1" w:rsidP="00FD2341">
      <w:r w:rsidRPr="0056438C">
        <w:t xml:space="preserve">A water supply should not </w:t>
      </w:r>
      <w:proofErr w:type="gramStart"/>
      <w:r w:rsidRPr="0056438C">
        <w:t>be considered to be</w:t>
      </w:r>
      <w:proofErr w:type="gramEnd"/>
      <w:r w:rsidRPr="0056438C">
        <w:t xml:space="preserve"> unsafe for irrigation or stock water if specific radionuclide levels are exceeded. In such cases, further assessment of the supply should be conducted, including possible alternatives. If all or most other water quality parameters are acceptable, it may be possible to accept higher radionuclide concentrations without jeopardising health.</w:t>
      </w:r>
    </w:p>
    <w:p w14:paraId="03F5A11F" w14:textId="6DBFFC7D" w:rsidR="00EE3F08" w:rsidRDefault="00EB38E1" w:rsidP="00EE3F08">
      <w:r>
        <w:t>The values in Table</w:t>
      </w:r>
      <w:r w:rsidR="00AB45C1">
        <w:t> </w:t>
      </w:r>
      <w:r>
        <w:t>3</w:t>
      </w:r>
      <w:r w:rsidR="00BC5B35">
        <w:t>.</w:t>
      </w:r>
      <w:r w:rsidR="00AC1FC7">
        <w:t xml:space="preserve">18 </w:t>
      </w:r>
      <w:r>
        <w:t xml:space="preserve">are based on the </w:t>
      </w:r>
      <w:r w:rsidR="0077041D">
        <w:t xml:space="preserve">Australian </w:t>
      </w:r>
      <w:r>
        <w:t>Drinking Water Guidelines, Information Sheet</w:t>
      </w:r>
      <w:r w:rsidR="00B57AE6">
        <w:t> </w:t>
      </w:r>
      <w:r>
        <w:t>2.2 (NHMRC &amp; ARMCANZ 2011).</w:t>
      </w:r>
    </w:p>
    <w:p w14:paraId="03F5A120" w14:textId="7665858C" w:rsidR="00EE3F08" w:rsidRDefault="00EB38E1" w:rsidP="00DF778F">
      <w:pPr>
        <w:pStyle w:val="Caption"/>
      </w:pPr>
      <w:bookmarkStart w:id="511" w:name="_Toc148089864"/>
      <w:r w:rsidRPr="008C37CA">
        <w:t>Table 3</w:t>
      </w:r>
      <w:r w:rsidR="00257B02">
        <w:t>.</w:t>
      </w:r>
      <w:r w:rsidR="00AC1FC7">
        <w:t xml:space="preserve">18 </w:t>
      </w:r>
      <w:r w:rsidRPr="008C37CA">
        <w:t>Operational response to different annual dose values of radionuclides</w:t>
      </w:r>
      <w:bookmarkEnd w:id="511"/>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411"/>
        <w:gridCol w:w="6659"/>
      </w:tblGrid>
      <w:tr w:rsidR="0054058D" w14:paraId="03F5A123" w14:textId="77777777" w:rsidTr="00923F45">
        <w:trPr>
          <w:cantSplit/>
          <w:trHeight w:val="361"/>
          <w:tblHeader/>
        </w:trPr>
        <w:tc>
          <w:tcPr>
            <w:tcW w:w="1329" w:type="pct"/>
            <w:tcBorders>
              <w:top w:val="single" w:sz="12" w:space="0" w:color="auto"/>
              <w:bottom w:val="single" w:sz="12" w:space="0" w:color="auto"/>
            </w:tcBorders>
          </w:tcPr>
          <w:p w14:paraId="03F5A121" w14:textId="77777777" w:rsidR="00EE3F08" w:rsidRPr="008C37CA" w:rsidRDefault="00EB38E1" w:rsidP="00923F45">
            <w:pPr>
              <w:pStyle w:val="TableHeading"/>
            </w:pPr>
            <w:r w:rsidRPr="008C37CA">
              <w:t>Annual dose (mSv)</w:t>
            </w:r>
          </w:p>
        </w:tc>
        <w:tc>
          <w:tcPr>
            <w:tcW w:w="3671" w:type="pct"/>
            <w:tcBorders>
              <w:top w:val="single" w:sz="12" w:space="0" w:color="auto"/>
              <w:bottom w:val="single" w:sz="12" w:space="0" w:color="auto"/>
            </w:tcBorders>
          </w:tcPr>
          <w:p w14:paraId="03F5A122" w14:textId="77777777" w:rsidR="00EE3F08" w:rsidRPr="008C37CA" w:rsidRDefault="00EB38E1" w:rsidP="00923F45">
            <w:pPr>
              <w:pStyle w:val="TableHeading"/>
              <w:rPr>
                <w:vertAlign w:val="superscript"/>
              </w:rPr>
            </w:pPr>
            <w:r w:rsidRPr="008C37CA">
              <w:t>Response</w:t>
            </w:r>
          </w:p>
        </w:tc>
      </w:tr>
      <w:tr w:rsidR="0054058D" w14:paraId="03F5A126" w14:textId="77777777" w:rsidTr="00923F45">
        <w:trPr>
          <w:cantSplit/>
          <w:trHeight w:val="365"/>
        </w:trPr>
        <w:tc>
          <w:tcPr>
            <w:tcW w:w="1329" w:type="pct"/>
            <w:tcBorders>
              <w:top w:val="single" w:sz="12" w:space="0" w:color="auto"/>
            </w:tcBorders>
          </w:tcPr>
          <w:p w14:paraId="03F5A124" w14:textId="77777777" w:rsidR="00EE3F08" w:rsidRPr="008C37CA" w:rsidRDefault="00EB38E1" w:rsidP="00923F45">
            <w:pPr>
              <w:pStyle w:val="TableText"/>
            </w:pPr>
            <w:r w:rsidRPr="008C37CA">
              <w:t>&lt;10</w:t>
            </w:r>
          </w:p>
        </w:tc>
        <w:tc>
          <w:tcPr>
            <w:tcW w:w="3671" w:type="pct"/>
            <w:tcBorders>
              <w:top w:val="single" w:sz="12" w:space="0" w:color="auto"/>
            </w:tcBorders>
          </w:tcPr>
          <w:p w14:paraId="03F5A125" w14:textId="79464536" w:rsidR="00EE3F08" w:rsidRPr="008C37CA" w:rsidRDefault="00EB38E1" w:rsidP="004C6E6D">
            <w:pPr>
              <w:pStyle w:val="TableText"/>
              <w:numPr>
                <w:ilvl w:val="0"/>
                <w:numId w:val="55"/>
              </w:numPr>
              <w:ind w:left="315" w:hanging="315"/>
            </w:pPr>
            <w:r w:rsidRPr="008C37CA">
              <w:t>Continue screening at normal frequency.</w:t>
            </w:r>
          </w:p>
        </w:tc>
      </w:tr>
      <w:tr w:rsidR="0054058D" w14:paraId="03F5A12B" w14:textId="77777777" w:rsidTr="00923F45">
        <w:trPr>
          <w:cantSplit/>
          <w:trHeight w:val="361"/>
        </w:trPr>
        <w:tc>
          <w:tcPr>
            <w:tcW w:w="1329" w:type="pct"/>
          </w:tcPr>
          <w:p w14:paraId="03F5A127" w14:textId="77777777" w:rsidR="00EE3F08" w:rsidRPr="008C37CA" w:rsidRDefault="00EB38E1" w:rsidP="00923F45">
            <w:pPr>
              <w:pStyle w:val="TableText"/>
            </w:pPr>
            <w:r w:rsidRPr="008C37CA">
              <w:t>10</w:t>
            </w:r>
            <w:r>
              <w:t>–</w:t>
            </w:r>
            <w:r w:rsidRPr="008C37CA">
              <w:t>50</w:t>
            </w:r>
          </w:p>
        </w:tc>
        <w:tc>
          <w:tcPr>
            <w:tcW w:w="3671" w:type="pct"/>
          </w:tcPr>
          <w:p w14:paraId="03F5A128" w14:textId="77777777" w:rsidR="00EE3F08" w:rsidRPr="008C37CA" w:rsidRDefault="00EB38E1" w:rsidP="004C6E6D">
            <w:pPr>
              <w:pStyle w:val="TableText"/>
              <w:numPr>
                <w:ilvl w:val="0"/>
                <w:numId w:val="28"/>
              </w:numPr>
              <w:ind w:left="315" w:hanging="315"/>
            </w:pPr>
            <w:r w:rsidRPr="008C37CA">
              <w:t>Consult with relevant authorities.</w:t>
            </w:r>
          </w:p>
          <w:p w14:paraId="03F5A129" w14:textId="77777777" w:rsidR="00EE3F08" w:rsidRPr="008C37CA" w:rsidRDefault="00EB38E1" w:rsidP="00923F45">
            <w:pPr>
              <w:pStyle w:val="TableText"/>
              <w:numPr>
                <w:ilvl w:val="0"/>
                <w:numId w:val="28"/>
              </w:numPr>
              <w:ind w:left="284" w:hanging="284"/>
            </w:pPr>
            <w:r w:rsidRPr="008C37CA">
              <w:t>Review frequency of sampling.</w:t>
            </w:r>
          </w:p>
          <w:p w14:paraId="03F5A12A" w14:textId="77777777" w:rsidR="00EE3F08" w:rsidRPr="008C37CA" w:rsidRDefault="00EB38E1" w:rsidP="00923F45">
            <w:pPr>
              <w:pStyle w:val="TableText"/>
              <w:numPr>
                <w:ilvl w:val="0"/>
                <w:numId w:val="28"/>
              </w:numPr>
              <w:ind w:left="284" w:hanging="284"/>
            </w:pPr>
            <w:r w:rsidRPr="008C37CA">
              <w:t>Evaluate operational options for decreasing exposure.</w:t>
            </w:r>
          </w:p>
        </w:tc>
      </w:tr>
      <w:tr w:rsidR="0054058D" w14:paraId="03F5A130" w14:textId="77777777" w:rsidTr="00923F45">
        <w:trPr>
          <w:cantSplit/>
          <w:trHeight w:val="361"/>
        </w:trPr>
        <w:tc>
          <w:tcPr>
            <w:tcW w:w="1329" w:type="pct"/>
            <w:tcBorders>
              <w:bottom w:val="single" w:sz="4" w:space="0" w:color="auto"/>
            </w:tcBorders>
          </w:tcPr>
          <w:p w14:paraId="03F5A12C" w14:textId="77777777" w:rsidR="00EE3F08" w:rsidRPr="008C37CA" w:rsidRDefault="00EB38E1" w:rsidP="00923F45">
            <w:pPr>
              <w:pStyle w:val="TableText"/>
            </w:pPr>
            <w:r w:rsidRPr="008C37CA">
              <w:t>&gt;50</w:t>
            </w:r>
            <w:r>
              <w:t>–</w:t>
            </w:r>
            <w:r w:rsidRPr="008C37CA">
              <w:t>100</w:t>
            </w:r>
          </w:p>
        </w:tc>
        <w:tc>
          <w:tcPr>
            <w:tcW w:w="3671" w:type="pct"/>
            <w:tcBorders>
              <w:bottom w:val="single" w:sz="4" w:space="0" w:color="auto"/>
            </w:tcBorders>
          </w:tcPr>
          <w:p w14:paraId="03F5A12D" w14:textId="77777777" w:rsidR="00EE3F08" w:rsidRPr="008C37CA" w:rsidRDefault="00EB38E1" w:rsidP="004C6E6D">
            <w:pPr>
              <w:pStyle w:val="TableText"/>
              <w:numPr>
                <w:ilvl w:val="0"/>
                <w:numId w:val="29"/>
              </w:numPr>
              <w:ind w:left="315" w:hanging="315"/>
            </w:pPr>
            <w:r w:rsidRPr="008C37CA">
              <w:t>Consult with relevant authorities.</w:t>
            </w:r>
          </w:p>
          <w:p w14:paraId="03F5A12E" w14:textId="1B0E0B38" w:rsidR="00EE3F08" w:rsidRPr="008C37CA" w:rsidRDefault="00EB38E1" w:rsidP="00923F45">
            <w:pPr>
              <w:pStyle w:val="TableText"/>
              <w:numPr>
                <w:ilvl w:val="0"/>
                <w:numId w:val="29"/>
              </w:numPr>
              <w:ind w:left="284" w:hanging="284"/>
            </w:pPr>
            <w:r w:rsidRPr="008C37CA">
              <w:t xml:space="preserve">Assess </w:t>
            </w:r>
            <w:r w:rsidR="0052723C">
              <w:t>protective measures</w:t>
            </w:r>
            <w:r w:rsidR="0052723C" w:rsidRPr="008C37CA">
              <w:t xml:space="preserve"> in detail</w:t>
            </w:r>
            <w:r w:rsidR="0052723C">
              <w:t>,</w:t>
            </w:r>
            <w:r w:rsidR="0052723C" w:rsidRPr="008C37CA">
              <w:t xml:space="preserve"> </w:t>
            </w:r>
            <w:r w:rsidRPr="008C37CA">
              <w:t>including cost-effectiveness.</w:t>
            </w:r>
          </w:p>
          <w:p w14:paraId="03F5A12F" w14:textId="17DA27EC" w:rsidR="00EE3F08" w:rsidRPr="008C37CA" w:rsidRDefault="00EB38E1" w:rsidP="00923F45">
            <w:pPr>
              <w:pStyle w:val="TableText"/>
              <w:numPr>
                <w:ilvl w:val="0"/>
                <w:numId w:val="29"/>
              </w:numPr>
              <w:ind w:left="284" w:hanging="284"/>
            </w:pPr>
            <w:r w:rsidRPr="008C37CA">
              <w:t xml:space="preserve">Implement appropriate </w:t>
            </w:r>
            <w:r w:rsidR="0052723C">
              <w:t>protective measures</w:t>
            </w:r>
            <w:r w:rsidR="0052723C" w:rsidRPr="008C37CA">
              <w:t xml:space="preserve"> </w:t>
            </w:r>
            <w:r w:rsidR="003678A5">
              <w:t>based on</w:t>
            </w:r>
            <w:r w:rsidRPr="008C37CA">
              <w:t xml:space="preserve"> cost</w:t>
            </w:r>
            <w:r w:rsidR="00AB45C1">
              <w:t>–</w:t>
            </w:r>
            <w:r w:rsidRPr="008C37CA">
              <w:t>benefit evaluation.</w:t>
            </w:r>
          </w:p>
        </w:tc>
      </w:tr>
      <w:tr w:rsidR="0054058D" w14:paraId="03F5A135" w14:textId="77777777" w:rsidTr="00923F45">
        <w:trPr>
          <w:cantSplit/>
          <w:trHeight w:val="361"/>
        </w:trPr>
        <w:tc>
          <w:tcPr>
            <w:tcW w:w="1329" w:type="pct"/>
            <w:tcBorders>
              <w:bottom w:val="single" w:sz="12" w:space="0" w:color="auto"/>
            </w:tcBorders>
          </w:tcPr>
          <w:p w14:paraId="03F5A131" w14:textId="77777777" w:rsidR="00EE3F08" w:rsidRPr="008C37CA" w:rsidRDefault="00EB38E1" w:rsidP="00923F45">
            <w:pPr>
              <w:pStyle w:val="TableText"/>
            </w:pPr>
            <w:r w:rsidRPr="008C37CA">
              <w:t>&gt;100</w:t>
            </w:r>
          </w:p>
        </w:tc>
        <w:tc>
          <w:tcPr>
            <w:tcW w:w="3671" w:type="pct"/>
            <w:tcBorders>
              <w:bottom w:val="single" w:sz="12" w:space="0" w:color="auto"/>
            </w:tcBorders>
          </w:tcPr>
          <w:p w14:paraId="03F5A132" w14:textId="77777777" w:rsidR="00EE3F08" w:rsidRPr="008C37CA" w:rsidRDefault="00EB38E1" w:rsidP="004C6E6D">
            <w:pPr>
              <w:pStyle w:val="TableText"/>
              <w:numPr>
                <w:ilvl w:val="0"/>
                <w:numId w:val="30"/>
              </w:numPr>
              <w:ind w:left="315" w:hanging="315"/>
            </w:pPr>
            <w:r w:rsidRPr="008C37CA">
              <w:t>Water not suitable for livestock consumption</w:t>
            </w:r>
          </w:p>
          <w:p w14:paraId="03F5A133" w14:textId="77777777" w:rsidR="00EE3F08" w:rsidRPr="008C37CA" w:rsidRDefault="00EB38E1" w:rsidP="00923F45">
            <w:pPr>
              <w:pStyle w:val="TableText"/>
              <w:numPr>
                <w:ilvl w:val="0"/>
                <w:numId w:val="30"/>
              </w:numPr>
              <w:ind w:left="284" w:hanging="284"/>
            </w:pPr>
            <w:r w:rsidRPr="008C37CA">
              <w:t>Consult with relevant authorities.</w:t>
            </w:r>
          </w:p>
          <w:p w14:paraId="03F5A134" w14:textId="2DBF81E4" w:rsidR="00EE3F08" w:rsidRPr="008C37CA" w:rsidRDefault="00EB38E1" w:rsidP="00923F45">
            <w:pPr>
              <w:pStyle w:val="TableText"/>
              <w:numPr>
                <w:ilvl w:val="0"/>
                <w:numId w:val="30"/>
              </w:numPr>
              <w:ind w:left="284" w:hanging="284"/>
            </w:pPr>
            <w:r w:rsidRPr="008C37CA">
              <w:t>I</w:t>
            </w:r>
            <w:r w:rsidR="00427305">
              <w:t xml:space="preserve">mplement </w:t>
            </w:r>
            <w:r w:rsidR="00365EB2">
              <w:t>protective measures</w:t>
            </w:r>
            <w:r w:rsidRPr="008C37CA">
              <w:t xml:space="preserve"> </w:t>
            </w:r>
            <w:r w:rsidR="003678A5">
              <w:t>i</w:t>
            </w:r>
            <w:r w:rsidR="003678A5" w:rsidRPr="008C37CA">
              <w:t>mmediate</w:t>
            </w:r>
            <w:r w:rsidR="003678A5">
              <w:t>ly</w:t>
            </w:r>
            <w:r w:rsidR="003678A5" w:rsidRPr="008C37CA">
              <w:t xml:space="preserve"> </w:t>
            </w:r>
            <w:r w:rsidRPr="008C37CA">
              <w:t>to decrease doses to below guideline value of 10</w:t>
            </w:r>
            <w:r w:rsidR="003678A5">
              <w:t> </w:t>
            </w:r>
            <w:r w:rsidRPr="008C37CA">
              <w:t>mSv</w:t>
            </w:r>
            <w:r w:rsidR="003678A5">
              <w:t>.</w:t>
            </w:r>
          </w:p>
        </w:tc>
      </w:tr>
    </w:tbl>
    <w:p w14:paraId="03F5A136" w14:textId="77777777" w:rsidR="00257B02" w:rsidRDefault="00257B02" w:rsidP="00FD2341">
      <w:bookmarkStart w:id="512" w:name="_Toc134441670"/>
      <w:bookmarkStart w:id="513" w:name="_Toc134441850"/>
      <w:bookmarkStart w:id="514" w:name="_Toc134442159"/>
      <w:bookmarkStart w:id="515" w:name="_Toc134442371"/>
      <w:bookmarkStart w:id="516" w:name="_Toc134442582"/>
      <w:bookmarkStart w:id="517" w:name="_Toc134441671"/>
      <w:bookmarkStart w:id="518" w:name="_Toc134441851"/>
      <w:bookmarkStart w:id="519" w:name="_Toc134442160"/>
      <w:bookmarkStart w:id="520" w:name="_Toc134442372"/>
      <w:bookmarkStart w:id="521" w:name="_Toc134442583"/>
      <w:bookmarkStart w:id="522" w:name="_Toc134441672"/>
      <w:bookmarkStart w:id="523" w:name="_Toc134441852"/>
      <w:bookmarkStart w:id="524" w:name="_Toc134442161"/>
      <w:bookmarkStart w:id="525" w:name="_Toc134442373"/>
      <w:bookmarkStart w:id="526" w:name="_Toc134442584"/>
      <w:bookmarkStart w:id="527" w:name="_Toc134441673"/>
      <w:bookmarkStart w:id="528" w:name="_Toc134441853"/>
      <w:bookmarkStart w:id="529" w:name="_Toc134442162"/>
      <w:bookmarkStart w:id="530" w:name="_Toc134442374"/>
      <w:bookmarkStart w:id="531" w:name="_Toc134442585"/>
      <w:bookmarkStart w:id="532" w:name="_Toc134441674"/>
      <w:bookmarkStart w:id="533" w:name="_Toc134441854"/>
      <w:bookmarkStart w:id="534" w:name="_Toc134442163"/>
      <w:bookmarkStart w:id="535" w:name="_Toc134442375"/>
      <w:bookmarkStart w:id="536" w:name="_Toc134442586"/>
      <w:bookmarkStart w:id="537" w:name="_Toc134441675"/>
      <w:bookmarkStart w:id="538" w:name="_Toc134441855"/>
      <w:bookmarkStart w:id="539" w:name="_Toc134442164"/>
      <w:bookmarkStart w:id="540" w:name="_Toc134442376"/>
      <w:bookmarkStart w:id="541" w:name="_Toc134442587"/>
      <w:bookmarkStart w:id="542" w:name="_Toc134441686"/>
      <w:bookmarkStart w:id="543" w:name="_Toc134441866"/>
      <w:bookmarkStart w:id="544" w:name="_Toc134442175"/>
      <w:bookmarkStart w:id="545" w:name="_Toc134442387"/>
      <w:bookmarkStart w:id="546" w:name="_Toc134442598"/>
      <w:bookmarkStart w:id="547" w:name="_Toc134441696"/>
      <w:bookmarkStart w:id="548" w:name="_Toc134441876"/>
      <w:bookmarkStart w:id="549" w:name="_Toc134442185"/>
      <w:bookmarkStart w:id="550" w:name="_Toc134442397"/>
      <w:bookmarkStart w:id="551" w:name="_Toc134442608"/>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03F5A137" w14:textId="77777777" w:rsidR="00257B02" w:rsidRDefault="00EB38E1" w:rsidP="00FD2341">
      <w:pPr>
        <w:rPr>
          <w:lang w:eastAsia="ja-JP"/>
        </w:rPr>
      </w:pPr>
      <w:r>
        <w:br w:type="page"/>
      </w:r>
    </w:p>
    <w:p w14:paraId="03F5A138" w14:textId="651A9A18" w:rsidR="001C0D1C" w:rsidRPr="00FD2341" w:rsidRDefault="00A54315" w:rsidP="00E92133">
      <w:pPr>
        <w:pStyle w:val="Heading2"/>
      </w:pPr>
      <w:bookmarkStart w:id="552" w:name="_Toc134441697"/>
      <w:bookmarkStart w:id="553" w:name="_Toc134441877"/>
      <w:bookmarkStart w:id="554" w:name="_Toc134442186"/>
      <w:bookmarkStart w:id="555" w:name="_Toc134442398"/>
      <w:bookmarkStart w:id="556" w:name="_Toc134442609"/>
      <w:bookmarkStart w:id="557" w:name="_Toc134441698"/>
      <w:bookmarkStart w:id="558" w:name="_Toc134441878"/>
      <w:bookmarkStart w:id="559" w:name="_Toc134442187"/>
      <w:bookmarkStart w:id="560" w:name="_Toc134442399"/>
      <w:bookmarkStart w:id="561" w:name="_Toc134442610"/>
      <w:bookmarkStart w:id="562" w:name="_Toc134441699"/>
      <w:bookmarkStart w:id="563" w:name="_Toc134441879"/>
      <w:bookmarkStart w:id="564" w:name="_Toc134442188"/>
      <w:bookmarkStart w:id="565" w:name="_Toc134442400"/>
      <w:bookmarkStart w:id="566" w:name="_Toc134442611"/>
      <w:bookmarkStart w:id="567" w:name="_Toc134441700"/>
      <w:bookmarkStart w:id="568" w:name="_Toc134441880"/>
      <w:bookmarkStart w:id="569" w:name="_Toc134442189"/>
      <w:bookmarkStart w:id="570" w:name="_Toc134442401"/>
      <w:bookmarkStart w:id="571" w:name="_Toc134442612"/>
      <w:bookmarkStart w:id="572" w:name="9.2.9__General_water_uses"/>
      <w:bookmarkStart w:id="573" w:name="9.2.9.1__pH"/>
      <w:bookmarkStart w:id="574" w:name="Effect_on_agriculture"/>
      <w:bookmarkStart w:id="575" w:name="_Toc134441701"/>
      <w:bookmarkStart w:id="576" w:name="_Toc134441881"/>
      <w:bookmarkStart w:id="577" w:name="_Toc134442190"/>
      <w:bookmarkStart w:id="578" w:name="_Toc134442402"/>
      <w:bookmarkStart w:id="579" w:name="_Toc134442613"/>
      <w:bookmarkStart w:id="580" w:name="_Toc134441702"/>
      <w:bookmarkStart w:id="581" w:name="_Toc134441882"/>
      <w:bookmarkStart w:id="582" w:name="_Toc134442191"/>
      <w:bookmarkStart w:id="583" w:name="_Toc134442403"/>
      <w:bookmarkStart w:id="584" w:name="_Toc134442614"/>
      <w:bookmarkStart w:id="585" w:name="_Toc134441703"/>
      <w:bookmarkStart w:id="586" w:name="_Toc134441883"/>
      <w:bookmarkStart w:id="587" w:name="_Toc134442192"/>
      <w:bookmarkStart w:id="588" w:name="_Toc134442404"/>
      <w:bookmarkStart w:id="589" w:name="_Toc134442615"/>
      <w:bookmarkStart w:id="590" w:name="_Toc134441704"/>
      <w:bookmarkStart w:id="591" w:name="_Toc134441884"/>
      <w:bookmarkStart w:id="592" w:name="_Toc134442193"/>
      <w:bookmarkStart w:id="593" w:name="_Toc134442405"/>
      <w:bookmarkStart w:id="594" w:name="_Toc134442616"/>
      <w:bookmarkStart w:id="595" w:name="_Toc134441705"/>
      <w:bookmarkStart w:id="596" w:name="_Toc134441885"/>
      <w:bookmarkStart w:id="597" w:name="_Toc134442194"/>
      <w:bookmarkStart w:id="598" w:name="_Toc134442406"/>
      <w:bookmarkStart w:id="599" w:name="_Toc134442617"/>
      <w:bookmarkStart w:id="600" w:name="_Toc134441706"/>
      <w:bookmarkStart w:id="601" w:name="_Toc134441886"/>
      <w:bookmarkStart w:id="602" w:name="_Toc134442195"/>
      <w:bookmarkStart w:id="603" w:name="_Toc134442407"/>
      <w:bookmarkStart w:id="604" w:name="_Toc134442618"/>
      <w:bookmarkStart w:id="605" w:name="_Toc134441707"/>
      <w:bookmarkStart w:id="606" w:name="_Toc134441887"/>
      <w:bookmarkStart w:id="607" w:name="_Toc134442196"/>
      <w:bookmarkStart w:id="608" w:name="_Toc134442408"/>
      <w:bookmarkStart w:id="609" w:name="_Toc134442619"/>
      <w:bookmarkStart w:id="610" w:name="_Toc134441708"/>
      <w:bookmarkStart w:id="611" w:name="_Toc134441888"/>
      <w:bookmarkStart w:id="612" w:name="_Toc134442197"/>
      <w:bookmarkStart w:id="613" w:name="_Toc134442409"/>
      <w:bookmarkStart w:id="614" w:name="_Toc134442620"/>
      <w:bookmarkStart w:id="615" w:name="_Toc134441709"/>
      <w:bookmarkStart w:id="616" w:name="_Toc134441889"/>
      <w:bookmarkStart w:id="617" w:name="_Toc134442198"/>
      <w:bookmarkStart w:id="618" w:name="_Toc134442410"/>
      <w:bookmarkStart w:id="619" w:name="_Toc134442621"/>
      <w:bookmarkStart w:id="620" w:name="_Toc134441710"/>
      <w:bookmarkStart w:id="621" w:name="_Toc134441890"/>
      <w:bookmarkStart w:id="622" w:name="_Toc134442199"/>
      <w:bookmarkStart w:id="623" w:name="_Toc134442411"/>
      <w:bookmarkStart w:id="624" w:name="_Toc134442622"/>
      <w:bookmarkStart w:id="625" w:name="_Toc134441711"/>
      <w:bookmarkStart w:id="626" w:name="_Toc134441891"/>
      <w:bookmarkStart w:id="627" w:name="_Toc134442200"/>
      <w:bookmarkStart w:id="628" w:name="_Toc134442412"/>
      <w:bookmarkStart w:id="629" w:name="_Toc134442623"/>
      <w:bookmarkStart w:id="630" w:name="_Toc134441712"/>
      <w:bookmarkStart w:id="631" w:name="_Toc134441892"/>
      <w:bookmarkStart w:id="632" w:name="_Toc134442201"/>
      <w:bookmarkStart w:id="633" w:name="_Toc134442413"/>
      <w:bookmarkStart w:id="634" w:name="_Toc134442624"/>
      <w:bookmarkStart w:id="635" w:name="_Toc134441713"/>
      <w:bookmarkStart w:id="636" w:name="_Toc134441893"/>
      <w:bookmarkStart w:id="637" w:name="_Toc134442202"/>
      <w:bookmarkStart w:id="638" w:name="_Toc134442414"/>
      <w:bookmarkStart w:id="639" w:name="_Toc134442625"/>
      <w:bookmarkStart w:id="640" w:name="_Toc134442203"/>
      <w:bookmarkStart w:id="641" w:name="_Toc134442415"/>
      <w:bookmarkStart w:id="642" w:name="_Toc14170458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lastRenderedPageBreak/>
        <w:t>4</w:t>
      </w:r>
      <w:r>
        <w:tab/>
      </w:r>
      <w:r w:rsidR="00EB38E1" w:rsidRPr="00FD2341">
        <w:t>Glossary</w:t>
      </w:r>
      <w:bookmarkEnd w:id="640"/>
      <w:bookmarkEnd w:id="641"/>
      <w:bookmarkEnd w:id="642"/>
      <w:r w:rsidR="000165B9">
        <w:t xml:space="preserve"> </w:t>
      </w:r>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846F69" w14:paraId="03F5A13B" w14:textId="77777777">
        <w:trPr>
          <w:cantSplit/>
          <w:tblHeader/>
        </w:trPr>
        <w:tc>
          <w:tcPr>
            <w:tcW w:w="1509" w:type="pct"/>
          </w:tcPr>
          <w:p w14:paraId="03F5A139" w14:textId="77777777" w:rsidR="001C0D1C" w:rsidRPr="00FD2341" w:rsidRDefault="00EB38E1">
            <w:pPr>
              <w:pStyle w:val="TableHeading"/>
            </w:pPr>
            <w:r w:rsidRPr="00FD2341">
              <w:t>Term</w:t>
            </w:r>
          </w:p>
        </w:tc>
        <w:tc>
          <w:tcPr>
            <w:tcW w:w="3491" w:type="pct"/>
          </w:tcPr>
          <w:p w14:paraId="03F5A13A" w14:textId="77777777" w:rsidR="001C0D1C" w:rsidRPr="00FD2341" w:rsidRDefault="00EB38E1">
            <w:pPr>
              <w:pStyle w:val="TableHeading"/>
            </w:pPr>
            <w:r w:rsidRPr="00FD2341">
              <w:t>Definition</w:t>
            </w:r>
          </w:p>
        </w:tc>
      </w:tr>
      <w:tr w:rsidR="00846F69" w14:paraId="03F5A13E" w14:textId="77777777">
        <w:tc>
          <w:tcPr>
            <w:tcW w:w="1509" w:type="pct"/>
          </w:tcPr>
          <w:p w14:paraId="03F5A13C" w14:textId="77777777" w:rsidR="001C0D1C" w:rsidRPr="00FD2341" w:rsidRDefault="00EB38E1">
            <w:pPr>
              <w:pStyle w:val="TableText"/>
            </w:pPr>
            <w:r w:rsidRPr="00FD2341">
              <w:t>acidity</w:t>
            </w:r>
          </w:p>
        </w:tc>
        <w:tc>
          <w:tcPr>
            <w:tcW w:w="3491" w:type="pct"/>
          </w:tcPr>
          <w:p w14:paraId="03F5A13D" w14:textId="0B47A0B2" w:rsidR="001C0D1C" w:rsidRPr="00FD2341" w:rsidRDefault="00EB38E1">
            <w:pPr>
              <w:pStyle w:val="TableText"/>
            </w:pPr>
            <w:r w:rsidRPr="00FD2341">
              <w:t>Having the properties of an acid; a pH less than 7</w:t>
            </w:r>
          </w:p>
        </w:tc>
      </w:tr>
      <w:tr w:rsidR="00205524" w14:paraId="0F0639F6" w14:textId="77777777">
        <w:tc>
          <w:tcPr>
            <w:tcW w:w="1509" w:type="pct"/>
          </w:tcPr>
          <w:p w14:paraId="2A09CA02" w14:textId="77777777" w:rsidR="004752E6" w:rsidRPr="00FD2341" w:rsidRDefault="004752E6">
            <w:pPr>
              <w:pStyle w:val="TableText"/>
            </w:pPr>
            <w:r>
              <w:t>active constituents</w:t>
            </w:r>
          </w:p>
        </w:tc>
        <w:tc>
          <w:tcPr>
            <w:tcW w:w="3491" w:type="pct"/>
          </w:tcPr>
          <w:p w14:paraId="54978378" w14:textId="77777777" w:rsidR="004752E6" w:rsidRPr="00FD2341" w:rsidRDefault="004752E6">
            <w:pPr>
              <w:pStyle w:val="TableText"/>
            </w:pPr>
            <w:r w:rsidRPr="004752E6">
              <w:t>The component of a chemical product that is primarily responsible for the product’s biological or other effects. A chemical product may contain more than one active constituent.</w:t>
            </w:r>
          </w:p>
        </w:tc>
      </w:tr>
      <w:tr w:rsidR="00846F69" w14:paraId="03F5A141" w14:textId="77777777">
        <w:tc>
          <w:tcPr>
            <w:tcW w:w="1509" w:type="pct"/>
          </w:tcPr>
          <w:p w14:paraId="03F5A13F" w14:textId="77777777" w:rsidR="001C0D1C" w:rsidRPr="00FD2341" w:rsidRDefault="00EB38E1">
            <w:pPr>
              <w:pStyle w:val="TableText"/>
            </w:pPr>
            <w:r w:rsidRPr="00FD2341">
              <w:t>aerobic</w:t>
            </w:r>
          </w:p>
        </w:tc>
        <w:tc>
          <w:tcPr>
            <w:tcW w:w="3491" w:type="pct"/>
          </w:tcPr>
          <w:p w14:paraId="03F5A140" w14:textId="7D79088A" w:rsidR="001C0D1C" w:rsidRPr="00FD2341" w:rsidRDefault="00EB38E1">
            <w:pPr>
              <w:pStyle w:val="TableText"/>
            </w:pPr>
            <w:r w:rsidRPr="00FD2341">
              <w:t>The presence of gaseous or dissolved oxygen, the presence of or utilising oxygen</w:t>
            </w:r>
          </w:p>
        </w:tc>
      </w:tr>
      <w:tr w:rsidR="00846F69" w14:paraId="03F5A144" w14:textId="77777777">
        <w:tc>
          <w:tcPr>
            <w:tcW w:w="1509" w:type="pct"/>
          </w:tcPr>
          <w:p w14:paraId="03F5A142" w14:textId="77777777" w:rsidR="0091709F" w:rsidRPr="0091709F" w:rsidRDefault="00EB38E1">
            <w:pPr>
              <w:pStyle w:val="TableText"/>
            </w:pPr>
            <w:r>
              <w:t>colony-forming unit (CFU)</w:t>
            </w:r>
          </w:p>
        </w:tc>
        <w:tc>
          <w:tcPr>
            <w:tcW w:w="3491" w:type="pct"/>
          </w:tcPr>
          <w:p w14:paraId="03F5A143" w14:textId="620DFB6F" w:rsidR="0091709F" w:rsidRPr="0091709F" w:rsidRDefault="00EB38E1">
            <w:pPr>
              <w:pStyle w:val="TableText"/>
            </w:pPr>
            <w:r>
              <w:t xml:space="preserve">An estimate of the number of </w:t>
            </w:r>
            <w:r w:rsidRPr="00FD2341">
              <w:t>the number of viable bacteria or the fungal cells in a sample</w:t>
            </w:r>
          </w:p>
        </w:tc>
      </w:tr>
      <w:tr w:rsidR="006A21EF" w:rsidRPr="003A21E5" w14:paraId="30038194" w14:textId="77777777">
        <w:tc>
          <w:tcPr>
            <w:tcW w:w="1509" w:type="pct"/>
          </w:tcPr>
          <w:p w14:paraId="58BFE69C" w14:textId="1040FE82" w:rsidR="00DC033B" w:rsidRDefault="00DC033B">
            <w:pPr>
              <w:pStyle w:val="TableText"/>
            </w:pPr>
            <w:r w:rsidRPr="0017170B">
              <w:t>Food and Agriculture Organization (FAO)</w:t>
            </w:r>
          </w:p>
        </w:tc>
        <w:tc>
          <w:tcPr>
            <w:tcW w:w="3491" w:type="pct"/>
          </w:tcPr>
          <w:p w14:paraId="54FECF1B" w14:textId="2A3CF636" w:rsidR="00DC033B" w:rsidRDefault="003A21E5">
            <w:pPr>
              <w:pStyle w:val="TableText"/>
            </w:pPr>
            <w:r w:rsidRPr="0017170B">
              <w:t>The United Nations agency that leads international efforts to improve nutrition and food security</w:t>
            </w:r>
          </w:p>
        </w:tc>
      </w:tr>
      <w:tr w:rsidR="00846F69" w14:paraId="03F5A147" w14:textId="77777777">
        <w:tc>
          <w:tcPr>
            <w:tcW w:w="1509" w:type="pct"/>
          </w:tcPr>
          <w:p w14:paraId="03F5A145" w14:textId="77777777" w:rsidR="005C4224" w:rsidRPr="005C4224" w:rsidRDefault="00EB38E1">
            <w:pPr>
              <w:pStyle w:val="TableText"/>
            </w:pPr>
            <w:r>
              <w:t>LD</w:t>
            </w:r>
            <w:r w:rsidRPr="00AB45C1">
              <w:rPr>
                <w:vertAlign w:val="subscript"/>
              </w:rPr>
              <w:t>50</w:t>
            </w:r>
          </w:p>
        </w:tc>
        <w:tc>
          <w:tcPr>
            <w:tcW w:w="3491" w:type="pct"/>
          </w:tcPr>
          <w:p w14:paraId="03F5A146" w14:textId="71A556BF" w:rsidR="005C4224" w:rsidRPr="005C4224" w:rsidRDefault="00EB38E1">
            <w:pPr>
              <w:pStyle w:val="TableText"/>
            </w:pPr>
            <w:r w:rsidRPr="00FD2341">
              <w:t>A measure of the lethal dose of a toxin; the value of LD₅₀ for a substance is the dose required to kill half the members of a tested population</w:t>
            </w:r>
          </w:p>
        </w:tc>
      </w:tr>
      <w:tr w:rsidR="00846F69" w14:paraId="03F5A14A" w14:textId="77777777">
        <w:tc>
          <w:tcPr>
            <w:tcW w:w="1509" w:type="pct"/>
          </w:tcPr>
          <w:p w14:paraId="03F5A148" w14:textId="77777777" w:rsidR="00F6216C" w:rsidRDefault="00EB38E1">
            <w:pPr>
              <w:pStyle w:val="TableText"/>
            </w:pPr>
            <w:r>
              <w:rPr>
                <w:lang w:eastAsia="ja-JP"/>
              </w:rPr>
              <w:t>lowest observed adverse effect level (LOAEL)</w:t>
            </w:r>
          </w:p>
        </w:tc>
        <w:tc>
          <w:tcPr>
            <w:tcW w:w="3491" w:type="pct"/>
          </w:tcPr>
          <w:p w14:paraId="03F5A149" w14:textId="77777777" w:rsidR="00F6216C" w:rsidRPr="00F6216C" w:rsidRDefault="00EB38E1">
            <w:pPr>
              <w:pStyle w:val="TableText"/>
            </w:pPr>
            <w:r w:rsidRPr="00FD2341">
              <w:t>Greatest concentration or amount of a substance, found by experiment or observation, that causes no detectable adverse alteration of morphology, functional capacity, growth, development, or lifespan of the target organism under defined conditions of exposure (APVMA).</w:t>
            </w:r>
          </w:p>
        </w:tc>
      </w:tr>
      <w:tr w:rsidR="00846F69" w14:paraId="03F5A150" w14:textId="77777777">
        <w:tc>
          <w:tcPr>
            <w:tcW w:w="1509" w:type="pct"/>
          </w:tcPr>
          <w:p w14:paraId="03F5A14E" w14:textId="77777777" w:rsidR="001C0D1C" w:rsidRPr="00FD2341" w:rsidRDefault="00EB38E1">
            <w:pPr>
              <w:pStyle w:val="TableText"/>
            </w:pPr>
            <w:r w:rsidRPr="00FD2341">
              <w:t>maximum contaminant level (MCL)</w:t>
            </w:r>
          </w:p>
        </w:tc>
        <w:tc>
          <w:tcPr>
            <w:tcW w:w="3491" w:type="pct"/>
          </w:tcPr>
          <w:p w14:paraId="03F5A14F" w14:textId="162F9FE3" w:rsidR="001C0D1C" w:rsidRPr="00FD2341" w:rsidRDefault="00EB38E1">
            <w:pPr>
              <w:pStyle w:val="TableText"/>
            </w:pPr>
            <w:r w:rsidRPr="00FD2341">
              <w:t>The greatest amount of a contaminant that can be present in water without causing a risk to its intended use</w:t>
            </w:r>
          </w:p>
        </w:tc>
      </w:tr>
      <w:tr w:rsidR="00846F69" w14:paraId="03F5A153" w14:textId="77777777">
        <w:tc>
          <w:tcPr>
            <w:tcW w:w="1509" w:type="pct"/>
          </w:tcPr>
          <w:p w14:paraId="03F5A151" w14:textId="77777777" w:rsidR="00395AB4" w:rsidRPr="00FD2341" w:rsidRDefault="00EB38E1">
            <w:pPr>
              <w:pStyle w:val="TableText"/>
            </w:pPr>
            <w:r w:rsidRPr="00395AB4">
              <w:t xml:space="preserve">maximum residue limit (MRL) </w:t>
            </w:r>
          </w:p>
        </w:tc>
        <w:tc>
          <w:tcPr>
            <w:tcW w:w="3491" w:type="pct"/>
          </w:tcPr>
          <w:p w14:paraId="03F5A152" w14:textId="09D693C8" w:rsidR="00395AB4" w:rsidRPr="00FD2341" w:rsidRDefault="00EB38E1">
            <w:pPr>
              <w:pStyle w:val="TableText"/>
            </w:pPr>
            <w:r>
              <w:t xml:space="preserve">The </w:t>
            </w:r>
            <w:r w:rsidRPr="00FD2341">
              <w:t>greatest amount of an agricultural or veterinary chemical residue that is legally allowed in a food product sold in Australia</w:t>
            </w:r>
          </w:p>
        </w:tc>
      </w:tr>
      <w:tr w:rsidR="00846F69" w14:paraId="03F5A156" w14:textId="77777777">
        <w:tc>
          <w:tcPr>
            <w:tcW w:w="1509" w:type="pct"/>
          </w:tcPr>
          <w:p w14:paraId="03F5A154" w14:textId="77777777" w:rsidR="00EA6217" w:rsidRPr="00395AB4" w:rsidRDefault="00EB38E1">
            <w:pPr>
              <w:pStyle w:val="TableText"/>
            </w:pPr>
            <w:proofErr w:type="spellStart"/>
            <w:r>
              <w:t>monogastrics</w:t>
            </w:r>
            <w:proofErr w:type="spellEnd"/>
          </w:p>
        </w:tc>
        <w:tc>
          <w:tcPr>
            <w:tcW w:w="3491" w:type="pct"/>
          </w:tcPr>
          <w:p w14:paraId="03F5A155" w14:textId="3A7B3819" w:rsidR="00EA6217" w:rsidRPr="00EA6217" w:rsidRDefault="00EB38E1">
            <w:pPr>
              <w:pStyle w:val="TableText"/>
            </w:pPr>
            <w:r>
              <w:t>Animals with 1 stomach (horses, pigs, chickens)</w:t>
            </w:r>
          </w:p>
        </w:tc>
      </w:tr>
      <w:tr w:rsidR="00AB45C1" w14:paraId="3C415A48" w14:textId="77777777">
        <w:tc>
          <w:tcPr>
            <w:tcW w:w="1509" w:type="pct"/>
          </w:tcPr>
          <w:p w14:paraId="6D5AB72D" w14:textId="4A13E2E5" w:rsidR="00AB45C1" w:rsidRDefault="00AB45C1" w:rsidP="00AB45C1">
            <w:pPr>
              <w:pStyle w:val="TableText"/>
            </w:pPr>
            <w:r>
              <w:rPr>
                <w:lang w:eastAsia="ja-JP"/>
              </w:rPr>
              <w:t xml:space="preserve">no observed effect level (NOEL) </w:t>
            </w:r>
          </w:p>
        </w:tc>
        <w:tc>
          <w:tcPr>
            <w:tcW w:w="3491" w:type="pct"/>
          </w:tcPr>
          <w:p w14:paraId="4C322EFC" w14:textId="77F44A33" w:rsidR="00AB45C1" w:rsidRDefault="00AB45C1" w:rsidP="00AB45C1">
            <w:pPr>
              <w:pStyle w:val="TableText"/>
            </w:pPr>
            <w:r>
              <w:t>G</w:t>
            </w:r>
            <w:r w:rsidRPr="00FD2341">
              <w:t>reatest concentration or amount of a substance, found by experiment or observation, that causes no alteration of morphology, functional capacity, growth, development, or lifespan of the target organism distinguishable from those observed in normal (control) organisms of the same species and strain under the same defined conditions of exposure (APVMA).</w:t>
            </w:r>
          </w:p>
        </w:tc>
      </w:tr>
      <w:tr w:rsidR="00846F69" w14:paraId="03F5A159" w14:textId="77777777">
        <w:tc>
          <w:tcPr>
            <w:tcW w:w="1509" w:type="pct"/>
          </w:tcPr>
          <w:p w14:paraId="03F5A157" w14:textId="77777777" w:rsidR="00B93E28" w:rsidRPr="00395AB4" w:rsidRDefault="00EB38E1">
            <w:pPr>
              <w:pStyle w:val="TableText"/>
            </w:pPr>
            <w:r>
              <w:t>performance (in livestock)</w:t>
            </w:r>
          </w:p>
        </w:tc>
        <w:tc>
          <w:tcPr>
            <w:tcW w:w="3491" w:type="pct"/>
          </w:tcPr>
          <w:p w14:paraId="03F5A158" w14:textId="0BA9A083" w:rsidR="00B93E28" w:rsidRPr="00B93E28" w:rsidRDefault="00EB38E1">
            <w:pPr>
              <w:pStyle w:val="TableText"/>
            </w:pPr>
            <w:r>
              <w:t>A general measure of livestock health, growth, weight gain and reproduction</w:t>
            </w:r>
          </w:p>
        </w:tc>
      </w:tr>
      <w:tr w:rsidR="00846F69" w14:paraId="03F5A15C" w14:textId="77777777">
        <w:tc>
          <w:tcPr>
            <w:tcW w:w="1509" w:type="pct"/>
          </w:tcPr>
          <w:p w14:paraId="03F5A15A" w14:textId="77777777" w:rsidR="00A67ABE" w:rsidRDefault="00EB38E1">
            <w:pPr>
              <w:pStyle w:val="TableText"/>
            </w:pPr>
            <w:r>
              <w:t>precautionary principle</w:t>
            </w:r>
          </w:p>
        </w:tc>
        <w:tc>
          <w:tcPr>
            <w:tcW w:w="3491" w:type="pct"/>
          </w:tcPr>
          <w:p w14:paraId="03F5A15B" w14:textId="788259FB" w:rsidR="00A67ABE" w:rsidRDefault="00EB38E1">
            <w:pPr>
              <w:pStyle w:val="TableText"/>
            </w:pPr>
            <w:r>
              <w:t xml:space="preserve">An approach to decision-making that adopts conservative precautionary measures when </w:t>
            </w:r>
            <w:r w:rsidRPr="00FD2341">
              <w:t>scientific evidence about an environmental or human health hazard is uncertain</w:t>
            </w:r>
          </w:p>
        </w:tc>
      </w:tr>
      <w:tr w:rsidR="00846F69" w14:paraId="03F5A15F" w14:textId="77777777">
        <w:tc>
          <w:tcPr>
            <w:tcW w:w="1509" w:type="pct"/>
          </w:tcPr>
          <w:p w14:paraId="03F5A15D" w14:textId="77777777" w:rsidR="00B93E28" w:rsidRDefault="00EB38E1">
            <w:pPr>
              <w:pStyle w:val="TableText"/>
            </w:pPr>
            <w:r>
              <w:t>ruminants</w:t>
            </w:r>
          </w:p>
        </w:tc>
        <w:tc>
          <w:tcPr>
            <w:tcW w:w="3491" w:type="pct"/>
          </w:tcPr>
          <w:p w14:paraId="03F5A15E" w14:textId="77777777" w:rsidR="00B93E28" w:rsidRDefault="00EB38E1">
            <w:pPr>
              <w:pStyle w:val="TableText"/>
            </w:pPr>
            <w:r>
              <w:t>Animals with complex 4-chambered stomachs that chew the cud (cattle, sheep, goats, deer). Alpacas and llamas are ‘pseudo ruminants’ – they have 3-chambered stomachs and chew the cud.</w:t>
            </w:r>
          </w:p>
        </w:tc>
      </w:tr>
    </w:tbl>
    <w:p w14:paraId="03F5A160" w14:textId="77777777" w:rsidR="00395AB4" w:rsidRDefault="00395AB4" w:rsidP="00FD2341">
      <w:pPr>
        <w:rPr>
          <w:highlight w:val="lightGray"/>
        </w:rPr>
      </w:pPr>
    </w:p>
    <w:p w14:paraId="03F5A161" w14:textId="77777777" w:rsidR="00B93E28" w:rsidRDefault="00EB38E1" w:rsidP="00FD2341">
      <w:pPr>
        <w:rPr>
          <w:highlight w:val="lightGray"/>
          <w:lang w:eastAsia="ja-JP"/>
        </w:rPr>
      </w:pPr>
      <w:r>
        <w:rPr>
          <w:bCs/>
          <w:highlight w:val="lightGray"/>
        </w:rPr>
        <w:br w:type="page"/>
      </w:r>
    </w:p>
    <w:p w14:paraId="03F5A162" w14:textId="3066B8F0" w:rsidR="001C0D1C" w:rsidRPr="00041FE2" w:rsidRDefault="00A54315" w:rsidP="00E92133">
      <w:pPr>
        <w:pStyle w:val="Heading2"/>
      </w:pPr>
      <w:bookmarkStart w:id="643" w:name="_Toc134442204"/>
      <w:bookmarkStart w:id="644" w:name="_Toc134442416"/>
      <w:bookmarkStart w:id="645" w:name="_Toc141704585"/>
      <w:r>
        <w:lastRenderedPageBreak/>
        <w:t>5</w:t>
      </w:r>
      <w:r>
        <w:tab/>
      </w:r>
      <w:r w:rsidR="00EB38E1" w:rsidRPr="00041FE2">
        <w:t>References</w:t>
      </w:r>
      <w:bookmarkEnd w:id="643"/>
      <w:bookmarkEnd w:id="644"/>
      <w:bookmarkEnd w:id="645"/>
    </w:p>
    <w:p w14:paraId="2267D549" w14:textId="77777777" w:rsidR="00AB45C1" w:rsidRPr="003C6A1E" w:rsidRDefault="00AB45C1" w:rsidP="00C1087A">
      <w:r w:rsidRPr="003C6A1E">
        <w:t>Abdel-Rahman G</w:t>
      </w:r>
      <w:r>
        <w:t>, Abdel-Hady EK &amp; Al-Harbi MS</w:t>
      </w:r>
      <w:r w:rsidRPr="003C6A1E">
        <w:t xml:space="preserve"> 2012</w:t>
      </w:r>
      <w:r>
        <w:t>.</w:t>
      </w:r>
      <w:r w:rsidRPr="003C6A1E">
        <w:t xml:space="preserve"> Protective role of melatonin against chromium-induced nephrotoxicity in male rabbits</w:t>
      </w:r>
      <w:r>
        <w:t>.</w:t>
      </w:r>
      <w:r w:rsidRPr="003C6A1E">
        <w:t xml:space="preserve"> </w:t>
      </w:r>
      <w:r w:rsidRPr="00394A2C">
        <w:rPr>
          <w:rStyle w:val="Emphasis"/>
        </w:rPr>
        <w:t xml:space="preserve">Global </w:t>
      </w:r>
      <w:proofErr w:type="spellStart"/>
      <w:r w:rsidRPr="00394A2C">
        <w:rPr>
          <w:rStyle w:val="Emphasis"/>
        </w:rPr>
        <w:t>Veterinaria</w:t>
      </w:r>
      <w:proofErr w:type="spellEnd"/>
      <w:r>
        <w:t xml:space="preserve"> </w:t>
      </w:r>
      <w:r w:rsidRPr="003C6A1E">
        <w:t>9</w:t>
      </w:r>
      <w:r>
        <w:t>(</w:t>
      </w:r>
      <w:r w:rsidRPr="003C6A1E">
        <w:t>2</w:t>
      </w:r>
      <w:r>
        <w:t>):</w:t>
      </w:r>
      <w:r w:rsidRPr="003C6A1E">
        <w:t>225</w:t>
      </w:r>
      <w:r>
        <w:t>–</w:t>
      </w:r>
      <w:r w:rsidRPr="003C6A1E">
        <w:t>231.</w:t>
      </w:r>
    </w:p>
    <w:p w14:paraId="046E1928" w14:textId="77777777" w:rsidR="00AB45C1" w:rsidRPr="002F1265" w:rsidRDefault="00AB45C1" w:rsidP="002F1265">
      <w:pPr>
        <w:shd w:val="clear" w:color="auto" w:fill="FFFFFF"/>
        <w:spacing w:after="0" w:line="0" w:lineRule="auto"/>
        <w:rPr>
          <w:rFonts w:ascii="ff2" w:eastAsia="Times New Roman" w:hAnsi="ff2" w:cs="Times New Roman"/>
          <w:color w:val="000000"/>
          <w:sz w:val="51"/>
          <w:szCs w:val="51"/>
          <w:lang w:eastAsia="en-AU"/>
        </w:rPr>
      </w:pPr>
      <w:r w:rsidRPr="002F1265">
        <w:rPr>
          <w:rFonts w:ascii="ff2" w:eastAsia="Times New Roman" w:hAnsi="ff2" w:cs="Times New Roman"/>
          <w:color w:val="000000"/>
          <w:sz w:val="51"/>
          <w:szCs w:val="51"/>
          <w:lang w:eastAsia="en-AU"/>
        </w:rPr>
        <w:t>Academic Press, pp. 132</w:t>
      </w:r>
      <w:r w:rsidRPr="002F1265">
        <w:rPr>
          <w:rFonts w:ascii="ffa" w:eastAsia="Times New Roman" w:hAnsi="ffa" w:cs="Times New Roman"/>
          <w:color w:val="000000"/>
          <w:spacing w:val="1"/>
          <w:sz w:val="51"/>
          <w:szCs w:val="51"/>
          <w:lang w:eastAsia="en-AU"/>
        </w:rPr>
        <w:t>–</w:t>
      </w:r>
      <w:r w:rsidRPr="002F1265">
        <w:rPr>
          <w:rFonts w:ascii="ff2" w:eastAsia="Times New Roman" w:hAnsi="ff2" w:cs="Times New Roman"/>
          <w:color w:val="000000"/>
          <w:sz w:val="51"/>
          <w:szCs w:val="51"/>
          <w:lang w:eastAsia="en-AU"/>
        </w:rPr>
        <w:t>158</w:t>
      </w:r>
    </w:p>
    <w:p w14:paraId="0EC7B986" w14:textId="77777777" w:rsidR="00AB45C1" w:rsidRPr="002F1265" w:rsidRDefault="00AB45C1" w:rsidP="002F1265">
      <w:pPr>
        <w:shd w:val="clear" w:color="auto" w:fill="FFFFFF"/>
        <w:spacing w:after="0" w:line="0" w:lineRule="auto"/>
        <w:rPr>
          <w:rFonts w:ascii="ff2" w:eastAsia="Times New Roman" w:hAnsi="ff2" w:cs="Times New Roman"/>
          <w:color w:val="000000"/>
          <w:sz w:val="51"/>
          <w:szCs w:val="51"/>
          <w:lang w:eastAsia="en-AU"/>
        </w:rPr>
      </w:pPr>
      <w:r w:rsidRPr="002F1265">
        <w:rPr>
          <w:rFonts w:ascii="ff2" w:eastAsia="Times New Roman" w:hAnsi="ff2" w:cs="Times New Roman"/>
          <w:color w:val="000000"/>
          <w:sz w:val="51"/>
          <w:szCs w:val="51"/>
          <w:lang w:eastAsia="en-AU"/>
        </w:rPr>
        <w:t>Academic Press, pp. 132</w:t>
      </w:r>
      <w:r w:rsidRPr="002F1265">
        <w:rPr>
          <w:rFonts w:ascii="ffa" w:eastAsia="Times New Roman" w:hAnsi="ffa" w:cs="Times New Roman"/>
          <w:color w:val="000000"/>
          <w:spacing w:val="1"/>
          <w:sz w:val="51"/>
          <w:szCs w:val="51"/>
          <w:lang w:eastAsia="en-AU"/>
        </w:rPr>
        <w:t>–</w:t>
      </w:r>
      <w:r w:rsidRPr="002F1265">
        <w:rPr>
          <w:rFonts w:ascii="ff2" w:eastAsia="Times New Roman" w:hAnsi="ff2" w:cs="Times New Roman"/>
          <w:color w:val="000000"/>
          <w:sz w:val="51"/>
          <w:szCs w:val="51"/>
          <w:lang w:eastAsia="en-AU"/>
        </w:rPr>
        <w:t>158</w:t>
      </w:r>
    </w:p>
    <w:p w14:paraId="1F2500AE" w14:textId="77777777" w:rsidR="00AB45C1" w:rsidRPr="003C6A1E" w:rsidRDefault="00AB45C1" w:rsidP="00C1087A">
      <w:r w:rsidRPr="003C6A1E">
        <w:t>Agriculture Victoria 2016</w:t>
      </w:r>
      <w:r>
        <w:t>.</w:t>
      </w:r>
      <w:r w:rsidRPr="003C6A1E">
        <w:t xml:space="preserve"> </w:t>
      </w:r>
      <w:r w:rsidRPr="000E6B90">
        <w:rPr>
          <w:i/>
          <w:iCs/>
        </w:rPr>
        <w:t>Managing farm water supplies</w:t>
      </w:r>
      <w:r w:rsidRPr="003C6A1E">
        <w:t>. Department of Economic Development, Jobs, Transport and Resources, Melbourne.</w:t>
      </w:r>
    </w:p>
    <w:p w14:paraId="6997D31F" w14:textId="77777777" w:rsidR="00AB45C1" w:rsidRPr="003C6A1E" w:rsidRDefault="00AB45C1" w:rsidP="00C1087A">
      <w:bookmarkStart w:id="646" w:name="_Hlk135133025"/>
      <w:r w:rsidRPr="003C6A1E">
        <w:t>Agriculture Victoria 2018</w:t>
      </w:r>
      <w:r>
        <w:t>.</w:t>
      </w:r>
      <w:r w:rsidRPr="003C6A1E">
        <w:t xml:space="preserve"> </w:t>
      </w:r>
      <w:r w:rsidRPr="000E6B90">
        <w:rPr>
          <w:i/>
          <w:iCs/>
        </w:rPr>
        <w:t>Water supply for sheep and beef cattle in stock containment areas.</w:t>
      </w:r>
      <w:r w:rsidRPr="003C6A1E">
        <w:t xml:space="preserve"> </w:t>
      </w:r>
      <w:bookmarkEnd w:id="646"/>
      <w:r w:rsidRPr="003C6A1E">
        <w:t>Department of Economic Development, Jobs, Transport and Resources, Melbourne.</w:t>
      </w:r>
    </w:p>
    <w:p w14:paraId="008B4A25" w14:textId="26B8C6B9" w:rsidR="00AB45C1" w:rsidRDefault="00AB45C1" w:rsidP="00102E48">
      <w:r w:rsidRPr="003C6A1E">
        <w:t>Agriculture Victoria</w:t>
      </w:r>
      <w:r>
        <w:t xml:space="preserve"> 2023. Water supply in stock containment areas. Department of Energy, Environment and Climate Action, Melbourne. At: </w:t>
      </w:r>
      <w:r w:rsidRPr="000C4016">
        <w:t>https://agriculture.vic.gov.au/farm-management/water/managing-dams/water-supply-in-stock-containment-areas</w:t>
      </w:r>
      <w:r>
        <w:t>.</w:t>
      </w:r>
    </w:p>
    <w:p w14:paraId="7AA826E8" w14:textId="77777777" w:rsidR="00AB45C1" w:rsidRPr="00107E51" w:rsidRDefault="00AB45C1" w:rsidP="00102E48">
      <w:r w:rsidRPr="00F670F0">
        <w:t xml:space="preserve">Albanus L, Alexander J, </w:t>
      </w:r>
      <w:proofErr w:type="spellStart"/>
      <w:r w:rsidRPr="00F670F0">
        <w:t>Cotruvo</w:t>
      </w:r>
      <w:proofErr w:type="spellEnd"/>
      <w:r w:rsidRPr="00F670F0">
        <w:t xml:space="preserve"> JA, de </w:t>
      </w:r>
      <w:proofErr w:type="spellStart"/>
      <w:r w:rsidRPr="00F670F0">
        <w:t>Kruijf</w:t>
      </w:r>
      <w:proofErr w:type="spellEnd"/>
      <w:r w:rsidRPr="00F670F0">
        <w:t xml:space="preserve"> H, Dieter HH &amp; Fawell J 1989</w:t>
      </w:r>
      <w:r>
        <w:t>.</w:t>
      </w:r>
      <w:r w:rsidRPr="00F670F0">
        <w:rPr>
          <w:rFonts w:ascii="TimesNewRoman" w:hAnsi="TimesNewRoman" w:cs="TimesNewRoman"/>
        </w:rPr>
        <w:t xml:space="preserve"> </w:t>
      </w:r>
      <w:r w:rsidRPr="00F670F0">
        <w:rPr>
          <w:i/>
        </w:rPr>
        <w:t>Revision of the WHO Guidelines for Drinking-Water Quality</w:t>
      </w:r>
      <w:r w:rsidRPr="00F670F0">
        <w:t>. Report of a consultation in Rome, Italy, 17–19 October 1988. Document WHO/PEP/89.4, World Health Organization, Geneva.</w:t>
      </w:r>
    </w:p>
    <w:p w14:paraId="1FE99EB3" w14:textId="77777777" w:rsidR="00AB45C1" w:rsidRDefault="00AB45C1" w:rsidP="00094EF0">
      <w:r w:rsidRPr="00F670F0">
        <w:t>Anderson DM &amp; Stothers SC 1978</w:t>
      </w:r>
      <w:r>
        <w:t>.</w:t>
      </w:r>
      <w:r w:rsidRPr="00F670F0">
        <w:t xml:space="preserve"> Effects of saline water high in </w:t>
      </w:r>
      <w:proofErr w:type="spellStart"/>
      <w:r w:rsidRPr="00F670F0">
        <w:t>sulfates</w:t>
      </w:r>
      <w:proofErr w:type="spellEnd"/>
      <w:r w:rsidRPr="00F670F0">
        <w:t xml:space="preserve">, </w:t>
      </w:r>
      <w:proofErr w:type="gramStart"/>
      <w:r w:rsidRPr="00F670F0">
        <w:t>chlorides</w:t>
      </w:r>
      <w:proofErr w:type="gramEnd"/>
      <w:r w:rsidRPr="00F670F0">
        <w:t xml:space="preserve"> and nitrates on the performance of young weanling pigs. </w:t>
      </w:r>
      <w:r w:rsidRPr="00F670F0">
        <w:rPr>
          <w:i/>
        </w:rPr>
        <w:t>Journal of Animal Science</w:t>
      </w:r>
      <w:r w:rsidRPr="00F670F0">
        <w:rPr>
          <w:rFonts w:ascii="TimesNewRoman,Italic" w:hAnsi="TimesNewRoman,Italic" w:cs="TimesNewRoman,Italic"/>
          <w:i/>
          <w:iCs/>
        </w:rPr>
        <w:t xml:space="preserve"> </w:t>
      </w:r>
      <w:r w:rsidRPr="00F670F0">
        <w:t>47</w:t>
      </w:r>
      <w:r>
        <w:t>:</w:t>
      </w:r>
      <w:r w:rsidRPr="00F670F0">
        <w:t>900–907.</w:t>
      </w:r>
    </w:p>
    <w:p w14:paraId="607A072D" w14:textId="247EC5ED" w:rsidR="00AB45C1" w:rsidRDefault="00AB45C1" w:rsidP="00094EF0">
      <w:r>
        <w:t xml:space="preserve">Animal Health Australia (2022). </w:t>
      </w:r>
      <w:r w:rsidRPr="004C6E6D">
        <w:rPr>
          <w:i/>
          <w:iCs/>
        </w:rPr>
        <w:t>Animal Health in Australia Annual Report 2021</w:t>
      </w:r>
      <w:r>
        <w:t>. Animal Health Australia, Canberra.</w:t>
      </w:r>
    </w:p>
    <w:p w14:paraId="4472347F" w14:textId="77777777" w:rsidR="00AB45C1" w:rsidRDefault="00AB45C1" w:rsidP="005D4DDE">
      <w:r w:rsidRPr="00F670F0">
        <w:t xml:space="preserve">Anke M, Grun M, Dittrich G, </w:t>
      </w:r>
      <w:proofErr w:type="spellStart"/>
      <w:r w:rsidRPr="00F670F0">
        <w:t>Groppel</w:t>
      </w:r>
      <w:proofErr w:type="spellEnd"/>
      <w:r w:rsidRPr="00F670F0">
        <w:t xml:space="preserve"> B &amp; Henning A 1974</w:t>
      </w:r>
      <w:r>
        <w:t>.</w:t>
      </w:r>
      <w:r w:rsidRPr="00F670F0">
        <w:t xml:space="preserve"> Low nickel rations for growth and reproduction in pigs. In </w:t>
      </w:r>
      <w:r w:rsidRPr="00F670F0">
        <w:rPr>
          <w:i/>
        </w:rPr>
        <w:t>Trace element metabolism in animals 2</w:t>
      </w:r>
      <w:r w:rsidRPr="00F670F0">
        <w:t>, eds WG Hoekstra, JW Suttie, HE Ganther &amp; W Mertz, University Park Press, Baltimore, Maryland.</w:t>
      </w:r>
    </w:p>
    <w:p w14:paraId="6C54BC3C" w14:textId="77777777" w:rsidR="00AB45C1" w:rsidRDefault="00AB45C1" w:rsidP="0043340B">
      <w:r w:rsidRPr="00F670F0">
        <w:t>ANZECC 1992</w:t>
      </w:r>
      <w:r>
        <w:t>.</w:t>
      </w:r>
      <w:r w:rsidRPr="00F670F0">
        <w:t xml:space="preserve"> </w:t>
      </w:r>
      <w:r w:rsidRPr="00F670F0">
        <w:rPr>
          <w:i/>
        </w:rPr>
        <w:t>Australian water quality guidelines for fresh and marine waters</w:t>
      </w:r>
      <w:r w:rsidRPr="00F670F0">
        <w:t>. National Water Quality Management Strategy Paper No 4, Australian and New Zealand Environment and Conservation Council, Canberra.</w:t>
      </w:r>
    </w:p>
    <w:p w14:paraId="09C62A4F" w14:textId="2E7BD11E" w:rsidR="00AB45C1" w:rsidRDefault="00AB45C1" w:rsidP="00C1087A">
      <w:r>
        <w:t xml:space="preserve">ANZECC/ARMCANZ 2000. </w:t>
      </w:r>
      <w:r w:rsidRPr="000E6839">
        <w:rPr>
          <w:i/>
          <w:iCs/>
        </w:rPr>
        <w:t xml:space="preserve">Australian and New Zealand guidelines for fresh and marine water quality. </w:t>
      </w:r>
      <w:r>
        <w:t>Australian and New Zealand Environment and Conservation Council and Agriculture and Resource Management Council of Australia and New Zealand, Canberra.</w:t>
      </w:r>
    </w:p>
    <w:p w14:paraId="1251CA61" w14:textId="77777777" w:rsidR="00AB45C1" w:rsidRPr="003C6A1E" w:rsidRDefault="00AB45C1" w:rsidP="00C1087A">
      <w:r w:rsidRPr="003C6A1E">
        <w:t>ANZ</w:t>
      </w:r>
      <w:r>
        <w:t>G</w:t>
      </w:r>
      <w:r w:rsidRPr="003C6A1E">
        <w:t xml:space="preserve"> 2018. </w:t>
      </w:r>
      <w:r w:rsidRPr="000E6839">
        <w:rPr>
          <w:i/>
          <w:iCs/>
        </w:rPr>
        <w:t>Australian and New Zealand guidelines for fresh and marine water quality</w:t>
      </w:r>
      <w:r w:rsidRPr="003C6A1E">
        <w:t xml:space="preserve">. </w:t>
      </w:r>
      <w:r w:rsidRPr="003C6A1E">
        <w:rPr>
          <w:lang w:val="en"/>
        </w:rPr>
        <w:t xml:space="preserve">Australian and New Zealand Governments and Australian state and territory governments, Canberra. </w:t>
      </w:r>
    </w:p>
    <w:p w14:paraId="66CDAF1F" w14:textId="77777777" w:rsidR="00AB45C1" w:rsidRPr="00A5628E" w:rsidRDefault="00AB45C1" w:rsidP="000E6839">
      <w:pPr>
        <w:rPr>
          <w:rFonts w:cstheme="minorHAnsi"/>
        </w:rPr>
      </w:pPr>
      <w:r w:rsidRPr="00BA3750">
        <w:rPr>
          <w:rFonts w:cstheme="minorHAnsi"/>
        </w:rPr>
        <w:t>APHA, AWWA &amp; WEF 1998</w:t>
      </w:r>
      <w:r>
        <w:rPr>
          <w:rFonts w:cstheme="minorHAnsi"/>
        </w:rPr>
        <w:t>.</w:t>
      </w:r>
      <w:r w:rsidRPr="00BA3750">
        <w:rPr>
          <w:rFonts w:cstheme="minorHAnsi"/>
        </w:rPr>
        <w:t xml:space="preserve"> </w:t>
      </w:r>
      <w:r w:rsidRPr="00BA3750">
        <w:rPr>
          <w:rFonts w:cstheme="minorHAnsi"/>
          <w:i/>
        </w:rPr>
        <w:t>Standard methods for the examination of water and wastewater</w:t>
      </w:r>
      <w:r w:rsidRPr="00BA3750">
        <w:rPr>
          <w:rFonts w:cstheme="minorHAnsi"/>
        </w:rPr>
        <w:t xml:space="preserve">, 20th edition, </w:t>
      </w:r>
      <w:r w:rsidRPr="000E6839">
        <w:rPr>
          <w:rFonts w:cstheme="minorHAnsi"/>
        </w:rPr>
        <w:t>Standard Methods Committee of the American Public Health Association, American Water Works Association, and Water Environment Federation,</w:t>
      </w:r>
      <w:r w:rsidRPr="00BA3750">
        <w:rPr>
          <w:rFonts w:cstheme="minorHAnsi"/>
        </w:rPr>
        <w:t xml:space="preserve"> eds</w:t>
      </w:r>
      <w:r>
        <w:rPr>
          <w:rFonts w:cstheme="minorHAnsi"/>
        </w:rPr>
        <w:t xml:space="preserve"> </w:t>
      </w:r>
      <w:r w:rsidRPr="000E6839">
        <w:rPr>
          <w:rFonts w:cstheme="minorHAnsi"/>
        </w:rPr>
        <w:t>Lipps WC, Baxter TE, Braun-Howland E</w:t>
      </w:r>
      <w:r>
        <w:rPr>
          <w:rFonts w:cstheme="minorHAnsi"/>
        </w:rPr>
        <w:t>.</w:t>
      </w:r>
      <w:r w:rsidRPr="000E6839">
        <w:rPr>
          <w:rFonts w:cstheme="minorHAnsi"/>
        </w:rPr>
        <w:t xml:space="preserve"> APHA Press, Washington DC.</w:t>
      </w:r>
    </w:p>
    <w:p w14:paraId="7BC427D4" w14:textId="77777777" w:rsidR="00AB45C1" w:rsidRPr="003C6A1E" w:rsidRDefault="00AB45C1" w:rsidP="00C1087A">
      <w:r w:rsidRPr="003C6A1E">
        <w:t>Apostoli P</w:t>
      </w:r>
      <w:r>
        <w:t xml:space="preserve">, Catalini S, </w:t>
      </w:r>
      <w:proofErr w:type="spellStart"/>
      <w:r>
        <w:t>Zaghini</w:t>
      </w:r>
      <w:proofErr w:type="spellEnd"/>
      <w:r>
        <w:t xml:space="preserve"> A, Mariotti A, Poliani PL, </w:t>
      </w:r>
      <w:proofErr w:type="spellStart"/>
      <w:r>
        <w:t>Vielmi</w:t>
      </w:r>
      <w:proofErr w:type="spellEnd"/>
      <w:r>
        <w:t xml:space="preserve"> V, Semeraro F, Duse S, </w:t>
      </w:r>
      <w:proofErr w:type="spellStart"/>
      <w:r>
        <w:t>Porzionato</w:t>
      </w:r>
      <w:proofErr w:type="spellEnd"/>
      <w:r>
        <w:t xml:space="preserve"> A, Macchi V, Padovani A, </w:t>
      </w:r>
      <w:proofErr w:type="spellStart"/>
      <w:r>
        <w:t>Rizzetti</w:t>
      </w:r>
      <w:proofErr w:type="spellEnd"/>
      <w:r>
        <w:t xml:space="preserve"> MC &amp; De Caro R</w:t>
      </w:r>
      <w:r w:rsidRPr="003C6A1E">
        <w:t xml:space="preserve"> 2013</w:t>
      </w:r>
      <w:r>
        <w:t>.</w:t>
      </w:r>
      <w:r w:rsidRPr="003C6A1E">
        <w:t xml:space="preserve"> High doses of cobalt induce optic and auditory neuropathy</w:t>
      </w:r>
      <w:r>
        <w:t>.</w:t>
      </w:r>
      <w:r w:rsidRPr="003C6A1E">
        <w:t xml:space="preserve"> </w:t>
      </w:r>
      <w:r w:rsidRPr="00A12F21">
        <w:rPr>
          <w:rStyle w:val="Emphasis"/>
        </w:rPr>
        <w:t>Experimental and Toxicologic Pathology</w:t>
      </w:r>
      <w:r w:rsidRPr="003C6A1E">
        <w:t xml:space="preserve"> 65</w:t>
      </w:r>
      <w:r>
        <w:t>(</w:t>
      </w:r>
      <w:r w:rsidRPr="003C6A1E">
        <w:t>6</w:t>
      </w:r>
      <w:r>
        <w:t>):</w:t>
      </w:r>
      <w:r w:rsidRPr="003C6A1E">
        <w:t>719–727.</w:t>
      </w:r>
    </w:p>
    <w:p w14:paraId="2F38DB9D" w14:textId="77777777" w:rsidR="00AB45C1" w:rsidRPr="002C3217" w:rsidRDefault="00AB45C1" w:rsidP="00766C4C">
      <w:pPr>
        <w:rPr>
          <w:rFonts w:cstheme="minorHAnsi"/>
        </w:rPr>
      </w:pPr>
      <w:r w:rsidRPr="00CC7BAA">
        <w:rPr>
          <w:rFonts w:cstheme="minorHAnsi"/>
        </w:rPr>
        <w:t>ARMCANZ, ANZECC &amp; NHMRC 2000</w:t>
      </w:r>
      <w:r>
        <w:rPr>
          <w:rFonts w:cstheme="minorHAnsi"/>
        </w:rPr>
        <w:t>.</w:t>
      </w:r>
      <w:r w:rsidRPr="00CC7BAA">
        <w:rPr>
          <w:rFonts w:cstheme="minorHAnsi"/>
        </w:rPr>
        <w:t xml:space="preserve"> </w:t>
      </w:r>
      <w:r w:rsidRPr="00CC7BAA">
        <w:rPr>
          <w:rFonts w:cstheme="minorHAnsi"/>
          <w:i/>
        </w:rPr>
        <w:t>Guidelines for sewerage systems — use of reclaimed water</w:t>
      </w:r>
      <w:r w:rsidRPr="00CC7BAA">
        <w:rPr>
          <w:rFonts w:cstheme="minorHAnsi"/>
        </w:rPr>
        <w:t>. National Water Quality Management Strategy Paper No 14, Agriculture and Resource Management Council of Australia and New Zealand, Australian and New Zealand Environment and Conservation Council, National Health and Medical Research Council, Canberra.</w:t>
      </w:r>
    </w:p>
    <w:p w14:paraId="334DE995" w14:textId="77777777" w:rsidR="00AB45C1" w:rsidRDefault="00AB45C1" w:rsidP="00F43A27">
      <w:pPr>
        <w:rPr>
          <w:rFonts w:ascii="TimesNewRoman" w:hAnsi="TimesNewRoman" w:cs="TimesNewRoman"/>
          <w:sz w:val="18"/>
          <w:szCs w:val="18"/>
        </w:rPr>
      </w:pPr>
      <w:r w:rsidRPr="00F670F0">
        <w:lastRenderedPageBreak/>
        <w:t>Arundel JH 1972</w:t>
      </w:r>
      <w:r>
        <w:t>.</w:t>
      </w:r>
      <w:r w:rsidRPr="00F670F0">
        <w:t xml:space="preserve"> Cysticercosis of sheep and cattle. </w:t>
      </w:r>
      <w:r w:rsidRPr="00F670F0">
        <w:rPr>
          <w:i/>
        </w:rPr>
        <w:t>Australian Meat Research Commission Review</w:t>
      </w:r>
      <w:r w:rsidRPr="00F670F0">
        <w:t xml:space="preserve"> 4</w:t>
      </w:r>
      <w:r>
        <w:t>:</w:t>
      </w:r>
      <w:r w:rsidRPr="00F670F0">
        <w:t>1–21</w:t>
      </w:r>
      <w:r w:rsidRPr="00F670F0">
        <w:rPr>
          <w:rFonts w:ascii="TimesNewRoman" w:hAnsi="TimesNewRoman" w:cs="TimesNewRoman"/>
          <w:sz w:val="18"/>
          <w:szCs w:val="18"/>
        </w:rPr>
        <w:t>.</w:t>
      </w:r>
    </w:p>
    <w:p w14:paraId="4F06C0E9" w14:textId="77777777" w:rsidR="00AB45C1" w:rsidRDefault="00AB45C1" w:rsidP="00C1087A">
      <w:r>
        <w:t xml:space="preserve">Arundel JH, Barker IK &amp; Beveridge I 1977. Diseases of marsupials. In: Stonehouse B, Gilmore D eds, </w:t>
      </w:r>
      <w:r w:rsidRPr="009A5397">
        <w:rPr>
          <w:i/>
          <w:iCs/>
        </w:rPr>
        <w:t>The biology of marsupials,</w:t>
      </w:r>
      <w:r>
        <w:t xml:space="preserve"> Macmillan, London.</w:t>
      </w:r>
    </w:p>
    <w:p w14:paraId="512384EF" w14:textId="77777777" w:rsidR="00AB45C1" w:rsidRPr="003C6A1E" w:rsidRDefault="00AB45C1" w:rsidP="00C1087A">
      <w:r w:rsidRPr="003C6A1E">
        <w:t xml:space="preserve">Asma AA, Latif A &amp; </w:t>
      </w:r>
      <w:proofErr w:type="spellStart"/>
      <w:r w:rsidRPr="003C6A1E">
        <w:t>Shakoori</w:t>
      </w:r>
      <w:proofErr w:type="spellEnd"/>
      <w:r w:rsidRPr="003C6A1E">
        <w:t xml:space="preserve"> AR 1999</w:t>
      </w:r>
      <w:r>
        <w:t>.</w:t>
      </w:r>
      <w:r w:rsidRPr="003C6A1E">
        <w:t xml:space="preserve"> Effect of hexavalent chromium on egg laying capacity, hatchability of eggs, thickness of </w:t>
      </w:r>
      <w:proofErr w:type="gramStart"/>
      <w:r w:rsidRPr="003C6A1E">
        <w:t>egg shell</w:t>
      </w:r>
      <w:proofErr w:type="gramEnd"/>
      <w:r w:rsidRPr="003C6A1E">
        <w:t xml:space="preserve"> and post-hatching development of </w:t>
      </w:r>
      <w:r w:rsidRPr="004906A4">
        <w:rPr>
          <w:rStyle w:val="Emphasis"/>
        </w:rPr>
        <w:t xml:space="preserve">Gallus </w:t>
      </w:r>
      <w:proofErr w:type="spellStart"/>
      <w:r w:rsidRPr="004906A4">
        <w:rPr>
          <w:rStyle w:val="Emphasis"/>
        </w:rPr>
        <w:t>domesticus</w:t>
      </w:r>
      <w:proofErr w:type="spellEnd"/>
      <w:r>
        <w:t>.</w:t>
      </w:r>
      <w:r w:rsidRPr="003C6A1E">
        <w:t xml:space="preserve"> </w:t>
      </w:r>
      <w:r w:rsidRPr="004906A4">
        <w:rPr>
          <w:rStyle w:val="Emphasis"/>
        </w:rPr>
        <w:t>Asian-Australasian Journal of Animal Sciences</w:t>
      </w:r>
      <w:r w:rsidRPr="003C6A1E">
        <w:t xml:space="preserve"> 12</w:t>
      </w:r>
      <w:r>
        <w:t>(</w:t>
      </w:r>
      <w:r w:rsidRPr="003C6A1E">
        <w:t>6</w:t>
      </w:r>
      <w:r>
        <w:t>):</w:t>
      </w:r>
      <w:r w:rsidRPr="003C6A1E">
        <w:t>944</w:t>
      </w:r>
      <w:r>
        <w:t>–</w:t>
      </w:r>
      <w:r w:rsidRPr="003C6A1E">
        <w:t>950.</w:t>
      </w:r>
    </w:p>
    <w:p w14:paraId="5AAF99F1" w14:textId="77777777" w:rsidR="00AB45C1" w:rsidRPr="008F60CB" w:rsidRDefault="00AB45C1" w:rsidP="00C1087A">
      <w:r w:rsidRPr="008F60CB">
        <w:t xml:space="preserve">ATSDR 2002. </w:t>
      </w:r>
      <w:r w:rsidRPr="008F60CB">
        <w:rPr>
          <w:i/>
          <w:iCs/>
        </w:rPr>
        <w:t>Public health statement: beryllium</w:t>
      </w:r>
      <w:r w:rsidRPr="008F60CB">
        <w:t>. Agency for Toxic Substances and Disease Registry.</w:t>
      </w:r>
    </w:p>
    <w:p w14:paraId="1DB19994" w14:textId="5F123254" w:rsidR="00AB45C1" w:rsidRPr="003C6A1E" w:rsidRDefault="00AB45C1" w:rsidP="00C1087A">
      <w:r w:rsidRPr="003C6A1E">
        <w:t>Ayers RS &amp; Westcot DW 1994</w:t>
      </w:r>
      <w:r>
        <w:t>.</w:t>
      </w:r>
      <w:r w:rsidRPr="003C6A1E">
        <w:t xml:space="preserve"> </w:t>
      </w:r>
      <w:hyperlink r:id="rId70" w:anchor="TOC" w:history="1">
        <w:r w:rsidRPr="00B51697">
          <w:rPr>
            <w:i/>
            <w:iCs/>
          </w:rPr>
          <w:t>Water quality for agriculture</w:t>
        </w:r>
      </w:hyperlink>
      <w:r>
        <w:t>.</w:t>
      </w:r>
      <w:r w:rsidRPr="003C6A1E">
        <w:t xml:space="preserve"> Food and Agriculture Organization of the United Nations.</w:t>
      </w:r>
    </w:p>
    <w:p w14:paraId="415D933D" w14:textId="77777777" w:rsidR="00AB45C1" w:rsidRDefault="00AB45C1" w:rsidP="003E34F4">
      <w:r w:rsidRPr="009F2B3D">
        <w:t>Bailey CB 1977</w:t>
      </w:r>
      <w:r>
        <w:t>.</w:t>
      </w:r>
      <w:r w:rsidRPr="009F2B3D">
        <w:t xml:space="preserve"> Influence of aluminium hydroxide on the solubility of silicic acid in rumen fluid and the absorption of silicic acid from the digestive tract of ruminants. </w:t>
      </w:r>
      <w:r w:rsidRPr="009F2B3D">
        <w:rPr>
          <w:rFonts w:cstheme="minorHAnsi"/>
          <w:i/>
          <w:iCs/>
        </w:rPr>
        <w:t>Canadian Journal of Animal Science</w:t>
      </w:r>
      <w:r w:rsidRPr="009F2B3D">
        <w:rPr>
          <w:rFonts w:ascii="TimesNewRoman,Italic" w:hAnsi="TimesNewRoman,Italic" w:cs="TimesNewRoman,Italic"/>
          <w:i/>
          <w:iCs/>
        </w:rPr>
        <w:t xml:space="preserve"> </w:t>
      </w:r>
      <w:r w:rsidRPr="009F2B3D">
        <w:t>57</w:t>
      </w:r>
      <w:r>
        <w:t>:</w:t>
      </w:r>
      <w:r w:rsidRPr="009F2B3D">
        <w:t>239–244.</w:t>
      </w:r>
    </w:p>
    <w:p w14:paraId="3DE66826" w14:textId="77777777" w:rsidR="00AB45C1" w:rsidRPr="009F2B3D" w:rsidRDefault="00AB45C1" w:rsidP="00992E5B">
      <w:pPr>
        <w:rPr>
          <w:rFonts w:ascii="TimesNewRoman,Italic" w:hAnsi="TimesNewRoman,Italic" w:cs="TimesNewRoman,Italic"/>
          <w:i/>
          <w:iCs/>
        </w:rPr>
      </w:pPr>
      <w:r w:rsidRPr="009F2B3D">
        <w:t>Balnave D &amp; Scott T 1986</w:t>
      </w:r>
      <w:r>
        <w:t>.</w:t>
      </w:r>
      <w:r w:rsidRPr="009F2B3D">
        <w:t xml:space="preserve"> The influence of minerals in drinking water on </w:t>
      </w:r>
      <w:proofErr w:type="gramStart"/>
      <w:r w:rsidRPr="009F2B3D">
        <w:t>egg shell</w:t>
      </w:r>
      <w:proofErr w:type="gramEnd"/>
      <w:r w:rsidRPr="009F2B3D">
        <w:t xml:space="preserve"> quality</w:t>
      </w:r>
      <w:r w:rsidRPr="009F2B3D">
        <w:rPr>
          <w:i/>
        </w:rPr>
        <w:t>. Nutrition Reports International</w:t>
      </w:r>
      <w:r w:rsidRPr="009F2B3D">
        <w:rPr>
          <w:rFonts w:ascii="TimesNewRoman,Italic" w:hAnsi="TimesNewRoman,Italic" w:cs="TimesNewRoman,Italic"/>
          <w:i/>
          <w:iCs/>
        </w:rPr>
        <w:t xml:space="preserve"> </w:t>
      </w:r>
      <w:r w:rsidRPr="009F2B3D">
        <w:t>34</w:t>
      </w:r>
      <w:r>
        <w:t>:</w:t>
      </w:r>
      <w:r w:rsidRPr="009F2B3D">
        <w:t>29–34.</w:t>
      </w:r>
    </w:p>
    <w:p w14:paraId="4B363D3D" w14:textId="77777777" w:rsidR="00AB45C1" w:rsidRPr="009F2B3D" w:rsidRDefault="00AB45C1" w:rsidP="00992E5B">
      <w:r w:rsidRPr="009F2B3D">
        <w:t xml:space="preserve">Balnave D &amp; </w:t>
      </w:r>
      <w:proofErr w:type="spellStart"/>
      <w:r w:rsidRPr="009F2B3D">
        <w:t>Yoselwitz</w:t>
      </w:r>
      <w:proofErr w:type="spellEnd"/>
      <w:r w:rsidRPr="009F2B3D">
        <w:t xml:space="preserve"> I 1987</w:t>
      </w:r>
      <w:r>
        <w:t>.</w:t>
      </w:r>
      <w:r w:rsidRPr="009F2B3D">
        <w:t xml:space="preserve"> The relation between sodium chloride concentration in drinking water and eggshell damage. </w:t>
      </w:r>
      <w:r w:rsidRPr="009F2B3D">
        <w:rPr>
          <w:rFonts w:cstheme="minorHAnsi"/>
          <w:i/>
          <w:iCs/>
        </w:rPr>
        <w:t>British Journal of Nutrition</w:t>
      </w:r>
      <w:r w:rsidRPr="009F2B3D">
        <w:rPr>
          <w:rFonts w:ascii="TimesNewRoman,Italic" w:hAnsi="TimesNewRoman,Italic" w:cs="TimesNewRoman,Italic"/>
          <w:i/>
          <w:iCs/>
        </w:rPr>
        <w:t xml:space="preserve"> </w:t>
      </w:r>
      <w:r w:rsidRPr="009F2B3D">
        <w:t>58</w:t>
      </w:r>
      <w:r>
        <w:t>:</w:t>
      </w:r>
      <w:r w:rsidRPr="009F2B3D">
        <w:t>507–509.</w:t>
      </w:r>
    </w:p>
    <w:p w14:paraId="7AD83947" w14:textId="77777777" w:rsidR="00AB45C1" w:rsidRDefault="00AB45C1" w:rsidP="00992E5B">
      <w:r w:rsidRPr="009F2B3D">
        <w:t>Balnave D &amp; Zhang D 1998</w:t>
      </w:r>
      <w:r>
        <w:t>.</w:t>
      </w:r>
      <w:r w:rsidRPr="009F2B3D">
        <w:t xml:space="preserve"> Adverse responses in </w:t>
      </w:r>
      <w:proofErr w:type="gramStart"/>
      <w:r w:rsidRPr="009F2B3D">
        <w:t>egg shell</w:t>
      </w:r>
      <w:proofErr w:type="gramEnd"/>
      <w:r w:rsidRPr="009F2B3D">
        <w:t xml:space="preserve"> quality in late</w:t>
      </w:r>
      <w:r>
        <w:t xml:space="preserve"> </w:t>
      </w:r>
      <w:r w:rsidRPr="009F2B3D">
        <w:t xml:space="preserve">lay resulting from short-term use of saline drinking water in early or </w:t>
      </w:r>
      <w:proofErr w:type="spellStart"/>
      <w:r w:rsidRPr="009F2B3D">
        <w:t>mid lay</w:t>
      </w:r>
      <w:proofErr w:type="spellEnd"/>
      <w:r w:rsidRPr="009F2B3D">
        <w:t xml:space="preserve">. </w:t>
      </w:r>
      <w:r w:rsidRPr="009F2B3D">
        <w:rPr>
          <w:rFonts w:cstheme="minorHAnsi"/>
          <w:i/>
          <w:iCs/>
        </w:rPr>
        <w:t>Australian Journal of Agricultural Research</w:t>
      </w:r>
      <w:r w:rsidRPr="009F2B3D">
        <w:rPr>
          <w:rFonts w:ascii="TimesNewRoman,Italic" w:hAnsi="TimesNewRoman,Italic" w:cs="TimesNewRoman,Italic"/>
          <w:i/>
          <w:iCs/>
        </w:rPr>
        <w:t xml:space="preserve"> </w:t>
      </w:r>
      <w:r w:rsidRPr="009F2B3D">
        <w:t>49(7)</w:t>
      </w:r>
      <w:r>
        <w:t>:</w:t>
      </w:r>
      <w:r w:rsidRPr="009F2B3D">
        <w:t>1161–1165.</w:t>
      </w:r>
    </w:p>
    <w:p w14:paraId="541A5D1E" w14:textId="77777777" w:rsidR="00AB45C1" w:rsidRPr="006F2B06" w:rsidRDefault="00AB45C1" w:rsidP="00C1087A">
      <w:pPr>
        <w:rPr>
          <w:lang w:val="de-DE"/>
        </w:rPr>
      </w:pPr>
      <w:r w:rsidRPr="007C69AE">
        <w:t xml:space="preserve">Beede DK 2012. What will our ruminants drink? </w:t>
      </w:r>
      <w:r w:rsidRPr="006F2B06">
        <w:rPr>
          <w:rStyle w:val="Emphasis"/>
          <w:lang w:val="de-DE"/>
        </w:rPr>
        <w:t>Animal Frontiers</w:t>
      </w:r>
      <w:r w:rsidRPr="006F2B06">
        <w:rPr>
          <w:lang w:val="de-DE"/>
        </w:rPr>
        <w:t xml:space="preserve"> 2(2):36–43.</w:t>
      </w:r>
    </w:p>
    <w:p w14:paraId="12731959" w14:textId="77777777" w:rsidR="00AB45C1" w:rsidRPr="00B51697" w:rsidRDefault="00AB45C1" w:rsidP="00AA1245">
      <w:r w:rsidRPr="00AA1245">
        <w:t xml:space="preserve">Beggs DS 2014. How I treat urolithiasis. </w:t>
      </w:r>
      <w:r w:rsidRPr="00AA1245">
        <w:rPr>
          <w:i/>
          <w:iCs/>
        </w:rPr>
        <w:t xml:space="preserve">The Australian Cattle Veterinarian </w:t>
      </w:r>
      <w:r w:rsidRPr="00AA1245">
        <w:t>71(6):10</w:t>
      </w:r>
      <w:r>
        <w:rPr>
          <w:rFonts w:cstheme="minorHAnsi"/>
        </w:rPr>
        <w:t>–</w:t>
      </w:r>
      <w:r w:rsidRPr="00B51697">
        <w:t>12.</w:t>
      </w:r>
    </w:p>
    <w:p w14:paraId="64A02FD1" w14:textId="77777777" w:rsidR="00AB45C1" w:rsidRDefault="00AB45C1" w:rsidP="00686A66">
      <w:r w:rsidRPr="006F2B06">
        <w:rPr>
          <w:lang w:val="de-DE"/>
        </w:rPr>
        <w:t xml:space="preserve">Belluck DA &amp; Anderson HA 1988. </w:t>
      </w:r>
      <w:r w:rsidRPr="007C69AE">
        <w:t xml:space="preserve">Wisconsin’s risk assessment based numerical groundwater standards program. In </w:t>
      </w:r>
      <w:r w:rsidRPr="007C69AE">
        <w:rPr>
          <w:rFonts w:cstheme="minorHAnsi"/>
          <w:i/>
          <w:iCs/>
        </w:rPr>
        <w:t>Agrichemicals and groundwater protection</w:t>
      </w:r>
      <w:r w:rsidRPr="007C69AE">
        <w:rPr>
          <w:rFonts w:ascii="TimesNewRoman,Italic" w:hAnsi="TimesNewRoman,Italic" w:cs="TimesNewRoman,Italic"/>
          <w:i/>
          <w:iCs/>
        </w:rPr>
        <w:t xml:space="preserve">: </w:t>
      </w:r>
      <w:r w:rsidRPr="007C69AE">
        <w:rPr>
          <w:rFonts w:cstheme="minorHAnsi"/>
          <w:i/>
          <w:iCs/>
        </w:rPr>
        <w:t>Resources and strategies for state and local management</w:t>
      </w:r>
      <w:r w:rsidRPr="007C69AE">
        <w:t>. Conference Proceedings, St Paul, Minnesota, 24–25 October, Freshwater Foundation, Navarre, Minnesota, 239–253.</w:t>
      </w:r>
    </w:p>
    <w:p w14:paraId="70573F83" w14:textId="206FB597" w:rsidR="00AB45C1" w:rsidRDefault="00AB45C1" w:rsidP="00C1087A">
      <w:r>
        <w:t xml:space="preserve">Benson K 2022. Zinc toxicosis in animals. In </w:t>
      </w:r>
      <w:hyperlink r:id="rId71" w:history="1">
        <w:r w:rsidRPr="00AA1245">
          <w:rPr>
            <w:rStyle w:val="Hyperlink"/>
          </w:rPr>
          <w:t>MSD Veterinary Manual</w:t>
        </w:r>
      </w:hyperlink>
      <w:r>
        <w:t xml:space="preserve">, Merck &amp; Co, USA. At: </w:t>
      </w:r>
      <w:hyperlink r:id="rId72" w:history="1">
        <w:r>
          <w:rPr>
            <w:rStyle w:val="Hyperlink"/>
          </w:rPr>
          <w:t>Zinc Toxicosis in Animals - Toxicology - MSD Veterinary Manual (msdvetmanual.com)</w:t>
        </w:r>
      </w:hyperlink>
      <w:r>
        <w:t>.</w:t>
      </w:r>
    </w:p>
    <w:p w14:paraId="5E2C7595" w14:textId="77777777" w:rsidR="00AB45C1" w:rsidRDefault="00AB45C1" w:rsidP="00C1087A">
      <w:proofErr w:type="spellStart"/>
      <w:r w:rsidRPr="003C6A1E">
        <w:t>Bersényi</w:t>
      </w:r>
      <w:proofErr w:type="spellEnd"/>
      <w:r w:rsidRPr="003C6A1E">
        <w:t xml:space="preserve"> A</w:t>
      </w:r>
      <w:r>
        <w:t xml:space="preserve">, </w:t>
      </w:r>
      <w:proofErr w:type="spellStart"/>
      <w:r>
        <w:t>B</w:t>
      </w:r>
      <w:r w:rsidRPr="003C6A1E">
        <w:t>é</w:t>
      </w:r>
      <w:r>
        <w:t>rta</w:t>
      </w:r>
      <w:proofErr w:type="spellEnd"/>
      <w:r>
        <w:t xml:space="preserve"> E, K</w:t>
      </w:r>
      <w:r>
        <w:rPr>
          <w:rFonts w:cstheme="minorHAnsi"/>
        </w:rPr>
        <w:t>á</w:t>
      </w:r>
      <w:r>
        <w:t>d</w:t>
      </w:r>
      <w:r>
        <w:rPr>
          <w:rFonts w:cstheme="minorHAnsi"/>
        </w:rPr>
        <w:t>á</w:t>
      </w:r>
      <w:r>
        <w:t xml:space="preserve">r I, </w:t>
      </w:r>
      <w:proofErr w:type="spellStart"/>
      <w:r>
        <w:t>Gl</w:t>
      </w:r>
      <w:r>
        <w:rPr>
          <w:rFonts w:cstheme="minorHAnsi"/>
        </w:rPr>
        <w:t>á</w:t>
      </w:r>
      <w:r>
        <w:t>vits</w:t>
      </w:r>
      <w:proofErr w:type="spellEnd"/>
      <w:r>
        <w:t>, Szil</w:t>
      </w:r>
      <w:r>
        <w:rPr>
          <w:rFonts w:cstheme="minorHAnsi"/>
        </w:rPr>
        <w:t>á</w:t>
      </w:r>
      <w:r>
        <w:t>gyi M &amp; Fekete SG</w:t>
      </w:r>
      <w:r w:rsidRPr="003C6A1E">
        <w:t xml:space="preserve"> 2008</w:t>
      </w:r>
      <w:r>
        <w:t>.</w:t>
      </w:r>
      <w:r w:rsidRPr="003C6A1E">
        <w:t xml:space="preserve"> Effects of high dietary molybdenum in rabbits</w:t>
      </w:r>
      <w:r>
        <w:t>.</w:t>
      </w:r>
      <w:r w:rsidRPr="003C6A1E">
        <w:t xml:space="preserve"> </w:t>
      </w:r>
      <w:r w:rsidRPr="006E201C">
        <w:rPr>
          <w:rStyle w:val="Emphasis"/>
        </w:rPr>
        <w:t xml:space="preserve">Acta </w:t>
      </w:r>
      <w:proofErr w:type="spellStart"/>
      <w:r w:rsidRPr="006E201C">
        <w:rPr>
          <w:rStyle w:val="Emphasis"/>
        </w:rPr>
        <w:t>Veterinaria</w:t>
      </w:r>
      <w:proofErr w:type="spellEnd"/>
      <w:r w:rsidRPr="006E201C">
        <w:rPr>
          <w:rStyle w:val="Emphasis"/>
        </w:rPr>
        <w:t xml:space="preserve"> </w:t>
      </w:r>
      <w:proofErr w:type="spellStart"/>
      <w:r w:rsidRPr="006E201C">
        <w:rPr>
          <w:rStyle w:val="Emphasis"/>
        </w:rPr>
        <w:t>Hungarica</w:t>
      </w:r>
      <w:proofErr w:type="spellEnd"/>
      <w:r w:rsidRPr="003C6A1E">
        <w:t xml:space="preserve"> 56</w:t>
      </w:r>
      <w:r>
        <w:t>(</w:t>
      </w:r>
      <w:r w:rsidRPr="003C6A1E">
        <w:t>1</w:t>
      </w:r>
      <w:r>
        <w:t>):</w:t>
      </w:r>
      <w:r w:rsidRPr="003C6A1E">
        <w:t>41–55.</w:t>
      </w:r>
    </w:p>
    <w:p w14:paraId="6AA7ABAB" w14:textId="31B4646E" w:rsidR="00AB45C1" w:rsidRDefault="00AB45C1" w:rsidP="00957706">
      <w:r>
        <w:t xml:space="preserve">Bischoff 2022. Selenium toxicosis in animals. In </w:t>
      </w:r>
      <w:hyperlink r:id="rId73" w:history="1">
        <w:r w:rsidRPr="00AA1245">
          <w:rPr>
            <w:rStyle w:val="Hyperlink"/>
          </w:rPr>
          <w:t>MSD Veterinary Manual</w:t>
        </w:r>
      </w:hyperlink>
      <w:r>
        <w:t xml:space="preserve">, Merck &amp; Co, USA. At: </w:t>
      </w:r>
      <w:hyperlink r:id="rId74" w:history="1">
        <w:r>
          <w:rPr>
            <w:rStyle w:val="Hyperlink"/>
          </w:rPr>
          <w:t>Selenium Toxicosis in Animals - Toxicology - MSD Veterinary Manual (msdvetmanual.com)</w:t>
        </w:r>
      </w:hyperlink>
      <w:r>
        <w:t>.</w:t>
      </w:r>
    </w:p>
    <w:p w14:paraId="3D71B775" w14:textId="77777777" w:rsidR="00AB45C1" w:rsidRPr="003C6A1E" w:rsidRDefault="00AB45C1" w:rsidP="00C1087A">
      <w:r w:rsidRPr="003C6A1E">
        <w:t>Blake JP &amp; Hess JB 2001</w:t>
      </w:r>
      <w:r>
        <w:t>.</w:t>
      </w:r>
      <w:r w:rsidRPr="003C6A1E">
        <w:t xml:space="preserve"> </w:t>
      </w:r>
      <w:r w:rsidRPr="007E4943">
        <w:rPr>
          <w:i/>
          <w:iCs/>
        </w:rPr>
        <w:t>Evaluating water quality for poultry</w:t>
      </w:r>
      <w:r w:rsidRPr="003C6A1E">
        <w:t>, ANR 1201, Alabama Cooperative Extension.</w:t>
      </w:r>
    </w:p>
    <w:p w14:paraId="4E97D267" w14:textId="1E77FFB3" w:rsidR="00AB45C1" w:rsidRDefault="00AB45C1" w:rsidP="00703074">
      <w:r>
        <w:t xml:space="preserve">Blakley 2022a. Copper poisoning in animals. In </w:t>
      </w:r>
      <w:hyperlink r:id="rId75" w:history="1">
        <w:r w:rsidRPr="00AA1245">
          <w:rPr>
            <w:rStyle w:val="Hyperlink"/>
          </w:rPr>
          <w:t>MSD Veterinary Manual</w:t>
        </w:r>
      </w:hyperlink>
      <w:r>
        <w:t xml:space="preserve">, Merck &amp; Co, USA. At: </w:t>
      </w:r>
      <w:hyperlink r:id="rId76" w:history="1">
        <w:r>
          <w:rPr>
            <w:rStyle w:val="Hyperlink"/>
          </w:rPr>
          <w:t>Copper Poisoning in Animals - Toxicology - MSD Veterinary Manual (msdvetmanual.com)</w:t>
        </w:r>
      </w:hyperlink>
      <w:r>
        <w:t>.</w:t>
      </w:r>
    </w:p>
    <w:p w14:paraId="316F9D86" w14:textId="1F1E5A65" w:rsidR="00AB45C1" w:rsidRDefault="00AB45C1" w:rsidP="00085C44">
      <w:r>
        <w:t xml:space="preserve">Blakley 2022b. Fluoride poisoning in animals. In </w:t>
      </w:r>
      <w:hyperlink r:id="rId77" w:history="1">
        <w:r w:rsidRPr="00AA1245">
          <w:rPr>
            <w:rStyle w:val="Hyperlink"/>
          </w:rPr>
          <w:t>MSD Veterinary Manual</w:t>
        </w:r>
      </w:hyperlink>
      <w:r>
        <w:t xml:space="preserve">, Merck &amp; Co, USA. At: </w:t>
      </w:r>
      <w:hyperlink r:id="rId78" w:history="1">
        <w:r>
          <w:rPr>
            <w:rStyle w:val="Hyperlink"/>
          </w:rPr>
          <w:t>Fluoride Poisoning in Animals - Toxicology - MSD Veterinary Manual (msdvetmanual.com)</w:t>
        </w:r>
      </w:hyperlink>
      <w:r>
        <w:t>.</w:t>
      </w:r>
    </w:p>
    <w:p w14:paraId="21FAEAEF" w14:textId="14379FEA" w:rsidR="00AB45C1" w:rsidRDefault="00AB45C1" w:rsidP="00DD6396">
      <w:r>
        <w:lastRenderedPageBreak/>
        <w:t xml:space="preserve">Blakley 2022c. Lead poisoning in animals. In </w:t>
      </w:r>
      <w:hyperlink r:id="rId79" w:history="1">
        <w:r w:rsidRPr="00AA1245">
          <w:rPr>
            <w:rStyle w:val="Hyperlink"/>
          </w:rPr>
          <w:t>MSD Veterinary Manual</w:t>
        </w:r>
      </w:hyperlink>
      <w:r>
        <w:t xml:space="preserve">, Merck &amp; Co, USA. At: </w:t>
      </w:r>
      <w:hyperlink r:id="rId80" w:history="1">
        <w:r>
          <w:rPr>
            <w:rStyle w:val="Hyperlink"/>
          </w:rPr>
          <w:t>Lead Poisoning in Animals - Toxicology - MSD Veterinary Manual (msdvetmanual.com)</w:t>
        </w:r>
      </w:hyperlink>
      <w:r>
        <w:t>.</w:t>
      </w:r>
    </w:p>
    <w:p w14:paraId="321390B7" w14:textId="26B40E49" w:rsidR="00AB45C1" w:rsidRDefault="00AB45C1" w:rsidP="00546852">
      <w:r>
        <w:t xml:space="preserve">Blakley 2022d. Mercury poisoning in animals. In </w:t>
      </w:r>
      <w:hyperlink r:id="rId81" w:history="1">
        <w:r w:rsidRPr="00AA1245">
          <w:rPr>
            <w:rStyle w:val="Hyperlink"/>
          </w:rPr>
          <w:t>MSD Veterinary Manual</w:t>
        </w:r>
      </w:hyperlink>
      <w:r>
        <w:t xml:space="preserve">, Merck &amp; Co, USA. At: </w:t>
      </w:r>
      <w:hyperlink r:id="rId82" w:history="1">
        <w:r>
          <w:rPr>
            <w:rStyle w:val="Hyperlink"/>
          </w:rPr>
          <w:t>Mercury Poisoning in Animals - Toxicology - MSD Veterinary Manual (msdvetmanual.com)</w:t>
        </w:r>
      </w:hyperlink>
      <w:r>
        <w:t>.</w:t>
      </w:r>
    </w:p>
    <w:p w14:paraId="33A397AB" w14:textId="3BE09895" w:rsidR="00AB45C1" w:rsidRDefault="00AB45C1" w:rsidP="00FD1780">
      <w:r>
        <w:t xml:space="preserve">Blakley 2022e. Molybdenum toxicity in animals. In </w:t>
      </w:r>
      <w:hyperlink r:id="rId83" w:history="1">
        <w:r w:rsidRPr="00AA1245">
          <w:rPr>
            <w:rStyle w:val="Hyperlink"/>
          </w:rPr>
          <w:t>MSD Veterinary Manual</w:t>
        </w:r>
      </w:hyperlink>
      <w:r>
        <w:t xml:space="preserve">, Merck &amp; Co, USA. At: </w:t>
      </w:r>
      <w:hyperlink r:id="rId84" w:history="1">
        <w:r>
          <w:rPr>
            <w:rStyle w:val="Hyperlink"/>
          </w:rPr>
          <w:t>Molybdenum Toxicity in Animals - Toxicology - MSD Veterinary Manual (msdvetmanual.com)</w:t>
        </w:r>
      </w:hyperlink>
      <w:r>
        <w:t>.</w:t>
      </w:r>
    </w:p>
    <w:p w14:paraId="25FE5723" w14:textId="77777777" w:rsidR="00AB45C1" w:rsidRDefault="00AB45C1" w:rsidP="00603BD3">
      <w:r w:rsidRPr="007C69AE">
        <w:t>Blewett DA, Wright SE, Casemore DP, Booth NE &amp; Jones CE 1993</w:t>
      </w:r>
      <w:r>
        <w:t>.</w:t>
      </w:r>
      <w:r w:rsidRPr="007C69AE">
        <w:t xml:space="preserve"> Infective dose size studies on Cryptosporidium parvum using gnotobiotic lambs. </w:t>
      </w:r>
      <w:r w:rsidRPr="007C69AE">
        <w:rPr>
          <w:rFonts w:cstheme="minorHAnsi"/>
          <w:i/>
          <w:iCs/>
        </w:rPr>
        <w:t>Water Science and Technology</w:t>
      </w:r>
      <w:r w:rsidRPr="007C69AE">
        <w:rPr>
          <w:rFonts w:ascii="TimesNewRoman,Italic" w:hAnsi="TimesNewRoman,Italic" w:cs="TimesNewRoman,Italic"/>
          <w:i/>
          <w:iCs/>
        </w:rPr>
        <w:t xml:space="preserve"> </w:t>
      </w:r>
      <w:r w:rsidRPr="007C69AE">
        <w:t>27</w:t>
      </w:r>
      <w:r>
        <w:t>:</w:t>
      </w:r>
      <w:r w:rsidRPr="007C69AE">
        <w:t>61–64.</w:t>
      </w:r>
    </w:p>
    <w:p w14:paraId="29618F4A" w14:textId="77777777" w:rsidR="00AB45C1" w:rsidRDefault="00AB45C1" w:rsidP="002A5359">
      <w:r>
        <w:t xml:space="preserve">Borland D, Coulson G &amp; Beveridge I 2012. Oral </w:t>
      </w:r>
      <w:proofErr w:type="spellStart"/>
      <w:r>
        <w:t>necrobacillus</w:t>
      </w:r>
      <w:proofErr w:type="spellEnd"/>
      <w:r>
        <w:t xml:space="preserve"> (‘lumpy jaw’) in a free-ranging population of eastern grey kangaroos (</w:t>
      </w:r>
      <w:r w:rsidRPr="00542FDF">
        <w:rPr>
          <w:i/>
          <w:iCs/>
        </w:rPr>
        <w:t>Macropus giganteus</w:t>
      </w:r>
      <w:r>
        <w:t xml:space="preserve">) in Victoria. </w:t>
      </w:r>
      <w:r w:rsidRPr="00542FDF">
        <w:rPr>
          <w:i/>
          <w:iCs/>
        </w:rPr>
        <w:t>Australian Mammals</w:t>
      </w:r>
      <w:r>
        <w:t xml:space="preserve"> 34:29</w:t>
      </w:r>
      <w:r>
        <w:rPr>
          <w:rFonts w:cstheme="minorHAnsi"/>
        </w:rPr>
        <w:t>–</w:t>
      </w:r>
      <w:r>
        <w:t>35.</w:t>
      </w:r>
    </w:p>
    <w:p w14:paraId="1EC2DEDB" w14:textId="52B37CDA" w:rsidR="00AB45C1" w:rsidRDefault="00AB45C1" w:rsidP="002A5359">
      <w:proofErr w:type="spellStart"/>
      <w:r w:rsidRPr="007C69AE">
        <w:t>Brackpool</w:t>
      </w:r>
      <w:proofErr w:type="spellEnd"/>
      <w:r w:rsidRPr="007C69AE">
        <w:t xml:space="preserve"> CE, Roberts JR </w:t>
      </w:r>
      <w:r>
        <w:t>&amp;</w:t>
      </w:r>
      <w:r w:rsidRPr="007C69AE">
        <w:t xml:space="preserve"> Balnave D 1996</w:t>
      </w:r>
      <w:r>
        <w:t>.</w:t>
      </w:r>
      <w:r w:rsidRPr="007C69AE">
        <w:t xml:space="preserve"> Blood electrolyte status over the daily laying cycle and the effect of saline drinking water on the availability of calcium in the blood for egg-shell formation in the laying hen. </w:t>
      </w:r>
      <w:r w:rsidRPr="007C69AE">
        <w:rPr>
          <w:rFonts w:cstheme="minorHAnsi"/>
          <w:i/>
          <w:iCs/>
        </w:rPr>
        <w:t>Journal of Animal Physiology and Animal Nutrition</w:t>
      </w:r>
      <w:r w:rsidRPr="007C69AE">
        <w:rPr>
          <w:rFonts w:ascii="TimesNewRoman,Italic" w:hAnsi="TimesNewRoman,Italic" w:cs="TimesNewRoman,Italic"/>
          <w:i/>
          <w:iCs/>
        </w:rPr>
        <w:t xml:space="preserve"> </w:t>
      </w:r>
      <w:r w:rsidRPr="007C69AE">
        <w:t>75</w:t>
      </w:r>
      <w:r>
        <w:t>:</w:t>
      </w:r>
      <w:r w:rsidRPr="007C69AE">
        <w:t>214–225.</w:t>
      </w:r>
    </w:p>
    <w:p w14:paraId="34EC2A49" w14:textId="77777777" w:rsidR="00AB45C1" w:rsidRPr="000D31F7" w:rsidRDefault="00AB45C1" w:rsidP="00BB5C7F">
      <w:r w:rsidRPr="006B147F">
        <w:t xml:space="preserve">Bruning-Fann CS, </w:t>
      </w:r>
      <w:proofErr w:type="spellStart"/>
      <w:r w:rsidRPr="006B147F">
        <w:t>Kaneene</w:t>
      </w:r>
      <w:proofErr w:type="spellEnd"/>
      <w:r w:rsidRPr="006B147F">
        <w:t xml:space="preserve"> JB, Lloyd JW, Stein AD, Thacker B </w:t>
      </w:r>
      <w:r>
        <w:t>&amp;</w:t>
      </w:r>
      <w:r w:rsidRPr="006B147F">
        <w:t xml:space="preserve"> Hurd HS 1996</w:t>
      </w:r>
      <w:r>
        <w:t>.</w:t>
      </w:r>
      <w:r w:rsidRPr="006B147F">
        <w:t xml:space="preserve"> Associations between drinking-water nitrate and the productivity and health of farrowing swine.</w:t>
      </w:r>
      <w:r w:rsidRPr="006B147F">
        <w:rPr>
          <w:rFonts w:ascii="TimesNewRoman" w:hAnsi="TimesNewRoman" w:cs="TimesNewRoman"/>
        </w:rPr>
        <w:t xml:space="preserve"> </w:t>
      </w:r>
      <w:r w:rsidRPr="006B147F">
        <w:rPr>
          <w:i/>
        </w:rPr>
        <w:t>Preventive-Veterinary-Medicine</w:t>
      </w:r>
      <w:r w:rsidRPr="006B147F">
        <w:t xml:space="preserve"> 26</w:t>
      </w:r>
      <w:r>
        <w:t>:</w:t>
      </w:r>
      <w:r w:rsidRPr="006B147F">
        <w:t>33–46.</w:t>
      </w:r>
    </w:p>
    <w:p w14:paraId="631F0B3C" w14:textId="77777777" w:rsidR="00AB45C1" w:rsidRPr="003C6A1E" w:rsidRDefault="00AB45C1" w:rsidP="00C1087A">
      <w:proofErr w:type="spellStart"/>
      <w:r w:rsidRPr="003C6A1E">
        <w:t>Butkauskas</w:t>
      </w:r>
      <w:proofErr w:type="spellEnd"/>
      <w:r w:rsidRPr="003C6A1E">
        <w:t xml:space="preserve"> D &amp; </w:t>
      </w:r>
      <w:proofErr w:type="spellStart"/>
      <w:r w:rsidRPr="003C6A1E">
        <w:t>Sruoga</w:t>
      </w:r>
      <w:proofErr w:type="spellEnd"/>
      <w:r w:rsidRPr="003C6A1E">
        <w:t xml:space="preserve"> A 2004</w:t>
      </w:r>
      <w:r>
        <w:t>.</w:t>
      </w:r>
      <w:r w:rsidRPr="003C6A1E">
        <w:t xml:space="preserve"> Effect of lead and chromium on reproductive success of Japanese quail</w:t>
      </w:r>
      <w:r>
        <w:t>.</w:t>
      </w:r>
      <w:r w:rsidRPr="003C6A1E">
        <w:t xml:space="preserve"> </w:t>
      </w:r>
      <w:r w:rsidRPr="00051377">
        <w:rPr>
          <w:rStyle w:val="Emphasis"/>
        </w:rPr>
        <w:t>Environmental Toxicolog</w:t>
      </w:r>
      <w:r>
        <w:rPr>
          <w:rStyle w:val="Emphasis"/>
        </w:rPr>
        <w:t>y</w:t>
      </w:r>
      <w:r w:rsidRPr="003C6A1E">
        <w:t xml:space="preserve"> 19</w:t>
      </w:r>
      <w:r>
        <w:t>(</w:t>
      </w:r>
      <w:r w:rsidRPr="003C6A1E">
        <w:t>4</w:t>
      </w:r>
      <w:r>
        <w:t>):</w:t>
      </w:r>
      <w:r w:rsidRPr="003C6A1E">
        <w:t>412–415.</w:t>
      </w:r>
    </w:p>
    <w:p w14:paraId="38FED909" w14:textId="77777777" w:rsidR="00AB45C1" w:rsidRDefault="00AB45C1" w:rsidP="00747F02">
      <w:r w:rsidRPr="006B147F">
        <w:t>Cakir A, Sullivan TW &amp; Mather FB 1978</w:t>
      </w:r>
      <w:r>
        <w:t>.</w:t>
      </w:r>
      <w:r w:rsidRPr="006B147F">
        <w:t xml:space="preserve"> Alleviation of fluorine toxicity in starting turkeys and chicks with </w:t>
      </w:r>
      <w:proofErr w:type="spellStart"/>
      <w:r w:rsidRPr="006B147F">
        <w:t>aluminum</w:t>
      </w:r>
      <w:proofErr w:type="spellEnd"/>
      <w:r w:rsidRPr="006B147F">
        <w:t xml:space="preserve">. </w:t>
      </w:r>
      <w:r w:rsidRPr="006B147F">
        <w:rPr>
          <w:i/>
        </w:rPr>
        <w:t>Poultry Science</w:t>
      </w:r>
      <w:r w:rsidRPr="006B147F">
        <w:rPr>
          <w:rFonts w:ascii="TimesNewRoman,Italic" w:hAnsi="TimesNewRoman,Italic" w:cs="TimesNewRoman,Italic"/>
          <w:i/>
          <w:iCs/>
        </w:rPr>
        <w:t xml:space="preserve"> </w:t>
      </w:r>
      <w:r w:rsidRPr="006B147F">
        <w:t>57</w:t>
      </w:r>
      <w:r>
        <w:t>:</w:t>
      </w:r>
      <w:r w:rsidRPr="006B147F">
        <w:t>498.</w:t>
      </w:r>
    </w:p>
    <w:p w14:paraId="23D8F8C0" w14:textId="77777777" w:rsidR="00AB45C1" w:rsidRPr="00B760DA" w:rsidRDefault="00AB45C1" w:rsidP="004918B9">
      <w:pPr>
        <w:shd w:val="clear" w:color="auto" w:fill="FFFFFF"/>
        <w:spacing w:after="150" w:line="240" w:lineRule="auto"/>
      </w:pPr>
      <w:r w:rsidRPr="00B760DA">
        <w:t xml:space="preserve">Campbell PGC &amp; Stokes PM 1985. Acidification and toxicity of metals to aquatic biota. </w:t>
      </w:r>
      <w:r w:rsidRPr="00B760DA">
        <w:rPr>
          <w:i/>
          <w:iCs/>
        </w:rPr>
        <w:t xml:space="preserve">Canadian Journal of Fisheries and Aquatic Sciences </w:t>
      </w:r>
      <w:r w:rsidRPr="00B760DA">
        <w:t>42</w:t>
      </w:r>
      <w:r>
        <w:t>:</w:t>
      </w:r>
      <w:r w:rsidRPr="00B760DA">
        <w:t>2034–2049.</w:t>
      </w:r>
    </w:p>
    <w:p w14:paraId="55CBA65B" w14:textId="230EFCDE" w:rsidR="00AB45C1" w:rsidRPr="0006785D" w:rsidRDefault="00AB45C1" w:rsidP="008D59FA">
      <w:r w:rsidRPr="00FD5483">
        <w:t>Carmichael WW &amp; Falconer IR 1993</w:t>
      </w:r>
      <w:r>
        <w:t>.</w:t>
      </w:r>
      <w:r w:rsidRPr="00FD5483">
        <w:t xml:space="preserve"> Diseases related to freshwater blue-green algal toxins, and control measures. In </w:t>
      </w:r>
      <w:r w:rsidRPr="00FD5483">
        <w:rPr>
          <w:i/>
        </w:rPr>
        <w:t>Algal toxins in seafood and drinking water</w:t>
      </w:r>
      <w:r w:rsidRPr="00FD5483">
        <w:t>, ed IR Falconer, Academic Press, London, 187–209.</w:t>
      </w:r>
    </w:p>
    <w:p w14:paraId="00B9CB47" w14:textId="77777777" w:rsidR="00AB45C1" w:rsidRDefault="00AB45C1" w:rsidP="008D59FA">
      <w:r w:rsidRPr="003208A8">
        <w:t>Carmichael WW 1994</w:t>
      </w:r>
      <w:r>
        <w:t>.</w:t>
      </w:r>
      <w:r w:rsidRPr="003208A8">
        <w:t xml:space="preserve"> The toxins of </w:t>
      </w:r>
      <w:r>
        <w:t>c</w:t>
      </w:r>
      <w:r w:rsidRPr="003208A8">
        <w:t xml:space="preserve">yanobacteria. </w:t>
      </w:r>
      <w:r w:rsidRPr="003208A8">
        <w:rPr>
          <w:rFonts w:cstheme="minorHAnsi"/>
          <w:i/>
          <w:iCs/>
        </w:rPr>
        <w:t>Scientific American</w:t>
      </w:r>
      <w:r w:rsidRPr="003208A8">
        <w:rPr>
          <w:rFonts w:ascii="TimesNewRoman,Italic" w:hAnsi="TimesNewRoman,Italic" w:cs="TimesNewRoman,Italic"/>
          <w:i/>
          <w:iCs/>
        </w:rPr>
        <w:t xml:space="preserve"> </w:t>
      </w:r>
      <w:r w:rsidRPr="003208A8">
        <w:t>January, 64–72.</w:t>
      </w:r>
    </w:p>
    <w:p w14:paraId="72B80A94" w14:textId="77777777" w:rsidR="00AB45C1" w:rsidRDefault="00AB45C1" w:rsidP="008D59FA">
      <w:r w:rsidRPr="002A4702">
        <w:t>Case AA 1963</w:t>
      </w:r>
      <w:r>
        <w:t>.</w:t>
      </w:r>
      <w:r w:rsidRPr="002A4702">
        <w:t xml:space="preserve"> </w:t>
      </w:r>
      <w:r w:rsidRPr="002A4702">
        <w:rPr>
          <w:i/>
        </w:rPr>
        <w:t>The nitrate problem</w:t>
      </w:r>
      <w:r w:rsidRPr="002A4702">
        <w:t>. Bulletin D18:1, National Hog Farmer Series, Swine Information Service.</w:t>
      </w:r>
    </w:p>
    <w:p w14:paraId="197ABAEB" w14:textId="77777777" w:rsidR="00AB45C1" w:rsidRDefault="00AB45C1" w:rsidP="00421A6C">
      <w:r w:rsidRPr="00F91856">
        <w:t>CCME 1996</w:t>
      </w:r>
      <w:r>
        <w:t>.</w:t>
      </w:r>
      <w:r w:rsidRPr="00F91856">
        <w:t xml:space="preserve"> </w:t>
      </w:r>
      <w:r w:rsidRPr="007E4943">
        <w:rPr>
          <w:i/>
          <w:iCs/>
        </w:rPr>
        <w:t>Canadian water quality guidelines: updates (May 1996).</w:t>
      </w:r>
      <w:r w:rsidRPr="00F91856">
        <w:t xml:space="preserve"> Appendix XXI to Canadian water quality guidelines. Canadian Council of Ministries of the Environment, Ottawa.</w:t>
      </w:r>
    </w:p>
    <w:p w14:paraId="14617EA6" w14:textId="77777777" w:rsidR="00AB45C1" w:rsidRPr="003C6A1E" w:rsidRDefault="00AB45C1" w:rsidP="00C1087A">
      <w:pPr>
        <w:rPr>
          <w:rFonts w:eastAsia="Times New Roman" w:cs="Calibri"/>
          <w:color w:val="000000"/>
          <w:lang w:eastAsia="en-AU"/>
        </w:rPr>
      </w:pPr>
      <w:r>
        <w:t xml:space="preserve">CCME </w:t>
      </w:r>
      <w:r w:rsidRPr="003C6A1E">
        <w:t>2005</w:t>
      </w:r>
      <w:r>
        <w:t>.</w:t>
      </w:r>
      <w:r w:rsidRPr="003C6A1E">
        <w:t xml:space="preserve"> </w:t>
      </w:r>
      <w:r w:rsidRPr="007E4943">
        <w:rPr>
          <w:i/>
          <w:iCs/>
        </w:rPr>
        <w:t>Canadian water quality guidelines for the protection of agricultural water</w:t>
      </w:r>
      <w:r w:rsidRPr="003C6A1E">
        <w:t>. Canadian Council of Ministers of the Environment</w:t>
      </w:r>
      <w:r>
        <w:t>.</w:t>
      </w:r>
    </w:p>
    <w:p w14:paraId="7B445F66" w14:textId="77777777" w:rsidR="00AB45C1" w:rsidRDefault="00AB45C1" w:rsidP="00A37BDA">
      <w:r w:rsidRPr="00F91856">
        <w:t>CCREM 1987</w:t>
      </w:r>
      <w:r>
        <w:t>.</w:t>
      </w:r>
      <w:r w:rsidRPr="00F91856">
        <w:t xml:space="preserve"> </w:t>
      </w:r>
      <w:r w:rsidRPr="00F91856">
        <w:rPr>
          <w:i/>
        </w:rPr>
        <w:t>Canadian water quality guidelines</w:t>
      </w:r>
      <w:r w:rsidRPr="00F91856">
        <w:t>. Canadian Council of Resource and Environment Ministers, Inland Water Directorate, Environment Canada, Ottawa.</w:t>
      </w:r>
    </w:p>
    <w:p w14:paraId="090CB5A2" w14:textId="77777777" w:rsidR="00AB45C1" w:rsidRDefault="00AB45C1" w:rsidP="002A4702">
      <w:pPr>
        <w:rPr>
          <w:lang w:eastAsia="en-AU"/>
        </w:rPr>
      </w:pPr>
      <w:r>
        <w:rPr>
          <w:lang w:eastAsia="en-AU"/>
        </w:rPr>
        <w:t xml:space="preserve">CDC 2022. Radioisotope brief: uranium. </w:t>
      </w:r>
      <w:proofErr w:type="spellStart"/>
      <w:r>
        <w:rPr>
          <w:lang w:eastAsia="en-AU"/>
        </w:rPr>
        <w:t>Centers</w:t>
      </w:r>
      <w:proofErr w:type="spellEnd"/>
      <w:r>
        <w:rPr>
          <w:lang w:eastAsia="en-AU"/>
        </w:rPr>
        <w:t xml:space="preserve"> for Disease Control and Prevention, United States. At: </w:t>
      </w:r>
      <w:hyperlink r:id="rId85" w:history="1">
        <w:r>
          <w:rPr>
            <w:rStyle w:val="Hyperlink"/>
          </w:rPr>
          <w:t>CDC Radiation Emergencies | Radioisotope Brief: Uranium-235 (U-235) and Uranium-238 (U-238</w:t>
        </w:r>
      </w:hyperlink>
      <w:r>
        <w:t>).</w:t>
      </w:r>
    </w:p>
    <w:p w14:paraId="47A0B8C8" w14:textId="77777777" w:rsidR="00AB45C1" w:rsidRPr="003C6A1E" w:rsidRDefault="00AB45C1" w:rsidP="002A4702">
      <w:pPr>
        <w:rPr>
          <w:lang w:eastAsia="en-AU"/>
        </w:rPr>
      </w:pPr>
      <w:r w:rsidRPr="003C6A1E">
        <w:rPr>
          <w:lang w:eastAsia="en-AU"/>
        </w:rPr>
        <w:t>CEPA 2012</w:t>
      </w:r>
      <w:r>
        <w:rPr>
          <w:lang w:eastAsia="en-AU"/>
        </w:rPr>
        <w:t>.</w:t>
      </w:r>
      <w:r w:rsidRPr="003C6A1E">
        <w:rPr>
          <w:lang w:eastAsia="en-AU"/>
        </w:rPr>
        <w:t xml:space="preserve"> </w:t>
      </w:r>
      <w:r w:rsidRPr="007E4943">
        <w:rPr>
          <w:i/>
          <w:iCs/>
          <w:lang w:eastAsia="en-AU"/>
        </w:rPr>
        <w:t>Toxicology summary and suggested action levels to reduce potential adverse health effects of 6 cyanotoxins.</w:t>
      </w:r>
      <w:r w:rsidRPr="003C6A1E">
        <w:rPr>
          <w:lang w:eastAsia="en-AU"/>
        </w:rPr>
        <w:t xml:space="preserve"> Office of Environmental Health Hazard Assessment, California Environment Protection Agency, Sacramento, California.</w:t>
      </w:r>
    </w:p>
    <w:p w14:paraId="7BDD9B95" w14:textId="77777777" w:rsidR="00AB45C1" w:rsidRDefault="00AB45C1" w:rsidP="00A37BDA">
      <w:r w:rsidRPr="006F2B06">
        <w:rPr>
          <w:lang w:val="de-DE"/>
        </w:rPr>
        <w:lastRenderedPageBreak/>
        <w:t xml:space="preserve">Challis DJ, Zeinstra JS &amp; Anderson MJ 1987. </w:t>
      </w:r>
      <w:r w:rsidRPr="00F91856">
        <w:t xml:space="preserve">Some effects of water quality on the performance of high yielding cows in an arid climate. </w:t>
      </w:r>
      <w:r w:rsidRPr="00F91856">
        <w:rPr>
          <w:rFonts w:cstheme="minorHAnsi"/>
          <w:i/>
          <w:iCs/>
        </w:rPr>
        <w:t>Veterinary Record</w:t>
      </w:r>
      <w:r w:rsidRPr="00F91856">
        <w:rPr>
          <w:rFonts w:ascii="TimesNewRoman,Italic" w:hAnsi="TimesNewRoman,Italic" w:cs="TimesNewRoman,Italic"/>
          <w:i/>
          <w:iCs/>
        </w:rPr>
        <w:t xml:space="preserve"> </w:t>
      </w:r>
      <w:r w:rsidRPr="00F91856">
        <w:t>120</w:t>
      </w:r>
      <w:r>
        <w:t>:</w:t>
      </w:r>
      <w:r w:rsidRPr="00F91856">
        <w:t>12–15.</w:t>
      </w:r>
    </w:p>
    <w:p w14:paraId="7FA6958A" w14:textId="77777777" w:rsidR="00AB45C1" w:rsidRPr="00F91856" w:rsidRDefault="00AB45C1" w:rsidP="00C1087A">
      <w:r w:rsidRPr="003C6A1E">
        <w:t>Chen W</w:t>
      </w:r>
      <w:r>
        <w:t>, Song L Gan N &amp; Li L</w:t>
      </w:r>
      <w:r w:rsidRPr="003C6A1E">
        <w:t xml:space="preserve"> 2006</w:t>
      </w:r>
      <w:r>
        <w:t>.</w:t>
      </w:r>
      <w:r w:rsidRPr="003C6A1E">
        <w:t xml:space="preserve"> Sorption, </w:t>
      </w:r>
      <w:proofErr w:type="gramStart"/>
      <w:r w:rsidRPr="003C6A1E">
        <w:t>degradation</w:t>
      </w:r>
      <w:proofErr w:type="gramEnd"/>
      <w:r w:rsidRPr="003C6A1E">
        <w:t xml:space="preserve"> and mobility of </w:t>
      </w:r>
      <w:proofErr w:type="spellStart"/>
      <w:r w:rsidRPr="003C6A1E">
        <w:t>microcystins</w:t>
      </w:r>
      <w:proofErr w:type="spellEnd"/>
      <w:r w:rsidRPr="003C6A1E">
        <w:t xml:space="preserve"> in Chinese agriculture soils: </w:t>
      </w:r>
      <w:r w:rsidRPr="00F91856">
        <w:t xml:space="preserve">Risk assessment for groundwater protection. </w:t>
      </w:r>
      <w:r w:rsidRPr="00F91856">
        <w:rPr>
          <w:rStyle w:val="Emphasis"/>
        </w:rPr>
        <w:t>Environmental Pollution</w:t>
      </w:r>
      <w:r w:rsidRPr="00F91856">
        <w:t xml:space="preserve"> 144(3)</w:t>
      </w:r>
      <w:r>
        <w:t>:</w:t>
      </w:r>
      <w:r w:rsidRPr="00F91856">
        <w:t>752–758.</w:t>
      </w:r>
    </w:p>
    <w:p w14:paraId="34C3DD6C" w14:textId="77777777" w:rsidR="00AB45C1" w:rsidRDefault="00AB45C1" w:rsidP="00D02438">
      <w:r w:rsidRPr="00F91856">
        <w:t>Church DC 1979</w:t>
      </w:r>
      <w:r>
        <w:t>.</w:t>
      </w:r>
      <w:r w:rsidRPr="00F91856">
        <w:t xml:space="preserve"> </w:t>
      </w:r>
      <w:r w:rsidRPr="00F91856">
        <w:rPr>
          <w:rFonts w:cstheme="minorHAnsi"/>
          <w:i/>
          <w:iCs/>
        </w:rPr>
        <w:t>Digestive physiology and nutrition of ruminants</w:t>
      </w:r>
      <w:r w:rsidRPr="00F91856">
        <w:t>. vol. 2: Nutrition, O &amp; B Book Inc, Corvallis, Oregon.</w:t>
      </w:r>
    </w:p>
    <w:p w14:paraId="59124FAD" w14:textId="77777777" w:rsidR="00AB45C1" w:rsidRPr="003C6A1E" w:rsidRDefault="00AB45C1" w:rsidP="00C1087A">
      <w:proofErr w:type="spellStart"/>
      <w:r w:rsidRPr="003C6A1E">
        <w:t>Cirés</w:t>
      </w:r>
      <w:proofErr w:type="spellEnd"/>
      <w:r w:rsidRPr="003C6A1E">
        <w:t xml:space="preserve"> S</w:t>
      </w:r>
      <w:r>
        <w:t>, Alvarez-</w:t>
      </w:r>
      <w:proofErr w:type="spellStart"/>
      <w:r>
        <w:t>Roa</w:t>
      </w:r>
      <w:proofErr w:type="spellEnd"/>
      <w:r>
        <w:t xml:space="preserve"> C, Wood SA, </w:t>
      </w:r>
      <w:proofErr w:type="spellStart"/>
      <w:r>
        <w:t>Puddick</w:t>
      </w:r>
      <w:proofErr w:type="spellEnd"/>
      <w:r>
        <w:t xml:space="preserve"> J, Loza V &amp; Heimann K</w:t>
      </w:r>
      <w:r w:rsidRPr="003C6A1E">
        <w:t xml:space="preserve"> 2014</w:t>
      </w:r>
      <w:r>
        <w:t>.</w:t>
      </w:r>
      <w:r w:rsidRPr="003C6A1E">
        <w:t xml:space="preserve"> First report of microcystin-producing </w:t>
      </w:r>
      <w:proofErr w:type="spellStart"/>
      <w:r w:rsidRPr="00BC61B7">
        <w:rPr>
          <w:rStyle w:val="Emphasis"/>
        </w:rPr>
        <w:t>Fischerella</w:t>
      </w:r>
      <w:proofErr w:type="spellEnd"/>
      <w:r w:rsidRPr="003C6A1E">
        <w:t xml:space="preserve"> sp. (</w:t>
      </w:r>
      <w:proofErr w:type="spellStart"/>
      <w:r w:rsidRPr="003C6A1E">
        <w:t>Stigonematales</w:t>
      </w:r>
      <w:proofErr w:type="spellEnd"/>
      <w:r w:rsidRPr="003C6A1E">
        <w:t>, Cyanobacteria) in tropical Australia</w:t>
      </w:r>
      <w:r>
        <w:t>.</w:t>
      </w:r>
      <w:r w:rsidRPr="003C6A1E">
        <w:t xml:space="preserve"> </w:t>
      </w:r>
      <w:r w:rsidRPr="00BC61B7">
        <w:rPr>
          <w:rStyle w:val="Emphasis"/>
        </w:rPr>
        <w:t>Toxicon</w:t>
      </w:r>
      <w:r w:rsidRPr="003C6A1E">
        <w:t xml:space="preserve"> 88</w:t>
      </w:r>
      <w:r>
        <w:t>:</w:t>
      </w:r>
      <w:r w:rsidRPr="003C6A1E">
        <w:t>62–66.</w:t>
      </w:r>
    </w:p>
    <w:p w14:paraId="2E8778B7" w14:textId="77777777" w:rsidR="00AB45C1" w:rsidRPr="003C6A1E" w:rsidRDefault="00AB45C1" w:rsidP="00C1087A">
      <w:r w:rsidRPr="003C6A1E">
        <w:t xml:space="preserve">Corbel S, Mougin C &amp; </w:t>
      </w:r>
      <w:proofErr w:type="spellStart"/>
      <w:r w:rsidRPr="003C6A1E">
        <w:t>Bouaïcha</w:t>
      </w:r>
      <w:proofErr w:type="spellEnd"/>
      <w:r w:rsidRPr="003C6A1E">
        <w:t xml:space="preserve"> N 2014</w:t>
      </w:r>
      <w:r>
        <w:t>.</w:t>
      </w:r>
      <w:r w:rsidRPr="003C6A1E">
        <w:t xml:space="preserve"> Cyanobacterial toxins: Modes of actions, fate in aquatic and soil ecosystems, phytotoxicity and bioaccumulation in agricultural crops</w:t>
      </w:r>
      <w:r>
        <w:t>.</w:t>
      </w:r>
      <w:r w:rsidRPr="003C6A1E">
        <w:t xml:space="preserve"> </w:t>
      </w:r>
      <w:r w:rsidRPr="00FB1EEB">
        <w:rPr>
          <w:rStyle w:val="Emphasis"/>
        </w:rPr>
        <w:t>Chemosphere</w:t>
      </w:r>
      <w:r w:rsidRPr="003C6A1E">
        <w:t xml:space="preserve"> 96</w:t>
      </w:r>
      <w:r>
        <w:t>:</w:t>
      </w:r>
      <w:r w:rsidRPr="003C6A1E">
        <w:t>1–15.</w:t>
      </w:r>
    </w:p>
    <w:p w14:paraId="1E2EC84B" w14:textId="77777777" w:rsidR="00AB45C1" w:rsidRDefault="00AB45C1" w:rsidP="00C1087A">
      <w:r w:rsidRPr="003E1AEC">
        <w:t>Cotton FA &amp; Wilkinson G 1972</w:t>
      </w:r>
      <w:r>
        <w:t>.</w:t>
      </w:r>
      <w:r w:rsidRPr="003E1AEC">
        <w:t xml:space="preserve"> </w:t>
      </w:r>
      <w:r w:rsidRPr="003E1AEC">
        <w:rPr>
          <w:rFonts w:cstheme="minorHAnsi"/>
          <w:i/>
          <w:iCs/>
        </w:rPr>
        <w:t>Advanced inorganic chemistry: A comprehensive text</w:t>
      </w:r>
      <w:r w:rsidRPr="003E1AEC">
        <w:rPr>
          <w:rFonts w:ascii="TimesNewRoman,Italic" w:hAnsi="TimesNewRoman,Italic" w:cs="TimesNewRoman,Italic"/>
          <w:i/>
          <w:iCs/>
        </w:rPr>
        <w:t xml:space="preserve">, </w:t>
      </w:r>
      <w:r w:rsidRPr="003E1AEC">
        <w:t xml:space="preserve">3rd </w:t>
      </w:r>
      <w:proofErr w:type="spellStart"/>
      <w:r w:rsidRPr="003E1AEC">
        <w:t>edn</w:t>
      </w:r>
      <w:proofErr w:type="spellEnd"/>
      <w:r w:rsidRPr="003E1AEC">
        <w:t xml:space="preserve">, </w:t>
      </w:r>
      <w:proofErr w:type="spellStart"/>
      <w:r w:rsidRPr="003E1AEC">
        <w:t>Interscience</w:t>
      </w:r>
      <w:proofErr w:type="spellEnd"/>
      <w:r w:rsidRPr="003E1AEC">
        <w:t xml:space="preserve"> Publishers, New York</w:t>
      </w:r>
      <w:r>
        <w:t xml:space="preserve">. </w:t>
      </w:r>
    </w:p>
    <w:p w14:paraId="03C6A77D" w14:textId="77777777" w:rsidR="00AB45C1" w:rsidRPr="003E1AEC" w:rsidRDefault="00AB45C1" w:rsidP="00682509">
      <w:r w:rsidRPr="003E1AEC">
        <w:t>Coup MR &amp; Campbell HG 1964</w:t>
      </w:r>
      <w:r>
        <w:t>.</w:t>
      </w:r>
      <w:r w:rsidRPr="003E1AEC">
        <w:t xml:space="preserve"> The effect of excessive iron uptake upon the health and production of dairy cows. </w:t>
      </w:r>
      <w:r w:rsidRPr="003E1AEC">
        <w:rPr>
          <w:rFonts w:cstheme="minorHAnsi"/>
          <w:i/>
          <w:iCs/>
        </w:rPr>
        <w:t>New Zealand Journal of Agricultural Research</w:t>
      </w:r>
      <w:r w:rsidRPr="003E1AEC">
        <w:rPr>
          <w:rFonts w:ascii="TimesNewRoman,Italic" w:hAnsi="TimesNewRoman,Italic" w:cs="TimesNewRoman,Italic"/>
          <w:i/>
          <w:iCs/>
        </w:rPr>
        <w:t xml:space="preserve"> </w:t>
      </w:r>
      <w:r w:rsidRPr="003E1AEC">
        <w:t>7</w:t>
      </w:r>
      <w:r>
        <w:t>:</w:t>
      </w:r>
      <w:r w:rsidRPr="003E1AEC">
        <w:t>624–638.</w:t>
      </w:r>
    </w:p>
    <w:p w14:paraId="77140966" w14:textId="77777777" w:rsidR="00AB45C1" w:rsidRDefault="00AB45C1" w:rsidP="00380690">
      <w:pPr>
        <w:rPr>
          <w:rFonts w:ascii="TimesNewRoman" w:hAnsi="TimesNewRoman" w:cs="TimesNewRoman"/>
          <w:sz w:val="18"/>
          <w:szCs w:val="18"/>
        </w:rPr>
      </w:pPr>
      <w:r w:rsidRPr="003E1AEC">
        <w:t>CPHA 1979</w:t>
      </w:r>
      <w:r>
        <w:t>.</w:t>
      </w:r>
      <w:r w:rsidRPr="003E1AEC">
        <w:rPr>
          <w:rFonts w:ascii="TimesNewRoman" w:hAnsi="TimesNewRoman" w:cs="TimesNewRoman"/>
          <w:sz w:val="18"/>
          <w:szCs w:val="18"/>
        </w:rPr>
        <w:t xml:space="preserve"> </w:t>
      </w:r>
      <w:r w:rsidRPr="003E1AEC">
        <w:rPr>
          <w:i/>
        </w:rPr>
        <w:t>Criteria document in support of a drinking water standard for fluoride: Final report</w:t>
      </w:r>
      <w:r w:rsidRPr="003E1AEC">
        <w:rPr>
          <w:rFonts w:ascii="TimesNewRoman,Italic" w:hAnsi="TimesNewRoman,Italic" w:cs="TimesNewRoman,Italic"/>
          <w:i/>
          <w:iCs/>
          <w:sz w:val="18"/>
          <w:szCs w:val="18"/>
        </w:rPr>
        <w:t xml:space="preserve">. </w:t>
      </w:r>
      <w:r w:rsidRPr="003E1AEC">
        <w:t>Canadian Public Health Association, Ottawa.</w:t>
      </w:r>
    </w:p>
    <w:p w14:paraId="56B98796" w14:textId="77777777" w:rsidR="00AB45C1" w:rsidRPr="00BB609D" w:rsidRDefault="00AB45C1" w:rsidP="00AB288D">
      <w:pPr>
        <w:rPr>
          <w:rFonts w:ascii="TimesNewRoman,Italic" w:hAnsi="TimesNewRoman,Italic" w:cs="TimesNewRoman,Italic"/>
          <w:i/>
          <w:iCs/>
        </w:rPr>
      </w:pPr>
      <w:r w:rsidRPr="003E1AEC">
        <w:t>Crowley JW 1985</w:t>
      </w:r>
      <w:r>
        <w:t>.</w:t>
      </w:r>
      <w:r w:rsidRPr="003E1AEC">
        <w:t xml:space="preserve"> Effects of nitrate on stock. In </w:t>
      </w:r>
      <w:r w:rsidRPr="003E1AEC">
        <w:rPr>
          <w:rFonts w:cstheme="minorHAnsi"/>
          <w:i/>
          <w:iCs/>
        </w:rPr>
        <w:t>Proceedings of the American Society of Agricultural Engineers</w:t>
      </w:r>
      <w:r w:rsidRPr="003E1AEC">
        <w:rPr>
          <w:rFonts w:ascii="TimesNewRoman,Italic" w:hAnsi="TimesNewRoman,Italic" w:cs="TimesNewRoman,Italic"/>
          <w:i/>
          <w:iCs/>
        </w:rPr>
        <w:t xml:space="preserve">. </w:t>
      </w:r>
      <w:r w:rsidRPr="003E1AEC">
        <w:t>Michigan State University, East Lansing, June 23–26 1985, ASAE, St Joseph, Michigan, paper no 80–2026.</w:t>
      </w:r>
    </w:p>
    <w:p w14:paraId="2693774F" w14:textId="77777777" w:rsidR="00AB45C1" w:rsidRDefault="00AB45C1" w:rsidP="005A6900">
      <w:r w:rsidRPr="003E1AEC">
        <w:t>Demayo A &amp; Taylor MC 1981</w:t>
      </w:r>
      <w:r>
        <w:t>.</w:t>
      </w:r>
      <w:r w:rsidRPr="003E1AEC">
        <w:t xml:space="preserve"> </w:t>
      </w:r>
      <w:r w:rsidRPr="003E1AEC">
        <w:rPr>
          <w:rFonts w:cstheme="minorHAnsi"/>
          <w:i/>
          <w:iCs/>
        </w:rPr>
        <w:t>Guidelines for surface water quality</w:t>
      </w:r>
      <w:r w:rsidRPr="003E1AEC">
        <w:t>. Vol 1: Inorganic chemical substances: Copper. Inland Waters Directorate, Environment Canada, Ottawa.</w:t>
      </w:r>
    </w:p>
    <w:p w14:paraId="0254E82C" w14:textId="77777777" w:rsidR="00AB45C1" w:rsidRDefault="00AB45C1" w:rsidP="00616771">
      <w:r w:rsidRPr="003E1AEC">
        <w:t>Doyle JJ, Plander WH, Grebing SE &amp; Pierce JO 1974</w:t>
      </w:r>
      <w:r>
        <w:t>.</w:t>
      </w:r>
      <w:r w:rsidRPr="003E1AEC">
        <w:t xml:space="preserve"> Effect of dietary cadmium on growth, cadmium absorption and cadmium tissue levels in growing lambs. </w:t>
      </w:r>
      <w:r w:rsidRPr="003E1AEC">
        <w:rPr>
          <w:rFonts w:cstheme="minorHAnsi"/>
          <w:i/>
          <w:iCs/>
        </w:rPr>
        <w:t>Journal of Nutrition</w:t>
      </w:r>
      <w:r w:rsidRPr="003E1AEC">
        <w:rPr>
          <w:rFonts w:ascii="TimesNewRoman,Italic" w:hAnsi="TimesNewRoman,Italic" w:cs="TimesNewRoman,Italic"/>
          <w:i/>
          <w:iCs/>
        </w:rPr>
        <w:t xml:space="preserve"> </w:t>
      </w:r>
      <w:r w:rsidRPr="003E1AEC">
        <w:t>104</w:t>
      </w:r>
      <w:r>
        <w:t>:</w:t>
      </w:r>
      <w:r w:rsidRPr="003E1AEC">
        <w:t>160–166.</w:t>
      </w:r>
    </w:p>
    <w:p w14:paraId="0E5B84A1" w14:textId="77777777" w:rsidR="00AB45C1" w:rsidRDefault="00AB45C1" w:rsidP="00C1087A">
      <w:r w:rsidRPr="00E13390">
        <w:t>DPIRD 2</w:t>
      </w:r>
      <w:r>
        <w:t>0</w:t>
      </w:r>
      <w:r w:rsidRPr="00E13390">
        <w:t>21</w:t>
      </w:r>
      <w:r>
        <w:t xml:space="preserve">. </w:t>
      </w:r>
      <w:r w:rsidRPr="004C6E6D">
        <w:rPr>
          <w:i/>
          <w:iCs/>
        </w:rPr>
        <w:t>Water quality for livestock</w:t>
      </w:r>
      <w:r>
        <w:t xml:space="preserve">. Western Australian Department of Primary Industries and Regional Development, Perth. At: </w:t>
      </w:r>
      <w:hyperlink r:id="rId86" w:history="1">
        <w:r>
          <w:rPr>
            <w:rStyle w:val="Hyperlink"/>
          </w:rPr>
          <w:t>Water quality for livestock | Agriculture and Food</w:t>
        </w:r>
      </w:hyperlink>
      <w:r>
        <w:t>.</w:t>
      </w:r>
    </w:p>
    <w:p w14:paraId="67FBC125" w14:textId="77777777" w:rsidR="00AB45C1" w:rsidRDefault="00AB45C1" w:rsidP="00C1087A">
      <w:r>
        <w:t xml:space="preserve">Duffy R, Yin M &amp; Redding LE 2023. A review of the impact of dietary zinc on livestock health, </w:t>
      </w:r>
      <w:r w:rsidRPr="00C96FA5">
        <w:rPr>
          <w:i/>
          <w:iCs/>
        </w:rPr>
        <w:t>Journal of Trace Elements and Minerals</w:t>
      </w:r>
      <w:r>
        <w:t xml:space="preserve"> 5: 100085.</w:t>
      </w:r>
    </w:p>
    <w:p w14:paraId="402DA32D" w14:textId="77777777" w:rsidR="00AB45C1" w:rsidRPr="005730A5" w:rsidRDefault="00AB45C1" w:rsidP="00C1087A">
      <w:r w:rsidRPr="005730A5">
        <w:t xml:space="preserve">Dunbar JR &amp; Miller RO 2002. </w:t>
      </w:r>
      <w:r w:rsidRPr="005730A5">
        <w:rPr>
          <w:i/>
          <w:iCs/>
        </w:rPr>
        <w:t>Assessing water quality for livestock under drought conditions</w:t>
      </w:r>
      <w:r w:rsidRPr="005730A5">
        <w:t>. Drought tip 92-30. California Department of Water Resources.</w:t>
      </w:r>
    </w:p>
    <w:p w14:paraId="31D9BD0E" w14:textId="77777777" w:rsidR="00AB45C1" w:rsidRDefault="00AB45C1" w:rsidP="00C1087A">
      <w:r w:rsidRPr="00180696">
        <w:t>DWAF 1996</w:t>
      </w:r>
      <w:r>
        <w:t>.</w:t>
      </w:r>
      <w:r w:rsidRPr="00180696">
        <w:t xml:space="preserve"> </w:t>
      </w:r>
      <w:r w:rsidRPr="00180696">
        <w:rPr>
          <w:rFonts w:cstheme="minorHAnsi"/>
          <w:i/>
          <w:iCs/>
        </w:rPr>
        <w:t>South African water quality guidelines</w:t>
      </w:r>
      <w:r w:rsidRPr="00180696">
        <w:t xml:space="preserve">, 2nd </w:t>
      </w:r>
      <w:proofErr w:type="spellStart"/>
      <w:r w:rsidRPr="00180696">
        <w:t>edn</w:t>
      </w:r>
      <w:proofErr w:type="spellEnd"/>
      <w:r w:rsidRPr="00180696">
        <w:t>, vol 5: Agricultural use: Livestock watering. CSIR Environmental Services, Pretoria</w:t>
      </w:r>
      <w:r>
        <w:t>.</w:t>
      </w:r>
      <w:r w:rsidRPr="003C6A1E">
        <w:t xml:space="preserve"> </w:t>
      </w:r>
    </w:p>
    <w:p w14:paraId="09369569" w14:textId="77777777" w:rsidR="00AB45C1" w:rsidRDefault="00AB45C1" w:rsidP="00627B6E">
      <w:r w:rsidRPr="00B0286A">
        <w:t>Ehrlich HL 1990</w:t>
      </w:r>
      <w:r>
        <w:t>.</w:t>
      </w:r>
      <w:r w:rsidRPr="00B0286A">
        <w:t xml:space="preserve"> </w:t>
      </w:r>
      <w:r w:rsidRPr="00B0286A">
        <w:rPr>
          <w:rFonts w:cstheme="minorHAnsi"/>
          <w:i/>
          <w:iCs/>
        </w:rPr>
        <w:t>Geomicrobiology</w:t>
      </w:r>
      <w:r w:rsidRPr="00B0286A">
        <w:rPr>
          <w:rFonts w:ascii="TimesNewRoman,Italic" w:hAnsi="TimesNewRoman,Italic" w:cs="TimesNewRoman,Italic"/>
          <w:i/>
          <w:iCs/>
        </w:rPr>
        <w:t xml:space="preserve">. </w:t>
      </w:r>
      <w:r w:rsidRPr="00B0286A">
        <w:t xml:space="preserve">2nd </w:t>
      </w:r>
      <w:proofErr w:type="spellStart"/>
      <w:r w:rsidRPr="00B0286A">
        <w:t>edn</w:t>
      </w:r>
      <w:proofErr w:type="spellEnd"/>
      <w:r w:rsidRPr="00B0286A">
        <w:t>, Marcel Dekker Inc, New York.</w:t>
      </w:r>
    </w:p>
    <w:p w14:paraId="0E0E9006" w14:textId="77777777" w:rsidR="00AB45C1" w:rsidRPr="002F1265" w:rsidRDefault="00AB45C1" w:rsidP="002F1265">
      <w:pPr>
        <w:shd w:val="clear" w:color="auto" w:fill="FFFFFF"/>
        <w:spacing w:after="0" w:line="0" w:lineRule="auto"/>
        <w:rPr>
          <w:rFonts w:ascii="ff4" w:eastAsia="Times New Roman" w:hAnsi="ff4" w:cs="Times New Roman"/>
          <w:color w:val="000000"/>
          <w:sz w:val="51"/>
          <w:szCs w:val="51"/>
          <w:lang w:eastAsia="en-AU"/>
        </w:rPr>
      </w:pPr>
      <w:r w:rsidRPr="002F1265">
        <w:rPr>
          <w:rFonts w:ascii="ff4" w:eastAsia="Times New Roman" w:hAnsi="ff4" w:cs="Times New Roman"/>
          <w:color w:val="000000"/>
          <w:sz w:val="51"/>
          <w:szCs w:val="51"/>
          <w:lang w:eastAsia="en-AU"/>
        </w:rPr>
        <w:t>Elements in Human and Animal Nutrition</w:t>
      </w:r>
      <w:r w:rsidRPr="002F1265">
        <w:rPr>
          <w:rFonts w:ascii="ff2" w:eastAsia="Times New Roman" w:hAnsi="ff2" w:cs="Times New Roman"/>
          <w:color w:val="000000"/>
          <w:sz w:val="51"/>
          <w:szCs w:val="51"/>
          <w:lang w:eastAsia="en-AU"/>
        </w:rPr>
        <w:t xml:space="preserve">, 4th </w:t>
      </w:r>
      <w:proofErr w:type="spellStart"/>
      <w:r w:rsidRPr="002F1265">
        <w:rPr>
          <w:rFonts w:ascii="ff2" w:eastAsia="Times New Roman" w:hAnsi="ff2" w:cs="Times New Roman"/>
          <w:color w:val="000000"/>
          <w:sz w:val="51"/>
          <w:szCs w:val="51"/>
          <w:lang w:eastAsia="en-AU"/>
        </w:rPr>
        <w:t>edn</w:t>
      </w:r>
      <w:proofErr w:type="spellEnd"/>
      <w:r w:rsidRPr="002F1265">
        <w:rPr>
          <w:rFonts w:ascii="ff2" w:eastAsia="Times New Roman" w:hAnsi="ff2" w:cs="Times New Roman"/>
          <w:color w:val="000000"/>
          <w:sz w:val="51"/>
          <w:szCs w:val="51"/>
          <w:lang w:eastAsia="en-AU"/>
        </w:rPr>
        <w:t>. New York:</w:t>
      </w:r>
    </w:p>
    <w:p w14:paraId="5FB7F677" w14:textId="77777777" w:rsidR="00AB45C1" w:rsidRPr="002F1265" w:rsidRDefault="00AB45C1" w:rsidP="002F1265">
      <w:pPr>
        <w:shd w:val="clear" w:color="auto" w:fill="FFFFFF"/>
        <w:spacing w:after="0" w:line="0" w:lineRule="auto"/>
        <w:rPr>
          <w:rFonts w:ascii="ff4" w:eastAsia="Times New Roman" w:hAnsi="ff4" w:cs="Times New Roman"/>
          <w:color w:val="000000"/>
          <w:sz w:val="51"/>
          <w:szCs w:val="51"/>
          <w:lang w:eastAsia="en-AU"/>
        </w:rPr>
      </w:pPr>
      <w:r w:rsidRPr="002F1265">
        <w:rPr>
          <w:rFonts w:ascii="ff4" w:eastAsia="Times New Roman" w:hAnsi="ff4" w:cs="Times New Roman"/>
          <w:color w:val="000000"/>
          <w:sz w:val="51"/>
          <w:szCs w:val="51"/>
          <w:lang w:eastAsia="en-AU"/>
        </w:rPr>
        <w:t>Elements in Human and Animal Nutrition</w:t>
      </w:r>
      <w:r w:rsidRPr="002F1265">
        <w:rPr>
          <w:rFonts w:ascii="ff2" w:eastAsia="Times New Roman" w:hAnsi="ff2" w:cs="Times New Roman"/>
          <w:color w:val="000000"/>
          <w:sz w:val="51"/>
          <w:szCs w:val="51"/>
          <w:lang w:eastAsia="en-AU"/>
        </w:rPr>
        <w:t xml:space="preserve">, 4th </w:t>
      </w:r>
      <w:proofErr w:type="spellStart"/>
      <w:r w:rsidRPr="002F1265">
        <w:rPr>
          <w:rFonts w:ascii="ff2" w:eastAsia="Times New Roman" w:hAnsi="ff2" w:cs="Times New Roman"/>
          <w:color w:val="000000"/>
          <w:sz w:val="51"/>
          <w:szCs w:val="51"/>
          <w:lang w:eastAsia="en-AU"/>
        </w:rPr>
        <w:t>edn</w:t>
      </w:r>
      <w:proofErr w:type="spellEnd"/>
      <w:r w:rsidRPr="002F1265">
        <w:rPr>
          <w:rFonts w:ascii="ff2" w:eastAsia="Times New Roman" w:hAnsi="ff2" w:cs="Times New Roman"/>
          <w:color w:val="000000"/>
          <w:sz w:val="51"/>
          <w:szCs w:val="51"/>
          <w:lang w:eastAsia="en-AU"/>
        </w:rPr>
        <w:t>. New York:</w:t>
      </w:r>
    </w:p>
    <w:p w14:paraId="2F772D97" w14:textId="77777777" w:rsidR="00AB45C1" w:rsidRPr="003C6A1E" w:rsidRDefault="00AB45C1" w:rsidP="00180696">
      <w:r w:rsidRPr="003C6A1E">
        <w:t>Fairchild B &amp; Ritz C 2009</w:t>
      </w:r>
      <w:r>
        <w:t>.</w:t>
      </w:r>
      <w:r w:rsidRPr="003C6A1E">
        <w:t xml:space="preserve"> </w:t>
      </w:r>
      <w:r w:rsidRPr="007E4943">
        <w:rPr>
          <w:i/>
          <w:iCs/>
        </w:rPr>
        <w:t>Poultry drinking water primer,</w:t>
      </w:r>
      <w:r w:rsidRPr="003C6A1E">
        <w:t xml:space="preserve"> Bulletin 1301</w:t>
      </w:r>
      <w:r>
        <w:t>.</w:t>
      </w:r>
      <w:r w:rsidRPr="003C6A1E">
        <w:t xml:space="preserve"> The University of Georgia Cooperative Extension.</w:t>
      </w:r>
    </w:p>
    <w:p w14:paraId="0A1CC516" w14:textId="77777777" w:rsidR="00AB45C1" w:rsidRDefault="00AB45C1" w:rsidP="00780F18">
      <w:r w:rsidRPr="00DD3BEB">
        <w:t xml:space="preserve">Falconer I, Bartram J, Chorus I, Kuiper-Goodman T, </w:t>
      </w:r>
      <w:proofErr w:type="spellStart"/>
      <w:r w:rsidRPr="00DD3BEB">
        <w:t>Utkilen</w:t>
      </w:r>
      <w:proofErr w:type="spellEnd"/>
      <w:r w:rsidRPr="00DD3BEB">
        <w:t xml:space="preserve"> H, Burch M &amp; Codd GA 1999</w:t>
      </w:r>
      <w:r>
        <w:t>.</w:t>
      </w:r>
      <w:r w:rsidRPr="00DD3BEB">
        <w:t xml:space="preserve"> Safe levels and safe practices. Chapter 5 in </w:t>
      </w:r>
      <w:r w:rsidRPr="00DD3BEB">
        <w:rPr>
          <w:rFonts w:cstheme="minorHAnsi"/>
          <w:i/>
          <w:iCs/>
        </w:rPr>
        <w:t>Cyanobacteria in water</w:t>
      </w:r>
      <w:r w:rsidRPr="00DD3BEB">
        <w:rPr>
          <w:rFonts w:ascii="TimesNewRoman,Italic" w:hAnsi="TimesNewRoman,Italic" w:cs="TimesNewRoman,Italic"/>
          <w:i/>
          <w:iCs/>
        </w:rPr>
        <w:t xml:space="preserve">: </w:t>
      </w:r>
      <w:r w:rsidRPr="00DD3BEB">
        <w:rPr>
          <w:rFonts w:cstheme="minorHAnsi"/>
          <w:i/>
          <w:iCs/>
        </w:rPr>
        <w:t>A guide to their public health consequences, monitoring and</w:t>
      </w:r>
      <w:r w:rsidRPr="00DD3BEB">
        <w:rPr>
          <w:rFonts w:cstheme="minorHAnsi"/>
        </w:rPr>
        <w:t xml:space="preserve"> </w:t>
      </w:r>
      <w:r w:rsidRPr="00DD3BEB">
        <w:rPr>
          <w:rFonts w:cstheme="minorHAnsi"/>
          <w:i/>
          <w:iCs/>
        </w:rPr>
        <w:t>management</w:t>
      </w:r>
      <w:r w:rsidRPr="00DD3BEB">
        <w:t>, eds I Chorus &amp; J Bartram, 155–178, E&amp;FN Spon, London.</w:t>
      </w:r>
    </w:p>
    <w:p w14:paraId="0CC19E8F" w14:textId="29684AF2" w:rsidR="00AB45C1" w:rsidRDefault="00AB45C1" w:rsidP="00780F18">
      <w:r w:rsidRPr="004C4F9E">
        <w:lastRenderedPageBreak/>
        <w:t xml:space="preserve">Falconer IR, Burch MD, Steffenson DA, Choice M &amp; Coverdale OR 1994, Toxicity of the blue-green alga (Cyanobacterium) </w:t>
      </w:r>
      <w:r w:rsidRPr="00CC6243">
        <w:rPr>
          <w:i/>
          <w:iCs/>
        </w:rPr>
        <w:t xml:space="preserve">Microcystis </w:t>
      </w:r>
      <w:proofErr w:type="spellStart"/>
      <w:r w:rsidRPr="00CC6243">
        <w:rPr>
          <w:i/>
          <w:iCs/>
        </w:rPr>
        <w:t>aerugiosa</w:t>
      </w:r>
      <w:proofErr w:type="spellEnd"/>
      <w:r w:rsidRPr="004C4F9E">
        <w:t xml:space="preserve"> in drinking water to growing pigs, as an animal model for human injury and risk assessment. </w:t>
      </w:r>
      <w:r w:rsidRPr="004C4F9E">
        <w:rPr>
          <w:rFonts w:cstheme="minorHAnsi"/>
          <w:i/>
          <w:iCs/>
        </w:rPr>
        <w:t>Environmental Toxicology and Water Quality</w:t>
      </w:r>
      <w:r w:rsidRPr="004C4F9E">
        <w:rPr>
          <w:rFonts w:ascii="TimesNewRoman,Italic" w:hAnsi="TimesNewRoman,Italic" w:cs="TimesNewRoman,Italic"/>
          <w:i/>
          <w:iCs/>
        </w:rPr>
        <w:t xml:space="preserve">: </w:t>
      </w:r>
      <w:r w:rsidRPr="004C4F9E">
        <w:rPr>
          <w:rFonts w:cstheme="minorHAnsi"/>
          <w:i/>
          <w:iCs/>
        </w:rPr>
        <w:t>An International Journal</w:t>
      </w:r>
      <w:r w:rsidRPr="004C4F9E">
        <w:rPr>
          <w:rFonts w:ascii="TimesNewRoman,Italic" w:hAnsi="TimesNewRoman,Italic" w:cs="TimesNewRoman,Italic"/>
          <w:i/>
          <w:iCs/>
        </w:rPr>
        <w:t xml:space="preserve"> </w:t>
      </w:r>
      <w:r w:rsidRPr="004C4F9E">
        <w:t>9</w:t>
      </w:r>
      <w:r>
        <w:t>:</w:t>
      </w:r>
      <w:r w:rsidRPr="004C4F9E">
        <w:t>131– 139.</w:t>
      </w:r>
    </w:p>
    <w:p w14:paraId="7AEC84F3" w14:textId="77777777" w:rsidR="00AB45C1" w:rsidRPr="00D377F2" w:rsidRDefault="00AB45C1" w:rsidP="00780F18">
      <w:pPr>
        <w:rPr>
          <w:rFonts w:cstheme="minorHAnsi"/>
        </w:rPr>
      </w:pPr>
      <w:r w:rsidRPr="00001218">
        <w:rPr>
          <w:rFonts w:cstheme="minorHAnsi"/>
        </w:rPr>
        <w:t>Fergusson JE 1990</w:t>
      </w:r>
      <w:r>
        <w:rPr>
          <w:rFonts w:cstheme="minorHAnsi"/>
        </w:rPr>
        <w:t>.</w:t>
      </w:r>
      <w:r w:rsidRPr="00001218">
        <w:rPr>
          <w:rFonts w:cstheme="minorHAnsi"/>
        </w:rPr>
        <w:t xml:space="preserve"> </w:t>
      </w:r>
      <w:r w:rsidRPr="0059384C">
        <w:rPr>
          <w:rFonts w:cstheme="minorHAnsi"/>
          <w:i/>
          <w:iCs/>
        </w:rPr>
        <w:t xml:space="preserve">The heavy elements: </w:t>
      </w:r>
      <w:r>
        <w:rPr>
          <w:rFonts w:cstheme="minorHAnsi"/>
          <w:i/>
          <w:iCs/>
        </w:rPr>
        <w:t>c</w:t>
      </w:r>
      <w:r w:rsidRPr="0059384C">
        <w:rPr>
          <w:rFonts w:cstheme="minorHAnsi"/>
          <w:i/>
          <w:iCs/>
        </w:rPr>
        <w:t xml:space="preserve">hemistry, environmental </w:t>
      </w:r>
      <w:proofErr w:type="gramStart"/>
      <w:r w:rsidRPr="0059384C">
        <w:rPr>
          <w:rFonts w:cstheme="minorHAnsi"/>
          <w:i/>
          <w:iCs/>
        </w:rPr>
        <w:t>impact</w:t>
      </w:r>
      <w:proofErr w:type="gramEnd"/>
      <w:r w:rsidRPr="0059384C">
        <w:rPr>
          <w:rFonts w:cstheme="minorHAnsi"/>
          <w:i/>
          <w:iCs/>
        </w:rPr>
        <w:t xml:space="preserve"> and health effects.</w:t>
      </w:r>
      <w:r w:rsidRPr="00001218">
        <w:rPr>
          <w:rFonts w:cstheme="minorHAnsi"/>
        </w:rPr>
        <w:t xml:space="preserve"> Pergamon Press, Sydney.</w:t>
      </w:r>
    </w:p>
    <w:p w14:paraId="5EB55689" w14:textId="77777777" w:rsidR="00AB45C1" w:rsidRPr="00210607" w:rsidRDefault="00AB45C1" w:rsidP="00800248">
      <w:r w:rsidRPr="00210607">
        <w:t>Flinn PC 1980</w:t>
      </w:r>
      <w:r>
        <w:t>.</w:t>
      </w:r>
      <w:r w:rsidRPr="00210607">
        <w:t xml:space="preserve"> </w:t>
      </w:r>
      <w:r w:rsidRPr="0059384C">
        <w:rPr>
          <w:i/>
          <w:iCs/>
        </w:rPr>
        <w:t>Tolerance of livestock to saline drinking water in western Victoria.</w:t>
      </w:r>
      <w:r w:rsidRPr="00210607">
        <w:t xml:space="preserve"> Research Project Series 86, Victorian Department of Agriculture, Melbourne.</w:t>
      </w:r>
    </w:p>
    <w:p w14:paraId="6DC5B423" w14:textId="77777777" w:rsidR="00AB45C1" w:rsidRDefault="00AB45C1" w:rsidP="00800248">
      <w:r w:rsidRPr="00210607">
        <w:t>Flinn PC 1984</w:t>
      </w:r>
      <w:r>
        <w:t>.</w:t>
      </w:r>
      <w:r w:rsidRPr="00210607">
        <w:t xml:space="preserve"> New look at livestock drinking water curbs</w:t>
      </w:r>
      <w:r>
        <w:t>.</w:t>
      </w:r>
      <w:r w:rsidRPr="00210607">
        <w:t xml:space="preserve"> </w:t>
      </w:r>
      <w:r w:rsidRPr="00210607">
        <w:rPr>
          <w:rFonts w:cstheme="minorHAnsi"/>
          <w:i/>
          <w:iCs/>
        </w:rPr>
        <w:t>Farm</w:t>
      </w:r>
      <w:r w:rsidRPr="00210607">
        <w:rPr>
          <w:rFonts w:ascii="TimesNewRoman,Italic" w:hAnsi="TimesNewRoman,Italic" w:cs="TimesNewRoman,Italic"/>
          <w:i/>
          <w:iCs/>
        </w:rPr>
        <w:t xml:space="preserve"> </w:t>
      </w:r>
      <w:r w:rsidRPr="00210607">
        <w:t>January 23–24.</w:t>
      </w:r>
    </w:p>
    <w:p w14:paraId="549C91E8" w14:textId="77777777" w:rsidR="00AB45C1" w:rsidRPr="00594DAB" w:rsidRDefault="00AB45C1" w:rsidP="00CD358C">
      <w:r w:rsidRPr="00594DAB">
        <w:t xml:space="preserve">Frank A, Madej, Galgan V &amp; Petersson LR 1996. Vanadium poisoning of cattle with basic slag. Concentrations in tissues from poisoned animals and from a reference, slaughterhouse material. </w:t>
      </w:r>
      <w:r w:rsidRPr="00594DAB">
        <w:rPr>
          <w:i/>
          <w:iCs/>
        </w:rPr>
        <w:t>Sci Total Environment</w:t>
      </w:r>
      <w:r w:rsidRPr="00594DAB">
        <w:t xml:space="preserve"> 181(1):73–92.</w:t>
      </w:r>
    </w:p>
    <w:p w14:paraId="15966067" w14:textId="77777777" w:rsidR="00AB45C1" w:rsidRPr="003C6A1E" w:rsidRDefault="00AB45C1" w:rsidP="00C1087A">
      <w:proofErr w:type="spellStart"/>
      <w:r w:rsidRPr="003C6A1E">
        <w:t>Gaget</w:t>
      </w:r>
      <w:proofErr w:type="spellEnd"/>
      <w:r w:rsidRPr="003C6A1E">
        <w:t xml:space="preserve"> V</w:t>
      </w:r>
      <w:r>
        <w:t>, Hobson P, Keulen A, Newton K, Monis P, Humpage AR, Weyrich &amp; Brookes JD</w:t>
      </w:r>
      <w:r w:rsidRPr="003C6A1E">
        <w:t xml:space="preserve"> 2020. </w:t>
      </w:r>
      <w:r w:rsidRPr="009B0DC2">
        <w:t>Toolbox for the sampling and monitoring of benthic cyanobacteria</w:t>
      </w:r>
      <w:r>
        <w:t>.</w:t>
      </w:r>
      <w:r w:rsidRPr="003C6A1E">
        <w:t xml:space="preserve"> </w:t>
      </w:r>
      <w:r w:rsidRPr="009B0DC2">
        <w:rPr>
          <w:rStyle w:val="Emphasis"/>
        </w:rPr>
        <w:t>Water Research</w:t>
      </w:r>
      <w:r w:rsidRPr="003C6A1E">
        <w:t xml:space="preserve"> 169</w:t>
      </w:r>
      <w:r>
        <w:t>:</w:t>
      </w:r>
      <w:r w:rsidRPr="003C6A1E">
        <w:t>115222.</w:t>
      </w:r>
    </w:p>
    <w:p w14:paraId="44FD1134" w14:textId="77777777" w:rsidR="00AB45C1" w:rsidRPr="003C6A1E" w:rsidRDefault="00AB45C1" w:rsidP="00C1087A">
      <w:proofErr w:type="spellStart"/>
      <w:r w:rsidRPr="003E4216">
        <w:t>Gaget</w:t>
      </w:r>
      <w:proofErr w:type="spellEnd"/>
      <w:r w:rsidRPr="003E4216">
        <w:t xml:space="preserve"> V, Humpage AR, Huang Q, Monis P &amp; Brookes JD 2017. </w:t>
      </w:r>
      <w:r w:rsidRPr="00A827F5">
        <w:t xml:space="preserve">Benthic cyanobacteria: </w:t>
      </w:r>
      <w:r>
        <w:t>a</w:t>
      </w:r>
      <w:r w:rsidRPr="00A827F5">
        <w:t xml:space="preserve"> source of </w:t>
      </w:r>
      <w:proofErr w:type="spellStart"/>
      <w:r w:rsidRPr="00A827F5">
        <w:t>cylindrospermopsin</w:t>
      </w:r>
      <w:proofErr w:type="spellEnd"/>
      <w:r w:rsidRPr="00A827F5">
        <w:t xml:space="preserve"> and microcystin in Australian drinking water reservoirs</w:t>
      </w:r>
      <w:r w:rsidRPr="003C6A1E">
        <w:t xml:space="preserve">. </w:t>
      </w:r>
      <w:r w:rsidRPr="00A827F5">
        <w:rPr>
          <w:rStyle w:val="Emphasis"/>
        </w:rPr>
        <w:t>Water Research</w:t>
      </w:r>
      <w:r w:rsidRPr="003C6A1E">
        <w:t xml:space="preserve"> 124</w:t>
      </w:r>
      <w:r>
        <w:t>:</w:t>
      </w:r>
      <w:r w:rsidRPr="003C6A1E">
        <w:t>454</w:t>
      </w:r>
      <w:r>
        <w:t>–</w:t>
      </w:r>
      <w:r w:rsidRPr="003C6A1E">
        <w:t>464.</w:t>
      </w:r>
    </w:p>
    <w:p w14:paraId="3B89E42A" w14:textId="77777777" w:rsidR="00AB45C1" w:rsidRDefault="00AB45C1" w:rsidP="007E1F15">
      <w:pPr>
        <w:rPr>
          <w:rFonts w:ascii="TimesNewRoman" w:hAnsi="TimesNewRoman" w:cs="TimesNewRoman"/>
          <w:sz w:val="18"/>
          <w:szCs w:val="18"/>
        </w:rPr>
      </w:pPr>
      <w:r w:rsidRPr="00BA3750">
        <w:t>Galvin RM 1996</w:t>
      </w:r>
      <w:r>
        <w:t>.</w:t>
      </w:r>
      <w:r w:rsidRPr="00BA3750">
        <w:t xml:space="preserve"> </w:t>
      </w:r>
      <w:r w:rsidRPr="0059384C">
        <w:rPr>
          <w:i/>
          <w:iCs/>
        </w:rPr>
        <w:t>Occurrence of metals in waters: an overview.</w:t>
      </w:r>
      <w:r w:rsidRPr="00BA3750">
        <w:t xml:space="preserve"> Water SA 22</w:t>
      </w:r>
      <w:r>
        <w:t>:</w:t>
      </w:r>
      <w:r w:rsidRPr="00BA3750">
        <w:t>7–18</w:t>
      </w:r>
      <w:r w:rsidRPr="00BA3750">
        <w:rPr>
          <w:rFonts w:ascii="TimesNewRoman" w:hAnsi="TimesNewRoman" w:cs="TimesNewRoman"/>
          <w:sz w:val="18"/>
          <w:szCs w:val="18"/>
        </w:rPr>
        <w:t>.</w:t>
      </w:r>
    </w:p>
    <w:p w14:paraId="3402E4CB" w14:textId="77777777" w:rsidR="00AB45C1" w:rsidRPr="003C6A1E" w:rsidRDefault="00AB45C1" w:rsidP="00C1087A">
      <w:r w:rsidRPr="006F2B06">
        <w:rPr>
          <w:lang w:val="de-DE"/>
        </w:rPr>
        <w:t xml:space="preserve">Gardner WC, Broersma K, Popp JD, Mir Z, Mir PS &amp; Buckley WT 2003. </w:t>
      </w:r>
      <w:r w:rsidRPr="003C6A1E">
        <w:t>Copper and health status of cattle grazing high-molybdenum forage from a reclaimed mine tailing site</w:t>
      </w:r>
      <w:r>
        <w:t>.</w:t>
      </w:r>
      <w:r w:rsidRPr="003C6A1E">
        <w:t xml:space="preserve"> </w:t>
      </w:r>
      <w:r w:rsidRPr="004C37D1">
        <w:rPr>
          <w:rStyle w:val="Emphasis"/>
        </w:rPr>
        <w:t>Canadian Journal of Animal Science</w:t>
      </w:r>
      <w:r w:rsidRPr="003C6A1E">
        <w:t xml:space="preserve"> 83</w:t>
      </w:r>
      <w:r>
        <w:t>(</w:t>
      </w:r>
      <w:r w:rsidRPr="003C6A1E">
        <w:t>3</w:t>
      </w:r>
      <w:r>
        <w:t>):</w:t>
      </w:r>
      <w:r w:rsidRPr="003C6A1E">
        <w:t>479–485.</w:t>
      </w:r>
    </w:p>
    <w:p w14:paraId="6E1008CC" w14:textId="77777777" w:rsidR="00AB45C1" w:rsidRDefault="00AB45C1" w:rsidP="00C1087A">
      <w:r w:rsidRPr="009E0011">
        <w:t xml:space="preserve">Green GH &amp; Weeth HJ 1977. Response of heifers ingesting boron in water. </w:t>
      </w:r>
      <w:r w:rsidRPr="009E0011">
        <w:rPr>
          <w:rFonts w:cstheme="minorHAnsi"/>
          <w:i/>
          <w:iCs/>
        </w:rPr>
        <w:t>Journal of Animal Science</w:t>
      </w:r>
      <w:r w:rsidRPr="009E0011">
        <w:rPr>
          <w:rFonts w:ascii="TimesNewRoman,Italic" w:hAnsi="TimesNewRoman,Italic" w:cs="TimesNewRoman,Italic"/>
          <w:i/>
          <w:iCs/>
        </w:rPr>
        <w:t xml:space="preserve"> </w:t>
      </w:r>
      <w:r w:rsidRPr="009E0011">
        <w:t>45</w:t>
      </w:r>
      <w:r>
        <w:t>:</w:t>
      </w:r>
      <w:r w:rsidRPr="009E0011">
        <w:t>812– 818</w:t>
      </w:r>
    </w:p>
    <w:p w14:paraId="782E7E21" w14:textId="77777777" w:rsidR="00AB45C1" w:rsidRPr="003C6A1E" w:rsidRDefault="00AB45C1" w:rsidP="00C1087A">
      <w:r w:rsidRPr="003C6A1E">
        <w:t>Grout AS et al. 2006</w:t>
      </w:r>
      <w:r>
        <w:t xml:space="preserve">. </w:t>
      </w:r>
      <w:r w:rsidRPr="003C6A1E">
        <w:t xml:space="preserve">Differential effects of sodium and magnesium </w:t>
      </w:r>
      <w:proofErr w:type="spellStart"/>
      <w:r w:rsidRPr="003C6A1E">
        <w:t>sulfate</w:t>
      </w:r>
      <w:proofErr w:type="spellEnd"/>
      <w:r w:rsidRPr="003C6A1E">
        <w:t xml:space="preserve"> on water consumption by beef cattle</w:t>
      </w:r>
      <w:r>
        <w:t>.</w:t>
      </w:r>
      <w:r w:rsidRPr="003C6A1E">
        <w:t xml:space="preserve"> </w:t>
      </w:r>
      <w:r w:rsidRPr="00EB6A94">
        <w:rPr>
          <w:rStyle w:val="Emphasis"/>
        </w:rPr>
        <w:t>Journal of Animal Science</w:t>
      </w:r>
      <w:r w:rsidRPr="003C6A1E">
        <w:t xml:space="preserve"> 84</w:t>
      </w:r>
      <w:r>
        <w:t>(</w:t>
      </w:r>
      <w:r w:rsidRPr="003C6A1E">
        <w:t>5</w:t>
      </w:r>
      <w:r>
        <w:t>):</w:t>
      </w:r>
      <w:r w:rsidRPr="003C6A1E">
        <w:t>1252</w:t>
      </w:r>
      <w:r>
        <w:t>–</w:t>
      </w:r>
      <w:r w:rsidRPr="003C6A1E">
        <w:t>1258.</w:t>
      </w:r>
    </w:p>
    <w:p w14:paraId="2AA9BA4A" w14:textId="77777777" w:rsidR="00AB45C1" w:rsidRPr="003C6A1E" w:rsidRDefault="00AB45C1" w:rsidP="00C1087A">
      <w:r w:rsidRPr="003C6A1E">
        <w:t>Gummow B, Botha CJ &amp; Williams MC 2006</w:t>
      </w:r>
      <w:r>
        <w:t xml:space="preserve">. </w:t>
      </w:r>
      <w:r w:rsidRPr="003C6A1E">
        <w:t>Chronic vanadium poisoning in calves and its treatment with calcium disodium ethylenediaminetetraacetate</w:t>
      </w:r>
      <w:r>
        <w:t>.</w:t>
      </w:r>
      <w:r w:rsidRPr="003C6A1E">
        <w:t xml:space="preserve"> </w:t>
      </w:r>
      <w:r w:rsidRPr="007703BF">
        <w:rPr>
          <w:rStyle w:val="Emphasis"/>
        </w:rPr>
        <w:t>Veterinary Research Communications</w:t>
      </w:r>
      <w:r w:rsidRPr="003C6A1E">
        <w:t xml:space="preserve"> 30</w:t>
      </w:r>
      <w:r>
        <w:t>(</w:t>
      </w:r>
      <w:r w:rsidRPr="003C6A1E">
        <w:t>7</w:t>
      </w:r>
      <w:r>
        <w:t>):</w:t>
      </w:r>
      <w:r w:rsidRPr="003C6A1E">
        <w:t>807–822.</w:t>
      </w:r>
    </w:p>
    <w:p w14:paraId="4C5C7DED" w14:textId="77777777" w:rsidR="00AB45C1" w:rsidRPr="003C6A1E" w:rsidRDefault="00AB45C1" w:rsidP="00C1087A">
      <w:bookmarkStart w:id="647" w:name="_Hlk135132153"/>
      <w:r w:rsidRPr="003C6A1E">
        <w:t>GWRC 2004</w:t>
      </w:r>
      <w:r>
        <w:t xml:space="preserve">. </w:t>
      </w:r>
      <w:r w:rsidRPr="0059384C">
        <w:rPr>
          <w:i/>
          <w:iCs/>
        </w:rPr>
        <w:t xml:space="preserve">Management strategies for algal toxins: </w:t>
      </w:r>
      <w:bookmarkEnd w:id="647"/>
      <w:r w:rsidRPr="0059384C">
        <w:rPr>
          <w:i/>
          <w:iCs/>
        </w:rPr>
        <w:t>an international review</w:t>
      </w:r>
      <w:r>
        <w:t>.</w:t>
      </w:r>
      <w:r w:rsidRPr="003C6A1E">
        <w:t xml:space="preserve"> Global Water Research Coalition.</w:t>
      </w:r>
    </w:p>
    <w:p w14:paraId="1357CD29" w14:textId="77777777" w:rsidR="00AB45C1" w:rsidRPr="00F74F78" w:rsidRDefault="00AB45C1" w:rsidP="004966C4">
      <w:pPr>
        <w:rPr>
          <w:rFonts w:ascii="TimesNewRoman,Italic" w:hAnsi="TimesNewRoman,Italic" w:cs="TimesNewRoman,Italic"/>
          <w:i/>
          <w:iCs/>
          <w:sz w:val="18"/>
          <w:szCs w:val="18"/>
        </w:rPr>
      </w:pPr>
      <w:r w:rsidRPr="009E0011">
        <w:t>Hamilton D &amp; Haydon G 1996</w:t>
      </w:r>
      <w:r w:rsidRPr="009E0011">
        <w:rPr>
          <w:rFonts w:cstheme="minorHAnsi"/>
        </w:rPr>
        <w:t xml:space="preserve">. </w:t>
      </w:r>
      <w:r w:rsidRPr="009E0011">
        <w:rPr>
          <w:rFonts w:cstheme="minorHAnsi"/>
          <w:i/>
          <w:iCs/>
        </w:rPr>
        <w:t>Pesticides and fertilisers in the Queensland sugar industry: Estimates of usage and likely environmental fate</w:t>
      </w:r>
      <w:r w:rsidRPr="009E0011">
        <w:rPr>
          <w:rFonts w:ascii="TimesNewRoman" w:hAnsi="TimesNewRoman" w:cs="TimesNewRoman"/>
          <w:sz w:val="18"/>
          <w:szCs w:val="18"/>
        </w:rPr>
        <w:t xml:space="preserve">. </w:t>
      </w:r>
      <w:r w:rsidRPr="009E0011">
        <w:t>vol 1: Pesticides. Queensland Department of Primary Industries, Brisbane.</w:t>
      </w:r>
    </w:p>
    <w:p w14:paraId="2A664C20" w14:textId="2CF0B264" w:rsidR="00AB45C1" w:rsidRDefault="00AB45C1" w:rsidP="002A24CC">
      <w:r w:rsidRPr="001C405C">
        <w:t xml:space="preserve">Hamlen H, Clark E &amp; Janzen E 1993. </w:t>
      </w:r>
      <w:proofErr w:type="spellStart"/>
      <w:r w:rsidRPr="001C405C">
        <w:t>Polioencephalomalacia</w:t>
      </w:r>
      <w:proofErr w:type="spellEnd"/>
      <w:r w:rsidRPr="001C405C">
        <w:t xml:space="preserve"> in cattle consuming water with elevated sodium sulphate levels: A herd investigation. </w:t>
      </w:r>
      <w:r w:rsidRPr="001C405C">
        <w:rPr>
          <w:rFonts w:cstheme="minorHAnsi"/>
          <w:i/>
          <w:iCs/>
        </w:rPr>
        <w:t>Canadian Veterinary Journal</w:t>
      </w:r>
      <w:r w:rsidRPr="001C405C">
        <w:rPr>
          <w:rFonts w:ascii="TimesNewRoman,Italic" w:hAnsi="TimesNewRoman,Italic" w:cs="TimesNewRoman,Italic"/>
          <w:i/>
          <w:iCs/>
        </w:rPr>
        <w:t xml:space="preserve"> </w:t>
      </w:r>
      <w:r w:rsidRPr="001C405C">
        <w:t>34</w:t>
      </w:r>
      <w:r>
        <w:t>:</w:t>
      </w:r>
      <w:r w:rsidRPr="001C405C">
        <w:t>153–158.</w:t>
      </w:r>
    </w:p>
    <w:p w14:paraId="3183443D" w14:textId="77777777" w:rsidR="00AB45C1" w:rsidRPr="00AA1CA6" w:rsidRDefault="00AB45C1" w:rsidP="002A24CC">
      <w:pPr>
        <w:rPr>
          <w:rFonts w:ascii="TimesNewRoman,Italic" w:hAnsi="TimesNewRoman,Italic" w:cs="TimesNewRoman,Italic"/>
          <w:i/>
          <w:iCs/>
        </w:rPr>
      </w:pPr>
      <w:r w:rsidRPr="001C405C">
        <w:t xml:space="preserve">Hammond PB &amp; Aronson AL 1964. Lead poisoning in cattle and horses in the vicinity of a smelter. </w:t>
      </w:r>
      <w:r w:rsidRPr="001C405C">
        <w:rPr>
          <w:rFonts w:cstheme="minorHAnsi"/>
          <w:i/>
          <w:iCs/>
        </w:rPr>
        <w:t>Annals of the New York Academy of Sciences</w:t>
      </w:r>
      <w:r w:rsidRPr="001C405C">
        <w:rPr>
          <w:rFonts w:ascii="TimesNewRoman,Italic" w:hAnsi="TimesNewRoman,Italic" w:cs="TimesNewRoman,Italic"/>
          <w:i/>
          <w:iCs/>
        </w:rPr>
        <w:t xml:space="preserve"> </w:t>
      </w:r>
      <w:r w:rsidRPr="001C405C">
        <w:t>111</w:t>
      </w:r>
      <w:r>
        <w:t>:</w:t>
      </w:r>
      <w:r w:rsidRPr="001C405C">
        <w:t>595–611.</w:t>
      </w:r>
    </w:p>
    <w:p w14:paraId="13DD9F1F" w14:textId="77777777" w:rsidR="00AB45C1" w:rsidRDefault="00AB45C1" w:rsidP="00FB56A4">
      <w:r>
        <w:t xml:space="preserve">Hansard SL, Ammerman CB, Henry PC &amp; Simpson CF 1982. Vanadium metabolism in sheep: Comparative and acute toxicity of vanadium compounds in sheep. </w:t>
      </w:r>
      <w:r w:rsidRPr="00397A26">
        <w:rPr>
          <w:i/>
          <w:iCs/>
        </w:rPr>
        <w:t>Journal of Animal Science</w:t>
      </w:r>
      <w:r>
        <w:t xml:space="preserve"> 55(2):344</w:t>
      </w:r>
      <w:r>
        <w:rPr>
          <w:rFonts w:cstheme="minorHAnsi"/>
        </w:rPr>
        <w:t>–</w:t>
      </w:r>
      <w:r>
        <w:t>349.</w:t>
      </w:r>
    </w:p>
    <w:p w14:paraId="382E1C43" w14:textId="77777777" w:rsidR="00AB45C1" w:rsidRDefault="00AB45C1" w:rsidP="00302B6E">
      <w:r w:rsidRPr="00964F66">
        <w:lastRenderedPageBreak/>
        <w:t xml:space="preserve">Harper GS, King TJ, Hill BD, Harper CML &amp; Hunter RA </w:t>
      </w:r>
      <w:r>
        <w:t>1997</w:t>
      </w:r>
      <w:r w:rsidRPr="00964F66">
        <w:t xml:space="preserve">. Effect of coal mine pit water on the productivity of cattle: II. Effect of increasing concentrations of pit water on feed intake and health. </w:t>
      </w:r>
      <w:r w:rsidRPr="00964F66">
        <w:rPr>
          <w:rFonts w:cstheme="minorHAnsi"/>
          <w:i/>
          <w:iCs/>
        </w:rPr>
        <w:t>Australian Journal of</w:t>
      </w:r>
      <w:r w:rsidRPr="00964F66">
        <w:rPr>
          <w:rFonts w:cstheme="minorHAnsi"/>
        </w:rPr>
        <w:t xml:space="preserve"> </w:t>
      </w:r>
      <w:r w:rsidRPr="00964F66">
        <w:rPr>
          <w:rFonts w:cstheme="minorHAnsi"/>
          <w:i/>
          <w:iCs/>
        </w:rPr>
        <w:t>Agricultural Research</w:t>
      </w:r>
      <w:r w:rsidRPr="00964F66">
        <w:rPr>
          <w:rFonts w:ascii="TimesNewRoman,Italic" w:hAnsi="TimesNewRoman,Italic" w:cs="TimesNewRoman,Italic"/>
          <w:i/>
          <w:iCs/>
        </w:rPr>
        <w:t xml:space="preserve"> </w:t>
      </w:r>
      <w:r>
        <w:t>48(2):155</w:t>
      </w:r>
      <w:r>
        <w:rPr>
          <w:rFonts w:cstheme="minorHAnsi"/>
        </w:rPr>
        <w:t>–</w:t>
      </w:r>
      <w:r>
        <w:t>164</w:t>
      </w:r>
      <w:r w:rsidRPr="00964F66">
        <w:t>.</w:t>
      </w:r>
    </w:p>
    <w:p w14:paraId="5BFF126D" w14:textId="77777777" w:rsidR="00AB45C1" w:rsidRPr="006B4623" w:rsidRDefault="00AB45C1" w:rsidP="00302B6E">
      <w:r w:rsidRPr="006B4623">
        <w:t xml:space="preserve">Hart BT 1974. </w:t>
      </w:r>
      <w:r w:rsidRPr="006B4623">
        <w:rPr>
          <w:rFonts w:cstheme="minorHAnsi"/>
          <w:i/>
          <w:iCs/>
        </w:rPr>
        <w:t>A compilation of Australian water quality criteria</w:t>
      </w:r>
      <w:r w:rsidRPr="006B4623">
        <w:rPr>
          <w:rFonts w:ascii="TimesNewRoman,Italic" w:hAnsi="TimesNewRoman,Italic" w:cs="TimesNewRoman,Italic"/>
          <w:i/>
          <w:iCs/>
        </w:rPr>
        <w:t xml:space="preserve">. </w:t>
      </w:r>
      <w:r w:rsidRPr="006B4623">
        <w:t>Australian Water Resources Technical Paper 7, Australian Government Publishing Service, Canberra.</w:t>
      </w:r>
    </w:p>
    <w:p w14:paraId="6372C280" w14:textId="77777777" w:rsidR="00AB45C1" w:rsidRDefault="00AB45C1" w:rsidP="00302B6E">
      <w:r w:rsidRPr="006B4623">
        <w:t xml:space="preserve">Hart BT 1982. </w:t>
      </w:r>
      <w:r w:rsidRPr="006B4623">
        <w:rPr>
          <w:rFonts w:cstheme="minorHAnsi"/>
          <w:i/>
          <w:iCs/>
        </w:rPr>
        <w:t>Australian water criteria for heavy metals</w:t>
      </w:r>
      <w:r w:rsidRPr="006B4623">
        <w:rPr>
          <w:rFonts w:ascii="TimesNewRoman,Italic" w:hAnsi="TimesNewRoman,Italic" w:cs="TimesNewRoman,Italic"/>
          <w:i/>
          <w:iCs/>
        </w:rPr>
        <w:t xml:space="preserve">. </w:t>
      </w:r>
      <w:r w:rsidRPr="006B4623">
        <w:t>Australian Water Resources Technical Paper 77, Australian Government Publishing Service, Canberra.</w:t>
      </w:r>
    </w:p>
    <w:p w14:paraId="449C9FB6" w14:textId="63791DF2" w:rsidR="00AB45C1" w:rsidRPr="000774E9" w:rsidRDefault="00AB45C1" w:rsidP="00302B6E">
      <w:pPr>
        <w:rPr>
          <w:rFonts w:ascii="TimesNewRoman,Italic" w:hAnsi="TimesNewRoman,Italic" w:cs="TimesNewRoman,Italic"/>
          <w:i/>
          <w:iCs/>
        </w:rPr>
      </w:pPr>
      <w:r w:rsidRPr="006B4623">
        <w:t xml:space="preserve">Hatch RC 1977. Poisons causing nervous stimulation or depression. In </w:t>
      </w:r>
      <w:r w:rsidRPr="006B4623">
        <w:rPr>
          <w:rFonts w:cstheme="minorHAnsi"/>
          <w:i/>
          <w:iCs/>
        </w:rPr>
        <w:t>Veterinary pharmacology and therapeutics</w:t>
      </w:r>
      <w:r w:rsidRPr="006B4623">
        <w:t xml:space="preserve">, 4th </w:t>
      </w:r>
      <w:proofErr w:type="spellStart"/>
      <w:r w:rsidRPr="006B4623">
        <w:t>edn</w:t>
      </w:r>
      <w:proofErr w:type="spellEnd"/>
      <w:r w:rsidRPr="006B4623">
        <w:t>, eds LM Jones, NH Booth &amp; LE McDonalds, Iowa State University, Ames,</w:t>
      </w:r>
      <w:r>
        <w:t xml:space="preserve"> </w:t>
      </w:r>
      <w:r w:rsidRPr="006B4623">
        <w:t>1185–1242.</w:t>
      </w:r>
    </w:p>
    <w:p w14:paraId="47A7E295" w14:textId="51ACF5F0" w:rsidR="00AB45C1" w:rsidRDefault="00AB45C1" w:rsidP="00302B6E">
      <w:r w:rsidRPr="00850048">
        <w:rPr>
          <w:lang w:val="fr-FR"/>
        </w:rPr>
        <w:t xml:space="preserve">Hawkins PR, </w:t>
      </w:r>
      <w:proofErr w:type="spellStart"/>
      <w:r w:rsidRPr="00850048">
        <w:rPr>
          <w:lang w:val="fr-FR"/>
        </w:rPr>
        <w:t>Chandrasena</w:t>
      </w:r>
      <w:proofErr w:type="spellEnd"/>
      <w:r w:rsidRPr="00850048">
        <w:rPr>
          <w:lang w:val="fr-FR"/>
        </w:rPr>
        <w:t xml:space="preserve"> NR, Jones GJ, </w:t>
      </w:r>
      <w:proofErr w:type="spellStart"/>
      <w:r w:rsidRPr="00850048">
        <w:rPr>
          <w:lang w:val="fr-FR"/>
        </w:rPr>
        <w:t>Humpage</w:t>
      </w:r>
      <w:proofErr w:type="spellEnd"/>
      <w:r w:rsidRPr="00850048">
        <w:rPr>
          <w:lang w:val="fr-FR"/>
        </w:rPr>
        <w:t xml:space="preserve"> AR &amp; </w:t>
      </w:r>
      <w:proofErr w:type="spellStart"/>
      <w:r w:rsidRPr="00850048">
        <w:rPr>
          <w:lang w:val="fr-FR"/>
        </w:rPr>
        <w:t>Falconer</w:t>
      </w:r>
      <w:proofErr w:type="spellEnd"/>
      <w:r w:rsidRPr="00850048">
        <w:rPr>
          <w:lang w:val="fr-FR"/>
        </w:rPr>
        <w:t xml:space="preserve"> IR 1996. </w:t>
      </w:r>
      <w:r w:rsidRPr="00850048">
        <w:t xml:space="preserve">Isolation and toxicity of </w:t>
      </w:r>
      <w:proofErr w:type="spellStart"/>
      <w:r w:rsidRPr="00850048">
        <w:rPr>
          <w:rFonts w:cstheme="minorHAnsi"/>
          <w:i/>
          <w:iCs/>
        </w:rPr>
        <w:t>Cylindrospermopsis</w:t>
      </w:r>
      <w:proofErr w:type="spellEnd"/>
      <w:r w:rsidRPr="00850048">
        <w:rPr>
          <w:rFonts w:cstheme="minorHAnsi"/>
          <w:i/>
          <w:iCs/>
        </w:rPr>
        <w:t xml:space="preserve"> </w:t>
      </w:r>
      <w:proofErr w:type="spellStart"/>
      <w:r w:rsidRPr="00850048">
        <w:rPr>
          <w:rFonts w:cstheme="minorHAnsi"/>
          <w:i/>
          <w:iCs/>
        </w:rPr>
        <w:t>raciborskii</w:t>
      </w:r>
      <w:proofErr w:type="spellEnd"/>
      <w:r w:rsidRPr="00850048">
        <w:rPr>
          <w:rFonts w:ascii="TimesNewRoman,Italic" w:hAnsi="TimesNewRoman,Italic" w:cs="TimesNewRoman,Italic"/>
          <w:i/>
          <w:iCs/>
        </w:rPr>
        <w:t xml:space="preserve"> </w:t>
      </w:r>
      <w:r w:rsidRPr="00850048">
        <w:t xml:space="preserve">from an ornamental lake. </w:t>
      </w:r>
      <w:r w:rsidRPr="00850048">
        <w:rPr>
          <w:rFonts w:cstheme="minorHAnsi"/>
          <w:i/>
          <w:iCs/>
        </w:rPr>
        <w:t>Toxicon</w:t>
      </w:r>
      <w:r w:rsidRPr="00850048">
        <w:rPr>
          <w:rFonts w:ascii="TimesNewRoman,Italic" w:hAnsi="TimesNewRoman,Italic" w:cs="TimesNewRoman,Italic"/>
          <w:i/>
          <w:iCs/>
        </w:rPr>
        <w:t xml:space="preserve"> </w:t>
      </w:r>
      <w:r w:rsidRPr="00850048">
        <w:t>35</w:t>
      </w:r>
      <w:r>
        <w:t>:</w:t>
      </w:r>
      <w:r w:rsidRPr="00850048">
        <w:t>341–346</w:t>
      </w:r>
      <w:r>
        <w:t>.</w:t>
      </w:r>
    </w:p>
    <w:p w14:paraId="0EAC4353" w14:textId="77777777" w:rsidR="00AB45C1" w:rsidRPr="003C6A1E" w:rsidRDefault="00AB45C1" w:rsidP="00302B6E">
      <w:r w:rsidRPr="003C6A1E">
        <w:t>Haywood S</w:t>
      </w:r>
      <w:r>
        <w:t>, Dincer Z, Jasani B &amp; Loughran MJ</w:t>
      </w:r>
      <w:r w:rsidRPr="003C6A1E">
        <w:t xml:space="preserve"> 2004</w:t>
      </w:r>
      <w:r>
        <w:t xml:space="preserve">. </w:t>
      </w:r>
      <w:r w:rsidRPr="003C6A1E">
        <w:t xml:space="preserve">Molybdenum-associated pituitary endocrinopathy in sheep treated with ammonium </w:t>
      </w:r>
      <w:proofErr w:type="spellStart"/>
      <w:r w:rsidRPr="003C6A1E">
        <w:t>tetrathiomolybdate</w:t>
      </w:r>
      <w:proofErr w:type="spellEnd"/>
      <w:r>
        <w:t>.</w:t>
      </w:r>
      <w:r w:rsidRPr="003C6A1E">
        <w:t xml:space="preserve"> </w:t>
      </w:r>
      <w:r w:rsidRPr="007703BF">
        <w:rPr>
          <w:rStyle w:val="Emphasis"/>
        </w:rPr>
        <w:t>Journal of Comparative Pathology</w:t>
      </w:r>
      <w:r w:rsidRPr="003C6A1E">
        <w:t xml:space="preserve"> 130</w:t>
      </w:r>
      <w:r>
        <w:t>(</w:t>
      </w:r>
      <w:r w:rsidRPr="003C6A1E">
        <w:t>1</w:t>
      </w:r>
      <w:r>
        <w:t>):</w:t>
      </w:r>
      <w:r w:rsidRPr="003C6A1E">
        <w:t>21–31.</w:t>
      </w:r>
    </w:p>
    <w:p w14:paraId="019F8ECA" w14:textId="77777777" w:rsidR="00AB45C1" w:rsidRDefault="00AB45C1" w:rsidP="00933ECA">
      <w:r w:rsidRPr="00907317">
        <w:t xml:space="preserve">Hemphill FE, </w:t>
      </w:r>
      <w:proofErr w:type="spellStart"/>
      <w:r w:rsidRPr="00907317">
        <w:t>Kaeberle</w:t>
      </w:r>
      <w:proofErr w:type="spellEnd"/>
      <w:r w:rsidRPr="00907317">
        <w:t xml:space="preserve"> ML &amp; Buck WB 1971. Lead suppression of mouse resistance to </w:t>
      </w:r>
      <w:r w:rsidRPr="00907317">
        <w:rPr>
          <w:rFonts w:cstheme="minorHAnsi"/>
          <w:i/>
          <w:iCs/>
        </w:rPr>
        <w:t>Salmonella typhimurium</w:t>
      </w:r>
      <w:r w:rsidRPr="00907317">
        <w:rPr>
          <w:rFonts w:cstheme="minorHAnsi"/>
        </w:rPr>
        <w:t xml:space="preserve">. </w:t>
      </w:r>
      <w:r w:rsidRPr="00907317">
        <w:rPr>
          <w:rFonts w:cstheme="minorHAnsi"/>
          <w:i/>
          <w:iCs/>
        </w:rPr>
        <w:t>Science</w:t>
      </w:r>
      <w:r w:rsidRPr="00907317">
        <w:rPr>
          <w:rFonts w:ascii="TimesNewRoman,Italic" w:hAnsi="TimesNewRoman,Italic" w:cs="TimesNewRoman,Italic"/>
          <w:i/>
          <w:iCs/>
        </w:rPr>
        <w:t xml:space="preserve"> </w:t>
      </w:r>
      <w:r w:rsidRPr="00907317">
        <w:t>172(3987)</w:t>
      </w:r>
      <w:r>
        <w:t>:</w:t>
      </w:r>
      <w:r w:rsidRPr="00907317">
        <w:t>1031–1032.</w:t>
      </w:r>
    </w:p>
    <w:p w14:paraId="6135815F" w14:textId="77777777" w:rsidR="00AB45C1" w:rsidRPr="00C52CCB" w:rsidRDefault="00AB45C1" w:rsidP="00A84827">
      <w:pPr>
        <w:rPr>
          <w:rFonts w:ascii="TimesNewRoman,Italic" w:hAnsi="TimesNewRoman,Italic" w:cs="TimesNewRoman,Italic"/>
          <w:i/>
          <w:iCs/>
        </w:rPr>
      </w:pPr>
      <w:proofErr w:type="spellStart"/>
      <w:r w:rsidRPr="00907317">
        <w:t>Hespanhol</w:t>
      </w:r>
      <w:proofErr w:type="spellEnd"/>
      <w:r w:rsidRPr="00907317">
        <w:t xml:space="preserve"> I &amp; Prost AME 1994. WHO guidelines and national standards for reuse and water quality. </w:t>
      </w:r>
      <w:r w:rsidRPr="00907317">
        <w:rPr>
          <w:rFonts w:cstheme="minorHAnsi"/>
          <w:i/>
          <w:iCs/>
        </w:rPr>
        <w:t>Water Research</w:t>
      </w:r>
      <w:r w:rsidRPr="00907317">
        <w:rPr>
          <w:rFonts w:ascii="TimesNewRoman,Italic" w:hAnsi="TimesNewRoman,Italic" w:cs="TimesNewRoman,Italic"/>
          <w:i/>
          <w:iCs/>
        </w:rPr>
        <w:t xml:space="preserve"> </w:t>
      </w:r>
      <w:r w:rsidRPr="00907317">
        <w:t>28</w:t>
      </w:r>
      <w:r>
        <w:t>:</w:t>
      </w:r>
      <w:r w:rsidRPr="00907317">
        <w:t>119–124.</w:t>
      </w:r>
    </w:p>
    <w:p w14:paraId="5CB0F6DF" w14:textId="77777777" w:rsidR="00AB45C1" w:rsidRDefault="00AB45C1" w:rsidP="001C71BC">
      <w:r w:rsidRPr="00907317">
        <w:t xml:space="preserve">Horvath DJ 1976. Trace elements and health. In </w:t>
      </w:r>
      <w:r w:rsidRPr="00907317">
        <w:rPr>
          <w:rFonts w:cstheme="minorHAnsi"/>
          <w:i/>
          <w:iCs/>
        </w:rPr>
        <w:t>Trace substances and health: A handbook</w:t>
      </w:r>
      <w:r w:rsidRPr="00907317">
        <w:t xml:space="preserve">, Part 1, ed PM </w:t>
      </w:r>
      <w:proofErr w:type="spellStart"/>
      <w:r w:rsidRPr="00907317">
        <w:t>Newberne</w:t>
      </w:r>
      <w:proofErr w:type="spellEnd"/>
      <w:r w:rsidRPr="00907317">
        <w:t>, Marcel Dekker Inc, New York, 319–356.</w:t>
      </w:r>
    </w:p>
    <w:p w14:paraId="0BFBBAC2" w14:textId="77777777" w:rsidR="00AB45C1" w:rsidRDefault="00AB45C1" w:rsidP="000D32F7">
      <w:pPr>
        <w:rPr>
          <w:rFonts w:ascii="TimesNewRoman" w:hAnsi="TimesNewRoman" w:cs="TimesNewRoman"/>
          <w:sz w:val="18"/>
          <w:szCs w:val="18"/>
        </w:rPr>
      </w:pPr>
      <w:r w:rsidRPr="002027DF">
        <w:t>Humphries WR, MacPherson A &amp; Farmer PE 1983. Drinking water as a carrier of trace elements for cattle. In</w:t>
      </w:r>
      <w:r w:rsidRPr="002027DF">
        <w:rPr>
          <w:rFonts w:ascii="TimesNewRoman" w:hAnsi="TimesNewRoman" w:cs="TimesNewRoman"/>
          <w:sz w:val="18"/>
          <w:szCs w:val="18"/>
        </w:rPr>
        <w:t xml:space="preserve"> </w:t>
      </w:r>
      <w:r w:rsidRPr="002027DF">
        <w:rPr>
          <w:i/>
        </w:rPr>
        <w:t>Trace elements in animal production and veterinary practice</w:t>
      </w:r>
      <w:r w:rsidRPr="002027DF">
        <w:rPr>
          <w:rFonts w:ascii="TimesNewRoman" w:hAnsi="TimesNewRoman" w:cs="TimesNewRoman"/>
          <w:sz w:val="18"/>
          <w:szCs w:val="18"/>
        </w:rPr>
        <w:t xml:space="preserve">. </w:t>
      </w:r>
      <w:r w:rsidRPr="002027DF">
        <w:t>Occasional paper 7, eds NF Suttle, RG Gunn, WM Allen, KA Linklater &amp; G Wiener, British Society of Animal Production, London, 143–144.</w:t>
      </w:r>
    </w:p>
    <w:p w14:paraId="53384D9D" w14:textId="77777777" w:rsidR="00AB45C1" w:rsidRDefault="00AB45C1" w:rsidP="000D32F7">
      <w:r w:rsidRPr="00240085">
        <w:t xml:space="preserve">Hunter HM 1992. </w:t>
      </w:r>
      <w:r w:rsidRPr="00240085">
        <w:rPr>
          <w:rFonts w:cstheme="minorHAnsi"/>
          <w:i/>
          <w:iCs/>
        </w:rPr>
        <w:t>Agricultural contaminants in aquatic environments: A review</w:t>
      </w:r>
      <w:r w:rsidRPr="00240085">
        <w:t>. Queensland Department of Primary Industries publication QB92002, Brisbane.</w:t>
      </w:r>
    </w:p>
    <w:p w14:paraId="32064F29" w14:textId="77777777" w:rsidR="00AB45C1" w:rsidRDefault="00AB45C1" w:rsidP="000D32F7">
      <w:r>
        <w:t xml:space="preserve">Hunter RA, Harper GS &amp; McCrabb GJ 2002. The effect of ingestion of coal mine pit water on the productivity of pregnant and lactating beef cows. </w:t>
      </w:r>
      <w:r w:rsidRPr="00596D80">
        <w:rPr>
          <w:i/>
          <w:iCs/>
        </w:rPr>
        <w:t>Animal Production Australia</w:t>
      </w:r>
      <w:r>
        <w:t xml:space="preserve"> 24:105</w:t>
      </w:r>
      <w:r>
        <w:rPr>
          <w:rFonts w:cstheme="minorHAnsi"/>
        </w:rPr>
        <w:t>–</w:t>
      </w:r>
      <w:r>
        <w:t>108.</w:t>
      </w:r>
    </w:p>
    <w:p w14:paraId="3717AA8B" w14:textId="77777777" w:rsidR="00AB45C1" w:rsidRPr="00240085" w:rsidRDefault="00AB45C1" w:rsidP="00C1087A">
      <w:r w:rsidRPr="003C6A1E">
        <w:t>IARC 1993</w:t>
      </w:r>
      <w:r>
        <w:t>.</w:t>
      </w:r>
      <w:r w:rsidRPr="003C6A1E">
        <w:t xml:space="preserve"> Beryllium, cadmium, mercury, and exposures in the glass manufacturing industry</w:t>
      </w:r>
      <w:r>
        <w:t>.</w:t>
      </w:r>
      <w:r w:rsidRPr="003C6A1E">
        <w:t xml:space="preserve"> </w:t>
      </w:r>
      <w:r w:rsidRPr="00A40D25">
        <w:rPr>
          <w:rStyle w:val="Emphasis"/>
        </w:rPr>
        <w:t>IARC Monographs on the Evaluation of Carcinogenic Risks to Humans</w:t>
      </w:r>
      <w:r w:rsidRPr="003C6A1E">
        <w:t xml:space="preserve"> 58</w:t>
      </w:r>
      <w:r>
        <w:t>:</w:t>
      </w:r>
      <w:r w:rsidRPr="003C6A1E">
        <w:t>41–117.</w:t>
      </w:r>
      <w:r w:rsidRPr="00274DEE">
        <w:t xml:space="preserve"> </w:t>
      </w:r>
      <w:r w:rsidRPr="003C6A1E">
        <w:t xml:space="preserve">International Agency </w:t>
      </w:r>
      <w:r>
        <w:t>f</w:t>
      </w:r>
      <w:r w:rsidRPr="003C6A1E">
        <w:t xml:space="preserve">or </w:t>
      </w:r>
      <w:r w:rsidRPr="00240085">
        <w:t>Research on Cancer, Lyon.</w:t>
      </w:r>
    </w:p>
    <w:p w14:paraId="21F65763" w14:textId="77777777" w:rsidR="00AB45C1" w:rsidRDefault="00AB45C1" w:rsidP="00003AE7">
      <w:r w:rsidRPr="00240085">
        <w:t xml:space="preserve">IPCS 1990. </w:t>
      </w:r>
      <w:r w:rsidRPr="00240085">
        <w:rPr>
          <w:rFonts w:cstheme="minorHAnsi"/>
          <w:i/>
          <w:iCs/>
        </w:rPr>
        <w:t>Beryllium: Environmental health criteria.</w:t>
      </w:r>
      <w:r w:rsidRPr="00240085">
        <w:rPr>
          <w:rFonts w:ascii="TimesNewRoman,Italic" w:hAnsi="TimesNewRoman,Italic" w:cs="TimesNewRoman,Italic"/>
          <w:i/>
          <w:iCs/>
        </w:rPr>
        <w:t xml:space="preserve"> </w:t>
      </w:r>
      <w:r w:rsidRPr="00240085">
        <w:t>World Health Organization International Programme on Chemical Safety Publication 106, Geneva.</w:t>
      </w:r>
    </w:p>
    <w:p w14:paraId="02832FFC" w14:textId="36138B04" w:rsidR="00AB45C1" w:rsidRPr="00D8408B" w:rsidRDefault="00AB45C1" w:rsidP="00A70219">
      <w:r w:rsidRPr="00E02640">
        <w:t xml:space="preserve">James LF, Lazar VA &amp; Binns W 1966. Effects of sublethal doses of certain minerals on pregnant ewes </w:t>
      </w:r>
      <w:r w:rsidRPr="00D8408B">
        <w:t xml:space="preserve">and foetal development. </w:t>
      </w:r>
      <w:r w:rsidRPr="00D8408B">
        <w:rPr>
          <w:rFonts w:cstheme="minorHAnsi"/>
          <w:i/>
          <w:iCs/>
        </w:rPr>
        <w:t>American Journal of Veterinary Research</w:t>
      </w:r>
      <w:r w:rsidRPr="00D8408B">
        <w:rPr>
          <w:rFonts w:ascii="TimesNewRoman,Italic" w:hAnsi="TimesNewRoman,Italic" w:cs="TimesNewRoman,Italic"/>
          <w:i/>
          <w:iCs/>
        </w:rPr>
        <w:t xml:space="preserve"> </w:t>
      </w:r>
      <w:r w:rsidRPr="00D8408B">
        <w:t>27</w:t>
      </w:r>
      <w:r>
        <w:t>:</w:t>
      </w:r>
      <w:r w:rsidRPr="00D8408B">
        <w:t>132–135.</w:t>
      </w:r>
    </w:p>
    <w:p w14:paraId="7DD480CE" w14:textId="77777777" w:rsidR="00AB45C1" w:rsidRPr="00B760DA" w:rsidRDefault="00AB45C1" w:rsidP="00BE065B">
      <w:pPr>
        <w:shd w:val="clear" w:color="auto" w:fill="FFFFFF"/>
        <w:spacing w:after="150" w:line="240" w:lineRule="auto"/>
      </w:pPr>
      <w:r w:rsidRPr="00B760DA">
        <w:t>Jaques AP 1985. </w:t>
      </w:r>
      <w:r w:rsidRPr="00B760DA">
        <w:rPr>
          <w:i/>
          <w:iCs/>
        </w:rPr>
        <w:t>National inventory of sources and releases of lead 1982</w:t>
      </w:r>
      <w:r w:rsidRPr="00B760DA">
        <w:t>. Environmental Protection Service, Environment Canada, Ottawa.</w:t>
      </w:r>
    </w:p>
    <w:p w14:paraId="5C5E49C2" w14:textId="77777777" w:rsidR="00AB45C1" w:rsidRDefault="00AB45C1" w:rsidP="00C06C85">
      <w:bookmarkStart w:id="648" w:name="_Hlk137642859"/>
      <w:r w:rsidRPr="00D8408B">
        <w:t xml:space="preserve">Jaster EH, Schuh JD &amp; Wegner TN 1978. Physiological effects of saline drinking water on high producing dairy cows. </w:t>
      </w:r>
      <w:r w:rsidRPr="00D8408B">
        <w:rPr>
          <w:rFonts w:cstheme="minorHAnsi"/>
          <w:i/>
          <w:iCs/>
        </w:rPr>
        <w:t>Journal of Dairy Science</w:t>
      </w:r>
      <w:r w:rsidRPr="00D8408B">
        <w:rPr>
          <w:rFonts w:ascii="TimesNewRoman,Italic" w:hAnsi="TimesNewRoman,Italic" w:cs="TimesNewRoman,Italic"/>
          <w:i/>
          <w:iCs/>
        </w:rPr>
        <w:t xml:space="preserve"> </w:t>
      </w:r>
      <w:r w:rsidRPr="00D8408B">
        <w:t>61</w:t>
      </w:r>
      <w:r>
        <w:t>:</w:t>
      </w:r>
      <w:r w:rsidRPr="00D8408B">
        <w:t>66–71.</w:t>
      </w:r>
    </w:p>
    <w:p w14:paraId="2840900A" w14:textId="77777777" w:rsidR="00AB45C1" w:rsidRDefault="00AB45C1" w:rsidP="007400E1">
      <w:r w:rsidRPr="00D8408B">
        <w:lastRenderedPageBreak/>
        <w:t xml:space="preserve">Jaworski JF 1979. </w:t>
      </w:r>
      <w:r w:rsidRPr="00D8408B">
        <w:rPr>
          <w:rFonts w:cstheme="minorHAnsi"/>
          <w:i/>
          <w:iCs/>
        </w:rPr>
        <w:t>Effects of lead in the environment</w:t>
      </w:r>
      <w:r>
        <w:rPr>
          <w:rFonts w:cstheme="minorHAnsi"/>
          <w:i/>
          <w:iCs/>
        </w:rPr>
        <w:t xml:space="preserve"> </w:t>
      </w:r>
      <w:r w:rsidRPr="00D8408B">
        <w:rPr>
          <w:rFonts w:cstheme="minorHAnsi"/>
          <w:i/>
          <w:iCs/>
        </w:rPr>
        <w:t>1978.</w:t>
      </w:r>
      <w:r w:rsidRPr="00D8408B">
        <w:rPr>
          <w:rFonts w:ascii="TimesNewRoman,Italic" w:hAnsi="TimesNewRoman,Italic" w:cs="TimesNewRoman,Italic"/>
          <w:i/>
          <w:iCs/>
        </w:rPr>
        <w:t xml:space="preserve"> </w:t>
      </w:r>
      <w:r w:rsidRPr="00D8408B">
        <w:rPr>
          <w:rFonts w:cstheme="minorHAnsi"/>
          <w:i/>
          <w:iCs/>
        </w:rPr>
        <w:t>Quantitative aspects</w:t>
      </w:r>
      <w:r w:rsidRPr="00D8408B">
        <w:t>. NRC publication 16736, Associate Committee on Scientific Criteria for Environmental Quality, National Research Council of Canada, Ottawa.</w:t>
      </w:r>
    </w:p>
    <w:p w14:paraId="4FE28D13" w14:textId="77777777" w:rsidR="00AB45C1" w:rsidRDefault="00AB45C1" w:rsidP="00051532">
      <w:r>
        <w:t xml:space="preserve">Jewell N, Jones J, Floyd T, Davies G &amp; Payne J 2022. </w:t>
      </w:r>
      <w:r w:rsidRPr="002C4FB1">
        <w:t>Facial paralysis with ear droop in calves associated with exposure to steelworks slag, possibly due to vanadium toxicity</w:t>
      </w:r>
      <w:r>
        <w:t xml:space="preserve">. </w:t>
      </w:r>
      <w:r w:rsidRPr="002C4FB1">
        <w:rPr>
          <w:i/>
          <w:iCs/>
        </w:rPr>
        <w:t xml:space="preserve">Vet Records </w:t>
      </w:r>
      <w:r>
        <w:t>10(2</w:t>
      </w:r>
      <w:proofErr w:type="gramStart"/>
      <w:r>
        <w:t>):e</w:t>
      </w:r>
      <w:proofErr w:type="gramEnd"/>
      <w:r>
        <w:t>339.</w:t>
      </w:r>
    </w:p>
    <w:bookmarkEnd w:id="648"/>
    <w:p w14:paraId="414AE9A5" w14:textId="77777777" w:rsidR="00AB45C1" w:rsidRDefault="00AB45C1" w:rsidP="00051532">
      <w:r w:rsidRPr="00D8408B">
        <w:t xml:space="preserve">Johnson CM 1976. Selenium in the environment. </w:t>
      </w:r>
      <w:r w:rsidRPr="00D8408B">
        <w:rPr>
          <w:rFonts w:cstheme="minorHAnsi"/>
          <w:i/>
          <w:iCs/>
        </w:rPr>
        <w:t>Residue Reviews</w:t>
      </w:r>
      <w:r w:rsidRPr="00D8408B">
        <w:rPr>
          <w:rFonts w:ascii="TimesNewRoman,Italic" w:hAnsi="TimesNewRoman,Italic" w:cs="TimesNewRoman,Italic"/>
          <w:i/>
          <w:iCs/>
        </w:rPr>
        <w:t xml:space="preserve"> </w:t>
      </w:r>
      <w:r w:rsidRPr="00D8408B">
        <w:t>62</w:t>
      </w:r>
      <w:r>
        <w:t>:</w:t>
      </w:r>
      <w:r w:rsidRPr="00D8408B">
        <w:t>101–130.</w:t>
      </w:r>
    </w:p>
    <w:p w14:paraId="71F22D50" w14:textId="77777777" w:rsidR="00AB45C1" w:rsidRPr="005A7980" w:rsidRDefault="00AB45C1" w:rsidP="00131F52">
      <w:r w:rsidRPr="005A7980">
        <w:t xml:space="preserve">Jones CE, </w:t>
      </w:r>
      <w:proofErr w:type="spellStart"/>
      <w:r w:rsidRPr="005A7980">
        <w:t>Konasewich</w:t>
      </w:r>
      <w:proofErr w:type="spellEnd"/>
      <w:r w:rsidRPr="005A7980">
        <w:t xml:space="preserve"> DE, Bloodgood MA, Owen BD, Larratt HM, Gordon MR, McLeay DJ &amp; Price WA 1994. </w:t>
      </w:r>
      <w:r w:rsidRPr="005A7980">
        <w:rPr>
          <w:rFonts w:cstheme="minorHAnsi"/>
          <w:i/>
          <w:iCs/>
        </w:rPr>
        <w:t>Review of research concerning molybdenum in the environment and implications to mine</w:t>
      </w:r>
      <w:r w:rsidRPr="005A7980">
        <w:t xml:space="preserve"> </w:t>
      </w:r>
      <w:r w:rsidRPr="005A7980">
        <w:rPr>
          <w:rFonts w:cstheme="minorHAnsi"/>
          <w:i/>
          <w:iCs/>
        </w:rPr>
        <w:t>decommissioning</w:t>
      </w:r>
      <w:r w:rsidRPr="005A7980">
        <w:rPr>
          <w:rFonts w:ascii="TimesNewRoman,Italic" w:hAnsi="TimesNewRoman,Italic" w:cs="TimesNewRoman,Italic"/>
          <w:i/>
          <w:iCs/>
        </w:rPr>
        <w:t xml:space="preserve">. </w:t>
      </w:r>
      <w:r w:rsidRPr="005A7980">
        <w:t>Canada Centre of Mineral and Energy Technology, Victoria, BC.</w:t>
      </w:r>
    </w:p>
    <w:p w14:paraId="72C1561D" w14:textId="77777777" w:rsidR="00AB45C1" w:rsidRPr="003E4216" w:rsidRDefault="00AB45C1" w:rsidP="00C91B15">
      <w:pPr>
        <w:rPr>
          <w:rFonts w:ascii="TimesNewRoman,Italic" w:hAnsi="TimesNewRoman,Italic" w:cs="TimesNewRoman,Italic"/>
          <w:i/>
          <w:iCs/>
        </w:rPr>
      </w:pPr>
      <w:r w:rsidRPr="005A7980">
        <w:t xml:space="preserve">Jones GJ &amp; Orr PT 1994. Release and degradation of microcystin following algicide treatment of a </w:t>
      </w:r>
      <w:r w:rsidRPr="005A7980">
        <w:rPr>
          <w:rFonts w:cstheme="minorHAnsi"/>
          <w:i/>
          <w:iCs/>
        </w:rPr>
        <w:t>Microcystis aeruginosa</w:t>
      </w:r>
      <w:r w:rsidRPr="005A7980">
        <w:rPr>
          <w:rFonts w:ascii="TimesNewRoman,Italic" w:hAnsi="TimesNewRoman,Italic" w:cs="TimesNewRoman,Italic"/>
          <w:i/>
          <w:iCs/>
        </w:rPr>
        <w:t xml:space="preserve"> </w:t>
      </w:r>
      <w:r w:rsidRPr="005A7980">
        <w:t>bloom in a recreational lake, as determined by HPLC and protein phosphatase inhibition assay.</w:t>
      </w:r>
      <w:r w:rsidRPr="005A7980">
        <w:rPr>
          <w:rFonts w:ascii="TimesNewRoman,Italic" w:hAnsi="TimesNewRoman,Italic" w:cs="TimesNewRoman,Italic"/>
          <w:i/>
          <w:iCs/>
        </w:rPr>
        <w:t xml:space="preserve"> </w:t>
      </w:r>
      <w:r w:rsidRPr="003E4216">
        <w:rPr>
          <w:rFonts w:cstheme="minorHAnsi"/>
          <w:i/>
          <w:iCs/>
        </w:rPr>
        <w:t>Water Resources</w:t>
      </w:r>
      <w:r w:rsidRPr="003E4216">
        <w:rPr>
          <w:rFonts w:ascii="TimesNewRoman,Italic" w:hAnsi="TimesNewRoman,Italic" w:cs="TimesNewRoman,Italic"/>
          <w:i/>
          <w:iCs/>
        </w:rPr>
        <w:t xml:space="preserve"> </w:t>
      </w:r>
      <w:r w:rsidRPr="003E4216">
        <w:t>28</w:t>
      </w:r>
      <w:r>
        <w:t>:</w:t>
      </w:r>
      <w:r w:rsidRPr="003E4216">
        <w:t>871–876.</w:t>
      </w:r>
    </w:p>
    <w:p w14:paraId="7E1180B5" w14:textId="5DB04CF8" w:rsidR="00AB45C1" w:rsidRPr="005A7980" w:rsidRDefault="00AB45C1" w:rsidP="005C74F6">
      <w:r w:rsidRPr="005A7980">
        <w:t xml:space="preserve">Jones GJ 1994. Bloom-forming blue-green algae (cyanobacteria). In </w:t>
      </w:r>
      <w:r w:rsidRPr="005A7980">
        <w:rPr>
          <w:rFonts w:cstheme="minorHAnsi"/>
          <w:i/>
          <w:iCs/>
        </w:rPr>
        <w:t>Water plants in Australia</w:t>
      </w:r>
      <w:r w:rsidRPr="005A7980">
        <w:t>, eds GR Sainty &amp; SWL Jacobs, Sainty &amp; Associates, Sydney, 266–285.</w:t>
      </w:r>
    </w:p>
    <w:p w14:paraId="0083886F" w14:textId="77777777" w:rsidR="00AB45C1" w:rsidRPr="003C6A1E" w:rsidRDefault="00AB45C1" w:rsidP="00C1087A">
      <w:r w:rsidRPr="003C6A1E">
        <w:t>Jones GJ, Falconer IR</w:t>
      </w:r>
      <w:r>
        <w:t xml:space="preserve"> &amp;</w:t>
      </w:r>
      <w:r w:rsidRPr="003C6A1E">
        <w:t xml:space="preserve"> Wilkins RM 1995</w:t>
      </w:r>
      <w:r>
        <w:t xml:space="preserve">. </w:t>
      </w:r>
      <w:r w:rsidRPr="003C6A1E">
        <w:t xml:space="preserve">Persistence of cyclic peptide toxins in dried </w:t>
      </w:r>
      <w:r w:rsidRPr="006B4CF9">
        <w:rPr>
          <w:rStyle w:val="Emphasis"/>
        </w:rPr>
        <w:t>Microcystis aeruginosa</w:t>
      </w:r>
      <w:r w:rsidRPr="003C6A1E">
        <w:t xml:space="preserve"> crusts from lake </w:t>
      </w:r>
      <w:proofErr w:type="spellStart"/>
      <w:r w:rsidRPr="003C6A1E">
        <w:t>Mokoan</w:t>
      </w:r>
      <w:proofErr w:type="spellEnd"/>
      <w:r w:rsidRPr="003C6A1E">
        <w:t xml:space="preserve">, Australia. </w:t>
      </w:r>
      <w:r w:rsidRPr="00904027">
        <w:rPr>
          <w:rStyle w:val="Emphasis"/>
        </w:rPr>
        <w:t>Environmental Toxicology and Water Quality</w:t>
      </w:r>
      <w:r w:rsidRPr="003C6A1E">
        <w:t xml:space="preserve"> 10</w:t>
      </w:r>
      <w:r>
        <w:t>(</w:t>
      </w:r>
      <w:r w:rsidRPr="003C6A1E">
        <w:t>1</w:t>
      </w:r>
      <w:r>
        <w:t>):</w:t>
      </w:r>
      <w:r w:rsidRPr="003C6A1E">
        <w:t>19–24.</w:t>
      </w:r>
    </w:p>
    <w:p w14:paraId="5115B45C" w14:textId="77777777" w:rsidR="00AB45C1" w:rsidRPr="00AD546A" w:rsidRDefault="00AB45C1" w:rsidP="00A623BD">
      <w:pPr>
        <w:rPr>
          <w:lang w:val="fr-FR"/>
        </w:rPr>
      </w:pPr>
      <w:r w:rsidRPr="006F2B06">
        <w:rPr>
          <w:lang w:val="de-DE"/>
        </w:rPr>
        <w:t xml:space="preserve">Kammerer M, Pinault L &amp; Pouliquen H 1992. </w:t>
      </w:r>
      <w:r w:rsidRPr="00A47F5C">
        <w:rPr>
          <w:lang w:val="fr-FR"/>
        </w:rPr>
        <w:t xml:space="preserve">Teneur en nitrate du lait. Relation avec sa concentration dans l’eau d’abreuvement. </w:t>
      </w:r>
      <w:r w:rsidRPr="00A47F5C">
        <w:rPr>
          <w:rFonts w:cstheme="minorHAnsi"/>
          <w:i/>
          <w:iCs/>
          <w:lang w:val="fr-FR"/>
        </w:rPr>
        <w:t xml:space="preserve">Annales de Recherches </w:t>
      </w:r>
      <w:proofErr w:type="spellStart"/>
      <w:r w:rsidRPr="00A47F5C">
        <w:rPr>
          <w:rFonts w:cstheme="minorHAnsi"/>
          <w:i/>
          <w:iCs/>
          <w:lang w:val="fr-FR"/>
        </w:rPr>
        <w:t>Véterinaires</w:t>
      </w:r>
      <w:proofErr w:type="spellEnd"/>
      <w:r w:rsidRPr="00A47F5C">
        <w:rPr>
          <w:rFonts w:ascii="TimesNewRoman,Italic" w:hAnsi="TimesNewRoman,Italic" w:cs="TimesNewRoman,Italic"/>
          <w:i/>
          <w:iCs/>
          <w:lang w:val="fr-FR"/>
        </w:rPr>
        <w:t xml:space="preserve"> </w:t>
      </w:r>
      <w:proofErr w:type="gramStart"/>
      <w:r w:rsidRPr="00A47F5C">
        <w:rPr>
          <w:lang w:val="fr-FR"/>
        </w:rPr>
        <w:t>23</w:t>
      </w:r>
      <w:r>
        <w:rPr>
          <w:lang w:val="fr-FR"/>
        </w:rPr>
        <w:t>:</w:t>
      </w:r>
      <w:proofErr w:type="gramEnd"/>
      <w:r w:rsidRPr="00A47F5C">
        <w:rPr>
          <w:lang w:val="fr-FR"/>
        </w:rPr>
        <w:t>131–138.</w:t>
      </w:r>
    </w:p>
    <w:p w14:paraId="48B50371" w14:textId="77777777" w:rsidR="00AB45C1" w:rsidRPr="00372772" w:rsidRDefault="00AB45C1" w:rsidP="00372772">
      <w:pPr>
        <w:rPr>
          <w:lang w:val="fr-FR"/>
        </w:rPr>
      </w:pPr>
      <w:r>
        <w:rPr>
          <w:lang w:val="fr-FR"/>
        </w:rPr>
        <w:t xml:space="preserve">Kapoor RT, </w:t>
      </w:r>
      <w:proofErr w:type="spellStart"/>
      <w:r>
        <w:rPr>
          <w:lang w:val="fr-FR"/>
        </w:rPr>
        <w:t>Mfarrej</w:t>
      </w:r>
      <w:proofErr w:type="spellEnd"/>
      <w:r>
        <w:rPr>
          <w:lang w:val="fr-FR"/>
        </w:rPr>
        <w:t xml:space="preserve"> MFB, Alam P, </w:t>
      </w:r>
      <w:proofErr w:type="spellStart"/>
      <w:r>
        <w:rPr>
          <w:lang w:val="fr-FR"/>
        </w:rPr>
        <w:t>Rinklebe</w:t>
      </w:r>
      <w:proofErr w:type="spellEnd"/>
      <w:r>
        <w:rPr>
          <w:lang w:val="fr-FR"/>
        </w:rPr>
        <w:t xml:space="preserve"> J &amp; Ahmad P 2022. </w:t>
      </w:r>
      <w:r w:rsidRPr="00372772">
        <w:rPr>
          <w:lang w:val="fr-FR"/>
        </w:rPr>
        <w:t xml:space="preserve">Accumulation of </w:t>
      </w:r>
      <w:proofErr w:type="spellStart"/>
      <w:r w:rsidRPr="00372772">
        <w:rPr>
          <w:lang w:val="fr-FR"/>
        </w:rPr>
        <w:t>chromium</w:t>
      </w:r>
      <w:proofErr w:type="spellEnd"/>
      <w:r w:rsidRPr="00372772">
        <w:rPr>
          <w:lang w:val="fr-FR"/>
        </w:rPr>
        <w:t xml:space="preserve"> in plants and </w:t>
      </w:r>
      <w:proofErr w:type="spellStart"/>
      <w:r w:rsidRPr="00372772">
        <w:rPr>
          <w:lang w:val="fr-FR"/>
        </w:rPr>
        <w:t>its</w:t>
      </w:r>
      <w:proofErr w:type="spellEnd"/>
      <w:r w:rsidRPr="00372772">
        <w:rPr>
          <w:lang w:val="fr-FR"/>
        </w:rPr>
        <w:t xml:space="preserve"> </w:t>
      </w:r>
      <w:proofErr w:type="spellStart"/>
      <w:r w:rsidRPr="00372772">
        <w:rPr>
          <w:lang w:val="fr-FR"/>
        </w:rPr>
        <w:t>repercussion</w:t>
      </w:r>
      <w:proofErr w:type="spellEnd"/>
      <w:r w:rsidRPr="00372772">
        <w:rPr>
          <w:lang w:val="fr-FR"/>
        </w:rPr>
        <w:t xml:space="preserve"> in </w:t>
      </w:r>
      <w:proofErr w:type="spellStart"/>
      <w:r w:rsidRPr="00372772">
        <w:rPr>
          <w:lang w:val="fr-FR"/>
        </w:rPr>
        <w:t>animals</w:t>
      </w:r>
      <w:proofErr w:type="spellEnd"/>
      <w:r w:rsidRPr="00372772">
        <w:rPr>
          <w:lang w:val="fr-FR"/>
        </w:rPr>
        <w:t xml:space="preserve"> and </w:t>
      </w:r>
      <w:proofErr w:type="spellStart"/>
      <w:r w:rsidRPr="00372772">
        <w:rPr>
          <w:lang w:val="fr-FR"/>
        </w:rPr>
        <w:t>humans</w:t>
      </w:r>
      <w:proofErr w:type="spellEnd"/>
      <w:r>
        <w:rPr>
          <w:lang w:val="fr-FR"/>
        </w:rPr>
        <w:t xml:space="preserve">. </w:t>
      </w:r>
      <w:proofErr w:type="spellStart"/>
      <w:r w:rsidRPr="00372772">
        <w:rPr>
          <w:i/>
          <w:iCs/>
          <w:lang w:val="fr-FR"/>
        </w:rPr>
        <w:t>Environm</w:t>
      </w:r>
      <w:r>
        <w:rPr>
          <w:i/>
          <w:iCs/>
          <w:lang w:val="fr-FR"/>
        </w:rPr>
        <w:t>n</w:t>
      </w:r>
      <w:r w:rsidRPr="00372772">
        <w:rPr>
          <w:i/>
          <w:iCs/>
          <w:lang w:val="fr-FR"/>
        </w:rPr>
        <w:t>etal</w:t>
      </w:r>
      <w:proofErr w:type="spellEnd"/>
      <w:r w:rsidRPr="00372772">
        <w:rPr>
          <w:i/>
          <w:iCs/>
          <w:lang w:val="fr-FR"/>
        </w:rPr>
        <w:t xml:space="preserve"> Pollution</w:t>
      </w:r>
      <w:r>
        <w:rPr>
          <w:lang w:val="fr-FR"/>
        </w:rPr>
        <w:t xml:space="preserve"> </w:t>
      </w:r>
      <w:proofErr w:type="gramStart"/>
      <w:r>
        <w:rPr>
          <w:lang w:val="fr-FR"/>
        </w:rPr>
        <w:t>301:</w:t>
      </w:r>
      <w:proofErr w:type="gramEnd"/>
      <w:r>
        <w:rPr>
          <w:lang w:val="fr-FR"/>
        </w:rPr>
        <w:t>119044.</w:t>
      </w:r>
    </w:p>
    <w:p w14:paraId="6351D912" w14:textId="77777777" w:rsidR="00AB45C1" w:rsidRDefault="00AB45C1" w:rsidP="00E43740">
      <w:r w:rsidRPr="006F2B06">
        <w:rPr>
          <w:lang w:val="fr-FR"/>
        </w:rPr>
        <w:t xml:space="preserve">Keating BA, </w:t>
      </w:r>
      <w:proofErr w:type="spellStart"/>
      <w:r w:rsidRPr="006F2B06">
        <w:rPr>
          <w:lang w:val="fr-FR"/>
        </w:rPr>
        <w:t>Bauld</w:t>
      </w:r>
      <w:proofErr w:type="spellEnd"/>
      <w:r w:rsidRPr="006F2B06">
        <w:rPr>
          <w:lang w:val="fr-FR"/>
        </w:rPr>
        <w:t xml:space="preserve"> J, </w:t>
      </w:r>
      <w:proofErr w:type="spellStart"/>
      <w:r w:rsidRPr="006F2B06">
        <w:rPr>
          <w:lang w:val="fr-FR"/>
        </w:rPr>
        <w:t>Hillier</w:t>
      </w:r>
      <w:proofErr w:type="spellEnd"/>
      <w:r w:rsidRPr="006F2B06">
        <w:rPr>
          <w:lang w:val="fr-FR"/>
        </w:rPr>
        <w:t xml:space="preserve"> J, Ellis R, </w:t>
      </w:r>
      <w:proofErr w:type="spellStart"/>
      <w:r w:rsidRPr="006F2B06">
        <w:rPr>
          <w:lang w:val="fr-FR"/>
        </w:rPr>
        <w:t>Weier</w:t>
      </w:r>
      <w:proofErr w:type="spellEnd"/>
      <w:r w:rsidRPr="006F2B06">
        <w:rPr>
          <w:lang w:val="fr-FR"/>
        </w:rPr>
        <w:t xml:space="preserve"> KI, </w:t>
      </w:r>
      <w:proofErr w:type="spellStart"/>
      <w:r w:rsidRPr="006F2B06">
        <w:rPr>
          <w:lang w:val="fr-FR"/>
        </w:rPr>
        <w:t>Sunners</w:t>
      </w:r>
      <w:proofErr w:type="spellEnd"/>
      <w:r w:rsidRPr="006F2B06">
        <w:rPr>
          <w:lang w:val="fr-FR"/>
        </w:rPr>
        <w:t xml:space="preserve"> F &amp; </w:t>
      </w:r>
      <w:proofErr w:type="spellStart"/>
      <w:r w:rsidRPr="006F2B06">
        <w:rPr>
          <w:lang w:val="fr-FR"/>
        </w:rPr>
        <w:t>Connell</w:t>
      </w:r>
      <w:proofErr w:type="spellEnd"/>
      <w:r w:rsidRPr="006F2B06">
        <w:rPr>
          <w:lang w:val="fr-FR"/>
        </w:rPr>
        <w:t xml:space="preserve"> D 1996. </w:t>
      </w:r>
      <w:r w:rsidRPr="00A47F5C">
        <w:t xml:space="preserve">Leaching of nutrients and pesticides to Queensland groundwaters. In </w:t>
      </w:r>
      <w:r w:rsidRPr="00A47F5C">
        <w:rPr>
          <w:rFonts w:cstheme="minorHAnsi"/>
          <w:i/>
          <w:iCs/>
        </w:rPr>
        <w:t>Downstream effects of land use</w:t>
      </w:r>
      <w:r w:rsidRPr="00A47F5C">
        <w:t>, eds HM Hunter, AG Eyles &amp; GE Rayment, Queensland Department of Natural Resources, Brisbane, 151–163.</w:t>
      </w:r>
    </w:p>
    <w:p w14:paraId="56016B45" w14:textId="683A0F2A" w:rsidR="00AB45C1" w:rsidRPr="003C6A1E" w:rsidRDefault="00AB45C1" w:rsidP="00C1087A">
      <w:r w:rsidRPr="003C6A1E">
        <w:t>Kelly J &amp; Stevens D 2001</w:t>
      </w:r>
      <w:r>
        <w:t xml:space="preserve">. </w:t>
      </w:r>
      <w:r w:rsidRPr="0059384C">
        <w:rPr>
          <w:i/>
          <w:iCs/>
        </w:rPr>
        <w:t>Increasing acceptance and use of reclaimed water</w:t>
      </w:r>
      <w:r>
        <w:t>.</w:t>
      </w:r>
      <w:r w:rsidRPr="003C6A1E">
        <w:t xml:space="preserve"> CSIRO Final report to Northern Adelaide and Barossa Catchment Water Management Board, 12.</w:t>
      </w:r>
    </w:p>
    <w:p w14:paraId="0F7D06D8" w14:textId="77777777" w:rsidR="00AB45C1" w:rsidRPr="00971698" w:rsidRDefault="00AB45C1" w:rsidP="002F24C3">
      <w:pPr>
        <w:rPr>
          <w:rFonts w:ascii="TimesNewRoman,Italic" w:hAnsi="TimesNewRoman,Italic" w:cs="TimesNewRoman,Italic"/>
          <w:i/>
          <w:iCs/>
        </w:rPr>
      </w:pPr>
      <w:r w:rsidRPr="00B34071">
        <w:t xml:space="preserve">Kuiper-Goodman T, Falconer I &amp; Fitzgerald J 1999. Chapter 4 Human health aspects. In </w:t>
      </w:r>
      <w:r w:rsidRPr="00B34071">
        <w:rPr>
          <w:rFonts w:cstheme="minorHAnsi"/>
          <w:i/>
          <w:iCs/>
        </w:rPr>
        <w:t>Cyanobacteria in water: A guide to their public health consequences, monitoring and management</w:t>
      </w:r>
      <w:r w:rsidRPr="00B34071">
        <w:t>, eds I Chorus &amp; J Bartram, 113–153, E&amp;FN Spon, London.</w:t>
      </w:r>
    </w:p>
    <w:p w14:paraId="4A7C389A" w14:textId="77777777" w:rsidR="00AB45C1" w:rsidRDefault="00AB45C1" w:rsidP="000849FD">
      <w:r w:rsidRPr="00B34071">
        <w:t xml:space="preserve">Lawrence CR 1983. </w:t>
      </w:r>
      <w:r w:rsidRPr="00B34071">
        <w:rPr>
          <w:rFonts w:cstheme="minorHAnsi"/>
          <w:i/>
          <w:iCs/>
        </w:rPr>
        <w:t>Nitrate-rich groundwaters of Australia</w:t>
      </w:r>
      <w:r w:rsidRPr="00B34071">
        <w:rPr>
          <w:rFonts w:ascii="TimesNewRoman,Italic" w:hAnsi="TimesNewRoman,Italic" w:cs="TimesNewRoman,Italic"/>
          <w:i/>
          <w:iCs/>
        </w:rPr>
        <w:t xml:space="preserve">. </w:t>
      </w:r>
      <w:r w:rsidRPr="00B34071">
        <w:t>Australian Water Resources Council Technical Paper 79, Australian Government Publishing Service, Canberra.</w:t>
      </w:r>
    </w:p>
    <w:p w14:paraId="1A944543" w14:textId="77777777" w:rsidR="00AB45C1" w:rsidRDefault="00AB45C1" w:rsidP="000849FD">
      <w:r>
        <w:t xml:space="preserve">Leader-Williams N 1980. Dental abnormalities and mandibular swellings in South Georgia reindeer. </w:t>
      </w:r>
      <w:r w:rsidRPr="006A5721">
        <w:rPr>
          <w:i/>
          <w:iCs/>
        </w:rPr>
        <w:t>Journal of Comparative Pathology</w:t>
      </w:r>
      <w:r>
        <w:t xml:space="preserve"> 90:315</w:t>
      </w:r>
      <w:r>
        <w:rPr>
          <w:rFonts w:cstheme="minorHAnsi"/>
        </w:rPr>
        <w:t>–</w:t>
      </w:r>
      <w:r>
        <w:t>330.</w:t>
      </w:r>
    </w:p>
    <w:p w14:paraId="4531E299" w14:textId="1B7BC87D" w:rsidR="00AB45C1" w:rsidRPr="009422B2" w:rsidRDefault="00AB45C1" w:rsidP="00A25431">
      <w:r w:rsidRPr="009422B2">
        <w:t>Li</w:t>
      </w:r>
      <w:r>
        <w:t xml:space="preserve"> A</w:t>
      </w:r>
      <w:r w:rsidRPr="009422B2">
        <w:t>, Wang</w:t>
      </w:r>
      <w:r>
        <w:t xml:space="preserve"> Y</w:t>
      </w:r>
      <w:r w:rsidRPr="009422B2">
        <w:t>, Hao</w:t>
      </w:r>
      <w:r>
        <w:t xml:space="preserve"> J</w:t>
      </w:r>
      <w:r w:rsidRPr="009422B2">
        <w:t>, Wang</w:t>
      </w:r>
      <w:r>
        <w:t xml:space="preserve"> L</w:t>
      </w:r>
      <w:r w:rsidRPr="009422B2">
        <w:t>, Quan</w:t>
      </w:r>
      <w:r>
        <w:t xml:space="preserve"> L</w:t>
      </w:r>
      <w:r w:rsidRPr="009422B2">
        <w:t>, Duan</w:t>
      </w:r>
      <w:r>
        <w:t xml:space="preserve"> K</w:t>
      </w:r>
      <w:r w:rsidRPr="009422B2">
        <w:t xml:space="preserve">, Fakhar-e-Alam </w:t>
      </w:r>
      <w:proofErr w:type="spellStart"/>
      <w:r w:rsidRPr="009422B2">
        <w:t>Kulyar</w:t>
      </w:r>
      <w:proofErr w:type="spellEnd"/>
      <w:r>
        <w:t xml:space="preserve"> M</w:t>
      </w:r>
      <w:r w:rsidRPr="009422B2">
        <w:t>, Ullah</w:t>
      </w:r>
      <w:r>
        <w:t xml:space="preserve"> K</w:t>
      </w:r>
      <w:r w:rsidRPr="009422B2">
        <w:t>, Zhang</w:t>
      </w:r>
      <w:r>
        <w:t xml:space="preserve"> J</w:t>
      </w:r>
      <w:r w:rsidRPr="009422B2">
        <w:t>, Wu</w:t>
      </w:r>
      <w:r>
        <w:t xml:space="preserve"> Y &amp;</w:t>
      </w:r>
      <w:r w:rsidRPr="009422B2">
        <w:t xml:space="preserve"> Li</w:t>
      </w:r>
      <w:r>
        <w:t xml:space="preserve"> K</w:t>
      </w:r>
      <w:r w:rsidRPr="009422B2">
        <w:t xml:space="preserve"> 2022. Long-term hexavalent chromium exposure disturbs the gut microbial homeostasis of chickens. </w:t>
      </w:r>
      <w:r w:rsidRPr="002F2D30">
        <w:rPr>
          <w:i/>
          <w:iCs/>
        </w:rPr>
        <w:t>Ecotoxicology and Environmental Safety</w:t>
      </w:r>
      <w:r w:rsidRPr="009422B2">
        <w:t xml:space="preserve"> 237</w:t>
      </w:r>
      <w:r>
        <w:t>.</w:t>
      </w:r>
    </w:p>
    <w:p w14:paraId="25CED775" w14:textId="77777777" w:rsidR="00AB45C1" w:rsidRPr="00E8497D" w:rsidRDefault="00AB45C1" w:rsidP="00A25431">
      <w:r w:rsidRPr="00F670F0">
        <w:t>Lin C</w:t>
      </w:r>
      <w:r>
        <w:t>-C, Huang C-C, Chen M-C &amp; Huang AJ-F</w:t>
      </w:r>
      <w:r w:rsidRPr="00F670F0">
        <w:t xml:space="preserve"> 2002</w:t>
      </w:r>
      <w:r>
        <w:t>.</w:t>
      </w:r>
      <w:r w:rsidRPr="00F670F0">
        <w:t xml:space="preserve"> Arsenic toxicity on duck spermatozoa and ameliorating effect of L-ascorbic acid, </w:t>
      </w:r>
      <w:r w:rsidRPr="0059384C">
        <w:rPr>
          <w:i/>
          <w:iCs/>
        </w:rPr>
        <w:t>Asian-Australasian Journal of Animal Sciences</w:t>
      </w:r>
      <w:r w:rsidRPr="00F670F0">
        <w:t xml:space="preserve"> 15(1)</w:t>
      </w:r>
      <w:r>
        <w:t>:</w:t>
      </w:r>
      <w:r w:rsidRPr="00F670F0">
        <w:t>19</w:t>
      </w:r>
      <w:r>
        <w:rPr>
          <w:rFonts w:cstheme="minorHAnsi"/>
        </w:rPr>
        <w:t>–</w:t>
      </w:r>
      <w:r w:rsidRPr="00F670F0">
        <w:t>25</w:t>
      </w:r>
      <w:r>
        <w:t>.</w:t>
      </w:r>
    </w:p>
    <w:p w14:paraId="0B2C6F1C" w14:textId="70D37A31" w:rsidR="00AB45C1" w:rsidRPr="003C6A1E" w:rsidRDefault="00AB45C1" w:rsidP="00C1087A">
      <w:r w:rsidRPr="003C6A1E">
        <w:t>Linn J 2008</w:t>
      </w:r>
      <w:r>
        <w:t>.</w:t>
      </w:r>
      <w:r w:rsidRPr="003C6A1E">
        <w:t xml:space="preserve"> Impact of minerals in water on dairy cows</w:t>
      </w:r>
      <w:r>
        <w:t>.</w:t>
      </w:r>
      <w:r w:rsidRPr="003C6A1E">
        <w:t xml:space="preserve"> </w:t>
      </w:r>
      <w:r w:rsidRPr="0059384C">
        <w:rPr>
          <w:i/>
          <w:iCs/>
        </w:rPr>
        <w:t xml:space="preserve">Advances in Dairy Technology: Proceedings of the Western Canadian Dairy Seminar 2006 </w:t>
      </w:r>
      <w:r w:rsidRPr="0059384C">
        <w:t>18:235</w:t>
      </w:r>
      <w:r>
        <w:rPr>
          <w:rFonts w:cstheme="minorHAnsi"/>
        </w:rPr>
        <w:t>–</w:t>
      </w:r>
      <w:r w:rsidRPr="0059384C">
        <w:t>247</w:t>
      </w:r>
      <w:r>
        <w:t>.</w:t>
      </w:r>
    </w:p>
    <w:p w14:paraId="42AF4336" w14:textId="77777777" w:rsidR="00AB45C1" w:rsidRPr="003C6A1E" w:rsidRDefault="00AB45C1" w:rsidP="00C1087A">
      <w:r w:rsidRPr="003C6A1E">
        <w:lastRenderedPageBreak/>
        <w:t>Liu J</w:t>
      </w:r>
      <w:r>
        <w:t>, Cui H, Liu X, Peng X, Deng J, Zuo Z, Cui W, Deng Y &amp; Wang K</w:t>
      </w:r>
      <w:r w:rsidRPr="003C6A1E">
        <w:t xml:space="preserve"> 2012</w:t>
      </w:r>
      <w:r>
        <w:t xml:space="preserve">. </w:t>
      </w:r>
      <w:r w:rsidRPr="003C6A1E">
        <w:t>Dietary high vanadium causes oxidative damage-induced renal and hepatic toxicity in broilers</w:t>
      </w:r>
      <w:r>
        <w:t>.</w:t>
      </w:r>
      <w:r w:rsidRPr="003C6A1E">
        <w:t xml:space="preserve"> </w:t>
      </w:r>
      <w:r w:rsidRPr="00AC2212">
        <w:rPr>
          <w:rStyle w:val="Emphasis"/>
        </w:rPr>
        <w:t>Biological Trace Element Research</w:t>
      </w:r>
      <w:r w:rsidRPr="003C6A1E">
        <w:t xml:space="preserve"> 145</w:t>
      </w:r>
      <w:r>
        <w:t>(</w:t>
      </w:r>
      <w:r w:rsidRPr="003C6A1E">
        <w:t>2</w:t>
      </w:r>
      <w:r>
        <w:t>):</w:t>
      </w:r>
      <w:r w:rsidRPr="003C6A1E">
        <w:t>189–200.</w:t>
      </w:r>
    </w:p>
    <w:p w14:paraId="58B257BE" w14:textId="77777777" w:rsidR="00AB45C1" w:rsidRPr="003C6A1E" w:rsidRDefault="00AB45C1" w:rsidP="00C1087A">
      <w:r w:rsidRPr="003C6A1E">
        <w:t>Liu X</w:t>
      </w:r>
      <w:r>
        <w:t>, Zhang L, Guan H, Zhang Z &amp; Xu S</w:t>
      </w:r>
      <w:r w:rsidRPr="003C6A1E">
        <w:t xml:space="preserve"> 2013</w:t>
      </w:r>
      <w:r>
        <w:t xml:space="preserve">. </w:t>
      </w:r>
      <w:r w:rsidRPr="003C6A1E">
        <w:t>Effects of oxidative stress on apoptosis in manganese-induced testicular toxicity in cocks</w:t>
      </w:r>
      <w:r>
        <w:t>.</w:t>
      </w:r>
      <w:r w:rsidRPr="003C6A1E">
        <w:t xml:space="preserve"> </w:t>
      </w:r>
      <w:r w:rsidRPr="002F67EE">
        <w:rPr>
          <w:rStyle w:val="Emphasis"/>
        </w:rPr>
        <w:t>Food and Chemical Toxicology</w:t>
      </w:r>
      <w:r w:rsidRPr="003C6A1E">
        <w:t xml:space="preserve"> 60</w:t>
      </w:r>
      <w:r>
        <w:t>:</w:t>
      </w:r>
      <w:r w:rsidRPr="003C6A1E">
        <w:t>168–176.</w:t>
      </w:r>
    </w:p>
    <w:p w14:paraId="4CDCE7CB" w14:textId="77777777" w:rsidR="00AB45C1" w:rsidRPr="003C6A1E" w:rsidRDefault="00AB45C1" w:rsidP="00C1087A">
      <w:proofErr w:type="spellStart"/>
      <w:r w:rsidRPr="003C6A1E">
        <w:t>Loneragan</w:t>
      </w:r>
      <w:proofErr w:type="spellEnd"/>
      <w:r w:rsidRPr="003C6A1E">
        <w:t xml:space="preserve"> G</w:t>
      </w:r>
      <w:r>
        <w:t>, Wagner JJ, Gould DH, Garry FB &amp; Thoren MA</w:t>
      </w:r>
      <w:r w:rsidRPr="003C6A1E">
        <w:t xml:space="preserve"> 2001</w:t>
      </w:r>
      <w:r>
        <w:t xml:space="preserve">. </w:t>
      </w:r>
      <w:r w:rsidRPr="003C6A1E">
        <w:t xml:space="preserve">Effects of </w:t>
      </w:r>
      <w:proofErr w:type="spellStart"/>
      <w:r w:rsidRPr="003C6A1E">
        <w:t>sulfate</w:t>
      </w:r>
      <w:proofErr w:type="spellEnd"/>
      <w:r w:rsidRPr="003C6A1E">
        <w:t xml:space="preserve"> concentration on performance, water intake, and carcass characteristics of feedlot steers</w:t>
      </w:r>
      <w:r>
        <w:t>.</w:t>
      </w:r>
      <w:r w:rsidRPr="003C6A1E">
        <w:t xml:space="preserve"> </w:t>
      </w:r>
      <w:r w:rsidRPr="00684BAA">
        <w:rPr>
          <w:rStyle w:val="Emphasis"/>
        </w:rPr>
        <w:t>Journal of Animal Science</w:t>
      </w:r>
      <w:r w:rsidRPr="003C6A1E">
        <w:t xml:space="preserve"> 79</w:t>
      </w:r>
      <w:r>
        <w:t>:</w:t>
      </w:r>
      <w:r w:rsidRPr="003C6A1E">
        <w:t>2941</w:t>
      </w:r>
      <w:r>
        <w:t>–</w:t>
      </w:r>
      <w:r w:rsidRPr="003C6A1E">
        <w:t>2948.</w:t>
      </w:r>
    </w:p>
    <w:p w14:paraId="51B5336E" w14:textId="77777777" w:rsidR="00AB45C1" w:rsidRDefault="00AB45C1" w:rsidP="00783974">
      <w:proofErr w:type="spellStart"/>
      <w:r w:rsidRPr="00F670F0">
        <w:t>MacKenzie</w:t>
      </w:r>
      <w:proofErr w:type="spellEnd"/>
      <w:r w:rsidRPr="00F670F0">
        <w:t xml:space="preserve"> RD, </w:t>
      </w:r>
      <w:proofErr w:type="spellStart"/>
      <w:r w:rsidRPr="00F670F0">
        <w:t>Byerum</w:t>
      </w:r>
      <w:proofErr w:type="spellEnd"/>
      <w:r w:rsidRPr="00F670F0">
        <w:t xml:space="preserve"> RV, </w:t>
      </w:r>
      <w:proofErr w:type="spellStart"/>
      <w:r w:rsidRPr="00F670F0">
        <w:t>Decken</w:t>
      </w:r>
      <w:proofErr w:type="spellEnd"/>
      <w:r w:rsidRPr="00F670F0">
        <w:t xml:space="preserve"> CF, </w:t>
      </w:r>
      <w:proofErr w:type="spellStart"/>
      <w:r w:rsidRPr="00F670F0">
        <w:t>Happert</w:t>
      </w:r>
      <w:proofErr w:type="spellEnd"/>
      <w:r w:rsidRPr="00F670F0">
        <w:t xml:space="preserve"> CA &amp; Langham RF 1958. Chronic toxicity studies II. Hexavalent and trivalent chromium administered in drinking water to rats. </w:t>
      </w:r>
      <w:r w:rsidRPr="00F670F0">
        <w:rPr>
          <w:rFonts w:cstheme="minorHAnsi"/>
          <w:i/>
          <w:iCs/>
        </w:rPr>
        <w:t>AMA Archives in Industrial Health</w:t>
      </w:r>
      <w:r w:rsidRPr="00F670F0">
        <w:t xml:space="preserve"> 18</w:t>
      </w:r>
      <w:r>
        <w:t>:</w:t>
      </w:r>
      <w:r w:rsidRPr="00F670F0">
        <w:t>232–234.</w:t>
      </w:r>
    </w:p>
    <w:p w14:paraId="2F82F740" w14:textId="77777777" w:rsidR="00AB45C1" w:rsidRDefault="00AB45C1" w:rsidP="00C1087A">
      <w:r w:rsidRPr="00F670F0">
        <w:t xml:space="preserve">McFarlane JD, Judson GJ &amp; </w:t>
      </w:r>
      <w:proofErr w:type="spellStart"/>
      <w:r w:rsidRPr="00F670F0">
        <w:t>Gouzos</w:t>
      </w:r>
      <w:proofErr w:type="spellEnd"/>
      <w:r w:rsidRPr="00F670F0">
        <w:t xml:space="preserve"> I 1990. Copper deficiency in ruminants in south-east of South Australia. </w:t>
      </w:r>
      <w:r w:rsidRPr="00F670F0">
        <w:rPr>
          <w:rFonts w:cstheme="minorHAnsi"/>
          <w:i/>
          <w:iCs/>
        </w:rPr>
        <w:t>Australian Journal of Agricultural Research</w:t>
      </w:r>
      <w:r w:rsidRPr="00F670F0">
        <w:rPr>
          <w:rFonts w:ascii="TimesNewRoman,Italic" w:hAnsi="TimesNewRoman,Italic" w:cs="TimesNewRoman,Italic"/>
          <w:i/>
          <w:iCs/>
        </w:rPr>
        <w:t xml:space="preserve"> </w:t>
      </w:r>
      <w:r w:rsidRPr="00F670F0">
        <w:t>30</w:t>
      </w:r>
      <w:r>
        <w:t>:</w:t>
      </w:r>
      <w:r w:rsidRPr="00F670F0">
        <w:t>187–193</w:t>
      </w:r>
      <w:r>
        <w:t>.</w:t>
      </w:r>
    </w:p>
    <w:p w14:paraId="4E54287E" w14:textId="77777777" w:rsidR="00AB45C1" w:rsidRPr="003C6A1E" w:rsidRDefault="00AB45C1" w:rsidP="00C1087A">
      <w:r w:rsidRPr="003C6A1E">
        <w:t xml:space="preserve">McGregor GB &amp; </w:t>
      </w:r>
      <w:proofErr w:type="spellStart"/>
      <w:r w:rsidRPr="003C6A1E">
        <w:t>Sendall</w:t>
      </w:r>
      <w:proofErr w:type="spellEnd"/>
      <w:r w:rsidRPr="003C6A1E">
        <w:t xml:space="preserve"> BC 2015</w:t>
      </w:r>
      <w:r>
        <w:t xml:space="preserve">. </w:t>
      </w:r>
      <w:r w:rsidRPr="003C6A1E">
        <w:t xml:space="preserve">Phylogeny and toxicology of </w:t>
      </w:r>
      <w:proofErr w:type="spellStart"/>
      <w:r w:rsidRPr="00F25AFB">
        <w:rPr>
          <w:rStyle w:val="Emphasis"/>
        </w:rPr>
        <w:t>Lyngbya</w:t>
      </w:r>
      <w:proofErr w:type="spellEnd"/>
      <w:r w:rsidRPr="00F25AFB">
        <w:rPr>
          <w:rStyle w:val="Emphasis"/>
        </w:rPr>
        <w:t xml:space="preserve"> </w:t>
      </w:r>
      <w:proofErr w:type="spellStart"/>
      <w:r w:rsidRPr="00F25AFB">
        <w:rPr>
          <w:rStyle w:val="Emphasis"/>
        </w:rPr>
        <w:t>wollei</w:t>
      </w:r>
      <w:proofErr w:type="spellEnd"/>
      <w:r w:rsidRPr="003C6A1E">
        <w:t xml:space="preserve"> (Cyanobacteria, </w:t>
      </w:r>
      <w:proofErr w:type="spellStart"/>
      <w:r w:rsidRPr="003C6A1E">
        <w:t>Oscillatoriales</w:t>
      </w:r>
      <w:proofErr w:type="spellEnd"/>
      <w:r w:rsidRPr="003C6A1E">
        <w:t xml:space="preserve">) from north-eastern Australia, with a description of </w:t>
      </w:r>
      <w:proofErr w:type="spellStart"/>
      <w:r w:rsidRPr="003E0652">
        <w:rPr>
          <w:rStyle w:val="Emphasis"/>
        </w:rPr>
        <w:t>Microseira</w:t>
      </w:r>
      <w:proofErr w:type="spellEnd"/>
      <w:r w:rsidRPr="003C6A1E">
        <w:t xml:space="preserve"> gen. </w:t>
      </w:r>
      <w:proofErr w:type="spellStart"/>
      <w:r w:rsidRPr="003C6A1E">
        <w:t>nov.</w:t>
      </w:r>
      <w:proofErr w:type="spellEnd"/>
      <w:r w:rsidRPr="003C6A1E">
        <w:t xml:space="preserve"> </w:t>
      </w:r>
      <w:r w:rsidRPr="003E0652">
        <w:rPr>
          <w:rStyle w:val="Emphasis"/>
        </w:rPr>
        <w:t>Journal of Phycology</w:t>
      </w:r>
      <w:r w:rsidRPr="003C6A1E">
        <w:t xml:space="preserve"> 51</w:t>
      </w:r>
      <w:r>
        <w:t>(</w:t>
      </w:r>
      <w:r w:rsidRPr="003C6A1E">
        <w:t>1</w:t>
      </w:r>
      <w:r>
        <w:t>):</w:t>
      </w:r>
      <w:r w:rsidRPr="003C6A1E">
        <w:t>109–119.</w:t>
      </w:r>
    </w:p>
    <w:p w14:paraId="0DA2463D" w14:textId="77777777" w:rsidR="00AB45C1" w:rsidRPr="003C6A1E" w:rsidRDefault="00AB45C1" w:rsidP="00C1087A">
      <w:r w:rsidRPr="003C6A1E">
        <w:t xml:space="preserve">McGregor GB &amp; </w:t>
      </w:r>
      <w:proofErr w:type="spellStart"/>
      <w:r w:rsidRPr="003C6A1E">
        <w:t>Sendall</w:t>
      </w:r>
      <w:proofErr w:type="spellEnd"/>
      <w:r w:rsidRPr="003C6A1E">
        <w:t xml:space="preserve"> BC 2017</w:t>
      </w:r>
      <w:r>
        <w:t xml:space="preserve">. </w:t>
      </w:r>
      <w:proofErr w:type="spellStart"/>
      <w:r w:rsidRPr="00BF7C40">
        <w:rPr>
          <w:rStyle w:val="Emphasis"/>
        </w:rPr>
        <w:t>Iningainema</w:t>
      </w:r>
      <w:proofErr w:type="spellEnd"/>
      <w:r w:rsidRPr="00BF7C40">
        <w:rPr>
          <w:rStyle w:val="Emphasis"/>
        </w:rPr>
        <w:t xml:space="preserve"> pulvinus</w:t>
      </w:r>
      <w:r w:rsidRPr="003C6A1E">
        <w:t xml:space="preserve"> gen </w:t>
      </w:r>
      <w:proofErr w:type="spellStart"/>
      <w:r w:rsidRPr="003C6A1E">
        <w:t>nov.</w:t>
      </w:r>
      <w:proofErr w:type="spellEnd"/>
      <w:r w:rsidRPr="003C6A1E">
        <w:t xml:space="preserve">, </w:t>
      </w:r>
      <w:proofErr w:type="spellStart"/>
      <w:r w:rsidRPr="003C6A1E">
        <w:t>sp</w:t>
      </w:r>
      <w:proofErr w:type="spellEnd"/>
      <w:r w:rsidRPr="003C6A1E">
        <w:t xml:space="preserve"> </w:t>
      </w:r>
      <w:proofErr w:type="spellStart"/>
      <w:r w:rsidRPr="003C6A1E">
        <w:t>nov.</w:t>
      </w:r>
      <w:proofErr w:type="spellEnd"/>
      <w:r w:rsidRPr="003C6A1E">
        <w:t xml:space="preserve"> (Cyanobacteria, </w:t>
      </w:r>
      <w:proofErr w:type="spellStart"/>
      <w:r w:rsidRPr="003C6A1E">
        <w:t>Scytonemataceae</w:t>
      </w:r>
      <w:proofErr w:type="spellEnd"/>
      <w:r w:rsidRPr="003C6A1E">
        <w:t>) a new nodularin producer from Edgbaston Reserve, north-eastern Australia</w:t>
      </w:r>
      <w:r>
        <w:t>.</w:t>
      </w:r>
      <w:r w:rsidRPr="003C6A1E">
        <w:t xml:space="preserve"> </w:t>
      </w:r>
      <w:r w:rsidRPr="00F25AFB">
        <w:rPr>
          <w:rStyle w:val="Emphasis"/>
        </w:rPr>
        <w:t>Harmful Algae</w:t>
      </w:r>
      <w:r w:rsidRPr="003C6A1E">
        <w:t xml:space="preserve"> 62</w:t>
      </w:r>
      <w:r>
        <w:t>:</w:t>
      </w:r>
      <w:r w:rsidRPr="003C6A1E">
        <w:t>10–19.</w:t>
      </w:r>
    </w:p>
    <w:p w14:paraId="256D4B2F" w14:textId="77777777" w:rsidR="00AB45C1" w:rsidRDefault="00AB45C1" w:rsidP="004D7917">
      <w:pPr>
        <w:rPr>
          <w:rFonts w:ascii="TimesNewRoman" w:hAnsi="TimesNewRoman" w:cs="TimesNewRoman"/>
          <w:sz w:val="18"/>
          <w:szCs w:val="18"/>
        </w:rPr>
      </w:pPr>
      <w:r w:rsidRPr="00D8408B">
        <w:t xml:space="preserve">McIntosh GB 1981. </w:t>
      </w:r>
      <w:r w:rsidRPr="00082EAB">
        <w:rPr>
          <w:i/>
          <w:iCs/>
        </w:rPr>
        <w:t>Report on the 23</w:t>
      </w:r>
      <w:r w:rsidRPr="004C6E6D">
        <w:rPr>
          <w:i/>
          <w:iCs/>
          <w:vertAlign w:val="superscript"/>
        </w:rPr>
        <w:t>rd</w:t>
      </w:r>
      <w:r w:rsidRPr="00082EAB">
        <w:rPr>
          <w:i/>
          <w:iCs/>
        </w:rPr>
        <w:t xml:space="preserve"> Pig Liaison Group meeting</w:t>
      </w:r>
      <w:r w:rsidRPr="00D8408B">
        <w:t>, November 1981</w:t>
      </w:r>
      <w:r w:rsidRPr="00D8408B">
        <w:rPr>
          <w:rFonts w:ascii="TimesNewRoman" w:hAnsi="TimesNewRoman" w:cs="TimesNewRoman"/>
          <w:sz w:val="18"/>
          <w:szCs w:val="18"/>
        </w:rPr>
        <w:t>.</w:t>
      </w:r>
    </w:p>
    <w:p w14:paraId="6CEA0650" w14:textId="337151E4" w:rsidR="00AB45C1" w:rsidRPr="003E4216" w:rsidRDefault="00AB45C1" w:rsidP="00D717D4">
      <w:pPr>
        <w:rPr>
          <w:lang w:val="fr-FR"/>
        </w:rPr>
      </w:pPr>
      <w:r w:rsidRPr="00D8408B">
        <w:t xml:space="preserve">McLeese JM, Tremblay ML, Patience JF &amp; Christison GI 1992. Water intake patterns in the weanling pig: effect of water quality, </w:t>
      </w:r>
      <w:proofErr w:type="gramStart"/>
      <w:r w:rsidRPr="00D8408B">
        <w:t>antibiotics</w:t>
      </w:r>
      <w:proofErr w:type="gramEnd"/>
      <w:r w:rsidRPr="00D8408B">
        <w:t xml:space="preserve"> and probiotics. </w:t>
      </w:r>
      <w:r w:rsidRPr="003E4216">
        <w:rPr>
          <w:rFonts w:cstheme="minorHAnsi"/>
          <w:i/>
          <w:iCs/>
          <w:lang w:val="fr-FR"/>
        </w:rPr>
        <w:t>Animal Production</w:t>
      </w:r>
      <w:r w:rsidRPr="003E4216">
        <w:rPr>
          <w:rFonts w:ascii="TimesNewRoman,Italic" w:hAnsi="TimesNewRoman,Italic" w:cs="TimesNewRoman,Italic"/>
          <w:i/>
          <w:iCs/>
          <w:lang w:val="fr-FR"/>
        </w:rPr>
        <w:t xml:space="preserve"> </w:t>
      </w:r>
      <w:proofErr w:type="gramStart"/>
      <w:r w:rsidRPr="003E4216">
        <w:rPr>
          <w:lang w:val="fr-FR"/>
        </w:rPr>
        <w:t>54:</w:t>
      </w:r>
      <w:proofErr w:type="gramEnd"/>
      <w:r w:rsidRPr="003E4216">
        <w:rPr>
          <w:lang w:val="fr-FR"/>
        </w:rPr>
        <w:t>135–142.</w:t>
      </w:r>
    </w:p>
    <w:p w14:paraId="69012CC3" w14:textId="1D5F612F" w:rsidR="00AB45C1" w:rsidRDefault="00AB45C1" w:rsidP="00927B40">
      <w:proofErr w:type="spellStart"/>
      <w:r>
        <w:t>Meays</w:t>
      </w:r>
      <w:proofErr w:type="spellEnd"/>
      <w:r>
        <w:t xml:space="preserve"> C &amp; Nordin R2013. </w:t>
      </w:r>
      <w:r w:rsidRPr="000D5D8D">
        <w:rPr>
          <w:i/>
          <w:iCs/>
        </w:rPr>
        <w:t xml:space="preserve">Ambient water quality guidelines for sulphate; Technical appendix: update April 2013. </w:t>
      </w:r>
      <w:r>
        <w:t>Water Protection &amp; Sustainability Branch Environmental Sustainability and Strategic Policy Division BC Ministry of Environment, Canada.</w:t>
      </w:r>
    </w:p>
    <w:p w14:paraId="6D1F1EDC" w14:textId="74810DD4" w:rsidR="00AB45C1" w:rsidRPr="00D8408B" w:rsidRDefault="00AB45C1" w:rsidP="00927B40">
      <w:pPr>
        <w:rPr>
          <w:rFonts w:ascii="TimesNewRoman,Italic" w:hAnsi="TimesNewRoman,Italic" w:cs="TimesNewRoman,Italic"/>
          <w:i/>
          <w:iCs/>
          <w:lang w:val="fr-FR"/>
        </w:rPr>
      </w:pPr>
      <w:proofErr w:type="spellStart"/>
      <w:r w:rsidRPr="00D8408B">
        <w:rPr>
          <w:lang w:val="fr-FR"/>
        </w:rPr>
        <w:t>Meybeck</w:t>
      </w:r>
      <w:proofErr w:type="spellEnd"/>
      <w:r w:rsidRPr="00D8408B">
        <w:rPr>
          <w:lang w:val="fr-FR"/>
        </w:rPr>
        <w:t xml:space="preserve"> M 1979. Concentrations des eaux fluviales en éléments majeurs et apports en solution aux océans. </w:t>
      </w:r>
      <w:r w:rsidRPr="00D8408B">
        <w:rPr>
          <w:rFonts w:cstheme="minorHAnsi"/>
          <w:i/>
          <w:iCs/>
          <w:lang w:val="fr-FR"/>
        </w:rPr>
        <w:t>Revue de Géologie Dynamique et de Géographie Physique</w:t>
      </w:r>
      <w:r w:rsidRPr="00D8408B">
        <w:rPr>
          <w:rFonts w:ascii="TimesNewRoman,Italic" w:hAnsi="TimesNewRoman,Italic" w:cs="TimesNewRoman,Italic"/>
          <w:i/>
          <w:iCs/>
          <w:lang w:val="fr-FR"/>
        </w:rPr>
        <w:t xml:space="preserve"> </w:t>
      </w:r>
      <w:r w:rsidRPr="00D8408B">
        <w:rPr>
          <w:lang w:val="fr-FR"/>
        </w:rPr>
        <w:t>21(3)</w:t>
      </w:r>
      <w:r>
        <w:rPr>
          <w:lang w:val="fr-FR"/>
        </w:rPr>
        <w:t> :</w:t>
      </w:r>
      <w:r w:rsidRPr="00D8408B">
        <w:rPr>
          <w:lang w:val="fr-FR"/>
        </w:rPr>
        <w:t>215–246.</w:t>
      </w:r>
    </w:p>
    <w:p w14:paraId="5DEFDEF2" w14:textId="77777777" w:rsidR="00AB45C1" w:rsidRDefault="00AB45C1" w:rsidP="00927B40">
      <w:proofErr w:type="spellStart"/>
      <w:r w:rsidRPr="00D8408B">
        <w:rPr>
          <w:lang w:val="fr-FR"/>
        </w:rPr>
        <w:t>Meybeck</w:t>
      </w:r>
      <w:proofErr w:type="spellEnd"/>
      <w:r w:rsidRPr="00D8408B">
        <w:rPr>
          <w:lang w:val="fr-FR"/>
        </w:rPr>
        <w:t xml:space="preserve"> M 1982. </w:t>
      </w:r>
      <w:r w:rsidRPr="00D8408B">
        <w:t xml:space="preserve">Carbon, </w:t>
      </w:r>
      <w:proofErr w:type="gramStart"/>
      <w:r w:rsidRPr="00D8408B">
        <w:t>nitrogen</w:t>
      </w:r>
      <w:proofErr w:type="gramEnd"/>
      <w:r w:rsidRPr="00D8408B">
        <w:t xml:space="preserve"> and phosphorus transport by world rivers. </w:t>
      </w:r>
      <w:r w:rsidRPr="00D8408B">
        <w:rPr>
          <w:rFonts w:cstheme="minorHAnsi"/>
          <w:i/>
          <w:iCs/>
        </w:rPr>
        <w:t>American Journal of Science</w:t>
      </w:r>
      <w:r w:rsidRPr="00D8408B">
        <w:rPr>
          <w:rFonts w:ascii="TimesNewRoman,Italic" w:hAnsi="TimesNewRoman,Italic" w:cs="TimesNewRoman,Italic"/>
          <w:i/>
          <w:iCs/>
        </w:rPr>
        <w:t xml:space="preserve"> </w:t>
      </w:r>
      <w:r w:rsidRPr="00D8408B">
        <w:t>282</w:t>
      </w:r>
      <w:r>
        <w:t>:</w:t>
      </w:r>
      <w:r w:rsidRPr="00D8408B">
        <w:t>401–450.</w:t>
      </w:r>
    </w:p>
    <w:p w14:paraId="5648E206" w14:textId="77777777" w:rsidR="00AB45C1" w:rsidRPr="00DC4A8A" w:rsidRDefault="00AB45C1" w:rsidP="00C1087A">
      <w:r w:rsidRPr="003C6A1E">
        <w:t>Mez K</w:t>
      </w:r>
      <w:r>
        <w:t xml:space="preserve">, Beattie K, Codd G, Hanselmann K, Hauser B, Naegeli H &amp; </w:t>
      </w:r>
      <w:proofErr w:type="spellStart"/>
      <w:r>
        <w:t>Preisig</w:t>
      </w:r>
      <w:proofErr w:type="spellEnd"/>
      <w:r>
        <w:t xml:space="preserve"> H</w:t>
      </w:r>
      <w:r w:rsidRPr="003C6A1E">
        <w:t xml:space="preserve"> 1997</w:t>
      </w:r>
      <w:r>
        <w:t xml:space="preserve">. </w:t>
      </w:r>
      <w:r w:rsidRPr="003C6A1E">
        <w:t xml:space="preserve">Identification of a microcystin in benthic cyanobacteria linked to cattle deaths on </w:t>
      </w:r>
      <w:r w:rsidRPr="00DC4A8A">
        <w:t xml:space="preserve">alpine pastures in Switzerland. </w:t>
      </w:r>
      <w:r w:rsidRPr="00DC4A8A">
        <w:rPr>
          <w:rStyle w:val="Emphasis"/>
        </w:rPr>
        <w:t>European Journal of Phycology</w:t>
      </w:r>
      <w:r w:rsidRPr="00DC4A8A">
        <w:t xml:space="preserve"> 32</w:t>
      </w:r>
      <w:r>
        <w:t>:</w:t>
      </w:r>
      <w:r w:rsidRPr="00DC4A8A">
        <w:t>11–17.</w:t>
      </w:r>
    </w:p>
    <w:p w14:paraId="4513E08A" w14:textId="77777777" w:rsidR="00AB45C1" w:rsidRPr="005C7F0B" w:rsidRDefault="00AB45C1" w:rsidP="00436C6C">
      <w:r w:rsidRPr="00DC4A8A">
        <w:t>Miller HJ 1971</w:t>
      </w:r>
      <w:r w:rsidRPr="00DC4A8A">
        <w:rPr>
          <w:rFonts w:ascii="TimesNewRoman" w:hAnsi="TimesNewRoman" w:cs="TimesNewRoman"/>
          <w:sz w:val="18"/>
          <w:szCs w:val="18"/>
        </w:rPr>
        <w:t xml:space="preserve">. </w:t>
      </w:r>
      <w:r w:rsidRPr="00DC4A8A">
        <w:rPr>
          <w:i/>
        </w:rPr>
        <w:t>Cadmium absorption, tissue and product distribution, toxicity effects and influence on metabolism of certain essential elements</w:t>
      </w:r>
      <w:r w:rsidRPr="00DC4A8A">
        <w:t>. Proceedings of Georgia Nutrition Conference, University of Georgia, Athens, 58–59.</w:t>
      </w:r>
    </w:p>
    <w:p w14:paraId="2699D83D" w14:textId="77777777" w:rsidR="00AB45C1" w:rsidRPr="003C6A1E" w:rsidRDefault="00AB45C1" w:rsidP="00C1087A">
      <w:r w:rsidRPr="003C6A1E">
        <w:t>Miller K</w:t>
      </w:r>
      <w:r>
        <w:t>, Newman SM, Caton JS &amp; Finley JW</w:t>
      </w:r>
      <w:r w:rsidRPr="003C6A1E">
        <w:t xml:space="preserve"> 2004</w:t>
      </w:r>
      <w:r>
        <w:t>.</w:t>
      </w:r>
      <w:r w:rsidRPr="003C6A1E">
        <w:t xml:space="preserve"> Manganese alters mitochondrial integrity in the hearts of swine marginally deficient in magnesium</w:t>
      </w:r>
      <w:r>
        <w:t>.</w:t>
      </w:r>
      <w:r w:rsidRPr="003C6A1E">
        <w:t xml:space="preserve"> </w:t>
      </w:r>
      <w:proofErr w:type="spellStart"/>
      <w:r w:rsidRPr="003E7C20">
        <w:rPr>
          <w:rStyle w:val="Emphasis"/>
        </w:rPr>
        <w:t>BioFactors</w:t>
      </w:r>
      <w:proofErr w:type="spellEnd"/>
      <w:r w:rsidRPr="003C6A1E">
        <w:t xml:space="preserve"> 20</w:t>
      </w:r>
      <w:r>
        <w:t>(</w:t>
      </w:r>
      <w:r w:rsidRPr="003C6A1E">
        <w:t>2</w:t>
      </w:r>
      <w:r>
        <w:t>):</w:t>
      </w:r>
      <w:r w:rsidRPr="003C6A1E">
        <w:t>85</w:t>
      </w:r>
      <w:r>
        <w:t>–</w:t>
      </w:r>
      <w:r w:rsidRPr="003C6A1E">
        <w:t>96.</w:t>
      </w:r>
    </w:p>
    <w:p w14:paraId="77096849" w14:textId="77777777" w:rsidR="00AB45C1" w:rsidRPr="00DC4A8A" w:rsidRDefault="00AB45C1" w:rsidP="00BF406D">
      <w:r w:rsidRPr="00DC4A8A">
        <w:t xml:space="preserve">Miller WJ, Lampp B, Powell GW, </w:t>
      </w:r>
      <w:proofErr w:type="spellStart"/>
      <w:r w:rsidRPr="00DC4A8A">
        <w:t>Salott</w:t>
      </w:r>
      <w:proofErr w:type="spellEnd"/>
      <w:r w:rsidRPr="00DC4A8A">
        <w:t xml:space="preserve"> CA &amp; Blackman DM 1967. Influence of a high level of dietary cadmium and content in milk, excretion, and cow performance. </w:t>
      </w:r>
      <w:r w:rsidRPr="00DC4A8A">
        <w:rPr>
          <w:rFonts w:cstheme="minorHAnsi"/>
          <w:i/>
          <w:iCs/>
        </w:rPr>
        <w:t>Journal of Dairy Science</w:t>
      </w:r>
      <w:r w:rsidRPr="00DC4A8A">
        <w:rPr>
          <w:rFonts w:ascii="TimesNewRoman,Italic" w:hAnsi="TimesNewRoman,Italic" w:cs="TimesNewRoman,Italic"/>
          <w:i/>
          <w:iCs/>
        </w:rPr>
        <w:t xml:space="preserve"> </w:t>
      </w:r>
      <w:r w:rsidRPr="00DC4A8A">
        <w:t>50</w:t>
      </w:r>
      <w:r>
        <w:t>:</w:t>
      </w:r>
      <w:r w:rsidRPr="00DC4A8A">
        <w:t>1404–1408.</w:t>
      </w:r>
    </w:p>
    <w:p w14:paraId="3EF2A757" w14:textId="77777777" w:rsidR="00AB45C1" w:rsidRDefault="00AB45C1" w:rsidP="00BE6CC2">
      <w:r w:rsidRPr="00E47260">
        <w:lastRenderedPageBreak/>
        <w:t xml:space="preserve">Mills CF &amp; Davis CK 1987. Molybdenum. In </w:t>
      </w:r>
      <w:r w:rsidRPr="00E47260">
        <w:rPr>
          <w:rFonts w:cstheme="minorHAnsi"/>
          <w:i/>
          <w:iCs/>
        </w:rPr>
        <w:t>Trace elements in animal nutrition</w:t>
      </w:r>
      <w:r w:rsidRPr="00E47260">
        <w:t>, 5</w:t>
      </w:r>
      <w:r w:rsidRPr="004C6E6D">
        <w:rPr>
          <w:vertAlign w:val="superscript"/>
        </w:rPr>
        <w:t>th</w:t>
      </w:r>
      <w:r w:rsidRPr="00E47260">
        <w:t xml:space="preserve"> </w:t>
      </w:r>
      <w:proofErr w:type="spellStart"/>
      <w:r w:rsidRPr="00E47260">
        <w:t>edn</w:t>
      </w:r>
      <w:proofErr w:type="spellEnd"/>
      <w:r w:rsidRPr="00E47260">
        <w:t>, vol 1, ed W Mertz, Academic Press, San Diego, 429–458.</w:t>
      </w:r>
    </w:p>
    <w:p w14:paraId="7E0A80F4" w14:textId="6E7A55BF" w:rsidR="00AB45C1" w:rsidRDefault="00AB45C1" w:rsidP="00C1087A">
      <w:pPr>
        <w:rPr>
          <w:lang w:val="de-DE"/>
        </w:rPr>
      </w:pPr>
      <w:r>
        <w:rPr>
          <w:lang w:val="de-DE"/>
        </w:rPr>
        <w:t xml:space="preserve">MLA 2023. </w:t>
      </w:r>
      <w:r w:rsidRPr="008B7FB4">
        <w:rPr>
          <w:i/>
          <w:iCs/>
          <w:lang w:val="de-DE"/>
        </w:rPr>
        <w:t>Parasites</w:t>
      </w:r>
      <w:r>
        <w:rPr>
          <w:lang w:val="de-DE"/>
        </w:rPr>
        <w:t xml:space="preserve">. Meat and Livestock Australia. At: </w:t>
      </w:r>
      <w:hyperlink r:id="rId87" w:history="1">
        <w:r w:rsidRPr="00E17541">
          <w:rPr>
            <w:rStyle w:val="Hyperlink"/>
            <w:lang w:val="de-DE"/>
          </w:rPr>
          <w:t>https://www.mla.com.au/research-and-development/animal-health-welfare-and-biosecurity/parasites/</w:t>
        </w:r>
      </w:hyperlink>
      <w:r>
        <w:rPr>
          <w:lang w:val="de-DE"/>
        </w:rPr>
        <w:t>.</w:t>
      </w:r>
    </w:p>
    <w:p w14:paraId="7402145D" w14:textId="1664ADAE" w:rsidR="00AB45C1" w:rsidRPr="003C6A1E" w:rsidRDefault="00AB45C1" w:rsidP="00C1087A">
      <w:r w:rsidRPr="006F2B06">
        <w:rPr>
          <w:lang w:val="de-DE"/>
        </w:rPr>
        <w:t xml:space="preserve">Morgareidge K, Cox GE &amp; Gallo MA 1976. </w:t>
      </w:r>
      <w:r w:rsidRPr="00082EAB">
        <w:rPr>
          <w:i/>
          <w:iCs/>
        </w:rPr>
        <w:t>Chronic feeding studies with beryllium in dogs.</w:t>
      </w:r>
      <w:r w:rsidRPr="003E7C20">
        <w:t xml:space="preserve"> </w:t>
      </w:r>
      <w:r w:rsidRPr="003C6A1E">
        <w:t>Food and Drug Research Laboratories Inc.</w:t>
      </w:r>
      <w:r>
        <w:t xml:space="preserve"> </w:t>
      </w:r>
      <w:r w:rsidRPr="003C6A1E">
        <w:t xml:space="preserve">Submitted to </w:t>
      </w:r>
      <w:proofErr w:type="spellStart"/>
      <w:r w:rsidRPr="003C6A1E">
        <w:t>Aluminum</w:t>
      </w:r>
      <w:proofErr w:type="spellEnd"/>
      <w:r w:rsidRPr="003C6A1E">
        <w:t xml:space="preserve"> Company of America, Alcan Research &amp; Development Ltd, Kawecki-</w:t>
      </w:r>
      <w:proofErr w:type="spellStart"/>
      <w:r w:rsidRPr="003C6A1E">
        <w:t>Berylco</w:t>
      </w:r>
      <w:proofErr w:type="spellEnd"/>
      <w:r w:rsidRPr="003C6A1E">
        <w:t xml:space="preserve"> Industries Inc and Brush-Wellman Inc.</w:t>
      </w:r>
    </w:p>
    <w:p w14:paraId="0ED41A37" w14:textId="77777777" w:rsidR="00AB45C1" w:rsidRPr="003C6A1E" w:rsidRDefault="00AB45C1" w:rsidP="00C1087A">
      <w:r w:rsidRPr="003C6A1E">
        <w:t xml:space="preserve">MSU 2013. </w:t>
      </w:r>
      <w:r w:rsidRPr="00082EAB">
        <w:rPr>
          <w:i/>
          <w:iCs/>
        </w:rPr>
        <w:t>Water quality critical to broiler performance.</w:t>
      </w:r>
      <w:r w:rsidRPr="003C6A1E">
        <w:t xml:space="preserve"> POD-01-13 Mississippi State University.</w:t>
      </w:r>
    </w:p>
    <w:p w14:paraId="79FE6F24" w14:textId="77777777" w:rsidR="00AB45C1" w:rsidRDefault="00AB45C1" w:rsidP="009623DC">
      <w:r w:rsidRPr="00E47260">
        <w:t>Mulhearn CJ 1964. Water for livestock</w:t>
      </w:r>
      <w:r w:rsidRPr="00E47260">
        <w:rPr>
          <w:i/>
        </w:rPr>
        <w:t>. Journal of the Department of Agriculture, South Australia</w:t>
      </w:r>
      <w:r w:rsidRPr="00E47260">
        <w:rPr>
          <w:rFonts w:ascii="TimesNewRoman,Italic" w:hAnsi="TimesNewRoman,Italic" w:cs="TimesNewRoman,Italic"/>
          <w:i/>
          <w:iCs/>
          <w:sz w:val="18"/>
          <w:szCs w:val="18"/>
        </w:rPr>
        <w:t xml:space="preserve"> </w:t>
      </w:r>
      <w:r w:rsidRPr="00082EAB">
        <w:rPr>
          <w:rFonts w:cstheme="minorHAnsi"/>
        </w:rPr>
        <w:t>68</w:t>
      </w:r>
      <w:r>
        <w:rPr>
          <w:rFonts w:cstheme="minorHAnsi"/>
        </w:rPr>
        <w:t>:</w:t>
      </w:r>
      <w:r w:rsidRPr="00E47260">
        <w:t xml:space="preserve">20–27. </w:t>
      </w:r>
    </w:p>
    <w:p w14:paraId="30FABD01" w14:textId="77777777" w:rsidR="00AB45C1" w:rsidRDefault="00AB45C1" w:rsidP="009623DC">
      <w:pPr>
        <w:rPr>
          <w:rFonts w:ascii="TimesNewRoman" w:hAnsi="TimesNewRoman" w:cs="TimesNewRoman"/>
          <w:sz w:val="18"/>
          <w:szCs w:val="18"/>
        </w:rPr>
      </w:pPr>
      <w:r w:rsidRPr="00E47260">
        <w:t>NAS 1971.</w:t>
      </w:r>
      <w:r w:rsidRPr="00E47260">
        <w:rPr>
          <w:rFonts w:ascii="TimesNewRoman" w:hAnsi="TimesNewRoman" w:cs="TimesNewRoman"/>
          <w:sz w:val="18"/>
          <w:szCs w:val="18"/>
        </w:rPr>
        <w:t xml:space="preserve"> </w:t>
      </w:r>
      <w:r w:rsidRPr="00E47260">
        <w:rPr>
          <w:i/>
        </w:rPr>
        <w:t>Fluorides: Biological effects of atmospheric pollutants</w:t>
      </w:r>
      <w:r w:rsidRPr="00E47260">
        <w:t>. National Academy of Sciences, Washington DC.</w:t>
      </w:r>
    </w:p>
    <w:p w14:paraId="1E318BD5" w14:textId="77777777" w:rsidR="00AB45C1" w:rsidRDefault="00AB45C1" w:rsidP="003A21BE">
      <w:pPr>
        <w:rPr>
          <w:rFonts w:ascii="TimesNewRoman" w:hAnsi="TimesNewRoman" w:cs="TimesNewRoman"/>
        </w:rPr>
      </w:pPr>
      <w:r w:rsidRPr="006601E0">
        <w:t xml:space="preserve">NAS 1977b. Copper: </w:t>
      </w:r>
      <w:r w:rsidRPr="006601E0">
        <w:rPr>
          <w:i/>
        </w:rPr>
        <w:t>Medical and biological effects of environmental pollution</w:t>
      </w:r>
      <w:r w:rsidRPr="006601E0">
        <w:t>. National Academy of Science, Washington DC.</w:t>
      </w:r>
    </w:p>
    <w:p w14:paraId="6DCE3441" w14:textId="77777777" w:rsidR="00AB45C1" w:rsidRDefault="00AB45C1" w:rsidP="00CB411A">
      <w:r w:rsidRPr="001F636B">
        <w:t xml:space="preserve">Neathery WM &amp; Miller WJ 1977. Tolerance levels, toxicity and essential trace elements for livestock and poultry. Part I: Cattle and sheep. </w:t>
      </w:r>
      <w:r w:rsidRPr="001F636B">
        <w:rPr>
          <w:i/>
        </w:rPr>
        <w:t>Feedstuffs</w:t>
      </w:r>
      <w:r w:rsidRPr="001F636B">
        <w:rPr>
          <w:rFonts w:ascii="TimesNewRoman,Italic" w:hAnsi="TimesNewRoman,Italic" w:cs="TimesNewRoman,Italic"/>
          <w:i/>
          <w:iCs/>
        </w:rPr>
        <w:t xml:space="preserve"> </w:t>
      </w:r>
      <w:r w:rsidRPr="001F636B">
        <w:t>49</w:t>
      </w:r>
      <w:r>
        <w:t>:</w:t>
      </w:r>
      <w:r w:rsidRPr="001F636B">
        <w:t>18–20.</w:t>
      </w:r>
    </w:p>
    <w:p w14:paraId="1AB7A591" w14:textId="77777777" w:rsidR="00AB45C1" w:rsidRDefault="00AB45C1" w:rsidP="008B2A26">
      <w:r w:rsidRPr="00850048">
        <w:t xml:space="preserve">Negri AP, Jones GJ &amp; Hindmarsh M 1995. Sheep mortality associated with paralytic shellfish poisons from the cyanobacterium </w:t>
      </w:r>
      <w:r w:rsidRPr="00850048">
        <w:rPr>
          <w:rFonts w:cstheme="minorHAnsi"/>
          <w:i/>
          <w:iCs/>
        </w:rPr>
        <w:t xml:space="preserve">Anabaena </w:t>
      </w:r>
      <w:proofErr w:type="spellStart"/>
      <w:r w:rsidRPr="00850048">
        <w:rPr>
          <w:rFonts w:cstheme="minorHAnsi"/>
          <w:i/>
          <w:iCs/>
        </w:rPr>
        <w:t>circinalis</w:t>
      </w:r>
      <w:proofErr w:type="spellEnd"/>
      <w:r w:rsidRPr="00850048">
        <w:rPr>
          <w:rFonts w:cstheme="minorHAnsi"/>
        </w:rPr>
        <w:t xml:space="preserve">. </w:t>
      </w:r>
      <w:r w:rsidRPr="00850048">
        <w:rPr>
          <w:rFonts w:cstheme="minorHAnsi"/>
          <w:i/>
          <w:iCs/>
        </w:rPr>
        <w:t>Toxicon</w:t>
      </w:r>
      <w:r w:rsidRPr="00850048">
        <w:rPr>
          <w:rFonts w:ascii="TimesNewRoman,Italic" w:hAnsi="TimesNewRoman,Italic" w:cs="TimesNewRoman,Italic"/>
          <w:i/>
          <w:iCs/>
        </w:rPr>
        <w:t xml:space="preserve"> </w:t>
      </w:r>
      <w:r w:rsidRPr="00850048">
        <w:t>33</w:t>
      </w:r>
      <w:r>
        <w:t>:</w:t>
      </w:r>
      <w:r w:rsidRPr="00850048">
        <w:t>1321–1329.</w:t>
      </w:r>
    </w:p>
    <w:p w14:paraId="12575A36" w14:textId="77777777" w:rsidR="00AB45C1" w:rsidRPr="00C0291C" w:rsidRDefault="00AB45C1" w:rsidP="004F2C99">
      <w:r w:rsidRPr="00EA5B10">
        <w:t>NHMRC &amp; ARMCANZ 1996</w:t>
      </w:r>
      <w:r>
        <w:t>.</w:t>
      </w:r>
      <w:r w:rsidRPr="00EA5B10">
        <w:t xml:space="preserve"> </w:t>
      </w:r>
      <w:r w:rsidRPr="00EA5B10">
        <w:rPr>
          <w:rFonts w:cstheme="minorHAnsi"/>
          <w:i/>
          <w:iCs/>
        </w:rPr>
        <w:t>Australian drinking water guidelines</w:t>
      </w:r>
      <w:r w:rsidRPr="00EA5B10">
        <w:t>. National Water Quality Management Strategy Paper No 6, National Health and Medical Research Council &amp; Agricultural and Resource Management Council of Australia and New Zealand, Australian Government Publishing Service, Canberra.</w:t>
      </w:r>
    </w:p>
    <w:p w14:paraId="3C2C7560" w14:textId="77777777" w:rsidR="00AB45C1" w:rsidRPr="003C6A1E" w:rsidRDefault="00AB45C1" w:rsidP="00C1087A">
      <w:r w:rsidRPr="003C6A1E">
        <w:t>NHMRC</w:t>
      </w:r>
      <w:r>
        <w:t xml:space="preserve"> &amp; </w:t>
      </w:r>
      <w:r w:rsidRPr="003C6A1E">
        <w:t>N</w:t>
      </w:r>
      <w:r>
        <w:t>R</w:t>
      </w:r>
      <w:r w:rsidRPr="003C6A1E">
        <w:t>MMC 2011</w:t>
      </w:r>
      <w:r>
        <w:t>.</w:t>
      </w:r>
      <w:r w:rsidRPr="00082EAB">
        <w:rPr>
          <w:i/>
          <w:iCs/>
        </w:rPr>
        <w:t xml:space="preserve"> Australian drinking water guidelines 6</w:t>
      </w:r>
      <w:r>
        <w:rPr>
          <w:i/>
          <w:iCs/>
        </w:rPr>
        <w:t>, version 3.8:</w:t>
      </w:r>
      <w:r w:rsidRPr="00082EAB">
        <w:rPr>
          <w:i/>
          <w:iCs/>
        </w:rPr>
        <w:t xml:space="preserve"> National Water Quality Management Strategy. </w:t>
      </w:r>
      <w:r w:rsidRPr="003C6A1E">
        <w:t>National Health and Medical Research Council</w:t>
      </w:r>
      <w:r>
        <w:t xml:space="preserve"> and</w:t>
      </w:r>
      <w:r w:rsidRPr="003C6A1E">
        <w:t xml:space="preserve"> </w:t>
      </w:r>
      <w:r>
        <w:t>Natural</w:t>
      </w:r>
      <w:r w:rsidRPr="003C6A1E">
        <w:t xml:space="preserve"> Resource Management Ministerial Council, </w:t>
      </w:r>
      <w:bookmarkStart w:id="649" w:name="_Hlk137643297"/>
      <w:r>
        <w:t>Canberra</w:t>
      </w:r>
      <w:bookmarkEnd w:id="649"/>
      <w:r w:rsidRPr="003C6A1E">
        <w:t>.</w:t>
      </w:r>
    </w:p>
    <w:p w14:paraId="109FC0B7" w14:textId="77777777" w:rsidR="00AB45C1" w:rsidRPr="00177FCA" w:rsidRDefault="00AB45C1" w:rsidP="00C1087A">
      <w:pPr>
        <w:rPr>
          <w:lang w:eastAsia="en-AU"/>
        </w:rPr>
      </w:pPr>
      <w:r w:rsidRPr="003C6A1E">
        <w:rPr>
          <w:lang w:eastAsia="en-AU"/>
        </w:rPr>
        <w:t>NH</w:t>
      </w:r>
      <w:r>
        <w:rPr>
          <w:lang w:eastAsia="en-AU"/>
        </w:rPr>
        <w:t>MR</w:t>
      </w:r>
      <w:r w:rsidRPr="003C6A1E">
        <w:rPr>
          <w:lang w:eastAsia="en-AU"/>
        </w:rPr>
        <w:t>C 2008</w:t>
      </w:r>
      <w:r>
        <w:rPr>
          <w:lang w:eastAsia="en-AU"/>
        </w:rPr>
        <w:t>.</w:t>
      </w:r>
      <w:r w:rsidRPr="003C6A1E">
        <w:rPr>
          <w:lang w:eastAsia="en-AU"/>
        </w:rPr>
        <w:t xml:space="preserve"> </w:t>
      </w:r>
      <w:r w:rsidRPr="00082EAB">
        <w:rPr>
          <w:i/>
          <w:iCs/>
          <w:lang w:eastAsia="en-AU"/>
        </w:rPr>
        <w:t>Guidelines for managing risks in recreational water.</w:t>
      </w:r>
      <w:r w:rsidRPr="003C6A1E">
        <w:rPr>
          <w:lang w:eastAsia="en-AU"/>
        </w:rPr>
        <w:t xml:space="preserve"> National Health and Medical </w:t>
      </w:r>
      <w:r w:rsidRPr="00177FCA">
        <w:rPr>
          <w:lang w:eastAsia="en-AU"/>
        </w:rPr>
        <w:t xml:space="preserve">Research Council, </w:t>
      </w:r>
      <w:r>
        <w:t>Canberra</w:t>
      </w:r>
      <w:r w:rsidRPr="00177FCA">
        <w:rPr>
          <w:lang w:eastAsia="en-AU"/>
        </w:rPr>
        <w:t>.</w:t>
      </w:r>
    </w:p>
    <w:p w14:paraId="5BB0E1FA" w14:textId="77777777" w:rsidR="00AB45C1" w:rsidRDefault="00AB45C1" w:rsidP="00C1087A">
      <w:r w:rsidRPr="00177FCA">
        <w:t xml:space="preserve">Nielsen FH &amp; </w:t>
      </w:r>
      <w:proofErr w:type="spellStart"/>
      <w:r w:rsidRPr="00177FCA">
        <w:t>Ollerich</w:t>
      </w:r>
      <w:proofErr w:type="spellEnd"/>
      <w:r w:rsidRPr="00177FCA">
        <w:t xml:space="preserve"> DA 1974. Nickel: A new essential trace element. </w:t>
      </w:r>
      <w:r w:rsidRPr="00177FCA">
        <w:rPr>
          <w:rFonts w:cstheme="minorHAnsi"/>
          <w:i/>
          <w:iCs/>
        </w:rPr>
        <w:t>FASEB Journal</w:t>
      </w:r>
      <w:r w:rsidRPr="00177FCA">
        <w:t xml:space="preserve"> 33</w:t>
      </w:r>
      <w:r>
        <w:t>:</w:t>
      </w:r>
      <w:r w:rsidRPr="00177FCA">
        <w:t>1767–1772</w:t>
      </w:r>
      <w:r>
        <w:t>.</w:t>
      </w:r>
    </w:p>
    <w:p w14:paraId="2BDA282F" w14:textId="77777777" w:rsidR="00AB45C1" w:rsidRPr="003C6A1E" w:rsidRDefault="00AB45C1" w:rsidP="00C1087A">
      <w:r>
        <w:t xml:space="preserve">NRC </w:t>
      </w:r>
      <w:r w:rsidRPr="003C6A1E">
        <w:t>1974</w:t>
      </w:r>
      <w:r>
        <w:t xml:space="preserve">. </w:t>
      </w:r>
      <w:r w:rsidRPr="00082EAB">
        <w:rPr>
          <w:i/>
          <w:iCs/>
        </w:rPr>
        <w:t xml:space="preserve">Nutrients and toxic substances in water for livestock and poultry. </w:t>
      </w:r>
      <w:r w:rsidRPr="003C6A1E">
        <w:t>National Research Council</w:t>
      </w:r>
      <w:r>
        <w:t>,</w:t>
      </w:r>
      <w:r w:rsidRPr="003C6A1E">
        <w:t xml:space="preserve"> National Academy of Science</w:t>
      </w:r>
      <w:r>
        <w:t>s</w:t>
      </w:r>
      <w:r w:rsidRPr="003C6A1E">
        <w:t>, Washington DC.</w:t>
      </w:r>
    </w:p>
    <w:p w14:paraId="6B447048" w14:textId="77777777" w:rsidR="00AB45C1" w:rsidRPr="00D00D1B" w:rsidRDefault="00AB45C1" w:rsidP="008C0E39">
      <w:r w:rsidRPr="00D00D1B">
        <w:t xml:space="preserve">NRC 1980. </w:t>
      </w:r>
      <w:r w:rsidRPr="00D00D1B">
        <w:rPr>
          <w:rFonts w:cstheme="minorHAnsi"/>
          <w:i/>
          <w:iCs/>
        </w:rPr>
        <w:t>Mineral tolerance of domestic animals</w:t>
      </w:r>
      <w:r w:rsidRPr="00D00D1B">
        <w:t>. National Academy of Sciences, Washington, DC.</w:t>
      </w:r>
    </w:p>
    <w:p w14:paraId="3B9478DC" w14:textId="77777777" w:rsidR="00AB45C1" w:rsidRPr="00D00D1B" w:rsidRDefault="00AB45C1" w:rsidP="00533889">
      <w:r w:rsidRPr="00D00D1B">
        <w:t xml:space="preserve">NRC 1988. </w:t>
      </w:r>
      <w:r w:rsidRPr="00D00D1B">
        <w:rPr>
          <w:rFonts w:cstheme="minorHAnsi"/>
          <w:i/>
          <w:iCs/>
        </w:rPr>
        <w:t>Nutrient requirements of dairy cattle</w:t>
      </w:r>
      <w:r w:rsidRPr="00D00D1B">
        <w:rPr>
          <w:rFonts w:cstheme="minorHAnsi"/>
        </w:rPr>
        <w:t>.</w:t>
      </w:r>
      <w:r w:rsidRPr="00D00D1B">
        <w:t xml:space="preserve"> 6th rev </w:t>
      </w:r>
      <w:proofErr w:type="spellStart"/>
      <w:r w:rsidRPr="00D00D1B">
        <w:t>edn</w:t>
      </w:r>
      <w:proofErr w:type="spellEnd"/>
      <w:r w:rsidRPr="00D00D1B">
        <w:t xml:space="preserve">, </w:t>
      </w:r>
      <w:r w:rsidRPr="003C6A1E">
        <w:t>National Research Council</w:t>
      </w:r>
      <w:r>
        <w:t>,</w:t>
      </w:r>
      <w:r w:rsidRPr="003C6A1E">
        <w:t xml:space="preserve"> </w:t>
      </w:r>
      <w:r w:rsidRPr="00D00D1B">
        <w:t>National Academy of Sciences, Washington DC.</w:t>
      </w:r>
    </w:p>
    <w:p w14:paraId="49ED6FC1" w14:textId="77777777" w:rsidR="00AB45C1" w:rsidRPr="00D00D1B" w:rsidRDefault="00AB45C1" w:rsidP="00C1087A">
      <w:pPr>
        <w:rPr>
          <w:lang w:eastAsia="en-AU"/>
        </w:rPr>
      </w:pPr>
      <w:r w:rsidRPr="00D00D1B">
        <w:t xml:space="preserve">NRC 1996. </w:t>
      </w:r>
      <w:r w:rsidRPr="00D00D1B">
        <w:rPr>
          <w:rFonts w:cstheme="minorHAnsi"/>
          <w:i/>
          <w:iCs/>
        </w:rPr>
        <w:t>Nutrient requirements of beef cattle</w:t>
      </w:r>
      <w:r w:rsidRPr="00D00D1B">
        <w:t xml:space="preserve">. 7th rev </w:t>
      </w:r>
      <w:proofErr w:type="spellStart"/>
      <w:r w:rsidRPr="00D00D1B">
        <w:t>edn</w:t>
      </w:r>
      <w:proofErr w:type="spellEnd"/>
      <w:r w:rsidRPr="00D00D1B">
        <w:t xml:space="preserve">, </w:t>
      </w:r>
      <w:r w:rsidRPr="003C6A1E">
        <w:t>National Research Council</w:t>
      </w:r>
      <w:r>
        <w:t>,</w:t>
      </w:r>
      <w:r w:rsidRPr="003C6A1E">
        <w:t xml:space="preserve"> </w:t>
      </w:r>
      <w:r w:rsidRPr="00D00D1B">
        <w:t>National Academy of Sciences, Washington DC</w:t>
      </w:r>
      <w:r>
        <w:t>.</w:t>
      </w:r>
      <w:r w:rsidRPr="00D00D1B">
        <w:rPr>
          <w:lang w:eastAsia="en-AU"/>
        </w:rPr>
        <w:t xml:space="preserve"> </w:t>
      </w:r>
    </w:p>
    <w:p w14:paraId="34E5252B" w14:textId="77777777" w:rsidR="00AB45C1" w:rsidRPr="003C6A1E" w:rsidRDefault="00AB45C1" w:rsidP="00324C41">
      <w:r w:rsidRPr="003C6A1E">
        <w:t>NRC 2005</w:t>
      </w:r>
      <w:r>
        <w:t>.</w:t>
      </w:r>
      <w:r w:rsidRPr="003C6A1E">
        <w:t xml:space="preserve"> </w:t>
      </w:r>
      <w:r w:rsidRPr="00082EAB">
        <w:rPr>
          <w:i/>
          <w:iCs/>
        </w:rPr>
        <w:t>Mineral tolerance of animals: second revised edition.</w:t>
      </w:r>
      <w:r w:rsidRPr="003C6A1E">
        <w:t xml:space="preserve"> Committee on Mineral</w:t>
      </w:r>
      <w:r>
        <w:t>s</w:t>
      </w:r>
      <w:r w:rsidRPr="003C6A1E">
        <w:t xml:space="preserve"> and Toxic Substances in Diets and Water for Animals</w:t>
      </w:r>
      <w:r>
        <w:t>,</w:t>
      </w:r>
      <w:r w:rsidRPr="003C6A1E">
        <w:t xml:space="preserve"> Board on Agriculture and Natural Resources</w:t>
      </w:r>
      <w:r>
        <w:t>,</w:t>
      </w:r>
      <w:r w:rsidRPr="003C6A1E">
        <w:t xml:space="preserve"> Division of Earth and Life </w:t>
      </w:r>
      <w:r>
        <w:t>Studies,</w:t>
      </w:r>
      <w:r w:rsidRPr="003C6A1E">
        <w:t xml:space="preserve"> National Research Council</w:t>
      </w:r>
      <w:r>
        <w:t>,</w:t>
      </w:r>
      <w:r w:rsidRPr="005672CA">
        <w:t xml:space="preserve"> </w:t>
      </w:r>
      <w:r w:rsidRPr="00D00D1B">
        <w:t>National Academy of Sciences, Washington DC</w:t>
      </w:r>
      <w:r>
        <w:t>.</w:t>
      </w:r>
    </w:p>
    <w:p w14:paraId="55CFA53B" w14:textId="77777777" w:rsidR="00AB45C1" w:rsidRPr="00D00D1B" w:rsidRDefault="00AB45C1" w:rsidP="005731FD">
      <w:r w:rsidRPr="00D00D1B">
        <w:lastRenderedPageBreak/>
        <w:t xml:space="preserve">NRCC 1976. </w:t>
      </w:r>
      <w:r w:rsidRPr="00D00D1B">
        <w:rPr>
          <w:rFonts w:cstheme="minorHAnsi"/>
          <w:i/>
          <w:iCs/>
        </w:rPr>
        <w:t>Effects of chromium in the Canadian environment</w:t>
      </w:r>
      <w:r w:rsidRPr="00D00D1B">
        <w:rPr>
          <w:rFonts w:cstheme="minorHAnsi"/>
        </w:rPr>
        <w:t>.</w:t>
      </w:r>
      <w:r w:rsidRPr="00D00D1B">
        <w:t xml:space="preserve"> National Research Council of Canada publication 15017, Associate Committee on Scientific Criteria for Environmental Quality, Ottawa.</w:t>
      </w:r>
    </w:p>
    <w:p w14:paraId="1A02B4A2" w14:textId="77777777" w:rsidR="00AB45C1" w:rsidRPr="00D00D1B" w:rsidRDefault="00AB45C1" w:rsidP="00D179D2">
      <w:r w:rsidRPr="00D00D1B">
        <w:t xml:space="preserve">NRCC 1979. </w:t>
      </w:r>
      <w:r w:rsidRPr="00D00D1B">
        <w:rPr>
          <w:rFonts w:cstheme="minorHAnsi"/>
          <w:i/>
          <w:iCs/>
        </w:rPr>
        <w:t>Effects of mercury in the Canadian environment</w:t>
      </w:r>
      <w:r w:rsidRPr="00D00D1B">
        <w:t>. National Research Council of Canada publication 16739, Associate Committee on Scientific Criteria for Environmental Quality, Ottawa.</w:t>
      </w:r>
    </w:p>
    <w:p w14:paraId="74D8696A" w14:textId="77777777" w:rsidR="00AB45C1" w:rsidRDefault="00AB45C1" w:rsidP="00D179D2">
      <w:r w:rsidRPr="00D00D1B">
        <w:t xml:space="preserve">NRCC 1981. </w:t>
      </w:r>
      <w:r w:rsidRPr="00D00D1B">
        <w:rPr>
          <w:rFonts w:cstheme="minorHAnsi"/>
          <w:i/>
          <w:iCs/>
        </w:rPr>
        <w:t>Effects of nickel in the Canadian environment</w:t>
      </w:r>
      <w:r w:rsidRPr="00D00D1B">
        <w:t>. National Research Council of Canada publication 18568, Associate Committee on Scientific Criteria for Environmental Quality, Ottawa.</w:t>
      </w:r>
    </w:p>
    <w:p w14:paraId="2D50FB0C" w14:textId="77777777" w:rsidR="00AB45C1" w:rsidRPr="003C6A1E" w:rsidRDefault="00AB45C1" w:rsidP="00C1087A">
      <w:pPr>
        <w:rPr>
          <w:lang w:eastAsia="en-AU"/>
        </w:rPr>
      </w:pPr>
      <w:r w:rsidRPr="003C6A1E">
        <w:rPr>
          <w:lang w:eastAsia="en-AU"/>
        </w:rPr>
        <w:t>NWQMS 2006</w:t>
      </w:r>
      <w:r>
        <w:rPr>
          <w:lang w:eastAsia="en-AU"/>
        </w:rPr>
        <w:t>.</w:t>
      </w:r>
      <w:r w:rsidRPr="003C6A1E">
        <w:rPr>
          <w:lang w:eastAsia="en-AU"/>
        </w:rPr>
        <w:t xml:space="preserve"> </w:t>
      </w:r>
      <w:r w:rsidRPr="00082EAB">
        <w:rPr>
          <w:i/>
          <w:iCs/>
          <w:lang w:eastAsia="en-AU"/>
        </w:rPr>
        <w:t xml:space="preserve">Australian guidelines for water recycling: managing health and environmental risks (Phase 1). </w:t>
      </w:r>
      <w:r w:rsidRPr="003C6A1E">
        <w:rPr>
          <w:lang w:eastAsia="en-AU"/>
        </w:rPr>
        <w:t>Natural Resource Management Ministerial Council, Environment Protection and Heritage Council, Australian Health Ministers’ Conference.</w:t>
      </w:r>
    </w:p>
    <w:p w14:paraId="16BBD8CC" w14:textId="77777777" w:rsidR="00AB45C1" w:rsidRPr="004C3ED7" w:rsidRDefault="00AB45C1" w:rsidP="00795494">
      <w:pPr>
        <w:rPr>
          <w:rFonts w:ascii="TimesNewRoman,Italic" w:hAnsi="TimesNewRoman,Italic" w:cs="TimesNewRoman,Italic"/>
          <w:i/>
          <w:iCs/>
        </w:rPr>
      </w:pPr>
      <w:r w:rsidRPr="0021417B">
        <w:t xml:space="preserve">O’Dell GD, Miller WJ, King WA, Moor SL &amp; Blackmon DJ 1970. Nickel toxicity in the young bovine. </w:t>
      </w:r>
      <w:r w:rsidRPr="0021417B">
        <w:rPr>
          <w:i/>
        </w:rPr>
        <w:t>Journal of Nutrition</w:t>
      </w:r>
      <w:r w:rsidRPr="0021417B">
        <w:rPr>
          <w:rFonts w:ascii="TimesNewRoman,Italic" w:hAnsi="TimesNewRoman,Italic" w:cs="TimesNewRoman,Italic"/>
          <w:i/>
          <w:iCs/>
        </w:rPr>
        <w:t xml:space="preserve"> </w:t>
      </w:r>
      <w:r w:rsidRPr="0021417B">
        <w:t>100</w:t>
      </w:r>
      <w:r>
        <w:t>:</w:t>
      </w:r>
      <w:r w:rsidRPr="0021417B">
        <w:t>1447–1454.</w:t>
      </w:r>
    </w:p>
    <w:p w14:paraId="3F78D0FE" w14:textId="77777777" w:rsidR="00AB45C1" w:rsidRDefault="00AB45C1" w:rsidP="00845114">
      <w:r w:rsidRPr="0005149D">
        <w:t xml:space="preserve">Oldfield JE, </w:t>
      </w:r>
      <w:proofErr w:type="spellStart"/>
      <w:r w:rsidRPr="0005149D">
        <w:t>Aliaway</w:t>
      </w:r>
      <w:proofErr w:type="spellEnd"/>
      <w:r w:rsidRPr="0005149D">
        <w:t xml:space="preserve"> WH, Laitinen HA, Lakin HW &amp; Muth OH 1974. Selenium. In</w:t>
      </w:r>
      <w:r w:rsidRPr="0005149D">
        <w:rPr>
          <w:rFonts w:ascii="TimesNewRoman" w:hAnsi="TimesNewRoman" w:cs="TimesNewRoman"/>
          <w:sz w:val="18"/>
          <w:szCs w:val="18"/>
        </w:rPr>
        <w:t xml:space="preserve"> </w:t>
      </w:r>
      <w:r w:rsidRPr="0005149D">
        <w:rPr>
          <w:i/>
        </w:rPr>
        <w:t>Geochemistry and environment</w:t>
      </w:r>
      <w:r w:rsidRPr="0005149D">
        <w:rPr>
          <w:rFonts w:ascii="TimesNewRoman" w:hAnsi="TimesNewRoman" w:cs="TimesNewRoman"/>
          <w:sz w:val="18"/>
          <w:szCs w:val="18"/>
        </w:rPr>
        <w:t xml:space="preserve">. </w:t>
      </w:r>
      <w:r w:rsidRPr="0005149D">
        <w:t>vol 1: The relation of selected trace elements to health and disease. National Academy of Science, Washington DC, 57–63.</w:t>
      </w:r>
    </w:p>
    <w:p w14:paraId="18F673AC" w14:textId="77777777" w:rsidR="00AB45C1" w:rsidRPr="008D46C1" w:rsidRDefault="00AB45C1" w:rsidP="00845114">
      <w:pPr>
        <w:rPr>
          <w:rFonts w:ascii="TimesNewRoman,Italic" w:hAnsi="TimesNewRoman,Italic" w:cs="TimesNewRoman,Italic"/>
          <w:i/>
          <w:iCs/>
          <w:sz w:val="18"/>
          <w:szCs w:val="18"/>
        </w:rPr>
      </w:pPr>
      <w:r>
        <w:t xml:space="preserve">Olkowski AA 2009. </w:t>
      </w:r>
      <w:r w:rsidRPr="002C0688">
        <w:rPr>
          <w:i/>
          <w:iCs/>
        </w:rPr>
        <w:t xml:space="preserve">Livestock water quality: a field guide for cattle, horses, </w:t>
      </w:r>
      <w:proofErr w:type="gramStart"/>
      <w:r w:rsidRPr="002C0688">
        <w:rPr>
          <w:i/>
          <w:iCs/>
        </w:rPr>
        <w:t>poultry</w:t>
      </w:r>
      <w:proofErr w:type="gramEnd"/>
      <w:r w:rsidRPr="002C0688">
        <w:rPr>
          <w:i/>
          <w:iCs/>
        </w:rPr>
        <w:t xml:space="preserve"> and swine.</w:t>
      </w:r>
      <w:r>
        <w:t xml:space="preserve"> Agriculture and Agrifood Canada.</w:t>
      </w:r>
    </w:p>
    <w:p w14:paraId="41C04754" w14:textId="77777777" w:rsidR="00AB45C1" w:rsidRPr="0003493D" w:rsidRDefault="00AB45C1" w:rsidP="00C1087A">
      <w:r w:rsidRPr="0005149D">
        <w:t xml:space="preserve">Olson ME, McAllister TA, </w:t>
      </w:r>
      <w:proofErr w:type="spellStart"/>
      <w:r w:rsidRPr="0005149D">
        <w:t>Deselliers</w:t>
      </w:r>
      <w:proofErr w:type="spellEnd"/>
      <w:r w:rsidRPr="0005149D">
        <w:t xml:space="preserve"> L, Morck DW, Cheng KJ, </w:t>
      </w:r>
      <w:proofErr w:type="spellStart"/>
      <w:r w:rsidRPr="0005149D">
        <w:t>Buret</w:t>
      </w:r>
      <w:proofErr w:type="spellEnd"/>
      <w:r w:rsidRPr="0005149D">
        <w:t xml:space="preserve"> AG &amp; </w:t>
      </w:r>
      <w:proofErr w:type="spellStart"/>
      <w:r w:rsidRPr="0005149D">
        <w:t>Ceri</w:t>
      </w:r>
      <w:proofErr w:type="spellEnd"/>
      <w:r w:rsidRPr="0005149D">
        <w:t xml:space="preserve"> H 1995. Effects of giardiasis on production in a domestic ruminant (lamb) model. </w:t>
      </w:r>
      <w:r w:rsidRPr="0005149D">
        <w:rPr>
          <w:i/>
        </w:rPr>
        <w:t xml:space="preserve">American Journal of Veterinary </w:t>
      </w:r>
      <w:r w:rsidRPr="0003493D">
        <w:rPr>
          <w:i/>
        </w:rPr>
        <w:t>Research</w:t>
      </w:r>
      <w:r w:rsidRPr="0003493D">
        <w:rPr>
          <w:rFonts w:ascii="TimesNewRoman,Italic" w:hAnsi="TimesNewRoman,Italic" w:cs="TimesNewRoman,Italic"/>
          <w:i/>
          <w:iCs/>
        </w:rPr>
        <w:t xml:space="preserve"> </w:t>
      </w:r>
      <w:r w:rsidRPr="0003493D">
        <w:t>56(11)</w:t>
      </w:r>
      <w:r>
        <w:t>:</w:t>
      </w:r>
      <w:r w:rsidRPr="0003493D">
        <w:t>1470–1474</w:t>
      </w:r>
      <w:r>
        <w:t>.</w:t>
      </w:r>
    </w:p>
    <w:p w14:paraId="087D440D" w14:textId="77777777" w:rsidR="00AB45C1" w:rsidRPr="00C17D16" w:rsidRDefault="00AB45C1" w:rsidP="00081476">
      <w:pPr>
        <w:rPr>
          <w:rFonts w:ascii="TimesNewRoman,Italic" w:hAnsi="TimesNewRoman,Italic" w:cs="TimesNewRoman,Italic"/>
          <w:i/>
          <w:iCs/>
        </w:rPr>
      </w:pPr>
      <w:r w:rsidRPr="0003493D">
        <w:t xml:space="preserve">Osweiler GD &amp; Ruhr LP 1978. Lead poisoning in feeder calves. </w:t>
      </w:r>
      <w:r w:rsidRPr="0003493D">
        <w:rPr>
          <w:rFonts w:cstheme="minorHAnsi"/>
          <w:i/>
          <w:iCs/>
        </w:rPr>
        <w:t>Journal of the American Veterinary Medical Association</w:t>
      </w:r>
      <w:r w:rsidRPr="0003493D">
        <w:rPr>
          <w:rFonts w:ascii="TimesNewRoman,Italic" w:hAnsi="TimesNewRoman,Italic" w:cs="TimesNewRoman,Italic"/>
          <w:i/>
          <w:iCs/>
        </w:rPr>
        <w:t xml:space="preserve"> </w:t>
      </w:r>
      <w:r w:rsidRPr="0003493D">
        <w:t>172</w:t>
      </w:r>
      <w:r>
        <w:t>:</w:t>
      </w:r>
      <w:r w:rsidRPr="0003493D">
        <w:t>498–500.</w:t>
      </w:r>
    </w:p>
    <w:p w14:paraId="48A854BA" w14:textId="77777777" w:rsidR="00AB45C1" w:rsidRDefault="00AB45C1" w:rsidP="00081476">
      <w:r w:rsidRPr="0003493D">
        <w:t xml:space="preserve">Palmer JS, Wright FC &amp; Haufler H 1973. Toxicological and residual aspects of alkylmercury fungicide to cattle, </w:t>
      </w:r>
      <w:proofErr w:type="gramStart"/>
      <w:r w:rsidRPr="0003493D">
        <w:t>sheep</w:t>
      </w:r>
      <w:proofErr w:type="gramEnd"/>
      <w:r w:rsidRPr="0003493D">
        <w:t xml:space="preserve"> and turkeys. </w:t>
      </w:r>
      <w:r w:rsidRPr="0003493D">
        <w:rPr>
          <w:rFonts w:cstheme="minorHAnsi"/>
          <w:i/>
          <w:iCs/>
        </w:rPr>
        <w:t>Clinical Toxicology</w:t>
      </w:r>
      <w:r w:rsidRPr="0003493D">
        <w:rPr>
          <w:rFonts w:ascii="TimesNewRoman,Italic" w:hAnsi="TimesNewRoman,Italic" w:cs="TimesNewRoman,Italic"/>
          <w:i/>
          <w:iCs/>
        </w:rPr>
        <w:t xml:space="preserve"> </w:t>
      </w:r>
      <w:r w:rsidRPr="0003493D">
        <w:t>6</w:t>
      </w:r>
      <w:r>
        <w:t>:</w:t>
      </w:r>
      <w:r w:rsidRPr="0003493D">
        <w:t>425–437.</w:t>
      </w:r>
    </w:p>
    <w:p w14:paraId="7CC751A3" w14:textId="77777777" w:rsidR="00AB45C1" w:rsidRPr="003C6A1E" w:rsidRDefault="00AB45C1" w:rsidP="00C1087A">
      <w:pPr>
        <w:rPr>
          <w:rFonts w:cs="Times New Roman"/>
        </w:rPr>
      </w:pPr>
      <w:r w:rsidRPr="003C6A1E">
        <w:rPr>
          <w:rFonts w:cs="Times New Roman"/>
        </w:rPr>
        <w:t>Pandey, R &amp; Singh SP 2002</w:t>
      </w:r>
      <w:r>
        <w:rPr>
          <w:rFonts w:cs="Times New Roman"/>
        </w:rPr>
        <w:t xml:space="preserve">. </w:t>
      </w:r>
      <w:r w:rsidRPr="003C6A1E">
        <w:t>Effects of molybdenum on fertility of male rats</w:t>
      </w:r>
      <w:r>
        <w:t>.</w:t>
      </w:r>
      <w:r w:rsidRPr="003C6A1E">
        <w:rPr>
          <w:rFonts w:cs="Times New Roman"/>
        </w:rPr>
        <w:t xml:space="preserve"> </w:t>
      </w:r>
      <w:proofErr w:type="spellStart"/>
      <w:r w:rsidRPr="00162731">
        <w:rPr>
          <w:rStyle w:val="Emphasis"/>
        </w:rPr>
        <w:t>BioMetals</w:t>
      </w:r>
      <w:proofErr w:type="spellEnd"/>
      <w:r w:rsidRPr="003C6A1E">
        <w:rPr>
          <w:rFonts w:cs="Times New Roman"/>
        </w:rPr>
        <w:t xml:space="preserve"> 15</w:t>
      </w:r>
      <w:r>
        <w:rPr>
          <w:rFonts w:cs="Times New Roman"/>
        </w:rPr>
        <w:t>(</w:t>
      </w:r>
      <w:r w:rsidRPr="003C6A1E">
        <w:rPr>
          <w:rFonts w:cs="Times New Roman"/>
        </w:rPr>
        <w:t>1</w:t>
      </w:r>
      <w:r>
        <w:rPr>
          <w:rFonts w:cs="Times New Roman"/>
        </w:rPr>
        <w:t>):</w:t>
      </w:r>
      <w:r w:rsidRPr="003C6A1E">
        <w:rPr>
          <w:rFonts w:cs="Times New Roman"/>
        </w:rPr>
        <w:t>65–72.</w:t>
      </w:r>
    </w:p>
    <w:p w14:paraId="0593D3E7" w14:textId="77777777" w:rsidR="00AB45C1" w:rsidRPr="005C3A9D" w:rsidRDefault="00AB45C1" w:rsidP="00C1087A">
      <w:proofErr w:type="spellStart"/>
      <w:r w:rsidRPr="0003493D">
        <w:t>Parisic</w:t>
      </w:r>
      <w:proofErr w:type="spellEnd"/>
      <w:r w:rsidRPr="0003493D">
        <w:t xml:space="preserve"> AF &amp; Vallee BL 1969. Zinc metalloenzymes: Characteristics and significance in biology and </w:t>
      </w:r>
      <w:r w:rsidRPr="005C3A9D">
        <w:t xml:space="preserve">medicine. </w:t>
      </w:r>
      <w:r w:rsidRPr="005C3A9D">
        <w:rPr>
          <w:rFonts w:cstheme="minorHAnsi"/>
          <w:i/>
          <w:iCs/>
        </w:rPr>
        <w:t>American Journal of Clinical Nutrition</w:t>
      </w:r>
      <w:r w:rsidRPr="005C3A9D">
        <w:rPr>
          <w:rFonts w:ascii="TimesNewRoman,Italic" w:hAnsi="TimesNewRoman,Italic" w:cs="TimesNewRoman,Italic"/>
          <w:i/>
          <w:iCs/>
        </w:rPr>
        <w:t xml:space="preserve"> </w:t>
      </w:r>
      <w:r w:rsidRPr="005C3A9D">
        <w:t>22</w:t>
      </w:r>
      <w:r>
        <w:t>:</w:t>
      </w:r>
      <w:r w:rsidRPr="005C3A9D">
        <w:t>1222</w:t>
      </w:r>
      <w:r>
        <w:t>.</w:t>
      </w:r>
    </w:p>
    <w:p w14:paraId="1334F7CC" w14:textId="77777777" w:rsidR="00AB45C1" w:rsidRPr="005C3A9D" w:rsidRDefault="00AB45C1" w:rsidP="00907A84">
      <w:r w:rsidRPr="005C3A9D">
        <w:t xml:space="preserve">Peirce AW 1960. Studies of salt tolerance of sheep. III: The tolerance of sheep for mixtures of sodium chloride and calcium chloride in the drinking water. </w:t>
      </w:r>
      <w:r w:rsidRPr="005C3A9D">
        <w:rPr>
          <w:rFonts w:cstheme="minorHAnsi"/>
          <w:i/>
          <w:iCs/>
        </w:rPr>
        <w:t>Australian Journal of Agricultural Research</w:t>
      </w:r>
      <w:r w:rsidRPr="005C3A9D">
        <w:rPr>
          <w:rFonts w:ascii="TimesNewRoman,Italic" w:hAnsi="TimesNewRoman,Italic" w:cs="TimesNewRoman,Italic"/>
          <w:i/>
          <w:iCs/>
        </w:rPr>
        <w:t xml:space="preserve"> </w:t>
      </w:r>
      <w:r w:rsidRPr="005C3A9D">
        <w:t>11(4)</w:t>
      </w:r>
      <w:r>
        <w:t>:</w:t>
      </w:r>
      <w:r w:rsidRPr="005C3A9D">
        <w:t>548–556.</w:t>
      </w:r>
    </w:p>
    <w:p w14:paraId="72130D65" w14:textId="77777777" w:rsidR="00AB45C1" w:rsidRPr="005C3A9D" w:rsidRDefault="00AB45C1" w:rsidP="00907A84">
      <w:r w:rsidRPr="005C3A9D">
        <w:t xml:space="preserve">Peirce AW 1966. Studies of salt tolerance of sheep. VI: The tolerance of </w:t>
      </w:r>
      <w:proofErr w:type="spellStart"/>
      <w:r w:rsidRPr="005C3A9D">
        <w:t>wethers</w:t>
      </w:r>
      <w:proofErr w:type="spellEnd"/>
      <w:r w:rsidRPr="005C3A9D">
        <w:t xml:space="preserve"> in pens for drinking water of the types obtained from underground sources in Australia. </w:t>
      </w:r>
      <w:r w:rsidRPr="005C3A9D">
        <w:rPr>
          <w:rFonts w:cstheme="minorHAnsi"/>
          <w:i/>
          <w:iCs/>
        </w:rPr>
        <w:t>Australian Journal of Agricultural Research</w:t>
      </w:r>
      <w:r w:rsidRPr="005C3A9D">
        <w:rPr>
          <w:rFonts w:ascii="TimesNewRoman,Italic" w:hAnsi="TimesNewRoman,Italic" w:cs="TimesNewRoman,Italic"/>
          <w:i/>
          <w:iCs/>
        </w:rPr>
        <w:t xml:space="preserve"> </w:t>
      </w:r>
      <w:r w:rsidRPr="005C3A9D">
        <w:t>17</w:t>
      </w:r>
      <w:r>
        <w:t>:</w:t>
      </w:r>
      <w:r w:rsidRPr="005C3A9D">
        <w:t>209–218.</w:t>
      </w:r>
    </w:p>
    <w:p w14:paraId="5FF5D60C" w14:textId="77777777" w:rsidR="00AB45C1" w:rsidRPr="005C3A9D" w:rsidRDefault="00AB45C1" w:rsidP="00907A84">
      <w:r w:rsidRPr="005C3A9D">
        <w:t xml:space="preserve">Peirce AW 1968a. Studies of salt tolerance of sheep. VII: The tolerance of ewes and their lambs in pens for drinking water of the types obtained from underground sources in Australia. </w:t>
      </w:r>
      <w:r w:rsidRPr="005C3A9D">
        <w:rPr>
          <w:rFonts w:cstheme="minorHAnsi"/>
          <w:i/>
          <w:iCs/>
        </w:rPr>
        <w:t>Australian Journal of</w:t>
      </w:r>
      <w:r w:rsidRPr="005C3A9D">
        <w:rPr>
          <w:rFonts w:cstheme="minorHAnsi"/>
        </w:rPr>
        <w:t xml:space="preserve"> </w:t>
      </w:r>
      <w:r w:rsidRPr="005C3A9D">
        <w:rPr>
          <w:rFonts w:cstheme="minorHAnsi"/>
          <w:i/>
          <w:iCs/>
        </w:rPr>
        <w:t>Agricultural Research</w:t>
      </w:r>
      <w:r w:rsidRPr="005C3A9D">
        <w:rPr>
          <w:rFonts w:ascii="TimesNewRoman,Italic" w:hAnsi="TimesNewRoman,Italic" w:cs="TimesNewRoman,Italic"/>
          <w:i/>
          <w:iCs/>
        </w:rPr>
        <w:t xml:space="preserve"> </w:t>
      </w:r>
      <w:r w:rsidRPr="005C3A9D">
        <w:t>19</w:t>
      </w:r>
      <w:r>
        <w:t>:</w:t>
      </w:r>
      <w:r w:rsidRPr="005C3A9D">
        <w:t>577–587.</w:t>
      </w:r>
    </w:p>
    <w:p w14:paraId="75217C06" w14:textId="77777777" w:rsidR="00AB45C1" w:rsidRDefault="00AB45C1" w:rsidP="00907A84">
      <w:r w:rsidRPr="005C3A9D">
        <w:t xml:space="preserve">Peirce AW 1968b. Studies of salt tolerance of sheep. VIII: The tolerance of grazing ewes and their lambs for drinking water of the types obtained from underground sources in Australia. </w:t>
      </w:r>
      <w:r w:rsidRPr="005C3A9D">
        <w:rPr>
          <w:rFonts w:cstheme="minorHAnsi"/>
          <w:i/>
          <w:iCs/>
        </w:rPr>
        <w:t>Australian Journal of</w:t>
      </w:r>
      <w:r w:rsidRPr="005C3A9D">
        <w:rPr>
          <w:rFonts w:cstheme="minorHAnsi"/>
        </w:rPr>
        <w:t xml:space="preserve"> </w:t>
      </w:r>
      <w:r w:rsidRPr="005C3A9D">
        <w:rPr>
          <w:rFonts w:cstheme="minorHAnsi"/>
          <w:i/>
          <w:iCs/>
        </w:rPr>
        <w:t>Agricultural Research</w:t>
      </w:r>
      <w:r w:rsidRPr="005C3A9D">
        <w:rPr>
          <w:rFonts w:ascii="TimesNewRoman,Italic" w:hAnsi="TimesNewRoman,Italic" w:cs="TimesNewRoman,Italic"/>
          <w:i/>
          <w:iCs/>
        </w:rPr>
        <w:t xml:space="preserve"> </w:t>
      </w:r>
      <w:r w:rsidRPr="005C3A9D">
        <w:t>19</w:t>
      </w:r>
      <w:r>
        <w:t>:</w:t>
      </w:r>
      <w:r w:rsidRPr="005C3A9D">
        <w:t>589–595.</w:t>
      </w:r>
    </w:p>
    <w:p w14:paraId="209FE113" w14:textId="77777777" w:rsidR="00AB45C1" w:rsidRDefault="00AB45C1" w:rsidP="00D34044">
      <w:r w:rsidRPr="005C3A9D">
        <w:lastRenderedPageBreak/>
        <w:t>Phillippo M, Humphries WR, Atkinson T, Henderson BD &amp; Garthwaite PH 1987. The effect of dietary molybdenum and iron on copper status, puberty, fertility, and oestrous cycles in cattle</w:t>
      </w:r>
      <w:r w:rsidRPr="005C3A9D">
        <w:rPr>
          <w:rFonts w:cstheme="minorHAnsi"/>
        </w:rPr>
        <w:t xml:space="preserve">. </w:t>
      </w:r>
      <w:r w:rsidRPr="005C3A9D">
        <w:rPr>
          <w:rFonts w:cstheme="minorHAnsi"/>
          <w:i/>
          <w:iCs/>
        </w:rPr>
        <w:t>Journal of</w:t>
      </w:r>
      <w:r w:rsidRPr="005C3A9D">
        <w:rPr>
          <w:rFonts w:cstheme="minorHAnsi"/>
        </w:rPr>
        <w:t xml:space="preserve"> </w:t>
      </w:r>
      <w:r w:rsidRPr="005C3A9D">
        <w:rPr>
          <w:rFonts w:cstheme="minorHAnsi"/>
          <w:i/>
          <w:iCs/>
        </w:rPr>
        <w:t>Agricultural Science, Cambridge</w:t>
      </w:r>
      <w:r w:rsidRPr="005C3A9D">
        <w:rPr>
          <w:rFonts w:ascii="TimesNewRoman,Italic" w:hAnsi="TimesNewRoman,Italic" w:cs="TimesNewRoman,Italic"/>
          <w:i/>
          <w:iCs/>
        </w:rPr>
        <w:t xml:space="preserve"> </w:t>
      </w:r>
      <w:r w:rsidRPr="005C3A9D">
        <w:t>109</w:t>
      </w:r>
      <w:r>
        <w:t>:</w:t>
      </w:r>
      <w:r w:rsidRPr="005C3A9D">
        <w:t>321–336.</w:t>
      </w:r>
    </w:p>
    <w:p w14:paraId="308A6926" w14:textId="77777777" w:rsidR="00AB45C1" w:rsidRDefault="00AB45C1" w:rsidP="002C4F85">
      <w:r w:rsidRPr="005C3A9D">
        <w:t xml:space="preserve">Powell GW, Miller WJ, Morton JD &amp; Clifton CM 1964. Influence of dietary cadmium level and supplemental zinc on cadmium toxicity in the bovine. </w:t>
      </w:r>
      <w:r w:rsidRPr="005C3A9D">
        <w:rPr>
          <w:rFonts w:cstheme="minorHAnsi"/>
          <w:i/>
          <w:iCs/>
        </w:rPr>
        <w:t>Journal of Nutrition</w:t>
      </w:r>
      <w:r w:rsidRPr="005C3A9D">
        <w:rPr>
          <w:rFonts w:ascii="TimesNewRoman,Italic" w:hAnsi="TimesNewRoman,Italic" w:cs="TimesNewRoman,Italic"/>
          <w:i/>
          <w:iCs/>
        </w:rPr>
        <w:t xml:space="preserve"> </w:t>
      </w:r>
      <w:r w:rsidRPr="005C3A9D">
        <w:t>84</w:t>
      </w:r>
      <w:r>
        <w:t>:</w:t>
      </w:r>
      <w:r w:rsidRPr="005C3A9D">
        <w:t>205–214.</w:t>
      </w:r>
    </w:p>
    <w:p w14:paraId="48F0A913" w14:textId="77777777" w:rsidR="00AB45C1" w:rsidRDefault="00AB45C1" w:rsidP="007043BD">
      <w:proofErr w:type="spellStart"/>
      <w:r>
        <w:t>Puddick</w:t>
      </w:r>
      <w:proofErr w:type="spellEnd"/>
      <w:r>
        <w:t xml:space="preserve"> J, Wood S, Kelly L, Cridge B &amp; Cressey P 2022. </w:t>
      </w:r>
      <w:r w:rsidRPr="009F096E">
        <w:rPr>
          <w:i/>
          <w:iCs/>
        </w:rPr>
        <w:t>2022 revisions to the alert level framework for plan</w:t>
      </w:r>
      <w:r>
        <w:rPr>
          <w:i/>
          <w:iCs/>
        </w:rPr>
        <w:t>k</w:t>
      </w:r>
      <w:r w:rsidRPr="009F096E">
        <w:rPr>
          <w:i/>
          <w:iCs/>
        </w:rPr>
        <w:t xml:space="preserve">tonic cyanobacteria in the </w:t>
      </w:r>
      <w:r>
        <w:t>‘New Zealand guidelines for cyanobacteria in recreational fresh waters’, Cawthron Institute, report prepared for the Ministry of Health, New Zealand.</w:t>
      </w:r>
    </w:p>
    <w:p w14:paraId="539328AD" w14:textId="77777777" w:rsidR="00AB45C1" w:rsidRDefault="00AB45C1" w:rsidP="007043BD">
      <w:r w:rsidRPr="002309E1">
        <w:t xml:space="preserve">Queensland Water Quality Task Force 1992. </w:t>
      </w:r>
      <w:r w:rsidRPr="002309E1">
        <w:rPr>
          <w:rFonts w:cstheme="minorHAnsi"/>
          <w:i/>
          <w:iCs/>
        </w:rPr>
        <w:t>Fresh water algal blooms in Queensland</w:t>
      </w:r>
      <w:r w:rsidRPr="002309E1">
        <w:t>, vol 1: main report. Queensland Department of Natural Resources, Brisbane.</w:t>
      </w:r>
    </w:p>
    <w:p w14:paraId="4F8C4878" w14:textId="2F67A382" w:rsidR="00AB45C1" w:rsidRDefault="00AB45C1" w:rsidP="00C1087A">
      <w:proofErr w:type="spellStart"/>
      <w:r>
        <w:t>Quiblier</w:t>
      </w:r>
      <w:proofErr w:type="spellEnd"/>
      <w:r>
        <w:t xml:space="preserve"> C, Wood S, Echenique-</w:t>
      </w:r>
      <w:proofErr w:type="spellStart"/>
      <w:r>
        <w:t>Subiabre</w:t>
      </w:r>
      <w:proofErr w:type="spellEnd"/>
      <w:r>
        <w:t xml:space="preserve"> I, Heath M, Villeneuve A &amp; Humbert JF 2013. </w:t>
      </w:r>
      <w:r w:rsidRPr="000E6B90">
        <w:t>A review of current knowledge on toxic benthic freshwater cyanobacteria – Ecology, toxin production and risk management</w:t>
      </w:r>
      <w:r>
        <w:t xml:space="preserve">. </w:t>
      </w:r>
      <w:r w:rsidRPr="000E6B90">
        <w:rPr>
          <w:i/>
          <w:iCs/>
        </w:rPr>
        <w:t>Water Research</w:t>
      </w:r>
      <w:r>
        <w:t xml:space="preserve"> 47(15):5464</w:t>
      </w:r>
      <w:r>
        <w:rPr>
          <w:rFonts w:cstheme="minorHAnsi"/>
        </w:rPr>
        <w:t>–</w:t>
      </w:r>
      <w:r>
        <w:t>5479.</w:t>
      </w:r>
    </w:p>
    <w:p w14:paraId="53C4F258" w14:textId="77777777" w:rsidR="00AB45C1" w:rsidRPr="003C6A1E" w:rsidRDefault="00AB45C1" w:rsidP="00C1087A">
      <w:r w:rsidRPr="003C6A1E">
        <w:t>Raisbeck MF</w:t>
      </w:r>
      <w:r>
        <w:t>, Wise B, Zygmunt J, Smith M &amp; Tate C</w:t>
      </w:r>
      <w:r w:rsidRPr="003C6A1E">
        <w:t xml:space="preserve"> 2008</w:t>
      </w:r>
      <w:r>
        <w:t>.</w:t>
      </w:r>
      <w:r w:rsidRPr="003C6A1E">
        <w:t xml:space="preserve"> Water quality for Wyoming Livestock and Wildlife</w:t>
      </w:r>
      <w:r>
        <w:t>:</w:t>
      </w:r>
      <w:r w:rsidRPr="003C6A1E">
        <w:t xml:space="preserve"> A Review of the Literature Pertaining to Health Effects of Inorganic Contaminants. UW Dept</w:t>
      </w:r>
      <w:r>
        <w:t>.</w:t>
      </w:r>
      <w:r w:rsidRPr="003C6A1E">
        <w:t xml:space="preserve"> Veterinary Sciences &amp; Renewable Resources, Wyoming Department of Game &amp; Fish, Wyoming Department of Environmental Quality</w:t>
      </w:r>
      <w:r>
        <w:t>.</w:t>
      </w:r>
    </w:p>
    <w:p w14:paraId="4591F023" w14:textId="47A76410" w:rsidR="00AB45C1" w:rsidRDefault="00AB45C1" w:rsidP="00C1087A">
      <w:proofErr w:type="spellStart"/>
      <w:r>
        <w:t>Rajalekshmi</w:t>
      </w:r>
      <w:proofErr w:type="spellEnd"/>
      <w:r>
        <w:t xml:space="preserve"> M, Gnanasekar R &amp; </w:t>
      </w:r>
      <w:proofErr w:type="spellStart"/>
      <w:r>
        <w:t>Chirakkal</w:t>
      </w:r>
      <w:proofErr w:type="spellEnd"/>
      <w:r>
        <w:t xml:space="preserve"> H 2008. </w:t>
      </w:r>
      <w:r w:rsidRPr="00B760DA">
        <w:rPr>
          <w:i/>
          <w:iCs/>
        </w:rPr>
        <w:t>Role of chromium in livestock nutrition: a review.</w:t>
      </w:r>
      <w:r>
        <w:t xml:space="preserve"> </w:t>
      </w:r>
      <w:proofErr w:type="spellStart"/>
      <w:r>
        <w:t>Engormix</w:t>
      </w:r>
      <w:proofErr w:type="spellEnd"/>
      <w:r>
        <w:t xml:space="preserve">. At: </w:t>
      </w:r>
      <w:r w:rsidRPr="00BD040B">
        <w:t>https://en.engormix.com/dairy-cattle/articles/chromium-in-livestock-nutrition-t34328.htm</w:t>
      </w:r>
      <w:r>
        <w:t>.</w:t>
      </w:r>
    </w:p>
    <w:p w14:paraId="0AB64436" w14:textId="77777777" w:rsidR="00AB45C1" w:rsidRPr="003C6A1E" w:rsidRDefault="00AB45C1" w:rsidP="00C1087A">
      <w:r w:rsidRPr="003C6A1E">
        <w:t>Rana T</w:t>
      </w:r>
      <w:r>
        <w:t>, Bera AK, Mondal DK, Das S, Bhattacharya D, Samanta S, Pan D &amp; Das SK</w:t>
      </w:r>
      <w:r w:rsidRPr="003C6A1E">
        <w:t xml:space="preserve"> 2014</w:t>
      </w:r>
      <w:r>
        <w:t>.</w:t>
      </w:r>
      <w:r w:rsidRPr="003C6A1E">
        <w:t xml:space="preserve"> Arsenic residue in the products and by-products of chicken and ducks: A possible concern of avian health and environmental hazard to the population in West Bengal, India</w:t>
      </w:r>
      <w:r>
        <w:t>.</w:t>
      </w:r>
      <w:r w:rsidRPr="003C6A1E">
        <w:t xml:space="preserve"> </w:t>
      </w:r>
      <w:r w:rsidRPr="00EE6D17">
        <w:rPr>
          <w:rStyle w:val="Emphasis"/>
        </w:rPr>
        <w:t>Toxicology and Industrial Health</w:t>
      </w:r>
      <w:r w:rsidRPr="003C6A1E">
        <w:t xml:space="preserve"> 30</w:t>
      </w:r>
      <w:r>
        <w:t>(</w:t>
      </w:r>
      <w:r w:rsidRPr="003C6A1E">
        <w:t>6</w:t>
      </w:r>
      <w:r>
        <w:t>):</w:t>
      </w:r>
      <w:r w:rsidRPr="003C6A1E">
        <w:t>576–580.</w:t>
      </w:r>
    </w:p>
    <w:p w14:paraId="0D6388C3" w14:textId="77777777" w:rsidR="00AB45C1" w:rsidRDefault="00AB45C1" w:rsidP="00576813">
      <w:r w:rsidRPr="005C3A9D">
        <w:t xml:space="preserve">Reeder S, Demayo A &amp; Taylor M 1979. </w:t>
      </w:r>
      <w:r w:rsidRPr="005C3A9D">
        <w:rPr>
          <w:rFonts w:cstheme="minorHAnsi"/>
          <w:i/>
          <w:iCs/>
        </w:rPr>
        <w:t>Guidelines for surface water quality</w:t>
      </w:r>
      <w:r w:rsidRPr="005C3A9D">
        <w:t>, vol 1: Inorganic chemical substances. Mercury. Inland Waters Directorate, Environment Canada, Ottawa.</w:t>
      </w:r>
    </w:p>
    <w:p w14:paraId="3E825CB5" w14:textId="77777777" w:rsidR="00AB45C1" w:rsidRPr="00636770" w:rsidRDefault="00AB45C1" w:rsidP="00576813">
      <w:pPr>
        <w:rPr>
          <w:rFonts w:ascii="TimesNewRoman,Italic" w:hAnsi="TimesNewRoman,Italic" w:cs="TimesNewRoman,Italic"/>
          <w:i/>
          <w:iCs/>
        </w:rPr>
      </w:pPr>
      <w:r w:rsidRPr="005C3A9D">
        <w:t xml:space="preserve">Reid DF, Sackett WM &amp; Spalding RF 1977. Chromium and radium in livestock feed supplements. </w:t>
      </w:r>
      <w:r w:rsidRPr="005C3A9D">
        <w:rPr>
          <w:rFonts w:cstheme="minorHAnsi"/>
          <w:i/>
          <w:iCs/>
        </w:rPr>
        <w:t>Health Physics</w:t>
      </w:r>
      <w:r w:rsidRPr="005C3A9D">
        <w:rPr>
          <w:rFonts w:ascii="TimesNewRoman,Italic" w:hAnsi="TimesNewRoman,Italic" w:cs="TimesNewRoman,Italic"/>
          <w:i/>
          <w:iCs/>
        </w:rPr>
        <w:t xml:space="preserve"> </w:t>
      </w:r>
      <w:r w:rsidRPr="005C3A9D">
        <w:t>32</w:t>
      </w:r>
      <w:r>
        <w:t>:</w:t>
      </w:r>
      <w:r w:rsidRPr="005C3A9D">
        <w:t>535–540.</w:t>
      </w:r>
    </w:p>
    <w:p w14:paraId="2A2B6A9D" w14:textId="35F88E04" w:rsidR="00AB45C1" w:rsidRPr="00636770" w:rsidRDefault="00AB45C1" w:rsidP="003016AB">
      <w:pPr>
        <w:rPr>
          <w:rFonts w:ascii="TimesNewRoman,Italic" w:hAnsi="TimesNewRoman,Italic" w:cs="TimesNewRoman,Italic"/>
          <w:i/>
          <w:iCs/>
        </w:rPr>
      </w:pPr>
      <w:proofErr w:type="spellStart"/>
      <w:r w:rsidRPr="00893D19">
        <w:t>Ressom</w:t>
      </w:r>
      <w:proofErr w:type="spellEnd"/>
      <w:r w:rsidRPr="00893D19">
        <w:t xml:space="preserve"> R, San Soong F, Fitzgerald J, </w:t>
      </w:r>
      <w:proofErr w:type="spellStart"/>
      <w:r w:rsidRPr="00893D19">
        <w:t>Turczynowicz</w:t>
      </w:r>
      <w:proofErr w:type="spellEnd"/>
      <w:r w:rsidRPr="00893D19">
        <w:t xml:space="preserve"> L, El Sadi O &amp; </w:t>
      </w:r>
      <w:proofErr w:type="spellStart"/>
      <w:r w:rsidRPr="00893D19">
        <w:t>Roder</w:t>
      </w:r>
      <w:proofErr w:type="spellEnd"/>
      <w:r w:rsidRPr="00893D19">
        <w:t xml:space="preserve"> D 1994. </w:t>
      </w:r>
      <w:r w:rsidRPr="00893D19">
        <w:rPr>
          <w:rFonts w:cstheme="minorHAnsi"/>
          <w:i/>
          <w:iCs/>
        </w:rPr>
        <w:t>Health effects of toxic cyanobacteria (blue-green algae)</w:t>
      </w:r>
      <w:r w:rsidRPr="00893D19">
        <w:t>, Report to the Environmental Health Standing Committee and National</w:t>
      </w:r>
      <w:r w:rsidRPr="00893D19">
        <w:rPr>
          <w:rFonts w:ascii="TimesNewRoman,Italic" w:hAnsi="TimesNewRoman,Italic" w:cs="TimesNewRoman,Italic"/>
          <w:i/>
          <w:iCs/>
        </w:rPr>
        <w:t xml:space="preserve"> </w:t>
      </w:r>
      <w:r w:rsidRPr="00893D19">
        <w:t>Health and Medical Research Council. University of Adelaide</w:t>
      </w:r>
      <w:r>
        <w:t xml:space="preserve"> and the </w:t>
      </w:r>
      <w:r w:rsidRPr="00893D19">
        <w:t>South Australian Health Commission,</w:t>
      </w:r>
      <w:r w:rsidRPr="00893D19">
        <w:rPr>
          <w:rFonts w:ascii="TimesNewRoman,Italic" w:hAnsi="TimesNewRoman,Italic" w:cs="TimesNewRoman,Italic"/>
          <w:i/>
          <w:iCs/>
        </w:rPr>
        <w:t xml:space="preserve"> </w:t>
      </w:r>
      <w:r w:rsidRPr="00893D19">
        <w:t>Adelaide.</w:t>
      </w:r>
    </w:p>
    <w:p w14:paraId="5EA5E139" w14:textId="77777777" w:rsidR="00AB45C1" w:rsidRPr="00527BF6" w:rsidRDefault="00AB45C1" w:rsidP="002C12CB">
      <w:pPr>
        <w:rPr>
          <w:rFonts w:ascii="TimesNewRoman,Italic" w:hAnsi="TimesNewRoman,Italic" w:cs="TimesNewRoman,Italic"/>
          <w:i/>
          <w:iCs/>
        </w:rPr>
      </w:pPr>
      <w:r w:rsidRPr="00527BF6">
        <w:t xml:space="preserve">Robards GE &amp; Radcliffe JC (eds) 1987. Water requirements of pigs. In </w:t>
      </w:r>
      <w:r w:rsidRPr="00527BF6">
        <w:rPr>
          <w:i/>
        </w:rPr>
        <w:t>Feeding standards for Australian livestock: Pigs</w:t>
      </w:r>
      <w:r w:rsidRPr="00527BF6">
        <w:t>. Pig Sub-Committee, Standing Committee on Agriculture, Melbourne, 85–93.</w:t>
      </w:r>
    </w:p>
    <w:p w14:paraId="1CBE3FE5" w14:textId="77777777" w:rsidR="00AB45C1" w:rsidRDefault="00AB45C1" w:rsidP="002C12CB">
      <w:r w:rsidRPr="00527BF6">
        <w:t xml:space="preserve">Robertson BM, Magner T, Dougan A, Holmes MA &amp; Hunter RA 1996. The effect of coal mine pit water on the productivity of cattle. I: Mineral intake, retention, and excretion and the water balance in growing steers. </w:t>
      </w:r>
      <w:r w:rsidRPr="00527BF6">
        <w:rPr>
          <w:rFonts w:cstheme="minorHAnsi"/>
          <w:i/>
          <w:iCs/>
        </w:rPr>
        <w:t>Australian Journal of Agricultural Research</w:t>
      </w:r>
      <w:r w:rsidRPr="00527BF6">
        <w:rPr>
          <w:rFonts w:ascii="TimesNewRoman,Italic" w:hAnsi="TimesNewRoman,Italic" w:cs="TimesNewRoman,Italic"/>
          <w:i/>
          <w:iCs/>
        </w:rPr>
        <w:t xml:space="preserve"> </w:t>
      </w:r>
      <w:r w:rsidRPr="00527BF6">
        <w:t>47</w:t>
      </w:r>
      <w:r>
        <w:t>:</w:t>
      </w:r>
      <w:r w:rsidRPr="00527BF6">
        <w:t>961–974</w:t>
      </w:r>
      <w:r>
        <w:t>.</w:t>
      </w:r>
    </w:p>
    <w:p w14:paraId="49A5F527" w14:textId="1B6CF67D" w:rsidR="00AB45C1" w:rsidRDefault="00AB45C1" w:rsidP="00A80B42">
      <w:r w:rsidRPr="00527BF6">
        <w:t>Romoser GL, Dudley WA, Machlin LJ &amp; Loveless L 1961</w:t>
      </w:r>
      <w:r>
        <w:t>.</w:t>
      </w:r>
      <w:r w:rsidRPr="00527BF6">
        <w:t xml:space="preserve"> Toxicity of vanadium and chromium for </w:t>
      </w:r>
      <w:r>
        <w:t xml:space="preserve">the </w:t>
      </w:r>
      <w:r w:rsidRPr="00527BF6">
        <w:t xml:space="preserve">growing chick. </w:t>
      </w:r>
      <w:r w:rsidRPr="00527BF6">
        <w:rPr>
          <w:rFonts w:cstheme="minorHAnsi"/>
          <w:i/>
          <w:iCs/>
        </w:rPr>
        <w:t>Poultry Science</w:t>
      </w:r>
      <w:r w:rsidRPr="00527BF6">
        <w:rPr>
          <w:rFonts w:ascii="TimesNewRoman,Italic" w:hAnsi="TimesNewRoman,Italic" w:cs="TimesNewRoman,Italic"/>
          <w:i/>
          <w:iCs/>
        </w:rPr>
        <w:t xml:space="preserve"> </w:t>
      </w:r>
      <w:r w:rsidRPr="00527BF6">
        <w:t>40</w:t>
      </w:r>
      <w:r>
        <w:t>:</w:t>
      </w:r>
      <w:r w:rsidRPr="00527BF6">
        <w:t>1171–1173.</w:t>
      </w:r>
    </w:p>
    <w:p w14:paraId="7EBAC583" w14:textId="77777777" w:rsidR="00AB45C1" w:rsidRPr="00527BF6" w:rsidRDefault="00AB45C1" w:rsidP="002C12CB">
      <w:r w:rsidRPr="003C6A1E">
        <w:t>Rosas I</w:t>
      </w:r>
      <w:r>
        <w:t xml:space="preserve">, </w:t>
      </w:r>
      <w:proofErr w:type="spellStart"/>
      <w:r>
        <w:t>Blemont</w:t>
      </w:r>
      <w:proofErr w:type="spellEnd"/>
      <w:r>
        <w:t xml:space="preserve"> R, Armienta A &amp; Baez A</w:t>
      </w:r>
      <w:r w:rsidRPr="003C6A1E">
        <w:t xml:space="preserve"> 1999</w:t>
      </w:r>
      <w:r>
        <w:t xml:space="preserve">. </w:t>
      </w:r>
      <w:r w:rsidRPr="003C6A1E">
        <w:t xml:space="preserve">Arsenic concentrations in water, soil, milk and forage in Comarca </w:t>
      </w:r>
      <w:proofErr w:type="spellStart"/>
      <w:r w:rsidRPr="003C6A1E">
        <w:t>Lagunera</w:t>
      </w:r>
      <w:proofErr w:type="spellEnd"/>
      <w:r w:rsidRPr="003C6A1E">
        <w:t xml:space="preserve">, </w:t>
      </w:r>
      <w:r w:rsidRPr="00527BF6">
        <w:t xml:space="preserve">Mexico. </w:t>
      </w:r>
      <w:r w:rsidRPr="00527BF6">
        <w:rPr>
          <w:rStyle w:val="Emphasis"/>
        </w:rPr>
        <w:t>Water, Air and Soil Pollution</w:t>
      </w:r>
      <w:r w:rsidRPr="00527BF6">
        <w:t xml:space="preserve"> 112</w:t>
      </w:r>
      <w:r>
        <w:t>:</w:t>
      </w:r>
      <w:r w:rsidRPr="00527BF6">
        <w:t>133–149.</w:t>
      </w:r>
    </w:p>
    <w:p w14:paraId="5E382574" w14:textId="77777777" w:rsidR="00AB45C1" w:rsidRDefault="00AB45C1" w:rsidP="005666DB">
      <w:r w:rsidRPr="00527BF6">
        <w:lastRenderedPageBreak/>
        <w:t xml:space="preserve">Rose D &amp; Marier JR 1978. </w:t>
      </w:r>
      <w:r w:rsidRPr="00527BF6">
        <w:rPr>
          <w:rFonts w:cstheme="minorHAnsi"/>
          <w:i/>
          <w:iCs/>
        </w:rPr>
        <w:t>Environmental fluoride 1977</w:t>
      </w:r>
      <w:r w:rsidRPr="00527BF6">
        <w:t>. National Research Council of Canada publication 16081, Associate Committee on Scientific Criteria for Environmental Quality, Ottawa.</w:t>
      </w:r>
    </w:p>
    <w:p w14:paraId="2B01BE84" w14:textId="77777777" w:rsidR="00AB45C1" w:rsidRPr="00DF6B86" w:rsidRDefault="00AB45C1" w:rsidP="00C1087A">
      <w:r w:rsidRPr="003C6A1E">
        <w:t>Roy B</w:t>
      </w:r>
      <w:r>
        <w:t xml:space="preserve">, </w:t>
      </w:r>
      <w:proofErr w:type="spellStart"/>
      <w:r>
        <w:t>Kuymari</w:t>
      </w:r>
      <w:proofErr w:type="spellEnd"/>
      <w:r>
        <w:t xml:space="preserve"> S &amp; Singh KK</w:t>
      </w:r>
      <w:r w:rsidRPr="003C6A1E">
        <w:t xml:space="preserve"> 2015</w:t>
      </w:r>
      <w:r>
        <w:t>.</w:t>
      </w:r>
      <w:r w:rsidRPr="003C6A1E">
        <w:t xml:space="preserve"> Manganese induced histochemical localisation of oxygen derived free radicals and </w:t>
      </w:r>
      <w:r w:rsidRPr="00DF6B86">
        <w:t xml:space="preserve">hepatotoxicity in poultry birds. </w:t>
      </w:r>
      <w:r w:rsidRPr="00DF6B86">
        <w:rPr>
          <w:rStyle w:val="Emphasis"/>
        </w:rPr>
        <w:t>Agriculture and Biology Journal of North America</w:t>
      </w:r>
      <w:r w:rsidRPr="00DF6B86">
        <w:t xml:space="preserve"> 6(2)</w:t>
      </w:r>
      <w:r>
        <w:t>:</w:t>
      </w:r>
      <w:r w:rsidRPr="00DF6B86">
        <w:t>52–62.</w:t>
      </w:r>
    </w:p>
    <w:p w14:paraId="7CF68C97" w14:textId="77777777" w:rsidR="00AB45C1" w:rsidRPr="00DD0ACA" w:rsidRDefault="00AB45C1" w:rsidP="00CC241F">
      <w:pPr>
        <w:rPr>
          <w:rFonts w:ascii="TimesNewRoman,Italic" w:hAnsi="TimesNewRoman,Italic" w:cs="TimesNewRoman,Italic"/>
          <w:i/>
          <w:iCs/>
        </w:rPr>
      </w:pPr>
      <w:r w:rsidRPr="00DF6B86">
        <w:t xml:space="preserve">Schofield NJ &amp; Simpson BW 1996. Pesticides: An emerging issue for water and the environment. </w:t>
      </w:r>
      <w:r w:rsidRPr="00DF6B86">
        <w:rPr>
          <w:rFonts w:cstheme="minorHAnsi"/>
          <w:i/>
          <w:iCs/>
        </w:rPr>
        <w:t>Australian Journal of Water Resources</w:t>
      </w:r>
      <w:r w:rsidRPr="00DF6B86">
        <w:rPr>
          <w:rFonts w:ascii="TimesNewRoman,Italic" w:hAnsi="TimesNewRoman,Italic" w:cs="TimesNewRoman,Italic"/>
          <w:i/>
          <w:iCs/>
        </w:rPr>
        <w:t xml:space="preserve"> </w:t>
      </w:r>
      <w:r w:rsidRPr="00DF6B86">
        <w:t>1(2)</w:t>
      </w:r>
      <w:r>
        <w:t>:</w:t>
      </w:r>
      <w:r w:rsidRPr="00DF6B86">
        <w:t>91–97.</w:t>
      </w:r>
    </w:p>
    <w:p w14:paraId="197C775E" w14:textId="77777777" w:rsidR="00AB45C1" w:rsidRPr="00DD527C" w:rsidRDefault="00AB45C1" w:rsidP="00CC241F">
      <w:pPr>
        <w:rPr>
          <w:rFonts w:ascii="TimesNewRoman,Italic" w:hAnsi="TimesNewRoman,Italic" w:cs="TimesNewRoman,Italic"/>
          <w:i/>
          <w:iCs/>
        </w:rPr>
      </w:pPr>
      <w:r w:rsidRPr="00DD527C">
        <w:t xml:space="preserve">Schroeder HA &amp; Mitchener M 1971. Toxic effects of trace elements in the reproduction of mice and rats. </w:t>
      </w:r>
      <w:r w:rsidRPr="00DD527C">
        <w:rPr>
          <w:rFonts w:cstheme="minorHAnsi"/>
          <w:i/>
          <w:iCs/>
        </w:rPr>
        <w:t>Archives of Environmental Health</w:t>
      </w:r>
      <w:r w:rsidRPr="00DD527C">
        <w:rPr>
          <w:rFonts w:ascii="TimesNewRoman,Italic" w:hAnsi="TimesNewRoman,Italic" w:cs="TimesNewRoman,Italic"/>
          <w:i/>
          <w:iCs/>
        </w:rPr>
        <w:t xml:space="preserve"> </w:t>
      </w:r>
      <w:r w:rsidRPr="00DD527C">
        <w:t>23</w:t>
      </w:r>
      <w:r>
        <w:t>:</w:t>
      </w:r>
      <w:r w:rsidRPr="00DD527C">
        <w:t>102–106.</w:t>
      </w:r>
    </w:p>
    <w:p w14:paraId="56FC0406" w14:textId="77777777" w:rsidR="00AB45C1" w:rsidRPr="00DD527C" w:rsidRDefault="00AB45C1" w:rsidP="00CC241F">
      <w:r w:rsidRPr="00DD527C">
        <w:t xml:space="preserve">Schroeder HA &amp; Mitchener M 1975a. Life term studies in rats: effects of aluminium, barium, </w:t>
      </w:r>
      <w:proofErr w:type="gramStart"/>
      <w:r w:rsidRPr="00DD527C">
        <w:t>beryllium</w:t>
      </w:r>
      <w:proofErr w:type="gramEnd"/>
      <w:r w:rsidRPr="00DD527C">
        <w:t xml:space="preserve"> and tungsten. </w:t>
      </w:r>
      <w:r w:rsidRPr="00DD527C">
        <w:rPr>
          <w:rFonts w:cstheme="minorHAnsi"/>
          <w:i/>
          <w:iCs/>
        </w:rPr>
        <w:t>Journal of Nutrition</w:t>
      </w:r>
      <w:r w:rsidRPr="00DD527C">
        <w:rPr>
          <w:rFonts w:ascii="TimesNewRoman,Italic" w:hAnsi="TimesNewRoman,Italic" w:cs="TimesNewRoman,Italic"/>
          <w:i/>
          <w:iCs/>
        </w:rPr>
        <w:t xml:space="preserve"> </w:t>
      </w:r>
      <w:r w:rsidRPr="00DD527C">
        <w:t>105</w:t>
      </w:r>
      <w:r>
        <w:t>:</w:t>
      </w:r>
      <w:r w:rsidRPr="00DD527C">
        <w:t>421–427.</w:t>
      </w:r>
    </w:p>
    <w:p w14:paraId="1D3340D5" w14:textId="77777777" w:rsidR="00AB45C1" w:rsidRPr="00DD527C" w:rsidRDefault="00AB45C1" w:rsidP="00CC241F">
      <w:r w:rsidRPr="00DD527C">
        <w:t xml:space="preserve">Schroeder HA &amp; Mitchener M 1975b. Life term effects of mercury, </w:t>
      </w:r>
      <w:proofErr w:type="spellStart"/>
      <w:r w:rsidRPr="00DD527C">
        <w:t>metylmercury</w:t>
      </w:r>
      <w:proofErr w:type="spellEnd"/>
      <w:r w:rsidRPr="00DD527C">
        <w:t xml:space="preserve"> and nine other trace metals on mice. </w:t>
      </w:r>
      <w:r w:rsidRPr="00DD527C">
        <w:rPr>
          <w:rFonts w:cstheme="minorHAnsi"/>
          <w:i/>
          <w:iCs/>
        </w:rPr>
        <w:t>Journal of Nutrition</w:t>
      </w:r>
      <w:r w:rsidRPr="00DD527C">
        <w:rPr>
          <w:rFonts w:ascii="TimesNewRoman,Italic" w:hAnsi="TimesNewRoman,Italic" w:cs="TimesNewRoman,Italic"/>
          <w:i/>
          <w:iCs/>
        </w:rPr>
        <w:t xml:space="preserve"> </w:t>
      </w:r>
      <w:r w:rsidRPr="00DD527C">
        <w:t>105</w:t>
      </w:r>
      <w:r>
        <w:t>:</w:t>
      </w:r>
      <w:r w:rsidRPr="00DD527C">
        <w:t>452–458.</w:t>
      </w:r>
    </w:p>
    <w:p w14:paraId="524AFF5F" w14:textId="77777777" w:rsidR="00AB45C1" w:rsidRDefault="00AB45C1" w:rsidP="00CC241F">
      <w:r w:rsidRPr="00DD527C">
        <w:t xml:space="preserve">Schroeder HA, Balassa JJ &amp; Vinton WH Jr 1964. Chromium, lead, cadmium, </w:t>
      </w:r>
      <w:proofErr w:type="gramStart"/>
      <w:r w:rsidRPr="00DD527C">
        <w:t>nickel</w:t>
      </w:r>
      <w:proofErr w:type="gramEnd"/>
      <w:r w:rsidRPr="00DD527C">
        <w:t xml:space="preserve"> and titanium in mice. Effect on mortality, </w:t>
      </w:r>
      <w:proofErr w:type="gramStart"/>
      <w:r w:rsidRPr="00DD527C">
        <w:t>tumours</w:t>
      </w:r>
      <w:proofErr w:type="gramEnd"/>
      <w:r w:rsidRPr="00DD527C">
        <w:t xml:space="preserve"> and tissue levels. </w:t>
      </w:r>
      <w:r w:rsidRPr="00DD527C">
        <w:rPr>
          <w:rFonts w:cstheme="minorHAnsi"/>
          <w:i/>
          <w:iCs/>
        </w:rPr>
        <w:t>Journal of Nutrition</w:t>
      </w:r>
      <w:r w:rsidRPr="00DD527C">
        <w:rPr>
          <w:rFonts w:ascii="TimesNewRoman,Italic" w:hAnsi="TimesNewRoman,Italic" w:cs="TimesNewRoman,Italic"/>
          <w:i/>
          <w:iCs/>
        </w:rPr>
        <w:t xml:space="preserve"> </w:t>
      </w:r>
      <w:r w:rsidRPr="00DD527C">
        <w:t>83</w:t>
      </w:r>
      <w:r>
        <w:t>:</w:t>
      </w:r>
      <w:r w:rsidRPr="00DD527C">
        <w:t>239–250</w:t>
      </w:r>
      <w:r>
        <w:t>.</w:t>
      </w:r>
    </w:p>
    <w:p w14:paraId="2233D11B" w14:textId="77777777" w:rsidR="00AB45C1" w:rsidRDefault="00AB45C1" w:rsidP="004F69A5">
      <w:proofErr w:type="spellStart"/>
      <w:r w:rsidRPr="00DD527C">
        <w:t>Seerley</w:t>
      </w:r>
      <w:proofErr w:type="spellEnd"/>
      <w:r w:rsidRPr="00DD527C">
        <w:t xml:space="preserve"> RW, Emerick RJ, Embry LB &amp; Olson OE 1965. Effect of nitrate or nitrite administered continuously in drinking water for swine and sheep. </w:t>
      </w:r>
      <w:r w:rsidRPr="00DD527C">
        <w:rPr>
          <w:rFonts w:cstheme="minorHAnsi"/>
          <w:i/>
          <w:iCs/>
        </w:rPr>
        <w:t>Journal of Animal Science</w:t>
      </w:r>
      <w:r w:rsidRPr="00DD527C">
        <w:rPr>
          <w:rFonts w:ascii="TimesNewRoman,Italic" w:hAnsi="TimesNewRoman,Italic" w:cs="TimesNewRoman,Italic"/>
          <w:i/>
          <w:iCs/>
        </w:rPr>
        <w:t xml:space="preserve"> </w:t>
      </w:r>
      <w:r w:rsidRPr="00DD527C">
        <w:t>24</w:t>
      </w:r>
      <w:r>
        <w:t>:</w:t>
      </w:r>
      <w:r w:rsidRPr="00DD527C">
        <w:t>1014–1019.</w:t>
      </w:r>
    </w:p>
    <w:p w14:paraId="38E9BA5F" w14:textId="77777777" w:rsidR="00AB45C1" w:rsidRPr="003C6A1E" w:rsidRDefault="00AB45C1" w:rsidP="00CC241F">
      <w:r w:rsidRPr="003C6A1E">
        <w:t>Seifert M</w:t>
      </w:r>
      <w:r>
        <w:t xml:space="preserve">, McGregor GB, Eaglesham GK &amp; </w:t>
      </w:r>
      <w:proofErr w:type="spellStart"/>
      <w:r>
        <w:t>Wickramsinghe</w:t>
      </w:r>
      <w:proofErr w:type="spellEnd"/>
      <w:r>
        <w:t xml:space="preserve"> WE</w:t>
      </w:r>
      <w:r w:rsidRPr="003C6A1E">
        <w:t xml:space="preserve"> 2007</w:t>
      </w:r>
      <w:r>
        <w:t xml:space="preserve">. </w:t>
      </w:r>
      <w:r w:rsidRPr="003C6A1E">
        <w:t xml:space="preserve">First evidence </w:t>
      </w:r>
      <w:proofErr w:type="gramStart"/>
      <w:r w:rsidRPr="003C6A1E">
        <w:t>for the production of</w:t>
      </w:r>
      <w:proofErr w:type="gramEnd"/>
      <w:r w:rsidRPr="003C6A1E">
        <w:t xml:space="preserve"> </w:t>
      </w:r>
      <w:proofErr w:type="spellStart"/>
      <w:r w:rsidRPr="003C6A1E">
        <w:t>cylindrospermopsin</w:t>
      </w:r>
      <w:proofErr w:type="spellEnd"/>
      <w:r w:rsidRPr="003C6A1E">
        <w:t xml:space="preserve"> and deoxy-</w:t>
      </w:r>
      <w:proofErr w:type="spellStart"/>
      <w:r w:rsidRPr="003C6A1E">
        <w:t>cylindrospermopsin</w:t>
      </w:r>
      <w:proofErr w:type="spellEnd"/>
      <w:r w:rsidRPr="003C6A1E">
        <w:t xml:space="preserve"> by the freshwater benthic cyanobacterium, </w:t>
      </w:r>
      <w:proofErr w:type="spellStart"/>
      <w:r w:rsidRPr="007D6769">
        <w:rPr>
          <w:rStyle w:val="Emphasis"/>
        </w:rPr>
        <w:t>Lyngbya</w:t>
      </w:r>
      <w:proofErr w:type="spellEnd"/>
      <w:r w:rsidRPr="007D6769">
        <w:rPr>
          <w:rStyle w:val="Emphasis"/>
        </w:rPr>
        <w:t xml:space="preserve"> </w:t>
      </w:r>
      <w:proofErr w:type="spellStart"/>
      <w:r w:rsidRPr="007D6769">
        <w:rPr>
          <w:rStyle w:val="Emphasis"/>
        </w:rPr>
        <w:t>wollei</w:t>
      </w:r>
      <w:proofErr w:type="spellEnd"/>
      <w:r w:rsidRPr="003C6A1E">
        <w:t xml:space="preserve"> (Farlow ex </w:t>
      </w:r>
      <w:proofErr w:type="spellStart"/>
      <w:r w:rsidRPr="003C6A1E">
        <w:t>Gomont</w:t>
      </w:r>
      <w:proofErr w:type="spellEnd"/>
      <w:r w:rsidRPr="003C6A1E">
        <w:t>) Speziale and Dyck</w:t>
      </w:r>
      <w:r>
        <w:t>.</w:t>
      </w:r>
      <w:r w:rsidRPr="003C6A1E">
        <w:t xml:space="preserve"> </w:t>
      </w:r>
      <w:r w:rsidRPr="007D6769">
        <w:rPr>
          <w:rStyle w:val="Emphasis"/>
        </w:rPr>
        <w:t>Harmful Algae</w:t>
      </w:r>
      <w:r w:rsidRPr="003C6A1E">
        <w:t xml:space="preserve"> 6</w:t>
      </w:r>
      <w:r>
        <w:t>(</w:t>
      </w:r>
      <w:r w:rsidRPr="003C6A1E">
        <w:t>1</w:t>
      </w:r>
      <w:r>
        <w:t>):</w:t>
      </w:r>
      <w:r w:rsidRPr="003C6A1E">
        <w:t>73–80.</w:t>
      </w:r>
    </w:p>
    <w:p w14:paraId="799FA5E0" w14:textId="77777777" w:rsidR="00AB45C1" w:rsidRPr="003C6A1E" w:rsidRDefault="00AB45C1" w:rsidP="00C1087A">
      <w:proofErr w:type="spellStart"/>
      <w:r w:rsidRPr="003C6A1E">
        <w:t>Sendall</w:t>
      </w:r>
      <w:proofErr w:type="spellEnd"/>
      <w:r w:rsidRPr="003C6A1E">
        <w:t xml:space="preserve"> BC &amp; McGregor GB 2018</w:t>
      </w:r>
      <w:r>
        <w:t>.</w:t>
      </w:r>
      <w:r w:rsidRPr="003C6A1E">
        <w:t xml:space="preserve"> Cryptic diversity within the </w:t>
      </w:r>
      <w:proofErr w:type="spellStart"/>
      <w:r w:rsidRPr="003C6A1E">
        <w:t>Scytonema</w:t>
      </w:r>
      <w:proofErr w:type="spellEnd"/>
      <w:r w:rsidRPr="003C6A1E">
        <w:t xml:space="preserve"> complex: Characterization of the paralytic shellfish toxin producer </w:t>
      </w:r>
      <w:proofErr w:type="spellStart"/>
      <w:r w:rsidRPr="003E3C32">
        <w:rPr>
          <w:rStyle w:val="Emphasis"/>
        </w:rPr>
        <w:t>Heterosyctonema</w:t>
      </w:r>
      <w:proofErr w:type="spellEnd"/>
      <w:r w:rsidRPr="003E3C32">
        <w:rPr>
          <w:rStyle w:val="Emphasis"/>
        </w:rPr>
        <w:t xml:space="preserve"> </w:t>
      </w:r>
      <w:proofErr w:type="spellStart"/>
      <w:r w:rsidRPr="003E3C32">
        <w:rPr>
          <w:rStyle w:val="Emphasis"/>
        </w:rPr>
        <w:t>crispum</w:t>
      </w:r>
      <w:proofErr w:type="spellEnd"/>
      <w:r w:rsidRPr="003C6A1E">
        <w:t xml:space="preserve">, and the establishment of the family </w:t>
      </w:r>
      <w:proofErr w:type="spellStart"/>
      <w:r w:rsidRPr="003C6A1E">
        <w:t>Heteroscytonemataceae</w:t>
      </w:r>
      <w:proofErr w:type="spellEnd"/>
      <w:r w:rsidRPr="003C6A1E">
        <w:t xml:space="preserve"> (Cyanobacteria/</w:t>
      </w:r>
      <w:proofErr w:type="spellStart"/>
      <w:r w:rsidRPr="003C6A1E">
        <w:t>Nostocales</w:t>
      </w:r>
      <w:proofErr w:type="spellEnd"/>
      <w:r w:rsidRPr="003C6A1E">
        <w:t>)</w:t>
      </w:r>
      <w:r>
        <w:t>.</w:t>
      </w:r>
      <w:r w:rsidRPr="003C6A1E">
        <w:t xml:space="preserve"> </w:t>
      </w:r>
      <w:r w:rsidRPr="003E3C32">
        <w:rPr>
          <w:rStyle w:val="Emphasis"/>
        </w:rPr>
        <w:t>Harmful Algae</w:t>
      </w:r>
      <w:r w:rsidRPr="003C6A1E">
        <w:t xml:space="preserve"> 80</w:t>
      </w:r>
      <w:r>
        <w:t>:</w:t>
      </w:r>
      <w:r w:rsidRPr="003C6A1E">
        <w:t>158–170.</w:t>
      </w:r>
    </w:p>
    <w:p w14:paraId="7CAB7AA2" w14:textId="77777777" w:rsidR="00AB45C1" w:rsidRPr="003C6A1E" w:rsidRDefault="00AB45C1" w:rsidP="00C1087A">
      <w:pPr>
        <w:rPr>
          <w:rFonts w:eastAsia="Arial Unicode MS" w:cstheme="minorHAnsi"/>
          <w:color w:val="000000"/>
          <w:lang w:eastAsia="en-AU"/>
        </w:rPr>
      </w:pPr>
      <w:r w:rsidRPr="003C6A1E">
        <w:t>Sheftel VO 2000</w:t>
      </w:r>
      <w:r>
        <w:t>.</w:t>
      </w:r>
      <w:r w:rsidRPr="003C6A1E">
        <w:t xml:space="preserve"> </w:t>
      </w:r>
      <w:r w:rsidRPr="00CA51B0">
        <w:rPr>
          <w:i/>
          <w:iCs/>
        </w:rPr>
        <w:t>Indirect food additives and polymers: migration and toxicology</w:t>
      </w:r>
      <w:r>
        <w:t>.</w:t>
      </w:r>
      <w:r w:rsidRPr="003C6A1E">
        <w:t xml:space="preserve"> Lewis Publishers, Boca Raton, </w:t>
      </w:r>
      <w:r>
        <w:t>USA.</w:t>
      </w:r>
    </w:p>
    <w:p w14:paraId="598C8738" w14:textId="77777777" w:rsidR="00AB45C1" w:rsidRDefault="00AB45C1" w:rsidP="00C1087A">
      <w:r w:rsidRPr="00DD527C">
        <w:t>Singer RH 1976. Chronic lead poisoning in horses.</w:t>
      </w:r>
      <w:r w:rsidRPr="00DD527C">
        <w:rPr>
          <w:rFonts w:ascii="TimesNewRoman" w:hAnsi="TimesNewRoman" w:cs="TimesNewRoman"/>
          <w:sz w:val="18"/>
          <w:szCs w:val="18"/>
        </w:rPr>
        <w:t xml:space="preserve"> </w:t>
      </w:r>
      <w:r w:rsidRPr="00DD527C">
        <w:rPr>
          <w:i/>
        </w:rPr>
        <w:t>Proceedings of the Annual Meeting of the Association of Veterinary Laboratory Diagnosticians</w:t>
      </w:r>
      <w:r w:rsidRPr="00DD527C">
        <w:rPr>
          <w:rFonts w:ascii="TimesNewRoman,Italic" w:hAnsi="TimesNewRoman,Italic" w:cs="TimesNewRoman,Italic"/>
          <w:i/>
          <w:iCs/>
          <w:sz w:val="18"/>
          <w:szCs w:val="18"/>
        </w:rPr>
        <w:t xml:space="preserve"> </w:t>
      </w:r>
      <w:r w:rsidRPr="00DD527C">
        <w:t>18</w:t>
      </w:r>
      <w:r>
        <w:t>:</w:t>
      </w:r>
      <w:r w:rsidRPr="00DD527C">
        <w:t>395–405</w:t>
      </w:r>
      <w:r>
        <w:t>.</w:t>
      </w:r>
    </w:p>
    <w:p w14:paraId="7F2C5E9C" w14:textId="77777777" w:rsidR="00AB45C1" w:rsidRDefault="00AB45C1" w:rsidP="00A624FB">
      <w:r w:rsidRPr="00DD527C">
        <w:t xml:space="preserve">Smith HA, Jones TC &amp; Hunt RD 1974. </w:t>
      </w:r>
      <w:r w:rsidRPr="00DD527C">
        <w:rPr>
          <w:rFonts w:cstheme="minorHAnsi"/>
          <w:i/>
          <w:iCs/>
        </w:rPr>
        <w:t>Veterinary pathology</w:t>
      </w:r>
      <w:r w:rsidRPr="00DD527C">
        <w:rPr>
          <w:rFonts w:cstheme="minorHAnsi"/>
        </w:rPr>
        <w:t>.</w:t>
      </w:r>
      <w:r w:rsidRPr="00DD527C">
        <w:t xml:space="preserve"> 4th </w:t>
      </w:r>
      <w:proofErr w:type="spellStart"/>
      <w:r w:rsidRPr="00DD527C">
        <w:t>edn</w:t>
      </w:r>
      <w:proofErr w:type="spellEnd"/>
      <w:r w:rsidRPr="00DD527C">
        <w:t xml:space="preserve">, Lea &amp; </w:t>
      </w:r>
      <w:proofErr w:type="spellStart"/>
      <w:r w:rsidRPr="00DD527C">
        <w:t>Febiger</w:t>
      </w:r>
      <w:proofErr w:type="spellEnd"/>
      <w:r w:rsidRPr="00DD527C">
        <w:t>, Philadelphia, Pennsylvania.</w:t>
      </w:r>
    </w:p>
    <w:p w14:paraId="64367CC2" w14:textId="77777777" w:rsidR="00AB45C1" w:rsidRDefault="00AB45C1" w:rsidP="00693B40">
      <w:r w:rsidRPr="00DD527C">
        <w:t>Solomon R, Miron J, Ben-</w:t>
      </w:r>
      <w:proofErr w:type="spellStart"/>
      <w:r w:rsidRPr="00DD527C">
        <w:t>Ghedalia</w:t>
      </w:r>
      <w:proofErr w:type="spellEnd"/>
      <w:r w:rsidRPr="00DD527C">
        <w:t xml:space="preserve"> D &amp; Zomberg Z 1995. Performance of high producing dairy cows offered drinking water of high and low salinity in the Arava Desert. </w:t>
      </w:r>
      <w:r w:rsidRPr="00DD527C">
        <w:rPr>
          <w:rFonts w:cstheme="minorHAnsi"/>
          <w:i/>
          <w:iCs/>
        </w:rPr>
        <w:t>Journal of Dairy Science</w:t>
      </w:r>
      <w:r w:rsidRPr="00DD527C">
        <w:rPr>
          <w:rFonts w:ascii="TimesNewRoman,Italic" w:hAnsi="TimesNewRoman,Italic" w:cs="TimesNewRoman,Italic"/>
          <w:i/>
          <w:iCs/>
        </w:rPr>
        <w:t xml:space="preserve"> </w:t>
      </w:r>
      <w:r w:rsidRPr="00DD527C">
        <w:t>78</w:t>
      </w:r>
      <w:r>
        <w:t>:</w:t>
      </w:r>
      <w:r w:rsidRPr="00DD527C">
        <w:t>620–624</w:t>
      </w:r>
      <w:r>
        <w:t>.</w:t>
      </w:r>
    </w:p>
    <w:p w14:paraId="195D0282" w14:textId="77777777" w:rsidR="00AB45C1" w:rsidRDefault="00AB45C1" w:rsidP="00693B40">
      <w:r w:rsidRPr="00DD527C">
        <w:t xml:space="preserve">Sorensen MT, Jensen BB &amp; Poulsen HD 1994. Nitrate and pig manure in drinking water to early weaned piglets and growing pigs. </w:t>
      </w:r>
      <w:r w:rsidRPr="00DD527C">
        <w:rPr>
          <w:rFonts w:cstheme="minorHAnsi"/>
          <w:i/>
          <w:iCs/>
        </w:rPr>
        <w:t>Livestock Production Science</w:t>
      </w:r>
      <w:r w:rsidRPr="00DD527C">
        <w:rPr>
          <w:rFonts w:ascii="TimesNewRoman,Italic" w:hAnsi="TimesNewRoman,Italic" w:cs="TimesNewRoman,Italic"/>
          <w:i/>
          <w:iCs/>
        </w:rPr>
        <w:t xml:space="preserve"> </w:t>
      </w:r>
      <w:r w:rsidRPr="00DD527C">
        <w:t>39</w:t>
      </w:r>
      <w:r>
        <w:t>:</w:t>
      </w:r>
      <w:r w:rsidRPr="00DD527C">
        <w:t>223–227.</w:t>
      </w:r>
    </w:p>
    <w:p w14:paraId="2035FB83" w14:textId="77777777" w:rsidR="00AB45C1" w:rsidRDefault="00AB45C1" w:rsidP="007474D8">
      <w:r w:rsidRPr="00C44017">
        <w:t xml:space="preserve">Steffensen D, Burch M, Nicholson B, </w:t>
      </w:r>
      <w:proofErr w:type="spellStart"/>
      <w:r w:rsidRPr="00C44017">
        <w:t>Drikas</w:t>
      </w:r>
      <w:proofErr w:type="spellEnd"/>
      <w:r w:rsidRPr="00C44017">
        <w:t xml:space="preserve"> M &amp; Baker P 1998. Management of toxic blue-green algae (</w:t>
      </w:r>
      <w:r>
        <w:t>c</w:t>
      </w:r>
      <w:r w:rsidRPr="00C44017">
        <w:t xml:space="preserve">yanobacteria) in Australia. </w:t>
      </w:r>
      <w:r w:rsidRPr="00C44017">
        <w:rPr>
          <w:rFonts w:cstheme="minorHAnsi"/>
          <w:i/>
          <w:iCs/>
        </w:rPr>
        <w:t>Environmental Toxicology</w:t>
      </w:r>
      <w:r w:rsidRPr="00C44017">
        <w:rPr>
          <w:rFonts w:ascii="TimesNewRoman,Italic" w:hAnsi="TimesNewRoman,Italic" w:cs="TimesNewRoman,Italic"/>
          <w:i/>
          <w:iCs/>
        </w:rPr>
        <w:t xml:space="preserve"> </w:t>
      </w:r>
      <w:r w:rsidRPr="00C44017">
        <w:t>14</w:t>
      </w:r>
      <w:r>
        <w:t>:</w:t>
      </w:r>
      <w:r w:rsidRPr="00C44017">
        <w:t>183–195.</w:t>
      </w:r>
    </w:p>
    <w:p w14:paraId="51FE929A" w14:textId="77777777" w:rsidR="00AB45C1" w:rsidRDefault="00AB45C1" w:rsidP="00C1087A">
      <w:r w:rsidRPr="003C6A1E">
        <w:t>Stout MD</w:t>
      </w:r>
      <w:r>
        <w:t xml:space="preserve">, Herbert RA, Kissling GE, Collins BJ, Travlos GS, Witt KL, Melnick RL, Abdo KM, Malarkey DE &amp; </w:t>
      </w:r>
      <w:proofErr w:type="spellStart"/>
      <w:r>
        <w:t>Hooth</w:t>
      </w:r>
      <w:proofErr w:type="spellEnd"/>
      <w:r>
        <w:t xml:space="preserve"> MJ</w:t>
      </w:r>
      <w:r w:rsidRPr="003C6A1E">
        <w:t xml:space="preserve"> 2009</w:t>
      </w:r>
      <w:r>
        <w:t>.</w:t>
      </w:r>
      <w:r w:rsidRPr="003C6A1E">
        <w:t xml:space="preserve"> Hexavalent chromium is carcinogenic to F344/N </w:t>
      </w:r>
      <w:proofErr w:type="spellStart"/>
      <w:r w:rsidRPr="003C6A1E">
        <w:t>rats</w:t>
      </w:r>
      <w:proofErr w:type="spellEnd"/>
      <w:r w:rsidRPr="003C6A1E">
        <w:t xml:space="preserve"> and B6C3F1 mice after chronic oral exposure</w:t>
      </w:r>
      <w:r>
        <w:t>.</w:t>
      </w:r>
      <w:r w:rsidRPr="003C6A1E">
        <w:t xml:space="preserve"> </w:t>
      </w:r>
      <w:r w:rsidRPr="00F3468D">
        <w:rPr>
          <w:rStyle w:val="Emphasis"/>
        </w:rPr>
        <w:t>Environmental Health Perspectives</w:t>
      </w:r>
      <w:r w:rsidRPr="003C6A1E">
        <w:t xml:space="preserve"> 117</w:t>
      </w:r>
      <w:r>
        <w:t>(</w:t>
      </w:r>
      <w:r w:rsidRPr="003C6A1E">
        <w:t>5</w:t>
      </w:r>
      <w:r>
        <w:t>):</w:t>
      </w:r>
      <w:r w:rsidRPr="003C6A1E">
        <w:t>716–722.</w:t>
      </w:r>
    </w:p>
    <w:p w14:paraId="2E4AF8C3" w14:textId="77777777" w:rsidR="00AB45C1" w:rsidRPr="003C6A1E" w:rsidRDefault="00AB45C1" w:rsidP="00C1087A">
      <w:r w:rsidRPr="003C6A1E">
        <w:lastRenderedPageBreak/>
        <w:t>Sun S, Liu M &amp; Hou J 2007</w:t>
      </w:r>
      <w:r>
        <w:t>.</w:t>
      </w:r>
      <w:r w:rsidRPr="003C6A1E">
        <w:t xml:space="preserve"> Teratogenicity and mutagenicity of molybdenum on rats</w:t>
      </w:r>
      <w:r>
        <w:t>.</w:t>
      </w:r>
      <w:r w:rsidRPr="003C6A1E">
        <w:t xml:space="preserve"> </w:t>
      </w:r>
      <w:r w:rsidRPr="00E97555">
        <w:rPr>
          <w:rStyle w:val="Emphasis"/>
        </w:rPr>
        <w:t>Carcinogenicity, Teratogenicity and Mutagenicity</w:t>
      </w:r>
      <w:r w:rsidRPr="003C6A1E">
        <w:t xml:space="preserve"> 19</w:t>
      </w:r>
      <w:r>
        <w:t>:</w:t>
      </w:r>
      <w:r w:rsidRPr="003C6A1E">
        <w:t>250</w:t>
      </w:r>
      <w:r>
        <w:t>–</w:t>
      </w:r>
      <w:r w:rsidRPr="003C6A1E">
        <w:t>253.</w:t>
      </w:r>
    </w:p>
    <w:p w14:paraId="0D360A03" w14:textId="77777777" w:rsidR="00AB45C1" w:rsidRDefault="00AB45C1" w:rsidP="00382B53">
      <w:r w:rsidRPr="00DD527C">
        <w:t xml:space="preserve">Supplee WC 1961. Production of zinc deficiency in turkey poults by dietary cadmium. </w:t>
      </w:r>
      <w:r w:rsidRPr="00DD527C">
        <w:rPr>
          <w:rFonts w:cstheme="minorHAnsi"/>
          <w:i/>
          <w:iCs/>
        </w:rPr>
        <w:t>Poultry Science</w:t>
      </w:r>
      <w:r w:rsidRPr="00DD527C">
        <w:rPr>
          <w:rFonts w:ascii="TimesNewRoman,Italic" w:hAnsi="TimesNewRoman,Italic" w:cs="TimesNewRoman,Italic"/>
          <w:i/>
          <w:iCs/>
        </w:rPr>
        <w:t xml:space="preserve"> </w:t>
      </w:r>
      <w:r w:rsidRPr="00DD527C">
        <w:t>40</w:t>
      </w:r>
      <w:r>
        <w:t>:</w:t>
      </w:r>
      <w:r w:rsidRPr="00DD527C">
        <w:t>827–828.</w:t>
      </w:r>
    </w:p>
    <w:p w14:paraId="6D2ADF44" w14:textId="77777777" w:rsidR="00AB45C1" w:rsidRDefault="00AB45C1" w:rsidP="00C1087A">
      <w:r>
        <w:t xml:space="preserve">Sydney Catchment Authority 2010. </w:t>
      </w:r>
      <w:r w:rsidRPr="009F1120">
        <w:rPr>
          <w:i/>
          <w:iCs/>
        </w:rPr>
        <w:t>Cyanobacteria risk profile</w:t>
      </w:r>
      <w:r>
        <w:t>, NSW Government, Sydney.</w:t>
      </w:r>
    </w:p>
    <w:p w14:paraId="20C42D2A" w14:textId="77777777" w:rsidR="00AB45C1" w:rsidRPr="003C6A1E" w:rsidRDefault="00AB45C1" w:rsidP="00C1087A">
      <w:r w:rsidRPr="003C6A1E">
        <w:t xml:space="preserve">Tanji K &amp; </w:t>
      </w:r>
      <w:proofErr w:type="spellStart"/>
      <w:r w:rsidRPr="003C6A1E">
        <w:t>Kielen</w:t>
      </w:r>
      <w:proofErr w:type="spellEnd"/>
      <w:r w:rsidRPr="003C6A1E">
        <w:t xml:space="preserve"> N 2002</w:t>
      </w:r>
      <w:r>
        <w:t xml:space="preserve">. </w:t>
      </w:r>
      <w:r w:rsidRPr="00CA51B0">
        <w:rPr>
          <w:i/>
          <w:iCs/>
        </w:rPr>
        <w:t>Agricultural drainage water management in arid and semi-arid areas,</w:t>
      </w:r>
      <w:r w:rsidRPr="003C6A1E">
        <w:t xml:space="preserve"> Irrigation and Drainage Paper 61</w:t>
      </w:r>
      <w:r>
        <w:t>.</w:t>
      </w:r>
      <w:r w:rsidRPr="003C6A1E">
        <w:t xml:space="preserve"> Food and Agriculture Organisation of the United Nations, Italy.</w:t>
      </w:r>
    </w:p>
    <w:p w14:paraId="210568AB" w14:textId="77777777" w:rsidR="00AB45C1" w:rsidRPr="003C6A1E" w:rsidRDefault="00AB45C1" w:rsidP="0074010E">
      <w:r>
        <w:t>T</w:t>
      </w:r>
      <w:r w:rsidRPr="003C6A1E">
        <w:t>EPA 2011</w:t>
      </w:r>
      <w:r>
        <w:t>.</w:t>
      </w:r>
      <w:r w:rsidRPr="003C6A1E">
        <w:t xml:space="preserve"> </w:t>
      </w:r>
      <w:r w:rsidRPr="00CA51B0">
        <w:rPr>
          <w:rStyle w:val="Heading5Char"/>
          <w:rFonts w:asciiTheme="minorHAnsi" w:eastAsia="Calibri" w:hAnsiTheme="minorHAnsi"/>
          <w:b w:val="0"/>
          <w:i/>
          <w:iCs/>
        </w:rPr>
        <w:t>Guidelines for managing blue–green algae (cyanobacteria) blooms in sewage treatment lagoons</w:t>
      </w:r>
      <w:r w:rsidRPr="003C6A1E">
        <w:rPr>
          <w:rStyle w:val="Heading5Char"/>
          <w:rFonts w:asciiTheme="minorHAnsi" w:eastAsia="Calibri" w:hAnsiTheme="minorHAnsi"/>
          <w:b w:val="0"/>
        </w:rPr>
        <w:t>,</w:t>
      </w:r>
      <w:r w:rsidRPr="003C6A1E">
        <w:t xml:space="preserve"> EPA Division, Division of Primary Industries, Parks, Water and Environment.</w:t>
      </w:r>
    </w:p>
    <w:p w14:paraId="678D3BBD" w14:textId="77777777" w:rsidR="00AB45C1" w:rsidRDefault="00AB45C1" w:rsidP="00E06D19">
      <w:r w:rsidRPr="000A084B">
        <w:t xml:space="preserve">Thompson A, Hansard SL &amp; Bell MC 1959. The influence of </w:t>
      </w:r>
      <w:proofErr w:type="spellStart"/>
      <w:r w:rsidRPr="000A084B">
        <w:t>aluminum</w:t>
      </w:r>
      <w:proofErr w:type="spellEnd"/>
      <w:r w:rsidRPr="000A084B">
        <w:t xml:space="preserve"> and zinc upon the absorption and retention of calcium and phosphorus in lambs. </w:t>
      </w:r>
      <w:r w:rsidRPr="000A084B">
        <w:rPr>
          <w:rFonts w:cstheme="minorHAnsi"/>
          <w:i/>
          <w:iCs/>
        </w:rPr>
        <w:t>Journal of Animal Science</w:t>
      </w:r>
      <w:r w:rsidRPr="000A084B">
        <w:rPr>
          <w:rFonts w:ascii="TimesNewRoman,Italic" w:hAnsi="TimesNewRoman,Italic" w:cs="TimesNewRoman,Italic"/>
          <w:i/>
          <w:iCs/>
        </w:rPr>
        <w:t xml:space="preserve"> </w:t>
      </w:r>
      <w:r w:rsidRPr="000A084B">
        <w:t>18</w:t>
      </w:r>
      <w:r>
        <w:t>:</w:t>
      </w:r>
      <w:r w:rsidRPr="000A084B">
        <w:t>187</w:t>
      </w:r>
      <w:r w:rsidRPr="00180D93">
        <w:t>.</w:t>
      </w:r>
    </w:p>
    <w:p w14:paraId="3039B6C6" w14:textId="3E38D461" w:rsidR="00AB45C1" w:rsidRDefault="00AB45C1" w:rsidP="00152852">
      <w:r>
        <w:t xml:space="preserve">Thompson LJ 2022. Nitrate and nitrite poisoning in animals. In: </w:t>
      </w:r>
      <w:hyperlink r:id="rId88" w:history="1">
        <w:r w:rsidRPr="00AA1245">
          <w:rPr>
            <w:rStyle w:val="Hyperlink"/>
          </w:rPr>
          <w:t>MSD Veterinary Manual</w:t>
        </w:r>
      </w:hyperlink>
      <w:r>
        <w:t xml:space="preserve">, Merck &amp; Co, USA. At: </w:t>
      </w:r>
      <w:hyperlink r:id="rId89" w:history="1">
        <w:r>
          <w:rPr>
            <w:rStyle w:val="Hyperlink"/>
          </w:rPr>
          <w:t>Nitrate and Nitrite Poisoning in Animals - Toxicology - MSD Veterinary Manual (msdvetmanual.com)</w:t>
        </w:r>
      </w:hyperlink>
      <w:r>
        <w:t>.</w:t>
      </w:r>
    </w:p>
    <w:p w14:paraId="3125A019" w14:textId="77777777" w:rsidR="00AB45C1" w:rsidRDefault="00AB45C1" w:rsidP="00000BAA">
      <w:pPr>
        <w:rPr>
          <w:rFonts w:ascii="Arial" w:hAnsi="Arial" w:cs="Arial"/>
          <w:sz w:val="20"/>
          <w:szCs w:val="20"/>
        </w:rPr>
      </w:pPr>
      <w:r w:rsidRPr="00D82148">
        <w:t xml:space="preserve">Underwood EJ 1971. </w:t>
      </w:r>
      <w:r w:rsidRPr="00D82148">
        <w:rPr>
          <w:rFonts w:cstheme="minorHAnsi"/>
          <w:i/>
          <w:iCs/>
        </w:rPr>
        <w:t>Trace elements in human and animal nutrition</w:t>
      </w:r>
      <w:r w:rsidRPr="00D82148">
        <w:rPr>
          <w:rFonts w:cstheme="minorHAnsi"/>
        </w:rPr>
        <w:t>.</w:t>
      </w:r>
      <w:r w:rsidRPr="00D82148">
        <w:t xml:space="preserve"> 3rd </w:t>
      </w:r>
      <w:proofErr w:type="spellStart"/>
      <w:r w:rsidRPr="00D82148">
        <w:t>edn</w:t>
      </w:r>
      <w:proofErr w:type="spellEnd"/>
      <w:r>
        <w:t>,</w:t>
      </w:r>
      <w:r w:rsidRPr="00ED106E">
        <w:rPr>
          <w:rFonts w:ascii="Arial" w:hAnsi="Arial" w:cs="Arial"/>
          <w:sz w:val="20"/>
          <w:szCs w:val="20"/>
        </w:rPr>
        <w:t xml:space="preserve"> </w:t>
      </w:r>
      <w:r w:rsidRPr="00D82148">
        <w:rPr>
          <w:rFonts w:ascii="Arial" w:hAnsi="Arial" w:cs="Arial"/>
          <w:sz w:val="20"/>
          <w:szCs w:val="20"/>
        </w:rPr>
        <w:t>October 2000</w:t>
      </w:r>
      <w:r w:rsidRPr="00D82148">
        <w:t>, Academic Press Inc, New York.</w:t>
      </w:r>
      <w:r w:rsidRPr="00D82148">
        <w:rPr>
          <w:rFonts w:ascii="Arial" w:hAnsi="Arial" w:cs="Arial"/>
          <w:sz w:val="20"/>
          <w:szCs w:val="20"/>
        </w:rPr>
        <w:t xml:space="preserve"> </w:t>
      </w:r>
    </w:p>
    <w:p w14:paraId="0B7BB494" w14:textId="77777777" w:rsidR="00AB45C1" w:rsidRPr="007D2B16" w:rsidRDefault="00AB45C1" w:rsidP="00000BAA">
      <w:r w:rsidRPr="002F1265">
        <w:t xml:space="preserve">Underwood EJ 1977. Cobalt. In </w:t>
      </w:r>
      <w:r w:rsidRPr="002F1265">
        <w:rPr>
          <w:i/>
          <w:iCs/>
        </w:rPr>
        <w:t>Trace elements in human and animal nutrition</w:t>
      </w:r>
      <w:r w:rsidRPr="002F1265">
        <w:t xml:space="preserve">, Underwood EJ (ed) 4th </w:t>
      </w:r>
      <w:proofErr w:type="spellStart"/>
      <w:r w:rsidRPr="002F1265">
        <w:t>edn</w:t>
      </w:r>
      <w:proofErr w:type="spellEnd"/>
      <w:r w:rsidRPr="002F1265">
        <w:t>, Academic Press</w:t>
      </w:r>
      <w:r>
        <w:t>,</w:t>
      </w:r>
      <w:r w:rsidRPr="002F1265">
        <w:t xml:space="preserve"> </w:t>
      </w:r>
      <w:r>
        <w:t>N</w:t>
      </w:r>
      <w:r w:rsidRPr="002F1265">
        <w:t>ew York.</w:t>
      </w:r>
    </w:p>
    <w:p w14:paraId="23CB4EE9" w14:textId="77777777" w:rsidR="00AB45C1" w:rsidRPr="002F1265" w:rsidRDefault="00AB45C1" w:rsidP="002F1265">
      <w:pPr>
        <w:shd w:val="clear" w:color="auto" w:fill="FFFFFF"/>
        <w:spacing w:after="0" w:line="0" w:lineRule="auto"/>
        <w:rPr>
          <w:rFonts w:ascii="ff2" w:eastAsia="Times New Roman" w:hAnsi="ff2" w:cs="Times New Roman"/>
          <w:color w:val="000000"/>
          <w:sz w:val="51"/>
          <w:szCs w:val="51"/>
          <w:lang w:eastAsia="en-AU"/>
        </w:rPr>
      </w:pPr>
      <w:r w:rsidRPr="002F1265">
        <w:rPr>
          <w:rFonts w:ascii="ff2" w:eastAsia="Times New Roman" w:hAnsi="ff2" w:cs="Times New Roman"/>
          <w:color w:val="000000"/>
          <w:sz w:val="51"/>
          <w:szCs w:val="51"/>
          <w:lang w:eastAsia="en-AU"/>
        </w:rPr>
        <w:t xml:space="preserve">Underwood, E. J., 1977. 5 </w:t>
      </w:r>
      <w:r w:rsidRPr="002F1265">
        <w:rPr>
          <w:rFonts w:ascii="ffa" w:eastAsia="Times New Roman" w:hAnsi="ffa" w:cs="Times New Roman"/>
          <w:color w:val="000000"/>
          <w:spacing w:val="168"/>
          <w:sz w:val="51"/>
          <w:szCs w:val="51"/>
          <w:lang w:eastAsia="en-AU"/>
        </w:rPr>
        <w:t>–</w:t>
      </w:r>
      <w:r w:rsidRPr="002F1265">
        <w:rPr>
          <w:rFonts w:ascii="ff2" w:eastAsia="Times New Roman" w:hAnsi="ff2" w:cs="Times New Roman"/>
          <w:color w:val="000000"/>
          <w:sz w:val="51"/>
          <w:szCs w:val="51"/>
          <w:lang w:eastAsia="en-AU"/>
        </w:rPr>
        <w:t xml:space="preserve">Cobalt. In Underwood, E. J., (ed), </w:t>
      </w:r>
      <w:r w:rsidRPr="002F1265">
        <w:rPr>
          <w:rFonts w:ascii="ff4" w:eastAsia="Times New Roman" w:hAnsi="ff4" w:cs="Times New Roman"/>
          <w:color w:val="000000"/>
          <w:sz w:val="51"/>
          <w:szCs w:val="51"/>
          <w:lang w:eastAsia="en-AU"/>
        </w:rPr>
        <w:t>Trace</w:t>
      </w:r>
    </w:p>
    <w:p w14:paraId="499EFC83" w14:textId="77777777" w:rsidR="00AB45C1" w:rsidRPr="002F1265" w:rsidRDefault="00AB45C1" w:rsidP="002F1265">
      <w:pPr>
        <w:shd w:val="clear" w:color="auto" w:fill="FFFFFF"/>
        <w:spacing w:after="0" w:line="0" w:lineRule="auto"/>
        <w:rPr>
          <w:rFonts w:ascii="ff2" w:eastAsia="Times New Roman" w:hAnsi="ff2" w:cs="Times New Roman"/>
          <w:color w:val="000000"/>
          <w:sz w:val="51"/>
          <w:szCs w:val="51"/>
          <w:lang w:eastAsia="en-AU"/>
        </w:rPr>
      </w:pPr>
      <w:r w:rsidRPr="002F1265">
        <w:rPr>
          <w:rFonts w:ascii="ff2" w:eastAsia="Times New Roman" w:hAnsi="ff2" w:cs="Times New Roman"/>
          <w:color w:val="000000"/>
          <w:sz w:val="51"/>
          <w:szCs w:val="51"/>
          <w:lang w:eastAsia="en-AU"/>
        </w:rPr>
        <w:t xml:space="preserve">Underwood, E. J., 1977. 5 </w:t>
      </w:r>
      <w:r w:rsidRPr="002F1265">
        <w:rPr>
          <w:rFonts w:ascii="ffa" w:eastAsia="Times New Roman" w:hAnsi="ffa" w:cs="Times New Roman"/>
          <w:color w:val="000000"/>
          <w:spacing w:val="168"/>
          <w:sz w:val="51"/>
          <w:szCs w:val="51"/>
          <w:lang w:eastAsia="en-AU"/>
        </w:rPr>
        <w:t>–</w:t>
      </w:r>
      <w:r w:rsidRPr="002F1265">
        <w:rPr>
          <w:rFonts w:ascii="ff2" w:eastAsia="Times New Roman" w:hAnsi="ff2" w:cs="Times New Roman"/>
          <w:color w:val="000000"/>
          <w:sz w:val="51"/>
          <w:szCs w:val="51"/>
          <w:lang w:eastAsia="en-AU"/>
        </w:rPr>
        <w:t xml:space="preserve">Cobalt. In Underwood, E. J., (ed), </w:t>
      </w:r>
      <w:r w:rsidRPr="002F1265">
        <w:rPr>
          <w:rFonts w:ascii="ff4" w:eastAsia="Times New Roman" w:hAnsi="ff4" w:cs="Times New Roman"/>
          <w:color w:val="000000"/>
          <w:sz w:val="51"/>
          <w:szCs w:val="51"/>
          <w:lang w:eastAsia="en-AU"/>
        </w:rPr>
        <w:t>Trace</w:t>
      </w:r>
    </w:p>
    <w:p w14:paraId="734A0C72" w14:textId="77777777" w:rsidR="00AB45C1" w:rsidRPr="003C6A1E" w:rsidRDefault="00AB45C1" w:rsidP="00C1087A">
      <w:r w:rsidRPr="003C6A1E">
        <w:t>USDA 2009</w:t>
      </w:r>
      <w:r>
        <w:t>.</w:t>
      </w:r>
      <w:r w:rsidRPr="003C6A1E">
        <w:t xml:space="preserve"> </w:t>
      </w:r>
      <w:r w:rsidRPr="00CA51B0">
        <w:rPr>
          <w:i/>
          <w:iCs/>
        </w:rPr>
        <w:t>Agricultural Waste Management Field Handbook</w:t>
      </w:r>
      <w:r w:rsidRPr="003C6A1E">
        <w:t xml:space="preserve">, Chapter 1: Laws, Regulations, </w:t>
      </w:r>
      <w:proofErr w:type="gramStart"/>
      <w:r w:rsidRPr="003C6A1E">
        <w:t>Policy</w:t>
      </w:r>
      <w:proofErr w:type="gramEnd"/>
      <w:r w:rsidRPr="003C6A1E">
        <w:t xml:space="preserve"> and Water Quality Criteria</w:t>
      </w:r>
      <w:r>
        <w:t>.</w:t>
      </w:r>
      <w:r w:rsidRPr="003C6A1E">
        <w:t xml:space="preserve"> United States Department of Agriculture, Natural Resources Conservation Service</w:t>
      </w:r>
      <w:r>
        <w:t>.</w:t>
      </w:r>
    </w:p>
    <w:p w14:paraId="7ACC6FF7" w14:textId="77777777" w:rsidR="00AB45C1" w:rsidRPr="00B760DA" w:rsidRDefault="00AB45C1" w:rsidP="009C677F">
      <w:pPr>
        <w:shd w:val="clear" w:color="auto" w:fill="FFFFFF"/>
        <w:spacing w:after="150" w:line="240" w:lineRule="auto"/>
      </w:pPr>
      <w:r w:rsidRPr="00B760DA">
        <w:t>USEPA 1976. </w:t>
      </w:r>
      <w:r w:rsidRPr="00B760DA">
        <w:rPr>
          <w:i/>
          <w:iCs/>
        </w:rPr>
        <w:t>Quality criteria for water.</w:t>
      </w:r>
      <w:r w:rsidRPr="00B760DA">
        <w:t xml:space="preserve"> Office of Planning and Water, US Environmental Protection Agency, Washington DC. </w:t>
      </w:r>
    </w:p>
    <w:p w14:paraId="0FF04EFE" w14:textId="77777777" w:rsidR="00AB45C1" w:rsidRDefault="00AB45C1" w:rsidP="006C6425">
      <w:r w:rsidRPr="00D82148">
        <w:t xml:space="preserve">USEPA 1992. </w:t>
      </w:r>
      <w:r w:rsidRPr="00D82148">
        <w:rPr>
          <w:rFonts w:cstheme="minorHAnsi"/>
          <w:i/>
          <w:iCs/>
        </w:rPr>
        <w:t>Manual</w:t>
      </w:r>
      <w:r w:rsidRPr="00D82148">
        <w:rPr>
          <w:rFonts w:cstheme="minorHAnsi"/>
        </w:rPr>
        <w:t xml:space="preserve">: </w:t>
      </w:r>
      <w:r w:rsidRPr="00D82148">
        <w:rPr>
          <w:rFonts w:cstheme="minorHAnsi"/>
          <w:i/>
          <w:iCs/>
        </w:rPr>
        <w:t>Guidelines for water reuse</w:t>
      </w:r>
      <w:r w:rsidRPr="00D82148">
        <w:t>. Technical report 81, United States Environmental Protection Agency, Office of Water &amp; Office of Research and Development, Washington DC.</w:t>
      </w:r>
    </w:p>
    <w:p w14:paraId="11132E48" w14:textId="77777777" w:rsidR="00AB45C1" w:rsidRPr="003C6A1E" w:rsidRDefault="00AB45C1" w:rsidP="00C1087A">
      <w:r w:rsidRPr="003C6A1E">
        <w:t xml:space="preserve">Vaessen HAMG &amp; </w:t>
      </w:r>
      <w:proofErr w:type="spellStart"/>
      <w:r w:rsidRPr="003C6A1E">
        <w:t>Szteke</w:t>
      </w:r>
      <w:proofErr w:type="spellEnd"/>
      <w:r w:rsidRPr="003C6A1E">
        <w:t xml:space="preserve"> B 2000</w:t>
      </w:r>
      <w:r>
        <w:t xml:space="preserve">. </w:t>
      </w:r>
      <w:r w:rsidRPr="003C6A1E">
        <w:t xml:space="preserve">Beryllium in food and drinking water </w:t>
      </w:r>
      <w:r>
        <w:t>–</w:t>
      </w:r>
      <w:r w:rsidRPr="003C6A1E">
        <w:t xml:space="preserve"> </w:t>
      </w:r>
      <w:r>
        <w:t>A</w:t>
      </w:r>
      <w:r w:rsidRPr="003C6A1E">
        <w:t xml:space="preserve"> summary of available knowledge</w:t>
      </w:r>
      <w:r>
        <w:t>.</w:t>
      </w:r>
      <w:r w:rsidRPr="003C6A1E">
        <w:t xml:space="preserve"> </w:t>
      </w:r>
      <w:r w:rsidRPr="00B71F33">
        <w:rPr>
          <w:rStyle w:val="Emphasis"/>
        </w:rPr>
        <w:t>Food Additives and Contaminants</w:t>
      </w:r>
      <w:r w:rsidRPr="003C6A1E">
        <w:t xml:space="preserve"> 17</w:t>
      </w:r>
      <w:r>
        <w:t>(</w:t>
      </w:r>
      <w:r w:rsidRPr="003C6A1E">
        <w:t>2</w:t>
      </w:r>
      <w:r>
        <w:t>):</w:t>
      </w:r>
      <w:r w:rsidRPr="003C6A1E">
        <w:t>149–159.</w:t>
      </w:r>
    </w:p>
    <w:p w14:paraId="27E348FD" w14:textId="77777777" w:rsidR="00AB45C1" w:rsidRDefault="00AB45C1" w:rsidP="00B30EC3">
      <w:r w:rsidRPr="00D82148">
        <w:t xml:space="preserve">Valdivia R, Ammerman CB, Wilcox CJ &amp; Henry PR 1978. Effect of dietary aluminium on animal performance and tissue minerals levels in growing steers. </w:t>
      </w:r>
      <w:r w:rsidRPr="00D82148">
        <w:rPr>
          <w:rFonts w:cstheme="minorHAnsi"/>
          <w:i/>
          <w:iCs/>
        </w:rPr>
        <w:t xml:space="preserve">Journal of Animal Science </w:t>
      </w:r>
      <w:r w:rsidRPr="00D82148">
        <w:t>47</w:t>
      </w:r>
      <w:r>
        <w:t>:</w:t>
      </w:r>
      <w:r w:rsidRPr="00D82148">
        <w:t>1351–1356.</w:t>
      </w:r>
    </w:p>
    <w:p w14:paraId="5573DAAA" w14:textId="25386535" w:rsidR="00AB45C1" w:rsidRDefault="00AB45C1" w:rsidP="00843444">
      <w:pPr>
        <w:rPr>
          <w:rStyle w:val="Emphasis"/>
          <w:i w:val="0"/>
          <w:iCs w:val="0"/>
        </w:rPr>
      </w:pPr>
      <w:r w:rsidRPr="005A302D">
        <w:rPr>
          <w:rStyle w:val="Emphasis"/>
          <w:i w:val="0"/>
          <w:iCs w:val="0"/>
        </w:rPr>
        <w:t>van der Merwe</w:t>
      </w:r>
      <w:r>
        <w:rPr>
          <w:rStyle w:val="Emphasis"/>
          <w:i w:val="0"/>
          <w:iCs w:val="0"/>
        </w:rPr>
        <w:t xml:space="preserve"> D</w:t>
      </w:r>
      <w:r w:rsidRPr="005A302D">
        <w:rPr>
          <w:rStyle w:val="Emphasis"/>
          <w:i w:val="0"/>
          <w:iCs w:val="0"/>
        </w:rPr>
        <w:t xml:space="preserve"> 2015</w:t>
      </w:r>
      <w:r>
        <w:rPr>
          <w:rStyle w:val="Emphasis"/>
          <w:i w:val="0"/>
          <w:iCs w:val="0"/>
        </w:rPr>
        <w:t xml:space="preserve">. Cyanobacterial (blue-green algae) toxins. In </w:t>
      </w:r>
      <w:r w:rsidRPr="00B760DA">
        <w:rPr>
          <w:rStyle w:val="Emphasis"/>
        </w:rPr>
        <w:t>Handbook of toxicology of chemical warfare agents,</w:t>
      </w:r>
      <w:r>
        <w:rPr>
          <w:rStyle w:val="Emphasis"/>
          <w:i w:val="0"/>
          <w:iCs w:val="0"/>
        </w:rPr>
        <w:t xml:space="preserve"> second </w:t>
      </w:r>
      <w:proofErr w:type="spellStart"/>
      <w:r>
        <w:rPr>
          <w:rStyle w:val="Emphasis"/>
          <w:i w:val="0"/>
          <w:iCs w:val="0"/>
        </w:rPr>
        <w:t>edn</w:t>
      </w:r>
      <w:proofErr w:type="spellEnd"/>
      <w:r>
        <w:rPr>
          <w:rStyle w:val="Emphasis"/>
          <w:i w:val="0"/>
          <w:iCs w:val="0"/>
        </w:rPr>
        <w:t>. Editor Gupta RC, Elsevier.</w:t>
      </w:r>
    </w:p>
    <w:p w14:paraId="589893E8" w14:textId="77777777" w:rsidR="00AB45C1" w:rsidRPr="007449B6" w:rsidRDefault="00AB45C1" w:rsidP="00843444">
      <w:pPr>
        <w:rPr>
          <w:bCs/>
        </w:rPr>
      </w:pPr>
      <w:r w:rsidRPr="00254357">
        <w:rPr>
          <w:bCs/>
        </w:rPr>
        <w:t xml:space="preserve">van </w:t>
      </w:r>
      <w:proofErr w:type="spellStart"/>
      <w:r w:rsidRPr="00254357">
        <w:rPr>
          <w:bCs/>
        </w:rPr>
        <w:t>Heugten</w:t>
      </w:r>
      <w:proofErr w:type="spellEnd"/>
      <w:r w:rsidRPr="00254357">
        <w:rPr>
          <w:bCs/>
        </w:rPr>
        <w:t xml:space="preserve"> E 2000, </w:t>
      </w:r>
      <w:r w:rsidRPr="00A55834">
        <w:t>Guidelines for water quality in pigs</w:t>
      </w:r>
      <w:r w:rsidRPr="00254357">
        <w:rPr>
          <w:bCs/>
        </w:rPr>
        <w:t>, North Carolina State University Publication Number ANS00-811S</w:t>
      </w:r>
      <w:r>
        <w:rPr>
          <w:bCs/>
        </w:rPr>
        <w:t>, United States</w:t>
      </w:r>
      <w:r w:rsidRPr="00254357">
        <w:rPr>
          <w:bCs/>
        </w:rPr>
        <w:t>.</w:t>
      </w:r>
    </w:p>
    <w:p w14:paraId="706F178D" w14:textId="77777777" w:rsidR="00AB45C1" w:rsidRDefault="00AB45C1" w:rsidP="00E9479C">
      <w:r>
        <w:t xml:space="preserve">Van </w:t>
      </w:r>
      <w:proofErr w:type="spellStart"/>
      <w:r>
        <w:t>Paemel</w:t>
      </w:r>
      <w:proofErr w:type="spellEnd"/>
      <w:r>
        <w:t xml:space="preserve"> M, Dierick N, Janssens G, </w:t>
      </w:r>
      <w:proofErr w:type="spellStart"/>
      <w:r>
        <w:t>Fievez</w:t>
      </w:r>
      <w:proofErr w:type="spellEnd"/>
      <w:r>
        <w:t xml:space="preserve"> V, De Smet S 2010. Selected trace and </w:t>
      </w:r>
      <w:proofErr w:type="spellStart"/>
      <w:r>
        <w:t>ultratrace</w:t>
      </w:r>
      <w:proofErr w:type="spellEnd"/>
      <w:r>
        <w:t xml:space="preserve"> elements: Biological role, content in feed and requirements in animal nutrition – Elements for risk assessment. </w:t>
      </w:r>
      <w:r w:rsidRPr="002F1265">
        <w:rPr>
          <w:i/>
          <w:iCs/>
        </w:rPr>
        <w:t>EFSA Supporting Publications</w:t>
      </w:r>
      <w:r>
        <w:t xml:space="preserve"> 7:68E.</w:t>
      </w:r>
    </w:p>
    <w:p w14:paraId="70E7681E" w14:textId="77777777" w:rsidR="00AB45C1" w:rsidRPr="00126A13" w:rsidRDefault="00AB45C1" w:rsidP="00E9479C">
      <w:r w:rsidRPr="00254357">
        <w:t xml:space="preserve">VIRASC 1980. </w:t>
      </w:r>
      <w:r w:rsidRPr="00254357">
        <w:rPr>
          <w:rFonts w:cstheme="minorHAnsi"/>
          <w:i/>
          <w:iCs/>
        </w:rPr>
        <w:t>Quality aspects of farm water supplies</w:t>
      </w:r>
      <w:r w:rsidRPr="00254357">
        <w:t xml:space="preserve">. 2nd </w:t>
      </w:r>
      <w:proofErr w:type="spellStart"/>
      <w:r w:rsidRPr="00254357">
        <w:t>edn</w:t>
      </w:r>
      <w:proofErr w:type="spellEnd"/>
      <w:r w:rsidRPr="00254357">
        <w:t xml:space="preserve">, Victorian Irrigation Research and </w:t>
      </w:r>
      <w:r w:rsidRPr="00126A13">
        <w:t>Advisory Services Committee, Victoria.</w:t>
      </w:r>
    </w:p>
    <w:p w14:paraId="78923650" w14:textId="77777777" w:rsidR="00AB45C1" w:rsidRPr="00126A13" w:rsidRDefault="00AB45C1" w:rsidP="00C1087A">
      <w:r w:rsidRPr="00126A13">
        <w:t xml:space="preserve">Watkins S 2008. Water: Identifying and correcting challenges. </w:t>
      </w:r>
      <w:r w:rsidRPr="00126A13">
        <w:rPr>
          <w:rStyle w:val="Emphasis"/>
        </w:rPr>
        <w:t>Avian Advice</w:t>
      </w:r>
      <w:r w:rsidRPr="00126A13">
        <w:t xml:space="preserve"> 10(3):10–15.</w:t>
      </w:r>
    </w:p>
    <w:p w14:paraId="1C3A9F2A" w14:textId="77777777" w:rsidR="00AB45C1" w:rsidRPr="00126A13" w:rsidRDefault="00AB45C1" w:rsidP="00421BB1">
      <w:r w:rsidRPr="00126A13">
        <w:lastRenderedPageBreak/>
        <w:t xml:space="preserve">Watts PJ, Davis RJ, Keane OB, Luttrell MM, Tucker RW, Stafford R &amp; Janke S 2016. </w:t>
      </w:r>
      <w:r w:rsidRPr="00126A13">
        <w:rPr>
          <w:i/>
          <w:iCs/>
        </w:rPr>
        <w:t xml:space="preserve">Beef cattle feedlots: design and construction. </w:t>
      </w:r>
      <w:r w:rsidRPr="00126A13">
        <w:t>Meat &amp; Livestock Australia.</w:t>
      </w:r>
    </w:p>
    <w:p w14:paraId="0FF8CABA" w14:textId="57BC48FA" w:rsidR="00AB45C1" w:rsidRDefault="00AB45C1" w:rsidP="00421BB1">
      <w:r w:rsidRPr="00126A13">
        <w:t xml:space="preserve">Weeth HJ &amp; Capps DL 1972. Tolerance of growing cattle for sulphate-water. </w:t>
      </w:r>
      <w:r w:rsidRPr="00126A13">
        <w:rPr>
          <w:rFonts w:cstheme="minorHAnsi"/>
          <w:i/>
          <w:iCs/>
        </w:rPr>
        <w:t xml:space="preserve">Journal of Animal Science </w:t>
      </w:r>
      <w:r w:rsidRPr="00126A13">
        <w:t>34(2):256–260.</w:t>
      </w:r>
    </w:p>
    <w:p w14:paraId="56860B73" w14:textId="6D488A31" w:rsidR="00AB45C1" w:rsidRPr="00BB3E70" w:rsidRDefault="00AB45C1" w:rsidP="00421BB1">
      <w:r w:rsidRPr="00254357">
        <w:t xml:space="preserve">Weeth HJ &amp; Hunter JE 1971. Drinking of sulphate-water by cattle. </w:t>
      </w:r>
      <w:r w:rsidRPr="00254357">
        <w:rPr>
          <w:rFonts w:cstheme="minorHAnsi"/>
          <w:i/>
          <w:iCs/>
        </w:rPr>
        <w:t>Journal of Animal Science</w:t>
      </w:r>
      <w:r w:rsidRPr="00254357">
        <w:rPr>
          <w:rFonts w:ascii="TimesNewRoman,Italic" w:hAnsi="TimesNewRoman,Italic" w:cs="TimesNewRoman,Italic"/>
          <w:i/>
          <w:iCs/>
        </w:rPr>
        <w:t xml:space="preserve"> </w:t>
      </w:r>
      <w:r w:rsidRPr="00254357">
        <w:t>32(2)</w:t>
      </w:r>
      <w:r>
        <w:t>:</w:t>
      </w:r>
      <w:r w:rsidRPr="00BB3E70">
        <w:t>277–281.</w:t>
      </w:r>
    </w:p>
    <w:p w14:paraId="6F72185C" w14:textId="77777777" w:rsidR="00AB45C1" w:rsidRPr="00BB3E70" w:rsidRDefault="00AB45C1" w:rsidP="00375993">
      <w:r w:rsidRPr="00BB3E70">
        <w:t xml:space="preserve">WHO 1984. </w:t>
      </w:r>
      <w:r w:rsidRPr="00BB3E70">
        <w:rPr>
          <w:rFonts w:cstheme="minorHAnsi"/>
          <w:i/>
          <w:iCs/>
        </w:rPr>
        <w:t>Guidelines for drinking water quality</w:t>
      </w:r>
      <w:r>
        <w:rPr>
          <w:rFonts w:cstheme="minorHAnsi"/>
          <w:i/>
          <w:iCs/>
        </w:rPr>
        <w:t>,</w:t>
      </w:r>
      <w:r w:rsidRPr="00BB3E70">
        <w:rPr>
          <w:rFonts w:ascii="TimesNewRoman,Italic" w:hAnsi="TimesNewRoman,Italic" w:cs="TimesNewRoman,Italic"/>
          <w:i/>
          <w:iCs/>
        </w:rPr>
        <w:t xml:space="preserve"> </w:t>
      </w:r>
      <w:r>
        <w:t>v</w:t>
      </w:r>
      <w:r w:rsidRPr="00BB3E70">
        <w:t>ol 2: Health criteria and other supporting information. World Health Organi</w:t>
      </w:r>
      <w:r>
        <w:t>z</w:t>
      </w:r>
      <w:r w:rsidRPr="00BB3E70">
        <w:t>ation, Geneva.</w:t>
      </w:r>
    </w:p>
    <w:p w14:paraId="071D7C9C" w14:textId="77777777" w:rsidR="00AB45C1" w:rsidRDefault="00AB45C1" w:rsidP="00375993">
      <w:r w:rsidRPr="00BB3E70">
        <w:t xml:space="preserve">WHO 1989. </w:t>
      </w:r>
      <w:r w:rsidRPr="00CA51B0">
        <w:rPr>
          <w:i/>
          <w:iCs/>
        </w:rPr>
        <w:t>Health guidelines for the use of wastewater in agriculture and aquaculture.</w:t>
      </w:r>
      <w:r w:rsidRPr="00BB3E70">
        <w:t xml:space="preserve"> WHO technical report series no. 778, World Health Organi</w:t>
      </w:r>
      <w:r>
        <w:t>z</w:t>
      </w:r>
      <w:r w:rsidRPr="00BB3E70">
        <w:t>ation, Geneva.</w:t>
      </w:r>
    </w:p>
    <w:p w14:paraId="11421177" w14:textId="77777777" w:rsidR="00AB45C1" w:rsidRPr="003C6A1E" w:rsidRDefault="00AB45C1" w:rsidP="00C1087A">
      <w:r w:rsidRPr="003C6A1E">
        <w:t>W</w:t>
      </w:r>
      <w:r>
        <w:t xml:space="preserve">HO </w:t>
      </w:r>
      <w:r w:rsidRPr="003C6A1E">
        <w:t>1999</w:t>
      </w:r>
      <w:r>
        <w:t>.</w:t>
      </w:r>
      <w:r w:rsidRPr="003C6A1E">
        <w:t xml:space="preserve"> </w:t>
      </w:r>
      <w:r w:rsidRPr="00CA51B0">
        <w:rPr>
          <w:i/>
          <w:iCs/>
        </w:rPr>
        <w:t>Toxic cyanobacteria in water: a guide to their public health consequences, monitoring and management</w:t>
      </w:r>
      <w:r w:rsidRPr="003C6A1E">
        <w:t xml:space="preserve">. </w:t>
      </w:r>
      <w:r>
        <w:t>W</w:t>
      </w:r>
      <w:r w:rsidRPr="003C6A1E">
        <w:t>orld Health Organi</w:t>
      </w:r>
      <w:r>
        <w:t>z</w:t>
      </w:r>
      <w:r w:rsidRPr="003C6A1E">
        <w:t>ation</w:t>
      </w:r>
      <w:r>
        <w:t>.</w:t>
      </w:r>
    </w:p>
    <w:p w14:paraId="2EA4BCD3" w14:textId="77777777" w:rsidR="00AB45C1" w:rsidRPr="003C6A1E" w:rsidRDefault="00AB45C1" w:rsidP="00C1087A">
      <w:r w:rsidRPr="003C6A1E">
        <w:t>W</w:t>
      </w:r>
      <w:r>
        <w:t>HO</w:t>
      </w:r>
      <w:r w:rsidRPr="003C6A1E">
        <w:t xml:space="preserve"> 2003</w:t>
      </w:r>
      <w:r>
        <w:t>.</w:t>
      </w:r>
      <w:r w:rsidRPr="003C6A1E">
        <w:t xml:space="preserve"> Cyanobacterial toxins</w:t>
      </w:r>
      <w:r>
        <w:t xml:space="preserve">: </w:t>
      </w:r>
      <w:r w:rsidRPr="003C6A1E">
        <w:t>microcystin-LR in drinking</w:t>
      </w:r>
      <w:r>
        <w:t>-</w:t>
      </w:r>
      <w:r w:rsidRPr="003C6A1E">
        <w:t>water</w:t>
      </w:r>
      <w:r>
        <w:t>.</w:t>
      </w:r>
      <w:r w:rsidRPr="003C6A1E">
        <w:t xml:space="preserve"> </w:t>
      </w:r>
      <w:r w:rsidRPr="0038793C">
        <w:t xml:space="preserve">Background document for development of </w:t>
      </w:r>
      <w:r w:rsidRPr="00CA51B0">
        <w:rPr>
          <w:i/>
          <w:iCs/>
        </w:rPr>
        <w:t>WHO Guidelines for Drinking-water Quality</w:t>
      </w:r>
      <w:r>
        <w:t>.</w:t>
      </w:r>
      <w:r w:rsidRPr="0038793C">
        <w:t xml:space="preserve"> </w:t>
      </w:r>
      <w:r w:rsidRPr="003C6A1E">
        <w:t>World Health Organi</w:t>
      </w:r>
      <w:r>
        <w:t>z</w:t>
      </w:r>
      <w:r w:rsidRPr="003C6A1E">
        <w:t>ation</w:t>
      </w:r>
      <w:r>
        <w:t>.</w:t>
      </w:r>
    </w:p>
    <w:p w14:paraId="00ECC625" w14:textId="77777777" w:rsidR="00AB45C1" w:rsidRPr="00BB3E70" w:rsidRDefault="00AB45C1" w:rsidP="00C1087A">
      <w:pPr>
        <w:rPr>
          <w:rFonts w:cs="Times New Roman"/>
        </w:rPr>
      </w:pPr>
      <w:r w:rsidRPr="003C6A1E">
        <w:t>W</w:t>
      </w:r>
      <w:r>
        <w:t>HO</w:t>
      </w:r>
      <w:r w:rsidRPr="003C6A1E">
        <w:t xml:space="preserve"> 2009</w:t>
      </w:r>
      <w:r>
        <w:t>.</w:t>
      </w:r>
      <w:r w:rsidRPr="003C6A1E">
        <w:t xml:space="preserve"> Beryllium in drinking</w:t>
      </w:r>
      <w:r>
        <w:t>-</w:t>
      </w:r>
      <w:r w:rsidRPr="003C6A1E">
        <w:t xml:space="preserve">water. </w:t>
      </w:r>
      <w:bookmarkStart w:id="650" w:name="_Hlk80883696"/>
      <w:r w:rsidRPr="003C6A1E">
        <w:t xml:space="preserve">Background document for development of </w:t>
      </w:r>
      <w:r w:rsidRPr="00CA51B0">
        <w:rPr>
          <w:i/>
          <w:iCs/>
        </w:rPr>
        <w:t>WHO guidelines for drinking-water quality</w:t>
      </w:r>
      <w:bookmarkEnd w:id="650"/>
      <w:r w:rsidRPr="00CA51B0">
        <w:rPr>
          <w:i/>
          <w:iCs/>
        </w:rPr>
        <w:t>.</w:t>
      </w:r>
      <w:r w:rsidRPr="00CA51B0">
        <w:rPr>
          <w:rFonts w:cs="Times New Roman"/>
          <w:i/>
          <w:iCs/>
        </w:rPr>
        <w:t xml:space="preserve"> </w:t>
      </w:r>
      <w:r w:rsidRPr="00BB3E70">
        <w:rPr>
          <w:rFonts w:cs="Times New Roman"/>
        </w:rPr>
        <w:t>World Health Organization.</w:t>
      </w:r>
    </w:p>
    <w:p w14:paraId="167A249A" w14:textId="77777777" w:rsidR="00AB45C1" w:rsidRDefault="00AB45C1" w:rsidP="00982271">
      <w:r w:rsidRPr="00B76448">
        <w:rPr>
          <w:rFonts w:cstheme="minorHAnsi"/>
        </w:rPr>
        <w:t xml:space="preserve">Williams KC 1990. Water: Quality and needs. In </w:t>
      </w:r>
      <w:r w:rsidRPr="00B76448">
        <w:rPr>
          <w:rFonts w:cstheme="minorHAnsi"/>
          <w:i/>
          <w:iCs/>
        </w:rPr>
        <w:t>Pig production in Australia</w:t>
      </w:r>
      <w:r w:rsidRPr="00B76448">
        <w:rPr>
          <w:rFonts w:cstheme="minorHAnsi"/>
        </w:rPr>
        <w:t>, eds JAA Gardner, AC</w:t>
      </w:r>
      <w:r w:rsidRPr="00BB3E70">
        <w:t xml:space="preserve"> Dunkin &amp; LC Lloyd, Butterworths, Sydney, 62–65.</w:t>
      </w:r>
    </w:p>
    <w:p w14:paraId="66DAF366" w14:textId="77777777" w:rsidR="00AB45C1" w:rsidRDefault="00AB45C1" w:rsidP="00593FAD">
      <w:r w:rsidRPr="00242AAB">
        <w:t xml:space="preserve">Winks WR 1963. Safe waters for stock. </w:t>
      </w:r>
      <w:r w:rsidRPr="00242AAB">
        <w:rPr>
          <w:rFonts w:cstheme="minorHAnsi"/>
          <w:i/>
          <w:iCs/>
        </w:rPr>
        <w:t>Queensland Agriculture Journal</w:t>
      </w:r>
      <w:r w:rsidRPr="00242AAB">
        <w:rPr>
          <w:rFonts w:ascii="TimesNewRoman,Italic" w:hAnsi="TimesNewRoman,Italic" w:cs="TimesNewRoman,Italic"/>
          <w:i/>
          <w:iCs/>
        </w:rPr>
        <w:t xml:space="preserve"> </w:t>
      </w:r>
      <w:r w:rsidRPr="00242AAB">
        <w:t>89</w:t>
      </w:r>
      <w:r>
        <w:t>:</w:t>
      </w:r>
      <w:r w:rsidRPr="00242AAB">
        <w:t>723–728.</w:t>
      </w:r>
    </w:p>
    <w:p w14:paraId="78B87205" w14:textId="77777777" w:rsidR="00AB45C1" w:rsidRPr="003C6A1E" w:rsidRDefault="00AB45C1" w:rsidP="00C1087A">
      <w:proofErr w:type="spellStart"/>
      <w:r w:rsidRPr="00242AAB">
        <w:t>Yoselwitz</w:t>
      </w:r>
      <w:proofErr w:type="spellEnd"/>
      <w:r w:rsidRPr="00242AAB">
        <w:t xml:space="preserve"> I &amp; </w:t>
      </w:r>
      <w:proofErr w:type="spellStart"/>
      <w:r w:rsidRPr="00242AAB">
        <w:t>Belnave</w:t>
      </w:r>
      <w:proofErr w:type="spellEnd"/>
      <w:r w:rsidRPr="00242AAB">
        <w:t xml:space="preserve"> D 1989. Responses in </w:t>
      </w:r>
      <w:proofErr w:type="gramStart"/>
      <w:r w:rsidRPr="00242AAB">
        <w:t>egg shell</w:t>
      </w:r>
      <w:proofErr w:type="gramEnd"/>
      <w:r w:rsidRPr="00242AAB">
        <w:t xml:space="preserve"> quality to sodium chloride supplementation of the diet/or drinking water. </w:t>
      </w:r>
      <w:r w:rsidRPr="00242AAB">
        <w:rPr>
          <w:rFonts w:cstheme="minorHAnsi"/>
          <w:i/>
          <w:iCs/>
        </w:rPr>
        <w:t>British Poultry Science</w:t>
      </w:r>
      <w:r w:rsidRPr="00242AAB">
        <w:rPr>
          <w:rFonts w:ascii="TimesNewRoman,Italic" w:hAnsi="TimesNewRoman,Italic" w:cs="TimesNewRoman,Italic"/>
          <w:i/>
          <w:iCs/>
        </w:rPr>
        <w:t xml:space="preserve"> </w:t>
      </w:r>
      <w:r w:rsidRPr="00242AAB">
        <w:t>30</w:t>
      </w:r>
      <w:r>
        <w:t>:</w:t>
      </w:r>
      <w:r w:rsidRPr="00242AAB">
        <w:t>273–281.</w:t>
      </w:r>
    </w:p>
    <w:p w14:paraId="03F5A22E" w14:textId="2EAECA5E" w:rsidR="00982271" w:rsidRPr="003C6A1E" w:rsidRDefault="00982271" w:rsidP="00C1087A"/>
    <w:sectPr w:rsidR="00982271" w:rsidRPr="003C6A1E" w:rsidSect="00313A5A">
      <w:type w:val="continuous"/>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0724A" w14:textId="77777777" w:rsidR="00126325" w:rsidRDefault="00126325">
      <w:pPr>
        <w:spacing w:after="0" w:line="240" w:lineRule="auto"/>
      </w:pPr>
      <w:r>
        <w:separator/>
      </w:r>
    </w:p>
  </w:endnote>
  <w:endnote w:type="continuationSeparator" w:id="0">
    <w:p w14:paraId="3FC9C6EA" w14:textId="77777777" w:rsidR="00126325" w:rsidRDefault="00126325">
      <w:pPr>
        <w:spacing w:after="0" w:line="240" w:lineRule="auto"/>
      </w:pPr>
      <w:r>
        <w:continuationSeparator/>
      </w:r>
    </w:p>
  </w:endnote>
  <w:endnote w:type="continuationNotice" w:id="1">
    <w:p w14:paraId="5ED1EFAB" w14:textId="77777777" w:rsidR="00126325" w:rsidRDefault="00126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Headings CS)">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GaramondStd-L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ff2">
    <w:altName w:val="Cambria"/>
    <w:panose1 w:val="00000000000000000000"/>
    <w:charset w:val="00"/>
    <w:family w:val="roman"/>
    <w:notTrueType/>
    <w:pitch w:val="default"/>
  </w:font>
  <w:font w:name="ffa">
    <w:altName w:val="Cambria"/>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ff4">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2CBE" w14:textId="77777777" w:rsidR="00F932BB" w:rsidRDefault="00F93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59610"/>
      <w:docPartObj>
        <w:docPartGallery w:val="Page Numbers (Bottom of Page)"/>
        <w:docPartUnique/>
      </w:docPartObj>
    </w:sdtPr>
    <w:sdtEndPr>
      <w:rPr>
        <w:noProof/>
      </w:rPr>
    </w:sdtEndPr>
    <w:sdtContent>
      <w:p w14:paraId="03F5A32C" w14:textId="77777777" w:rsidR="00B05AF6" w:rsidRDefault="00EB38E1" w:rsidP="00FD23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0BE8" w14:textId="77777777" w:rsidR="00F932BB" w:rsidRDefault="00F932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A330" w14:textId="77777777" w:rsidR="00B05AF6" w:rsidRDefault="00EB38E1" w:rsidP="00FD2341">
    <w:pPr>
      <w:pStyle w:val="Footer"/>
      <w:tabs>
        <w:tab w:val="clear" w:pos="4536"/>
        <w:tab w:val="center" w:pos="9070"/>
      </w:tabs>
      <w:jc w:val="left"/>
    </w:pPr>
    <w:r>
      <w:t>Livestock drinking water quality</w:t>
    </w:r>
    <w:r w:rsidRPr="00376BE9">
      <w:t xml:space="preserve"> </w:t>
    </w:r>
    <w:r>
      <w:t>guidelines</w:t>
    </w:r>
    <w:r w:rsidRPr="00376BE9">
      <w:t xml:space="preserve"> </w:t>
    </w:r>
    <w:r>
      <w:rPr>
        <w:rFonts w:cs="Calibri"/>
      </w:rPr>
      <w:t>–</w:t>
    </w:r>
    <w:r>
      <w:t xml:space="preserve"> Australia and New Zealand</w:t>
    </w:r>
    <w:r>
      <w:tab/>
    </w:r>
    <w:r>
      <w:fldChar w:fldCharType="begin"/>
    </w:r>
    <w:r>
      <w:instrText xml:space="preserve"> PAGE   \* MERGEFORMAT </w:instrText>
    </w:r>
    <w:r>
      <w:fldChar w:fldCharType="separate"/>
    </w:r>
    <w:r>
      <w:t>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A332" w14:textId="77777777" w:rsidR="00C11AF4" w:rsidRDefault="00EB38E1" w:rsidP="00FD2341">
    <w:pPr>
      <w:pStyle w:val="Footer"/>
      <w:tabs>
        <w:tab w:val="clear" w:pos="4536"/>
        <w:tab w:val="center" w:pos="9070"/>
      </w:tabs>
      <w:jc w:val="left"/>
    </w:pPr>
    <w:r>
      <w:t xml:space="preserve">Australian and New Zealand </w:t>
    </w:r>
    <w:r w:rsidR="00B05AF6">
      <w:t xml:space="preserve">guidelines </w:t>
    </w:r>
    <w:r>
      <w:t xml:space="preserve">for </w:t>
    </w:r>
    <w:r w:rsidR="00B05AF6">
      <w:t>livestock drinking water quality</w:t>
    </w:r>
    <w:r>
      <w:tab/>
    </w:r>
    <w:r>
      <w:fldChar w:fldCharType="begin"/>
    </w:r>
    <w:r>
      <w:instrText xml:space="preserve"> PAGE   \* MERGEFORMAT </w:instrText>
    </w:r>
    <w:r>
      <w:fldChar w:fldCharType="separate"/>
    </w:r>
    <w:r w:rsidR="00FB0A14">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8602" w14:textId="77777777" w:rsidR="00126325" w:rsidRDefault="00126325">
      <w:pPr>
        <w:spacing w:after="0" w:line="240" w:lineRule="auto"/>
      </w:pPr>
      <w:r>
        <w:separator/>
      </w:r>
    </w:p>
  </w:footnote>
  <w:footnote w:type="continuationSeparator" w:id="0">
    <w:p w14:paraId="398EE55B" w14:textId="77777777" w:rsidR="00126325" w:rsidRDefault="00126325">
      <w:pPr>
        <w:spacing w:after="0" w:line="240" w:lineRule="auto"/>
      </w:pPr>
      <w:r>
        <w:continuationSeparator/>
      </w:r>
    </w:p>
  </w:footnote>
  <w:footnote w:type="continuationNotice" w:id="1">
    <w:p w14:paraId="6CA74BAA" w14:textId="77777777" w:rsidR="00126325" w:rsidRDefault="001263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A32A" w14:textId="52B89B55" w:rsidR="001F736D" w:rsidRDefault="00F9095E">
    <w:pPr>
      <w:pStyle w:val="Header"/>
    </w:pPr>
    <w:r>
      <w:rPr>
        <w:noProof/>
      </w:rPr>
      <w:pict w14:anchorId="7DEEF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85235" o:spid="_x0000_s2051" type="#_x0000_t136" style="position:absolute;left:0;text-align:left;margin-left:0;margin-top:0;width:399.6pt;height:239.75pt;rotation:315;z-index:-251645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B38E1">
      <w:rPr>
        <w:noProof/>
      </w:rPr>
      <mc:AlternateContent>
        <mc:Choice Requires="wps">
          <w:drawing>
            <wp:anchor distT="0" distB="0" distL="0" distR="0" simplePos="0" relativeHeight="251657216" behindDoc="0" locked="0" layoutInCell="1" allowOverlap="1" wp14:anchorId="03F5A333" wp14:editId="03F5A334">
              <wp:simplePos x="0" y="0"/>
              <wp:positionH relativeFrom="page">
                <wp:align>center</wp:align>
              </wp:positionH>
              <wp:positionV relativeFrom="page">
                <wp:align>top</wp:align>
              </wp:positionV>
              <wp:extent cx="443865" cy="443865"/>
              <wp:effectExtent l="0" t="0" r="16510" b="12065"/>
              <wp:wrapNone/>
              <wp:docPr id="2" name="Text Box 2"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5A341" w14:textId="77777777" w:rsidR="001F736D" w:rsidRPr="001F736D" w:rsidRDefault="00EB38E1" w:rsidP="001F736D">
                          <w:pPr>
                            <w:spacing w:after="0"/>
                            <w:rPr>
                              <w:rFonts w:ascii="Calibri" w:eastAsia="Calibri" w:hAnsi="Calibri" w:cs="Calibri"/>
                              <w:noProof/>
                              <w:color w:val="000000"/>
                              <w:sz w:val="20"/>
                              <w:szCs w:val="20"/>
                            </w:rPr>
                          </w:pPr>
                          <w:r w:rsidRPr="001F736D">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F5A333" id="_x0000_t202" coordsize="21600,21600" o:spt="202" path="m,l,21600r21600,l21600,xe">
              <v:stroke joinstyle="miter"/>
              <v:path gradientshapeok="t" o:connecttype="rect"/>
            </v:shapetype>
            <v:shape id="Text Box 2" o:spid="_x0000_s1026" type="#_x0000_t202" alt="OFFICIAL " style="position:absolute;left:0;text-align:left;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3F5A341" w14:textId="77777777" w:rsidR="001F736D" w:rsidRPr="001F736D" w:rsidRDefault="00EB38E1" w:rsidP="001F736D">
                    <w:pPr>
                      <w:spacing w:after="0"/>
                      <w:rPr>
                        <w:rFonts w:ascii="Calibri" w:eastAsia="Calibri" w:hAnsi="Calibri" w:cs="Calibri"/>
                        <w:noProof/>
                        <w:color w:val="000000"/>
                        <w:sz w:val="20"/>
                        <w:szCs w:val="20"/>
                      </w:rPr>
                    </w:pPr>
                    <w:r w:rsidRPr="001F736D">
                      <w:rPr>
                        <w:rFonts w:ascii="Calibri" w:eastAsia="Calibri" w:hAnsi="Calibri" w:cs="Calibri"/>
                        <w:noProof/>
                        <w:color w:val="000000"/>
                        <w:sz w:val="20"/>
                        <w:szCs w:val="20"/>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A32B" w14:textId="5D7DC61E" w:rsidR="001F736D" w:rsidRDefault="00F9095E">
    <w:pPr>
      <w:pStyle w:val="Header"/>
    </w:pPr>
    <w:r>
      <w:rPr>
        <w:noProof/>
      </w:rPr>
      <w:pict w14:anchorId="72590E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85236" o:spid="_x0000_s2052" type="#_x0000_t136" style="position:absolute;left:0;text-align:left;margin-left:0;margin-top:0;width:399.6pt;height:239.75pt;rotation:315;z-index:-2516439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B38E1">
      <w:rPr>
        <w:noProof/>
      </w:rPr>
      <mc:AlternateContent>
        <mc:Choice Requires="wps">
          <w:drawing>
            <wp:anchor distT="0" distB="0" distL="0" distR="0" simplePos="0" relativeHeight="251660288" behindDoc="0" locked="0" layoutInCell="1" allowOverlap="1" wp14:anchorId="03F5A335" wp14:editId="03F5A336">
              <wp:simplePos x="0" y="0"/>
              <wp:positionH relativeFrom="page">
                <wp:align>center</wp:align>
              </wp:positionH>
              <wp:positionV relativeFrom="page">
                <wp:align>top</wp:align>
              </wp:positionV>
              <wp:extent cx="443865" cy="443865"/>
              <wp:effectExtent l="0" t="0" r="16510" b="12065"/>
              <wp:wrapNone/>
              <wp:docPr id="3" name="Text Box 3"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5A342" w14:textId="77777777" w:rsidR="001F736D" w:rsidRPr="001F736D" w:rsidRDefault="00EB38E1" w:rsidP="001F736D">
                          <w:pPr>
                            <w:spacing w:after="0"/>
                            <w:rPr>
                              <w:rFonts w:ascii="Calibri" w:eastAsia="Calibri" w:hAnsi="Calibri" w:cs="Calibri"/>
                              <w:noProof/>
                              <w:color w:val="000000"/>
                              <w:sz w:val="20"/>
                              <w:szCs w:val="20"/>
                            </w:rPr>
                          </w:pPr>
                          <w:r w:rsidRPr="001F736D">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F5A335" id="_x0000_t202" coordsize="21600,21600" o:spt="202" path="m,l,21600r21600,l21600,xe">
              <v:stroke joinstyle="miter"/>
              <v:path gradientshapeok="t" o:connecttype="rect"/>
            </v:shapetype>
            <v:shape id="Text Box 3" o:spid="_x0000_s1027" type="#_x0000_t202" alt="OFFICIAL "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3F5A342" w14:textId="77777777" w:rsidR="001F736D" w:rsidRPr="001F736D" w:rsidRDefault="00EB38E1" w:rsidP="001F736D">
                    <w:pPr>
                      <w:spacing w:after="0"/>
                      <w:rPr>
                        <w:rFonts w:ascii="Calibri" w:eastAsia="Calibri" w:hAnsi="Calibri" w:cs="Calibri"/>
                        <w:noProof/>
                        <w:color w:val="000000"/>
                        <w:sz w:val="20"/>
                        <w:szCs w:val="20"/>
                      </w:rPr>
                    </w:pPr>
                    <w:r w:rsidRPr="001F736D">
                      <w:rPr>
                        <w:rFonts w:ascii="Calibri" w:eastAsia="Calibri" w:hAnsi="Calibri" w:cs="Calibri"/>
                        <w:noProof/>
                        <w:color w:val="000000"/>
                        <w:sz w:val="20"/>
                        <w:szCs w:val="20"/>
                      </w:rPr>
                      <w:t xml:space="preserve">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A32D" w14:textId="7DBE0421" w:rsidR="00C11AF4" w:rsidRDefault="00F9095E" w:rsidP="00C1087A">
    <w:pPr>
      <w:pStyle w:val="Header"/>
    </w:pPr>
    <w:r>
      <w:rPr>
        <w:noProof/>
      </w:rPr>
      <w:pict w14:anchorId="6D1946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85234" o:spid="_x0000_s2050" type="#_x0000_t136" style="position:absolute;left:0;text-align:left;margin-left:0;margin-top:0;width:399.6pt;height:239.75pt;rotation:315;z-index:-251648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B38E1">
      <w:rPr>
        <w:noProof/>
        <w:lang w:eastAsia="en-AU"/>
      </w:rPr>
      <mc:AlternateContent>
        <mc:Choice Requires="wps">
          <w:drawing>
            <wp:anchor distT="0" distB="0" distL="0" distR="0" simplePos="0" relativeHeight="251654144" behindDoc="0" locked="0" layoutInCell="1" allowOverlap="1" wp14:anchorId="03F5A337" wp14:editId="03F5A338">
              <wp:simplePos x="0" y="0"/>
              <wp:positionH relativeFrom="page">
                <wp:align>center</wp:align>
              </wp:positionH>
              <wp:positionV relativeFrom="page">
                <wp:align>top</wp:align>
              </wp:positionV>
              <wp:extent cx="443865" cy="443865"/>
              <wp:effectExtent l="0" t="0" r="16510" b="12065"/>
              <wp:wrapNone/>
              <wp:docPr id="1" name="Text Box 1"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5A343" w14:textId="77777777" w:rsidR="001F736D" w:rsidRPr="001F736D" w:rsidRDefault="00EB38E1" w:rsidP="001F736D">
                          <w:pPr>
                            <w:spacing w:after="0"/>
                            <w:rPr>
                              <w:rFonts w:ascii="Calibri" w:eastAsia="Calibri" w:hAnsi="Calibri" w:cs="Calibri"/>
                              <w:noProof/>
                              <w:color w:val="000000"/>
                              <w:sz w:val="20"/>
                              <w:szCs w:val="20"/>
                            </w:rPr>
                          </w:pPr>
                          <w:r w:rsidRPr="001F736D">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F5A337" id="_x0000_t202" coordsize="21600,21600" o:spt="202" path="m,l,21600r21600,l21600,xe">
              <v:stroke joinstyle="miter"/>
              <v:path gradientshapeok="t" o:connecttype="rect"/>
            </v:shapetype>
            <v:shape id="Text Box 1" o:spid="_x0000_s1028" type="#_x0000_t202" alt="OFFICIAL " style="position:absolute;left:0;text-align:left;margin-left:0;margin-top:0;width:34.95pt;height:34.9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3F5A343" w14:textId="77777777" w:rsidR="001F736D" w:rsidRPr="001F736D" w:rsidRDefault="00EB38E1" w:rsidP="001F736D">
                    <w:pPr>
                      <w:spacing w:after="0"/>
                      <w:rPr>
                        <w:rFonts w:ascii="Calibri" w:eastAsia="Calibri" w:hAnsi="Calibri" w:cs="Calibri"/>
                        <w:noProof/>
                        <w:color w:val="000000"/>
                        <w:sz w:val="20"/>
                        <w:szCs w:val="20"/>
                      </w:rPr>
                    </w:pPr>
                    <w:r w:rsidRPr="001F736D">
                      <w:rPr>
                        <w:rFonts w:ascii="Calibri" w:eastAsia="Calibri" w:hAnsi="Calibri" w:cs="Calibri"/>
                        <w:noProof/>
                        <w:color w:val="000000"/>
                        <w:sz w:val="20"/>
                        <w:szCs w:val="20"/>
                      </w:rPr>
                      <w:t xml:space="preserve">OFFICIAL </w:t>
                    </w:r>
                  </w:p>
                </w:txbxContent>
              </v:textbox>
              <w10:wrap anchorx="page" anchory="page"/>
            </v:shape>
          </w:pict>
        </mc:Fallback>
      </mc:AlternateContent>
    </w:r>
    <w:r w:rsidR="00EB38E1">
      <w:rPr>
        <w:noProof/>
        <w:lang w:eastAsia="en-AU"/>
      </w:rPr>
      <w:drawing>
        <wp:anchor distT="0" distB="0" distL="114300" distR="114300" simplePos="0" relativeHeight="251651072" behindDoc="1" locked="0" layoutInCell="1" allowOverlap="1" wp14:anchorId="03F5A339" wp14:editId="03F5A33A">
          <wp:simplePos x="0" y="0"/>
          <wp:positionH relativeFrom="column">
            <wp:posOffset>-895406</wp:posOffset>
          </wp:positionH>
          <wp:positionV relativeFrom="paragraph">
            <wp:posOffset>-355021</wp:posOffset>
          </wp:positionV>
          <wp:extent cx="7556361" cy="10687529"/>
          <wp:effectExtent l="0" t="0" r="6985" b="0"/>
          <wp:wrapNone/>
          <wp:docPr id="1415111994" name="Picture 1415111994"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252056"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472" cy="10710316"/>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A32E" w14:textId="445E846E" w:rsidR="001F736D" w:rsidRDefault="00F9095E">
    <w:pPr>
      <w:pStyle w:val="Header"/>
    </w:pPr>
    <w:r>
      <w:rPr>
        <w:noProof/>
      </w:rPr>
      <w:pict w14:anchorId="3C55D8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85238" o:spid="_x0000_s2054" type="#_x0000_t136" style="position:absolute;left:0;text-align:left;margin-left:0;margin-top:0;width:399.6pt;height:239.75pt;rotation:315;z-index:-2516398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B38E1">
      <w:rPr>
        <w:noProof/>
      </w:rPr>
      <mc:AlternateContent>
        <mc:Choice Requires="wps">
          <w:drawing>
            <wp:anchor distT="0" distB="0" distL="0" distR="0" simplePos="0" relativeHeight="251664384" behindDoc="0" locked="0" layoutInCell="1" allowOverlap="1" wp14:anchorId="03F5A33B" wp14:editId="03F5A33C">
              <wp:simplePos x="0" y="0"/>
              <wp:positionH relativeFrom="page">
                <wp:align>center</wp:align>
              </wp:positionH>
              <wp:positionV relativeFrom="page">
                <wp:align>top</wp:align>
              </wp:positionV>
              <wp:extent cx="443865" cy="443865"/>
              <wp:effectExtent l="0" t="0" r="16510" b="12065"/>
              <wp:wrapNone/>
              <wp:docPr id="5" name="Text Box 5"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5A344" w14:textId="77777777" w:rsidR="001F736D" w:rsidRPr="001F736D" w:rsidRDefault="00EB38E1" w:rsidP="001F736D">
                          <w:pPr>
                            <w:spacing w:after="0"/>
                            <w:rPr>
                              <w:rFonts w:ascii="Calibri" w:eastAsia="Calibri" w:hAnsi="Calibri" w:cs="Calibri"/>
                              <w:noProof/>
                              <w:color w:val="000000"/>
                              <w:sz w:val="20"/>
                              <w:szCs w:val="20"/>
                            </w:rPr>
                          </w:pPr>
                          <w:r w:rsidRPr="001F736D">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F5A33B" id="_x0000_t202" coordsize="21600,21600" o:spt="202" path="m,l,21600r21600,l21600,xe">
              <v:stroke joinstyle="miter"/>
              <v:path gradientshapeok="t" o:connecttype="rect"/>
            </v:shapetype>
            <v:shape id="Text Box 5" o:spid="_x0000_s1029" type="#_x0000_t202" alt="OFFICIAL "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3F5A344" w14:textId="77777777" w:rsidR="001F736D" w:rsidRPr="001F736D" w:rsidRDefault="00EB38E1" w:rsidP="001F736D">
                    <w:pPr>
                      <w:spacing w:after="0"/>
                      <w:rPr>
                        <w:rFonts w:ascii="Calibri" w:eastAsia="Calibri" w:hAnsi="Calibri" w:cs="Calibri"/>
                        <w:noProof/>
                        <w:color w:val="000000"/>
                        <w:sz w:val="20"/>
                        <w:szCs w:val="20"/>
                      </w:rPr>
                    </w:pPr>
                    <w:r w:rsidRPr="001F736D">
                      <w:rPr>
                        <w:rFonts w:ascii="Calibri" w:eastAsia="Calibri" w:hAnsi="Calibri" w:cs="Calibri"/>
                        <w:noProof/>
                        <w:color w:val="000000"/>
                        <w:sz w:val="20"/>
                        <w:szCs w:val="20"/>
                      </w:rPr>
                      <w:t xml:space="preserve">OFFICIAL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A32F" w14:textId="7E0741BE" w:rsidR="00C11AF4" w:rsidRPr="009A798B" w:rsidRDefault="00F9095E" w:rsidP="007F09F7">
    <w:pPr>
      <w:pStyle w:val="Header"/>
      <w:jc w:val="left"/>
    </w:pPr>
    <w:r>
      <w:rPr>
        <w:noProof/>
      </w:rPr>
      <w:pict w14:anchorId="4BA4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85239" o:spid="_x0000_s2055" type="#_x0000_t136" style="position:absolute;margin-left:0;margin-top:0;width:399.6pt;height:239.75pt;rotation:315;z-index:-2516377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B38E1">
      <w:rPr>
        <w:noProof/>
      </w:rPr>
      <mc:AlternateContent>
        <mc:Choice Requires="wps">
          <w:drawing>
            <wp:anchor distT="0" distB="0" distL="0" distR="0" simplePos="0" relativeHeight="251666432" behindDoc="0" locked="0" layoutInCell="1" allowOverlap="1" wp14:anchorId="03F5A33D" wp14:editId="03F5A33E">
              <wp:simplePos x="0" y="0"/>
              <wp:positionH relativeFrom="page">
                <wp:align>center</wp:align>
              </wp:positionH>
              <wp:positionV relativeFrom="page">
                <wp:align>top</wp:align>
              </wp:positionV>
              <wp:extent cx="443865" cy="443865"/>
              <wp:effectExtent l="0" t="0" r="16510" b="12065"/>
              <wp:wrapNone/>
              <wp:docPr id="7" name="Text Box 7"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5A345" w14:textId="77777777" w:rsidR="001F736D" w:rsidRPr="001F736D" w:rsidRDefault="00EB38E1" w:rsidP="001F736D">
                          <w:pPr>
                            <w:spacing w:after="0"/>
                            <w:rPr>
                              <w:rFonts w:ascii="Calibri" w:eastAsia="Calibri" w:hAnsi="Calibri" w:cs="Calibri"/>
                              <w:noProof/>
                              <w:color w:val="000000"/>
                              <w:sz w:val="20"/>
                              <w:szCs w:val="20"/>
                            </w:rPr>
                          </w:pPr>
                          <w:r w:rsidRPr="001F736D">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F5A33D" id="_x0000_t202" coordsize="21600,21600" o:spt="202" path="m,l,21600r21600,l21600,xe">
              <v:stroke joinstyle="miter"/>
              <v:path gradientshapeok="t" o:connecttype="rect"/>
            </v:shapetype>
            <v:shape id="Text Box 7" o:spid="_x0000_s1030" type="#_x0000_t202" alt="OFFICIAL "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3F5A345" w14:textId="77777777" w:rsidR="001F736D" w:rsidRPr="001F736D" w:rsidRDefault="00EB38E1" w:rsidP="001F736D">
                    <w:pPr>
                      <w:spacing w:after="0"/>
                      <w:rPr>
                        <w:rFonts w:ascii="Calibri" w:eastAsia="Calibri" w:hAnsi="Calibri" w:cs="Calibri"/>
                        <w:noProof/>
                        <w:color w:val="000000"/>
                        <w:sz w:val="20"/>
                        <w:szCs w:val="20"/>
                      </w:rPr>
                    </w:pPr>
                    <w:r w:rsidRPr="001F736D">
                      <w:rPr>
                        <w:rFonts w:ascii="Calibri" w:eastAsia="Calibri" w:hAnsi="Calibri" w:cs="Calibri"/>
                        <w:noProof/>
                        <w:color w:val="000000"/>
                        <w:sz w:val="20"/>
                        <w:szCs w:val="20"/>
                      </w:rPr>
                      <w:t xml:space="preserve">OFFICIAL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A331" w14:textId="23F1EB06" w:rsidR="00C11AF4" w:rsidRPr="009A798B" w:rsidRDefault="00F9095E" w:rsidP="00C1087A">
    <w:pPr>
      <w:pStyle w:val="Header"/>
    </w:pPr>
    <w:r>
      <w:rPr>
        <w:noProof/>
      </w:rPr>
      <w:pict w14:anchorId="1E865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85237" o:spid="_x0000_s2053" type="#_x0000_t136" style="position:absolute;left:0;text-align:left;margin-left:0;margin-top:0;width:399.6pt;height:239.75pt;rotation:315;z-index:-2516418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B38E1">
      <w:rPr>
        <w:noProof/>
      </w:rPr>
      <mc:AlternateContent>
        <mc:Choice Requires="wps">
          <w:drawing>
            <wp:anchor distT="0" distB="0" distL="0" distR="0" simplePos="0" relativeHeight="251662336" behindDoc="0" locked="0" layoutInCell="1" allowOverlap="1" wp14:anchorId="03F5A33F" wp14:editId="03F5A340">
              <wp:simplePos x="0" y="0"/>
              <wp:positionH relativeFrom="page">
                <wp:align>center</wp:align>
              </wp:positionH>
              <wp:positionV relativeFrom="page">
                <wp:align>top</wp:align>
              </wp:positionV>
              <wp:extent cx="443865" cy="443865"/>
              <wp:effectExtent l="0" t="0" r="16510" b="12065"/>
              <wp:wrapNone/>
              <wp:docPr id="4" name="Text Box 4"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5A346" w14:textId="77777777" w:rsidR="001F736D" w:rsidRPr="001F736D" w:rsidRDefault="00EB38E1" w:rsidP="001F736D">
                          <w:pPr>
                            <w:spacing w:after="0"/>
                            <w:rPr>
                              <w:rFonts w:ascii="Calibri" w:eastAsia="Calibri" w:hAnsi="Calibri" w:cs="Calibri"/>
                              <w:noProof/>
                              <w:color w:val="000000"/>
                              <w:sz w:val="20"/>
                              <w:szCs w:val="20"/>
                            </w:rPr>
                          </w:pPr>
                          <w:r w:rsidRPr="001F736D">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F5A33F" id="_x0000_t202" coordsize="21600,21600" o:spt="202" path="m,l,21600r21600,l21600,xe">
              <v:stroke joinstyle="miter"/>
              <v:path gradientshapeok="t" o:connecttype="rect"/>
            </v:shapetype>
            <v:shape id="Text Box 4" o:spid="_x0000_s1031" type="#_x0000_t202" alt="OFFICIAL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03F5A346" w14:textId="77777777" w:rsidR="001F736D" w:rsidRPr="001F736D" w:rsidRDefault="00EB38E1" w:rsidP="001F736D">
                    <w:pPr>
                      <w:spacing w:after="0"/>
                      <w:rPr>
                        <w:rFonts w:ascii="Calibri" w:eastAsia="Calibri" w:hAnsi="Calibri" w:cs="Calibri"/>
                        <w:noProof/>
                        <w:color w:val="000000"/>
                        <w:sz w:val="20"/>
                        <w:szCs w:val="20"/>
                      </w:rPr>
                    </w:pPr>
                    <w:r w:rsidRPr="001F736D">
                      <w:rPr>
                        <w:rFonts w:ascii="Calibri" w:eastAsia="Calibri" w:hAnsi="Calibri" w:cs="Calibri"/>
                        <w:noProof/>
                        <w:color w:val="000000"/>
                        <w:sz w:val="20"/>
                        <w:szCs w:val="20"/>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0E5"/>
    <w:multiLevelType w:val="multilevel"/>
    <w:tmpl w:val="16C6F628"/>
    <w:lvl w:ilvl="0">
      <w:start w:val="1"/>
      <w:numFmt w:val="decimal"/>
      <w:lvlText w:val="%1"/>
      <w:lvlJc w:val="left"/>
      <w:pPr>
        <w:ind w:left="-703" w:hanging="432"/>
      </w:pPr>
      <w:rPr>
        <w:rFonts w:hint="default"/>
      </w:rPr>
    </w:lvl>
    <w:lvl w:ilvl="1">
      <w:start w:val="1"/>
      <w:numFmt w:val="decimal"/>
      <w:lvlText w:val="%1.%2"/>
      <w:lvlJc w:val="left"/>
      <w:pPr>
        <w:ind w:left="-559" w:hanging="576"/>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71" w:hanging="864"/>
      </w:pPr>
      <w:rPr>
        <w:rFonts w:hint="default"/>
      </w:rPr>
    </w:lvl>
    <w:lvl w:ilvl="4">
      <w:start w:val="1"/>
      <w:numFmt w:val="decimal"/>
      <w:lvlText w:val="%1.%2.%3.%4.%5"/>
      <w:lvlJc w:val="left"/>
      <w:pPr>
        <w:ind w:left="-127" w:hanging="1008"/>
      </w:pPr>
      <w:rPr>
        <w:rFonts w:hint="default"/>
      </w:rPr>
    </w:lvl>
    <w:lvl w:ilvl="5">
      <w:start w:val="1"/>
      <w:numFmt w:val="decimal"/>
      <w:lvlText w:val="%1.%2.%3.%4.%5.%6"/>
      <w:lvlJc w:val="left"/>
      <w:pPr>
        <w:ind w:left="17" w:hanging="1152"/>
      </w:pPr>
      <w:rPr>
        <w:rFonts w:hint="default"/>
      </w:rPr>
    </w:lvl>
    <w:lvl w:ilvl="6">
      <w:start w:val="1"/>
      <w:numFmt w:val="decimal"/>
      <w:lvlText w:val="%1.%2.%3.%4.%5.%6.%7"/>
      <w:lvlJc w:val="left"/>
      <w:pPr>
        <w:ind w:left="161" w:hanging="1296"/>
      </w:pPr>
      <w:rPr>
        <w:rFonts w:hint="default"/>
      </w:rPr>
    </w:lvl>
    <w:lvl w:ilvl="7">
      <w:start w:val="1"/>
      <w:numFmt w:val="decimal"/>
      <w:lvlText w:val="%1.%2.%3.%4.%5.%6.%7.%8"/>
      <w:lvlJc w:val="left"/>
      <w:pPr>
        <w:ind w:left="305" w:hanging="1440"/>
      </w:pPr>
      <w:rPr>
        <w:rFonts w:hint="default"/>
      </w:rPr>
    </w:lvl>
    <w:lvl w:ilvl="8">
      <w:start w:val="1"/>
      <w:numFmt w:val="decimal"/>
      <w:lvlText w:val="%1.%2.%3.%4.%5.%6.%7.%8.%9"/>
      <w:lvlJc w:val="left"/>
      <w:pPr>
        <w:ind w:left="449" w:hanging="1584"/>
      </w:pPr>
      <w:rPr>
        <w:rFonts w:hint="default"/>
      </w:rPr>
    </w:lvl>
  </w:abstractNum>
  <w:abstractNum w:abstractNumId="1" w15:restartNumberingAfterBreak="0">
    <w:nsid w:val="073D587B"/>
    <w:multiLevelType w:val="hybridMultilevel"/>
    <w:tmpl w:val="3410AF38"/>
    <w:lvl w:ilvl="0" w:tplc="AEF46640">
      <w:numFmt w:val="bullet"/>
      <w:lvlText w:val="-"/>
      <w:lvlJc w:val="left"/>
      <w:pPr>
        <w:ind w:left="720" w:hanging="360"/>
      </w:pPr>
      <w:rPr>
        <w:rFonts w:ascii="Calibri" w:eastAsiaTheme="minorHAnsi" w:hAnsi="Calibri" w:cs="Calibri" w:hint="default"/>
      </w:rPr>
    </w:lvl>
    <w:lvl w:ilvl="1" w:tplc="277C3AE4" w:tentative="1">
      <w:start w:val="1"/>
      <w:numFmt w:val="bullet"/>
      <w:lvlText w:val="o"/>
      <w:lvlJc w:val="left"/>
      <w:pPr>
        <w:ind w:left="1440" w:hanging="360"/>
      </w:pPr>
      <w:rPr>
        <w:rFonts w:ascii="Courier New" w:hAnsi="Courier New" w:cs="Courier New" w:hint="default"/>
      </w:rPr>
    </w:lvl>
    <w:lvl w:ilvl="2" w:tplc="A2448EAE" w:tentative="1">
      <w:start w:val="1"/>
      <w:numFmt w:val="bullet"/>
      <w:lvlText w:val=""/>
      <w:lvlJc w:val="left"/>
      <w:pPr>
        <w:ind w:left="2160" w:hanging="360"/>
      </w:pPr>
      <w:rPr>
        <w:rFonts w:ascii="Wingdings" w:hAnsi="Wingdings" w:hint="default"/>
      </w:rPr>
    </w:lvl>
    <w:lvl w:ilvl="3" w:tplc="39DC37C4" w:tentative="1">
      <w:start w:val="1"/>
      <w:numFmt w:val="bullet"/>
      <w:lvlText w:val=""/>
      <w:lvlJc w:val="left"/>
      <w:pPr>
        <w:ind w:left="2880" w:hanging="360"/>
      </w:pPr>
      <w:rPr>
        <w:rFonts w:ascii="Symbol" w:hAnsi="Symbol" w:hint="default"/>
      </w:rPr>
    </w:lvl>
    <w:lvl w:ilvl="4" w:tplc="A6FEF2D2" w:tentative="1">
      <w:start w:val="1"/>
      <w:numFmt w:val="bullet"/>
      <w:lvlText w:val="o"/>
      <w:lvlJc w:val="left"/>
      <w:pPr>
        <w:ind w:left="3600" w:hanging="360"/>
      </w:pPr>
      <w:rPr>
        <w:rFonts w:ascii="Courier New" w:hAnsi="Courier New" w:cs="Courier New" w:hint="default"/>
      </w:rPr>
    </w:lvl>
    <w:lvl w:ilvl="5" w:tplc="243A2DCA" w:tentative="1">
      <w:start w:val="1"/>
      <w:numFmt w:val="bullet"/>
      <w:lvlText w:val=""/>
      <w:lvlJc w:val="left"/>
      <w:pPr>
        <w:ind w:left="4320" w:hanging="360"/>
      </w:pPr>
      <w:rPr>
        <w:rFonts w:ascii="Wingdings" w:hAnsi="Wingdings" w:hint="default"/>
      </w:rPr>
    </w:lvl>
    <w:lvl w:ilvl="6" w:tplc="E85A4314" w:tentative="1">
      <w:start w:val="1"/>
      <w:numFmt w:val="bullet"/>
      <w:lvlText w:val=""/>
      <w:lvlJc w:val="left"/>
      <w:pPr>
        <w:ind w:left="5040" w:hanging="360"/>
      </w:pPr>
      <w:rPr>
        <w:rFonts w:ascii="Symbol" w:hAnsi="Symbol" w:hint="default"/>
      </w:rPr>
    </w:lvl>
    <w:lvl w:ilvl="7" w:tplc="D1D8EC50" w:tentative="1">
      <w:start w:val="1"/>
      <w:numFmt w:val="bullet"/>
      <w:lvlText w:val="o"/>
      <w:lvlJc w:val="left"/>
      <w:pPr>
        <w:ind w:left="5760" w:hanging="360"/>
      </w:pPr>
      <w:rPr>
        <w:rFonts w:ascii="Courier New" w:hAnsi="Courier New" w:cs="Courier New" w:hint="default"/>
      </w:rPr>
    </w:lvl>
    <w:lvl w:ilvl="8" w:tplc="70723950" w:tentative="1">
      <w:start w:val="1"/>
      <w:numFmt w:val="bullet"/>
      <w:lvlText w:val=""/>
      <w:lvlJc w:val="left"/>
      <w:pPr>
        <w:ind w:left="6480" w:hanging="360"/>
      </w:pPr>
      <w:rPr>
        <w:rFonts w:ascii="Wingdings" w:hAnsi="Wingdings" w:hint="default"/>
      </w:rPr>
    </w:lvl>
  </w:abstractNum>
  <w:abstractNum w:abstractNumId="2"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3" w15:restartNumberingAfterBreak="0">
    <w:nsid w:val="0C110DD6"/>
    <w:multiLevelType w:val="hybridMultilevel"/>
    <w:tmpl w:val="D75ED424"/>
    <w:lvl w:ilvl="0" w:tplc="0C0814CC">
      <w:start w:val="1"/>
      <w:numFmt w:val="bullet"/>
      <w:lvlText w:val=""/>
      <w:lvlJc w:val="left"/>
      <w:pPr>
        <w:ind w:left="720" w:hanging="360"/>
      </w:pPr>
      <w:rPr>
        <w:rFonts w:ascii="Symbol" w:hAnsi="Symbol" w:hint="default"/>
      </w:rPr>
    </w:lvl>
    <w:lvl w:ilvl="1" w:tplc="57DE67E4">
      <w:start w:val="1"/>
      <w:numFmt w:val="bullet"/>
      <w:lvlText w:val="o"/>
      <w:lvlJc w:val="left"/>
      <w:pPr>
        <w:ind w:left="1440" w:hanging="360"/>
      </w:pPr>
      <w:rPr>
        <w:rFonts w:ascii="Courier New" w:hAnsi="Courier New" w:cs="Courier New" w:hint="default"/>
      </w:rPr>
    </w:lvl>
    <w:lvl w:ilvl="2" w:tplc="FA0EB794">
      <w:start w:val="1"/>
      <w:numFmt w:val="bullet"/>
      <w:lvlText w:val=""/>
      <w:lvlJc w:val="left"/>
      <w:pPr>
        <w:ind w:left="2160" w:hanging="360"/>
      </w:pPr>
      <w:rPr>
        <w:rFonts w:ascii="Wingdings" w:hAnsi="Wingdings" w:hint="default"/>
      </w:rPr>
    </w:lvl>
    <w:lvl w:ilvl="3" w:tplc="3198F7C0">
      <w:start w:val="1"/>
      <w:numFmt w:val="bullet"/>
      <w:lvlText w:val=""/>
      <w:lvlJc w:val="left"/>
      <w:pPr>
        <w:ind w:left="2880" w:hanging="360"/>
      </w:pPr>
      <w:rPr>
        <w:rFonts w:ascii="Symbol" w:hAnsi="Symbol" w:hint="default"/>
      </w:rPr>
    </w:lvl>
    <w:lvl w:ilvl="4" w:tplc="3F22455A">
      <w:start w:val="1"/>
      <w:numFmt w:val="bullet"/>
      <w:lvlText w:val="o"/>
      <w:lvlJc w:val="left"/>
      <w:pPr>
        <w:ind w:left="3600" w:hanging="360"/>
      </w:pPr>
      <w:rPr>
        <w:rFonts w:ascii="Courier New" w:hAnsi="Courier New" w:cs="Courier New" w:hint="default"/>
      </w:rPr>
    </w:lvl>
    <w:lvl w:ilvl="5" w:tplc="E2B86D94">
      <w:start w:val="1"/>
      <w:numFmt w:val="bullet"/>
      <w:lvlText w:val=""/>
      <w:lvlJc w:val="left"/>
      <w:pPr>
        <w:ind w:left="4320" w:hanging="360"/>
      </w:pPr>
      <w:rPr>
        <w:rFonts w:ascii="Wingdings" w:hAnsi="Wingdings" w:hint="default"/>
      </w:rPr>
    </w:lvl>
    <w:lvl w:ilvl="6" w:tplc="2D2E995A">
      <w:start w:val="1"/>
      <w:numFmt w:val="bullet"/>
      <w:lvlText w:val=""/>
      <w:lvlJc w:val="left"/>
      <w:pPr>
        <w:ind w:left="5040" w:hanging="360"/>
      </w:pPr>
      <w:rPr>
        <w:rFonts w:ascii="Symbol" w:hAnsi="Symbol" w:hint="default"/>
      </w:rPr>
    </w:lvl>
    <w:lvl w:ilvl="7" w:tplc="B80C51C4">
      <w:start w:val="1"/>
      <w:numFmt w:val="bullet"/>
      <w:lvlText w:val="o"/>
      <w:lvlJc w:val="left"/>
      <w:pPr>
        <w:ind w:left="5760" w:hanging="360"/>
      </w:pPr>
      <w:rPr>
        <w:rFonts w:ascii="Courier New" w:hAnsi="Courier New" w:cs="Courier New" w:hint="default"/>
      </w:rPr>
    </w:lvl>
    <w:lvl w:ilvl="8" w:tplc="41D88890">
      <w:start w:val="1"/>
      <w:numFmt w:val="bullet"/>
      <w:lvlText w:val=""/>
      <w:lvlJc w:val="left"/>
      <w:pPr>
        <w:ind w:left="6480" w:hanging="360"/>
      </w:pPr>
      <w:rPr>
        <w:rFonts w:ascii="Wingdings" w:hAnsi="Wingdings" w:hint="default"/>
      </w:rPr>
    </w:lvl>
  </w:abstractNum>
  <w:abstractNum w:abstractNumId="4" w15:restartNumberingAfterBreak="0">
    <w:nsid w:val="0D6C22A8"/>
    <w:multiLevelType w:val="hybridMultilevel"/>
    <w:tmpl w:val="997A8578"/>
    <w:lvl w:ilvl="0" w:tplc="D1926D4E">
      <w:start w:val="1"/>
      <w:numFmt w:val="decimal"/>
      <w:lvlText w:val="%1."/>
      <w:lvlJc w:val="left"/>
      <w:pPr>
        <w:ind w:left="720" w:hanging="360"/>
      </w:pPr>
    </w:lvl>
    <w:lvl w:ilvl="1" w:tplc="C9C03F9E" w:tentative="1">
      <w:start w:val="1"/>
      <w:numFmt w:val="lowerLetter"/>
      <w:lvlText w:val="%2."/>
      <w:lvlJc w:val="left"/>
      <w:pPr>
        <w:ind w:left="1440" w:hanging="360"/>
      </w:pPr>
    </w:lvl>
    <w:lvl w:ilvl="2" w:tplc="F9024AB2" w:tentative="1">
      <w:start w:val="1"/>
      <w:numFmt w:val="lowerRoman"/>
      <w:lvlText w:val="%3."/>
      <w:lvlJc w:val="right"/>
      <w:pPr>
        <w:ind w:left="2160" w:hanging="180"/>
      </w:pPr>
    </w:lvl>
    <w:lvl w:ilvl="3" w:tplc="16643B86" w:tentative="1">
      <w:start w:val="1"/>
      <w:numFmt w:val="decimal"/>
      <w:lvlText w:val="%4."/>
      <w:lvlJc w:val="left"/>
      <w:pPr>
        <w:ind w:left="2880" w:hanging="360"/>
      </w:pPr>
    </w:lvl>
    <w:lvl w:ilvl="4" w:tplc="ECBA526E" w:tentative="1">
      <w:start w:val="1"/>
      <w:numFmt w:val="lowerLetter"/>
      <w:lvlText w:val="%5."/>
      <w:lvlJc w:val="left"/>
      <w:pPr>
        <w:ind w:left="3600" w:hanging="360"/>
      </w:pPr>
    </w:lvl>
    <w:lvl w:ilvl="5" w:tplc="B5AAC26C" w:tentative="1">
      <w:start w:val="1"/>
      <w:numFmt w:val="lowerRoman"/>
      <w:lvlText w:val="%6."/>
      <w:lvlJc w:val="right"/>
      <w:pPr>
        <w:ind w:left="4320" w:hanging="180"/>
      </w:pPr>
    </w:lvl>
    <w:lvl w:ilvl="6" w:tplc="2D2A2E6E" w:tentative="1">
      <w:start w:val="1"/>
      <w:numFmt w:val="decimal"/>
      <w:lvlText w:val="%7."/>
      <w:lvlJc w:val="left"/>
      <w:pPr>
        <w:ind w:left="5040" w:hanging="360"/>
      </w:pPr>
    </w:lvl>
    <w:lvl w:ilvl="7" w:tplc="BCEC5DE6" w:tentative="1">
      <w:start w:val="1"/>
      <w:numFmt w:val="lowerLetter"/>
      <w:lvlText w:val="%8."/>
      <w:lvlJc w:val="left"/>
      <w:pPr>
        <w:ind w:left="5760" w:hanging="360"/>
      </w:pPr>
    </w:lvl>
    <w:lvl w:ilvl="8" w:tplc="9E3AA83E" w:tentative="1">
      <w:start w:val="1"/>
      <w:numFmt w:val="lowerRoman"/>
      <w:lvlText w:val="%9."/>
      <w:lvlJc w:val="right"/>
      <w:pPr>
        <w:ind w:left="6480" w:hanging="180"/>
      </w:pPr>
    </w:lvl>
  </w:abstractNum>
  <w:abstractNum w:abstractNumId="5" w15:restartNumberingAfterBreak="0">
    <w:nsid w:val="0FF73C7F"/>
    <w:multiLevelType w:val="multilevel"/>
    <w:tmpl w:val="757ED760"/>
    <w:styleLink w:val="Style1"/>
    <w:lvl w:ilvl="0">
      <w:start w:val="1"/>
      <w:numFmt w:val="decimal"/>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6" w15:restartNumberingAfterBreak="0">
    <w:nsid w:val="13043D80"/>
    <w:multiLevelType w:val="hybridMultilevel"/>
    <w:tmpl w:val="334AFB9E"/>
    <w:lvl w:ilvl="0" w:tplc="BE5A3494">
      <w:start w:val="1"/>
      <w:numFmt w:val="lowerLetter"/>
      <w:lvlText w:val="%1"/>
      <w:lvlJc w:val="left"/>
      <w:pPr>
        <w:ind w:left="2117" w:hanging="238"/>
      </w:pPr>
      <w:rPr>
        <w:rFonts w:ascii="Arial" w:eastAsia="Arial" w:hAnsi="Arial" w:cs="Arial" w:hint="default"/>
        <w:w w:val="99"/>
        <w:sz w:val="14"/>
        <w:szCs w:val="14"/>
        <w:lang w:val="en-US" w:eastAsia="en-US" w:bidi="en-US"/>
      </w:rPr>
    </w:lvl>
    <w:lvl w:ilvl="1" w:tplc="8A4874A6">
      <w:numFmt w:val="bullet"/>
      <w:lvlText w:val="•"/>
      <w:lvlJc w:val="left"/>
      <w:pPr>
        <w:ind w:left="2854" w:hanging="238"/>
      </w:pPr>
      <w:rPr>
        <w:lang w:val="en-US" w:eastAsia="en-US" w:bidi="en-US"/>
      </w:rPr>
    </w:lvl>
    <w:lvl w:ilvl="2" w:tplc="798ED052">
      <w:numFmt w:val="bullet"/>
      <w:lvlText w:val="•"/>
      <w:lvlJc w:val="left"/>
      <w:pPr>
        <w:ind w:left="3588" w:hanging="238"/>
      </w:pPr>
      <w:rPr>
        <w:lang w:val="en-US" w:eastAsia="en-US" w:bidi="en-US"/>
      </w:rPr>
    </w:lvl>
    <w:lvl w:ilvl="3" w:tplc="98EE46AE">
      <w:numFmt w:val="bullet"/>
      <w:lvlText w:val="•"/>
      <w:lvlJc w:val="left"/>
      <w:pPr>
        <w:ind w:left="4322" w:hanging="238"/>
      </w:pPr>
      <w:rPr>
        <w:lang w:val="en-US" w:eastAsia="en-US" w:bidi="en-US"/>
      </w:rPr>
    </w:lvl>
    <w:lvl w:ilvl="4" w:tplc="0EE2746C">
      <w:numFmt w:val="bullet"/>
      <w:lvlText w:val="•"/>
      <w:lvlJc w:val="left"/>
      <w:pPr>
        <w:ind w:left="5056" w:hanging="238"/>
      </w:pPr>
      <w:rPr>
        <w:lang w:val="en-US" w:eastAsia="en-US" w:bidi="en-US"/>
      </w:rPr>
    </w:lvl>
    <w:lvl w:ilvl="5" w:tplc="EA20587E">
      <w:numFmt w:val="bullet"/>
      <w:lvlText w:val="•"/>
      <w:lvlJc w:val="left"/>
      <w:pPr>
        <w:ind w:left="5790" w:hanging="238"/>
      </w:pPr>
      <w:rPr>
        <w:lang w:val="en-US" w:eastAsia="en-US" w:bidi="en-US"/>
      </w:rPr>
    </w:lvl>
    <w:lvl w:ilvl="6" w:tplc="6442BDE4">
      <w:numFmt w:val="bullet"/>
      <w:lvlText w:val="•"/>
      <w:lvlJc w:val="left"/>
      <w:pPr>
        <w:ind w:left="6524" w:hanging="238"/>
      </w:pPr>
      <w:rPr>
        <w:lang w:val="en-US" w:eastAsia="en-US" w:bidi="en-US"/>
      </w:rPr>
    </w:lvl>
    <w:lvl w:ilvl="7" w:tplc="4A86546A">
      <w:numFmt w:val="bullet"/>
      <w:lvlText w:val="•"/>
      <w:lvlJc w:val="left"/>
      <w:pPr>
        <w:ind w:left="7258" w:hanging="238"/>
      </w:pPr>
      <w:rPr>
        <w:lang w:val="en-US" w:eastAsia="en-US" w:bidi="en-US"/>
      </w:rPr>
    </w:lvl>
    <w:lvl w:ilvl="8" w:tplc="BE843DA8">
      <w:numFmt w:val="bullet"/>
      <w:lvlText w:val="•"/>
      <w:lvlJc w:val="left"/>
      <w:pPr>
        <w:ind w:left="7992" w:hanging="238"/>
      </w:pPr>
      <w:rPr>
        <w:lang w:val="en-US" w:eastAsia="en-US" w:bidi="en-US"/>
      </w:rPr>
    </w:lvl>
  </w:abstractNum>
  <w:abstractNum w:abstractNumId="7" w15:restartNumberingAfterBreak="0">
    <w:nsid w:val="17664962"/>
    <w:multiLevelType w:val="hybridMultilevel"/>
    <w:tmpl w:val="E892EEAA"/>
    <w:lvl w:ilvl="0" w:tplc="73BC8EAA">
      <w:start w:val="1"/>
      <w:numFmt w:val="bullet"/>
      <w:lvlText w:val=""/>
      <w:lvlJc w:val="left"/>
      <w:pPr>
        <w:ind w:left="720" w:hanging="360"/>
      </w:pPr>
      <w:rPr>
        <w:rFonts w:ascii="Symbol" w:hAnsi="Symbol" w:hint="default"/>
      </w:rPr>
    </w:lvl>
    <w:lvl w:ilvl="1" w:tplc="A762CF6E" w:tentative="1">
      <w:start w:val="1"/>
      <w:numFmt w:val="bullet"/>
      <w:lvlText w:val="o"/>
      <w:lvlJc w:val="left"/>
      <w:pPr>
        <w:ind w:left="1440" w:hanging="360"/>
      </w:pPr>
      <w:rPr>
        <w:rFonts w:ascii="Courier New" w:hAnsi="Courier New" w:cs="Courier New" w:hint="default"/>
      </w:rPr>
    </w:lvl>
    <w:lvl w:ilvl="2" w:tplc="3008F874" w:tentative="1">
      <w:start w:val="1"/>
      <w:numFmt w:val="bullet"/>
      <w:lvlText w:val=""/>
      <w:lvlJc w:val="left"/>
      <w:pPr>
        <w:ind w:left="2160" w:hanging="360"/>
      </w:pPr>
      <w:rPr>
        <w:rFonts w:ascii="Wingdings" w:hAnsi="Wingdings" w:hint="default"/>
      </w:rPr>
    </w:lvl>
    <w:lvl w:ilvl="3" w:tplc="1A1028DC" w:tentative="1">
      <w:start w:val="1"/>
      <w:numFmt w:val="bullet"/>
      <w:lvlText w:val=""/>
      <w:lvlJc w:val="left"/>
      <w:pPr>
        <w:ind w:left="2880" w:hanging="360"/>
      </w:pPr>
      <w:rPr>
        <w:rFonts w:ascii="Symbol" w:hAnsi="Symbol" w:hint="default"/>
      </w:rPr>
    </w:lvl>
    <w:lvl w:ilvl="4" w:tplc="CB201B46" w:tentative="1">
      <w:start w:val="1"/>
      <w:numFmt w:val="bullet"/>
      <w:lvlText w:val="o"/>
      <w:lvlJc w:val="left"/>
      <w:pPr>
        <w:ind w:left="3600" w:hanging="360"/>
      </w:pPr>
      <w:rPr>
        <w:rFonts w:ascii="Courier New" w:hAnsi="Courier New" w:cs="Courier New" w:hint="default"/>
      </w:rPr>
    </w:lvl>
    <w:lvl w:ilvl="5" w:tplc="989661E0" w:tentative="1">
      <w:start w:val="1"/>
      <w:numFmt w:val="bullet"/>
      <w:lvlText w:val=""/>
      <w:lvlJc w:val="left"/>
      <w:pPr>
        <w:ind w:left="4320" w:hanging="360"/>
      </w:pPr>
      <w:rPr>
        <w:rFonts w:ascii="Wingdings" w:hAnsi="Wingdings" w:hint="default"/>
      </w:rPr>
    </w:lvl>
    <w:lvl w:ilvl="6" w:tplc="3FEA4AAC" w:tentative="1">
      <w:start w:val="1"/>
      <w:numFmt w:val="bullet"/>
      <w:lvlText w:val=""/>
      <w:lvlJc w:val="left"/>
      <w:pPr>
        <w:ind w:left="5040" w:hanging="360"/>
      </w:pPr>
      <w:rPr>
        <w:rFonts w:ascii="Symbol" w:hAnsi="Symbol" w:hint="default"/>
      </w:rPr>
    </w:lvl>
    <w:lvl w:ilvl="7" w:tplc="0F244D3E" w:tentative="1">
      <w:start w:val="1"/>
      <w:numFmt w:val="bullet"/>
      <w:lvlText w:val="o"/>
      <w:lvlJc w:val="left"/>
      <w:pPr>
        <w:ind w:left="5760" w:hanging="360"/>
      </w:pPr>
      <w:rPr>
        <w:rFonts w:ascii="Courier New" w:hAnsi="Courier New" w:cs="Courier New" w:hint="default"/>
      </w:rPr>
    </w:lvl>
    <w:lvl w:ilvl="8" w:tplc="C6F8CBE8" w:tentative="1">
      <w:start w:val="1"/>
      <w:numFmt w:val="bullet"/>
      <w:lvlText w:val=""/>
      <w:lvlJc w:val="left"/>
      <w:pPr>
        <w:ind w:left="6480" w:hanging="360"/>
      </w:pPr>
      <w:rPr>
        <w:rFonts w:ascii="Wingdings" w:hAnsi="Wingdings" w:hint="default"/>
      </w:rPr>
    </w:lvl>
  </w:abstractNum>
  <w:abstractNum w:abstractNumId="8" w15:restartNumberingAfterBreak="0">
    <w:nsid w:val="17FA091E"/>
    <w:multiLevelType w:val="multilevel"/>
    <w:tmpl w:val="757ED760"/>
    <w:numStyleLink w:val="Style1"/>
  </w:abstractNum>
  <w:abstractNum w:abstractNumId="9" w15:restartNumberingAfterBreak="0">
    <w:nsid w:val="182D2FA7"/>
    <w:multiLevelType w:val="hybridMultilevel"/>
    <w:tmpl w:val="B27AA5EC"/>
    <w:lvl w:ilvl="0" w:tplc="7C96EDEE">
      <w:start w:val="1"/>
      <w:numFmt w:val="lowerLetter"/>
      <w:lvlText w:val="%1"/>
      <w:lvlJc w:val="left"/>
      <w:pPr>
        <w:ind w:left="455" w:hanging="238"/>
      </w:pPr>
      <w:rPr>
        <w:rFonts w:ascii="Arial" w:eastAsia="Arial" w:hAnsi="Arial" w:cs="Arial" w:hint="default"/>
        <w:w w:val="99"/>
        <w:sz w:val="14"/>
        <w:szCs w:val="14"/>
        <w:lang w:val="en-US" w:eastAsia="en-US" w:bidi="en-US"/>
      </w:rPr>
    </w:lvl>
    <w:lvl w:ilvl="1" w:tplc="86F4CCB6">
      <w:numFmt w:val="bullet"/>
      <w:lvlText w:val="•"/>
      <w:lvlJc w:val="left"/>
      <w:pPr>
        <w:ind w:left="1446" w:hanging="238"/>
      </w:pPr>
      <w:rPr>
        <w:rFonts w:hint="default"/>
        <w:lang w:val="en-US" w:eastAsia="en-US" w:bidi="en-US"/>
      </w:rPr>
    </w:lvl>
    <w:lvl w:ilvl="2" w:tplc="EA60EC16">
      <w:numFmt w:val="bullet"/>
      <w:lvlText w:val="•"/>
      <w:lvlJc w:val="left"/>
      <w:pPr>
        <w:ind w:left="2432" w:hanging="238"/>
      </w:pPr>
      <w:rPr>
        <w:rFonts w:hint="default"/>
        <w:lang w:val="en-US" w:eastAsia="en-US" w:bidi="en-US"/>
      </w:rPr>
    </w:lvl>
    <w:lvl w:ilvl="3" w:tplc="CBBEB2A6">
      <w:numFmt w:val="bullet"/>
      <w:lvlText w:val="•"/>
      <w:lvlJc w:val="left"/>
      <w:pPr>
        <w:ind w:left="3418" w:hanging="238"/>
      </w:pPr>
      <w:rPr>
        <w:rFonts w:hint="default"/>
        <w:lang w:val="en-US" w:eastAsia="en-US" w:bidi="en-US"/>
      </w:rPr>
    </w:lvl>
    <w:lvl w:ilvl="4" w:tplc="242E4E88">
      <w:numFmt w:val="bullet"/>
      <w:lvlText w:val="•"/>
      <w:lvlJc w:val="left"/>
      <w:pPr>
        <w:ind w:left="4404" w:hanging="238"/>
      </w:pPr>
      <w:rPr>
        <w:rFonts w:hint="default"/>
        <w:lang w:val="en-US" w:eastAsia="en-US" w:bidi="en-US"/>
      </w:rPr>
    </w:lvl>
    <w:lvl w:ilvl="5" w:tplc="1AA0CCF2">
      <w:numFmt w:val="bullet"/>
      <w:lvlText w:val="•"/>
      <w:lvlJc w:val="left"/>
      <w:pPr>
        <w:ind w:left="5390" w:hanging="238"/>
      </w:pPr>
      <w:rPr>
        <w:rFonts w:hint="default"/>
        <w:lang w:val="en-US" w:eastAsia="en-US" w:bidi="en-US"/>
      </w:rPr>
    </w:lvl>
    <w:lvl w:ilvl="6" w:tplc="EE886422">
      <w:numFmt w:val="bullet"/>
      <w:lvlText w:val="•"/>
      <w:lvlJc w:val="left"/>
      <w:pPr>
        <w:ind w:left="6376" w:hanging="238"/>
      </w:pPr>
      <w:rPr>
        <w:rFonts w:hint="default"/>
        <w:lang w:val="en-US" w:eastAsia="en-US" w:bidi="en-US"/>
      </w:rPr>
    </w:lvl>
    <w:lvl w:ilvl="7" w:tplc="F01A9A96">
      <w:numFmt w:val="bullet"/>
      <w:lvlText w:val="•"/>
      <w:lvlJc w:val="left"/>
      <w:pPr>
        <w:ind w:left="7362" w:hanging="238"/>
      </w:pPr>
      <w:rPr>
        <w:rFonts w:hint="default"/>
        <w:lang w:val="en-US" w:eastAsia="en-US" w:bidi="en-US"/>
      </w:rPr>
    </w:lvl>
    <w:lvl w:ilvl="8" w:tplc="D5C81194">
      <w:numFmt w:val="bullet"/>
      <w:lvlText w:val="•"/>
      <w:lvlJc w:val="left"/>
      <w:pPr>
        <w:ind w:left="8348" w:hanging="238"/>
      </w:pPr>
      <w:rPr>
        <w:rFonts w:hint="default"/>
        <w:lang w:val="en-US" w:eastAsia="en-US" w:bidi="en-US"/>
      </w:rPr>
    </w:lvl>
  </w:abstractNum>
  <w:abstractNum w:abstractNumId="10" w15:restartNumberingAfterBreak="0">
    <w:nsid w:val="196B606F"/>
    <w:multiLevelType w:val="hybridMultilevel"/>
    <w:tmpl w:val="E0560262"/>
    <w:lvl w:ilvl="0" w:tplc="42CAA25A">
      <w:start w:val="1"/>
      <w:numFmt w:val="bullet"/>
      <w:pStyle w:val="TableBullet"/>
      <w:lvlText w:val=""/>
      <w:lvlJc w:val="left"/>
      <w:pPr>
        <w:ind w:left="720" w:hanging="360"/>
      </w:pPr>
      <w:rPr>
        <w:rFonts w:ascii="Symbol" w:hAnsi="Symbol" w:hint="default"/>
      </w:rPr>
    </w:lvl>
    <w:lvl w:ilvl="1" w:tplc="D72AE338" w:tentative="1">
      <w:start w:val="1"/>
      <w:numFmt w:val="bullet"/>
      <w:lvlText w:val="o"/>
      <w:lvlJc w:val="left"/>
      <w:pPr>
        <w:ind w:left="1440" w:hanging="360"/>
      </w:pPr>
      <w:rPr>
        <w:rFonts w:ascii="Courier New" w:hAnsi="Courier New" w:cs="Courier New" w:hint="default"/>
      </w:rPr>
    </w:lvl>
    <w:lvl w:ilvl="2" w:tplc="992EF56C" w:tentative="1">
      <w:start w:val="1"/>
      <w:numFmt w:val="bullet"/>
      <w:lvlText w:val=""/>
      <w:lvlJc w:val="left"/>
      <w:pPr>
        <w:ind w:left="2160" w:hanging="360"/>
      </w:pPr>
      <w:rPr>
        <w:rFonts w:ascii="Wingdings" w:hAnsi="Wingdings" w:hint="default"/>
      </w:rPr>
    </w:lvl>
    <w:lvl w:ilvl="3" w:tplc="E16CA6B8" w:tentative="1">
      <w:start w:val="1"/>
      <w:numFmt w:val="bullet"/>
      <w:lvlText w:val=""/>
      <w:lvlJc w:val="left"/>
      <w:pPr>
        <w:ind w:left="2880" w:hanging="360"/>
      </w:pPr>
      <w:rPr>
        <w:rFonts w:ascii="Symbol" w:hAnsi="Symbol" w:hint="default"/>
      </w:rPr>
    </w:lvl>
    <w:lvl w:ilvl="4" w:tplc="4CF81B70" w:tentative="1">
      <w:start w:val="1"/>
      <w:numFmt w:val="bullet"/>
      <w:lvlText w:val="o"/>
      <w:lvlJc w:val="left"/>
      <w:pPr>
        <w:ind w:left="3600" w:hanging="360"/>
      </w:pPr>
      <w:rPr>
        <w:rFonts w:ascii="Courier New" w:hAnsi="Courier New" w:cs="Courier New" w:hint="default"/>
      </w:rPr>
    </w:lvl>
    <w:lvl w:ilvl="5" w:tplc="D97AB0FA" w:tentative="1">
      <w:start w:val="1"/>
      <w:numFmt w:val="bullet"/>
      <w:lvlText w:val=""/>
      <w:lvlJc w:val="left"/>
      <w:pPr>
        <w:ind w:left="4320" w:hanging="360"/>
      </w:pPr>
      <w:rPr>
        <w:rFonts w:ascii="Wingdings" w:hAnsi="Wingdings" w:hint="default"/>
      </w:rPr>
    </w:lvl>
    <w:lvl w:ilvl="6" w:tplc="1CFA1750" w:tentative="1">
      <w:start w:val="1"/>
      <w:numFmt w:val="bullet"/>
      <w:lvlText w:val=""/>
      <w:lvlJc w:val="left"/>
      <w:pPr>
        <w:ind w:left="5040" w:hanging="360"/>
      </w:pPr>
      <w:rPr>
        <w:rFonts w:ascii="Symbol" w:hAnsi="Symbol" w:hint="default"/>
      </w:rPr>
    </w:lvl>
    <w:lvl w:ilvl="7" w:tplc="AE649F38" w:tentative="1">
      <w:start w:val="1"/>
      <w:numFmt w:val="bullet"/>
      <w:lvlText w:val="o"/>
      <w:lvlJc w:val="left"/>
      <w:pPr>
        <w:ind w:left="5760" w:hanging="360"/>
      </w:pPr>
      <w:rPr>
        <w:rFonts w:ascii="Courier New" w:hAnsi="Courier New" w:cs="Courier New" w:hint="default"/>
      </w:rPr>
    </w:lvl>
    <w:lvl w:ilvl="8" w:tplc="C8D06338" w:tentative="1">
      <w:start w:val="1"/>
      <w:numFmt w:val="bullet"/>
      <w:lvlText w:val=""/>
      <w:lvlJc w:val="left"/>
      <w:pPr>
        <w:ind w:left="6480" w:hanging="360"/>
      </w:pPr>
      <w:rPr>
        <w:rFonts w:ascii="Wingdings" w:hAnsi="Wingdings" w:hint="default"/>
      </w:rPr>
    </w:lvl>
  </w:abstractNum>
  <w:abstractNum w:abstractNumId="11" w15:restartNumberingAfterBreak="0">
    <w:nsid w:val="1B84575E"/>
    <w:multiLevelType w:val="hybridMultilevel"/>
    <w:tmpl w:val="0A0CF3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D352583"/>
    <w:multiLevelType w:val="hybridMultilevel"/>
    <w:tmpl w:val="997A8578"/>
    <w:lvl w:ilvl="0" w:tplc="640A3124">
      <w:start w:val="1"/>
      <w:numFmt w:val="decimal"/>
      <w:lvlText w:val="%1."/>
      <w:lvlJc w:val="left"/>
      <w:pPr>
        <w:ind w:left="720" w:hanging="360"/>
      </w:pPr>
    </w:lvl>
    <w:lvl w:ilvl="1" w:tplc="AD7041FE" w:tentative="1">
      <w:start w:val="1"/>
      <w:numFmt w:val="lowerLetter"/>
      <w:lvlText w:val="%2."/>
      <w:lvlJc w:val="left"/>
      <w:pPr>
        <w:ind w:left="1440" w:hanging="360"/>
      </w:pPr>
    </w:lvl>
    <w:lvl w:ilvl="2" w:tplc="3B9E74D2" w:tentative="1">
      <w:start w:val="1"/>
      <w:numFmt w:val="lowerRoman"/>
      <w:lvlText w:val="%3."/>
      <w:lvlJc w:val="right"/>
      <w:pPr>
        <w:ind w:left="2160" w:hanging="180"/>
      </w:pPr>
    </w:lvl>
    <w:lvl w:ilvl="3" w:tplc="39DACEE8" w:tentative="1">
      <w:start w:val="1"/>
      <w:numFmt w:val="decimal"/>
      <w:lvlText w:val="%4."/>
      <w:lvlJc w:val="left"/>
      <w:pPr>
        <w:ind w:left="2880" w:hanging="360"/>
      </w:pPr>
    </w:lvl>
    <w:lvl w:ilvl="4" w:tplc="38966528" w:tentative="1">
      <w:start w:val="1"/>
      <w:numFmt w:val="lowerLetter"/>
      <w:lvlText w:val="%5."/>
      <w:lvlJc w:val="left"/>
      <w:pPr>
        <w:ind w:left="3600" w:hanging="360"/>
      </w:pPr>
    </w:lvl>
    <w:lvl w:ilvl="5" w:tplc="4BAA39AA" w:tentative="1">
      <w:start w:val="1"/>
      <w:numFmt w:val="lowerRoman"/>
      <w:lvlText w:val="%6."/>
      <w:lvlJc w:val="right"/>
      <w:pPr>
        <w:ind w:left="4320" w:hanging="180"/>
      </w:pPr>
    </w:lvl>
    <w:lvl w:ilvl="6" w:tplc="7C5AF2E6" w:tentative="1">
      <w:start w:val="1"/>
      <w:numFmt w:val="decimal"/>
      <w:lvlText w:val="%7."/>
      <w:lvlJc w:val="left"/>
      <w:pPr>
        <w:ind w:left="5040" w:hanging="360"/>
      </w:pPr>
    </w:lvl>
    <w:lvl w:ilvl="7" w:tplc="E4342006" w:tentative="1">
      <w:start w:val="1"/>
      <w:numFmt w:val="lowerLetter"/>
      <w:lvlText w:val="%8."/>
      <w:lvlJc w:val="left"/>
      <w:pPr>
        <w:ind w:left="5760" w:hanging="360"/>
      </w:pPr>
    </w:lvl>
    <w:lvl w:ilvl="8" w:tplc="08D42AA0" w:tentative="1">
      <w:start w:val="1"/>
      <w:numFmt w:val="lowerRoman"/>
      <w:lvlText w:val="%9."/>
      <w:lvlJc w:val="right"/>
      <w:pPr>
        <w:ind w:left="6480" w:hanging="180"/>
      </w:pPr>
    </w:lvl>
  </w:abstractNum>
  <w:abstractNum w:abstractNumId="13" w15:restartNumberingAfterBreak="0">
    <w:nsid w:val="1DC247E8"/>
    <w:multiLevelType w:val="hybridMultilevel"/>
    <w:tmpl w:val="997A8578"/>
    <w:lvl w:ilvl="0" w:tplc="7FD205E6">
      <w:start w:val="1"/>
      <w:numFmt w:val="decimal"/>
      <w:lvlText w:val="%1."/>
      <w:lvlJc w:val="left"/>
      <w:pPr>
        <w:ind w:left="720" w:hanging="360"/>
      </w:pPr>
    </w:lvl>
    <w:lvl w:ilvl="1" w:tplc="93768D94" w:tentative="1">
      <w:start w:val="1"/>
      <w:numFmt w:val="lowerLetter"/>
      <w:lvlText w:val="%2."/>
      <w:lvlJc w:val="left"/>
      <w:pPr>
        <w:ind w:left="1440" w:hanging="360"/>
      </w:pPr>
    </w:lvl>
    <w:lvl w:ilvl="2" w:tplc="EE48033A" w:tentative="1">
      <w:start w:val="1"/>
      <w:numFmt w:val="lowerRoman"/>
      <w:lvlText w:val="%3."/>
      <w:lvlJc w:val="right"/>
      <w:pPr>
        <w:ind w:left="2160" w:hanging="180"/>
      </w:pPr>
    </w:lvl>
    <w:lvl w:ilvl="3" w:tplc="2230F6BA" w:tentative="1">
      <w:start w:val="1"/>
      <w:numFmt w:val="decimal"/>
      <w:lvlText w:val="%4."/>
      <w:lvlJc w:val="left"/>
      <w:pPr>
        <w:ind w:left="2880" w:hanging="360"/>
      </w:pPr>
    </w:lvl>
    <w:lvl w:ilvl="4" w:tplc="FFE48E32" w:tentative="1">
      <w:start w:val="1"/>
      <w:numFmt w:val="lowerLetter"/>
      <w:lvlText w:val="%5."/>
      <w:lvlJc w:val="left"/>
      <w:pPr>
        <w:ind w:left="3600" w:hanging="360"/>
      </w:pPr>
    </w:lvl>
    <w:lvl w:ilvl="5" w:tplc="7C3ECBD0" w:tentative="1">
      <w:start w:val="1"/>
      <w:numFmt w:val="lowerRoman"/>
      <w:lvlText w:val="%6."/>
      <w:lvlJc w:val="right"/>
      <w:pPr>
        <w:ind w:left="4320" w:hanging="180"/>
      </w:pPr>
    </w:lvl>
    <w:lvl w:ilvl="6" w:tplc="93AE1412" w:tentative="1">
      <w:start w:val="1"/>
      <w:numFmt w:val="decimal"/>
      <w:lvlText w:val="%7."/>
      <w:lvlJc w:val="left"/>
      <w:pPr>
        <w:ind w:left="5040" w:hanging="360"/>
      </w:pPr>
    </w:lvl>
    <w:lvl w:ilvl="7" w:tplc="5434A0E2" w:tentative="1">
      <w:start w:val="1"/>
      <w:numFmt w:val="lowerLetter"/>
      <w:lvlText w:val="%8."/>
      <w:lvlJc w:val="left"/>
      <w:pPr>
        <w:ind w:left="5760" w:hanging="360"/>
      </w:pPr>
    </w:lvl>
    <w:lvl w:ilvl="8" w:tplc="AABC5F52" w:tentative="1">
      <w:start w:val="1"/>
      <w:numFmt w:val="lowerRoman"/>
      <w:lvlText w:val="%9."/>
      <w:lvlJc w:val="right"/>
      <w:pPr>
        <w:ind w:left="6480" w:hanging="180"/>
      </w:pPr>
    </w:lvl>
  </w:abstractNum>
  <w:abstractNum w:abstractNumId="14" w15:restartNumberingAfterBreak="0">
    <w:nsid w:val="2453399E"/>
    <w:multiLevelType w:val="multilevel"/>
    <w:tmpl w:val="88964F4C"/>
    <w:numStyleLink w:val="heading"/>
  </w:abstractNum>
  <w:abstractNum w:abstractNumId="15" w15:restartNumberingAfterBreak="0">
    <w:nsid w:val="24F51654"/>
    <w:multiLevelType w:val="hybridMultilevel"/>
    <w:tmpl w:val="81F2ABC0"/>
    <w:lvl w:ilvl="0" w:tplc="D338C0F0">
      <w:start w:val="1"/>
      <w:numFmt w:val="bullet"/>
      <w:lvlText w:val=""/>
      <w:lvlJc w:val="left"/>
      <w:pPr>
        <w:ind w:left="720" w:hanging="360"/>
      </w:pPr>
      <w:rPr>
        <w:rFonts w:ascii="Symbol" w:hAnsi="Symbol" w:hint="default"/>
      </w:rPr>
    </w:lvl>
    <w:lvl w:ilvl="1" w:tplc="45CC2DEC" w:tentative="1">
      <w:start w:val="1"/>
      <w:numFmt w:val="bullet"/>
      <w:lvlText w:val="o"/>
      <w:lvlJc w:val="left"/>
      <w:pPr>
        <w:ind w:left="1440" w:hanging="360"/>
      </w:pPr>
      <w:rPr>
        <w:rFonts w:ascii="Courier New" w:hAnsi="Courier New" w:cs="Courier New" w:hint="default"/>
      </w:rPr>
    </w:lvl>
    <w:lvl w:ilvl="2" w:tplc="1598C30A" w:tentative="1">
      <w:start w:val="1"/>
      <w:numFmt w:val="bullet"/>
      <w:lvlText w:val=""/>
      <w:lvlJc w:val="left"/>
      <w:pPr>
        <w:ind w:left="2160" w:hanging="360"/>
      </w:pPr>
      <w:rPr>
        <w:rFonts w:ascii="Wingdings" w:hAnsi="Wingdings" w:hint="default"/>
      </w:rPr>
    </w:lvl>
    <w:lvl w:ilvl="3" w:tplc="0AE070F0" w:tentative="1">
      <w:start w:val="1"/>
      <w:numFmt w:val="bullet"/>
      <w:lvlText w:val=""/>
      <w:lvlJc w:val="left"/>
      <w:pPr>
        <w:ind w:left="2880" w:hanging="360"/>
      </w:pPr>
      <w:rPr>
        <w:rFonts w:ascii="Symbol" w:hAnsi="Symbol" w:hint="default"/>
      </w:rPr>
    </w:lvl>
    <w:lvl w:ilvl="4" w:tplc="0F2094A8" w:tentative="1">
      <w:start w:val="1"/>
      <w:numFmt w:val="bullet"/>
      <w:lvlText w:val="o"/>
      <w:lvlJc w:val="left"/>
      <w:pPr>
        <w:ind w:left="3600" w:hanging="360"/>
      </w:pPr>
      <w:rPr>
        <w:rFonts w:ascii="Courier New" w:hAnsi="Courier New" w:cs="Courier New" w:hint="default"/>
      </w:rPr>
    </w:lvl>
    <w:lvl w:ilvl="5" w:tplc="58A629BA" w:tentative="1">
      <w:start w:val="1"/>
      <w:numFmt w:val="bullet"/>
      <w:lvlText w:val=""/>
      <w:lvlJc w:val="left"/>
      <w:pPr>
        <w:ind w:left="4320" w:hanging="360"/>
      </w:pPr>
      <w:rPr>
        <w:rFonts w:ascii="Wingdings" w:hAnsi="Wingdings" w:hint="default"/>
      </w:rPr>
    </w:lvl>
    <w:lvl w:ilvl="6" w:tplc="0F00B0C4" w:tentative="1">
      <w:start w:val="1"/>
      <w:numFmt w:val="bullet"/>
      <w:lvlText w:val=""/>
      <w:lvlJc w:val="left"/>
      <w:pPr>
        <w:ind w:left="5040" w:hanging="360"/>
      </w:pPr>
      <w:rPr>
        <w:rFonts w:ascii="Symbol" w:hAnsi="Symbol" w:hint="default"/>
      </w:rPr>
    </w:lvl>
    <w:lvl w:ilvl="7" w:tplc="C0CC00E4" w:tentative="1">
      <w:start w:val="1"/>
      <w:numFmt w:val="bullet"/>
      <w:lvlText w:val="o"/>
      <w:lvlJc w:val="left"/>
      <w:pPr>
        <w:ind w:left="5760" w:hanging="360"/>
      </w:pPr>
      <w:rPr>
        <w:rFonts w:ascii="Courier New" w:hAnsi="Courier New" w:cs="Courier New" w:hint="default"/>
      </w:rPr>
    </w:lvl>
    <w:lvl w:ilvl="8" w:tplc="8C8EC786" w:tentative="1">
      <w:start w:val="1"/>
      <w:numFmt w:val="bullet"/>
      <w:lvlText w:val=""/>
      <w:lvlJc w:val="left"/>
      <w:pPr>
        <w:ind w:left="6480" w:hanging="360"/>
      </w:pPr>
      <w:rPr>
        <w:rFonts w:ascii="Wingdings" w:hAnsi="Wingdings" w:hint="default"/>
      </w:rPr>
    </w:lvl>
  </w:abstractNum>
  <w:abstractNum w:abstractNumId="16"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7" w15:restartNumberingAfterBreak="0">
    <w:nsid w:val="2CA45455"/>
    <w:multiLevelType w:val="hybridMultilevel"/>
    <w:tmpl w:val="3406542E"/>
    <w:lvl w:ilvl="0" w:tplc="6FA6B108">
      <w:start w:val="1"/>
      <w:numFmt w:val="bullet"/>
      <w:lvlText w:val=""/>
      <w:lvlJc w:val="left"/>
      <w:pPr>
        <w:ind w:left="720" w:hanging="360"/>
      </w:pPr>
      <w:rPr>
        <w:rFonts w:ascii="Symbol" w:hAnsi="Symbol" w:hint="default"/>
      </w:rPr>
    </w:lvl>
    <w:lvl w:ilvl="1" w:tplc="3320C21E" w:tentative="1">
      <w:start w:val="1"/>
      <w:numFmt w:val="bullet"/>
      <w:lvlText w:val="o"/>
      <w:lvlJc w:val="left"/>
      <w:pPr>
        <w:ind w:left="1440" w:hanging="360"/>
      </w:pPr>
      <w:rPr>
        <w:rFonts w:ascii="Courier New" w:hAnsi="Courier New" w:cs="Courier New" w:hint="default"/>
      </w:rPr>
    </w:lvl>
    <w:lvl w:ilvl="2" w:tplc="A296FBD2" w:tentative="1">
      <w:start w:val="1"/>
      <w:numFmt w:val="bullet"/>
      <w:lvlText w:val=""/>
      <w:lvlJc w:val="left"/>
      <w:pPr>
        <w:ind w:left="2160" w:hanging="360"/>
      </w:pPr>
      <w:rPr>
        <w:rFonts w:ascii="Wingdings" w:hAnsi="Wingdings" w:hint="default"/>
      </w:rPr>
    </w:lvl>
    <w:lvl w:ilvl="3" w:tplc="60F40120" w:tentative="1">
      <w:start w:val="1"/>
      <w:numFmt w:val="bullet"/>
      <w:lvlText w:val=""/>
      <w:lvlJc w:val="left"/>
      <w:pPr>
        <w:ind w:left="2880" w:hanging="360"/>
      </w:pPr>
      <w:rPr>
        <w:rFonts w:ascii="Symbol" w:hAnsi="Symbol" w:hint="default"/>
      </w:rPr>
    </w:lvl>
    <w:lvl w:ilvl="4" w:tplc="772EA448" w:tentative="1">
      <w:start w:val="1"/>
      <w:numFmt w:val="bullet"/>
      <w:lvlText w:val="o"/>
      <w:lvlJc w:val="left"/>
      <w:pPr>
        <w:ind w:left="3600" w:hanging="360"/>
      </w:pPr>
      <w:rPr>
        <w:rFonts w:ascii="Courier New" w:hAnsi="Courier New" w:cs="Courier New" w:hint="default"/>
      </w:rPr>
    </w:lvl>
    <w:lvl w:ilvl="5" w:tplc="E932D400" w:tentative="1">
      <w:start w:val="1"/>
      <w:numFmt w:val="bullet"/>
      <w:lvlText w:val=""/>
      <w:lvlJc w:val="left"/>
      <w:pPr>
        <w:ind w:left="4320" w:hanging="360"/>
      </w:pPr>
      <w:rPr>
        <w:rFonts w:ascii="Wingdings" w:hAnsi="Wingdings" w:hint="default"/>
      </w:rPr>
    </w:lvl>
    <w:lvl w:ilvl="6" w:tplc="8D021AAE" w:tentative="1">
      <w:start w:val="1"/>
      <w:numFmt w:val="bullet"/>
      <w:lvlText w:val=""/>
      <w:lvlJc w:val="left"/>
      <w:pPr>
        <w:ind w:left="5040" w:hanging="360"/>
      </w:pPr>
      <w:rPr>
        <w:rFonts w:ascii="Symbol" w:hAnsi="Symbol" w:hint="default"/>
      </w:rPr>
    </w:lvl>
    <w:lvl w:ilvl="7" w:tplc="CBF0638E" w:tentative="1">
      <w:start w:val="1"/>
      <w:numFmt w:val="bullet"/>
      <w:lvlText w:val="o"/>
      <w:lvlJc w:val="left"/>
      <w:pPr>
        <w:ind w:left="5760" w:hanging="360"/>
      </w:pPr>
      <w:rPr>
        <w:rFonts w:ascii="Courier New" w:hAnsi="Courier New" w:cs="Courier New" w:hint="default"/>
      </w:rPr>
    </w:lvl>
    <w:lvl w:ilvl="8" w:tplc="AF2011AC" w:tentative="1">
      <w:start w:val="1"/>
      <w:numFmt w:val="bullet"/>
      <w:lvlText w:val=""/>
      <w:lvlJc w:val="left"/>
      <w:pPr>
        <w:ind w:left="6480" w:hanging="360"/>
      </w:pPr>
      <w:rPr>
        <w:rFonts w:ascii="Wingdings" w:hAnsi="Wingdings" w:hint="default"/>
      </w:rPr>
    </w:lvl>
  </w:abstractNum>
  <w:abstractNum w:abstractNumId="18" w15:restartNumberingAfterBreak="0">
    <w:nsid w:val="2D595B46"/>
    <w:multiLevelType w:val="multilevel"/>
    <w:tmpl w:val="C32AB9AA"/>
    <w:numStyleLink w:val="ListNumber1"/>
  </w:abstractNum>
  <w:abstractNum w:abstractNumId="19" w15:restartNumberingAfterBreak="0">
    <w:nsid w:val="2EF94173"/>
    <w:multiLevelType w:val="hybridMultilevel"/>
    <w:tmpl w:val="13AE6C70"/>
    <w:lvl w:ilvl="0" w:tplc="AFEC875C">
      <w:start w:val="1"/>
      <w:numFmt w:val="bullet"/>
      <w:lvlText w:val=""/>
      <w:lvlJc w:val="left"/>
      <w:pPr>
        <w:ind w:left="720" w:hanging="360"/>
      </w:pPr>
      <w:rPr>
        <w:rFonts w:ascii="Symbol" w:hAnsi="Symbol" w:hint="default"/>
      </w:rPr>
    </w:lvl>
    <w:lvl w:ilvl="1" w:tplc="66D8F804" w:tentative="1">
      <w:start w:val="1"/>
      <w:numFmt w:val="bullet"/>
      <w:lvlText w:val="o"/>
      <w:lvlJc w:val="left"/>
      <w:pPr>
        <w:ind w:left="1440" w:hanging="360"/>
      </w:pPr>
      <w:rPr>
        <w:rFonts w:ascii="Courier New" w:hAnsi="Courier New" w:cs="Courier New" w:hint="default"/>
      </w:rPr>
    </w:lvl>
    <w:lvl w:ilvl="2" w:tplc="590465BC" w:tentative="1">
      <w:start w:val="1"/>
      <w:numFmt w:val="bullet"/>
      <w:lvlText w:val=""/>
      <w:lvlJc w:val="left"/>
      <w:pPr>
        <w:ind w:left="2160" w:hanging="360"/>
      </w:pPr>
      <w:rPr>
        <w:rFonts w:ascii="Wingdings" w:hAnsi="Wingdings" w:hint="default"/>
      </w:rPr>
    </w:lvl>
    <w:lvl w:ilvl="3" w:tplc="6B0407C4" w:tentative="1">
      <w:start w:val="1"/>
      <w:numFmt w:val="bullet"/>
      <w:lvlText w:val=""/>
      <w:lvlJc w:val="left"/>
      <w:pPr>
        <w:ind w:left="2880" w:hanging="360"/>
      </w:pPr>
      <w:rPr>
        <w:rFonts w:ascii="Symbol" w:hAnsi="Symbol" w:hint="default"/>
      </w:rPr>
    </w:lvl>
    <w:lvl w:ilvl="4" w:tplc="5582BAA2" w:tentative="1">
      <w:start w:val="1"/>
      <w:numFmt w:val="bullet"/>
      <w:lvlText w:val="o"/>
      <w:lvlJc w:val="left"/>
      <w:pPr>
        <w:ind w:left="3600" w:hanging="360"/>
      </w:pPr>
      <w:rPr>
        <w:rFonts w:ascii="Courier New" w:hAnsi="Courier New" w:cs="Courier New" w:hint="default"/>
      </w:rPr>
    </w:lvl>
    <w:lvl w:ilvl="5" w:tplc="8616A4EE" w:tentative="1">
      <w:start w:val="1"/>
      <w:numFmt w:val="bullet"/>
      <w:lvlText w:val=""/>
      <w:lvlJc w:val="left"/>
      <w:pPr>
        <w:ind w:left="4320" w:hanging="360"/>
      </w:pPr>
      <w:rPr>
        <w:rFonts w:ascii="Wingdings" w:hAnsi="Wingdings" w:hint="default"/>
      </w:rPr>
    </w:lvl>
    <w:lvl w:ilvl="6" w:tplc="BA22566E" w:tentative="1">
      <w:start w:val="1"/>
      <w:numFmt w:val="bullet"/>
      <w:lvlText w:val=""/>
      <w:lvlJc w:val="left"/>
      <w:pPr>
        <w:ind w:left="5040" w:hanging="360"/>
      </w:pPr>
      <w:rPr>
        <w:rFonts w:ascii="Symbol" w:hAnsi="Symbol" w:hint="default"/>
      </w:rPr>
    </w:lvl>
    <w:lvl w:ilvl="7" w:tplc="0A9419E6" w:tentative="1">
      <w:start w:val="1"/>
      <w:numFmt w:val="bullet"/>
      <w:lvlText w:val="o"/>
      <w:lvlJc w:val="left"/>
      <w:pPr>
        <w:ind w:left="5760" w:hanging="360"/>
      </w:pPr>
      <w:rPr>
        <w:rFonts w:ascii="Courier New" w:hAnsi="Courier New" w:cs="Courier New" w:hint="default"/>
      </w:rPr>
    </w:lvl>
    <w:lvl w:ilvl="8" w:tplc="D6889F70" w:tentative="1">
      <w:start w:val="1"/>
      <w:numFmt w:val="bullet"/>
      <w:lvlText w:val=""/>
      <w:lvlJc w:val="left"/>
      <w:pPr>
        <w:ind w:left="6480" w:hanging="360"/>
      </w:pPr>
      <w:rPr>
        <w:rFonts w:ascii="Wingdings" w:hAnsi="Wingdings" w:hint="default"/>
      </w:rPr>
    </w:lvl>
  </w:abstractNum>
  <w:abstractNum w:abstractNumId="20" w15:restartNumberingAfterBreak="0">
    <w:nsid w:val="2F8E05B8"/>
    <w:multiLevelType w:val="hybridMultilevel"/>
    <w:tmpl w:val="30DA846C"/>
    <w:lvl w:ilvl="0" w:tplc="1C2E70CA">
      <w:start w:val="1"/>
      <w:numFmt w:val="bullet"/>
      <w:lvlText w:val=""/>
      <w:lvlJc w:val="left"/>
      <w:pPr>
        <w:ind w:left="720" w:hanging="360"/>
      </w:pPr>
      <w:rPr>
        <w:rFonts w:ascii="Symbol" w:hAnsi="Symbol" w:hint="default"/>
      </w:rPr>
    </w:lvl>
    <w:lvl w:ilvl="1" w:tplc="976EBFD2">
      <w:start w:val="1"/>
      <w:numFmt w:val="bullet"/>
      <w:lvlText w:val="o"/>
      <w:lvlJc w:val="left"/>
      <w:pPr>
        <w:ind w:left="1440" w:hanging="360"/>
      </w:pPr>
      <w:rPr>
        <w:rFonts w:ascii="Courier New" w:hAnsi="Courier New" w:cs="Courier New" w:hint="default"/>
      </w:rPr>
    </w:lvl>
    <w:lvl w:ilvl="2" w:tplc="72B8636A">
      <w:start w:val="1"/>
      <w:numFmt w:val="bullet"/>
      <w:lvlText w:val=""/>
      <w:lvlJc w:val="left"/>
      <w:pPr>
        <w:ind w:left="2160" w:hanging="360"/>
      </w:pPr>
      <w:rPr>
        <w:rFonts w:ascii="Wingdings" w:hAnsi="Wingdings" w:hint="default"/>
      </w:rPr>
    </w:lvl>
    <w:lvl w:ilvl="3" w:tplc="4524FF4E">
      <w:start w:val="1"/>
      <w:numFmt w:val="bullet"/>
      <w:lvlText w:val=""/>
      <w:lvlJc w:val="left"/>
      <w:pPr>
        <w:ind w:left="2880" w:hanging="360"/>
      </w:pPr>
      <w:rPr>
        <w:rFonts w:ascii="Symbol" w:hAnsi="Symbol" w:hint="default"/>
      </w:rPr>
    </w:lvl>
    <w:lvl w:ilvl="4" w:tplc="0406CAF8">
      <w:start w:val="1"/>
      <w:numFmt w:val="bullet"/>
      <w:lvlText w:val="o"/>
      <w:lvlJc w:val="left"/>
      <w:pPr>
        <w:ind w:left="3600" w:hanging="360"/>
      </w:pPr>
      <w:rPr>
        <w:rFonts w:ascii="Courier New" w:hAnsi="Courier New" w:cs="Courier New" w:hint="default"/>
      </w:rPr>
    </w:lvl>
    <w:lvl w:ilvl="5" w:tplc="018A6870">
      <w:start w:val="1"/>
      <w:numFmt w:val="bullet"/>
      <w:lvlText w:val=""/>
      <w:lvlJc w:val="left"/>
      <w:pPr>
        <w:ind w:left="4320" w:hanging="360"/>
      </w:pPr>
      <w:rPr>
        <w:rFonts w:ascii="Wingdings" w:hAnsi="Wingdings" w:hint="default"/>
      </w:rPr>
    </w:lvl>
    <w:lvl w:ilvl="6" w:tplc="19509B8A">
      <w:start w:val="1"/>
      <w:numFmt w:val="bullet"/>
      <w:lvlText w:val=""/>
      <w:lvlJc w:val="left"/>
      <w:pPr>
        <w:ind w:left="5040" w:hanging="360"/>
      </w:pPr>
      <w:rPr>
        <w:rFonts w:ascii="Symbol" w:hAnsi="Symbol" w:hint="default"/>
      </w:rPr>
    </w:lvl>
    <w:lvl w:ilvl="7" w:tplc="AD7C158C">
      <w:start w:val="1"/>
      <w:numFmt w:val="bullet"/>
      <w:lvlText w:val="o"/>
      <w:lvlJc w:val="left"/>
      <w:pPr>
        <w:ind w:left="5760" w:hanging="360"/>
      </w:pPr>
      <w:rPr>
        <w:rFonts w:ascii="Courier New" w:hAnsi="Courier New" w:cs="Courier New" w:hint="default"/>
      </w:rPr>
    </w:lvl>
    <w:lvl w:ilvl="8" w:tplc="1EAAA476">
      <w:start w:val="1"/>
      <w:numFmt w:val="bullet"/>
      <w:lvlText w:val=""/>
      <w:lvlJc w:val="left"/>
      <w:pPr>
        <w:ind w:left="6480" w:hanging="360"/>
      </w:pPr>
      <w:rPr>
        <w:rFonts w:ascii="Wingdings" w:hAnsi="Wingdings" w:hint="default"/>
      </w:rPr>
    </w:lvl>
  </w:abstractNum>
  <w:abstractNum w:abstractNumId="21"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2" w15:restartNumberingAfterBreak="0">
    <w:nsid w:val="33E50B8D"/>
    <w:multiLevelType w:val="hybridMultilevel"/>
    <w:tmpl w:val="AC9C5808"/>
    <w:lvl w:ilvl="0" w:tplc="5450E6EC">
      <w:start w:val="1"/>
      <w:numFmt w:val="bullet"/>
      <w:lvlText w:val=""/>
      <w:lvlJc w:val="left"/>
      <w:pPr>
        <w:ind w:left="360" w:hanging="360"/>
      </w:pPr>
      <w:rPr>
        <w:rFonts w:ascii="Symbol" w:hAnsi="Symbol" w:hint="default"/>
      </w:rPr>
    </w:lvl>
    <w:lvl w:ilvl="1" w:tplc="A9D849A6" w:tentative="1">
      <w:start w:val="1"/>
      <w:numFmt w:val="bullet"/>
      <w:lvlText w:val="o"/>
      <w:lvlJc w:val="left"/>
      <w:pPr>
        <w:ind w:left="1080" w:hanging="360"/>
      </w:pPr>
      <w:rPr>
        <w:rFonts w:ascii="Courier New" w:hAnsi="Courier New" w:cs="Courier New" w:hint="default"/>
      </w:rPr>
    </w:lvl>
    <w:lvl w:ilvl="2" w:tplc="EE9A22F4" w:tentative="1">
      <w:start w:val="1"/>
      <w:numFmt w:val="bullet"/>
      <w:lvlText w:val=""/>
      <w:lvlJc w:val="left"/>
      <w:pPr>
        <w:ind w:left="1800" w:hanging="360"/>
      </w:pPr>
      <w:rPr>
        <w:rFonts w:ascii="Wingdings" w:hAnsi="Wingdings" w:hint="default"/>
      </w:rPr>
    </w:lvl>
    <w:lvl w:ilvl="3" w:tplc="64EC1FBC" w:tentative="1">
      <w:start w:val="1"/>
      <w:numFmt w:val="bullet"/>
      <w:lvlText w:val=""/>
      <w:lvlJc w:val="left"/>
      <w:pPr>
        <w:ind w:left="2520" w:hanging="360"/>
      </w:pPr>
      <w:rPr>
        <w:rFonts w:ascii="Symbol" w:hAnsi="Symbol" w:hint="default"/>
      </w:rPr>
    </w:lvl>
    <w:lvl w:ilvl="4" w:tplc="E628385A" w:tentative="1">
      <w:start w:val="1"/>
      <w:numFmt w:val="bullet"/>
      <w:lvlText w:val="o"/>
      <w:lvlJc w:val="left"/>
      <w:pPr>
        <w:ind w:left="3240" w:hanging="360"/>
      </w:pPr>
      <w:rPr>
        <w:rFonts w:ascii="Courier New" w:hAnsi="Courier New" w:cs="Courier New" w:hint="default"/>
      </w:rPr>
    </w:lvl>
    <w:lvl w:ilvl="5" w:tplc="660C549A" w:tentative="1">
      <w:start w:val="1"/>
      <w:numFmt w:val="bullet"/>
      <w:lvlText w:val=""/>
      <w:lvlJc w:val="left"/>
      <w:pPr>
        <w:ind w:left="3960" w:hanging="360"/>
      </w:pPr>
      <w:rPr>
        <w:rFonts w:ascii="Wingdings" w:hAnsi="Wingdings" w:hint="default"/>
      </w:rPr>
    </w:lvl>
    <w:lvl w:ilvl="6" w:tplc="1748A4D8" w:tentative="1">
      <w:start w:val="1"/>
      <w:numFmt w:val="bullet"/>
      <w:lvlText w:val=""/>
      <w:lvlJc w:val="left"/>
      <w:pPr>
        <w:ind w:left="4680" w:hanging="360"/>
      </w:pPr>
      <w:rPr>
        <w:rFonts w:ascii="Symbol" w:hAnsi="Symbol" w:hint="default"/>
      </w:rPr>
    </w:lvl>
    <w:lvl w:ilvl="7" w:tplc="605E7F50" w:tentative="1">
      <w:start w:val="1"/>
      <w:numFmt w:val="bullet"/>
      <w:lvlText w:val="o"/>
      <w:lvlJc w:val="left"/>
      <w:pPr>
        <w:ind w:left="5400" w:hanging="360"/>
      </w:pPr>
      <w:rPr>
        <w:rFonts w:ascii="Courier New" w:hAnsi="Courier New" w:cs="Courier New" w:hint="default"/>
      </w:rPr>
    </w:lvl>
    <w:lvl w:ilvl="8" w:tplc="8AC418E8" w:tentative="1">
      <w:start w:val="1"/>
      <w:numFmt w:val="bullet"/>
      <w:lvlText w:val=""/>
      <w:lvlJc w:val="left"/>
      <w:pPr>
        <w:ind w:left="6120" w:hanging="360"/>
      </w:pPr>
      <w:rPr>
        <w:rFonts w:ascii="Wingdings" w:hAnsi="Wingdings" w:hint="default"/>
      </w:rPr>
    </w:lvl>
  </w:abstractNum>
  <w:abstractNum w:abstractNumId="23" w15:restartNumberingAfterBreak="0">
    <w:nsid w:val="36D54222"/>
    <w:multiLevelType w:val="multilevel"/>
    <w:tmpl w:val="757ED760"/>
    <w:numStyleLink w:val="Style1"/>
  </w:abstractNum>
  <w:abstractNum w:abstractNumId="24" w15:restartNumberingAfterBreak="0">
    <w:nsid w:val="394A15FE"/>
    <w:multiLevelType w:val="multilevel"/>
    <w:tmpl w:val="F162D24E"/>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26" w15:restartNumberingAfterBreak="0">
    <w:nsid w:val="41562FB4"/>
    <w:multiLevelType w:val="hybridMultilevel"/>
    <w:tmpl w:val="8F02C9CE"/>
    <w:lvl w:ilvl="0" w:tplc="D77092EC">
      <w:start w:val="1"/>
      <w:numFmt w:val="bullet"/>
      <w:lvlText w:val=""/>
      <w:lvlJc w:val="left"/>
      <w:pPr>
        <w:ind w:left="720" w:hanging="360"/>
      </w:pPr>
      <w:rPr>
        <w:rFonts w:ascii="Symbol" w:hAnsi="Symbol" w:hint="default"/>
      </w:rPr>
    </w:lvl>
    <w:lvl w:ilvl="1" w:tplc="055E2EA6" w:tentative="1">
      <w:start w:val="1"/>
      <w:numFmt w:val="bullet"/>
      <w:lvlText w:val="o"/>
      <w:lvlJc w:val="left"/>
      <w:pPr>
        <w:ind w:left="1440" w:hanging="360"/>
      </w:pPr>
      <w:rPr>
        <w:rFonts w:ascii="Courier New" w:hAnsi="Courier New" w:cs="Courier New" w:hint="default"/>
      </w:rPr>
    </w:lvl>
    <w:lvl w:ilvl="2" w:tplc="E5D4BBE8" w:tentative="1">
      <w:start w:val="1"/>
      <w:numFmt w:val="bullet"/>
      <w:lvlText w:val=""/>
      <w:lvlJc w:val="left"/>
      <w:pPr>
        <w:ind w:left="2160" w:hanging="360"/>
      </w:pPr>
      <w:rPr>
        <w:rFonts w:ascii="Wingdings" w:hAnsi="Wingdings" w:hint="default"/>
      </w:rPr>
    </w:lvl>
    <w:lvl w:ilvl="3" w:tplc="29027A16" w:tentative="1">
      <w:start w:val="1"/>
      <w:numFmt w:val="bullet"/>
      <w:lvlText w:val=""/>
      <w:lvlJc w:val="left"/>
      <w:pPr>
        <w:ind w:left="2880" w:hanging="360"/>
      </w:pPr>
      <w:rPr>
        <w:rFonts w:ascii="Symbol" w:hAnsi="Symbol" w:hint="default"/>
      </w:rPr>
    </w:lvl>
    <w:lvl w:ilvl="4" w:tplc="2FDC8F74" w:tentative="1">
      <w:start w:val="1"/>
      <w:numFmt w:val="bullet"/>
      <w:lvlText w:val="o"/>
      <w:lvlJc w:val="left"/>
      <w:pPr>
        <w:ind w:left="3600" w:hanging="360"/>
      </w:pPr>
      <w:rPr>
        <w:rFonts w:ascii="Courier New" w:hAnsi="Courier New" w:cs="Courier New" w:hint="default"/>
      </w:rPr>
    </w:lvl>
    <w:lvl w:ilvl="5" w:tplc="02BAF88E" w:tentative="1">
      <w:start w:val="1"/>
      <w:numFmt w:val="bullet"/>
      <w:lvlText w:val=""/>
      <w:lvlJc w:val="left"/>
      <w:pPr>
        <w:ind w:left="4320" w:hanging="360"/>
      </w:pPr>
      <w:rPr>
        <w:rFonts w:ascii="Wingdings" w:hAnsi="Wingdings" w:hint="default"/>
      </w:rPr>
    </w:lvl>
    <w:lvl w:ilvl="6" w:tplc="FB00F11E" w:tentative="1">
      <w:start w:val="1"/>
      <w:numFmt w:val="bullet"/>
      <w:lvlText w:val=""/>
      <w:lvlJc w:val="left"/>
      <w:pPr>
        <w:ind w:left="5040" w:hanging="360"/>
      </w:pPr>
      <w:rPr>
        <w:rFonts w:ascii="Symbol" w:hAnsi="Symbol" w:hint="default"/>
      </w:rPr>
    </w:lvl>
    <w:lvl w:ilvl="7" w:tplc="B8FE9CD2" w:tentative="1">
      <w:start w:val="1"/>
      <w:numFmt w:val="bullet"/>
      <w:lvlText w:val="o"/>
      <w:lvlJc w:val="left"/>
      <w:pPr>
        <w:ind w:left="5760" w:hanging="360"/>
      </w:pPr>
      <w:rPr>
        <w:rFonts w:ascii="Courier New" w:hAnsi="Courier New" w:cs="Courier New" w:hint="default"/>
      </w:rPr>
    </w:lvl>
    <w:lvl w:ilvl="8" w:tplc="8B06FDD2" w:tentative="1">
      <w:start w:val="1"/>
      <w:numFmt w:val="bullet"/>
      <w:lvlText w:val=""/>
      <w:lvlJc w:val="left"/>
      <w:pPr>
        <w:ind w:left="6480" w:hanging="360"/>
      </w:pPr>
      <w:rPr>
        <w:rFonts w:ascii="Wingdings" w:hAnsi="Wingdings" w:hint="default"/>
      </w:rPr>
    </w:lvl>
  </w:abstractNum>
  <w:abstractNum w:abstractNumId="27" w15:restartNumberingAfterBreak="0">
    <w:nsid w:val="48DE2E4A"/>
    <w:multiLevelType w:val="hybridMultilevel"/>
    <w:tmpl w:val="B7086130"/>
    <w:lvl w:ilvl="0" w:tplc="E3DE5DB8">
      <w:start w:val="1"/>
      <w:numFmt w:val="bullet"/>
      <w:pStyle w:val="BoxTextBullet"/>
      <w:lvlText w:val=""/>
      <w:lvlJc w:val="left"/>
      <w:pPr>
        <w:ind w:left="720" w:hanging="360"/>
      </w:pPr>
      <w:rPr>
        <w:rFonts w:ascii="Symbol" w:hAnsi="Symbol" w:hint="default"/>
      </w:rPr>
    </w:lvl>
    <w:lvl w:ilvl="1" w:tplc="CA081F1A" w:tentative="1">
      <w:start w:val="1"/>
      <w:numFmt w:val="bullet"/>
      <w:lvlText w:val="o"/>
      <w:lvlJc w:val="left"/>
      <w:pPr>
        <w:ind w:left="1440" w:hanging="360"/>
      </w:pPr>
      <w:rPr>
        <w:rFonts w:ascii="Courier New" w:hAnsi="Courier New" w:cs="Courier New" w:hint="default"/>
      </w:rPr>
    </w:lvl>
    <w:lvl w:ilvl="2" w:tplc="759E92EE" w:tentative="1">
      <w:start w:val="1"/>
      <w:numFmt w:val="bullet"/>
      <w:lvlText w:val=""/>
      <w:lvlJc w:val="left"/>
      <w:pPr>
        <w:ind w:left="2160" w:hanging="360"/>
      </w:pPr>
      <w:rPr>
        <w:rFonts w:ascii="Wingdings" w:hAnsi="Wingdings" w:hint="default"/>
      </w:rPr>
    </w:lvl>
    <w:lvl w:ilvl="3" w:tplc="33C42F8E" w:tentative="1">
      <w:start w:val="1"/>
      <w:numFmt w:val="bullet"/>
      <w:lvlText w:val=""/>
      <w:lvlJc w:val="left"/>
      <w:pPr>
        <w:ind w:left="2880" w:hanging="360"/>
      </w:pPr>
      <w:rPr>
        <w:rFonts w:ascii="Symbol" w:hAnsi="Symbol" w:hint="default"/>
      </w:rPr>
    </w:lvl>
    <w:lvl w:ilvl="4" w:tplc="BEFEB374" w:tentative="1">
      <w:start w:val="1"/>
      <w:numFmt w:val="bullet"/>
      <w:lvlText w:val="o"/>
      <w:lvlJc w:val="left"/>
      <w:pPr>
        <w:ind w:left="3600" w:hanging="360"/>
      </w:pPr>
      <w:rPr>
        <w:rFonts w:ascii="Courier New" w:hAnsi="Courier New" w:cs="Courier New" w:hint="default"/>
      </w:rPr>
    </w:lvl>
    <w:lvl w:ilvl="5" w:tplc="F14EDBBC" w:tentative="1">
      <w:start w:val="1"/>
      <w:numFmt w:val="bullet"/>
      <w:lvlText w:val=""/>
      <w:lvlJc w:val="left"/>
      <w:pPr>
        <w:ind w:left="4320" w:hanging="360"/>
      </w:pPr>
      <w:rPr>
        <w:rFonts w:ascii="Wingdings" w:hAnsi="Wingdings" w:hint="default"/>
      </w:rPr>
    </w:lvl>
    <w:lvl w:ilvl="6" w:tplc="3758B790" w:tentative="1">
      <w:start w:val="1"/>
      <w:numFmt w:val="bullet"/>
      <w:lvlText w:val=""/>
      <w:lvlJc w:val="left"/>
      <w:pPr>
        <w:ind w:left="5040" w:hanging="360"/>
      </w:pPr>
      <w:rPr>
        <w:rFonts w:ascii="Symbol" w:hAnsi="Symbol" w:hint="default"/>
      </w:rPr>
    </w:lvl>
    <w:lvl w:ilvl="7" w:tplc="85301360" w:tentative="1">
      <w:start w:val="1"/>
      <w:numFmt w:val="bullet"/>
      <w:lvlText w:val="o"/>
      <w:lvlJc w:val="left"/>
      <w:pPr>
        <w:ind w:left="5760" w:hanging="360"/>
      </w:pPr>
      <w:rPr>
        <w:rFonts w:ascii="Courier New" w:hAnsi="Courier New" w:cs="Courier New" w:hint="default"/>
      </w:rPr>
    </w:lvl>
    <w:lvl w:ilvl="8" w:tplc="9E4082B0" w:tentative="1">
      <w:start w:val="1"/>
      <w:numFmt w:val="bullet"/>
      <w:lvlText w:val=""/>
      <w:lvlJc w:val="left"/>
      <w:pPr>
        <w:ind w:left="6480" w:hanging="360"/>
      </w:pPr>
      <w:rPr>
        <w:rFonts w:ascii="Wingdings" w:hAnsi="Wingdings" w:hint="default"/>
      </w:rPr>
    </w:lvl>
  </w:abstractNum>
  <w:abstractNum w:abstractNumId="28"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29" w15:restartNumberingAfterBreak="0">
    <w:nsid w:val="4F327D22"/>
    <w:multiLevelType w:val="multilevel"/>
    <w:tmpl w:val="9496EA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FF529D8"/>
    <w:multiLevelType w:val="multilevel"/>
    <w:tmpl w:val="FC26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BA3DC5"/>
    <w:multiLevelType w:val="hybridMultilevel"/>
    <w:tmpl w:val="F5729AB2"/>
    <w:lvl w:ilvl="0" w:tplc="85FECBAA">
      <w:start w:val="1"/>
      <w:numFmt w:val="lowerLetter"/>
      <w:lvlText w:val="%1"/>
      <w:lvlJc w:val="left"/>
      <w:pPr>
        <w:ind w:left="291" w:hanging="195"/>
      </w:pPr>
      <w:rPr>
        <w:rFonts w:ascii="Arial" w:eastAsia="Arial" w:hAnsi="Arial" w:cs="Arial" w:hint="default"/>
        <w:i/>
        <w:spacing w:val="-6"/>
        <w:w w:val="100"/>
        <w:sz w:val="18"/>
        <w:szCs w:val="18"/>
        <w:lang w:val="en-US" w:eastAsia="en-US" w:bidi="en-US"/>
      </w:rPr>
    </w:lvl>
    <w:lvl w:ilvl="1" w:tplc="B4CA6222">
      <w:numFmt w:val="bullet"/>
      <w:lvlText w:val="•"/>
      <w:lvlJc w:val="left"/>
      <w:pPr>
        <w:ind w:left="442" w:hanging="195"/>
      </w:pPr>
      <w:rPr>
        <w:lang w:val="en-US" w:eastAsia="en-US" w:bidi="en-US"/>
      </w:rPr>
    </w:lvl>
    <w:lvl w:ilvl="2" w:tplc="1B74726E">
      <w:numFmt w:val="bullet"/>
      <w:lvlText w:val="•"/>
      <w:lvlJc w:val="left"/>
      <w:pPr>
        <w:ind w:left="585" w:hanging="195"/>
      </w:pPr>
      <w:rPr>
        <w:lang w:val="en-US" w:eastAsia="en-US" w:bidi="en-US"/>
      </w:rPr>
    </w:lvl>
    <w:lvl w:ilvl="3" w:tplc="7740635A">
      <w:numFmt w:val="bullet"/>
      <w:lvlText w:val="•"/>
      <w:lvlJc w:val="left"/>
      <w:pPr>
        <w:ind w:left="727" w:hanging="195"/>
      </w:pPr>
      <w:rPr>
        <w:lang w:val="en-US" w:eastAsia="en-US" w:bidi="en-US"/>
      </w:rPr>
    </w:lvl>
    <w:lvl w:ilvl="4" w:tplc="D99E103C">
      <w:numFmt w:val="bullet"/>
      <w:lvlText w:val="•"/>
      <w:lvlJc w:val="left"/>
      <w:pPr>
        <w:ind w:left="870" w:hanging="195"/>
      </w:pPr>
      <w:rPr>
        <w:lang w:val="en-US" w:eastAsia="en-US" w:bidi="en-US"/>
      </w:rPr>
    </w:lvl>
    <w:lvl w:ilvl="5" w:tplc="262E1BCA">
      <w:numFmt w:val="bullet"/>
      <w:lvlText w:val="•"/>
      <w:lvlJc w:val="left"/>
      <w:pPr>
        <w:ind w:left="1012" w:hanging="195"/>
      </w:pPr>
      <w:rPr>
        <w:lang w:val="en-US" w:eastAsia="en-US" w:bidi="en-US"/>
      </w:rPr>
    </w:lvl>
    <w:lvl w:ilvl="6" w:tplc="9AECFD6C">
      <w:numFmt w:val="bullet"/>
      <w:lvlText w:val="•"/>
      <w:lvlJc w:val="left"/>
      <w:pPr>
        <w:ind w:left="1155" w:hanging="195"/>
      </w:pPr>
      <w:rPr>
        <w:lang w:val="en-US" w:eastAsia="en-US" w:bidi="en-US"/>
      </w:rPr>
    </w:lvl>
    <w:lvl w:ilvl="7" w:tplc="A0CA1422">
      <w:numFmt w:val="bullet"/>
      <w:lvlText w:val="•"/>
      <w:lvlJc w:val="left"/>
      <w:pPr>
        <w:ind w:left="1298" w:hanging="195"/>
      </w:pPr>
      <w:rPr>
        <w:lang w:val="en-US" w:eastAsia="en-US" w:bidi="en-US"/>
      </w:rPr>
    </w:lvl>
    <w:lvl w:ilvl="8" w:tplc="B8622E02">
      <w:numFmt w:val="bullet"/>
      <w:lvlText w:val="•"/>
      <w:lvlJc w:val="left"/>
      <w:pPr>
        <w:ind w:left="1440" w:hanging="195"/>
      </w:pPr>
      <w:rPr>
        <w:lang w:val="en-US" w:eastAsia="en-US" w:bidi="en-US"/>
      </w:rPr>
    </w:lvl>
  </w:abstractNum>
  <w:abstractNum w:abstractNumId="32" w15:restartNumberingAfterBreak="0">
    <w:nsid w:val="58626622"/>
    <w:multiLevelType w:val="hybridMultilevel"/>
    <w:tmpl w:val="E42E7B56"/>
    <w:lvl w:ilvl="0" w:tplc="366C5C58">
      <w:start w:val="1"/>
      <w:numFmt w:val="bullet"/>
      <w:lvlText w:val=""/>
      <w:lvlJc w:val="left"/>
      <w:pPr>
        <w:ind w:left="1440" w:hanging="360"/>
      </w:pPr>
      <w:rPr>
        <w:rFonts w:ascii="Symbol" w:hAnsi="Symbol"/>
      </w:rPr>
    </w:lvl>
    <w:lvl w:ilvl="1" w:tplc="F37EEC82">
      <w:start w:val="1"/>
      <w:numFmt w:val="bullet"/>
      <w:lvlText w:val=""/>
      <w:lvlJc w:val="left"/>
      <w:pPr>
        <w:ind w:left="1440" w:hanging="360"/>
      </w:pPr>
      <w:rPr>
        <w:rFonts w:ascii="Symbol" w:hAnsi="Symbol"/>
      </w:rPr>
    </w:lvl>
    <w:lvl w:ilvl="2" w:tplc="DFEABA98">
      <w:start w:val="1"/>
      <w:numFmt w:val="bullet"/>
      <w:lvlText w:val=""/>
      <w:lvlJc w:val="left"/>
      <w:pPr>
        <w:ind w:left="1440" w:hanging="360"/>
      </w:pPr>
      <w:rPr>
        <w:rFonts w:ascii="Symbol" w:hAnsi="Symbol"/>
      </w:rPr>
    </w:lvl>
    <w:lvl w:ilvl="3" w:tplc="FB70918C">
      <w:start w:val="1"/>
      <w:numFmt w:val="bullet"/>
      <w:lvlText w:val=""/>
      <w:lvlJc w:val="left"/>
      <w:pPr>
        <w:ind w:left="1440" w:hanging="360"/>
      </w:pPr>
      <w:rPr>
        <w:rFonts w:ascii="Symbol" w:hAnsi="Symbol"/>
      </w:rPr>
    </w:lvl>
    <w:lvl w:ilvl="4" w:tplc="1CD47ABC">
      <w:start w:val="1"/>
      <w:numFmt w:val="bullet"/>
      <w:lvlText w:val=""/>
      <w:lvlJc w:val="left"/>
      <w:pPr>
        <w:ind w:left="1440" w:hanging="360"/>
      </w:pPr>
      <w:rPr>
        <w:rFonts w:ascii="Symbol" w:hAnsi="Symbol"/>
      </w:rPr>
    </w:lvl>
    <w:lvl w:ilvl="5" w:tplc="E610B370">
      <w:start w:val="1"/>
      <w:numFmt w:val="bullet"/>
      <w:lvlText w:val=""/>
      <w:lvlJc w:val="left"/>
      <w:pPr>
        <w:ind w:left="1440" w:hanging="360"/>
      </w:pPr>
      <w:rPr>
        <w:rFonts w:ascii="Symbol" w:hAnsi="Symbol"/>
      </w:rPr>
    </w:lvl>
    <w:lvl w:ilvl="6" w:tplc="5B7AA966">
      <w:start w:val="1"/>
      <w:numFmt w:val="bullet"/>
      <w:lvlText w:val=""/>
      <w:lvlJc w:val="left"/>
      <w:pPr>
        <w:ind w:left="1440" w:hanging="360"/>
      </w:pPr>
      <w:rPr>
        <w:rFonts w:ascii="Symbol" w:hAnsi="Symbol"/>
      </w:rPr>
    </w:lvl>
    <w:lvl w:ilvl="7" w:tplc="1EFC0F9C">
      <w:start w:val="1"/>
      <w:numFmt w:val="bullet"/>
      <w:lvlText w:val=""/>
      <w:lvlJc w:val="left"/>
      <w:pPr>
        <w:ind w:left="1440" w:hanging="360"/>
      </w:pPr>
      <w:rPr>
        <w:rFonts w:ascii="Symbol" w:hAnsi="Symbol"/>
      </w:rPr>
    </w:lvl>
    <w:lvl w:ilvl="8" w:tplc="597EAAF4">
      <w:start w:val="1"/>
      <w:numFmt w:val="bullet"/>
      <w:lvlText w:val=""/>
      <w:lvlJc w:val="left"/>
      <w:pPr>
        <w:ind w:left="1440" w:hanging="360"/>
      </w:pPr>
      <w:rPr>
        <w:rFonts w:ascii="Symbol" w:hAnsi="Symbol"/>
      </w:rPr>
    </w:lvl>
  </w:abstractNum>
  <w:abstractNum w:abstractNumId="33" w15:restartNumberingAfterBreak="0">
    <w:nsid w:val="59FB4CBC"/>
    <w:multiLevelType w:val="hybridMultilevel"/>
    <w:tmpl w:val="2756508A"/>
    <w:lvl w:ilvl="0" w:tplc="D7F206E6">
      <w:start w:val="1"/>
      <w:numFmt w:val="bullet"/>
      <w:lvlText w:val=""/>
      <w:lvlJc w:val="left"/>
      <w:pPr>
        <w:ind w:left="720" w:hanging="360"/>
      </w:pPr>
      <w:rPr>
        <w:rFonts w:ascii="Symbol" w:hAnsi="Symbol" w:hint="default"/>
      </w:rPr>
    </w:lvl>
    <w:lvl w:ilvl="1" w:tplc="1A741CC4" w:tentative="1">
      <w:start w:val="1"/>
      <w:numFmt w:val="bullet"/>
      <w:lvlText w:val="o"/>
      <w:lvlJc w:val="left"/>
      <w:pPr>
        <w:ind w:left="1440" w:hanging="360"/>
      </w:pPr>
      <w:rPr>
        <w:rFonts w:ascii="Courier New" w:hAnsi="Courier New" w:cs="Courier New" w:hint="default"/>
      </w:rPr>
    </w:lvl>
    <w:lvl w:ilvl="2" w:tplc="F2D6BB0E" w:tentative="1">
      <w:start w:val="1"/>
      <w:numFmt w:val="bullet"/>
      <w:lvlText w:val=""/>
      <w:lvlJc w:val="left"/>
      <w:pPr>
        <w:ind w:left="2160" w:hanging="360"/>
      </w:pPr>
      <w:rPr>
        <w:rFonts w:ascii="Wingdings" w:hAnsi="Wingdings" w:hint="default"/>
      </w:rPr>
    </w:lvl>
    <w:lvl w:ilvl="3" w:tplc="AEA43D3C" w:tentative="1">
      <w:start w:val="1"/>
      <w:numFmt w:val="bullet"/>
      <w:lvlText w:val=""/>
      <w:lvlJc w:val="left"/>
      <w:pPr>
        <w:ind w:left="2880" w:hanging="360"/>
      </w:pPr>
      <w:rPr>
        <w:rFonts w:ascii="Symbol" w:hAnsi="Symbol" w:hint="default"/>
      </w:rPr>
    </w:lvl>
    <w:lvl w:ilvl="4" w:tplc="968C1486" w:tentative="1">
      <w:start w:val="1"/>
      <w:numFmt w:val="bullet"/>
      <w:lvlText w:val="o"/>
      <w:lvlJc w:val="left"/>
      <w:pPr>
        <w:ind w:left="3600" w:hanging="360"/>
      </w:pPr>
      <w:rPr>
        <w:rFonts w:ascii="Courier New" w:hAnsi="Courier New" w:cs="Courier New" w:hint="default"/>
      </w:rPr>
    </w:lvl>
    <w:lvl w:ilvl="5" w:tplc="B1F8E746" w:tentative="1">
      <w:start w:val="1"/>
      <w:numFmt w:val="bullet"/>
      <w:lvlText w:val=""/>
      <w:lvlJc w:val="left"/>
      <w:pPr>
        <w:ind w:left="4320" w:hanging="360"/>
      </w:pPr>
      <w:rPr>
        <w:rFonts w:ascii="Wingdings" w:hAnsi="Wingdings" w:hint="default"/>
      </w:rPr>
    </w:lvl>
    <w:lvl w:ilvl="6" w:tplc="0BBA4CD8" w:tentative="1">
      <w:start w:val="1"/>
      <w:numFmt w:val="bullet"/>
      <w:lvlText w:val=""/>
      <w:lvlJc w:val="left"/>
      <w:pPr>
        <w:ind w:left="5040" w:hanging="360"/>
      </w:pPr>
      <w:rPr>
        <w:rFonts w:ascii="Symbol" w:hAnsi="Symbol" w:hint="default"/>
      </w:rPr>
    </w:lvl>
    <w:lvl w:ilvl="7" w:tplc="72C66FE0" w:tentative="1">
      <w:start w:val="1"/>
      <w:numFmt w:val="bullet"/>
      <w:lvlText w:val="o"/>
      <w:lvlJc w:val="left"/>
      <w:pPr>
        <w:ind w:left="5760" w:hanging="360"/>
      </w:pPr>
      <w:rPr>
        <w:rFonts w:ascii="Courier New" w:hAnsi="Courier New" w:cs="Courier New" w:hint="default"/>
      </w:rPr>
    </w:lvl>
    <w:lvl w:ilvl="8" w:tplc="484AABE4" w:tentative="1">
      <w:start w:val="1"/>
      <w:numFmt w:val="bullet"/>
      <w:lvlText w:val=""/>
      <w:lvlJc w:val="left"/>
      <w:pPr>
        <w:ind w:left="6480" w:hanging="360"/>
      </w:pPr>
      <w:rPr>
        <w:rFonts w:ascii="Wingdings" w:hAnsi="Wingdings" w:hint="default"/>
      </w:rPr>
    </w:lvl>
  </w:abstractNum>
  <w:abstractNum w:abstractNumId="3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5" w15:restartNumberingAfterBreak="0">
    <w:nsid w:val="5B3D02E1"/>
    <w:multiLevelType w:val="hybridMultilevel"/>
    <w:tmpl w:val="40E04B4A"/>
    <w:lvl w:ilvl="0" w:tplc="2E04C2A4">
      <w:start w:val="1"/>
      <w:numFmt w:val="bullet"/>
      <w:lvlText w:val=""/>
      <w:lvlJc w:val="left"/>
      <w:pPr>
        <w:ind w:left="720" w:hanging="360"/>
      </w:pPr>
      <w:rPr>
        <w:rFonts w:ascii="Symbol" w:hAnsi="Symbol" w:hint="default"/>
      </w:rPr>
    </w:lvl>
    <w:lvl w:ilvl="1" w:tplc="99C82CBE" w:tentative="1">
      <w:start w:val="1"/>
      <w:numFmt w:val="bullet"/>
      <w:lvlText w:val="o"/>
      <w:lvlJc w:val="left"/>
      <w:pPr>
        <w:ind w:left="1440" w:hanging="360"/>
      </w:pPr>
      <w:rPr>
        <w:rFonts w:ascii="Courier New" w:hAnsi="Courier New" w:cs="Courier New" w:hint="default"/>
      </w:rPr>
    </w:lvl>
    <w:lvl w:ilvl="2" w:tplc="F29A86E2" w:tentative="1">
      <w:start w:val="1"/>
      <w:numFmt w:val="bullet"/>
      <w:lvlText w:val=""/>
      <w:lvlJc w:val="left"/>
      <w:pPr>
        <w:ind w:left="2160" w:hanging="360"/>
      </w:pPr>
      <w:rPr>
        <w:rFonts w:ascii="Wingdings" w:hAnsi="Wingdings" w:hint="default"/>
      </w:rPr>
    </w:lvl>
    <w:lvl w:ilvl="3" w:tplc="21948666" w:tentative="1">
      <w:start w:val="1"/>
      <w:numFmt w:val="bullet"/>
      <w:lvlText w:val=""/>
      <w:lvlJc w:val="left"/>
      <w:pPr>
        <w:ind w:left="2880" w:hanging="360"/>
      </w:pPr>
      <w:rPr>
        <w:rFonts w:ascii="Symbol" w:hAnsi="Symbol" w:hint="default"/>
      </w:rPr>
    </w:lvl>
    <w:lvl w:ilvl="4" w:tplc="7F1008DA" w:tentative="1">
      <w:start w:val="1"/>
      <w:numFmt w:val="bullet"/>
      <w:lvlText w:val="o"/>
      <w:lvlJc w:val="left"/>
      <w:pPr>
        <w:ind w:left="3600" w:hanging="360"/>
      </w:pPr>
      <w:rPr>
        <w:rFonts w:ascii="Courier New" w:hAnsi="Courier New" w:cs="Courier New" w:hint="default"/>
      </w:rPr>
    </w:lvl>
    <w:lvl w:ilvl="5" w:tplc="F872CBA6" w:tentative="1">
      <w:start w:val="1"/>
      <w:numFmt w:val="bullet"/>
      <w:lvlText w:val=""/>
      <w:lvlJc w:val="left"/>
      <w:pPr>
        <w:ind w:left="4320" w:hanging="360"/>
      </w:pPr>
      <w:rPr>
        <w:rFonts w:ascii="Wingdings" w:hAnsi="Wingdings" w:hint="default"/>
      </w:rPr>
    </w:lvl>
    <w:lvl w:ilvl="6" w:tplc="531CAB8A" w:tentative="1">
      <w:start w:val="1"/>
      <w:numFmt w:val="bullet"/>
      <w:lvlText w:val=""/>
      <w:lvlJc w:val="left"/>
      <w:pPr>
        <w:ind w:left="5040" w:hanging="360"/>
      </w:pPr>
      <w:rPr>
        <w:rFonts w:ascii="Symbol" w:hAnsi="Symbol" w:hint="default"/>
      </w:rPr>
    </w:lvl>
    <w:lvl w:ilvl="7" w:tplc="603C6034" w:tentative="1">
      <w:start w:val="1"/>
      <w:numFmt w:val="bullet"/>
      <w:lvlText w:val="o"/>
      <w:lvlJc w:val="left"/>
      <w:pPr>
        <w:ind w:left="5760" w:hanging="360"/>
      </w:pPr>
      <w:rPr>
        <w:rFonts w:ascii="Courier New" w:hAnsi="Courier New" w:cs="Courier New" w:hint="default"/>
      </w:rPr>
    </w:lvl>
    <w:lvl w:ilvl="8" w:tplc="25E2DCCA" w:tentative="1">
      <w:start w:val="1"/>
      <w:numFmt w:val="bullet"/>
      <w:lvlText w:val=""/>
      <w:lvlJc w:val="left"/>
      <w:pPr>
        <w:ind w:left="6480" w:hanging="360"/>
      </w:pPr>
      <w:rPr>
        <w:rFonts w:ascii="Wingdings" w:hAnsi="Wingdings" w:hint="default"/>
      </w:rPr>
    </w:lvl>
  </w:abstractNum>
  <w:abstractNum w:abstractNumId="36" w15:restartNumberingAfterBreak="0">
    <w:nsid w:val="5B4D7480"/>
    <w:multiLevelType w:val="hybridMultilevel"/>
    <w:tmpl w:val="24065252"/>
    <w:lvl w:ilvl="0" w:tplc="85DEF9EE">
      <w:start w:val="1"/>
      <w:numFmt w:val="bullet"/>
      <w:lvlText w:val=""/>
      <w:lvlJc w:val="left"/>
      <w:pPr>
        <w:ind w:left="720" w:hanging="360"/>
      </w:pPr>
      <w:rPr>
        <w:rFonts w:ascii="Symbol" w:hAnsi="Symbol"/>
      </w:rPr>
    </w:lvl>
    <w:lvl w:ilvl="1" w:tplc="B42468CE">
      <w:start w:val="1"/>
      <w:numFmt w:val="bullet"/>
      <w:lvlText w:val=""/>
      <w:lvlJc w:val="left"/>
      <w:pPr>
        <w:ind w:left="720" w:hanging="360"/>
      </w:pPr>
      <w:rPr>
        <w:rFonts w:ascii="Symbol" w:hAnsi="Symbol"/>
      </w:rPr>
    </w:lvl>
    <w:lvl w:ilvl="2" w:tplc="39F280A0">
      <w:start w:val="1"/>
      <w:numFmt w:val="bullet"/>
      <w:lvlText w:val=""/>
      <w:lvlJc w:val="left"/>
      <w:pPr>
        <w:ind w:left="720" w:hanging="360"/>
      </w:pPr>
      <w:rPr>
        <w:rFonts w:ascii="Symbol" w:hAnsi="Symbol"/>
      </w:rPr>
    </w:lvl>
    <w:lvl w:ilvl="3" w:tplc="1DC2DD38">
      <w:start w:val="1"/>
      <w:numFmt w:val="bullet"/>
      <w:lvlText w:val=""/>
      <w:lvlJc w:val="left"/>
      <w:pPr>
        <w:ind w:left="720" w:hanging="360"/>
      </w:pPr>
      <w:rPr>
        <w:rFonts w:ascii="Symbol" w:hAnsi="Symbol"/>
      </w:rPr>
    </w:lvl>
    <w:lvl w:ilvl="4" w:tplc="44FE5550">
      <w:start w:val="1"/>
      <w:numFmt w:val="bullet"/>
      <w:lvlText w:val=""/>
      <w:lvlJc w:val="left"/>
      <w:pPr>
        <w:ind w:left="720" w:hanging="360"/>
      </w:pPr>
      <w:rPr>
        <w:rFonts w:ascii="Symbol" w:hAnsi="Symbol"/>
      </w:rPr>
    </w:lvl>
    <w:lvl w:ilvl="5" w:tplc="5A606D56">
      <w:start w:val="1"/>
      <w:numFmt w:val="bullet"/>
      <w:lvlText w:val=""/>
      <w:lvlJc w:val="left"/>
      <w:pPr>
        <w:ind w:left="720" w:hanging="360"/>
      </w:pPr>
      <w:rPr>
        <w:rFonts w:ascii="Symbol" w:hAnsi="Symbol"/>
      </w:rPr>
    </w:lvl>
    <w:lvl w:ilvl="6" w:tplc="FAD45792">
      <w:start w:val="1"/>
      <w:numFmt w:val="bullet"/>
      <w:lvlText w:val=""/>
      <w:lvlJc w:val="left"/>
      <w:pPr>
        <w:ind w:left="720" w:hanging="360"/>
      </w:pPr>
      <w:rPr>
        <w:rFonts w:ascii="Symbol" w:hAnsi="Symbol"/>
      </w:rPr>
    </w:lvl>
    <w:lvl w:ilvl="7" w:tplc="05AA8C00">
      <w:start w:val="1"/>
      <w:numFmt w:val="bullet"/>
      <w:lvlText w:val=""/>
      <w:lvlJc w:val="left"/>
      <w:pPr>
        <w:ind w:left="720" w:hanging="360"/>
      </w:pPr>
      <w:rPr>
        <w:rFonts w:ascii="Symbol" w:hAnsi="Symbol"/>
      </w:rPr>
    </w:lvl>
    <w:lvl w:ilvl="8" w:tplc="4B5A2604">
      <w:start w:val="1"/>
      <w:numFmt w:val="bullet"/>
      <w:lvlText w:val=""/>
      <w:lvlJc w:val="left"/>
      <w:pPr>
        <w:ind w:left="720" w:hanging="360"/>
      </w:pPr>
      <w:rPr>
        <w:rFonts w:ascii="Symbol" w:hAnsi="Symbol"/>
      </w:rPr>
    </w:lvl>
  </w:abstractNum>
  <w:abstractNum w:abstractNumId="37" w15:restartNumberingAfterBreak="0">
    <w:nsid w:val="60100883"/>
    <w:multiLevelType w:val="hybridMultilevel"/>
    <w:tmpl w:val="F530BC82"/>
    <w:lvl w:ilvl="0" w:tplc="BB60C52C">
      <w:start w:val="1"/>
      <w:numFmt w:val="lowerRoman"/>
      <w:lvlText w:val="%1)"/>
      <w:lvlJc w:val="left"/>
      <w:pPr>
        <w:ind w:left="1080" w:hanging="720"/>
      </w:pPr>
      <w:rPr>
        <w:rFonts w:hint="default"/>
      </w:rPr>
    </w:lvl>
    <w:lvl w:ilvl="1" w:tplc="9BE424D2" w:tentative="1">
      <w:start w:val="1"/>
      <w:numFmt w:val="lowerLetter"/>
      <w:lvlText w:val="%2."/>
      <w:lvlJc w:val="left"/>
      <w:pPr>
        <w:ind w:left="1440" w:hanging="360"/>
      </w:pPr>
    </w:lvl>
    <w:lvl w:ilvl="2" w:tplc="D0B68E88" w:tentative="1">
      <w:start w:val="1"/>
      <w:numFmt w:val="lowerRoman"/>
      <w:lvlText w:val="%3."/>
      <w:lvlJc w:val="right"/>
      <w:pPr>
        <w:ind w:left="2160" w:hanging="180"/>
      </w:pPr>
    </w:lvl>
    <w:lvl w:ilvl="3" w:tplc="91C4A2A0" w:tentative="1">
      <w:start w:val="1"/>
      <w:numFmt w:val="decimal"/>
      <w:lvlText w:val="%4."/>
      <w:lvlJc w:val="left"/>
      <w:pPr>
        <w:ind w:left="2880" w:hanging="360"/>
      </w:pPr>
    </w:lvl>
    <w:lvl w:ilvl="4" w:tplc="4D3671A8" w:tentative="1">
      <w:start w:val="1"/>
      <w:numFmt w:val="lowerLetter"/>
      <w:lvlText w:val="%5."/>
      <w:lvlJc w:val="left"/>
      <w:pPr>
        <w:ind w:left="3600" w:hanging="360"/>
      </w:pPr>
    </w:lvl>
    <w:lvl w:ilvl="5" w:tplc="B06CA970" w:tentative="1">
      <w:start w:val="1"/>
      <w:numFmt w:val="lowerRoman"/>
      <w:lvlText w:val="%6."/>
      <w:lvlJc w:val="right"/>
      <w:pPr>
        <w:ind w:left="4320" w:hanging="180"/>
      </w:pPr>
    </w:lvl>
    <w:lvl w:ilvl="6" w:tplc="BA82959A" w:tentative="1">
      <w:start w:val="1"/>
      <w:numFmt w:val="decimal"/>
      <w:lvlText w:val="%7."/>
      <w:lvlJc w:val="left"/>
      <w:pPr>
        <w:ind w:left="5040" w:hanging="360"/>
      </w:pPr>
    </w:lvl>
    <w:lvl w:ilvl="7" w:tplc="983C9CF6" w:tentative="1">
      <w:start w:val="1"/>
      <w:numFmt w:val="lowerLetter"/>
      <w:lvlText w:val="%8."/>
      <w:lvlJc w:val="left"/>
      <w:pPr>
        <w:ind w:left="5760" w:hanging="360"/>
      </w:pPr>
    </w:lvl>
    <w:lvl w:ilvl="8" w:tplc="30CA3D08" w:tentative="1">
      <w:start w:val="1"/>
      <w:numFmt w:val="lowerRoman"/>
      <w:lvlText w:val="%9."/>
      <w:lvlJc w:val="right"/>
      <w:pPr>
        <w:ind w:left="6480" w:hanging="180"/>
      </w:pPr>
    </w:lvl>
  </w:abstractNum>
  <w:abstractNum w:abstractNumId="38" w15:restartNumberingAfterBreak="0">
    <w:nsid w:val="64485EF5"/>
    <w:multiLevelType w:val="hybridMultilevel"/>
    <w:tmpl w:val="997A8578"/>
    <w:lvl w:ilvl="0" w:tplc="CF382D38">
      <w:start w:val="1"/>
      <w:numFmt w:val="decimal"/>
      <w:lvlText w:val="%1."/>
      <w:lvlJc w:val="left"/>
      <w:pPr>
        <w:ind w:left="720" w:hanging="360"/>
      </w:pPr>
    </w:lvl>
    <w:lvl w:ilvl="1" w:tplc="2CB47626" w:tentative="1">
      <w:start w:val="1"/>
      <w:numFmt w:val="lowerLetter"/>
      <w:lvlText w:val="%2."/>
      <w:lvlJc w:val="left"/>
      <w:pPr>
        <w:ind w:left="1440" w:hanging="360"/>
      </w:pPr>
    </w:lvl>
    <w:lvl w:ilvl="2" w:tplc="082AAD54" w:tentative="1">
      <w:start w:val="1"/>
      <w:numFmt w:val="lowerRoman"/>
      <w:lvlText w:val="%3."/>
      <w:lvlJc w:val="right"/>
      <w:pPr>
        <w:ind w:left="2160" w:hanging="180"/>
      </w:pPr>
    </w:lvl>
    <w:lvl w:ilvl="3" w:tplc="125EE062" w:tentative="1">
      <w:start w:val="1"/>
      <w:numFmt w:val="decimal"/>
      <w:lvlText w:val="%4."/>
      <w:lvlJc w:val="left"/>
      <w:pPr>
        <w:ind w:left="2880" w:hanging="360"/>
      </w:pPr>
    </w:lvl>
    <w:lvl w:ilvl="4" w:tplc="CE402D74" w:tentative="1">
      <w:start w:val="1"/>
      <w:numFmt w:val="lowerLetter"/>
      <w:lvlText w:val="%5."/>
      <w:lvlJc w:val="left"/>
      <w:pPr>
        <w:ind w:left="3600" w:hanging="360"/>
      </w:pPr>
    </w:lvl>
    <w:lvl w:ilvl="5" w:tplc="1C3A4AEA" w:tentative="1">
      <w:start w:val="1"/>
      <w:numFmt w:val="lowerRoman"/>
      <w:lvlText w:val="%6."/>
      <w:lvlJc w:val="right"/>
      <w:pPr>
        <w:ind w:left="4320" w:hanging="180"/>
      </w:pPr>
    </w:lvl>
    <w:lvl w:ilvl="6" w:tplc="7A3E2408" w:tentative="1">
      <w:start w:val="1"/>
      <w:numFmt w:val="decimal"/>
      <w:lvlText w:val="%7."/>
      <w:lvlJc w:val="left"/>
      <w:pPr>
        <w:ind w:left="5040" w:hanging="360"/>
      </w:pPr>
    </w:lvl>
    <w:lvl w:ilvl="7" w:tplc="8BFA97B2" w:tentative="1">
      <w:start w:val="1"/>
      <w:numFmt w:val="lowerLetter"/>
      <w:lvlText w:val="%8."/>
      <w:lvlJc w:val="left"/>
      <w:pPr>
        <w:ind w:left="5760" w:hanging="360"/>
      </w:pPr>
    </w:lvl>
    <w:lvl w:ilvl="8" w:tplc="FB9EA1A6" w:tentative="1">
      <w:start w:val="1"/>
      <w:numFmt w:val="lowerRoman"/>
      <w:lvlText w:val="%9."/>
      <w:lvlJc w:val="right"/>
      <w:pPr>
        <w:ind w:left="6480" w:hanging="180"/>
      </w:pPr>
    </w:lvl>
  </w:abstractNum>
  <w:abstractNum w:abstractNumId="39" w15:restartNumberingAfterBreak="0">
    <w:nsid w:val="65C7570E"/>
    <w:multiLevelType w:val="hybridMultilevel"/>
    <w:tmpl w:val="0DCA4612"/>
    <w:lvl w:ilvl="0" w:tplc="E7F8C108">
      <w:start w:val="1"/>
      <w:numFmt w:val="bullet"/>
      <w:lvlText w:val=""/>
      <w:lvlJc w:val="left"/>
      <w:pPr>
        <w:ind w:left="720" w:hanging="360"/>
      </w:pPr>
      <w:rPr>
        <w:rFonts w:ascii="Symbol" w:hAnsi="Symbol" w:hint="default"/>
      </w:rPr>
    </w:lvl>
    <w:lvl w:ilvl="1" w:tplc="C3EEF39C" w:tentative="1">
      <w:start w:val="1"/>
      <w:numFmt w:val="bullet"/>
      <w:lvlText w:val="o"/>
      <w:lvlJc w:val="left"/>
      <w:pPr>
        <w:ind w:left="1440" w:hanging="360"/>
      </w:pPr>
      <w:rPr>
        <w:rFonts w:ascii="Courier New" w:hAnsi="Courier New" w:cs="Courier New" w:hint="default"/>
      </w:rPr>
    </w:lvl>
    <w:lvl w:ilvl="2" w:tplc="3F7244D0" w:tentative="1">
      <w:start w:val="1"/>
      <w:numFmt w:val="bullet"/>
      <w:lvlText w:val=""/>
      <w:lvlJc w:val="left"/>
      <w:pPr>
        <w:ind w:left="2160" w:hanging="360"/>
      </w:pPr>
      <w:rPr>
        <w:rFonts w:ascii="Wingdings" w:hAnsi="Wingdings" w:hint="default"/>
      </w:rPr>
    </w:lvl>
    <w:lvl w:ilvl="3" w:tplc="4CC0DB96" w:tentative="1">
      <w:start w:val="1"/>
      <w:numFmt w:val="bullet"/>
      <w:lvlText w:val=""/>
      <w:lvlJc w:val="left"/>
      <w:pPr>
        <w:ind w:left="2880" w:hanging="360"/>
      </w:pPr>
      <w:rPr>
        <w:rFonts w:ascii="Symbol" w:hAnsi="Symbol" w:hint="default"/>
      </w:rPr>
    </w:lvl>
    <w:lvl w:ilvl="4" w:tplc="9D44D960" w:tentative="1">
      <w:start w:val="1"/>
      <w:numFmt w:val="bullet"/>
      <w:lvlText w:val="o"/>
      <w:lvlJc w:val="left"/>
      <w:pPr>
        <w:ind w:left="3600" w:hanging="360"/>
      </w:pPr>
      <w:rPr>
        <w:rFonts w:ascii="Courier New" w:hAnsi="Courier New" w:cs="Courier New" w:hint="default"/>
      </w:rPr>
    </w:lvl>
    <w:lvl w:ilvl="5" w:tplc="DB9A60FC" w:tentative="1">
      <w:start w:val="1"/>
      <w:numFmt w:val="bullet"/>
      <w:lvlText w:val=""/>
      <w:lvlJc w:val="left"/>
      <w:pPr>
        <w:ind w:left="4320" w:hanging="360"/>
      </w:pPr>
      <w:rPr>
        <w:rFonts w:ascii="Wingdings" w:hAnsi="Wingdings" w:hint="default"/>
      </w:rPr>
    </w:lvl>
    <w:lvl w:ilvl="6" w:tplc="2772C6A4" w:tentative="1">
      <w:start w:val="1"/>
      <w:numFmt w:val="bullet"/>
      <w:lvlText w:val=""/>
      <w:lvlJc w:val="left"/>
      <w:pPr>
        <w:ind w:left="5040" w:hanging="360"/>
      </w:pPr>
      <w:rPr>
        <w:rFonts w:ascii="Symbol" w:hAnsi="Symbol" w:hint="default"/>
      </w:rPr>
    </w:lvl>
    <w:lvl w:ilvl="7" w:tplc="1F2A18E4" w:tentative="1">
      <w:start w:val="1"/>
      <w:numFmt w:val="bullet"/>
      <w:lvlText w:val="o"/>
      <w:lvlJc w:val="left"/>
      <w:pPr>
        <w:ind w:left="5760" w:hanging="360"/>
      </w:pPr>
      <w:rPr>
        <w:rFonts w:ascii="Courier New" w:hAnsi="Courier New" w:cs="Courier New" w:hint="default"/>
      </w:rPr>
    </w:lvl>
    <w:lvl w:ilvl="8" w:tplc="6010D1B4" w:tentative="1">
      <w:start w:val="1"/>
      <w:numFmt w:val="bullet"/>
      <w:lvlText w:val=""/>
      <w:lvlJc w:val="left"/>
      <w:pPr>
        <w:ind w:left="6480" w:hanging="360"/>
      </w:pPr>
      <w:rPr>
        <w:rFonts w:ascii="Wingdings" w:hAnsi="Wingdings" w:hint="default"/>
      </w:rPr>
    </w:lvl>
  </w:abstractNum>
  <w:abstractNum w:abstractNumId="40" w15:restartNumberingAfterBreak="0">
    <w:nsid w:val="68C22F09"/>
    <w:multiLevelType w:val="hybridMultilevel"/>
    <w:tmpl w:val="EB1AD01C"/>
    <w:lvl w:ilvl="0" w:tplc="0CF0BAAE">
      <w:numFmt w:val="bullet"/>
      <w:lvlText w:val="-"/>
      <w:lvlJc w:val="left"/>
      <w:pPr>
        <w:ind w:left="720" w:hanging="360"/>
      </w:pPr>
      <w:rPr>
        <w:rFonts w:ascii="Calibri" w:eastAsiaTheme="minorHAnsi" w:hAnsi="Calibri" w:cs="Calibri" w:hint="default"/>
      </w:rPr>
    </w:lvl>
    <w:lvl w:ilvl="1" w:tplc="1AA47AA6">
      <w:start w:val="1"/>
      <w:numFmt w:val="bullet"/>
      <w:lvlText w:val="o"/>
      <w:lvlJc w:val="left"/>
      <w:pPr>
        <w:ind w:left="1440" w:hanging="360"/>
      </w:pPr>
      <w:rPr>
        <w:rFonts w:ascii="Courier New" w:hAnsi="Courier New" w:cs="Courier New" w:hint="default"/>
      </w:rPr>
    </w:lvl>
    <w:lvl w:ilvl="2" w:tplc="A41C3F36" w:tentative="1">
      <w:start w:val="1"/>
      <w:numFmt w:val="bullet"/>
      <w:lvlText w:val=""/>
      <w:lvlJc w:val="left"/>
      <w:pPr>
        <w:ind w:left="2160" w:hanging="360"/>
      </w:pPr>
      <w:rPr>
        <w:rFonts w:ascii="Wingdings" w:hAnsi="Wingdings" w:hint="default"/>
      </w:rPr>
    </w:lvl>
    <w:lvl w:ilvl="3" w:tplc="47CCC45E" w:tentative="1">
      <w:start w:val="1"/>
      <w:numFmt w:val="bullet"/>
      <w:lvlText w:val=""/>
      <w:lvlJc w:val="left"/>
      <w:pPr>
        <w:ind w:left="2880" w:hanging="360"/>
      </w:pPr>
      <w:rPr>
        <w:rFonts w:ascii="Symbol" w:hAnsi="Symbol" w:hint="default"/>
      </w:rPr>
    </w:lvl>
    <w:lvl w:ilvl="4" w:tplc="C694D3C2" w:tentative="1">
      <w:start w:val="1"/>
      <w:numFmt w:val="bullet"/>
      <w:lvlText w:val="o"/>
      <w:lvlJc w:val="left"/>
      <w:pPr>
        <w:ind w:left="3600" w:hanging="360"/>
      </w:pPr>
      <w:rPr>
        <w:rFonts w:ascii="Courier New" w:hAnsi="Courier New" w:cs="Courier New" w:hint="default"/>
      </w:rPr>
    </w:lvl>
    <w:lvl w:ilvl="5" w:tplc="3EACC0C0" w:tentative="1">
      <w:start w:val="1"/>
      <w:numFmt w:val="bullet"/>
      <w:lvlText w:val=""/>
      <w:lvlJc w:val="left"/>
      <w:pPr>
        <w:ind w:left="4320" w:hanging="360"/>
      </w:pPr>
      <w:rPr>
        <w:rFonts w:ascii="Wingdings" w:hAnsi="Wingdings" w:hint="default"/>
      </w:rPr>
    </w:lvl>
    <w:lvl w:ilvl="6" w:tplc="412A6AA0" w:tentative="1">
      <w:start w:val="1"/>
      <w:numFmt w:val="bullet"/>
      <w:lvlText w:val=""/>
      <w:lvlJc w:val="left"/>
      <w:pPr>
        <w:ind w:left="5040" w:hanging="360"/>
      </w:pPr>
      <w:rPr>
        <w:rFonts w:ascii="Symbol" w:hAnsi="Symbol" w:hint="default"/>
      </w:rPr>
    </w:lvl>
    <w:lvl w:ilvl="7" w:tplc="ECC49E60" w:tentative="1">
      <w:start w:val="1"/>
      <w:numFmt w:val="bullet"/>
      <w:lvlText w:val="o"/>
      <w:lvlJc w:val="left"/>
      <w:pPr>
        <w:ind w:left="5760" w:hanging="360"/>
      </w:pPr>
      <w:rPr>
        <w:rFonts w:ascii="Courier New" w:hAnsi="Courier New" w:cs="Courier New" w:hint="default"/>
      </w:rPr>
    </w:lvl>
    <w:lvl w:ilvl="8" w:tplc="4B66EA4C" w:tentative="1">
      <w:start w:val="1"/>
      <w:numFmt w:val="bullet"/>
      <w:lvlText w:val=""/>
      <w:lvlJc w:val="left"/>
      <w:pPr>
        <w:ind w:left="6480" w:hanging="360"/>
      </w:pPr>
      <w:rPr>
        <w:rFonts w:ascii="Wingdings" w:hAnsi="Wingdings" w:hint="default"/>
      </w:rPr>
    </w:lvl>
  </w:abstractNum>
  <w:abstractNum w:abstractNumId="41" w15:restartNumberingAfterBreak="0">
    <w:nsid w:val="699C4D9E"/>
    <w:multiLevelType w:val="hybridMultilevel"/>
    <w:tmpl w:val="C48806C0"/>
    <w:lvl w:ilvl="0" w:tplc="3E32595C">
      <w:start w:val="1"/>
      <w:numFmt w:val="bullet"/>
      <w:lvlText w:val=""/>
      <w:lvlJc w:val="left"/>
      <w:pPr>
        <w:ind w:left="720" w:hanging="360"/>
      </w:pPr>
      <w:rPr>
        <w:rFonts w:ascii="Symbol" w:hAnsi="Symbol" w:hint="default"/>
      </w:rPr>
    </w:lvl>
    <w:lvl w:ilvl="1" w:tplc="B4860E0E" w:tentative="1">
      <w:start w:val="1"/>
      <w:numFmt w:val="bullet"/>
      <w:lvlText w:val="o"/>
      <w:lvlJc w:val="left"/>
      <w:pPr>
        <w:ind w:left="1440" w:hanging="360"/>
      </w:pPr>
      <w:rPr>
        <w:rFonts w:ascii="Courier New" w:hAnsi="Courier New" w:cs="Courier New" w:hint="default"/>
      </w:rPr>
    </w:lvl>
    <w:lvl w:ilvl="2" w:tplc="7D4AE0C4" w:tentative="1">
      <w:start w:val="1"/>
      <w:numFmt w:val="bullet"/>
      <w:lvlText w:val=""/>
      <w:lvlJc w:val="left"/>
      <w:pPr>
        <w:ind w:left="2160" w:hanging="360"/>
      </w:pPr>
      <w:rPr>
        <w:rFonts w:ascii="Wingdings" w:hAnsi="Wingdings" w:hint="default"/>
      </w:rPr>
    </w:lvl>
    <w:lvl w:ilvl="3" w:tplc="6E80ADEC" w:tentative="1">
      <w:start w:val="1"/>
      <w:numFmt w:val="bullet"/>
      <w:lvlText w:val=""/>
      <w:lvlJc w:val="left"/>
      <w:pPr>
        <w:ind w:left="2880" w:hanging="360"/>
      </w:pPr>
      <w:rPr>
        <w:rFonts w:ascii="Symbol" w:hAnsi="Symbol" w:hint="default"/>
      </w:rPr>
    </w:lvl>
    <w:lvl w:ilvl="4" w:tplc="A63A8828" w:tentative="1">
      <w:start w:val="1"/>
      <w:numFmt w:val="bullet"/>
      <w:lvlText w:val="o"/>
      <w:lvlJc w:val="left"/>
      <w:pPr>
        <w:ind w:left="3600" w:hanging="360"/>
      </w:pPr>
      <w:rPr>
        <w:rFonts w:ascii="Courier New" w:hAnsi="Courier New" w:cs="Courier New" w:hint="default"/>
      </w:rPr>
    </w:lvl>
    <w:lvl w:ilvl="5" w:tplc="D30E4BD2" w:tentative="1">
      <w:start w:val="1"/>
      <w:numFmt w:val="bullet"/>
      <w:lvlText w:val=""/>
      <w:lvlJc w:val="left"/>
      <w:pPr>
        <w:ind w:left="4320" w:hanging="360"/>
      </w:pPr>
      <w:rPr>
        <w:rFonts w:ascii="Wingdings" w:hAnsi="Wingdings" w:hint="default"/>
      </w:rPr>
    </w:lvl>
    <w:lvl w:ilvl="6" w:tplc="4F70ED0C" w:tentative="1">
      <w:start w:val="1"/>
      <w:numFmt w:val="bullet"/>
      <w:lvlText w:val=""/>
      <w:lvlJc w:val="left"/>
      <w:pPr>
        <w:ind w:left="5040" w:hanging="360"/>
      </w:pPr>
      <w:rPr>
        <w:rFonts w:ascii="Symbol" w:hAnsi="Symbol" w:hint="default"/>
      </w:rPr>
    </w:lvl>
    <w:lvl w:ilvl="7" w:tplc="9B14C314" w:tentative="1">
      <w:start w:val="1"/>
      <w:numFmt w:val="bullet"/>
      <w:lvlText w:val="o"/>
      <w:lvlJc w:val="left"/>
      <w:pPr>
        <w:ind w:left="5760" w:hanging="360"/>
      </w:pPr>
      <w:rPr>
        <w:rFonts w:ascii="Courier New" w:hAnsi="Courier New" w:cs="Courier New" w:hint="default"/>
      </w:rPr>
    </w:lvl>
    <w:lvl w:ilvl="8" w:tplc="7B1C6860" w:tentative="1">
      <w:start w:val="1"/>
      <w:numFmt w:val="bullet"/>
      <w:lvlText w:val=""/>
      <w:lvlJc w:val="left"/>
      <w:pPr>
        <w:ind w:left="6480" w:hanging="360"/>
      </w:pPr>
      <w:rPr>
        <w:rFonts w:ascii="Wingdings" w:hAnsi="Wingdings" w:hint="default"/>
      </w:rPr>
    </w:lvl>
  </w:abstractNum>
  <w:abstractNum w:abstractNumId="42" w15:restartNumberingAfterBreak="0">
    <w:nsid w:val="6A1D1F46"/>
    <w:multiLevelType w:val="multilevel"/>
    <w:tmpl w:val="B5DE9ED4"/>
    <w:lvl w:ilvl="0">
      <w:start w:val="1"/>
      <w:numFmt w:val="bullet"/>
      <w:pStyle w:val="Bullet"/>
      <w:lvlText w:val=""/>
      <w:lvlJc w:val="left"/>
      <w:pPr>
        <w:tabs>
          <w:tab w:val="num" w:pos="567"/>
        </w:tabs>
        <w:ind w:left="397" w:hanging="397"/>
      </w:pPr>
      <w:rPr>
        <w:rFonts w:ascii="Symbol" w:hAnsi="Symbol" w:cs="Symbol" w:hint="default"/>
        <w:color w:val="auto"/>
      </w:rPr>
    </w:lvl>
    <w:lvl w:ilvl="1">
      <w:start w:val="1"/>
      <w:numFmt w:val="bullet"/>
      <w:lvlText w:val=""/>
      <w:lvlJc w:val="left"/>
      <w:pPr>
        <w:tabs>
          <w:tab w:val="num" w:pos="794"/>
        </w:tabs>
        <w:ind w:left="397" w:firstLine="0"/>
      </w:pPr>
      <w:rPr>
        <w:rFonts w:ascii="Symbol" w:hAnsi="Symbol" w:cs="Symbol" w:hint="default"/>
      </w:rPr>
    </w:lvl>
    <w:lvl w:ilvl="2">
      <w:start w:val="1"/>
      <w:numFmt w:val="bullet"/>
      <w:lvlText w:val=""/>
      <w:lvlJc w:val="left"/>
      <w:pPr>
        <w:tabs>
          <w:tab w:val="num" w:pos="567"/>
        </w:tabs>
        <w:ind w:left="567" w:hanging="567"/>
      </w:pPr>
      <w:rPr>
        <w:rFonts w:ascii="Wingdings" w:hAnsi="Wingdings" w:cs="Wingdings" w:hint="default"/>
      </w:rPr>
    </w:lvl>
    <w:lvl w:ilvl="3">
      <w:start w:val="1"/>
      <w:numFmt w:val="bullet"/>
      <w:lvlText w:val=""/>
      <w:lvlJc w:val="left"/>
      <w:pPr>
        <w:tabs>
          <w:tab w:val="num" w:pos="567"/>
        </w:tabs>
        <w:ind w:left="567" w:hanging="567"/>
      </w:pPr>
      <w:rPr>
        <w:rFonts w:ascii="Symbol" w:hAnsi="Symbol" w:cs="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cs="Wingdings" w:hint="default"/>
      </w:rPr>
    </w:lvl>
    <w:lvl w:ilvl="6">
      <w:start w:val="1"/>
      <w:numFmt w:val="bullet"/>
      <w:lvlText w:val=""/>
      <w:lvlJc w:val="left"/>
      <w:pPr>
        <w:tabs>
          <w:tab w:val="num" w:pos="567"/>
        </w:tabs>
        <w:ind w:left="567" w:hanging="567"/>
      </w:pPr>
      <w:rPr>
        <w:rFonts w:ascii="Symbol" w:hAnsi="Symbol" w:cs="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cs="Wingdings" w:hint="default"/>
      </w:rPr>
    </w:lvl>
  </w:abstractNum>
  <w:abstractNum w:abstractNumId="43" w15:restartNumberingAfterBreak="0">
    <w:nsid w:val="6B0437FE"/>
    <w:multiLevelType w:val="hybridMultilevel"/>
    <w:tmpl w:val="9D5EB710"/>
    <w:lvl w:ilvl="0" w:tplc="9648E688">
      <w:start w:val="1"/>
      <w:numFmt w:val="bullet"/>
      <w:lvlText w:val=""/>
      <w:lvlJc w:val="left"/>
      <w:pPr>
        <w:ind w:left="1440" w:hanging="360"/>
      </w:pPr>
      <w:rPr>
        <w:rFonts w:ascii="Symbol" w:hAnsi="Symbol"/>
      </w:rPr>
    </w:lvl>
    <w:lvl w:ilvl="1" w:tplc="9788CDAA">
      <w:start w:val="1"/>
      <w:numFmt w:val="bullet"/>
      <w:lvlText w:val=""/>
      <w:lvlJc w:val="left"/>
      <w:pPr>
        <w:ind w:left="1440" w:hanging="360"/>
      </w:pPr>
      <w:rPr>
        <w:rFonts w:ascii="Symbol" w:hAnsi="Symbol"/>
      </w:rPr>
    </w:lvl>
    <w:lvl w:ilvl="2" w:tplc="8B8614F6">
      <w:start w:val="1"/>
      <w:numFmt w:val="bullet"/>
      <w:lvlText w:val=""/>
      <w:lvlJc w:val="left"/>
      <w:pPr>
        <w:ind w:left="1440" w:hanging="360"/>
      </w:pPr>
      <w:rPr>
        <w:rFonts w:ascii="Symbol" w:hAnsi="Symbol"/>
      </w:rPr>
    </w:lvl>
    <w:lvl w:ilvl="3" w:tplc="7A20936A">
      <w:start w:val="1"/>
      <w:numFmt w:val="bullet"/>
      <w:lvlText w:val=""/>
      <w:lvlJc w:val="left"/>
      <w:pPr>
        <w:ind w:left="1440" w:hanging="360"/>
      </w:pPr>
      <w:rPr>
        <w:rFonts w:ascii="Symbol" w:hAnsi="Symbol"/>
      </w:rPr>
    </w:lvl>
    <w:lvl w:ilvl="4" w:tplc="F5BCE156">
      <w:start w:val="1"/>
      <w:numFmt w:val="bullet"/>
      <w:lvlText w:val=""/>
      <w:lvlJc w:val="left"/>
      <w:pPr>
        <w:ind w:left="1440" w:hanging="360"/>
      </w:pPr>
      <w:rPr>
        <w:rFonts w:ascii="Symbol" w:hAnsi="Symbol"/>
      </w:rPr>
    </w:lvl>
    <w:lvl w:ilvl="5" w:tplc="3E56EA76">
      <w:start w:val="1"/>
      <w:numFmt w:val="bullet"/>
      <w:lvlText w:val=""/>
      <w:lvlJc w:val="left"/>
      <w:pPr>
        <w:ind w:left="1440" w:hanging="360"/>
      </w:pPr>
      <w:rPr>
        <w:rFonts w:ascii="Symbol" w:hAnsi="Symbol"/>
      </w:rPr>
    </w:lvl>
    <w:lvl w:ilvl="6" w:tplc="562E78BC">
      <w:start w:val="1"/>
      <w:numFmt w:val="bullet"/>
      <w:lvlText w:val=""/>
      <w:lvlJc w:val="left"/>
      <w:pPr>
        <w:ind w:left="1440" w:hanging="360"/>
      </w:pPr>
      <w:rPr>
        <w:rFonts w:ascii="Symbol" w:hAnsi="Symbol"/>
      </w:rPr>
    </w:lvl>
    <w:lvl w:ilvl="7" w:tplc="32204DAA">
      <w:start w:val="1"/>
      <w:numFmt w:val="bullet"/>
      <w:lvlText w:val=""/>
      <w:lvlJc w:val="left"/>
      <w:pPr>
        <w:ind w:left="1440" w:hanging="360"/>
      </w:pPr>
      <w:rPr>
        <w:rFonts w:ascii="Symbol" w:hAnsi="Symbol"/>
      </w:rPr>
    </w:lvl>
    <w:lvl w:ilvl="8" w:tplc="CB5C2716">
      <w:start w:val="1"/>
      <w:numFmt w:val="bullet"/>
      <w:lvlText w:val=""/>
      <w:lvlJc w:val="left"/>
      <w:pPr>
        <w:ind w:left="1440" w:hanging="360"/>
      </w:pPr>
      <w:rPr>
        <w:rFonts w:ascii="Symbol" w:hAnsi="Symbol"/>
      </w:rPr>
    </w:lvl>
  </w:abstractNum>
  <w:abstractNum w:abstractNumId="44" w15:restartNumberingAfterBreak="0">
    <w:nsid w:val="6D466B13"/>
    <w:multiLevelType w:val="hybridMultilevel"/>
    <w:tmpl w:val="5B089EF2"/>
    <w:lvl w:ilvl="0" w:tplc="B4BAEA4C">
      <w:numFmt w:val="bullet"/>
      <w:lvlText w:val="-"/>
      <w:lvlJc w:val="left"/>
      <w:pPr>
        <w:ind w:left="720" w:hanging="360"/>
      </w:pPr>
      <w:rPr>
        <w:rFonts w:ascii="Calibri" w:eastAsiaTheme="minorHAnsi" w:hAnsi="Calibri" w:cs="Calibri" w:hint="default"/>
      </w:rPr>
    </w:lvl>
    <w:lvl w:ilvl="1" w:tplc="0742AE48" w:tentative="1">
      <w:start w:val="1"/>
      <w:numFmt w:val="bullet"/>
      <w:lvlText w:val="o"/>
      <w:lvlJc w:val="left"/>
      <w:pPr>
        <w:ind w:left="1440" w:hanging="360"/>
      </w:pPr>
      <w:rPr>
        <w:rFonts w:ascii="Courier New" w:hAnsi="Courier New" w:cs="Courier New" w:hint="default"/>
      </w:rPr>
    </w:lvl>
    <w:lvl w:ilvl="2" w:tplc="9E2A5E7C" w:tentative="1">
      <w:start w:val="1"/>
      <w:numFmt w:val="bullet"/>
      <w:lvlText w:val=""/>
      <w:lvlJc w:val="left"/>
      <w:pPr>
        <w:ind w:left="2160" w:hanging="360"/>
      </w:pPr>
      <w:rPr>
        <w:rFonts w:ascii="Wingdings" w:hAnsi="Wingdings" w:hint="default"/>
      </w:rPr>
    </w:lvl>
    <w:lvl w:ilvl="3" w:tplc="56706B68" w:tentative="1">
      <w:start w:val="1"/>
      <w:numFmt w:val="bullet"/>
      <w:lvlText w:val=""/>
      <w:lvlJc w:val="left"/>
      <w:pPr>
        <w:ind w:left="2880" w:hanging="360"/>
      </w:pPr>
      <w:rPr>
        <w:rFonts w:ascii="Symbol" w:hAnsi="Symbol" w:hint="default"/>
      </w:rPr>
    </w:lvl>
    <w:lvl w:ilvl="4" w:tplc="F0AEC838" w:tentative="1">
      <w:start w:val="1"/>
      <w:numFmt w:val="bullet"/>
      <w:lvlText w:val="o"/>
      <w:lvlJc w:val="left"/>
      <w:pPr>
        <w:ind w:left="3600" w:hanging="360"/>
      </w:pPr>
      <w:rPr>
        <w:rFonts w:ascii="Courier New" w:hAnsi="Courier New" w:cs="Courier New" w:hint="default"/>
      </w:rPr>
    </w:lvl>
    <w:lvl w:ilvl="5" w:tplc="AF6C6096" w:tentative="1">
      <w:start w:val="1"/>
      <w:numFmt w:val="bullet"/>
      <w:lvlText w:val=""/>
      <w:lvlJc w:val="left"/>
      <w:pPr>
        <w:ind w:left="4320" w:hanging="360"/>
      </w:pPr>
      <w:rPr>
        <w:rFonts w:ascii="Wingdings" w:hAnsi="Wingdings" w:hint="default"/>
      </w:rPr>
    </w:lvl>
    <w:lvl w:ilvl="6" w:tplc="BF50D01C" w:tentative="1">
      <w:start w:val="1"/>
      <w:numFmt w:val="bullet"/>
      <w:lvlText w:val=""/>
      <w:lvlJc w:val="left"/>
      <w:pPr>
        <w:ind w:left="5040" w:hanging="360"/>
      </w:pPr>
      <w:rPr>
        <w:rFonts w:ascii="Symbol" w:hAnsi="Symbol" w:hint="default"/>
      </w:rPr>
    </w:lvl>
    <w:lvl w:ilvl="7" w:tplc="3A0A1860" w:tentative="1">
      <w:start w:val="1"/>
      <w:numFmt w:val="bullet"/>
      <w:lvlText w:val="o"/>
      <w:lvlJc w:val="left"/>
      <w:pPr>
        <w:ind w:left="5760" w:hanging="360"/>
      </w:pPr>
      <w:rPr>
        <w:rFonts w:ascii="Courier New" w:hAnsi="Courier New" w:cs="Courier New" w:hint="default"/>
      </w:rPr>
    </w:lvl>
    <w:lvl w:ilvl="8" w:tplc="5A32B754" w:tentative="1">
      <w:start w:val="1"/>
      <w:numFmt w:val="bullet"/>
      <w:lvlText w:val=""/>
      <w:lvlJc w:val="left"/>
      <w:pPr>
        <w:ind w:left="6480" w:hanging="360"/>
      </w:pPr>
      <w:rPr>
        <w:rFonts w:ascii="Wingdings" w:hAnsi="Wingdings" w:hint="default"/>
      </w:rPr>
    </w:lvl>
  </w:abstractNum>
  <w:abstractNum w:abstractNumId="45" w15:restartNumberingAfterBreak="0">
    <w:nsid w:val="7636387C"/>
    <w:multiLevelType w:val="multilevel"/>
    <w:tmpl w:val="6346ED0E"/>
    <w:numStyleLink w:val="listbullets"/>
  </w:abstractNum>
  <w:abstractNum w:abstractNumId="46" w15:restartNumberingAfterBreak="0">
    <w:nsid w:val="789E29C9"/>
    <w:multiLevelType w:val="multilevel"/>
    <w:tmpl w:val="0809001D"/>
    <w:styleLink w:val="Recommendation"/>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AA90030"/>
    <w:multiLevelType w:val="hybridMultilevel"/>
    <w:tmpl w:val="E0A80CB6"/>
    <w:lvl w:ilvl="0" w:tplc="C4268680">
      <w:start w:val="1"/>
      <w:numFmt w:val="bullet"/>
      <w:lvlText w:val=""/>
      <w:lvlJc w:val="left"/>
      <w:pPr>
        <w:ind w:left="720" w:hanging="360"/>
      </w:pPr>
      <w:rPr>
        <w:rFonts w:ascii="Symbol" w:hAnsi="Symbol"/>
      </w:rPr>
    </w:lvl>
    <w:lvl w:ilvl="1" w:tplc="8362DA56">
      <w:start w:val="1"/>
      <w:numFmt w:val="bullet"/>
      <w:lvlText w:val=""/>
      <w:lvlJc w:val="left"/>
      <w:pPr>
        <w:ind w:left="720" w:hanging="360"/>
      </w:pPr>
      <w:rPr>
        <w:rFonts w:ascii="Symbol" w:hAnsi="Symbol"/>
      </w:rPr>
    </w:lvl>
    <w:lvl w:ilvl="2" w:tplc="D4844320">
      <w:start w:val="1"/>
      <w:numFmt w:val="bullet"/>
      <w:lvlText w:val=""/>
      <w:lvlJc w:val="left"/>
      <w:pPr>
        <w:ind w:left="720" w:hanging="360"/>
      </w:pPr>
      <w:rPr>
        <w:rFonts w:ascii="Symbol" w:hAnsi="Symbol"/>
      </w:rPr>
    </w:lvl>
    <w:lvl w:ilvl="3" w:tplc="889069C8">
      <w:start w:val="1"/>
      <w:numFmt w:val="bullet"/>
      <w:lvlText w:val=""/>
      <w:lvlJc w:val="left"/>
      <w:pPr>
        <w:ind w:left="720" w:hanging="360"/>
      </w:pPr>
      <w:rPr>
        <w:rFonts w:ascii="Symbol" w:hAnsi="Symbol"/>
      </w:rPr>
    </w:lvl>
    <w:lvl w:ilvl="4" w:tplc="8B38651E">
      <w:start w:val="1"/>
      <w:numFmt w:val="bullet"/>
      <w:lvlText w:val=""/>
      <w:lvlJc w:val="left"/>
      <w:pPr>
        <w:ind w:left="720" w:hanging="360"/>
      </w:pPr>
      <w:rPr>
        <w:rFonts w:ascii="Symbol" w:hAnsi="Symbol"/>
      </w:rPr>
    </w:lvl>
    <w:lvl w:ilvl="5" w:tplc="881E84EC">
      <w:start w:val="1"/>
      <w:numFmt w:val="bullet"/>
      <w:lvlText w:val=""/>
      <w:lvlJc w:val="left"/>
      <w:pPr>
        <w:ind w:left="720" w:hanging="360"/>
      </w:pPr>
      <w:rPr>
        <w:rFonts w:ascii="Symbol" w:hAnsi="Symbol"/>
      </w:rPr>
    </w:lvl>
    <w:lvl w:ilvl="6" w:tplc="D2E64330">
      <w:start w:val="1"/>
      <w:numFmt w:val="bullet"/>
      <w:lvlText w:val=""/>
      <w:lvlJc w:val="left"/>
      <w:pPr>
        <w:ind w:left="720" w:hanging="360"/>
      </w:pPr>
      <w:rPr>
        <w:rFonts w:ascii="Symbol" w:hAnsi="Symbol"/>
      </w:rPr>
    </w:lvl>
    <w:lvl w:ilvl="7" w:tplc="DF320090">
      <w:start w:val="1"/>
      <w:numFmt w:val="bullet"/>
      <w:lvlText w:val=""/>
      <w:lvlJc w:val="left"/>
      <w:pPr>
        <w:ind w:left="720" w:hanging="360"/>
      </w:pPr>
      <w:rPr>
        <w:rFonts w:ascii="Symbol" w:hAnsi="Symbol"/>
      </w:rPr>
    </w:lvl>
    <w:lvl w:ilvl="8" w:tplc="11A667AA">
      <w:start w:val="1"/>
      <w:numFmt w:val="bullet"/>
      <w:lvlText w:val=""/>
      <w:lvlJc w:val="left"/>
      <w:pPr>
        <w:ind w:left="720" w:hanging="360"/>
      </w:pPr>
      <w:rPr>
        <w:rFonts w:ascii="Symbol" w:hAnsi="Symbol"/>
      </w:rPr>
    </w:lvl>
  </w:abstractNum>
  <w:abstractNum w:abstractNumId="48" w15:restartNumberingAfterBreak="0">
    <w:nsid w:val="7AC82D13"/>
    <w:multiLevelType w:val="hybridMultilevel"/>
    <w:tmpl w:val="00A64F56"/>
    <w:lvl w:ilvl="0" w:tplc="D94CC5C2">
      <w:start w:val="1"/>
      <w:numFmt w:val="bullet"/>
      <w:lvlText w:val=""/>
      <w:lvlJc w:val="left"/>
      <w:pPr>
        <w:ind w:left="1100" w:hanging="360"/>
      </w:pPr>
      <w:rPr>
        <w:rFonts w:ascii="Symbol" w:hAnsi="Symbol"/>
      </w:rPr>
    </w:lvl>
    <w:lvl w:ilvl="1" w:tplc="3342CBB8">
      <w:start w:val="1"/>
      <w:numFmt w:val="bullet"/>
      <w:lvlText w:val=""/>
      <w:lvlJc w:val="left"/>
      <w:pPr>
        <w:ind w:left="1100" w:hanging="360"/>
      </w:pPr>
      <w:rPr>
        <w:rFonts w:ascii="Symbol" w:hAnsi="Symbol"/>
      </w:rPr>
    </w:lvl>
    <w:lvl w:ilvl="2" w:tplc="F76EF31C">
      <w:start w:val="1"/>
      <w:numFmt w:val="bullet"/>
      <w:lvlText w:val=""/>
      <w:lvlJc w:val="left"/>
      <w:pPr>
        <w:ind w:left="1100" w:hanging="360"/>
      </w:pPr>
      <w:rPr>
        <w:rFonts w:ascii="Symbol" w:hAnsi="Symbol"/>
      </w:rPr>
    </w:lvl>
    <w:lvl w:ilvl="3" w:tplc="40961DF4">
      <w:start w:val="1"/>
      <w:numFmt w:val="bullet"/>
      <w:lvlText w:val=""/>
      <w:lvlJc w:val="left"/>
      <w:pPr>
        <w:ind w:left="1100" w:hanging="360"/>
      </w:pPr>
      <w:rPr>
        <w:rFonts w:ascii="Symbol" w:hAnsi="Symbol"/>
      </w:rPr>
    </w:lvl>
    <w:lvl w:ilvl="4" w:tplc="A29493D4">
      <w:start w:val="1"/>
      <w:numFmt w:val="bullet"/>
      <w:lvlText w:val=""/>
      <w:lvlJc w:val="left"/>
      <w:pPr>
        <w:ind w:left="1100" w:hanging="360"/>
      </w:pPr>
      <w:rPr>
        <w:rFonts w:ascii="Symbol" w:hAnsi="Symbol"/>
      </w:rPr>
    </w:lvl>
    <w:lvl w:ilvl="5" w:tplc="B4A4712E">
      <w:start w:val="1"/>
      <w:numFmt w:val="bullet"/>
      <w:lvlText w:val=""/>
      <w:lvlJc w:val="left"/>
      <w:pPr>
        <w:ind w:left="1100" w:hanging="360"/>
      </w:pPr>
      <w:rPr>
        <w:rFonts w:ascii="Symbol" w:hAnsi="Symbol"/>
      </w:rPr>
    </w:lvl>
    <w:lvl w:ilvl="6" w:tplc="8A12483C">
      <w:start w:val="1"/>
      <w:numFmt w:val="bullet"/>
      <w:lvlText w:val=""/>
      <w:lvlJc w:val="left"/>
      <w:pPr>
        <w:ind w:left="1100" w:hanging="360"/>
      </w:pPr>
      <w:rPr>
        <w:rFonts w:ascii="Symbol" w:hAnsi="Symbol"/>
      </w:rPr>
    </w:lvl>
    <w:lvl w:ilvl="7" w:tplc="A950DB3A">
      <w:start w:val="1"/>
      <w:numFmt w:val="bullet"/>
      <w:lvlText w:val=""/>
      <w:lvlJc w:val="left"/>
      <w:pPr>
        <w:ind w:left="1100" w:hanging="360"/>
      </w:pPr>
      <w:rPr>
        <w:rFonts w:ascii="Symbol" w:hAnsi="Symbol"/>
      </w:rPr>
    </w:lvl>
    <w:lvl w:ilvl="8" w:tplc="F04403EE">
      <w:start w:val="1"/>
      <w:numFmt w:val="bullet"/>
      <w:lvlText w:val=""/>
      <w:lvlJc w:val="left"/>
      <w:pPr>
        <w:ind w:left="1100" w:hanging="360"/>
      </w:pPr>
      <w:rPr>
        <w:rFonts w:ascii="Symbol" w:hAnsi="Symbol"/>
      </w:rPr>
    </w:lvl>
  </w:abstractNum>
  <w:num w:numId="1" w16cid:durableId="2067797621">
    <w:abstractNumId w:val="27"/>
  </w:num>
  <w:num w:numId="2" w16cid:durableId="536478134">
    <w:abstractNumId w:val="10"/>
  </w:num>
  <w:num w:numId="3" w16cid:durableId="282734259">
    <w:abstractNumId w:val="34"/>
  </w:num>
  <w:num w:numId="4" w16cid:durableId="2078430779">
    <w:abstractNumId w:val="16"/>
  </w:num>
  <w:num w:numId="5" w16cid:durableId="852063304">
    <w:abstractNumId w:val="21"/>
  </w:num>
  <w:num w:numId="6" w16cid:durableId="1418668957">
    <w:abstractNumId w:val="28"/>
  </w:num>
  <w:num w:numId="7" w16cid:durableId="1275330975">
    <w:abstractNumId w:val="45"/>
  </w:num>
  <w:num w:numId="8" w16cid:durableId="1391074701">
    <w:abstractNumId w:val="25"/>
  </w:num>
  <w:num w:numId="9" w16cid:durableId="1646427153">
    <w:abstractNumId w:val="18"/>
  </w:num>
  <w:num w:numId="10" w16cid:durableId="184248985">
    <w:abstractNumId w:val="2"/>
  </w:num>
  <w:num w:numId="11" w16cid:durableId="939947417">
    <w:abstractNumId w:val="14"/>
  </w:num>
  <w:num w:numId="12" w16cid:durableId="945308591">
    <w:abstractNumId w:val="24"/>
  </w:num>
  <w:num w:numId="13" w16cid:durableId="666056595">
    <w:abstractNumId w:val="5"/>
  </w:num>
  <w:num w:numId="14" w16cid:durableId="321738576">
    <w:abstractNumId w:val="5"/>
    <w:lvlOverride w:ilvl="0">
      <w:startOverride w:val="1"/>
      <w:lvl w:ilvl="0">
        <w:start w:val="1"/>
        <w:numFmt w:val="decimal"/>
        <w:lvlText w:val=""/>
        <w:lvlJc w:val="left"/>
      </w:lvl>
    </w:lvlOverride>
    <w:lvlOverride w:ilvl="1">
      <w:startOverride w:val="1"/>
      <w:lvl w:ilvl="1">
        <w:start w:val="1"/>
        <w:numFmt w:val="decimal"/>
        <w:lvlText w:val="%1.%2"/>
        <w:lvlJc w:val="left"/>
        <w:pPr>
          <w:ind w:left="680" w:hanging="680"/>
        </w:pPr>
        <w:rPr>
          <w:rFonts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15" w16cid:durableId="1567960701">
    <w:abstractNumId w:val="23"/>
  </w:num>
  <w:num w:numId="16" w16cid:durableId="1631550668">
    <w:abstractNumId w:val="8"/>
  </w:num>
  <w:num w:numId="17" w16cid:durableId="22170413">
    <w:abstractNumId w:val="42"/>
  </w:num>
  <w:num w:numId="18" w16cid:durableId="1513177759">
    <w:abstractNumId w:val="3"/>
  </w:num>
  <w:num w:numId="19" w16cid:durableId="2127118978">
    <w:abstractNumId w:val="1"/>
  </w:num>
  <w:num w:numId="20" w16cid:durableId="1102535405">
    <w:abstractNumId w:val="40"/>
  </w:num>
  <w:num w:numId="21" w16cid:durableId="58747956">
    <w:abstractNumId w:val="44"/>
  </w:num>
  <w:num w:numId="22" w16cid:durableId="1008482912">
    <w:abstractNumId w:val="6"/>
    <w:lvlOverride w:ilvl="0">
      <w:startOverride w:val="1"/>
    </w:lvlOverride>
    <w:lvlOverride w:ilvl="1"/>
    <w:lvlOverride w:ilvl="2"/>
    <w:lvlOverride w:ilvl="3"/>
    <w:lvlOverride w:ilvl="4"/>
    <w:lvlOverride w:ilvl="5"/>
    <w:lvlOverride w:ilvl="6"/>
    <w:lvlOverride w:ilvl="7"/>
    <w:lvlOverride w:ilvl="8"/>
  </w:num>
  <w:num w:numId="23" w16cid:durableId="1058435264">
    <w:abstractNumId w:val="31"/>
  </w:num>
  <w:num w:numId="24" w16cid:durableId="1288389791">
    <w:abstractNumId w:val="9"/>
  </w:num>
  <w:num w:numId="25" w16cid:durableId="340816145">
    <w:abstractNumId w:val="37"/>
  </w:num>
  <w:num w:numId="26" w16cid:durableId="1823279425">
    <w:abstractNumId w:val="20"/>
  </w:num>
  <w:num w:numId="27" w16cid:durableId="725035738">
    <w:abstractNumId w:val="13"/>
  </w:num>
  <w:num w:numId="28" w16cid:durableId="345522837">
    <w:abstractNumId w:val="4"/>
  </w:num>
  <w:num w:numId="29" w16cid:durableId="120657100">
    <w:abstractNumId w:val="38"/>
  </w:num>
  <w:num w:numId="30" w16cid:durableId="1916084129">
    <w:abstractNumId w:val="12"/>
  </w:num>
  <w:num w:numId="31" w16cid:durableId="896236930">
    <w:abstractNumId w:val="8"/>
  </w:num>
  <w:num w:numId="32" w16cid:durableId="17492248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04927761">
    <w:abstractNumId w:val="26"/>
  </w:num>
  <w:num w:numId="34" w16cid:durableId="583997370">
    <w:abstractNumId w:val="41"/>
  </w:num>
  <w:num w:numId="35" w16cid:durableId="1425296314">
    <w:abstractNumId w:val="22"/>
  </w:num>
  <w:num w:numId="36" w16cid:durableId="1422801948">
    <w:abstractNumId w:val="35"/>
  </w:num>
  <w:num w:numId="37" w16cid:durableId="1483811871">
    <w:abstractNumId w:val="7"/>
  </w:num>
  <w:num w:numId="38" w16cid:durableId="1915777384">
    <w:abstractNumId w:val="17"/>
  </w:num>
  <w:num w:numId="39" w16cid:durableId="1463235085">
    <w:abstractNumId w:val="39"/>
  </w:num>
  <w:num w:numId="40" w16cid:durableId="993535045">
    <w:abstractNumId w:val="19"/>
  </w:num>
  <w:num w:numId="41" w16cid:durableId="1859462173">
    <w:abstractNumId w:val="33"/>
  </w:num>
  <w:num w:numId="42" w16cid:durableId="475878786">
    <w:abstractNumId w:val="15"/>
  </w:num>
  <w:num w:numId="43" w16cid:durableId="1528366193">
    <w:abstractNumId w:val="43"/>
  </w:num>
  <w:num w:numId="44" w16cid:durableId="1715351971">
    <w:abstractNumId w:val="48"/>
  </w:num>
  <w:num w:numId="45" w16cid:durableId="731730953">
    <w:abstractNumId w:val="32"/>
  </w:num>
  <w:num w:numId="46" w16cid:durableId="1354458834">
    <w:abstractNumId w:val="47"/>
  </w:num>
  <w:num w:numId="47" w16cid:durableId="1272250876">
    <w:abstractNumId w:val="46"/>
  </w:num>
  <w:num w:numId="48" w16cid:durableId="33626528">
    <w:abstractNumId w:val="0"/>
  </w:num>
  <w:num w:numId="49" w16cid:durableId="761922445">
    <w:abstractNumId w:val="29"/>
  </w:num>
  <w:num w:numId="50" w16cid:durableId="1584799376">
    <w:abstractNumId w:val="28"/>
  </w:num>
  <w:num w:numId="51" w16cid:durableId="1184052750">
    <w:abstractNumId w:val="42"/>
  </w:num>
  <w:num w:numId="52" w16cid:durableId="142545671">
    <w:abstractNumId w:val="28"/>
  </w:num>
  <w:num w:numId="53" w16cid:durableId="215506565">
    <w:abstractNumId w:val="30"/>
  </w:num>
  <w:num w:numId="54" w16cid:durableId="1440292184">
    <w:abstractNumId w:val="36"/>
  </w:num>
  <w:num w:numId="55" w16cid:durableId="2033527196">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SortMethod w:val="0000"/>
  <w:defaultTabStop w:val="72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1C"/>
    <w:rsid w:val="00000012"/>
    <w:rsid w:val="000004BA"/>
    <w:rsid w:val="00000BAA"/>
    <w:rsid w:val="00001218"/>
    <w:rsid w:val="00001508"/>
    <w:rsid w:val="00001CA5"/>
    <w:rsid w:val="00002073"/>
    <w:rsid w:val="00002514"/>
    <w:rsid w:val="000028C1"/>
    <w:rsid w:val="000029FD"/>
    <w:rsid w:val="00003846"/>
    <w:rsid w:val="000039CD"/>
    <w:rsid w:val="00003AE7"/>
    <w:rsid w:val="00003C2A"/>
    <w:rsid w:val="00004107"/>
    <w:rsid w:val="00004400"/>
    <w:rsid w:val="00004C61"/>
    <w:rsid w:val="00004C7C"/>
    <w:rsid w:val="00004DB8"/>
    <w:rsid w:val="00005064"/>
    <w:rsid w:val="000052E0"/>
    <w:rsid w:val="00005B0B"/>
    <w:rsid w:val="00006134"/>
    <w:rsid w:val="00006DCD"/>
    <w:rsid w:val="00007360"/>
    <w:rsid w:val="00007ACA"/>
    <w:rsid w:val="00010115"/>
    <w:rsid w:val="000103D5"/>
    <w:rsid w:val="00011622"/>
    <w:rsid w:val="00011687"/>
    <w:rsid w:val="00012715"/>
    <w:rsid w:val="00012D9A"/>
    <w:rsid w:val="00013227"/>
    <w:rsid w:val="000133DD"/>
    <w:rsid w:val="00015BF1"/>
    <w:rsid w:val="00015EC3"/>
    <w:rsid w:val="00016590"/>
    <w:rsid w:val="000165AC"/>
    <w:rsid w:val="000165B9"/>
    <w:rsid w:val="00016F76"/>
    <w:rsid w:val="00017663"/>
    <w:rsid w:val="00017770"/>
    <w:rsid w:val="00017774"/>
    <w:rsid w:val="000179E7"/>
    <w:rsid w:val="00020499"/>
    <w:rsid w:val="0002063E"/>
    <w:rsid w:val="00021271"/>
    <w:rsid w:val="00021877"/>
    <w:rsid w:val="00021D25"/>
    <w:rsid w:val="000221B2"/>
    <w:rsid w:val="000223DF"/>
    <w:rsid w:val="000227E9"/>
    <w:rsid w:val="0002366D"/>
    <w:rsid w:val="00024C3C"/>
    <w:rsid w:val="00025DE1"/>
    <w:rsid w:val="00026698"/>
    <w:rsid w:val="00026DC1"/>
    <w:rsid w:val="00026E5F"/>
    <w:rsid w:val="00027AD6"/>
    <w:rsid w:val="000302A4"/>
    <w:rsid w:val="00030615"/>
    <w:rsid w:val="00030D29"/>
    <w:rsid w:val="00032C3B"/>
    <w:rsid w:val="00033DE7"/>
    <w:rsid w:val="0003493D"/>
    <w:rsid w:val="00034D3D"/>
    <w:rsid w:val="000355C4"/>
    <w:rsid w:val="00035C21"/>
    <w:rsid w:val="00037329"/>
    <w:rsid w:val="000376C1"/>
    <w:rsid w:val="00037865"/>
    <w:rsid w:val="000403DD"/>
    <w:rsid w:val="0004068D"/>
    <w:rsid w:val="00040DBE"/>
    <w:rsid w:val="00040E00"/>
    <w:rsid w:val="0004189E"/>
    <w:rsid w:val="00041FE2"/>
    <w:rsid w:val="00042929"/>
    <w:rsid w:val="00042E49"/>
    <w:rsid w:val="00043A2C"/>
    <w:rsid w:val="00044768"/>
    <w:rsid w:val="00045A2E"/>
    <w:rsid w:val="00046044"/>
    <w:rsid w:val="000471B1"/>
    <w:rsid w:val="00047403"/>
    <w:rsid w:val="00047D5A"/>
    <w:rsid w:val="0005003C"/>
    <w:rsid w:val="0005005E"/>
    <w:rsid w:val="000503ED"/>
    <w:rsid w:val="00050D20"/>
    <w:rsid w:val="00051377"/>
    <w:rsid w:val="000513AF"/>
    <w:rsid w:val="0005149D"/>
    <w:rsid w:val="00051532"/>
    <w:rsid w:val="000518FC"/>
    <w:rsid w:val="00051E6F"/>
    <w:rsid w:val="00053169"/>
    <w:rsid w:val="00053660"/>
    <w:rsid w:val="00053893"/>
    <w:rsid w:val="00053AB2"/>
    <w:rsid w:val="00055504"/>
    <w:rsid w:val="00055648"/>
    <w:rsid w:val="00055AD1"/>
    <w:rsid w:val="00055D67"/>
    <w:rsid w:val="000566F1"/>
    <w:rsid w:val="00056BA8"/>
    <w:rsid w:val="00057B23"/>
    <w:rsid w:val="00060767"/>
    <w:rsid w:val="00061F4C"/>
    <w:rsid w:val="0006206C"/>
    <w:rsid w:val="00062123"/>
    <w:rsid w:val="0006249B"/>
    <w:rsid w:val="00062FA2"/>
    <w:rsid w:val="0006303F"/>
    <w:rsid w:val="000633DE"/>
    <w:rsid w:val="00063896"/>
    <w:rsid w:val="00064302"/>
    <w:rsid w:val="00065067"/>
    <w:rsid w:val="00065D8C"/>
    <w:rsid w:val="000660E2"/>
    <w:rsid w:val="0006779F"/>
    <w:rsid w:val="0006785D"/>
    <w:rsid w:val="0006799F"/>
    <w:rsid w:val="00070593"/>
    <w:rsid w:val="000706E1"/>
    <w:rsid w:val="00071418"/>
    <w:rsid w:val="00071DBB"/>
    <w:rsid w:val="00071F3C"/>
    <w:rsid w:val="0007278D"/>
    <w:rsid w:val="00073704"/>
    <w:rsid w:val="000741E4"/>
    <w:rsid w:val="00074E5E"/>
    <w:rsid w:val="000754DB"/>
    <w:rsid w:val="00075595"/>
    <w:rsid w:val="00076C74"/>
    <w:rsid w:val="000774E9"/>
    <w:rsid w:val="00077570"/>
    <w:rsid w:val="00077917"/>
    <w:rsid w:val="00077F86"/>
    <w:rsid w:val="00080345"/>
    <w:rsid w:val="00080D78"/>
    <w:rsid w:val="0008135A"/>
    <w:rsid w:val="00081476"/>
    <w:rsid w:val="0008173D"/>
    <w:rsid w:val="00082595"/>
    <w:rsid w:val="00082B2B"/>
    <w:rsid w:val="00082EAB"/>
    <w:rsid w:val="0008320D"/>
    <w:rsid w:val="00083CB7"/>
    <w:rsid w:val="0008475F"/>
    <w:rsid w:val="000849FD"/>
    <w:rsid w:val="00085000"/>
    <w:rsid w:val="00085099"/>
    <w:rsid w:val="00085498"/>
    <w:rsid w:val="0008577C"/>
    <w:rsid w:val="000857F7"/>
    <w:rsid w:val="00085C44"/>
    <w:rsid w:val="0008675C"/>
    <w:rsid w:val="00086831"/>
    <w:rsid w:val="00086B3A"/>
    <w:rsid w:val="000874FD"/>
    <w:rsid w:val="00087FC0"/>
    <w:rsid w:val="00090A79"/>
    <w:rsid w:val="00090C55"/>
    <w:rsid w:val="00090EE0"/>
    <w:rsid w:val="00091248"/>
    <w:rsid w:val="0009138D"/>
    <w:rsid w:val="00091405"/>
    <w:rsid w:val="0009146C"/>
    <w:rsid w:val="000916BB"/>
    <w:rsid w:val="000918E3"/>
    <w:rsid w:val="00091C3D"/>
    <w:rsid w:val="000929A8"/>
    <w:rsid w:val="00093410"/>
    <w:rsid w:val="000935F8"/>
    <w:rsid w:val="00094CCD"/>
    <w:rsid w:val="00094EF0"/>
    <w:rsid w:val="00095487"/>
    <w:rsid w:val="00095A65"/>
    <w:rsid w:val="00096362"/>
    <w:rsid w:val="00096898"/>
    <w:rsid w:val="00096E66"/>
    <w:rsid w:val="00096F43"/>
    <w:rsid w:val="000971D3"/>
    <w:rsid w:val="00097510"/>
    <w:rsid w:val="00097B18"/>
    <w:rsid w:val="000A084B"/>
    <w:rsid w:val="000A0ABD"/>
    <w:rsid w:val="000A1790"/>
    <w:rsid w:val="000A1942"/>
    <w:rsid w:val="000A268B"/>
    <w:rsid w:val="000A3570"/>
    <w:rsid w:val="000A3C46"/>
    <w:rsid w:val="000A4DCD"/>
    <w:rsid w:val="000A5AB6"/>
    <w:rsid w:val="000A5E72"/>
    <w:rsid w:val="000A6205"/>
    <w:rsid w:val="000A6BC3"/>
    <w:rsid w:val="000A7BDA"/>
    <w:rsid w:val="000B06E4"/>
    <w:rsid w:val="000B0C64"/>
    <w:rsid w:val="000B0D58"/>
    <w:rsid w:val="000B11A3"/>
    <w:rsid w:val="000B59D0"/>
    <w:rsid w:val="000B5B38"/>
    <w:rsid w:val="000B5E0A"/>
    <w:rsid w:val="000B6795"/>
    <w:rsid w:val="000B68A9"/>
    <w:rsid w:val="000B782C"/>
    <w:rsid w:val="000B7AAA"/>
    <w:rsid w:val="000B7F5F"/>
    <w:rsid w:val="000C0519"/>
    <w:rsid w:val="000C2E3A"/>
    <w:rsid w:val="000C34DD"/>
    <w:rsid w:val="000C4016"/>
    <w:rsid w:val="000C5C5E"/>
    <w:rsid w:val="000C6B83"/>
    <w:rsid w:val="000C7496"/>
    <w:rsid w:val="000C7E29"/>
    <w:rsid w:val="000D03B8"/>
    <w:rsid w:val="000D0642"/>
    <w:rsid w:val="000D071A"/>
    <w:rsid w:val="000D0BC7"/>
    <w:rsid w:val="000D278D"/>
    <w:rsid w:val="000D2EB7"/>
    <w:rsid w:val="000D31F7"/>
    <w:rsid w:val="000D32F7"/>
    <w:rsid w:val="000D4268"/>
    <w:rsid w:val="000D4860"/>
    <w:rsid w:val="000D49DD"/>
    <w:rsid w:val="000D5D8D"/>
    <w:rsid w:val="000D6FF1"/>
    <w:rsid w:val="000E126E"/>
    <w:rsid w:val="000E1DA0"/>
    <w:rsid w:val="000E30D7"/>
    <w:rsid w:val="000E4E0A"/>
    <w:rsid w:val="000E4F3E"/>
    <w:rsid w:val="000E50F9"/>
    <w:rsid w:val="000E5716"/>
    <w:rsid w:val="000E5B74"/>
    <w:rsid w:val="000E6055"/>
    <w:rsid w:val="000E6598"/>
    <w:rsid w:val="000E66CB"/>
    <w:rsid w:val="000E6839"/>
    <w:rsid w:val="000E69F2"/>
    <w:rsid w:val="000E6B90"/>
    <w:rsid w:val="000E7C3F"/>
    <w:rsid w:val="000E7E02"/>
    <w:rsid w:val="000E7EF3"/>
    <w:rsid w:val="000F025E"/>
    <w:rsid w:val="000F0434"/>
    <w:rsid w:val="000F0852"/>
    <w:rsid w:val="000F2261"/>
    <w:rsid w:val="000F2810"/>
    <w:rsid w:val="000F2EB5"/>
    <w:rsid w:val="000F30B6"/>
    <w:rsid w:val="000F33C2"/>
    <w:rsid w:val="000F342F"/>
    <w:rsid w:val="000F3C77"/>
    <w:rsid w:val="000F4193"/>
    <w:rsid w:val="000F4AE3"/>
    <w:rsid w:val="000F5D81"/>
    <w:rsid w:val="000F6A6A"/>
    <w:rsid w:val="000F785B"/>
    <w:rsid w:val="000F7EC0"/>
    <w:rsid w:val="001001F0"/>
    <w:rsid w:val="00100468"/>
    <w:rsid w:val="001004BF"/>
    <w:rsid w:val="00100918"/>
    <w:rsid w:val="001011CA"/>
    <w:rsid w:val="001015C5"/>
    <w:rsid w:val="0010181B"/>
    <w:rsid w:val="00102DA7"/>
    <w:rsid w:val="00102E48"/>
    <w:rsid w:val="00103B00"/>
    <w:rsid w:val="00105267"/>
    <w:rsid w:val="00105DBD"/>
    <w:rsid w:val="0010646D"/>
    <w:rsid w:val="0010648D"/>
    <w:rsid w:val="0010688A"/>
    <w:rsid w:val="00106C92"/>
    <w:rsid w:val="00106CD0"/>
    <w:rsid w:val="00106DC7"/>
    <w:rsid w:val="00107E51"/>
    <w:rsid w:val="001103E3"/>
    <w:rsid w:val="00110B87"/>
    <w:rsid w:val="00110F3E"/>
    <w:rsid w:val="00111239"/>
    <w:rsid w:val="00111324"/>
    <w:rsid w:val="00113669"/>
    <w:rsid w:val="0011373B"/>
    <w:rsid w:val="001143BC"/>
    <w:rsid w:val="00114E5E"/>
    <w:rsid w:val="00115051"/>
    <w:rsid w:val="001150AB"/>
    <w:rsid w:val="001150BC"/>
    <w:rsid w:val="0011571F"/>
    <w:rsid w:val="0011585E"/>
    <w:rsid w:val="001158A0"/>
    <w:rsid w:val="00115D81"/>
    <w:rsid w:val="001162DB"/>
    <w:rsid w:val="001163C7"/>
    <w:rsid w:val="00116C32"/>
    <w:rsid w:val="00117033"/>
    <w:rsid w:val="0012013C"/>
    <w:rsid w:val="00120233"/>
    <w:rsid w:val="00120F25"/>
    <w:rsid w:val="001225ED"/>
    <w:rsid w:val="00123408"/>
    <w:rsid w:val="001236BB"/>
    <w:rsid w:val="00123F1A"/>
    <w:rsid w:val="00123FD2"/>
    <w:rsid w:val="0012448B"/>
    <w:rsid w:val="00124E78"/>
    <w:rsid w:val="00126325"/>
    <w:rsid w:val="00126378"/>
    <w:rsid w:val="00126A13"/>
    <w:rsid w:val="00126C2F"/>
    <w:rsid w:val="001271B9"/>
    <w:rsid w:val="001303C9"/>
    <w:rsid w:val="00131369"/>
    <w:rsid w:val="00131798"/>
    <w:rsid w:val="0013189D"/>
    <w:rsid w:val="00131E39"/>
    <w:rsid w:val="00131F52"/>
    <w:rsid w:val="0013213C"/>
    <w:rsid w:val="00132587"/>
    <w:rsid w:val="001329AA"/>
    <w:rsid w:val="00132D5D"/>
    <w:rsid w:val="00132F40"/>
    <w:rsid w:val="00132F91"/>
    <w:rsid w:val="0013372C"/>
    <w:rsid w:val="001353F7"/>
    <w:rsid w:val="0013586B"/>
    <w:rsid w:val="00135DC5"/>
    <w:rsid w:val="00137AF0"/>
    <w:rsid w:val="001402F0"/>
    <w:rsid w:val="00140598"/>
    <w:rsid w:val="0014067D"/>
    <w:rsid w:val="0014092D"/>
    <w:rsid w:val="00141C34"/>
    <w:rsid w:val="001424A9"/>
    <w:rsid w:val="0014440C"/>
    <w:rsid w:val="00144649"/>
    <w:rsid w:val="001447CD"/>
    <w:rsid w:val="00144D3A"/>
    <w:rsid w:val="00145421"/>
    <w:rsid w:val="00146E9B"/>
    <w:rsid w:val="00147141"/>
    <w:rsid w:val="0014758C"/>
    <w:rsid w:val="00147F07"/>
    <w:rsid w:val="001516E6"/>
    <w:rsid w:val="00151C3F"/>
    <w:rsid w:val="00152852"/>
    <w:rsid w:val="00152920"/>
    <w:rsid w:val="0015352C"/>
    <w:rsid w:val="0015473D"/>
    <w:rsid w:val="00154A6B"/>
    <w:rsid w:val="001550B6"/>
    <w:rsid w:val="00155C3F"/>
    <w:rsid w:val="00155F8E"/>
    <w:rsid w:val="00156799"/>
    <w:rsid w:val="00157A17"/>
    <w:rsid w:val="00160FF8"/>
    <w:rsid w:val="00162731"/>
    <w:rsid w:val="0016289A"/>
    <w:rsid w:val="0016293C"/>
    <w:rsid w:val="00162AAF"/>
    <w:rsid w:val="0016308D"/>
    <w:rsid w:val="00163C36"/>
    <w:rsid w:val="001643F1"/>
    <w:rsid w:val="001657D3"/>
    <w:rsid w:val="00165A49"/>
    <w:rsid w:val="00165C27"/>
    <w:rsid w:val="00166674"/>
    <w:rsid w:val="0016681B"/>
    <w:rsid w:val="0016691A"/>
    <w:rsid w:val="00167063"/>
    <w:rsid w:val="00167432"/>
    <w:rsid w:val="00167A04"/>
    <w:rsid w:val="00170A6A"/>
    <w:rsid w:val="00170A85"/>
    <w:rsid w:val="00170CE9"/>
    <w:rsid w:val="001710E0"/>
    <w:rsid w:val="001713B7"/>
    <w:rsid w:val="0017170B"/>
    <w:rsid w:val="001718CD"/>
    <w:rsid w:val="00172683"/>
    <w:rsid w:val="001729A7"/>
    <w:rsid w:val="001733B9"/>
    <w:rsid w:val="00173845"/>
    <w:rsid w:val="00174342"/>
    <w:rsid w:val="00174C5B"/>
    <w:rsid w:val="00176194"/>
    <w:rsid w:val="001764A1"/>
    <w:rsid w:val="001765EC"/>
    <w:rsid w:val="0017694C"/>
    <w:rsid w:val="00176B0D"/>
    <w:rsid w:val="001770B5"/>
    <w:rsid w:val="00177FCA"/>
    <w:rsid w:val="00180696"/>
    <w:rsid w:val="001806FA"/>
    <w:rsid w:val="00180D93"/>
    <w:rsid w:val="0018126A"/>
    <w:rsid w:val="00181752"/>
    <w:rsid w:val="0018193F"/>
    <w:rsid w:val="00181E93"/>
    <w:rsid w:val="00182926"/>
    <w:rsid w:val="0018333A"/>
    <w:rsid w:val="001839E2"/>
    <w:rsid w:val="00183BCF"/>
    <w:rsid w:val="00184019"/>
    <w:rsid w:val="00184C3C"/>
    <w:rsid w:val="00184C93"/>
    <w:rsid w:val="001852A8"/>
    <w:rsid w:val="00185B13"/>
    <w:rsid w:val="0019089C"/>
    <w:rsid w:val="0019092B"/>
    <w:rsid w:val="00190FB5"/>
    <w:rsid w:val="0019216B"/>
    <w:rsid w:val="00192243"/>
    <w:rsid w:val="001922DD"/>
    <w:rsid w:val="0019251C"/>
    <w:rsid w:val="00192678"/>
    <w:rsid w:val="00194042"/>
    <w:rsid w:val="00194216"/>
    <w:rsid w:val="0019443B"/>
    <w:rsid w:val="0019491B"/>
    <w:rsid w:val="00194E3E"/>
    <w:rsid w:val="00195934"/>
    <w:rsid w:val="001959BA"/>
    <w:rsid w:val="001963B7"/>
    <w:rsid w:val="0019677D"/>
    <w:rsid w:val="00196C57"/>
    <w:rsid w:val="00196DEF"/>
    <w:rsid w:val="001978BE"/>
    <w:rsid w:val="00197CEE"/>
    <w:rsid w:val="001A01A0"/>
    <w:rsid w:val="001A0212"/>
    <w:rsid w:val="001A0572"/>
    <w:rsid w:val="001A13F6"/>
    <w:rsid w:val="001A1BF2"/>
    <w:rsid w:val="001A2003"/>
    <w:rsid w:val="001A3629"/>
    <w:rsid w:val="001A377C"/>
    <w:rsid w:val="001A5CD6"/>
    <w:rsid w:val="001A6081"/>
    <w:rsid w:val="001A673B"/>
    <w:rsid w:val="001A67A7"/>
    <w:rsid w:val="001A7085"/>
    <w:rsid w:val="001A718C"/>
    <w:rsid w:val="001A73B6"/>
    <w:rsid w:val="001A7512"/>
    <w:rsid w:val="001A7565"/>
    <w:rsid w:val="001B221B"/>
    <w:rsid w:val="001B4742"/>
    <w:rsid w:val="001B4781"/>
    <w:rsid w:val="001B5093"/>
    <w:rsid w:val="001B55BE"/>
    <w:rsid w:val="001B56B6"/>
    <w:rsid w:val="001B6318"/>
    <w:rsid w:val="001B6602"/>
    <w:rsid w:val="001B6659"/>
    <w:rsid w:val="001B6BEB"/>
    <w:rsid w:val="001B73AC"/>
    <w:rsid w:val="001B77AD"/>
    <w:rsid w:val="001B7926"/>
    <w:rsid w:val="001B7DC7"/>
    <w:rsid w:val="001C0AA7"/>
    <w:rsid w:val="001C0D1C"/>
    <w:rsid w:val="001C1A38"/>
    <w:rsid w:val="001C22A0"/>
    <w:rsid w:val="001C2455"/>
    <w:rsid w:val="001C250E"/>
    <w:rsid w:val="001C306F"/>
    <w:rsid w:val="001C3967"/>
    <w:rsid w:val="001C3CA6"/>
    <w:rsid w:val="001C405C"/>
    <w:rsid w:val="001C427F"/>
    <w:rsid w:val="001C45E1"/>
    <w:rsid w:val="001C62C2"/>
    <w:rsid w:val="001C63BF"/>
    <w:rsid w:val="001C64C7"/>
    <w:rsid w:val="001C66B1"/>
    <w:rsid w:val="001C71BC"/>
    <w:rsid w:val="001C7363"/>
    <w:rsid w:val="001C739A"/>
    <w:rsid w:val="001D194C"/>
    <w:rsid w:val="001D2888"/>
    <w:rsid w:val="001D2A5F"/>
    <w:rsid w:val="001D3B0C"/>
    <w:rsid w:val="001D49D6"/>
    <w:rsid w:val="001D4CDE"/>
    <w:rsid w:val="001D5AAE"/>
    <w:rsid w:val="001D6071"/>
    <w:rsid w:val="001D762C"/>
    <w:rsid w:val="001E1F50"/>
    <w:rsid w:val="001E204F"/>
    <w:rsid w:val="001E247D"/>
    <w:rsid w:val="001E3107"/>
    <w:rsid w:val="001E3DA2"/>
    <w:rsid w:val="001E451B"/>
    <w:rsid w:val="001E718B"/>
    <w:rsid w:val="001E72C1"/>
    <w:rsid w:val="001E77DD"/>
    <w:rsid w:val="001E7B11"/>
    <w:rsid w:val="001E7E10"/>
    <w:rsid w:val="001F0182"/>
    <w:rsid w:val="001F01E4"/>
    <w:rsid w:val="001F0704"/>
    <w:rsid w:val="001F18F5"/>
    <w:rsid w:val="001F1952"/>
    <w:rsid w:val="001F1C34"/>
    <w:rsid w:val="001F1E58"/>
    <w:rsid w:val="001F25F8"/>
    <w:rsid w:val="001F299D"/>
    <w:rsid w:val="001F4A0A"/>
    <w:rsid w:val="001F5974"/>
    <w:rsid w:val="001F5F3A"/>
    <w:rsid w:val="001F62EC"/>
    <w:rsid w:val="001F636B"/>
    <w:rsid w:val="001F64A8"/>
    <w:rsid w:val="001F6A0D"/>
    <w:rsid w:val="001F6A28"/>
    <w:rsid w:val="001F71FA"/>
    <w:rsid w:val="001F736D"/>
    <w:rsid w:val="001F7A99"/>
    <w:rsid w:val="002002C1"/>
    <w:rsid w:val="00200C19"/>
    <w:rsid w:val="00201495"/>
    <w:rsid w:val="002027DF"/>
    <w:rsid w:val="00202A7D"/>
    <w:rsid w:val="0020362B"/>
    <w:rsid w:val="00203E9A"/>
    <w:rsid w:val="00204479"/>
    <w:rsid w:val="00205524"/>
    <w:rsid w:val="00207798"/>
    <w:rsid w:val="00207B1A"/>
    <w:rsid w:val="00207F00"/>
    <w:rsid w:val="00210607"/>
    <w:rsid w:val="002111D9"/>
    <w:rsid w:val="0021148C"/>
    <w:rsid w:val="0021205E"/>
    <w:rsid w:val="00212710"/>
    <w:rsid w:val="0021295D"/>
    <w:rsid w:val="002131BE"/>
    <w:rsid w:val="00213892"/>
    <w:rsid w:val="00213F98"/>
    <w:rsid w:val="0021417B"/>
    <w:rsid w:val="00215252"/>
    <w:rsid w:val="00215B7C"/>
    <w:rsid w:val="00215E7F"/>
    <w:rsid w:val="0021635B"/>
    <w:rsid w:val="0021689D"/>
    <w:rsid w:val="00216BD0"/>
    <w:rsid w:val="0022055A"/>
    <w:rsid w:val="00220627"/>
    <w:rsid w:val="0022084A"/>
    <w:rsid w:val="00220ABE"/>
    <w:rsid w:val="00221121"/>
    <w:rsid w:val="00221D00"/>
    <w:rsid w:val="00222039"/>
    <w:rsid w:val="00222510"/>
    <w:rsid w:val="00222646"/>
    <w:rsid w:val="00222DFE"/>
    <w:rsid w:val="00223C90"/>
    <w:rsid w:val="002243EF"/>
    <w:rsid w:val="00224F0A"/>
    <w:rsid w:val="00225EFC"/>
    <w:rsid w:val="00226B3F"/>
    <w:rsid w:val="00226DA6"/>
    <w:rsid w:val="0022751D"/>
    <w:rsid w:val="002277E8"/>
    <w:rsid w:val="002309E1"/>
    <w:rsid w:val="00231B4F"/>
    <w:rsid w:val="00231E98"/>
    <w:rsid w:val="00232654"/>
    <w:rsid w:val="00233FE3"/>
    <w:rsid w:val="00234BC8"/>
    <w:rsid w:val="0023527E"/>
    <w:rsid w:val="00235890"/>
    <w:rsid w:val="00235BB6"/>
    <w:rsid w:val="00235DB9"/>
    <w:rsid w:val="002362EC"/>
    <w:rsid w:val="00236F15"/>
    <w:rsid w:val="00236FE1"/>
    <w:rsid w:val="00237569"/>
    <w:rsid w:val="002375FF"/>
    <w:rsid w:val="00240085"/>
    <w:rsid w:val="00240143"/>
    <w:rsid w:val="00240550"/>
    <w:rsid w:val="0024088F"/>
    <w:rsid w:val="00240FD1"/>
    <w:rsid w:val="00241488"/>
    <w:rsid w:val="00241BDC"/>
    <w:rsid w:val="00241E53"/>
    <w:rsid w:val="00242470"/>
    <w:rsid w:val="00242AAB"/>
    <w:rsid w:val="002438F0"/>
    <w:rsid w:val="00245528"/>
    <w:rsid w:val="00246726"/>
    <w:rsid w:val="00246B8B"/>
    <w:rsid w:val="00246FAB"/>
    <w:rsid w:val="002477AA"/>
    <w:rsid w:val="0025002A"/>
    <w:rsid w:val="00250D80"/>
    <w:rsid w:val="002517A6"/>
    <w:rsid w:val="0025340F"/>
    <w:rsid w:val="00253A2C"/>
    <w:rsid w:val="00253FA1"/>
    <w:rsid w:val="00254185"/>
    <w:rsid w:val="00254357"/>
    <w:rsid w:val="00255837"/>
    <w:rsid w:val="00255E21"/>
    <w:rsid w:val="002566A7"/>
    <w:rsid w:val="00256D2F"/>
    <w:rsid w:val="00256E09"/>
    <w:rsid w:val="002578E1"/>
    <w:rsid w:val="00257B02"/>
    <w:rsid w:val="0026043B"/>
    <w:rsid w:val="00260855"/>
    <w:rsid w:val="00260B3E"/>
    <w:rsid w:val="00260D8F"/>
    <w:rsid w:val="00261A1E"/>
    <w:rsid w:val="00261C9A"/>
    <w:rsid w:val="002628AF"/>
    <w:rsid w:val="00262CB5"/>
    <w:rsid w:val="00262D46"/>
    <w:rsid w:val="00262E18"/>
    <w:rsid w:val="00262E5E"/>
    <w:rsid w:val="0026305B"/>
    <w:rsid w:val="00264470"/>
    <w:rsid w:val="0026561E"/>
    <w:rsid w:val="002656B6"/>
    <w:rsid w:val="00265AEC"/>
    <w:rsid w:val="002676BB"/>
    <w:rsid w:val="00267EBD"/>
    <w:rsid w:val="00270470"/>
    <w:rsid w:val="0027153A"/>
    <w:rsid w:val="00271741"/>
    <w:rsid w:val="0027177E"/>
    <w:rsid w:val="0027294B"/>
    <w:rsid w:val="00272BD7"/>
    <w:rsid w:val="002737FE"/>
    <w:rsid w:val="00273A9E"/>
    <w:rsid w:val="00274433"/>
    <w:rsid w:val="00274816"/>
    <w:rsid w:val="00274DEE"/>
    <w:rsid w:val="00277011"/>
    <w:rsid w:val="00277484"/>
    <w:rsid w:val="0027772C"/>
    <w:rsid w:val="0027776E"/>
    <w:rsid w:val="002777E8"/>
    <w:rsid w:val="00277C62"/>
    <w:rsid w:val="002801C2"/>
    <w:rsid w:val="002802D7"/>
    <w:rsid w:val="00280D71"/>
    <w:rsid w:val="00280FF0"/>
    <w:rsid w:val="00281995"/>
    <w:rsid w:val="00281A4E"/>
    <w:rsid w:val="002840AB"/>
    <w:rsid w:val="0028524A"/>
    <w:rsid w:val="00285287"/>
    <w:rsid w:val="002852E7"/>
    <w:rsid w:val="002855AC"/>
    <w:rsid w:val="002856EB"/>
    <w:rsid w:val="00285B11"/>
    <w:rsid w:val="00285CA5"/>
    <w:rsid w:val="00290056"/>
    <w:rsid w:val="00291C8A"/>
    <w:rsid w:val="0029248C"/>
    <w:rsid w:val="00292616"/>
    <w:rsid w:val="00293E45"/>
    <w:rsid w:val="00294085"/>
    <w:rsid w:val="00294211"/>
    <w:rsid w:val="002942DD"/>
    <w:rsid w:val="00294951"/>
    <w:rsid w:val="00295C34"/>
    <w:rsid w:val="00295C67"/>
    <w:rsid w:val="00296428"/>
    <w:rsid w:val="0029733E"/>
    <w:rsid w:val="00297D00"/>
    <w:rsid w:val="002A0B13"/>
    <w:rsid w:val="002A1034"/>
    <w:rsid w:val="002A14D7"/>
    <w:rsid w:val="002A15D3"/>
    <w:rsid w:val="002A24CC"/>
    <w:rsid w:val="002A26D0"/>
    <w:rsid w:val="002A295B"/>
    <w:rsid w:val="002A3581"/>
    <w:rsid w:val="002A4702"/>
    <w:rsid w:val="002A5359"/>
    <w:rsid w:val="002A5AE3"/>
    <w:rsid w:val="002A63B6"/>
    <w:rsid w:val="002A6857"/>
    <w:rsid w:val="002A698C"/>
    <w:rsid w:val="002A6F6B"/>
    <w:rsid w:val="002B0D5F"/>
    <w:rsid w:val="002B0ED6"/>
    <w:rsid w:val="002B123B"/>
    <w:rsid w:val="002B1AE4"/>
    <w:rsid w:val="002B1F8D"/>
    <w:rsid w:val="002B27A8"/>
    <w:rsid w:val="002B3000"/>
    <w:rsid w:val="002B325B"/>
    <w:rsid w:val="002B41B8"/>
    <w:rsid w:val="002B550D"/>
    <w:rsid w:val="002B5700"/>
    <w:rsid w:val="002B5B89"/>
    <w:rsid w:val="002B6056"/>
    <w:rsid w:val="002B658C"/>
    <w:rsid w:val="002B69CD"/>
    <w:rsid w:val="002C0224"/>
    <w:rsid w:val="002C0546"/>
    <w:rsid w:val="002C05F0"/>
    <w:rsid w:val="002C0688"/>
    <w:rsid w:val="002C0780"/>
    <w:rsid w:val="002C12CB"/>
    <w:rsid w:val="002C148E"/>
    <w:rsid w:val="002C3059"/>
    <w:rsid w:val="002C3217"/>
    <w:rsid w:val="002C481A"/>
    <w:rsid w:val="002C4F85"/>
    <w:rsid w:val="002C4FB1"/>
    <w:rsid w:val="002C5E4B"/>
    <w:rsid w:val="002C6C74"/>
    <w:rsid w:val="002C715E"/>
    <w:rsid w:val="002C77F0"/>
    <w:rsid w:val="002D00CB"/>
    <w:rsid w:val="002D021F"/>
    <w:rsid w:val="002D05CB"/>
    <w:rsid w:val="002D0B72"/>
    <w:rsid w:val="002D2750"/>
    <w:rsid w:val="002D3467"/>
    <w:rsid w:val="002D352A"/>
    <w:rsid w:val="002D394B"/>
    <w:rsid w:val="002D3BAC"/>
    <w:rsid w:val="002D42AA"/>
    <w:rsid w:val="002D48C0"/>
    <w:rsid w:val="002D49CF"/>
    <w:rsid w:val="002D4DD7"/>
    <w:rsid w:val="002D5043"/>
    <w:rsid w:val="002D53BF"/>
    <w:rsid w:val="002D54A0"/>
    <w:rsid w:val="002D5BA1"/>
    <w:rsid w:val="002D5E84"/>
    <w:rsid w:val="002D679D"/>
    <w:rsid w:val="002D70AE"/>
    <w:rsid w:val="002D7F8F"/>
    <w:rsid w:val="002E2D4F"/>
    <w:rsid w:val="002E469C"/>
    <w:rsid w:val="002E5CAB"/>
    <w:rsid w:val="002E6000"/>
    <w:rsid w:val="002E62CC"/>
    <w:rsid w:val="002E6516"/>
    <w:rsid w:val="002E74D8"/>
    <w:rsid w:val="002E7B7D"/>
    <w:rsid w:val="002E7E71"/>
    <w:rsid w:val="002F03E6"/>
    <w:rsid w:val="002F0532"/>
    <w:rsid w:val="002F1265"/>
    <w:rsid w:val="002F14B9"/>
    <w:rsid w:val="002F1BAD"/>
    <w:rsid w:val="002F24C3"/>
    <w:rsid w:val="002F2555"/>
    <w:rsid w:val="002F2A61"/>
    <w:rsid w:val="002F2D30"/>
    <w:rsid w:val="002F3346"/>
    <w:rsid w:val="002F348E"/>
    <w:rsid w:val="002F36C0"/>
    <w:rsid w:val="002F45FF"/>
    <w:rsid w:val="002F4C52"/>
    <w:rsid w:val="002F4DF7"/>
    <w:rsid w:val="002F5660"/>
    <w:rsid w:val="002F62D6"/>
    <w:rsid w:val="002F67EE"/>
    <w:rsid w:val="002F6859"/>
    <w:rsid w:val="0030014F"/>
    <w:rsid w:val="003005C0"/>
    <w:rsid w:val="0030074E"/>
    <w:rsid w:val="00301124"/>
    <w:rsid w:val="003016AB"/>
    <w:rsid w:val="003027C5"/>
    <w:rsid w:val="00302B5A"/>
    <w:rsid w:val="00302B6E"/>
    <w:rsid w:val="00302BDF"/>
    <w:rsid w:val="00303D45"/>
    <w:rsid w:val="003043E8"/>
    <w:rsid w:val="003048F1"/>
    <w:rsid w:val="003052EE"/>
    <w:rsid w:val="00305905"/>
    <w:rsid w:val="003061A8"/>
    <w:rsid w:val="00306FC5"/>
    <w:rsid w:val="0030730B"/>
    <w:rsid w:val="003107EA"/>
    <w:rsid w:val="00310D39"/>
    <w:rsid w:val="00312A05"/>
    <w:rsid w:val="00312E9E"/>
    <w:rsid w:val="003133F6"/>
    <w:rsid w:val="00313A5A"/>
    <w:rsid w:val="00313CD4"/>
    <w:rsid w:val="00313D1C"/>
    <w:rsid w:val="0031400E"/>
    <w:rsid w:val="003153EF"/>
    <w:rsid w:val="00315614"/>
    <w:rsid w:val="003157DB"/>
    <w:rsid w:val="00315CCF"/>
    <w:rsid w:val="0031622C"/>
    <w:rsid w:val="00316386"/>
    <w:rsid w:val="00316CF1"/>
    <w:rsid w:val="00317004"/>
    <w:rsid w:val="00320144"/>
    <w:rsid w:val="003208A8"/>
    <w:rsid w:val="00320A6A"/>
    <w:rsid w:val="00320F39"/>
    <w:rsid w:val="00321B1F"/>
    <w:rsid w:val="0032215C"/>
    <w:rsid w:val="003226B3"/>
    <w:rsid w:val="00323679"/>
    <w:rsid w:val="0032391D"/>
    <w:rsid w:val="00323AF2"/>
    <w:rsid w:val="00324147"/>
    <w:rsid w:val="00324564"/>
    <w:rsid w:val="0032497B"/>
    <w:rsid w:val="00324C41"/>
    <w:rsid w:val="00325DFC"/>
    <w:rsid w:val="00326244"/>
    <w:rsid w:val="0032674B"/>
    <w:rsid w:val="0032709D"/>
    <w:rsid w:val="003300B1"/>
    <w:rsid w:val="00331222"/>
    <w:rsid w:val="003312B1"/>
    <w:rsid w:val="0033250E"/>
    <w:rsid w:val="00333B43"/>
    <w:rsid w:val="00333D1D"/>
    <w:rsid w:val="00334481"/>
    <w:rsid w:val="00335AD4"/>
    <w:rsid w:val="0033602F"/>
    <w:rsid w:val="00337628"/>
    <w:rsid w:val="0034045E"/>
    <w:rsid w:val="003409AF"/>
    <w:rsid w:val="00340F3A"/>
    <w:rsid w:val="0034107E"/>
    <w:rsid w:val="00341D66"/>
    <w:rsid w:val="00341E55"/>
    <w:rsid w:val="00341FD8"/>
    <w:rsid w:val="0034211C"/>
    <w:rsid w:val="003427DB"/>
    <w:rsid w:val="003428A8"/>
    <w:rsid w:val="003436C1"/>
    <w:rsid w:val="00344E13"/>
    <w:rsid w:val="00345349"/>
    <w:rsid w:val="00345997"/>
    <w:rsid w:val="00345AEF"/>
    <w:rsid w:val="0034609A"/>
    <w:rsid w:val="0034639F"/>
    <w:rsid w:val="003467EE"/>
    <w:rsid w:val="00346D28"/>
    <w:rsid w:val="003471B0"/>
    <w:rsid w:val="00347912"/>
    <w:rsid w:val="003479CE"/>
    <w:rsid w:val="00347EE9"/>
    <w:rsid w:val="00350307"/>
    <w:rsid w:val="00350415"/>
    <w:rsid w:val="00351063"/>
    <w:rsid w:val="00351351"/>
    <w:rsid w:val="00351552"/>
    <w:rsid w:val="003516BE"/>
    <w:rsid w:val="00351C41"/>
    <w:rsid w:val="00352E56"/>
    <w:rsid w:val="00353B53"/>
    <w:rsid w:val="003548FB"/>
    <w:rsid w:val="003557A7"/>
    <w:rsid w:val="0035610D"/>
    <w:rsid w:val="0035635B"/>
    <w:rsid w:val="0035702B"/>
    <w:rsid w:val="0035774F"/>
    <w:rsid w:val="0036187F"/>
    <w:rsid w:val="00364244"/>
    <w:rsid w:val="003645F7"/>
    <w:rsid w:val="00364F94"/>
    <w:rsid w:val="00365122"/>
    <w:rsid w:val="00365A8D"/>
    <w:rsid w:val="00365DC7"/>
    <w:rsid w:val="00365EB2"/>
    <w:rsid w:val="00366127"/>
    <w:rsid w:val="003678A5"/>
    <w:rsid w:val="00367D2C"/>
    <w:rsid w:val="003701D9"/>
    <w:rsid w:val="00370A9C"/>
    <w:rsid w:val="003714AC"/>
    <w:rsid w:val="003725AE"/>
    <w:rsid w:val="0037262F"/>
    <w:rsid w:val="00372772"/>
    <w:rsid w:val="00372C6E"/>
    <w:rsid w:val="00372E9C"/>
    <w:rsid w:val="00373C5C"/>
    <w:rsid w:val="00374B8B"/>
    <w:rsid w:val="00375993"/>
    <w:rsid w:val="00376BE9"/>
    <w:rsid w:val="00377103"/>
    <w:rsid w:val="00377DF9"/>
    <w:rsid w:val="003800C7"/>
    <w:rsid w:val="00380456"/>
    <w:rsid w:val="00380690"/>
    <w:rsid w:val="00380D15"/>
    <w:rsid w:val="003818F7"/>
    <w:rsid w:val="00381E63"/>
    <w:rsid w:val="00381E91"/>
    <w:rsid w:val="0038222B"/>
    <w:rsid w:val="00382B53"/>
    <w:rsid w:val="003835A4"/>
    <w:rsid w:val="003835F5"/>
    <w:rsid w:val="0038389E"/>
    <w:rsid w:val="00384C8B"/>
    <w:rsid w:val="00385482"/>
    <w:rsid w:val="0038595B"/>
    <w:rsid w:val="0038634E"/>
    <w:rsid w:val="00386E47"/>
    <w:rsid w:val="003873A9"/>
    <w:rsid w:val="0038793C"/>
    <w:rsid w:val="00390D09"/>
    <w:rsid w:val="00391577"/>
    <w:rsid w:val="00391D64"/>
    <w:rsid w:val="0039214C"/>
    <w:rsid w:val="00392A8C"/>
    <w:rsid w:val="00392BF7"/>
    <w:rsid w:val="00393F41"/>
    <w:rsid w:val="00394494"/>
    <w:rsid w:val="0039499F"/>
    <w:rsid w:val="00394A2C"/>
    <w:rsid w:val="00395AB4"/>
    <w:rsid w:val="00395E07"/>
    <w:rsid w:val="00397A26"/>
    <w:rsid w:val="003A047E"/>
    <w:rsid w:val="003A0999"/>
    <w:rsid w:val="003A1120"/>
    <w:rsid w:val="003A19F4"/>
    <w:rsid w:val="003A1BE3"/>
    <w:rsid w:val="003A21BE"/>
    <w:rsid w:val="003A21E5"/>
    <w:rsid w:val="003A234E"/>
    <w:rsid w:val="003A354E"/>
    <w:rsid w:val="003A4017"/>
    <w:rsid w:val="003A4D11"/>
    <w:rsid w:val="003A647C"/>
    <w:rsid w:val="003A6AD6"/>
    <w:rsid w:val="003A7653"/>
    <w:rsid w:val="003B0817"/>
    <w:rsid w:val="003B0D54"/>
    <w:rsid w:val="003B0DF7"/>
    <w:rsid w:val="003B1540"/>
    <w:rsid w:val="003B1A16"/>
    <w:rsid w:val="003B1CB7"/>
    <w:rsid w:val="003B3074"/>
    <w:rsid w:val="003B34A3"/>
    <w:rsid w:val="003B4AE8"/>
    <w:rsid w:val="003B53FB"/>
    <w:rsid w:val="003B6F76"/>
    <w:rsid w:val="003B7B66"/>
    <w:rsid w:val="003C0293"/>
    <w:rsid w:val="003C02B2"/>
    <w:rsid w:val="003C0778"/>
    <w:rsid w:val="003C1A43"/>
    <w:rsid w:val="003C1B98"/>
    <w:rsid w:val="003C2636"/>
    <w:rsid w:val="003C310F"/>
    <w:rsid w:val="003C3272"/>
    <w:rsid w:val="003C5150"/>
    <w:rsid w:val="003C5B4E"/>
    <w:rsid w:val="003C5DAC"/>
    <w:rsid w:val="003C5F83"/>
    <w:rsid w:val="003C6A1E"/>
    <w:rsid w:val="003C73E4"/>
    <w:rsid w:val="003C779D"/>
    <w:rsid w:val="003D1455"/>
    <w:rsid w:val="003D2746"/>
    <w:rsid w:val="003D27A6"/>
    <w:rsid w:val="003D44F6"/>
    <w:rsid w:val="003D5046"/>
    <w:rsid w:val="003D5187"/>
    <w:rsid w:val="003D5683"/>
    <w:rsid w:val="003D6503"/>
    <w:rsid w:val="003D65CC"/>
    <w:rsid w:val="003D7F18"/>
    <w:rsid w:val="003E0154"/>
    <w:rsid w:val="003E0652"/>
    <w:rsid w:val="003E167D"/>
    <w:rsid w:val="003E1AEC"/>
    <w:rsid w:val="003E1E56"/>
    <w:rsid w:val="003E271D"/>
    <w:rsid w:val="003E3456"/>
    <w:rsid w:val="003E34F4"/>
    <w:rsid w:val="003E36D1"/>
    <w:rsid w:val="003E3C32"/>
    <w:rsid w:val="003E3D1C"/>
    <w:rsid w:val="003E3D54"/>
    <w:rsid w:val="003E4216"/>
    <w:rsid w:val="003E537C"/>
    <w:rsid w:val="003E5ACC"/>
    <w:rsid w:val="003E5D85"/>
    <w:rsid w:val="003E7A33"/>
    <w:rsid w:val="003E7C20"/>
    <w:rsid w:val="003E7E17"/>
    <w:rsid w:val="003F01B9"/>
    <w:rsid w:val="003F0DEE"/>
    <w:rsid w:val="003F13E5"/>
    <w:rsid w:val="003F1A60"/>
    <w:rsid w:val="003F1C50"/>
    <w:rsid w:val="003F4016"/>
    <w:rsid w:val="003F42D7"/>
    <w:rsid w:val="003F4641"/>
    <w:rsid w:val="003F4C95"/>
    <w:rsid w:val="003F5155"/>
    <w:rsid w:val="003F5208"/>
    <w:rsid w:val="003F5B8B"/>
    <w:rsid w:val="003F6040"/>
    <w:rsid w:val="003F6A02"/>
    <w:rsid w:val="003F6EE8"/>
    <w:rsid w:val="003F749E"/>
    <w:rsid w:val="003F7708"/>
    <w:rsid w:val="003F7769"/>
    <w:rsid w:val="00400159"/>
    <w:rsid w:val="0040034D"/>
    <w:rsid w:val="00400DB5"/>
    <w:rsid w:val="00402182"/>
    <w:rsid w:val="0040262A"/>
    <w:rsid w:val="004027F1"/>
    <w:rsid w:val="004029B1"/>
    <w:rsid w:val="00402D36"/>
    <w:rsid w:val="00402F42"/>
    <w:rsid w:val="00402F56"/>
    <w:rsid w:val="00403F42"/>
    <w:rsid w:val="004048CE"/>
    <w:rsid w:val="00405034"/>
    <w:rsid w:val="0040535B"/>
    <w:rsid w:val="00405931"/>
    <w:rsid w:val="004059A7"/>
    <w:rsid w:val="004067D5"/>
    <w:rsid w:val="00407088"/>
    <w:rsid w:val="0040795C"/>
    <w:rsid w:val="00407BAD"/>
    <w:rsid w:val="004107A3"/>
    <w:rsid w:val="004109B2"/>
    <w:rsid w:val="00410C8C"/>
    <w:rsid w:val="00410EE5"/>
    <w:rsid w:val="00412FE6"/>
    <w:rsid w:val="0041369B"/>
    <w:rsid w:val="004139E0"/>
    <w:rsid w:val="00413D68"/>
    <w:rsid w:val="00414D88"/>
    <w:rsid w:val="0041546F"/>
    <w:rsid w:val="00416658"/>
    <w:rsid w:val="0041689A"/>
    <w:rsid w:val="004169A6"/>
    <w:rsid w:val="00416A7E"/>
    <w:rsid w:val="00417DFC"/>
    <w:rsid w:val="004205ED"/>
    <w:rsid w:val="00420EFE"/>
    <w:rsid w:val="00421537"/>
    <w:rsid w:val="00421A6C"/>
    <w:rsid w:val="00421BB1"/>
    <w:rsid w:val="00421EFC"/>
    <w:rsid w:val="004224A1"/>
    <w:rsid w:val="00422E6D"/>
    <w:rsid w:val="00424AF6"/>
    <w:rsid w:val="00427305"/>
    <w:rsid w:val="004315CC"/>
    <w:rsid w:val="00431B26"/>
    <w:rsid w:val="00431DCA"/>
    <w:rsid w:val="004320DA"/>
    <w:rsid w:val="0043238E"/>
    <w:rsid w:val="0043340B"/>
    <w:rsid w:val="00433A78"/>
    <w:rsid w:val="004343F5"/>
    <w:rsid w:val="0043495F"/>
    <w:rsid w:val="00434BAD"/>
    <w:rsid w:val="004354C4"/>
    <w:rsid w:val="00435584"/>
    <w:rsid w:val="00436C6C"/>
    <w:rsid w:val="00436E96"/>
    <w:rsid w:val="00437A13"/>
    <w:rsid w:val="0044039E"/>
    <w:rsid w:val="00440553"/>
    <w:rsid w:val="00440557"/>
    <w:rsid w:val="0044090C"/>
    <w:rsid w:val="00441154"/>
    <w:rsid w:val="004415D2"/>
    <w:rsid w:val="004418BB"/>
    <w:rsid w:val="00442725"/>
    <w:rsid w:val="004435A6"/>
    <w:rsid w:val="00443686"/>
    <w:rsid w:val="0044373E"/>
    <w:rsid w:val="00443742"/>
    <w:rsid w:val="004449E7"/>
    <w:rsid w:val="0044529B"/>
    <w:rsid w:val="00445351"/>
    <w:rsid w:val="004454B7"/>
    <w:rsid w:val="0044606D"/>
    <w:rsid w:val="0044621E"/>
    <w:rsid w:val="0044632E"/>
    <w:rsid w:val="00446786"/>
    <w:rsid w:val="004469EB"/>
    <w:rsid w:val="00447461"/>
    <w:rsid w:val="0044754A"/>
    <w:rsid w:val="004475F8"/>
    <w:rsid w:val="004508A8"/>
    <w:rsid w:val="004508FF"/>
    <w:rsid w:val="004519B5"/>
    <w:rsid w:val="00451C8D"/>
    <w:rsid w:val="0045328D"/>
    <w:rsid w:val="0045357E"/>
    <w:rsid w:val="0045378E"/>
    <w:rsid w:val="004537CB"/>
    <w:rsid w:val="00453835"/>
    <w:rsid w:val="0045502E"/>
    <w:rsid w:val="004554F7"/>
    <w:rsid w:val="00455F65"/>
    <w:rsid w:val="00456EA3"/>
    <w:rsid w:val="004570EA"/>
    <w:rsid w:val="00457683"/>
    <w:rsid w:val="00457B65"/>
    <w:rsid w:val="00462EFC"/>
    <w:rsid w:val="00463030"/>
    <w:rsid w:val="004634A9"/>
    <w:rsid w:val="004635DD"/>
    <w:rsid w:val="00463947"/>
    <w:rsid w:val="00463F40"/>
    <w:rsid w:val="0046421D"/>
    <w:rsid w:val="004643B3"/>
    <w:rsid w:val="00464C29"/>
    <w:rsid w:val="0046595D"/>
    <w:rsid w:val="004664BD"/>
    <w:rsid w:val="00467983"/>
    <w:rsid w:val="00467D81"/>
    <w:rsid w:val="0047003B"/>
    <w:rsid w:val="004705E1"/>
    <w:rsid w:val="00471AC7"/>
    <w:rsid w:val="00472696"/>
    <w:rsid w:val="004727E3"/>
    <w:rsid w:val="004735B2"/>
    <w:rsid w:val="0047492E"/>
    <w:rsid w:val="004752E6"/>
    <w:rsid w:val="00475382"/>
    <w:rsid w:val="00475825"/>
    <w:rsid w:val="004759D8"/>
    <w:rsid w:val="00475F51"/>
    <w:rsid w:val="004767FF"/>
    <w:rsid w:val="00477992"/>
    <w:rsid w:val="00477C8F"/>
    <w:rsid w:val="00477D02"/>
    <w:rsid w:val="0048175B"/>
    <w:rsid w:val="0048241C"/>
    <w:rsid w:val="004827E1"/>
    <w:rsid w:val="00482CE5"/>
    <w:rsid w:val="004844F6"/>
    <w:rsid w:val="00484D02"/>
    <w:rsid w:val="00484E1F"/>
    <w:rsid w:val="00485FB5"/>
    <w:rsid w:val="004860DD"/>
    <w:rsid w:val="004864C9"/>
    <w:rsid w:val="0048665A"/>
    <w:rsid w:val="00486B60"/>
    <w:rsid w:val="00486C83"/>
    <w:rsid w:val="0048767B"/>
    <w:rsid w:val="00487799"/>
    <w:rsid w:val="00487BD1"/>
    <w:rsid w:val="004906A4"/>
    <w:rsid w:val="00490885"/>
    <w:rsid w:val="004918B9"/>
    <w:rsid w:val="004920DA"/>
    <w:rsid w:val="0049217D"/>
    <w:rsid w:val="00492AF0"/>
    <w:rsid w:val="00493137"/>
    <w:rsid w:val="00494185"/>
    <w:rsid w:val="00494523"/>
    <w:rsid w:val="0049458E"/>
    <w:rsid w:val="00494BE0"/>
    <w:rsid w:val="0049523D"/>
    <w:rsid w:val="00495C7B"/>
    <w:rsid w:val="0049644C"/>
    <w:rsid w:val="004966C4"/>
    <w:rsid w:val="004969A2"/>
    <w:rsid w:val="00496B71"/>
    <w:rsid w:val="00496DAA"/>
    <w:rsid w:val="0049721E"/>
    <w:rsid w:val="004A002A"/>
    <w:rsid w:val="004A0198"/>
    <w:rsid w:val="004A0996"/>
    <w:rsid w:val="004A0FB5"/>
    <w:rsid w:val="004A1EA9"/>
    <w:rsid w:val="004A3F00"/>
    <w:rsid w:val="004A4970"/>
    <w:rsid w:val="004A4EAE"/>
    <w:rsid w:val="004A6E6B"/>
    <w:rsid w:val="004A7FAD"/>
    <w:rsid w:val="004B0289"/>
    <w:rsid w:val="004B02D7"/>
    <w:rsid w:val="004B10D9"/>
    <w:rsid w:val="004B150C"/>
    <w:rsid w:val="004B25A1"/>
    <w:rsid w:val="004B34D0"/>
    <w:rsid w:val="004B5AAC"/>
    <w:rsid w:val="004B5F18"/>
    <w:rsid w:val="004B634B"/>
    <w:rsid w:val="004B65EA"/>
    <w:rsid w:val="004B6B36"/>
    <w:rsid w:val="004B7230"/>
    <w:rsid w:val="004B7B70"/>
    <w:rsid w:val="004B7FF1"/>
    <w:rsid w:val="004C059D"/>
    <w:rsid w:val="004C0CA0"/>
    <w:rsid w:val="004C0E25"/>
    <w:rsid w:val="004C1380"/>
    <w:rsid w:val="004C1EFD"/>
    <w:rsid w:val="004C237D"/>
    <w:rsid w:val="004C274F"/>
    <w:rsid w:val="004C37D1"/>
    <w:rsid w:val="004C3D13"/>
    <w:rsid w:val="004C3ED7"/>
    <w:rsid w:val="004C4577"/>
    <w:rsid w:val="004C4F9E"/>
    <w:rsid w:val="004C60E5"/>
    <w:rsid w:val="004C6612"/>
    <w:rsid w:val="004C686D"/>
    <w:rsid w:val="004C6E6D"/>
    <w:rsid w:val="004C7B35"/>
    <w:rsid w:val="004D064C"/>
    <w:rsid w:val="004D19EC"/>
    <w:rsid w:val="004D1D5A"/>
    <w:rsid w:val="004D2618"/>
    <w:rsid w:val="004D2777"/>
    <w:rsid w:val="004D294E"/>
    <w:rsid w:val="004D2A69"/>
    <w:rsid w:val="004D2B12"/>
    <w:rsid w:val="004D3FC8"/>
    <w:rsid w:val="004D468F"/>
    <w:rsid w:val="004D4906"/>
    <w:rsid w:val="004D49F4"/>
    <w:rsid w:val="004D4B54"/>
    <w:rsid w:val="004D4B9D"/>
    <w:rsid w:val="004D523E"/>
    <w:rsid w:val="004D5E61"/>
    <w:rsid w:val="004D6FFA"/>
    <w:rsid w:val="004D7917"/>
    <w:rsid w:val="004D795C"/>
    <w:rsid w:val="004D7E66"/>
    <w:rsid w:val="004E0CEF"/>
    <w:rsid w:val="004E0D0F"/>
    <w:rsid w:val="004E0E0D"/>
    <w:rsid w:val="004E0F20"/>
    <w:rsid w:val="004E0FD5"/>
    <w:rsid w:val="004E1EF3"/>
    <w:rsid w:val="004E20EE"/>
    <w:rsid w:val="004E2162"/>
    <w:rsid w:val="004E23FA"/>
    <w:rsid w:val="004E29CF"/>
    <w:rsid w:val="004E2E10"/>
    <w:rsid w:val="004E3179"/>
    <w:rsid w:val="004E377A"/>
    <w:rsid w:val="004E393F"/>
    <w:rsid w:val="004E3A90"/>
    <w:rsid w:val="004E4157"/>
    <w:rsid w:val="004E4E8F"/>
    <w:rsid w:val="004E7DFC"/>
    <w:rsid w:val="004F10A1"/>
    <w:rsid w:val="004F11E4"/>
    <w:rsid w:val="004F14FB"/>
    <w:rsid w:val="004F203D"/>
    <w:rsid w:val="004F219C"/>
    <w:rsid w:val="004F2910"/>
    <w:rsid w:val="004F2A2C"/>
    <w:rsid w:val="004F2C99"/>
    <w:rsid w:val="004F2D3D"/>
    <w:rsid w:val="004F37B6"/>
    <w:rsid w:val="004F4892"/>
    <w:rsid w:val="004F6369"/>
    <w:rsid w:val="004F63BB"/>
    <w:rsid w:val="004F692A"/>
    <w:rsid w:val="004F69A5"/>
    <w:rsid w:val="004F6E56"/>
    <w:rsid w:val="004F7118"/>
    <w:rsid w:val="004F7B85"/>
    <w:rsid w:val="00500151"/>
    <w:rsid w:val="0050061C"/>
    <w:rsid w:val="005006D9"/>
    <w:rsid w:val="00500D93"/>
    <w:rsid w:val="00501AB6"/>
    <w:rsid w:val="0050285E"/>
    <w:rsid w:val="00502B5C"/>
    <w:rsid w:val="00503636"/>
    <w:rsid w:val="00503A01"/>
    <w:rsid w:val="00503F7F"/>
    <w:rsid w:val="005040A3"/>
    <w:rsid w:val="00504622"/>
    <w:rsid w:val="0050567B"/>
    <w:rsid w:val="00505A2E"/>
    <w:rsid w:val="00506033"/>
    <w:rsid w:val="00506AC3"/>
    <w:rsid w:val="00506E99"/>
    <w:rsid w:val="005073A6"/>
    <w:rsid w:val="0051187E"/>
    <w:rsid w:val="0051290B"/>
    <w:rsid w:val="00512C20"/>
    <w:rsid w:val="005132D4"/>
    <w:rsid w:val="005133C8"/>
    <w:rsid w:val="005136FB"/>
    <w:rsid w:val="00514C7A"/>
    <w:rsid w:val="00514E43"/>
    <w:rsid w:val="00515CA1"/>
    <w:rsid w:val="00515FE3"/>
    <w:rsid w:val="00516387"/>
    <w:rsid w:val="005169B8"/>
    <w:rsid w:val="005174B2"/>
    <w:rsid w:val="00517866"/>
    <w:rsid w:val="00517B0F"/>
    <w:rsid w:val="00517C1E"/>
    <w:rsid w:val="0052057F"/>
    <w:rsid w:val="00520736"/>
    <w:rsid w:val="00522043"/>
    <w:rsid w:val="00522265"/>
    <w:rsid w:val="00522D60"/>
    <w:rsid w:val="0052375A"/>
    <w:rsid w:val="00523ACF"/>
    <w:rsid w:val="0052661D"/>
    <w:rsid w:val="00526FB8"/>
    <w:rsid w:val="0052723C"/>
    <w:rsid w:val="00527BF6"/>
    <w:rsid w:val="005303B3"/>
    <w:rsid w:val="00530DE2"/>
    <w:rsid w:val="00531BE6"/>
    <w:rsid w:val="00531F7A"/>
    <w:rsid w:val="005322D7"/>
    <w:rsid w:val="005328D3"/>
    <w:rsid w:val="00532ECD"/>
    <w:rsid w:val="00533889"/>
    <w:rsid w:val="00533ABB"/>
    <w:rsid w:val="0053429C"/>
    <w:rsid w:val="0053435E"/>
    <w:rsid w:val="0053473B"/>
    <w:rsid w:val="005353F1"/>
    <w:rsid w:val="005355E0"/>
    <w:rsid w:val="0053624F"/>
    <w:rsid w:val="005363CC"/>
    <w:rsid w:val="00536ADB"/>
    <w:rsid w:val="00536D2F"/>
    <w:rsid w:val="005371EA"/>
    <w:rsid w:val="00537453"/>
    <w:rsid w:val="005374A5"/>
    <w:rsid w:val="0054058D"/>
    <w:rsid w:val="005412D8"/>
    <w:rsid w:val="005417B8"/>
    <w:rsid w:val="005418EA"/>
    <w:rsid w:val="005419BE"/>
    <w:rsid w:val="00541B12"/>
    <w:rsid w:val="00541D3C"/>
    <w:rsid w:val="00541E3E"/>
    <w:rsid w:val="00542DB5"/>
    <w:rsid w:val="00542E88"/>
    <w:rsid w:val="00542FDF"/>
    <w:rsid w:val="00543734"/>
    <w:rsid w:val="00544169"/>
    <w:rsid w:val="00544722"/>
    <w:rsid w:val="0054508C"/>
    <w:rsid w:val="005454E8"/>
    <w:rsid w:val="0054576A"/>
    <w:rsid w:val="00546852"/>
    <w:rsid w:val="0055082F"/>
    <w:rsid w:val="0055094E"/>
    <w:rsid w:val="005519DD"/>
    <w:rsid w:val="005520DB"/>
    <w:rsid w:val="00552271"/>
    <w:rsid w:val="00552A74"/>
    <w:rsid w:val="0055326A"/>
    <w:rsid w:val="005542EC"/>
    <w:rsid w:val="005548AE"/>
    <w:rsid w:val="00554B83"/>
    <w:rsid w:val="00554F51"/>
    <w:rsid w:val="00555373"/>
    <w:rsid w:val="00555BBD"/>
    <w:rsid w:val="00555F52"/>
    <w:rsid w:val="00556A0D"/>
    <w:rsid w:val="00556F0A"/>
    <w:rsid w:val="00557709"/>
    <w:rsid w:val="0056072A"/>
    <w:rsid w:val="00561CE3"/>
    <w:rsid w:val="00561D33"/>
    <w:rsid w:val="00561D6F"/>
    <w:rsid w:val="00561E85"/>
    <w:rsid w:val="00561EC3"/>
    <w:rsid w:val="0056215A"/>
    <w:rsid w:val="00562899"/>
    <w:rsid w:val="005635A9"/>
    <w:rsid w:val="0056380E"/>
    <w:rsid w:val="00563CB6"/>
    <w:rsid w:val="00563FB5"/>
    <w:rsid w:val="0056438C"/>
    <w:rsid w:val="00564579"/>
    <w:rsid w:val="0056519E"/>
    <w:rsid w:val="00565983"/>
    <w:rsid w:val="0056631B"/>
    <w:rsid w:val="005666DB"/>
    <w:rsid w:val="00566B1D"/>
    <w:rsid w:val="00566ECE"/>
    <w:rsid w:val="005671ED"/>
    <w:rsid w:val="005672CA"/>
    <w:rsid w:val="005676B2"/>
    <w:rsid w:val="00567859"/>
    <w:rsid w:val="0057001F"/>
    <w:rsid w:val="00570B96"/>
    <w:rsid w:val="00571866"/>
    <w:rsid w:val="00571D5D"/>
    <w:rsid w:val="00572130"/>
    <w:rsid w:val="005724BB"/>
    <w:rsid w:val="00572A97"/>
    <w:rsid w:val="00572E81"/>
    <w:rsid w:val="005730A5"/>
    <w:rsid w:val="005731FD"/>
    <w:rsid w:val="00573300"/>
    <w:rsid w:val="005735BE"/>
    <w:rsid w:val="00573C41"/>
    <w:rsid w:val="00574C52"/>
    <w:rsid w:val="005759E9"/>
    <w:rsid w:val="0057670E"/>
    <w:rsid w:val="00576813"/>
    <w:rsid w:val="00576A6D"/>
    <w:rsid w:val="00581CA7"/>
    <w:rsid w:val="00581CC8"/>
    <w:rsid w:val="005825C5"/>
    <w:rsid w:val="00582673"/>
    <w:rsid w:val="00582757"/>
    <w:rsid w:val="00582E10"/>
    <w:rsid w:val="00583141"/>
    <w:rsid w:val="0058336C"/>
    <w:rsid w:val="00583F55"/>
    <w:rsid w:val="005854EC"/>
    <w:rsid w:val="0058553E"/>
    <w:rsid w:val="0058555C"/>
    <w:rsid w:val="005865E3"/>
    <w:rsid w:val="005901B2"/>
    <w:rsid w:val="005901EA"/>
    <w:rsid w:val="00590FA2"/>
    <w:rsid w:val="0059120D"/>
    <w:rsid w:val="005913AA"/>
    <w:rsid w:val="005913FA"/>
    <w:rsid w:val="00591CFE"/>
    <w:rsid w:val="0059384C"/>
    <w:rsid w:val="0059394E"/>
    <w:rsid w:val="00593E1B"/>
    <w:rsid w:val="00593F8F"/>
    <w:rsid w:val="00593FAD"/>
    <w:rsid w:val="00594DAB"/>
    <w:rsid w:val="00595325"/>
    <w:rsid w:val="005954AD"/>
    <w:rsid w:val="005958BB"/>
    <w:rsid w:val="00595D39"/>
    <w:rsid w:val="00596C8B"/>
    <w:rsid w:val="00596D80"/>
    <w:rsid w:val="0059762C"/>
    <w:rsid w:val="00597CDB"/>
    <w:rsid w:val="005A034B"/>
    <w:rsid w:val="005A0DF3"/>
    <w:rsid w:val="005A20F3"/>
    <w:rsid w:val="005A2A65"/>
    <w:rsid w:val="005A2FF5"/>
    <w:rsid w:val="005A302D"/>
    <w:rsid w:val="005A3BD1"/>
    <w:rsid w:val="005A419F"/>
    <w:rsid w:val="005A4268"/>
    <w:rsid w:val="005A44C2"/>
    <w:rsid w:val="005A5230"/>
    <w:rsid w:val="005A5A46"/>
    <w:rsid w:val="005A6900"/>
    <w:rsid w:val="005A6BEC"/>
    <w:rsid w:val="005A7980"/>
    <w:rsid w:val="005B08A2"/>
    <w:rsid w:val="005B0966"/>
    <w:rsid w:val="005B149D"/>
    <w:rsid w:val="005B1BC5"/>
    <w:rsid w:val="005B35E7"/>
    <w:rsid w:val="005B491E"/>
    <w:rsid w:val="005B5E58"/>
    <w:rsid w:val="005B6F67"/>
    <w:rsid w:val="005B713C"/>
    <w:rsid w:val="005C034D"/>
    <w:rsid w:val="005C05C1"/>
    <w:rsid w:val="005C1BA5"/>
    <w:rsid w:val="005C216C"/>
    <w:rsid w:val="005C2198"/>
    <w:rsid w:val="005C271C"/>
    <w:rsid w:val="005C2C8C"/>
    <w:rsid w:val="005C30D2"/>
    <w:rsid w:val="005C38E2"/>
    <w:rsid w:val="005C3A9D"/>
    <w:rsid w:val="005C4187"/>
    <w:rsid w:val="005C4224"/>
    <w:rsid w:val="005C4F38"/>
    <w:rsid w:val="005C50B0"/>
    <w:rsid w:val="005C596F"/>
    <w:rsid w:val="005C5B48"/>
    <w:rsid w:val="005C5F25"/>
    <w:rsid w:val="005C67DF"/>
    <w:rsid w:val="005C742C"/>
    <w:rsid w:val="005C74F6"/>
    <w:rsid w:val="005C7709"/>
    <w:rsid w:val="005C7F0B"/>
    <w:rsid w:val="005D17C2"/>
    <w:rsid w:val="005D1A2F"/>
    <w:rsid w:val="005D2F89"/>
    <w:rsid w:val="005D323C"/>
    <w:rsid w:val="005D39C5"/>
    <w:rsid w:val="005D4053"/>
    <w:rsid w:val="005D4155"/>
    <w:rsid w:val="005D4729"/>
    <w:rsid w:val="005D47F6"/>
    <w:rsid w:val="005D4D8F"/>
    <w:rsid w:val="005D4DBB"/>
    <w:rsid w:val="005D4DDE"/>
    <w:rsid w:val="005D546F"/>
    <w:rsid w:val="005D5BD4"/>
    <w:rsid w:val="005D5CA9"/>
    <w:rsid w:val="005D6098"/>
    <w:rsid w:val="005D6D4D"/>
    <w:rsid w:val="005D6F37"/>
    <w:rsid w:val="005D6F99"/>
    <w:rsid w:val="005D7F1F"/>
    <w:rsid w:val="005E03B6"/>
    <w:rsid w:val="005E0421"/>
    <w:rsid w:val="005E07E8"/>
    <w:rsid w:val="005E2455"/>
    <w:rsid w:val="005E3A85"/>
    <w:rsid w:val="005E40AB"/>
    <w:rsid w:val="005E4ADA"/>
    <w:rsid w:val="005E625E"/>
    <w:rsid w:val="005E6528"/>
    <w:rsid w:val="005E6EFB"/>
    <w:rsid w:val="005E798B"/>
    <w:rsid w:val="005F0423"/>
    <w:rsid w:val="005F10F3"/>
    <w:rsid w:val="005F1351"/>
    <w:rsid w:val="005F1C37"/>
    <w:rsid w:val="005F3327"/>
    <w:rsid w:val="005F3929"/>
    <w:rsid w:val="005F3A31"/>
    <w:rsid w:val="005F416A"/>
    <w:rsid w:val="005F44E2"/>
    <w:rsid w:val="005F4932"/>
    <w:rsid w:val="005F4E8C"/>
    <w:rsid w:val="005F5208"/>
    <w:rsid w:val="005F5A18"/>
    <w:rsid w:val="005F5AC9"/>
    <w:rsid w:val="005F77E7"/>
    <w:rsid w:val="005F7A08"/>
    <w:rsid w:val="0060012A"/>
    <w:rsid w:val="0060175A"/>
    <w:rsid w:val="00601C93"/>
    <w:rsid w:val="006023CE"/>
    <w:rsid w:val="0060291D"/>
    <w:rsid w:val="00603283"/>
    <w:rsid w:val="0060368B"/>
    <w:rsid w:val="00603979"/>
    <w:rsid w:val="00603BD3"/>
    <w:rsid w:val="0060584C"/>
    <w:rsid w:val="00606ABD"/>
    <w:rsid w:val="00606FF3"/>
    <w:rsid w:val="00607CB0"/>
    <w:rsid w:val="00610019"/>
    <w:rsid w:val="00610189"/>
    <w:rsid w:val="006104F3"/>
    <w:rsid w:val="0061115F"/>
    <w:rsid w:val="006118EE"/>
    <w:rsid w:val="00611D22"/>
    <w:rsid w:val="00612194"/>
    <w:rsid w:val="006122CE"/>
    <w:rsid w:val="006124DB"/>
    <w:rsid w:val="0061293B"/>
    <w:rsid w:val="006130AB"/>
    <w:rsid w:val="006136FD"/>
    <w:rsid w:val="00614A49"/>
    <w:rsid w:val="0061517C"/>
    <w:rsid w:val="00615DAC"/>
    <w:rsid w:val="00615EAC"/>
    <w:rsid w:val="0061643C"/>
    <w:rsid w:val="00616771"/>
    <w:rsid w:val="00617E85"/>
    <w:rsid w:val="00620554"/>
    <w:rsid w:val="00621499"/>
    <w:rsid w:val="006215B1"/>
    <w:rsid w:val="006230FD"/>
    <w:rsid w:val="00623E79"/>
    <w:rsid w:val="00624021"/>
    <w:rsid w:val="00624941"/>
    <w:rsid w:val="00625328"/>
    <w:rsid w:val="00625F2B"/>
    <w:rsid w:val="00627B6E"/>
    <w:rsid w:val="00630B27"/>
    <w:rsid w:val="00631B1F"/>
    <w:rsid w:val="00631E1A"/>
    <w:rsid w:val="0063327C"/>
    <w:rsid w:val="006334E8"/>
    <w:rsid w:val="00634889"/>
    <w:rsid w:val="006348B5"/>
    <w:rsid w:val="00634DEB"/>
    <w:rsid w:val="006351A6"/>
    <w:rsid w:val="006364B9"/>
    <w:rsid w:val="00636770"/>
    <w:rsid w:val="00636A1A"/>
    <w:rsid w:val="0063717A"/>
    <w:rsid w:val="00637D0F"/>
    <w:rsid w:val="00637F9E"/>
    <w:rsid w:val="0064178B"/>
    <w:rsid w:val="00641833"/>
    <w:rsid w:val="00641F39"/>
    <w:rsid w:val="00642245"/>
    <w:rsid w:val="00642687"/>
    <w:rsid w:val="00643370"/>
    <w:rsid w:val="00643538"/>
    <w:rsid w:val="0064370C"/>
    <w:rsid w:val="00643BB4"/>
    <w:rsid w:val="00643F8C"/>
    <w:rsid w:val="0064489E"/>
    <w:rsid w:val="00645177"/>
    <w:rsid w:val="0064562A"/>
    <w:rsid w:val="00647257"/>
    <w:rsid w:val="00647F23"/>
    <w:rsid w:val="00650334"/>
    <w:rsid w:val="00650371"/>
    <w:rsid w:val="00650804"/>
    <w:rsid w:val="0065111E"/>
    <w:rsid w:val="00651E41"/>
    <w:rsid w:val="006524A7"/>
    <w:rsid w:val="006528C4"/>
    <w:rsid w:val="00653EE2"/>
    <w:rsid w:val="006541C2"/>
    <w:rsid w:val="00655B10"/>
    <w:rsid w:val="0065605F"/>
    <w:rsid w:val="006601E0"/>
    <w:rsid w:val="006602B3"/>
    <w:rsid w:val="006603BB"/>
    <w:rsid w:val="00660642"/>
    <w:rsid w:val="00660A43"/>
    <w:rsid w:val="00660EBA"/>
    <w:rsid w:val="006614CC"/>
    <w:rsid w:val="00661E75"/>
    <w:rsid w:val="00663DA7"/>
    <w:rsid w:val="006648AA"/>
    <w:rsid w:val="006653C1"/>
    <w:rsid w:val="00666636"/>
    <w:rsid w:val="006667F6"/>
    <w:rsid w:val="006700EA"/>
    <w:rsid w:val="00670166"/>
    <w:rsid w:val="0067054B"/>
    <w:rsid w:val="006708FF"/>
    <w:rsid w:val="00670AEA"/>
    <w:rsid w:val="006718C2"/>
    <w:rsid w:val="00671DD1"/>
    <w:rsid w:val="00672484"/>
    <w:rsid w:val="006725BE"/>
    <w:rsid w:val="00674379"/>
    <w:rsid w:val="006746F9"/>
    <w:rsid w:val="00674BE1"/>
    <w:rsid w:val="00674BF2"/>
    <w:rsid w:val="00675B1B"/>
    <w:rsid w:val="00675CF5"/>
    <w:rsid w:val="006763E1"/>
    <w:rsid w:val="00676627"/>
    <w:rsid w:val="0067691A"/>
    <w:rsid w:val="00676B0E"/>
    <w:rsid w:val="00676FC7"/>
    <w:rsid w:val="0067713A"/>
    <w:rsid w:val="006773D0"/>
    <w:rsid w:val="006804DA"/>
    <w:rsid w:val="006806A4"/>
    <w:rsid w:val="00680AA2"/>
    <w:rsid w:val="00681492"/>
    <w:rsid w:val="00681A3F"/>
    <w:rsid w:val="00681B40"/>
    <w:rsid w:val="00682023"/>
    <w:rsid w:val="00682267"/>
    <w:rsid w:val="00682509"/>
    <w:rsid w:val="00682527"/>
    <w:rsid w:val="006828C7"/>
    <w:rsid w:val="00682AF3"/>
    <w:rsid w:val="006830FD"/>
    <w:rsid w:val="006837E3"/>
    <w:rsid w:val="00684148"/>
    <w:rsid w:val="006849AE"/>
    <w:rsid w:val="00684BAA"/>
    <w:rsid w:val="00684CAD"/>
    <w:rsid w:val="0068551B"/>
    <w:rsid w:val="00685FF1"/>
    <w:rsid w:val="00686A66"/>
    <w:rsid w:val="00686CA4"/>
    <w:rsid w:val="00686D7B"/>
    <w:rsid w:val="00687771"/>
    <w:rsid w:val="00691A5A"/>
    <w:rsid w:val="006921C6"/>
    <w:rsid w:val="00692346"/>
    <w:rsid w:val="00692839"/>
    <w:rsid w:val="00692EA1"/>
    <w:rsid w:val="006934BA"/>
    <w:rsid w:val="00693818"/>
    <w:rsid w:val="00693B40"/>
    <w:rsid w:val="00694995"/>
    <w:rsid w:val="00695339"/>
    <w:rsid w:val="00695D1A"/>
    <w:rsid w:val="00695F8B"/>
    <w:rsid w:val="00695FF0"/>
    <w:rsid w:val="006964A3"/>
    <w:rsid w:val="006967AD"/>
    <w:rsid w:val="006A0738"/>
    <w:rsid w:val="006A07FB"/>
    <w:rsid w:val="006A0CDB"/>
    <w:rsid w:val="006A1138"/>
    <w:rsid w:val="006A11F9"/>
    <w:rsid w:val="006A21EF"/>
    <w:rsid w:val="006A2A45"/>
    <w:rsid w:val="006A31FF"/>
    <w:rsid w:val="006A43F2"/>
    <w:rsid w:val="006A45BB"/>
    <w:rsid w:val="006A4D45"/>
    <w:rsid w:val="006A5721"/>
    <w:rsid w:val="006A62FA"/>
    <w:rsid w:val="006A6F05"/>
    <w:rsid w:val="006A76D2"/>
    <w:rsid w:val="006A7EE4"/>
    <w:rsid w:val="006B0444"/>
    <w:rsid w:val="006B0630"/>
    <w:rsid w:val="006B0AD0"/>
    <w:rsid w:val="006B0F92"/>
    <w:rsid w:val="006B147F"/>
    <w:rsid w:val="006B14E1"/>
    <w:rsid w:val="006B150E"/>
    <w:rsid w:val="006B1D57"/>
    <w:rsid w:val="006B225F"/>
    <w:rsid w:val="006B2317"/>
    <w:rsid w:val="006B2458"/>
    <w:rsid w:val="006B2502"/>
    <w:rsid w:val="006B2F84"/>
    <w:rsid w:val="006B3388"/>
    <w:rsid w:val="006B348E"/>
    <w:rsid w:val="006B4389"/>
    <w:rsid w:val="006B4623"/>
    <w:rsid w:val="006B4CF9"/>
    <w:rsid w:val="006B4DB1"/>
    <w:rsid w:val="006B50B7"/>
    <w:rsid w:val="006B51EB"/>
    <w:rsid w:val="006B538F"/>
    <w:rsid w:val="006B79DC"/>
    <w:rsid w:val="006C1513"/>
    <w:rsid w:val="006C171F"/>
    <w:rsid w:val="006C1BA2"/>
    <w:rsid w:val="006C23B9"/>
    <w:rsid w:val="006C28EA"/>
    <w:rsid w:val="006C39C5"/>
    <w:rsid w:val="006C4917"/>
    <w:rsid w:val="006C492A"/>
    <w:rsid w:val="006C4A4B"/>
    <w:rsid w:val="006C4FE1"/>
    <w:rsid w:val="006C56C7"/>
    <w:rsid w:val="006C5EA4"/>
    <w:rsid w:val="006C6425"/>
    <w:rsid w:val="006C6DB2"/>
    <w:rsid w:val="006C6F8B"/>
    <w:rsid w:val="006C73AF"/>
    <w:rsid w:val="006D0708"/>
    <w:rsid w:val="006D168A"/>
    <w:rsid w:val="006D2395"/>
    <w:rsid w:val="006D2F5B"/>
    <w:rsid w:val="006D34C8"/>
    <w:rsid w:val="006D385E"/>
    <w:rsid w:val="006D3EE8"/>
    <w:rsid w:val="006D4A12"/>
    <w:rsid w:val="006D4E4B"/>
    <w:rsid w:val="006D673F"/>
    <w:rsid w:val="006D6A0C"/>
    <w:rsid w:val="006D7220"/>
    <w:rsid w:val="006D7689"/>
    <w:rsid w:val="006D79FF"/>
    <w:rsid w:val="006E00A3"/>
    <w:rsid w:val="006E043A"/>
    <w:rsid w:val="006E183F"/>
    <w:rsid w:val="006E1A3C"/>
    <w:rsid w:val="006E201C"/>
    <w:rsid w:val="006E258C"/>
    <w:rsid w:val="006E2E2E"/>
    <w:rsid w:val="006E2F4B"/>
    <w:rsid w:val="006E4555"/>
    <w:rsid w:val="006E4CD7"/>
    <w:rsid w:val="006E5437"/>
    <w:rsid w:val="006E5B31"/>
    <w:rsid w:val="006E5C78"/>
    <w:rsid w:val="006E643B"/>
    <w:rsid w:val="006E6CD8"/>
    <w:rsid w:val="006E6D75"/>
    <w:rsid w:val="006E7AB7"/>
    <w:rsid w:val="006E7D5D"/>
    <w:rsid w:val="006F1359"/>
    <w:rsid w:val="006F13CA"/>
    <w:rsid w:val="006F2B06"/>
    <w:rsid w:val="006F2FF0"/>
    <w:rsid w:val="006F3808"/>
    <w:rsid w:val="006F4518"/>
    <w:rsid w:val="006F47DF"/>
    <w:rsid w:val="006F4A30"/>
    <w:rsid w:val="006F56E3"/>
    <w:rsid w:val="006F5964"/>
    <w:rsid w:val="006F6317"/>
    <w:rsid w:val="006F6986"/>
    <w:rsid w:val="006F6E2A"/>
    <w:rsid w:val="006F775F"/>
    <w:rsid w:val="00700036"/>
    <w:rsid w:val="00701258"/>
    <w:rsid w:val="00701DE3"/>
    <w:rsid w:val="00702F95"/>
    <w:rsid w:val="00703074"/>
    <w:rsid w:val="007032B4"/>
    <w:rsid w:val="0070364B"/>
    <w:rsid w:val="007043BD"/>
    <w:rsid w:val="0070445D"/>
    <w:rsid w:val="007049BA"/>
    <w:rsid w:val="00704DFA"/>
    <w:rsid w:val="00705EFC"/>
    <w:rsid w:val="00706854"/>
    <w:rsid w:val="00706BCB"/>
    <w:rsid w:val="00706D60"/>
    <w:rsid w:val="007078BE"/>
    <w:rsid w:val="0071058D"/>
    <w:rsid w:val="00710889"/>
    <w:rsid w:val="00710939"/>
    <w:rsid w:val="00710CF5"/>
    <w:rsid w:val="0071134A"/>
    <w:rsid w:val="00711392"/>
    <w:rsid w:val="00712382"/>
    <w:rsid w:val="00712535"/>
    <w:rsid w:val="00713077"/>
    <w:rsid w:val="00713416"/>
    <w:rsid w:val="00713721"/>
    <w:rsid w:val="00716A9C"/>
    <w:rsid w:val="00717B8C"/>
    <w:rsid w:val="00717E71"/>
    <w:rsid w:val="00720E60"/>
    <w:rsid w:val="007212C9"/>
    <w:rsid w:val="007218A3"/>
    <w:rsid w:val="00721C1B"/>
    <w:rsid w:val="00723079"/>
    <w:rsid w:val="00723848"/>
    <w:rsid w:val="007238A5"/>
    <w:rsid w:val="00725B24"/>
    <w:rsid w:val="00725F85"/>
    <w:rsid w:val="00726C74"/>
    <w:rsid w:val="007303A3"/>
    <w:rsid w:val="00730541"/>
    <w:rsid w:val="00730D48"/>
    <w:rsid w:val="007310D6"/>
    <w:rsid w:val="00731460"/>
    <w:rsid w:val="007324C8"/>
    <w:rsid w:val="00732D1A"/>
    <w:rsid w:val="00733022"/>
    <w:rsid w:val="00733446"/>
    <w:rsid w:val="0073346D"/>
    <w:rsid w:val="007337E9"/>
    <w:rsid w:val="007339F5"/>
    <w:rsid w:val="007341B1"/>
    <w:rsid w:val="00734AEF"/>
    <w:rsid w:val="00735197"/>
    <w:rsid w:val="007351FD"/>
    <w:rsid w:val="007354A1"/>
    <w:rsid w:val="00737B74"/>
    <w:rsid w:val="007400E1"/>
    <w:rsid w:val="0074010E"/>
    <w:rsid w:val="007404CA"/>
    <w:rsid w:val="00740624"/>
    <w:rsid w:val="00740D51"/>
    <w:rsid w:val="007421E0"/>
    <w:rsid w:val="0074235F"/>
    <w:rsid w:val="0074287A"/>
    <w:rsid w:val="007449B6"/>
    <w:rsid w:val="00744C1A"/>
    <w:rsid w:val="00745B19"/>
    <w:rsid w:val="00745E9D"/>
    <w:rsid w:val="00746DA9"/>
    <w:rsid w:val="007474D8"/>
    <w:rsid w:val="00747BAB"/>
    <w:rsid w:val="00747BBC"/>
    <w:rsid w:val="00747F02"/>
    <w:rsid w:val="00747FD4"/>
    <w:rsid w:val="0075061A"/>
    <w:rsid w:val="007507AC"/>
    <w:rsid w:val="00750CD4"/>
    <w:rsid w:val="007510ED"/>
    <w:rsid w:val="00751A70"/>
    <w:rsid w:val="0075271A"/>
    <w:rsid w:val="007531DD"/>
    <w:rsid w:val="00753234"/>
    <w:rsid w:val="00754ABB"/>
    <w:rsid w:val="00754D7C"/>
    <w:rsid w:val="00755463"/>
    <w:rsid w:val="0075614C"/>
    <w:rsid w:val="007572F0"/>
    <w:rsid w:val="00757974"/>
    <w:rsid w:val="00760B23"/>
    <w:rsid w:val="007611F0"/>
    <w:rsid w:val="007612F8"/>
    <w:rsid w:val="007614B3"/>
    <w:rsid w:val="00761A54"/>
    <w:rsid w:val="00762A53"/>
    <w:rsid w:val="007634AD"/>
    <w:rsid w:val="0076353D"/>
    <w:rsid w:val="00763AEE"/>
    <w:rsid w:val="007640CE"/>
    <w:rsid w:val="00764122"/>
    <w:rsid w:val="00764636"/>
    <w:rsid w:val="007654CA"/>
    <w:rsid w:val="007659D9"/>
    <w:rsid w:val="00765DA0"/>
    <w:rsid w:val="00765DDD"/>
    <w:rsid w:val="00766C4C"/>
    <w:rsid w:val="00766D45"/>
    <w:rsid w:val="00767D43"/>
    <w:rsid w:val="007703BF"/>
    <w:rsid w:val="0077041D"/>
    <w:rsid w:val="00770A37"/>
    <w:rsid w:val="00771246"/>
    <w:rsid w:val="007734BF"/>
    <w:rsid w:val="007745BC"/>
    <w:rsid w:val="00774A44"/>
    <w:rsid w:val="00774F13"/>
    <w:rsid w:val="00775304"/>
    <w:rsid w:val="007757EB"/>
    <w:rsid w:val="007762D2"/>
    <w:rsid w:val="007767ED"/>
    <w:rsid w:val="007768AC"/>
    <w:rsid w:val="00776AC8"/>
    <w:rsid w:val="007774C4"/>
    <w:rsid w:val="00777F89"/>
    <w:rsid w:val="007802DA"/>
    <w:rsid w:val="00780327"/>
    <w:rsid w:val="00780F18"/>
    <w:rsid w:val="00780FFF"/>
    <w:rsid w:val="007813F6"/>
    <w:rsid w:val="0078215E"/>
    <w:rsid w:val="0078241A"/>
    <w:rsid w:val="00782C45"/>
    <w:rsid w:val="0078328F"/>
    <w:rsid w:val="00783974"/>
    <w:rsid w:val="00784415"/>
    <w:rsid w:val="00785B6B"/>
    <w:rsid w:val="00786062"/>
    <w:rsid w:val="007863C0"/>
    <w:rsid w:val="007877C8"/>
    <w:rsid w:val="007878D2"/>
    <w:rsid w:val="00787B17"/>
    <w:rsid w:val="0079001A"/>
    <w:rsid w:val="00790DB1"/>
    <w:rsid w:val="00791639"/>
    <w:rsid w:val="0079226B"/>
    <w:rsid w:val="007934D8"/>
    <w:rsid w:val="0079366E"/>
    <w:rsid w:val="00793A35"/>
    <w:rsid w:val="00793A42"/>
    <w:rsid w:val="00793BA2"/>
    <w:rsid w:val="00793DC3"/>
    <w:rsid w:val="00795494"/>
    <w:rsid w:val="007954F1"/>
    <w:rsid w:val="00796085"/>
    <w:rsid w:val="00797182"/>
    <w:rsid w:val="0079752D"/>
    <w:rsid w:val="007A01F3"/>
    <w:rsid w:val="007A1440"/>
    <w:rsid w:val="007A16EF"/>
    <w:rsid w:val="007A1717"/>
    <w:rsid w:val="007A17B6"/>
    <w:rsid w:val="007A2725"/>
    <w:rsid w:val="007A2E9F"/>
    <w:rsid w:val="007A30F6"/>
    <w:rsid w:val="007A3608"/>
    <w:rsid w:val="007A3978"/>
    <w:rsid w:val="007A3FE3"/>
    <w:rsid w:val="007A49AA"/>
    <w:rsid w:val="007A6B8D"/>
    <w:rsid w:val="007A769D"/>
    <w:rsid w:val="007A796E"/>
    <w:rsid w:val="007B13DC"/>
    <w:rsid w:val="007B18DE"/>
    <w:rsid w:val="007B2775"/>
    <w:rsid w:val="007B3CE5"/>
    <w:rsid w:val="007B5E4A"/>
    <w:rsid w:val="007B5FAA"/>
    <w:rsid w:val="007B5FCF"/>
    <w:rsid w:val="007B6C0B"/>
    <w:rsid w:val="007B7436"/>
    <w:rsid w:val="007B7F9A"/>
    <w:rsid w:val="007C0258"/>
    <w:rsid w:val="007C094C"/>
    <w:rsid w:val="007C0E1F"/>
    <w:rsid w:val="007C1790"/>
    <w:rsid w:val="007C1C5B"/>
    <w:rsid w:val="007C2051"/>
    <w:rsid w:val="007C2B25"/>
    <w:rsid w:val="007C2B58"/>
    <w:rsid w:val="007C2DD4"/>
    <w:rsid w:val="007C403B"/>
    <w:rsid w:val="007C41C8"/>
    <w:rsid w:val="007C4962"/>
    <w:rsid w:val="007C59FE"/>
    <w:rsid w:val="007C5B2F"/>
    <w:rsid w:val="007C5D4D"/>
    <w:rsid w:val="007C5D8D"/>
    <w:rsid w:val="007C639C"/>
    <w:rsid w:val="007C67D4"/>
    <w:rsid w:val="007C69AE"/>
    <w:rsid w:val="007C6F75"/>
    <w:rsid w:val="007D02F0"/>
    <w:rsid w:val="007D0EE7"/>
    <w:rsid w:val="007D0F17"/>
    <w:rsid w:val="007D151E"/>
    <w:rsid w:val="007D1863"/>
    <w:rsid w:val="007D1B20"/>
    <w:rsid w:val="007D1C7F"/>
    <w:rsid w:val="007D1E87"/>
    <w:rsid w:val="007D2B16"/>
    <w:rsid w:val="007D3024"/>
    <w:rsid w:val="007D37DE"/>
    <w:rsid w:val="007D3D03"/>
    <w:rsid w:val="007D3EF4"/>
    <w:rsid w:val="007D4FCE"/>
    <w:rsid w:val="007D500A"/>
    <w:rsid w:val="007D5BC3"/>
    <w:rsid w:val="007D5C85"/>
    <w:rsid w:val="007D5D1C"/>
    <w:rsid w:val="007D5E1D"/>
    <w:rsid w:val="007D5F58"/>
    <w:rsid w:val="007D6385"/>
    <w:rsid w:val="007D6745"/>
    <w:rsid w:val="007D674D"/>
    <w:rsid w:val="007D6769"/>
    <w:rsid w:val="007D6BE6"/>
    <w:rsid w:val="007D7885"/>
    <w:rsid w:val="007D7954"/>
    <w:rsid w:val="007D7D99"/>
    <w:rsid w:val="007E0A72"/>
    <w:rsid w:val="007E110A"/>
    <w:rsid w:val="007E1210"/>
    <w:rsid w:val="007E1F15"/>
    <w:rsid w:val="007E2037"/>
    <w:rsid w:val="007E23C5"/>
    <w:rsid w:val="007E2D0B"/>
    <w:rsid w:val="007E2D42"/>
    <w:rsid w:val="007E3713"/>
    <w:rsid w:val="007E443C"/>
    <w:rsid w:val="007E4943"/>
    <w:rsid w:val="007E4A58"/>
    <w:rsid w:val="007E5280"/>
    <w:rsid w:val="007E549F"/>
    <w:rsid w:val="007E5516"/>
    <w:rsid w:val="007E58EC"/>
    <w:rsid w:val="007E5A68"/>
    <w:rsid w:val="007E5E5E"/>
    <w:rsid w:val="007E625A"/>
    <w:rsid w:val="007E7642"/>
    <w:rsid w:val="007E7880"/>
    <w:rsid w:val="007E7C72"/>
    <w:rsid w:val="007F0672"/>
    <w:rsid w:val="007F0688"/>
    <w:rsid w:val="007F0746"/>
    <w:rsid w:val="007F07C2"/>
    <w:rsid w:val="007F09F7"/>
    <w:rsid w:val="007F1303"/>
    <w:rsid w:val="007F1C73"/>
    <w:rsid w:val="007F1D4A"/>
    <w:rsid w:val="007F3134"/>
    <w:rsid w:val="007F348A"/>
    <w:rsid w:val="007F4006"/>
    <w:rsid w:val="007F408E"/>
    <w:rsid w:val="007F50FA"/>
    <w:rsid w:val="007F60E9"/>
    <w:rsid w:val="007F6A88"/>
    <w:rsid w:val="007F7976"/>
    <w:rsid w:val="007F7977"/>
    <w:rsid w:val="007F7BE3"/>
    <w:rsid w:val="00800248"/>
    <w:rsid w:val="00800396"/>
    <w:rsid w:val="008017BC"/>
    <w:rsid w:val="00801924"/>
    <w:rsid w:val="00801B31"/>
    <w:rsid w:val="008024FE"/>
    <w:rsid w:val="00802BB5"/>
    <w:rsid w:val="008032C3"/>
    <w:rsid w:val="0080584B"/>
    <w:rsid w:val="00805D2C"/>
    <w:rsid w:val="00805D3D"/>
    <w:rsid w:val="00806521"/>
    <w:rsid w:val="00806BAC"/>
    <w:rsid w:val="00807537"/>
    <w:rsid w:val="00807857"/>
    <w:rsid w:val="00810A34"/>
    <w:rsid w:val="0081162B"/>
    <w:rsid w:val="00811BB3"/>
    <w:rsid w:val="00811C30"/>
    <w:rsid w:val="00811ED5"/>
    <w:rsid w:val="008122A4"/>
    <w:rsid w:val="008125B2"/>
    <w:rsid w:val="008126A3"/>
    <w:rsid w:val="00812771"/>
    <w:rsid w:val="0081292A"/>
    <w:rsid w:val="00812F08"/>
    <w:rsid w:val="008144DC"/>
    <w:rsid w:val="0081462D"/>
    <w:rsid w:val="008147BE"/>
    <w:rsid w:val="00815665"/>
    <w:rsid w:val="00815DA0"/>
    <w:rsid w:val="00816A4E"/>
    <w:rsid w:val="00820064"/>
    <w:rsid w:val="008200CE"/>
    <w:rsid w:val="008201CC"/>
    <w:rsid w:val="00820B5E"/>
    <w:rsid w:val="00823DDA"/>
    <w:rsid w:val="00824204"/>
    <w:rsid w:val="00824850"/>
    <w:rsid w:val="0082576E"/>
    <w:rsid w:val="00826294"/>
    <w:rsid w:val="00826AC9"/>
    <w:rsid w:val="00830131"/>
    <w:rsid w:val="008304D7"/>
    <w:rsid w:val="00830E46"/>
    <w:rsid w:val="00831DFA"/>
    <w:rsid w:val="00832531"/>
    <w:rsid w:val="00832F01"/>
    <w:rsid w:val="008331C5"/>
    <w:rsid w:val="008337A7"/>
    <w:rsid w:val="00834220"/>
    <w:rsid w:val="00835DFD"/>
    <w:rsid w:val="00835E24"/>
    <w:rsid w:val="008362C9"/>
    <w:rsid w:val="008367D9"/>
    <w:rsid w:val="00836AD3"/>
    <w:rsid w:val="00836C3F"/>
    <w:rsid w:val="00837FDA"/>
    <w:rsid w:val="00840701"/>
    <w:rsid w:val="00840D4B"/>
    <w:rsid w:val="008423D5"/>
    <w:rsid w:val="008426AC"/>
    <w:rsid w:val="00842CCF"/>
    <w:rsid w:val="00843444"/>
    <w:rsid w:val="00843906"/>
    <w:rsid w:val="00843CC3"/>
    <w:rsid w:val="00843E91"/>
    <w:rsid w:val="008444CC"/>
    <w:rsid w:val="00845114"/>
    <w:rsid w:val="0084583E"/>
    <w:rsid w:val="00845CA5"/>
    <w:rsid w:val="00845E75"/>
    <w:rsid w:val="00846EA4"/>
    <w:rsid w:val="00846F69"/>
    <w:rsid w:val="008478C5"/>
    <w:rsid w:val="00850048"/>
    <w:rsid w:val="00850156"/>
    <w:rsid w:val="00850BC0"/>
    <w:rsid w:val="00851443"/>
    <w:rsid w:val="00851654"/>
    <w:rsid w:val="008530D0"/>
    <w:rsid w:val="00854404"/>
    <w:rsid w:val="008545A7"/>
    <w:rsid w:val="008560F4"/>
    <w:rsid w:val="008562CD"/>
    <w:rsid w:val="00856650"/>
    <w:rsid w:val="00856A0A"/>
    <w:rsid w:val="00857124"/>
    <w:rsid w:val="0085728A"/>
    <w:rsid w:val="008576C9"/>
    <w:rsid w:val="00857D8B"/>
    <w:rsid w:val="008601F3"/>
    <w:rsid w:val="008608C4"/>
    <w:rsid w:val="0086151A"/>
    <w:rsid w:val="00861EEB"/>
    <w:rsid w:val="00862352"/>
    <w:rsid w:val="00862475"/>
    <w:rsid w:val="008626D9"/>
    <w:rsid w:val="00862A45"/>
    <w:rsid w:val="00862A9D"/>
    <w:rsid w:val="00862C7B"/>
    <w:rsid w:val="0086311E"/>
    <w:rsid w:val="008631A1"/>
    <w:rsid w:val="00863214"/>
    <w:rsid w:val="0086322D"/>
    <w:rsid w:val="008642E1"/>
    <w:rsid w:val="008670FB"/>
    <w:rsid w:val="00870A95"/>
    <w:rsid w:val="00870C63"/>
    <w:rsid w:val="0087121F"/>
    <w:rsid w:val="008721B7"/>
    <w:rsid w:val="0087237B"/>
    <w:rsid w:val="008725C2"/>
    <w:rsid w:val="00873C61"/>
    <w:rsid w:val="008745CE"/>
    <w:rsid w:val="00874C42"/>
    <w:rsid w:val="00874F7E"/>
    <w:rsid w:val="00875C3D"/>
    <w:rsid w:val="00875D91"/>
    <w:rsid w:val="00876D8D"/>
    <w:rsid w:val="0087742D"/>
    <w:rsid w:val="00877C0A"/>
    <w:rsid w:val="00880974"/>
    <w:rsid w:val="00880C92"/>
    <w:rsid w:val="008820BB"/>
    <w:rsid w:val="0088228F"/>
    <w:rsid w:val="0088482A"/>
    <w:rsid w:val="00885653"/>
    <w:rsid w:val="008863C7"/>
    <w:rsid w:val="00886D7E"/>
    <w:rsid w:val="00887015"/>
    <w:rsid w:val="008870C0"/>
    <w:rsid w:val="008871B5"/>
    <w:rsid w:val="00887616"/>
    <w:rsid w:val="00887F4A"/>
    <w:rsid w:val="00890856"/>
    <w:rsid w:val="00890DB8"/>
    <w:rsid w:val="00891189"/>
    <w:rsid w:val="008913BD"/>
    <w:rsid w:val="00891516"/>
    <w:rsid w:val="00891688"/>
    <w:rsid w:val="00891989"/>
    <w:rsid w:val="00891EAF"/>
    <w:rsid w:val="008923F4"/>
    <w:rsid w:val="008927F6"/>
    <w:rsid w:val="00893C80"/>
    <w:rsid w:val="00893D19"/>
    <w:rsid w:val="00894E27"/>
    <w:rsid w:val="008951CE"/>
    <w:rsid w:val="008958C1"/>
    <w:rsid w:val="00896ECE"/>
    <w:rsid w:val="00897069"/>
    <w:rsid w:val="008971C5"/>
    <w:rsid w:val="00897AE3"/>
    <w:rsid w:val="00897E31"/>
    <w:rsid w:val="008A0259"/>
    <w:rsid w:val="008A0E1C"/>
    <w:rsid w:val="008A26A9"/>
    <w:rsid w:val="008A2AB7"/>
    <w:rsid w:val="008A3572"/>
    <w:rsid w:val="008A3B67"/>
    <w:rsid w:val="008A45D5"/>
    <w:rsid w:val="008A4820"/>
    <w:rsid w:val="008A4A13"/>
    <w:rsid w:val="008A4AA0"/>
    <w:rsid w:val="008A645C"/>
    <w:rsid w:val="008A6AEE"/>
    <w:rsid w:val="008A718F"/>
    <w:rsid w:val="008A7912"/>
    <w:rsid w:val="008A7E20"/>
    <w:rsid w:val="008B0833"/>
    <w:rsid w:val="008B0D23"/>
    <w:rsid w:val="008B116E"/>
    <w:rsid w:val="008B11F3"/>
    <w:rsid w:val="008B1B55"/>
    <w:rsid w:val="008B24A0"/>
    <w:rsid w:val="008B250A"/>
    <w:rsid w:val="008B272E"/>
    <w:rsid w:val="008B2A26"/>
    <w:rsid w:val="008B3BFB"/>
    <w:rsid w:val="008B3D96"/>
    <w:rsid w:val="008B413A"/>
    <w:rsid w:val="008B44EA"/>
    <w:rsid w:val="008B563D"/>
    <w:rsid w:val="008B5C95"/>
    <w:rsid w:val="008B6304"/>
    <w:rsid w:val="008B6A37"/>
    <w:rsid w:val="008B6B95"/>
    <w:rsid w:val="008B78F0"/>
    <w:rsid w:val="008B7BD5"/>
    <w:rsid w:val="008B7E01"/>
    <w:rsid w:val="008B7FB4"/>
    <w:rsid w:val="008C0229"/>
    <w:rsid w:val="008C0C5A"/>
    <w:rsid w:val="008C0E39"/>
    <w:rsid w:val="008C0E96"/>
    <w:rsid w:val="008C173B"/>
    <w:rsid w:val="008C1F10"/>
    <w:rsid w:val="008C2A42"/>
    <w:rsid w:val="008C2C59"/>
    <w:rsid w:val="008C317E"/>
    <w:rsid w:val="008C37CA"/>
    <w:rsid w:val="008C3889"/>
    <w:rsid w:val="008C40FF"/>
    <w:rsid w:val="008C43EE"/>
    <w:rsid w:val="008C4524"/>
    <w:rsid w:val="008C4EE0"/>
    <w:rsid w:val="008C5A46"/>
    <w:rsid w:val="008C6D64"/>
    <w:rsid w:val="008C6FBB"/>
    <w:rsid w:val="008C6FC1"/>
    <w:rsid w:val="008C79CE"/>
    <w:rsid w:val="008D06EB"/>
    <w:rsid w:val="008D0A98"/>
    <w:rsid w:val="008D20A9"/>
    <w:rsid w:val="008D247F"/>
    <w:rsid w:val="008D24B0"/>
    <w:rsid w:val="008D25AA"/>
    <w:rsid w:val="008D2D47"/>
    <w:rsid w:val="008D2EB3"/>
    <w:rsid w:val="008D46C1"/>
    <w:rsid w:val="008D497C"/>
    <w:rsid w:val="008D4BE7"/>
    <w:rsid w:val="008D50F7"/>
    <w:rsid w:val="008D59FA"/>
    <w:rsid w:val="008D5B9D"/>
    <w:rsid w:val="008D5DB6"/>
    <w:rsid w:val="008D6126"/>
    <w:rsid w:val="008D67B2"/>
    <w:rsid w:val="008D6A11"/>
    <w:rsid w:val="008D7154"/>
    <w:rsid w:val="008D7681"/>
    <w:rsid w:val="008D79A9"/>
    <w:rsid w:val="008D79EB"/>
    <w:rsid w:val="008E08BE"/>
    <w:rsid w:val="008E0F18"/>
    <w:rsid w:val="008E0F2F"/>
    <w:rsid w:val="008E12AE"/>
    <w:rsid w:val="008E1CD9"/>
    <w:rsid w:val="008E289A"/>
    <w:rsid w:val="008E2CFD"/>
    <w:rsid w:val="008E4122"/>
    <w:rsid w:val="008E4125"/>
    <w:rsid w:val="008E47E6"/>
    <w:rsid w:val="008E50B0"/>
    <w:rsid w:val="008E50E8"/>
    <w:rsid w:val="008E57D2"/>
    <w:rsid w:val="008E5DE1"/>
    <w:rsid w:val="008E63F5"/>
    <w:rsid w:val="008E6C94"/>
    <w:rsid w:val="008E7587"/>
    <w:rsid w:val="008E7B52"/>
    <w:rsid w:val="008F01CF"/>
    <w:rsid w:val="008F03F7"/>
    <w:rsid w:val="008F1C5B"/>
    <w:rsid w:val="008F226C"/>
    <w:rsid w:val="008F27E1"/>
    <w:rsid w:val="008F3ABB"/>
    <w:rsid w:val="008F3EC3"/>
    <w:rsid w:val="008F4E3D"/>
    <w:rsid w:val="008F5DC1"/>
    <w:rsid w:val="008F60CB"/>
    <w:rsid w:val="008F69A1"/>
    <w:rsid w:val="008F6A5D"/>
    <w:rsid w:val="008F6BE8"/>
    <w:rsid w:val="008F7366"/>
    <w:rsid w:val="00900FD7"/>
    <w:rsid w:val="009014A7"/>
    <w:rsid w:val="0090189D"/>
    <w:rsid w:val="00902009"/>
    <w:rsid w:val="00902114"/>
    <w:rsid w:val="00902749"/>
    <w:rsid w:val="0090319C"/>
    <w:rsid w:val="009031C4"/>
    <w:rsid w:val="00903D3F"/>
    <w:rsid w:val="00904027"/>
    <w:rsid w:val="00904112"/>
    <w:rsid w:val="009046EE"/>
    <w:rsid w:val="009051E2"/>
    <w:rsid w:val="009054C3"/>
    <w:rsid w:val="009070C6"/>
    <w:rsid w:val="00907317"/>
    <w:rsid w:val="00907A84"/>
    <w:rsid w:val="00907E2C"/>
    <w:rsid w:val="009103F9"/>
    <w:rsid w:val="00910928"/>
    <w:rsid w:val="00910EC2"/>
    <w:rsid w:val="00910FCC"/>
    <w:rsid w:val="0091132E"/>
    <w:rsid w:val="00911CA9"/>
    <w:rsid w:val="0091209A"/>
    <w:rsid w:val="00912943"/>
    <w:rsid w:val="00912965"/>
    <w:rsid w:val="00912ED8"/>
    <w:rsid w:val="009130BD"/>
    <w:rsid w:val="00913163"/>
    <w:rsid w:val="00913E30"/>
    <w:rsid w:val="00914017"/>
    <w:rsid w:val="0091419E"/>
    <w:rsid w:val="009145A6"/>
    <w:rsid w:val="00914641"/>
    <w:rsid w:val="009149E6"/>
    <w:rsid w:val="0091560D"/>
    <w:rsid w:val="00915819"/>
    <w:rsid w:val="00915A58"/>
    <w:rsid w:val="00915BBA"/>
    <w:rsid w:val="00916018"/>
    <w:rsid w:val="0091626E"/>
    <w:rsid w:val="00916C76"/>
    <w:rsid w:val="0091709F"/>
    <w:rsid w:val="009217A1"/>
    <w:rsid w:val="00923F45"/>
    <w:rsid w:val="00923FBA"/>
    <w:rsid w:val="00924FCD"/>
    <w:rsid w:val="00926AE5"/>
    <w:rsid w:val="00926B88"/>
    <w:rsid w:val="00927B40"/>
    <w:rsid w:val="00927E30"/>
    <w:rsid w:val="0093046E"/>
    <w:rsid w:val="009321A6"/>
    <w:rsid w:val="0093365C"/>
    <w:rsid w:val="00933A24"/>
    <w:rsid w:val="00933ECA"/>
    <w:rsid w:val="009346AE"/>
    <w:rsid w:val="009347F1"/>
    <w:rsid w:val="00935425"/>
    <w:rsid w:val="009373D9"/>
    <w:rsid w:val="00937C65"/>
    <w:rsid w:val="00937E58"/>
    <w:rsid w:val="00940835"/>
    <w:rsid w:val="00940F34"/>
    <w:rsid w:val="0094158F"/>
    <w:rsid w:val="00941A20"/>
    <w:rsid w:val="00941DD5"/>
    <w:rsid w:val="00942031"/>
    <w:rsid w:val="00942293"/>
    <w:rsid w:val="009422B2"/>
    <w:rsid w:val="009422EE"/>
    <w:rsid w:val="00942770"/>
    <w:rsid w:val="00942D53"/>
    <w:rsid w:val="00943072"/>
    <w:rsid w:val="009430AE"/>
    <w:rsid w:val="0094380A"/>
    <w:rsid w:val="00945326"/>
    <w:rsid w:val="0094552D"/>
    <w:rsid w:val="00945819"/>
    <w:rsid w:val="009468CF"/>
    <w:rsid w:val="0094720B"/>
    <w:rsid w:val="00947B52"/>
    <w:rsid w:val="009501D9"/>
    <w:rsid w:val="00950B85"/>
    <w:rsid w:val="00951795"/>
    <w:rsid w:val="00951EB2"/>
    <w:rsid w:val="0095260C"/>
    <w:rsid w:val="009526D8"/>
    <w:rsid w:val="00952C7C"/>
    <w:rsid w:val="00953B7B"/>
    <w:rsid w:val="009549B3"/>
    <w:rsid w:val="00955088"/>
    <w:rsid w:val="00955B38"/>
    <w:rsid w:val="00955D8A"/>
    <w:rsid w:val="00957140"/>
    <w:rsid w:val="00957706"/>
    <w:rsid w:val="00957E8A"/>
    <w:rsid w:val="00960E36"/>
    <w:rsid w:val="0096132A"/>
    <w:rsid w:val="00962035"/>
    <w:rsid w:val="009623DC"/>
    <w:rsid w:val="009625EA"/>
    <w:rsid w:val="0096299D"/>
    <w:rsid w:val="00962A31"/>
    <w:rsid w:val="00962AEA"/>
    <w:rsid w:val="00963190"/>
    <w:rsid w:val="0096400D"/>
    <w:rsid w:val="00964F66"/>
    <w:rsid w:val="009663CE"/>
    <w:rsid w:val="00966E0E"/>
    <w:rsid w:val="009674AD"/>
    <w:rsid w:val="0096751C"/>
    <w:rsid w:val="009703A8"/>
    <w:rsid w:val="00970B14"/>
    <w:rsid w:val="00970EEB"/>
    <w:rsid w:val="0097129C"/>
    <w:rsid w:val="00971328"/>
    <w:rsid w:val="00971698"/>
    <w:rsid w:val="00971B2E"/>
    <w:rsid w:val="009722A6"/>
    <w:rsid w:val="00972B9F"/>
    <w:rsid w:val="009753F7"/>
    <w:rsid w:val="009769AF"/>
    <w:rsid w:val="009776C5"/>
    <w:rsid w:val="00981A5B"/>
    <w:rsid w:val="00981FD9"/>
    <w:rsid w:val="00982271"/>
    <w:rsid w:val="00982A1B"/>
    <w:rsid w:val="0098444A"/>
    <w:rsid w:val="00984C9F"/>
    <w:rsid w:val="00984CC5"/>
    <w:rsid w:val="00984F20"/>
    <w:rsid w:val="00984FF2"/>
    <w:rsid w:val="0098509A"/>
    <w:rsid w:val="00985153"/>
    <w:rsid w:val="00986158"/>
    <w:rsid w:val="009865E2"/>
    <w:rsid w:val="009872D3"/>
    <w:rsid w:val="00987925"/>
    <w:rsid w:val="00987DA1"/>
    <w:rsid w:val="00990895"/>
    <w:rsid w:val="0099152B"/>
    <w:rsid w:val="00991728"/>
    <w:rsid w:val="00992143"/>
    <w:rsid w:val="009927FD"/>
    <w:rsid w:val="00992E5B"/>
    <w:rsid w:val="00992ED0"/>
    <w:rsid w:val="00992ED8"/>
    <w:rsid w:val="00994F4F"/>
    <w:rsid w:val="0099637E"/>
    <w:rsid w:val="00996B0C"/>
    <w:rsid w:val="00996D1A"/>
    <w:rsid w:val="009977C6"/>
    <w:rsid w:val="009A1690"/>
    <w:rsid w:val="009A1AC4"/>
    <w:rsid w:val="009A1DA0"/>
    <w:rsid w:val="009A35A4"/>
    <w:rsid w:val="009A428F"/>
    <w:rsid w:val="009A457D"/>
    <w:rsid w:val="009A4BA0"/>
    <w:rsid w:val="009A4E86"/>
    <w:rsid w:val="009A4FE1"/>
    <w:rsid w:val="009A52EA"/>
    <w:rsid w:val="009A5397"/>
    <w:rsid w:val="009A623A"/>
    <w:rsid w:val="009A734D"/>
    <w:rsid w:val="009A798B"/>
    <w:rsid w:val="009B03B0"/>
    <w:rsid w:val="009B0860"/>
    <w:rsid w:val="009B0BF2"/>
    <w:rsid w:val="009B0DC2"/>
    <w:rsid w:val="009B1DB3"/>
    <w:rsid w:val="009B2001"/>
    <w:rsid w:val="009B261E"/>
    <w:rsid w:val="009B2906"/>
    <w:rsid w:val="009B39A8"/>
    <w:rsid w:val="009B3CBA"/>
    <w:rsid w:val="009B439A"/>
    <w:rsid w:val="009B4F9B"/>
    <w:rsid w:val="009B6065"/>
    <w:rsid w:val="009B6707"/>
    <w:rsid w:val="009B734A"/>
    <w:rsid w:val="009B7C8F"/>
    <w:rsid w:val="009C06EA"/>
    <w:rsid w:val="009C087B"/>
    <w:rsid w:val="009C0929"/>
    <w:rsid w:val="009C0A82"/>
    <w:rsid w:val="009C0DFD"/>
    <w:rsid w:val="009C0E48"/>
    <w:rsid w:val="009C0EB4"/>
    <w:rsid w:val="009C1040"/>
    <w:rsid w:val="009C12AA"/>
    <w:rsid w:val="009C18C7"/>
    <w:rsid w:val="009C1B4A"/>
    <w:rsid w:val="009C2B92"/>
    <w:rsid w:val="009C3EFE"/>
    <w:rsid w:val="009C4BD6"/>
    <w:rsid w:val="009C4FB6"/>
    <w:rsid w:val="009C571C"/>
    <w:rsid w:val="009C587D"/>
    <w:rsid w:val="009C5E42"/>
    <w:rsid w:val="009C677F"/>
    <w:rsid w:val="009C67B1"/>
    <w:rsid w:val="009C6D73"/>
    <w:rsid w:val="009C7486"/>
    <w:rsid w:val="009D0A48"/>
    <w:rsid w:val="009D10E7"/>
    <w:rsid w:val="009D1886"/>
    <w:rsid w:val="009D1EBC"/>
    <w:rsid w:val="009D2A70"/>
    <w:rsid w:val="009D35F2"/>
    <w:rsid w:val="009D4064"/>
    <w:rsid w:val="009D4150"/>
    <w:rsid w:val="009D4673"/>
    <w:rsid w:val="009D4B5A"/>
    <w:rsid w:val="009D4D04"/>
    <w:rsid w:val="009D4E01"/>
    <w:rsid w:val="009D5A3E"/>
    <w:rsid w:val="009D65BC"/>
    <w:rsid w:val="009D6C42"/>
    <w:rsid w:val="009D6E5B"/>
    <w:rsid w:val="009D7230"/>
    <w:rsid w:val="009E0011"/>
    <w:rsid w:val="009E01B7"/>
    <w:rsid w:val="009E03E2"/>
    <w:rsid w:val="009E179F"/>
    <w:rsid w:val="009E1B1F"/>
    <w:rsid w:val="009E1DED"/>
    <w:rsid w:val="009E2A15"/>
    <w:rsid w:val="009E2D04"/>
    <w:rsid w:val="009E2ECD"/>
    <w:rsid w:val="009E3801"/>
    <w:rsid w:val="009E4E08"/>
    <w:rsid w:val="009E6F78"/>
    <w:rsid w:val="009E7004"/>
    <w:rsid w:val="009E7280"/>
    <w:rsid w:val="009E76DE"/>
    <w:rsid w:val="009F096E"/>
    <w:rsid w:val="009F0C21"/>
    <w:rsid w:val="009F102B"/>
    <w:rsid w:val="009F1120"/>
    <w:rsid w:val="009F2B3D"/>
    <w:rsid w:val="009F2FDF"/>
    <w:rsid w:val="009F344E"/>
    <w:rsid w:val="009F48F5"/>
    <w:rsid w:val="009F4C07"/>
    <w:rsid w:val="009F4DF5"/>
    <w:rsid w:val="009F4FDE"/>
    <w:rsid w:val="009F5A34"/>
    <w:rsid w:val="009F5AB7"/>
    <w:rsid w:val="009F6598"/>
    <w:rsid w:val="009F7DEE"/>
    <w:rsid w:val="009F7E33"/>
    <w:rsid w:val="00A00063"/>
    <w:rsid w:val="00A00851"/>
    <w:rsid w:val="00A00BFD"/>
    <w:rsid w:val="00A00CD0"/>
    <w:rsid w:val="00A0294A"/>
    <w:rsid w:val="00A02CF2"/>
    <w:rsid w:val="00A0398D"/>
    <w:rsid w:val="00A03E23"/>
    <w:rsid w:val="00A04337"/>
    <w:rsid w:val="00A04A08"/>
    <w:rsid w:val="00A05100"/>
    <w:rsid w:val="00A0555F"/>
    <w:rsid w:val="00A05E18"/>
    <w:rsid w:val="00A05E9B"/>
    <w:rsid w:val="00A06458"/>
    <w:rsid w:val="00A06B7A"/>
    <w:rsid w:val="00A06BDD"/>
    <w:rsid w:val="00A06D1C"/>
    <w:rsid w:val="00A06F26"/>
    <w:rsid w:val="00A0753B"/>
    <w:rsid w:val="00A07E18"/>
    <w:rsid w:val="00A10C6B"/>
    <w:rsid w:val="00A10EA3"/>
    <w:rsid w:val="00A112BB"/>
    <w:rsid w:val="00A12999"/>
    <w:rsid w:val="00A12BC5"/>
    <w:rsid w:val="00A12F21"/>
    <w:rsid w:val="00A139D0"/>
    <w:rsid w:val="00A13D7D"/>
    <w:rsid w:val="00A154E8"/>
    <w:rsid w:val="00A1573C"/>
    <w:rsid w:val="00A16EA7"/>
    <w:rsid w:val="00A16F34"/>
    <w:rsid w:val="00A16F72"/>
    <w:rsid w:val="00A2070E"/>
    <w:rsid w:val="00A212E9"/>
    <w:rsid w:val="00A21583"/>
    <w:rsid w:val="00A21B88"/>
    <w:rsid w:val="00A21E37"/>
    <w:rsid w:val="00A22272"/>
    <w:rsid w:val="00A22B03"/>
    <w:rsid w:val="00A22F6F"/>
    <w:rsid w:val="00A23DCA"/>
    <w:rsid w:val="00A2447B"/>
    <w:rsid w:val="00A24B5B"/>
    <w:rsid w:val="00A25062"/>
    <w:rsid w:val="00A25431"/>
    <w:rsid w:val="00A25CC9"/>
    <w:rsid w:val="00A27666"/>
    <w:rsid w:val="00A27AC8"/>
    <w:rsid w:val="00A3102D"/>
    <w:rsid w:val="00A31BE9"/>
    <w:rsid w:val="00A32200"/>
    <w:rsid w:val="00A32887"/>
    <w:rsid w:val="00A3288E"/>
    <w:rsid w:val="00A32DA2"/>
    <w:rsid w:val="00A32E90"/>
    <w:rsid w:val="00A33920"/>
    <w:rsid w:val="00A33ACF"/>
    <w:rsid w:val="00A348FB"/>
    <w:rsid w:val="00A35966"/>
    <w:rsid w:val="00A365FE"/>
    <w:rsid w:val="00A372A8"/>
    <w:rsid w:val="00A37841"/>
    <w:rsid w:val="00A37854"/>
    <w:rsid w:val="00A37BDA"/>
    <w:rsid w:val="00A4056A"/>
    <w:rsid w:val="00A40D13"/>
    <w:rsid w:val="00A40D25"/>
    <w:rsid w:val="00A41713"/>
    <w:rsid w:val="00A41EEA"/>
    <w:rsid w:val="00A41FC5"/>
    <w:rsid w:val="00A42182"/>
    <w:rsid w:val="00A42419"/>
    <w:rsid w:val="00A427D0"/>
    <w:rsid w:val="00A428AC"/>
    <w:rsid w:val="00A428D2"/>
    <w:rsid w:val="00A444E4"/>
    <w:rsid w:val="00A45232"/>
    <w:rsid w:val="00A45260"/>
    <w:rsid w:val="00A45482"/>
    <w:rsid w:val="00A45533"/>
    <w:rsid w:val="00A45671"/>
    <w:rsid w:val="00A4567C"/>
    <w:rsid w:val="00A45DD9"/>
    <w:rsid w:val="00A45F74"/>
    <w:rsid w:val="00A4698B"/>
    <w:rsid w:val="00A46E15"/>
    <w:rsid w:val="00A47F5C"/>
    <w:rsid w:val="00A50157"/>
    <w:rsid w:val="00A50FE7"/>
    <w:rsid w:val="00A513B0"/>
    <w:rsid w:val="00A51460"/>
    <w:rsid w:val="00A526C3"/>
    <w:rsid w:val="00A52956"/>
    <w:rsid w:val="00A535C3"/>
    <w:rsid w:val="00A53C36"/>
    <w:rsid w:val="00A540D3"/>
    <w:rsid w:val="00A54315"/>
    <w:rsid w:val="00A548D8"/>
    <w:rsid w:val="00A54B6A"/>
    <w:rsid w:val="00A55834"/>
    <w:rsid w:val="00A5628E"/>
    <w:rsid w:val="00A56D1C"/>
    <w:rsid w:val="00A57795"/>
    <w:rsid w:val="00A60CC9"/>
    <w:rsid w:val="00A60E71"/>
    <w:rsid w:val="00A61AD1"/>
    <w:rsid w:val="00A61BDD"/>
    <w:rsid w:val="00A623BD"/>
    <w:rsid w:val="00A624FB"/>
    <w:rsid w:val="00A63176"/>
    <w:rsid w:val="00A63C48"/>
    <w:rsid w:val="00A6565D"/>
    <w:rsid w:val="00A65EC7"/>
    <w:rsid w:val="00A67273"/>
    <w:rsid w:val="00A67ABE"/>
    <w:rsid w:val="00A70219"/>
    <w:rsid w:val="00A705A7"/>
    <w:rsid w:val="00A706B5"/>
    <w:rsid w:val="00A70F51"/>
    <w:rsid w:val="00A71099"/>
    <w:rsid w:val="00A71748"/>
    <w:rsid w:val="00A72DD9"/>
    <w:rsid w:val="00A7319D"/>
    <w:rsid w:val="00A74EA9"/>
    <w:rsid w:val="00A7534B"/>
    <w:rsid w:val="00A7553C"/>
    <w:rsid w:val="00A76979"/>
    <w:rsid w:val="00A769E7"/>
    <w:rsid w:val="00A76A9E"/>
    <w:rsid w:val="00A775B7"/>
    <w:rsid w:val="00A805C0"/>
    <w:rsid w:val="00A80662"/>
    <w:rsid w:val="00A80B42"/>
    <w:rsid w:val="00A827F5"/>
    <w:rsid w:val="00A82B44"/>
    <w:rsid w:val="00A82D42"/>
    <w:rsid w:val="00A83054"/>
    <w:rsid w:val="00A83820"/>
    <w:rsid w:val="00A84740"/>
    <w:rsid w:val="00A84827"/>
    <w:rsid w:val="00A84BEE"/>
    <w:rsid w:val="00A85247"/>
    <w:rsid w:val="00A85296"/>
    <w:rsid w:val="00A85C82"/>
    <w:rsid w:val="00A85D74"/>
    <w:rsid w:val="00A86ED7"/>
    <w:rsid w:val="00A87244"/>
    <w:rsid w:val="00A87471"/>
    <w:rsid w:val="00A874ED"/>
    <w:rsid w:val="00A875D7"/>
    <w:rsid w:val="00A90016"/>
    <w:rsid w:val="00A90BE8"/>
    <w:rsid w:val="00A90E22"/>
    <w:rsid w:val="00A916CA"/>
    <w:rsid w:val="00A91C39"/>
    <w:rsid w:val="00A92B42"/>
    <w:rsid w:val="00A92BC1"/>
    <w:rsid w:val="00A9361E"/>
    <w:rsid w:val="00A9383A"/>
    <w:rsid w:val="00A93909"/>
    <w:rsid w:val="00A93B3B"/>
    <w:rsid w:val="00A9588C"/>
    <w:rsid w:val="00A95AFC"/>
    <w:rsid w:val="00A95C75"/>
    <w:rsid w:val="00A95C92"/>
    <w:rsid w:val="00A95D52"/>
    <w:rsid w:val="00A964D4"/>
    <w:rsid w:val="00A96590"/>
    <w:rsid w:val="00A96805"/>
    <w:rsid w:val="00A9741A"/>
    <w:rsid w:val="00A97690"/>
    <w:rsid w:val="00A97FC5"/>
    <w:rsid w:val="00AA0654"/>
    <w:rsid w:val="00AA0A67"/>
    <w:rsid w:val="00AA0DF2"/>
    <w:rsid w:val="00AA1245"/>
    <w:rsid w:val="00AA1CA6"/>
    <w:rsid w:val="00AA3A33"/>
    <w:rsid w:val="00AA3D47"/>
    <w:rsid w:val="00AA55A9"/>
    <w:rsid w:val="00AA585D"/>
    <w:rsid w:val="00AA5B29"/>
    <w:rsid w:val="00AA632C"/>
    <w:rsid w:val="00AA75B9"/>
    <w:rsid w:val="00AB0492"/>
    <w:rsid w:val="00AB19A5"/>
    <w:rsid w:val="00AB21E0"/>
    <w:rsid w:val="00AB2489"/>
    <w:rsid w:val="00AB2743"/>
    <w:rsid w:val="00AB288D"/>
    <w:rsid w:val="00AB3E54"/>
    <w:rsid w:val="00AB45C1"/>
    <w:rsid w:val="00AB4988"/>
    <w:rsid w:val="00AB5207"/>
    <w:rsid w:val="00AB552D"/>
    <w:rsid w:val="00AB5F36"/>
    <w:rsid w:val="00AC09DE"/>
    <w:rsid w:val="00AC144B"/>
    <w:rsid w:val="00AC1CD0"/>
    <w:rsid w:val="00AC1FC7"/>
    <w:rsid w:val="00AC2212"/>
    <w:rsid w:val="00AC279A"/>
    <w:rsid w:val="00AC301D"/>
    <w:rsid w:val="00AC34C0"/>
    <w:rsid w:val="00AC387B"/>
    <w:rsid w:val="00AC4446"/>
    <w:rsid w:val="00AC59A6"/>
    <w:rsid w:val="00AC63DC"/>
    <w:rsid w:val="00AC7149"/>
    <w:rsid w:val="00AC79F2"/>
    <w:rsid w:val="00AC7CAB"/>
    <w:rsid w:val="00AC7D9F"/>
    <w:rsid w:val="00AD06B6"/>
    <w:rsid w:val="00AD105A"/>
    <w:rsid w:val="00AD1731"/>
    <w:rsid w:val="00AD1AF8"/>
    <w:rsid w:val="00AD25EB"/>
    <w:rsid w:val="00AD2625"/>
    <w:rsid w:val="00AD292B"/>
    <w:rsid w:val="00AD2981"/>
    <w:rsid w:val="00AD2BC3"/>
    <w:rsid w:val="00AD31A4"/>
    <w:rsid w:val="00AD38A0"/>
    <w:rsid w:val="00AD3D3F"/>
    <w:rsid w:val="00AD45BE"/>
    <w:rsid w:val="00AD476F"/>
    <w:rsid w:val="00AD4FF6"/>
    <w:rsid w:val="00AD5103"/>
    <w:rsid w:val="00AD52FC"/>
    <w:rsid w:val="00AD546A"/>
    <w:rsid w:val="00AD5521"/>
    <w:rsid w:val="00AD5978"/>
    <w:rsid w:val="00AD5CF4"/>
    <w:rsid w:val="00AD631D"/>
    <w:rsid w:val="00AD6620"/>
    <w:rsid w:val="00AD6A1C"/>
    <w:rsid w:val="00AE0731"/>
    <w:rsid w:val="00AE14CB"/>
    <w:rsid w:val="00AE26AC"/>
    <w:rsid w:val="00AE2D2D"/>
    <w:rsid w:val="00AE2E7B"/>
    <w:rsid w:val="00AE310D"/>
    <w:rsid w:val="00AE312C"/>
    <w:rsid w:val="00AE4226"/>
    <w:rsid w:val="00AE4681"/>
    <w:rsid w:val="00AE499D"/>
    <w:rsid w:val="00AE4D6F"/>
    <w:rsid w:val="00AE516A"/>
    <w:rsid w:val="00AE5F0B"/>
    <w:rsid w:val="00AE63DA"/>
    <w:rsid w:val="00AE6795"/>
    <w:rsid w:val="00AE6883"/>
    <w:rsid w:val="00AE6A24"/>
    <w:rsid w:val="00AE7A6F"/>
    <w:rsid w:val="00AE7FA2"/>
    <w:rsid w:val="00AF03B9"/>
    <w:rsid w:val="00AF0B9E"/>
    <w:rsid w:val="00AF102B"/>
    <w:rsid w:val="00AF1D5C"/>
    <w:rsid w:val="00AF219F"/>
    <w:rsid w:val="00AF2B72"/>
    <w:rsid w:val="00AF3098"/>
    <w:rsid w:val="00AF41AA"/>
    <w:rsid w:val="00AF4400"/>
    <w:rsid w:val="00AF44FE"/>
    <w:rsid w:val="00AF469F"/>
    <w:rsid w:val="00AF4A4C"/>
    <w:rsid w:val="00AF4AF0"/>
    <w:rsid w:val="00AF4E4D"/>
    <w:rsid w:val="00AF5A11"/>
    <w:rsid w:val="00AF7A4B"/>
    <w:rsid w:val="00AF7C37"/>
    <w:rsid w:val="00B000F8"/>
    <w:rsid w:val="00B00752"/>
    <w:rsid w:val="00B0124E"/>
    <w:rsid w:val="00B01D91"/>
    <w:rsid w:val="00B0286A"/>
    <w:rsid w:val="00B028A1"/>
    <w:rsid w:val="00B03435"/>
    <w:rsid w:val="00B03D45"/>
    <w:rsid w:val="00B042EA"/>
    <w:rsid w:val="00B0444F"/>
    <w:rsid w:val="00B04573"/>
    <w:rsid w:val="00B045EF"/>
    <w:rsid w:val="00B04CF0"/>
    <w:rsid w:val="00B04F07"/>
    <w:rsid w:val="00B04F2A"/>
    <w:rsid w:val="00B0512E"/>
    <w:rsid w:val="00B05AE9"/>
    <w:rsid w:val="00B05AF6"/>
    <w:rsid w:val="00B06162"/>
    <w:rsid w:val="00B0774F"/>
    <w:rsid w:val="00B07A27"/>
    <w:rsid w:val="00B07B27"/>
    <w:rsid w:val="00B10266"/>
    <w:rsid w:val="00B10F85"/>
    <w:rsid w:val="00B12369"/>
    <w:rsid w:val="00B123AE"/>
    <w:rsid w:val="00B13496"/>
    <w:rsid w:val="00B13C23"/>
    <w:rsid w:val="00B1652D"/>
    <w:rsid w:val="00B20A74"/>
    <w:rsid w:val="00B21E73"/>
    <w:rsid w:val="00B22051"/>
    <w:rsid w:val="00B221B7"/>
    <w:rsid w:val="00B221E7"/>
    <w:rsid w:val="00B225BA"/>
    <w:rsid w:val="00B2272B"/>
    <w:rsid w:val="00B2276C"/>
    <w:rsid w:val="00B23B19"/>
    <w:rsid w:val="00B24666"/>
    <w:rsid w:val="00B24A4B"/>
    <w:rsid w:val="00B252C8"/>
    <w:rsid w:val="00B2638E"/>
    <w:rsid w:val="00B26B53"/>
    <w:rsid w:val="00B2736F"/>
    <w:rsid w:val="00B27591"/>
    <w:rsid w:val="00B27949"/>
    <w:rsid w:val="00B30493"/>
    <w:rsid w:val="00B30CC9"/>
    <w:rsid w:val="00B30EC3"/>
    <w:rsid w:val="00B315E0"/>
    <w:rsid w:val="00B333DB"/>
    <w:rsid w:val="00B33BFC"/>
    <w:rsid w:val="00B34071"/>
    <w:rsid w:val="00B34E05"/>
    <w:rsid w:val="00B351F8"/>
    <w:rsid w:val="00B35C03"/>
    <w:rsid w:val="00B35CB5"/>
    <w:rsid w:val="00B36845"/>
    <w:rsid w:val="00B372DD"/>
    <w:rsid w:val="00B37CE6"/>
    <w:rsid w:val="00B40DD4"/>
    <w:rsid w:val="00B40FD9"/>
    <w:rsid w:val="00B42750"/>
    <w:rsid w:val="00B433AE"/>
    <w:rsid w:val="00B43EE3"/>
    <w:rsid w:val="00B45131"/>
    <w:rsid w:val="00B46D57"/>
    <w:rsid w:val="00B4789A"/>
    <w:rsid w:val="00B5048B"/>
    <w:rsid w:val="00B5107A"/>
    <w:rsid w:val="00B51222"/>
    <w:rsid w:val="00B51486"/>
    <w:rsid w:val="00B51697"/>
    <w:rsid w:val="00B51BCB"/>
    <w:rsid w:val="00B51D37"/>
    <w:rsid w:val="00B520EB"/>
    <w:rsid w:val="00B52606"/>
    <w:rsid w:val="00B530CA"/>
    <w:rsid w:val="00B54905"/>
    <w:rsid w:val="00B549F8"/>
    <w:rsid w:val="00B54EEA"/>
    <w:rsid w:val="00B55491"/>
    <w:rsid w:val="00B55949"/>
    <w:rsid w:val="00B55C07"/>
    <w:rsid w:val="00B566FE"/>
    <w:rsid w:val="00B5716C"/>
    <w:rsid w:val="00B57542"/>
    <w:rsid w:val="00B5767C"/>
    <w:rsid w:val="00B57A60"/>
    <w:rsid w:val="00B57AE6"/>
    <w:rsid w:val="00B60117"/>
    <w:rsid w:val="00B60B42"/>
    <w:rsid w:val="00B61004"/>
    <w:rsid w:val="00B6154E"/>
    <w:rsid w:val="00B61874"/>
    <w:rsid w:val="00B61C2A"/>
    <w:rsid w:val="00B626A5"/>
    <w:rsid w:val="00B63071"/>
    <w:rsid w:val="00B63084"/>
    <w:rsid w:val="00B64047"/>
    <w:rsid w:val="00B6503E"/>
    <w:rsid w:val="00B66301"/>
    <w:rsid w:val="00B666B7"/>
    <w:rsid w:val="00B66EBE"/>
    <w:rsid w:val="00B674BD"/>
    <w:rsid w:val="00B7047C"/>
    <w:rsid w:val="00B71F33"/>
    <w:rsid w:val="00B72538"/>
    <w:rsid w:val="00B731DB"/>
    <w:rsid w:val="00B737E4"/>
    <w:rsid w:val="00B73E6F"/>
    <w:rsid w:val="00B759EE"/>
    <w:rsid w:val="00B75CCF"/>
    <w:rsid w:val="00B760DA"/>
    <w:rsid w:val="00B76448"/>
    <w:rsid w:val="00B77C5B"/>
    <w:rsid w:val="00B809E6"/>
    <w:rsid w:val="00B80AA1"/>
    <w:rsid w:val="00B814C8"/>
    <w:rsid w:val="00B816F7"/>
    <w:rsid w:val="00B819D3"/>
    <w:rsid w:val="00B81C8B"/>
    <w:rsid w:val="00B829D9"/>
    <w:rsid w:val="00B84923"/>
    <w:rsid w:val="00B8558F"/>
    <w:rsid w:val="00B856DD"/>
    <w:rsid w:val="00B858A9"/>
    <w:rsid w:val="00B8591F"/>
    <w:rsid w:val="00B85DD1"/>
    <w:rsid w:val="00B86256"/>
    <w:rsid w:val="00B86454"/>
    <w:rsid w:val="00B86FBF"/>
    <w:rsid w:val="00B87A5C"/>
    <w:rsid w:val="00B87BD7"/>
    <w:rsid w:val="00B90078"/>
    <w:rsid w:val="00B905BC"/>
    <w:rsid w:val="00B90DAA"/>
    <w:rsid w:val="00B91060"/>
    <w:rsid w:val="00B918A7"/>
    <w:rsid w:val="00B91997"/>
    <w:rsid w:val="00B92F53"/>
    <w:rsid w:val="00B939B4"/>
    <w:rsid w:val="00B93E28"/>
    <w:rsid w:val="00B94350"/>
    <w:rsid w:val="00B946D1"/>
    <w:rsid w:val="00B94AF1"/>
    <w:rsid w:val="00B95A81"/>
    <w:rsid w:val="00B95BCC"/>
    <w:rsid w:val="00B9609A"/>
    <w:rsid w:val="00B96C85"/>
    <w:rsid w:val="00B96CCB"/>
    <w:rsid w:val="00B979B9"/>
    <w:rsid w:val="00BA00B4"/>
    <w:rsid w:val="00BA0E36"/>
    <w:rsid w:val="00BA0E41"/>
    <w:rsid w:val="00BA2220"/>
    <w:rsid w:val="00BA277C"/>
    <w:rsid w:val="00BA2EC4"/>
    <w:rsid w:val="00BA32D1"/>
    <w:rsid w:val="00BA3750"/>
    <w:rsid w:val="00BA3DE9"/>
    <w:rsid w:val="00BA4243"/>
    <w:rsid w:val="00BA465D"/>
    <w:rsid w:val="00BA5295"/>
    <w:rsid w:val="00BA53DC"/>
    <w:rsid w:val="00BA5E83"/>
    <w:rsid w:val="00BA611C"/>
    <w:rsid w:val="00BA7685"/>
    <w:rsid w:val="00BA7B61"/>
    <w:rsid w:val="00BB0B34"/>
    <w:rsid w:val="00BB2232"/>
    <w:rsid w:val="00BB2595"/>
    <w:rsid w:val="00BB34B5"/>
    <w:rsid w:val="00BB3625"/>
    <w:rsid w:val="00BB3E70"/>
    <w:rsid w:val="00BB4142"/>
    <w:rsid w:val="00BB47F5"/>
    <w:rsid w:val="00BB4A21"/>
    <w:rsid w:val="00BB4D37"/>
    <w:rsid w:val="00BB51E4"/>
    <w:rsid w:val="00BB5C7F"/>
    <w:rsid w:val="00BB5FF5"/>
    <w:rsid w:val="00BB609D"/>
    <w:rsid w:val="00BB61B8"/>
    <w:rsid w:val="00BB694C"/>
    <w:rsid w:val="00BB6ADA"/>
    <w:rsid w:val="00BB7733"/>
    <w:rsid w:val="00BC077A"/>
    <w:rsid w:val="00BC134A"/>
    <w:rsid w:val="00BC1B6F"/>
    <w:rsid w:val="00BC1F5B"/>
    <w:rsid w:val="00BC2C8A"/>
    <w:rsid w:val="00BC30C7"/>
    <w:rsid w:val="00BC49AF"/>
    <w:rsid w:val="00BC51D1"/>
    <w:rsid w:val="00BC5205"/>
    <w:rsid w:val="00BC5B35"/>
    <w:rsid w:val="00BC5E5A"/>
    <w:rsid w:val="00BC61B7"/>
    <w:rsid w:val="00BC6A98"/>
    <w:rsid w:val="00BC6D51"/>
    <w:rsid w:val="00BC767A"/>
    <w:rsid w:val="00BC7D0D"/>
    <w:rsid w:val="00BD040B"/>
    <w:rsid w:val="00BD0721"/>
    <w:rsid w:val="00BD0A52"/>
    <w:rsid w:val="00BD118F"/>
    <w:rsid w:val="00BD22E9"/>
    <w:rsid w:val="00BD2D96"/>
    <w:rsid w:val="00BD3490"/>
    <w:rsid w:val="00BD3697"/>
    <w:rsid w:val="00BD3B40"/>
    <w:rsid w:val="00BD402A"/>
    <w:rsid w:val="00BD434D"/>
    <w:rsid w:val="00BD455D"/>
    <w:rsid w:val="00BD5553"/>
    <w:rsid w:val="00BD6980"/>
    <w:rsid w:val="00BD6DFA"/>
    <w:rsid w:val="00BE065B"/>
    <w:rsid w:val="00BE119E"/>
    <w:rsid w:val="00BE1202"/>
    <w:rsid w:val="00BE18D0"/>
    <w:rsid w:val="00BE2B2C"/>
    <w:rsid w:val="00BE2B52"/>
    <w:rsid w:val="00BE31C0"/>
    <w:rsid w:val="00BE3D3C"/>
    <w:rsid w:val="00BE44F2"/>
    <w:rsid w:val="00BE4632"/>
    <w:rsid w:val="00BE48BB"/>
    <w:rsid w:val="00BE5126"/>
    <w:rsid w:val="00BE5A9B"/>
    <w:rsid w:val="00BE6CC2"/>
    <w:rsid w:val="00BE73BF"/>
    <w:rsid w:val="00BE76E8"/>
    <w:rsid w:val="00BF0BEA"/>
    <w:rsid w:val="00BF1062"/>
    <w:rsid w:val="00BF112A"/>
    <w:rsid w:val="00BF14E7"/>
    <w:rsid w:val="00BF2060"/>
    <w:rsid w:val="00BF22A6"/>
    <w:rsid w:val="00BF2FFB"/>
    <w:rsid w:val="00BF3282"/>
    <w:rsid w:val="00BF368E"/>
    <w:rsid w:val="00BF406D"/>
    <w:rsid w:val="00BF45FA"/>
    <w:rsid w:val="00BF488E"/>
    <w:rsid w:val="00BF48B6"/>
    <w:rsid w:val="00BF4FB1"/>
    <w:rsid w:val="00BF55EC"/>
    <w:rsid w:val="00BF5C35"/>
    <w:rsid w:val="00BF68E4"/>
    <w:rsid w:val="00BF6C0C"/>
    <w:rsid w:val="00BF7BEF"/>
    <w:rsid w:val="00BF7C40"/>
    <w:rsid w:val="00C000AD"/>
    <w:rsid w:val="00C000C0"/>
    <w:rsid w:val="00C0019E"/>
    <w:rsid w:val="00C00521"/>
    <w:rsid w:val="00C01B57"/>
    <w:rsid w:val="00C02267"/>
    <w:rsid w:val="00C02573"/>
    <w:rsid w:val="00C02832"/>
    <w:rsid w:val="00C0291C"/>
    <w:rsid w:val="00C03654"/>
    <w:rsid w:val="00C03957"/>
    <w:rsid w:val="00C03E47"/>
    <w:rsid w:val="00C045B6"/>
    <w:rsid w:val="00C05628"/>
    <w:rsid w:val="00C05A62"/>
    <w:rsid w:val="00C06C85"/>
    <w:rsid w:val="00C07575"/>
    <w:rsid w:val="00C1087A"/>
    <w:rsid w:val="00C119A5"/>
    <w:rsid w:val="00C11AF4"/>
    <w:rsid w:val="00C1360F"/>
    <w:rsid w:val="00C14764"/>
    <w:rsid w:val="00C14F70"/>
    <w:rsid w:val="00C15C63"/>
    <w:rsid w:val="00C1627D"/>
    <w:rsid w:val="00C17D16"/>
    <w:rsid w:val="00C203A9"/>
    <w:rsid w:val="00C20F80"/>
    <w:rsid w:val="00C21042"/>
    <w:rsid w:val="00C221FB"/>
    <w:rsid w:val="00C22B0B"/>
    <w:rsid w:val="00C23499"/>
    <w:rsid w:val="00C23DFD"/>
    <w:rsid w:val="00C24162"/>
    <w:rsid w:val="00C24D73"/>
    <w:rsid w:val="00C25EC8"/>
    <w:rsid w:val="00C25ECA"/>
    <w:rsid w:val="00C26AC5"/>
    <w:rsid w:val="00C27135"/>
    <w:rsid w:val="00C27770"/>
    <w:rsid w:val="00C27C19"/>
    <w:rsid w:val="00C315A9"/>
    <w:rsid w:val="00C31CF8"/>
    <w:rsid w:val="00C32AC0"/>
    <w:rsid w:val="00C32C13"/>
    <w:rsid w:val="00C34519"/>
    <w:rsid w:val="00C34A03"/>
    <w:rsid w:val="00C353A7"/>
    <w:rsid w:val="00C353AF"/>
    <w:rsid w:val="00C36321"/>
    <w:rsid w:val="00C3651B"/>
    <w:rsid w:val="00C36572"/>
    <w:rsid w:val="00C37612"/>
    <w:rsid w:val="00C37789"/>
    <w:rsid w:val="00C37CE6"/>
    <w:rsid w:val="00C37D79"/>
    <w:rsid w:val="00C37F1D"/>
    <w:rsid w:val="00C4083F"/>
    <w:rsid w:val="00C40C23"/>
    <w:rsid w:val="00C41A3F"/>
    <w:rsid w:val="00C41B8A"/>
    <w:rsid w:val="00C41F51"/>
    <w:rsid w:val="00C429A0"/>
    <w:rsid w:val="00C42FB7"/>
    <w:rsid w:val="00C43812"/>
    <w:rsid w:val="00C43953"/>
    <w:rsid w:val="00C44017"/>
    <w:rsid w:val="00C45392"/>
    <w:rsid w:val="00C4542C"/>
    <w:rsid w:val="00C457E1"/>
    <w:rsid w:val="00C4609E"/>
    <w:rsid w:val="00C46A0C"/>
    <w:rsid w:val="00C4701B"/>
    <w:rsid w:val="00C4705E"/>
    <w:rsid w:val="00C4716A"/>
    <w:rsid w:val="00C479E2"/>
    <w:rsid w:val="00C47FFB"/>
    <w:rsid w:val="00C502B5"/>
    <w:rsid w:val="00C50C8D"/>
    <w:rsid w:val="00C5139F"/>
    <w:rsid w:val="00C5281A"/>
    <w:rsid w:val="00C52CCB"/>
    <w:rsid w:val="00C52DDB"/>
    <w:rsid w:val="00C53240"/>
    <w:rsid w:val="00C53498"/>
    <w:rsid w:val="00C534F6"/>
    <w:rsid w:val="00C54127"/>
    <w:rsid w:val="00C5412D"/>
    <w:rsid w:val="00C54C3E"/>
    <w:rsid w:val="00C56CE0"/>
    <w:rsid w:val="00C60018"/>
    <w:rsid w:val="00C60F28"/>
    <w:rsid w:val="00C63BCD"/>
    <w:rsid w:val="00C6443F"/>
    <w:rsid w:val="00C64F19"/>
    <w:rsid w:val="00C65A4B"/>
    <w:rsid w:val="00C66B84"/>
    <w:rsid w:val="00C66B94"/>
    <w:rsid w:val="00C66F29"/>
    <w:rsid w:val="00C67351"/>
    <w:rsid w:val="00C70139"/>
    <w:rsid w:val="00C70875"/>
    <w:rsid w:val="00C70D2C"/>
    <w:rsid w:val="00C70F63"/>
    <w:rsid w:val="00C71EB7"/>
    <w:rsid w:val="00C727A5"/>
    <w:rsid w:val="00C73D9D"/>
    <w:rsid w:val="00C74002"/>
    <w:rsid w:val="00C748BF"/>
    <w:rsid w:val="00C74CA9"/>
    <w:rsid w:val="00C7507E"/>
    <w:rsid w:val="00C752E5"/>
    <w:rsid w:val="00C75768"/>
    <w:rsid w:val="00C76434"/>
    <w:rsid w:val="00C77A98"/>
    <w:rsid w:val="00C8113B"/>
    <w:rsid w:val="00C812A6"/>
    <w:rsid w:val="00C815EA"/>
    <w:rsid w:val="00C82004"/>
    <w:rsid w:val="00C82483"/>
    <w:rsid w:val="00C824E6"/>
    <w:rsid w:val="00C82609"/>
    <w:rsid w:val="00C82950"/>
    <w:rsid w:val="00C82D42"/>
    <w:rsid w:val="00C83215"/>
    <w:rsid w:val="00C833E6"/>
    <w:rsid w:val="00C8368E"/>
    <w:rsid w:val="00C83A5F"/>
    <w:rsid w:val="00C83C7F"/>
    <w:rsid w:val="00C841FF"/>
    <w:rsid w:val="00C84914"/>
    <w:rsid w:val="00C84BED"/>
    <w:rsid w:val="00C85647"/>
    <w:rsid w:val="00C8567D"/>
    <w:rsid w:val="00C85EF5"/>
    <w:rsid w:val="00C85F4A"/>
    <w:rsid w:val="00C8604F"/>
    <w:rsid w:val="00C866C9"/>
    <w:rsid w:val="00C90EAC"/>
    <w:rsid w:val="00C91047"/>
    <w:rsid w:val="00C914BE"/>
    <w:rsid w:val="00C91B15"/>
    <w:rsid w:val="00C91B4E"/>
    <w:rsid w:val="00C91E95"/>
    <w:rsid w:val="00C922BC"/>
    <w:rsid w:val="00C92DB5"/>
    <w:rsid w:val="00C93516"/>
    <w:rsid w:val="00C9370D"/>
    <w:rsid w:val="00C93B14"/>
    <w:rsid w:val="00C942B7"/>
    <w:rsid w:val="00C942C9"/>
    <w:rsid w:val="00C942D6"/>
    <w:rsid w:val="00C943C3"/>
    <w:rsid w:val="00C945E2"/>
    <w:rsid w:val="00C946C5"/>
    <w:rsid w:val="00C94C1D"/>
    <w:rsid w:val="00C94CF7"/>
    <w:rsid w:val="00C95065"/>
    <w:rsid w:val="00C9539E"/>
    <w:rsid w:val="00C95C36"/>
    <w:rsid w:val="00C95D78"/>
    <w:rsid w:val="00C96265"/>
    <w:rsid w:val="00C96DD7"/>
    <w:rsid w:val="00C96FA5"/>
    <w:rsid w:val="00C97171"/>
    <w:rsid w:val="00C97363"/>
    <w:rsid w:val="00CA03A9"/>
    <w:rsid w:val="00CA0583"/>
    <w:rsid w:val="00CA0E9E"/>
    <w:rsid w:val="00CA1A27"/>
    <w:rsid w:val="00CA2904"/>
    <w:rsid w:val="00CA2EB4"/>
    <w:rsid w:val="00CA3D80"/>
    <w:rsid w:val="00CA476C"/>
    <w:rsid w:val="00CA5014"/>
    <w:rsid w:val="00CA51B0"/>
    <w:rsid w:val="00CB0FFB"/>
    <w:rsid w:val="00CB13A5"/>
    <w:rsid w:val="00CB13B6"/>
    <w:rsid w:val="00CB2535"/>
    <w:rsid w:val="00CB29D0"/>
    <w:rsid w:val="00CB411A"/>
    <w:rsid w:val="00CB4947"/>
    <w:rsid w:val="00CB4D53"/>
    <w:rsid w:val="00CB55AE"/>
    <w:rsid w:val="00CB5931"/>
    <w:rsid w:val="00CB668C"/>
    <w:rsid w:val="00CB719F"/>
    <w:rsid w:val="00CB7ED5"/>
    <w:rsid w:val="00CC0953"/>
    <w:rsid w:val="00CC09B3"/>
    <w:rsid w:val="00CC15B8"/>
    <w:rsid w:val="00CC1902"/>
    <w:rsid w:val="00CC1E4D"/>
    <w:rsid w:val="00CC2165"/>
    <w:rsid w:val="00CC241F"/>
    <w:rsid w:val="00CC24B9"/>
    <w:rsid w:val="00CC2CC4"/>
    <w:rsid w:val="00CC36CB"/>
    <w:rsid w:val="00CC3F79"/>
    <w:rsid w:val="00CC4375"/>
    <w:rsid w:val="00CC58A1"/>
    <w:rsid w:val="00CC6243"/>
    <w:rsid w:val="00CC6872"/>
    <w:rsid w:val="00CC7BAA"/>
    <w:rsid w:val="00CD0336"/>
    <w:rsid w:val="00CD0CCF"/>
    <w:rsid w:val="00CD1D04"/>
    <w:rsid w:val="00CD201A"/>
    <w:rsid w:val="00CD2033"/>
    <w:rsid w:val="00CD3375"/>
    <w:rsid w:val="00CD358C"/>
    <w:rsid w:val="00CD39FB"/>
    <w:rsid w:val="00CD4CD2"/>
    <w:rsid w:val="00CD57DA"/>
    <w:rsid w:val="00CD5E51"/>
    <w:rsid w:val="00CD617D"/>
    <w:rsid w:val="00CD62B5"/>
    <w:rsid w:val="00CD7B90"/>
    <w:rsid w:val="00CE025C"/>
    <w:rsid w:val="00CE02F7"/>
    <w:rsid w:val="00CE09DE"/>
    <w:rsid w:val="00CE0F00"/>
    <w:rsid w:val="00CE1508"/>
    <w:rsid w:val="00CE16B1"/>
    <w:rsid w:val="00CE426F"/>
    <w:rsid w:val="00CE4ACD"/>
    <w:rsid w:val="00CE5082"/>
    <w:rsid w:val="00CE53D6"/>
    <w:rsid w:val="00CE636E"/>
    <w:rsid w:val="00CE686A"/>
    <w:rsid w:val="00CE73B3"/>
    <w:rsid w:val="00CF009F"/>
    <w:rsid w:val="00CF0101"/>
    <w:rsid w:val="00CF0172"/>
    <w:rsid w:val="00CF0FA7"/>
    <w:rsid w:val="00CF1065"/>
    <w:rsid w:val="00CF1228"/>
    <w:rsid w:val="00CF1BCF"/>
    <w:rsid w:val="00CF23F4"/>
    <w:rsid w:val="00CF2813"/>
    <w:rsid w:val="00CF2F3D"/>
    <w:rsid w:val="00CF3509"/>
    <w:rsid w:val="00CF3519"/>
    <w:rsid w:val="00CF4FA9"/>
    <w:rsid w:val="00CF6630"/>
    <w:rsid w:val="00CF6963"/>
    <w:rsid w:val="00CF7725"/>
    <w:rsid w:val="00D00915"/>
    <w:rsid w:val="00D00D1B"/>
    <w:rsid w:val="00D01870"/>
    <w:rsid w:val="00D01A8C"/>
    <w:rsid w:val="00D02438"/>
    <w:rsid w:val="00D02A97"/>
    <w:rsid w:val="00D02C3D"/>
    <w:rsid w:val="00D033A8"/>
    <w:rsid w:val="00D036F6"/>
    <w:rsid w:val="00D03AC9"/>
    <w:rsid w:val="00D03D53"/>
    <w:rsid w:val="00D03DCD"/>
    <w:rsid w:val="00D04B23"/>
    <w:rsid w:val="00D054A0"/>
    <w:rsid w:val="00D06078"/>
    <w:rsid w:val="00D0611D"/>
    <w:rsid w:val="00D063B1"/>
    <w:rsid w:val="00D06BDE"/>
    <w:rsid w:val="00D06F7F"/>
    <w:rsid w:val="00D07629"/>
    <w:rsid w:val="00D076D9"/>
    <w:rsid w:val="00D07859"/>
    <w:rsid w:val="00D07B39"/>
    <w:rsid w:val="00D07FBC"/>
    <w:rsid w:val="00D10103"/>
    <w:rsid w:val="00D11930"/>
    <w:rsid w:val="00D122E6"/>
    <w:rsid w:val="00D13EEB"/>
    <w:rsid w:val="00D151EA"/>
    <w:rsid w:val="00D15C05"/>
    <w:rsid w:val="00D15F0E"/>
    <w:rsid w:val="00D1603C"/>
    <w:rsid w:val="00D169C9"/>
    <w:rsid w:val="00D17207"/>
    <w:rsid w:val="00D1769F"/>
    <w:rsid w:val="00D179D2"/>
    <w:rsid w:val="00D17C54"/>
    <w:rsid w:val="00D17C5E"/>
    <w:rsid w:val="00D20714"/>
    <w:rsid w:val="00D20820"/>
    <w:rsid w:val="00D20F62"/>
    <w:rsid w:val="00D213F1"/>
    <w:rsid w:val="00D22339"/>
    <w:rsid w:val="00D22C05"/>
    <w:rsid w:val="00D23338"/>
    <w:rsid w:val="00D241F4"/>
    <w:rsid w:val="00D242BC"/>
    <w:rsid w:val="00D2440C"/>
    <w:rsid w:val="00D2488A"/>
    <w:rsid w:val="00D248A3"/>
    <w:rsid w:val="00D24AC2"/>
    <w:rsid w:val="00D2559F"/>
    <w:rsid w:val="00D260B4"/>
    <w:rsid w:val="00D304F5"/>
    <w:rsid w:val="00D31418"/>
    <w:rsid w:val="00D320CB"/>
    <w:rsid w:val="00D3266C"/>
    <w:rsid w:val="00D33339"/>
    <w:rsid w:val="00D34044"/>
    <w:rsid w:val="00D36118"/>
    <w:rsid w:val="00D36E77"/>
    <w:rsid w:val="00D36ECD"/>
    <w:rsid w:val="00D37319"/>
    <w:rsid w:val="00D37532"/>
    <w:rsid w:val="00D377F2"/>
    <w:rsid w:val="00D40870"/>
    <w:rsid w:val="00D408AA"/>
    <w:rsid w:val="00D410A8"/>
    <w:rsid w:val="00D41456"/>
    <w:rsid w:val="00D4169A"/>
    <w:rsid w:val="00D41823"/>
    <w:rsid w:val="00D4238E"/>
    <w:rsid w:val="00D42392"/>
    <w:rsid w:val="00D4380C"/>
    <w:rsid w:val="00D43AD4"/>
    <w:rsid w:val="00D44359"/>
    <w:rsid w:val="00D44743"/>
    <w:rsid w:val="00D44801"/>
    <w:rsid w:val="00D44C98"/>
    <w:rsid w:val="00D455AA"/>
    <w:rsid w:val="00D468D2"/>
    <w:rsid w:val="00D46AEA"/>
    <w:rsid w:val="00D46E7F"/>
    <w:rsid w:val="00D46FB4"/>
    <w:rsid w:val="00D4707C"/>
    <w:rsid w:val="00D4745D"/>
    <w:rsid w:val="00D4778B"/>
    <w:rsid w:val="00D47CA4"/>
    <w:rsid w:val="00D47F79"/>
    <w:rsid w:val="00D50B58"/>
    <w:rsid w:val="00D513F5"/>
    <w:rsid w:val="00D525C5"/>
    <w:rsid w:val="00D52910"/>
    <w:rsid w:val="00D544D9"/>
    <w:rsid w:val="00D556CB"/>
    <w:rsid w:val="00D563C9"/>
    <w:rsid w:val="00D564D8"/>
    <w:rsid w:val="00D56ACA"/>
    <w:rsid w:val="00D5775A"/>
    <w:rsid w:val="00D60B54"/>
    <w:rsid w:val="00D60E25"/>
    <w:rsid w:val="00D61A6A"/>
    <w:rsid w:val="00D62027"/>
    <w:rsid w:val="00D63090"/>
    <w:rsid w:val="00D63B7E"/>
    <w:rsid w:val="00D63BE0"/>
    <w:rsid w:val="00D63D28"/>
    <w:rsid w:val="00D63F89"/>
    <w:rsid w:val="00D63FC6"/>
    <w:rsid w:val="00D65054"/>
    <w:rsid w:val="00D655A1"/>
    <w:rsid w:val="00D658E2"/>
    <w:rsid w:val="00D65D26"/>
    <w:rsid w:val="00D6755D"/>
    <w:rsid w:val="00D717D4"/>
    <w:rsid w:val="00D722BC"/>
    <w:rsid w:val="00D72AEF"/>
    <w:rsid w:val="00D72FF8"/>
    <w:rsid w:val="00D73224"/>
    <w:rsid w:val="00D739CE"/>
    <w:rsid w:val="00D73B04"/>
    <w:rsid w:val="00D73CEB"/>
    <w:rsid w:val="00D743F6"/>
    <w:rsid w:val="00D744DD"/>
    <w:rsid w:val="00D74DCB"/>
    <w:rsid w:val="00D752F1"/>
    <w:rsid w:val="00D75C05"/>
    <w:rsid w:val="00D76060"/>
    <w:rsid w:val="00D76285"/>
    <w:rsid w:val="00D7647D"/>
    <w:rsid w:val="00D768C1"/>
    <w:rsid w:val="00D76E37"/>
    <w:rsid w:val="00D7767E"/>
    <w:rsid w:val="00D77DF0"/>
    <w:rsid w:val="00D80ECB"/>
    <w:rsid w:val="00D81303"/>
    <w:rsid w:val="00D81820"/>
    <w:rsid w:val="00D82137"/>
    <w:rsid w:val="00D82148"/>
    <w:rsid w:val="00D8408B"/>
    <w:rsid w:val="00D84A41"/>
    <w:rsid w:val="00D84A83"/>
    <w:rsid w:val="00D86945"/>
    <w:rsid w:val="00D86DD8"/>
    <w:rsid w:val="00D873DF"/>
    <w:rsid w:val="00D87898"/>
    <w:rsid w:val="00D90807"/>
    <w:rsid w:val="00D90A07"/>
    <w:rsid w:val="00D90D3B"/>
    <w:rsid w:val="00D91933"/>
    <w:rsid w:val="00D91B0C"/>
    <w:rsid w:val="00D91B31"/>
    <w:rsid w:val="00D91C6D"/>
    <w:rsid w:val="00D91D59"/>
    <w:rsid w:val="00D9314D"/>
    <w:rsid w:val="00D9328A"/>
    <w:rsid w:val="00D936A6"/>
    <w:rsid w:val="00D94886"/>
    <w:rsid w:val="00D949D2"/>
    <w:rsid w:val="00D94C6C"/>
    <w:rsid w:val="00D95A75"/>
    <w:rsid w:val="00D95B90"/>
    <w:rsid w:val="00D968F7"/>
    <w:rsid w:val="00D96CB4"/>
    <w:rsid w:val="00D96DBA"/>
    <w:rsid w:val="00D9746E"/>
    <w:rsid w:val="00D978A1"/>
    <w:rsid w:val="00D9797B"/>
    <w:rsid w:val="00D97A89"/>
    <w:rsid w:val="00DA28D6"/>
    <w:rsid w:val="00DA2BAA"/>
    <w:rsid w:val="00DA32CE"/>
    <w:rsid w:val="00DA386F"/>
    <w:rsid w:val="00DA477E"/>
    <w:rsid w:val="00DA5560"/>
    <w:rsid w:val="00DA6B56"/>
    <w:rsid w:val="00DA6E2A"/>
    <w:rsid w:val="00DA7CA4"/>
    <w:rsid w:val="00DB0509"/>
    <w:rsid w:val="00DB0517"/>
    <w:rsid w:val="00DB0941"/>
    <w:rsid w:val="00DB210A"/>
    <w:rsid w:val="00DB21CC"/>
    <w:rsid w:val="00DB2D06"/>
    <w:rsid w:val="00DB2E98"/>
    <w:rsid w:val="00DB4D5B"/>
    <w:rsid w:val="00DB502E"/>
    <w:rsid w:val="00DB551C"/>
    <w:rsid w:val="00DB58B5"/>
    <w:rsid w:val="00DB5F3E"/>
    <w:rsid w:val="00DB609B"/>
    <w:rsid w:val="00DB6A1E"/>
    <w:rsid w:val="00DB7F0A"/>
    <w:rsid w:val="00DC033B"/>
    <w:rsid w:val="00DC09A8"/>
    <w:rsid w:val="00DC0DEB"/>
    <w:rsid w:val="00DC0EF3"/>
    <w:rsid w:val="00DC142F"/>
    <w:rsid w:val="00DC1B2D"/>
    <w:rsid w:val="00DC285F"/>
    <w:rsid w:val="00DC46B3"/>
    <w:rsid w:val="00DC4A8A"/>
    <w:rsid w:val="00DC4DFE"/>
    <w:rsid w:val="00DC54F5"/>
    <w:rsid w:val="00DC5827"/>
    <w:rsid w:val="00DC5C11"/>
    <w:rsid w:val="00DC5F21"/>
    <w:rsid w:val="00DC67C5"/>
    <w:rsid w:val="00DC687E"/>
    <w:rsid w:val="00DC6DFB"/>
    <w:rsid w:val="00DC717B"/>
    <w:rsid w:val="00DD0845"/>
    <w:rsid w:val="00DD0ACA"/>
    <w:rsid w:val="00DD153A"/>
    <w:rsid w:val="00DD1945"/>
    <w:rsid w:val="00DD1FF1"/>
    <w:rsid w:val="00DD238A"/>
    <w:rsid w:val="00DD2719"/>
    <w:rsid w:val="00DD2E69"/>
    <w:rsid w:val="00DD3BEB"/>
    <w:rsid w:val="00DD4049"/>
    <w:rsid w:val="00DD41BD"/>
    <w:rsid w:val="00DD460D"/>
    <w:rsid w:val="00DD4790"/>
    <w:rsid w:val="00DD527C"/>
    <w:rsid w:val="00DD5498"/>
    <w:rsid w:val="00DD6396"/>
    <w:rsid w:val="00DD680B"/>
    <w:rsid w:val="00DD69F9"/>
    <w:rsid w:val="00DD6ABE"/>
    <w:rsid w:val="00DD6BE9"/>
    <w:rsid w:val="00DE0248"/>
    <w:rsid w:val="00DE03C9"/>
    <w:rsid w:val="00DE0870"/>
    <w:rsid w:val="00DE178F"/>
    <w:rsid w:val="00DE1BAD"/>
    <w:rsid w:val="00DE26CD"/>
    <w:rsid w:val="00DE3A14"/>
    <w:rsid w:val="00DE3A76"/>
    <w:rsid w:val="00DE412C"/>
    <w:rsid w:val="00DE513B"/>
    <w:rsid w:val="00DE56BF"/>
    <w:rsid w:val="00DE5B1D"/>
    <w:rsid w:val="00DE5E32"/>
    <w:rsid w:val="00DE607B"/>
    <w:rsid w:val="00DE6692"/>
    <w:rsid w:val="00DE7268"/>
    <w:rsid w:val="00DE7377"/>
    <w:rsid w:val="00DE74D1"/>
    <w:rsid w:val="00DE759C"/>
    <w:rsid w:val="00DE762C"/>
    <w:rsid w:val="00DF0055"/>
    <w:rsid w:val="00DF0573"/>
    <w:rsid w:val="00DF0A2D"/>
    <w:rsid w:val="00DF1801"/>
    <w:rsid w:val="00DF217D"/>
    <w:rsid w:val="00DF28C7"/>
    <w:rsid w:val="00DF306C"/>
    <w:rsid w:val="00DF31EF"/>
    <w:rsid w:val="00DF3A92"/>
    <w:rsid w:val="00DF3DFA"/>
    <w:rsid w:val="00DF4855"/>
    <w:rsid w:val="00DF4A07"/>
    <w:rsid w:val="00DF4D1C"/>
    <w:rsid w:val="00DF4E41"/>
    <w:rsid w:val="00DF528C"/>
    <w:rsid w:val="00DF5930"/>
    <w:rsid w:val="00DF5B6B"/>
    <w:rsid w:val="00DF6464"/>
    <w:rsid w:val="00DF6769"/>
    <w:rsid w:val="00DF679D"/>
    <w:rsid w:val="00DF6B86"/>
    <w:rsid w:val="00DF6C54"/>
    <w:rsid w:val="00DF6D7C"/>
    <w:rsid w:val="00DF73B9"/>
    <w:rsid w:val="00DF778F"/>
    <w:rsid w:val="00E00129"/>
    <w:rsid w:val="00E00A18"/>
    <w:rsid w:val="00E02640"/>
    <w:rsid w:val="00E02C38"/>
    <w:rsid w:val="00E03207"/>
    <w:rsid w:val="00E03357"/>
    <w:rsid w:val="00E0401C"/>
    <w:rsid w:val="00E040CC"/>
    <w:rsid w:val="00E04432"/>
    <w:rsid w:val="00E05602"/>
    <w:rsid w:val="00E05C4C"/>
    <w:rsid w:val="00E061BC"/>
    <w:rsid w:val="00E06D19"/>
    <w:rsid w:val="00E07019"/>
    <w:rsid w:val="00E1129E"/>
    <w:rsid w:val="00E11B28"/>
    <w:rsid w:val="00E123DF"/>
    <w:rsid w:val="00E12958"/>
    <w:rsid w:val="00E1341C"/>
    <w:rsid w:val="00E141AD"/>
    <w:rsid w:val="00E142AB"/>
    <w:rsid w:val="00E143D1"/>
    <w:rsid w:val="00E143FA"/>
    <w:rsid w:val="00E147AC"/>
    <w:rsid w:val="00E14AFD"/>
    <w:rsid w:val="00E1506B"/>
    <w:rsid w:val="00E1579B"/>
    <w:rsid w:val="00E16FC2"/>
    <w:rsid w:val="00E17CE8"/>
    <w:rsid w:val="00E17F98"/>
    <w:rsid w:val="00E20012"/>
    <w:rsid w:val="00E20170"/>
    <w:rsid w:val="00E20BC6"/>
    <w:rsid w:val="00E216B9"/>
    <w:rsid w:val="00E21CA3"/>
    <w:rsid w:val="00E220B8"/>
    <w:rsid w:val="00E225C1"/>
    <w:rsid w:val="00E22BC3"/>
    <w:rsid w:val="00E22FC8"/>
    <w:rsid w:val="00E230F6"/>
    <w:rsid w:val="00E25D6A"/>
    <w:rsid w:val="00E25EA2"/>
    <w:rsid w:val="00E26535"/>
    <w:rsid w:val="00E270F6"/>
    <w:rsid w:val="00E30D86"/>
    <w:rsid w:val="00E30D8B"/>
    <w:rsid w:val="00E31D01"/>
    <w:rsid w:val="00E31D47"/>
    <w:rsid w:val="00E31F49"/>
    <w:rsid w:val="00E32EE2"/>
    <w:rsid w:val="00E333E6"/>
    <w:rsid w:val="00E33801"/>
    <w:rsid w:val="00E338C9"/>
    <w:rsid w:val="00E33A55"/>
    <w:rsid w:val="00E33EB2"/>
    <w:rsid w:val="00E33EDC"/>
    <w:rsid w:val="00E341D3"/>
    <w:rsid w:val="00E35CFE"/>
    <w:rsid w:val="00E35DA6"/>
    <w:rsid w:val="00E35F25"/>
    <w:rsid w:val="00E3673D"/>
    <w:rsid w:val="00E36B12"/>
    <w:rsid w:val="00E36FB2"/>
    <w:rsid w:val="00E36FBD"/>
    <w:rsid w:val="00E37C79"/>
    <w:rsid w:val="00E37D7B"/>
    <w:rsid w:val="00E37E29"/>
    <w:rsid w:val="00E37E84"/>
    <w:rsid w:val="00E401AB"/>
    <w:rsid w:val="00E42494"/>
    <w:rsid w:val="00E428C9"/>
    <w:rsid w:val="00E4291F"/>
    <w:rsid w:val="00E43027"/>
    <w:rsid w:val="00E43740"/>
    <w:rsid w:val="00E439F0"/>
    <w:rsid w:val="00E44274"/>
    <w:rsid w:val="00E44737"/>
    <w:rsid w:val="00E448FB"/>
    <w:rsid w:val="00E454B5"/>
    <w:rsid w:val="00E4556E"/>
    <w:rsid w:val="00E45A04"/>
    <w:rsid w:val="00E460B8"/>
    <w:rsid w:val="00E4694D"/>
    <w:rsid w:val="00E469BC"/>
    <w:rsid w:val="00E46C3E"/>
    <w:rsid w:val="00E47232"/>
    <w:rsid w:val="00E47260"/>
    <w:rsid w:val="00E47C5E"/>
    <w:rsid w:val="00E50225"/>
    <w:rsid w:val="00E5059D"/>
    <w:rsid w:val="00E507BF"/>
    <w:rsid w:val="00E51EDA"/>
    <w:rsid w:val="00E52DBD"/>
    <w:rsid w:val="00E52F92"/>
    <w:rsid w:val="00E53545"/>
    <w:rsid w:val="00E541D6"/>
    <w:rsid w:val="00E5492D"/>
    <w:rsid w:val="00E54C08"/>
    <w:rsid w:val="00E5518C"/>
    <w:rsid w:val="00E5597A"/>
    <w:rsid w:val="00E55B1C"/>
    <w:rsid w:val="00E56187"/>
    <w:rsid w:val="00E569B9"/>
    <w:rsid w:val="00E6016B"/>
    <w:rsid w:val="00E60773"/>
    <w:rsid w:val="00E609F5"/>
    <w:rsid w:val="00E60A5A"/>
    <w:rsid w:val="00E61CC7"/>
    <w:rsid w:val="00E62425"/>
    <w:rsid w:val="00E62D7E"/>
    <w:rsid w:val="00E63941"/>
    <w:rsid w:val="00E64404"/>
    <w:rsid w:val="00E65097"/>
    <w:rsid w:val="00E65306"/>
    <w:rsid w:val="00E666C5"/>
    <w:rsid w:val="00E66E0A"/>
    <w:rsid w:val="00E67722"/>
    <w:rsid w:val="00E67F29"/>
    <w:rsid w:val="00E70DDB"/>
    <w:rsid w:val="00E71100"/>
    <w:rsid w:val="00E71D1B"/>
    <w:rsid w:val="00E72A0E"/>
    <w:rsid w:val="00E72E91"/>
    <w:rsid w:val="00E73F41"/>
    <w:rsid w:val="00E752E7"/>
    <w:rsid w:val="00E75669"/>
    <w:rsid w:val="00E756F3"/>
    <w:rsid w:val="00E75B27"/>
    <w:rsid w:val="00E765AF"/>
    <w:rsid w:val="00E767D6"/>
    <w:rsid w:val="00E76F75"/>
    <w:rsid w:val="00E775D0"/>
    <w:rsid w:val="00E80220"/>
    <w:rsid w:val="00E80635"/>
    <w:rsid w:val="00E80EB6"/>
    <w:rsid w:val="00E82C90"/>
    <w:rsid w:val="00E83008"/>
    <w:rsid w:val="00E8352E"/>
    <w:rsid w:val="00E838F0"/>
    <w:rsid w:val="00E83DCF"/>
    <w:rsid w:val="00E83EDE"/>
    <w:rsid w:val="00E83F14"/>
    <w:rsid w:val="00E84186"/>
    <w:rsid w:val="00E845D6"/>
    <w:rsid w:val="00E8497D"/>
    <w:rsid w:val="00E84CA4"/>
    <w:rsid w:val="00E853DA"/>
    <w:rsid w:val="00E85416"/>
    <w:rsid w:val="00E8545E"/>
    <w:rsid w:val="00E85722"/>
    <w:rsid w:val="00E85734"/>
    <w:rsid w:val="00E85C37"/>
    <w:rsid w:val="00E86D8C"/>
    <w:rsid w:val="00E8745C"/>
    <w:rsid w:val="00E90D7A"/>
    <w:rsid w:val="00E90DDE"/>
    <w:rsid w:val="00E91B43"/>
    <w:rsid w:val="00E91BC4"/>
    <w:rsid w:val="00E91EA5"/>
    <w:rsid w:val="00E92133"/>
    <w:rsid w:val="00E926B0"/>
    <w:rsid w:val="00E92A9E"/>
    <w:rsid w:val="00E93C2C"/>
    <w:rsid w:val="00E9479C"/>
    <w:rsid w:val="00E947B5"/>
    <w:rsid w:val="00E95535"/>
    <w:rsid w:val="00E9573A"/>
    <w:rsid w:val="00E95F67"/>
    <w:rsid w:val="00E96083"/>
    <w:rsid w:val="00E9649A"/>
    <w:rsid w:val="00E96F52"/>
    <w:rsid w:val="00E97555"/>
    <w:rsid w:val="00EA043A"/>
    <w:rsid w:val="00EA0595"/>
    <w:rsid w:val="00EA07A6"/>
    <w:rsid w:val="00EA10C8"/>
    <w:rsid w:val="00EA1956"/>
    <w:rsid w:val="00EA26FB"/>
    <w:rsid w:val="00EA287E"/>
    <w:rsid w:val="00EA29CD"/>
    <w:rsid w:val="00EA4054"/>
    <w:rsid w:val="00EA5A5F"/>
    <w:rsid w:val="00EA5B10"/>
    <w:rsid w:val="00EA6217"/>
    <w:rsid w:val="00EA6508"/>
    <w:rsid w:val="00EA6DCE"/>
    <w:rsid w:val="00EA7EE9"/>
    <w:rsid w:val="00EB10F4"/>
    <w:rsid w:val="00EB1B20"/>
    <w:rsid w:val="00EB1CC5"/>
    <w:rsid w:val="00EB2A68"/>
    <w:rsid w:val="00EB3359"/>
    <w:rsid w:val="00EB38A7"/>
    <w:rsid w:val="00EB38E1"/>
    <w:rsid w:val="00EB461B"/>
    <w:rsid w:val="00EB4651"/>
    <w:rsid w:val="00EB493F"/>
    <w:rsid w:val="00EB5010"/>
    <w:rsid w:val="00EB547D"/>
    <w:rsid w:val="00EB5893"/>
    <w:rsid w:val="00EB5E87"/>
    <w:rsid w:val="00EB6A94"/>
    <w:rsid w:val="00EB771C"/>
    <w:rsid w:val="00EB7DC3"/>
    <w:rsid w:val="00EB7E76"/>
    <w:rsid w:val="00EC08DA"/>
    <w:rsid w:val="00EC1115"/>
    <w:rsid w:val="00EC140E"/>
    <w:rsid w:val="00EC18B0"/>
    <w:rsid w:val="00EC1D74"/>
    <w:rsid w:val="00EC2A92"/>
    <w:rsid w:val="00EC2AAA"/>
    <w:rsid w:val="00EC30FD"/>
    <w:rsid w:val="00EC333C"/>
    <w:rsid w:val="00EC341F"/>
    <w:rsid w:val="00EC4011"/>
    <w:rsid w:val="00EC485B"/>
    <w:rsid w:val="00EC50C2"/>
    <w:rsid w:val="00EC53B7"/>
    <w:rsid w:val="00EC5594"/>
    <w:rsid w:val="00EC6627"/>
    <w:rsid w:val="00EC67E9"/>
    <w:rsid w:val="00EC708B"/>
    <w:rsid w:val="00EC7F4C"/>
    <w:rsid w:val="00ED0667"/>
    <w:rsid w:val="00ED106E"/>
    <w:rsid w:val="00ED1EC0"/>
    <w:rsid w:val="00ED211A"/>
    <w:rsid w:val="00ED3950"/>
    <w:rsid w:val="00ED5061"/>
    <w:rsid w:val="00ED5146"/>
    <w:rsid w:val="00ED712E"/>
    <w:rsid w:val="00ED72B6"/>
    <w:rsid w:val="00ED7418"/>
    <w:rsid w:val="00ED7B7C"/>
    <w:rsid w:val="00ED7ECA"/>
    <w:rsid w:val="00EE0E07"/>
    <w:rsid w:val="00EE0E9D"/>
    <w:rsid w:val="00EE0FBF"/>
    <w:rsid w:val="00EE213D"/>
    <w:rsid w:val="00EE26A0"/>
    <w:rsid w:val="00EE2C93"/>
    <w:rsid w:val="00EE3AB3"/>
    <w:rsid w:val="00EE3F08"/>
    <w:rsid w:val="00EE3F91"/>
    <w:rsid w:val="00EE4082"/>
    <w:rsid w:val="00EE4CE6"/>
    <w:rsid w:val="00EE568E"/>
    <w:rsid w:val="00EE66DE"/>
    <w:rsid w:val="00EE6D17"/>
    <w:rsid w:val="00EE72A5"/>
    <w:rsid w:val="00EE73B9"/>
    <w:rsid w:val="00EE75BC"/>
    <w:rsid w:val="00EE7BD5"/>
    <w:rsid w:val="00EF0505"/>
    <w:rsid w:val="00EF0A9A"/>
    <w:rsid w:val="00EF119B"/>
    <w:rsid w:val="00EF1295"/>
    <w:rsid w:val="00EF1B7E"/>
    <w:rsid w:val="00EF24DC"/>
    <w:rsid w:val="00EF2E77"/>
    <w:rsid w:val="00EF32D1"/>
    <w:rsid w:val="00EF33D7"/>
    <w:rsid w:val="00EF358F"/>
    <w:rsid w:val="00EF3DD8"/>
    <w:rsid w:val="00EF4408"/>
    <w:rsid w:val="00EF463D"/>
    <w:rsid w:val="00EF4BA4"/>
    <w:rsid w:val="00EF4C61"/>
    <w:rsid w:val="00EF4D45"/>
    <w:rsid w:val="00EF525D"/>
    <w:rsid w:val="00EF562F"/>
    <w:rsid w:val="00EF5788"/>
    <w:rsid w:val="00EF5A0C"/>
    <w:rsid w:val="00EF624D"/>
    <w:rsid w:val="00EF6BFC"/>
    <w:rsid w:val="00EF75C0"/>
    <w:rsid w:val="00F0075D"/>
    <w:rsid w:val="00F0094A"/>
    <w:rsid w:val="00F01927"/>
    <w:rsid w:val="00F03099"/>
    <w:rsid w:val="00F03594"/>
    <w:rsid w:val="00F03F9A"/>
    <w:rsid w:val="00F03FA1"/>
    <w:rsid w:val="00F04040"/>
    <w:rsid w:val="00F04569"/>
    <w:rsid w:val="00F05BC8"/>
    <w:rsid w:val="00F060CD"/>
    <w:rsid w:val="00F0640F"/>
    <w:rsid w:val="00F06A3F"/>
    <w:rsid w:val="00F10764"/>
    <w:rsid w:val="00F10C3A"/>
    <w:rsid w:val="00F10DAF"/>
    <w:rsid w:val="00F11941"/>
    <w:rsid w:val="00F11989"/>
    <w:rsid w:val="00F11AFA"/>
    <w:rsid w:val="00F12A01"/>
    <w:rsid w:val="00F138D4"/>
    <w:rsid w:val="00F14B8D"/>
    <w:rsid w:val="00F150A7"/>
    <w:rsid w:val="00F1584E"/>
    <w:rsid w:val="00F15BAE"/>
    <w:rsid w:val="00F15FBB"/>
    <w:rsid w:val="00F16051"/>
    <w:rsid w:val="00F1654F"/>
    <w:rsid w:val="00F16BEA"/>
    <w:rsid w:val="00F16FDE"/>
    <w:rsid w:val="00F201E4"/>
    <w:rsid w:val="00F20AD3"/>
    <w:rsid w:val="00F21376"/>
    <w:rsid w:val="00F21AE9"/>
    <w:rsid w:val="00F2233F"/>
    <w:rsid w:val="00F22A0D"/>
    <w:rsid w:val="00F230E1"/>
    <w:rsid w:val="00F23242"/>
    <w:rsid w:val="00F237C2"/>
    <w:rsid w:val="00F2396C"/>
    <w:rsid w:val="00F23C2E"/>
    <w:rsid w:val="00F24136"/>
    <w:rsid w:val="00F25AFB"/>
    <w:rsid w:val="00F25D18"/>
    <w:rsid w:val="00F25D79"/>
    <w:rsid w:val="00F26A36"/>
    <w:rsid w:val="00F26E34"/>
    <w:rsid w:val="00F26E7E"/>
    <w:rsid w:val="00F27FA4"/>
    <w:rsid w:val="00F314F5"/>
    <w:rsid w:val="00F31B73"/>
    <w:rsid w:val="00F31CDE"/>
    <w:rsid w:val="00F31CE5"/>
    <w:rsid w:val="00F32262"/>
    <w:rsid w:val="00F329E5"/>
    <w:rsid w:val="00F32ECA"/>
    <w:rsid w:val="00F337BB"/>
    <w:rsid w:val="00F3468D"/>
    <w:rsid w:val="00F351A5"/>
    <w:rsid w:val="00F3587E"/>
    <w:rsid w:val="00F361C4"/>
    <w:rsid w:val="00F37B4F"/>
    <w:rsid w:val="00F40762"/>
    <w:rsid w:val="00F40F8C"/>
    <w:rsid w:val="00F40FD8"/>
    <w:rsid w:val="00F42030"/>
    <w:rsid w:val="00F42FB6"/>
    <w:rsid w:val="00F43005"/>
    <w:rsid w:val="00F43A27"/>
    <w:rsid w:val="00F45724"/>
    <w:rsid w:val="00F45FCD"/>
    <w:rsid w:val="00F46B58"/>
    <w:rsid w:val="00F5000D"/>
    <w:rsid w:val="00F50FBA"/>
    <w:rsid w:val="00F52270"/>
    <w:rsid w:val="00F5236B"/>
    <w:rsid w:val="00F52822"/>
    <w:rsid w:val="00F5283B"/>
    <w:rsid w:val="00F53218"/>
    <w:rsid w:val="00F5372E"/>
    <w:rsid w:val="00F54213"/>
    <w:rsid w:val="00F544A7"/>
    <w:rsid w:val="00F551FB"/>
    <w:rsid w:val="00F55D8E"/>
    <w:rsid w:val="00F56122"/>
    <w:rsid w:val="00F567A3"/>
    <w:rsid w:val="00F571B4"/>
    <w:rsid w:val="00F57E56"/>
    <w:rsid w:val="00F60704"/>
    <w:rsid w:val="00F61A1F"/>
    <w:rsid w:val="00F6216C"/>
    <w:rsid w:val="00F621BC"/>
    <w:rsid w:val="00F6278A"/>
    <w:rsid w:val="00F62F67"/>
    <w:rsid w:val="00F6323D"/>
    <w:rsid w:val="00F632E9"/>
    <w:rsid w:val="00F636FC"/>
    <w:rsid w:val="00F63995"/>
    <w:rsid w:val="00F643E3"/>
    <w:rsid w:val="00F6452A"/>
    <w:rsid w:val="00F6464A"/>
    <w:rsid w:val="00F64F4D"/>
    <w:rsid w:val="00F653C0"/>
    <w:rsid w:val="00F662D9"/>
    <w:rsid w:val="00F66526"/>
    <w:rsid w:val="00F6664D"/>
    <w:rsid w:val="00F670F0"/>
    <w:rsid w:val="00F6727A"/>
    <w:rsid w:val="00F676DA"/>
    <w:rsid w:val="00F6785B"/>
    <w:rsid w:val="00F70B1C"/>
    <w:rsid w:val="00F70B3F"/>
    <w:rsid w:val="00F70EE9"/>
    <w:rsid w:val="00F72C56"/>
    <w:rsid w:val="00F73281"/>
    <w:rsid w:val="00F74889"/>
    <w:rsid w:val="00F74F78"/>
    <w:rsid w:val="00F755C6"/>
    <w:rsid w:val="00F76009"/>
    <w:rsid w:val="00F769C9"/>
    <w:rsid w:val="00F76FA7"/>
    <w:rsid w:val="00F77035"/>
    <w:rsid w:val="00F77EBE"/>
    <w:rsid w:val="00F801E3"/>
    <w:rsid w:val="00F80A25"/>
    <w:rsid w:val="00F80ECD"/>
    <w:rsid w:val="00F81658"/>
    <w:rsid w:val="00F8213D"/>
    <w:rsid w:val="00F8252D"/>
    <w:rsid w:val="00F829B1"/>
    <w:rsid w:val="00F82C3B"/>
    <w:rsid w:val="00F82EB0"/>
    <w:rsid w:val="00F83112"/>
    <w:rsid w:val="00F83409"/>
    <w:rsid w:val="00F837EC"/>
    <w:rsid w:val="00F843F7"/>
    <w:rsid w:val="00F85322"/>
    <w:rsid w:val="00F859B6"/>
    <w:rsid w:val="00F8624B"/>
    <w:rsid w:val="00F86B21"/>
    <w:rsid w:val="00F9095E"/>
    <w:rsid w:val="00F9100D"/>
    <w:rsid w:val="00F9109C"/>
    <w:rsid w:val="00F91856"/>
    <w:rsid w:val="00F919CD"/>
    <w:rsid w:val="00F92102"/>
    <w:rsid w:val="00F92A23"/>
    <w:rsid w:val="00F92CF0"/>
    <w:rsid w:val="00F932BB"/>
    <w:rsid w:val="00F93B07"/>
    <w:rsid w:val="00F93B54"/>
    <w:rsid w:val="00FA0FAB"/>
    <w:rsid w:val="00FA1766"/>
    <w:rsid w:val="00FA1797"/>
    <w:rsid w:val="00FA1955"/>
    <w:rsid w:val="00FA1F74"/>
    <w:rsid w:val="00FA2D97"/>
    <w:rsid w:val="00FA310E"/>
    <w:rsid w:val="00FA42DB"/>
    <w:rsid w:val="00FA4F2C"/>
    <w:rsid w:val="00FA4F40"/>
    <w:rsid w:val="00FA5204"/>
    <w:rsid w:val="00FA5F3B"/>
    <w:rsid w:val="00FA603D"/>
    <w:rsid w:val="00FA608C"/>
    <w:rsid w:val="00FA6168"/>
    <w:rsid w:val="00FA667E"/>
    <w:rsid w:val="00FA6A70"/>
    <w:rsid w:val="00FA72B8"/>
    <w:rsid w:val="00FA7C37"/>
    <w:rsid w:val="00FB0929"/>
    <w:rsid w:val="00FB0A14"/>
    <w:rsid w:val="00FB1382"/>
    <w:rsid w:val="00FB180A"/>
    <w:rsid w:val="00FB1EEB"/>
    <w:rsid w:val="00FB2078"/>
    <w:rsid w:val="00FB20A4"/>
    <w:rsid w:val="00FB2151"/>
    <w:rsid w:val="00FB2267"/>
    <w:rsid w:val="00FB25AC"/>
    <w:rsid w:val="00FB26F8"/>
    <w:rsid w:val="00FB2AD6"/>
    <w:rsid w:val="00FB51D4"/>
    <w:rsid w:val="00FB56A4"/>
    <w:rsid w:val="00FC0961"/>
    <w:rsid w:val="00FC09B5"/>
    <w:rsid w:val="00FC0B07"/>
    <w:rsid w:val="00FC0C9C"/>
    <w:rsid w:val="00FC0DAB"/>
    <w:rsid w:val="00FC0E99"/>
    <w:rsid w:val="00FC196B"/>
    <w:rsid w:val="00FC19C7"/>
    <w:rsid w:val="00FC1F7C"/>
    <w:rsid w:val="00FC2D97"/>
    <w:rsid w:val="00FC34F4"/>
    <w:rsid w:val="00FC4612"/>
    <w:rsid w:val="00FC4A13"/>
    <w:rsid w:val="00FC5618"/>
    <w:rsid w:val="00FC6A8B"/>
    <w:rsid w:val="00FC6D31"/>
    <w:rsid w:val="00FC7001"/>
    <w:rsid w:val="00FC77C7"/>
    <w:rsid w:val="00FC784B"/>
    <w:rsid w:val="00FD07A9"/>
    <w:rsid w:val="00FD1780"/>
    <w:rsid w:val="00FD1F29"/>
    <w:rsid w:val="00FD209E"/>
    <w:rsid w:val="00FD2341"/>
    <w:rsid w:val="00FD241C"/>
    <w:rsid w:val="00FD2441"/>
    <w:rsid w:val="00FD2A0A"/>
    <w:rsid w:val="00FD2DEA"/>
    <w:rsid w:val="00FD37CF"/>
    <w:rsid w:val="00FD383C"/>
    <w:rsid w:val="00FD3B3B"/>
    <w:rsid w:val="00FD3B65"/>
    <w:rsid w:val="00FD3E90"/>
    <w:rsid w:val="00FD4E23"/>
    <w:rsid w:val="00FD5273"/>
    <w:rsid w:val="00FD5483"/>
    <w:rsid w:val="00FD5961"/>
    <w:rsid w:val="00FD5BA8"/>
    <w:rsid w:val="00FD5C55"/>
    <w:rsid w:val="00FD5C95"/>
    <w:rsid w:val="00FD5EAB"/>
    <w:rsid w:val="00FD690A"/>
    <w:rsid w:val="00FD737E"/>
    <w:rsid w:val="00FD76D1"/>
    <w:rsid w:val="00FD7C2F"/>
    <w:rsid w:val="00FE099F"/>
    <w:rsid w:val="00FE28AC"/>
    <w:rsid w:val="00FE2EF7"/>
    <w:rsid w:val="00FE348A"/>
    <w:rsid w:val="00FE36EE"/>
    <w:rsid w:val="00FE37AF"/>
    <w:rsid w:val="00FE37E2"/>
    <w:rsid w:val="00FE3A4C"/>
    <w:rsid w:val="00FE3CD1"/>
    <w:rsid w:val="00FE46F8"/>
    <w:rsid w:val="00FE4F74"/>
    <w:rsid w:val="00FE50F8"/>
    <w:rsid w:val="00FE7049"/>
    <w:rsid w:val="00FE7917"/>
    <w:rsid w:val="00FF0799"/>
    <w:rsid w:val="00FF0886"/>
    <w:rsid w:val="00FF08F8"/>
    <w:rsid w:val="00FF0937"/>
    <w:rsid w:val="00FF1404"/>
    <w:rsid w:val="00FF19AD"/>
    <w:rsid w:val="00FF1E0D"/>
    <w:rsid w:val="00FF26EE"/>
    <w:rsid w:val="00FF3F6D"/>
    <w:rsid w:val="00FF5457"/>
    <w:rsid w:val="00FF58D9"/>
    <w:rsid w:val="00FF5C55"/>
    <w:rsid w:val="00FF5EE8"/>
    <w:rsid w:val="00FF6E63"/>
    <w:rsid w:val="00FF7195"/>
    <w:rsid w:val="00FF73E1"/>
    <w:rsid w:val="00FF7A05"/>
    <w:rsid w:val="00FF7DC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3F59B32"/>
  <w15:docId w15:val="{B5F1CF94-62EF-43BD-AA3C-C7FAF5A8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3B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autoRedefine/>
    <w:uiPriority w:val="9"/>
    <w:qFormat/>
    <w:rsid w:val="00494523"/>
    <w:pPr>
      <w:keepNext/>
      <w:keepLines/>
      <w:pageBreakBefore/>
      <w:shd w:val="clear" w:color="auto" w:fill="FFFFFF"/>
      <w:adjustRightInd w:val="0"/>
      <w:spacing w:before="1200" w:after="240"/>
      <w:outlineLvl w:val="0"/>
    </w:pPr>
    <w:rPr>
      <w:rFonts w:ascii="Arial" w:eastAsiaTheme="majorEastAsia" w:hAnsi="Arial" w:cs="Arial"/>
      <w:b/>
      <w:bCs/>
      <w:color w:val="31849B" w:themeColor="accent5" w:themeShade="BF"/>
      <w:sz w:val="56"/>
      <w:szCs w:val="56"/>
      <w:lang w:val="en-GB"/>
    </w:rPr>
  </w:style>
  <w:style w:type="paragraph" w:styleId="Heading2">
    <w:name w:val="heading 2"/>
    <w:basedOn w:val="Normal"/>
    <w:next w:val="Normal"/>
    <w:link w:val="Heading2Char"/>
    <w:autoRedefine/>
    <w:uiPriority w:val="9"/>
    <w:unhideWhenUsed/>
    <w:qFormat/>
    <w:rsid w:val="00E92133"/>
    <w:pPr>
      <w:keepNext/>
      <w:keepLines/>
      <w:pageBreakBefore/>
      <w:adjustRightInd w:val="0"/>
      <w:spacing w:before="480" w:after="360"/>
      <w:jc w:val="both"/>
      <w:outlineLvl w:val="1"/>
    </w:pPr>
    <w:rPr>
      <w:rFonts w:ascii="Arial" w:eastAsiaTheme="majorEastAsia" w:hAnsi="Arial" w:cstheme="majorBidi"/>
      <w:bCs/>
      <w:color w:val="31849B" w:themeColor="accent5" w:themeShade="BF"/>
      <w:sz w:val="44"/>
      <w:szCs w:val="32"/>
    </w:rPr>
  </w:style>
  <w:style w:type="paragraph" w:styleId="Heading3">
    <w:name w:val="heading 3"/>
    <w:basedOn w:val="Normal"/>
    <w:next w:val="Normal"/>
    <w:link w:val="Heading3Char"/>
    <w:autoRedefine/>
    <w:uiPriority w:val="9"/>
    <w:unhideWhenUsed/>
    <w:qFormat/>
    <w:rsid w:val="0096400D"/>
    <w:pPr>
      <w:keepNext/>
      <w:keepLines/>
      <w:adjustRightInd w:val="0"/>
      <w:spacing w:before="240" w:line="288" w:lineRule="auto"/>
      <w:outlineLvl w:val="2"/>
    </w:pPr>
    <w:rPr>
      <w:rFonts w:ascii="Arial" w:eastAsiaTheme="majorEastAsia" w:hAnsi="Arial" w:cs="Arial (Headings CS)"/>
      <w:bCs/>
      <w:color w:val="4F81BD" w:themeColor="accent1"/>
      <w:sz w:val="28"/>
      <w:lang w:val="en-GB"/>
    </w:rPr>
  </w:style>
  <w:style w:type="paragraph" w:styleId="Heading4">
    <w:name w:val="heading 4"/>
    <w:basedOn w:val="Normal"/>
    <w:next w:val="Normal"/>
    <w:link w:val="Heading4Char"/>
    <w:uiPriority w:val="9"/>
    <w:unhideWhenUsed/>
    <w:qFormat/>
    <w:rsid w:val="002D5BA1"/>
    <w:pPr>
      <w:keepNext/>
      <w:keepLines/>
      <w:spacing w:before="40"/>
      <w:outlineLvl w:val="3"/>
    </w:pPr>
    <w:rPr>
      <w:rFonts w:ascii="Arial" w:eastAsiaTheme="majorEastAsia" w:hAnsi="Arial" w:cstheme="majorBidi"/>
      <w:iCs/>
      <w:color w:val="365F91" w:themeColor="accent1" w:themeShade="BF"/>
    </w:rPr>
  </w:style>
  <w:style w:type="paragraph" w:styleId="Heading5">
    <w:name w:val="heading 5"/>
    <w:next w:val="Normal"/>
    <w:link w:val="Heading5Char"/>
    <w:uiPriority w:val="9"/>
    <w:qFormat/>
    <w:rsid w:val="00582757"/>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rsid w:val="00582757"/>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rsid w:val="00582757"/>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rsid w:val="00582757"/>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rsid w:val="006C23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23B9"/>
  </w:style>
  <w:style w:type="paragraph" w:styleId="CommentText">
    <w:name w:val="annotation text"/>
    <w:basedOn w:val="Normal"/>
    <w:link w:val="CommentTextChar"/>
    <w:uiPriority w:val="99"/>
    <w:unhideWhenUsed/>
    <w:rsid w:val="00582757"/>
    <w:rPr>
      <w:sz w:val="20"/>
      <w:szCs w:val="20"/>
    </w:rPr>
  </w:style>
  <w:style w:type="character" w:customStyle="1" w:styleId="CommentTextChar">
    <w:name w:val="Comment Text Char"/>
    <w:basedOn w:val="DefaultParagraphFont"/>
    <w:link w:val="CommentText"/>
    <w:uiPriority w:val="99"/>
    <w:rsid w:val="00582757"/>
    <w:rPr>
      <w:rFonts w:asciiTheme="minorHAnsi" w:eastAsiaTheme="minorHAnsi" w:hAnsiTheme="minorHAnsi" w:cstheme="minorBidi"/>
      <w:lang w:eastAsia="en-US"/>
    </w:rPr>
  </w:style>
  <w:style w:type="paragraph" w:styleId="Header">
    <w:name w:val="header"/>
    <w:basedOn w:val="Normal"/>
    <w:link w:val="HeaderChar"/>
    <w:uiPriority w:val="99"/>
    <w:rsid w:val="00582757"/>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99"/>
    <w:rsid w:val="00582757"/>
    <w:rPr>
      <w:rFonts w:ascii="Calibri" w:eastAsiaTheme="minorHAnsi" w:hAnsi="Calibri" w:cstheme="minorBidi"/>
      <w:szCs w:val="22"/>
      <w:lang w:eastAsia="en-US"/>
    </w:rPr>
  </w:style>
  <w:style w:type="paragraph" w:styleId="Footer">
    <w:name w:val="footer"/>
    <w:basedOn w:val="Normal"/>
    <w:link w:val="FooterChar"/>
    <w:uiPriority w:val="99"/>
    <w:rsid w:val="0058275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58275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582757"/>
    <w:rPr>
      <w:sz w:val="16"/>
      <w:szCs w:val="16"/>
    </w:rPr>
  </w:style>
  <w:style w:type="paragraph" w:styleId="CommentSubject">
    <w:name w:val="annotation subject"/>
    <w:basedOn w:val="CommentText"/>
    <w:next w:val="CommentText"/>
    <w:link w:val="CommentSubjectChar"/>
    <w:uiPriority w:val="99"/>
    <w:semiHidden/>
    <w:unhideWhenUsed/>
    <w:rsid w:val="00582757"/>
    <w:rPr>
      <w:b/>
      <w:bCs/>
    </w:rPr>
  </w:style>
  <w:style w:type="character" w:customStyle="1" w:styleId="CommentSubjectChar">
    <w:name w:val="Comment Subject Char"/>
    <w:basedOn w:val="CommentTextChar"/>
    <w:link w:val="CommentSubject"/>
    <w:uiPriority w:val="99"/>
    <w:semiHidden/>
    <w:rsid w:val="00582757"/>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582757"/>
    <w:rPr>
      <w:rFonts w:ascii="Calibri" w:hAnsi="Calibri"/>
      <w:sz w:val="18"/>
      <w:szCs w:val="18"/>
    </w:rPr>
  </w:style>
  <w:style w:type="character" w:customStyle="1" w:styleId="BalloonTextChar">
    <w:name w:val="Balloon Text Char"/>
    <w:basedOn w:val="DefaultParagraphFont"/>
    <w:link w:val="BalloonText"/>
    <w:uiPriority w:val="99"/>
    <w:semiHidden/>
    <w:rsid w:val="00582757"/>
    <w:rPr>
      <w:rFonts w:ascii="Calibri" w:eastAsiaTheme="minorHAnsi" w:hAnsi="Calibri" w:cstheme="minorBidi"/>
      <w:sz w:val="18"/>
      <w:szCs w:val="18"/>
      <w:lang w:eastAsia="en-US"/>
    </w:rPr>
  </w:style>
  <w:style w:type="table" w:styleId="TableGrid">
    <w:name w:val="Table Grid"/>
    <w:basedOn w:val="TableNormal"/>
    <w:uiPriority w:val="39"/>
    <w:rsid w:val="00582757"/>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582757"/>
    <w:rPr>
      <w:sz w:val="16"/>
    </w:rPr>
  </w:style>
  <w:style w:type="numbering" w:customStyle="1" w:styleId="Headings">
    <w:name w:val="Headings"/>
    <w:uiPriority w:val="99"/>
    <w:rsid w:val="00582757"/>
    <w:pPr>
      <w:numPr>
        <w:numId w:val="4"/>
      </w:numPr>
    </w:pPr>
  </w:style>
  <w:style w:type="character" w:customStyle="1" w:styleId="Heading1Char">
    <w:name w:val="Heading 1 Char"/>
    <w:basedOn w:val="DefaultParagraphFont"/>
    <w:link w:val="Heading1"/>
    <w:uiPriority w:val="9"/>
    <w:rsid w:val="00494523"/>
    <w:rPr>
      <w:rFonts w:ascii="Arial" w:eastAsiaTheme="majorEastAsia" w:hAnsi="Arial" w:cs="Arial"/>
      <w:b/>
      <w:bCs/>
      <w:color w:val="31849B" w:themeColor="accent5" w:themeShade="BF"/>
      <w:kern w:val="2"/>
      <w:sz w:val="56"/>
      <w:szCs w:val="56"/>
      <w:shd w:val="clear" w:color="auto" w:fill="FFFFFF"/>
      <w:lang w:val="en-GB" w:eastAsia="en-US"/>
      <w14:ligatures w14:val="standardContextual"/>
    </w:rPr>
  </w:style>
  <w:style w:type="paragraph" w:styleId="ListParagraph">
    <w:name w:val="List Paragraph"/>
    <w:basedOn w:val="Normal"/>
    <w:link w:val="ListParagraphChar"/>
    <w:uiPriority w:val="34"/>
    <w:qFormat/>
    <w:rsid w:val="00582757"/>
    <w:pPr>
      <w:ind w:left="720"/>
    </w:pPr>
  </w:style>
  <w:style w:type="character" w:customStyle="1" w:styleId="Heading2Char">
    <w:name w:val="Heading 2 Char"/>
    <w:basedOn w:val="DefaultParagraphFont"/>
    <w:link w:val="Heading2"/>
    <w:uiPriority w:val="9"/>
    <w:rsid w:val="00E92133"/>
    <w:rPr>
      <w:rFonts w:ascii="Arial" w:eastAsiaTheme="majorEastAsia" w:hAnsi="Arial" w:cstheme="majorBidi"/>
      <w:bCs/>
      <w:color w:val="31849B" w:themeColor="accent5" w:themeShade="BF"/>
      <w:kern w:val="2"/>
      <w:sz w:val="44"/>
      <w:szCs w:val="32"/>
      <w:lang w:eastAsia="en-US"/>
      <w14:ligatures w14:val="standardContextual"/>
    </w:rPr>
  </w:style>
  <w:style w:type="character" w:customStyle="1" w:styleId="Heading3Char">
    <w:name w:val="Heading 3 Char"/>
    <w:basedOn w:val="DefaultParagraphFont"/>
    <w:link w:val="Heading3"/>
    <w:uiPriority w:val="9"/>
    <w:rsid w:val="0096400D"/>
    <w:rPr>
      <w:rFonts w:ascii="Arial" w:eastAsiaTheme="majorEastAsia" w:hAnsi="Arial" w:cs="Arial (Headings CS)"/>
      <w:bCs/>
      <w:color w:val="4F81BD" w:themeColor="accent1"/>
      <w:kern w:val="2"/>
      <w:sz w:val="28"/>
      <w:szCs w:val="22"/>
      <w:lang w:val="en-GB" w:eastAsia="en-US"/>
      <w14:ligatures w14:val="standardContextual"/>
    </w:rPr>
  </w:style>
  <w:style w:type="character" w:customStyle="1" w:styleId="Heading4Char">
    <w:name w:val="Heading 4 Char"/>
    <w:basedOn w:val="DefaultParagraphFont"/>
    <w:link w:val="Heading4"/>
    <w:uiPriority w:val="9"/>
    <w:rsid w:val="002D5BA1"/>
    <w:rPr>
      <w:rFonts w:ascii="Arial" w:eastAsiaTheme="majorEastAsia" w:hAnsi="Arial" w:cstheme="majorBidi"/>
      <w:iCs/>
      <w:color w:val="365F91" w:themeColor="accent1" w:themeShade="BF"/>
      <w:kern w:val="2"/>
      <w:sz w:val="22"/>
      <w:szCs w:val="22"/>
      <w:lang w:eastAsia="en-US"/>
      <w14:ligatures w14:val="standardContextual"/>
    </w:rPr>
  </w:style>
  <w:style w:type="character" w:customStyle="1" w:styleId="Heading5Char">
    <w:name w:val="Heading 5 Char"/>
    <w:basedOn w:val="DefaultParagraphFont"/>
    <w:link w:val="Heading5"/>
    <w:uiPriority w:val="9"/>
    <w:rsid w:val="00582757"/>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582757"/>
    <w:pPr>
      <w:ind w:left="709" w:right="567"/>
    </w:pPr>
    <w:rPr>
      <w:iCs/>
      <w:color w:val="000000"/>
    </w:rPr>
  </w:style>
  <w:style w:type="character" w:customStyle="1" w:styleId="QuoteChar">
    <w:name w:val="Quote Char"/>
    <w:basedOn w:val="DefaultParagraphFont"/>
    <w:link w:val="Quote"/>
    <w:uiPriority w:val="18"/>
    <w:rsid w:val="00582757"/>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582757"/>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aliases w:val="AWT Caption"/>
    <w:next w:val="Normal"/>
    <w:link w:val="CaptionChar"/>
    <w:autoRedefine/>
    <w:uiPriority w:val="12"/>
    <w:qFormat/>
    <w:rsid w:val="00DF778F"/>
    <w:pPr>
      <w:keepNext/>
      <w:spacing w:after="120"/>
    </w:pPr>
    <w:rPr>
      <w:rFonts w:ascii="Arial" w:eastAsiaTheme="majorEastAsia" w:hAnsi="Arial" w:cs="Arial"/>
      <w:color w:val="000000" w:themeColor="text1"/>
      <w:kern w:val="2"/>
      <w:sz w:val="24"/>
      <w:szCs w:val="2"/>
      <w:lang w:val="en-GB" w:eastAsia="ja-JP"/>
      <w14:ligatures w14:val="standardContextual"/>
    </w:rPr>
  </w:style>
  <w:style w:type="paragraph" w:customStyle="1" w:styleId="FigureTableNoteSource">
    <w:name w:val="Figure/Table Note/Source"/>
    <w:basedOn w:val="Normal"/>
    <w:next w:val="Normal"/>
    <w:uiPriority w:val="16"/>
    <w:qFormat/>
    <w:rsid w:val="00582757"/>
    <w:pPr>
      <w:spacing w:before="120" w:line="264" w:lineRule="auto"/>
      <w:contextualSpacing/>
    </w:pPr>
    <w:rPr>
      <w:rFonts w:ascii="Calibri" w:hAnsi="Calibri"/>
      <w:sz w:val="18"/>
    </w:rPr>
  </w:style>
  <w:style w:type="paragraph" w:styleId="TOCHeading">
    <w:name w:val="TOC Heading"/>
    <w:next w:val="Normal"/>
    <w:uiPriority w:val="39"/>
    <w:qFormat/>
    <w:rsid w:val="00582757"/>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rsid w:val="00582757"/>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rsid w:val="00582757"/>
    <w:pPr>
      <w:tabs>
        <w:tab w:val="right" w:leader="dot" w:pos="9060"/>
      </w:tabs>
      <w:spacing w:before="120" w:line="240" w:lineRule="auto"/>
      <w:ind w:firstLine="425"/>
    </w:pPr>
    <w:rPr>
      <w:noProof/>
    </w:rPr>
  </w:style>
  <w:style w:type="paragraph" w:styleId="TOC3">
    <w:name w:val="toc 3"/>
    <w:basedOn w:val="Normal"/>
    <w:next w:val="Normal"/>
    <w:uiPriority w:val="39"/>
    <w:unhideWhenUsed/>
    <w:rsid w:val="00582757"/>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582757"/>
    <w:rPr>
      <w:color w:val="165788"/>
      <w:u w:val="single"/>
    </w:rPr>
  </w:style>
  <w:style w:type="paragraph" w:styleId="ListBullet">
    <w:name w:val="List Bullet"/>
    <w:uiPriority w:val="7"/>
    <w:qFormat/>
    <w:rsid w:val="00582757"/>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rsid w:val="00582757"/>
    <w:pPr>
      <w:spacing w:before="120" w:line="240" w:lineRule="auto"/>
    </w:pPr>
  </w:style>
  <w:style w:type="paragraph" w:styleId="ListBullet2">
    <w:name w:val="List Bullet 2"/>
    <w:uiPriority w:val="8"/>
    <w:qFormat/>
    <w:rsid w:val="00582757"/>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rsid w:val="00582757"/>
    <w:pPr>
      <w:numPr>
        <w:numId w:val="9"/>
      </w:numPr>
      <w:spacing w:before="120"/>
    </w:pPr>
    <w:rPr>
      <w:szCs w:val="20"/>
    </w:rPr>
  </w:style>
  <w:style w:type="paragraph" w:styleId="ListNumber2">
    <w:name w:val="List Number 2"/>
    <w:uiPriority w:val="10"/>
    <w:qFormat/>
    <w:rsid w:val="00582757"/>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582757"/>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58275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582757"/>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qFormat/>
    <w:rsid w:val="00582757"/>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rsid w:val="00582757"/>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582757"/>
    <w:pPr>
      <w:keepNext/>
    </w:pPr>
    <w:rPr>
      <w:b/>
    </w:rPr>
  </w:style>
  <w:style w:type="character" w:styleId="PlaceholderText">
    <w:name w:val="Placeholder Text"/>
    <w:basedOn w:val="DefaultParagraphFont"/>
    <w:uiPriority w:val="99"/>
    <w:semiHidden/>
    <w:rsid w:val="00582757"/>
    <w:rPr>
      <w:color w:val="808080"/>
    </w:rPr>
  </w:style>
  <w:style w:type="paragraph" w:customStyle="1" w:styleId="Author">
    <w:name w:val="Author"/>
    <w:basedOn w:val="Normal"/>
    <w:next w:val="Normal"/>
    <w:uiPriority w:val="24"/>
    <w:qFormat/>
    <w:rsid w:val="00582757"/>
    <w:pPr>
      <w:spacing w:after="60"/>
    </w:pPr>
    <w:rPr>
      <w:b/>
      <w:sz w:val="28"/>
      <w:szCs w:val="28"/>
    </w:rPr>
  </w:style>
  <w:style w:type="paragraph" w:customStyle="1" w:styleId="AuthorOrganisationAffiliation">
    <w:name w:val="Author Organisation/Affiliation"/>
    <w:basedOn w:val="Normal"/>
    <w:next w:val="Normal"/>
    <w:uiPriority w:val="25"/>
    <w:qFormat/>
    <w:rsid w:val="00582757"/>
    <w:pPr>
      <w:spacing w:after="720"/>
    </w:pPr>
  </w:style>
  <w:style w:type="character" w:styleId="Strong">
    <w:name w:val="Strong"/>
    <w:uiPriority w:val="22"/>
    <w:qFormat/>
    <w:rsid w:val="00582757"/>
    <w:rPr>
      <w:b/>
      <w:bCs/>
    </w:rPr>
  </w:style>
  <w:style w:type="character" w:styleId="Emphasis">
    <w:name w:val="Emphasis"/>
    <w:basedOn w:val="DefaultParagraphFont"/>
    <w:uiPriority w:val="20"/>
    <w:qFormat/>
    <w:rsid w:val="00582757"/>
    <w:rPr>
      <w:i/>
      <w:iCs/>
    </w:rPr>
  </w:style>
  <w:style w:type="paragraph" w:styleId="TOAHeading">
    <w:name w:val="toa heading"/>
    <w:basedOn w:val="Heading1"/>
    <w:next w:val="Normal"/>
    <w:uiPriority w:val="99"/>
    <w:semiHidden/>
    <w:unhideWhenUsed/>
    <w:rsid w:val="00582757"/>
    <w:pPr>
      <w:spacing w:before="120"/>
    </w:pPr>
    <w:rPr>
      <w:bCs w:val="0"/>
      <w:sz w:val="24"/>
    </w:rPr>
  </w:style>
  <w:style w:type="paragraph" w:styleId="NormalWeb">
    <w:name w:val="Normal (Web)"/>
    <w:basedOn w:val="Normal"/>
    <w:uiPriority w:val="99"/>
    <w:unhideWhenUsed/>
    <w:rsid w:val="00582757"/>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582757"/>
    <w:pPr>
      <w:numPr>
        <w:numId w:val="1"/>
      </w:numPr>
      <w:ind w:left="357" w:hanging="357"/>
    </w:pPr>
  </w:style>
  <w:style w:type="paragraph" w:customStyle="1" w:styleId="TableBullet">
    <w:name w:val="Table Bullet"/>
    <w:basedOn w:val="TableText"/>
    <w:uiPriority w:val="15"/>
    <w:qFormat/>
    <w:rsid w:val="00582757"/>
    <w:pPr>
      <w:numPr>
        <w:numId w:val="2"/>
      </w:numPr>
      <w:ind w:left="284" w:hanging="284"/>
    </w:pPr>
  </w:style>
  <w:style w:type="paragraph" w:styleId="DocumentMap">
    <w:name w:val="Document Map"/>
    <w:basedOn w:val="Normal"/>
    <w:link w:val="DocumentMapChar"/>
    <w:uiPriority w:val="99"/>
    <w:semiHidden/>
    <w:unhideWhenUsed/>
    <w:rsid w:val="0058275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82757"/>
    <w:rPr>
      <w:rFonts w:ascii="Tahoma" w:eastAsiaTheme="minorHAnsi" w:hAnsi="Tahoma" w:cs="Tahoma"/>
      <w:sz w:val="16"/>
      <w:szCs w:val="16"/>
      <w:lang w:eastAsia="en-US"/>
    </w:rPr>
  </w:style>
  <w:style w:type="paragraph" w:customStyle="1" w:styleId="TOCHeadingsamepage">
    <w:name w:val="TOC Heading (same page)"/>
    <w:basedOn w:val="TOCHeading"/>
    <w:next w:val="Normal"/>
    <w:uiPriority w:val="39"/>
    <w:rsid w:val="00582757"/>
  </w:style>
  <w:style w:type="paragraph" w:customStyle="1" w:styleId="BoxHeading">
    <w:name w:val="Box Heading"/>
    <w:basedOn w:val="BoxText"/>
    <w:uiPriority w:val="20"/>
    <w:qFormat/>
    <w:rsid w:val="00582757"/>
    <w:pPr>
      <w:spacing w:line="240" w:lineRule="auto"/>
    </w:pPr>
    <w:rPr>
      <w:b/>
    </w:rPr>
  </w:style>
  <w:style w:type="paragraph" w:customStyle="1" w:styleId="Picture">
    <w:name w:val="Picture"/>
    <w:basedOn w:val="Normal"/>
    <w:uiPriority w:val="17"/>
    <w:qFormat/>
    <w:rsid w:val="00582757"/>
    <w:pPr>
      <w:spacing w:before="120" w:line="240" w:lineRule="auto"/>
    </w:pPr>
    <w:rPr>
      <w:noProof/>
      <w:lang w:eastAsia="en-AU"/>
    </w:rPr>
  </w:style>
  <w:style w:type="paragraph" w:customStyle="1" w:styleId="Securityclassification">
    <w:name w:val="Security classification"/>
    <w:basedOn w:val="Header"/>
    <w:next w:val="Header"/>
    <w:uiPriority w:val="26"/>
    <w:qFormat/>
    <w:rsid w:val="00582757"/>
    <w:pPr>
      <w:spacing w:after="0"/>
    </w:pPr>
    <w:rPr>
      <w:b/>
      <w:caps/>
      <w:sz w:val="36"/>
      <w:szCs w:val="36"/>
    </w:rPr>
  </w:style>
  <w:style w:type="paragraph" w:customStyle="1" w:styleId="DisseminationLimitingMarker">
    <w:name w:val="Dissemination Limiting Marker"/>
    <w:basedOn w:val="Header"/>
    <w:next w:val="Header"/>
    <w:uiPriority w:val="27"/>
    <w:qFormat/>
    <w:rsid w:val="00582757"/>
    <w:pPr>
      <w:spacing w:after="0"/>
    </w:pPr>
    <w:rPr>
      <w:b/>
      <w:sz w:val="36"/>
      <w:szCs w:val="36"/>
    </w:rPr>
  </w:style>
  <w:style w:type="character" w:styleId="FootnoteReference">
    <w:name w:val="footnote reference"/>
    <w:basedOn w:val="DefaultParagraphFont"/>
    <w:uiPriority w:val="99"/>
    <w:semiHidden/>
    <w:unhideWhenUsed/>
    <w:rsid w:val="00582757"/>
    <w:rPr>
      <w:vertAlign w:val="superscript"/>
    </w:rPr>
  </w:style>
  <w:style w:type="character" w:styleId="EndnoteReference">
    <w:name w:val="endnote reference"/>
    <w:basedOn w:val="DefaultParagraphFont"/>
    <w:uiPriority w:val="99"/>
    <w:semiHidden/>
    <w:unhideWhenUsed/>
    <w:rsid w:val="00582757"/>
    <w:rPr>
      <w:vertAlign w:val="superscript"/>
    </w:rPr>
  </w:style>
  <w:style w:type="character" w:styleId="FollowedHyperlink">
    <w:name w:val="FollowedHyperlink"/>
    <w:basedOn w:val="DefaultParagraphFont"/>
    <w:uiPriority w:val="99"/>
    <w:semiHidden/>
    <w:unhideWhenUsed/>
    <w:rsid w:val="00582757"/>
    <w:rPr>
      <w:color w:val="800080"/>
      <w:u w:val="single"/>
    </w:rPr>
  </w:style>
  <w:style w:type="paragraph" w:customStyle="1" w:styleId="BoxSource">
    <w:name w:val="Box Source"/>
    <w:basedOn w:val="FigureTableNoteSource"/>
    <w:uiPriority w:val="22"/>
    <w:qFormat/>
    <w:rsid w:val="00582757"/>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rsid w:val="00582757"/>
    <w:pPr>
      <w:numPr>
        <w:numId w:val="10"/>
      </w:numPr>
    </w:pPr>
  </w:style>
  <w:style w:type="numbering" w:customStyle="1" w:styleId="captions">
    <w:name w:val="captions"/>
    <w:uiPriority w:val="99"/>
    <w:rsid w:val="00582757"/>
    <w:pPr>
      <w:numPr>
        <w:numId w:val="5"/>
      </w:numPr>
    </w:pPr>
  </w:style>
  <w:style w:type="character" w:customStyle="1" w:styleId="TableTextChar">
    <w:name w:val="Table Text Char"/>
    <w:basedOn w:val="DefaultParagraphFont"/>
    <w:link w:val="TableText"/>
    <w:rsid w:val="00582757"/>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sid w:val="00582757"/>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rsid w:val="00582757"/>
    <w:pPr>
      <w:numPr>
        <w:numId w:val="3"/>
      </w:numPr>
    </w:pPr>
  </w:style>
  <w:style w:type="character" w:customStyle="1" w:styleId="CaptionChar">
    <w:name w:val="Caption Char"/>
    <w:aliases w:val="AWT Caption Char"/>
    <w:basedOn w:val="Heading1Char"/>
    <w:link w:val="Caption"/>
    <w:uiPriority w:val="12"/>
    <w:rsid w:val="00DF778F"/>
    <w:rPr>
      <w:rFonts w:ascii="Arial" w:eastAsiaTheme="majorEastAsia" w:hAnsi="Arial" w:cs="Arial"/>
      <w:b w:val="0"/>
      <w:bCs w:val="0"/>
      <w:color w:val="000000" w:themeColor="text1"/>
      <w:kern w:val="2"/>
      <w:sz w:val="24"/>
      <w:szCs w:val="2"/>
      <w:shd w:val="clear" w:color="auto" w:fill="FFFFFF"/>
      <w:lang w:val="en-GB" w:eastAsia="ja-JP"/>
      <w14:ligatures w14:val="standardContextual"/>
    </w:rPr>
  </w:style>
  <w:style w:type="numbering" w:customStyle="1" w:styleId="listbullets">
    <w:name w:val="list bullets"/>
    <w:uiPriority w:val="99"/>
    <w:rsid w:val="00582757"/>
    <w:pPr>
      <w:numPr>
        <w:numId w:val="6"/>
      </w:numPr>
    </w:pPr>
  </w:style>
  <w:style w:type="numbering" w:customStyle="1" w:styleId="ListNumber1">
    <w:name w:val="List Number1"/>
    <w:uiPriority w:val="99"/>
    <w:rsid w:val="00582757"/>
    <w:pPr>
      <w:numPr>
        <w:numId w:val="8"/>
      </w:numPr>
    </w:pPr>
  </w:style>
  <w:style w:type="character" w:customStyle="1" w:styleId="Heading6Char">
    <w:name w:val="Heading 6 Char"/>
    <w:basedOn w:val="DefaultParagraphFont"/>
    <w:link w:val="Heading6"/>
    <w:uiPriority w:val="9"/>
    <w:rsid w:val="00582757"/>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23"/>
    <w:qFormat/>
    <w:rsid w:val="00582757"/>
    <w:pPr>
      <w:keepNext w:val="0"/>
      <w:keepLines w:val="0"/>
      <w:widowControl w:val="0"/>
      <w:spacing w:before="120" w:after="0"/>
      <w:contextualSpacing/>
    </w:pPr>
    <w:rPr>
      <w:rFonts w:eastAsiaTheme="minorHAnsi" w:cstheme="minorBidi"/>
      <w:b w:val="0"/>
      <w:color w:val="427BA1"/>
      <w:spacing w:val="5"/>
      <w:kern w:val="28"/>
    </w:rPr>
  </w:style>
  <w:style w:type="character" w:customStyle="1" w:styleId="SubtitleChar">
    <w:name w:val="Subtitle Char"/>
    <w:basedOn w:val="DefaultParagraphFont"/>
    <w:link w:val="Subtitle"/>
    <w:uiPriority w:val="23"/>
    <w:rsid w:val="00582757"/>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sid w:val="00582757"/>
    <w:rPr>
      <w:rFonts w:eastAsiaTheme="minorHAnsi" w:cstheme="minorBidi"/>
      <w:sz w:val="22"/>
      <w:szCs w:val="22"/>
      <w:lang w:eastAsia="en-US"/>
    </w:rPr>
  </w:style>
  <w:style w:type="paragraph" w:customStyle="1" w:styleId="Documenttype">
    <w:name w:val="Document type"/>
    <w:basedOn w:val="Normal"/>
    <w:qFormat/>
    <w:rsid w:val="00582757"/>
    <w:pPr>
      <w:spacing w:before="360" w:after="0"/>
    </w:pPr>
    <w:rPr>
      <w:color w:val="427BA1"/>
      <w:sz w:val="36"/>
    </w:rPr>
  </w:style>
  <w:style w:type="paragraph" w:customStyle="1" w:styleId="Publicationdate">
    <w:name w:val="Publication date"/>
    <w:basedOn w:val="Normal"/>
    <w:qFormat/>
    <w:rsid w:val="00582757"/>
    <w:rPr>
      <w:color w:val="666C60"/>
      <w:sz w:val="28"/>
    </w:rPr>
  </w:style>
  <w:style w:type="paragraph" w:customStyle="1" w:styleId="TOCHeading2">
    <w:name w:val="TOC Heading 2"/>
    <w:next w:val="Normal"/>
    <w:uiPriority w:val="39"/>
    <w:rsid w:val="00582757"/>
    <w:rPr>
      <w:rFonts w:ascii="Calibri" w:eastAsiaTheme="majorEastAsia" w:hAnsi="Calibri" w:cstheme="majorBidi"/>
      <w:bCs/>
      <w:color w:val="427BA1"/>
      <w:sz w:val="36"/>
      <w:szCs w:val="28"/>
      <w:lang w:val="en-US" w:eastAsia="en-US"/>
    </w:rPr>
  </w:style>
  <w:style w:type="numbering" w:customStyle="1" w:styleId="Style1">
    <w:name w:val="Style1"/>
    <w:uiPriority w:val="99"/>
    <w:rsid w:val="00582757"/>
    <w:pPr>
      <w:numPr>
        <w:numId w:val="13"/>
      </w:numPr>
    </w:pPr>
  </w:style>
  <w:style w:type="character" w:customStyle="1" w:styleId="Heading8Char">
    <w:name w:val="Heading 8 Char"/>
    <w:basedOn w:val="DefaultParagraphFont"/>
    <w:link w:val="Heading8"/>
    <w:uiPriority w:val="9"/>
    <w:semiHidden/>
    <w:rsid w:val="00582757"/>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rsid w:val="0058275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82757"/>
    <w:rPr>
      <w:rFonts w:asciiTheme="minorHAnsi" w:eastAsiaTheme="minorHAnsi" w:hAnsiTheme="minorHAnsi" w:cstheme="minorBidi"/>
      <w:i/>
      <w:iCs/>
      <w:color w:val="4F81BD" w:themeColor="accent1"/>
      <w:sz w:val="22"/>
      <w:szCs w:val="22"/>
      <w:lang w:eastAsia="en-US"/>
    </w:rPr>
  </w:style>
  <w:style w:type="paragraph" w:customStyle="1" w:styleId="Bullet">
    <w:name w:val="Bullet"/>
    <w:basedOn w:val="ListBullet"/>
    <w:qFormat/>
    <w:rsid w:val="00643538"/>
    <w:pPr>
      <w:numPr>
        <w:numId w:val="17"/>
      </w:numPr>
    </w:pPr>
  </w:style>
  <w:style w:type="character" w:customStyle="1" w:styleId="UnresolvedMention1">
    <w:name w:val="Unresolved Mention1"/>
    <w:basedOn w:val="DefaultParagraphFont"/>
    <w:uiPriority w:val="99"/>
    <w:semiHidden/>
    <w:unhideWhenUsed/>
    <w:rsid w:val="00582757"/>
    <w:rPr>
      <w:color w:val="605E5C"/>
      <w:shd w:val="clear" w:color="auto" w:fill="E1DFDD"/>
    </w:rPr>
  </w:style>
  <w:style w:type="character" w:styleId="IntenseReference">
    <w:name w:val="Intense Reference"/>
    <w:basedOn w:val="DefaultParagraphFont"/>
    <w:uiPriority w:val="32"/>
    <w:qFormat/>
    <w:rsid w:val="00EB2A68"/>
    <w:rPr>
      <w:b/>
      <w:bCs/>
      <w:smallCaps/>
      <w:color w:val="4F81BD" w:themeColor="accent1"/>
      <w:spacing w:val="5"/>
    </w:rPr>
  </w:style>
  <w:style w:type="paragraph" w:styleId="Title">
    <w:name w:val="Title"/>
    <w:basedOn w:val="Normal"/>
    <w:next w:val="Normal"/>
    <w:link w:val="TitleChar"/>
    <w:uiPriority w:val="10"/>
    <w:qFormat/>
    <w:rsid w:val="00132F40"/>
    <w:pPr>
      <w:spacing w:after="0" w:line="240" w:lineRule="auto"/>
      <w:contextualSpacing/>
    </w:pPr>
    <w:rPr>
      <w:rFonts w:asciiTheme="majorHAnsi" w:eastAsiaTheme="majorEastAsia" w:hAnsiTheme="majorHAnsi" w:cstheme="majorBidi"/>
      <w:spacing w:val="-10"/>
      <w:kern w:val="28"/>
      <w:sz w:val="56"/>
      <w:szCs w:val="56"/>
    </w:rPr>
  </w:style>
  <w:style w:type="paragraph" w:styleId="TOC4">
    <w:name w:val="toc 4"/>
    <w:basedOn w:val="Normal"/>
    <w:next w:val="Normal"/>
    <w:autoRedefine/>
    <w:uiPriority w:val="39"/>
    <w:rsid w:val="00CD4CD2"/>
    <w:pPr>
      <w:tabs>
        <w:tab w:val="left" w:pos="1843"/>
        <w:tab w:val="left" w:pos="2127"/>
        <w:tab w:val="right" w:leader="dot" w:pos="9060"/>
      </w:tabs>
      <w:spacing w:after="100"/>
      <w:ind w:left="1418"/>
    </w:pPr>
  </w:style>
  <w:style w:type="character" w:customStyle="1" w:styleId="TitleChar">
    <w:name w:val="Title Char"/>
    <w:basedOn w:val="DefaultParagraphFont"/>
    <w:link w:val="Title"/>
    <w:uiPriority w:val="10"/>
    <w:rsid w:val="00132F40"/>
    <w:rPr>
      <w:rFonts w:asciiTheme="majorHAnsi" w:eastAsiaTheme="majorEastAsia" w:hAnsiTheme="majorHAnsi" w:cstheme="majorBidi"/>
      <w:spacing w:val="-10"/>
      <w:kern w:val="28"/>
      <w:sz w:val="56"/>
      <w:szCs w:val="56"/>
      <w:lang w:eastAsia="en-US"/>
    </w:rPr>
  </w:style>
  <w:style w:type="paragraph" w:customStyle="1" w:styleId="msonormal0">
    <w:name w:val="msonormal"/>
    <w:basedOn w:val="Normal"/>
    <w:rsid w:val="00582757"/>
    <w:pPr>
      <w:spacing w:before="100" w:beforeAutospacing="1" w:after="100" w:afterAutospacing="1" w:line="240" w:lineRule="auto"/>
    </w:pPr>
    <w:rPr>
      <w:rFonts w:ascii="Times New Roman" w:eastAsia="Times New Roman" w:hAnsi="Times New Roman" w:cs="Times New Roman"/>
      <w:lang w:eastAsia="en-AU"/>
    </w:rPr>
  </w:style>
  <w:style w:type="paragraph" w:styleId="BodyText">
    <w:name w:val="Body Text"/>
    <w:basedOn w:val="Normal"/>
    <w:link w:val="BodyTextChar"/>
    <w:uiPriority w:val="1"/>
    <w:unhideWhenUsed/>
    <w:qFormat/>
    <w:rsid w:val="00582757"/>
    <w:pPr>
      <w:widowControl w:val="0"/>
      <w:autoSpaceDE w:val="0"/>
      <w:autoSpaceDN w:val="0"/>
      <w:spacing w:after="0" w:line="240" w:lineRule="auto"/>
    </w:pPr>
    <w:rPr>
      <w:rFonts w:ascii="Times New Roman" w:eastAsia="Times New Roman" w:hAnsi="Times New Roman" w:cs="Times New Roman"/>
      <w:lang w:val="en-US" w:bidi="en-US"/>
    </w:rPr>
  </w:style>
  <w:style w:type="character" w:customStyle="1" w:styleId="BodyTextChar">
    <w:name w:val="Body Text Char"/>
    <w:basedOn w:val="DefaultParagraphFont"/>
    <w:link w:val="BodyText"/>
    <w:uiPriority w:val="1"/>
    <w:rsid w:val="00582757"/>
    <w:rPr>
      <w:rFonts w:ascii="Times New Roman" w:eastAsia="Times New Roman" w:hAnsi="Times New Roman"/>
      <w:sz w:val="22"/>
      <w:szCs w:val="22"/>
      <w:lang w:val="en-US" w:eastAsia="en-US" w:bidi="en-US"/>
    </w:rPr>
  </w:style>
  <w:style w:type="paragraph" w:customStyle="1" w:styleId="TableParagraph">
    <w:name w:val="Table Paragraph"/>
    <w:basedOn w:val="Normal"/>
    <w:uiPriority w:val="1"/>
    <w:qFormat/>
    <w:rsid w:val="00582757"/>
    <w:pPr>
      <w:widowControl w:val="0"/>
      <w:autoSpaceDE w:val="0"/>
      <w:autoSpaceDN w:val="0"/>
      <w:spacing w:before="25" w:after="0" w:line="240" w:lineRule="auto"/>
    </w:pPr>
    <w:rPr>
      <w:rFonts w:ascii="Arial" w:eastAsia="Arial" w:hAnsi="Arial" w:cs="Arial"/>
      <w:lang w:val="en-US" w:bidi="en-US"/>
    </w:rPr>
  </w:style>
  <w:style w:type="character" w:customStyle="1" w:styleId="ListParagraphChar">
    <w:name w:val="List Paragraph Char"/>
    <w:link w:val="ListParagraph"/>
    <w:uiPriority w:val="34"/>
    <w:rsid w:val="00582757"/>
    <w:rPr>
      <w:rFonts w:asciiTheme="minorHAnsi" w:eastAsiaTheme="minorHAnsi" w:hAnsiTheme="minorHAnsi" w:cstheme="minorBidi"/>
      <w:sz w:val="22"/>
      <w:szCs w:val="22"/>
      <w:lang w:eastAsia="en-US"/>
    </w:rPr>
  </w:style>
  <w:style w:type="paragraph" w:customStyle="1" w:styleId="Default">
    <w:name w:val="Default"/>
    <w:rsid w:val="00582757"/>
    <w:pPr>
      <w:autoSpaceDE w:val="0"/>
      <w:autoSpaceDN w:val="0"/>
      <w:adjustRightInd w:val="0"/>
    </w:pPr>
    <w:rPr>
      <w:rFonts w:ascii="Arial" w:hAnsi="Arial" w:cs="Arial"/>
      <w:color w:val="000000"/>
      <w:sz w:val="24"/>
      <w:szCs w:val="24"/>
    </w:rPr>
  </w:style>
  <w:style w:type="table" w:customStyle="1" w:styleId="EcosleftTableStyle">
    <w:name w:val="Ecos_left Table Style"/>
    <w:basedOn w:val="TableNormal"/>
    <w:rsid w:val="00582757"/>
    <w:rPr>
      <w:rFonts w:ascii="Calibri" w:eastAsia="Times New Roman" w:hAnsi="Calibri"/>
      <w:sz w:val="18"/>
    </w:rPr>
    <w:tblPr>
      <w:tblBorders>
        <w:top w:val="single" w:sz="4" w:space="0" w:color="B5DDDC"/>
        <w:left w:val="single" w:sz="4" w:space="0" w:color="B5DDDC"/>
        <w:bottom w:val="single" w:sz="4" w:space="0" w:color="B5DDDC"/>
        <w:right w:val="single" w:sz="4" w:space="0" w:color="B5DDDC"/>
        <w:insideH w:val="single" w:sz="4" w:space="0" w:color="B5DDDC"/>
        <w:insideV w:val="single" w:sz="4" w:space="0" w:color="B5DDDC"/>
      </w:tblBorders>
    </w:tblPr>
    <w:tcPr>
      <w:tcMar>
        <w:top w:w="57" w:type="dxa"/>
        <w:bottom w:w="57" w:type="dxa"/>
      </w:tcMar>
      <w:vAlign w:val="center"/>
    </w:tcPr>
    <w:tblStylePr w:type="firstRow">
      <w:pPr>
        <w:wordWrap/>
        <w:spacing w:beforeLines="0" w:before="0" w:beforeAutospacing="0" w:afterLines="0" w:after="0" w:afterAutospacing="0" w:line="240" w:lineRule="auto"/>
        <w:ind w:leftChars="0" w:left="0" w:rightChars="0" w:right="0" w:firstLineChars="0" w:firstLine="0"/>
        <w:jc w:val="center"/>
      </w:pPr>
      <w:rPr>
        <w:rFonts w:ascii="Calibri" w:hAnsi="Calibri"/>
        <w:b w:val="0"/>
        <w:color w:val="FFFFFF" w:themeColor="background1"/>
        <w:sz w:val="18"/>
      </w:rPr>
      <w:tblPr/>
      <w:tcPr>
        <w:shd w:val="clear" w:color="auto" w:fill="31849B" w:themeFill="accent5" w:themeFillShade="BF"/>
      </w:tcPr>
    </w:tblStylePr>
    <w:tblStylePr w:type="firstCol">
      <w:pPr>
        <w:jc w:val="left"/>
      </w:pPr>
      <w:rPr>
        <w:rFonts w:asciiTheme="minorHAnsi" w:hAnsiTheme="minorHAnsi"/>
        <w:sz w:val="18"/>
      </w:rPr>
      <w:tblPr/>
      <w:tcPr>
        <w:shd w:val="clear" w:color="auto" w:fill="DAEEF3" w:themeFill="accent5" w:themeFillTint="33"/>
      </w:tcPr>
    </w:tblStylePr>
  </w:style>
  <w:style w:type="character" w:customStyle="1" w:styleId="UnresolvedMention2">
    <w:name w:val="Unresolved Mention2"/>
    <w:basedOn w:val="DefaultParagraphFont"/>
    <w:uiPriority w:val="99"/>
    <w:rsid w:val="00582757"/>
    <w:rPr>
      <w:color w:val="605E5C"/>
      <w:shd w:val="clear" w:color="auto" w:fill="E1DFDD"/>
    </w:rPr>
  </w:style>
  <w:style w:type="table" w:customStyle="1" w:styleId="ListTable6ColourfulAccent21">
    <w:name w:val="List Table 6 Colourful – Accent 21"/>
    <w:aliases w:val="DS,List Table 6 Colorful - Accent 21"/>
    <w:basedOn w:val="TableNormal"/>
    <w:uiPriority w:val="51"/>
    <w:rsid w:val="00582757"/>
    <w:rPr>
      <w:rFonts w:asciiTheme="minorHAnsi" w:eastAsiaTheme="minorHAnsi" w:hAnsiTheme="minorHAnsi" w:cstheme="minorBidi"/>
      <w:color w:val="943634" w:themeColor="accent2" w:themeShade="BF"/>
      <w:lang w:eastAsia="en-US"/>
    </w:rPr>
    <w:tblPr>
      <w:tblStyleRowBandSize w:val="1"/>
      <w:tblStyleColBandSize w:val="1"/>
      <w:tblBorders>
        <w:bottom w:val="single" w:sz="24" w:space="0" w:color="76923C" w:themeColor="accent3" w:themeShade="BF"/>
      </w:tblBorders>
    </w:tblPr>
    <w:tblStylePr w:type="firstRow">
      <w:rPr>
        <w:b/>
        <w:bCs/>
      </w:rPr>
      <w:tblPr/>
      <w:tcPr>
        <w:tcBorders>
          <w:top w:val="single" w:sz="24" w:space="0" w:color="76923C" w:themeColor="accent3" w:themeShade="BF"/>
          <w:bottom w:val="single" w:sz="24" w:space="0" w:color="76923C" w:themeColor="accent3" w:themeShade="BF"/>
        </w:tcBorders>
      </w:tcPr>
    </w:tblStylePr>
    <w:tblStylePr w:type="lastRow">
      <w:rPr>
        <w:b w:val="0"/>
        <w:bCs/>
      </w:rPr>
      <w:tblPr/>
      <w:tcPr>
        <w:tcBorders>
          <w:top w:val="nil"/>
          <w:bottom w:val="single" w:sz="24" w:space="0" w:color="76923C" w:themeColor="accent3" w:themeShade="BF"/>
        </w:tcBorders>
      </w:tcPr>
    </w:tblStylePr>
    <w:tblStylePr w:type="firstCol">
      <w:rPr>
        <w:rFonts w:ascii="Arial" w:hAnsi="Arial"/>
        <w:b w:val="0"/>
        <w:bCs/>
        <w:color w:val="auto"/>
        <w:sz w:val="20"/>
      </w:rPr>
    </w:tblStylePr>
    <w:tblStylePr w:type="lastCol">
      <w:rPr>
        <w:rFonts w:ascii="Arial" w:hAnsi="Arial"/>
        <w:b w:val="0"/>
        <w:bCs/>
        <w:color w:val="000000" w:themeColor="text1"/>
        <w:sz w:val="20"/>
      </w:rPr>
    </w:tblStylePr>
    <w:tblStylePr w:type="band1Vert">
      <w:rPr>
        <w:rFonts w:ascii="Arial" w:hAnsi="Arial"/>
        <w:color w:val="000000" w:themeColor="text1"/>
        <w:sz w:val="20"/>
      </w:rPr>
    </w:tblStylePr>
    <w:tblStylePr w:type="band2Vert">
      <w:rPr>
        <w:rFonts w:ascii="Arial" w:hAnsi="Arial"/>
        <w:color w:val="000000" w:themeColor="text1"/>
        <w:sz w:val="20"/>
      </w:rPr>
    </w:tblStylePr>
    <w:tblStylePr w:type="band1Horz">
      <w:rPr>
        <w:b w:val="0"/>
      </w:rPr>
      <w:tblPr/>
      <w:tcPr>
        <w:tcBorders>
          <w:top w:val="single" w:sz="4" w:space="0" w:color="76923C" w:themeColor="accent3" w:themeShade="BF"/>
        </w:tcBorders>
      </w:tcPr>
    </w:tblStylePr>
    <w:tblStylePr w:type="band2Horz">
      <w:rPr>
        <w:b w:val="0"/>
      </w:rPr>
      <w:tblPr/>
      <w:tcPr>
        <w:tcBorders>
          <w:top w:val="single" w:sz="4" w:space="0" w:color="76923C" w:themeColor="accent3" w:themeShade="BF"/>
        </w:tcBorders>
      </w:tcPr>
    </w:tblStylePr>
  </w:style>
  <w:style w:type="paragraph" w:styleId="Bibliography">
    <w:name w:val="Bibliography"/>
    <w:basedOn w:val="Normal"/>
    <w:next w:val="Normal"/>
    <w:uiPriority w:val="37"/>
    <w:unhideWhenUsed/>
    <w:rsid w:val="00582757"/>
  </w:style>
  <w:style w:type="character" w:customStyle="1" w:styleId="UnresolvedMention3">
    <w:name w:val="Unresolved Mention3"/>
    <w:basedOn w:val="DefaultParagraphFont"/>
    <w:uiPriority w:val="99"/>
    <w:rsid w:val="007E4A58"/>
    <w:rPr>
      <w:color w:val="605E5C"/>
      <w:shd w:val="clear" w:color="auto" w:fill="E1DFDD"/>
    </w:rPr>
  </w:style>
  <w:style w:type="paragraph" w:customStyle="1" w:styleId="Sectionkeypoints">
    <w:name w:val="Section key points"/>
    <w:basedOn w:val="Normal"/>
    <w:qFormat/>
    <w:rsid w:val="00007360"/>
    <w:rPr>
      <w:b/>
      <w:bCs/>
      <w:i/>
      <w:iCs/>
    </w:rPr>
  </w:style>
  <w:style w:type="paragraph" w:styleId="TOC5">
    <w:name w:val="toc 5"/>
    <w:basedOn w:val="Normal"/>
    <w:next w:val="Normal"/>
    <w:autoRedefine/>
    <w:uiPriority w:val="39"/>
    <w:unhideWhenUsed/>
    <w:rsid w:val="00B30493"/>
    <w:pPr>
      <w:spacing w:after="100"/>
      <w:ind w:left="880"/>
    </w:pPr>
    <w:rPr>
      <w:rFonts w:eastAsiaTheme="minorEastAsia"/>
      <w:lang w:eastAsia="en-AU"/>
    </w:rPr>
  </w:style>
  <w:style w:type="paragraph" w:styleId="TOC6">
    <w:name w:val="toc 6"/>
    <w:basedOn w:val="Normal"/>
    <w:next w:val="Normal"/>
    <w:autoRedefine/>
    <w:uiPriority w:val="39"/>
    <w:unhideWhenUsed/>
    <w:rsid w:val="00B30493"/>
    <w:pPr>
      <w:spacing w:after="100"/>
      <w:ind w:left="1100"/>
    </w:pPr>
    <w:rPr>
      <w:rFonts w:eastAsiaTheme="minorEastAsia"/>
      <w:lang w:eastAsia="en-AU"/>
    </w:rPr>
  </w:style>
  <w:style w:type="paragraph" w:styleId="TOC7">
    <w:name w:val="toc 7"/>
    <w:basedOn w:val="Normal"/>
    <w:next w:val="Normal"/>
    <w:autoRedefine/>
    <w:uiPriority w:val="39"/>
    <w:unhideWhenUsed/>
    <w:rsid w:val="00B30493"/>
    <w:pPr>
      <w:spacing w:after="100"/>
      <w:ind w:left="1320"/>
    </w:pPr>
    <w:rPr>
      <w:rFonts w:eastAsiaTheme="minorEastAsia"/>
      <w:lang w:eastAsia="en-AU"/>
    </w:rPr>
  </w:style>
  <w:style w:type="paragraph" w:styleId="TOC8">
    <w:name w:val="toc 8"/>
    <w:basedOn w:val="Normal"/>
    <w:next w:val="Normal"/>
    <w:autoRedefine/>
    <w:uiPriority w:val="39"/>
    <w:unhideWhenUsed/>
    <w:rsid w:val="00B30493"/>
    <w:pPr>
      <w:spacing w:after="100"/>
      <w:ind w:left="1540"/>
    </w:pPr>
    <w:rPr>
      <w:rFonts w:eastAsiaTheme="minorEastAsia"/>
      <w:lang w:eastAsia="en-AU"/>
    </w:rPr>
  </w:style>
  <w:style w:type="paragraph" w:styleId="TOC9">
    <w:name w:val="toc 9"/>
    <w:basedOn w:val="Normal"/>
    <w:next w:val="Normal"/>
    <w:autoRedefine/>
    <w:uiPriority w:val="39"/>
    <w:unhideWhenUsed/>
    <w:rsid w:val="00B30493"/>
    <w:pPr>
      <w:spacing w:after="100"/>
      <w:ind w:left="1760"/>
    </w:pPr>
    <w:rPr>
      <w:rFonts w:eastAsiaTheme="minorEastAsia"/>
      <w:lang w:eastAsia="en-AU"/>
    </w:rPr>
  </w:style>
  <w:style w:type="character" w:customStyle="1" w:styleId="cf01">
    <w:name w:val="cf01"/>
    <w:basedOn w:val="DefaultParagraphFont"/>
    <w:rsid w:val="00B372DD"/>
    <w:rPr>
      <w:rFonts w:ascii="Segoe UI" w:hAnsi="Segoe UI" w:cs="Segoe UI" w:hint="default"/>
      <w:sz w:val="18"/>
      <w:szCs w:val="18"/>
    </w:rPr>
  </w:style>
  <w:style w:type="character" w:customStyle="1" w:styleId="cf11">
    <w:name w:val="cf11"/>
    <w:basedOn w:val="DefaultParagraphFont"/>
    <w:rsid w:val="00B372DD"/>
    <w:rPr>
      <w:rFonts w:ascii="Segoe UI" w:hAnsi="Segoe UI" w:cs="Segoe UI" w:hint="default"/>
      <w:i/>
      <w:iCs/>
      <w:sz w:val="18"/>
      <w:szCs w:val="18"/>
    </w:rPr>
  </w:style>
  <w:style w:type="character" w:customStyle="1" w:styleId="fontstyle01">
    <w:name w:val="fontstyle01"/>
    <w:basedOn w:val="DefaultParagraphFont"/>
    <w:rsid w:val="00D23338"/>
    <w:rPr>
      <w:rFonts w:ascii="ITCGaramondStd-Lt" w:hAnsi="ITCGaramondStd-Lt" w:hint="default"/>
      <w:b w:val="0"/>
      <w:bCs w:val="0"/>
      <w:i w:val="0"/>
      <w:iCs w:val="0"/>
      <w:color w:val="000000"/>
      <w:sz w:val="20"/>
      <w:szCs w:val="20"/>
    </w:rPr>
  </w:style>
  <w:style w:type="paragraph" w:customStyle="1" w:styleId="pf0">
    <w:name w:val="pf0"/>
    <w:basedOn w:val="Normal"/>
    <w:rsid w:val="00320F39"/>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UnresolvedMention4">
    <w:name w:val="Unresolved Mention4"/>
    <w:basedOn w:val="DefaultParagraphFont"/>
    <w:uiPriority w:val="99"/>
    <w:rsid w:val="00B55949"/>
    <w:rPr>
      <w:color w:val="605E5C"/>
      <w:shd w:val="clear" w:color="auto" w:fill="E1DFDD"/>
    </w:rPr>
  </w:style>
  <w:style w:type="character" w:customStyle="1" w:styleId="metadata--source-title">
    <w:name w:val="metadata--source-title"/>
    <w:basedOn w:val="DefaultParagraphFont"/>
    <w:rsid w:val="0059384C"/>
  </w:style>
  <w:style w:type="character" w:customStyle="1" w:styleId="title-text">
    <w:name w:val="title-text"/>
    <w:basedOn w:val="DefaultParagraphFont"/>
    <w:rsid w:val="000E6B90"/>
  </w:style>
  <w:style w:type="character" w:customStyle="1" w:styleId="ffa">
    <w:name w:val="ffa"/>
    <w:basedOn w:val="DefaultParagraphFont"/>
    <w:rsid w:val="002F1265"/>
  </w:style>
  <w:style w:type="character" w:customStyle="1" w:styleId="ws11d">
    <w:name w:val="ws11d"/>
    <w:basedOn w:val="DefaultParagraphFont"/>
    <w:rsid w:val="002F1265"/>
  </w:style>
  <w:style w:type="character" w:customStyle="1" w:styleId="ff4">
    <w:name w:val="ff4"/>
    <w:basedOn w:val="DefaultParagraphFont"/>
    <w:rsid w:val="002F1265"/>
  </w:style>
  <w:style w:type="character" w:customStyle="1" w:styleId="ff2">
    <w:name w:val="ff2"/>
    <w:basedOn w:val="DefaultParagraphFont"/>
    <w:rsid w:val="002F1265"/>
  </w:style>
  <w:style w:type="character" w:customStyle="1" w:styleId="UnresolvedMention5">
    <w:name w:val="Unresolved Mention5"/>
    <w:basedOn w:val="DefaultParagraphFont"/>
    <w:uiPriority w:val="99"/>
    <w:rsid w:val="006B0AD0"/>
    <w:rPr>
      <w:color w:val="605E5C"/>
      <w:shd w:val="clear" w:color="auto" w:fill="E1DFDD"/>
    </w:rPr>
  </w:style>
  <w:style w:type="character" w:customStyle="1" w:styleId="UnresolvedMention6">
    <w:name w:val="Unresolved Mention6"/>
    <w:basedOn w:val="DefaultParagraphFont"/>
    <w:uiPriority w:val="99"/>
    <w:rsid w:val="00915BBA"/>
    <w:rPr>
      <w:color w:val="605E5C"/>
      <w:shd w:val="clear" w:color="auto" w:fill="E1DFDD"/>
    </w:rPr>
  </w:style>
  <w:style w:type="numbering" w:customStyle="1" w:styleId="Recommendation">
    <w:name w:val="Recommendation"/>
    <w:basedOn w:val="NoList"/>
    <w:uiPriority w:val="99"/>
    <w:rsid w:val="00523ACF"/>
    <w:pPr>
      <w:numPr>
        <w:numId w:val="47"/>
      </w:numPr>
    </w:pPr>
  </w:style>
  <w:style w:type="character" w:customStyle="1" w:styleId="UnresolvedMention7">
    <w:name w:val="Unresolved Mention7"/>
    <w:basedOn w:val="DefaultParagraphFont"/>
    <w:uiPriority w:val="99"/>
    <w:rsid w:val="00815DA0"/>
    <w:rPr>
      <w:color w:val="605E5C"/>
      <w:shd w:val="clear" w:color="auto" w:fill="E1DFDD"/>
    </w:rPr>
  </w:style>
  <w:style w:type="character" w:styleId="UnresolvedMention">
    <w:name w:val="Unresolved Mention"/>
    <w:basedOn w:val="DefaultParagraphFont"/>
    <w:uiPriority w:val="99"/>
    <w:rsid w:val="00006DCD"/>
    <w:rPr>
      <w:color w:val="605E5C"/>
      <w:shd w:val="clear" w:color="auto" w:fill="E1DFDD"/>
    </w:rPr>
  </w:style>
  <w:style w:type="paragraph" w:customStyle="1" w:styleId="pf1">
    <w:name w:val="pf1"/>
    <w:basedOn w:val="Normal"/>
    <w:rsid w:val="00AB2489"/>
    <w:pPr>
      <w:spacing w:before="100" w:beforeAutospacing="1" w:after="100" w:afterAutospacing="1" w:line="240" w:lineRule="auto"/>
      <w:ind w:left="1080"/>
    </w:pPr>
    <w:rPr>
      <w:rFonts w:ascii="Times New Roman" w:eastAsia="Times New Roman" w:hAnsi="Times New Roman" w:cs="Times New Roman"/>
      <w:kern w:val="0"/>
      <w:sz w:val="24"/>
      <w:szCs w:val="24"/>
      <w:lang w:eastAsia="en-AU"/>
      <w14:ligatures w14:val="none"/>
    </w:rPr>
  </w:style>
  <w:style w:type="character" w:customStyle="1" w:styleId="cf21">
    <w:name w:val="cf21"/>
    <w:basedOn w:val="DefaultParagraphFont"/>
    <w:rsid w:val="00AB2489"/>
    <w:rPr>
      <w:rFonts w:ascii="Segoe UI" w:hAnsi="Segoe UI" w:cs="Segoe UI" w:hint="default"/>
      <w:sz w:val="18"/>
      <w:szCs w:val="18"/>
    </w:rPr>
  </w:style>
  <w:style w:type="paragraph" w:customStyle="1" w:styleId="pf2">
    <w:name w:val="pf2"/>
    <w:basedOn w:val="Normal"/>
    <w:rsid w:val="00AB248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31">
    <w:name w:val="cf31"/>
    <w:basedOn w:val="DefaultParagraphFont"/>
    <w:rsid w:val="00AB2489"/>
    <w:rPr>
      <w:rFonts w:ascii="Segoe UI" w:hAnsi="Segoe UI" w:cs="Segoe UI" w:hint="default"/>
      <w:i/>
      <w:iCs/>
      <w:sz w:val="18"/>
      <w:szCs w:val="18"/>
    </w:rPr>
  </w:style>
  <w:style w:type="character" w:styleId="Mention">
    <w:name w:val="Mention"/>
    <w:basedOn w:val="DefaultParagraphFont"/>
    <w:uiPriority w:val="99"/>
    <w:rsid w:val="009D4E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9752">
      <w:bodyDiv w:val="1"/>
      <w:marLeft w:val="0"/>
      <w:marRight w:val="0"/>
      <w:marTop w:val="0"/>
      <w:marBottom w:val="0"/>
      <w:divBdr>
        <w:top w:val="none" w:sz="0" w:space="0" w:color="auto"/>
        <w:left w:val="none" w:sz="0" w:space="0" w:color="auto"/>
        <w:bottom w:val="none" w:sz="0" w:space="0" w:color="auto"/>
        <w:right w:val="none" w:sz="0" w:space="0" w:color="auto"/>
      </w:divBdr>
    </w:div>
    <w:div w:id="713120762">
      <w:bodyDiv w:val="1"/>
      <w:marLeft w:val="0"/>
      <w:marRight w:val="0"/>
      <w:marTop w:val="0"/>
      <w:marBottom w:val="0"/>
      <w:divBdr>
        <w:top w:val="none" w:sz="0" w:space="0" w:color="auto"/>
        <w:left w:val="none" w:sz="0" w:space="0" w:color="auto"/>
        <w:bottom w:val="none" w:sz="0" w:space="0" w:color="auto"/>
        <w:right w:val="none" w:sz="0" w:space="0" w:color="auto"/>
      </w:divBdr>
    </w:div>
    <w:div w:id="740635373">
      <w:bodyDiv w:val="1"/>
      <w:marLeft w:val="0"/>
      <w:marRight w:val="0"/>
      <w:marTop w:val="0"/>
      <w:marBottom w:val="0"/>
      <w:divBdr>
        <w:top w:val="none" w:sz="0" w:space="0" w:color="auto"/>
        <w:left w:val="none" w:sz="0" w:space="0" w:color="auto"/>
        <w:bottom w:val="none" w:sz="0" w:space="0" w:color="auto"/>
        <w:right w:val="none" w:sz="0" w:space="0" w:color="auto"/>
      </w:divBdr>
    </w:div>
    <w:div w:id="805970764">
      <w:bodyDiv w:val="1"/>
      <w:marLeft w:val="0"/>
      <w:marRight w:val="0"/>
      <w:marTop w:val="0"/>
      <w:marBottom w:val="0"/>
      <w:divBdr>
        <w:top w:val="none" w:sz="0" w:space="0" w:color="auto"/>
        <w:left w:val="none" w:sz="0" w:space="0" w:color="auto"/>
        <w:bottom w:val="none" w:sz="0" w:space="0" w:color="auto"/>
        <w:right w:val="none" w:sz="0" w:space="0" w:color="auto"/>
      </w:divBdr>
    </w:div>
    <w:div w:id="1029916071">
      <w:bodyDiv w:val="1"/>
      <w:marLeft w:val="0"/>
      <w:marRight w:val="0"/>
      <w:marTop w:val="0"/>
      <w:marBottom w:val="0"/>
      <w:divBdr>
        <w:top w:val="none" w:sz="0" w:space="0" w:color="auto"/>
        <w:left w:val="none" w:sz="0" w:space="0" w:color="auto"/>
        <w:bottom w:val="none" w:sz="0" w:space="0" w:color="auto"/>
        <w:right w:val="none" w:sz="0" w:space="0" w:color="auto"/>
      </w:divBdr>
    </w:div>
    <w:div w:id="1083334330">
      <w:bodyDiv w:val="1"/>
      <w:marLeft w:val="0"/>
      <w:marRight w:val="0"/>
      <w:marTop w:val="0"/>
      <w:marBottom w:val="0"/>
      <w:divBdr>
        <w:top w:val="none" w:sz="0" w:space="0" w:color="auto"/>
        <w:left w:val="none" w:sz="0" w:space="0" w:color="auto"/>
        <w:bottom w:val="none" w:sz="0" w:space="0" w:color="auto"/>
        <w:right w:val="none" w:sz="0" w:space="0" w:color="auto"/>
      </w:divBdr>
    </w:div>
    <w:div w:id="1111826284">
      <w:bodyDiv w:val="1"/>
      <w:marLeft w:val="0"/>
      <w:marRight w:val="0"/>
      <w:marTop w:val="0"/>
      <w:marBottom w:val="0"/>
      <w:divBdr>
        <w:top w:val="none" w:sz="0" w:space="0" w:color="auto"/>
        <w:left w:val="none" w:sz="0" w:space="0" w:color="auto"/>
        <w:bottom w:val="none" w:sz="0" w:space="0" w:color="auto"/>
        <w:right w:val="none" w:sz="0" w:space="0" w:color="auto"/>
      </w:divBdr>
    </w:div>
    <w:div w:id="1515723568">
      <w:bodyDiv w:val="1"/>
      <w:marLeft w:val="0"/>
      <w:marRight w:val="0"/>
      <w:marTop w:val="0"/>
      <w:marBottom w:val="0"/>
      <w:divBdr>
        <w:top w:val="none" w:sz="0" w:space="0" w:color="auto"/>
        <w:left w:val="none" w:sz="0" w:space="0" w:color="auto"/>
        <w:bottom w:val="none" w:sz="0" w:space="0" w:color="auto"/>
        <w:right w:val="none" w:sz="0" w:space="0" w:color="auto"/>
      </w:divBdr>
    </w:div>
    <w:div w:id="1734615559">
      <w:bodyDiv w:val="1"/>
      <w:marLeft w:val="0"/>
      <w:marRight w:val="0"/>
      <w:marTop w:val="0"/>
      <w:marBottom w:val="0"/>
      <w:divBdr>
        <w:top w:val="none" w:sz="0" w:space="0" w:color="auto"/>
        <w:left w:val="none" w:sz="0" w:space="0" w:color="auto"/>
        <w:bottom w:val="none" w:sz="0" w:space="0" w:color="auto"/>
        <w:right w:val="none" w:sz="0" w:space="0" w:color="auto"/>
      </w:divBdr>
    </w:div>
    <w:div w:id="1834684517">
      <w:bodyDiv w:val="1"/>
      <w:marLeft w:val="0"/>
      <w:marRight w:val="0"/>
      <w:marTop w:val="0"/>
      <w:marBottom w:val="0"/>
      <w:divBdr>
        <w:top w:val="none" w:sz="0" w:space="0" w:color="auto"/>
        <w:left w:val="none" w:sz="0" w:space="0" w:color="auto"/>
        <w:bottom w:val="none" w:sz="0" w:space="0" w:color="auto"/>
        <w:right w:val="none" w:sz="0" w:space="0" w:color="auto"/>
      </w:divBdr>
    </w:div>
    <w:div w:id="1994948078">
      <w:bodyDiv w:val="1"/>
      <w:marLeft w:val="0"/>
      <w:marRight w:val="0"/>
      <w:marTop w:val="0"/>
      <w:marBottom w:val="0"/>
      <w:divBdr>
        <w:top w:val="none" w:sz="0" w:space="0" w:color="auto"/>
        <w:left w:val="none" w:sz="0" w:space="0" w:color="auto"/>
        <w:bottom w:val="none" w:sz="0" w:space="0" w:color="auto"/>
        <w:right w:val="none" w:sz="0" w:space="0" w:color="auto"/>
      </w:divBdr>
    </w:div>
    <w:div w:id="2054037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foodstandards.gov.au/consumer/chemicals/maxresidue/pages/default.aspx" TargetMode="External"/><Relationship Id="rId21" Type="http://schemas.openxmlformats.org/officeDocument/2006/relationships/footer" Target="footer3.xml"/><Relationship Id="rId42" Type="http://schemas.openxmlformats.org/officeDocument/2006/relationships/hyperlink" Target="https://www.infopest.com.au/" TargetMode="External"/><Relationship Id="rId47" Type="http://schemas.openxmlformats.org/officeDocument/2006/relationships/footer" Target="footer5.xml"/><Relationship Id="rId63" Type="http://schemas.openxmlformats.org/officeDocument/2006/relationships/hyperlink" Target="https://ccme.ca/en/res/metolachlor-canadian-water-quality-guidelines-for-the-protection-of-agricultural-water-uses-en.pdf" TargetMode="External"/><Relationship Id="rId68" Type="http://schemas.openxmlformats.org/officeDocument/2006/relationships/hyperlink" Target="https://www.waterquality.gov.au/anz-guidelines/framework" TargetMode="External"/><Relationship Id="rId84" Type="http://schemas.openxmlformats.org/officeDocument/2006/relationships/hyperlink" Target="https://www.msdvetmanual.com/toxicology/molybdenum-toxicity/molybdenum-toxicity-in-animals" TargetMode="External"/><Relationship Id="rId89" Type="http://schemas.openxmlformats.org/officeDocument/2006/relationships/hyperlink" Target="https://www.msdvetmanual.com/toxicology/nitrate-and-nitrite-poisoning/nitrate-and-nitrite-poisoning-in-animals" TargetMode="External"/><Relationship Id="rId16" Type="http://schemas.openxmlformats.org/officeDocument/2006/relationships/header" Target="header1.xml"/><Relationship Id="rId11" Type="http://schemas.openxmlformats.org/officeDocument/2006/relationships/image" Target="media/image1.png"/><Relationship Id="rId32" Type="http://schemas.openxmlformats.org/officeDocument/2006/relationships/hyperlink" Target="https://www.waterquality.gov.au/anz-guidelines/monitoring" TargetMode="External"/><Relationship Id="rId37" Type="http://schemas.openxmlformats.org/officeDocument/2006/relationships/hyperlink" Target="https://ccme.ca/en/res/arsenic-canadian-water-quality-guidelines-for-the-protection-of-agricultural-water-uses-en.pdf" TargetMode="External"/><Relationship Id="rId53" Type="http://schemas.openxmlformats.org/officeDocument/2006/relationships/hyperlink" Target="https://ccme.ca/en/res/chlorothalonil-canadian-water-quality-guidelines-for-the-protection-of-agricultural-water-uses-en.pdf" TargetMode="External"/><Relationship Id="rId58" Type="http://schemas.openxmlformats.org/officeDocument/2006/relationships/hyperlink" Target="https://ccme.ca/en/res/diclofop-methyl-canadian-water-quality-guidelines-for-the-protection-of-agricultural-water-uses-en.pdf" TargetMode="External"/><Relationship Id="rId74" Type="http://schemas.openxmlformats.org/officeDocument/2006/relationships/hyperlink" Target="https://www.msdvetmanual.com/toxicology/selenium-toxicosis/selenium-toxicosis-in-animals" TargetMode="External"/><Relationship Id="rId79" Type="http://schemas.openxmlformats.org/officeDocument/2006/relationships/hyperlink" Target="https://www.msdvetmanual.com/"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www.waterquality.gov.au/anz-guidelines/guideline-values/default/primary-industries/stock-water-guidance" TargetMode="External"/><Relationship Id="rId22" Type="http://schemas.openxmlformats.org/officeDocument/2006/relationships/hyperlink" Target="https://www.nhmrc.gov.au/about-us/publications/australian-drinking-water-guidelines" TargetMode="External"/><Relationship Id="rId27" Type="http://schemas.openxmlformats.org/officeDocument/2006/relationships/hyperlink" Target="https://www.foodstandards.gov.au/Pages/default.aspx" TargetMode="External"/><Relationship Id="rId30" Type="http://schemas.openxmlformats.org/officeDocument/2006/relationships/hyperlink" Target="https://www.sciencedirect.com/topics/earth-and-planetary-sciences/anabaena" TargetMode="External"/><Relationship Id="rId35" Type="http://schemas.openxmlformats.org/officeDocument/2006/relationships/hyperlink" Target="https://portal.apvma.gov.au/pubcris" TargetMode="External"/><Relationship Id="rId43" Type="http://schemas.openxmlformats.org/officeDocument/2006/relationships/header" Target="header4.xml"/><Relationship Id="rId48" Type="http://schemas.openxmlformats.org/officeDocument/2006/relationships/hyperlink" Target="https://ccme.ca/en/res/atrazine-canadian-water-quality-guidelines-for-the-protection-of-agricultural-water-uses-en.pdf" TargetMode="External"/><Relationship Id="rId56" Type="http://schemas.openxmlformats.org/officeDocument/2006/relationships/hyperlink" Target="https://ccme.ca/en/res/deltamethrin-canadian-water-quality-guidelines-for-the-protection-of-agricultural-water-uses-en.pdf" TargetMode="External"/><Relationship Id="rId64" Type="http://schemas.openxmlformats.org/officeDocument/2006/relationships/hyperlink" Target="https://ccme.ca/en/res/metribuzin-canadian-water-quality-guidelines-for-the-protection-of-agricultural-water-uses-en.pdf" TargetMode="External"/><Relationship Id="rId69" Type="http://schemas.openxmlformats.org/officeDocument/2006/relationships/hyperlink" Target="https://www.waterquality.gov.au/anz-guidelines/monitoring" TargetMode="External"/><Relationship Id="rId77" Type="http://schemas.openxmlformats.org/officeDocument/2006/relationships/hyperlink" Target="https://www.msdvetmanual.com/" TargetMode="External"/><Relationship Id="rId8" Type="http://schemas.openxmlformats.org/officeDocument/2006/relationships/webSettings" Target="webSettings.xml"/><Relationship Id="rId51" Type="http://schemas.openxmlformats.org/officeDocument/2006/relationships/hyperlink" Target="https://ccme.ca/en/res/carbaryl-canadian-water-quality-guidelines-for-the-protection-of-agricultural-water-uses-en.pdf" TargetMode="External"/><Relationship Id="rId72" Type="http://schemas.openxmlformats.org/officeDocument/2006/relationships/hyperlink" Target="https://www.msdvetmanual.com/toxicology/zinc-toxicosis/zinc-toxicosis-in-animals" TargetMode="External"/><Relationship Id="rId80" Type="http://schemas.openxmlformats.org/officeDocument/2006/relationships/hyperlink" Target="https://www.msdvetmanual.com/toxicology/lead-poisoning/lead-poisoning-in-animals" TargetMode="External"/><Relationship Id="rId85" Type="http://schemas.openxmlformats.org/officeDocument/2006/relationships/hyperlink" Target="https://www.cdc.gov/nceh/radiation/emergencies/isotopes/uranium.htm" TargetMode="External"/><Relationship Id="rId3" Type="http://schemas.openxmlformats.org/officeDocument/2006/relationships/customXml" Target="../customXml/item3.xml"/><Relationship Id="rId12" Type="http://schemas.openxmlformats.org/officeDocument/2006/relationships/hyperlink" Target="https://creativecommons.org/licenses/by/4.0/" TargetMode="External"/><Relationship Id="rId17" Type="http://schemas.openxmlformats.org/officeDocument/2006/relationships/header" Target="header2.xml"/><Relationship Id="rId25" Type="http://schemas.openxmlformats.org/officeDocument/2006/relationships/hyperlink" Target="https://www.foodstandards.gov.au/Pages/default.aspx" TargetMode="External"/><Relationship Id="rId33" Type="http://schemas.openxmlformats.org/officeDocument/2006/relationships/hyperlink" Target="https://www.waterquality.gov.au/anz-guidelines/framework" TargetMode="External"/><Relationship Id="rId38" Type="http://schemas.openxmlformats.org/officeDocument/2006/relationships/hyperlink" Target="https://ccme.ca/en/res/cadmium-canadian-water-quality-guidelines-for-the-protection-of-agricultural-water-uses-en.pdf" TargetMode="External"/><Relationship Id="rId46" Type="http://schemas.openxmlformats.org/officeDocument/2006/relationships/header" Target="header6.xml"/><Relationship Id="rId59" Type="http://schemas.openxmlformats.org/officeDocument/2006/relationships/hyperlink" Target="https://ccme.ca/en/res/dimethoate-canadian-water-quality-guidelines-for-the-protection-of-agricultural-water-uses-en.pdf" TargetMode="External"/><Relationship Id="rId67" Type="http://schemas.openxmlformats.org/officeDocument/2006/relationships/hyperlink" Target="https://ccme.ca/en/res/trifluralin-canadian-water-quality-guidelines-for-the-protection-of-agricultural-water-uses-en.pdf" TargetMode="External"/><Relationship Id="rId20" Type="http://schemas.openxmlformats.org/officeDocument/2006/relationships/header" Target="header3.xml"/><Relationship Id="rId41" Type="http://schemas.openxmlformats.org/officeDocument/2006/relationships/hyperlink" Target="https://portal.apvma.gov.au/pubcris" TargetMode="External"/><Relationship Id="rId54" Type="http://schemas.openxmlformats.org/officeDocument/2006/relationships/hyperlink" Target="https://ccme.ca/en/res/chlorpyrifos-canadian-water-quality-guidelines-for-the-protection-of-agricultural-water-uses-en.pdf" TargetMode="External"/><Relationship Id="rId62" Type="http://schemas.openxmlformats.org/officeDocument/2006/relationships/hyperlink" Target="https://ccme.ca/en/res/mcpa-canadian-water-quality-guidelines-for-the-protection-of-agricultural-water-uses-en.pdf" TargetMode="External"/><Relationship Id="rId70" Type="http://schemas.openxmlformats.org/officeDocument/2006/relationships/hyperlink" Target="http://www.fao.org/3/t0234e/T0234E00.htm" TargetMode="External"/><Relationship Id="rId75" Type="http://schemas.openxmlformats.org/officeDocument/2006/relationships/hyperlink" Target="https://www.msdvetmanual.com/" TargetMode="External"/><Relationship Id="rId83" Type="http://schemas.openxmlformats.org/officeDocument/2006/relationships/hyperlink" Target="https://www.msdvetmanual.com/" TargetMode="External"/><Relationship Id="rId88" Type="http://schemas.openxmlformats.org/officeDocument/2006/relationships/hyperlink" Target="https://www.msdvetmanual.com/"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hyperlink" Target="https://apvma.gov.au/node/10806" TargetMode="External"/><Relationship Id="rId36" Type="http://schemas.openxmlformats.org/officeDocument/2006/relationships/hyperlink" Target="https://publications.iarc.fr/_publications/media/download/6143/ef2dcba35d394362f6f5346d042bd48e5792ded3.pdf" TargetMode="External"/><Relationship Id="rId49" Type="http://schemas.openxmlformats.org/officeDocument/2006/relationships/hyperlink" Target="https://ccme.ca/en/res/bromacil-canadian-water-quality-guidelines-for-the-protection-of-agricultural-water-uses-en.pdf" TargetMode="External"/><Relationship Id="rId57" Type="http://schemas.openxmlformats.org/officeDocument/2006/relationships/hyperlink" Target="https://ccme.ca/en/res/dicamba-canadian-water-quality-guidelines-for-the-protection-of-agricultural-water-uses-en.pdf" TargetMode="External"/><Relationship Id="rId10" Type="http://schemas.openxmlformats.org/officeDocument/2006/relationships/endnotes" Target="endnotes.xml"/><Relationship Id="rId31" Type="http://schemas.openxmlformats.org/officeDocument/2006/relationships/hyperlink" Target="https://www.waterquality.gov.au/anz-guidelines/framework" TargetMode="External"/><Relationship Id="rId44" Type="http://schemas.openxmlformats.org/officeDocument/2006/relationships/header" Target="header5.xml"/><Relationship Id="rId52" Type="http://schemas.openxmlformats.org/officeDocument/2006/relationships/hyperlink" Target="https://ccme.ca/en/res/captan-canadian-water-quality-guidelines-for-the-protection-of-agricultural-water-uses-en.pdf" TargetMode="External"/><Relationship Id="rId60" Type="http://schemas.openxmlformats.org/officeDocument/2006/relationships/hyperlink" Target="https://ccme.ca/en/res/dipa-canadian-water-quality-guidelines-for-the-protection-of-agricultural-water-uses-en.pdf" TargetMode="External"/><Relationship Id="rId65" Type="http://schemas.openxmlformats.org/officeDocument/2006/relationships/hyperlink" Target="https://ccme.ca/en/res/simazine-canadian-water-quality-guidelines-for-the-protection-of-agricultural-water-uses-en.pdf" TargetMode="External"/><Relationship Id="rId73" Type="http://schemas.openxmlformats.org/officeDocument/2006/relationships/hyperlink" Target="https://www.msdvetmanual.com/" TargetMode="External"/><Relationship Id="rId78" Type="http://schemas.openxmlformats.org/officeDocument/2006/relationships/hyperlink" Target="https://www.msdvetmanual.com/toxicology/fluoride-poisoning/fluoride-poisoning-in-animals" TargetMode="External"/><Relationship Id="rId81" Type="http://schemas.openxmlformats.org/officeDocument/2006/relationships/hyperlink" Target="https://www.msdvetmanual.com/" TargetMode="External"/><Relationship Id="rId86" Type="http://schemas.openxmlformats.org/officeDocument/2006/relationships/hyperlink" Target="https://www.agric.wa.gov.au/livestock-biosecurity/water-quality-livestoc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reativecommons.org/licenses/by/4.0/legalcode" TargetMode="External"/><Relationship Id="rId18" Type="http://schemas.openxmlformats.org/officeDocument/2006/relationships/footer" Target="footer1.xml"/><Relationship Id="rId39" Type="http://schemas.openxmlformats.org/officeDocument/2006/relationships/hyperlink" Target="https://ccme.ca/en/res/chromium-canadian-water-quality-guidelines-for-the-protection-of-agricultural-water-uses-en.pdf" TargetMode="External"/><Relationship Id="rId34" Type="http://schemas.openxmlformats.org/officeDocument/2006/relationships/hyperlink" Target="https://www.waterquality.gov.au/anz-guidelines/monitoring" TargetMode="External"/><Relationship Id="rId50" Type="http://schemas.openxmlformats.org/officeDocument/2006/relationships/hyperlink" Target="https://ccme.ca/en/res/bromoxynil-canadian-water-quality-guidelines-for-the-protection-of-agricultural-water-uses-en.pdf" TargetMode="External"/><Relationship Id="rId55" Type="http://schemas.openxmlformats.org/officeDocument/2006/relationships/hyperlink" Target="https://ccme.ca/en/res/cyanazine-canadian-water-quality-guidelines-for-the-protection-of-agricultural-water-uses-en.pdf" TargetMode="External"/><Relationship Id="rId76" Type="http://schemas.openxmlformats.org/officeDocument/2006/relationships/hyperlink" Target="https://www.msdvetmanual.com/toxicology/copper-poisoning/copper-poisoning-in-animals" TargetMode="External"/><Relationship Id="rId7" Type="http://schemas.openxmlformats.org/officeDocument/2006/relationships/settings" Target="settings.xml"/><Relationship Id="rId71" Type="http://schemas.openxmlformats.org/officeDocument/2006/relationships/hyperlink" Target="https://www.msdvetmanual.com/" TargetMode="External"/><Relationship Id="rId2" Type="http://schemas.openxmlformats.org/officeDocument/2006/relationships/customXml" Target="../customXml/item2.xml"/><Relationship Id="rId29" Type="http://schemas.openxmlformats.org/officeDocument/2006/relationships/hyperlink" Target="https://apvma.gov.au/" TargetMode="External"/><Relationship Id="rId24" Type="http://schemas.openxmlformats.org/officeDocument/2006/relationships/hyperlink" Target="https://www.foodstandards.gov.au/foodsafety/standards/Pages/Primary-Production-and-Processing-(PPP)-Standards-(Chapter-4).aspx" TargetMode="External"/><Relationship Id="rId40" Type="http://schemas.openxmlformats.org/officeDocument/2006/relationships/hyperlink" Target="https://www.nhmrc.gov.au/about-us/publications/australian-drinking-water-guidelines" TargetMode="External"/><Relationship Id="rId45" Type="http://schemas.openxmlformats.org/officeDocument/2006/relationships/footer" Target="footer4.xml"/><Relationship Id="rId66" Type="http://schemas.openxmlformats.org/officeDocument/2006/relationships/hyperlink" Target="https://ccme.ca/en/res/tebuthiuron-canadian-water-quality-guidelines-for-the-protection-of-agricultural-water-uses-en.pdf" TargetMode="External"/><Relationship Id="rId87" Type="http://schemas.openxmlformats.org/officeDocument/2006/relationships/hyperlink" Target="https://www.mla.com.au/research-and-development/animal-health-welfare-and-biosecurity/parasites/" TargetMode="External"/><Relationship Id="rId61" Type="http://schemas.openxmlformats.org/officeDocument/2006/relationships/hyperlink" Target="https://ccme.ca/en/res/linuron-canadian-water-quality-guidelines-for-the-protection-of-agricultural-water-uses-en.pdf" TargetMode="External"/><Relationship Id="rId82" Type="http://schemas.openxmlformats.org/officeDocument/2006/relationships/hyperlink" Target="https://www.msdvetmanual.com/toxicology/mercury-poisoning/mercury-poisoning-in-animals" TargetMode="External"/><Relationship Id="rId1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4" ma:contentTypeDescription="Create a new document." ma:contentTypeScope="" ma:versionID="d2575a541de4f6f4146f87d786cddbb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4bfd732ecb4d90ac731c1f8eb5d3dcdc"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6FD3DF-21C6-4611-A10C-E8097917354B}">
  <ds:schemaRefs>
    <ds:schemaRef ds:uri="http://schemas.microsoft.com/sharepoint/v3/contenttype/forms"/>
  </ds:schemaRefs>
</ds:datastoreItem>
</file>

<file path=customXml/itemProps2.xml><?xml version="1.0" encoding="utf-8"?>
<ds:datastoreItem xmlns:ds="http://schemas.openxmlformats.org/officeDocument/2006/customXml" ds:itemID="{8A402B69-D5C2-4773-A730-9FAB72183ECE}">
  <ds:schemaRefs>
    <ds:schemaRef ds:uri="d869c146-c82e-4435-92e4-da91542262fd"/>
    <ds:schemaRef ds:uri="http://www.w3.org/XML/1998/namespace"/>
    <ds:schemaRef ds:uri="http://purl.org/dc/elements/1.1/"/>
    <ds:schemaRef ds:uri="http://purl.org/dc/dcmitype/"/>
    <ds:schemaRef ds:uri="81c01dc6-2c49-4730-b140-874c95cac377"/>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b98728ac-f998-415c-abee-6b046fb1441e"/>
    <ds:schemaRef ds:uri="http://schemas.microsoft.com/office/2006/metadata/properties"/>
  </ds:schemaRefs>
</ds:datastoreItem>
</file>

<file path=customXml/itemProps3.xml><?xml version="1.0" encoding="utf-8"?>
<ds:datastoreItem xmlns:ds="http://schemas.openxmlformats.org/officeDocument/2006/customXml" ds:itemID="{D4795102-41C8-406D-ACED-7E2A4796B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F07A85-98ED-4A2C-B1EF-D1690DB03D66}">
  <ds:schemaRefs>
    <ds:schemaRef ds:uri="http://schemas.openxmlformats.org/officeDocument/2006/bibliography"/>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Template>
  <TotalTime>6</TotalTime>
  <Pages>72</Pages>
  <Words>32889</Words>
  <Characters>187468</Characters>
  <Application>Microsoft Office Word</Application>
  <DocSecurity>0</DocSecurity>
  <Lines>1562</Lines>
  <Paragraphs>439</Paragraphs>
  <ScaleCrop>false</ScaleCrop>
  <HeadingPairs>
    <vt:vector size="2" baseType="variant">
      <vt:variant>
        <vt:lpstr>Title</vt:lpstr>
      </vt:variant>
      <vt:variant>
        <vt:i4>1</vt:i4>
      </vt:variant>
    </vt:vector>
  </HeadingPairs>
  <TitlesOfParts>
    <vt:vector size="1" baseType="lpstr">
      <vt:lpstr>Livestock drinking water guidelines</vt:lpstr>
    </vt:vector>
  </TitlesOfParts>
  <Company/>
  <LinksUpToDate>false</LinksUpToDate>
  <CharactersWithSpaces>219918</CharactersWithSpaces>
  <SharedDoc>false</SharedDoc>
  <HLinks>
    <vt:vector size="756" baseType="variant">
      <vt:variant>
        <vt:i4>5439605</vt:i4>
      </vt:variant>
      <vt:variant>
        <vt:i4>546</vt:i4>
      </vt:variant>
      <vt:variant>
        <vt:i4>0</vt:i4>
      </vt:variant>
      <vt:variant>
        <vt:i4>5</vt:i4>
      </vt:variant>
      <vt:variant>
        <vt:lpwstr>https://projects.ncsu.edu/project/swine_extension/publications/factsheets/811s.pdf</vt:lpwstr>
      </vt:variant>
      <vt:variant>
        <vt:lpwstr/>
      </vt:variant>
      <vt:variant>
        <vt:i4>5177359</vt:i4>
      </vt:variant>
      <vt:variant>
        <vt:i4>543</vt:i4>
      </vt:variant>
      <vt:variant>
        <vt:i4>0</vt:i4>
      </vt:variant>
      <vt:variant>
        <vt:i4>5</vt:i4>
      </vt:variant>
      <vt:variant>
        <vt:lpwstr>https://www.msdvetmanual.com/</vt:lpwstr>
      </vt:variant>
      <vt:variant>
        <vt:lpwstr/>
      </vt:variant>
      <vt:variant>
        <vt:i4>7864423</vt:i4>
      </vt:variant>
      <vt:variant>
        <vt:i4>540</vt:i4>
      </vt:variant>
      <vt:variant>
        <vt:i4>0</vt:i4>
      </vt:variant>
      <vt:variant>
        <vt:i4>5</vt:i4>
      </vt:variant>
      <vt:variant>
        <vt:lpwstr>http://www.fao.org/3/t0234e/T0234E00.htm</vt:lpwstr>
      </vt:variant>
      <vt:variant>
        <vt:lpwstr>TOC</vt:lpwstr>
      </vt:variant>
      <vt:variant>
        <vt:i4>5963797</vt:i4>
      </vt:variant>
      <vt:variant>
        <vt:i4>537</vt:i4>
      </vt:variant>
      <vt:variant>
        <vt:i4>0</vt:i4>
      </vt:variant>
      <vt:variant>
        <vt:i4>5</vt:i4>
      </vt:variant>
      <vt:variant>
        <vt:lpwstr>https://www.waterquality.gov.au/anz-guidelines/monitoring</vt:lpwstr>
      </vt:variant>
      <vt:variant>
        <vt:lpwstr/>
      </vt:variant>
      <vt:variant>
        <vt:i4>5636111</vt:i4>
      </vt:variant>
      <vt:variant>
        <vt:i4>534</vt:i4>
      </vt:variant>
      <vt:variant>
        <vt:i4>0</vt:i4>
      </vt:variant>
      <vt:variant>
        <vt:i4>5</vt:i4>
      </vt:variant>
      <vt:variant>
        <vt:lpwstr>https://www.waterquality.gov.au/anz-guidelines/framework</vt:lpwstr>
      </vt:variant>
      <vt:variant>
        <vt:lpwstr/>
      </vt:variant>
      <vt:variant>
        <vt:i4>1376285</vt:i4>
      </vt:variant>
      <vt:variant>
        <vt:i4>531</vt:i4>
      </vt:variant>
      <vt:variant>
        <vt:i4>0</vt:i4>
      </vt:variant>
      <vt:variant>
        <vt:i4>5</vt:i4>
      </vt:variant>
      <vt:variant>
        <vt:lpwstr>https://ccme.ca/en/res/trifluralin-canadian-water-quality-guidelines-for-the-protection-of-agricultural-water-uses-en.pdf</vt:lpwstr>
      </vt:variant>
      <vt:variant>
        <vt:lpwstr/>
      </vt:variant>
      <vt:variant>
        <vt:i4>196630</vt:i4>
      </vt:variant>
      <vt:variant>
        <vt:i4>528</vt:i4>
      </vt:variant>
      <vt:variant>
        <vt:i4>0</vt:i4>
      </vt:variant>
      <vt:variant>
        <vt:i4>5</vt:i4>
      </vt:variant>
      <vt:variant>
        <vt:lpwstr>https://ccme.ca/en/res/tebuthiuron-canadian-water-quality-guidelines-for-the-protection-of-agricultural-water-uses-en.pdf</vt:lpwstr>
      </vt:variant>
      <vt:variant>
        <vt:lpwstr/>
      </vt:variant>
      <vt:variant>
        <vt:i4>6291557</vt:i4>
      </vt:variant>
      <vt:variant>
        <vt:i4>525</vt:i4>
      </vt:variant>
      <vt:variant>
        <vt:i4>0</vt:i4>
      </vt:variant>
      <vt:variant>
        <vt:i4>5</vt:i4>
      </vt:variant>
      <vt:variant>
        <vt:lpwstr>https://ccme.ca/en/res/sulfolane-canadian-water-quality-guidelines-for-the-protection-of-agricultural-water-uses-en.pdf</vt:lpwstr>
      </vt:variant>
      <vt:variant>
        <vt:lpwstr/>
      </vt:variant>
      <vt:variant>
        <vt:i4>2949157</vt:i4>
      </vt:variant>
      <vt:variant>
        <vt:i4>522</vt:i4>
      </vt:variant>
      <vt:variant>
        <vt:i4>0</vt:i4>
      </vt:variant>
      <vt:variant>
        <vt:i4>5</vt:i4>
      </vt:variant>
      <vt:variant>
        <vt:lpwstr>https://ccme.ca/en/res/simazine-canadian-water-quality-guidelines-for-the-protection-of-agricultural-water-uses-en.pdf</vt:lpwstr>
      </vt:variant>
      <vt:variant>
        <vt:lpwstr/>
      </vt:variant>
      <vt:variant>
        <vt:i4>5963847</vt:i4>
      </vt:variant>
      <vt:variant>
        <vt:i4>519</vt:i4>
      </vt:variant>
      <vt:variant>
        <vt:i4>0</vt:i4>
      </vt:variant>
      <vt:variant>
        <vt:i4>5</vt:i4>
      </vt:variant>
      <vt:variant>
        <vt:lpwstr>https://ccme.ca/en/res/organotins-canadian-water-quality-guidelines-for-the-protection-of-agricultural-water-uses-en.pdf</vt:lpwstr>
      </vt:variant>
      <vt:variant>
        <vt:lpwstr/>
      </vt:variant>
      <vt:variant>
        <vt:i4>4915264</vt:i4>
      </vt:variant>
      <vt:variant>
        <vt:i4>516</vt:i4>
      </vt:variant>
      <vt:variant>
        <vt:i4>0</vt:i4>
      </vt:variant>
      <vt:variant>
        <vt:i4>5</vt:i4>
      </vt:variant>
      <vt:variant>
        <vt:lpwstr>https://ccme.ca/en/res/metribuzin-canadian-water-quality-guidelines-for-the-protection-of-agricultural-water-uses-en.pdf</vt:lpwstr>
      </vt:variant>
      <vt:variant>
        <vt:lpwstr/>
      </vt:variant>
      <vt:variant>
        <vt:i4>1835032</vt:i4>
      </vt:variant>
      <vt:variant>
        <vt:i4>513</vt:i4>
      </vt:variant>
      <vt:variant>
        <vt:i4>0</vt:i4>
      </vt:variant>
      <vt:variant>
        <vt:i4>5</vt:i4>
      </vt:variant>
      <vt:variant>
        <vt:lpwstr>https://ccme.ca/en/res/metolachlor-canadian-water-quality-guidelines-for-the-protection-of-agricultural-water-uses-en.pdf</vt:lpwstr>
      </vt:variant>
      <vt:variant>
        <vt:lpwstr/>
      </vt:variant>
      <vt:variant>
        <vt:i4>3801123</vt:i4>
      </vt:variant>
      <vt:variant>
        <vt:i4>510</vt:i4>
      </vt:variant>
      <vt:variant>
        <vt:i4>0</vt:i4>
      </vt:variant>
      <vt:variant>
        <vt:i4>5</vt:i4>
      </vt:variant>
      <vt:variant>
        <vt:lpwstr>https://ccme.ca/en/res/mcpa-canadian-water-quality-guidelines-for-the-protection-of-agricultural-water-uses-en.pdf</vt:lpwstr>
      </vt:variant>
      <vt:variant>
        <vt:lpwstr/>
      </vt:variant>
      <vt:variant>
        <vt:i4>655367</vt:i4>
      </vt:variant>
      <vt:variant>
        <vt:i4>507</vt:i4>
      </vt:variant>
      <vt:variant>
        <vt:i4>0</vt:i4>
      </vt:variant>
      <vt:variant>
        <vt:i4>5</vt:i4>
      </vt:variant>
      <vt:variant>
        <vt:lpwstr>https://ccme.ca/en/res/linuron-canadian-water-quality-guidelines-for-the-protection-of-agricultural-water-uses-en.pdf</vt:lpwstr>
      </vt:variant>
      <vt:variant>
        <vt:lpwstr/>
      </vt:variant>
      <vt:variant>
        <vt:i4>1572869</vt:i4>
      </vt:variant>
      <vt:variant>
        <vt:i4>504</vt:i4>
      </vt:variant>
      <vt:variant>
        <vt:i4>0</vt:i4>
      </vt:variant>
      <vt:variant>
        <vt:i4>5</vt:i4>
      </vt:variant>
      <vt:variant>
        <vt:lpwstr>https://ccme.ca/en/res/chlorinated-benzenes-hexachlorobenzene-canadian-water-quality-guidelines-for-the-protection-of-agricultural-water-uses-en.pdf</vt:lpwstr>
      </vt:variant>
      <vt:variant>
        <vt:lpwstr/>
      </vt:variant>
      <vt:variant>
        <vt:i4>3342377</vt:i4>
      </vt:variant>
      <vt:variant>
        <vt:i4>501</vt:i4>
      </vt:variant>
      <vt:variant>
        <vt:i4>0</vt:i4>
      </vt:variant>
      <vt:variant>
        <vt:i4>5</vt:i4>
      </vt:variant>
      <vt:variant>
        <vt:lpwstr>https://ccme.ca/en/res/dipa-canadian-water-quality-guidelines-for-the-protection-of-agricultural-water-uses-en.pdf</vt:lpwstr>
      </vt:variant>
      <vt:variant>
        <vt:lpwstr/>
      </vt:variant>
      <vt:variant>
        <vt:i4>983063</vt:i4>
      </vt:variant>
      <vt:variant>
        <vt:i4>498</vt:i4>
      </vt:variant>
      <vt:variant>
        <vt:i4>0</vt:i4>
      </vt:variant>
      <vt:variant>
        <vt:i4>5</vt:i4>
      </vt:variant>
      <vt:variant>
        <vt:lpwstr>https://ccme.ca/en/res/dinoseb-canadian-water-quality-guidelines-for-the-protection-of-agricultural-water-uses-en.pdf</vt:lpwstr>
      </vt:variant>
      <vt:variant>
        <vt:lpwstr/>
      </vt:variant>
      <vt:variant>
        <vt:i4>4259905</vt:i4>
      </vt:variant>
      <vt:variant>
        <vt:i4>495</vt:i4>
      </vt:variant>
      <vt:variant>
        <vt:i4>0</vt:i4>
      </vt:variant>
      <vt:variant>
        <vt:i4>5</vt:i4>
      </vt:variant>
      <vt:variant>
        <vt:lpwstr>https://ccme.ca/en/res/dimethoate-canadian-water-quality-guidelines-for-the-protection-of-agricultural-water-uses-en.pdf</vt:lpwstr>
      </vt:variant>
      <vt:variant>
        <vt:lpwstr/>
      </vt:variant>
      <vt:variant>
        <vt:i4>6225927</vt:i4>
      </vt:variant>
      <vt:variant>
        <vt:i4>492</vt:i4>
      </vt:variant>
      <vt:variant>
        <vt:i4>0</vt:i4>
      </vt:variant>
      <vt:variant>
        <vt:i4>5</vt:i4>
      </vt:variant>
      <vt:variant>
        <vt:lpwstr>https://ccme.ca/en/res/diclofop-methyl-canadian-water-quality-guidelines-for-the-protection-of-agricultural-water-uses-en.pdf</vt:lpwstr>
      </vt:variant>
      <vt:variant>
        <vt:lpwstr/>
      </vt:variant>
      <vt:variant>
        <vt:i4>2031646</vt:i4>
      </vt:variant>
      <vt:variant>
        <vt:i4>489</vt:i4>
      </vt:variant>
      <vt:variant>
        <vt:i4>0</vt:i4>
      </vt:variant>
      <vt:variant>
        <vt:i4>5</vt:i4>
      </vt:variant>
      <vt:variant>
        <vt:lpwstr>https://ccme.ca/en/res/dicamba-canadian-water-quality-guidelines-for-the-protection-of-agricultural-water-uses-en.pdf</vt:lpwstr>
      </vt:variant>
      <vt:variant>
        <vt:lpwstr/>
      </vt:variant>
      <vt:variant>
        <vt:i4>2752565</vt:i4>
      </vt:variant>
      <vt:variant>
        <vt:i4>486</vt:i4>
      </vt:variant>
      <vt:variant>
        <vt:i4>0</vt:i4>
      </vt:variant>
      <vt:variant>
        <vt:i4>5</vt:i4>
      </vt:variant>
      <vt:variant>
        <vt:lpwstr>https://ccme.ca/en/res/deltamethrin-canadian-water-quality-guidelines-for-the-protection-of-agricultural-water-uses-en.pdf</vt:lpwstr>
      </vt:variant>
      <vt:variant>
        <vt:lpwstr/>
      </vt:variant>
      <vt:variant>
        <vt:i4>8061047</vt:i4>
      </vt:variant>
      <vt:variant>
        <vt:i4>483</vt:i4>
      </vt:variant>
      <vt:variant>
        <vt:i4>0</vt:i4>
      </vt:variant>
      <vt:variant>
        <vt:i4>5</vt:i4>
      </vt:variant>
      <vt:variant>
        <vt:lpwstr>https://ccme.ca/en/res/cyanazine-canadian-water-quality-guidelines-for-the-protection-of-agricultural-water-uses-en.pdf</vt:lpwstr>
      </vt:variant>
      <vt:variant>
        <vt:lpwstr/>
      </vt:variant>
      <vt:variant>
        <vt:i4>2424881</vt:i4>
      </vt:variant>
      <vt:variant>
        <vt:i4>480</vt:i4>
      </vt:variant>
      <vt:variant>
        <vt:i4>0</vt:i4>
      </vt:variant>
      <vt:variant>
        <vt:i4>5</vt:i4>
      </vt:variant>
      <vt:variant>
        <vt:lpwstr>https://ccme.ca/en/res/chlorpyrifos-canadian-water-quality-guidelines-for-the-protection-of-agricultural-water-uses-en.pdf</vt:lpwstr>
      </vt:variant>
      <vt:variant>
        <vt:lpwstr/>
      </vt:variant>
      <vt:variant>
        <vt:i4>4784207</vt:i4>
      </vt:variant>
      <vt:variant>
        <vt:i4>477</vt:i4>
      </vt:variant>
      <vt:variant>
        <vt:i4>0</vt:i4>
      </vt:variant>
      <vt:variant>
        <vt:i4>5</vt:i4>
      </vt:variant>
      <vt:variant>
        <vt:lpwstr>https://ccme.ca/en/res/chlorothalonil-canadian-water-quality-guidelines-for-the-protection-of-agricultural-water-uses-en.pdf</vt:lpwstr>
      </vt:variant>
      <vt:variant>
        <vt:lpwstr/>
      </vt:variant>
      <vt:variant>
        <vt:i4>5570650</vt:i4>
      </vt:variant>
      <vt:variant>
        <vt:i4>474</vt:i4>
      </vt:variant>
      <vt:variant>
        <vt:i4>0</vt:i4>
      </vt:variant>
      <vt:variant>
        <vt:i4>5</vt:i4>
      </vt:variant>
      <vt:variant>
        <vt:lpwstr>https://ccme.ca/en/res/captan-canadian-water-quality-guidelines-for-the-protection-of-agricultural-water-uses-en.pdf</vt:lpwstr>
      </vt:variant>
      <vt:variant>
        <vt:lpwstr/>
      </vt:variant>
      <vt:variant>
        <vt:i4>5046360</vt:i4>
      </vt:variant>
      <vt:variant>
        <vt:i4>471</vt:i4>
      </vt:variant>
      <vt:variant>
        <vt:i4>0</vt:i4>
      </vt:variant>
      <vt:variant>
        <vt:i4>5</vt:i4>
      </vt:variant>
      <vt:variant>
        <vt:lpwstr>https://ccme.ca/en/res/carbofuran-canadian-water-quality-guidelines-for-the-protection-of-agricultural-water-uses-en.pdf</vt:lpwstr>
      </vt:variant>
      <vt:variant>
        <vt:lpwstr/>
      </vt:variant>
      <vt:variant>
        <vt:i4>3014716</vt:i4>
      </vt:variant>
      <vt:variant>
        <vt:i4>468</vt:i4>
      </vt:variant>
      <vt:variant>
        <vt:i4>0</vt:i4>
      </vt:variant>
      <vt:variant>
        <vt:i4>5</vt:i4>
      </vt:variant>
      <vt:variant>
        <vt:lpwstr>https://ccme.ca/en/res/carbaryl-canadian-water-quality-guidelines-for-the-protection-of-agricultural-water-uses-en.pdf</vt:lpwstr>
      </vt:variant>
      <vt:variant>
        <vt:lpwstr/>
      </vt:variant>
      <vt:variant>
        <vt:i4>5570628</vt:i4>
      </vt:variant>
      <vt:variant>
        <vt:i4>465</vt:i4>
      </vt:variant>
      <vt:variant>
        <vt:i4>0</vt:i4>
      </vt:variant>
      <vt:variant>
        <vt:i4>5</vt:i4>
      </vt:variant>
      <vt:variant>
        <vt:lpwstr>https://ccme.ca/en/res/bromoxynil-canadian-water-quality-guidelines-for-the-protection-of-agricultural-water-uses-en.pdf</vt:lpwstr>
      </vt:variant>
      <vt:variant>
        <vt:lpwstr/>
      </vt:variant>
      <vt:variant>
        <vt:i4>2228273</vt:i4>
      </vt:variant>
      <vt:variant>
        <vt:i4>462</vt:i4>
      </vt:variant>
      <vt:variant>
        <vt:i4>0</vt:i4>
      </vt:variant>
      <vt:variant>
        <vt:i4>5</vt:i4>
      </vt:variant>
      <vt:variant>
        <vt:lpwstr>https://ccme.ca/en/res/bromacil-canadian-water-quality-guidelines-for-the-protection-of-agricultural-water-uses-en.pdf</vt:lpwstr>
      </vt:variant>
      <vt:variant>
        <vt:lpwstr/>
      </vt:variant>
      <vt:variant>
        <vt:i4>2097208</vt:i4>
      </vt:variant>
      <vt:variant>
        <vt:i4>459</vt:i4>
      </vt:variant>
      <vt:variant>
        <vt:i4>0</vt:i4>
      </vt:variant>
      <vt:variant>
        <vt:i4>5</vt:i4>
      </vt:variant>
      <vt:variant>
        <vt:lpwstr>https://ccme.ca/en/res/atrazine-canadian-water-quality-guidelines-for-the-protection-of-agricultural-water-uses-en.pdf</vt:lpwstr>
      </vt:variant>
      <vt:variant>
        <vt:lpwstr/>
      </vt:variant>
      <vt:variant>
        <vt:i4>3342375</vt:i4>
      </vt:variant>
      <vt:variant>
        <vt:i4>456</vt:i4>
      </vt:variant>
      <vt:variant>
        <vt:i4>0</vt:i4>
      </vt:variant>
      <vt:variant>
        <vt:i4>5</vt:i4>
      </vt:variant>
      <vt:variant>
        <vt:lpwstr>https://ccme.ca/en/res/aldicarb-canadian-water-quality-guidelines-for-the-protection-of-agricultural-water-uses-en.pdf</vt:lpwstr>
      </vt:variant>
      <vt:variant>
        <vt:lpwstr/>
      </vt:variant>
      <vt:variant>
        <vt:i4>1507392</vt:i4>
      </vt:variant>
      <vt:variant>
        <vt:i4>453</vt:i4>
      </vt:variant>
      <vt:variant>
        <vt:i4>0</vt:i4>
      </vt:variant>
      <vt:variant>
        <vt:i4>5</vt:i4>
      </vt:variant>
      <vt:variant>
        <vt:lpwstr>C:\Users\Kylie\Downloads\Australian_Drinking_Water_Guidelines_ADWG_V3-8_Sep2022.pdf</vt:lpwstr>
      </vt:variant>
      <vt:variant>
        <vt:lpwstr/>
      </vt:variant>
      <vt:variant>
        <vt:i4>3014690</vt:i4>
      </vt:variant>
      <vt:variant>
        <vt:i4>429</vt:i4>
      </vt:variant>
      <vt:variant>
        <vt:i4>0</vt:i4>
      </vt:variant>
      <vt:variant>
        <vt:i4>5</vt:i4>
      </vt:variant>
      <vt:variant>
        <vt:lpwstr>https://ccme.ca/en/res/chromium-canadian-water-quality-guidelines-for-the-protection-of-agricultural-water-uses-en.pdf</vt:lpwstr>
      </vt:variant>
      <vt:variant>
        <vt:lpwstr/>
      </vt:variant>
      <vt:variant>
        <vt:i4>1507341</vt:i4>
      </vt:variant>
      <vt:variant>
        <vt:i4>417</vt:i4>
      </vt:variant>
      <vt:variant>
        <vt:i4>0</vt:i4>
      </vt:variant>
      <vt:variant>
        <vt:i4>5</vt:i4>
      </vt:variant>
      <vt:variant>
        <vt:lpwstr>https://ccme.ca/en/res/cadmium-canadian-water-quality-guidelines-for-the-protection-of-agricultural-water-uses-en.pdf</vt:lpwstr>
      </vt:variant>
      <vt:variant>
        <vt:lpwstr/>
      </vt:variant>
      <vt:variant>
        <vt:i4>720906</vt:i4>
      </vt:variant>
      <vt:variant>
        <vt:i4>405</vt:i4>
      </vt:variant>
      <vt:variant>
        <vt:i4>0</vt:i4>
      </vt:variant>
      <vt:variant>
        <vt:i4>5</vt:i4>
      </vt:variant>
      <vt:variant>
        <vt:lpwstr>https://ccme.ca/en/res/arsenic-canadian-water-quality-guidelines-for-the-protection-of-agricultural-water-uses-en.pdf</vt:lpwstr>
      </vt:variant>
      <vt:variant>
        <vt:lpwstr/>
      </vt:variant>
      <vt:variant>
        <vt:i4>5963797</vt:i4>
      </vt:variant>
      <vt:variant>
        <vt:i4>393</vt:i4>
      </vt:variant>
      <vt:variant>
        <vt:i4>0</vt:i4>
      </vt:variant>
      <vt:variant>
        <vt:i4>5</vt:i4>
      </vt:variant>
      <vt:variant>
        <vt:lpwstr>https://www.waterquality.gov.au/anz-guidelines/monitoring</vt:lpwstr>
      </vt:variant>
      <vt:variant>
        <vt:lpwstr/>
      </vt:variant>
      <vt:variant>
        <vt:i4>5636111</vt:i4>
      </vt:variant>
      <vt:variant>
        <vt:i4>390</vt:i4>
      </vt:variant>
      <vt:variant>
        <vt:i4>0</vt:i4>
      </vt:variant>
      <vt:variant>
        <vt:i4>5</vt:i4>
      </vt:variant>
      <vt:variant>
        <vt:lpwstr>https://www.waterquality.gov.au/anz-guidelines/framework</vt:lpwstr>
      </vt:variant>
      <vt:variant>
        <vt:lpwstr/>
      </vt:variant>
      <vt:variant>
        <vt:i4>7536707</vt:i4>
      </vt:variant>
      <vt:variant>
        <vt:i4>384</vt:i4>
      </vt:variant>
      <vt:variant>
        <vt:i4>0</vt:i4>
      </vt:variant>
      <vt:variant>
        <vt:i4>5</vt:i4>
      </vt:variant>
      <vt:variant>
        <vt:lpwstr/>
      </vt:variant>
      <vt:variant>
        <vt:lpwstr>_Molybdenum</vt:lpwstr>
      </vt:variant>
      <vt:variant>
        <vt:i4>7733312</vt:i4>
      </vt:variant>
      <vt:variant>
        <vt:i4>381</vt:i4>
      </vt:variant>
      <vt:variant>
        <vt:i4>0</vt:i4>
      </vt:variant>
      <vt:variant>
        <vt:i4>5</vt:i4>
      </vt:variant>
      <vt:variant>
        <vt:lpwstr/>
      </vt:variant>
      <vt:variant>
        <vt:lpwstr>_Copper</vt:lpwstr>
      </vt:variant>
      <vt:variant>
        <vt:i4>5963797</vt:i4>
      </vt:variant>
      <vt:variant>
        <vt:i4>378</vt:i4>
      </vt:variant>
      <vt:variant>
        <vt:i4>0</vt:i4>
      </vt:variant>
      <vt:variant>
        <vt:i4>5</vt:i4>
      </vt:variant>
      <vt:variant>
        <vt:lpwstr>https://www.waterquality.gov.au/anz-guidelines/monitoring</vt:lpwstr>
      </vt:variant>
      <vt:variant>
        <vt:lpwstr/>
      </vt:variant>
      <vt:variant>
        <vt:i4>5636111</vt:i4>
      </vt:variant>
      <vt:variant>
        <vt:i4>375</vt:i4>
      </vt:variant>
      <vt:variant>
        <vt:i4>0</vt:i4>
      </vt:variant>
      <vt:variant>
        <vt:i4>5</vt:i4>
      </vt:variant>
      <vt:variant>
        <vt:lpwstr>https://www.waterquality.gov.au/anz-guidelines/framework</vt:lpwstr>
      </vt:variant>
      <vt:variant>
        <vt:lpwstr/>
      </vt:variant>
      <vt:variant>
        <vt:i4>1441862</vt:i4>
      </vt:variant>
      <vt:variant>
        <vt:i4>357</vt:i4>
      </vt:variant>
      <vt:variant>
        <vt:i4>0</vt:i4>
      </vt:variant>
      <vt:variant>
        <vt:i4>5</vt:i4>
      </vt:variant>
      <vt:variant>
        <vt:lpwstr>https://apvma.gov.au/</vt:lpwstr>
      </vt:variant>
      <vt:variant>
        <vt:lpwstr/>
      </vt:variant>
      <vt:variant>
        <vt:i4>3342442</vt:i4>
      </vt:variant>
      <vt:variant>
        <vt:i4>354</vt:i4>
      </vt:variant>
      <vt:variant>
        <vt:i4>0</vt:i4>
      </vt:variant>
      <vt:variant>
        <vt:i4>5</vt:i4>
      </vt:variant>
      <vt:variant>
        <vt:lpwstr>https://apvma.gov.au/node/10806</vt:lpwstr>
      </vt:variant>
      <vt:variant>
        <vt:lpwstr/>
      </vt:variant>
      <vt:variant>
        <vt:i4>3145855</vt:i4>
      </vt:variant>
      <vt:variant>
        <vt:i4>351</vt:i4>
      </vt:variant>
      <vt:variant>
        <vt:i4>0</vt:i4>
      </vt:variant>
      <vt:variant>
        <vt:i4>5</vt:i4>
      </vt:variant>
      <vt:variant>
        <vt:lpwstr>https://www.foodstandards.gov.au/Pages/default.aspx</vt:lpwstr>
      </vt:variant>
      <vt:variant>
        <vt:lpwstr/>
      </vt:variant>
      <vt:variant>
        <vt:i4>4587586</vt:i4>
      </vt:variant>
      <vt:variant>
        <vt:i4>348</vt:i4>
      </vt:variant>
      <vt:variant>
        <vt:i4>0</vt:i4>
      </vt:variant>
      <vt:variant>
        <vt:i4>5</vt:i4>
      </vt:variant>
      <vt:variant>
        <vt:lpwstr>https://www.foodstandards.gov.au/consumer/chemicals/maxresidue/pages/default.aspx</vt:lpwstr>
      </vt:variant>
      <vt:variant>
        <vt:lpwstr/>
      </vt:variant>
      <vt:variant>
        <vt:i4>3145855</vt:i4>
      </vt:variant>
      <vt:variant>
        <vt:i4>345</vt:i4>
      </vt:variant>
      <vt:variant>
        <vt:i4>0</vt:i4>
      </vt:variant>
      <vt:variant>
        <vt:i4>5</vt:i4>
      </vt:variant>
      <vt:variant>
        <vt:lpwstr>https://www.foodstandards.gov.au/Pages/default.aspx</vt:lpwstr>
      </vt:variant>
      <vt:variant>
        <vt:lpwstr/>
      </vt:variant>
      <vt:variant>
        <vt:i4>7143472</vt:i4>
      </vt:variant>
      <vt:variant>
        <vt:i4>342</vt:i4>
      </vt:variant>
      <vt:variant>
        <vt:i4>0</vt:i4>
      </vt:variant>
      <vt:variant>
        <vt:i4>5</vt:i4>
      </vt:variant>
      <vt:variant>
        <vt:lpwstr>https://www.foodstandards.gov.au/foodsafety/standards/Pages/Primary-Production-and-Processing-(PPP)-Standards-(Chapter-4).aspx</vt:lpwstr>
      </vt:variant>
      <vt:variant>
        <vt:lpwstr/>
      </vt:variant>
      <vt:variant>
        <vt:i4>1507392</vt:i4>
      </vt:variant>
      <vt:variant>
        <vt:i4>333</vt:i4>
      </vt:variant>
      <vt:variant>
        <vt:i4>0</vt:i4>
      </vt:variant>
      <vt:variant>
        <vt:i4>5</vt:i4>
      </vt:variant>
      <vt:variant>
        <vt:lpwstr>C:\Users\Kylie\Downloads\Australian_Drinking_Water_Guidelines_ADWG_V3-8_Sep2022.pdf</vt:lpwstr>
      </vt:variant>
      <vt:variant>
        <vt:lpwstr/>
      </vt:variant>
      <vt:variant>
        <vt:i4>1572917</vt:i4>
      </vt:variant>
      <vt:variant>
        <vt:i4>260</vt:i4>
      </vt:variant>
      <vt:variant>
        <vt:i4>0</vt:i4>
      </vt:variant>
      <vt:variant>
        <vt:i4>5</vt:i4>
      </vt:variant>
      <vt:variant>
        <vt:lpwstr/>
      </vt:variant>
      <vt:variant>
        <vt:lpwstr>_Toc141704585</vt:lpwstr>
      </vt:variant>
      <vt:variant>
        <vt:i4>1572917</vt:i4>
      </vt:variant>
      <vt:variant>
        <vt:i4>254</vt:i4>
      </vt:variant>
      <vt:variant>
        <vt:i4>0</vt:i4>
      </vt:variant>
      <vt:variant>
        <vt:i4>5</vt:i4>
      </vt:variant>
      <vt:variant>
        <vt:lpwstr/>
      </vt:variant>
      <vt:variant>
        <vt:lpwstr>_Toc141704584</vt:lpwstr>
      </vt:variant>
      <vt:variant>
        <vt:i4>1572917</vt:i4>
      </vt:variant>
      <vt:variant>
        <vt:i4>248</vt:i4>
      </vt:variant>
      <vt:variant>
        <vt:i4>0</vt:i4>
      </vt:variant>
      <vt:variant>
        <vt:i4>5</vt:i4>
      </vt:variant>
      <vt:variant>
        <vt:lpwstr/>
      </vt:variant>
      <vt:variant>
        <vt:lpwstr>_Toc141704583</vt:lpwstr>
      </vt:variant>
      <vt:variant>
        <vt:i4>1572917</vt:i4>
      </vt:variant>
      <vt:variant>
        <vt:i4>242</vt:i4>
      </vt:variant>
      <vt:variant>
        <vt:i4>0</vt:i4>
      </vt:variant>
      <vt:variant>
        <vt:i4>5</vt:i4>
      </vt:variant>
      <vt:variant>
        <vt:lpwstr/>
      </vt:variant>
      <vt:variant>
        <vt:lpwstr>_Toc141704582</vt:lpwstr>
      </vt:variant>
      <vt:variant>
        <vt:i4>1572917</vt:i4>
      </vt:variant>
      <vt:variant>
        <vt:i4>236</vt:i4>
      </vt:variant>
      <vt:variant>
        <vt:i4>0</vt:i4>
      </vt:variant>
      <vt:variant>
        <vt:i4>5</vt:i4>
      </vt:variant>
      <vt:variant>
        <vt:lpwstr/>
      </vt:variant>
      <vt:variant>
        <vt:lpwstr>_Toc141704581</vt:lpwstr>
      </vt:variant>
      <vt:variant>
        <vt:i4>1572917</vt:i4>
      </vt:variant>
      <vt:variant>
        <vt:i4>230</vt:i4>
      </vt:variant>
      <vt:variant>
        <vt:i4>0</vt:i4>
      </vt:variant>
      <vt:variant>
        <vt:i4>5</vt:i4>
      </vt:variant>
      <vt:variant>
        <vt:lpwstr/>
      </vt:variant>
      <vt:variant>
        <vt:lpwstr>_Toc141704580</vt:lpwstr>
      </vt:variant>
      <vt:variant>
        <vt:i4>1507381</vt:i4>
      </vt:variant>
      <vt:variant>
        <vt:i4>224</vt:i4>
      </vt:variant>
      <vt:variant>
        <vt:i4>0</vt:i4>
      </vt:variant>
      <vt:variant>
        <vt:i4>5</vt:i4>
      </vt:variant>
      <vt:variant>
        <vt:lpwstr/>
      </vt:variant>
      <vt:variant>
        <vt:lpwstr>_Toc141704579</vt:lpwstr>
      </vt:variant>
      <vt:variant>
        <vt:i4>1507381</vt:i4>
      </vt:variant>
      <vt:variant>
        <vt:i4>218</vt:i4>
      </vt:variant>
      <vt:variant>
        <vt:i4>0</vt:i4>
      </vt:variant>
      <vt:variant>
        <vt:i4>5</vt:i4>
      </vt:variant>
      <vt:variant>
        <vt:lpwstr/>
      </vt:variant>
      <vt:variant>
        <vt:lpwstr>_Toc141704578</vt:lpwstr>
      </vt:variant>
      <vt:variant>
        <vt:i4>1507381</vt:i4>
      </vt:variant>
      <vt:variant>
        <vt:i4>212</vt:i4>
      </vt:variant>
      <vt:variant>
        <vt:i4>0</vt:i4>
      </vt:variant>
      <vt:variant>
        <vt:i4>5</vt:i4>
      </vt:variant>
      <vt:variant>
        <vt:lpwstr/>
      </vt:variant>
      <vt:variant>
        <vt:lpwstr>_Toc141704577</vt:lpwstr>
      </vt:variant>
      <vt:variant>
        <vt:i4>1507381</vt:i4>
      </vt:variant>
      <vt:variant>
        <vt:i4>206</vt:i4>
      </vt:variant>
      <vt:variant>
        <vt:i4>0</vt:i4>
      </vt:variant>
      <vt:variant>
        <vt:i4>5</vt:i4>
      </vt:variant>
      <vt:variant>
        <vt:lpwstr/>
      </vt:variant>
      <vt:variant>
        <vt:lpwstr>_Toc141704576</vt:lpwstr>
      </vt:variant>
      <vt:variant>
        <vt:i4>1507381</vt:i4>
      </vt:variant>
      <vt:variant>
        <vt:i4>200</vt:i4>
      </vt:variant>
      <vt:variant>
        <vt:i4>0</vt:i4>
      </vt:variant>
      <vt:variant>
        <vt:i4>5</vt:i4>
      </vt:variant>
      <vt:variant>
        <vt:lpwstr/>
      </vt:variant>
      <vt:variant>
        <vt:lpwstr>_Toc141704575</vt:lpwstr>
      </vt:variant>
      <vt:variant>
        <vt:i4>1507381</vt:i4>
      </vt:variant>
      <vt:variant>
        <vt:i4>194</vt:i4>
      </vt:variant>
      <vt:variant>
        <vt:i4>0</vt:i4>
      </vt:variant>
      <vt:variant>
        <vt:i4>5</vt:i4>
      </vt:variant>
      <vt:variant>
        <vt:lpwstr/>
      </vt:variant>
      <vt:variant>
        <vt:lpwstr>_Toc141704574</vt:lpwstr>
      </vt:variant>
      <vt:variant>
        <vt:i4>1507381</vt:i4>
      </vt:variant>
      <vt:variant>
        <vt:i4>188</vt:i4>
      </vt:variant>
      <vt:variant>
        <vt:i4>0</vt:i4>
      </vt:variant>
      <vt:variant>
        <vt:i4>5</vt:i4>
      </vt:variant>
      <vt:variant>
        <vt:lpwstr/>
      </vt:variant>
      <vt:variant>
        <vt:lpwstr>_Toc141704573</vt:lpwstr>
      </vt:variant>
      <vt:variant>
        <vt:i4>1507381</vt:i4>
      </vt:variant>
      <vt:variant>
        <vt:i4>182</vt:i4>
      </vt:variant>
      <vt:variant>
        <vt:i4>0</vt:i4>
      </vt:variant>
      <vt:variant>
        <vt:i4>5</vt:i4>
      </vt:variant>
      <vt:variant>
        <vt:lpwstr/>
      </vt:variant>
      <vt:variant>
        <vt:lpwstr>_Toc141704572</vt:lpwstr>
      </vt:variant>
      <vt:variant>
        <vt:i4>1507381</vt:i4>
      </vt:variant>
      <vt:variant>
        <vt:i4>176</vt:i4>
      </vt:variant>
      <vt:variant>
        <vt:i4>0</vt:i4>
      </vt:variant>
      <vt:variant>
        <vt:i4>5</vt:i4>
      </vt:variant>
      <vt:variant>
        <vt:lpwstr/>
      </vt:variant>
      <vt:variant>
        <vt:lpwstr>_Toc141704571</vt:lpwstr>
      </vt:variant>
      <vt:variant>
        <vt:i4>1507381</vt:i4>
      </vt:variant>
      <vt:variant>
        <vt:i4>170</vt:i4>
      </vt:variant>
      <vt:variant>
        <vt:i4>0</vt:i4>
      </vt:variant>
      <vt:variant>
        <vt:i4>5</vt:i4>
      </vt:variant>
      <vt:variant>
        <vt:lpwstr/>
      </vt:variant>
      <vt:variant>
        <vt:lpwstr>_Toc141704570</vt:lpwstr>
      </vt:variant>
      <vt:variant>
        <vt:i4>1441845</vt:i4>
      </vt:variant>
      <vt:variant>
        <vt:i4>164</vt:i4>
      </vt:variant>
      <vt:variant>
        <vt:i4>0</vt:i4>
      </vt:variant>
      <vt:variant>
        <vt:i4>5</vt:i4>
      </vt:variant>
      <vt:variant>
        <vt:lpwstr/>
      </vt:variant>
      <vt:variant>
        <vt:lpwstr>_Toc141704569</vt:lpwstr>
      </vt:variant>
      <vt:variant>
        <vt:i4>1441845</vt:i4>
      </vt:variant>
      <vt:variant>
        <vt:i4>158</vt:i4>
      </vt:variant>
      <vt:variant>
        <vt:i4>0</vt:i4>
      </vt:variant>
      <vt:variant>
        <vt:i4>5</vt:i4>
      </vt:variant>
      <vt:variant>
        <vt:lpwstr/>
      </vt:variant>
      <vt:variant>
        <vt:lpwstr>_Toc141704568</vt:lpwstr>
      </vt:variant>
      <vt:variant>
        <vt:i4>1441845</vt:i4>
      </vt:variant>
      <vt:variant>
        <vt:i4>152</vt:i4>
      </vt:variant>
      <vt:variant>
        <vt:i4>0</vt:i4>
      </vt:variant>
      <vt:variant>
        <vt:i4>5</vt:i4>
      </vt:variant>
      <vt:variant>
        <vt:lpwstr/>
      </vt:variant>
      <vt:variant>
        <vt:lpwstr>_Toc141704567</vt:lpwstr>
      </vt:variant>
      <vt:variant>
        <vt:i4>1441845</vt:i4>
      </vt:variant>
      <vt:variant>
        <vt:i4>146</vt:i4>
      </vt:variant>
      <vt:variant>
        <vt:i4>0</vt:i4>
      </vt:variant>
      <vt:variant>
        <vt:i4>5</vt:i4>
      </vt:variant>
      <vt:variant>
        <vt:lpwstr/>
      </vt:variant>
      <vt:variant>
        <vt:lpwstr>_Toc141704566</vt:lpwstr>
      </vt:variant>
      <vt:variant>
        <vt:i4>1441845</vt:i4>
      </vt:variant>
      <vt:variant>
        <vt:i4>140</vt:i4>
      </vt:variant>
      <vt:variant>
        <vt:i4>0</vt:i4>
      </vt:variant>
      <vt:variant>
        <vt:i4>5</vt:i4>
      </vt:variant>
      <vt:variant>
        <vt:lpwstr/>
      </vt:variant>
      <vt:variant>
        <vt:lpwstr>_Toc141704565</vt:lpwstr>
      </vt:variant>
      <vt:variant>
        <vt:i4>1441845</vt:i4>
      </vt:variant>
      <vt:variant>
        <vt:i4>134</vt:i4>
      </vt:variant>
      <vt:variant>
        <vt:i4>0</vt:i4>
      </vt:variant>
      <vt:variant>
        <vt:i4>5</vt:i4>
      </vt:variant>
      <vt:variant>
        <vt:lpwstr/>
      </vt:variant>
      <vt:variant>
        <vt:lpwstr>_Toc141704564</vt:lpwstr>
      </vt:variant>
      <vt:variant>
        <vt:i4>1441845</vt:i4>
      </vt:variant>
      <vt:variant>
        <vt:i4>128</vt:i4>
      </vt:variant>
      <vt:variant>
        <vt:i4>0</vt:i4>
      </vt:variant>
      <vt:variant>
        <vt:i4>5</vt:i4>
      </vt:variant>
      <vt:variant>
        <vt:lpwstr/>
      </vt:variant>
      <vt:variant>
        <vt:lpwstr>_Toc141704563</vt:lpwstr>
      </vt:variant>
      <vt:variant>
        <vt:i4>1441845</vt:i4>
      </vt:variant>
      <vt:variant>
        <vt:i4>122</vt:i4>
      </vt:variant>
      <vt:variant>
        <vt:i4>0</vt:i4>
      </vt:variant>
      <vt:variant>
        <vt:i4>5</vt:i4>
      </vt:variant>
      <vt:variant>
        <vt:lpwstr/>
      </vt:variant>
      <vt:variant>
        <vt:lpwstr>_Toc141704562</vt:lpwstr>
      </vt:variant>
      <vt:variant>
        <vt:i4>1441845</vt:i4>
      </vt:variant>
      <vt:variant>
        <vt:i4>116</vt:i4>
      </vt:variant>
      <vt:variant>
        <vt:i4>0</vt:i4>
      </vt:variant>
      <vt:variant>
        <vt:i4>5</vt:i4>
      </vt:variant>
      <vt:variant>
        <vt:lpwstr/>
      </vt:variant>
      <vt:variant>
        <vt:lpwstr>_Toc141704561</vt:lpwstr>
      </vt:variant>
      <vt:variant>
        <vt:i4>1441845</vt:i4>
      </vt:variant>
      <vt:variant>
        <vt:i4>110</vt:i4>
      </vt:variant>
      <vt:variant>
        <vt:i4>0</vt:i4>
      </vt:variant>
      <vt:variant>
        <vt:i4>5</vt:i4>
      </vt:variant>
      <vt:variant>
        <vt:lpwstr/>
      </vt:variant>
      <vt:variant>
        <vt:lpwstr>_Toc141704560</vt:lpwstr>
      </vt:variant>
      <vt:variant>
        <vt:i4>1376309</vt:i4>
      </vt:variant>
      <vt:variant>
        <vt:i4>104</vt:i4>
      </vt:variant>
      <vt:variant>
        <vt:i4>0</vt:i4>
      </vt:variant>
      <vt:variant>
        <vt:i4>5</vt:i4>
      </vt:variant>
      <vt:variant>
        <vt:lpwstr/>
      </vt:variant>
      <vt:variant>
        <vt:lpwstr>_Toc141704559</vt:lpwstr>
      </vt:variant>
      <vt:variant>
        <vt:i4>1376309</vt:i4>
      </vt:variant>
      <vt:variant>
        <vt:i4>98</vt:i4>
      </vt:variant>
      <vt:variant>
        <vt:i4>0</vt:i4>
      </vt:variant>
      <vt:variant>
        <vt:i4>5</vt:i4>
      </vt:variant>
      <vt:variant>
        <vt:lpwstr/>
      </vt:variant>
      <vt:variant>
        <vt:lpwstr>_Toc141704558</vt:lpwstr>
      </vt:variant>
      <vt:variant>
        <vt:i4>1376309</vt:i4>
      </vt:variant>
      <vt:variant>
        <vt:i4>92</vt:i4>
      </vt:variant>
      <vt:variant>
        <vt:i4>0</vt:i4>
      </vt:variant>
      <vt:variant>
        <vt:i4>5</vt:i4>
      </vt:variant>
      <vt:variant>
        <vt:lpwstr/>
      </vt:variant>
      <vt:variant>
        <vt:lpwstr>_Toc141704557</vt:lpwstr>
      </vt:variant>
      <vt:variant>
        <vt:i4>1376309</vt:i4>
      </vt:variant>
      <vt:variant>
        <vt:i4>86</vt:i4>
      </vt:variant>
      <vt:variant>
        <vt:i4>0</vt:i4>
      </vt:variant>
      <vt:variant>
        <vt:i4>5</vt:i4>
      </vt:variant>
      <vt:variant>
        <vt:lpwstr/>
      </vt:variant>
      <vt:variant>
        <vt:lpwstr>_Toc141704556</vt:lpwstr>
      </vt:variant>
      <vt:variant>
        <vt:i4>1376309</vt:i4>
      </vt:variant>
      <vt:variant>
        <vt:i4>80</vt:i4>
      </vt:variant>
      <vt:variant>
        <vt:i4>0</vt:i4>
      </vt:variant>
      <vt:variant>
        <vt:i4>5</vt:i4>
      </vt:variant>
      <vt:variant>
        <vt:lpwstr/>
      </vt:variant>
      <vt:variant>
        <vt:lpwstr>_Toc141704555</vt:lpwstr>
      </vt:variant>
      <vt:variant>
        <vt:i4>1376309</vt:i4>
      </vt:variant>
      <vt:variant>
        <vt:i4>74</vt:i4>
      </vt:variant>
      <vt:variant>
        <vt:i4>0</vt:i4>
      </vt:variant>
      <vt:variant>
        <vt:i4>5</vt:i4>
      </vt:variant>
      <vt:variant>
        <vt:lpwstr/>
      </vt:variant>
      <vt:variant>
        <vt:lpwstr>_Toc141704554</vt:lpwstr>
      </vt:variant>
      <vt:variant>
        <vt:i4>1376309</vt:i4>
      </vt:variant>
      <vt:variant>
        <vt:i4>68</vt:i4>
      </vt:variant>
      <vt:variant>
        <vt:i4>0</vt:i4>
      </vt:variant>
      <vt:variant>
        <vt:i4>5</vt:i4>
      </vt:variant>
      <vt:variant>
        <vt:lpwstr/>
      </vt:variant>
      <vt:variant>
        <vt:lpwstr>_Toc141704553</vt:lpwstr>
      </vt:variant>
      <vt:variant>
        <vt:i4>1376309</vt:i4>
      </vt:variant>
      <vt:variant>
        <vt:i4>62</vt:i4>
      </vt:variant>
      <vt:variant>
        <vt:i4>0</vt:i4>
      </vt:variant>
      <vt:variant>
        <vt:i4>5</vt:i4>
      </vt:variant>
      <vt:variant>
        <vt:lpwstr/>
      </vt:variant>
      <vt:variant>
        <vt:lpwstr>_Toc141704552</vt:lpwstr>
      </vt:variant>
      <vt:variant>
        <vt:i4>1376309</vt:i4>
      </vt:variant>
      <vt:variant>
        <vt:i4>56</vt:i4>
      </vt:variant>
      <vt:variant>
        <vt:i4>0</vt:i4>
      </vt:variant>
      <vt:variant>
        <vt:i4>5</vt:i4>
      </vt:variant>
      <vt:variant>
        <vt:lpwstr/>
      </vt:variant>
      <vt:variant>
        <vt:lpwstr>_Toc141704551</vt:lpwstr>
      </vt:variant>
      <vt:variant>
        <vt:i4>1376309</vt:i4>
      </vt:variant>
      <vt:variant>
        <vt:i4>50</vt:i4>
      </vt:variant>
      <vt:variant>
        <vt:i4>0</vt:i4>
      </vt:variant>
      <vt:variant>
        <vt:i4>5</vt:i4>
      </vt:variant>
      <vt:variant>
        <vt:lpwstr/>
      </vt:variant>
      <vt:variant>
        <vt:lpwstr>_Toc141704550</vt:lpwstr>
      </vt:variant>
      <vt:variant>
        <vt:i4>1310773</vt:i4>
      </vt:variant>
      <vt:variant>
        <vt:i4>44</vt:i4>
      </vt:variant>
      <vt:variant>
        <vt:i4>0</vt:i4>
      </vt:variant>
      <vt:variant>
        <vt:i4>5</vt:i4>
      </vt:variant>
      <vt:variant>
        <vt:lpwstr/>
      </vt:variant>
      <vt:variant>
        <vt:lpwstr>_Toc141704549</vt:lpwstr>
      </vt:variant>
      <vt:variant>
        <vt:i4>1310773</vt:i4>
      </vt:variant>
      <vt:variant>
        <vt:i4>38</vt:i4>
      </vt:variant>
      <vt:variant>
        <vt:i4>0</vt:i4>
      </vt:variant>
      <vt:variant>
        <vt:i4>5</vt:i4>
      </vt:variant>
      <vt:variant>
        <vt:lpwstr/>
      </vt:variant>
      <vt:variant>
        <vt:lpwstr>_Toc141704548</vt:lpwstr>
      </vt:variant>
      <vt:variant>
        <vt:i4>1310773</vt:i4>
      </vt:variant>
      <vt:variant>
        <vt:i4>32</vt:i4>
      </vt:variant>
      <vt:variant>
        <vt:i4>0</vt:i4>
      </vt:variant>
      <vt:variant>
        <vt:i4>5</vt:i4>
      </vt:variant>
      <vt:variant>
        <vt:lpwstr/>
      </vt:variant>
      <vt:variant>
        <vt:lpwstr>_Toc141704547</vt:lpwstr>
      </vt:variant>
      <vt:variant>
        <vt:i4>5373952</vt:i4>
      </vt:variant>
      <vt:variant>
        <vt:i4>27</vt:i4>
      </vt:variant>
      <vt:variant>
        <vt:i4>0</vt:i4>
      </vt:variant>
      <vt:variant>
        <vt:i4>5</vt:i4>
      </vt:variant>
      <vt:variant>
        <vt:lpwstr>https://creativecommons.org/licenses/by/4.0/legalcode</vt:lpwstr>
      </vt:variant>
      <vt:variant>
        <vt:lpwstr/>
      </vt:variant>
      <vt:variant>
        <vt:i4>5308424</vt:i4>
      </vt:variant>
      <vt:variant>
        <vt:i4>24</vt:i4>
      </vt:variant>
      <vt:variant>
        <vt:i4>0</vt:i4>
      </vt:variant>
      <vt:variant>
        <vt:i4>5</vt:i4>
      </vt:variant>
      <vt:variant>
        <vt:lpwstr>https://creativecommons.org/licenses/by/4.0/</vt:lpwstr>
      </vt:variant>
      <vt:variant>
        <vt:lpwstr/>
      </vt:variant>
      <vt:variant>
        <vt:i4>6029435</vt:i4>
      </vt:variant>
      <vt:variant>
        <vt:i4>21</vt:i4>
      </vt:variant>
      <vt:variant>
        <vt:i4>0</vt:i4>
      </vt:variant>
      <vt:variant>
        <vt:i4>5</vt:i4>
      </vt:variant>
      <vt:variant>
        <vt:lpwstr>https://animalhealthaustralia.com.au/wp-content/uploads/dlm_uploads/2022/06/AHiA-Annual-Report-2021.pdf</vt:lpwstr>
      </vt:variant>
      <vt:variant>
        <vt:lpwstr/>
      </vt:variant>
      <vt:variant>
        <vt:i4>3407923</vt:i4>
      </vt:variant>
      <vt:variant>
        <vt:i4>18</vt:i4>
      </vt:variant>
      <vt:variant>
        <vt:i4>0</vt:i4>
      </vt:variant>
      <vt:variant>
        <vt:i4>5</vt:i4>
      </vt:variant>
      <vt:variant>
        <vt:lpwstr>http://www.msdvetmanual.com/toxicology</vt:lpwstr>
      </vt:variant>
      <vt:variant>
        <vt:lpwstr/>
      </vt:variant>
      <vt:variant>
        <vt:i4>2031634</vt:i4>
      </vt:variant>
      <vt:variant>
        <vt:i4>15</vt:i4>
      </vt:variant>
      <vt:variant>
        <vt:i4>0</vt:i4>
      </vt:variant>
      <vt:variant>
        <vt:i4>5</vt:i4>
      </vt:variant>
      <vt:variant>
        <vt:lpwstr>https://nap.nationalacademies.org/catalog/11309/mineral-tolerance-of-animals-second-revised-edition-2005</vt:lpwstr>
      </vt:variant>
      <vt:variant>
        <vt:lpwstr/>
      </vt:variant>
      <vt:variant>
        <vt:i4>1703936</vt:i4>
      </vt:variant>
      <vt:variant>
        <vt:i4>12</vt:i4>
      </vt:variant>
      <vt:variant>
        <vt:i4>0</vt:i4>
      </vt:variant>
      <vt:variant>
        <vt:i4>5</vt:i4>
      </vt:variant>
      <vt:variant>
        <vt:lpwstr>http://www.sciencedirect.com/science/article/abs/pii/B9780123864543004449</vt:lpwstr>
      </vt:variant>
      <vt:variant>
        <vt:lpwstr/>
      </vt:variant>
      <vt:variant>
        <vt:i4>5898240</vt:i4>
      </vt:variant>
      <vt:variant>
        <vt:i4>9</vt:i4>
      </vt:variant>
      <vt:variant>
        <vt:i4>0</vt:i4>
      </vt:variant>
      <vt:variant>
        <vt:i4>5</vt:i4>
      </vt:variant>
      <vt:variant>
        <vt:lpwstr>http://www.health.nsw.gov.au/environment/water/Pages/indicator-bacteria.aspx</vt:lpwstr>
      </vt:variant>
      <vt:variant>
        <vt:lpwstr/>
      </vt:variant>
      <vt:variant>
        <vt:i4>7733285</vt:i4>
      </vt:variant>
      <vt:variant>
        <vt:i4>6</vt:i4>
      </vt:variant>
      <vt:variant>
        <vt:i4>0</vt:i4>
      </vt:variant>
      <vt:variant>
        <vt:i4>5</vt:i4>
      </vt:variant>
      <vt:variant>
        <vt:lpwstr>https://agriculture.vic.gov.au/farm-management/water/managing-dams/water-supply-in-stock-containment-areas</vt:lpwstr>
      </vt:variant>
      <vt:variant>
        <vt:lpwstr/>
      </vt:variant>
      <vt:variant>
        <vt:i4>4194305</vt:i4>
      </vt:variant>
      <vt:variant>
        <vt:i4>3</vt:i4>
      </vt:variant>
      <vt:variant>
        <vt:i4>0</vt:i4>
      </vt:variant>
      <vt:variant>
        <vt:i4>5</vt:i4>
      </vt:variant>
      <vt:variant>
        <vt:lpwstr>https://ccme.ca/en/summary-table</vt:lpwstr>
      </vt:variant>
      <vt:variant>
        <vt:lpwstr/>
      </vt:variant>
      <vt:variant>
        <vt:i4>1441882</vt:i4>
      </vt:variant>
      <vt:variant>
        <vt:i4>0</vt:i4>
      </vt:variant>
      <vt:variant>
        <vt:i4>0</vt:i4>
      </vt:variant>
      <vt:variant>
        <vt:i4>5</vt:i4>
      </vt:variant>
      <vt:variant>
        <vt:lpwstr>http://www.nhmrc.gov.au/about-us/publications/australian-drinking-water-guidelines</vt:lpwstr>
      </vt:variant>
      <vt:variant>
        <vt:lpwstr>block-views-block-file-attachments-content-block-1</vt:lpwstr>
      </vt:variant>
      <vt:variant>
        <vt:i4>3407970</vt:i4>
      </vt:variant>
      <vt:variant>
        <vt:i4>84</vt:i4>
      </vt:variant>
      <vt:variant>
        <vt:i4>0</vt:i4>
      </vt:variant>
      <vt:variant>
        <vt:i4>5</vt:i4>
      </vt:variant>
      <vt:variant>
        <vt:lpwstr>https://www.nhmrc.gov.au/about-us/publications/australian-drinking-water-guidelines</vt:lpwstr>
      </vt:variant>
      <vt:variant>
        <vt:lpwstr>download</vt:lpwstr>
      </vt:variant>
      <vt:variant>
        <vt:i4>6619168</vt:i4>
      </vt:variant>
      <vt:variant>
        <vt:i4>81</vt:i4>
      </vt:variant>
      <vt:variant>
        <vt:i4>0</vt:i4>
      </vt:variant>
      <vt:variant>
        <vt:i4>5</vt:i4>
      </vt:variant>
      <vt:variant>
        <vt:lpwstr>https://www.nhmrc.gov.au/sites/default/files/documents/attachments/22105 NHMRC - Administrative Report.pdf</vt:lpwstr>
      </vt:variant>
      <vt:variant>
        <vt:lpwstr/>
      </vt:variant>
      <vt:variant>
        <vt:i4>3407970</vt:i4>
      </vt:variant>
      <vt:variant>
        <vt:i4>78</vt:i4>
      </vt:variant>
      <vt:variant>
        <vt:i4>0</vt:i4>
      </vt:variant>
      <vt:variant>
        <vt:i4>5</vt:i4>
      </vt:variant>
      <vt:variant>
        <vt:lpwstr>https://www.nhmrc.gov.au/about-us/publications/australian-drinking-water-guidelines</vt:lpwstr>
      </vt:variant>
      <vt:variant>
        <vt:lpwstr>download</vt:lpwstr>
      </vt:variant>
      <vt:variant>
        <vt:i4>6619168</vt:i4>
      </vt:variant>
      <vt:variant>
        <vt:i4>75</vt:i4>
      </vt:variant>
      <vt:variant>
        <vt:i4>0</vt:i4>
      </vt:variant>
      <vt:variant>
        <vt:i4>5</vt:i4>
      </vt:variant>
      <vt:variant>
        <vt:lpwstr>https://www.nhmrc.gov.au/sites/default/files/documents/attachments/22105 NHMRC - Administrative Report.pdf</vt:lpwstr>
      </vt:variant>
      <vt:variant>
        <vt:lpwstr/>
      </vt:variant>
      <vt:variant>
        <vt:i4>4849745</vt:i4>
      </vt:variant>
      <vt:variant>
        <vt:i4>72</vt:i4>
      </vt:variant>
      <vt:variant>
        <vt:i4>0</vt:i4>
      </vt:variant>
      <vt:variant>
        <vt:i4>5</vt:i4>
      </vt:variant>
      <vt:variant>
        <vt:lpwstr>https://bvajournals.onlinelibrary.wiley.com/doi/abs/10.1002/vrc2.339</vt:lpwstr>
      </vt:variant>
      <vt:variant>
        <vt:lpwstr/>
      </vt:variant>
      <vt:variant>
        <vt:i4>6422650</vt:i4>
      </vt:variant>
      <vt:variant>
        <vt:i4>69</vt:i4>
      </vt:variant>
      <vt:variant>
        <vt:i4>0</vt:i4>
      </vt:variant>
      <vt:variant>
        <vt:i4>5</vt:i4>
      </vt:variant>
      <vt:variant>
        <vt:lpwstr>https://www.sciencedirect.com/science/article/pii/S0147651322003724</vt:lpwstr>
      </vt:variant>
      <vt:variant>
        <vt:lpwstr/>
      </vt:variant>
      <vt:variant>
        <vt:i4>5505103</vt:i4>
      </vt:variant>
      <vt:variant>
        <vt:i4>66</vt:i4>
      </vt:variant>
      <vt:variant>
        <vt:i4>0</vt:i4>
      </vt:variant>
      <vt:variant>
        <vt:i4>5</vt:i4>
      </vt:variant>
      <vt:variant>
        <vt:lpwstr>https://doi.org/10.1016/j.ecoenv.2022.113532.</vt:lpwstr>
      </vt:variant>
      <vt:variant>
        <vt:lpwstr/>
      </vt:variant>
      <vt:variant>
        <vt:i4>3080292</vt:i4>
      </vt:variant>
      <vt:variant>
        <vt:i4>63</vt:i4>
      </vt:variant>
      <vt:variant>
        <vt:i4>0</vt:i4>
      </vt:variant>
      <vt:variant>
        <vt:i4>5</vt:i4>
      </vt:variant>
      <vt:variant>
        <vt:lpwstr>https://www.sciencedirect.com/science/article/abs/pii/S0269749122002585</vt:lpwstr>
      </vt:variant>
      <vt:variant>
        <vt:lpwstr/>
      </vt:variant>
      <vt:variant>
        <vt:i4>65620</vt:i4>
      </vt:variant>
      <vt:variant>
        <vt:i4>60</vt:i4>
      </vt:variant>
      <vt:variant>
        <vt:i4>0</vt:i4>
      </vt:variant>
      <vt:variant>
        <vt:i4>5</vt:i4>
      </vt:variant>
      <vt:variant>
        <vt:lpwstr>https://lawr.ucdavis.edu/cooperative-extension/irrigation/drought-tips/assessing-water-quality-livestock-under-drought-conditions</vt:lpwstr>
      </vt:variant>
      <vt:variant>
        <vt:lpwstr/>
      </vt:variant>
      <vt:variant>
        <vt:i4>3604594</vt:i4>
      </vt:variant>
      <vt:variant>
        <vt:i4>57</vt:i4>
      </vt:variant>
      <vt:variant>
        <vt:i4>0</vt:i4>
      </vt:variant>
      <vt:variant>
        <vt:i4>5</vt:i4>
      </vt:variant>
      <vt:variant>
        <vt:lpwstr>https://www.atsdr.cdc.gov/ToxProfiles/tp4-c1-b.pdf</vt:lpwstr>
      </vt:variant>
      <vt:variant>
        <vt:lpwstr/>
      </vt:variant>
      <vt:variant>
        <vt:i4>1245205</vt:i4>
      </vt:variant>
      <vt:variant>
        <vt:i4>54</vt:i4>
      </vt:variant>
      <vt:variant>
        <vt:i4>0</vt:i4>
      </vt:variant>
      <vt:variant>
        <vt:i4>5</vt:i4>
      </vt:variant>
      <vt:variant>
        <vt:lpwstr>https://www.mla.com.au/globalassets/mla-corporate/research-and-development/program-areas/feeding-finishing-and-nutrition/feedlot-design-manual/05-water-quality-2016_04_01.pdf</vt:lpwstr>
      </vt:variant>
      <vt:variant>
        <vt:lpwstr/>
      </vt:variant>
      <vt:variant>
        <vt:i4>2031634</vt:i4>
      </vt:variant>
      <vt:variant>
        <vt:i4>51</vt:i4>
      </vt:variant>
      <vt:variant>
        <vt:i4>0</vt:i4>
      </vt:variant>
      <vt:variant>
        <vt:i4>5</vt:i4>
      </vt:variant>
      <vt:variant>
        <vt:lpwstr>https://nap.nationalacademies.org/catalog/11309/mineral-tolerance-of-animals-second-revised-edition-2005</vt:lpwstr>
      </vt:variant>
      <vt:variant>
        <vt:lpwstr/>
      </vt:variant>
      <vt:variant>
        <vt:i4>7733285</vt:i4>
      </vt:variant>
      <vt:variant>
        <vt:i4>48</vt:i4>
      </vt:variant>
      <vt:variant>
        <vt:i4>0</vt:i4>
      </vt:variant>
      <vt:variant>
        <vt:i4>5</vt:i4>
      </vt:variant>
      <vt:variant>
        <vt:lpwstr>https://agriculture.vic.gov.au/farm-management/water/managing-dams/water-supply-in-stock-containment-areas</vt:lpwstr>
      </vt:variant>
      <vt:variant>
        <vt:lpwstr/>
      </vt:variant>
      <vt:variant>
        <vt:i4>7733285</vt:i4>
      </vt:variant>
      <vt:variant>
        <vt:i4>45</vt:i4>
      </vt:variant>
      <vt:variant>
        <vt:i4>0</vt:i4>
      </vt:variant>
      <vt:variant>
        <vt:i4>5</vt:i4>
      </vt:variant>
      <vt:variant>
        <vt:lpwstr>https://agriculture.vic.gov.au/farm-management/water/managing-dams/water-supply-in-stock-containment-areas</vt:lpwstr>
      </vt:variant>
      <vt:variant>
        <vt:lpwstr/>
      </vt:variant>
      <vt:variant>
        <vt:i4>5963797</vt:i4>
      </vt:variant>
      <vt:variant>
        <vt:i4>42</vt:i4>
      </vt:variant>
      <vt:variant>
        <vt:i4>0</vt:i4>
      </vt:variant>
      <vt:variant>
        <vt:i4>5</vt:i4>
      </vt:variant>
      <vt:variant>
        <vt:lpwstr>https://www.waterquality.gov.au/anz-guidelines/monitoring</vt:lpwstr>
      </vt:variant>
      <vt:variant>
        <vt:lpwstr/>
      </vt:variant>
      <vt:variant>
        <vt:i4>5636111</vt:i4>
      </vt:variant>
      <vt:variant>
        <vt:i4>39</vt:i4>
      </vt:variant>
      <vt:variant>
        <vt:i4>0</vt:i4>
      </vt:variant>
      <vt:variant>
        <vt:i4>5</vt:i4>
      </vt:variant>
      <vt:variant>
        <vt:lpwstr>https://www.waterquality.gov.au/anz-guidelines/framework</vt:lpwstr>
      </vt:variant>
      <vt:variant>
        <vt:lpwstr/>
      </vt:variant>
      <vt:variant>
        <vt:i4>1572937</vt:i4>
      </vt:variant>
      <vt:variant>
        <vt:i4>36</vt:i4>
      </vt:variant>
      <vt:variant>
        <vt:i4>0</vt:i4>
      </vt:variant>
      <vt:variant>
        <vt:i4>5</vt:i4>
      </vt:variant>
      <vt:variant>
        <vt:lpwstr>https://www.health.nsw.gov.au/environment/water/Pages/indicator-bacteria.aspx</vt:lpwstr>
      </vt:variant>
      <vt:variant>
        <vt:lpwstr/>
      </vt:variant>
      <vt:variant>
        <vt:i4>6029435</vt:i4>
      </vt:variant>
      <vt:variant>
        <vt:i4>33</vt:i4>
      </vt:variant>
      <vt:variant>
        <vt:i4>0</vt:i4>
      </vt:variant>
      <vt:variant>
        <vt:i4>5</vt:i4>
      </vt:variant>
      <vt:variant>
        <vt:lpwstr>https://animalhealthaustralia.com.au/wp-content/uploads/dlm_uploads/2022/06/AHiA-Annual-Report-2021.pdf</vt:lpwstr>
      </vt:variant>
      <vt:variant>
        <vt:lpwstr/>
      </vt:variant>
      <vt:variant>
        <vt:i4>786516</vt:i4>
      </vt:variant>
      <vt:variant>
        <vt:i4>30</vt:i4>
      </vt:variant>
      <vt:variant>
        <vt:i4>0</vt:i4>
      </vt:variant>
      <vt:variant>
        <vt:i4>5</vt:i4>
      </vt:variant>
      <vt:variant>
        <vt:lpwstr>https://www.esr.cri.nz/assets/Environmental-reports/Cawthron-Report-3726-Planktonic-Cyanobacteria-ALF-for-Recreational-Guidelines.pdf</vt:lpwstr>
      </vt:variant>
      <vt:variant>
        <vt:lpwstr/>
      </vt:variant>
      <vt:variant>
        <vt:i4>7077937</vt:i4>
      </vt:variant>
      <vt:variant>
        <vt:i4>27</vt:i4>
      </vt:variant>
      <vt:variant>
        <vt:i4>0</vt:i4>
      </vt:variant>
      <vt:variant>
        <vt:i4>5</vt:i4>
      </vt:variant>
      <vt:variant>
        <vt:lpwstr>https://www.agric.wa.gov.au/small-landholders-western-australia/livestock-water-requirements-and-water-budgeting-south-west</vt:lpwstr>
      </vt:variant>
      <vt:variant>
        <vt:lpwstr>:~:text=Table%201%20Water%20requirements%20for%20various%20classess%20of%20livestock</vt:lpwstr>
      </vt:variant>
      <vt:variant>
        <vt:i4>4522066</vt:i4>
      </vt:variant>
      <vt:variant>
        <vt:i4>24</vt:i4>
      </vt:variant>
      <vt:variant>
        <vt:i4>0</vt:i4>
      </vt:variant>
      <vt:variant>
        <vt:i4>5</vt:i4>
      </vt:variant>
      <vt:variant>
        <vt:lpwstr>https://nationalpolyindustries.com.au/2018/06/14/calculating-livestock-water-requirements-for-your-farm/</vt:lpwstr>
      </vt:variant>
      <vt:variant>
        <vt:lpwstr/>
      </vt:variant>
      <vt:variant>
        <vt:i4>7798895</vt:i4>
      </vt:variant>
      <vt:variant>
        <vt:i4>21</vt:i4>
      </vt:variant>
      <vt:variant>
        <vt:i4>0</vt:i4>
      </vt:variant>
      <vt:variant>
        <vt:i4>5</vt:i4>
      </vt:variant>
      <vt:variant>
        <vt:lpwstr>https://www.sheepconnectsa.com.au/management/water/water-for-livestock/livestock-water-requirements</vt:lpwstr>
      </vt:variant>
      <vt:variant>
        <vt:lpwstr/>
      </vt:variant>
      <vt:variant>
        <vt:i4>3997794</vt:i4>
      </vt:variant>
      <vt:variant>
        <vt:i4>18</vt:i4>
      </vt:variant>
      <vt:variant>
        <vt:i4>0</vt:i4>
      </vt:variant>
      <vt:variant>
        <vt:i4>5</vt:i4>
      </vt:variant>
      <vt:variant>
        <vt:lpwstr>https://www.agric.wa.gov.au/small-landholders-western-australia/livestock-water-requirements-and-water-budgeting-south-west</vt:lpwstr>
      </vt:variant>
      <vt:variant>
        <vt:lpwstr/>
      </vt:variant>
      <vt:variant>
        <vt:i4>8192086</vt:i4>
      </vt:variant>
      <vt:variant>
        <vt:i4>15</vt:i4>
      </vt:variant>
      <vt:variant>
        <vt:i4>0</vt:i4>
      </vt:variant>
      <vt:variant>
        <vt:i4>5</vt:i4>
      </vt:variant>
      <vt:variant>
        <vt:lpwstr>https://www.dpi.nsw.gov.au/__data/assets/pdf_file/0009/96273/Water-requirements-for-sheep-and-cattle.pdf</vt:lpwstr>
      </vt:variant>
      <vt:variant>
        <vt:lpwstr/>
      </vt:variant>
      <vt:variant>
        <vt:i4>2621558</vt:i4>
      </vt:variant>
      <vt:variant>
        <vt:i4>12</vt:i4>
      </vt:variant>
      <vt:variant>
        <vt:i4>0</vt:i4>
      </vt:variant>
      <vt:variant>
        <vt:i4>5</vt:i4>
      </vt:variant>
      <vt:variant>
        <vt:lpwstr>https://agriculture.vic.gov.au/farm-management/water/farm-water-solutions/managing-farm-water-supplies</vt:lpwstr>
      </vt:variant>
      <vt:variant>
        <vt:lpwstr>h2-4</vt:lpwstr>
      </vt:variant>
      <vt:variant>
        <vt:i4>1835082</vt:i4>
      </vt:variant>
      <vt:variant>
        <vt:i4>9</vt:i4>
      </vt:variant>
      <vt:variant>
        <vt:i4>0</vt:i4>
      </vt:variant>
      <vt:variant>
        <vt:i4>5</vt:i4>
      </vt:variant>
      <vt:variant>
        <vt:lpwstr>https://www.vedantu.com/biology/difference-between-pathogen-and-parasite</vt:lpwstr>
      </vt:variant>
      <vt:variant>
        <vt:lpwstr/>
      </vt:variant>
      <vt:variant>
        <vt:i4>524369</vt:i4>
      </vt:variant>
      <vt:variant>
        <vt:i4>6</vt:i4>
      </vt:variant>
      <vt:variant>
        <vt:i4>0</vt:i4>
      </vt:variant>
      <vt:variant>
        <vt:i4>5</vt:i4>
      </vt:variant>
      <vt:variant>
        <vt:lpwstr>https://aus01.safelinks.protection.outlook.com/?url=https%3A%2F%2Furldefense.proofpoint.com%2Fv2%2Furl%3Fu%3Dhttp-3A__foodstandards.gov.au%26d%3DDwQGaQ%26c%3DeuGZstcaTDllvimEN8b7jXrwqOf-v5A_CdpgnVfiiMM%26r%3DxLk5fhjp6vS3Y52p00nUP1-YAUWcJogfiuV_u0rAdiA%26m%3DHYzTNJBtmSXBjAQ9mYbRJdN5Ky1XjGs1iBZd-DmNhYZdcWIehbSX-5s6Zybbv-Ea%26s%3DNnt3-1tSfa_qdQEVWUS8elqD0GE7Lob2C0C3bOU5HdY%26e%3D&amp;data=05%7C01%7Ckylie.evans%40biotext.com.au%7C63b873d4a28642996d2608db875f767f%7C6531b83808f54d1eb083470479617c59%7C0%7C0%7C638252618024899158%7CUnknown%7CTWFpbGZsb3d8eyJWIjoiMC4wLjAwMDAiLCJQIjoiV2luMzIiLCJBTiI6Ik1haWwiLCJXVCI6Mn0%3D%7C1000%7C%7C%7C&amp;sdata=AfHqfXybDnaAcFJYliq5eJD%2BPTaGQ9frgANhkj2rICk%3D&amp;reserved=0</vt:lpwstr>
      </vt:variant>
      <vt:variant>
        <vt:lpwstr/>
      </vt:variant>
      <vt:variant>
        <vt:i4>5636207</vt:i4>
      </vt:variant>
      <vt:variant>
        <vt:i4>3</vt:i4>
      </vt:variant>
      <vt:variant>
        <vt:i4>0</vt:i4>
      </vt:variant>
      <vt:variant>
        <vt:i4>5</vt:i4>
      </vt:variant>
      <vt:variant>
        <vt:lpwstr>https://aus01.safelinks.protection.outlook.com/?url=https%3A%2F%2Furldefense.proofpoint.com%2Fv2%2Furl%3Fu%3Dhttps-3A__urldefense.com_v3_-5F-5Fhttps-3A_www.foodstandards.gov.au_science_surveillance_pages_australiantotaldiets1914.aspx-5F-5F-3B-21-21PUY2jUP3Fp7oEg-21AqRQroYzVsDPi2lvaEwvQWwUq6-2DNqQYcoki-2DRU64aTMQQ1IVljeVYFiUhsCvw61b9eWOppj72CfU9CmBeF-2DTEpdwGyqcSdJrOhsiUA-24%26d%3DDwMGaQ%26c%3DeuGZstcaTDllvimEN8b7jXrwqOf-v5A_CdpgnVfiiMM%26r%3DxLk5fhjp6vS3Y52p00nUP1-YAUWcJogfiuV_u0rAdiA%26m%3DHYzTNJBtmSXBjAQ9mYbRJdN5Ky1XjGs1iBZd-DmNhYZdcWIehbSX-5s6Zybbv-Ea%26s%3DlCe6zO-kK6MTuRQ5vOAZqiVFB6_rZJldc-kH_Iy__Fs%26e%3D&amp;data=05%7C01%7Ckylie.evans%40biotext.com.au%7C63b873d4a28642996d2608db875f767f%7C6531b83808f54d1eb083470479617c59%7C0%7C0%7C638252618024899158%7CUnknown%7CTWFpbGZsb3d8eyJWIjoiMC4wLjAwMDAiLCJQIjoiV2luMzIiLCJBTiI6Ik1haWwiLCJXVCI6Mn0%3D%7C1000%7C%7C%7C&amp;sdata=CJqq0kbWFxWYEC%2Ble9hBBbnYairS8aSJugHNdA2fi%2BY%3D&amp;reserved=0</vt:lpwstr>
      </vt:variant>
      <vt:variant>
        <vt:lpwstr/>
      </vt:variant>
      <vt:variant>
        <vt:i4>6488188</vt:i4>
      </vt:variant>
      <vt:variant>
        <vt:i4>0</vt:i4>
      </vt:variant>
      <vt:variant>
        <vt:i4>0</vt:i4>
      </vt:variant>
      <vt:variant>
        <vt:i4>5</vt:i4>
      </vt:variant>
      <vt:variant>
        <vt:lpwstr>https://www.sciencedirect.com/science/article/pii/S266601642200041X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Livestock drinking water guidelines</dc:title>
  <dc:subject/>
  <dc:creator>Department of Climate Change, Energy, Environment and Water</dc:creator>
  <cp:keywords/>
  <cp:lastModifiedBy>Nguyen, Lien</cp:lastModifiedBy>
  <cp:revision>3</cp:revision>
  <dcterms:created xsi:type="dcterms:W3CDTF">2023-10-31T07:10:00Z</dcterms:created>
  <dcterms:modified xsi:type="dcterms:W3CDTF">2023-11-08T01:18:00Z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#000000,10,Calibri</vt:lpwstr>
  </property>
  <property fmtid="{D5CDD505-2E9C-101B-9397-08002B2CF9AE}" pid="3" name="ClassificationContentMarkingHeaderShapeIds">
    <vt:lpwstr>1,2,3,4,5,7</vt:lpwstr>
  </property>
  <property fmtid="{D5CDD505-2E9C-101B-9397-08002B2CF9AE}" pid="4" name="ClassificationContentMarkingHeaderText">
    <vt:lpwstr>OFFICIAL </vt:lpwstr>
  </property>
  <property fmtid="{D5CDD505-2E9C-101B-9397-08002B2CF9AE}" pid="5" name="ContentTypeId">
    <vt:lpwstr>0x010100E3A4F77836BB3D4E8942C3BA8310D952</vt:lpwstr>
  </property>
  <property fmtid="{D5CDD505-2E9C-101B-9397-08002B2CF9AE}" pid="6" name="MediaServiceImageTags">
    <vt:lpwstr/>
  </property>
  <property fmtid="{D5CDD505-2E9C-101B-9397-08002B2CF9AE}" pid="7" name="Order">
    <vt:r8>5384200</vt:r8>
  </property>
  <property fmtid="{D5CDD505-2E9C-101B-9397-08002B2CF9AE}" pid="8" name="_dlc_DocIdItemGuid">
    <vt:lpwstr>70ff8669-6075-4a38-a47e-7157e04735c9</vt:lpwstr>
  </property>
</Properties>
</file>