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D65D" w14:textId="77777777" w:rsidR="001C0D1C" w:rsidRDefault="00FB47A6">
      <w:pPr>
        <w:pStyle w:val="Heading1"/>
      </w:pPr>
      <w:r>
        <w:t>Toxicant default guideline values for aquatic ecosystem protection</w:t>
      </w:r>
    </w:p>
    <w:p w14:paraId="3528D65E" w14:textId="77777777" w:rsidR="001C0D1C" w:rsidRDefault="00FB47A6">
      <w:pPr>
        <w:pStyle w:val="Subtitle"/>
      </w:pPr>
      <w:r>
        <w:t>Mancozeb</w:t>
      </w:r>
      <w:r w:rsidR="00EE7040">
        <w:t xml:space="preserve"> </w:t>
      </w:r>
      <w:r w:rsidR="004D52CE">
        <w:t>in freshwater</w:t>
      </w:r>
    </w:p>
    <w:p w14:paraId="3528D65F" w14:textId="77777777" w:rsidR="001C0D1C" w:rsidRDefault="00FB47A6">
      <w:pPr>
        <w:pStyle w:val="Documenttype"/>
      </w:pPr>
      <w:r>
        <w:t>Technical brief</w:t>
      </w:r>
    </w:p>
    <w:p w14:paraId="3528D660" w14:textId="77777777" w:rsidR="001C0D1C" w:rsidRDefault="00FB47A6">
      <w:pPr>
        <w:pStyle w:val="Publicationdate"/>
        <w:rPr>
          <w:highlight w:val="yellow"/>
        </w:rPr>
      </w:pPr>
      <w:r>
        <w:t>Ju</w:t>
      </w:r>
      <w:r w:rsidR="00BB20B9">
        <w:t>ly</w:t>
      </w:r>
      <w:r>
        <w:t xml:space="preserve"> 2023</w:t>
      </w:r>
    </w:p>
    <w:p w14:paraId="3528D661" w14:textId="77777777" w:rsidR="001C0D1C" w:rsidRDefault="00FB47A6">
      <w:pPr>
        <w:spacing w:after="0" w:line="240" w:lineRule="auto"/>
        <w:rPr>
          <w:noProof/>
          <w:lang w:eastAsia="en-AU"/>
        </w:rPr>
      </w:pPr>
      <w:r>
        <w:br w:type="page"/>
      </w:r>
    </w:p>
    <w:p w14:paraId="3528D662" w14:textId="77777777" w:rsidR="001C0D1C" w:rsidRDefault="00FB47A6">
      <w:pPr>
        <w:rPr>
          <w:sz w:val="18"/>
          <w:szCs w:val="18"/>
        </w:rPr>
      </w:pPr>
      <w:r>
        <w:rPr>
          <w:sz w:val="18"/>
          <w:szCs w:val="18"/>
        </w:rPr>
        <w:lastRenderedPageBreak/>
        <w:t>© Commonwealth of Australia 202</w:t>
      </w:r>
      <w:r w:rsidR="00016D8D">
        <w:rPr>
          <w:sz w:val="18"/>
          <w:szCs w:val="18"/>
        </w:rPr>
        <w:t>3</w:t>
      </w:r>
    </w:p>
    <w:p w14:paraId="3528D663" w14:textId="77777777" w:rsidR="001C0D1C" w:rsidRDefault="00FB47A6">
      <w:pPr>
        <w:spacing w:after="0"/>
        <w:rPr>
          <w:rFonts w:ascii="Calibri" w:hAnsi="Calibri"/>
          <w:b/>
          <w:sz w:val="18"/>
          <w:szCs w:val="18"/>
        </w:rPr>
      </w:pPr>
      <w:r>
        <w:rPr>
          <w:rFonts w:ascii="Calibri" w:hAnsi="Calibri"/>
          <w:b/>
          <w:sz w:val="18"/>
          <w:szCs w:val="18"/>
        </w:rPr>
        <w:t>Ownership of intellectual property rights</w:t>
      </w:r>
    </w:p>
    <w:p w14:paraId="3528D664" w14:textId="77777777" w:rsidR="004D52CE" w:rsidRDefault="00FB47A6" w:rsidP="004D52CE">
      <w:pPr>
        <w:rPr>
          <w:sz w:val="18"/>
          <w:szCs w:val="18"/>
        </w:rPr>
      </w:pPr>
      <w:r>
        <w:rPr>
          <w:sz w:val="18"/>
          <w:szCs w:val="18"/>
        </w:rPr>
        <w:t xml:space="preserve">Unless otherwise noted, copyright (and any other </w:t>
      </w:r>
      <w:r>
        <w:rPr>
          <w:sz w:val="18"/>
          <w:szCs w:val="18"/>
        </w:rPr>
        <w:t>intellectual property rights, if any) in this publication is owned by the Commonwealth of Australia (referred to as the Commonwealth).</w:t>
      </w:r>
    </w:p>
    <w:p w14:paraId="3528D665" w14:textId="77777777" w:rsidR="00B151F6" w:rsidRDefault="00FB47A6" w:rsidP="00B151F6">
      <w:pPr>
        <w:spacing w:after="0"/>
        <w:rPr>
          <w:rFonts w:ascii="Calibri" w:hAnsi="Calibri"/>
          <w:b/>
          <w:sz w:val="18"/>
          <w:szCs w:val="18"/>
        </w:rPr>
      </w:pPr>
      <w:r>
        <w:rPr>
          <w:rFonts w:ascii="Calibri" w:hAnsi="Calibri"/>
          <w:b/>
          <w:sz w:val="18"/>
          <w:szCs w:val="18"/>
        </w:rPr>
        <w:t>Creative Commons licence</w:t>
      </w:r>
    </w:p>
    <w:p w14:paraId="3528D666" w14:textId="77777777" w:rsidR="00B151F6" w:rsidRDefault="00FB47A6" w:rsidP="00B151F6">
      <w:pPr>
        <w:rPr>
          <w:sz w:val="18"/>
          <w:szCs w:val="18"/>
        </w:rPr>
      </w:pPr>
      <w:r>
        <w:rPr>
          <w:sz w:val="18"/>
          <w:szCs w:val="18"/>
        </w:rPr>
        <w:t xml:space="preserve">All material in this publication is licensed under a Creative Commons Attribution 4.0 Australia </w:t>
      </w:r>
      <w:r>
        <w:rPr>
          <w:sz w:val="18"/>
          <w:szCs w:val="18"/>
        </w:rPr>
        <w:t>Licence, save for content supplied by third parties, photographic images, logos and the Commonwealth Coat of Arms.</w:t>
      </w:r>
    </w:p>
    <w:p w14:paraId="3528D667" w14:textId="77777777" w:rsidR="00B151F6" w:rsidRDefault="00FB47A6" w:rsidP="00B151F6">
      <w:pPr>
        <w:rPr>
          <w:sz w:val="18"/>
          <w:szCs w:val="18"/>
        </w:rPr>
      </w:pPr>
      <w:r>
        <w:rPr>
          <w:noProof/>
          <w:sz w:val="18"/>
          <w:szCs w:val="18"/>
          <w:lang w:eastAsia="en-AU"/>
        </w:rPr>
        <w:drawing>
          <wp:anchor distT="0" distB="0" distL="114300" distR="114300" simplePos="0" relativeHeight="251658240" behindDoc="0" locked="0" layoutInCell="1" allowOverlap="1" wp14:anchorId="3528D82C" wp14:editId="3528D82D">
            <wp:simplePos x="0" y="0"/>
            <wp:positionH relativeFrom="column">
              <wp:align>left</wp:align>
            </wp:positionH>
            <wp:positionV relativeFrom="paragraph">
              <wp:align>top</wp:align>
            </wp:positionV>
            <wp:extent cx="723900" cy="255905"/>
            <wp:effectExtent l="0" t="0" r="0" b="0"/>
            <wp:wrapSquare wrapText="bothSides"/>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62270" name="Picture 1" descr="by"/>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23900" cy="255905"/>
                    </a:xfrm>
                    <a:prstGeom prst="rect">
                      <a:avLst/>
                    </a:prstGeom>
                    <a:noFill/>
                    <a:ln w="9525">
                      <a:noFill/>
                      <a:miter lim="800000"/>
                      <a:headEnd/>
                      <a:tailEnd/>
                    </a:ln>
                  </pic:spPr>
                </pic:pic>
              </a:graphicData>
            </a:graphic>
          </wp:anchor>
        </w:drawing>
      </w:r>
      <w:r>
        <w:rPr>
          <w:sz w:val="18"/>
          <w:szCs w:val="18"/>
        </w:rPr>
        <w:br w:type="textWrapping" w:clear="all"/>
      </w:r>
      <w:r>
        <w:rPr>
          <w:sz w:val="18"/>
          <w:szCs w:val="18"/>
        </w:rPr>
        <w:t>Creative Commons Attribution 4.0 Australia Licence is a standard form licence agreement that allows you to copy, distribute, transmit and a</w:t>
      </w:r>
      <w:r>
        <w:rPr>
          <w:sz w:val="18"/>
          <w:szCs w:val="18"/>
        </w:rPr>
        <w:t xml:space="preserve">dapt this publication provided you attribute the work. See the </w:t>
      </w:r>
      <w:hyperlink r:id="rId12" w:history="1">
        <w:r>
          <w:rPr>
            <w:rStyle w:val="Hyperlink"/>
            <w:sz w:val="18"/>
            <w:szCs w:val="18"/>
          </w:rPr>
          <w:t>summary of the licence terms</w:t>
        </w:r>
      </w:hyperlink>
      <w:r>
        <w:rPr>
          <w:sz w:val="18"/>
          <w:szCs w:val="18"/>
        </w:rPr>
        <w:t xml:space="preserve"> or the </w:t>
      </w:r>
      <w:hyperlink r:id="rId13" w:history="1">
        <w:r>
          <w:rPr>
            <w:rStyle w:val="Hyperlink"/>
            <w:sz w:val="18"/>
            <w:szCs w:val="18"/>
          </w:rPr>
          <w:t>full licence terms</w:t>
        </w:r>
      </w:hyperlink>
      <w:r>
        <w:rPr>
          <w:sz w:val="18"/>
          <w:szCs w:val="18"/>
        </w:rPr>
        <w:t>.</w:t>
      </w:r>
    </w:p>
    <w:p w14:paraId="3528D668" w14:textId="77777777" w:rsidR="00B151F6" w:rsidRDefault="00FB47A6" w:rsidP="00B151F6">
      <w:pPr>
        <w:rPr>
          <w:sz w:val="18"/>
          <w:szCs w:val="18"/>
        </w:rPr>
      </w:pPr>
      <w:r>
        <w:rPr>
          <w:sz w:val="18"/>
          <w:szCs w:val="18"/>
        </w:rPr>
        <w:t xml:space="preserve">Inquiries about the licence and any use of this document should be emailed to </w:t>
      </w:r>
      <w:hyperlink r:id="rId14" w:history="1">
        <w:r w:rsidRPr="00B87B49">
          <w:rPr>
            <w:rStyle w:val="Hyperlink"/>
            <w:sz w:val="18"/>
            <w:szCs w:val="18"/>
          </w:rPr>
          <w:t>copyright@dcceew.gov.au</w:t>
        </w:r>
      </w:hyperlink>
      <w:r>
        <w:rPr>
          <w:sz w:val="18"/>
          <w:szCs w:val="18"/>
        </w:rPr>
        <w:t>.</w:t>
      </w:r>
    </w:p>
    <w:p w14:paraId="3528D669" w14:textId="77777777" w:rsidR="001C0D1C" w:rsidRDefault="00FB47A6">
      <w:pPr>
        <w:spacing w:after="0"/>
        <w:rPr>
          <w:rFonts w:ascii="Calibri" w:hAnsi="Calibri"/>
          <w:b/>
          <w:sz w:val="18"/>
          <w:szCs w:val="18"/>
        </w:rPr>
      </w:pPr>
      <w:r>
        <w:rPr>
          <w:rFonts w:ascii="Calibri" w:hAnsi="Calibri"/>
          <w:b/>
          <w:sz w:val="18"/>
          <w:szCs w:val="18"/>
        </w:rPr>
        <w:t>Cataloguing data</w:t>
      </w:r>
    </w:p>
    <w:p w14:paraId="3528D66A" w14:textId="77777777" w:rsidR="00B151F6" w:rsidRDefault="00FB47A6" w:rsidP="00B151F6">
      <w:pPr>
        <w:rPr>
          <w:sz w:val="18"/>
          <w:szCs w:val="18"/>
        </w:rPr>
      </w:pPr>
      <w:r>
        <w:rPr>
          <w:sz w:val="18"/>
          <w:szCs w:val="18"/>
        </w:rPr>
        <w:t xml:space="preserve">This publication (and any material sourced from it) should be attributed as: </w:t>
      </w:r>
      <w:r w:rsidR="007760E8">
        <w:rPr>
          <w:sz w:val="18"/>
          <w:szCs w:val="18"/>
        </w:rPr>
        <w:t>ANZG</w:t>
      </w:r>
      <w:r>
        <w:rPr>
          <w:sz w:val="18"/>
          <w:szCs w:val="18"/>
        </w:rPr>
        <w:t xml:space="preserve"> 202</w:t>
      </w:r>
      <w:r w:rsidR="00016D8D">
        <w:rPr>
          <w:sz w:val="18"/>
          <w:szCs w:val="18"/>
        </w:rPr>
        <w:t>3</w:t>
      </w:r>
      <w:r>
        <w:rPr>
          <w:sz w:val="18"/>
          <w:szCs w:val="18"/>
        </w:rPr>
        <w:t>,</w:t>
      </w:r>
      <w:r w:rsidR="00DF1801">
        <w:rPr>
          <w:sz w:val="18"/>
          <w:szCs w:val="18"/>
        </w:rPr>
        <w:t xml:space="preserve"> </w:t>
      </w:r>
      <w:r>
        <w:rPr>
          <w:i/>
          <w:sz w:val="18"/>
          <w:szCs w:val="18"/>
        </w:rPr>
        <w:t xml:space="preserve">Toxicant default guideline values for aquatic ecosystem protection: </w:t>
      </w:r>
      <w:r w:rsidR="00DF7310">
        <w:rPr>
          <w:i/>
          <w:sz w:val="18"/>
          <w:szCs w:val="18"/>
        </w:rPr>
        <w:t>Mancozeb</w:t>
      </w:r>
      <w:r>
        <w:rPr>
          <w:i/>
          <w:sz w:val="18"/>
          <w:szCs w:val="18"/>
        </w:rPr>
        <w:t xml:space="preserve"> in freshwater.</w:t>
      </w:r>
      <w:r w:rsidR="007760E8">
        <w:rPr>
          <w:iCs/>
          <w:sz w:val="18"/>
          <w:szCs w:val="18"/>
        </w:rPr>
        <w:t xml:space="preserve"> </w:t>
      </w:r>
      <w:r w:rsidR="007760E8">
        <w:rPr>
          <w:sz w:val="18"/>
          <w:szCs w:val="18"/>
        </w:rPr>
        <w:t>Australian and New Zealand Guidelines for Fresh and Marine Water Quality.</w:t>
      </w:r>
      <w:r>
        <w:rPr>
          <w:i/>
          <w:sz w:val="18"/>
          <w:szCs w:val="18"/>
        </w:rPr>
        <w:t xml:space="preserve"> </w:t>
      </w:r>
      <w:r w:rsidRPr="00D47CA4">
        <w:rPr>
          <w:sz w:val="18"/>
          <w:szCs w:val="18"/>
        </w:rPr>
        <w:t>CC BY 4.0. Australian and New Zealand Governments and Australian state and territory governments, Canberra, ACT, Australia</w:t>
      </w:r>
      <w:r>
        <w:rPr>
          <w:sz w:val="18"/>
          <w:szCs w:val="18"/>
        </w:rPr>
        <w:t>.</w:t>
      </w:r>
    </w:p>
    <w:p w14:paraId="3528D66B" w14:textId="77777777" w:rsidR="00B151F6" w:rsidRDefault="00FB47A6" w:rsidP="00B151F6">
      <w:pPr>
        <w:rPr>
          <w:sz w:val="18"/>
          <w:szCs w:val="18"/>
        </w:rPr>
      </w:pPr>
      <w:r>
        <w:rPr>
          <w:sz w:val="18"/>
          <w:szCs w:val="18"/>
        </w:rPr>
        <w:t xml:space="preserve">This publication is available at </w:t>
      </w:r>
      <w:hyperlink r:id="rId15" w:history="1">
        <w:r w:rsidRPr="00017770">
          <w:rPr>
            <w:rStyle w:val="Hyperlink"/>
            <w:sz w:val="18"/>
            <w:szCs w:val="18"/>
          </w:rPr>
          <w:t>waterquality.gov.au/anz-guidelines/guideline-values/default/water-quality-toxicants/toxicants</w:t>
        </w:r>
      </w:hyperlink>
      <w:r>
        <w:rPr>
          <w:sz w:val="18"/>
          <w:szCs w:val="18"/>
        </w:rPr>
        <w:t>.</w:t>
      </w:r>
    </w:p>
    <w:p w14:paraId="3528D66C" w14:textId="77777777" w:rsidR="00824850" w:rsidRDefault="00FB47A6" w:rsidP="00824850">
      <w:pPr>
        <w:spacing w:after="0"/>
        <w:rPr>
          <w:b/>
          <w:sz w:val="18"/>
          <w:szCs w:val="18"/>
        </w:rPr>
      </w:pPr>
      <w:r w:rsidRPr="00824850">
        <w:rPr>
          <w:b/>
          <w:sz w:val="18"/>
          <w:szCs w:val="18"/>
        </w:rPr>
        <w:t>Contact</w:t>
      </w:r>
    </w:p>
    <w:p w14:paraId="3528D66D" w14:textId="77777777" w:rsidR="00643DA6" w:rsidRDefault="00FB47A6" w:rsidP="00643DA6">
      <w:pPr>
        <w:spacing w:after="0"/>
        <w:rPr>
          <w:b/>
          <w:sz w:val="18"/>
          <w:szCs w:val="18"/>
        </w:rPr>
      </w:pPr>
      <w:r>
        <w:rPr>
          <w:sz w:val="18"/>
          <w:szCs w:val="18"/>
        </w:rPr>
        <w:t xml:space="preserve">Australian Government </w:t>
      </w:r>
      <w:bookmarkStart w:id="0" w:name="_Hlk134088979"/>
      <w:r>
        <w:rPr>
          <w:sz w:val="18"/>
          <w:szCs w:val="18"/>
        </w:rPr>
        <w:t>Department of Climate</w:t>
      </w:r>
      <w:r>
        <w:rPr>
          <w:sz w:val="18"/>
          <w:szCs w:val="18"/>
        </w:rPr>
        <w:t xml:space="preserve"> Change, Energy, the Environment and Water </w:t>
      </w:r>
    </w:p>
    <w:bookmarkEnd w:id="0"/>
    <w:p w14:paraId="3528D66E" w14:textId="77777777" w:rsidR="00643DA6" w:rsidRPr="00824850" w:rsidRDefault="00FB47A6" w:rsidP="00643DA6">
      <w:pPr>
        <w:spacing w:after="0"/>
        <w:rPr>
          <w:b/>
          <w:sz w:val="18"/>
          <w:szCs w:val="18"/>
        </w:rPr>
      </w:pPr>
      <w:r>
        <w:rPr>
          <w:sz w:val="18"/>
          <w:szCs w:val="18"/>
        </w:rPr>
        <w:t>GPO Box 858 Canberra ACT 2601</w:t>
      </w:r>
    </w:p>
    <w:p w14:paraId="3528D66F" w14:textId="77777777" w:rsidR="00643DA6" w:rsidRDefault="00FB47A6" w:rsidP="00643DA6">
      <w:pPr>
        <w:spacing w:after="0"/>
        <w:rPr>
          <w:sz w:val="18"/>
          <w:szCs w:val="18"/>
        </w:rPr>
      </w:pPr>
      <w:r>
        <w:rPr>
          <w:sz w:val="18"/>
          <w:szCs w:val="18"/>
        </w:rPr>
        <w:t>Switchboard +61 2 6272 3933 or 1800 900 090</w:t>
      </w:r>
    </w:p>
    <w:p w14:paraId="3528D670" w14:textId="77777777" w:rsidR="00643DA6" w:rsidRDefault="00FB47A6" w:rsidP="00643DA6">
      <w:pPr>
        <w:spacing w:after="120"/>
        <w:rPr>
          <w:sz w:val="18"/>
          <w:szCs w:val="18"/>
        </w:rPr>
      </w:pPr>
      <w:r>
        <w:rPr>
          <w:sz w:val="18"/>
          <w:szCs w:val="18"/>
        </w:rPr>
        <w:t xml:space="preserve">Email </w:t>
      </w:r>
      <w:hyperlink r:id="rId16" w:history="1">
        <w:r w:rsidRPr="00B87B49">
          <w:rPr>
            <w:rStyle w:val="Hyperlink"/>
            <w:sz w:val="18"/>
            <w:szCs w:val="18"/>
          </w:rPr>
          <w:t>waterquality@dcceew.gov.au</w:t>
        </w:r>
      </w:hyperlink>
    </w:p>
    <w:p w14:paraId="3528D671" w14:textId="77777777" w:rsidR="00B151F6" w:rsidRDefault="00FB47A6" w:rsidP="00B151F6">
      <w:pPr>
        <w:spacing w:after="0"/>
        <w:rPr>
          <w:rFonts w:ascii="Calibri" w:hAnsi="Calibri"/>
          <w:b/>
          <w:sz w:val="18"/>
          <w:szCs w:val="18"/>
        </w:rPr>
      </w:pPr>
      <w:r>
        <w:rPr>
          <w:rFonts w:ascii="Calibri" w:hAnsi="Calibri"/>
          <w:b/>
          <w:sz w:val="18"/>
          <w:szCs w:val="18"/>
        </w:rPr>
        <w:t>Disclaimer</w:t>
      </w:r>
    </w:p>
    <w:p w14:paraId="3528D672" w14:textId="77777777" w:rsidR="00B151F6" w:rsidRDefault="00FB47A6" w:rsidP="00B151F6">
      <w:pPr>
        <w:spacing w:after="0"/>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w:t>
      </w:r>
      <w:r>
        <w:rPr>
          <w:sz w:val="18"/>
          <w:szCs w:val="18"/>
        </w:rPr>
        <w:t>rs, disclaim all liability, including liability for negligence and for any loss, damage, injury, expense or cost incurred by any person as a result of accessing, using or relying on any of the information or data in this publication to the maximum extent p</w:t>
      </w:r>
      <w:r>
        <w:rPr>
          <w:sz w:val="18"/>
          <w:szCs w:val="18"/>
        </w:rPr>
        <w:t>ermitted by law.</w:t>
      </w:r>
    </w:p>
    <w:p w14:paraId="3528D673" w14:textId="77777777" w:rsidR="00B151F6" w:rsidRDefault="00B151F6" w:rsidP="00B151F6">
      <w:pPr>
        <w:spacing w:after="0"/>
        <w:rPr>
          <w:sz w:val="18"/>
          <w:szCs w:val="18"/>
        </w:rPr>
      </w:pPr>
    </w:p>
    <w:p w14:paraId="3528D674" w14:textId="77777777" w:rsidR="00B151F6" w:rsidRDefault="00FB47A6" w:rsidP="00B151F6">
      <w:pPr>
        <w:spacing w:after="0"/>
        <w:rPr>
          <w:rFonts w:ascii="Calibri" w:hAnsi="Calibri"/>
          <w:b/>
          <w:sz w:val="18"/>
          <w:szCs w:val="18"/>
        </w:rPr>
      </w:pPr>
      <w:r>
        <w:rPr>
          <w:rFonts w:ascii="Calibri" w:hAnsi="Calibri"/>
          <w:b/>
          <w:sz w:val="18"/>
          <w:szCs w:val="18"/>
        </w:rPr>
        <w:t>Acknowledgements</w:t>
      </w:r>
    </w:p>
    <w:p w14:paraId="3528D675" w14:textId="77777777" w:rsidR="001C0D1C" w:rsidRDefault="00FB47A6">
      <w:pPr>
        <w:rPr>
          <w:sz w:val="18"/>
          <w:szCs w:val="18"/>
        </w:rPr>
      </w:pPr>
      <w:r>
        <w:rPr>
          <w:sz w:val="18"/>
          <w:szCs w:val="18"/>
        </w:rPr>
        <w:t>These</w:t>
      </w:r>
      <w:r w:rsidRPr="002A695A">
        <w:rPr>
          <w:sz w:val="18"/>
          <w:szCs w:val="18"/>
        </w:rPr>
        <w:t xml:space="preserve"> </w:t>
      </w:r>
      <w:r>
        <w:rPr>
          <w:sz w:val="18"/>
          <w:szCs w:val="18"/>
        </w:rPr>
        <w:t xml:space="preserve">default </w:t>
      </w:r>
      <w:r w:rsidRPr="002A695A">
        <w:rPr>
          <w:sz w:val="18"/>
          <w:szCs w:val="18"/>
        </w:rPr>
        <w:t>guideline</w:t>
      </w:r>
      <w:r>
        <w:rPr>
          <w:sz w:val="18"/>
          <w:szCs w:val="18"/>
        </w:rPr>
        <w:t xml:space="preserve"> values</w:t>
      </w:r>
      <w:r w:rsidR="001B1DB2">
        <w:rPr>
          <w:sz w:val="18"/>
          <w:szCs w:val="18"/>
        </w:rPr>
        <w:t xml:space="preserve"> (DG</w:t>
      </w:r>
      <w:r w:rsidR="00FC1FA9">
        <w:rPr>
          <w:sz w:val="18"/>
          <w:szCs w:val="18"/>
        </w:rPr>
        <w:t>V</w:t>
      </w:r>
      <w:r w:rsidR="001B1DB2">
        <w:rPr>
          <w:sz w:val="18"/>
          <w:szCs w:val="18"/>
        </w:rPr>
        <w:t>s)</w:t>
      </w:r>
      <w:r>
        <w:rPr>
          <w:sz w:val="18"/>
          <w:szCs w:val="18"/>
        </w:rPr>
        <w:t xml:space="preserve"> were derived by </w:t>
      </w:r>
      <w:r w:rsidR="00883019" w:rsidRPr="00883019">
        <w:rPr>
          <w:sz w:val="18"/>
          <w:szCs w:val="18"/>
          <w:lang w:bidi="en-US"/>
        </w:rPr>
        <w:t>Naomi Cooper, Kirsten Broadgate, Clare Papaleo and Carolyn Brumley of Golder Associates</w:t>
      </w:r>
      <w:r w:rsidR="00883019">
        <w:rPr>
          <w:sz w:val="18"/>
          <w:szCs w:val="18"/>
          <w:lang w:bidi="en-US"/>
        </w:rPr>
        <w:t>, Melbourne, Australia</w:t>
      </w:r>
      <w:r w:rsidRPr="00EC2A20">
        <w:rPr>
          <w:sz w:val="18"/>
          <w:szCs w:val="18"/>
        </w:rPr>
        <w:t>.</w:t>
      </w:r>
      <w:r w:rsidR="001B1DB2">
        <w:rPr>
          <w:sz w:val="18"/>
          <w:szCs w:val="18"/>
        </w:rPr>
        <w:t xml:space="preserve"> The DGVs</w:t>
      </w:r>
      <w:r>
        <w:rPr>
          <w:sz w:val="18"/>
          <w:szCs w:val="18"/>
        </w:rPr>
        <w:t xml:space="preserve"> were peer reviewed by two anonymous reviewers and by two contracted technical advisors, Dr Rick van Dam and Alicia Hogan.</w:t>
      </w:r>
      <w:r w:rsidR="00126D66">
        <w:rPr>
          <w:sz w:val="18"/>
          <w:szCs w:val="18"/>
        </w:rPr>
        <w:t xml:space="preserve"> The DGVs were also reviewed and approved by jurisdictional technical and policy oversight groups and a National Water Reform Committee prior to being published.</w:t>
      </w:r>
      <w:r w:rsidR="00126D66">
        <w:rPr>
          <w:noProof/>
          <w:sz w:val="18"/>
          <w:szCs w:val="18"/>
          <w:lang w:eastAsia="en-AU"/>
        </w:rPr>
        <w:t xml:space="preserve"> </w:t>
      </w:r>
      <w:r w:rsidR="00E55B1C">
        <w:rPr>
          <w:noProof/>
          <w:sz w:val="18"/>
          <w:szCs w:val="18"/>
          <w:lang w:eastAsia="en-AU"/>
        </w:rPr>
        <w:drawing>
          <wp:inline distT="0" distB="0" distL="0" distR="0" wp14:anchorId="3528D82E" wp14:editId="3528D82F">
            <wp:extent cx="5759450" cy="2186386"/>
            <wp:effectExtent l="0" t="0" r="0" b="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11099" name="DA2834_1216_Water Quality state logos.jpg"/>
                    <pic:cNvPicPr/>
                  </pic:nvPicPr>
                  <pic:blipFill>
                    <a:blip r:embed="rId17">
                      <a:extLst>
                        <a:ext uri="{28A0092B-C50C-407E-A947-70E740481C1C}">
                          <a14:useLocalDpi xmlns:a14="http://schemas.microsoft.com/office/drawing/2010/main" val="0"/>
                        </a:ext>
                      </a:extLst>
                    </a:blip>
                    <a:srcRect t="3850"/>
                    <a:stretch>
                      <a:fillRect/>
                    </a:stretch>
                  </pic:blipFill>
                  <pic:spPr bwMode="auto">
                    <a:xfrm>
                      <a:off x="0" y="0"/>
                      <a:ext cx="5759450" cy="2186386"/>
                    </a:xfrm>
                    <a:prstGeom prst="rect">
                      <a:avLst/>
                    </a:prstGeom>
                    <a:ln>
                      <a:noFill/>
                    </a:ln>
                    <a:extLst>
                      <a:ext uri="{53640926-AAD7-44D8-BBD7-CCE9431645EC}">
                        <a14:shadowObscured xmlns:a14="http://schemas.microsoft.com/office/drawing/2010/main"/>
                      </a:ext>
                    </a:extLst>
                  </pic:spPr>
                </pic:pic>
              </a:graphicData>
            </a:graphic>
          </wp:inline>
        </w:drawing>
      </w:r>
    </w:p>
    <w:p w14:paraId="3528D676" w14:textId="77777777" w:rsidR="001C0D1C" w:rsidRDefault="00FB47A6">
      <w:pPr>
        <w:pStyle w:val="TOCHeading"/>
      </w:pPr>
      <w:r>
        <w:lastRenderedPageBreak/>
        <w:t>Contents</w:t>
      </w:r>
    </w:p>
    <w:p w14:paraId="3528D677" w14:textId="77777777" w:rsidR="00464567" w:rsidRDefault="00FB47A6">
      <w:pPr>
        <w:pStyle w:val="TOC1"/>
        <w:rPr>
          <w:rFonts w:eastAsiaTheme="minorEastAsia"/>
          <w:b w:val="0"/>
          <w:lang w:eastAsia="en-AU"/>
        </w:rPr>
      </w:pPr>
      <w:r>
        <w:rPr>
          <w:bCs/>
          <w:szCs w:val="24"/>
        </w:rPr>
        <w:fldChar w:fldCharType="begin"/>
      </w:r>
      <w:r>
        <w:rPr>
          <w:bCs/>
          <w:szCs w:val="24"/>
        </w:rPr>
        <w:instrText xml:space="preserve"> TOC \t "Heading 2,1,Heading 3,2" </w:instrText>
      </w:r>
      <w:r>
        <w:rPr>
          <w:bCs/>
          <w:szCs w:val="24"/>
        </w:rPr>
        <w:fldChar w:fldCharType="separate"/>
      </w:r>
      <w:r>
        <w:t>Summary</w:t>
      </w:r>
      <w:r>
        <w:tab/>
      </w:r>
      <w:r>
        <w:fldChar w:fldCharType="begin"/>
      </w:r>
      <w:r>
        <w:instrText xml:space="preserve"> PAGEREF _Toc68188159 \h </w:instrText>
      </w:r>
      <w:r>
        <w:fldChar w:fldCharType="separate"/>
      </w:r>
      <w:r w:rsidR="00E747AE">
        <w:t>iv</w:t>
      </w:r>
      <w:r>
        <w:fldChar w:fldCharType="end"/>
      </w:r>
    </w:p>
    <w:p w14:paraId="3528D678" w14:textId="77777777" w:rsidR="00464567" w:rsidRDefault="00FB47A6">
      <w:pPr>
        <w:pStyle w:val="TOC1"/>
        <w:rPr>
          <w:rFonts w:eastAsiaTheme="minorEastAsia"/>
          <w:b w:val="0"/>
          <w:lang w:eastAsia="en-AU"/>
        </w:rPr>
      </w:pPr>
      <w:r w:rsidRPr="00A96E6B">
        <w:t>1</w:t>
      </w:r>
      <w:r>
        <w:rPr>
          <w:rFonts w:eastAsiaTheme="minorEastAsia"/>
          <w:b w:val="0"/>
          <w:lang w:eastAsia="en-AU"/>
        </w:rPr>
        <w:tab/>
      </w:r>
      <w:r>
        <w:t>Introduction</w:t>
      </w:r>
      <w:r>
        <w:tab/>
      </w:r>
      <w:r>
        <w:fldChar w:fldCharType="begin"/>
      </w:r>
      <w:r>
        <w:instrText xml:space="preserve"> PAGEREF _Toc68188160 \h </w:instrText>
      </w:r>
      <w:r>
        <w:fldChar w:fldCharType="separate"/>
      </w:r>
      <w:r w:rsidR="00E747AE">
        <w:t>1</w:t>
      </w:r>
      <w:r>
        <w:fldChar w:fldCharType="end"/>
      </w:r>
    </w:p>
    <w:p w14:paraId="3528D679" w14:textId="77777777" w:rsidR="00464567" w:rsidRDefault="00FB47A6">
      <w:pPr>
        <w:pStyle w:val="TOC1"/>
        <w:rPr>
          <w:rFonts w:eastAsiaTheme="minorEastAsia"/>
          <w:b w:val="0"/>
          <w:lang w:eastAsia="en-AU"/>
        </w:rPr>
      </w:pPr>
      <w:r w:rsidRPr="00A96E6B">
        <w:t>2</w:t>
      </w:r>
      <w:r>
        <w:rPr>
          <w:rFonts w:eastAsiaTheme="minorEastAsia"/>
          <w:b w:val="0"/>
          <w:lang w:eastAsia="en-AU"/>
        </w:rPr>
        <w:tab/>
      </w:r>
      <w:r>
        <w:t>Aquatic toxicology</w:t>
      </w:r>
      <w:r>
        <w:tab/>
      </w:r>
      <w:r>
        <w:fldChar w:fldCharType="begin"/>
      </w:r>
      <w:r>
        <w:instrText xml:space="preserve"> PAGEREF _Toc68188161 \h </w:instrText>
      </w:r>
      <w:r>
        <w:fldChar w:fldCharType="separate"/>
      </w:r>
      <w:r w:rsidR="00E747AE">
        <w:t>3</w:t>
      </w:r>
      <w:r>
        <w:fldChar w:fldCharType="end"/>
      </w:r>
    </w:p>
    <w:p w14:paraId="3528D67A" w14:textId="77777777" w:rsidR="00464567" w:rsidRDefault="00FB47A6">
      <w:pPr>
        <w:pStyle w:val="TOC2"/>
        <w:tabs>
          <w:tab w:val="left" w:pos="1100"/>
        </w:tabs>
        <w:rPr>
          <w:rFonts w:eastAsiaTheme="minorEastAsia"/>
          <w:lang w:eastAsia="en-AU"/>
        </w:rPr>
      </w:pPr>
      <w:r>
        <w:t>2.1</w:t>
      </w:r>
      <w:r>
        <w:rPr>
          <w:rFonts w:eastAsiaTheme="minorEastAsia"/>
          <w:lang w:eastAsia="en-AU"/>
        </w:rPr>
        <w:tab/>
      </w:r>
      <w:r>
        <w:t>Mechanism of toxicity</w:t>
      </w:r>
      <w:r>
        <w:tab/>
      </w:r>
      <w:r>
        <w:fldChar w:fldCharType="begin"/>
      </w:r>
      <w:r>
        <w:instrText xml:space="preserve"> PAGEREF _Toc68188162 \h </w:instrText>
      </w:r>
      <w:r>
        <w:fldChar w:fldCharType="separate"/>
      </w:r>
      <w:r w:rsidR="00E747AE">
        <w:t>3</w:t>
      </w:r>
      <w:r>
        <w:fldChar w:fldCharType="end"/>
      </w:r>
    </w:p>
    <w:p w14:paraId="3528D67B" w14:textId="77777777" w:rsidR="00464567" w:rsidRDefault="00FB47A6">
      <w:pPr>
        <w:pStyle w:val="TOC2"/>
        <w:tabs>
          <w:tab w:val="left" w:pos="1100"/>
        </w:tabs>
        <w:rPr>
          <w:rFonts w:eastAsiaTheme="minorEastAsia"/>
          <w:lang w:eastAsia="en-AU"/>
        </w:rPr>
      </w:pPr>
      <w:r>
        <w:t>2.2</w:t>
      </w:r>
      <w:r>
        <w:rPr>
          <w:rFonts w:eastAsiaTheme="minorEastAsia"/>
          <w:lang w:eastAsia="en-AU"/>
        </w:rPr>
        <w:tab/>
      </w:r>
      <w:r>
        <w:t>Toxicity</w:t>
      </w:r>
      <w:r>
        <w:tab/>
      </w:r>
      <w:r>
        <w:fldChar w:fldCharType="begin"/>
      </w:r>
      <w:r>
        <w:instrText xml:space="preserve"> PAGEREF _Toc68188163 \h </w:instrText>
      </w:r>
      <w:r>
        <w:fldChar w:fldCharType="separate"/>
      </w:r>
      <w:r w:rsidR="00E747AE">
        <w:t>3</w:t>
      </w:r>
      <w:r>
        <w:fldChar w:fldCharType="end"/>
      </w:r>
    </w:p>
    <w:p w14:paraId="3528D67C" w14:textId="77777777" w:rsidR="00464567" w:rsidRDefault="00FB47A6">
      <w:pPr>
        <w:pStyle w:val="TOC1"/>
        <w:rPr>
          <w:rFonts w:eastAsiaTheme="minorEastAsia"/>
          <w:b w:val="0"/>
          <w:lang w:eastAsia="en-AU"/>
        </w:rPr>
      </w:pPr>
      <w:r w:rsidRPr="00A96E6B">
        <w:t>3</w:t>
      </w:r>
      <w:r>
        <w:rPr>
          <w:rFonts w:eastAsiaTheme="minorEastAsia"/>
          <w:b w:val="0"/>
          <w:lang w:eastAsia="en-AU"/>
        </w:rPr>
        <w:tab/>
      </w:r>
      <w:r>
        <w:t>Factors affecting toxicity</w:t>
      </w:r>
      <w:r>
        <w:tab/>
      </w:r>
      <w:r>
        <w:fldChar w:fldCharType="begin"/>
      </w:r>
      <w:r>
        <w:instrText xml:space="preserve"> PAGEREF _Toc68188164 \h </w:instrText>
      </w:r>
      <w:r>
        <w:fldChar w:fldCharType="separate"/>
      </w:r>
      <w:r w:rsidR="00E747AE">
        <w:t>4</w:t>
      </w:r>
      <w:r>
        <w:fldChar w:fldCharType="end"/>
      </w:r>
    </w:p>
    <w:p w14:paraId="3528D67D" w14:textId="77777777" w:rsidR="00464567" w:rsidRDefault="00FB47A6">
      <w:pPr>
        <w:pStyle w:val="TOC1"/>
        <w:rPr>
          <w:rFonts w:eastAsiaTheme="minorEastAsia"/>
          <w:b w:val="0"/>
          <w:lang w:eastAsia="en-AU"/>
        </w:rPr>
      </w:pPr>
      <w:r w:rsidRPr="00A96E6B">
        <w:t>4</w:t>
      </w:r>
      <w:r>
        <w:rPr>
          <w:rFonts w:eastAsiaTheme="minorEastAsia"/>
          <w:b w:val="0"/>
          <w:lang w:eastAsia="en-AU"/>
        </w:rPr>
        <w:tab/>
      </w:r>
      <w:r>
        <w:t>Default guideline value derivation</w:t>
      </w:r>
      <w:r>
        <w:tab/>
      </w:r>
      <w:r>
        <w:fldChar w:fldCharType="begin"/>
      </w:r>
      <w:r>
        <w:instrText xml:space="preserve"> PAGEREF _Toc68188165 \h </w:instrText>
      </w:r>
      <w:r>
        <w:fldChar w:fldCharType="separate"/>
      </w:r>
      <w:r w:rsidR="00E747AE">
        <w:t>4</w:t>
      </w:r>
      <w:r>
        <w:fldChar w:fldCharType="end"/>
      </w:r>
    </w:p>
    <w:p w14:paraId="3528D67E" w14:textId="77777777" w:rsidR="00464567" w:rsidRDefault="00FB47A6">
      <w:pPr>
        <w:pStyle w:val="TOC2"/>
        <w:tabs>
          <w:tab w:val="left" w:pos="1100"/>
        </w:tabs>
        <w:rPr>
          <w:rFonts w:eastAsiaTheme="minorEastAsia"/>
          <w:lang w:eastAsia="en-AU"/>
        </w:rPr>
      </w:pPr>
      <w:r>
        <w:t>4.1</w:t>
      </w:r>
      <w:r>
        <w:rPr>
          <w:rFonts w:eastAsiaTheme="minorEastAsia"/>
          <w:lang w:eastAsia="en-AU"/>
        </w:rPr>
        <w:tab/>
      </w:r>
      <w:r>
        <w:t>Toxicity data used in derivation</w:t>
      </w:r>
      <w:r>
        <w:tab/>
      </w:r>
      <w:r>
        <w:fldChar w:fldCharType="begin"/>
      </w:r>
      <w:r>
        <w:instrText xml:space="preserve"> PAGEREF _Toc68188166 \h </w:instrText>
      </w:r>
      <w:r>
        <w:fldChar w:fldCharType="separate"/>
      </w:r>
      <w:r w:rsidR="00E747AE">
        <w:t>5</w:t>
      </w:r>
      <w:r>
        <w:fldChar w:fldCharType="end"/>
      </w:r>
    </w:p>
    <w:p w14:paraId="3528D67F" w14:textId="77777777" w:rsidR="00464567" w:rsidRDefault="00FB47A6">
      <w:pPr>
        <w:pStyle w:val="TOC2"/>
        <w:tabs>
          <w:tab w:val="left" w:pos="1100"/>
        </w:tabs>
        <w:rPr>
          <w:rFonts w:eastAsiaTheme="minorEastAsia"/>
          <w:lang w:eastAsia="en-AU"/>
        </w:rPr>
      </w:pPr>
      <w:r>
        <w:t>4.2</w:t>
      </w:r>
      <w:r>
        <w:rPr>
          <w:rFonts w:eastAsiaTheme="minorEastAsia"/>
          <w:lang w:eastAsia="en-AU"/>
        </w:rPr>
        <w:tab/>
      </w:r>
      <w:r>
        <w:t>Species sensitivity distribution</w:t>
      </w:r>
      <w:r>
        <w:tab/>
      </w:r>
      <w:r>
        <w:fldChar w:fldCharType="begin"/>
      </w:r>
      <w:r>
        <w:instrText xml:space="preserve"> PAGEREF _Toc68188167 \h </w:instrText>
      </w:r>
      <w:r>
        <w:fldChar w:fldCharType="separate"/>
      </w:r>
      <w:r w:rsidR="00E747AE">
        <w:t>6</w:t>
      </w:r>
      <w:r>
        <w:fldChar w:fldCharType="end"/>
      </w:r>
    </w:p>
    <w:p w14:paraId="3528D680" w14:textId="77777777" w:rsidR="00464567" w:rsidRDefault="00FB47A6">
      <w:pPr>
        <w:pStyle w:val="TOC2"/>
        <w:tabs>
          <w:tab w:val="left" w:pos="1100"/>
        </w:tabs>
        <w:rPr>
          <w:rFonts w:eastAsiaTheme="minorEastAsia"/>
          <w:lang w:eastAsia="en-AU"/>
        </w:rPr>
      </w:pPr>
      <w:r>
        <w:t>4.3</w:t>
      </w:r>
      <w:r>
        <w:rPr>
          <w:rFonts w:eastAsiaTheme="minorEastAsia"/>
          <w:lang w:eastAsia="en-AU"/>
        </w:rPr>
        <w:tab/>
      </w:r>
      <w:r>
        <w:t>Default guideline values</w:t>
      </w:r>
      <w:r>
        <w:tab/>
      </w:r>
      <w:r>
        <w:fldChar w:fldCharType="begin"/>
      </w:r>
      <w:r>
        <w:instrText xml:space="preserve"> PAGEREF _Toc68188168 \h </w:instrText>
      </w:r>
      <w:r>
        <w:fldChar w:fldCharType="separate"/>
      </w:r>
      <w:r w:rsidR="00E747AE">
        <w:t>7</w:t>
      </w:r>
      <w:r>
        <w:fldChar w:fldCharType="end"/>
      </w:r>
    </w:p>
    <w:p w14:paraId="3528D681" w14:textId="77777777" w:rsidR="00464567" w:rsidRDefault="00FB47A6">
      <w:pPr>
        <w:pStyle w:val="TOC2"/>
        <w:tabs>
          <w:tab w:val="left" w:pos="1100"/>
        </w:tabs>
        <w:rPr>
          <w:rFonts w:eastAsiaTheme="minorEastAsia"/>
          <w:lang w:eastAsia="en-AU"/>
        </w:rPr>
      </w:pPr>
      <w:r>
        <w:t>4.4</w:t>
      </w:r>
      <w:r>
        <w:rPr>
          <w:rFonts w:eastAsiaTheme="minorEastAsia"/>
          <w:lang w:eastAsia="en-AU"/>
        </w:rPr>
        <w:tab/>
      </w:r>
      <w:r>
        <w:t>Reliability classification</w:t>
      </w:r>
      <w:r>
        <w:tab/>
      </w:r>
      <w:r>
        <w:fldChar w:fldCharType="begin"/>
      </w:r>
      <w:r>
        <w:instrText xml:space="preserve"> PAGEREF _Toc68188169 \h </w:instrText>
      </w:r>
      <w:r>
        <w:fldChar w:fldCharType="separate"/>
      </w:r>
      <w:r w:rsidR="00E747AE">
        <w:t>8</w:t>
      </w:r>
      <w:r>
        <w:fldChar w:fldCharType="end"/>
      </w:r>
    </w:p>
    <w:p w14:paraId="3528D682" w14:textId="77777777" w:rsidR="00464567" w:rsidRDefault="00FB47A6">
      <w:pPr>
        <w:pStyle w:val="TOC1"/>
        <w:rPr>
          <w:rFonts w:eastAsiaTheme="minorEastAsia"/>
          <w:b w:val="0"/>
          <w:lang w:eastAsia="en-AU"/>
        </w:rPr>
      </w:pPr>
      <w:r>
        <w:t>Glossa</w:t>
      </w:r>
      <w:r>
        <w:t>ry</w:t>
      </w:r>
      <w:r>
        <w:tab/>
      </w:r>
      <w:r>
        <w:fldChar w:fldCharType="begin"/>
      </w:r>
      <w:r>
        <w:instrText xml:space="preserve"> PAGEREF _Toc68188170 \h </w:instrText>
      </w:r>
      <w:r>
        <w:fldChar w:fldCharType="separate"/>
      </w:r>
      <w:r w:rsidR="00E747AE">
        <w:t>9</w:t>
      </w:r>
      <w:r>
        <w:fldChar w:fldCharType="end"/>
      </w:r>
    </w:p>
    <w:p w14:paraId="3528D683" w14:textId="77777777" w:rsidR="00464567" w:rsidRDefault="00FB47A6">
      <w:pPr>
        <w:pStyle w:val="TOC1"/>
        <w:rPr>
          <w:rFonts w:eastAsiaTheme="minorEastAsia"/>
          <w:b w:val="0"/>
          <w:lang w:eastAsia="en-AU"/>
        </w:rPr>
      </w:pPr>
      <w:r>
        <w:t>Appendix A: Toxicity data that passed the screening and quality assessment and were used to derive the default guideline values</w:t>
      </w:r>
      <w:r>
        <w:tab/>
      </w:r>
      <w:r>
        <w:fldChar w:fldCharType="begin"/>
      </w:r>
      <w:r>
        <w:instrText xml:space="preserve"> PAGEREF _Toc68188171 \h </w:instrText>
      </w:r>
      <w:r>
        <w:fldChar w:fldCharType="separate"/>
      </w:r>
      <w:r w:rsidR="00E747AE">
        <w:t>11</w:t>
      </w:r>
      <w:r>
        <w:fldChar w:fldCharType="end"/>
      </w:r>
    </w:p>
    <w:p w14:paraId="3528D684" w14:textId="77777777" w:rsidR="00464567" w:rsidRDefault="00FB47A6">
      <w:pPr>
        <w:pStyle w:val="TOC1"/>
        <w:rPr>
          <w:rFonts w:eastAsiaTheme="minorEastAsia"/>
          <w:b w:val="0"/>
          <w:lang w:eastAsia="en-AU"/>
        </w:rPr>
      </w:pPr>
      <w:r>
        <w:t>Appendix B: Modality assessment for mancozeb</w:t>
      </w:r>
      <w:r>
        <w:tab/>
      </w:r>
      <w:r>
        <w:fldChar w:fldCharType="begin"/>
      </w:r>
      <w:r>
        <w:instrText xml:space="preserve"> PAGEREF _Toc68188172 \h </w:instrText>
      </w:r>
      <w:r>
        <w:fldChar w:fldCharType="separate"/>
      </w:r>
      <w:r w:rsidR="00E747AE">
        <w:t>12</w:t>
      </w:r>
      <w:r>
        <w:fldChar w:fldCharType="end"/>
      </w:r>
    </w:p>
    <w:p w14:paraId="3528D685" w14:textId="77777777" w:rsidR="00464567" w:rsidRDefault="00FB47A6">
      <w:pPr>
        <w:pStyle w:val="TOC1"/>
        <w:rPr>
          <w:rFonts w:eastAsiaTheme="minorEastAsia"/>
          <w:b w:val="0"/>
          <w:lang w:eastAsia="en-AU"/>
        </w:rPr>
      </w:pPr>
      <w:r>
        <w:t>References</w:t>
      </w:r>
      <w:r>
        <w:tab/>
      </w:r>
      <w:r>
        <w:fldChar w:fldCharType="begin"/>
      </w:r>
      <w:r>
        <w:instrText xml:space="preserve"> PAGEREF _Toc68188173 \h </w:instrText>
      </w:r>
      <w:r>
        <w:fldChar w:fldCharType="separate"/>
      </w:r>
      <w:r w:rsidR="00E747AE">
        <w:t>15</w:t>
      </w:r>
      <w:r>
        <w:fldChar w:fldCharType="end"/>
      </w:r>
    </w:p>
    <w:p w14:paraId="3528D686" w14:textId="77777777" w:rsidR="001C0D1C" w:rsidRDefault="00FB47A6">
      <w:pPr>
        <w:pStyle w:val="TOCHeading2"/>
      </w:pPr>
      <w:r>
        <w:rPr>
          <w:rFonts w:asciiTheme="minorHAnsi" w:eastAsiaTheme="minorHAnsi" w:hAnsiTheme="minorHAnsi" w:cstheme="minorBidi"/>
          <w:noProof/>
          <w:color w:val="auto"/>
          <w:sz w:val="22"/>
          <w:szCs w:val="24"/>
          <w:lang w:val="en-AU"/>
        </w:rPr>
        <w:fldChar w:fldCharType="end"/>
      </w:r>
      <w:r>
        <w:t>Figures</w:t>
      </w:r>
    </w:p>
    <w:p w14:paraId="3528D687" w14:textId="77777777" w:rsidR="00464567" w:rsidRDefault="00FB47A6">
      <w:pPr>
        <w:pStyle w:val="TableofFigures"/>
        <w:tabs>
          <w:tab w:val="right" w:leader="dot" w:pos="9060"/>
        </w:tabs>
        <w:rPr>
          <w:rFonts w:eastAsiaTheme="minorEastAsia"/>
          <w:noProof/>
          <w:lang w:eastAsia="en-AU"/>
        </w:rPr>
      </w:pPr>
      <w:r>
        <w:fldChar w:fldCharType="begin"/>
      </w:r>
      <w:r>
        <w:instrText xml:space="preserve"> TOC \c "Figure" </w:instrText>
      </w:r>
      <w:r>
        <w:fldChar w:fldCharType="separate"/>
      </w:r>
      <w:r>
        <w:rPr>
          <w:noProof/>
        </w:rPr>
        <w:t>Figure 1 Structure of mancozeb</w:t>
      </w:r>
      <w:r>
        <w:rPr>
          <w:noProof/>
        </w:rPr>
        <w:tab/>
      </w:r>
      <w:r>
        <w:rPr>
          <w:noProof/>
        </w:rPr>
        <w:fldChar w:fldCharType="begin"/>
      </w:r>
      <w:r>
        <w:rPr>
          <w:noProof/>
        </w:rPr>
        <w:instrText xml:space="preserve"> PAGEREF _Toc68188174 \h </w:instrText>
      </w:r>
      <w:r>
        <w:rPr>
          <w:noProof/>
        </w:rPr>
      </w:r>
      <w:r>
        <w:rPr>
          <w:noProof/>
        </w:rPr>
        <w:fldChar w:fldCharType="separate"/>
      </w:r>
      <w:r w:rsidR="00E747AE">
        <w:rPr>
          <w:noProof/>
        </w:rPr>
        <w:t>2</w:t>
      </w:r>
      <w:r>
        <w:rPr>
          <w:noProof/>
        </w:rPr>
        <w:fldChar w:fldCharType="end"/>
      </w:r>
    </w:p>
    <w:p w14:paraId="3528D688" w14:textId="77777777" w:rsidR="00464567" w:rsidRDefault="00FB47A6">
      <w:pPr>
        <w:pStyle w:val="TableofFigures"/>
        <w:tabs>
          <w:tab w:val="right" w:leader="dot" w:pos="9060"/>
        </w:tabs>
        <w:rPr>
          <w:rFonts w:eastAsiaTheme="minorEastAsia"/>
          <w:noProof/>
          <w:lang w:eastAsia="en-AU"/>
        </w:rPr>
      </w:pPr>
      <w:r>
        <w:rPr>
          <w:noProof/>
        </w:rPr>
        <w:t>Figure 2 Species sensitivity distribution, mancozeb in freshwater</w:t>
      </w:r>
      <w:r>
        <w:rPr>
          <w:noProof/>
        </w:rPr>
        <w:tab/>
      </w:r>
      <w:r>
        <w:rPr>
          <w:noProof/>
        </w:rPr>
        <w:fldChar w:fldCharType="begin"/>
      </w:r>
      <w:r>
        <w:rPr>
          <w:noProof/>
        </w:rPr>
        <w:instrText xml:space="preserve"> PAGEREF _Toc68188175 \h </w:instrText>
      </w:r>
      <w:r>
        <w:rPr>
          <w:noProof/>
        </w:rPr>
      </w:r>
      <w:r>
        <w:rPr>
          <w:noProof/>
        </w:rPr>
        <w:fldChar w:fldCharType="separate"/>
      </w:r>
      <w:r w:rsidR="00E747AE">
        <w:rPr>
          <w:noProof/>
        </w:rPr>
        <w:t>6</w:t>
      </w:r>
      <w:r>
        <w:rPr>
          <w:noProof/>
        </w:rPr>
        <w:fldChar w:fldCharType="end"/>
      </w:r>
    </w:p>
    <w:p w14:paraId="3528D689" w14:textId="77777777" w:rsidR="001C0D1C" w:rsidRPr="001B767B" w:rsidRDefault="00FB47A6">
      <w:pPr>
        <w:pStyle w:val="TOCHeading2"/>
        <w:rPr>
          <w:rFonts w:ascii="Cambria" w:hAnsi="Cambria"/>
          <w:color w:val="auto"/>
          <w:sz w:val="22"/>
          <w:szCs w:val="24"/>
        </w:rPr>
      </w:pPr>
      <w:r>
        <w:rPr>
          <w:rFonts w:ascii="Cambria" w:hAnsi="Cambria"/>
          <w:color w:val="auto"/>
          <w:sz w:val="22"/>
          <w:szCs w:val="24"/>
        </w:rPr>
        <w:fldChar w:fldCharType="end"/>
      </w:r>
      <w:r>
        <w:t>Tables</w:t>
      </w:r>
    </w:p>
    <w:p w14:paraId="3528D68A" w14:textId="77777777" w:rsidR="00464567" w:rsidRDefault="00FB47A6">
      <w:pPr>
        <w:pStyle w:val="TableofFigures"/>
        <w:tabs>
          <w:tab w:val="right" w:leader="dot" w:pos="9060"/>
        </w:tabs>
        <w:rPr>
          <w:rFonts w:eastAsiaTheme="minorEastAsia"/>
          <w:noProof/>
          <w:lang w:eastAsia="en-AU"/>
        </w:rPr>
      </w:pPr>
      <w:r>
        <w:rPr>
          <w:bCs/>
          <w:szCs w:val="24"/>
        </w:rPr>
        <w:fldChar w:fldCharType="begin"/>
      </w:r>
      <w:r>
        <w:rPr>
          <w:bCs/>
        </w:rPr>
        <w:instrText xml:space="preserve"> TOC \c "Table" </w:instrText>
      </w:r>
      <w:r>
        <w:rPr>
          <w:bCs/>
          <w:szCs w:val="24"/>
        </w:rPr>
        <w:fldChar w:fldCharType="separate"/>
      </w:r>
      <w:r>
        <w:rPr>
          <w:noProof/>
        </w:rPr>
        <w:t>Table </w:t>
      </w:r>
      <w:r>
        <w:rPr>
          <w:noProof/>
        </w:rPr>
        <w:t>1 Summary of single chronic toxicity values, all species used to derive the default guideline values for mancozeb in freshwater</w:t>
      </w:r>
      <w:r>
        <w:rPr>
          <w:noProof/>
        </w:rPr>
        <w:tab/>
      </w:r>
      <w:r>
        <w:rPr>
          <w:noProof/>
        </w:rPr>
        <w:fldChar w:fldCharType="begin"/>
      </w:r>
      <w:r>
        <w:rPr>
          <w:noProof/>
        </w:rPr>
        <w:instrText xml:space="preserve"> PAGEREF _Toc68188176 \h </w:instrText>
      </w:r>
      <w:r>
        <w:rPr>
          <w:noProof/>
        </w:rPr>
      </w:r>
      <w:r>
        <w:rPr>
          <w:noProof/>
        </w:rPr>
        <w:fldChar w:fldCharType="separate"/>
      </w:r>
      <w:r w:rsidR="00E747AE">
        <w:rPr>
          <w:noProof/>
        </w:rPr>
        <w:t>6</w:t>
      </w:r>
      <w:r>
        <w:rPr>
          <w:noProof/>
        </w:rPr>
        <w:fldChar w:fldCharType="end"/>
      </w:r>
    </w:p>
    <w:p w14:paraId="3528D68B" w14:textId="77777777" w:rsidR="00464567" w:rsidRDefault="00FB47A6">
      <w:pPr>
        <w:pStyle w:val="TableofFigures"/>
        <w:tabs>
          <w:tab w:val="right" w:leader="dot" w:pos="9060"/>
        </w:tabs>
        <w:rPr>
          <w:rFonts w:eastAsiaTheme="minorEastAsia"/>
          <w:noProof/>
          <w:lang w:eastAsia="en-AU"/>
        </w:rPr>
      </w:pPr>
      <w:r>
        <w:rPr>
          <w:noProof/>
        </w:rPr>
        <w:t>Table 2 Toxicant default guideline</w:t>
      </w:r>
      <w:r>
        <w:rPr>
          <w:noProof/>
        </w:rPr>
        <w:t xml:space="preserve"> values, mancozeb in freshwater, moderate reliability</w:t>
      </w:r>
      <w:r>
        <w:rPr>
          <w:noProof/>
        </w:rPr>
        <w:tab/>
      </w:r>
      <w:r>
        <w:rPr>
          <w:noProof/>
        </w:rPr>
        <w:fldChar w:fldCharType="begin"/>
      </w:r>
      <w:r>
        <w:rPr>
          <w:noProof/>
        </w:rPr>
        <w:instrText xml:space="preserve"> PAGEREF _Toc68188177 \h </w:instrText>
      </w:r>
      <w:r>
        <w:rPr>
          <w:noProof/>
        </w:rPr>
      </w:r>
      <w:r>
        <w:rPr>
          <w:noProof/>
        </w:rPr>
        <w:fldChar w:fldCharType="separate"/>
      </w:r>
      <w:r w:rsidR="00E747AE">
        <w:rPr>
          <w:noProof/>
        </w:rPr>
        <w:t>7</w:t>
      </w:r>
      <w:r>
        <w:rPr>
          <w:noProof/>
        </w:rPr>
        <w:fldChar w:fldCharType="end"/>
      </w:r>
    </w:p>
    <w:p w14:paraId="3528D68C" w14:textId="77777777" w:rsidR="00423069" w:rsidRDefault="00FB47A6" w:rsidP="00423069">
      <w:pPr>
        <w:pStyle w:val="TOCHeading2"/>
        <w:rPr>
          <w:bCs w:val="0"/>
          <w:szCs w:val="24"/>
        </w:rPr>
      </w:pPr>
      <w:r>
        <w:fldChar w:fldCharType="end"/>
      </w:r>
      <w:r>
        <w:rPr>
          <w:bCs w:val="0"/>
          <w:szCs w:val="24"/>
        </w:rPr>
        <w:t>Appendix figures</w:t>
      </w:r>
    </w:p>
    <w:p w14:paraId="3528D68D" w14:textId="77777777" w:rsidR="00464567" w:rsidRDefault="005951B0">
      <w:pPr>
        <w:pStyle w:val="TableofFigures"/>
        <w:tabs>
          <w:tab w:val="right" w:leader="dot" w:pos="9060"/>
        </w:tabs>
        <w:rPr>
          <w:rFonts w:eastAsiaTheme="minorEastAsia"/>
          <w:noProof/>
          <w:lang w:eastAsia="en-AU"/>
        </w:rPr>
      </w:pPr>
      <w:r>
        <w:fldChar w:fldCharType="begin"/>
      </w:r>
      <w:r w:rsidR="00B429DB">
        <w:instrText xml:space="preserve"> TOC \c "Figure B" </w:instrText>
      </w:r>
      <w:r>
        <w:fldChar w:fldCharType="separate"/>
      </w:r>
      <w:r w:rsidR="00B429DB">
        <w:rPr>
          <w:noProof/>
        </w:rPr>
        <w:t>Figure B 1 Histogram, raw (left) and log transformed (right) data</w:t>
      </w:r>
      <w:r w:rsidR="00B429DB">
        <w:rPr>
          <w:noProof/>
        </w:rPr>
        <w:tab/>
      </w:r>
      <w:r w:rsidR="00B429DB">
        <w:rPr>
          <w:noProof/>
        </w:rPr>
        <w:fldChar w:fldCharType="begin"/>
      </w:r>
      <w:r w:rsidR="00B429DB">
        <w:rPr>
          <w:noProof/>
        </w:rPr>
        <w:instrText xml:space="preserve"> PAGEREF _Toc68188178 \h </w:instrText>
      </w:r>
      <w:r w:rsidR="00B429DB">
        <w:rPr>
          <w:noProof/>
        </w:rPr>
      </w:r>
      <w:r w:rsidR="00B429DB">
        <w:rPr>
          <w:noProof/>
        </w:rPr>
        <w:fldChar w:fldCharType="separate"/>
      </w:r>
      <w:r w:rsidR="00E747AE">
        <w:rPr>
          <w:noProof/>
        </w:rPr>
        <w:t>12</w:t>
      </w:r>
      <w:r w:rsidR="00B429DB">
        <w:rPr>
          <w:noProof/>
        </w:rPr>
        <w:fldChar w:fldCharType="end"/>
      </w:r>
    </w:p>
    <w:p w14:paraId="3528D68E" w14:textId="77777777" w:rsidR="00464567" w:rsidRDefault="00FB47A6">
      <w:pPr>
        <w:pStyle w:val="TableofFigures"/>
        <w:tabs>
          <w:tab w:val="right" w:leader="dot" w:pos="9060"/>
        </w:tabs>
        <w:rPr>
          <w:rFonts w:eastAsiaTheme="minorEastAsia"/>
          <w:noProof/>
          <w:lang w:eastAsia="en-AU"/>
        </w:rPr>
      </w:pPr>
      <w:r>
        <w:rPr>
          <w:noProof/>
        </w:rPr>
        <w:t>Figure B 2 Box plots, raw (left) and log transformed (right) data grouped by major types of</w:t>
      </w:r>
      <w:r>
        <w:rPr>
          <w:noProof/>
        </w:rPr>
        <w:br/>
        <w:t>organisms</w:t>
      </w:r>
      <w:r>
        <w:rPr>
          <w:noProof/>
        </w:rPr>
        <w:tab/>
      </w:r>
      <w:r>
        <w:rPr>
          <w:noProof/>
        </w:rPr>
        <w:fldChar w:fldCharType="begin"/>
      </w:r>
      <w:r>
        <w:rPr>
          <w:noProof/>
        </w:rPr>
        <w:instrText xml:space="preserve"> PAGEREF _Toc68188179 \h </w:instrText>
      </w:r>
      <w:r>
        <w:rPr>
          <w:noProof/>
        </w:rPr>
      </w:r>
      <w:r>
        <w:rPr>
          <w:noProof/>
        </w:rPr>
        <w:fldChar w:fldCharType="separate"/>
      </w:r>
      <w:r w:rsidR="00E747AE">
        <w:rPr>
          <w:noProof/>
        </w:rPr>
        <w:t>13</w:t>
      </w:r>
      <w:r>
        <w:rPr>
          <w:noProof/>
        </w:rPr>
        <w:fldChar w:fldCharType="end"/>
      </w:r>
    </w:p>
    <w:p w14:paraId="3528D68F" w14:textId="77777777" w:rsidR="00423069" w:rsidRPr="008D4C30" w:rsidRDefault="00FB47A6" w:rsidP="00423069">
      <w:pPr>
        <w:pStyle w:val="TableofFigures"/>
        <w:tabs>
          <w:tab w:val="right" w:leader="dot" w:pos="9060"/>
        </w:tabs>
        <w:rPr>
          <w:lang w:val="en-US"/>
        </w:rPr>
      </w:pPr>
      <w:r>
        <w:rPr>
          <w:noProof/>
        </w:rPr>
        <w:t>Figure B 3 Box plots, raw (left) and log transformed (right) data grouped by autotrophic and heterotrophic organisms</w:t>
      </w:r>
      <w:r>
        <w:rPr>
          <w:noProof/>
        </w:rPr>
        <w:tab/>
      </w:r>
      <w:r>
        <w:rPr>
          <w:noProof/>
        </w:rPr>
        <w:fldChar w:fldCharType="begin"/>
      </w:r>
      <w:r>
        <w:rPr>
          <w:noProof/>
        </w:rPr>
        <w:instrText xml:space="preserve"> PAGEREF _Toc68188180 \h </w:instrText>
      </w:r>
      <w:r>
        <w:rPr>
          <w:noProof/>
        </w:rPr>
      </w:r>
      <w:r>
        <w:rPr>
          <w:noProof/>
        </w:rPr>
        <w:fldChar w:fldCharType="separate"/>
      </w:r>
      <w:r w:rsidR="00E747AE">
        <w:rPr>
          <w:noProof/>
        </w:rPr>
        <w:t>13</w:t>
      </w:r>
      <w:r>
        <w:rPr>
          <w:noProof/>
        </w:rPr>
        <w:fldChar w:fldCharType="end"/>
      </w:r>
      <w:r w:rsidR="005951B0">
        <w:rPr>
          <w:noProof/>
        </w:rPr>
        <w:fldChar w:fldCharType="end"/>
      </w:r>
    </w:p>
    <w:p w14:paraId="3528D690" w14:textId="77777777" w:rsidR="00423069" w:rsidRDefault="00FB47A6" w:rsidP="00423069">
      <w:pPr>
        <w:pStyle w:val="TOCHeading2"/>
        <w:keepNext/>
        <w:keepLines/>
        <w:rPr>
          <w:bCs w:val="0"/>
          <w:szCs w:val="24"/>
        </w:rPr>
      </w:pPr>
      <w:r>
        <w:rPr>
          <w:bCs w:val="0"/>
          <w:szCs w:val="24"/>
        </w:rPr>
        <w:t>Appendix tables</w:t>
      </w:r>
    </w:p>
    <w:p w14:paraId="3528D691" w14:textId="77777777" w:rsidR="00464567" w:rsidRDefault="00FB47A6">
      <w:pPr>
        <w:pStyle w:val="TableofFigures"/>
        <w:tabs>
          <w:tab w:val="right" w:leader="dot" w:pos="9060"/>
        </w:tabs>
        <w:rPr>
          <w:rFonts w:eastAsiaTheme="minorEastAsia"/>
          <w:noProof/>
          <w:lang w:eastAsia="en-AU"/>
        </w:rPr>
      </w:pPr>
      <w:r>
        <w:rPr>
          <w:bCs/>
        </w:rPr>
        <w:fldChar w:fldCharType="begin"/>
      </w:r>
      <w:r>
        <w:rPr>
          <w:bCs/>
        </w:rPr>
        <w:instrText xml:space="preserve"> TOC \h \z \c "Table A" </w:instrText>
      </w:r>
      <w:r>
        <w:rPr>
          <w:bCs/>
        </w:rPr>
        <w:fldChar w:fldCharType="separate"/>
      </w:r>
      <w:hyperlink w:anchor="_Toc68188181" w:history="1">
        <w:r w:rsidRPr="00EB133A">
          <w:rPr>
            <w:rStyle w:val="Hyperlink"/>
            <w:noProof/>
          </w:rPr>
          <w:t xml:space="preserve">Table A 1 </w:t>
        </w:r>
        <w:r w:rsidRPr="00EB133A">
          <w:rPr>
            <w:rStyle w:val="Hyperlink"/>
            <w:noProof/>
            <w:lang w:eastAsia="ja-JP"/>
          </w:rPr>
          <w:t>Summary, chronic toxicity data that passed the screening and quality assurance</w:t>
        </w:r>
        <w:r w:rsidR="00146834">
          <w:rPr>
            <w:rStyle w:val="Hyperlink"/>
            <w:noProof/>
            <w:lang w:eastAsia="ja-JP"/>
          </w:rPr>
          <w:br/>
        </w:r>
        <w:r w:rsidRPr="00EB133A">
          <w:rPr>
            <w:rStyle w:val="Hyperlink"/>
            <w:noProof/>
            <w:lang w:eastAsia="ja-JP"/>
          </w:rPr>
          <w:t>processes, mancozeb in freshwater</w:t>
        </w:r>
        <w:r>
          <w:rPr>
            <w:noProof/>
            <w:webHidden/>
          </w:rPr>
          <w:tab/>
        </w:r>
        <w:r>
          <w:rPr>
            <w:noProof/>
            <w:webHidden/>
          </w:rPr>
          <w:fldChar w:fldCharType="begin"/>
        </w:r>
        <w:r>
          <w:rPr>
            <w:noProof/>
            <w:webHidden/>
          </w:rPr>
          <w:instrText xml:space="preserve"> PAGEREF _Toc68188181 \h </w:instrText>
        </w:r>
        <w:r>
          <w:rPr>
            <w:noProof/>
            <w:webHidden/>
          </w:rPr>
        </w:r>
        <w:r>
          <w:rPr>
            <w:noProof/>
            <w:webHidden/>
          </w:rPr>
          <w:fldChar w:fldCharType="separate"/>
        </w:r>
        <w:r w:rsidR="00E747AE">
          <w:rPr>
            <w:noProof/>
            <w:webHidden/>
          </w:rPr>
          <w:t>11</w:t>
        </w:r>
        <w:r>
          <w:rPr>
            <w:noProof/>
            <w:webHidden/>
          </w:rPr>
          <w:fldChar w:fldCharType="end"/>
        </w:r>
      </w:hyperlink>
    </w:p>
    <w:p w14:paraId="3528D692" w14:textId="77777777" w:rsidR="00401C43" w:rsidRDefault="00FB47A6" w:rsidP="00621D8D">
      <w:pPr>
        <w:pStyle w:val="TableofFigures"/>
        <w:keepNext/>
        <w:keepLines/>
        <w:tabs>
          <w:tab w:val="right" w:leader="dot" w:pos="9060"/>
        </w:tabs>
      </w:pPr>
      <w:r>
        <w:rPr>
          <w:bCs/>
        </w:rPr>
        <w:fldChar w:fldCharType="end"/>
      </w:r>
      <w:r w:rsidR="00CA4A82">
        <w:br w:type="page"/>
      </w:r>
    </w:p>
    <w:p w14:paraId="3528D693" w14:textId="77777777" w:rsidR="001C0D1C" w:rsidRDefault="00FB47A6" w:rsidP="00AB1B78">
      <w:pPr>
        <w:pStyle w:val="Heading2"/>
        <w:numPr>
          <w:ilvl w:val="0"/>
          <w:numId w:val="0"/>
        </w:numPr>
        <w:spacing w:after="0"/>
        <w:ind w:left="680" w:hanging="680"/>
      </w:pPr>
      <w:bookmarkStart w:id="1" w:name="_Toc68188159"/>
      <w:r>
        <w:t>Summary</w:t>
      </w:r>
      <w:bookmarkEnd w:id="1"/>
    </w:p>
    <w:p w14:paraId="3528D694" w14:textId="77777777" w:rsidR="00AB1B78" w:rsidRDefault="00FB47A6" w:rsidP="00F217AD">
      <w:sdt>
        <w:sdtPr>
          <w:alias w:val="Compulsary - text and location locked to Summary"/>
          <w:tag w:val="Compulsary text"/>
          <w:id w:val="-1841920371"/>
          <w:lock w:val="contentLocked"/>
          <w:placeholder>
            <w:docPart w:val="75E5AAFA747F479F87D73EFE61ADBB03"/>
          </w:placeholder>
          <w:text/>
        </w:sdtPr>
        <w:sdtEndPr/>
        <w:sdtContent>
          <w:r w:rsidR="00BB20B9" w:rsidRPr="00BF6347">
            <w:t xml:space="preserve">The default guideline values (DGVs) and associated information in this technical brief should be used in accordance with the detailed guidance provided in the Australian and New Zealand Guidelines for Fresh and Marine Water Quality website (www.waterquality.gov.au/anz-guidelines). </w:t>
          </w:r>
        </w:sdtContent>
      </w:sdt>
    </w:p>
    <w:p w14:paraId="3528D695" w14:textId="77777777" w:rsidR="00F217AD" w:rsidRPr="007722FA" w:rsidRDefault="00FB47A6" w:rsidP="00F217AD">
      <w:pPr>
        <w:rPr>
          <w:bCs/>
        </w:rPr>
      </w:pPr>
      <w:r>
        <w:rPr>
          <w:bCs/>
        </w:rPr>
        <w:t>Mancozeb (</w:t>
      </w:r>
      <w:r w:rsidRPr="006A343A">
        <w:rPr>
          <w:bCs/>
        </w:rPr>
        <w:t xml:space="preserve">manganese ethylenebis </w:t>
      </w:r>
      <w:r>
        <w:rPr>
          <w:bCs/>
        </w:rPr>
        <w:t>(</w:t>
      </w:r>
      <w:r w:rsidRPr="006A343A">
        <w:rPr>
          <w:bCs/>
        </w:rPr>
        <w:t>dithiocarbamate</w:t>
      </w:r>
      <w:r>
        <w:rPr>
          <w:bCs/>
        </w:rPr>
        <w:t>) polymeric complex with zinc salt</w:t>
      </w:r>
      <w:r>
        <w:rPr>
          <w:bCs/>
        </w:rPr>
        <w:t>) is a broad</w:t>
      </w:r>
      <w:r w:rsidR="00C95DDB">
        <w:rPr>
          <w:bCs/>
        </w:rPr>
        <w:t>-</w:t>
      </w:r>
      <w:r>
        <w:rPr>
          <w:bCs/>
        </w:rPr>
        <w:t>spectrum fungicide used on food and ornamental crops such as fruit, tobacco, turf, and vegetables. Application is aimed at preventi</w:t>
      </w:r>
      <w:r w:rsidR="00C95DDB">
        <w:rPr>
          <w:bCs/>
        </w:rPr>
        <w:t>ng</w:t>
      </w:r>
      <w:r>
        <w:rPr>
          <w:bCs/>
        </w:rPr>
        <w:t xml:space="preserve"> crop damage in the field and protect</w:t>
      </w:r>
      <w:r w:rsidR="00C95DDB">
        <w:rPr>
          <w:bCs/>
        </w:rPr>
        <w:t>ing</w:t>
      </w:r>
      <w:r>
        <w:rPr>
          <w:bCs/>
        </w:rPr>
        <w:t xml:space="preserve"> harvested crops from deteriorati</w:t>
      </w:r>
      <w:r w:rsidR="004E03D0">
        <w:rPr>
          <w:bCs/>
        </w:rPr>
        <w:t>ng</w:t>
      </w:r>
      <w:r>
        <w:rPr>
          <w:bCs/>
        </w:rPr>
        <w:t xml:space="preserve"> during storage or transport (USEPA</w:t>
      </w:r>
      <w:r>
        <w:rPr>
          <w:bCs/>
        </w:rPr>
        <w:t xml:space="preserve"> 2005a, 2005b</w:t>
      </w:r>
      <w:r w:rsidR="00336E14">
        <w:rPr>
          <w:bCs/>
        </w:rPr>
        <w:t>,</w:t>
      </w:r>
      <w:r>
        <w:rPr>
          <w:bCs/>
        </w:rPr>
        <w:t xml:space="preserve"> DOW 2010)</w:t>
      </w:r>
      <w:r>
        <w:t>. Mancozeb belongs to the dithiocarbamate group of fungicides and to the class of compounds known as ethylene bisdith</w:t>
      </w:r>
      <w:r w:rsidR="00F74913">
        <w:t>i</w:t>
      </w:r>
      <w:r>
        <w:t>ocarbamates (EBDCs), which share the common metabolite and environmental degradate ethylenethiourea (ETU) (</w:t>
      </w:r>
      <w:r w:rsidRPr="00EC1464">
        <w:t>USEPA 2</w:t>
      </w:r>
      <w:r w:rsidRPr="00EC1464">
        <w:t>005a, 2005b)</w:t>
      </w:r>
      <w:r w:rsidRPr="00EC1464">
        <w:rPr>
          <w:bCs/>
        </w:rPr>
        <w:t xml:space="preserve">. </w:t>
      </w:r>
      <w:r w:rsidRPr="007722FA">
        <w:rPr>
          <w:bCs/>
        </w:rPr>
        <w:t xml:space="preserve">In water, mancozeb rapidly hydrolyses to </w:t>
      </w:r>
      <w:r w:rsidR="007722FA">
        <w:rPr>
          <w:bCs/>
        </w:rPr>
        <w:t xml:space="preserve">the </w:t>
      </w:r>
      <w:r w:rsidRPr="00EC1464">
        <w:rPr>
          <w:bCs/>
        </w:rPr>
        <w:t>‘mancozeb complex’, which includes ETU (</w:t>
      </w:r>
      <w:r w:rsidR="00336E14" w:rsidRPr="007722FA">
        <w:rPr>
          <w:bCs/>
        </w:rPr>
        <w:t>USEPA 2005c</w:t>
      </w:r>
      <w:r w:rsidR="00336E14">
        <w:rPr>
          <w:bCs/>
        </w:rPr>
        <w:t>,</w:t>
      </w:r>
      <w:r w:rsidR="00336E14" w:rsidRPr="00EC1464">
        <w:rPr>
          <w:bCs/>
        </w:rPr>
        <w:t xml:space="preserve"> </w:t>
      </w:r>
      <w:r w:rsidRPr="00EC1464">
        <w:rPr>
          <w:bCs/>
        </w:rPr>
        <w:t>Ruhman e</w:t>
      </w:r>
      <w:r w:rsidRPr="007722FA">
        <w:rPr>
          <w:bCs/>
        </w:rPr>
        <w:t>t al</w:t>
      </w:r>
      <w:r w:rsidR="00336E14">
        <w:rPr>
          <w:bCs/>
        </w:rPr>
        <w:t>.</w:t>
      </w:r>
      <w:r w:rsidRPr="007722FA">
        <w:rPr>
          <w:bCs/>
        </w:rPr>
        <w:t xml:space="preserve"> 2011). Mobility of the mancozeb complex is limited because of its strong </w:t>
      </w:r>
      <w:r w:rsidR="00862741">
        <w:rPr>
          <w:bCs/>
        </w:rPr>
        <w:t>tendency</w:t>
      </w:r>
      <w:r w:rsidR="00862741" w:rsidRPr="007722FA">
        <w:rPr>
          <w:bCs/>
        </w:rPr>
        <w:t xml:space="preserve"> </w:t>
      </w:r>
      <w:r w:rsidRPr="007722FA">
        <w:rPr>
          <w:bCs/>
        </w:rPr>
        <w:t xml:space="preserve">to adsorb to soil and sediment. ETU is more mobile than the mancozeb complex, and has high water solubility. In mammals, ETU affects the thyroid and </w:t>
      </w:r>
      <w:r w:rsidR="00336E14">
        <w:rPr>
          <w:bCs/>
        </w:rPr>
        <w:t xml:space="preserve">can </w:t>
      </w:r>
      <w:r w:rsidRPr="007722FA">
        <w:rPr>
          <w:bCs/>
        </w:rPr>
        <w:t xml:space="preserve">cause developmental </w:t>
      </w:r>
      <w:r w:rsidRPr="007722FA">
        <w:rPr>
          <w:bCs/>
        </w:rPr>
        <w:t>toxicity and carcinomas (</w:t>
      </w:r>
      <w:r w:rsidR="00336E14" w:rsidRPr="007722FA">
        <w:rPr>
          <w:bCs/>
        </w:rPr>
        <w:t>EC 2005</w:t>
      </w:r>
      <w:r w:rsidR="00336E14">
        <w:rPr>
          <w:bCs/>
        </w:rPr>
        <w:t>,</w:t>
      </w:r>
      <w:r w:rsidR="00336E14" w:rsidRPr="007722FA">
        <w:rPr>
          <w:bCs/>
        </w:rPr>
        <w:t xml:space="preserve"> USEPA 2005d</w:t>
      </w:r>
      <w:r w:rsidR="00336E14">
        <w:rPr>
          <w:bCs/>
        </w:rPr>
        <w:t>,</w:t>
      </w:r>
      <w:r w:rsidR="00336E14" w:rsidRPr="007722FA">
        <w:rPr>
          <w:bCs/>
        </w:rPr>
        <w:t xml:space="preserve"> </w:t>
      </w:r>
      <w:r w:rsidRPr="007722FA">
        <w:rPr>
          <w:bCs/>
        </w:rPr>
        <w:t>Gullino et al. 2010</w:t>
      </w:r>
      <w:r w:rsidR="0040385E" w:rsidRPr="007722FA">
        <w:rPr>
          <w:bCs/>
        </w:rPr>
        <w:t>)</w:t>
      </w:r>
      <w:r w:rsidRPr="007722FA">
        <w:rPr>
          <w:bCs/>
        </w:rPr>
        <w:t xml:space="preserve">. ETU may also be a potential endocrine disruptor, but </w:t>
      </w:r>
      <w:r w:rsidR="00152816">
        <w:rPr>
          <w:bCs/>
        </w:rPr>
        <w:t xml:space="preserve">it </w:t>
      </w:r>
      <w:r w:rsidRPr="007722FA">
        <w:rPr>
          <w:bCs/>
        </w:rPr>
        <w:t xml:space="preserve">appears to have lower acute toxicity </w:t>
      </w:r>
      <w:r w:rsidR="00152816" w:rsidRPr="007722FA">
        <w:rPr>
          <w:bCs/>
        </w:rPr>
        <w:t xml:space="preserve">than mancozeb </w:t>
      </w:r>
      <w:r w:rsidRPr="007722FA">
        <w:rPr>
          <w:bCs/>
        </w:rPr>
        <w:t xml:space="preserve">to aquatic organisms </w:t>
      </w:r>
      <w:r w:rsidR="0040385E" w:rsidRPr="007722FA">
        <w:rPr>
          <w:bCs/>
        </w:rPr>
        <w:t>(</w:t>
      </w:r>
      <w:r w:rsidR="00152816" w:rsidRPr="007722FA">
        <w:rPr>
          <w:bCs/>
        </w:rPr>
        <w:t>WHO 1998</w:t>
      </w:r>
      <w:r w:rsidR="00152816">
        <w:rPr>
          <w:bCs/>
        </w:rPr>
        <w:t xml:space="preserve">, </w:t>
      </w:r>
      <w:r w:rsidR="00152816" w:rsidRPr="007722FA">
        <w:rPr>
          <w:bCs/>
        </w:rPr>
        <w:t>USEPA 2005d</w:t>
      </w:r>
      <w:r w:rsidR="00152816">
        <w:rPr>
          <w:bCs/>
        </w:rPr>
        <w:t>,</w:t>
      </w:r>
      <w:r w:rsidR="00152816" w:rsidRPr="007722FA">
        <w:rPr>
          <w:bCs/>
        </w:rPr>
        <w:t xml:space="preserve"> </w:t>
      </w:r>
      <w:r w:rsidR="0040385E" w:rsidRPr="007722FA">
        <w:rPr>
          <w:bCs/>
        </w:rPr>
        <w:t>Ruhman et al. 2011).</w:t>
      </w:r>
    </w:p>
    <w:p w14:paraId="3528D696" w14:textId="77777777" w:rsidR="00F217AD" w:rsidRPr="007722FA" w:rsidRDefault="00FB47A6" w:rsidP="00F217AD">
      <w:pPr>
        <w:rPr>
          <w:bCs/>
        </w:rPr>
      </w:pPr>
      <w:r w:rsidRPr="007722FA">
        <w:t>In acute toxic</w:t>
      </w:r>
      <w:r w:rsidRPr="007722FA">
        <w:t>ity studies on aquatic organisms, mancozeb has been two to three orders of magnitude more toxic than ET</w:t>
      </w:r>
      <w:r w:rsidR="0040385E" w:rsidRPr="007722FA">
        <w:t>U (</w:t>
      </w:r>
      <w:r w:rsidR="00865C53" w:rsidRPr="007722FA">
        <w:t>WHO 1998</w:t>
      </w:r>
      <w:r w:rsidR="00865C53">
        <w:t xml:space="preserve">, </w:t>
      </w:r>
      <w:r w:rsidR="0040385E" w:rsidRPr="007722FA">
        <w:t>Ruhman et al. 2011)</w:t>
      </w:r>
      <w:r w:rsidRPr="007722FA">
        <w:rPr>
          <w:bCs/>
        </w:rPr>
        <w:t>.</w:t>
      </w:r>
      <w:r w:rsidRPr="007722FA">
        <w:t xml:space="preserve"> In longer</w:t>
      </w:r>
      <w:r w:rsidR="00E108B2">
        <w:t>-</w:t>
      </w:r>
      <w:r w:rsidRPr="007722FA">
        <w:t>term studies on fish, mancozeb exposure has produced physical abnormalities such as spinal curvature and noto</w:t>
      </w:r>
      <w:r w:rsidRPr="007722FA">
        <w:t>chord distortion, as well as haematological changes</w:t>
      </w:r>
      <w:r w:rsidR="0040385E" w:rsidRPr="007722FA">
        <w:t xml:space="preserve"> (</w:t>
      </w:r>
      <w:r w:rsidR="00E108B2" w:rsidRPr="007722FA">
        <w:t xml:space="preserve">Atamanalp </w:t>
      </w:r>
      <w:r w:rsidR="00E108B2">
        <w:t>&amp;</w:t>
      </w:r>
      <w:r w:rsidR="00E108B2" w:rsidRPr="007722FA">
        <w:t xml:space="preserve"> Yanik 2003</w:t>
      </w:r>
      <w:r w:rsidR="00E108B2">
        <w:t xml:space="preserve">, </w:t>
      </w:r>
      <w:r w:rsidR="00E108B2" w:rsidRPr="007722FA">
        <w:t>Tilton et al. 2006</w:t>
      </w:r>
      <w:r w:rsidR="00E108B2">
        <w:t xml:space="preserve">, </w:t>
      </w:r>
      <w:r w:rsidR="0040385E" w:rsidRPr="007722FA">
        <w:t>Ruhman et al. 2011)</w:t>
      </w:r>
      <w:r w:rsidRPr="007722FA">
        <w:t xml:space="preserve">. In aquatic invertebrates, mancozeb exposure can </w:t>
      </w:r>
      <w:r w:rsidR="007A100E">
        <w:t>affect</w:t>
      </w:r>
      <w:r w:rsidRPr="007722FA">
        <w:t xml:space="preserve"> growth and time to first brood</w:t>
      </w:r>
      <w:r w:rsidR="0040385E" w:rsidRPr="007722FA">
        <w:t xml:space="preserve"> (</w:t>
      </w:r>
      <w:r w:rsidR="007A100E" w:rsidRPr="007722FA">
        <w:t>WHO 1998</w:t>
      </w:r>
      <w:r w:rsidR="007A100E">
        <w:t>, Ruhman et al. 2011</w:t>
      </w:r>
      <w:r w:rsidR="0040385E" w:rsidRPr="007722FA">
        <w:t>)</w:t>
      </w:r>
      <w:r w:rsidR="007A100E">
        <w:rPr>
          <w:bCs/>
        </w:rPr>
        <w:t xml:space="preserve">. </w:t>
      </w:r>
    </w:p>
    <w:p w14:paraId="3528D697" w14:textId="77777777" w:rsidR="00F217AD" w:rsidRDefault="00FB47A6" w:rsidP="00F217AD">
      <w:pPr>
        <w:rPr>
          <w:bCs/>
        </w:rPr>
      </w:pPr>
      <w:r w:rsidRPr="007722FA">
        <w:rPr>
          <w:bCs/>
        </w:rPr>
        <w:t xml:space="preserve">Given its </w:t>
      </w:r>
      <w:r w:rsidRPr="007722FA">
        <w:rPr>
          <w:bCs/>
        </w:rPr>
        <w:t>rapid hydrolysis, concentrations of mancozeb in water are either reported as nominal concentrations, or are based on the concentration of the indicator chemical</w:t>
      </w:r>
      <w:r w:rsidR="001C11CB">
        <w:rPr>
          <w:bCs/>
        </w:rPr>
        <w:t>—</w:t>
      </w:r>
      <w:r w:rsidRPr="007722FA">
        <w:rPr>
          <w:bCs/>
        </w:rPr>
        <w:t>carbon disul</w:t>
      </w:r>
      <w:r w:rsidR="006B5E82">
        <w:rPr>
          <w:bCs/>
        </w:rPr>
        <w:t>f</w:t>
      </w:r>
      <w:r w:rsidRPr="007722FA">
        <w:rPr>
          <w:bCs/>
        </w:rPr>
        <w:t>ide (CS</w:t>
      </w:r>
      <w:r w:rsidRPr="007722FA">
        <w:rPr>
          <w:bCs/>
          <w:vertAlign w:val="subscript"/>
        </w:rPr>
        <w:t>2</w:t>
      </w:r>
      <w:r w:rsidRPr="007722FA">
        <w:rPr>
          <w:bCs/>
        </w:rPr>
        <w:t>). CS</w:t>
      </w:r>
      <w:r w:rsidRPr="007722FA">
        <w:rPr>
          <w:bCs/>
          <w:vertAlign w:val="subscript"/>
        </w:rPr>
        <w:t>2</w:t>
      </w:r>
      <w:r w:rsidRPr="007722FA">
        <w:rPr>
          <w:bCs/>
        </w:rPr>
        <w:t xml:space="preserve"> is released from dithiocarbamate compounds during chemical analysis</w:t>
      </w:r>
      <w:r w:rsidRPr="007722FA">
        <w:rPr>
          <w:bCs/>
        </w:rPr>
        <w:t>, specifically following acid digestion. A factor is then applied to convert the CS</w:t>
      </w:r>
      <w:r w:rsidRPr="007722FA">
        <w:rPr>
          <w:bCs/>
          <w:vertAlign w:val="subscript"/>
        </w:rPr>
        <w:t>2</w:t>
      </w:r>
      <w:r w:rsidRPr="007722FA">
        <w:rPr>
          <w:bCs/>
        </w:rPr>
        <w:t xml:space="preserve"> concentration to an</w:t>
      </w:r>
      <w:r>
        <w:rPr>
          <w:bCs/>
        </w:rPr>
        <w:t xml:space="preserve"> equivalent mancozeb concentration. </w:t>
      </w:r>
    </w:p>
    <w:p w14:paraId="3528D698" w14:textId="77777777" w:rsidR="00F217AD" w:rsidRDefault="00FB47A6" w:rsidP="00AB1B78">
      <w:pPr>
        <w:spacing w:after="120"/>
      </w:pPr>
      <w:r w:rsidRPr="00A63269">
        <w:rPr>
          <w:bCs/>
        </w:rPr>
        <w:t xml:space="preserve">Moderate </w:t>
      </w:r>
      <w:r w:rsidRPr="00673F15">
        <w:rPr>
          <w:bCs/>
        </w:rPr>
        <w:t xml:space="preserve">reliability </w:t>
      </w:r>
      <w:r w:rsidRPr="00673F15">
        <w:t>default guideline values (</w:t>
      </w:r>
      <w:r w:rsidRPr="00847FCE">
        <w:rPr>
          <w:bCs/>
        </w:rPr>
        <w:t xml:space="preserve">DGVs) for mancozeb in freshwater were derived based on </w:t>
      </w:r>
      <w:r w:rsidRPr="00F76A7A">
        <w:rPr>
          <w:bCs/>
        </w:rPr>
        <w:t>chronic toxic</w:t>
      </w:r>
      <w:r w:rsidRPr="00F76A7A">
        <w:rPr>
          <w:bCs/>
        </w:rPr>
        <w:t xml:space="preserve">ity values for </w:t>
      </w:r>
      <w:r w:rsidR="00A63269" w:rsidRPr="008A7ACC">
        <w:rPr>
          <w:bCs/>
        </w:rPr>
        <w:t>eight</w:t>
      </w:r>
      <w:r w:rsidR="00A63269" w:rsidRPr="00A63269">
        <w:rPr>
          <w:bCs/>
        </w:rPr>
        <w:t xml:space="preserve"> </w:t>
      </w:r>
      <w:r w:rsidRPr="00A63269">
        <w:rPr>
          <w:bCs/>
        </w:rPr>
        <w:t xml:space="preserve">species from four taxonomic groups, with a </w:t>
      </w:r>
      <w:r w:rsidR="00F65675">
        <w:rPr>
          <w:bCs/>
        </w:rPr>
        <w:t>p</w:t>
      </w:r>
      <w:r w:rsidR="004267B6" w:rsidRPr="008A7ACC">
        <w:rPr>
          <w:bCs/>
        </w:rPr>
        <w:t>oo</w:t>
      </w:r>
      <w:r w:rsidR="00F65675">
        <w:rPr>
          <w:bCs/>
        </w:rPr>
        <w:t>r</w:t>
      </w:r>
      <w:r w:rsidR="004267B6" w:rsidRPr="00A63269">
        <w:rPr>
          <w:bCs/>
        </w:rPr>
        <w:t xml:space="preserve"> </w:t>
      </w:r>
      <w:r w:rsidRPr="00A63269">
        <w:rPr>
          <w:bCs/>
        </w:rPr>
        <w:t>fit</w:t>
      </w:r>
      <w:r w:rsidRPr="00673F15">
        <w:rPr>
          <w:bCs/>
        </w:rPr>
        <w:t xml:space="preserve"> of the </w:t>
      </w:r>
      <w:r w:rsidR="00F01476" w:rsidRPr="00673F15">
        <w:rPr>
          <w:bCs/>
        </w:rPr>
        <w:t>species s</w:t>
      </w:r>
      <w:r w:rsidR="00F01476" w:rsidRPr="00847FCE">
        <w:rPr>
          <w:bCs/>
        </w:rPr>
        <w:t>ensiti</w:t>
      </w:r>
      <w:r w:rsidR="00FA0138">
        <w:rPr>
          <w:bCs/>
        </w:rPr>
        <w:t>vi</w:t>
      </w:r>
      <w:r w:rsidR="00F01476" w:rsidRPr="00847FCE">
        <w:rPr>
          <w:bCs/>
        </w:rPr>
        <w:t xml:space="preserve">ty </w:t>
      </w:r>
      <w:r w:rsidRPr="00F76A7A">
        <w:rPr>
          <w:bCs/>
        </w:rPr>
        <w:t xml:space="preserve">distribution to the toxicity data. </w:t>
      </w:r>
      <w:r w:rsidR="00F01476" w:rsidRPr="00F76A7A">
        <w:t xml:space="preserve">The DGVs for </w:t>
      </w:r>
      <w:r w:rsidR="00F01476" w:rsidRPr="00F76A7A">
        <w:rPr>
          <w:bCs/>
        </w:rPr>
        <w:t>99</w:t>
      </w:r>
      <w:r w:rsidR="00241878">
        <w:rPr>
          <w:bCs/>
        </w:rPr>
        <w:t>%</w:t>
      </w:r>
      <w:r w:rsidR="00F01476" w:rsidRPr="00F76A7A">
        <w:rPr>
          <w:bCs/>
        </w:rPr>
        <w:t>, 95</w:t>
      </w:r>
      <w:r w:rsidR="00241878">
        <w:rPr>
          <w:bCs/>
        </w:rPr>
        <w:t>%</w:t>
      </w:r>
      <w:r w:rsidR="00F01476" w:rsidRPr="00F76A7A">
        <w:rPr>
          <w:bCs/>
        </w:rPr>
        <w:t>, 90</w:t>
      </w:r>
      <w:r w:rsidR="00241878">
        <w:rPr>
          <w:bCs/>
        </w:rPr>
        <w:t>%</w:t>
      </w:r>
      <w:r w:rsidR="00F01476" w:rsidRPr="00F76A7A">
        <w:rPr>
          <w:bCs/>
        </w:rPr>
        <w:t xml:space="preserve"> and 80% species protection are</w:t>
      </w:r>
      <w:r w:rsidR="00F01476" w:rsidRPr="00F76A7A">
        <w:t xml:space="preserve"> 0.1</w:t>
      </w:r>
      <w:r w:rsidR="001C11CB">
        <w:t> </w:t>
      </w:r>
      <w:r w:rsidR="00F01476" w:rsidRPr="008B7C2D">
        <w:t xml:space="preserve">μg/L, </w:t>
      </w:r>
      <w:r w:rsidR="00F01476" w:rsidRPr="00BB1292">
        <w:t>1.</w:t>
      </w:r>
      <w:r w:rsidR="00A63269" w:rsidRPr="008A7ACC">
        <w:t>2</w:t>
      </w:r>
      <w:r w:rsidR="001C11CB">
        <w:t> </w:t>
      </w:r>
      <w:r w:rsidR="00F01476" w:rsidRPr="00673F15">
        <w:rPr>
          <w:rFonts w:cstheme="minorHAnsi"/>
        </w:rPr>
        <w:t>µ</w:t>
      </w:r>
      <w:r w:rsidR="00F01476" w:rsidRPr="00673F15">
        <w:t xml:space="preserve">g/L, </w:t>
      </w:r>
      <w:r w:rsidR="00A63269" w:rsidRPr="008A7ACC">
        <w:t>3</w:t>
      </w:r>
      <w:r w:rsidR="00F01476" w:rsidRPr="00A63269">
        <w:t>.</w:t>
      </w:r>
      <w:r w:rsidR="00A63269" w:rsidRPr="008A7ACC">
        <w:t>6</w:t>
      </w:r>
      <w:r w:rsidR="001C11CB">
        <w:t> </w:t>
      </w:r>
      <w:r w:rsidR="00F01476" w:rsidRPr="00A63269">
        <w:t xml:space="preserve">μg/L, and </w:t>
      </w:r>
      <w:r w:rsidR="00F01476" w:rsidRPr="00673F15">
        <w:t>1</w:t>
      </w:r>
      <w:r w:rsidR="00A63269" w:rsidRPr="008A7ACC">
        <w:t>1</w:t>
      </w:r>
      <w:r w:rsidR="001C11CB">
        <w:t> </w:t>
      </w:r>
      <w:r w:rsidR="00F01476" w:rsidRPr="00A63269">
        <w:t>μg/L, respectively.</w:t>
      </w:r>
      <w:r w:rsidR="00F01476" w:rsidRPr="00F76A7A">
        <w:t xml:space="preserve"> </w:t>
      </w:r>
      <w:r w:rsidRPr="00F76A7A">
        <w:t>The 95%</w:t>
      </w:r>
      <w:r w:rsidRPr="00F76A7A">
        <w:rPr>
          <w:vertAlign w:val="superscript"/>
        </w:rPr>
        <w:t xml:space="preserve"> </w:t>
      </w:r>
      <w:r w:rsidRPr="00F76A7A">
        <w:rPr>
          <w:bCs/>
        </w:rPr>
        <w:t xml:space="preserve">species protection level for </w:t>
      </w:r>
      <w:r w:rsidR="00F01476" w:rsidRPr="00F76A7A">
        <w:rPr>
          <w:bCs/>
        </w:rPr>
        <w:t>mancozeb</w:t>
      </w:r>
      <w:r w:rsidR="00F01476" w:rsidRPr="008B7C2D">
        <w:rPr>
          <w:bCs/>
        </w:rPr>
        <w:t xml:space="preserve"> </w:t>
      </w:r>
      <w:r w:rsidRPr="00BB1292">
        <w:rPr>
          <w:bCs/>
        </w:rPr>
        <w:t>is recommended for adoption in the assessment of slightly</w:t>
      </w:r>
      <w:r w:rsidR="001C11CB">
        <w:rPr>
          <w:bCs/>
        </w:rPr>
        <w:t>-</w:t>
      </w:r>
      <w:r w:rsidRPr="00BB1292">
        <w:rPr>
          <w:bCs/>
        </w:rPr>
        <w:t>to</w:t>
      </w:r>
      <w:r w:rsidR="001C11CB">
        <w:rPr>
          <w:bCs/>
        </w:rPr>
        <w:t>-</w:t>
      </w:r>
      <w:r w:rsidRPr="00BB1292">
        <w:rPr>
          <w:bCs/>
        </w:rPr>
        <w:t>moderately disturbed ecosystems.</w:t>
      </w:r>
      <w:r w:rsidR="00A46AAF">
        <w:rPr>
          <w:bCs/>
        </w:rPr>
        <w:t xml:space="preserve"> </w:t>
      </w:r>
      <w:r w:rsidR="00A46AAF">
        <w:rPr>
          <w:rFonts w:cs="Arial"/>
        </w:rPr>
        <w:t>G</w:t>
      </w:r>
      <w:r w:rsidR="00A46AAF" w:rsidRPr="00E81C4D">
        <w:rPr>
          <w:rFonts w:cs="Arial"/>
        </w:rPr>
        <w:t>iven that current routine chemical analyses cannot discriminate between the various dithiocarbamate or EBDC fungicides, it is recommended that</w:t>
      </w:r>
      <w:r w:rsidR="00A46AAF">
        <w:rPr>
          <w:rFonts w:cs="Arial"/>
        </w:rPr>
        <w:t xml:space="preserve"> </w:t>
      </w:r>
      <w:r w:rsidR="00A46AAF" w:rsidRPr="00E81C4D">
        <w:rPr>
          <w:rFonts w:cs="Arial"/>
        </w:rPr>
        <w:t>the concentration of ETU</w:t>
      </w:r>
      <w:r w:rsidR="00A46AAF" w:rsidRPr="00E66596">
        <w:rPr>
          <w:rFonts w:cs="Arial"/>
        </w:rPr>
        <w:t xml:space="preserve"> </w:t>
      </w:r>
      <w:r w:rsidR="00A46AAF">
        <w:rPr>
          <w:rFonts w:cs="Arial"/>
        </w:rPr>
        <w:t>(</w:t>
      </w:r>
      <w:r w:rsidR="00A46AAF" w:rsidRPr="00E81C4D">
        <w:rPr>
          <w:rFonts w:cs="Arial"/>
        </w:rPr>
        <w:t>which represents the sum of the EBDC fungicides</w:t>
      </w:r>
      <w:r w:rsidR="00A46AAF">
        <w:rPr>
          <w:rFonts w:cs="Arial"/>
        </w:rPr>
        <w:t>)</w:t>
      </w:r>
      <w:r w:rsidR="00A46AAF" w:rsidRPr="00E81C4D">
        <w:rPr>
          <w:rFonts w:cs="Arial"/>
        </w:rPr>
        <w:t xml:space="preserve"> in </w:t>
      </w:r>
      <w:r w:rsidR="006A029B">
        <w:rPr>
          <w:rFonts w:cs="Arial"/>
        </w:rPr>
        <w:t>a water</w:t>
      </w:r>
      <w:r w:rsidR="00A46AAF" w:rsidRPr="00E81C4D">
        <w:rPr>
          <w:rFonts w:cs="Arial"/>
        </w:rPr>
        <w:t xml:space="preserve"> sample is measured and compared with the ETU concentration equivalent to the relevant mancozeb DGV (i.e. the mancozeb equivalent ETU </w:t>
      </w:r>
      <w:r w:rsidR="00A46AAF">
        <w:rPr>
          <w:rFonts w:cs="Arial"/>
        </w:rPr>
        <w:t>DGV</w:t>
      </w:r>
      <w:r w:rsidR="00A46AAF" w:rsidRPr="00E81C4D">
        <w:rPr>
          <w:rFonts w:cs="Arial"/>
        </w:rPr>
        <w:t xml:space="preserve">). </w:t>
      </w:r>
      <w:r w:rsidR="00A46AAF">
        <w:rPr>
          <w:rFonts w:cs="Arial"/>
        </w:rPr>
        <w:t>T</w:t>
      </w:r>
      <w:r w:rsidR="00A46AAF" w:rsidRPr="00E81C4D">
        <w:rPr>
          <w:rFonts w:cs="Arial"/>
        </w:rPr>
        <w:t xml:space="preserve">he mancozeb equivalent ETU </w:t>
      </w:r>
      <w:r w:rsidR="00A46AAF">
        <w:rPr>
          <w:rFonts w:cs="Arial"/>
        </w:rPr>
        <w:t>DGVs</w:t>
      </w:r>
      <w:r w:rsidR="00A46AAF" w:rsidRPr="00E81C4D">
        <w:rPr>
          <w:rFonts w:cs="Arial"/>
        </w:rPr>
        <w:t xml:space="preserve"> for 99%, 95%, 90% and 80% </w:t>
      </w:r>
      <w:r w:rsidR="00A46AAF">
        <w:rPr>
          <w:rFonts w:cs="Arial"/>
        </w:rPr>
        <w:t>species protection</w:t>
      </w:r>
      <w:r w:rsidR="00A46AAF" w:rsidRPr="00E81C4D">
        <w:rPr>
          <w:rFonts w:cs="Arial"/>
        </w:rPr>
        <w:t xml:space="preserve"> are 0.0</w:t>
      </w:r>
      <w:r w:rsidR="00A46AAF">
        <w:rPr>
          <w:rFonts w:cs="Arial"/>
        </w:rPr>
        <w:t>08 </w:t>
      </w:r>
      <w:r w:rsidR="00A46AAF" w:rsidRPr="00E81C4D">
        <w:rPr>
          <w:rFonts w:cstheme="minorHAnsi"/>
          <w:bCs/>
        </w:rPr>
        <w:t>µ</w:t>
      </w:r>
      <w:r w:rsidR="00A46AAF" w:rsidRPr="00E81C4D">
        <w:rPr>
          <w:bCs/>
        </w:rPr>
        <w:t>g/L, 0.</w:t>
      </w:r>
      <w:r w:rsidR="00A46AAF">
        <w:rPr>
          <w:bCs/>
        </w:rPr>
        <w:t>09 </w:t>
      </w:r>
      <w:r w:rsidR="00A46AAF" w:rsidRPr="00E81C4D">
        <w:rPr>
          <w:rFonts w:cstheme="minorHAnsi"/>
          <w:bCs/>
        </w:rPr>
        <w:t>µ</w:t>
      </w:r>
      <w:r w:rsidR="00A46AAF" w:rsidRPr="00E81C4D">
        <w:rPr>
          <w:bCs/>
        </w:rPr>
        <w:t xml:space="preserve">g/L, </w:t>
      </w:r>
      <w:r w:rsidR="00A46AAF">
        <w:rPr>
          <w:bCs/>
        </w:rPr>
        <w:t>0.27 </w:t>
      </w:r>
      <w:r w:rsidR="00A46AAF" w:rsidRPr="00E81C4D">
        <w:rPr>
          <w:rFonts w:cstheme="minorHAnsi"/>
          <w:bCs/>
        </w:rPr>
        <w:t>µ</w:t>
      </w:r>
      <w:r w:rsidR="00A46AAF" w:rsidRPr="00E81C4D">
        <w:rPr>
          <w:bCs/>
        </w:rPr>
        <w:t xml:space="preserve">g/L and </w:t>
      </w:r>
      <w:r w:rsidR="00A46AAF">
        <w:rPr>
          <w:bCs/>
        </w:rPr>
        <w:t>0.83 </w:t>
      </w:r>
      <w:r w:rsidR="00A46AAF" w:rsidRPr="00E81C4D">
        <w:rPr>
          <w:rFonts w:cstheme="minorHAnsi"/>
          <w:bCs/>
        </w:rPr>
        <w:t>µ</w:t>
      </w:r>
      <w:r w:rsidR="00A46AAF" w:rsidRPr="00E81C4D">
        <w:rPr>
          <w:bCs/>
        </w:rPr>
        <w:t>g/L, respectively</w:t>
      </w:r>
      <w:r w:rsidR="00A46AAF">
        <w:rPr>
          <w:bCs/>
        </w:rPr>
        <w:t>.</w:t>
      </w:r>
      <w:r w:rsidR="006A029B">
        <w:rPr>
          <w:bCs/>
        </w:rPr>
        <w:t xml:space="preserve"> </w:t>
      </w:r>
      <w:r w:rsidR="006A029B">
        <w:rPr>
          <w:rFonts w:cs="Arial"/>
        </w:rPr>
        <w:t xml:space="preserve">Given the analytical challenges associated with applying the mancozeb DGVs, </w:t>
      </w:r>
      <w:r w:rsidR="006A029B">
        <w:t>they</w:t>
      </w:r>
      <w:r w:rsidR="006A029B" w:rsidRPr="00A03366">
        <w:t xml:space="preserve"> should</w:t>
      </w:r>
      <w:r w:rsidR="006A029B">
        <w:t xml:space="preserve"> </w:t>
      </w:r>
      <w:r w:rsidR="006A029B" w:rsidRPr="00A03366">
        <w:t xml:space="preserve">be </w:t>
      </w:r>
      <w:r w:rsidR="00F7564F">
        <w:t xml:space="preserve">used </w:t>
      </w:r>
      <w:r w:rsidR="006A029B">
        <w:t xml:space="preserve">with caution and </w:t>
      </w:r>
      <w:r w:rsidR="00F7564F">
        <w:t xml:space="preserve">always </w:t>
      </w:r>
      <w:r w:rsidR="006A029B" w:rsidRPr="00A03366">
        <w:t>in conjunction with other lines of evidence.</w:t>
      </w:r>
    </w:p>
    <w:p w14:paraId="3528D699" w14:textId="77777777" w:rsidR="00CA4A82" w:rsidRDefault="00CA4A82">
      <w:pPr>
        <w:sectPr w:rsidR="00CA4A82" w:rsidSect="00CA4A82">
          <w:headerReference w:type="even" r:id="rId18"/>
          <w:headerReference w:type="default" r:id="rId19"/>
          <w:footerReference w:type="default" r:id="rId20"/>
          <w:headerReference w:type="first" r:id="rId21"/>
          <w:pgSz w:w="11906" w:h="16838"/>
          <w:pgMar w:top="1418" w:right="1418" w:bottom="1418" w:left="1418" w:header="567" w:footer="283" w:gutter="0"/>
          <w:pgNumType w:fmt="lowerRoman" w:start="1"/>
          <w:cols w:space="708"/>
          <w:titlePg/>
          <w:docGrid w:linePitch="360"/>
        </w:sectPr>
      </w:pPr>
    </w:p>
    <w:p w14:paraId="3528D69A" w14:textId="77777777" w:rsidR="001C0D1C" w:rsidRDefault="00FB47A6">
      <w:pPr>
        <w:pStyle w:val="Heading2"/>
      </w:pPr>
      <w:bookmarkStart w:id="2" w:name="_Ref55902646"/>
      <w:bookmarkStart w:id="3" w:name="_Ref55902680"/>
      <w:bookmarkStart w:id="4" w:name="_Toc68188160"/>
      <w:r>
        <w:t>Introduction</w:t>
      </w:r>
      <w:bookmarkEnd w:id="2"/>
      <w:bookmarkEnd w:id="3"/>
      <w:bookmarkEnd w:id="4"/>
    </w:p>
    <w:p w14:paraId="3528D69B" w14:textId="77777777" w:rsidR="00294826" w:rsidRPr="003E4A00" w:rsidRDefault="00FB47A6" w:rsidP="00294826">
      <w:pPr>
        <w:rPr>
          <w:bCs/>
        </w:rPr>
      </w:pPr>
      <w:r>
        <w:rPr>
          <w:bCs/>
        </w:rPr>
        <w:t>Mancozeb (</w:t>
      </w:r>
      <w:r w:rsidRPr="006A343A">
        <w:rPr>
          <w:bCs/>
        </w:rPr>
        <w:t xml:space="preserve">manganese ethylenebis </w:t>
      </w:r>
      <w:r>
        <w:rPr>
          <w:bCs/>
        </w:rPr>
        <w:t>(</w:t>
      </w:r>
      <w:r w:rsidRPr="006A343A">
        <w:rPr>
          <w:bCs/>
        </w:rPr>
        <w:t>di</w:t>
      </w:r>
      <w:r w:rsidRPr="006A343A">
        <w:rPr>
          <w:bCs/>
        </w:rPr>
        <w:t>thiocarbamate</w:t>
      </w:r>
      <w:r>
        <w:rPr>
          <w:bCs/>
        </w:rPr>
        <w:t>) polymeric complex with zinc salt, CASRN 8018-01-7) (</w:t>
      </w:r>
      <w:r w:rsidRPr="00B7164F">
        <w:rPr>
          <w:bCs/>
        </w:rPr>
        <w:t>USEPA 2005a</w:t>
      </w:r>
      <w:r w:rsidRPr="003E4A00">
        <w:rPr>
          <w:bCs/>
        </w:rPr>
        <w:t>) is a broad</w:t>
      </w:r>
      <w:r w:rsidR="00EA6773">
        <w:rPr>
          <w:bCs/>
        </w:rPr>
        <w:t>-</w:t>
      </w:r>
      <w:r w:rsidRPr="003E4A00">
        <w:rPr>
          <w:bCs/>
        </w:rPr>
        <w:t>spectrum fungicide</w:t>
      </w:r>
      <w:r w:rsidR="003F64B9">
        <w:rPr>
          <w:bCs/>
        </w:rPr>
        <w:t xml:space="preserve"> </w:t>
      </w:r>
      <w:r w:rsidRPr="003E4A00">
        <w:rPr>
          <w:bCs/>
        </w:rPr>
        <w:t>used on food and ornamental crops such as fruit, tobacco, turf and vegetables to prevent crop damage in the field and to protect harvested crops f</w:t>
      </w:r>
      <w:r w:rsidRPr="003E4A00">
        <w:rPr>
          <w:bCs/>
        </w:rPr>
        <w:t>rom deteriorati</w:t>
      </w:r>
      <w:r w:rsidR="004E03D0">
        <w:rPr>
          <w:bCs/>
        </w:rPr>
        <w:t>ng</w:t>
      </w:r>
      <w:r w:rsidRPr="003E4A00">
        <w:rPr>
          <w:bCs/>
        </w:rPr>
        <w:t xml:space="preserve"> </w:t>
      </w:r>
      <w:r w:rsidR="003E4A00">
        <w:rPr>
          <w:bCs/>
        </w:rPr>
        <w:t>during</w:t>
      </w:r>
      <w:r w:rsidRPr="003E4A00">
        <w:rPr>
          <w:bCs/>
        </w:rPr>
        <w:t xml:space="preserve"> storage or transport</w:t>
      </w:r>
      <w:r w:rsidRPr="003E4A00">
        <w:rPr>
          <w:bCs/>
          <w:vertAlign w:val="superscript"/>
        </w:rPr>
        <w:t xml:space="preserve"> </w:t>
      </w:r>
      <w:r w:rsidRPr="003E4A00">
        <w:rPr>
          <w:bCs/>
        </w:rPr>
        <w:t>(</w:t>
      </w:r>
      <w:r w:rsidR="004E03D0">
        <w:rPr>
          <w:bCs/>
        </w:rPr>
        <w:t>USEPA 2005a, 2005b,</w:t>
      </w:r>
      <w:r w:rsidRPr="00B7164F">
        <w:rPr>
          <w:bCs/>
        </w:rPr>
        <w:t xml:space="preserve"> DOW 2010</w:t>
      </w:r>
      <w:r w:rsidRPr="003E4A00">
        <w:rPr>
          <w:bCs/>
        </w:rPr>
        <w:t>). Globally, mancozeb has been used since the 1940s</w:t>
      </w:r>
      <w:r w:rsidRPr="003E4A00">
        <w:rPr>
          <w:bCs/>
          <w:vertAlign w:val="superscript"/>
        </w:rPr>
        <w:t xml:space="preserve"> </w:t>
      </w:r>
      <w:r w:rsidRPr="003E4A00">
        <w:rPr>
          <w:bCs/>
        </w:rPr>
        <w:t>(</w:t>
      </w:r>
      <w:r w:rsidRPr="00B7164F">
        <w:rPr>
          <w:bCs/>
        </w:rPr>
        <w:t>USEPA 2005a</w:t>
      </w:r>
      <w:r w:rsidRPr="003E4A00">
        <w:rPr>
          <w:bCs/>
        </w:rPr>
        <w:t xml:space="preserve">), and </w:t>
      </w:r>
      <w:r w:rsidR="00375812">
        <w:rPr>
          <w:bCs/>
        </w:rPr>
        <w:t>has been</w:t>
      </w:r>
      <w:r w:rsidRPr="003E4A00">
        <w:rPr>
          <w:bCs/>
        </w:rPr>
        <w:t xml:space="preserve"> registered for use in over 100 countries, on over 70 different crops</w:t>
      </w:r>
      <w:r w:rsidR="003E4A00">
        <w:rPr>
          <w:bCs/>
        </w:rPr>
        <w:t>,</w:t>
      </w:r>
      <w:r w:rsidRPr="003E4A00">
        <w:rPr>
          <w:bCs/>
        </w:rPr>
        <w:t xml:space="preserve"> to treat more than 400 diseases (</w:t>
      </w:r>
      <w:r w:rsidR="004E03D0">
        <w:rPr>
          <w:bCs/>
        </w:rPr>
        <w:t xml:space="preserve">USEPA 2005b, Leader et al. </w:t>
      </w:r>
      <w:r w:rsidR="00136CF7">
        <w:rPr>
          <w:bCs/>
        </w:rPr>
        <w:t>2009</w:t>
      </w:r>
      <w:r w:rsidR="004E03D0">
        <w:rPr>
          <w:bCs/>
        </w:rPr>
        <w:t>,</w:t>
      </w:r>
      <w:r w:rsidRPr="00B7164F">
        <w:rPr>
          <w:bCs/>
        </w:rPr>
        <w:t xml:space="preserve"> </w:t>
      </w:r>
      <w:r w:rsidR="00AA1B75">
        <w:rPr>
          <w:bCs/>
        </w:rPr>
        <w:t>Gullino et al. 2010</w:t>
      </w:r>
      <w:r w:rsidR="004E03D0">
        <w:rPr>
          <w:bCs/>
        </w:rPr>
        <w:t xml:space="preserve">). </w:t>
      </w:r>
      <w:r w:rsidRPr="003E4A00">
        <w:rPr>
          <w:bCs/>
        </w:rPr>
        <w:t xml:space="preserve">In 2005, </w:t>
      </w:r>
      <w:r w:rsidR="003E4A00">
        <w:rPr>
          <w:bCs/>
        </w:rPr>
        <w:t>an</w:t>
      </w:r>
      <w:r w:rsidRPr="003E4A00">
        <w:rPr>
          <w:bCs/>
        </w:rPr>
        <w:t xml:space="preserve"> estimated 2.5 million kilograms of mancozeb were used annually in the United States, </w:t>
      </w:r>
      <w:r w:rsidRPr="003E4A00">
        <w:rPr>
          <w:bCs/>
        </w:rPr>
        <w:t>with the greatest use on potatoes and apples (</w:t>
      </w:r>
      <w:r w:rsidRPr="00B7164F">
        <w:rPr>
          <w:bCs/>
        </w:rPr>
        <w:t>USEPA 2005a, 2005b</w:t>
      </w:r>
      <w:r w:rsidRPr="003E4A00">
        <w:rPr>
          <w:bCs/>
        </w:rPr>
        <w:t>). In Australia</w:t>
      </w:r>
      <w:r w:rsidR="002F0E07">
        <w:rPr>
          <w:bCs/>
        </w:rPr>
        <w:t xml:space="preserve"> and New Zealand</w:t>
      </w:r>
      <w:r w:rsidRPr="003E4A00">
        <w:rPr>
          <w:bCs/>
        </w:rPr>
        <w:t xml:space="preserve">, mancozeb is registered for use as a single active constituent, or combined with other actives, in a large number of products </w:t>
      </w:r>
      <w:r w:rsidR="003E4A00">
        <w:rPr>
          <w:bCs/>
        </w:rPr>
        <w:t>for the</w:t>
      </w:r>
      <w:r w:rsidR="003E4A00" w:rsidRPr="003E4A00">
        <w:rPr>
          <w:bCs/>
        </w:rPr>
        <w:t xml:space="preserve"> </w:t>
      </w:r>
      <w:r w:rsidRPr="003E4A00">
        <w:rPr>
          <w:bCs/>
        </w:rPr>
        <w:t xml:space="preserve">control </w:t>
      </w:r>
      <w:r w:rsidR="003E4A00">
        <w:rPr>
          <w:bCs/>
        </w:rPr>
        <w:t xml:space="preserve">of </w:t>
      </w:r>
      <w:r w:rsidRPr="003E4A00">
        <w:rPr>
          <w:bCs/>
        </w:rPr>
        <w:t>fungal</w:t>
      </w:r>
      <w:r w:rsidR="002F0E07">
        <w:rPr>
          <w:bCs/>
        </w:rPr>
        <w:t xml:space="preserve"> and bacterial</w:t>
      </w:r>
      <w:r w:rsidRPr="003E4A00">
        <w:rPr>
          <w:bCs/>
        </w:rPr>
        <w:t xml:space="preserve"> diseases such as leaf spot, leaf speckle, botrytis, blue mould, brown spot, rust</w:t>
      </w:r>
      <w:r w:rsidR="002F0E07">
        <w:rPr>
          <w:bCs/>
        </w:rPr>
        <w:t>, blights, bacterial specks</w:t>
      </w:r>
      <w:r w:rsidRPr="003E4A00">
        <w:rPr>
          <w:bCs/>
        </w:rPr>
        <w:t xml:space="preserve"> and downy mildew (</w:t>
      </w:r>
      <w:r w:rsidRPr="00B7164F">
        <w:rPr>
          <w:bCs/>
        </w:rPr>
        <w:t>APVMA 2015</w:t>
      </w:r>
      <w:r w:rsidR="004E03D0">
        <w:rPr>
          <w:bCs/>
        </w:rPr>
        <w:t>,</w:t>
      </w:r>
      <w:r w:rsidR="00860F63">
        <w:rPr>
          <w:bCs/>
        </w:rPr>
        <w:t xml:space="preserve"> ACVM 2019</w:t>
      </w:r>
      <w:r w:rsidRPr="003E4A00">
        <w:rPr>
          <w:bCs/>
        </w:rPr>
        <w:t xml:space="preserve">). </w:t>
      </w:r>
    </w:p>
    <w:p w14:paraId="3528D69C" w14:textId="77777777" w:rsidR="009F41E6" w:rsidRDefault="00FB47A6" w:rsidP="00294826">
      <w:pPr>
        <w:rPr>
          <w:lang w:val="en-GB"/>
        </w:rPr>
      </w:pPr>
      <w:r w:rsidRPr="003E4A00">
        <w:rPr>
          <w:bCs/>
        </w:rPr>
        <w:t xml:space="preserve">Mancozeb belongs to the dithiocarbamate grouping of fungicides, </w:t>
      </w:r>
      <w:r w:rsidR="00052157">
        <w:rPr>
          <w:bCs/>
        </w:rPr>
        <w:t>specifically</w:t>
      </w:r>
      <w:r w:rsidR="00052157" w:rsidRPr="003E4A00">
        <w:rPr>
          <w:bCs/>
        </w:rPr>
        <w:t xml:space="preserve"> </w:t>
      </w:r>
      <w:r w:rsidRPr="003E4A00">
        <w:rPr>
          <w:bCs/>
        </w:rPr>
        <w:t>to the class of ethyle</w:t>
      </w:r>
      <w:r w:rsidRPr="003E4A00">
        <w:rPr>
          <w:bCs/>
        </w:rPr>
        <w:t>ne bisdithiocarbamate (EBDC)</w:t>
      </w:r>
      <w:r w:rsidR="00010164">
        <w:rPr>
          <w:bCs/>
        </w:rPr>
        <w:t xml:space="preserve"> compounds. Related </w:t>
      </w:r>
      <w:r w:rsidR="00DA5759">
        <w:rPr>
          <w:bCs/>
        </w:rPr>
        <w:t>compounds</w:t>
      </w:r>
      <w:r w:rsidR="00010164">
        <w:rPr>
          <w:bCs/>
        </w:rPr>
        <w:t xml:space="preserve"> in </w:t>
      </w:r>
      <w:r w:rsidR="00DF1CB8">
        <w:rPr>
          <w:bCs/>
        </w:rPr>
        <w:t xml:space="preserve">the dithiocarbamate </w:t>
      </w:r>
      <w:r w:rsidR="00010164">
        <w:rPr>
          <w:bCs/>
        </w:rPr>
        <w:t>grouping include</w:t>
      </w:r>
      <w:r w:rsidRPr="003E4A00">
        <w:rPr>
          <w:bCs/>
        </w:rPr>
        <w:t xml:space="preserve"> maneb</w:t>
      </w:r>
      <w:r w:rsidR="004A5D1E">
        <w:rPr>
          <w:bCs/>
        </w:rPr>
        <w:t xml:space="preserve">, </w:t>
      </w:r>
      <w:r w:rsidRPr="003E4A00">
        <w:rPr>
          <w:bCs/>
        </w:rPr>
        <w:t>metiram</w:t>
      </w:r>
      <w:r w:rsidR="004A5D1E">
        <w:rPr>
          <w:bCs/>
        </w:rPr>
        <w:t xml:space="preserve">, </w:t>
      </w:r>
      <w:r w:rsidR="00052157">
        <w:rPr>
          <w:bCs/>
        </w:rPr>
        <w:t xml:space="preserve">nabam, </w:t>
      </w:r>
      <w:r w:rsidR="00DF1CB8">
        <w:rPr>
          <w:bCs/>
        </w:rPr>
        <w:t xml:space="preserve">propineb, </w:t>
      </w:r>
      <w:r w:rsidR="004A5D1E">
        <w:rPr>
          <w:bCs/>
        </w:rPr>
        <w:t>thiram, zineb and ziram</w:t>
      </w:r>
      <w:r w:rsidRPr="003E4A00">
        <w:rPr>
          <w:bCs/>
        </w:rPr>
        <w:t xml:space="preserve"> (</w:t>
      </w:r>
      <w:r w:rsidRPr="00B7164F">
        <w:rPr>
          <w:bCs/>
        </w:rPr>
        <w:t>USEPA 2005b</w:t>
      </w:r>
      <w:r w:rsidR="00CE33C0">
        <w:rPr>
          <w:bCs/>
        </w:rPr>
        <w:t>,</w:t>
      </w:r>
      <w:r w:rsidRPr="00B7164F">
        <w:rPr>
          <w:bCs/>
        </w:rPr>
        <w:t xml:space="preserve"> FRAC </w:t>
      </w:r>
      <w:r w:rsidR="00110A32" w:rsidRPr="00B7164F">
        <w:rPr>
          <w:bCs/>
        </w:rPr>
        <w:t>201</w:t>
      </w:r>
      <w:r w:rsidR="00110A32">
        <w:rPr>
          <w:bCs/>
        </w:rPr>
        <w:t>9</w:t>
      </w:r>
      <w:r w:rsidRPr="003E4A00">
        <w:rPr>
          <w:bCs/>
        </w:rPr>
        <w:t>)</w:t>
      </w:r>
      <w:r w:rsidR="00DF1CB8">
        <w:rPr>
          <w:bCs/>
        </w:rPr>
        <w:t>, while the EBDC class is limited to mancozeb, maneb, metiram, nabam and zineb</w:t>
      </w:r>
      <w:r w:rsidR="006E392E">
        <w:rPr>
          <w:bCs/>
        </w:rPr>
        <w:t xml:space="preserve"> (Lentza-Rizos 1990</w:t>
      </w:r>
      <w:r w:rsidR="00052157">
        <w:rPr>
          <w:bCs/>
        </w:rPr>
        <w:t>)</w:t>
      </w:r>
      <w:r w:rsidRPr="003E4A00">
        <w:rPr>
          <w:bCs/>
        </w:rPr>
        <w:t xml:space="preserve">. The EBDCs share the common </w:t>
      </w:r>
      <w:r w:rsidR="00562C25">
        <w:rPr>
          <w:bCs/>
        </w:rPr>
        <w:t>degradation product</w:t>
      </w:r>
      <w:r w:rsidRPr="003E4A00">
        <w:rPr>
          <w:bCs/>
        </w:rPr>
        <w:t xml:space="preserve"> ethylenethiourea (ETU) (</w:t>
      </w:r>
      <w:r w:rsidR="00052157">
        <w:rPr>
          <w:bCs/>
        </w:rPr>
        <w:t>Lentza-Rizos 1990</w:t>
      </w:r>
      <w:r w:rsidR="00CE33C0">
        <w:rPr>
          <w:bCs/>
        </w:rPr>
        <w:t>,</w:t>
      </w:r>
      <w:r w:rsidR="00052157">
        <w:rPr>
          <w:bCs/>
        </w:rPr>
        <w:t xml:space="preserve"> </w:t>
      </w:r>
      <w:r w:rsidRPr="00B7164F">
        <w:rPr>
          <w:bCs/>
        </w:rPr>
        <w:t>USEPA 2005a, 2005b</w:t>
      </w:r>
      <w:r w:rsidR="00CE33C0">
        <w:rPr>
          <w:bCs/>
        </w:rPr>
        <w:t>,</w:t>
      </w:r>
      <w:r>
        <w:rPr>
          <w:bCs/>
        </w:rPr>
        <w:t xml:space="preserve"> </w:t>
      </w:r>
      <w:r w:rsidR="00F5650B" w:rsidRPr="00DB2E06">
        <w:rPr>
          <w:rFonts w:cs="Arial"/>
        </w:rPr>
        <w:t>L</w:t>
      </w:r>
      <w:r w:rsidR="00F5650B" w:rsidRPr="00DB2E06">
        <w:rPr>
          <w:rFonts w:ascii="Calibri" w:hAnsi="Calibri" w:cs="Arial"/>
        </w:rPr>
        <w:t>ó</w:t>
      </w:r>
      <w:r w:rsidR="00F5650B" w:rsidRPr="00DB2E06">
        <w:rPr>
          <w:rFonts w:cs="Arial"/>
        </w:rPr>
        <w:t>pez-Fern</w:t>
      </w:r>
      <w:r w:rsidR="00F5650B" w:rsidRPr="00DB2E06">
        <w:rPr>
          <w:rFonts w:ascii="Calibri" w:hAnsi="Calibri" w:cs="Arial"/>
        </w:rPr>
        <w:t>á</w:t>
      </w:r>
      <w:r w:rsidR="00F5650B" w:rsidRPr="00DB2E06">
        <w:rPr>
          <w:rFonts w:cs="Arial"/>
        </w:rPr>
        <w:t>ndez</w:t>
      </w:r>
      <w:r w:rsidR="00F5650B">
        <w:rPr>
          <w:lang w:val="en-GB"/>
        </w:rPr>
        <w:t xml:space="preserve"> </w:t>
      </w:r>
      <w:r>
        <w:rPr>
          <w:lang w:val="en-GB"/>
        </w:rPr>
        <w:t>et al. 2016</w:t>
      </w:r>
      <w:r w:rsidRPr="003E4A00">
        <w:rPr>
          <w:bCs/>
        </w:rPr>
        <w:t>). Mancozeb itself is no</w:t>
      </w:r>
      <w:r w:rsidR="00AA5E39">
        <w:rPr>
          <w:bCs/>
        </w:rPr>
        <w:t>t</w:t>
      </w:r>
      <w:r w:rsidR="00FA2DCB">
        <w:rPr>
          <w:bCs/>
        </w:rPr>
        <w:t xml:space="preserve"> a</w:t>
      </w:r>
      <w:r w:rsidRPr="003E4A00">
        <w:rPr>
          <w:bCs/>
        </w:rPr>
        <w:t xml:space="preserve"> fungicid</w:t>
      </w:r>
      <w:r w:rsidR="00FA2DCB">
        <w:rPr>
          <w:bCs/>
        </w:rPr>
        <w:t>e;</w:t>
      </w:r>
      <w:r w:rsidR="004E3F32">
        <w:rPr>
          <w:bCs/>
        </w:rPr>
        <w:t xml:space="preserve"> rather</w:t>
      </w:r>
      <w:r w:rsidR="00FA2DCB">
        <w:rPr>
          <w:bCs/>
        </w:rPr>
        <w:t>,</w:t>
      </w:r>
      <w:r w:rsidR="004E3F32">
        <w:rPr>
          <w:bCs/>
        </w:rPr>
        <w:t xml:space="preserve"> it </w:t>
      </w:r>
      <w:r w:rsidR="00010164">
        <w:rPr>
          <w:bCs/>
        </w:rPr>
        <w:t xml:space="preserve">is </w:t>
      </w:r>
      <w:r w:rsidRPr="003E4A00">
        <w:rPr>
          <w:bCs/>
        </w:rPr>
        <w:t>a pro-fungicide</w:t>
      </w:r>
      <w:r w:rsidR="00010164">
        <w:rPr>
          <w:bCs/>
        </w:rPr>
        <w:t xml:space="preserve">. When mancozeb is </w:t>
      </w:r>
      <w:r w:rsidRPr="003E4A00">
        <w:rPr>
          <w:bCs/>
        </w:rPr>
        <w:t>expos</w:t>
      </w:r>
      <w:r w:rsidRPr="003E4A00">
        <w:rPr>
          <w:bCs/>
        </w:rPr>
        <w:t>ed to water</w:t>
      </w:r>
      <w:r w:rsidR="00010164">
        <w:rPr>
          <w:bCs/>
        </w:rPr>
        <w:t xml:space="preserve"> it</w:t>
      </w:r>
      <w:r w:rsidRPr="003E4A00">
        <w:rPr>
          <w:bCs/>
        </w:rPr>
        <w:t xml:space="preserve"> </w:t>
      </w:r>
      <w:r>
        <w:rPr>
          <w:bCs/>
        </w:rPr>
        <w:t xml:space="preserve">rapidly </w:t>
      </w:r>
      <w:r w:rsidRPr="003E4A00">
        <w:rPr>
          <w:bCs/>
        </w:rPr>
        <w:t xml:space="preserve">breaks down to release ETU, ethyleneurea (EU) and ethylene bisisothiocyanate </w:t>
      </w:r>
      <w:r w:rsidR="00FA2DCB" w:rsidRPr="003E4A00">
        <w:rPr>
          <w:bCs/>
        </w:rPr>
        <w:t>sul</w:t>
      </w:r>
      <w:r w:rsidR="00FA2DCB">
        <w:rPr>
          <w:bCs/>
        </w:rPr>
        <w:t>f</w:t>
      </w:r>
      <w:r w:rsidR="00FA2DCB" w:rsidRPr="003E4A00">
        <w:rPr>
          <w:bCs/>
        </w:rPr>
        <w:t xml:space="preserve">ide </w:t>
      </w:r>
      <w:r w:rsidRPr="003E4A00">
        <w:rPr>
          <w:bCs/>
        </w:rPr>
        <w:t>(EBIS)</w:t>
      </w:r>
      <w:r>
        <w:rPr>
          <w:bCs/>
        </w:rPr>
        <w:t xml:space="preserve"> (</w:t>
      </w:r>
      <w:r w:rsidR="00F5650B" w:rsidRPr="00DB2E06">
        <w:rPr>
          <w:rFonts w:cs="Arial"/>
        </w:rPr>
        <w:t>L</w:t>
      </w:r>
      <w:r w:rsidR="00F5650B" w:rsidRPr="00DB2E06">
        <w:rPr>
          <w:rFonts w:ascii="Calibri" w:hAnsi="Calibri" w:cs="Arial"/>
        </w:rPr>
        <w:t>ó</w:t>
      </w:r>
      <w:r w:rsidR="00F5650B" w:rsidRPr="00DB2E06">
        <w:rPr>
          <w:rFonts w:cs="Arial"/>
        </w:rPr>
        <w:t>pez-Fern</w:t>
      </w:r>
      <w:r w:rsidR="00F5650B" w:rsidRPr="00DB2E06">
        <w:rPr>
          <w:rFonts w:ascii="Calibri" w:hAnsi="Calibri" w:cs="Arial"/>
        </w:rPr>
        <w:t>á</w:t>
      </w:r>
      <w:r w:rsidR="00F5650B" w:rsidRPr="00DB2E06">
        <w:rPr>
          <w:rFonts w:cs="Arial"/>
        </w:rPr>
        <w:t>ndez</w:t>
      </w:r>
      <w:r w:rsidR="00F5650B">
        <w:rPr>
          <w:lang w:val="en-GB"/>
        </w:rPr>
        <w:t xml:space="preserve"> </w:t>
      </w:r>
      <w:r>
        <w:rPr>
          <w:lang w:val="en-GB"/>
        </w:rPr>
        <w:t>et al. 2016)</w:t>
      </w:r>
      <w:r w:rsidRPr="003E4A00">
        <w:rPr>
          <w:bCs/>
        </w:rPr>
        <w:t xml:space="preserve">. EBIS, in turn, is </w:t>
      </w:r>
      <w:r w:rsidRPr="00EC1464">
        <w:rPr>
          <w:bCs/>
        </w:rPr>
        <w:t>converted via photolysis into ethylene bisisothiocyanate (EBI) (</w:t>
      </w:r>
      <w:r w:rsidR="00CE33C0">
        <w:rPr>
          <w:bCs/>
        </w:rPr>
        <w:t>Xu 2000,</w:t>
      </w:r>
      <w:r w:rsidRPr="00B7164F">
        <w:rPr>
          <w:bCs/>
        </w:rPr>
        <w:t xml:space="preserve"> Gullino et al. 2010</w:t>
      </w:r>
      <w:r w:rsidRPr="00EC1464">
        <w:rPr>
          <w:bCs/>
        </w:rPr>
        <w:t xml:space="preserve">). </w:t>
      </w:r>
      <w:r>
        <w:rPr>
          <w:bCs/>
          <w:lang w:val="en-GB"/>
        </w:rPr>
        <w:t>T</w:t>
      </w:r>
      <w:r w:rsidRPr="00F56F2E">
        <w:rPr>
          <w:bCs/>
          <w:lang w:val="en-GB"/>
        </w:rPr>
        <w:t>he nature and abundance of</w:t>
      </w:r>
      <w:r>
        <w:rPr>
          <w:bCs/>
          <w:lang w:val="en-GB"/>
        </w:rPr>
        <w:t xml:space="preserve"> </w:t>
      </w:r>
      <w:r w:rsidRPr="00F56F2E">
        <w:rPr>
          <w:bCs/>
          <w:lang w:val="en-GB"/>
        </w:rPr>
        <w:t xml:space="preserve">the degradation products </w:t>
      </w:r>
      <w:r>
        <w:rPr>
          <w:bCs/>
          <w:lang w:val="en-GB"/>
        </w:rPr>
        <w:t xml:space="preserve">of mancozeb </w:t>
      </w:r>
      <w:r w:rsidRPr="00F56F2E">
        <w:rPr>
          <w:bCs/>
          <w:lang w:val="en-GB"/>
        </w:rPr>
        <w:t xml:space="preserve">are </w:t>
      </w:r>
      <w:r w:rsidR="00F5650B">
        <w:rPr>
          <w:bCs/>
          <w:lang w:val="en-GB"/>
        </w:rPr>
        <w:t xml:space="preserve">largely </w:t>
      </w:r>
      <w:r w:rsidRPr="00F56F2E">
        <w:rPr>
          <w:bCs/>
          <w:lang w:val="en-GB"/>
        </w:rPr>
        <w:t>dependent</w:t>
      </w:r>
      <w:r w:rsidR="00C6248F">
        <w:rPr>
          <w:bCs/>
          <w:lang w:val="en-GB"/>
        </w:rPr>
        <w:t xml:space="preserve"> on temperature, light and pH</w:t>
      </w:r>
      <w:r w:rsidRPr="00F56F2E">
        <w:rPr>
          <w:bCs/>
        </w:rPr>
        <w:t xml:space="preserve"> </w:t>
      </w:r>
      <w:r>
        <w:rPr>
          <w:bCs/>
        </w:rPr>
        <w:t>(</w:t>
      </w:r>
      <w:r w:rsidR="00F5650B" w:rsidRPr="00DB2E06">
        <w:rPr>
          <w:rFonts w:cs="Arial"/>
        </w:rPr>
        <w:t>L</w:t>
      </w:r>
      <w:r w:rsidR="00F5650B" w:rsidRPr="00DB2E06">
        <w:rPr>
          <w:rFonts w:ascii="Calibri" w:hAnsi="Calibri" w:cs="Arial"/>
        </w:rPr>
        <w:t>ó</w:t>
      </w:r>
      <w:r w:rsidR="00F5650B" w:rsidRPr="00DB2E06">
        <w:rPr>
          <w:rFonts w:cs="Arial"/>
        </w:rPr>
        <w:t>pez-Fern</w:t>
      </w:r>
      <w:r w:rsidR="00F5650B" w:rsidRPr="00DB2E06">
        <w:rPr>
          <w:rFonts w:ascii="Calibri" w:hAnsi="Calibri" w:cs="Arial"/>
        </w:rPr>
        <w:t>á</w:t>
      </w:r>
      <w:r w:rsidR="00F5650B" w:rsidRPr="00DB2E06">
        <w:rPr>
          <w:rFonts w:cs="Arial"/>
        </w:rPr>
        <w:t>ndez</w:t>
      </w:r>
      <w:r w:rsidR="00F5650B">
        <w:rPr>
          <w:lang w:val="en-GB"/>
        </w:rPr>
        <w:t xml:space="preserve"> </w:t>
      </w:r>
      <w:r>
        <w:rPr>
          <w:lang w:val="en-GB"/>
        </w:rPr>
        <w:t>et al. 2016)</w:t>
      </w:r>
      <w:r w:rsidR="00EF1CDB">
        <w:rPr>
          <w:lang w:val="en-GB"/>
        </w:rPr>
        <w:t>.</w:t>
      </w:r>
      <w:r w:rsidR="00E81C4D">
        <w:rPr>
          <w:lang w:val="en-GB"/>
        </w:rPr>
        <w:t xml:space="preserve"> </w:t>
      </w:r>
      <w:r w:rsidR="00E81C4D" w:rsidRPr="00DB2E06">
        <w:rPr>
          <w:rFonts w:cs="Arial"/>
        </w:rPr>
        <w:t>L</w:t>
      </w:r>
      <w:r w:rsidR="00E81C4D" w:rsidRPr="00DB2E06">
        <w:rPr>
          <w:rFonts w:ascii="Calibri" w:hAnsi="Calibri" w:cs="Arial"/>
        </w:rPr>
        <w:t>ó</w:t>
      </w:r>
      <w:r w:rsidR="00E81C4D" w:rsidRPr="00DB2E06">
        <w:rPr>
          <w:rFonts w:cs="Arial"/>
        </w:rPr>
        <w:t>pez-Fern</w:t>
      </w:r>
      <w:r w:rsidR="00E81C4D" w:rsidRPr="00DB2E06">
        <w:rPr>
          <w:rFonts w:ascii="Calibri" w:hAnsi="Calibri" w:cs="Arial"/>
        </w:rPr>
        <w:t>á</w:t>
      </w:r>
      <w:r w:rsidR="00E81C4D" w:rsidRPr="00DB2E06">
        <w:rPr>
          <w:rFonts w:cs="Arial"/>
        </w:rPr>
        <w:t>ndez</w:t>
      </w:r>
      <w:r w:rsidR="00E81C4D">
        <w:rPr>
          <w:lang w:val="en-GB"/>
        </w:rPr>
        <w:t xml:space="preserve"> et al. (2016) found tha</w:t>
      </w:r>
      <w:r w:rsidR="001353EB">
        <w:rPr>
          <w:lang w:val="en-GB"/>
        </w:rPr>
        <w:t>t, under ‘typical’</w:t>
      </w:r>
      <w:r w:rsidR="00E81C4D">
        <w:rPr>
          <w:lang w:val="en-GB"/>
        </w:rPr>
        <w:t xml:space="preserve"> water quality conditions of pH 8, 25</w:t>
      </w:r>
      <w:r w:rsidR="00E81C4D" w:rsidRPr="009D1811">
        <w:rPr>
          <w:rFonts w:cstheme="minorHAnsi"/>
        </w:rPr>
        <w:t>°C</w:t>
      </w:r>
      <w:r w:rsidR="00E81C4D">
        <w:rPr>
          <w:rFonts w:cstheme="minorHAnsi"/>
        </w:rPr>
        <w:t xml:space="preserve"> and </w:t>
      </w:r>
      <w:r w:rsidR="00E81C4D">
        <w:rPr>
          <w:lang w:val="en-GB"/>
        </w:rPr>
        <w:t>the presence of light, the per</w:t>
      </w:r>
      <w:r w:rsidR="006A3CAE">
        <w:rPr>
          <w:lang w:val="en-GB"/>
        </w:rPr>
        <w:t xml:space="preserve"> </w:t>
      </w:r>
      <w:r w:rsidR="00E81C4D">
        <w:rPr>
          <w:lang w:val="en-GB"/>
        </w:rPr>
        <w:t>cent conversion of mancozeb to ETU was 17.5%</w:t>
      </w:r>
      <w:r w:rsidR="00177117">
        <w:rPr>
          <w:lang w:val="en-GB"/>
        </w:rPr>
        <w:t xml:space="preserve"> over 72</w:t>
      </w:r>
      <w:r w:rsidR="001353EB">
        <w:rPr>
          <w:lang w:val="en-GB"/>
        </w:rPr>
        <w:t> </w:t>
      </w:r>
      <w:r w:rsidR="00177117">
        <w:rPr>
          <w:lang w:val="en-GB"/>
        </w:rPr>
        <w:t>hours</w:t>
      </w:r>
      <w:r w:rsidR="00E81C4D">
        <w:rPr>
          <w:lang w:val="en-GB"/>
        </w:rPr>
        <w:t>, but that under warmer conditions (e.g. 30</w:t>
      </w:r>
      <w:r w:rsidR="00E81C4D" w:rsidRPr="009D1811">
        <w:rPr>
          <w:rFonts w:cstheme="minorHAnsi"/>
        </w:rPr>
        <w:t>°C</w:t>
      </w:r>
      <w:r w:rsidR="00E81C4D">
        <w:rPr>
          <w:rFonts w:cstheme="minorHAnsi"/>
        </w:rPr>
        <w:t>) this could increase to 40</w:t>
      </w:r>
      <w:r w:rsidR="001353EB">
        <w:rPr>
          <w:rFonts w:cstheme="minorHAnsi"/>
        </w:rPr>
        <w:t>–</w:t>
      </w:r>
      <w:r w:rsidR="00E81C4D">
        <w:rPr>
          <w:rFonts w:cstheme="minorHAnsi"/>
        </w:rPr>
        <w:t>60%.</w:t>
      </w:r>
      <w:r w:rsidR="00E81C4D">
        <w:rPr>
          <w:lang w:val="en-GB"/>
        </w:rPr>
        <w:t xml:space="preserve"> </w:t>
      </w:r>
      <w:r w:rsidR="00EF1CDB">
        <w:rPr>
          <w:lang w:val="en-GB"/>
        </w:rPr>
        <w:t>Notably, ETU is used in the production of rubber and also has other industrial uses</w:t>
      </w:r>
      <w:r w:rsidR="001353EB">
        <w:rPr>
          <w:lang w:val="en-GB"/>
        </w:rPr>
        <w:t>;</w:t>
      </w:r>
      <w:r w:rsidR="00EF1CDB">
        <w:rPr>
          <w:lang w:val="en-GB"/>
        </w:rPr>
        <w:t xml:space="preserve"> hence, it can enter the environment via multiple sources (National Toxicology Program 2016). However, the dominant source of ETU</w:t>
      </w:r>
      <w:r w:rsidR="00284061">
        <w:rPr>
          <w:lang w:val="en-GB"/>
        </w:rPr>
        <w:t xml:space="preserve">, particularly in agricultural areas and large areas of manicured green space, </w:t>
      </w:r>
      <w:r w:rsidR="00EF1CDB">
        <w:rPr>
          <w:lang w:val="en-GB"/>
        </w:rPr>
        <w:t xml:space="preserve">is </w:t>
      </w:r>
      <w:r w:rsidR="00284061">
        <w:rPr>
          <w:lang w:val="en-GB"/>
        </w:rPr>
        <w:t xml:space="preserve">via the use of </w:t>
      </w:r>
      <w:r w:rsidR="00EF1CDB">
        <w:rPr>
          <w:lang w:val="en-GB"/>
        </w:rPr>
        <w:t>EBDC fungicides.</w:t>
      </w:r>
    </w:p>
    <w:p w14:paraId="3528D69D" w14:textId="77777777" w:rsidR="00294826" w:rsidRDefault="00FB47A6" w:rsidP="00CA4A82">
      <w:pPr>
        <w:rPr>
          <w:bCs/>
        </w:rPr>
      </w:pPr>
      <w:r w:rsidRPr="007722FA">
        <w:t>The hydrolytic decomposition of mancozeb appears to involve the initial formation of polymer fragments, monomeric species and EBDC ligand</w:t>
      </w:r>
      <w:r w:rsidR="00DF5800">
        <w:t>s</w:t>
      </w:r>
      <w:r w:rsidRPr="007722FA">
        <w:t xml:space="preserve"> in association with metal ions (</w:t>
      </w:r>
      <w:r w:rsidRPr="00B7164F">
        <w:t>USEPA 2005c</w:t>
      </w:r>
      <w:r w:rsidRPr="00EC1464">
        <w:t>). The final product of</w:t>
      </w:r>
      <w:r w:rsidR="001353EB">
        <w:t xml:space="preserve"> the</w:t>
      </w:r>
      <w:r w:rsidRPr="00EC1464">
        <w:t xml:space="preserve"> hydrolytic decomposition of mancozeb is the multi-species complex termed the ‘mancozeb complex’, </w:t>
      </w:r>
      <w:r w:rsidR="001353EB">
        <w:t>which</w:t>
      </w:r>
      <w:r w:rsidR="001353EB" w:rsidRPr="00EC1464">
        <w:t xml:space="preserve"> </w:t>
      </w:r>
      <w:r w:rsidRPr="00EC1464">
        <w:t>consists of transient species, degradates (including ETU) and other unidentified materials</w:t>
      </w:r>
      <w:r w:rsidRPr="007722FA">
        <w:t xml:space="preserve"> (</w:t>
      </w:r>
      <w:r w:rsidR="001353EB">
        <w:t>USEPA 2005c,</w:t>
      </w:r>
      <w:r w:rsidRPr="00B7164F">
        <w:t xml:space="preserve"> Ruhman et al. 2011</w:t>
      </w:r>
      <w:r w:rsidRPr="003E4A00">
        <w:t xml:space="preserve">). </w:t>
      </w:r>
      <w:r w:rsidR="00010164">
        <w:t>The m</w:t>
      </w:r>
      <w:r>
        <w:rPr>
          <w:bCs/>
        </w:rPr>
        <w:t>ancozeb complex</w:t>
      </w:r>
      <w:r w:rsidR="00010164">
        <w:rPr>
          <w:bCs/>
        </w:rPr>
        <w:t xml:space="preserve"> has a</w:t>
      </w:r>
      <w:r>
        <w:rPr>
          <w:bCs/>
        </w:rPr>
        <w:t xml:space="preserve"> molecular formula (</w:t>
      </w:r>
      <w:r>
        <w:t>C</w:t>
      </w:r>
      <w:r w:rsidRPr="00EB4042">
        <w:rPr>
          <w:vertAlign w:val="subscript"/>
        </w:rPr>
        <w:t>4</w:t>
      </w:r>
      <w:r>
        <w:t>H</w:t>
      </w:r>
      <w:r w:rsidRPr="00EB4042">
        <w:rPr>
          <w:vertAlign w:val="subscript"/>
        </w:rPr>
        <w:t>6</w:t>
      </w:r>
      <w:r>
        <w:t>MnN</w:t>
      </w:r>
      <w:r w:rsidRPr="00EB4042">
        <w:rPr>
          <w:vertAlign w:val="subscript"/>
        </w:rPr>
        <w:t>2</w:t>
      </w:r>
      <w:r>
        <w:t>S</w:t>
      </w:r>
      <w:r w:rsidRPr="00EB4042">
        <w:rPr>
          <w:vertAlign w:val="subscript"/>
        </w:rPr>
        <w:t>4</w:t>
      </w:r>
      <w:r>
        <w:t>)</w:t>
      </w:r>
      <w:r w:rsidRPr="001353EB">
        <w:rPr>
          <w:rStyle w:val="Emphasis"/>
        </w:rPr>
        <w:t>x</w:t>
      </w:r>
      <w:r>
        <w:t>(Zn</w:t>
      </w:r>
      <w:r>
        <w:rPr>
          <w:bCs/>
        </w:rPr>
        <w:t>)</w:t>
      </w:r>
      <w:r w:rsidRPr="001353EB">
        <w:rPr>
          <w:rStyle w:val="Emphasis"/>
        </w:rPr>
        <w:t>y</w:t>
      </w:r>
      <w:r>
        <w:rPr>
          <w:bCs/>
        </w:rPr>
        <w:t xml:space="preserve">, </w:t>
      </w:r>
      <w:r w:rsidR="00010164">
        <w:rPr>
          <w:bCs/>
        </w:rPr>
        <w:t xml:space="preserve">and </w:t>
      </w:r>
      <w:r>
        <w:rPr>
          <w:bCs/>
        </w:rPr>
        <w:t>contain</w:t>
      </w:r>
      <w:r w:rsidR="00010164">
        <w:rPr>
          <w:bCs/>
        </w:rPr>
        <w:t>s</w:t>
      </w:r>
      <w:r>
        <w:rPr>
          <w:bCs/>
        </w:rPr>
        <w:t xml:space="preserve"> 20% manganese and 2.5% zinc. The molecular weights of the polymer and monomer are 541 and 271.3, </w:t>
      </w:r>
      <w:r w:rsidRPr="003E4A00">
        <w:rPr>
          <w:bCs/>
        </w:rPr>
        <w:t>respectively (</w:t>
      </w:r>
      <w:r w:rsidRPr="00B7164F">
        <w:rPr>
          <w:bCs/>
        </w:rPr>
        <w:t>EC 2005</w:t>
      </w:r>
      <w:r w:rsidRPr="003E4A00">
        <w:rPr>
          <w:bCs/>
        </w:rPr>
        <w:t>). The chemical</w:t>
      </w:r>
      <w:r>
        <w:rPr>
          <w:bCs/>
        </w:rPr>
        <w:t xml:space="preserve"> structure of mancozeb </w:t>
      </w:r>
      <w:r w:rsidRPr="00756AB9">
        <w:rPr>
          <w:bCs/>
        </w:rPr>
        <w:t xml:space="preserve">is </w:t>
      </w:r>
      <w:r w:rsidRPr="00DB7BC7">
        <w:rPr>
          <w:bCs/>
        </w:rPr>
        <w:t>usually</w:t>
      </w:r>
      <w:r w:rsidRPr="00756AB9">
        <w:rPr>
          <w:bCs/>
        </w:rPr>
        <w:t xml:space="preserve"> represented</w:t>
      </w:r>
      <w:r>
        <w:rPr>
          <w:bCs/>
        </w:rPr>
        <w:t xml:space="preserve"> by one unit of the polyme</w:t>
      </w:r>
      <w:r>
        <w:rPr>
          <w:bCs/>
        </w:rPr>
        <w:t>r: a monomeric Mn</w:t>
      </w:r>
      <w:r w:rsidRPr="00201CFC">
        <w:rPr>
          <w:bCs/>
          <w:vertAlign w:val="superscript"/>
        </w:rPr>
        <w:t>2+</w:t>
      </w:r>
      <w:r>
        <w:rPr>
          <w:bCs/>
        </w:rPr>
        <w:t xml:space="preserve"> and Zn</w:t>
      </w:r>
      <w:r w:rsidRPr="00201CFC">
        <w:rPr>
          <w:bCs/>
          <w:vertAlign w:val="superscript"/>
        </w:rPr>
        <w:t>2+</w:t>
      </w:r>
      <w:r>
        <w:rPr>
          <w:bCs/>
        </w:rPr>
        <w:t xml:space="preserve"> EBDC. The structure of the polymer is shown in </w:t>
      </w:r>
      <w:r w:rsidR="004B3215">
        <w:rPr>
          <w:bCs/>
        </w:rPr>
        <w:fldChar w:fldCharType="begin"/>
      </w:r>
      <w:r w:rsidR="004B3215">
        <w:rPr>
          <w:bCs/>
        </w:rPr>
        <w:instrText xml:space="preserve"> REF _Ref55903321 \h </w:instrText>
      </w:r>
      <w:r w:rsidR="004B3215">
        <w:rPr>
          <w:bCs/>
        </w:rPr>
      </w:r>
      <w:r w:rsidR="004B3215">
        <w:rPr>
          <w:bCs/>
        </w:rPr>
        <w:fldChar w:fldCharType="separate"/>
      </w:r>
      <w:r w:rsidR="00E747AE">
        <w:t>Figure </w:t>
      </w:r>
      <w:r w:rsidR="00E747AE">
        <w:rPr>
          <w:noProof/>
        </w:rPr>
        <w:t>1</w:t>
      </w:r>
      <w:r w:rsidR="004B3215">
        <w:rPr>
          <w:bCs/>
        </w:rPr>
        <w:fldChar w:fldCharType="end"/>
      </w:r>
      <w:r w:rsidR="00F66E22">
        <w:rPr>
          <w:bCs/>
        </w:rPr>
        <w:t xml:space="preserve">. </w:t>
      </w:r>
    </w:p>
    <w:p w14:paraId="3528D69E" w14:textId="77777777" w:rsidR="00294826" w:rsidRDefault="00FB47A6" w:rsidP="00CA4A82">
      <w:r w:rsidRPr="007D3D1B">
        <w:rPr>
          <w:noProof/>
          <w:lang w:eastAsia="en-AU"/>
        </w:rPr>
        <w:drawing>
          <wp:inline distT="0" distB="0" distL="0" distR="0" wp14:anchorId="3528D830" wp14:editId="3528D831">
            <wp:extent cx="3420991" cy="1144988"/>
            <wp:effectExtent l="0" t="0" r="8255" b="0"/>
            <wp:docPr id="1" name="Picture 1" descr="Figure shows the chemical structure of mancozeb." title="Structure of mancozeb">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60074" name="irc_mi" descr="https://patentimages.storage.googleapis.com/US8841234B1/US08841234-20140923-C00019.png">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3426088" cy="1146694"/>
                    </a:xfrm>
                    <a:prstGeom prst="rect">
                      <a:avLst/>
                    </a:prstGeom>
                    <a:noFill/>
                    <a:ln>
                      <a:noFill/>
                    </a:ln>
                  </pic:spPr>
                </pic:pic>
              </a:graphicData>
            </a:graphic>
          </wp:inline>
        </w:drawing>
      </w:r>
    </w:p>
    <w:p w14:paraId="3528D69F" w14:textId="77777777" w:rsidR="00294826" w:rsidRPr="009D2CAF" w:rsidRDefault="00FB47A6" w:rsidP="00CA4A82">
      <w:pPr>
        <w:pStyle w:val="Caption"/>
      </w:pPr>
      <w:bookmarkStart w:id="5" w:name="_Ref55903321"/>
      <w:bookmarkStart w:id="6" w:name="_Toc68188174"/>
      <w:r>
        <w:t>Figure </w:t>
      </w:r>
      <w:r w:rsidR="00567DF6">
        <w:fldChar w:fldCharType="begin"/>
      </w:r>
      <w:r>
        <w:instrText xml:space="preserve"> SEQ Figure \* ARABIC </w:instrText>
      </w:r>
      <w:r w:rsidR="00567DF6">
        <w:fldChar w:fldCharType="separate"/>
      </w:r>
      <w:r w:rsidR="00E747AE">
        <w:rPr>
          <w:noProof/>
        </w:rPr>
        <w:t>1</w:t>
      </w:r>
      <w:r w:rsidR="00567DF6">
        <w:rPr>
          <w:noProof/>
        </w:rPr>
        <w:fldChar w:fldCharType="end"/>
      </w:r>
      <w:bookmarkEnd w:id="5"/>
      <w:r>
        <w:t xml:space="preserve"> </w:t>
      </w:r>
      <w:r w:rsidR="00CA4A82" w:rsidRPr="009D2CAF">
        <w:t xml:space="preserve">Structure of </w:t>
      </w:r>
      <w:r w:rsidR="006D27FD" w:rsidRPr="009D2CAF">
        <w:t>mancozeb</w:t>
      </w:r>
      <w:bookmarkEnd w:id="6"/>
    </w:p>
    <w:p w14:paraId="3528D6A0" w14:textId="77777777" w:rsidR="00294826" w:rsidRPr="00391E64" w:rsidRDefault="00FB47A6" w:rsidP="00CA4A82">
      <w:pPr>
        <w:rPr>
          <w:rFonts w:cs="Times New Roman"/>
        </w:rPr>
      </w:pPr>
      <w:r w:rsidRPr="00391E64">
        <w:rPr>
          <w:rFonts w:cs="Times New Roman"/>
        </w:rPr>
        <w:t>M</w:t>
      </w:r>
      <w:r w:rsidRPr="00391E64">
        <w:t xml:space="preserve">ancozeb has low </w:t>
      </w:r>
      <w:r w:rsidRPr="00391E64">
        <w:t>water solubility (ranging from 2</w:t>
      </w:r>
      <w:r w:rsidR="00F24103">
        <w:t> </w:t>
      </w:r>
      <w:r w:rsidRPr="00391E64">
        <w:t>mg/L to 20</w:t>
      </w:r>
      <w:r w:rsidR="00F24103">
        <w:t> </w:t>
      </w:r>
      <w:r w:rsidRPr="00391E64">
        <w:t>mg/L</w:t>
      </w:r>
      <w:r w:rsidR="004E3F32">
        <w:t>)</w:t>
      </w:r>
      <w:r w:rsidR="003022FA">
        <w:t xml:space="preserve"> (USEPA 2005c,</w:t>
      </w:r>
      <w:r w:rsidRPr="00391E64">
        <w:t xml:space="preserve"> EC 2005</w:t>
      </w:r>
      <w:r w:rsidR="003022FA">
        <w:t>,</w:t>
      </w:r>
      <w:r w:rsidRPr="00391E64">
        <w:t xml:space="preserve"> </w:t>
      </w:r>
      <w:r w:rsidR="008C7033">
        <w:t>NCBI 2020</w:t>
      </w:r>
      <w:r w:rsidRPr="00391E64">
        <w:t>)</w:t>
      </w:r>
      <w:r w:rsidRPr="00391E64">
        <w:rPr>
          <w:rFonts w:cs="Times New Roman"/>
        </w:rPr>
        <w:t xml:space="preserve"> but hydrolyses rapidly in water (reported half-lives of 0.7</w:t>
      </w:r>
      <w:r w:rsidR="00F24103">
        <w:rPr>
          <w:rFonts w:cs="Times New Roman"/>
        </w:rPr>
        <w:t> </w:t>
      </w:r>
      <w:r w:rsidRPr="00391E64">
        <w:rPr>
          <w:rFonts w:cs="Times New Roman"/>
        </w:rPr>
        <w:t>days at pH</w:t>
      </w:r>
      <w:r w:rsidR="00F24103">
        <w:rPr>
          <w:rFonts w:cs="Times New Roman"/>
        </w:rPr>
        <w:t> </w:t>
      </w:r>
      <w:r w:rsidRPr="00391E64">
        <w:rPr>
          <w:rFonts w:cs="Times New Roman"/>
        </w:rPr>
        <w:t>7 and 1.4</w:t>
      </w:r>
      <w:r w:rsidR="00F24103">
        <w:rPr>
          <w:rFonts w:cs="Times New Roman"/>
        </w:rPr>
        <w:t> </w:t>
      </w:r>
      <w:r w:rsidRPr="00391E64">
        <w:rPr>
          <w:rFonts w:cs="Times New Roman"/>
        </w:rPr>
        <w:t>days at pH</w:t>
      </w:r>
      <w:r w:rsidR="00F24103">
        <w:rPr>
          <w:rFonts w:cs="Times New Roman"/>
        </w:rPr>
        <w:t> </w:t>
      </w:r>
      <w:r w:rsidRPr="00391E64">
        <w:rPr>
          <w:rFonts w:cs="Times New Roman"/>
        </w:rPr>
        <w:t>9) (USEPA 2005c).</w:t>
      </w:r>
      <w:r>
        <w:rPr>
          <w:rFonts w:cs="Times New Roman"/>
        </w:rPr>
        <w:t xml:space="preserve"> </w:t>
      </w:r>
      <w:r>
        <w:t xml:space="preserve">In </w:t>
      </w:r>
      <w:r w:rsidR="003F64B9">
        <w:t xml:space="preserve">contrast </w:t>
      </w:r>
      <w:r>
        <w:t>to the rapid hydrolysis, mancozeb</w:t>
      </w:r>
      <w:r w:rsidRPr="00391E64">
        <w:t xml:space="preserve"> </w:t>
      </w:r>
      <w:r>
        <w:t xml:space="preserve">is </w:t>
      </w:r>
      <w:r w:rsidRPr="00391E64">
        <w:rPr>
          <w:rFonts w:cs="Times New Roman"/>
        </w:rPr>
        <w:t>photolyticall</w:t>
      </w:r>
      <w:r w:rsidRPr="00391E64">
        <w:rPr>
          <w:rFonts w:cs="Times New Roman"/>
        </w:rPr>
        <w:t>y stable</w:t>
      </w:r>
      <w:r>
        <w:rPr>
          <w:rFonts w:cs="Times New Roman"/>
        </w:rPr>
        <w:t xml:space="preserve"> and is </w:t>
      </w:r>
      <w:r>
        <w:t xml:space="preserve">not expected to </w:t>
      </w:r>
      <w:r w:rsidRPr="00391E64">
        <w:t>volatilis</w:t>
      </w:r>
      <w:r>
        <w:t>e</w:t>
      </w:r>
      <w:r w:rsidRPr="00391E64">
        <w:t xml:space="preserve"> from water and/or dry/moist soil surfaces </w:t>
      </w:r>
      <w:r>
        <w:t>b</w:t>
      </w:r>
      <w:r w:rsidRPr="00391E64">
        <w:t>ased on a low vapour pressure (</w:t>
      </w:r>
      <w:r w:rsidRPr="00391E64">
        <w:rPr>
          <w:rFonts w:cs="Times New Roman"/>
        </w:rPr>
        <w:t>1.33x10</w:t>
      </w:r>
      <w:r w:rsidR="00A279A0">
        <w:rPr>
          <w:rFonts w:cs="Times New Roman"/>
          <w:vertAlign w:val="superscript"/>
        </w:rPr>
        <w:t>–</w:t>
      </w:r>
      <w:r w:rsidR="00F24103">
        <w:rPr>
          <w:rFonts w:cs="Times New Roman"/>
          <w:vertAlign w:val="superscript"/>
        </w:rPr>
        <w:t>10</w:t>
      </w:r>
      <w:r w:rsidR="00F24103">
        <w:rPr>
          <w:rFonts w:cs="Times New Roman"/>
        </w:rPr>
        <w:t> </w:t>
      </w:r>
      <w:r w:rsidRPr="00391E64">
        <w:rPr>
          <w:rFonts w:cs="Times New Roman"/>
        </w:rPr>
        <w:t>atm</w:t>
      </w:r>
      <w:r w:rsidRPr="00391E64">
        <w:t>)</w:t>
      </w:r>
      <w:r w:rsidRPr="00391E64">
        <w:rPr>
          <w:rFonts w:cs="Times New Roman"/>
        </w:rPr>
        <w:t xml:space="preserve"> and a calculated Henry’s Law constant of 5.5x10</w:t>
      </w:r>
      <w:r w:rsidR="00A279A0">
        <w:rPr>
          <w:rFonts w:cs="Times New Roman"/>
          <w:vertAlign w:val="superscript"/>
        </w:rPr>
        <w:t>–</w:t>
      </w:r>
      <w:r w:rsidRPr="00391E64">
        <w:rPr>
          <w:rFonts w:cs="Times New Roman"/>
          <w:vertAlign w:val="superscript"/>
        </w:rPr>
        <w:t>9</w:t>
      </w:r>
      <w:r w:rsidR="00F24103">
        <w:rPr>
          <w:rFonts w:cs="Times New Roman"/>
        </w:rPr>
        <w:t> </w:t>
      </w:r>
      <w:r w:rsidRPr="00391E64">
        <w:rPr>
          <w:rFonts w:cs="Times New Roman"/>
        </w:rPr>
        <w:t>atm m</w:t>
      </w:r>
      <w:r w:rsidRPr="00391E64">
        <w:rPr>
          <w:rFonts w:cs="Times New Roman"/>
          <w:vertAlign w:val="superscript"/>
        </w:rPr>
        <w:t>3</w:t>
      </w:r>
      <w:r w:rsidRPr="00391E64">
        <w:rPr>
          <w:rFonts w:cs="Times New Roman"/>
        </w:rPr>
        <w:t>/mol</w:t>
      </w:r>
      <w:r>
        <w:rPr>
          <w:rFonts w:cs="Times New Roman"/>
        </w:rPr>
        <w:t xml:space="preserve"> </w:t>
      </w:r>
      <w:r w:rsidRPr="00391E64">
        <w:t>(USEPA 2005c</w:t>
      </w:r>
      <w:r w:rsidR="003022FA">
        <w:t>, EC 2005,</w:t>
      </w:r>
      <w:r w:rsidRPr="00391E64">
        <w:t xml:space="preserve"> </w:t>
      </w:r>
      <w:r w:rsidR="008C7033">
        <w:t>NCBI 2020</w:t>
      </w:r>
      <w:r w:rsidRPr="00391E64">
        <w:t>)</w:t>
      </w:r>
      <w:r>
        <w:t xml:space="preserve">. </w:t>
      </w:r>
    </w:p>
    <w:p w14:paraId="3528D6A1" w14:textId="77777777" w:rsidR="00294826" w:rsidRDefault="00FB47A6" w:rsidP="00CA4A82">
      <w:r w:rsidRPr="007722FA">
        <w:t xml:space="preserve">Mancozeb has a low </w:t>
      </w:r>
      <w:r w:rsidRPr="007722FA">
        <w:t>potential to bioaccumulate in aquatic organisms, with a log K</w:t>
      </w:r>
      <w:r w:rsidRPr="007722FA">
        <w:rPr>
          <w:vertAlign w:val="subscript"/>
        </w:rPr>
        <w:t>ow</w:t>
      </w:r>
      <w:r w:rsidRPr="007722FA">
        <w:t xml:space="preserve"> of 1.33 (USEPA 2005c</w:t>
      </w:r>
      <w:r w:rsidR="003022FA">
        <w:t>,</w:t>
      </w:r>
      <w:r w:rsidRPr="007722FA">
        <w:t xml:space="preserve"> EC 2005</w:t>
      </w:r>
      <w:r w:rsidR="003022FA">
        <w:t>,</w:t>
      </w:r>
      <w:r w:rsidRPr="007722FA">
        <w:t xml:space="preserve"> </w:t>
      </w:r>
      <w:r w:rsidR="008C7033">
        <w:t>NCBI 2020</w:t>
      </w:r>
      <w:r w:rsidRPr="007722FA">
        <w:t>). A bioconcentration factor (BCF) of 4</w:t>
      </w:r>
      <w:r w:rsidR="00F24103">
        <w:t> </w:t>
      </w:r>
      <w:r w:rsidRPr="007722FA">
        <w:t>L/kg (log</w:t>
      </w:r>
      <w:r w:rsidR="003168F1" w:rsidRPr="007722FA">
        <w:t xml:space="preserve"> </w:t>
      </w:r>
      <w:r w:rsidRPr="007722FA">
        <w:t>BCF 0.6) has been estimated for fish (</w:t>
      </w:r>
      <w:r w:rsidR="008C7033">
        <w:t>NCBI 2020</w:t>
      </w:r>
      <w:r w:rsidRPr="007722FA">
        <w:t>)</w:t>
      </w:r>
      <w:r w:rsidR="008E1AE1" w:rsidRPr="007722FA">
        <w:t>. N</w:t>
      </w:r>
      <w:r w:rsidRPr="007722FA">
        <w:t xml:space="preserve">o </w:t>
      </w:r>
      <w:r w:rsidR="008E1AE1" w:rsidRPr="007722FA">
        <w:t xml:space="preserve">measured </w:t>
      </w:r>
      <w:r w:rsidR="003168F1" w:rsidRPr="007722FA">
        <w:t>BCF data, and few accumulation studies</w:t>
      </w:r>
      <w:r w:rsidR="00F24103">
        <w:t>,</w:t>
      </w:r>
      <w:r w:rsidR="008E1AE1" w:rsidRPr="007722FA">
        <w:t xml:space="preserve"> </w:t>
      </w:r>
      <w:r w:rsidRPr="007722FA">
        <w:t xml:space="preserve">were found during </w:t>
      </w:r>
      <w:r w:rsidR="008E1AE1" w:rsidRPr="007722FA">
        <w:t xml:space="preserve">the </w:t>
      </w:r>
      <w:r w:rsidRPr="007722FA">
        <w:t xml:space="preserve">preparation of this </w:t>
      </w:r>
      <w:r w:rsidR="003F64B9">
        <w:t>default guideline value (</w:t>
      </w:r>
      <w:r w:rsidRPr="007722FA">
        <w:t>DGV</w:t>
      </w:r>
      <w:r w:rsidR="003F64B9">
        <w:t>)</w:t>
      </w:r>
      <w:r w:rsidRPr="007722FA">
        <w:t>. Regulatory registration, assessment and review documents on mancozeb have typically been silent on, or waived the need for, bioaccumulation studies on mancozeb (USEPA 2005a</w:t>
      </w:r>
      <w:r w:rsidR="003022FA">
        <w:t>,</w:t>
      </w:r>
      <w:r w:rsidRPr="007722FA">
        <w:t xml:space="preserve"> EC 2005).</w:t>
      </w:r>
      <w:r w:rsidRPr="007722FA">
        <w:t xml:space="preserve"> A study on</w:t>
      </w:r>
      <w:r w:rsidR="00740566">
        <w:t xml:space="preserve"> the</w:t>
      </w:r>
      <w:r w:rsidRPr="007722FA">
        <w:t xml:space="preserve"> uptake of mancozeb by soft-shell clams (</w:t>
      </w:r>
      <w:r w:rsidRPr="00F24103">
        <w:rPr>
          <w:rStyle w:val="Emphasis"/>
        </w:rPr>
        <w:t>Mya arenaria</w:t>
      </w:r>
      <w:r w:rsidRPr="007722FA">
        <w:t>) reported rapid (&lt;24</w:t>
      </w:r>
      <w:r w:rsidR="00F24103">
        <w:t> </w:t>
      </w:r>
      <w:r w:rsidRPr="007722FA">
        <w:t>h) initial accumulation of manganese in the mantle, which decreased over the duration of the exposure (Pariseau et al. 2009).</w:t>
      </w:r>
    </w:p>
    <w:p w14:paraId="3528D6A2" w14:textId="77777777" w:rsidR="00C10DD6" w:rsidRPr="000E0C64" w:rsidRDefault="00FB47A6" w:rsidP="00210970">
      <w:pPr>
        <w:rPr>
          <w:bCs/>
          <w:lang w:val="en-GB"/>
        </w:rPr>
      </w:pPr>
      <w:r w:rsidRPr="00562C25">
        <w:rPr>
          <w:bCs/>
          <w:lang w:val="en-GB"/>
        </w:rPr>
        <w:t xml:space="preserve">As the </w:t>
      </w:r>
      <w:r w:rsidR="00210970" w:rsidRPr="00562C25">
        <w:rPr>
          <w:bCs/>
          <w:lang w:val="en-GB"/>
        </w:rPr>
        <w:t>dithiocarbamates, including mancozeb, are not stable</w:t>
      </w:r>
      <w:r w:rsidRPr="00562C25">
        <w:rPr>
          <w:bCs/>
          <w:lang w:val="en-GB"/>
        </w:rPr>
        <w:t>,</w:t>
      </w:r>
      <w:r w:rsidR="00210970" w:rsidRPr="00562C25">
        <w:rPr>
          <w:bCs/>
          <w:lang w:val="en-GB"/>
        </w:rPr>
        <w:t xml:space="preserve"> </w:t>
      </w:r>
      <w:r w:rsidRPr="00562C25">
        <w:rPr>
          <w:bCs/>
          <w:lang w:val="en-GB"/>
        </w:rPr>
        <w:t>they are</w:t>
      </w:r>
      <w:r w:rsidR="00210970" w:rsidRPr="00562C25">
        <w:rPr>
          <w:bCs/>
          <w:lang w:val="en-GB"/>
        </w:rPr>
        <w:t xml:space="preserve"> difficult to extract or analyse directly. </w:t>
      </w:r>
      <w:r w:rsidR="00210970" w:rsidRPr="00562C25">
        <w:rPr>
          <w:bCs/>
        </w:rPr>
        <w:t xml:space="preserve">Consequently, </w:t>
      </w:r>
      <w:r w:rsidRPr="00562C25">
        <w:rPr>
          <w:bCs/>
        </w:rPr>
        <w:t xml:space="preserve">chemical analyses are typically based on the concentration of the </w:t>
      </w:r>
      <w:r w:rsidR="00052157" w:rsidRPr="00562C25">
        <w:rPr>
          <w:bCs/>
        </w:rPr>
        <w:t>hydrolysis product</w:t>
      </w:r>
      <w:r w:rsidR="00740566">
        <w:rPr>
          <w:bCs/>
        </w:rPr>
        <w:t>—</w:t>
      </w:r>
      <w:r w:rsidRPr="00562C25">
        <w:rPr>
          <w:bCs/>
        </w:rPr>
        <w:t>carbon disul</w:t>
      </w:r>
      <w:r w:rsidR="00052157" w:rsidRPr="00562C25">
        <w:rPr>
          <w:bCs/>
        </w:rPr>
        <w:t>f</w:t>
      </w:r>
      <w:r w:rsidRPr="00562C25">
        <w:rPr>
          <w:bCs/>
        </w:rPr>
        <w:t>ide (CS</w:t>
      </w:r>
      <w:r w:rsidRPr="00562C25">
        <w:rPr>
          <w:bCs/>
          <w:vertAlign w:val="subscript"/>
        </w:rPr>
        <w:t>2</w:t>
      </w:r>
      <w:r w:rsidRPr="00562C25">
        <w:rPr>
          <w:bCs/>
        </w:rPr>
        <w:t>)</w:t>
      </w:r>
      <w:r w:rsidR="00740566">
        <w:rPr>
          <w:bCs/>
        </w:rPr>
        <w:t>—</w:t>
      </w:r>
      <w:r w:rsidR="00AC460E" w:rsidRPr="00562C25">
        <w:rPr>
          <w:bCs/>
        </w:rPr>
        <w:t>or</w:t>
      </w:r>
      <w:r w:rsidRPr="00562C25">
        <w:rPr>
          <w:bCs/>
        </w:rPr>
        <w:t>,</w:t>
      </w:r>
      <w:r w:rsidR="00AC460E" w:rsidRPr="00562C25">
        <w:rPr>
          <w:bCs/>
        </w:rPr>
        <w:t xml:space="preserve"> </w:t>
      </w:r>
      <w:r w:rsidRPr="00562C25">
        <w:rPr>
          <w:bCs/>
        </w:rPr>
        <w:t xml:space="preserve">for EBDCs, </w:t>
      </w:r>
      <w:r w:rsidR="00AC460E" w:rsidRPr="00562C25">
        <w:rPr>
          <w:bCs/>
        </w:rPr>
        <w:t>the degradate</w:t>
      </w:r>
      <w:r w:rsidR="00740566">
        <w:rPr>
          <w:bCs/>
        </w:rPr>
        <w:t>—</w:t>
      </w:r>
      <w:r w:rsidR="00AC460E" w:rsidRPr="00562C25">
        <w:rPr>
          <w:bCs/>
        </w:rPr>
        <w:t>ETU</w:t>
      </w:r>
      <w:r w:rsidRPr="00562C25">
        <w:rPr>
          <w:bCs/>
        </w:rPr>
        <w:t xml:space="preserve">. Consequently, </w:t>
      </w:r>
      <w:r w:rsidR="00210970" w:rsidRPr="00562C25">
        <w:rPr>
          <w:bCs/>
        </w:rPr>
        <w:t>analysis of CS</w:t>
      </w:r>
      <w:r w:rsidR="00210970" w:rsidRPr="00562C25">
        <w:rPr>
          <w:bCs/>
          <w:vertAlign w:val="subscript"/>
        </w:rPr>
        <w:t>2</w:t>
      </w:r>
      <w:r w:rsidR="00210970" w:rsidRPr="00562C25">
        <w:rPr>
          <w:bCs/>
        </w:rPr>
        <w:t xml:space="preserve"> or ETU</w:t>
      </w:r>
      <w:r w:rsidRPr="00562C25">
        <w:rPr>
          <w:bCs/>
        </w:rPr>
        <w:t xml:space="preserve"> will measure the collective concentration of dithiocarbamates and EBDCs, respectively, rather than just mancozeb. </w:t>
      </w:r>
      <w:r w:rsidRPr="00562C25">
        <w:rPr>
          <w:lang w:val="en"/>
        </w:rPr>
        <w:t xml:space="preserve">This has implications for </w:t>
      </w:r>
      <w:r w:rsidR="00740566">
        <w:rPr>
          <w:lang w:val="en"/>
        </w:rPr>
        <w:t xml:space="preserve">the </w:t>
      </w:r>
      <w:r w:rsidRPr="00562C25">
        <w:rPr>
          <w:lang w:val="en"/>
        </w:rPr>
        <w:t xml:space="preserve">assessment of </w:t>
      </w:r>
      <w:r w:rsidR="005D49B9" w:rsidRPr="00562C25">
        <w:rPr>
          <w:lang w:val="en"/>
        </w:rPr>
        <w:t xml:space="preserve">environmental </w:t>
      </w:r>
      <w:r w:rsidRPr="00562C25">
        <w:rPr>
          <w:lang w:val="en"/>
        </w:rPr>
        <w:t>monitoring data against the mancozeb DGVs,</w:t>
      </w:r>
      <w:r w:rsidRPr="00562C25">
        <w:rPr>
          <w:lang w:val="en"/>
        </w:rPr>
        <w:t xml:space="preserve"> which are addressed in </w:t>
      </w:r>
      <w:r w:rsidR="00EC7B6D">
        <w:rPr>
          <w:lang w:val="en"/>
        </w:rPr>
        <w:t>Section </w:t>
      </w:r>
      <w:r w:rsidR="00EC7B6D">
        <w:rPr>
          <w:lang w:val="en"/>
        </w:rPr>
        <w:fldChar w:fldCharType="begin"/>
      </w:r>
      <w:r w:rsidR="00EC7B6D">
        <w:rPr>
          <w:lang w:val="en"/>
        </w:rPr>
        <w:instrText xml:space="preserve"> REF _Ref55902604 \r \h </w:instrText>
      </w:r>
      <w:r w:rsidR="00EC7B6D">
        <w:rPr>
          <w:lang w:val="en"/>
        </w:rPr>
      </w:r>
      <w:r w:rsidR="00EC7B6D">
        <w:rPr>
          <w:lang w:val="en"/>
        </w:rPr>
        <w:fldChar w:fldCharType="separate"/>
      </w:r>
      <w:r w:rsidR="00E747AE">
        <w:rPr>
          <w:lang w:val="en"/>
        </w:rPr>
        <w:t>4.3</w:t>
      </w:r>
      <w:r w:rsidR="00EC7B6D">
        <w:rPr>
          <w:lang w:val="en"/>
        </w:rPr>
        <w:fldChar w:fldCharType="end"/>
      </w:r>
      <w:r w:rsidRPr="00562C25">
        <w:rPr>
          <w:lang w:val="en"/>
        </w:rPr>
        <w:t>.</w:t>
      </w:r>
    </w:p>
    <w:p w14:paraId="3528D6A3" w14:textId="77777777" w:rsidR="00294826" w:rsidRPr="00391E64" w:rsidRDefault="00FB47A6" w:rsidP="00294826">
      <w:pPr>
        <w:rPr>
          <w:bCs/>
        </w:rPr>
      </w:pPr>
      <w:r w:rsidRPr="007722FA">
        <w:rPr>
          <w:bCs/>
        </w:rPr>
        <w:t>Mancozeb may be released to the environment through its use as a fungicide</w:t>
      </w:r>
      <w:r w:rsidR="003168F1" w:rsidRPr="007722FA">
        <w:rPr>
          <w:bCs/>
        </w:rPr>
        <w:t xml:space="preserve"> and </w:t>
      </w:r>
      <w:r w:rsidR="004E3F32">
        <w:rPr>
          <w:bCs/>
        </w:rPr>
        <w:t>subsequent</w:t>
      </w:r>
      <w:r w:rsidRPr="007722FA">
        <w:rPr>
          <w:bCs/>
        </w:rPr>
        <w:t xml:space="preserve"> releases to soil, and </w:t>
      </w:r>
      <w:r w:rsidR="003168F1" w:rsidRPr="007722FA">
        <w:rPr>
          <w:bCs/>
        </w:rPr>
        <w:t xml:space="preserve">runoff and spray drift from land to </w:t>
      </w:r>
      <w:r w:rsidRPr="007722FA">
        <w:rPr>
          <w:bCs/>
        </w:rPr>
        <w:t xml:space="preserve">surface water (Ruhman et al. 2011). </w:t>
      </w:r>
      <w:r w:rsidRPr="007722FA">
        <w:rPr>
          <w:rFonts w:cs="Times New Roman"/>
        </w:rPr>
        <w:t>Given the rapid hydrolysis of mancozeb, concentrations in aquatic environments are very low, and the main stressor is expected to be the mancozeb complex, includ</w:t>
      </w:r>
      <w:r w:rsidRPr="007722FA">
        <w:rPr>
          <w:rFonts w:cs="Times New Roman"/>
        </w:rPr>
        <w:t>ing ETU</w:t>
      </w:r>
      <w:r w:rsidR="00A32F06">
        <w:rPr>
          <w:rFonts w:cs="Times New Roman"/>
        </w:rPr>
        <w:t xml:space="preserve"> and other degradates</w:t>
      </w:r>
      <w:r w:rsidRPr="007722FA">
        <w:rPr>
          <w:rFonts w:cs="Times New Roman"/>
        </w:rPr>
        <w:t>, as well as manganese and zinc</w:t>
      </w:r>
      <w:r w:rsidR="0043778D" w:rsidRPr="00391E64">
        <w:rPr>
          <w:rFonts w:cs="Times New Roman"/>
        </w:rPr>
        <w:t xml:space="preserve"> (USEPA 2005c</w:t>
      </w:r>
      <w:r w:rsidR="003022FA">
        <w:rPr>
          <w:rFonts w:cs="Times New Roman"/>
        </w:rPr>
        <w:t>,</w:t>
      </w:r>
      <w:r w:rsidR="006D1CD3">
        <w:rPr>
          <w:rFonts w:cs="Times New Roman"/>
        </w:rPr>
        <w:t xml:space="preserve"> </w:t>
      </w:r>
      <w:r w:rsidR="006D1CD3" w:rsidRPr="00DA0CEE">
        <w:rPr>
          <w:lang w:val="en-GB"/>
        </w:rPr>
        <w:t xml:space="preserve">Lopez-Fernandez </w:t>
      </w:r>
      <w:r w:rsidR="006D1CD3">
        <w:rPr>
          <w:lang w:val="en-GB"/>
        </w:rPr>
        <w:t>et al. 2016</w:t>
      </w:r>
      <w:r w:rsidR="0043778D" w:rsidRPr="00391E64">
        <w:rPr>
          <w:rFonts w:cs="Times New Roman"/>
        </w:rPr>
        <w:t>)</w:t>
      </w:r>
      <w:r w:rsidRPr="00391E64">
        <w:rPr>
          <w:rFonts w:cs="Times New Roman"/>
        </w:rPr>
        <w:t>. A study on mancozeb use in banana plantations did not find detectable concentrations of ETU in groundwater, but reported surface water concentrations up</w:t>
      </w:r>
      <w:r w:rsidRPr="00391E64">
        <w:rPr>
          <w:rFonts w:cs="Times New Roman"/>
        </w:rPr>
        <w:t xml:space="preserve"> to 22.5</w:t>
      </w:r>
      <w:r w:rsidR="003168F1">
        <w:rPr>
          <w:rFonts w:cs="Times New Roman"/>
        </w:rPr>
        <w:t> </w:t>
      </w:r>
      <w:r w:rsidRPr="00391E64">
        <w:rPr>
          <w:rFonts w:cs="Times New Roman"/>
        </w:rPr>
        <w:t>µg/L</w:t>
      </w:r>
      <w:r w:rsidR="0043778D" w:rsidRPr="00391E64">
        <w:rPr>
          <w:rFonts w:cs="Times New Roman"/>
        </w:rPr>
        <w:t xml:space="preserve"> (Geissen et al. 2010)</w:t>
      </w:r>
      <w:r w:rsidRPr="00391E64">
        <w:rPr>
          <w:rFonts w:cs="Times New Roman"/>
        </w:rPr>
        <w:t>. Another study monitor</w:t>
      </w:r>
      <w:r w:rsidR="00776D45">
        <w:rPr>
          <w:rFonts w:cs="Times New Roman"/>
        </w:rPr>
        <w:t>ed</w:t>
      </w:r>
      <w:r w:rsidRPr="00391E64">
        <w:rPr>
          <w:rFonts w:cs="Times New Roman"/>
        </w:rPr>
        <w:t xml:space="preserve"> mancozeb spray drift residue over surface water (using drift card analysis). The drift cards reported concentrations of mancozeb between 0.5</w:t>
      </w:r>
      <w:r w:rsidR="00776D45">
        <w:rPr>
          <w:rFonts w:cs="Times New Roman"/>
        </w:rPr>
        <w:t> </w:t>
      </w:r>
      <w:r w:rsidRPr="00391E64">
        <w:rPr>
          <w:rFonts w:cs="Times New Roman"/>
        </w:rPr>
        <w:t>µg/cm</w:t>
      </w:r>
      <w:r w:rsidRPr="00391E64">
        <w:rPr>
          <w:rFonts w:cs="Times New Roman"/>
          <w:vertAlign w:val="superscript"/>
        </w:rPr>
        <w:t>2</w:t>
      </w:r>
      <w:r w:rsidRPr="00391E64">
        <w:rPr>
          <w:rFonts w:cs="Times New Roman"/>
        </w:rPr>
        <w:t xml:space="preserve"> </w:t>
      </w:r>
      <w:r w:rsidR="00776D45">
        <w:rPr>
          <w:rFonts w:cs="Times New Roman"/>
        </w:rPr>
        <w:t>and</w:t>
      </w:r>
      <w:r w:rsidR="00776D45" w:rsidRPr="00391E64">
        <w:rPr>
          <w:rFonts w:cs="Times New Roman"/>
        </w:rPr>
        <w:t xml:space="preserve"> </w:t>
      </w:r>
      <w:r w:rsidRPr="00391E64">
        <w:rPr>
          <w:rFonts w:cs="Times New Roman"/>
        </w:rPr>
        <w:t>4.0</w:t>
      </w:r>
      <w:r w:rsidR="00776D45">
        <w:rPr>
          <w:rFonts w:cs="Times New Roman"/>
        </w:rPr>
        <w:t> </w:t>
      </w:r>
      <w:r w:rsidRPr="00391E64">
        <w:rPr>
          <w:rFonts w:cs="Times New Roman"/>
        </w:rPr>
        <w:t>µg/cm</w:t>
      </w:r>
      <w:r w:rsidRPr="00391E64">
        <w:rPr>
          <w:rFonts w:cs="Times New Roman"/>
          <w:vertAlign w:val="superscript"/>
        </w:rPr>
        <w:t>2</w:t>
      </w:r>
      <w:r w:rsidRPr="00391E64">
        <w:rPr>
          <w:rFonts w:cs="Times New Roman"/>
        </w:rPr>
        <w:t>, although these concentrations w</w:t>
      </w:r>
      <w:r w:rsidRPr="00391E64">
        <w:rPr>
          <w:rFonts w:cs="Times New Roman"/>
        </w:rPr>
        <w:t>ere not used to predict a surface water concentration</w:t>
      </w:r>
      <w:r w:rsidR="0043778D" w:rsidRPr="00391E64">
        <w:rPr>
          <w:rFonts w:cs="Times New Roman"/>
        </w:rPr>
        <w:t xml:space="preserve"> (Mortensen et al. 1998)</w:t>
      </w:r>
      <w:r w:rsidRPr="00391E64">
        <w:rPr>
          <w:rFonts w:cs="Times New Roman"/>
        </w:rPr>
        <w:t>. A pesticide</w:t>
      </w:r>
      <w:r w:rsidRPr="00756AB9">
        <w:rPr>
          <w:rFonts w:cs="Times New Roman"/>
        </w:rPr>
        <w:t xml:space="preserve"> risk</w:t>
      </w:r>
      <w:r>
        <w:rPr>
          <w:rFonts w:cs="Times New Roman"/>
        </w:rPr>
        <w:t xml:space="preserve"> assessment for agricultural lands of the Great Barrier Reef catchment area estimated that mancozeb </w:t>
      </w:r>
      <w:r w:rsidR="00930F44">
        <w:rPr>
          <w:rFonts w:cs="Times New Roman"/>
        </w:rPr>
        <w:t xml:space="preserve">was </w:t>
      </w:r>
      <w:r>
        <w:rPr>
          <w:rFonts w:cs="Times New Roman"/>
        </w:rPr>
        <w:t xml:space="preserve">of </w:t>
      </w:r>
      <w:r w:rsidR="00B74937">
        <w:rPr>
          <w:rFonts w:cs="Times New Roman"/>
        </w:rPr>
        <w:t>‘</w:t>
      </w:r>
      <w:r w:rsidRPr="00B74937">
        <w:rPr>
          <w:rStyle w:val="Emphasis"/>
        </w:rPr>
        <w:t>very low</w:t>
      </w:r>
      <w:r w:rsidR="00B74937">
        <w:rPr>
          <w:rFonts w:cs="Times New Roman"/>
        </w:rPr>
        <w:t>’</w:t>
      </w:r>
      <w:r w:rsidRPr="00756AB9">
        <w:rPr>
          <w:rFonts w:cs="Times New Roman"/>
          <w:i/>
        </w:rPr>
        <w:t xml:space="preserve"> </w:t>
      </w:r>
      <w:r w:rsidRPr="00756AB9">
        <w:rPr>
          <w:rFonts w:cs="Times New Roman"/>
        </w:rPr>
        <w:t>risk of mobility to groundwater</w:t>
      </w:r>
      <w:r>
        <w:rPr>
          <w:rFonts w:cs="Times New Roman"/>
        </w:rPr>
        <w:t xml:space="preserve"> for six cro</w:t>
      </w:r>
      <w:r>
        <w:rPr>
          <w:rFonts w:cs="Times New Roman"/>
        </w:rPr>
        <w:t xml:space="preserve">ps assessed (beans, tomatoes, mangoes, </w:t>
      </w:r>
      <w:r w:rsidRPr="00391E64">
        <w:rPr>
          <w:rFonts w:cs="Times New Roman"/>
        </w:rPr>
        <w:t>melons, cucumbers and capsicum</w:t>
      </w:r>
      <w:r w:rsidR="00930F44">
        <w:rPr>
          <w:rFonts w:cs="Times New Roman"/>
        </w:rPr>
        <w:t>s</w:t>
      </w:r>
      <w:r w:rsidRPr="00391E64">
        <w:rPr>
          <w:rFonts w:cs="Times New Roman"/>
        </w:rPr>
        <w:t xml:space="preserve">), and a </w:t>
      </w:r>
      <w:r w:rsidR="00B74937" w:rsidRPr="00B74937">
        <w:rPr>
          <w:rFonts w:cs="Times New Roman"/>
        </w:rPr>
        <w:t>‘</w:t>
      </w:r>
      <w:r w:rsidRPr="009E09E0">
        <w:rPr>
          <w:rStyle w:val="Emphasis"/>
        </w:rPr>
        <w:t>very low</w:t>
      </w:r>
      <w:r w:rsidR="00B74937">
        <w:rPr>
          <w:rFonts w:cs="Times New Roman"/>
        </w:rPr>
        <w:t>’</w:t>
      </w:r>
      <w:r w:rsidRPr="00B74937">
        <w:rPr>
          <w:rFonts w:cs="Times New Roman"/>
        </w:rPr>
        <w:t xml:space="preserve"> to </w:t>
      </w:r>
      <w:r w:rsidR="00B74937">
        <w:rPr>
          <w:rFonts w:cs="Times New Roman"/>
        </w:rPr>
        <w:t>‘</w:t>
      </w:r>
      <w:r w:rsidR="00B74937" w:rsidRPr="009E09E0">
        <w:rPr>
          <w:rStyle w:val="Emphasis"/>
        </w:rPr>
        <w:t>medium</w:t>
      </w:r>
      <w:r w:rsidR="00B74937">
        <w:rPr>
          <w:rFonts w:cs="Times New Roman"/>
        </w:rPr>
        <w:t>’</w:t>
      </w:r>
      <w:r w:rsidRPr="00391E64">
        <w:rPr>
          <w:rFonts w:cs="Times New Roman"/>
          <w:i/>
        </w:rPr>
        <w:t xml:space="preserve"> </w:t>
      </w:r>
      <w:r w:rsidRPr="00391E64">
        <w:rPr>
          <w:rFonts w:cs="Times New Roman"/>
        </w:rPr>
        <w:t>risk of mobility to surface water</w:t>
      </w:r>
      <w:r w:rsidR="0043778D" w:rsidRPr="00391E64">
        <w:rPr>
          <w:rFonts w:cs="Times New Roman"/>
        </w:rPr>
        <w:t xml:space="preserve"> (Lewis </w:t>
      </w:r>
      <w:r w:rsidR="00930F44">
        <w:rPr>
          <w:rFonts w:cs="Times New Roman"/>
        </w:rPr>
        <w:t>&amp;</w:t>
      </w:r>
      <w:r w:rsidR="00930F44" w:rsidRPr="00391E64">
        <w:rPr>
          <w:rFonts w:cs="Times New Roman"/>
        </w:rPr>
        <w:t xml:space="preserve"> </w:t>
      </w:r>
      <w:r w:rsidR="0043778D" w:rsidRPr="00391E64">
        <w:rPr>
          <w:rFonts w:cs="Times New Roman"/>
        </w:rPr>
        <w:t>Glendenning 2009)</w:t>
      </w:r>
      <w:r w:rsidRPr="00391E64">
        <w:rPr>
          <w:rFonts w:cs="Times New Roman"/>
        </w:rPr>
        <w:t xml:space="preserve">. Concentrations of the mancozeb complex in surface water near agricultural fields have </w:t>
      </w:r>
      <w:r w:rsidRPr="00391E64">
        <w:rPr>
          <w:rFonts w:cs="Times New Roman"/>
        </w:rPr>
        <w:t>been estimated by USEPA</w:t>
      </w:r>
      <w:r w:rsidR="00930F44">
        <w:rPr>
          <w:rFonts w:cs="Times New Roman"/>
        </w:rPr>
        <w:t xml:space="preserve"> (2005a)</w:t>
      </w:r>
      <w:r w:rsidRPr="00391E64">
        <w:rPr>
          <w:rFonts w:cs="Times New Roman"/>
        </w:rPr>
        <w:t xml:space="preserve"> to range from 2.2</w:t>
      </w:r>
      <w:r w:rsidR="00930F44">
        <w:rPr>
          <w:rFonts w:cs="Times New Roman"/>
        </w:rPr>
        <w:t> </w:t>
      </w:r>
      <w:r w:rsidR="00930F44" w:rsidRPr="00391E64">
        <w:rPr>
          <w:rFonts w:cs="Times New Roman"/>
        </w:rPr>
        <w:t>µg/L</w:t>
      </w:r>
      <w:r w:rsidR="00930F44">
        <w:rPr>
          <w:rFonts w:cs="Times New Roman"/>
        </w:rPr>
        <w:t xml:space="preserve"> </w:t>
      </w:r>
      <w:r w:rsidRPr="00391E64">
        <w:rPr>
          <w:rFonts w:cs="Times New Roman"/>
        </w:rPr>
        <w:t>to 7.3</w:t>
      </w:r>
      <w:r w:rsidR="00930F44">
        <w:rPr>
          <w:rFonts w:cs="Times New Roman"/>
        </w:rPr>
        <w:t> </w:t>
      </w:r>
      <w:r w:rsidRPr="00391E64">
        <w:rPr>
          <w:rFonts w:cs="Times New Roman"/>
        </w:rPr>
        <w:t>µg/L (60</w:t>
      </w:r>
      <w:r w:rsidR="00DF5B88">
        <w:rPr>
          <w:rFonts w:cs="Times New Roman"/>
        </w:rPr>
        <w:t> </w:t>
      </w:r>
      <w:r w:rsidRPr="00391E64">
        <w:rPr>
          <w:rFonts w:cs="Times New Roman"/>
        </w:rPr>
        <w:t>day average) to 4.3</w:t>
      </w:r>
      <w:r w:rsidR="00930F44">
        <w:rPr>
          <w:rFonts w:cs="Times New Roman"/>
        </w:rPr>
        <w:t> </w:t>
      </w:r>
      <w:r w:rsidR="00930F44" w:rsidRPr="00391E64">
        <w:rPr>
          <w:rFonts w:cs="Times New Roman"/>
        </w:rPr>
        <w:t>µg/L</w:t>
      </w:r>
      <w:r w:rsidRPr="00391E64">
        <w:rPr>
          <w:rFonts w:cs="Times New Roman"/>
        </w:rPr>
        <w:t xml:space="preserve"> to 16.7</w:t>
      </w:r>
      <w:r w:rsidR="00930F44">
        <w:rPr>
          <w:rFonts w:cs="Times New Roman"/>
        </w:rPr>
        <w:t> </w:t>
      </w:r>
      <w:r w:rsidRPr="00391E64">
        <w:rPr>
          <w:rFonts w:cs="Times New Roman"/>
        </w:rPr>
        <w:t>µg/L (21</w:t>
      </w:r>
      <w:r w:rsidR="00DF5B88">
        <w:rPr>
          <w:rFonts w:cs="Times New Roman"/>
        </w:rPr>
        <w:t> </w:t>
      </w:r>
      <w:r w:rsidRPr="00391E64">
        <w:rPr>
          <w:rFonts w:cs="Times New Roman"/>
        </w:rPr>
        <w:t>day average), with peak concentrations up to 210.8</w:t>
      </w:r>
      <w:r w:rsidR="00930F44">
        <w:rPr>
          <w:rFonts w:cs="Times New Roman"/>
        </w:rPr>
        <w:t> </w:t>
      </w:r>
      <w:r w:rsidRPr="00391E64">
        <w:rPr>
          <w:rFonts w:cs="Times New Roman"/>
        </w:rPr>
        <w:t>µg/L.</w:t>
      </w:r>
    </w:p>
    <w:p w14:paraId="3528D6A4" w14:textId="77777777" w:rsidR="00294826" w:rsidRDefault="00FB47A6" w:rsidP="00542F9A">
      <w:pPr>
        <w:rPr>
          <w:bCs/>
        </w:rPr>
      </w:pPr>
      <w:r w:rsidRPr="00391E64">
        <w:rPr>
          <w:rFonts w:cs="Times New Roman"/>
        </w:rPr>
        <w:t>The mancozeb complex has a high potential for adsorption to soil and sediment (reporte</w:t>
      </w:r>
      <w:r w:rsidRPr="00391E64">
        <w:rPr>
          <w:rFonts w:cs="Times New Roman"/>
        </w:rPr>
        <w:t>d log K</w:t>
      </w:r>
      <w:r w:rsidRPr="00391E64">
        <w:rPr>
          <w:rFonts w:cs="Times New Roman"/>
          <w:vertAlign w:val="subscript"/>
        </w:rPr>
        <w:t>oc</w:t>
      </w:r>
      <w:r w:rsidRPr="00391E64">
        <w:rPr>
          <w:rFonts w:cs="Times New Roman"/>
        </w:rPr>
        <w:t xml:space="preserve"> values in the range of 2.93</w:t>
      </w:r>
      <w:r w:rsidR="001C0E6E">
        <w:rPr>
          <w:rFonts w:cs="Times New Roman"/>
        </w:rPr>
        <w:t xml:space="preserve"> L/kg to </w:t>
      </w:r>
      <w:r w:rsidRPr="00391E64">
        <w:rPr>
          <w:rFonts w:cs="Times New Roman"/>
        </w:rPr>
        <w:t>3.21</w:t>
      </w:r>
      <w:r w:rsidR="001C0E6E">
        <w:rPr>
          <w:rFonts w:cs="Times New Roman"/>
        </w:rPr>
        <w:t> </w:t>
      </w:r>
      <w:r w:rsidRPr="00391E64">
        <w:rPr>
          <w:rFonts w:cs="Times New Roman"/>
        </w:rPr>
        <w:t>L/kg), followed by limited biotic degradation</w:t>
      </w:r>
      <w:r w:rsidR="0043778D" w:rsidRPr="00391E64">
        <w:rPr>
          <w:rFonts w:cs="Times New Roman"/>
        </w:rPr>
        <w:t xml:space="preserve"> (USEPA 2005c, </w:t>
      </w:r>
      <w:r w:rsidR="003022FA" w:rsidRPr="00391E64">
        <w:rPr>
          <w:rFonts w:cs="Times New Roman"/>
        </w:rPr>
        <w:t>2005d</w:t>
      </w:r>
      <w:r w:rsidR="003022FA">
        <w:rPr>
          <w:rFonts w:cs="Times New Roman"/>
        </w:rPr>
        <w:t>,</w:t>
      </w:r>
      <w:r w:rsidR="003022FA" w:rsidRPr="00391E64">
        <w:rPr>
          <w:rFonts w:cs="Times New Roman"/>
        </w:rPr>
        <w:t xml:space="preserve"> </w:t>
      </w:r>
      <w:r w:rsidR="0043778D" w:rsidRPr="00391E64">
        <w:rPr>
          <w:rFonts w:cs="Times New Roman"/>
        </w:rPr>
        <w:t>Ruhman et al. 2011)</w:t>
      </w:r>
      <w:r w:rsidRPr="00391E64">
        <w:rPr>
          <w:rFonts w:cs="Times New Roman"/>
        </w:rPr>
        <w:t>. Estimated half-lives for the mancozeb complex in river water/sediment are 111</w:t>
      </w:r>
      <w:r w:rsidR="001C0E6E">
        <w:rPr>
          <w:rFonts w:cs="Times New Roman"/>
        </w:rPr>
        <w:t> </w:t>
      </w:r>
      <w:r w:rsidRPr="00391E64">
        <w:rPr>
          <w:rFonts w:cs="Times New Roman"/>
        </w:rPr>
        <w:t xml:space="preserve">days and </w:t>
      </w:r>
      <w:r w:rsidR="001C0E6E" w:rsidRPr="00391E64">
        <w:rPr>
          <w:rFonts w:cs="Times New Roman"/>
        </w:rPr>
        <w:t xml:space="preserve">in pond/water sediment </w:t>
      </w:r>
      <w:r w:rsidR="001C0E6E">
        <w:rPr>
          <w:rFonts w:cs="Times New Roman"/>
        </w:rPr>
        <w:t xml:space="preserve">are </w:t>
      </w:r>
      <w:r w:rsidRPr="00391E64">
        <w:rPr>
          <w:rFonts w:cs="Times New Roman"/>
        </w:rPr>
        <w:t>391</w:t>
      </w:r>
      <w:r w:rsidR="001C0E6E">
        <w:rPr>
          <w:rFonts w:cs="Times New Roman"/>
        </w:rPr>
        <w:t> </w:t>
      </w:r>
      <w:r w:rsidRPr="00391E64">
        <w:rPr>
          <w:rFonts w:cs="Times New Roman"/>
        </w:rPr>
        <w:t xml:space="preserve">days </w:t>
      </w:r>
      <w:r w:rsidR="0043778D" w:rsidRPr="00391E64">
        <w:rPr>
          <w:rFonts w:cs="Times New Roman"/>
        </w:rPr>
        <w:t>(USEPA 2005c)</w:t>
      </w:r>
      <w:r w:rsidRPr="00391E64">
        <w:rPr>
          <w:rFonts w:cs="Times New Roman"/>
        </w:rPr>
        <w:t xml:space="preserve">. As a result, there can be slow and continuous release of transient </w:t>
      </w:r>
      <w:r w:rsidRPr="00EC1464">
        <w:rPr>
          <w:rFonts w:cs="Times New Roman"/>
        </w:rPr>
        <w:t>species and degradates of mancozeb, including ETU, at low concentrations</w:t>
      </w:r>
      <w:r w:rsidR="0043778D" w:rsidRPr="00EC1464">
        <w:rPr>
          <w:rFonts w:cs="Times New Roman"/>
        </w:rPr>
        <w:t xml:space="preserve"> (Ruhman et al. 2011)</w:t>
      </w:r>
      <w:r w:rsidRPr="007722FA">
        <w:rPr>
          <w:rFonts w:cs="Times New Roman"/>
        </w:rPr>
        <w:t xml:space="preserve">. Mobility of the mancozeb complex is expected to be limited because of </w:t>
      </w:r>
      <w:r w:rsidRPr="007722FA">
        <w:rPr>
          <w:rFonts w:cs="Times New Roman"/>
        </w:rPr>
        <w:t>its strong potential to adsorb. The degradate ETU is more mobile, with high water solubility (20</w:t>
      </w:r>
      <w:r w:rsidR="00F66E22">
        <w:rPr>
          <w:rFonts w:cs="Times New Roman"/>
        </w:rPr>
        <w:t> </w:t>
      </w:r>
      <w:r w:rsidRPr="007722FA">
        <w:rPr>
          <w:rFonts w:cs="Times New Roman"/>
        </w:rPr>
        <w:t>000</w:t>
      </w:r>
      <w:r w:rsidR="001C0E6E">
        <w:rPr>
          <w:rFonts w:cs="Times New Roman"/>
        </w:rPr>
        <w:t> </w:t>
      </w:r>
      <w:r w:rsidRPr="007722FA">
        <w:rPr>
          <w:rFonts w:cs="Times New Roman"/>
        </w:rPr>
        <w:t>mg/L) and lower potential to adsorb (reported log K</w:t>
      </w:r>
      <w:r w:rsidRPr="007722FA">
        <w:rPr>
          <w:rFonts w:cs="Times New Roman"/>
          <w:vertAlign w:val="subscript"/>
        </w:rPr>
        <w:t>oc</w:t>
      </w:r>
      <w:r w:rsidRPr="007722FA">
        <w:rPr>
          <w:rFonts w:cs="Times New Roman"/>
        </w:rPr>
        <w:t xml:space="preserve"> values range from 1.53</w:t>
      </w:r>
      <w:r w:rsidR="00BC0D5E">
        <w:rPr>
          <w:rFonts w:cs="Times New Roman"/>
        </w:rPr>
        <w:t> L/kg</w:t>
      </w:r>
      <w:r w:rsidRPr="007722FA">
        <w:rPr>
          <w:rFonts w:cs="Times New Roman"/>
        </w:rPr>
        <w:t xml:space="preserve"> to 2.93</w:t>
      </w:r>
      <w:r w:rsidR="00BC0D5E">
        <w:rPr>
          <w:rFonts w:cs="Times New Roman"/>
        </w:rPr>
        <w:t> L/kg</w:t>
      </w:r>
      <w:r w:rsidRPr="007722FA">
        <w:rPr>
          <w:rFonts w:cs="Times New Roman"/>
        </w:rPr>
        <w:t>)</w:t>
      </w:r>
      <w:r w:rsidR="0043778D" w:rsidRPr="007722FA">
        <w:rPr>
          <w:rFonts w:cs="Times New Roman"/>
        </w:rPr>
        <w:t xml:space="preserve"> (USEPA 2005d)</w:t>
      </w:r>
      <w:r w:rsidRPr="007722FA">
        <w:rPr>
          <w:rFonts w:cs="Times New Roman"/>
        </w:rPr>
        <w:t xml:space="preserve">. </w:t>
      </w:r>
      <w:r w:rsidR="003168F1" w:rsidRPr="007722FA">
        <w:rPr>
          <w:rFonts w:cs="Times New Roman"/>
        </w:rPr>
        <w:t>ETU does not readily hydrolyse or photolyse in direct sunlight. However, indirect photolysis is considered to be a major</w:t>
      </w:r>
      <w:r w:rsidR="003168F1" w:rsidRPr="00391E64">
        <w:rPr>
          <w:rFonts w:cs="Times New Roman"/>
        </w:rPr>
        <w:t xml:space="preserve"> degradation pathway in natural waters (USEPA 2005d).</w:t>
      </w:r>
      <w:r w:rsidR="003168F1">
        <w:rPr>
          <w:rFonts w:cs="Times New Roman"/>
        </w:rPr>
        <w:t xml:space="preserve"> </w:t>
      </w:r>
      <w:r w:rsidRPr="00391E64">
        <w:rPr>
          <w:rFonts w:cs="Times New Roman"/>
        </w:rPr>
        <w:t>ETU is volatile (reported vapour pressures of 1.28x10</w:t>
      </w:r>
      <w:r w:rsidR="00A279A0">
        <w:rPr>
          <w:rFonts w:cs="Times New Roman"/>
          <w:vertAlign w:val="superscript"/>
        </w:rPr>
        <w:t>–</w:t>
      </w:r>
      <w:r w:rsidRPr="00391E64">
        <w:rPr>
          <w:rFonts w:cs="Times New Roman"/>
          <w:vertAlign w:val="superscript"/>
        </w:rPr>
        <w:t>3</w:t>
      </w:r>
      <w:r w:rsidR="00B957C5">
        <w:rPr>
          <w:rFonts w:cs="Times New Roman"/>
        </w:rPr>
        <w:t> atm</w:t>
      </w:r>
      <w:r w:rsidRPr="00391E64">
        <w:rPr>
          <w:rFonts w:cs="Times New Roman"/>
        </w:rPr>
        <w:t xml:space="preserve"> and 6.59x10</w:t>
      </w:r>
      <w:r w:rsidR="00A279A0">
        <w:rPr>
          <w:rFonts w:cs="Times New Roman"/>
          <w:vertAlign w:val="superscript"/>
        </w:rPr>
        <w:t>–</w:t>
      </w:r>
      <w:r w:rsidRPr="00391E64">
        <w:rPr>
          <w:rFonts w:cs="Times New Roman"/>
          <w:vertAlign w:val="superscript"/>
        </w:rPr>
        <w:t>6</w:t>
      </w:r>
      <w:r w:rsidR="00B957C5">
        <w:rPr>
          <w:rFonts w:cs="Times New Roman"/>
        </w:rPr>
        <w:t> </w:t>
      </w:r>
      <w:r w:rsidRPr="00391E64">
        <w:rPr>
          <w:rFonts w:cs="Times New Roman"/>
        </w:rPr>
        <w:t>atm)</w:t>
      </w:r>
      <w:r w:rsidR="0043778D" w:rsidRPr="00391E64">
        <w:rPr>
          <w:rFonts w:cs="Times New Roman"/>
        </w:rPr>
        <w:t xml:space="preserve"> (USEPA 2005d)</w:t>
      </w:r>
      <w:r w:rsidRPr="00391E64">
        <w:rPr>
          <w:rFonts w:cs="Times New Roman"/>
        </w:rPr>
        <w:t xml:space="preserve"> and is not expected to bioaccumul</w:t>
      </w:r>
      <w:r w:rsidRPr="00391E64">
        <w:rPr>
          <w:rFonts w:cs="Times New Roman"/>
        </w:rPr>
        <w:t>ate, with a log K</w:t>
      </w:r>
      <w:r w:rsidRPr="00391E64">
        <w:rPr>
          <w:rFonts w:cs="Times New Roman"/>
          <w:vertAlign w:val="subscript"/>
        </w:rPr>
        <w:t>ow</w:t>
      </w:r>
      <w:r w:rsidRPr="00391E64">
        <w:rPr>
          <w:rFonts w:cs="Times New Roman"/>
        </w:rPr>
        <w:t xml:space="preserve"> value of </w:t>
      </w:r>
      <w:r w:rsidR="00A51988">
        <w:rPr>
          <w:rFonts w:cs="Times New Roman"/>
        </w:rPr>
        <w:t>-0.66</w:t>
      </w:r>
      <w:r w:rsidR="0043778D" w:rsidRPr="00391E64">
        <w:rPr>
          <w:rFonts w:cs="Times New Roman"/>
        </w:rPr>
        <w:t xml:space="preserve"> (</w:t>
      </w:r>
      <w:r w:rsidR="000F0E21">
        <w:t>NCBI 2020</w:t>
      </w:r>
      <w:r w:rsidR="0043778D" w:rsidRPr="00391E64">
        <w:rPr>
          <w:rFonts w:cs="Times New Roman"/>
        </w:rPr>
        <w:t>)</w:t>
      </w:r>
      <w:r w:rsidRPr="00391E64">
        <w:rPr>
          <w:rFonts w:cs="Times New Roman"/>
        </w:rPr>
        <w:t xml:space="preserve">. </w:t>
      </w:r>
    </w:p>
    <w:p w14:paraId="3528D6A5" w14:textId="77777777" w:rsidR="00BF0280" w:rsidRDefault="00FB47A6" w:rsidP="00BF0280">
      <w:pPr>
        <w:pStyle w:val="Heading2"/>
      </w:pPr>
      <w:bookmarkStart w:id="7" w:name="_Ref55902691"/>
      <w:bookmarkStart w:id="8" w:name="_Toc68188161"/>
      <w:r>
        <w:t>Aquatic toxicology</w:t>
      </w:r>
      <w:bookmarkEnd w:id="7"/>
      <w:bookmarkEnd w:id="8"/>
    </w:p>
    <w:p w14:paraId="3528D6A6" w14:textId="77777777" w:rsidR="00DA5759" w:rsidRDefault="00FB47A6" w:rsidP="00DA5759">
      <w:pPr>
        <w:pStyle w:val="Heading3"/>
      </w:pPr>
      <w:bookmarkStart w:id="9" w:name="_Toc68188162"/>
      <w:r>
        <w:t>Mechanism of toxicity</w:t>
      </w:r>
      <w:bookmarkEnd w:id="9"/>
    </w:p>
    <w:p w14:paraId="3528D6A7" w14:textId="77777777" w:rsidR="00DA5759" w:rsidRDefault="00FB47A6" w:rsidP="00DA5759">
      <w:r>
        <w:rPr>
          <w:bCs/>
        </w:rPr>
        <w:t>M</w:t>
      </w:r>
      <w:r w:rsidR="005951B0" w:rsidRPr="003E4A00">
        <w:rPr>
          <w:bCs/>
        </w:rPr>
        <w:t xml:space="preserve">ancozeb acts as a contact fungicide </w:t>
      </w:r>
      <w:r w:rsidR="00A51988" w:rsidRPr="003E4A00">
        <w:rPr>
          <w:bCs/>
        </w:rPr>
        <w:t xml:space="preserve">(non-systemic) </w:t>
      </w:r>
      <w:r w:rsidR="005951B0" w:rsidRPr="003E4A00">
        <w:rPr>
          <w:bCs/>
        </w:rPr>
        <w:t>that disrupts cellular metabolism at several sites in the fungal cell</w:t>
      </w:r>
      <w:r w:rsidR="00A51988">
        <w:rPr>
          <w:bCs/>
        </w:rPr>
        <w:t xml:space="preserve"> </w:t>
      </w:r>
      <w:r w:rsidR="00A51988" w:rsidRPr="003E4A00">
        <w:rPr>
          <w:bCs/>
        </w:rPr>
        <w:t>(</w:t>
      </w:r>
      <w:r w:rsidR="00A51988">
        <w:rPr>
          <w:bCs/>
        </w:rPr>
        <w:t>USEPA 2005a,</w:t>
      </w:r>
      <w:r w:rsidR="00A51988" w:rsidRPr="00B7164F">
        <w:rPr>
          <w:bCs/>
        </w:rPr>
        <w:t xml:space="preserve"> FRAC 201</w:t>
      </w:r>
      <w:r w:rsidR="00A51988">
        <w:rPr>
          <w:bCs/>
        </w:rPr>
        <w:t>9</w:t>
      </w:r>
      <w:r w:rsidR="00A51988" w:rsidRPr="003E4A00">
        <w:rPr>
          <w:bCs/>
        </w:rPr>
        <w:t>)</w:t>
      </w:r>
      <w:r w:rsidR="005951B0">
        <w:rPr>
          <w:bCs/>
        </w:rPr>
        <w:t>.</w:t>
      </w:r>
      <w:r w:rsidR="005951B0" w:rsidRPr="003E4A00">
        <w:rPr>
          <w:bCs/>
        </w:rPr>
        <w:t xml:space="preserve"> The</w:t>
      </w:r>
      <w:r w:rsidR="005951B0" w:rsidRPr="003F4D21">
        <w:rPr>
          <w:bCs/>
        </w:rPr>
        <w:t xml:space="preserve"> mode of action of mancozeb</w:t>
      </w:r>
      <w:r w:rsidR="005951B0">
        <w:rPr>
          <w:bCs/>
        </w:rPr>
        <w:t xml:space="preserve"> is</w:t>
      </w:r>
      <w:r w:rsidR="005951B0" w:rsidRPr="003F4D21">
        <w:rPr>
          <w:bCs/>
        </w:rPr>
        <w:t xml:space="preserve"> via the </w:t>
      </w:r>
      <w:r w:rsidR="00C10DD6">
        <w:rPr>
          <w:bCs/>
        </w:rPr>
        <w:t xml:space="preserve">mancozeb complex and associated </w:t>
      </w:r>
      <w:r w:rsidR="005951B0" w:rsidRPr="003F4D21">
        <w:rPr>
          <w:bCs/>
        </w:rPr>
        <w:t xml:space="preserve">degradates, </w:t>
      </w:r>
      <w:r w:rsidR="005951B0">
        <w:rPr>
          <w:bCs/>
        </w:rPr>
        <w:t xml:space="preserve">and </w:t>
      </w:r>
      <w:r>
        <w:rPr>
          <w:bCs/>
        </w:rPr>
        <w:t xml:space="preserve">it </w:t>
      </w:r>
      <w:r w:rsidR="005951B0">
        <w:rPr>
          <w:bCs/>
        </w:rPr>
        <w:t>involves</w:t>
      </w:r>
      <w:r w:rsidR="005951B0" w:rsidRPr="003F4D21">
        <w:rPr>
          <w:bCs/>
        </w:rPr>
        <w:t xml:space="preserve"> interference with enzymes containing sul</w:t>
      </w:r>
      <w:r w:rsidR="006526F5">
        <w:rPr>
          <w:bCs/>
        </w:rPr>
        <w:t>f</w:t>
      </w:r>
      <w:r w:rsidR="005951B0" w:rsidRPr="003F4D21">
        <w:rPr>
          <w:bCs/>
        </w:rPr>
        <w:t>hydryl groups (Gullino et al. 2010</w:t>
      </w:r>
      <w:r w:rsidR="005951B0" w:rsidRPr="003E4A00">
        <w:rPr>
          <w:bCs/>
        </w:rPr>
        <w:t>).</w:t>
      </w:r>
      <w:r w:rsidR="005951B0" w:rsidRPr="003F4D21">
        <w:rPr>
          <w:bCs/>
        </w:rPr>
        <w:t xml:space="preserve"> </w:t>
      </w:r>
      <w:r w:rsidR="005951B0" w:rsidRPr="00EC1464">
        <w:rPr>
          <w:bCs/>
        </w:rPr>
        <w:t xml:space="preserve">This </w:t>
      </w:r>
      <w:r w:rsidR="005951B0" w:rsidRPr="00B7164F">
        <w:rPr>
          <w:bCs/>
        </w:rPr>
        <w:t>disruption of enzymatic processes is thought to inhibit or interfere with multiple biochemical processes within the fungal cell cytoplasm and mitochondria</w:t>
      </w:r>
      <w:r w:rsidR="005951B0" w:rsidRPr="00EC1464">
        <w:rPr>
          <w:bCs/>
        </w:rPr>
        <w:t xml:space="preserve"> (FRAC </w:t>
      </w:r>
      <w:r w:rsidR="00DD42BD" w:rsidRPr="00EC1464">
        <w:rPr>
          <w:bCs/>
        </w:rPr>
        <w:t>201</w:t>
      </w:r>
      <w:r w:rsidR="00DD42BD">
        <w:rPr>
          <w:bCs/>
        </w:rPr>
        <w:t>9</w:t>
      </w:r>
      <w:r w:rsidR="005951B0" w:rsidRPr="00EC1464">
        <w:rPr>
          <w:bCs/>
        </w:rPr>
        <w:t>).</w:t>
      </w:r>
    </w:p>
    <w:p w14:paraId="3528D6A8" w14:textId="77777777" w:rsidR="00DA5759" w:rsidRPr="00DA5759" w:rsidRDefault="00FB47A6" w:rsidP="00DA5759">
      <w:pPr>
        <w:pStyle w:val="Heading3"/>
      </w:pPr>
      <w:bookmarkStart w:id="10" w:name="_Toc68188163"/>
      <w:r>
        <w:t>Toxicity</w:t>
      </w:r>
      <w:bookmarkEnd w:id="10"/>
    </w:p>
    <w:p w14:paraId="3528D6A9" w14:textId="77777777" w:rsidR="00394534" w:rsidRDefault="00FB47A6" w:rsidP="00542F9A">
      <w:r>
        <w:t xml:space="preserve">A literature review </w:t>
      </w:r>
      <w:r w:rsidR="000C0DD0">
        <w:t xml:space="preserve">(and associated data quality assessment) </w:t>
      </w:r>
      <w:r>
        <w:t xml:space="preserve">of the effects of </w:t>
      </w:r>
      <w:r w:rsidR="000C0DD0">
        <w:t>mancozeb</w:t>
      </w:r>
      <w:r>
        <w:t xml:space="preserve"> on freshwater organisms identified toxicity </w:t>
      </w:r>
      <w:r w:rsidRPr="001B4897">
        <w:t xml:space="preserve">data for </w:t>
      </w:r>
      <w:r w:rsidR="00492EBF" w:rsidRPr="00DB225C">
        <w:t>20</w:t>
      </w:r>
      <w:r w:rsidRPr="00DB225C">
        <w:t xml:space="preserve"> species, </w:t>
      </w:r>
      <w:r w:rsidRPr="00DB225C">
        <w:t>co</w:t>
      </w:r>
      <w:r w:rsidR="00896582" w:rsidRPr="00DB225C">
        <w:t>nsist</w:t>
      </w:r>
      <w:r w:rsidRPr="00DB225C">
        <w:t>ing</w:t>
      </w:r>
      <w:r w:rsidR="00896582" w:rsidRPr="00DB225C">
        <w:t xml:space="preserve"> of</w:t>
      </w:r>
      <w:r w:rsidRPr="00DB225C">
        <w:t xml:space="preserve"> </w:t>
      </w:r>
      <w:r w:rsidR="00D66899" w:rsidRPr="00DB225C">
        <w:t>3</w:t>
      </w:r>
      <w:r w:rsidR="00DB225C" w:rsidRPr="008A7ACC">
        <w:t>1</w:t>
      </w:r>
      <w:r w:rsidRPr="00DB225C">
        <w:t xml:space="preserve"> chronic </w:t>
      </w:r>
      <w:r w:rsidR="006475A5" w:rsidRPr="00DB225C">
        <w:t xml:space="preserve">toxicity values </w:t>
      </w:r>
      <w:r w:rsidRPr="00DB225C">
        <w:t xml:space="preserve">for </w:t>
      </w:r>
      <w:r w:rsidR="00DB225C" w:rsidRPr="00DB225C">
        <w:t>1</w:t>
      </w:r>
      <w:r w:rsidR="00DB225C" w:rsidRPr="008A7ACC">
        <w:t>4</w:t>
      </w:r>
      <w:r w:rsidR="00DB225C" w:rsidRPr="00DB225C">
        <w:t xml:space="preserve"> </w:t>
      </w:r>
      <w:r w:rsidRPr="00DB225C">
        <w:t xml:space="preserve">species, and </w:t>
      </w:r>
      <w:r w:rsidR="00F21169" w:rsidRPr="00DB225C">
        <w:t>1</w:t>
      </w:r>
      <w:r w:rsidR="00DB225C" w:rsidRPr="008A7ACC">
        <w:t>7</w:t>
      </w:r>
      <w:r w:rsidRPr="00DB225C">
        <w:t xml:space="preserve"> acute </w:t>
      </w:r>
      <w:r w:rsidR="006475A5" w:rsidRPr="00DB225C">
        <w:t xml:space="preserve">toxicity values </w:t>
      </w:r>
      <w:r w:rsidRPr="00DB225C">
        <w:t xml:space="preserve">for </w:t>
      </w:r>
      <w:r w:rsidR="00DB225C" w:rsidRPr="00DB225C">
        <w:t>1</w:t>
      </w:r>
      <w:r w:rsidR="00DB225C" w:rsidRPr="008A7ACC">
        <w:t>0</w:t>
      </w:r>
      <w:r w:rsidR="00DB225C" w:rsidRPr="00DB225C">
        <w:t xml:space="preserve"> </w:t>
      </w:r>
      <w:r w:rsidRPr="00DB225C">
        <w:t>species.</w:t>
      </w:r>
      <w:r>
        <w:t xml:space="preserve"> </w:t>
      </w:r>
    </w:p>
    <w:p w14:paraId="3528D6AA" w14:textId="77777777" w:rsidR="001B4897" w:rsidRDefault="00FB47A6" w:rsidP="001B4897">
      <w:pPr>
        <w:rPr>
          <w:rFonts w:cs="Times New Roman"/>
        </w:rPr>
      </w:pPr>
      <w:r>
        <w:rPr>
          <w:rFonts w:cs="Times New Roman"/>
        </w:rPr>
        <w:t xml:space="preserve">The toxicity of mancozeb to aquatic organisms is thought to be due to the chemical species produced by </w:t>
      </w:r>
      <w:r w:rsidR="002D22AA">
        <w:rPr>
          <w:rFonts w:cs="Times New Roman"/>
        </w:rPr>
        <w:t xml:space="preserve">the </w:t>
      </w:r>
      <w:r>
        <w:rPr>
          <w:rFonts w:cs="Times New Roman"/>
        </w:rPr>
        <w:t>hydrolysis of mancozeb</w:t>
      </w:r>
      <w:r w:rsidR="002D22AA">
        <w:rPr>
          <w:rFonts w:cs="Times New Roman"/>
        </w:rPr>
        <w:t>:</w:t>
      </w:r>
      <w:r>
        <w:rPr>
          <w:rFonts w:cs="Times New Roman"/>
        </w:rPr>
        <w:t xml:space="preserve"> the mancozeb complex (Ruhman et al. 2011). </w:t>
      </w:r>
      <w:r w:rsidR="00DD42BD">
        <w:rPr>
          <w:rFonts w:cs="Times New Roman"/>
        </w:rPr>
        <w:t>In the environment, t</w:t>
      </w:r>
      <w:r>
        <w:rPr>
          <w:rFonts w:cs="Times New Roman"/>
        </w:rPr>
        <w:t>he mancozeb complex will change over time, as more ETU and ET</w:t>
      </w:r>
      <w:r>
        <w:rPr>
          <w:rFonts w:cs="Times New Roman"/>
        </w:rPr>
        <w:t xml:space="preserve">U degradates are formed. </w:t>
      </w:r>
      <w:r w:rsidR="00DD42BD">
        <w:rPr>
          <w:rFonts w:cs="Times New Roman"/>
        </w:rPr>
        <w:t xml:space="preserve">Thus, the toxicity </w:t>
      </w:r>
      <w:r w:rsidR="00DB3B36">
        <w:rPr>
          <w:rFonts w:cs="Times New Roman"/>
        </w:rPr>
        <w:t xml:space="preserve">of mancozeb </w:t>
      </w:r>
      <w:r w:rsidR="00DD42BD">
        <w:rPr>
          <w:rFonts w:cs="Times New Roman"/>
        </w:rPr>
        <w:t>may a</w:t>
      </w:r>
      <w:r w:rsidR="00DB3B36">
        <w:rPr>
          <w:rFonts w:cs="Times New Roman"/>
        </w:rPr>
        <w:t>l</w:t>
      </w:r>
      <w:r w:rsidR="00DD42BD">
        <w:rPr>
          <w:rFonts w:cs="Times New Roman"/>
        </w:rPr>
        <w:t>so change over time.</w:t>
      </w:r>
    </w:p>
    <w:p w14:paraId="3528D6AB" w14:textId="77777777" w:rsidR="00B41B6B" w:rsidRDefault="00FB47A6" w:rsidP="00B41B6B">
      <w:pPr>
        <w:rPr>
          <w:bCs/>
        </w:rPr>
      </w:pPr>
      <w:r>
        <w:rPr>
          <w:bCs/>
        </w:rPr>
        <w:t>Effects on fish following short-term exposure to mancozeb include e</w:t>
      </w:r>
      <w:r w:rsidR="00010164">
        <w:rPr>
          <w:bCs/>
        </w:rPr>
        <w:t xml:space="preserve">ffects on thyroid hormones </w:t>
      </w:r>
      <w:r>
        <w:rPr>
          <w:bCs/>
        </w:rPr>
        <w:t xml:space="preserve">reported in </w:t>
      </w:r>
      <w:r w:rsidR="00DF7310">
        <w:rPr>
          <w:bCs/>
        </w:rPr>
        <w:t xml:space="preserve">the </w:t>
      </w:r>
      <w:r>
        <w:rPr>
          <w:bCs/>
        </w:rPr>
        <w:t>zebrafish (</w:t>
      </w:r>
      <w:r w:rsidRPr="001401CB">
        <w:rPr>
          <w:rStyle w:val="Emphasis"/>
        </w:rPr>
        <w:t>Danio rerio</w:t>
      </w:r>
      <w:r>
        <w:rPr>
          <w:bCs/>
        </w:rPr>
        <w:t>)</w:t>
      </w:r>
      <w:r w:rsidR="001401CB">
        <w:rPr>
          <w:bCs/>
        </w:rPr>
        <w:t xml:space="preserve"> </w:t>
      </w:r>
      <w:r w:rsidR="00010164">
        <w:rPr>
          <w:bCs/>
        </w:rPr>
        <w:t>(Thienpont et al. 2011). In longer</w:t>
      </w:r>
      <w:r w:rsidR="004026C6">
        <w:rPr>
          <w:bCs/>
        </w:rPr>
        <w:t>-</w:t>
      </w:r>
      <w:r w:rsidR="00010164">
        <w:rPr>
          <w:bCs/>
        </w:rPr>
        <w:t>term studies on fish, physical abnormalities have been reported, including spinal curvature in fathead minnow (</w:t>
      </w:r>
      <w:r w:rsidR="00010164" w:rsidRPr="004026C6">
        <w:rPr>
          <w:rStyle w:val="Emphasis"/>
        </w:rPr>
        <w:t>Pimephales promelas</w:t>
      </w:r>
      <w:r w:rsidR="00010164">
        <w:rPr>
          <w:bCs/>
        </w:rPr>
        <w:t>)</w:t>
      </w:r>
      <w:r w:rsidR="00010164" w:rsidRPr="004026C6">
        <w:rPr>
          <w:bCs/>
        </w:rPr>
        <w:t xml:space="preserve"> </w:t>
      </w:r>
      <w:r w:rsidR="00010164">
        <w:rPr>
          <w:bCs/>
        </w:rPr>
        <w:t>(Ruhman et al. 2011) and notochord distortion in zebrafish (Tilton et al. 2006), as well as haematological changes in rainbow trout</w:t>
      </w:r>
      <w:r w:rsidR="00010164">
        <w:rPr>
          <w:bCs/>
          <w:vertAlign w:val="superscript"/>
        </w:rPr>
        <w:t xml:space="preserve"> </w:t>
      </w:r>
      <w:r w:rsidR="00010164">
        <w:rPr>
          <w:bCs/>
        </w:rPr>
        <w:t xml:space="preserve">(Atamanalp </w:t>
      </w:r>
      <w:r w:rsidR="003022FA">
        <w:rPr>
          <w:bCs/>
        </w:rPr>
        <w:t>&amp;</w:t>
      </w:r>
      <w:r w:rsidR="00010164">
        <w:rPr>
          <w:bCs/>
        </w:rPr>
        <w:t xml:space="preserve"> Yanik 2003). In invertebrates, mancozeb </w:t>
      </w:r>
      <w:r w:rsidR="006A3106">
        <w:rPr>
          <w:bCs/>
        </w:rPr>
        <w:t>is</w:t>
      </w:r>
      <w:r w:rsidR="00010164">
        <w:rPr>
          <w:bCs/>
        </w:rPr>
        <w:t xml:space="preserve"> acutely toxic</w:t>
      </w:r>
      <w:r w:rsidR="004026C6">
        <w:rPr>
          <w:bCs/>
        </w:rPr>
        <w:t xml:space="preserve"> and affect</w:t>
      </w:r>
      <w:r w:rsidR="006A3106">
        <w:rPr>
          <w:bCs/>
        </w:rPr>
        <w:t>s</w:t>
      </w:r>
      <w:r w:rsidR="004026C6">
        <w:rPr>
          <w:bCs/>
        </w:rPr>
        <w:t xml:space="preserve"> </w:t>
      </w:r>
      <w:r w:rsidR="00010164">
        <w:rPr>
          <w:bCs/>
        </w:rPr>
        <w:t>growth and time to first brood (</w:t>
      </w:r>
      <w:r w:rsidR="003022FA">
        <w:rPr>
          <w:bCs/>
        </w:rPr>
        <w:t>WHO 1998, Ruhman et al. 2011</w:t>
      </w:r>
      <w:r w:rsidR="00010164">
        <w:rPr>
          <w:bCs/>
        </w:rPr>
        <w:t>).</w:t>
      </w:r>
      <w:r>
        <w:rPr>
          <w:bCs/>
        </w:rPr>
        <w:t xml:space="preserve"> </w:t>
      </w:r>
    </w:p>
    <w:p w14:paraId="3528D6AC" w14:textId="77777777" w:rsidR="00B41B6B" w:rsidRPr="00391E64" w:rsidRDefault="00FB47A6" w:rsidP="00B41B6B">
      <w:r w:rsidRPr="00EC1464">
        <w:rPr>
          <w:bCs/>
        </w:rPr>
        <w:t xml:space="preserve">In contrast, </w:t>
      </w:r>
      <w:r w:rsidRPr="00EC1464">
        <w:rPr>
          <w:rFonts w:cs="Times New Roman"/>
        </w:rPr>
        <w:t xml:space="preserve">ETU is less acutely toxic than mancozeb, with </w:t>
      </w:r>
      <w:r w:rsidRPr="00EC1464">
        <w:rPr>
          <w:bCs/>
        </w:rPr>
        <w:t>LC50 values in fish reported two to three o</w:t>
      </w:r>
      <w:r w:rsidRPr="004E3F32">
        <w:rPr>
          <w:bCs/>
        </w:rPr>
        <w:t xml:space="preserve">rders of magnitude </w:t>
      </w:r>
      <w:r w:rsidR="003F64B9">
        <w:rPr>
          <w:bCs/>
        </w:rPr>
        <w:t>high</w:t>
      </w:r>
      <w:r w:rsidR="003F64B9" w:rsidRPr="004E3F32">
        <w:rPr>
          <w:bCs/>
        </w:rPr>
        <w:t xml:space="preserve">er </w:t>
      </w:r>
      <w:r w:rsidRPr="004E3F32">
        <w:rPr>
          <w:bCs/>
        </w:rPr>
        <w:t xml:space="preserve">than for </w:t>
      </w:r>
      <w:r w:rsidR="004E3F32" w:rsidRPr="004E3F32">
        <w:rPr>
          <w:bCs/>
        </w:rPr>
        <w:t>mancozeb</w:t>
      </w:r>
      <w:r>
        <w:rPr>
          <w:bCs/>
        </w:rPr>
        <w:t xml:space="preserve"> (</w:t>
      </w:r>
      <w:r w:rsidR="00AA3A9E">
        <w:rPr>
          <w:bCs/>
        </w:rPr>
        <w:t xml:space="preserve">WHO 1998, </w:t>
      </w:r>
      <w:r>
        <w:rPr>
          <w:bCs/>
        </w:rPr>
        <w:t>Ruhman et al. 2011).</w:t>
      </w:r>
      <w:r w:rsidR="00010164">
        <w:rPr>
          <w:bCs/>
        </w:rPr>
        <w:t xml:space="preserve"> </w:t>
      </w:r>
      <w:r w:rsidRPr="004E0569">
        <w:rPr>
          <w:rFonts w:cs="Times New Roman"/>
        </w:rPr>
        <w:t>In mammals, the thyroid</w:t>
      </w:r>
      <w:r>
        <w:rPr>
          <w:rFonts w:cs="Times New Roman"/>
        </w:rPr>
        <w:t xml:space="preserve"> </w:t>
      </w:r>
      <w:r w:rsidR="009C6F67">
        <w:rPr>
          <w:rFonts w:cs="Times New Roman"/>
        </w:rPr>
        <w:t>is</w:t>
      </w:r>
      <w:r>
        <w:rPr>
          <w:rFonts w:cs="Times New Roman"/>
        </w:rPr>
        <w:t xml:space="preserve"> a</w:t>
      </w:r>
      <w:r w:rsidRPr="004E0569">
        <w:rPr>
          <w:rFonts w:cs="Times New Roman"/>
        </w:rPr>
        <w:t xml:space="preserve"> target organ for ETU, where decreases in thyroxine (T4) and increases in thyroid-stimulating hormone (TSH) have been observed in rodents</w:t>
      </w:r>
      <w:r>
        <w:rPr>
          <w:rFonts w:cs="Times New Roman"/>
        </w:rPr>
        <w:t xml:space="preserve"> (</w:t>
      </w:r>
      <w:r w:rsidR="009A7D62">
        <w:rPr>
          <w:rFonts w:cs="Times New Roman"/>
        </w:rPr>
        <w:t xml:space="preserve">EC 2005, USEPA 2005d, </w:t>
      </w:r>
      <w:r>
        <w:rPr>
          <w:rFonts w:cs="Times New Roman"/>
        </w:rPr>
        <w:t>Gullino et al. 2010).</w:t>
      </w:r>
      <w:r w:rsidRPr="004E0569">
        <w:rPr>
          <w:rFonts w:cs="Times New Roman"/>
        </w:rPr>
        <w:t xml:space="preserve"> Developmental toxicity and effects on the liver have also been observed</w:t>
      </w:r>
      <w:r>
        <w:rPr>
          <w:rFonts w:cs="Times New Roman"/>
        </w:rPr>
        <w:t xml:space="preserve">, and, at high exposure concentrations, </w:t>
      </w:r>
      <w:r w:rsidRPr="004E0569">
        <w:rPr>
          <w:rFonts w:cs="Times New Roman"/>
        </w:rPr>
        <w:t xml:space="preserve">ETU </w:t>
      </w:r>
      <w:r>
        <w:rPr>
          <w:rFonts w:cs="Times New Roman"/>
        </w:rPr>
        <w:t xml:space="preserve">has been linked with </w:t>
      </w:r>
      <w:r w:rsidRPr="004E0569">
        <w:rPr>
          <w:rFonts w:cs="Times New Roman"/>
        </w:rPr>
        <w:t>thyroid adenomas and carcinomas in rats</w:t>
      </w:r>
      <w:r>
        <w:rPr>
          <w:rFonts w:cs="Times New Roman"/>
        </w:rPr>
        <w:t xml:space="preserve"> (</w:t>
      </w:r>
      <w:r w:rsidR="009A7D62">
        <w:rPr>
          <w:rFonts w:cs="Times New Roman"/>
        </w:rPr>
        <w:t xml:space="preserve">USEPA 2005d, </w:t>
      </w:r>
      <w:r>
        <w:rPr>
          <w:rFonts w:cs="Times New Roman"/>
        </w:rPr>
        <w:t>Gullino et al. 2010)</w:t>
      </w:r>
      <w:r w:rsidRPr="004E0569">
        <w:rPr>
          <w:rFonts w:cs="Times New Roman"/>
        </w:rPr>
        <w:t xml:space="preserve">. Based on the </w:t>
      </w:r>
      <w:r w:rsidRPr="004E0569">
        <w:rPr>
          <w:rFonts w:cs="Times New Roman"/>
        </w:rPr>
        <w:t xml:space="preserve">available effects data in mammals, ETU </w:t>
      </w:r>
      <w:r>
        <w:rPr>
          <w:rFonts w:cs="Times New Roman"/>
        </w:rPr>
        <w:t>may be a</w:t>
      </w:r>
      <w:r w:rsidR="0008385A">
        <w:rPr>
          <w:rFonts w:cs="Times New Roman"/>
        </w:rPr>
        <w:t>n</w:t>
      </w:r>
      <w:r>
        <w:rPr>
          <w:rFonts w:cs="Times New Roman"/>
        </w:rPr>
        <w:t xml:space="preserve"> endocrine disruptor (USEPA 2005d).</w:t>
      </w:r>
    </w:p>
    <w:p w14:paraId="3528D6AD" w14:textId="77777777" w:rsidR="00C6521D" w:rsidRPr="00C6521D" w:rsidRDefault="00FB47A6" w:rsidP="00C6521D">
      <w:r>
        <w:t>A</w:t>
      </w:r>
      <w:r w:rsidR="00516712">
        <w:t>c</w:t>
      </w:r>
      <w:r>
        <w:t xml:space="preserve">ute toxicity data for mancozeb are predominantly based on survival, whereas most of the chronic toxicity data are </w:t>
      </w:r>
      <w:r w:rsidR="006475A5">
        <w:t xml:space="preserve">based on </w:t>
      </w:r>
      <w:r w:rsidR="002F2E07">
        <w:t xml:space="preserve">growth and </w:t>
      </w:r>
      <w:r w:rsidR="003F64B9">
        <w:t xml:space="preserve">reproduction </w:t>
      </w:r>
      <w:r w:rsidR="002F2E07">
        <w:t>e</w:t>
      </w:r>
      <w:r w:rsidR="004B29A1">
        <w:t>ndpoints</w:t>
      </w:r>
      <w:r w:rsidR="002F2E07">
        <w:t xml:space="preserve">. </w:t>
      </w:r>
      <w:r w:rsidR="003F64B9">
        <w:t>C</w:t>
      </w:r>
      <w:r w:rsidR="002F2E07">
        <w:t xml:space="preserve">hronic </w:t>
      </w:r>
      <w:r w:rsidR="00B12F56">
        <w:t>toxicity</w:t>
      </w:r>
      <w:r w:rsidR="002F2E07">
        <w:t xml:space="preserve"> </w:t>
      </w:r>
      <w:r w:rsidR="00B12F56">
        <w:t xml:space="preserve">values </w:t>
      </w:r>
      <w:r w:rsidR="002F2E07">
        <w:t>ranged from 1</w:t>
      </w:r>
      <w:r w:rsidR="004B29A1">
        <w:t>.35</w:t>
      </w:r>
      <w:r w:rsidR="000D05D2">
        <w:t> </w:t>
      </w:r>
      <w:r w:rsidR="002F2E07" w:rsidRPr="00391E64">
        <w:t>µg/L</w:t>
      </w:r>
      <w:r w:rsidR="002F2E07">
        <w:t xml:space="preserve"> (</w:t>
      </w:r>
      <w:r w:rsidR="00B12F56">
        <w:t>for</w:t>
      </w:r>
      <w:r w:rsidR="002F2E07">
        <w:t xml:space="preserve"> fathead minnow) </w:t>
      </w:r>
      <w:r w:rsidR="002F2E07" w:rsidRPr="00386CCB">
        <w:t>to 382</w:t>
      </w:r>
      <w:r w:rsidR="000D05D2" w:rsidRPr="00386CCB">
        <w:t> </w:t>
      </w:r>
      <w:r w:rsidR="002F2E07" w:rsidRPr="00386CCB">
        <w:t>113</w:t>
      </w:r>
      <w:r w:rsidR="000D05D2" w:rsidRPr="00386CCB">
        <w:t> </w:t>
      </w:r>
      <w:r w:rsidR="002F2E07" w:rsidRPr="00386CCB">
        <w:rPr>
          <w:rFonts w:cstheme="minorHAnsi"/>
        </w:rPr>
        <w:t>µ</w:t>
      </w:r>
      <w:r w:rsidR="002F2E07" w:rsidRPr="00386CCB">
        <w:t>g/L (</w:t>
      </w:r>
      <w:r w:rsidR="00B12F56">
        <w:t xml:space="preserve">for </w:t>
      </w:r>
      <w:r w:rsidR="002F2E07" w:rsidRPr="00391E64">
        <w:t>red-eyed tree frog</w:t>
      </w:r>
      <w:r w:rsidR="002F2E07">
        <w:t xml:space="preserve">). </w:t>
      </w:r>
      <w:r w:rsidR="00B12F56">
        <w:t>A</w:t>
      </w:r>
      <w:r w:rsidR="002F2E07">
        <w:t xml:space="preserve">cute </w:t>
      </w:r>
      <w:r w:rsidR="00B12F56">
        <w:t>toxicity values</w:t>
      </w:r>
      <w:r w:rsidR="002F2E07">
        <w:t xml:space="preserve"> ranged from 200</w:t>
      </w:r>
      <w:r w:rsidR="004B29A1">
        <w:t> </w:t>
      </w:r>
      <w:r w:rsidR="002F2E07" w:rsidRPr="00391E64">
        <w:t>µg/L</w:t>
      </w:r>
      <w:r w:rsidR="004B29A1">
        <w:t xml:space="preserve"> (</w:t>
      </w:r>
      <w:r w:rsidR="00B12F56">
        <w:t xml:space="preserve">for </w:t>
      </w:r>
      <w:r w:rsidR="004B29A1">
        <w:t>northern le</w:t>
      </w:r>
      <w:r w:rsidR="00B12F56">
        <w:t>o</w:t>
      </w:r>
      <w:r w:rsidR="004B29A1">
        <w:t>pard frog)</w:t>
      </w:r>
      <w:r w:rsidR="002F2E07">
        <w:t xml:space="preserve"> to 24</w:t>
      </w:r>
      <w:r w:rsidR="002F23A2">
        <w:t> </w:t>
      </w:r>
      <w:r w:rsidR="002F2E07">
        <w:t>000</w:t>
      </w:r>
      <w:r w:rsidR="002F23A2">
        <w:t> </w:t>
      </w:r>
      <w:r w:rsidR="002F2E07" w:rsidRPr="00391E64">
        <w:t>µg/L</w:t>
      </w:r>
      <w:r w:rsidR="002F2E07">
        <w:t xml:space="preserve"> (</w:t>
      </w:r>
      <w:r w:rsidR="00B12F56">
        <w:t>for</w:t>
      </w:r>
      <w:r w:rsidR="004B29A1">
        <w:t xml:space="preserve"> carp</w:t>
      </w:r>
      <w:r w:rsidR="002F2E07">
        <w:t xml:space="preserve">). </w:t>
      </w:r>
      <w:r w:rsidR="00EC1464">
        <w:t>Chronic effects in fish</w:t>
      </w:r>
      <w:r w:rsidR="002F2E07">
        <w:t xml:space="preserve">, frogs and </w:t>
      </w:r>
      <w:r w:rsidR="00B12F56">
        <w:t xml:space="preserve">cladocerans </w:t>
      </w:r>
      <w:r w:rsidR="00EC1464">
        <w:t xml:space="preserve">were </w:t>
      </w:r>
      <w:r w:rsidR="00516712">
        <w:t xml:space="preserve">among </w:t>
      </w:r>
      <w:r w:rsidR="00EC1464">
        <w:t>the most sensitive</w:t>
      </w:r>
      <w:r w:rsidR="002F2E07">
        <w:t xml:space="preserve"> effects reported</w:t>
      </w:r>
      <w:r w:rsidR="00EC1464">
        <w:t xml:space="preserve"> </w:t>
      </w:r>
      <w:r w:rsidR="002F2E07">
        <w:t xml:space="preserve">and included: a </w:t>
      </w:r>
      <w:r w:rsidR="002F2E07">
        <w:rPr>
          <w:bCs/>
        </w:rPr>
        <w:t xml:space="preserve">NOEC </w:t>
      </w:r>
      <w:r w:rsidR="00A43C94">
        <w:rPr>
          <w:bCs/>
        </w:rPr>
        <w:t xml:space="preserve">of </w:t>
      </w:r>
      <w:r w:rsidR="00A43C94" w:rsidRPr="00391E64">
        <w:rPr>
          <w:bCs/>
        </w:rPr>
        <w:t xml:space="preserve">1.35 </w:t>
      </w:r>
      <w:r w:rsidR="00A43C94" w:rsidRPr="00391E64">
        <w:t>µg/L</w:t>
      </w:r>
      <w:r w:rsidR="00A43C94">
        <w:rPr>
          <w:bCs/>
        </w:rPr>
        <w:t xml:space="preserve"> </w:t>
      </w:r>
      <w:r w:rsidR="002F2E07">
        <w:rPr>
          <w:bCs/>
        </w:rPr>
        <w:t xml:space="preserve">for the fathead minnow </w:t>
      </w:r>
      <w:r w:rsidR="002F2E07" w:rsidRPr="00A43C94">
        <w:rPr>
          <w:rStyle w:val="Emphasis"/>
        </w:rPr>
        <w:t>P</w:t>
      </w:r>
      <w:r w:rsidR="00D974DA">
        <w:rPr>
          <w:rStyle w:val="Emphasis"/>
        </w:rPr>
        <w:t>.</w:t>
      </w:r>
      <w:r w:rsidR="002F2E07" w:rsidRPr="00391E64">
        <w:rPr>
          <w:bCs/>
          <w:i/>
        </w:rPr>
        <w:t xml:space="preserve"> </w:t>
      </w:r>
      <w:r w:rsidR="002F2E07" w:rsidRPr="00A43C94">
        <w:rPr>
          <w:rStyle w:val="Emphasis"/>
        </w:rPr>
        <w:t>promelas</w:t>
      </w:r>
      <w:r w:rsidR="00A43C94">
        <w:t xml:space="preserve"> </w:t>
      </w:r>
      <w:r w:rsidR="002F2E07" w:rsidRPr="00391E64">
        <w:t>(215</w:t>
      </w:r>
      <w:r w:rsidR="00DF5B88">
        <w:t> </w:t>
      </w:r>
      <w:r w:rsidR="002F2E07" w:rsidRPr="00391E64">
        <w:t>d reproduction) (</w:t>
      </w:r>
      <w:r w:rsidR="00136CF7">
        <w:t xml:space="preserve">USEPA </w:t>
      </w:r>
      <w:r w:rsidR="002F2E07" w:rsidRPr="00391E64">
        <w:t>OPP 2019)</w:t>
      </w:r>
      <w:r w:rsidR="002F2E07">
        <w:t>; a</w:t>
      </w:r>
      <w:r w:rsidR="002F2E07" w:rsidRPr="00391E64">
        <w:t xml:space="preserve"> NOEC of 7</w:t>
      </w:r>
      <w:r w:rsidR="00FA0455">
        <w:t> </w:t>
      </w:r>
      <w:r w:rsidR="002F2E07" w:rsidRPr="00391E64">
        <w:t xml:space="preserve">µg/L for the </w:t>
      </w:r>
      <w:r w:rsidR="00B12F56">
        <w:t>cladoceran</w:t>
      </w:r>
      <w:r w:rsidR="00B12F56" w:rsidRPr="00391E64">
        <w:t xml:space="preserve"> </w:t>
      </w:r>
      <w:r w:rsidR="002F2E07" w:rsidRPr="00FA0455">
        <w:rPr>
          <w:rStyle w:val="Emphasis"/>
        </w:rPr>
        <w:t>Daphnia magna</w:t>
      </w:r>
      <w:r w:rsidR="002F2E07" w:rsidRPr="00391E64">
        <w:t xml:space="preserve"> (21</w:t>
      </w:r>
      <w:r w:rsidR="00DF5B88">
        <w:t> </w:t>
      </w:r>
      <w:r w:rsidR="002F2E07" w:rsidRPr="00391E64">
        <w:t>d reproduction)</w:t>
      </w:r>
      <w:r w:rsidR="002F2E07">
        <w:t xml:space="preserve"> (USEPA OPP</w:t>
      </w:r>
      <w:r w:rsidR="00136CF7">
        <w:t xml:space="preserve"> 2019</w:t>
      </w:r>
      <w:r w:rsidR="002F2E07">
        <w:t>);</w:t>
      </w:r>
      <w:r w:rsidR="002F2E07" w:rsidRPr="00391E64">
        <w:t xml:space="preserve"> </w:t>
      </w:r>
      <w:r w:rsidR="002F2E07">
        <w:t>a</w:t>
      </w:r>
      <w:r w:rsidR="00EC1464">
        <w:t xml:space="preserve"> c</w:t>
      </w:r>
      <w:r>
        <w:t xml:space="preserve">hronic </w:t>
      </w:r>
      <w:r w:rsidRPr="00A06D51">
        <w:t>LOEC</w:t>
      </w:r>
      <w:r w:rsidR="00EC1464" w:rsidRPr="00A06D51">
        <w:t xml:space="preserve"> </w:t>
      </w:r>
      <w:r w:rsidRPr="00A06D51">
        <w:t>of 16</w:t>
      </w:r>
      <w:r w:rsidR="00B73A6A" w:rsidRPr="00A06D51">
        <w:t> </w:t>
      </w:r>
      <w:r w:rsidRPr="00A06D51">
        <w:t xml:space="preserve">µg/L </w:t>
      </w:r>
      <w:r w:rsidR="00B73A6A" w:rsidRPr="00A06D51">
        <w:t xml:space="preserve">for the northern leopard frog </w:t>
      </w:r>
      <w:r w:rsidR="00B73A6A" w:rsidRPr="00A06D51">
        <w:rPr>
          <w:rStyle w:val="Emphasis"/>
        </w:rPr>
        <w:t>Rana</w:t>
      </w:r>
      <w:r w:rsidR="00B73A6A" w:rsidRPr="00B73A6A">
        <w:rPr>
          <w:rStyle w:val="Emphasis"/>
        </w:rPr>
        <w:t xml:space="preserve"> pipiens</w:t>
      </w:r>
      <w:r w:rsidR="00B73A6A" w:rsidRPr="00391E64">
        <w:t xml:space="preserve"> </w:t>
      </w:r>
      <w:r w:rsidRPr="00391E64">
        <w:t>(49</w:t>
      </w:r>
      <w:r w:rsidR="00DF5B88">
        <w:t> </w:t>
      </w:r>
      <w:r w:rsidRPr="00391E64">
        <w:t>d growth) (Shenoy et al. 2009)</w:t>
      </w:r>
      <w:r w:rsidR="00B73A6A">
        <w:t>;</w:t>
      </w:r>
      <w:r w:rsidRPr="00391E64">
        <w:t xml:space="preserve"> and a</w:t>
      </w:r>
      <w:r w:rsidR="00B73A6A">
        <w:t>n</w:t>
      </w:r>
      <w:r w:rsidRPr="00391E64">
        <w:t xml:space="preserve"> LC50 of 23</w:t>
      </w:r>
      <w:r w:rsidR="00B73A6A">
        <w:t> </w:t>
      </w:r>
      <w:r w:rsidRPr="00391E64">
        <w:t xml:space="preserve">µg/L for the green frog </w:t>
      </w:r>
      <w:r w:rsidRPr="00B73A6A">
        <w:rPr>
          <w:rStyle w:val="Emphasis"/>
        </w:rPr>
        <w:t>Rana clamitans</w:t>
      </w:r>
      <w:r w:rsidRPr="00391E64">
        <w:t xml:space="preserve"> (13</w:t>
      </w:r>
      <w:r w:rsidR="00DF5B88">
        <w:t> </w:t>
      </w:r>
      <w:r w:rsidRPr="00391E64">
        <w:t xml:space="preserve">d survival) (Harris et al. 1998). </w:t>
      </w:r>
      <w:r w:rsidR="004B29A1">
        <w:t xml:space="preserve">The least sensitive </w:t>
      </w:r>
      <w:r w:rsidR="00B12F56">
        <w:t>species was</w:t>
      </w:r>
      <w:r w:rsidR="004B29A1">
        <w:t xml:space="preserve"> the</w:t>
      </w:r>
      <w:r w:rsidRPr="00391E64">
        <w:t xml:space="preserve"> red-eyed tree frog</w:t>
      </w:r>
      <w:r w:rsidRPr="0052121F">
        <w:t xml:space="preserve"> </w:t>
      </w:r>
      <w:r w:rsidRPr="00E07FA9">
        <w:rPr>
          <w:rStyle w:val="Emphasis"/>
        </w:rPr>
        <w:t>Agalychnis callidryas</w:t>
      </w:r>
      <w:r w:rsidR="00B12F56">
        <w:t xml:space="preserve">, with an </w:t>
      </w:r>
      <w:r w:rsidRPr="00391E64">
        <w:t>LC50 of 382</w:t>
      </w:r>
      <w:r w:rsidR="00E07FA9">
        <w:t> </w:t>
      </w:r>
      <w:r w:rsidRPr="00391E64">
        <w:t>113</w:t>
      </w:r>
      <w:r w:rsidR="00342977">
        <w:t> </w:t>
      </w:r>
      <w:r w:rsidR="00E07FA9">
        <w:rPr>
          <w:rFonts w:cstheme="minorHAnsi"/>
        </w:rPr>
        <w:t>µ</w:t>
      </w:r>
      <w:r w:rsidRPr="00391E64">
        <w:t>g/L</w:t>
      </w:r>
      <w:r w:rsidR="00B12F56">
        <w:t xml:space="preserve"> (</w:t>
      </w:r>
      <w:r w:rsidR="00B12F56" w:rsidRPr="00391E64">
        <w:t>8</w:t>
      </w:r>
      <w:r w:rsidR="00DF5B88">
        <w:t> </w:t>
      </w:r>
      <w:r w:rsidR="00B12F56" w:rsidRPr="00391E64">
        <w:t xml:space="preserve">d </w:t>
      </w:r>
      <w:r w:rsidR="00B12F56">
        <w:t xml:space="preserve">tadpole </w:t>
      </w:r>
      <w:r w:rsidR="00B12F56" w:rsidRPr="00391E64">
        <w:t>survival</w:t>
      </w:r>
      <w:r w:rsidRPr="00391E64">
        <w:t>)</w:t>
      </w:r>
      <w:r w:rsidR="00B12F56">
        <w:t xml:space="preserve"> </w:t>
      </w:r>
      <w:r w:rsidR="00B12F56" w:rsidRPr="00391E64">
        <w:t>(Ghose et al. 2014)</w:t>
      </w:r>
      <w:r w:rsidR="00B12F56">
        <w:t>.</w:t>
      </w:r>
      <w:r w:rsidR="00B12F56" w:rsidRPr="00391E64">
        <w:t xml:space="preserve"> </w:t>
      </w:r>
      <w:r w:rsidR="00B12F56">
        <w:t>H</w:t>
      </w:r>
      <w:r w:rsidR="00B12F56" w:rsidRPr="00391E64">
        <w:t>owever</w:t>
      </w:r>
      <w:r w:rsidR="00B12F56">
        <w:t>,</w:t>
      </w:r>
      <w:r w:rsidRPr="00391E64">
        <w:t xml:space="preserve"> as the concentration was greater than two times the solubility (2</w:t>
      </w:r>
      <w:r w:rsidR="00F47D0E">
        <w:t>–</w:t>
      </w:r>
      <w:r w:rsidRPr="00391E64">
        <w:t>20</w:t>
      </w:r>
      <w:r w:rsidR="00F47D0E">
        <w:t> </w:t>
      </w:r>
      <w:r w:rsidRPr="00391E64">
        <w:t>mg/L) of mancozeb</w:t>
      </w:r>
      <w:r w:rsidR="00B12F56">
        <w:t>,</w:t>
      </w:r>
      <w:r w:rsidRPr="00391E64">
        <w:t xml:space="preserve"> the study was excluded</w:t>
      </w:r>
      <w:r w:rsidR="00B12F56">
        <w:t xml:space="preserve"> from the </w:t>
      </w:r>
      <w:r w:rsidR="00D974DA">
        <w:t xml:space="preserve">current </w:t>
      </w:r>
      <w:r w:rsidR="00B12F56">
        <w:t>DGV</w:t>
      </w:r>
      <w:r w:rsidR="00D974DA">
        <w:t>s</w:t>
      </w:r>
      <w:r w:rsidR="00B12F56">
        <w:t xml:space="preserve"> derivation</w:t>
      </w:r>
      <w:r w:rsidRPr="00391E64">
        <w:t xml:space="preserve">. </w:t>
      </w:r>
    </w:p>
    <w:p w14:paraId="3528D6AE" w14:textId="77777777" w:rsidR="007C3433" w:rsidRDefault="00FB47A6" w:rsidP="00896582">
      <w:r>
        <w:t>T</w:t>
      </w:r>
      <w:r w:rsidRPr="00674CE3">
        <w:t>oxic</w:t>
      </w:r>
      <w:r w:rsidRPr="00674CE3">
        <w:t xml:space="preserve">ity studies </w:t>
      </w:r>
      <w:r>
        <w:t>that used</w:t>
      </w:r>
      <w:r w:rsidRPr="00674CE3">
        <w:t xml:space="preserve"> formulations containing mancozeb as the active ingredient</w:t>
      </w:r>
      <w:r>
        <w:t xml:space="preserve"> </w:t>
      </w:r>
      <w:r w:rsidRPr="00674CE3">
        <w:t>include</w:t>
      </w:r>
      <w:r>
        <w:t>d</w:t>
      </w:r>
      <w:r w:rsidRPr="00674CE3">
        <w:t xml:space="preserve"> a carrier solvent and, in some cases, other proprietary ingredients, for which the combined toxicity is not well understood. Accordingly, such studies are typically no</w:t>
      </w:r>
      <w:r w:rsidRPr="00674CE3">
        <w:t xml:space="preserve">t </w:t>
      </w:r>
      <w:r w:rsidRPr="00C6521D">
        <w:t xml:space="preserve">appropriate </w:t>
      </w:r>
      <w:r w:rsidR="00876F8B">
        <w:t>to</w:t>
      </w:r>
      <w:r w:rsidR="00876F8B" w:rsidRPr="00C6521D">
        <w:t xml:space="preserve"> </w:t>
      </w:r>
      <w:r w:rsidRPr="00C6521D">
        <w:t>inclu</w:t>
      </w:r>
      <w:r w:rsidR="00876F8B">
        <w:t>de</w:t>
      </w:r>
      <w:r w:rsidRPr="00C6521D">
        <w:t xml:space="preserve"> in the derivation of guideline values for active ingredients.</w:t>
      </w:r>
      <w:r>
        <w:t xml:space="preserve"> </w:t>
      </w:r>
      <w:r w:rsidR="00373509">
        <w:t xml:space="preserve">These studies included fish, frogs, a toad, invertebrates and plants (green algae and cyanobacteria). </w:t>
      </w:r>
    </w:p>
    <w:p w14:paraId="3528D6AF" w14:textId="77777777" w:rsidR="00A47617" w:rsidRPr="00AE7845" w:rsidRDefault="00FB47A6" w:rsidP="00A47617">
      <w:pPr>
        <w:pStyle w:val="Heading2"/>
      </w:pPr>
      <w:bookmarkStart w:id="11" w:name="_Toc68188164"/>
      <w:r>
        <w:t>Factors affecting toxicity</w:t>
      </w:r>
      <w:bookmarkEnd w:id="11"/>
    </w:p>
    <w:p w14:paraId="3528D6B0" w14:textId="77777777" w:rsidR="000C0DD0" w:rsidRDefault="00FB47A6" w:rsidP="000C0DD0">
      <w:pPr>
        <w:rPr>
          <w:bCs/>
        </w:rPr>
      </w:pPr>
      <w:r>
        <w:rPr>
          <w:bCs/>
        </w:rPr>
        <w:t>P</w:t>
      </w:r>
      <w:r w:rsidR="005951B0">
        <w:rPr>
          <w:bCs/>
        </w:rPr>
        <w:t>hysico-chemical variables such as light, temperature and pH affect the conversion of mancozeb to ETU and other degra</w:t>
      </w:r>
      <w:r w:rsidR="00FA0138">
        <w:rPr>
          <w:bCs/>
        </w:rPr>
        <w:t>d</w:t>
      </w:r>
      <w:r w:rsidR="005951B0">
        <w:rPr>
          <w:bCs/>
        </w:rPr>
        <w:t>ation products (</w:t>
      </w:r>
      <w:r w:rsidR="005951B0" w:rsidRPr="00DA0CEE">
        <w:rPr>
          <w:lang w:val="en-GB"/>
        </w:rPr>
        <w:t>L</w:t>
      </w:r>
      <w:r w:rsidR="00D469D5">
        <w:rPr>
          <w:lang w:val="en-GB"/>
        </w:rPr>
        <w:t>ó</w:t>
      </w:r>
      <w:r w:rsidR="005951B0" w:rsidRPr="00DA0CEE">
        <w:rPr>
          <w:lang w:val="en-GB"/>
        </w:rPr>
        <w:t>pez-Fern</w:t>
      </w:r>
      <w:r w:rsidR="00D469D5">
        <w:rPr>
          <w:lang w:val="en-GB"/>
        </w:rPr>
        <w:t>á</w:t>
      </w:r>
      <w:r w:rsidR="005951B0" w:rsidRPr="00DA0CEE">
        <w:rPr>
          <w:lang w:val="en-GB"/>
        </w:rPr>
        <w:t xml:space="preserve">ndez </w:t>
      </w:r>
      <w:r w:rsidR="005951B0">
        <w:rPr>
          <w:lang w:val="en-GB"/>
        </w:rPr>
        <w:t>et al. 2016</w:t>
      </w:r>
      <w:r w:rsidR="001427EF">
        <w:rPr>
          <w:lang w:val="en-GB"/>
        </w:rPr>
        <w:t>, 2017</w:t>
      </w:r>
      <w:r>
        <w:rPr>
          <w:lang w:val="en-GB"/>
        </w:rPr>
        <w:t>)</w:t>
      </w:r>
      <w:r>
        <w:rPr>
          <w:bCs/>
        </w:rPr>
        <w:t xml:space="preserve">. </w:t>
      </w:r>
      <w:r w:rsidRPr="00DA0CEE">
        <w:rPr>
          <w:lang w:val="en-GB"/>
        </w:rPr>
        <w:t>L</w:t>
      </w:r>
      <w:r>
        <w:rPr>
          <w:lang w:val="en-GB"/>
        </w:rPr>
        <w:t>ó</w:t>
      </w:r>
      <w:r w:rsidRPr="00DA0CEE">
        <w:rPr>
          <w:lang w:val="en-GB"/>
        </w:rPr>
        <w:t>pez-Fern</w:t>
      </w:r>
      <w:r>
        <w:rPr>
          <w:lang w:val="en-GB"/>
        </w:rPr>
        <w:t>á</w:t>
      </w:r>
      <w:r w:rsidRPr="00DA0CEE">
        <w:rPr>
          <w:lang w:val="en-GB"/>
        </w:rPr>
        <w:t xml:space="preserve">ndez </w:t>
      </w:r>
      <w:r>
        <w:rPr>
          <w:lang w:val="en-GB"/>
        </w:rPr>
        <w:t xml:space="preserve">et al. (2017) found that mancozeb </w:t>
      </w:r>
      <w:r w:rsidR="00102A82">
        <w:rPr>
          <w:lang w:val="en-GB"/>
        </w:rPr>
        <w:t>degradation</w:t>
      </w:r>
      <w:r>
        <w:rPr>
          <w:lang w:val="en-GB"/>
        </w:rPr>
        <w:t xml:space="preserve"> was </w:t>
      </w:r>
      <w:r w:rsidR="00D876CF">
        <w:rPr>
          <w:lang w:val="en-GB"/>
        </w:rPr>
        <w:t xml:space="preserve">fast under all the conditions they studied, but was </w:t>
      </w:r>
      <w:r>
        <w:rPr>
          <w:lang w:val="en-GB"/>
        </w:rPr>
        <w:t>faster at lower pH</w:t>
      </w:r>
      <w:r w:rsidR="00D876CF">
        <w:rPr>
          <w:lang w:val="en-GB"/>
        </w:rPr>
        <w:t xml:space="preserve">, </w:t>
      </w:r>
      <w:r>
        <w:rPr>
          <w:lang w:val="en-GB"/>
        </w:rPr>
        <w:t>higher temperature</w:t>
      </w:r>
      <w:r w:rsidR="00D876CF">
        <w:rPr>
          <w:lang w:val="en-GB"/>
        </w:rPr>
        <w:t xml:space="preserve"> and in the presence of light</w:t>
      </w:r>
      <w:r>
        <w:rPr>
          <w:lang w:val="en-GB"/>
        </w:rPr>
        <w:t xml:space="preserve">. </w:t>
      </w:r>
      <w:r w:rsidR="00D739CF">
        <w:rPr>
          <w:lang w:val="en-GB"/>
        </w:rPr>
        <w:t>As mancozeb is thought to be more toxic to aquatic biota than ETU</w:t>
      </w:r>
      <w:r w:rsidR="00D876CF">
        <w:rPr>
          <w:lang w:val="en-GB"/>
        </w:rPr>
        <w:t xml:space="preserve">, it could be hypothesised that </w:t>
      </w:r>
      <w:r w:rsidR="00C717F8">
        <w:rPr>
          <w:lang w:val="en-GB"/>
        </w:rPr>
        <w:t xml:space="preserve">the above-mentioned environmental conditions </w:t>
      </w:r>
      <w:r w:rsidR="00D876CF">
        <w:rPr>
          <w:lang w:val="en-GB"/>
        </w:rPr>
        <w:t xml:space="preserve">would reduce the toxicity of mancozeb to freshwater biota, although </w:t>
      </w:r>
      <w:r w:rsidR="0024128D">
        <w:rPr>
          <w:lang w:val="en-GB"/>
        </w:rPr>
        <w:t>no studies have assessed this</w:t>
      </w:r>
      <w:r w:rsidR="00D876CF">
        <w:rPr>
          <w:lang w:val="en-GB"/>
        </w:rPr>
        <w:t xml:space="preserve">. </w:t>
      </w:r>
      <w:r w:rsidR="00AA5E39">
        <w:rPr>
          <w:lang w:val="en-GB"/>
        </w:rPr>
        <w:t xml:space="preserve">Moreover, other environmental </w:t>
      </w:r>
      <w:r w:rsidR="00D974DA">
        <w:rPr>
          <w:lang w:val="en-GB"/>
        </w:rPr>
        <w:t xml:space="preserve">and </w:t>
      </w:r>
      <w:r w:rsidR="00AA5E39">
        <w:rPr>
          <w:lang w:val="en-GB"/>
        </w:rPr>
        <w:t>physico-chemical factors may limit the degradation of mancozeb (e.g. via adsorption to sediment</w:t>
      </w:r>
      <w:r w:rsidR="00D974DA">
        <w:rPr>
          <w:lang w:val="en-GB"/>
        </w:rPr>
        <w:t xml:space="preserve"> </w:t>
      </w:r>
      <w:r w:rsidR="008757B1">
        <w:rPr>
          <w:lang w:val="en-GB"/>
        </w:rPr>
        <w:t>(</w:t>
      </w:r>
      <w:r w:rsidR="00AA5E39" w:rsidRPr="00391E64">
        <w:rPr>
          <w:rFonts w:cs="Times New Roman"/>
        </w:rPr>
        <w:t>USEPA 2005c, 2005d</w:t>
      </w:r>
      <w:r w:rsidR="00AA5E39">
        <w:rPr>
          <w:rFonts w:cs="Times New Roman"/>
        </w:rPr>
        <w:t>,</w:t>
      </w:r>
      <w:r w:rsidR="00AA5E39" w:rsidRPr="00391E64">
        <w:rPr>
          <w:rFonts w:cs="Times New Roman"/>
        </w:rPr>
        <w:t xml:space="preserve"> Ruhman et al. 2011</w:t>
      </w:r>
      <w:r w:rsidR="008757B1">
        <w:rPr>
          <w:rFonts w:cs="Times New Roman"/>
        </w:rPr>
        <w:t>)</w:t>
      </w:r>
      <w:r w:rsidR="00AA5E39">
        <w:rPr>
          <w:lang w:val="en-GB"/>
        </w:rPr>
        <w:t>).</w:t>
      </w:r>
    </w:p>
    <w:p w14:paraId="3528D6B1" w14:textId="77777777" w:rsidR="00BF0280" w:rsidRDefault="00FB47A6" w:rsidP="00A47617">
      <w:pPr>
        <w:pStyle w:val="Heading2"/>
      </w:pPr>
      <w:bookmarkStart w:id="12" w:name="_Toc68188165"/>
      <w:r>
        <w:t>Default guideline value derivation</w:t>
      </w:r>
      <w:bookmarkEnd w:id="12"/>
    </w:p>
    <w:p w14:paraId="3528D6B2" w14:textId="77777777" w:rsidR="00A47617" w:rsidRDefault="00FB47A6" w:rsidP="00A47617">
      <w:sdt>
        <w:sdtPr>
          <w:alias w:val="Compulsary - text and location locked to 4."/>
          <w:tag w:val="Compulsary - text and location locked"/>
          <w:id w:val="1416975399"/>
          <w:placeholder>
            <w:docPart w:val="B20CCC024575420DB346A2897E1BFAA1"/>
          </w:placeholder>
          <w:text/>
        </w:sdtPr>
        <w:sdtEndPr/>
        <w:sdtContent>
          <w:r w:rsidR="00CA4A82" w:rsidRPr="009E02B0">
            <w:t>The DGVs were derived in accordance with the method described in Warne et al. (2018) and using Burrlioz 2.0 software.</w:t>
          </w:r>
        </w:sdtContent>
      </w:sdt>
    </w:p>
    <w:p w14:paraId="3528D6B3" w14:textId="77777777" w:rsidR="00BF0280" w:rsidRPr="00492EBF" w:rsidRDefault="00FB47A6" w:rsidP="001303C0">
      <w:pPr>
        <w:pStyle w:val="Heading3"/>
      </w:pPr>
      <w:bookmarkStart w:id="13" w:name="_Toc68188166"/>
      <w:r w:rsidRPr="00492EBF">
        <w:t>Toxicity data used in derivation</w:t>
      </w:r>
      <w:bookmarkEnd w:id="13"/>
    </w:p>
    <w:p w14:paraId="3528D6B4" w14:textId="77777777" w:rsidR="001303C0" w:rsidRPr="00492EBF" w:rsidRDefault="00FB47A6" w:rsidP="001303C0">
      <w:pPr>
        <w:spacing w:before="240"/>
      </w:pPr>
      <w:r w:rsidRPr="00492EBF">
        <w:t xml:space="preserve">A summary of the toxicity data (one value per species) </w:t>
      </w:r>
      <w:r w:rsidR="00C62C23" w:rsidRPr="00492EBF">
        <w:t xml:space="preserve">and conversions </w:t>
      </w:r>
      <w:r w:rsidRPr="00492EBF">
        <w:t xml:space="preserve">used to calculate the DGVs for </w:t>
      </w:r>
      <w:r w:rsidR="00492EBF" w:rsidRPr="00492EBF">
        <w:t>mancozeb</w:t>
      </w:r>
      <w:r w:rsidR="00542F9A" w:rsidRPr="00492EBF">
        <w:t xml:space="preserve"> </w:t>
      </w:r>
      <w:r w:rsidRPr="00492EBF">
        <w:t xml:space="preserve">in freshwater is provided in </w:t>
      </w:r>
      <w:r w:rsidR="00822C7A">
        <w:fldChar w:fldCharType="begin"/>
      </w:r>
      <w:r w:rsidR="00822C7A">
        <w:instrText xml:space="preserve"> REF _Ref55902765 \h </w:instrText>
      </w:r>
      <w:r w:rsidR="00822C7A">
        <w:fldChar w:fldCharType="separate"/>
      </w:r>
      <w:r w:rsidR="00E747AE">
        <w:t>Table </w:t>
      </w:r>
      <w:r w:rsidR="00E747AE">
        <w:rPr>
          <w:noProof/>
        </w:rPr>
        <w:t>1</w:t>
      </w:r>
      <w:r w:rsidR="00822C7A">
        <w:fldChar w:fldCharType="end"/>
      </w:r>
      <w:r w:rsidRPr="00492EBF">
        <w:t xml:space="preserve">. Further details on </w:t>
      </w:r>
      <w:r w:rsidRPr="00492EBF">
        <w:t xml:space="preserve">the data that passed the screening and quality assurance schemes, including those used to derive the single species values used to calculate the DGVs, are presented in </w:t>
      </w:r>
      <w:r w:rsidR="00D97894">
        <w:fldChar w:fldCharType="begin"/>
      </w:r>
      <w:r w:rsidR="00D97894">
        <w:instrText xml:space="preserve"> REF _Ref55903760 \h </w:instrText>
      </w:r>
      <w:r w:rsidR="00D97894">
        <w:fldChar w:fldCharType="separate"/>
      </w:r>
      <w:r w:rsidR="00E747AE">
        <w:t>Appendix </w:t>
      </w:r>
      <w:r w:rsidR="00E747AE" w:rsidRPr="005B156B">
        <w:t>A: Toxicity data that passed the screening and quality assessment</w:t>
      </w:r>
      <w:r w:rsidR="00E747AE">
        <w:t xml:space="preserve"> and were used to derive the default guideline values</w:t>
      </w:r>
      <w:r w:rsidR="00D97894">
        <w:fldChar w:fldCharType="end"/>
      </w:r>
      <w:r w:rsidRPr="00A63269">
        <w:t>.</w:t>
      </w:r>
      <w:r w:rsidR="00886AB4">
        <w:t xml:space="preserve"> Details of the </w:t>
      </w:r>
      <w:hyperlink r:id="rId24" w:history="1">
        <w:r w:rsidR="00886AB4" w:rsidRPr="00550212">
          <w:rPr>
            <w:rStyle w:val="Hyperlink"/>
          </w:rPr>
          <w:t>data quality assessment</w:t>
        </w:r>
      </w:hyperlink>
      <w:r w:rsidR="00886AB4">
        <w:t xml:space="preserve"> and </w:t>
      </w:r>
      <w:r w:rsidR="00AC38F8">
        <w:t xml:space="preserve">all </w:t>
      </w:r>
      <w:r w:rsidR="00886AB4">
        <w:t xml:space="preserve">the </w:t>
      </w:r>
      <w:hyperlink r:id="rId25" w:history="1">
        <w:r w:rsidR="00886AB4" w:rsidRPr="00550212">
          <w:rPr>
            <w:rStyle w:val="Hyperlink"/>
          </w:rPr>
          <w:t>data that passed the quality assessment</w:t>
        </w:r>
      </w:hyperlink>
      <w:r w:rsidR="00886AB4">
        <w:t xml:space="preserve"> are provided as supporting information.</w:t>
      </w:r>
    </w:p>
    <w:p w14:paraId="3528D6B5" w14:textId="77777777" w:rsidR="00542F9A" w:rsidRPr="00391E64" w:rsidRDefault="00FB47A6" w:rsidP="00542F9A">
      <w:r w:rsidRPr="00492EBF">
        <w:t xml:space="preserve">Only data for </w:t>
      </w:r>
      <w:r w:rsidR="00492EBF" w:rsidRPr="00492EBF">
        <w:t xml:space="preserve">mancozeb </w:t>
      </w:r>
      <w:r w:rsidRPr="00492EBF">
        <w:t xml:space="preserve">were used. Results from toxicity testing using insecticide formulations containing </w:t>
      </w:r>
      <w:r w:rsidR="00492EBF" w:rsidRPr="00492EBF">
        <w:t>mancozeb</w:t>
      </w:r>
      <w:r w:rsidRPr="00492EBF">
        <w:t xml:space="preserve"> as the active ingredient were excluded from the DGV because the toxicity of the carrier solvent (and other ingredients where stated) was not known. </w:t>
      </w:r>
      <w:r w:rsidR="00DF7310">
        <w:t>R</w:t>
      </w:r>
      <w:r w:rsidRPr="00492EBF">
        <w:t xml:space="preserve">esults from studies </w:t>
      </w:r>
      <w:r w:rsidRPr="00D27848">
        <w:t xml:space="preserve">where the purity was not known or was less than 80% were excluded. </w:t>
      </w:r>
      <w:r w:rsidR="00980EB4" w:rsidRPr="00D27848">
        <w:t xml:space="preserve">For example, </w:t>
      </w:r>
      <w:r w:rsidR="00980EB4" w:rsidRPr="00391E64">
        <w:rPr>
          <w:color w:val="000000" w:themeColor="text1"/>
        </w:rPr>
        <w:t xml:space="preserve">chronic toxicity data for </w:t>
      </w:r>
      <w:r w:rsidR="006A4CB1" w:rsidRPr="00391E64">
        <w:rPr>
          <w:color w:val="000000" w:themeColor="text1"/>
        </w:rPr>
        <w:t xml:space="preserve">two frog species, the </w:t>
      </w:r>
      <w:r w:rsidR="008B4FE0" w:rsidRPr="00391E64">
        <w:rPr>
          <w:color w:val="000000" w:themeColor="text1"/>
        </w:rPr>
        <w:t xml:space="preserve">green </w:t>
      </w:r>
      <w:r w:rsidR="006A4CB1" w:rsidRPr="00391E64">
        <w:rPr>
          <w:color w:val="000000" w:themeColor="text1"/>
        </w:rPr>
        <w:t>frog (mortality LC50 of 200</w:t>
      </w:r>
      <w:r w:rsidR="008B4FE0">
        <w:rPr>
          <w:color w:val="000000" w:themeColor="text1"/>
        </w:rPr>
        <w:t> </w:t>
      </w:r>
      <w:r w:rsidR="006A4CB1" w:rsidRPr="00391E64">
        <w:t xml:space="preserve">µg/L after </w:t>
      </w:r>
      <w:r w:rsidR="008B4FE0">
        <w:t>13</w:t>
      </w:r>
      <w:r w:rsidR="00DF5B88">
        <w:t> </w:t>
      </w:r>
      <w:r w:rsidR="008B4FE0">
        <w:t xml:space="preserve">d </w:t>
      </w:r>
      <w:r w:rsidR="006A4CB1" w:rsidRPr="00391E64">
        <w:t xml:space="preserve">exposure) and the </w:t>
      </w:r>
      <w:r w:rsidR="008B4FE0" w:rsidRPr="00391E64">
        <w:t>northern leopard</w:t>
      </w:r>
      <w:r w:rsidR="006A4CB1" w:rsidRPr="00391E64">
        <w:t xml:space="preserve"> frog</w:t>
      </w:r>
      <w:r w:rsidR="006A4CB1" w:rsidRPr="00391E64">
        <w:rPr>
          <w:color w:val="000000" w:themeColor="text1"/>
        </w:rPr>
        <w:t xml:space="preserve"> (growth </w:t>
      </w:r>
      <w:r w:rsidR="00BA21E8" w:rsidRPr="00391E64">
        <w:rPr>
          <w:color w:val="000000" w:themeColor="text1"/>
        </w:rPr>
        <w:t>LOEC of 16</w:t>
      </w:r>
      <w:r w:rsidR="008B4FE0">
        <w:rPr>
          <w:color w:val="000000" w:themeColor="text1"/>
        </w:rPr>
        <w:t> </w:t>
      </w:r>
      <w:r w:rsidR="00BA21E8" w:rsidRPr="00391E64">
        <w:t>µg/L after 49</w:t>
      </w:r>
      <w:r w:rsidR="00DF5B88">
        <w:t> </w:t>
      </w:r>
      <w:r w:rsidR="008B4FE0">
        <w:t>d exposure</w:t>
      </w:r>
      <w:r w:rsidR="00BA21E8" w:rsidRPr="00391E64">
        <w:t>)</w:t>
      </w:r>
      <w:r w:rsidR="00980EB4" w:rsidRPr="00391E64">
        <w:rPr>
          <w:color w:val="000000" w:themeColor="text1"/>
        </w:rPr>
        <w:t>, were excluded from the DGV derivation because the test chemical</w:t>
      </w:r>
      <w:r w:rsidR="008B4FE0">
        <w:rPr>
          <w:color w:val="000000" w:themeColor="text1"/>
        </w:rPr>
        <w:t>s</w:t>
      </w:r>
      <w:r w:rsidR="00980EB4" w:rsidRPr="00391E64">
        <w:rPr>
          <w:color w:val="000000" w:themeColor="text1"/>
        </w:rPr>
        <w:t xml:space="preserve"> </w:t>
      </w:r>
      <w:r w:rsidR="00BA21E8" w:rsidRPr="00391E64">
        <w:rPr>
          <w:color w:val="000000" w:themeColor="text1"/>
        </w:rPr>
        <w:t>used were formulations</w:t>
      </w:r>
      <w:r w:rsidR="00DC2484">
        <w:rPr>
          <w:color w:val="000000" w:themeColor="text1"/>
        </w:rPr>
        <w:t xml:space="preserve"> (Harris et al. 1998,</w:t>
      </w:r>
      <w:r w:rsidR="00391EA5" w:rsidRPr="00391E64">
        <w:rPr>
          <w:color w:val="000000" w:themeColor="text1"/>
        </w:rPr>
        <w:t xml:space="preserve"> Shenoy et al. 2009)</w:t>
      </w:r>
      <w:r w:rsidR="00980EB4" w:rsidRPr="00391E64">
        <w:rPr>
          <w:color w:val="000000" w:themeColor="text1"/>
        </w:rPr>
        <w:t>.</w:t>
      </w:r>
      <w:r w:rsidR="00E30A3D">
        <w:rPr>
          <w:color w:val="000000" w:themeColor="text1"/>
        </w:rPr>
        <w:t xml:space="preserve"> </w:t>
      </w:r>
      <w:r w:rsidR="008B4FE0">
        <w:rPr>
          <w:color w:val="000000" w:themeColor="text1"/>
        </w:rPr>
        <w:t>A</w:t>
      </w:r>
      <w:r w:rsidR="00E30A3D" w:rsidRPr="00391E64">
        <w:rPr>
          <w:color w:val="000000" w:themeColor="text1"/>
        </w:rPr>
        <w:t xml:space="preserve">cute </w:t>
      </w:r>
      <w:r w:rsidR="00980EB4" w:rsidRPr="00391E64">
        <w:rPr>
          <w:color w:val="000000" w:themeColor="text1"/>
        </w:rPr>
        <w:t xml:space="preserve">toxicity data for </w:t>
      </w:r>
      <w:r w:rsidR="00DB5429" w:rsidRPr="00391E64">
        <w:rPr>
          <w:color w:val="000000" w:themeColor="text1"/>
        </w:rPr>
        <w:t>five</w:t>
      </w:r>
      <w:r w:rsidR="00980EB4" w:rsidRPr="00391E64">
        <w:rPr>
          <w:color w:val="000000" w:themeColor="text1"/>
        </w:rPr>
        <w:t xml:space="preserve"> species were excluded because </w:t>
      </w:r>
      <w:r w:rsidR="00DF7310">
        <w:rPr>
          <w:color w:val="000000" w:themeColor="text1"/>
        </w:rPr>
        <w:t>of testing using</w:t>
      </w:r>
      <w:r w:rsidR="00DF7310" w:rsidRPr="00391E64">
        <w:rPr>
          <w:color w:val="000000" w:themeColor="text1"/>
        </w:rPr>
        <w:t xml:space="preserve"> </w:t>
      </w:r>
      <w:r w:rsidR="00B93D7E" w:rsidRPr="00391E64">
        <w:rPr>
          <w:color w:val="000000" w:themeColor="text1"/>
        </w:rPr>
        <w:t>formulation</w:t>
      </w:r>
      <w:r w:rsidR="00E30A3D">
        <w:rPr>
          <w:color w:val="000000" w:themeColor="text1"/>
        </w:rPr>
        <w:t>s</w:t>
      </w:r>
      <w:r w:rsidR="00980EB4" w:rsidRPr="00391E64">
        <w:rPr>
          <w:color w:val="000000" w:themeColor="text1"/>
        </w:rPr>
        <w:t xml:space="preserve">. </w:t>
      </w:r>
    </w:p>
    <w:p w14:paraId="3528D6B6" w14:textId="77777777" w:rsidR="00542F9A" w:rsidRPr="008A7ACC" w:rsidRDefault="00FB47A6" w:rsidP="00542F9A">
      <w:r w:rsidRPr="00391E64">
        <w:t xml:space="preserve">The purity of </w:t>
      </w:r>
      <w:r>
        <w:t>mancozeb</w:t>
      </w:r>
      <w:r w:rsidRPr="00391E64">
        <w:t xml:space="preserve"> in the studies used to calculate the DGVs was greater than 80%.</w:t>
      </w:r>
      <w:r>
        <w:t xml:space="preserve"> </w:t>
      </w:r>
      <w:r w:rsidRPr="00391E64">
        <w:t xml:space="preserve">Where only one </w:t>
      </w:r>
      <w:r w:rsidR="006475A5">
        <w:t>toxicity value</w:t>
      </w:r>
      <w:r w:rsidR="006475A5" w:rsidRPr="00391E64">
        <w:t xml:space="preserve"> </w:t>
      </w:r>
      <w:r w:rsidRPr="00391E64">
        <w:t xml:space="preserve">was available for a species, that </w:t>
      </w:r>
      <w:r w:rsidR="006475A5">
        <w:t>value</w:t>
      </w:r>
      <w:r w:rsidR="006475A5" w:rsidRPr="00391E64">
        <w:t xml:space="preserve"> </w:t>
      </w:r>
      <w:r w:rsidRPr="00391E64">
        <w:t xml:space="preserve">was used </w:t>
      </w:r>
      <w:r w:rsidR="00BC507C">
        <w:t>to calculate</w:t>
      </w:r>
      <w:r w:rsidRPr="00391E64">
        <w:t xml:space="preserve"> the </w:t>
      </w:r>
      <w:r w:rsidR="00E30A3D">
        <w:t>species sensitivity distribution (</w:t>
      </w:r>
      <w:r w:rsidRPr="00391E64">
        <w:t>SSD</w:t>
      </w:r>
      <w:r w:rsidR="00E30A3D">
        <w:t>)</w:t>
      </w:r>
      <w:r w:rsidRPr="00391E64">
        <w:t xml:space="preserve">. For species with more than one </w:t>
      </w:r>
      <w:r w:rsidR="006475A5">
        <w:t>toxicity value</w:t>
      </w:r>
      <w:r w:rsidR="006475A5" w:rsidRPr="00391E64">
        <w:t xml:space="preserve"> </w:t>
      </w:r>
      <w:r w:rsidRPr="00391E64">
        <w:t>available</w:t>
      </w:r>
      <w:r w:rsidRPr="00391E64">
        <w:t xml:space="preserve">, the data selected for the SSD was in accordance </w:t>
      </w:r>
      <w:r w:rsidR="00E30A3D">
        <w:t>with</w:t>
      </w:r>
      <w:r w:rsidR="00E30A3D" w:rsidRPr="00391E64">
        <w:t xml:space="preserve"> </w:t>
      </w:r>
      <w:r w:rsidRPr="00391E64">
        <w:t xml:space="preserve">Warne </w:t>
      </w:r>
      <w:r w:rsidRPr="004B77AD">
        <w:t>et al.</w:t>
      </w:r>
      <w:r w:rsidR="00F952B5" w:rsidRPr="00391E64">
        <w:rPr>
          <w:i/>
        </w:rPr>
        <w:t xml:space="preserve"> </w:t>
      </w:r>
      <w:r w:rsidR="00F952B5" w:rsidRPr="00391E64">
        <w:t>(</w:t>
      </w:r>
      <w:r w:rsidRPr="00391E64">
        <w:t>2018</w:t>
      </w:r>
      <w:r w:rsidR="00F952B5" w:rsidRPr="00391E64">
        <w:t>)</w:t>
      </w:r>
      <w:r w:rsidRPr="00391E64">
        <w:t>. Overall</w:t>
      </w:r>
      <w:r w:rsidRPr="005557FF">
        <w:t xml:space="preserve">, </w:t>
      </w:r>
      <w:r w:rsidR="00E30A3D">
        <w:t xml:space="preserve">mancozeb toxicity data for </w:t>
      </w:r>
      <w:r w:rsidR="00A63269">
        <w:t>eight</w:t>
      </w:r>
      <w:r w:rsidR="00A63269" w:rsidRPr="005557FF">
        <w:t xml:space="preserve"> </w:t>
      </w:r>
      <w:r w:rsidR="00F952B5" w:rsidRPr="005557FF">
        <w:t>species</w:t>
      </w:r>
      <w:r w:rsidRPr="005557FF">
        <w:t xml:space="preserve"> </w:t>
      </w:r>
      <w:r w:rsidR="00E30A3D">
        <w:t xml:space="preserve">from four taxonomic groups </w:t>
      </w:r>
      <w:r w:rsidRPr="005557FF">
        <w:t xml:space="preserve">were considered for the SSD. These species included: </w:t>
      </w:r>
      <w:r w:rsidR="005557FF" w:rsidRPr="005557FF">
        <w:t>five</w:t>
      </w:r>
      <w:r w:rsidRPr="005557FF">
        <w:t xml:space="preserve"> microalgae (</w:t>
      </w:r>
      <w:r w:rsidR="005557FF" w:rsidRPr="006A6CCD">
        <w:rPr>
          <w:rStyle w:val="Emphasis"/>
        </w:rPr>
        <w:t>Chlorella pyrenoidosa</w:t>
      </w:r>
      <w:r w:rsidR="005557FF" w:rsidRPr="005557FF">
        <w:t xml:space="preserve">, </w:t>
      </w:r>
      <w:r w:rsidR="005557FF" w:rsidRPr="006A6CCD">
        <w:rPr>
          <w:rStyle w:val="Emphasis"/>
        </w:rPr>
        <w:t>Chlorella vulgaris</w:t>
      </w:r>
      <w:r w:rsidR="005557FF" w:rsidRPr="005557FF">
        <w:t xml:space="preserve">, </w:t>
      </w:r>
      <w:r w:rsidR="00727295" w:rsidRPr="006A6CCD">
        <w:rPr>
          <w:rStyle w:val="Emphasis"/>
        </w:rPr>
        <w:t>Rhapidocelis subcapitata</w:t>
      </w:r>
      <w:r w:rsidR="005557FF" w:rsidRPr="00727295">
        <w:t xml:space="preserve">, </w:t>
      </w:r>
      <w:r w:rsidR="005557FF" w:rsidRPr="006A6CCD">
        <w:rPr>
          <w:rStyle w:val="Emphasis"/>
        </w:rPr>
        <w:t>Scenedesmus quadricauda</w:t>
      </w:r>
      <w:r w:rsidR="005557FF" w:rsidRPr="00727295">
        <w:t xml:space="preserve"> and </w:t>
      </w:r>
      <w:r w:rsidR="005557FF" w:rsidRPr="006A6CCD">
        <w:rPr>
          <w:rStyle w:val="Emphasis"/>
        </w:rPr>
        <w:t>Scenedesmus obliquus</w:t>
      </w:r>
      <w:r w:rsidR="005557FF" w:rsidRPr="00727295">
        <w:t>)</w:t>
      </w:r>
      <w:r w:rsidRPr="00727295">
        <w:t xml:space="preserve">, </w:t>
      </w:r>
      <w:r w:rsidR="00750F4C">
        <w:t>one</w:t>
      </w:r>
      <w:r w:rsidRPr="00727295">
        <w:t xml:space="preserve"> </w:t>
      </w:r>
      <w:r w:rsidR="00E30A3D">
        <w:t>crustacean</w:t>
      </w:r>
      <w:r w:rsidRPr="00727295">
        <w:t xml:space="preserve"> (</w:t>
      </w:r>
      <w:r w:rsidRPr="006A6CCD">
        <w:rPr>
          <w:rStyle w:val="Emphasis"/>
        </w:rPr>
        <w:t>D</w:t>
      </w:r>
      <w:r w:rsidR="00D974DA">
        <w:rPr>
          <w:rStyle w:val="Emphasis"/>
        </w:rPr>
        <w:t>.</w:t>
      </w:r>
      <w:r w:rsidRPr="006A6CCD">
        <w:rPr>
          <w:rStyle w:val="Emphasis"/>
        </w:rPr>
        <w:t xml:space="preserve"> magna</w:t>
      </w:r>
      <w:r w:rsidR="00750F4C" w:rsidRPr="00750F4C">
        <w:t>)</w:t>
      </w:r>
      <w:r w:rsidR="00AA6B4A">
        <w:t>, one insect (</w:t>
      </w:r>
      <w:r w:rsidR="005557FF" w:rsidRPr="006A6CCD">
        <w:rPr>
          <w:rStyle w:val="Emphasis"/>
        </w:rPr>
        <w:t>Chironomus dilutus</w:t>
      </w:r>
      <w:r w:rsidRPr="005557FF">
        <w:t xml:space="preserve">), and </w:t>
      </w:r>
      <w:r w:rsidR="00A63269">
        <w:t>one</w:t>
      </w:r>
      <w:r w:rsidR="00A63269" w:rsidRPr="005557FF">
        <w:t xml:space="preserve"> </w:t>
      </w:r>
      <w:r w:rsidRPr="005557FF">
        <w:t>fish (</w:t>
      </w:r>
      <w:r w:rsidR="005557FF" w:rsidRPr="006A6CCD">
        <w:rPr>
          <w:rStyle w:val="Emphasis"/>
        </w:rPr>
        <w:t>P</w:t>
      </w:r>
      <w:r w:rsidR="00D974DA">
        <w:rPr>
          <w:rStyle w:val="Emphasis"/>
        </w:rPr>
        <w:t>.</w:t>
      </w:r>
      <w:r w:rsidR="005557FF" w:rsidRPr="006A6CCD">
        <w:rPr>
          <w:rStyle w:val="Emphasis"/>
        </w:rPr>
        <w:t xml:space="preserve"> promelas</w:t>
      </w:r>
      <w:r w:rsidR="005557FF" w:rsidRPr="00673F15">
        <w:t xml:space="preserve">). </w:t>
      </w:r>
      <w:r w:rsidR="00C62C23" w:rsidRPr="00673F15">
        <w:t xml:space="preserve">Of the toxicity data used for the </w:t>
      </w:r>
      <w:r w:rsidR="00A63269" w:rsidRPr="008A7ACC">
        <w:t>eight</w:t>
      </w:r>
      <w:r w:rsidR="002207DF" w:rsidRPr="00673F15">
        <w:t xml:space="preserve"> </w:t>
      </w:r>
      <w:r w:rsidR="00C62C23" w:rsidRPr="00673F15">
        <w:t xml:space="preserve">species, </w:t>
      </w:r>
      <w:r w:rsidR="005557FF" w:rsidRPr="00673F15">
        <w:t>seven</w:t>
      </w:r>
      <w:r w:rsidR="00C62C23" w:rsidRPr="00673F15">
        <w:t xml:space="preserve"> were </w:t>
      </w:r>
      <w:r w:rsidR="002207DF" w:rsidRPr="00673F15">
        <w:t>NOEC values</w:t>
      </w:r>
      <w:r w:rsidR="00C62C23" w:rsidRPr="00673F15">
        <w:t xml:space="preserve">, and </w:t>
      </w:r>
      <w:r w:rsidR="00A63269" w:rsidRPr="008A7ACC">
        <w:t xml:space="preserve">one </w:t>
      </w:r>
      <w:r w:rsidR="00673F15" w:rsidRPr="008A7ACC">
        <w:t xml:space="preserve">was a </w:t>
      </w:r>
      <w:r w:rsidR="00A63269" w:rsidRPr="008A7ACC">
        <w:t>LOEC value. All data were from chronic exposures</w:t>
      </w:r>
      <w:r w:rsidR="00C62C23" w:rsidRPr="00673F15">
        <w:t xml:space="preserve">. </w:t>
      </w:r>
      <w:r w:rsidR="005739A9">
        <w:t>The 10 </w:t>
      </w:r>
      <w:r w:rsidR="005739A9" w:rsidRPr="005739A9">
        <w:t xml:space="preserve">d LOEC for </w:t>
      </w:r>
      <w:r w:rsidR="005739A9" w:rsidRPr="005739A9">
        <w:rPr>
          <w:rStyle w:val="Emphasis"/>
        </w:rPr>
        <w:t>C. dilutus</w:t>
      </w:r>
      <w:r w:rsidR="005739A9" w:rsidRPr="005739A9">
        <w:t xml:space="preserve"> was re-classified as chronic (rather than acute as recommended for macroinvertebrates in Warne et al. </w:t>
      </w:r>
      <w:r w:rsidR="005739A9">
        <w:t>(</w:t>
      </w:r>
      <w:r w:rsidR="005739A9" w:rsidRPr="005739A9">
        <w:t>2018</w:t>
      </w:r>
      <w:r w:rsidR="005739A9">
        <w:t>)</w:t>
      </w:r>
      <w:r w:rsidR="005739A9" w:rsidRPr="005739A9">
        <w:t>) after review of the species’ life cycle.</w:t>
      </w:r>
      <w:r w:rsidR="00A63269" w:rsidRPr="008A7ACC">
        <w:t xml:space="preserve"> </w:t>
      </w:r>
      <w:r w:rsidR="0021423E">
        <w:t xml:space="preserve">As </w:t>
      </w:r>
      <w:r w:rsidR="00A63269" w:rsidRPr="00FB0693">
        <w:rPr>
          <w:rStyle w:val="Emphasis"/>
        </w:rPr>
        <w:t>C. dilutus</w:t>
      </w:r>
      <w:r w:rsidR="00A63269" w:rsidRPr="008A7ACC">
        <w:t xml:space="preserve"> completes its life</w:t>
      </w:r>
      <w:r w:rsidR="00FB0693">
        <w:t xml:space="preserve"> </w:t>
      </w:r>
      <w:r w:rsidR="00A63269" w:rsidRPr="008A7ACC">
        <w:t xml:space="preserve">cycle in </w:t>
      </w:r>
      <w:r w:rsidR="00D04256" w:rsidRPr="00673F15">
        <w:t>23–30</w:t>
      </w:r>
      <w:r w:rsidR="00FB0693">
        <w:t> </w:t>
      </w:r>
      <w:r w:rsidR="00D04256" w:rsidRPr="00673F15">
        <w:t>d</w:t>
      </w:r>
      <w:r w:rsidR="00A63269" w:rsidRPr="008A7ACC">
        <w:t xml:space="preserve"> (Benoit et al. 1997)</w:t>
      </w:r>
      <w:r w:rsidR="0021423E">
        <w:t>,</w:t>
      </w:r>
      <w:r w:rsidR="00447D06">
        <w:t xml:space="preserve"> </w:t>
      </w:r>
      <w:r w:rsidR="0021423E">
        <w:t xml:space="preserve">a </w:t>
      </w:r>
      <w:r w:rsidR="0021423E" w:rsidRPr="00673F15">
        <w:t>10</w:t>
      </w:r>
      <w:r w:rsidR="00DF5B88">
        <w:t> </w:t>
      </w:r>
      <w:r w:rsidR="00D04256" w:rsidRPr="00673F15">
        <w:t>d</w:t>
      </w:r>
      <w:r w:rsidR="00A63269" w:rsidRPr="008A7ACC">
        <w:t xml:space="preserve"> test </w:t>
      </w:r>
      <w:r w:rsidR="00673F15" w:rsidRPr="008A7ACC">
        <w:t>duration</w:t>
      </w:r>
      <w:r w:rsidR="00CB284F">
        <w:t xml:space="preserve"> represents ≥</w:t>
      </w:r>
      <w:r w:rsidR="00D04256" w:rsidRPr="00673F15">
        <w:t xml:space="preserve">33% of </w:t>
      </w:r>
      <w:r w:rsidR="00673F15" w:rsidRPr="008A7ACC">
        <w:t>this species’</w:t>
      </w:r>
      <w:r w:rsidR="00D04256" w:rsidRPr="00673F15">
        <w:t xml:space="preserve"> life</w:t>
      </w:r>
      <w:r w:rsidR="00741B19">
        <w:t xml:space="preserve"> </w:t>
      </w:r>
      <w:r w:rsidR="00D04256" w:rsidRPr="00673F15">
        <w:t>span</w:t>
      </w:r>
      <w:r w:rsidR="00673F15" w:rsidRPr="008A7ACC">
        <w:t>,</w:t>
      </w:r>
      <w:r w:rsidR="00A63269" w:rsidRPr="008A7ACC">
        <w:t xml:space="preserve"> </w:t>
      </w:r>
      <w:r w:rsidR="0021423E">
        <w:t>which is sufficient to classify the test</w:t>
      </w:r>
      <w:r w:rsidR="00673F15" w:rsidRPr="008A7ACC">
        <w:t xml:space="preserve"> as a c</w:t>
      </w:r>
      <w:r w:rsidR="00A63269" w:rsidRPr="008A7ACC">
        <w:t>hronic</w:t>
      </w:r>
      <w:r w:rsidR="00673F15" w:rsidRPr="008A7ACC">
        <w:t xml:space="preserve"> exposure</w:t>
      </w:r>
      <w:r w:rsidR="00D04256" w:rsidRPr="00673F15">
        <w:t xml:space="preserve">. </w:t>
      </w:r>
      <w:r w:rsidR="00C62C23" w:rsidRPr="00673F15">
        <w:t xml:space="preserve">The </w:t>
      </w:r>
      <w:r w:rsidR="0021423E">
        <w:t xml:space="preserve">chronic </w:t>
      </w:r>
      <w:r w:rsidR="005557FF" w:rsidRPr="00F76A7A">
        <w:t xml:space="preserve">LOEC </w:t>
      </w:r>
      <w:r w:rsidR="00673F15" w:rsidRPr="008A7ACC">
        <w:t xml:space="preserve">value </w:t>
      </w:r>
      <w:r w:rsidR="005557FF" w:rsidRPr="00673F15">
        <w:t xml:space="preserve">was converted to a </w:t>
      </w:r>
      <w:r w:rsidR="001765F2">
        <w:t>negligible effect (e.g. EC10, NOEC)</w:t>
      </w:r>
      <w:r w:rsidR="001765F2" w:rsidRPr="00673F15">
        <w:t xml:space="preserve"> </w:t>
      </w:r>
      <w:r w:rsidR="005557FF" w:rsidRPr="00673F15">
        <w:t>equivalent using the default value of 2.5</w:t>
      </w:r>
      <w:r w:rsidR="00C62C23" w:rsidRPr="00F76A7A">
        <w:t>.</w:t>
      </w:r>
    </w:p>
    <w:p w14:paraId="3528D6B7" w14:textId="77777777" w:rsidR="00167FF3" w:rsidRDefault="00FB47A6" w:rsidP="00542F9A">
      <w:pPr>
        <w:spacing w:before="240"/>
        <w:rPr>
          <w:rFonts w:cs="Arial"/>
        </w:rPr>
      </w:pPr>
      <w:r w:rsidRPr="00727295">
        <w:t xml:space="preserve">Modality checks were performed according to the four </w:t>
      </w:r>
      <w:r w:rsidRPr="0002598F">
        <w:t xml:space="preserve">questions stipulated </w:t>
      </w:r>
      <w:r w:rsidRPr="00B7164F">
        <w:t>in Warne</w:t>
      </w:r>
      <w:r w:rsidRPr="00B7164F">
        <w:rPr>
          <w:i/>
        </w:rPr>
        <w:t xml:space="preserve"> </w:t>
      </w:r>
      <w:r w:rsidRPr="008A7ACC">
        <w:t>et al</w:t>
      </w:r>
      <w:r w:rsidRPr="00B7164F">
        <w:rPr>
          <w:i/>
        </w:rPr>
        <w:t>.</w:t>
      </w:r>
      <w:r w:rsidRPr="00B7164F">
        <w:t xml:space="preserve"> </w:t>
      </w:r>
      <w:r w:rsidR="00C62C23" w:rsidRPr="00B7164F">
        <w:t>(</w:t>
      </w:r>
      <w:r w:rsidRPr="00B7164F">
        <w:t>2018</w:t>
      </w:r>
      <w:r w:rsidR="00C62C23" w:rsidRPr="0002598F">
        <w:t xml:space="preserve">), with the details of the assessment provided in </w:t>
      </w:r>
      <w:r w:rsidR="004F1DDC">
        <w:fldChar w:fldCharType="begin"/>
      </w:r>
      <w:r w:rsidR="004F1DDC">
        <w:instrText xml:space="preserve"> REF _Ref55903794 \h </w:instrText>
      </w:r>
      <w:r w:rsidR="004F1DDC">
        <w:fldChar w:fldCharType="separate"/>
      </w:r>
      <w:r w:rsidR="00E747AE">
        <w:t>Appendix </w:t>
      </w:r>
      <w:r w:rsidR="00E747AE" w:rsidRPr="00391E64">
        <w:t xml:space="preserve">B: Modality assessment for </w:t>
      </w:r>
      <w:r w:rsidR="00E747AE">
        <w:t>m</w:t>
      </w:r>
      <w:r w:rsidR="00E747AE" w:rsidRPr="001914E3">
        <w:t>ancozeb</w:t>
      </w:r>
      <w:r w:rsidR="004F1DDC">
        <w:fldChar w:fldCharType="end"/>
      </w:r>
      <w:r w:rsidR="003C5E11" w:rsidRPr="0002598F">
        <w:t>.</w:t>
      </w:r>
      <w:r w:rsidR="004D64F0" w:rsidRPr="0002598F">
        <w:t xml:space="preserve"> </w:t>
      </w:r>
      <w:r w:rsidR="004D64F0" w:rsidRPr="0002598F">
        <w:rPr>
          <w:rFonts w:cs="Arial"/>
        </w:rPr>
        <w:t xml:space="preserve">The weight of evidence assessment </w:t>
      </w:r>
      <w:r w:rsidR="004D64F0" w:rsidRPr="00673F15">
        <w:rPr>
          <w:rFonts w:cs="Arial"/>
        </w:rPr>
        <w:t>concluded that the dataset did not exhibit bi</w:t>
      </w:r>
      <w:r w:rsidR="00FB0693">
        <w:rPr>
          <w:rFonts w:cs="Arial"/>
        </w:rPr>
        <w:t>modality</w:t>
      </w:r>
      <w:r w:rsidR="004D64F0" w:rsidRPr="00673F15">
        <w:rPr>
          <w:rFonts w:cs="Arial"/>
        </w:rPr>
        <w:t xml:space="preserve"> or multimodality and, hence, supported use of the data for </w:t>
      </w:r>
      <w:r w:rsidR="00673F15" w:rsidRPr="008A7ACC">
        <w:rPr>
          <w:rFonts w:cs="Arial"/>
        </w:rPr>
        <w:t>eight</w:t>
      </w:r>
      <w:r w:rsidR="00673F15" w:rsidRPr="00673F15">
        <w:rPr>
          <w:rFonts w:cs="Arial"/>
        </w:rPr>
        <w:t xml:space="preserve"> </w:t>
      </w:r>
      <w:r w:rsidR="004D64F0" w:rsidRPr="00673F15">
        <w:rPr>
          <w:rFonts w:cs="Arial"/>
        </w:rPr>
        <w:t>species</w:t>
      </w:r>
      <w:r w:rsidR="004D64F0" w:rsidRPr="0002598F">
        <w:rPr>
          <w:rFonts w:cs="Arial"/>
        </w:rPr>
        <w:t xml:space="preserve"> for </w:t>
      </w:r>
      <w:r w:rsidR="00FB0693">
        <w:rPr>
          <w:rFonts w:cs="Arial"/>
        </w:rPr>
        <w:t xml:space="preserve">the DGV </w:t>
      </w:r>
      <w:r w:rsidR="004D64F0" w:rsidRPr="0002598F">
        <w:rPr>
          <w:rFonts w:cs="Arial"/>
        </w:rPr>
        <w:t>derivation.</w:t>
      </w:r>
    </w:p>
    <w:p w14:paraId="3528D6B8" w14:textId="77777777" w:rsidR="00167FF3" w:rsidRPr="00CA4A82" w:rsidRDefault="00FB47A6" w:rsidP="0003646A">
      <w:pPr>
        <w:pStyle w:val="Caption"/>
        <w:keepLines/>
      </w:pPr>
      <w:bookmarkStart w:id="14" w:name="_Ref55902765"/>
      <w:bookmarkStart w:id="15" w:name="_Ref527033898"/>
      <w:bookmarkStart w:id="16" w:name="_Toc455150931"/>
      <w:bookmarkStart w:id="17" w:name="_Toc488227839"/>
      <w:bookmarkStart w:id="18" w:name="_Toc4498565"/>
      <w:bookmarkStart w:id="19" w:name="_Toc6322541"/>
      <w:bookmarkStart w:id="20" w:name="_Toc68188176"/>
      <w:r>
        <w:t>Table </w:t>
      </w:r>
      <w:r w:rsidR="00567DF6">
        <w:fldChar w:fldCharType="begin"/>
      </w:r>
      <w:r>
        <w:instrText xml:space="preserve"> SEQ Table \* ARABIC </w:instrText>
      </w:r>
      <w:r w:rsidR="00567DF6">
        <w:fldChar w:fldCharType="separate"/>
      </w:r>
      <w:r w:rsidR="00E747AE">
        <w:rPr>
          <w:noProof/>
        </w:rPr>
        <w:t>1</w:t>
      </w:r>
      <w:r w:rsidR="00567DF6">
        <w:rPr>
          <w:noProof/>
        </w:rPr>
        <w:fldChar w:fldCharType="end"/>
      </w:r>
      <w:bookmarkEnd w:id="14"/>
      <w:r w:rsidR="00CA4A82" w:rsidRPr="00CA4A82">
        <w:t xml:space="preserve"> </w:t>
      </w:r>
      <w:bookmarkEnd w:id="15"/>
      <w:bookmarkEnd w:id="16"/>
      <w:bookmarkEnd w:id="17"/>
      <w:bookmarkEnd w:id="18"/>
      <w:bookmarkEnd w:id="19"/>
      <w:r w:rsidR="00CA4A82" w:rsidRPr="00CA4A82">
        <w:t xml:space="preserve">Summary of </w:t>
      </w:r>
      <w:r w:rsidR="00FB0693">
        <w:t xml:space="preserve">single </w:t>
      </w:r>
      <w:r w:rsidR="00CA4A82" w:rsidRPr="00CA4A82">
        <w:t>chronic toxicity values</w:t>
      </w:r>
      <w:r w:rsidR="00FB0693">
        <w:t>, all species</w:t>
      </w:r>
      <w:r w:rsidR="00CA4A82" w:rsidRPr="00CA4A82">
        <w:t xml:space="preserve"> used to derive the default guideline values for </w:t>
      </w:r>
      <w:r w:rsidR="00727295" w:rsidRPr="00CA4A82">
        <w:t>mancozeb</w:t>
      </w:r>
      <w:r w:rsidR="00B969D1">
        <w:t xml:space="preserve"> in freshwater</w:t>
      </w:r>
      <w:bookmarkEnd w:id="20"/>
      <w:r w:rsidR="00CA4A82" w:rsidRPr="00CA4A82">
        <w:t xml:space="preserve"> </w:t>
      </w:r>
    </w:p>
    <w:tbl>
      <w:tblPr>
        <w:tblW w:w="5000" w:type="pct"/>
        <w:tblBorders>
          <w:top w:val="single" w:sz="4" w:space="0" w:color="auto"/>
          <w:bottom w:val="single" w:sz="4" w:space="0" w:color="auto"/>
        </w:tblBorders>
        <w:tblLook w:val="04A0" w:firstRow="1" w:lastRow="0" w:firstColumn="1" w:lastColumn="0" w:noHBand="0" w:noVBand="1"/>
        <w:tblCaption w:val="Summary of single chronic toxicity values, all species used to derive the default guideline values for mancozeb in freshwater"/>
        <w:tblDescription w:val="Table provides a list of the species used to derive the mancozeb default guideline values with additional details such as taxonomic group, life stage, duration of test (hour), toxicity measure, toxicity value (microgram per litre) and estimated chronic value (microgram per litre)."/>
      </w:tblPr>
      <w:tblGrid>
        <w:gridCol w:w="1074"/>
        <w:gridCol w:w="2215"/>
        <w:gridCol w:w="969"/>
        <w:gridCol w:w="969"/>
        <w:gridCol w:w="970"/>
        <w:gridCol w:w="1246"/>
        <w:gridCol w:w="1627"/>
      </w:tblGrid>
      <w:tr w:rsidR="00791C17" w14:paraId="3528D6C0" w14:textId="77777777" w:rsidTr="00030FC1">
        <w:trPr>
          <w:cantSplit/>
          <w:tblHeader/>
        </w:trPr>
        <w:tc>
          <w:tcPr>
            <w:tcW w:w="592" w:type="pct"/>
            <w:tcBorders>
              <w:top w:val="single" w:sz="12" w:space="0" w:color="auto"/>
              <w:bottom w:val="single" w:sz="12" w:space="0" w:color="auto"/>
            </w:tcBorders>
            <w:shd w:val="clear" w:color="auto" w:fill="auto"/>
          </w:tcPr>
          <w:p w14:paraId="3528D6B9" w14:textId="77777777" w:rsidR="008D3645" w:rsidRPr="00750F4C" w:rsidRDefault="00FB47A6" w:rsidP="0003646A">
            <w:pPr>
              <w:pStyle w:val="TableHeading"/>
              <w:keepLines/>
            </w:pPr>
            <w:r w:rsidRPr="00750F4C">
              <w:t>Taxonomic group</w:t>
            </w:r>
          </w:p>
        </w:tc>
        <w:tc>
          <w:tcPr>
            <w:tcW w:w="1221" w:type="pct"/>
            <w:tcBorders>
              <w:top w:val="single" w:sz="12" w:space="0" w:color="auto"/>
              <w:bottom w:val="single" w:sz="12" w:space="0" w:color="auto"/>
              <w:right w:val="nil"/>
            </w:tcBorders>
            <w:shd w:val="clear" w:color="auto" w:fill="auto"/>
          </w:tcPr>
          <w:p w14:paraId="3528D6BA" w14:textId="77777777" w:rsidR="008D3645" w:rsidRPr="00750F4C" w:rsidRDefault="00FB47A6" w:rsidP="0003646A">
            <w:pPr>
              <w:pStyle w:val="TableHeading"/>
              <w:keepLines/>
            </w:pPr>
            <w:r w:rsidRPr="00750F4C">
              <w:t>Species</w:t>
            </w:r>
          </w:p>
        </w:tc>
        <w:tc>
          <w:tcPr>
            <w:tcW w:w="534" w:type="pct"/>
            <w:tcBorders>
              <w:top w:val="single" w:sz="12" w:space="0" w:color="auto"/>
              <w:left w:val="nil"/>
              <w:bottom w:val="single" w:sz="12" w:space="0" w:color="auto"/>
            </w:tcBorders>
            <w:shd w:val="clear" w:color="auto" w:fill="auto"/>
          </w:tcPr>
          <w:p w14:paraId="3528D6BB" w14:textId="77777777" w:rsidR="008D3645" w:rsidRPr="00750F4C" w:rsidRDefault="00FB47A6" w:rsidP="0003646A">
            <w:pPr>
              <w:pStyle w:val="TableHeading"/>
              <w:keepLines/>
            </w:pPr>
            <w:r w:rsidRPr="00750F4C">
              <w:t>Life stage</w:t>
            </w:r>
          </w:p>
        </w:tc>
        <w:tc>
          <w:tcPr>
            <w:tcW w:w="534" w:type="pct"/>
            <w:tcBorders>
              <w:top w:val="single" w:sz="12" w:space="0" w:color="auto"/>
              <w:bottom w:val="single" w:sz="12" w:space="0" w:color="auto"/>
            </w:tcBorders>
            <w:shd w:val="clear" w:color="auto" w:fill="auto"/>
          </w:tcPr>
          <w:p w14:paraId="3528D6BC" w14:textId="77777777" w:rsidR="008D3645" w:rsidRPr="00750F4C" w:rsidRDefault="00FB47A6" w:rsidP="0003646A">
            <w:pPr>
              <w:pStyle w:val="TableHeading"/>
              <w:keepLines/>
            </w:pPr>
            <w:r w:rsidRPr="00750F4C">
              <w:t>Duration (h)</w:t>
            </w:r>
          </w:p>
        </w:tc>
        <w:tc>
          <w:tcPr>
            <w:tcW w:w="535" w:type="pct"/>
            <w:tcBorders>
              <w:top w:val="single" w:sz="12" w:space="0" w:color="auto"/>
              <w:bottom w:val="single" w:sz="12" w:space="0" w:color="auto"/>
            </w:tcBorders>
            <w:shd w:val="clear" w:color="auto" w:fill="auto"/>
          </w:tcPr>
          <w:p w14:paraId="3528D6BD" w14:textId="77777777" w:rsidR="008D3645" w:rsidRPr="00750F4C" w:rsidRDefault="00FB47A6" w:rsidP="0003646A">
            <w:pPr>
              <w:pStyle w:val="TableHeading"/>
              <w:keepLines/>
            </w:pPr>
            <w:r w:rsidRPr="00750F4C">
              <w:t xml:space="preserve">Toxicity measure </w:t>
            </w:r>
            <w:r w:rsidRPr="0009253E">
              <w:rPr>
                <w:rStyle w:val="Strong"/>
                <w:b/>
                <w:vertAlign w:val="superscript"/>
              </w:rPr>
              <w:t>a</w:t>
            </w:r>
          </w:p>
        </w:tc>
        <w:tc>
          <w:tcPr>
            <w:tcW w:w="687" w:type="pct"/>
            <w:tcBorders>
              <w:top w:val="single" w:sz="12" w:space="0" w:color="auto"/>
              <w:bottom w:val="single" w:sz="12" w:space="0" w:color="auto"/>
            </w:tcBorders>
            <w:shd w:val="clear" w:color="auto" w:fill="auto"/>
          </w:tcPr>
          <w:p w14:paraId="3528D6BE" w14:textId="77777777" w:rsidR="008D3645" w:rsidRPr="00750F4C" w:rsidRDefault="00FB47A6" w:rsidP="0003646A">
            <w:pPr>
              <w:pStyle w:val="TableHeading"/>
              <w:keepLines/>
            </w:pPr>
            <w:r w:rsidRPr="00750F4C">
              <w:t>Toxicity value (</w:t>
            </w:r>
            <w:r w:rsidRPr="00750F4C">
              <w:rPr>
                <w:rFonts w:ascii="Corbel" w:hAnsi="Corbel"/>
              </w:rPr>
              <w:t>µ</w:t>
            </w:r>
            <w:r w:rsidRPr="00750F4C">
              <w:t>g/L)</w:t>
            </w:r>
          </w:p>
        </w:tc>
        <w:tc>
          <w:tcPr>
            <w:tcW w:w="897" w:type="pct"/>
            <w:tcBorders>
              <w:top w:val="single" w:sz="12" w:space="0" w:color="auto"/>
              <w:bottom w:val="single" w:sz="12" w:space="0" w:color="auto"/>
            </w:tcBorders>
            <w:shd w:val="clear" w:color="auto" w:fill="auto"/>
          </w:tcPr>
          <w:p w14:paraId="3528D6BF" w14:textId="77777777" w:rsidR="008D3645" w:rsidRPr="00750F4C" w:rsidRDefault="00FB47A6" w:rsidP="0003646A">
            <w:pPr>
              <w:pStyle w:val="TableHeading"/>
              <w:keepLines/>
            </w:pPr>
            <w:r w:rsidRPr="00750F4C">
              <w:t>Estimated chronic value (</w:t>
            </w:r>
            <w:r w:rsidRPr="00750F4C">
              <w:rPr>
                <w:rFonts w:ascii="Corbel" w:hAnsi="Corbel"/>
              </w:rPr>
              <w:t>µ</w:t>
            </w:r>
            <w:r w:rsidRPr="00750F4C">
              <w:t>g/L)</w:t>
            </w:r>
          </w:p>
        </w:tc>
      </w:tr>
      <w:tr w:rsidR="00791C17" w14:paraId="3528D6C8" w14:textId="77777777" w:rsidTr="00030FC1">
        <w:trPr>
          <w:cantSplit/>
        </w:trPr>
        <w:tc>
          <w:tcPr>
            <w:tcW w:w="592" w:type="pct"/>
            <w:vMerge w:val="restart"/>
            <w:tcBorders>
              <w:top w:val="single" w:sz="12" w:space="0" w:color="auto"/>
            </w:tcBorders>
            <w:shd w:val="clear" w:color="auto" w:fill="auto"/>
          </w:tcPr>
          <w:p w14:paraId="3528D6C1" w14:textId="77777777" w:rsidR="008D3645" w:rsidRPr="00835107" w:rsidRDefault="00FB47A6" w:rsidP="0003646A">
            <w:pPr>
              <w:pStyle w:val="TableText"/>
              <w:keepNext/>
              <w:keepLines/>
            </w:pPr>
            <w:r w:rsidRPr="00835107">
              <w:t>Microalga</w:t>
            </w:r>
          </w:p>
        </w:tc>
        <w:tc>
          <w:tcPr>
            <w:tcW w:w="1221" w:type="pct"/>
            <w:tcBorders>
              <w:top w:val="single" w:sz="12" w:space="0" w:color="auto"/>
              <w:bottom w:val="nil"/>
            </w:tcBorders>
            <w:shd w:val="clear" w:color="auto" w:fill="auto"/>
          </w:tcPr>
          <w:p w14:paraId="3528D6C2" w14:textId="77777777" w:rsidR="008D3645" w:rsidRPr="00DD5AA0" w:rsidRDefault="00FB47A6" w:rsidP="0003646A">
            <w:pPr>
              <w:pStyle w:val="TableText"/>
              <w:keepNext/>
              <w:keepLines/>
              <w:rPr>
                <w:rStyle w:val="Emphasis"/>
              </w:rPr>
            </w:pPr>
            <w:r w:rsidRPr="00DD5AA0">
              <w:rPr>
                <w:rStyle w:val="Emphasis"/>
              </w:rPr>
              <w:t>Chlorella pyrenoidosa</w:t>
            </w:r>
          </w:p>
        </w:tc>
        <w:tc>
          <w:tcPr>
            <w:tcW w:w="534" w:type="pct"/>
            <w:tcBorders>
              <w:top w:val="single" w:sz="12" w:space="0" w:color="auto"/>
              <w:bottom w:val="nil"/>
            </w:tcBorders>
            <w:shd w:val="clear" w:color="auto" w:fill="auto"/>
          </w:tcPr>
          <w:p w14:paraId="3528D6C3" w14:textId="77777777" w:rsidR="008D3645" w:rsidRPr="00835107" w:rsidRDefault="00FB47A6" w:rsidP="0003646A">
            <w:pPr>
              <w:pStyle w:val="TableText"/>
              <w:keepNext/>
              <w:keepLines/>
            </w:pPr>
            <w:r>
              <w:t>–</w:t>
            </w:r>
          </w:p>
        </w:tc>
        <w:tc>
          <w:tcPr>
            <w:tcW w:w="534" w:type="pct"/>
            <w:tcBorders>
              <w:top w:val="single" w:sz="12" w:space="0" w:color="auto"/>
              <w:bottom w:val="nil"/>
            </w:tcBorders>
            <w:shd w:val="clear" w:color="auto" w:fill="auto"/>
          </w:tcPr>
          <w:p w14:paraId="3528D6C4" w14:textId="77777777" w:rsidR="008D3645" w:rsidRPr="00835107" w:rsidRDefault="00FB47A6" w:rsidP="0003646A">
            <w:pPr>
              <w:pStyle w:val="TableText"/>
              <w:keepNext/>
              <w:keepLines/>
            </w:pPr>
            <w:r w:rsidRPr="00835107">
              <w:t>96</w:t>
            </w:r>
          </w:p>
        </w:tc>
        <w:tc>
          <w:tcPr>
            <w:tcW w:w="535" w:type="pct"/>
            <w:tcBorders>
              <w:top w:val="single" w:sz="12" w:space="0" w:color="auto"/>
              <w:bottom w:val="nil"/>
            </w:tcBorders>
            <w:shd w:val="clear" w:color="auto" w:fill="auto"/>
          </w:tcPr>
          <w:p w14:paraId="3528D6C5" w14:textId="77777777" w:rsidR="008D3645" w:rsidRPr="00835107" w:rsidRDefault="00FB47A6" w:rsidP="0003646A">
            <w:pPr>
              <w:pStyle w:val="TableText"/>
              <w:keepNext/>
              <w:keepLines/>
            </w:pPr>
            <w:r w:rsidRPr="00835107">
              <w:t>NOEC</w:t>
            </w:r>
          </w:p>
        </w:tc>
        <w:tc>
          <w:tcPr>
            <w:tcW w:w="687" w:type="pct"/>
            <w:tcBorders>
              <w:top w:val="single" w:sz="12" w:space="0" w:color="auto"/>
              <w:bottom w:val="nil"/>
            </w:tcBorders>
            <w:shd w:val="clear" w:color="auto" w:fill="auto"/>
          </w:tcPr>
          <w:p w14:paraId="3528D6C6" w14:textId="77777777" w:rsidR="008D3645" w:rsidRPr="00835107" w:rsidRDefault="00FB47A6" w:rsidP="0003646A">
            <w:pPr>
              <w:pStyle w:val="TableText"/>
              <w:keepNext/>
              <w:keepLines/>
            </w:pPr>
            <w:r w:rsidRPr="00835107">
              <w:t>20</w:t>
            </w:r>
          </w:p>
        </w:tc>
        <w:tc>
          <w:tcPr>
            <w:tcW w:w="897" w:type="pct"/>
            <w:tcBorders>
              <w:top w:val="single" w:sz="12" w:space="0" w:color="auto"/>
              <w:bottom w:val="nil"/>
            </w:tcBorders>
            <w:shd w:val="clear" w:color="auto" w:fill="auto"/>
          </w:tcPr>
          <w:p w14:paraId="3528D6C7" w14:textId="77777777" w:rsidR="008D3645" w:rsidRPr="00835107" w:rsidRDefault="00FB47A6" w:rsidP="0003646A">
            <w:pPr>
              <w:pStyle w:val="TableText"/>
              <w:keepNext/>
              <w:keepLines/>
            </w:pPr>
            <w:r w:rsidRPr="00835107">
              <w:t>20</w:t>
            </w:r>
            <w:r>
              <w:t xml:space="preserve"> </w:t>
            </w:r>
            <w:r>
              <w:rPr>
                <w:rStyle w:val="Strong"/>
                <w:vertAlign w:val="superscript"/>
              </w:rPr>
              <w:t>b</w:t>
            </w:r>
          </w:p>
        </w:tc>
      </w:tr>
      <w:tr w:rsidR="00791C17" w14:paraId="3528D6D0" w14:textId="77777777" w:rsidTr="00030FC1">
        <w:trPr>
          <w:cantSplit/>
        </w:trPr>
        <w:tc>
          <w:tcPr>
            <w:tcW w:w="592" w:type="pct"/>
            <w:vMerge/>
            <w:shd w:val="clear" w:color="auto" w:fill="auto"/>
          </w:tcPr>
          <w:p w14:paraId="3528D6C9" w14:textId="77777777" w:rsidR="008D3645" w:rsidRPr="00B7164F" w:rsidRDefault="008D3645" w:rsidP="0003646A">
            <w:pPr>
              <w:pStyle w:val="TableText"/>
              <w:keepNext/>
              <w:keepLines/>
              <w:rPr>
                <w:highlight w:val="yellow"/>
              </w:rPr>
            </w:pPr>
          </w:p>
        </w:tc>
        <w:tc>
          <w:tcPr>
            <w:tcW w:w="1221" w:type="pct"/>
            <w:tcBorders>
              <w:top w:val="nil"/>
              <w:bottom w:val="nil"/>
            </w:tcBorders>
            <w:shd w:val="clear" w:color="auto" w:fill="auto"/>
          </w:tcPr>
          <w:p w14:paraId="3528D6CA" w14:textId="77777777" w:rsidR="008D3645" w:rsidRPr="00DD5AA0" w:rsidRDefault="00FB47A6" w:rsidP="0003646A">
            <w:pPr>
              <w:pStyle w:val="TableText"/>
              <w:keepNext/>
              <w:keepLines/>
              <w:rPr>
                <w:rStyle w:val="Emphasis"/>
              </w:rPr>
            </w:pPr>
            <w:r w:rsidRPr="00DD5AA0">
              <w:rPr>
                <w:rStyle w:val="Emphasis"/>
              </w:rPr>
              <w:t>Chlorella vulgaris</w:t>
            </w:r>
          </w:p>
        </w:tc>
        <w:tc>
          <w:tcPr>
            <w:tcW w:w="534" w:type="pct"/>
            <w:tcBorders>
              <w:top w:val="nil"/>
              <w:bottom w:val="nil"/>
            </w:tcBorders>
            <w:shd w:val="clear" w:color="auto" w:fill="auto"/>
          </w:tcPr>
          <w:p w14:paraId="3528D6CB" w14:textId="77777777" w:rsidR="008D3645" w:rsidRPr="008C0C65" w:rsidRDefault="00FB47A6" w:rsidP="0003646A">
            <w:pPr>
              <w:pStyle w:val="TableText"/>
              <w:keepNext/>
              <w:keepLines/>
            </w:pPr>
            <w:r>
              <w:t>–</w:t>
            </w:r>
          </w:p>
        </w:tc>
        <w:tc>
          <w:tcPr>
            <w:tcW w:w="534" w:type="pct"/>
            <w:tcBorders>
              <w:top w:val="nil"/>
              <w:bottom w:val="nil"/>
            </w:tcBorders>
            <w:shd w:val="clear" w:color="auto" w:fill="auto"/>
          </w:tcPr>
          <w:p w14:paraId="3528D6CC" w14:textId="77777777" w:rsidR="008D3645" w:rsidRPr="008C0C65" w:rsidRDefault="00FB47A6" w:rsidP="0003646A">
            <w:pPr>
              <w:pStyle w:val="TableText"/>
              <w:keepNext/>
              <w:keepLines/>
            </w:pPr>
            <w:r w:rsidRPr="008C0C65">
              <w:t>96</w:t>
            </w:r>
          </w:p>
        </w:tc>
        <w:tc>
          <w:tcPr>
            <w:tcW w:w="535" w:type="pct"/>
            <w:tcBorders>
              <w:top w:val="nil"/>
              <w:bottom w:val="nil"/>
            </w:tcBorders>
            <w:shd w:val="clear" w:color="auto" w:fill="auto"/>
          </w:tcPr>
          <w:p w14:paraId="3528D6CD" w14:textId="77777777" w:rsidR="008D3645" w:rsidRPr="008C0C65" w:rsidRDefault="00FB47A6" w:rsidP="0003646A">
            <w:pPr>
              <w:pStyle w:val="TableText"/>
              <w:keepNext/>
              <w:keepLines/>
            </w:pPr>
            <w:r w:rsidRPr="008C0C65">
              <w:t>NOEC</w:t>
            </w:r>
          </w:p>
        </w:tc>
        <w:tc>
          <w:tcPr>
            <w:tcW w:w="687" w:type="pct"/>
            <w:tcBorders>
              <w:top w:val="nil"/>
              <w:bottom w:val="nil"/>
            </w:tcBorders>
            <w:shd w:val="clear" w:color="auto" w:fill="auto"/>
          </w:tcPr>
          <w:p w14:paraId="3528D6CE" w14:textId="77777777" w:rsidR="008D3645" w:rsidRPr="008C0C65" w:rsidRDefault="00FB47A6" w:rsidP="0003646A">
            <w:pPr>
              <w:pStyle w:val="TableText"/>
              <w:keepNext/>
              <w:keepLines/>
            </w:pPr>
            <w:r w:rsidRPr="008C0C65">
              <w:t>100</w:t>
            </w:r>
          </w:p>
        </w:tc>
        <w:tc>
          <w:tcPr>
            <w:tcW w:w="897" w:type="pct"/>
            <w:tcBorders>
              <w:top w:val="nil"/>
              <w:bottom w:val="nil"/>
            </w:tcBorders>
            <w:shd w:val="clear" w:color="auto" w:fill="auto"/>
          </w:tcPr>
          <w:p w14:paraId="3528D6CF" w14:textId="77777777" w:rsidR="008D3645" w:rsidRPr="008C0C65" w:rsidRDefault="00FB47A6" w:rsidP="0003646A">
            <w:pPr>
              <w:pStyle w:val="TableText"/>
              <w:keepNext/>
              <w:keepLines/>
            </w:pPr>
            <w:r w:rsidRPr="008C0C65">
              <w:t>100</w:t>
            </w:r>
            <w:r>
              <w:t xml:space="preserve"> </w:t>
            </w:r>
            <w:r>
              <w:rPr>
                <w:rStyle w:val="Strong"/>
                <w:vertAlign w:val="superscript"/>
              </w:rPr>
              <w:t>b</w:t>
            </w:r>
          </w:p>
        </w:tc>
      </w:tr>
      <w:tr w:rsidR="00791C17" w14:paraId="3528D6D8" w14:textId="77777777" w:rsidTr="00030FC1">
        <w:trPr>
          <w:cantSplit/>
        </w:trPr>
        <w:tc>
          <w:tcPr>
            <w:tcW w:w="592" w:type="pct"/>
            <w:vMerge/>
            <w:shd w:val="clear" w:color="auto" w:fill="auto"/>
          </w:tcPr>
          <w:p w14:paraId="3528D6D1" w14:textId="77777777" w:rsidR="008D3645" w:rsidRPr="00B7164F" w:rsidRDefault="008D3645" w:rsidP="0003646A">
            <w:pPr>
              <w:pStyle w:val="TableText"/>
              <w:keepNext/>
              <w:keepLines/>
              <w:rPr>
                <w:highlight w:val="yellow"/>
              </w:rPr>
            </w:pPr>
          </w:p>
        </w:tc>
        <w:tc>
          <w:tcPr>
            <w:tcW w:w="1221" w:type="pct"/>
            <w:tcBorders>
              <w:top w:val="nil"/>
              <w:bottom w:val="nil"/>
            </w:tcBorders>
            <w:shd w:val="clear" w:color="auto" w:fill="auto"/>
          </w:tcPr>
          <w:p w14:paraId="3528D6D2" w14:textId="77777777" w:rsidR="008D3645" w:rsidRPr="00DD5AA0" w:rsidRDefault="00FB47A6" w:rsidP="0003646A">
            <w:pPr>
              <w:pStyle w:val="TableText"/>
              <w:keepNext/>
              <w:keepLines/>
              <w:rPr>
                <w:rStyle w:val="Emphasis"/>
              </w:rPr>
            </w:pPr>
            <w:r w:rsidRPr="00DD5AA0">
              <w:rPr>
                <w:rStyle w:val="Emphasis"/>
              </w:rPr>
              <w:t>Scenedesmus quadricauda</w:t>
            </w:r>
          </w:p>
        </w:tc>
        <w:tc>
          <w:tcPr>
            <w:tcW w:w="534" w:type="pct"/>
            <w:tcBorders>
              <w:top w:val="nil"/>
              <w:bottom w:val="nil"/>
            </w:tcBorders>
            <w:shd w:val="clear" w:color="auto" w:fill="auto"/>
          </w:tcPr>
          <w:p w14:paraId="3528D6D3" w14:textId="77777777" w:rsidR="008D3645" w:rsidRPr="008C0C65" w:rsidRDefault="00FB47A6" w:rsidP="0003646A">
            <w:pPr>
              <w:pStyle w:val="TableText"/>
              <w:keepNext/>
              <w:keepLines/>
            </w:pPr>
            <w:r>
              <w:t>–</w:t>
            </w:r>
          </w:p>
        </w:tc>
        <w:tc>
          <w:tcPr>
            <w:tcW w:w="534" w:type="pct"/>
            <w:tcBorders>
              <w:top w:val="nil"/>
              <w:bottom w:val="nil"/>
            </w:tcBorders>
            <w:shd w:val="clear" w:color="auto" w:fill="auto"/>
          </w:tcPr>
          <w:p w14:paraId="3528D6D4" w14:textId="77777777" w:rsidR="008D3645" w:rsidRPr="008C0C65" w:rsidRDefault="00FB47A6" w:rsidP="0003646A">
            <w:pPr>
              <w:pStyle w:val="TableText"/>
              <w:keepNext/>
              <w:keepLines/>
            </w:pPr>
            <w:r w:rsidRPr="008C0C65">
              <w:t>96</w:t>
            </w:r>
          </w:p>
        </w:tc>
        <w:tc>
          <w:tcPr>
            <w:tcW w:w="535" w:type="pct"/>
            <w:tcBorders>
              <w:top w:val="nil"/>
              <w:bottom w:val="nil"/>
            </w:tcBorders>
            <w:shd w:val="clear" w:color="auto" w:fill="auto"/>
          </w:tcPr>
          <w:p w14:paraId="3528D6D5" w14:textId="77777777" w:rsidR="008D3645" w:rsidRPr="008C0C65" w:rsidRDefault="00FB47A6" w:rsidP="0003646A">
            <w:pPr>
              <w:pStyle w:val="TableText"/>
              <w:keepNext/>
              <w:keepLines/>
            </w:pPr>
            <w:r w:rsidRPr="008C0C65">
              <w:t>NOEC</w:t>
            </w:r>
          </w:p>
        </w:tc>
        <w:tc>
          <w:tcPr>
            <w:tcW w:w="687" w:type="pct"/>
            <w:tcBorders>
              <w:top w:val="nil"/>
              <w:bottom w:val="nil"/>
            </w:tcBorders>
            <w:shd w:val="clear" w:color="auto" w:fill="auto"/>
          </w:tcPr>
          <w:p w14:paraId="3528D6D6" w14:textId="77777777" w:rsidR="008D3645" w:rsidRPr="008C0C65" w:rsidRDefault="00FB47A6" w:rsidP="0003646A">
            <w:pPr>
              <w:pStyle w:val="TableText"/>
              <w:keepNext/>
              <w:keepLines/>
            </w:pPr>
            <w:r w:rsidRPr="008C0C65">
              <w:t>100</w:t>
            </w:r>
          </w:p>
        </w:tc>
        <w:tc>
          <w:tcPr>
            <w:tcW w:w="897" w:type="pct"/>
            <w:tcBorders>
              <w:top w:val="nil"/>
              <w:bottom w:val="nil"/>
            </w:tcBorders>
            <w:shd w:val="clear" w:color="auto" w:fill="auto"/>
          </w:tcPr>
          <w:p w14:paraId="3528D6D7" w14:textId="77777777" w:rsidR="008D3645" w:rsidRPr="008C0C65" w:rsidRDefault="00FB47A6" w:rsidP="0003646A">
            <w:pPr>
              <w:pStyle w:val="TableText"/>
              <w:keepNext/>
              <w:keepLines/>
            </w:pPr>
            <w:r w:rsidRPr="008C0C65">
              <w:t>100</w:t>
            </w:r>
            <w:r>
              <w:t xml:space="preserve"> </w:t>
            </w:r>
            <w:r>
              <w:rPr>
                <w:rStyle w:val="Strong"/>
                <w:vertAlign w:val="superscript"/>
              </w:rPr>
              <w:t>b</w:t>
            </w:r>
          </w:p>
        </w:tc>
      </w:tr>
      <w:tr w:rsidR="00791C17" w14:paraId="3528D6E0" w14:textId="77777777" w:rsidTr="00030FC1">
        <w:trPr>
          <w:cantSplit/>
        </w:trPr>
        <w:tc>
          <w:tcPr>
            <w:tcW w:w="592" w:type="pct"/>
            <w:vMerge/>
            <w:shd w:val="clear" w:color="auto" w:fill="auto"/>
          </w:tcPr>
          <w:p w14:paraId="3528D6D9" w14:textId="77777777" w:rsidR="008D3645" w:rsidRPr="00B7164F" w:rsidRDefault="008D3645" w:rsidP="0003646A">
            <w:pPr>
              <w:pStyle w:val="TableText"/>
              <w:keepNext/>
              <w:keepLines/>
              <w:rPr>
                <w:highlight w:val="yellow"/>
              </w:rPr>
            </w:pPr>
          </w:p>
        </w:tc>
        <w:tc>
          <w:tcPr>
            <w:tcW w:w="1221" w:type="pct"/>
            <w:tcBorders>
              <w:top w:val="nil"/>
              <w:bottom w:val="nil"/>
            </w:tcBorders>
            <w:shd w:val="clear" w:color="auto" w:fill="auto"/>
          </w:tcPr>
          <w:p w14:paraId="3528D6DA" w14:textId="77777777" w:rsidR="008D3645" w:rsidRPr="00BB22E9" w:rsidRDefault="00FB47A6" w:rsidP="0003646A">
            <w:pPr>
              <w:pStyle w:val="TableText"/>
              <w:keepNext/>
              <w:keepLines/>
              <w:rPr>
                <w:rStyle w:val="Emphasis"/>
              </w:rPr>
            </w:pPr>
            <w:r w:rsidRPr="00DD5AA0">
              <w:rPr>
                <w:rStyle w:val="Emphasis"/>
              </w:rPr>
              <w:t>Rhapidocelis subcapitata</w:t>
            </w:r>
            <w:r>
              <w:rPr>
                <w:rStyle w:val="Emphasis"/>
              </w:rPr>
              <w:t xml:space="preserve"> </w:t>
            </w:r>
            <w:r w:rsidRPr="00BB22E9">
              <w:rPr>
                <w:rStyle w:val="Strong"/>
                <w:vertAlign w:val="superscript"/>
              </w:rPr>
              <w:t>d</w:t>
            </w:r>
          </w:p>
        </w:tc>
        <w:tc>
          <w:tcPr>
            <w:tcW w:w="534" w:type="pct"/>
            <w:tcBorders>
              <w:top w:val="nil"/>
              <w:bottom w:val="nil"/>
            </w:tcBorders>
            <w:shd w:val="clear" w:color="auto" w:fill="auto"/>
          </w:tcPr>
          <w:p w14:paraId="3528D6DB" w14:textId="77777777" w:rsidR="008D3645" w:rsidRPr="008C0C65" w:rsidRDefault="00FB47A6" w:rsidP="0003646A">
            <w:pPr>
              <w:pStyle w:val="TableText"/>
              <w:keepNext/>
              <w:keepLines/>
            </w:pPr>
            <w:r>
              <w:t>–</w:t>
            </w:r>
          </w:p>
        </w:tc>
        <w:tc>
          <w:tcPr>
            <w:tcW w:w="534" w:type="pct"/>
            <w:tcBorders>
              <w:top w:val="nil"/>
              <w:bottom w:val="nil"/>
            </w:tcBorders>
            <w:shd w:val="clear" w:color="auto" w:fill="auto"/>
          </w:tcPr>
          <w:p w14:paraId="3528D6DC" w14:textId="77777777" w:rsidR="008D3645" w:rsidRPr="008C0C65" w:rsidRDefault="00FB47A6" w:rsidP="0003646A">
            <w:pPr>
              <w:pStyle w:val="TableText"/>
              <w:keepNext/>
              <w:keepLines/>
            </w:pPr>
            <w:r w:rsidRPr="008C0C65">
              <w:t>96</w:t>
            </w:r>
          </w:p>
        </w:tc>
        <w:tc>
          <w:tcPr>
            <w:tcW w:w="535" w:type="pct"/>
            <w:tcBorders>
              <w:top w:val="nil"/>
              <w:bottom w:val="nil"/>
            </w:tcBorders>
            <w:shd w:val="clear" w:color="auto" w:fill="auto"/>
          </w:tcPr>
          <w:p w14:paraId="3528D6DD" w14:textId="77777777" w:rsidR="008D3645" w:rsidRPr="008C0C65" w:rsidRDefault="00FB47A6" w:rsidP="0003646A">
            <w:pPr>
              <w:pStyle w:val="TableText"/>
              <w:keepNext/>
              <w:keepLines/>
            </w:pPr>
            <w:r w:rsidRPr="008C0C65">
              <w:t>NOEC</w:t>
            </w:r>
          </w:p>
        </w:tc>
        <w:tc>
          <w:tcPr>
            <w:tcW w:w="687" w:type="pct"/>
            <w:tcBorders>
              <w:top w:val="nil"/>
              <w:bottom w:val="nil"/>
            </w:tcBorders>
            <w:shd w:val="clear" w:color="auto" w:fill="auto"/>
          </w:tcPr>
          <w:p w14:paraId="3528D6DE" w14:textId="77777777" w:rsidR="008D3645" w:rsidRPr="008C0C65" w:rsidRDefault="00FB47A6" w:rsidP="0003646A">
            <w:pPr>
              <w:pStyle w:val="TableText"/>
              <w:keepNext/>
              <w:keepLines/>
            </w:pPr>
            <w:r w:rsidRPr="008C0C65">
              <w:t>100</w:t>
            </w:r>
          </w:p>
        </w:tc>
        <w:tc>
          <w:tcPr>
            <w:tcW w:w="897" w:type="pct"/>
            <w:tcBorders>
              <w:top w:val="nil"/>
              <w:bottom w:val="nil"/>
            </w:tcBorders>
            <w:shd w:val="clear" w:color="auto" w:fill="auto"/>
          </w:tcPr>
          <w:p w14:paraId="3528D6DF" w14:textId="77777777" w:rsidR="008D3645" w:rsidRPr="008C0C65" w:rsidRDefault="00FB47A6" w:rsidP="0003646A">
            <w:pPr>
              <w:pStyle w:val="TableText"/>
              <w:keepNext/>
              <w:keepLines/>
            </w:pPr>
            <w:r w:rsidRPr="008C0C65">
              <w:t>100</w:t>
            </w:r>
            <w:r>
              <w:t xml:space="preserve"> </w:t>
            </w:r>
            <w:r>
              <w:rPr>
                <w:rStyle w:val="Strong"/>
                <w:vertAlign w:val="superscript"/>
              </w:rPr>
              <w:t>b</w:t>
            </w:r>
          </w:p>
        </w:tc>
      </w:tr>
      <w:tr w:rsidR="00791C17" w14:paraId="3528D6E8" w14:textId="77777777" w:rsidTr="00030FC1">
        <w:trPr>
          <w:cantSplit/>
        </w:trPr>
        <w:tc>
          <w:tcPr>
            <w:tcW w:w="592" w:type="pct"/>
            <w:vMerge/>
            <w:tcBorders>
              <w:bottom w:val="single" w:sz="4" w:space="0" w:color="auto"/>
            </w:tcBorders>
            <w:shd w:val="clear" w:color="auto" w:fill="auto"/>
          </w:tcPr>
          <w:p w14:paraId="3528D6E1" w14:textId="77777777" w:rsidR="008D3645" w:rsidRPr="00B7164F" w:rsidRDefault="008D3645" w:rsidP="0003646A">
            <w:pPr>
              <w:pStyle w:val="TableText"/>
              <w:keepNext/>
              <w:keepLines/>
              <w:rPr>
                <w:highlight w:val="yellow"/>
              </w:rPr>
            </w:pPr>
          </w:p>
        </w:tc>
        <w:tc>
          <w:tcPr>
            <w:tcW w:w="1221" w:type="pct"/>
            <w:tcBorders>
              <w:top w:val="nil"/>
              <w:bottom w:val="single" w:sz="4" w:space="0" w:color="auto"/>
            </w:tcBorders>
            <w:shd w:val="clear" w:color="auto" w:fill="auto"/>
          </w:tcPr>
          <w:p w14:paraId="3528D6E2" w14:textId="77777777" w:rsidR="008D3645" w:rsidRPr="00DD5AA0" w:rsidRDefault="00FB47A6" w:rsidP="0003646A">
            <w:pPr>
              <w:pStyle w:val="TableText"/>
              <w:keepNext/>
              <w:keepLines/>
              <w:rPr>
                <w:rStyle w:val="Emphasis"/>
              </w:rPr>
            </w:pPr>
            <w:r w:rsidRPr="00DD5AA0">
              <w:rPr>
                <w:rStyle w:val="Emphasis"/>
              </w:rPr>
              <w:t>Scenedesmus obliquus</w:t>
            </w:r>
          </w:p>
        </w:tc>
        <w:tc>
          <w:tcPr>
            <w:tcW w:w="534" w:type="pct"/>
            <w:tcBorders>
              <w:top w:val="nil"/>
              <w:bottom w:val="single" w:sz="4" w:space="0" w:color="auto"/>
            </w:tcBorders>
            <w:shd w:val="clear" w:color="auto" w:fill="auto"/>
          </w:tcPr>
          <w:p w14:paraId="3528D6E3" w14:textId="77777777" w:rsidR="008D3645" w:rsidRPr="008C0C65" w:rsidRDefault="00FB47A6" w:rsidP="0003646A">
            <w:pPr>
              <w:pStyle w:val="TableText"/>
              <w:keepNext/>
              <w:keepLines/>
            </w:pPr>
            <w:r>
              <w:t>–</w:t>
            </w:r>
          </w:p>
        </w:tc>
        <w:tc>
          <w:tcPr>
            <w:tcW w:w="534" w:type="pct"/>
            <w:tcBorders>
              <w:top w:val="nil"/>
              <w:bottom w:val="single" w:sz="4" w:space="0" w:color="auto"/>
            </w:tcBorders>
            <w:shd w:val="clear" w:color="auto" w:fill="auto"/>
          </w:tcPr>
          <w:p w14:paraId="3528D6E4" w14:textId="77777777" w:rsidR="008D3645" w:rsidRPr="008C0C65" w:rsidRDefault="00FB47A6" w:rsidP="0003646A">
            <w:pPr>
              <w:pStyle w:val="TableText"/>
              <w:keepNext/>
              <w:keepLines/>
            </w:pPr>
            <w:r w:rsidRPr="008C0C65">
              <w:t>96</w:t>
            </w:r>
          </w:p>
        </w:tc>
        <w:tc>
          <w:tcPr>
            <w:tcW w:w="535" w:type="pct"/>
            <w:tcBorders>
              <w:top w:val="nil"/>
              <w:bottom w:val="single" w:sz="4" w:space="0" w:color="auto"/>
            </w:tcBorders>
            <w:shd w:val="clear" w:color="auto" w:fill="auto"/>
          </w:tcPr>
          <w:p w14:paraId="3528D6E5" w14:textId="77777777" w:rsidR="008D3645" w:rsidRPr="008C0C65" w:rsidRDefault="00FB47A6" w:rsidP="0003646A">
            <w:pPr>
              <w:pStyle w:val="TableText"/>
              <w:keepNext/>
              <w:keepLines/>
            </w:pPr>
            <w:r w:rsidRPr="008C0C65">
              <w:t>NOEC</w:t>
            </w:r>
          </w:p>
        </w:tc>
        <w:tc>
          <w:tcPr>
            <w:tcW w:w="687" w:type="pct"/>
            <w:tcBorders>
              <w:top w:val="nil"/>
              <w:bottom w:val="single" w:sz="4" w:space="0" w:color="auto"/>
            </w:tcBorders>
            <w:shd w:val="clear" w:color="auto" w:fill="auto"/>
          </w:tcPr>
          <w:p w14:paraId="3528D6E6" w14:textId="77777777" w:rsidR="008D3645" w:rsidRPr="008C0C65" w:rsidRDefault="00FB47A6" w:rsidP="0003646A">
            <w:pPr>
              <w:pStyle w:val="TableText"/>
              <w:keepNext/>
              <w:keepLines/>
            </w:pPr>
            <w:r w:rsidRPr="008C0C65">
              <w:t>500</w:t>
            </w:r>
          </w:p>
        </w:tc>
        <w:tc>
          <w:tcPr>
            <w:tcW w:w="897" w:type="pct"/>
            <w:tcBorders>
              <w:top w:val="nil"/>
              <w:bottom w:val="single" w:sz="4" w:space="0" w:color="auto"/>
            </w:tcBorders>
            <w:shd w:val="clear" w:color="auto" w:fill="auto"/>
          </w:tcPr>
          <w:p w14:paraId="3528D6E7" w14:textId="77777777" w:rsidR="008D3645" w:rsidRPr="008C0C65" w:rsidRDefault="00FB47A6" w:rsidP="0003646A">
            <w:pPr>
              <w:pStyle w:val="TableText"/>
              <w:keepNext/>
              <w:keepLines/>
            </w:pPr>
            <w:r w:rsidRPr="008C0C65">
              <w:t>500</w:t>
            </w:r>
            <w:r>
              <w:t xml:space="preserve"> </w:t>
            </w:r>
            <w:r>
              <w:rPr>
                <w:rStyle w:val="Strong"/>
                <w:vertAlign w:val="superscript"/>
              </w:rPr>
              <w:t>b</w:t>
            </w:r>
          </w:p>
        </w:tc>
      </w:tr>
      <w:tr w:rsidR="00791C17" w14:paraId="3528D6F0" w14:textId="77777777" w:rsidTr="00030FC1">
        <w:trPr>
          <w:cantSplit/>
        </w:trPr>
        <w:tc>
          <w:tcPr>
            <w:tcW w:w="592" w:type="pct"/>
            <w:tcBorders>
              <w:top w:val="single" w:sz="4" w:space="0" w:color="auto"/>
              <w:bottom w:val="nil"/>
            </w:tcBorders>
            <w:shd w:val="clear" w:color="auto" w:fill="auto"/>
          </w:tcPr>
          <w:p w14:paraId="3528D6E9" w14:textId="77777777" w:rsidR="008D3645" w:rsidRPr="00835107" w:rsidRDefault="00FB47A6" w:rsidP="0003646A">
            <w:pPr>
              <w:pStyle w:val="TableText"/>
              <w:keepNext/>
              <w:keepLines/>
            </w:pPr>
            <w:r w:rsidRPr="00835107">
              <w:t>Crustacean</w:t>
            </w:r>
          </w:p>
        </w:tc>
        <w:tc>
          <w:tcPr>
            <w:tcW w:w="1221" w:type="pct"/>
            <w:tcBorders>
              <w:top w:val="single" w:sz="4" w:space="0" w:color="auto"/>
              <w:bottom w:val="nil"/>
            </w:tcBorders>
            <w:shd w:val="clear" w:color="auto" w:fill="auto"/>
          </w:tcPr>
          <w:p w14:paraId="3528D6EA" w14:textId="77777777" w:rsidR="008D3645" w:rsidRPr="00DD5AA0" w:rsidRDefault="00FB47A6" w:rsidP="0003646A">
            <w:pPr>
              <w:pStyle w:val="TableText"/>
              <w:keepNext/>
              <w:keepLines/>
              <w:rPr>
                <w:rStyle w:val="Emphasis"/>
              </w:rPr>
            </w:pPr>
            <w:r w:rsidRPr="00DD5AA0">
              <w:rPr>
                <w:rStyle w:val="Emphasis"/>
              </w:rPr>
              <w:t>Daphnia magna</w:t>
            </w:r>
          </w:p>
        </w:tc>
        <w:tc>
          <w:tcPr>
            <w:tcW w:w="534" w:type="pct"/>
            <w:tcBorders>
              <w:top w:val="single" w:sz="4" w:space="0" w:color="auto"/>
              <w:bottom w:val="nil"/>
            </w:tcBorders>
            <w:shd w:val="clear" w:color="auto" w:fill="auto"/>
          </w:tcPr>
          <w:p w14:paraId="3528D6EB" w14:textId="77777777" w:rsidR="008D3645" w:rsidRPr="00B7164F" w:rsidRDefault="00FB47A6" w:rsidP="0003646A">
            <w:pPr>
              <w:pStyle w:val="TableText"/>
              <w:keepNext/>
              <w:keepLines/>
              <w:rPr>
                <w:highlight w:val="yellow"/>
              </w:rPr>
            </w:pPr>
            <w:r w:rsidRPr="00835107">
              <w:t>Neonate</w:t>
            </w:r>
          </w:p>
        </w:tc>
        <w:tc>
          <w:tcPr>
            <w:tcW w:w="534" w:type="pct"/>
            <w:tcBorders>
              <w:top w:val="single" w:sz="4" w:space="0" w:color="auto"/>
              <w:bottom w:val="nil"/>
            </w:tcBorders>
            <w:shd w:val="clear" w:color="auto" w:fill="auto"/>
          </w:tcPr>
          <w:p w14:paraId="3528D6EC" w14:textId="77777777" w:rsidR="008D3645" w:rsidRPr="00B7164F" w:rsidRDefault="00FB47A6" w:rsidP="0003646A">
            <w:pPr>
              <w:pStyle w:val="TableText"/>
              <w:keepNext/>
              <w:keepLines/>
              <w:rPr>
                <w:highlight w:val="yellow"/>
              </w:rPr>
            </w:pPr>
            <w:r w:rsidRPr="00835107">
              <w:t>504</w:t>
            </w:r>
          </w:p>
        </w:tc>
        <w:tc>
          <w:tcPr>
            <w:tcW w:w="535" w:type="pct"/>
            <w:tcBorders>
              <w:top w:val="single" w:sz="4" w:space="0" w:color="auto"/>
              <w:bottom w:val="nil"/>
            </w:tcBorders>
            <w:shd w:val="clear" w:color="auto" w:fill="auto"/>
          </w:tcPr>
          <w:p w14:paraId="3528D6ED" w14:textId="77777777" w:rsidR="008D3645" w:rsidRPr="00835107" w:rsidRDefault="00FB47A6" w:rsidP="0003646A">
            <w:pPr>
              <w:pStyle w:val="TableText"/>
              <w:keepNext/>
              <w:keepLines/>
            </w:pPr>
            <w:r w:rsidRPr="00835107">
              <w:t>NOEC</w:t>
            </w:r>
          </w:p>
        </w:tc>
        <w:tc>
          <w:tcPr>
            <w:tcW w:w="687" w:type="pct"/>
            <w:tcBorders>
              <w:top w:val="single" w:sz="4" w:space="0" w:color="auto"/>
              <w:bottom w:val="nil"/>
            </w:tcBorders>
            <w:shd w:val="clear" w:color="auto" w:fill="auto"/>
          </w:tcPr>
          <w:p w14:paraId="3528D6EE" w14:textId="77777777" w:rsidR="008D3645" w:rsidRPr="00835107" w:rsidRDefault="00FB47A6" w:rsidP="0003646A">
            <w:pPr>
              <w:pStyle w:val="TableText"/>
              <w:keepNext/>
              <w:keepLines/>
            </w:pPr>
            <w:r w:rsidRPr="00835107">
              <w:t>7</w:t>
            </w:r>
          </w:p>
        </w:tc>
        <w:tc>
          <w:tcPr>
            <w:tcW w:w="897" w:type="pct"/>
            <w:tcBorders>
              <w:top w:val="single" w:sz="4" w:space="0" w:color="auto"/>
              <w:bottom w:val="nil"/>
            </w:tcBorders>
            <w:shd w:val="clear" w:color="auto" w:fill="auto"/>
          </w:tcPr>
          <w:p w14:paraId="3528D6EF" w14:textId="77777777" w:rsidR="008D3645" w:rsidRPr="00835107" w:rsidRDefault="00FB47A6" w:rsidP="0003646A">
            <w:pPr>
              <w:pStyle w:val="TableText"/>
              <w:keepNext/>
              <w:keepLines/>
            </w:pPr>
            <w:r w:rsidRPr="00835107">
              <w:t>7</w:t>
            </w:r>
            <w:r>
              <w:t xml:space="preserve"> </w:t>
            </w:r>
            <w:r>
              <w:rPr>
                <w:rStyle w:val="Strong"/>
                <w:vertAlign w:val="superscript"/>
              </w:rPr>
              <w:t>b</w:t>
            </w:r>
          </w:p>
        </w:tc>
      </w:tr>
      <w:tr w:rsidR="00791C17" w14:paraId="3528D6F8" w14:textId="77777777" w:rsidTr="00030FC1">
        <w:trPr>
          <w:cantSplit/>
        </w:trPr>
        <w:tc>
          <w:tcPr>
            <w:tcW w:w="592" w:type="pct"/>
            <w:tcBorders>
              <w:top w:val="single" w:sz="4" w:space="0" w:color="auto"/>
              <w:bottom w:val="single" w:sz="4" w:space="0" w:color="auto"/>
            </w:tcBorders>
            <w:shd w:val="clear" w:color="auto" w:fill="auto"/>
          </w:tcPr>
          <w:p w14:paraId="3528D6F1" w14:textId="77777777" w:rsidR="008D3645" w:rsidRPr="00A63269" w:rsidRDefault="00FB47A6" w:rsidP="0003646A">
            <w:pPr>
              <w:pStyle w:val="TableText"/>
              <w:keepNext/>
              <w:keepLines/>
            </w:pPr>
            <w:r w:rsidRPr="00A63269">
              <w:t>Insect</w:t>
            </w:r>
          </w:p>
        </w:tc>
        <w:tc>
          <w:tcPr>
            <w:tcW w:w="1221" w:type="pct"/>
            <w:tcBorders>
              <w:top w:val="single" w:sz="4" w:space="0" w:color="auto"/>
              <w:bottom w:val="single" w:sz="4" w:space="0" w:color="auto"/>
            </w:tcBorders>
            <w:shd w:val="clear" w:color="auto" w:fill="auto"/>
          </w:tcPr>
          <w:p w14:paraId="3528D6F2" w14:textId="77777777" w:rsidR="008D3645" w:rsidRPr="00DD5AA0" w:rsidRDefault="00FB47A6" w:rsidP="0003646A">
            <w:pPr>
              <w:pStyle w:val="TableText"/>
              <w:keepNext/>
              <w:keepLines/>
              <w:rPr>
                <w:rStyle w:val="Emphasis"/>
              </w:rPr>
            </w:pPr>
            <w:r w:rsidRPr="00DD5AA0">
              <w:rPr>
                <w:rStyle w:val="Emphasis"/>
              </w:rPr>
              <w:t>Chironomus dilutus</w:t>
            </w:r>
          </w:p>
        </w:tc>
        <w:tc>
          <w:tcPr>
            <w:tcW w:w="534" w:type="pct"/>
            <w:tcBorders>
              <w:top w:val="single" w:sz="4" w:space="0" w:color="auto"/>
              <w:bottom w:val="single" w:sz="4" w:space="0" w:color="auto"/>
            </w:tcBorders>
            <w:shd w:val="clear" w:color="auto" w:fill="auto"/>
          </w:tcPr>
          <w:p w14:paraId="3528D6F3" w14:textId="77777777" w:rsidR="008D3645" w:rsidRPr="00F76A7A" w:rsidRDefault="00FB47A6" w:rsidP="0003646A">
            <w:pPr>
              <w:pStyle w:val="TableText"/>
              <w:keepNext/>
              <w:keepLines/>
            </w:pPr>
            <w:r w:rsidRPr="00F76A7A">
              <w:t>Larvae</w:t>
            </w:r>
          </w:p>
        </w:tc>
        <w:tc>
          <w:tcPr>
            <w:tcW w:w="534" w:type="pct"/>
            <w:tcBorders>
              <w:top w:val="single" w:sz="4" w:space="0" w:color="auto"/>
              <w:bottom w:val="single" w:sz="4" w:space="0" w:color="auto"/>
            </w:tcBorders>
            <w:shd w:val="clear" w:color="auto" w:fill="auto"/>
          </w:tcPr>
          <w:p w14:paraId="3528D6F4" w14:textId="77777777" w:rsidR="008D3645" w:rsidRPr="008A7ACC" w:rsidRDefault="00FB47A6" w:rsidP="0003646A">
            <w:pPr>
              <w:pStyle w:val="TableText"/>
              <w:keepNext/>
              <w:keepLines/>
            </w:pPr>
            <w:r w:rsidRPr="00F76A7A">
              <w:t>240</w:t>
            </w:r>
          </w:p>
        </w:tc>
        <w:tc>
          <w:tcPr>
            <w:tcW w:w="535" w:type="pct"/>
            <w:tcBorders>
              <w:top w:val="single" w:sz="4" w:space="0" w:color="auto"/>
              <w:bottom w:val="single" w:sz="4" w:space="0" w:color="auto"/>
            </w:tcBorders>
            <w:shd w:val="clear" w:color="auto" w:fill="auto"/>
          </w:tcPr>
          <w:p w14:paraId="3528D6F5" w14:textId="77777777" w:rsidR="008D3645" w:rsidRPr="00F76A7A" w:rsidRDefault="00FB47A6" w:rsidP="0003646A">
            <w:pPr>
              <w:pStyle w:val="TableText"/>
              <w:keepNext/>
              <w:keepLines/>
            </w:pPr>
            <w:r w:rsidRPr="00F76A7A">
              <w:t>LOEC</w:t>
            </w:r>
          </w:p>
        </w:tc>
        <w:tc>
          <w:tcPr>
            <w:tcW w:w="687" w:type="pct"/>
            <w:tcBorders>
              <w:top w:val="single" w:sz="4" w:space="0" w:color="auto"/>
              <w:bottom w:val="single" w:sz="4" w:space="0" w:color="auto"/>
            </w:tcBorders>
            <w:shd w:val="clear" w:color="auto" w:fill="auto"/>
          </w:tcPr>
          <w:p w14:paraId="3528D6F6" w14:textId="77777777" w:rsidR="008D3645" w:rsidRPr="008A7ACC" w:rsidRDefault="00FB47A6" w:rsidP="0003646A">
            <w:pPr>
              <w:pStyle w:val="TableText"/>
              <w:keepNext/>
              <w:keepLines/>
            </w:pPr>
            <w:r w:rsidRPr="00F76A7A">
              <w:t>5</w:t>
            </w:r>
            <w:r>
              <w:t> </w:t>
            </w:r>
            <w:r w:rsidRPr="00F76A7A">
              <w:t>250</w:t>
            </w:r>
          </w:p>
        </w:tc>
        <w:tc>
          <w:tcPr>
            <w:tcW w:w="897" w:type="pct"/>
            <w:tcBorders>
              <w:top w:val="single" w:sz="4" w:space="0" w:color="auto"/>
              <w:bottom w:val="single" w:sz="4" w:space="0" w:color="auto"/>
            </w:tcBorders>
            <w:shd w:val="clear" w:color="auto" w:fill="auto"/>
          </w:tcPr>
          <w:p w14:paraId="3528D6F7" w14:textId="77777777" w:rsidR="008D3645" w:rsidRPr="008A7ACC" w:rsidRDefault="00FB47A6" w:rsidP="0003646A">
            <w:pPr>
              <w:pStyle w:val="TableText"/>
              <w:keepNext/>
              <w:keepLines/>
            </w:pPr>
            <w:r w:rsidRPr="00A63269">
              <w:t>2</w:t>
            </w:r>
            <w:r>
              <w:t> </w:t>
            </w:r>
            <w:r w:rsidRPr="00A63269">
              <w:t>100</w:t>
            </w:r>
            <w:r>
              <w:t xml:space="preserve"> </w:t>
            </w:r>
            <w:r>
              <w:rPr>
                <w:rStyle w:val="Strong"/>
                <w:vertAlign w:val="superscript"/>
              </w:rPr>
              <w:t>c</w:t>
            </w:r>
          </w:p>
        </w:tc>
      </w:tr>
      <w:tr w:rsidR="00791C17" w14:paraId="3528D700" w14:textId="77777777" w:rsidTr="00030FC1">
        <w:trPr>
          <w:cantSplit/>
        </w:trPr>
        <w:tc>
          <w:tcPr>
            <w:tcW w:w="592" w:type="pct"/>
            <w:tcBorders>
              <w:top w:val="single" w:sz="4" w:space="0" w:color="auto"/>
              <w:bottom w:val="single" w:sz="12" w:space="0" w:color="auto"/>
            </w:tcBorders>
            <w:shd w:val="clear" w:color="auto" w:fill="auto"/>
          </w:tcPr>
          <w:p w14:paraId="3528D6F9" w14:textId="77777777" w:rsidR="008D3645" w:rsidRPr="00875A00" w:rsidRDefault="00FB47A6" w:rsidP="0003646A">
            <w:pPr>
              <w:pStyle w:val="TableText"/>
              <w:keepNext/>
              <w:keepLines/>
            </w:pPr>
            <w:r w:rsidRPr="00875A00">
              <w:t>Fish</w:t>
            </w:r>
          </w:p>
        </w:tc>
        <w:tc>
          <w:tcPr>
            <w:tcW w:w="1221" w:type="pct"/>
            <w:tcBorders>
              <w:top w:val="single" w:sz="4" w:space="0" w:color="auto"/>
              <w:bottom w:val="single" w:sz="12" w:space="0" w:color="auto"/>
            </w:tcBorders>
            <w:shd w:val="clear" w:color="auto" w:fill="auto"/>
          </w:tcPr>
          <w:p w14:paraId="3528D6FA" w14:textId="77777777" w:rsidR="008D3645" w:rsidRPr="00DD5AA0" w:rsidRDefault="00FB47A6" w:rsidP="0003646A">
            <w:pPr>
              <w:pStyle w:val="TableText"/>
              <w:keepNext/>
              <w:keepLines/>
              <w:rPr>
                <w:rStyle w:val="Emphasis"/>
              </w:rPr>
            </w:pPr>
            <w:r w:rsidRPr="00DD5AA0">
              <w:rPr>
                <w:rStyle w:val="Emphasis"/>
              </w:rPr>
              <w:t>Pimephales promelas</w:t>
            </w:r>
          </w:p>
        </w:tc>
        <w:tc>
          <w:tcPr>
            <w:tcW w:w="534" w:type="pct"/>
            <w:tcBorders>
              <w:top w:val="single" w:sz="4" w:space="0" w:color="auto"/>
              <w:bottom w:val="single" w:sz="12" w:space="0" w:color="auto"/>
            </w:tcBorders>
            <w:shd w:val="clear" w:color="auto" w:fill="auto"/>
          </w:tcPr>
          <w:p w14:paraId="3528D6FB" w14:textId="77777777" w:rsidR="008D3645" w:rsidRPr="00875A00" w:rsidRDefault="00FB47A6" w:rsidP="0003646A">
            <w:pPr>
              <w:pStyle w:val="TableText"/>
              <w:keepNext/>
              <w:keepLines/>
            </w:pPr>
            <w:r w:rsidRPr="00875A00">
              <w:t>Larvae</w:t>
            </w:r>
          </w:p>
        </w:tc>
        <w:tc>
          <w:tcPr>
            <w:tcW w:w="534" w:type="pct"/>
            <w:tcBorders>
              <w:top w:val="single" w:sz="4" w:space="0" w:color="auto"/>
              <w:bottom w:val="single" w:sz="12" w:space="0" w:color="auto"/>
            </w:tcBorders>
            <w:shd w:val="clear" w:color="auto" w:fill="auto"/>
          </w:tcPr>
          <w:p w14:paraId="3528D6FC" w14:textId="77777777" w:rsidR="008D3645" w:rsidRPr="00875A00" w:rsidRDefault="00FB47A6" w:rsidP="0003646A">
            <w:pPr>
              <w:pStyle w:val="TableText"/>
              <w:keepNext/>
              <w:keepLines/>
            </w:pPr>
            <w:r w:rsidRPr="00875A00">
              <w:t>5</w:t>
            </w:r>
            <w:r>
              <w:t> </w:t>
            </w:r>
            <w:r w:rsidRPr="00875A00">
              <w:t>160</w:t>
            </w:r>
          </w:p>
        </w:tc>
        <w:tc>
          <w:tcPr>
            <w:tcW w:w="535" w:type="pct"/>
            <w:tcBorders>
              <w:top w:val="single" w:sz="4" w:space="0" w:color="auto"/>
              <w:bottom w:val="single" w:sz="12" w:space="0" w:color="auto"/>
            </w:tcBorders>
            <w:shd w:val="clear" w:color="auto" w:fill="auto"/>
          </w:tcPr>
          <w:p w14:paraId="3528D6FD" w14:textId="77777777" w:rsidR="008D3645" w:rsidRPr="00875A00" w:rsidRDefault="00FB47A6" w:rsidP="0003646A">
            <w:pPr>
              <w:pStyle w:val="TableText"/>
              <w:keepNext/>
              <w:keepLines/>
            </w:pPr>
            <w:r w:rsidRPr="00875A00">
              <w:t>NOEC</w:t>
            </w:r>
          </w:p>
        </w:tc>
        <w:tc>
          <w:tcPr>
            <w:tcW w:w="687" w:type="pct"/>
            <w:tcBorders>
              <w:top w:val="single" w:sz="4" w:space="0" w:color="auto"/>
              <w:bottom w:val="single" w:sz="12" w:space="0" w:color="auto"/>
            </w:tcBorders>
            <w:shd w:val="clear" w:color="auto" w:fill="auto"/>
          </w:tcPr>
          <w:p w14:paraId="3528D6FE" w14:textId="77777777" w:rsidR="008D3645" w:rsidRPr="00875A00" w:rsidRDefault="00FB47A6" w:rsidP="0003646A">
            <w:pPr>
              <w:pStyle w:val="TableText"/>
              <w:keepNext/>
              <w:keepLines/>
            </w:pPr>
            <w:r w:rsidRPr="00875A00">
              <w:t>1.35</w:t>
            </w:r>
          </w:p>
        </w:tc>
        <w:tc>
          <w:tcPr>
            <w:tcW w:w="897" w:type="pct"/>
            <w:tcBorders>
              <w:top w:val="single" w:sz="4" w:space="0" w:color="auto"/>
              <w:bottom w:val="single" w:sz="12" w:space="0" w:color="auto"/>
            </w:tcBorders>
            <w:shd w:val="clear" w:color="auto" w:fill="auto"/>
          </w:tcPr>
          <w:p w14:paraId="3528D6FF" w14:textId="77777777" w:rsidR="008D3645" w:rsidRPr="00875A00" w:rsidRDefault="00FB47A6" w:rsidP="0003646A">
            <w:pPr>
              <w:pStyle w:val="TableText"/>
              <w:keepNext/>
              <w:keepLines/>
            </w:pPr>
            <w:r w:rsidRPr="00875A00">
              <w:t>1.35</w:t>
            </w:r>
            <w:r>
              <w:t xml:space="preserve"> </w:t>
            </w:r>
            <w:r>
              <w:rPr>
                <w:rStyle w:val="Strong"/>
                <w:vertAlign w:val="superscript"/>
              </w:rPr>
              <w:t>b</w:t>
            </w:r>
          </w:p>
        </w:tc>
      </w:tr>
    </w:tbl>
    <w:p w14:paraId="3528D701" w14:textId="77777777" w:rsidR="00B969D1" w:rsidRDefault="00FB47A6" w:rsidP="0003646A">
      <w:pPr>
        <w:pStyle w:val="FigureTableNoteSource"/>
        <w:keepNext/>
        <w:keepLines/>
      </w:pPr>
      <w:r>
        <w:t xml:space="preserve">Note: </w:t>
      </w:r>
      <w:r w:rsidR="001517FB">
        <w:t>v</w:t>
      </w:r>
      <w:r w:rsidRPr="00CA4A82">
        <w:t xml:space="preserve">alues are reported to no more </w:t>
      </w:r>
      <w:r w:rsidRPr="00CA4A82">
        <w:t>than three significant figures.</w:t>
      </w:r>
    </w:p>
    <w:p w14:paraId="3528D702" w14:textId="77777777" w:rsidR="00167FF3" w:rsidRPr="00875A00" w:rsidRDefault="00FB47A6" w:rsidP="0003646A">
      <w:pPr>
        <w:pStyle w:val="FigureTableNoteSource"/>
        <w:keepNext/>
        <w:keepLines/>
      </w:pPr>
      <w:r w:rsidRPr="00B969D1">
        <w:rPr>
          <w:rStyle w:val="Strong"/>
        </w:rPr>
        <w:t xml:space="preserve">a </w:t>
      </w:r>
      <w:r w:rsidR="005951B0" w:rsidRPr="00875A00">
        <w:t>The measure of toxicity being estimated/determined:</w:t>
      </w:r>
      <w:r w:rsidR="001517FB">
        <w:t xml:space="preserve"> </w:t>
      </w:r>
      <w:r w:rsidR="005951B0" w:rsidRPr="00875A00">
        <w:t xml:space="preserve">NOEC: </w:t>
      </w:r>
      <w:r w:rsidR="00974D70" w:rsidRPr="00875A00">
        <w:t xml:space="preserve">no </w:t>
      </w:r>
      <w:r w:rsidR="005951B0" w:rsidRPr="00875A00">
        <w:t xml:space="preserve">observed effect concentration; LOEC: </w:t>
      </w:r>
      <w:r w:rsidR="00974D70" w:rsidRPr="00875A00">
        <w:t xml:space="preserve">lowest </w:t>
      </w:r>
      <w:r w:rsidR="005951B0" w:rsidRPr="00875A00">
        <w:t>observed effect concentration</w:t>
      </w:r>
      <w:r w:rsidR="00974D70">
        <w:t>.</w:t>
      </w:r>
    </w:p>
    <w:p w14:paraId="3528D703" w14:textId="77777777" w:rsidR="00167FF3" w:rsidRPr="00875A00" w:rsidRDefault="00FB47A6" w:rsidP="0003646A">
      <w:pPr>
        <w:pStyle w:val="FigureTableNoteSource"/>
        <w:keepNext/>
        <w:keepLines/>
      </w:pPr>
      <w:r w:rsidRPr="00B969D1">
        <w:rPr>
          <w:rStyle w:val="Strong"/>
        </w:rPr>
        <w:t xml:space="preserve">b </w:t>
      </w:r>
      <w:r w:rsidR="005951B0" w:rsidRPr="00875A00">
        <w:t>Actual chronic NOEC.</w:t>
      </w:r>
    </w:p>
    <w:p w14:paraId="3528D704" w14:textId="77777777" w:rsidR="00AA6B4A" w:rsidRDefault="00FB47A6" w:rsidP="0003646A">
      <w:pPr>
        <w:pStyle w:val="FigureTableNoteSource"/>
        <w:keepNext/>
        <w:keepLines/>
      </w:pPr>
      <w:r w:rsidRPr="00B969D1">
        <w:rPr>
          <w:rStyle w:val="Strong"/>
        </w:rPr>
        <w:t xml:space="preserve">c </w:t>
      </w:r>
      <w:r w:rsidR="005951B0" w:rsidRPr="00B7164F">
        <w:t xml:space="preserve">Default conversion from </w:t>
      </w:r>
      <w:r w:rsidR="00710822">
        <w:t>chronic</w:t>
      </w:r>
      <w:r w:rsidR="00710822" w:rsidRPr="00B7164F">
        <w:t xml:space="preserve"> </w:t>
      </w:r>
      <w:r w:rsidR="005951B0" w:rsidRPr="00B7164F">
        <w:t xml:space="preserve">LOEC to chronic </w:t>
      </w:r>
      <w:r w:rsidR="00975E2C">
        <w:t>negligible effect concentration</w:t>
      </w:r>
      <w:r w:rsidR="00975E2C" w:rsidRPr="00B7164F">
        <w:t xml:space="preserve"> </w:t>
      </w:r>
      <w:r w:rsidR="005951B0" w:rsidRPr="00B7164F">
        <w:t>(</w:t>
      </w:r>
      <w:r w:rsidR="00B1768B">
        <w:t xml:space="preserve">i.e. </w:t>
      </w:r>
      <w:r w:rsidR="008A480F">
        <w:t>chronic</w:t>
      </w:r>
      <w:r w:rsidR="008A480F" w:rsidRPr="00B7164F">
        <w:t xml:space="preserve"> </w:t>
      </w:r>
      <w:r w:rsidR="0021423E">
        <w:t>L</w:t>
      </w:r>
      <w:r w:rsidR="0021423E" w:rsidRPr="00B7164F">
        <w:t>OEC</w:t>
      </w:r>
      <w:r w:rsidR="00567DF6">
        <w:t xml:space="preserve"> </w:t>
      </w:r>
      <w:r w:rsidR="00790487">
        <w:rPr>
          <w:rFonts w:cs="Calibri"/>
        </w:rPr>
        <w:t>÷</w:t>
      </w:r>
      <w:r w:rsidR="00567DF6">
        <w:rPr>
          <w:rFonts w:cs="Calibri"/>
        </w:rPr>
        <w:t xml:space="preserve"> </w:t>
      </w:r>
      <w:r w:rsidR="005951B0" w:rsidRPr="00B7164F">
        <w:t>2.5).</w:t>
      </w:r>
    </w:p>
    <w:p w14:paraId="3528D705" w14:textId="77777777" w:rsidR="001158A3" w:rsidRPr="001158A3" w:rsidRDefault="00FB47A6" w:rsidP="0003646A">
      <w:pPr>
        <w:pStyle w:val="FigureTableNoteSource"/>
        <w:keepNext/>
        <w:keepLines/>
      </w:pPr>
      <w:r w:rsidRPr="001158A3">
        <w:rPr>
          <w:rStyle w:val="Strong"/>
        </w:rPr>
        <w:t>d</w:t>
      </w:r>
      <w:r>
        <w:t xml:space="preserve"> </w:t>
      </w:r>
      <w:r w:rsidR="00567DF6">
        <w:t>F</w:t>
      </w:r>
      <w:r w:rsidRPr="001158A3">
        <w:t xml:space="preserve">ormerly known as </w:t>
      </w:r>
      <w:r w:rsidRPr="001158A3">
        <w:rPr>
          <w:rStyle w:val="Emphasis"/>
        </w:rPr>
        <w:t>Selenastrum capricornutum</w:t>
      </w:r>
      <w:r w:rsidRPr="001158A3">
        <w:t xml:space="preserve"> and </w:t>
      </w:r>
      <w:r w:rsidRPr="001158A3">
        <w:rPr>
          <w:rStyle w:val="Emphasis"/>
        </w:rPr>
        <w:t>Pseudokirchneriella subcapitata</w:t>
      </w:r>
      <w:r>
        <w:t>.</w:t>
      </w:r>
    </w:p>
    <w:p w14:paraId="3528D706" w14:textId="77777777" w:rsidR="00167FF3" w:rsidRPr="00673F15" w:rsidRDefault="00FB47A6" w:rsidP="00167FF3">
      <w:pPr>
        <w:pStyle w:val="Heading3"/>
      </w:pPr>
      <w:bookmarkStart w:id="21" w:name="_Toc68188167"/>
      <w:r w:rsidRPr="00951DBD">
        <w:t xml:space="preserve">Species </w:t>
      </w:r>
      <w:r w:rsidRPr="00673F15">
        <w:t>sensitivity distribution</w:t>
      </w:r>
      <w:bookmarkEnd w:id="21"/>
    </w:p>
    <w:p w14:paraId="3528D707" w14:textId="77777777" w:rsidR="00167FF3" w:rsidRPr="00951DBD" w:rsidRDefault="00FB47A6" w:rsidP="00AC4579">
      <w:pPr>
        <w:spacing w:after="180"/>
        <w:rPr>
          <w:bCs/>
        </w:rPr>
      </w:pPr>
      <w:r w:rsidRPr="00673F15">
        <w:t>The cumulative frequency (species sensitivity) distribution (SSD)</w:t>
      </w:r>
      <w:r w:rsidRPr="00673F15">
        <w:t xml:space="preserve"> of the </w:t>
      </w:r>
      <w:r w:rsidR="00673F15" w:rsidRPr="008A7ACC">
        <w:t>eight</w:t>
      </w:r>
      <w:r w:rsidR="00673F15" w:rsidRPr="00673F15">
        <w:t xml:space="preserve"> </w:t>
      </w:r>
      <w:r w:rsidRPr="00673F15">
        <w:t xml:space="preserve">chronic </w:t>
      </w:r>
      <w:r w:rsidR="00583961" w:rsidRPr="00673F15">
        <w:t>mancozeb</w:t>
      </w:r>
      <w:r w:rsidRPr="00951DBD">
        <w:t xml:space="preserve"> toxicity </w:t>
      </w:r>
      <w:r w:rsidR="00790487">
        <w:t>values</w:t>
      </w:r>
      <w:r w:rsidR="00790487" w:rsidRPr="00951DBD">
        <w:t xml:space="preserve"> </w:t>
      </w:r>
      <w:r w:rsidRPr="00951DBD">
        <w:t xml:space="preserve">reported in </w:t>
      </w:r>
      <w:r w:rsidR="00822C7A">
        <w:fldChar w:fldCharType="begin"/>
      </w:r>
      <w:r w:rsidR="00822C7A">
        <w:instrText xml:space="preserve"> REF _Ref55902765 \h </w:instrText>
      </w:r>
      <w:r w:rsidR="00822C7A">
        <w:fldChar w:fldCharType="separate"/>
      </w:r>
      <w:r w:rsidR="00E747AE">
        <w:t>Table </w:t>
      </w:r>
      <w:r w:rsidR="00E747AE">
        <w:rPr>
          <w:noProof/>
        </w:rPr>
        <w:t>1</w:t>
      </w:r>
      <w:r w:rsidR="00822C7A">
        <w:fldChar w:fldCharType="end"/>
      </w:r>
      <w:r w:rsidRPr="00951DBD">
        <w:t xml:space="preserve">, is shown in </w:t>
      </w:r>
      <w:r w:rsidR="004B3215">
        <w:fldChar w:fldCharType="begin"/>
      </w:r>
      <w:r w:rsidR="004B3215">
        <w:instrText xml:space="preserve"> REF _Ref55903400 \h </w:instrText>
      </w:r>
      <w:r w:rsidR="004B3215">
        <w:fldChar w:fldCharType="separate"/>
      </w:r>
      <w:r w:rsidR="00E747AE">
        <w:t>Figure </w:t>
      </w:r>
      <w:r w:rsidR="00E747AE">
        <w:rPr>
          <w:noProof/>
        </w:rPr>
        <w:t>2</w:t>
      </w:r>
      <w:r w:rsidR="004B3215">
        <w:fldChar w:fldCharType="end"/>
      </w:r>
      <w:r w:rsidRPr="00951DBD">
        <w:t xml:space="preserve">. </w:t>
      </w:r>
      <w:r w:rsidRPr="00951DBD">
        <w:rPr>
          <w:bCs/>
        </w:rPr>
        <w:t xml:space="preserve">The model was judged to provide a </w:t>
      </w:r>
      <w:r w:rsidR="00F65675">
        <w:rPr>
          <w:bCs/>
        </w:rPr>
        <w:t>poor</w:t>
      </w:r>
      <w:r w:rsidR="00F65675" w:rsidRPr="00951DBD">
        <w:rPr>
          <w:bCs/>
        </w:rPr>
        <w:t xml:space="preserve"> </w:t>
      </w:r>
      <w:r w:rsidRPr="00951DBD">
        <w:rPr>
          <w:bCs/>
        </w:rPr>
        <w:t>fit to the data (</w:t>
      </w:r>
      <w:r w:rsidR="004B3215">
        <w:rPr>
          <w:bCs/>
        </w:rPr>
        <w:fldChar w:fldCharType="begin"/>
      </w:r>
      <w:r w:rsidR="004B3215">
        <w:rPr>
          <w:bCs/>
        </w:rPr>
        <w:instrText xml:space="preserve"> REF _Ref55903400 \h </w:instrText>
      </w:r>
      <w:r w:rsidR="004B3215">
        <w:rPr>
          <w:bCs/>
        </w:rPr>
      </w:r>
      <w:r w:rsidR="004B3215">
        <w:rPr>
          <w:bCs/>
        </w:rPr>
        <w:fldChar w:fldCharType="separate"/>
      </w:r>
      <w:r w:rsidR="00E747AE">
        <w:t>Figure </w:t>
      </w:r>
      <w:r w:rsidR="00E747AE">
        <w:rPr>
          <w:noProof/>
        </w:rPr>
        <w:t>2</w:t>
      </w:r>
      <w:r w:rsidR="004B3215">
        <w:rPr>
          <w:bCs/>
        </w:rPr>
        <w:fldChar w:fldCharType="end"/>
      </w:r>
      <w:r w:rsidRPr="00951DBD">
        <w:rPr>
          <w:bCs/>
        </w:rPr>
        <w:t>).</w:t>
      </w:r>
      <w:r w:rsidRPr="00951DBD">
        <w:t xml:space="preserve"> </w:t>
      </w:r>
    </w:p>
    <w:p w14:paraId="3528D708" w14:textId="77777777" w:rsidR="00993B8E" w:rsidRPr="00583961" w:rsidRDefault="00FB47A6" w:rsidP="00DD1934">
      <w:pPr>
        <w:keepLines/>
        <w:rPr>
          <w:lang w:bidi="en-US"/>
        </w:rPr>
      </w:pPr>
      <w:r w:rsidRPr="00993B8E">
        <w:rPr>
          <w:noProof/>
          <w:lang w:bidi="en-US"/>
        </w:rPr>
        <w:drawing>
          <wp:inline distT="0" distB="0" distL="0" distR="0" wp14:anchorId="3528D832" wp14:editId="3528D833">
            <wp:extent cx="4100400" cy="3682223"/>
            <wp:effectExtent l="0" t="0" r="0" b="0"/>
            <wp:docPr id="516235137" name="Picture 516235137">
              <a:extLst xmlns:a="http://schemas.openxmlformats.org/drawingml/2006/main">
                <a:ext uri="{FF2B5EF4-FFF2-40B4-BE49-F238E27FC236}">
                  <a16:creationId xmlns:a16="http://schemas.microsoft.com/office/drawing/2014/main" id="{A84B2B4D-859B-77D5-D854-E876899B73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88987" name="Picture 1">
                      <a:extLst>
                        <a:ext uri="{FF2B5EF4-FFF2-40B4-BE49-F238E27FC236}">
                          <a16:creationId xmlns:a16="http://schemas.microsoft.com/office/drawing/2014/main" id="{A84B2B4D-859B-77D5-D854-E876899B73F2}"/>
                        </a:ext>
                      </a:extLst>
                    </pic:cNvPr>
                    <pic:cNvPicPr>
                      <a:picLocks noChangeAspect="1"/>
                    </pic:cNvPicPr>
                  </pic:nvPicPr>
                  <pic:blipFill>
                    <a:blip r:embed="rId26"/>
                    <a:stretch>
                      <a:fillRect/>
                    </a:stretch>
                  </pic:blipFill>
                  <pic:spPr>
                    <a:xfrm>
                      <a:off x="0" y="0"/>
                      <a:ext cx="4100400" cy="3682223"/>
                    </a:xfrm>
                    <a:prstGeom prst="rect">
                      <a:avLst/>
                    </a:prstGeom>
                  </pic:spPr>
                </pic:pic>
              </a:graphicData>
            </a:graphic>
          </wp:inline>
        </w:drawing>
      </w:r>
    </w:p>
    <w:p w14:paraId="3528D709" w14:textId="77777777" w:rsidR="00DF3898" w:rsidRPr="00B37E36" w:rsidRDefault="00FB47A6" w:rsidP="00DD1934">
      <w:pPr>
        <w:pStyle w:val="Caption"/>
        <w:keepNext w:val="0"/>
        <w:keepLines/>
        <w:rPr>
          <w:rStyle w:val="FigurecaptionChar"/>
          <w:rFonts w:asciiTheme="minorHAnsi" w:eastAsiaTheme="majorEastAsia" w:hAnsiTheme="minorHAnsi" w:cstheme="majorBidi"/>
          <w:sz w:val="22"/>
          <w:lang w:bidi="ar-SA"/>
        </w:rPr>
      </w:pPr>
      <w:bookmarkStart w:id="22" w:name="_Ref55903400"/>
      <w:bookmarkStart w:id="23" w:name="_Toc4497481"/>
      <w:bookmarkStart w:id="24" w:name="_Toc6322405"/>
      <w:bookmarkStart w:id="25" w:name="_Toc68188175"/>
      <w:r>
        <w:t>Figure </w:t>
      </w:r>
      <w:r w:rsidR="00567DF6">
        <w:fldChar w:fldCharType="begin"/>
      </w:r>
      <w:r>
        <w:instrText xml:space="preserve"> SEQ Figure \* ARABIC </w:instrText>
      </w:r>
      <w:r w:rsidR="00567DF6">
        <w:fldChar w:fldCharType="separate"/>
      </w:r>
      <w:r w:rsidR="00E747AE">
        <w:rPr>
          <w:noProof/>
        </w:rPr>
        <w:t>2</w:t>
      </w:r>
      <w:r w:rsidR="00567DF6">
        <w:rPr>
          <w:noProof/>
        </w:rPr>
        <w:fldChar w:fldCharType="end"/>
      </w:r>
      <w:bookmarkEnd w:id="22"/>
      <w:r w:rsidR="00CA4A82" w:rsidRPr="00B37E36">
        <w:t xml:space="preserve"> </w:t>
      </w:r>
      <w:bookmarkEnd w:id="23"/>
      <w:bookmarkEnd w:id="24"/>
      <w:r w:rsidR="000B52F2">
        <w:rPr>
          <w:rStyle w:val="FigurecaptionChar"/>
          <w:rFonts w:asciiTheme="minorHAnsi" w:eastAsiaTheme="majorEastAsia" w:hAnsiTheme="minorHAnsi" w:cstheme="majorBidi"/>
          <w:sz w:val="22"/>
          <w:lang w:bidi="ar-SA"/>
        </w:rPr>
        <w:t>Species sensitivity</w:t>
      </w:r>
      <w:r w:rsidR="00CA4A82" w:rsidRPr="00B37E36">
        <w:rPr>
          <w:rStyle w:val="FigurecaptionChar"/>
          <w:rFonts w:asciiTheme="minorHAnsi" w:eastAsiaTheme="majorEastAsia" w:hAnsiTheme="minorHAnsi" w:cstheme="majorBidi"/>
          <w:sz w:val="22"/>
          <w:lang w:bidi="ar-SA"/>
        </w:rPr>
        <w:t xml:space="preserve"> distribution</w:t>
      </w:r>
      <w:r w:rsidR="000B52F2">
        <w:rPr>
          <w:rStyle w:val="FigurecaptionChar"/>
          <w:rFonts w:asciiTheme="minorHAnsi" w:eastAsiaTheme="majorEastAsia" w:hAnsiTheme="minorHAnsi" w:cstheme="majorBidi"/>
          <w:sz w:val="22"/>
          <w:lang w:bidi="ar-SA"/>
        </w:rPr>
        <w:t>,</w:t>
      </w:r>
      <w:r w:rsidR="00CA4A82" w:rsidRPr="00B37E36">
        <w:rPr>
          <w:rStyle w:val="FigurecaptionChar"/>
          <w:rFonts w:asciiTheme="minorHAnsi" w:eastAsiaTheme="majorEastAsia" w:hAnsiTheme="minorHAnsi" w:cstheme="majorBidi"/>
          <w:sz w:val="22"/>
          <w:lang w:bidi="ar-SA"/>
        </w:rPr>
        <w:t xml:space="preserve"> </w:t>
      </w:r>
      <w:r w:rsidR="00583961" w:rsidRPr="00B37E36">
        <w:rPr>
          <w:rStyle w:val="FigurecaptionChar"/>
          <w:rFonts w:asciiTheme="minorHAnsi" w:eastAsiaTheme="majorEastAsia" w:hAnsiTheme="minorHAnsi" w:cstheme="majorBidi"/>
          <w:sz w:val="22"/>
          <w:lang w:bidi="ar-SA"/>
        </w:rPr>
        <w:t>mancozeb</w:t>
      </w:r>
      <w:r w:rsidR="00CA4A82" w:rsidRPr="00B37E36">
        <w:rPr>
          <w:rStyle w:val="FigurecaptionChar"/>
          <w:rFonts w:asciiTheme="minorHAnsi" w:eastAsiaTheme="majorEastAsia" w:hAnsiTheme="minorHAnsi" w:cstheme="majorBidi"/>
          <w:sz w:val="22"/>
          <w:lang w:bidi="ar-SA"/>
        </w:rPr>
        <w:t xml:space="preserve"> </w:t>
      </w:r>
      <w:r w:rsidR="00903139">
        <w:rPr>
          <w:rStyle w:val="FigurecaptionChar"/>
          <w:rFonts w:asciiTheme="minorHAnsi" w:eastAsiaTheme="majorEastAsia" w:hAnsiTheme="minorHAnsi" w:cstheme="majorBidi"/>
          <w:sz w:val="22"/>
          <w:lang w:bidi="ar-SA"/>
        </w:rPr>
        <w:t xml:space="preserve">in </w:t>
      </w:r>
      <w:r w:rsidR="00CA4A82" w:rsidRPr="00B37E36">
        <w:rPr>
          <w:rStyle w:val="FigurecaptionChar"/>
          <w:rFonts w:asciiTheme="minorHAnsi" w:eastAsiaTheme="majorEastAsia" w:hAnsiTheme="minorHAnsi" w:cstheme="majorBidi"/>
          <w:sz w:val="22"/>
          <w:lang w:bidi="ar-SA"/>
        </w:rPr>
        <w:t>freshwater</w:t>
      </w:r>
      <w:bookmarkEnd w:id="25"/>
      <w:r w:rsidR="00CA4A82" w:rsidRPr="00B37E36">
        <w:rPr>
          <w:rStyle w:val="FigurecaptionChar"/>
          <w:rFonts w:asciiTheme="minorHAnsi" w:eastAsiaTheme="majorEastAsia" w:hAnsiTheme="minorHAnsi" w:cstheme="majorBidi"/>
          <w:sz w:val="22"/>
          <w:lang w:bidi="ar-SA"/>
        </w:rPr>
        <w:t xml:space="preserve"> </w:t>
      </w:r>
    </w:p>
    <w:p w14:paraId="3528D70A" w14:textId="77777777" w:rsidR="001303C0" w:rsidRPr="00583961" w:rsidRDefault="00FB47A6" w:rsidP="001303C0">
      <w:pPr>
        <w:pStyle w:val="Heading3"/>
      </w:pPr>
      <w:bookmarkStart w:id="26" w:name="_Ref55902604"/>
      <w:bookmarkStart w:id="27" w:name="_Toc68188168"/>
      <w:r w:rsidRPr="00583961">
        <w:t>Default guideline values</w:t>
      </w:r>
      <w:bookmarkEnd w:id="26"/>
      <w:bookmarkEnd w:id="27"/>
    </w:p>
    <w:p w14:paraId="3528D70B" w14:textId="77777777" w:rsidR="001303C0" w:rsidRPr="00AA5508" w:rsidRDefault="00FB47A6" w:rsidP="001303C0">
      <w:r w:rsidRPr="00583961">
        <w:t xml:space="preserve">It is important that the DGVs </w:t>
      </w:r>
      <w:r w:rsidR="00850AF1">
        <w:t>(</w:t>
      </w:r>
      <w:r w:rsidR="00822C7A">
        <w:fldChar w:fldCharType="begin"/>
      </w:r>
      <w:r w:rsidR="00822C7A">
        <w:instrText xml:space="preserve"> REF _Ref55902812 \h </w:instrText>
      </w:r>
      <w:r w:rsidR="00822C7A">
        <w:fldChar w:fldCharType="separate"/>
      </w:r>
      <w:r w:rsidR="00E747AE">
        <w:t>Table </w:t>
      </w:r>
      <w:r w:rsidR="00E747AE">
        <w:rPr>
          <w:noProof/>
        </w:rPr>
        <w:t>2</w:t>
      </w:r>
      <w:r w:rsidR="00822C7A">
        <w:fldChar w:fldCharType="end"/>
      </w:r>
      <w:r w:rsidR="00850AF1">
        <w:t xml:space="preserve">) </w:t>
      </w:r>
      <w:r w:rsidRPr="00583961">
        <w:t xml:space="preserve">and associated information in this technical brief are used in accordance with the detailed guidance provided in the Australian and New Zealand Guidelines for </w:t>
      </w:r>
      <w:r w:rsidRPr="00AA5508">
        <w:t>Fresh and Marine Water Quality website</w:t>
      </w:r>
      <w:r w:rsidR="00CF3490">
        <w:t xml:space="preserve"> (ANZG 2018)</w:t>
      </w:r>
      <w:r w:rsidRPr="00AA5508">
        <w:t xml:space="preserve">. </w:t>
      </w:r>
    </w:p>
    <w:p w14:paraId="3528D70C" w14:textId="77777777" w:rsidR="001E1504" w:rsidRDefault="00FB47A6" w:rsidP="0021099F">
      <w:pPr>
        <w:spacing w:after="120"/>
        <w:rPr>
          <w:rFonts w:cs="Arial"/>
        </w:rPr>
      </w:pPr>
      <w:r w:rsidRPr="00AA5508">
        <w:rPr>
          <w:bCs/>
        </w:rPr>
        <w:t xml:space="preserve">The </w:t>
      </w:r>
      <w:r w:rsidR="00AA5508" w:rsidRPr="00AA5508">
        <w:rPr>
          <w:bCs/>
        </w:rPr>
        <w:t>mancozeb</w:t>
      </w:r>
      <w:r w:rsidR="00375B3B" w:rsidRPr="00AA5508">
        <w:rPr>
          <w:bCs/>
        </w:rPr>
        <w:t xml:space="preserve"> </w:t>
      </w:r>
      <w:r w:rsidRPr="00AA5508">
        <w:rPr>
          <w:bCs/>
        </w:rPr>
        <w:t>DGVs for 99</w:t>
      </w:r>
      <w:r w:rsidR="00241878">
        <w:rPr>
          <w:bCs/>
        </w:rPr>
        <w:t>%</w:t>
      </w:r>
      <w:r w:rsidRPr="00AA5508">
        <w:rPr>
          <w:bCs/>
        </w:rPr>
        <w:t>, 95</w:t>
      </w:r>
      <w:r w:rsidR="00241878">
        <w:rPr>
          <w:bCs/>
        </w:rPr>
        <w:t>%</w:t>
      </w:r>
      <w:r w:rsidRPr="00AA5508">
        <w:rPr>
          <w:bCs/>
        </w:rPr>
        <w:t>, 90</w:t>
      </w:r>
      <w:r w:rsidR="00241878">
        <w:rPr>
          <w:bCs/>
        </w:rPr>
        <w:t>%</w:t>
      </w:r>
      <w:r w:rsidRPr="00AA5508">
        <w:rPr>
          <w:bCs/>
        </w:rPr>
        <w:t xml:space="preserve"> and 80% species protection are shown in </w:t>
      </w:r>
      <w:r w:rsidR="00822C7A">
        <w:rPr>
          <w:bCs/>
        </w:rPr>
        <w:fldChar w:fldCharType="begin"/>
      </w:r>
      <w:r w:rsidR="00822C7A">
        <w:rPr>
          <w:bCs/>
        </w:rPr>
        <w:instrText xml:space="preserve"> REF _Ref55902812 \h </w:instrText>
      </w:r>
      <w:r w:rsidR="00822C7A">
        <w:rPr>
          <w:bCs/>
        </w:rPr>
      </w:r>
      <w:r w:rsidR="00822C7A">
        <w:rPr>
          <w:bCs/>
        </w:rPr>
        <w:fldChar w:fldCharType="separate"/>
      </w:r>
      <w:r w:rsidR="00E747AE">
        <w:t>Table </w:t>
      </w:r>
      <w:r w:rsidR="00E747AE">
        <w:rPr>
          <w:noProof/>
        </w:rPr>
        <w:t>2</w:t>
      </w:r>
      <w:r w:rsidR="00822C7A">
        <w:rPr>
          <w:bCs/>
        </w:rPr>
        <w:fldChar w:fldCharType="end"/>
      </w:r>
      <w:r w:rsidRPr="00AA5508">
        <w:rPr>
          <w:bCs/>
        </w:rPr>
        <w:t xml:space="preserve">. The 95% species protection </w:t>
      </w:r>
      <w:r w:rsidR="00DD7301" w:rsidRPr="00AA5508">
        <w:rPr>
          <w:bCs/>
        </w:rPr>
        <w:t xml:space="preserve">DGV </w:t>
      </w:r>
      <w:r w:rsidRPr="00847FCE">
        <w:rPr>
          <w:bCs/>
        </w:rPr>
        <w:t xml:space="preserve">of </w:t>
      </w:r>
      <w:r w:rsidR="00875A00" w:rsidRPr="00847FCE">
        <w:rPr>
          <w:bCs/>
        </w:rPr>
        <w:t>1.</w:t>
      </w:r>
      <w:r w:rsidR="00847FCE" w:rsidRPr="008A7ACC">
        <w:rPr>
          <w:bCs/>
        </w:rPr>
        <w:t>2</w:t>
      </w:r>
      <w:r w:rsidR="00E66596">
        <w:rPr>
          <w:bCs/>
        </w:rPr>
        <w:t> </w:t>
      </w:r>
      <w:r w:rsidRPr="00847FCE">
        <w:rPr>
          <w:rFonts w:cstheme="minorHAnsi"/>
          <w:bCs/>
        </w:rPr>
        <w:t>µ</w:t>
      </w:r>
      <w:r w:rsidRPr="00F76A7A">
        <w:rPr>
          <w:bCs/>
        </w:rPr>
        <w:t>g/L is</w:t>
      </w:r>
      <w:r w:rsidRPr="00AA5508">
        <w:rPr>
          <w:bCs/>
        </w:rPr>
        <w:t xml:space="preserve"> recommended for application </w:t>
      </w:r>
      <w:r w:rsidR="00E66596">
        <w:rPr>
          <w:bCs/>
        </w:rPr>
        <w:t>to</w:t>
      </w:r>
      <w:r w:rsidR="00E66596" w:rsidRPr="00AA5508">
        <w:rPr>
          <w:bCs/>
        </w:rPr>
        <w:t xml:space="preserve"> </w:t>
      </w:r>
      <w:r w:rsidRPr="00AA5508">
        <w:rPr>
          <w:bCs/>
        </w:rPr>
        <w:t>slightly</w:t>
      </w:r>
      <w:r w:rsidR="00E66596">
        <w:rPr>
          <w:bCs/>
        </w:rPr>
        <w:t>-</w:t>
      </w:r>
      <w:r w:rsidRPr="00AA5508">
        <w:rPr>
          <w:bCs/>
        </w:rPr>
        <w:t>to</w:t>
      </w:r>
      <w:r w:rsidR="00E66596">
        <w:rPr>
          <w:bCs/>
        </w:rPr>
        <w:t>-</w:t>
      </w:r>
      <w:r w:rsidRPr="00AA5508">
        <w:rPr>
          <w:bCs/>
        </w:rPr>
        <w:t>moderate</w:t>
      </w:r>
      <w:r w:rsidR="00EA6773">
        <w:rPr>
          <w:bCs/>
        </w:rPr>
        <w:t>ly</w:t>
      </w:r>
      <w:r w:rsidRPr="00AA5508">
        <w:rPr>
          <w:bCs/>
        </w:rPr>
        <w:t xml:space="preserve"> disturbed ecosystems.</w:t>
      </w:r>
      <w:r>
        <w:rPr>
          <w:bCs/>
        </w:rPr>
        <w:t xml:space="preserve"> </w:t>
      </w:r>
      <w:r w:rsidRPr="00E81C4D">
        <w:rPr>
          <w:rFonts w:cs="Arial"/>
        </w:rPr>
        <w:t>However, given that current routine chemical analyses cannot discrimi</w:t>
      </w:r>
      <w:r w:rsidRPr="00E81C4D">
        <w:rPr>
          <w:rFonts w:cs="Arial"/>
        </w:rPr>
        <w:t>nate between the various dithiocarbamate or EBDC fungicides, it is recommended that</w:t>
      </w:r>
      <w:r w:rsidR="00E66596">
        <w:rPr>
          <w:rFonts w:cs="Arial"/>
        </w:rPr>
        <w:t xml:space="preserve"> </w:t>
      </w:r>
      <w:r w:rsidRPr="00E81C4D">
        <w:rPr>
          <w:rFonts w:cs="Arial"/>
        </w:rPr>
        <w:t>the concentration of ETU</w:t>
      </w:r>
      <w:r w:rsidR="00E66596" w:rsidRPr="00E66596">
        <w:rPr>
          <w:rFonts w:cs="Arial"/>
        </w:rPr>
        <w:t xml:space="preserve"> </w:t>
      </w:r>
      <w:r w:rsidR="00E66596">
        <w:rPr>
          <w:rFonts w:cs="Arial"/>
        </w:rPr>
        <w:t>(</w:t>
      </w:r>
      <w:r w:rsidR="00E66596" w:rsidRPr="00E81C4D">
        <w:rPr>
          <w:rFonts w:cs="Arial"/>
        </w:rPr>
        <w:t>which represents the sum of the EBDC fungicides</w:t>
      </w:r>
      <w:r w:rsidR="00E66596">
        <w:rPr>
          <w:rFonts w:cs="Arial"/>
        </w:rPr>
        <w:t>)</w:t>
      </w:r>
      <w:r w:rsidR="00E66596" w:rsidRPr="00E81C4D">
        <w:rPr>
          <w:rFonts w:cs="Arial"/>
        </w:rPr>
        <w:t xml:space="preserve"> in the sample</w:t>
      </w:r>
      <w:r w:rsidRPr="00E81C4D">
        <w:rPr>
          <w:rFonts w:cs="Arial"/>
        </w:rPr>
        <w:t xml:space="preserve"> is measured and compared with </w:t>
      </w:r>
      <w:r w:rsidR="00956C6B" w:rsidRPr="00E81C4D">
        <w:rPr>
          <w:rFonts w:cs="Arial"/>
        </w:rPr>
        <w:t xml:space="preserve">the ETU concentration equivalent to the relevant mancozeb DGV (i.e. the mancozeb equivalent ETU </w:t>
      </w:r>
      <w:r w:rsidR="00ED5B16">
        <w:rPr>
          <w:rFonts w:cs="Arial"/>
        </w:rPr>
        <w:t>DGV</w:t>
      </w:r>
      <w:r w:rsidR="00FE14C4">
        <w:rPr>
          <w:rFonts w:cs="Arial"/>
        </w:rPr>
        <w:t>, see below</w:t>
      </w:r>
      <w:r w:rsidR="00956C6B" w:rsidRPr="00E81C4D">
        <w:rPr>
          <w:rFonts w:cs="Arial"/>
        </w:rPr>
        <w:t>)</w:t>
      </w:r>
      <w:r w:rsidRPr="00E81C4D">
        <w:rPr>
          <w:rFonts w:cs="Arial"/>
        </w:rPr>
        <w:t>. Thus, if the mancozeb</w:t>
      </w:r>
      <w:r w:rsidR="00CF3490" w:rsidRPr="00E81C4D">
        <w:rPr>
          <w:rFonts w:cs="Arial"/>
        </w:rPr>
        <w:t xml:space="preserve"> equivalent ETU</w:t>
      </w:r>
      <w:r w:rsidRPr="00E81C4D">
        <w:rPr>
          <w:rFonts w:cs="Arial"/>
        </w:rPr>
        <w:t xml:space="preserve"> DGV is exceeded, further investigation would be required, which could include a more complex analysis specific </w:t>
      </w:r>
      <w:r>
        <w:rPr>
          <w:rFonts w:cs="Arial"/>
        </w:rPr>
        <w:t>to</w:t>
      </w:r>
      <w:r w:rsidRPr="00E81C4D">
        <w:rPr>
          <w:rFonts w:cs="Arial"/>
        </w:rPr>
        <w:t xml:space="preserve"> mancozeb (if available), as well as </w:t>
      </w:r>
      <w:r>
        <w:rPr>
          <w:rFonts w:cs="Arial"/>
        </w:rPr>
        <w:t xml:space="preserve">an </w:t>
      </w:r>
      <w:r w:rsidRPr="00E81C4D">
        <w:rPr>
          <w:rFonts w:cs="Arial"/>
        </w:rPr>
        <w:t xml:space="preserve">assessment of the EBDC fungicides used in the catchment. </w:t>
      </w:r>
    </w:p>
    <w:p w14:paraId="3528D70D" w14:textId="77777777" w:rsidR="000926B6" w:rsidRDefault="00FB47A6" w:rsidP="0021099F">
      <w:pPr>
        <w:spacing w:after="120"/>
        <w:rPr>
          <w:rFonts w:cs="Arial"/>
        </w:rPr>
      </w:pPr>
      <w:r>
        <w:rPr>
          <w:rFonts w:cs="Arial"/>
        </w:rPr>
        <w:t>A</w:t>
      </w:r>
      <w:r w:rsidR="00CA4A82" w:rsidRPr="00E81C4D">
        <w:rPr>
          <w:rFonts w:cs="Arial"/>
        </w:rPr>
        <w:t xml:space="preserve"> </w:t>
      </w:r>
      <w:r w:rsidR="00CF3490" w:rsidRPr="00E81C4D">
        <w:rPr>
          <w:rFonts w:cs="Arial"/>
        </w:rPr>
        <w:t>mancozeb</w:t>
      </w:r>
      <w:r w:rsidR="00CA4A82" w:rsidRPr="00E81C4D">
        <w:rPr>
          <w:rFonts w:cs="Arial"/>
        </w:rPr>
        <w:t xml:space="preserve"> equivalent </w:t>
      </w:r>
      <w:r w:rsidR="00CF3490" w:rsidRPr="00E81C4D">
        <w:rPr>
          <w:rFonts w:cs="Arial"/>
        </w:rPr>
        <w:t xml:space="preserve">ETU </w:t>
      </w:r>
      <w:r w:rsidR="00CA4A82" w:rsidRPr="00E81C4D">
        <w:rPr>
          <w:rFonts w:cs="Arial"/>
        </w:rPr>
        <w:t xml:space="preserve">concentration </w:t>
      </w:r>
      <w:r w:rsidR="00E81C4D">
        <w:rPr>
          <w:rFonts w:cs="Arial"/>
        </w:rPr>
        <w:t>can be</w:t>
      </w:r>
      <w:r w:rsidR="00CA4A82" w:rsidRPr="00E81C4D">
        <w:rPr>
          <w:rFonts w:cs="Arial"/>
        </w:rPr>
        <w:t xml:space="preserve"> calculated by</w:t>
      </w:r>
      <w:r>
        <w:rPr>
          <w:rFonts w:cs="Arial"/>
        </w:rPr>
        <w:t>:</w:t>
      </w:r>
    </w:p>
    <w:p w14:paraId="3528D70E" w14:textId="77777777" w:rsidR="000926B6" w:rsidRPr="000926B6" w:rsidRDefault="00FB47A6" w:rsidP="000926B6">
      <w:pPr>
        <w:pStyle w:val="ListBullet"/>
        <w:rPr>
          <w:lang w:val="en-GB"/>
        </w:rPr>
      </w:pPr>
      <w:r w:rsidRPr="00E81C4D">
        <w:rPr>
          <w:rFonts w:cs="Arial"/>
        </w:rPr>
        <w:t>accounting for</w:t>
      </w:r>
      <w:r w:rsidR="000B10FB">
        <w:t xml:space="preserve"> </w:t>
      </w:r>
      <w:r w:rsidRPr="00E81C4D">
        <w:t xml:space="preserve">the </w:t>
      </w:r>
      <w:r w:rsidR="00CA2E11">
        <w:t>2:1</w:t>
      </w:r>
      <w:r w:rsidRPr="00E81C4D">
        <w:t xml:space="preserve"> molar ratio between ETU</w:t>
      </w:r>
      <w:r w:rsidR="00CA2E11">
        <w:t xml:space="preserve"> and </w:t>
      </w:r>
      <w:r w:rsidR="00CA2E11" w:rsidRPr="00E81C4D">
        <w:t>mancozeb</w:t>
      </w:r>
      <w:r w:rsidR="00122315">
        <w:t>,</w:t>
      </w:r>
      <w:r w:rsidR="00FC564F">
        <w:t xml:space="preserve"> and</w:t>
      </w:r>
    </w:p>
    <w:p w14:paraId="3528D70F" w14:textId="77777777" w:rsidR="000926B6" w:rsidRPr="000926B6" w:rsidRDefault="00FB47A6" w:rsidP="000926B6">
      <w:pPr>
        <w:pStyle w:val="ListBullet"/>
        <w:rPr>
          <w:lang w:val="en-GB"/>
        </w:rPr>
      </w:pPr>
      <w:r w:rsidRPr="00E81C4D">
        <w:rPr>
          <w:rFonts w:cs="Arial"/>
        </w:rPr>
        <w:t>accounting for</w:t>
      </w:r>
      <w:r w:rsidR="000B10FB">
        <w:t xml:space="preserve"> </w:t>
      </w:r>
      <w:r w:rsidR="00CA4A82" w:rsidRPr="00E81C4D">
        <w:t>the compounds’ respective molecular weights</w:t>
      </w:r>
      <w:r w:rsidR="00CA2E11">
        <w:t xml:space="preserve"> </w:t>
      </w:r>
      <w:r w:rsidR="00CA4A82" w:rsidRPr="00E81C4D">
        <w:t>of 541 and 102</w:t>
      </w:r>
      <w:r w:rsidR="00122315">
        <w:t>,</w:t>
      </w:r>
      <w:r w:rsidR="00FC564F">
        <w:t xml:space="preserve"> and</w:t>
      </w:r>
    </w:p>
    <w:p w14:paraId="3528D710" w14:textId="77777777" w:rsidR="000926B6" w:rsidRDefault="00FB47A6" w:rsidP="000926B6">
      <w:pPr>
        <w:pStyle w:val="ListBullet"/>
        <w:rPr>
          <w:lang w:val="en-GB"/>
        </w:rPr>
      </w:pPr>
      <w:r>
        <w:t>assuming a conversion factor for</w:t>
      </w:r>
      <w:r w:rsidR="005951B0">
        <w:t xml:space="preserve"> mancozeb to ETU</w:t>
      </w:r>
      <w:r>
        <w:t xml:space="preserve"> of 20% (based on </w:t>
      </w:r>
      <w:r w:rsidRPr="00DB2E06">
        <w:t>L</w:t>
      </w:r>
      <w:r w:rsidRPr="00DB2E06">
        <w:rPr>
          <w:rFonts w:ascii="Calibri" w:hAnsi="Calibri"/>
        </w:rPr>
        <w:t>ó</w:t>
      </w:r>
      <w:r w:rsidRPr="00DB2E06">
        <w:t>pez-Fern</w:t>
      </w:r>
      <w:r w:rsidRPr="00DB2E06">
        <w:rPr>
          <w:rFonts w:ascii="Calibri" w:hAnsi="Calibri"/>
        </w:rPr>
        <w:t>á</w:t>
      </w:r>
      <w:r w:rsidRPr="00DB2E06">
        <w:t>ndez</w:t>
      </w:r>
      <w:r>
        <w:rPr>
          <w:lang w:val="en-GB"/>
        </w:rPr>
        <w:t xml:space="preserve"> et al. </w:t>
      </w:r>
      <w:r w:rsidR="005951B0">
        <w:rPr>
          <w:lang w:val="en-GB"/>
        </w:rPr>
        <w:t>(</w:t>
      </w:r>
      <w:r>
        <w:rPr>
          <w:lang w:val="en-GB"/>
        </w:rPr>
        <w:t>2016</w:t>
      </w:r>
      <w:r w:rsidR="005951B0">
        <w:rPr>
          <w:lang w:val="en-GB"/>
        </w:rPr>
        <w:t>)</w:t>
      </w:r>
      <w:r>
        <w:rPr>
          <w:lang w:val="en-GB"/>
        </w:rPr>
        <w:t xml:space="preserve">). </w:t>
      </w:r>
      <w:r w:rsidR="000E2D26" w:rsidRPr="00E81C4D">
        <w:rPr>
          <w:rFonts w:cs="Arial"/>
        </w:rPr>
        <w:t xml:space="preserve">Although the conversion of mancozeb </w:t>
      </w:r>
      <w:r w:rsidR="000E2D26">
        <w:rPr>
          <w:rFonts w:cs="Arial"/>
        </w:rPr>
        <w:t>may be higher</w:t>
      </w:r>
      <w:r w:rsidR="000E2D26" w:rsidRPr="00E81C4D">
        <w:rPr>
          <w:rFonts w:cs="Arial"/>
        </w:rPr>
        <w:t xml:space="preserve"> than </w:t>
      </w:r>
      <w:r w:rsidR="000E2D26">
        <w:rPr>
          <w:rFonts w:cs="Arial"/>
        </w:rPr>
        <w:t>20</w:t>
      </w:r>
      <w:r w:rsidR="000E2D26" w:rsidRPr="00E81C4D">
        <w:rPr>
          <w:rFonts w:cs="Arial"/>
        </w:rPr>
        <w:t xml:space="preserve">% </w:t>
      </w:r>
      <w:r w:rsidR="000E2D26">
        <w:rPr>
          <w:rFonts w:cs="Arial"/>
        </w:rPr>
        <w:t>under certain water quality conditions (</w:t>
      </w:r>
      <w:r w:rsidR="00436543">
        <w:rPr>
          <w:rFonts w:cs="Arial"/>
        </w:rPr>
        <w:t>Section </w:t>
      </w:r>
      <w:r w:rsidR="00436543">
        <w:rPr>
          <w:rFonts w:cs="Arial"/>
        </w:rPr>
        <w:fldChar w:fldCharType="begin"/>
      </w:r>
      <w:r w:rsidR="00436543">
        <w:rPr>
          <w:rFonts w:cs="Arial"/>
        </w:rPr>
        <w:instrText xml:space="preserve"> REF _Ref55902646 \r \h </w:instrText>
      </w:r>
      <w:r w:rsidR="00436543">
        <w:rPr>
          <w:rFonts w:cs="Arial"/>
        </w:rPr>
      </w:r>
      <w:r w:rsidR="00436543">
        <w:rPr>
          <w:rFonts w:cs="Arial"/>
        </w:rPr>
        <w:fldChar w:fldCharType="separate"/>
      </w:r>
      <w:r w:rsidR="00E747AE">
        <w:rPr>
          <w:rFonts w:cs="Arial"/>
        </w:rPr>
        <w:t>1</w:t>
      </w:r>
      <w:r w:rsidR="00436543">
        <w:rPr>
          <w:rFonts w:cs="Arial"/>
        </w:rPr>
        <w:fldChar w:fldCharType="end"/>
      </w:r>
      <w:r w:rsidR="000E2D26">
        <w:rPr>
          <w:rFonts w:cs="Arial"/>
        </w:rPr>
        <w:t>)</w:t>
      </w:r>
      <w:r w:rsidR="000E2D26" w:rsidRPr="00E81C4D">
        <w:rPr>
          <w:rFonts w:cs="Arial"/>
        </w:rPr>
        <w:t xml:space="preserve">, assuming </w:t>
      </w:r>
      <w:r w:rsidR="000E2D26">
        <w:rPr>
          <w:rFonts w:cs="Arial"/>
        </w:rPr>
        <w:t>a 20</w:t>
      </w:r>
      <w:r w:rsidR="000E2D26" w:rsidRPr="00E81C4D">
        <w:rPr>
          <w:rFonts w:cs="Arial"/>
        </w:rPr>
        <w:t xml:space="preserve">% conversion </w:t>
      </w:r>
      <w:r w:rsidR="000E2D26">
        <w:rPr>
          <w:rFonts w:cs="Arial"/>
        </w:rPr>
        <w:t>should be conservative</w:t>
      </w:r>
      <w:r w:rsidR="000E2D26" w:rsidRPr="00E81C4D">
        <w:rPr>
          <w:rFonts w:cs="Arial"/>
        </w:rPr>
        <w:t xml:space="preserve"> for an initial assessment of mancozeb in freshwater environments.</w:t>
      </w:r>
    </w:p>
    <w:p w14:paraId="3528D711" w14:textId="77777777" w:rsidR="006B5E82" w:rsidRDefault="00FB47A6" w:rsidP="0021099F">
      <w:pPr>
        <w:spacing w:after="120"/>
        <w:rPr>
          <w:rFonts w:cs="Arial"/>
        </w:rPr>
      </w:pPr>
      <w:r>
        <w:rPr>
          <w:rFonts w:cs="Arial"/>
        </w:rPr>
        <w:t>T</w:t>
      </w:r>
      <w:r w:rsidR="0021099F">
        <w:rPr>
          <w:rFonts w:cs="Arial"/>
        </w:rPr>
        <w:t>his entail</w:t>
      </w:r>
      <w:r>
        <w:rPr>
          <w:rFonts w:cs="Arial"/>
        </w:rPr>
        <w:t>s</w:t>
      </w:r>
      <w:r w:rsidR="0021099F">
        <w:rPr>
          <w:rFonts w:cs="Arial"/>
        </w:rPr>
        <w:t xml:space="preserve"> </w:t>
      </w:r>
      <w:r w:rsidR="00CF3490" w:rsidRPr="00E81C4D">
        <w:rPr>
          <w:rFonts w:cs="Arial"/>
        </w:rPr>
        <w:t>dividing the mancozeb DGVs by (</w:t>
      </w:r>
      <w:r w:rsidR="00CF3490" w:rsidRPr="00E81C4D">
        <w:rPr>
          <w:rFonts w:ascii="Calibri" w:eastAsia="Times New Roman" w:hAnsi="Calibri" w:cs="Times New Roman"/>
          <w:color w:val="000000"/>
          <w:lang w:eastAsia="en-GB"/>
        </w:rPr>
        <w:t>541/(102*2)</w:t>
      </w:r>
      <w:r w:rsidR="00584025">
        <w:rPr>
          <w:rFonts w:ascii="Calibri" w:eastAsia="Times New Roman" w:hAnsi="Calibri" w:cs="Times New Roman"/>
          <w:color w:val="000000"/>
          <w:lang w:eastAsia="en-GB"/>
        </w:rPr>
        <w:t>)/0.2</w:t>
      </w:r>
      <w:r w:rsidR="00CF3490" w:rsidRPr="00E81C4D">
        <w:rPr>
          <w:rFonts w:ascii="Calibri" w:eastAsia="Times New Roman" w:hAnsi="Calibri" w:cs="Times New Roman"/>
          <w:color w:val="000000"/>
          <w:lang w:eastAsia="en-GB"/>
        </w:rPr>
        <w:t xml:space="preserve"> = </w:t>
      </w:r>
      <w:r w:rsidR="00584025">
        <w:rPr>
          <w:rFonts w:ascii="Calibri" w:eastAsia="Times New Roman" w:hAnsi="Calibri" w:cs="Times New Roman"/>
          <w:color w:val="000000"/>
          <w:lang w:eastAsia="en-GB"/>
        </w:rPr>
        <w:t>13.25.</w:t>
      </w:r>
      <w:r w:rsidR="00CA4A82" w:rsidRPr="00E81C4D">
        <w:rPr>
          <w:rFonts w:cs="Arial"/>
        </w:rPr>
        <w:t xml:space="preserve"> Thus, the </w:t>
      </w:r>
      <w:r w:rsidR="00CF3490" w:rsidRPr="00E81C4D">
        <w:rPr>
          <w:rFonts w:cs="Arial"/>
        </w:rPr>
        <w:t>equivalent ETU</w:t>
      </w:r>
      <w:r w:rsidR="00CA4A82" w:rsidRPr="00E81C4D">
        <w:rPr>
          <w:rFonts w:cs="Arial"/>
        </w:rPr>
        <w:t xml:space="preserve"> concentrations for the 99%, 95%, 90% and 80% mancozeb DGVs are 0.0</w:t>
      </w:r>
      <w:r w:rsidR="00584025">
        <w:rPr>
          <w:rFonts w:cs="Arial"/>
        </w:rPr>
        <w:t>08</w:t>
      </w:r>
      <w:r w:rsidR="002062E8">
        <w:rPr>
          <w:rFonts w:cs="Arial"/>
        </w:rPr>
        <w:t> </w:t>
      </w:r>
      <w:r w:rsidR="00CA4A82" w:rsidRPr="00E81C4D">
        <w:rPr>
          <w:rFonts w:cstheme="minorHAnsi"/>
          <w:bCs/>
        </w:rPr>
        <w:t>µ</w:t>
      </w:r>
      <w:r w:rsidR="00CA4A82" w:rsidRPr="00E81C4D">
        <w:rPr>
          <w:bCs/>
        </w:rPr>
        <w:t>g/L, 0.</w:t>
      </w:r>
      <w:r w:rsidR="00584025">
        <w:rPr>
          <w:bCs/>
        </w:rPr>
        <w:t>09</w:t>
      </w:r>
      <w:r w:rsidR="002062E8">
        <w:rPr>
          <w:bCs/>
        </w:rPr>
        <w:t> </w:t>
      </w:r>
      <w:r w:rsidR="00CA4A82" w:rsidRPr="00E81C4D">
        <w:rPr>
          <w:rFonts w:cstheme="minorHAnsi"/>
          <w:bCs/>
        </w:rPr>
        <w:t>µ</w:t>
      </w:r>
      <w:r w:rsidR="00CA4A82" w:rsidRPr="00E81C4D">
        <w:rPr>
          <w:bCs/>
        </w:rPr>
        <w:t xml:space="preserve">g/L, </w:t>
      </w:r>
      <w:r w:rsidR="00584025">
        <w:rPr>
          <w:bCs/>
        </w:rPr>
        <w:t>0.</w:t>
      </w:r>
      <w:r w:rsidR="00E7169C">
        <w:rPr>
          <w:bCs/>
        </w:rPr>
        <w:t>27</w:t>
      </w:r>
      <w:r w:rsidR="002062E8">
        <w:rPr>
          <w:bCs/>
        </w:rPr>
        <w:t> </w:t>
      </w:r>
      <w:r w:rsidR="00CA4A82" w:rsidRPr="00E81C4D">
        <w:rPr>
          <w:rFonts w:cstheme="minorHAnsi"/>
          <w:bCs/>
        </w:rPr>
        <w:t>µ</w:t>
      </w:r>
      <w:r w:rsidR="00CA4A82" w:rsidRPr="00E81C4D">
        <w:rPr>
          <w:bCs/>
        </w:rPr>
        <w:t xml:space="preserve">g/L and </w:t>
      </w:r>
      <w:r w:rsidR="00584025">
        <w:rPr>
          <w:bCs/>
        </w:rPr>
        <w:t>0.8</w:t>
      </w:r>
      <w:r w:rsidR="00E7169C">
        <w:rPr>
          <w:bCs/>
        </w:rPr>
        <w:t>3</w:t>
      </w:r>
      <w:r w:rsidR="002062E8">
        <w:rPr>
          <w:bCs/>
        </w:rPr>
        <w:t> </w:t>
      </w:r>
      <w:r w:rsidR="00CA4A82" w:rsidRPr="00E81C4D">
        <w:rPr>
          <w:rFonts w:cstheme="minorHAnsi"/>
          <w:bCs/>
        </w:rPr>
        <w:t>µ</w:t>
      </w:r>
      <w:r w:rsidR="00CA4A82" w:rsidRPr="00E81C4D">
        <w:rPr>
          <w:bCs/>
        </w:rPr>
        <w:t>g/L, respectively.</w:t>
      </w:r>
      <w:r w:rsidR="00CA4A82" w:rsidRPr="00E81C4D">
        <w:rPr>
          <w:rFonts w:cs="Arial"/>
        </w:rPr>
        <w:t xml:space="preserve"> </w:t>
      </w:r>
      <w:r w:rsidR="00BD3FF2">
        <w:rPr>
          <w:rFonts w:cs="Arial"/>
        </w:rPr>
        <w:t>A</w:t>
      </w:r>
      <w:r w:rsidR="008E5357">
        <w:rPr>
          <w:rFonts w:cs="Arial"/>
        </w:rPr>
        <w:t xml:space="preserve">nalytical detection limits for ETU </w:t>
      </w:r>
      <w:r w:rsidR="00BD3FF2">
        <w:rPr>
          <w:rFonts w:cs="Arial"/>
        </w:rPr>
        <w:t>should allow</w:t>
      </w:r>
      <w:r w:rsidR="008E5357">
        <w:rPr>
          <w:rFonts w:cs="Arial"/>
        </w:rPr>
        <w:t xml:space="preserve"> reliable measurement of these concentrations, bar the 99% species protection value. </w:t>
      </w:r>
    </w:p>
    <w:p w14:paraId="3528D712" w14:textId="77777777" w:rsidR="00AE3CFB" w:rsidRDefault="00FB47A6" w:rsidP="0021099F">
      <w:pPr>
        <w:spacing w:after="120"/>
        <w:rPr>
          <w:rFonts w:cs="Arial"/>
        </w:rPr>
      </w:pPr>
      <w:r w:rsidRPr="00E81C4D">
        <w:rPr>
          <w:rFonts w:cs="Arial"/>
        </w:rPr>
        <w:t xml:space="preserve">Carbon disulfide </w:t>
      </w:r>
      <w:r w:rsidR="006B5E82">
        <w:rPr>
          <w:rFonts w:cs="Arial"/>
        </w:rPr>
        <w:t>(CS</w:t>
      </w:r>
      <w:r w:rsidR="006B5E82">
        <w:rPr>
          <w:rFonts w:cs="Arial"/>
          <w:vertAlign w:val="subscript"/>
        </w:rPr>
        <w:t>2</w:t>
      </w:r>
      <w:r w:rsidR="006B5E82">
        <w:rPr>
          <w:rFonts w:cs="Arial"/>
        </w:rPr>
        <w:t>)</w:t>
      </w:r>
      <w:r w:rsidR="000B10FB">
        <w:rPr>
          <w:rFonts w:cs="Arial"/>
        </w:rPr>
        <w:t xml:space="preserve"> </w:t>
      </w:r>
      <w:r w:rsidRPr="00E81C4D">
        <w:rPr>
          <w:rFonts w:cs="Arial"/>
        </w:rPr>
        <w:t xml:space="preserve">could </w:t>
      </w:r>
      <w:r w:rsidR="006B5E82">
        <w:rPr>
          <w:rFonts w:cs="Arial"/>
        </w:rPr>
        <w:t xml:space="preserve">also </w:t>
      </w:r>
      <w:r w:rsidRPr="00E81C4D">
        <w:rPr>
          <w:rFonts w:cs="Arial"/>
        </w:rPr>
        <w:t xml:space="preserve">be used as </w:t>
      </w:r>
      <w:r w:rsidR="00BD3FF2">
        <w:rPr>
          <w:rFonts w:cs="Arial"/>
        </w:rPr>
        <w:t>an</w:t>
      </w:r>
      <w:r w:rsidRPr="00E81C4D">
        <w:rPr>
          <w:rFonts w:cs="Arial"/>
        </w:rPr>
        <w:t xml:space="preserve"> indicator </w:t>
      </w:r>
      <w:r w:rsidR="006448B1" w:rsidRPr="00E81C4D">
        <w:rPr>
          <w:rFonts w:cs="Arial"/>
        </w:rPr>
        <w:t>compound</w:t>
      </w:r>
      <w:r w:rsidR="006448B1">
        <w:rPr>
          <w:rFonts w:cs="Arial"/>
        </w:rPr>
        <w:t xml:space="preserve"> for</w:t>
      </w:r>
      <w:r w:rsidR="00174141">
        <w:rPr>
          <w:rFonts w:cs="Arial"/>
        </w:rPr>
        <w:t xml:space="preserve"> mancozeb</w:t>
      </w:r>
      <w:r w:rsidRPr="00E81C4D">
        <w:rPr>
          <w:rFonts w:cs="Arial"/>
        </w:rPr>
        <w:t xml:space="preserve">, </w:t>
      </w:r>
      <w:r w:rsidR="00BD3FF2">
        <w:rPr>
          <w:rFonts w:cs="Arial"/>
        </w:rPr>
        <w:t>although</w:t>
      </w:r>
      <w:r w:rsidRPr="00E81C4D">
        <w:rPr>
          <w:rFonts w:cs="Arial"/>
        </w:rPr>
        <w:t xml:space="preserve"> </w:t>
      </w:r>
      <w:r w:rsidR="005C2F0F">
        <w:rPr>
          <w:rFonts w:cs="Arial"/>
        </w:rPr>
        <w:t xml:space="preserve">it </w:t>
      </w:r>
      <w:r w:rsidRPr="00E81C4D">
        <w:rPr>
          <w:rFonts w:cs="Arial"/>
        </w:rPr>
        <w:t xml:space="preserve">represents the sum of </w:t>
      </w:r>
      <w:r w:rsidR="0028110E" w:rsidRPr="00E81C4D">
        <w:rPr>
          <w:rFonts w:cs="Arial"/>
        </w:rPr>
        <w:t xml:space="preserve">all </w:t>
      </w:r>
      <w:r w:rsidRPr="00E81C4D">
        <w:rPr>
          <w:rFonts w:cs="Arial"/>
        </w:rPr>
        <w:t>the dithiocarbamate compounds</w:t>
      </w:r>
      <w:r w:rsidR="005C2F0F">
        <w:rPr>
          <w:rFonts w:cs="Arial"/>
        </w:rPr>
        <w:t xml:space="preserve"> and </w:t>
      </w:r>
      <w:r w:rsidR="00177117">
        <w:rPr>
          <w:rFonts w:cs="Arial"/>
        </w:rPr>
        <w:t xml:space="preserve">is </w:t>
      </w:r>
      <w:r w:rsidR="005C2F0F">
        <w:rPr>
          <w:rFonts w:cs="Arial"/>
        </w:rPr>
        <w:t xml:space="preserve">reported as total </w:t>
      </w:r>
      <w:r w:rsidR="005C2F0F" w:rsidRPr="00E81C4D">
        <w:rPr>
          <w:rFonts w:cs="Arial"/>
        </w:rPr>
        <w:t>dithiocarbamate</w:t>
      </w:r>
      <w:r w:rsidR="005C2F0F">
        <w:rPr>
          <w:rFonts w:cs="Arial"/>
        </w:rPr>
        <w:t>s</w:t>
      </w:r>
      <w:r w:rsidR="008E5357">
        <w:rPr>
          <w:rFonts w:cs="Arial"/>
        </w:rPr>
        <w:t>. Also, analytical detection limits may not reliably measure CS</w:t>
      </w:r>
      <w:r w:rsidR="008E5357" w:rsidRPr="008E5357">
        <w:rPr>
          <w:rFonts w:cs="Arial"/>
          <w:vertAlign w:val="subscript"/>
        </w:rPr>
        <w:t>2</w:t>
      </w:r>
      <w:r w:rsidR="008E5357">
        <w:rPr>
          <w:rFonts w:cs="Arial"/>
        </w:rPr>
        <w:t xml:space="preserve"> concentrations equivalent to the </w:t>
      </w:r>
      <w:r w:rsidR="00DE5F35">
        <w:rPr>
          <w:rFonts w:cs="Arial"/>
        </w:rPr>
        <w:t xml:space="preserve">99%, 95% and 90% species protection </w:t>
      </w:r>
      <w:r w:rsidR="008E5357">
        <w:rPr>
          <w:rFonts w:cs="Arial"/>
        </w:rPr>
        <w:t>DGVs</w:t>
      </w:r>
      <w:r w:rsidR="00DE5F35">
        <w:rPr>
          <w:rFonts w:cs="Arial"/>
        </w:rPr>
        <w:t xml:space="preserve"> for mancozeb</w:t>
      </w:r>
      <w:r w:rsidR="008E5357">
        <w:rPr>
          <w:rFonts w:cs="Arial"/>
        </w:rPr>
        <w:t>.</w:t>
      </w:r>
      <w:r w:rsidR="00093C5B">
        <w:rPr>
          <w:rFonts w:cs="Arial"/>
        </w:rPr>
        <w:t xml:space="preserve"> </w:t>
      </w:r>
    </w:p>
    <w:p w14:paraId="3528D713" w14:textId="77777777" w:rsidR="004B2B50" w:rsidRDefault="00FB47A6" w:rsidP="0021099F">
      <w:pPr>
        <w:spacing w:after="120"/>
        <w:rPr>
          <w:rFonts w:cs="Arial"/>
        </w:rPr>
      </w:pPr>
      <w:r>
        <w:rPr>
          <w:rFonts w:cs="Arial"/>
        </w:rPr>
        <w:t xml:space="preserve">Given the analytical challenges, </w:t>
      </w:r>
      <w:r w:rsidR="00093C5B">
        <w:rPr>
          <w:rFonts w:cs="Arial"/>
        </w:rPr>
        <w:t xml:space="preserve">there </w:t>
      </w:r>
      <w:r w:rsidR="00AE3CFB">
        <w:rPr>
          <w:rFonts w:cs="Arial"/>
        </w:rPr>
        <w:t>is</w:t>
      </w:r>
      <w:r>
        <w:rPr>
          <w:rFonts w:cs="Arial"/>
        </w:rPr>
        <w:t xml:space="preserve"> </w:t>
      </w:r>
      <w:r w:rsidR="00093C5B">
        <w:rPr>
          <w:rFonts w:cs="Arial"/>
        </w:rPr>
        <w:t xml:space="preserve">significant </w:t>
      </w:r>
      <w:r w:rsidR="006448B1">
        <w:rPr>
          <w:rFonts w:cs="Arial"/>
        </w:rPr>
        <w:t>uncertainty</w:t>
      </w:r>
      <w:r w:rsidR="00093C5B">
        <w:rPr>
          <w:rFonts w:cs="Arial"/>
        </w:rPr>
        <w:t xml:space="preserve"> associated with </w:t>
      </w:r>
      <w:r w:rsidR="00AE3CFB">
        <w:rPr>
          <w:rFonts w:cs="Arial"/>
        </w:rPr>
        <w:t xml:space="preserve">applying </w:t>
      </w:r>
      <w:r>
        <w:rPr>
          <w:rFonts w:cs="Arial"/>
        </w:rPr>
        <w:t xml:space="preserve">the </w:t>
      </w:r>
      <w:r w:rsidR="00093C5B">
        <w:rPr>
          <w:rFonts w:cs="Arial"/>
        </w:rPr>
        <w:t>man</w:t>
      </w:r>
      <w:r w:rsidR="00DE5F35">
        <w:rPr>
          <w:rFonts w:cs="Arial"/>
        </w:rPr>
        <w:t>c</w:t>
      </w:r>
      <w:r w:rsidR="00093C5B">
        <w:rPr>
          <w:rFonts w:cs="Arial"/>
        </w:rPr>
        <w:t>ozeb DGVs</w:t>
      </w:r>
      <w:r w:rsidR="00AE3CFB">
        <w:rPr>
          <w:rFonts w:cs="Arial"/>
        </w:rPr>
        <w:t>;</w:t>
      </w:r>
      <w:r w:rsidR="00093C5B">
        <w:rPr>
          <w:rFonts w:cs="Arial"/>
        </w:rPr>
        <w:t xml:space="preserve"> as such, </w:t>
      </w:r>
      <w:r w:rsidR="00093C5B">
        <w:t>they</w:t>
      </w:r>
      <w:r w:rsidR="00093C5B" w:rsidRPr="00A03366">
        <w:t xml:space="preserve"> should</w:t>
      </w:r>
      <w:r w:rsidR="00AE3CFB">
        <w:t xml:space="preserve"> </w:t>
      </w:r>
      <w:r w:rsidR="00093C5B" w:rsidRPr="00A03366">
        <w:t xml:space="preserve">be </w:t>
      </w:r>
      <w:r w:rsidR="00F7564F">
        <w:t>used</w:t>
      </w:r>
      <w:r>
        <w:t xml:space="preserve"> with caution and </w:t>
      </w:r>
      <w:r w:rsidR="00F7564F">
        <w:t>always</w:t>
      </w:r>
      <w:r w:rsidR="00093C5B" w:rsidRPr="00A03366">
        <w:t xml:space="preserve"> in conjunction with other lines of evidence.</w:t>
      </w:r>
    </w:p>
    <w:p w14:paraId="3528D714" w14:textId="77777777" w:rsidR="001303C0" w:rsidRPr="00B37E36" w:rsidRDefault="00FB47A6" w:rsidP="00822C7A">
      <w:pPr>
        <w:pStyle w:val="Caption"/>
      </w:pPr>
      <w:bookmarkStart w:id="28" w:name="_Ref55902812"/>
      <w:bookmarkStart w:id="29" w:name="_Toc68188177"/>
      <w:r>
        <w:t>Table </w:t>
      </w:r>
      <w:r w:rsidR="00567DF6">
        <w:fldChar w:fldCharType="begin"/>
      </w:r>
      <w:r>
        <w:instrText xml:space="preserve"> SEQ Table \* ARABIC </w:instrText>
      </w:r>
      <w:r w:rsidR="00567DF6">
        <w:fldChar w:fldCharType="separate"/>
      </w:r>
      <w:r w:rsidR="00E747AE">
        <w:rPr>
          <w:noProof/>
        </w:rPr>
        <w:t>2</w:t>
      </w:r>
      <w:r w:rsidR="00567DF6">
        <w:rPr>
          <w:noProof/>
        </w:rPr>
        <w:fldChar w:fldCharType="end"/>
      </w:r>
      <w:bookmarkEnd w:id="28"/>
      <w:r w:rsidR="00CA4A82" w:rsidRPr="00B37E36">
        <w:t xml:space="preserve"> Toxicant default guideline values, </w:t>
      </w:r>
      <w:r w:rsidR="00AA5508" w:rsidRPr="00B37E36">
        <w:t>mancozeb</w:t>
      </w:r>
      <w:r w:rsidR="00CA4A82" w:rsidRPr="00B37E36">
        <w:t xml:space="preserve"> in freshwater, moderate reliability</w:t>
      </w:r>
      <w:bookmarkEnd w:id="2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oxicant default guideline values, mancozeb in freshwater, moderate reliability"/>
        <w:tblDescription w:val="Table shows the guideline values for a range of protection levels for mancozeb in freshwater. The four levels of species protection are 99%, 95%, 90% and 80%. The corresponding default guideline values are 0.1, 1.2, 3.6 and 11 (microgram per litre), respectively."/>
      </w:tblPr>
      <w:tblGrid>
        <w:gridCol w:w="4535"/>
        <w:gridCol w:w="4535"/>
      </w:tblGrid>
      <w:tr w:rsidR="00791C17" w14:paraId="3528D717" w14:textId="77777777" w:rsidTr="00B37E36">
        <w:trPr>
          <w:tblHeader/>
        </w:trPr>
        <w:tc>
          <w:tcPr>
            <w:tcW w:w="2500" w:type="pct"/>
            <w:tcBorders>
              <w:top w:val="single" w:sz="12" w:space="0" w:color="auto"/>
              <w:bottom w:val="single" w:sz="12" w:space="0" w:color="auto"/>
            </w:tcBorders>
            <w:vAlign w:val="center"/>
          </w:tcPr>
          <w:p w14:paraId="3528D715" w14:textId="77777777" w:rsidR="001303C0" w:rsidRPr="00B37E36" w:rsidRDefault="00FB47A6" w:rsidP="00B37E36">
            <w:pPr>
              <w:pStyle w:val="TableHeading"/>
            </w:pPr>
            <w:r w:rsidRPr="00B37E36">
              <w:t>Level of species protection (%)</w:t>
            </w:r>
          </w:p>
        </w:tc>
        <w:tc>
          <w:tcPr>
            <w:tcW w:w="2500" w:type="pct"/>
            <w:tcBorders>
              <w:top w:val="single" w:sz="12" w:space="0" w:color="auto"/>
              <w:bottom w:val="single" w:sz="12" w:space="0" w:color="auto"/>
            </w:tcBorders>
            <w:vAlign w:val="center"/>
          </w:tcPr>
          <w:p w14:paraId="3528D716" w14:textId="77777777" w:rsidR="001303C0" w:rsidRPr="00B37E36" w:rsidRDefault="00FB47A6" w:rsidP="00B37E36">
            <w:pPr>
              <w:pStyle w:val="TableHeading"/>
            </w:pPr>
            <w:r w:rsidRPr="00B37E36">
              <w:t xml:space="preserve">DGV for </w:t>
            </w:r>
            <w:r w:rsidR="00AA5508" w:rsidRPr="00B37E36">
              <w:t>mancozeb</w:t>
            </w:r>
            <w:r w:rsidRPr="00B37E36">
              <w:t xml:space="preserve"> in freshwater (</w:t>
            </w:r>
            <w:r w:rsidRPr="00B37E36">
              <w:rPr>
                <w:rFonts w:ascii="Symbol" w:hAnsi="Symbol"/>
              </w:rPr>
              <w:sym w:font="Symbol" w:char="F06D"/>
            </w:r>
            <w:r w:rsidRPr="00B37E36">
              <w:t>g/L)</w:t>
            </w:r>
          </w:p>
        </w:tc>
      </w:tr>
      <w:tr w:rsidR="00791C17" w14:paraId="3528D71A" w14:textId="77777777" w:rsidTr="00B37E36">
        <w:trPr>
          <w:trHeight w:val="284"/>
        </w:trPr>
        <w:tc>
          <w:tcPr>
            <w:tcW w:w="2500" w:type="pct"/>
            <w:tcBorders>
              <w:top w:val="single" w:sz="12" w:space="0" w:color="auto"/>
              <w:bottom w:val="single" w:sz="4" w:space="0" w:color="auto"/>
            </w:tcBorders>
          </w:tcPr>
          <w:p w14:paraId="3528D718" w14:textId="77777777" w:rsidR="001303C0" w:rsidRPr="00B37E36" w:rsidRDefault="00FB47A6" w:rsidP="00B37E36">
            <w:pPr>
              <w:pStyle w:val="TableText"/>
            </w:pPr>
            <w:r w:rsidRPr="00B37E36">
              <w:t>99</w:t>
            </w:r>
          </w:p>
        </w:tc>
        <w:tc>
          <w:tcPr>
            <w:tcW w:w="2500" w:type="pct"/>
            <w:tcBorders>
              <w:top w:val="single" w:sz="12" w:space="0" w:color="auto"/>
              <w:bottom w:val="single" w:sz="4" w:space="0" w:color="auto"/>
            </w:tcBorders>
          </w:tcPr>
          <w:p w14:paraId="3528D719" w14:textId="77777777" w:rsidR="001303C0" w:rsidRPr="00B37E36" w:rsidRDefault="00FB47A6" w:rsidP="00B37E36">
            <w:pPr>
              <w:pStyle w:val="TableText"/>
            </w:pPr>
            <w:r w:rsidRPr="00B37E36">
              <w:t>0.</w:t>
            </w:r>
            <w:r w:rsidR="00FA09FC" w:rsidRPr="00B37E36">
              <w:t>1</w:t>
            </w:r>
          </w:p>
        </w:tc>
      </w:tr>
      <w:tr w:rsidR="00791C17" w14:paraId="3528D71D" w14:textId="77777777" w:rsidTr="00B37E36">
        <w:trPr>
          <w:trHeight w:val="284"/>
        </w:trPr>
        <w:tc>
          <w:tcPr>
            <w:tcW w:w="2500" w:type="pct"/>
            <w:tcBorders>
              <w:top w:val="single" w:sz="4" w:space="0" w:color="auto"/>
              <w:bottom w:val="single" w:sz="4" w:space="0" w:color="auto"/>
            </w:tcBorders>
          </w:tcPr>
          <w:p w14:paraId="3528D71B" w14:textId="77777777" w:rsidR="001303C0" w:rsidRPr="00B37E36" w:rsidRDefault="00FB47A6" w:rsidP="00B37E36">
            <w:pPr>
              <w:pStyle w:val="TableText"/>
            </w:pPr>
            <w:r w:rsidRPr="00B37E36">
              <w:t>95</w:t>
            </w:r>
          </w:p>
        </w:tc>
        <w:tc>
          <w:tcPr>
            <w:tcW w:w="2500" w:type="pct"/>
            <w:tcBorders>
              <w:top w:val="single" w:sz="4" w:space="0" w:color="auto"/>
              <w:bottom w:val="single" w:sz="4" w:space="0" w:color="auto"/>
            </w:tcBorders>
          </w:tcPr>
          <w:p w14:paraId="3528D71C" w14:textId="77777777" w:rsidR="001303C0" w:rsidRPr="00B37E36" w:rsidRDefault="00FB47A6" w:rsidP="00B37E36">
            <w:pPr>
              <w:pStyle w:val="TableText"/>
            </w:pPr>
            <w:r w:rsidRPr="00B37E36">
              <w:t>1</w:t>
            </w:r>
            <w:r w:rsidR="00375B3B" w:rsidRPr="00B37E36">
              <w:t>.</w:t>
            </w:r>
            <w:r w:rsidR="00F76A7A" w:rsidRPr="00B37E36">
              <w:t>2</w:t>
            </w:r>
          </w:p>
        </w:tc>
      </w:tr>
      <w:tr w:rsidR="00791C17" w14:paraId="3528D720" w14:textId="77777777" w:rsidTr="00B37E36">
        <w:trPr>
          <w:trHeight w:val="284"/>
        </w:trPr>
        <w:tc>
          <w:tcPr>
            <w:tcW w:w="2500" w:type="pct"/>
            <w:tcBorders>
              <w:top w:val="single" w:sz="4" w:space="0" w:color="auto"/>
              <w:bottom w:val="single" w:sz="4" w:space="0" w:color="auto"/>
            </w:tcBorders>
          </w:tcPr>
          <w:p w14:paraId="3528D71E" w14:textId="77777777" w:rsidR="001303C0" w:rsidRPr="00B37E36" w:rsidRDefault="00FB47A6" w:rsidP="00B37E36">
            <w:pPr>
              <w:pStyle w:val="TableText"/>
            </w:pPr>
            <w:r w:rsidRPr="00B37E36">
              <w:t>90</w:t>
            </w:r>
          </w:p>
        </w:tc>
        <w:tc>
          <w:tcPr>
            <w:tcW w:w="2500" w:type="pct"/>
            <w:tcBorders>
              <w:top w:val="single" w:sz="4" w:space="0" w:color="auto"/>
              <w:bottom w:val="single" w:sz="4" w:space="0" w:color="auto"/>
            </w:tcBorders>
          </w:tcPr>
          <w:p w14:paraId="3528D71F" w14:textId="77777777" w:rsidR="001303C0" w:rsidRPr="00B37E36" w:rsidRDefault="00FB47A6" w:rsidP="00B37E36">
            <w:pPr>
              <w:pStyle w:val="TableText"/>
            </w:pPr>
            <w:r w:rsidRPr="00B37E36">
              <w:t>3</w:t>
            </w:r>
            <w:r w:rsidR="00AA5508" w:rsidRPr="00B37E36">
              <w:t>.</w:t>
            </w:r>
            <w:r w:rsidRPr="00B37E36">
              <w:t>6</w:t>
            </w:r>
          </w:p>
        </w:tc>
      </w:tr>
      <w:tr w:rsidR="00791C17" w14:paraId="3528D723" w14:textId="77777777" w:rsidTr="00B37E36">
        <w:trPr>
          <w:trHeight w:val="284"/>
        </w:trPr>
        <w:tc>
          <w:tcPr>
            <w:tcW w:w="2500" w:type="pct"/>
            <w:tcBorders>
              <w:top w:val="single" w:sz="4" w:space="0" w:color="auto"/>
              <w:bottom w:val="single" w:sz="12" w:space="0" w:color="auto"/>
            </w:tcBorders>
          </w:tcPr>
          <w:p w14:paraId="3528D721" w14:textId="77777777" w:rsidR="001303C0" w:rsidRPr="00B37E36" w:rsidRDefault="00FB47A6" w:rsidP="00B37E36">
            <w:pPr>
              <w:pStyle w:val="TableText"/>
            </w:pPr>
            <w:r w:rsidRPr="00B37E36">
              <w:t>80</w:t>
            </w:r>
          </w:p>
        </w:tc>
        <w:tc>
          <w:tcPr>
            <w:tcW w:w="2500" w:type="pct"/>
            <w:tcBorders>
              <w:top w:val="single" w:sz="4" w:space="0" w:color="auto"/>
              <w:bottom w:val="single" w:sz="12" w:space="0" w:color="auto"/>
            </w:tcBorders>
          </w:tcPr>
          <w:p w14:paraId="3528D722" w14:textId="77777777" w:rsidR="001303C0" w:rsidRPr="00B37E36" w:rsidRDefault="00FB47A6" w:rsidP="00B37E36">
            <w:pPr>
              <w:pStyle w:val="TableText"/>
            </w:pPr>
            <w:r w:rsidRPr="00B37E36">
              <w:t>1</w:t>
            </w:r>
            <w:r w:rsidR="00F76A7A" w:rsidRPr="00B37E36">
              <w:t>1</w:t>
            </w:r>
          </w:p>
        </w:tc>
      </w:tr>
    </w:tbl>
    <w:p w14:paraId="3528D724" w14:textId="77777777" w:rsidR="00AA5508" w:rsidRDefault="00AA5508" w:rsidP="00375B3B">
      <w:pPr>
        <w:rPr>
          <w:rFonts w:cs="Arial"/>
          <w:highlight w:val="yellow"/>
        </w:rPr>
      </w:pPr>
    </w:p>
    <w:p w14:paraId="3528D725" w14:textId="77777777" w:rsidR="00375B3B" w:rsidRPr="00951DBD" w:rsidRDefault="00FB47A6" w:rsidP="00375B3B">
      <w:pPr>
        <w:rPr>
          <w:rFonts w:cs="Arial"/>
        </w:rPr>
      </w:pPr>
      <w:r w:rsidRPr="00F76A7A">
        <w:rPr>
          <w:rFonts w:cs="Arial"/>
        </w:rPr>
        <w:t xml:space="preserve">The DGVs were compared to the raw </w:t>
      </w:r>
      <w:r w:rsidR="008B45DE">
        <w:rPr>
          <w:rFonts w:cs="Arial"/>
        </w:rPr>
        <w:t>chronic</w:t>
      </w:r>
      <w:r w:rsidR="008B45DE" w:rsidRPr="00F76A7A">
        <w:rPr>
          <w:rFonts w:cs="Arial"/>
        </w:rPr>
        <w:t xml:space="preserve"> </w:t>
      </w:r>
      <w:r w:rsidRPr="00F76A7A">
        <w:rPr>
          <w:rFonts w:cs="Arial"/>
        </w:rPr>
        <w:t xml:space="preserve">toxicity data </w:t>
      </w:r>
      <w:r w:rsidR="009B46E4" w:rsidRPr="00F76A7A">
        <w:rPr>
          <w:rFonts w:cs="Arial"/>
        </w:rPr>
        <w:t>compiled from the literature review</w:t>
      </w:r>
      <w:r w:rsidR="008B45DE">
        <w:rPr>
          <w:rFonts w:cs="Arial"/>
        </w:rPr>
        <w:t xml:space="preserve"> (i.e. </w:t>
      </w:r>
      <w:r w:rsidR="008B45DE" w:rsidRPr="00DB225C">
        <w:t>3</w:t>
      </w:r>
      <w:r w:rsidR="008B45DE" w:rsidRPr="008A7ACC">
        <w:t>1</w:t>
      </w:r>
      <w:r w:rsidR="008B45DE" w:rsidRPr="00DB225C">
        <w:t xml:space="preserve"> chronic toxicity values for 1</w:t>
      </w:r>
      <w:r w:rsidR="008B45DE" w:rsidRPr="008A7ACC">
        <w:t>4</w:t>
      </w:r>
      <w:r w:rsidR="008B45DE" w:rsidRPr="00DB225C">
        <w:t xml:space="preserve"> species</w:t>
      </w:r>
      <w:r w:rsidR="008B45DE">
        <w:t>)</w:t>
      </w:r>
      <w:r w:rsidRPr="00BB1292">
        <w:t>.</w:t>
      </w:r>
      <w:r w:rsidR="00917E4B" w:rsidRPr="00BB1292">
        <w:t xml:space="preserve"> </w:t>
      </w:r>
      <w:r w:rsidRPr="00BB1292">
        <w:rPr>
          <w:rFonts w:cs="Arial"/>
        </w:rPr>
        <w:t>This check confirmed that the theoretical protection offered by the DGVs is expected to be adequate.</w:t>
      </w:r>
    </w:p>
    <w:p w14:paraId="3528D726" w14:textId="77777777" w:rsidR="001303C0" w:rsidRPr="00951DBD" w:rsidRDefault="00FB47A6" w:rsidP="001303C0">
      <w:pPr>
        <w:pStyle w:val="Heading3"/>
      </w:pPr>
      <w:bookmarkStart w:id="30" w:name="_Toc68188169"/>
      <w:r w:rsidRPr="00951DBD">
        <w:t>Reliability c</w:t>
      </w:r>
      <w:r w:rsidRPr="00951DBD">
        <w:t>lassification</w:t>
      </w:r>
      <w:bookmarkEnd w:id="30"/>
      <w:r w:rsidRPr="00951DBD">
        <w:t xml:space="preserve"> </w:t>
      </w:r>
    </w:p>
    <w:p w14:paraId="3528D727" w14:textId="77777777" w:rsidR="001303C0" w:rsidRPr="00F76A7A" w:rsidRDefault="00FB47A6" w:rsidP="001303C0">
      <w:pPr>
        <w:rPr>
          <w:lang w:eastAsia="ja-JP"/>
        </w:rPr>
      </w:pPr>
      <w:r w:rsidRPr="00951DBD">
        <w:rPr>
          <w:lang w:eastAsia="ja-JP"/>
        </w:rPr>
        <w:t xml:space="preserve">The </w:t>
      </w:r>
      <w:r w:rsidR="00951DBD" w:rsidRPr="00951DBD">
        <w:rPr>
          <w:lang w:eastAsia="ja-JP"/>
        </w:rPr>
        <w:t>mancozeb</w:t>
      </w:r>
      <w:r w:rsidRPr="00951DBD">
        <w:rPr>
          <w:lang w:eastAsia="ja-JP"/>
        </w:rPr>
        <w:t xml:space="preserve"> freshwater DGVs have </w:t>
      </w:r>
      <w:r w:rsidRPr="00F76A7A">
        <w:rPr>
          <w:lang w:eastAsia="ja-JP"/>
        </w:rPr>
        <w:t xml:space="preserve">a moderate </w:t>
      </w:r>
      <w:r w:rsidRPr="00951DBD">
        <w:rPr>
          <w:lang w:eastAsia="ja-JP"/>
        </w:rPr>
        <w:t xml:space="preserve">reliability classification (Warne et al. 2018) </w:t>
      </w:r>
      <w:r w:rsidRPr="00F76A7A">
        <w:rPr>
          <w:lang w:eastAsia="ja-JP"/>
        </w:rPr>
        <w:t>based on the outcomes for the following three criteria:</w:t>
      </w:r>
    </w:p>
    <w:p w14:paraId="3528D728" w14:textId="77777777" w:rsidR="001303C0" w:rsidRPr="00F76A7A" w:rsidRDefault="00FB47A6" w:rsidP="001303C0">
      <w:pPr>
        <w:pStyle w:val="ListBullet"/>
        <w:rPr>
          <w:lang w:eastAsia="ja-JP"/>
        </w:rPr>
      </w:pPr>
      <w:r w:rsidRPr="00F76A7A">
        <w:rPr>
          <w:lang w:eastAsia="ja-JP"/>
        </w:rPr>
        <w:t>Sample size—</w:t>
      </w:r>
      <w:r w:rsidR="00F76A7A" w:rsidRPr="008A7ACC">
        <w:rPr>
          <w:lang w:eastAsia="ja-JP"/>
        </w:rPr>
        <w:t>eight</w:t>
      </w:r>
      <w:r w:rsidR="00F76A7A" w:rsidRPr="00F76A7A">
        <w:rPr>
          <w:lang w:eastAsia="ja-JP"/>
        </w:rPr>
        <w:t xml:space="preserve"> </w:t>
      </w:r>
      <w:r w:rsidRPr="00F76A7A">
        <w:rPr>
          <w:lang w:eastAsia="ja-JP"/>
        </w:rPr>
        <w:t>(good)</w:t>
      </w:r>
    </w:p>
    <w:p w14:paraId="3528D729" w14:textId="77777777" w:rsidR="001303C0" w:rsidRPr="00F76A7A" w:rsidRDefault="00FB47A6" w:rsidP="001303C0">
      <w:pPr>
        <w:pStyle w:val="ListBullet"/>
        <w:rPr>
          <w:lang w:eastAsia="ja-JP"/>
        </w:rPr>
      </w:pPr>
      <w:r w:rsidRPr="00F76A7A">
        <w:rPr>
          <w:lang w:eastAsia="ja-JP"/>
        </w:rPr>
        <w:t xml:space="preserve">Type of toxicity data—chronic </w:t>
      </w:r>
      <w:r w:rsidR="00F43CCC" w:rsidRPr="00F76A7A">
        <w:rPr>
          <w:lang w:eastAsia="ja-JP"/>
        </w:rPr>
        <w:t>data</w:t>
      </w:r>
    </w:p>
    <w:p w14:paraId="3528D72A" w14:textId="77777777" w:rsidR="00143546" w:rsidRDefault="00FB47A6" w:rsidP="00143546">
      <w:pPr>
        <w:pStyle w:val="ListBullet"/>
        <w:rPr>
          <w:lang w:eastAsia="ja-JP"/>
        </w:rPr>
      </w:pPr>
      <w:r w:rsidRPr="00F76A7A">
        <w:rPr>
          <w:lang w:eastAsia="ja-JP"/>
        </w:rPr>
        <w:t>SSD model fit—</w:t>
      </w:r>
      <w:r w:rsidR="00F65675">
        <w:rPr>
          <w:lang w:eastAsia="ja-JP"/>
        </w:rPr>
        <w:t>poor</w:t>
      </w:r>
      <w:r w:rsidR="00F65675" w:rsidRPr="00F76A7A">
        <w:rPr>
          <w:lang w:eastAsia="ja-JP"/>
        </w:rPr>
        <w:t xml:space="preserve"> </w:t>
      </w:r>
      <w:r w:rsidRPr="00F76A7A">
        <w:rPr>
          <w:lang w:eastAsia="ja-JP"/>
        </w:rPr>
        <w:t>(</w:t>
      </w:r>
      <w:r w:rsidR="00235417" w:rsidRPr="00F76A7A">
        <w:rPr>
          <w:lang w:eastAsia="ja-JP"/>
        </w:rPr>
        <w:t>Burr Type III</w:t>
      </w:r>
      <w:r w:rsidRPr="00F76A7A">
        <w:rPr>
          <w:lang w:eastAsia="ja-JP"/>
        </w:rPr>
        <w:t xml:space="preserve"> model).</w:t>
      </w:r>
    </w:p>
    <w:p w14:paraId="3528D72B" w14:textId="77777777" w:rsidR="00143546" w:rsidRDefault="00FB47A6" w:rsidP="00143546">
      <w:pPr>
        <w:rPr>
          <w:lang w:eastAsia="ja-JP"/>
        </w:rPr>
      </w:pPr>
      <w:r>
        <w:rPr>
          <w:lang w:eastAsia="ja-JP"/>
        </w:rPr>
        <w:t xml:space="preserve">Notwithstanding the moderate reliability classification, the </w:t>
      </w:r>
      <w:r>
        <w:rPr>
          <w:rFonts w:cs="Arial"/>
        </w:rPr>
        <w:t>analytical challenges associated with applying the mancozeb DGVs</w:t>
      </w:r>
      <w:r>
        <w:rPr>
          <w:lang w:eastAsia="ja-JP"/>
        </w:rPr>
        <w:t xml:space="preserve"> (Section </w:t>
      </w:r>
      <w:r>
        <w:rPr>
          <w:lang w:eastAsia="ja-JP"/>
        </w:rPr>
        <w:fldChar w:fldCharType="begin"/>
      </w:r>
      <w:r>
        <w:rPr>
          <w:lang w:eastAsia="ja-JP"/>
        </w:rPr>
        <w:instrText xml:space="preserve"> REF _Ref55902604 \r \h </w:instrText>
      </w:r>
      <w:r>
        <w:rPr>
          <w:lang w:eastAsia="ja-JP"/>
        </w:rPr>
      </w:r>
      <w:r>
        <w:rPr>
          <w:lang w:eastAsia="ja-JP"/>
        </w:rPr>
        <w:fldChar w:fldCharType="separate"/>
      </w:r>
      <w:r w:rsidR="00E747AE">
        <w:rPr>
          <w:lang w:eastAsia="ja-JP"/>
        </w:rPr>
        <w:t>4.3</w:t>
      </w:r>
      <w:r>
        <w:rPr>
          <w:lang w:eastAsia="ja-JP"/>
        </w:rPr>
        <w:fldChar w:fldCharType="end"/>
      </w:r>
      <w:r>
        <w:rPr>
          <w:lang w:eastAsia="ja-JP"/>
        </w:rPr>
        <w:t>) mean that the</w:t>
      </w:r>
      <w:r>
        <w:rPr>
          <w:lang w:eastAsia="ja-JP"/>
        </w:rPr>
        <w:t xml:space="preserve">y should always be used </w:t>
      </w:r>
      <w:r w:rsidRPr="00A03366">
        <w:t>in conjunction with other lines of evidence</w:t>
      </w:r>
      <w:r>
        <w:t>.</w:t>
      </w:r>
    </w:p>
    <w:p w14:paraId="3528D72C" w14:textId="77777777" w:rsidR="002C64A6" w:rsidRDefault="00FB47A6" w:rsidP="00143546">
      <w:pPr>
        <w:pStyle w:val="ListBullet"/>
        <w:numPr>
          <w:ilvl w:val="0"/>
          <w:numId w:val="0"/>
        </w:numPr>
        <w:spacing w:after="0"/>
        <w:ind w:left="397" w:hanging="397"/>
        <w:rPr>
          <w:lang w:eastAsia="ja-JP"/>
        </w:rPr>
      </w:pPr>
      <w:r>
        <w:rPr>
          <w:lang w:eastAsia="ja-JP"/>
        </w:rPr>
        <w:br w:type="page"/>
      </w:r>
    </w:p>
    <w:p w14:paraId="3528D72D" w14:textId="77777777" w:rsidR="000756BD" w:rsidRPr="00951DBD" w:rsidRDefault="00FB47A6" w:rsidP="001303C0">
      <w:pPr>
        <w:pStyle w:val="Heading2"/>
        <w:numPr>
          <w:ilvl w:val="0"/>
          <w:numId w:val="0"/>
        </w:numPr>
      </w:pPr>
      <w:bookmarkStart w:id="31" w:name="_Toc68188170"/>
      <w:r w:rsidRPr="00951DBD">
        <w:t>Glossary</w:t>
      </w:r>
      <w:bookmarkEnd w:id="31"/>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791C17" w14:paraId="3528D730" w14:textId="77777777" w:rsidTr="002C64A6">
        <w:trPr>
          <w:cantSplit/>
          <w:tblHeader/>
        </w:trPr>
        <w:tc>
          <w:tcPr>
            <w:tcW w:w="1509" w:type="pct"/>
            <w:tcBorders>
              <w:top w:val="single" w:sz="12" w:space="0" w:color="auto"/>
              <w:bottom w:val="single" w:sz="12" w:space="0" w:color="auto"/>
            </w:tcBorders>
          </w:tcPr>
          <w:p w14:paraId="3528D72E" w14:textId="77777777" w:rsidR="001303C0" w:rsidRPr="005B156B" w:rsidRDefault="00FB47A6" w:rsidP="007336AC">
            <w:pPr>
              <w:pStyle w:val="TableHeading"/>
              <w:rPr>
                <w:lang w:eastAsia="ja-JP"/>
              </w:rPr>
            </w:pPr>
            <w:r w:rsidRPr="005B156B">
              <w:rPr>
                <w:lang w:eastAsia="ja-JP"/>
              </w:rPr>
              <w:t>Term</w:t>
            </w:r>
          </w:p>
        </w:tc>
        <w:tc>
          <w:tcPr>
            <w:tcW w:w="3491" w:type="pct"/>
            <w:tcBorders>
              <w:top w:val="single" w:sz="12" w:space="0" w:color="auto"/>
              <w:bottom w:val="single" w:sz="12" w:space="0" w:color="auto"/>
            </w:tcBorders>
          </w:tcPr>
          <w:p w14:paraId="3528D72F" w14:textId="77777777" w:rsidR="001303C0" w:rsidRPr="005B156B" w:rsidRDefault="00FB47A6" w:rsidP="007336AC">
            <w:pPr>
              <w:pStyle w:val="TableHeading"/>
              <w:rPr>
                <w:lang w:eastAsia="ja-JP"/>
              </w:rPr>
            </w:pPr>
            <w:r w:rsidRPr="005B156B">
              <w:rPr>
                <w:lang w:eastAsia="ja-JP"/>
              </w:rPr>
              <w:t>Definition</w:t>
            </w:r>
          </w:p>
        </w:tc>
      </w:tr>
      <w:tr w:rsidR="00791C17" w14:paraId="3528D733" w14:textId="77777777" w:rsidTr="002C64A6">
        <w:trPr>
          <w:cantSplit/>
        </w:trPr>
        <w:tc>
          <w:tcPr>
            <w:tcW w:w="1509" w:type="pct"/>
            <w:tcBorders>
              <w:top w:val="single" w:sz="12" w:space="0" w:color="auto"/>
              <w:bottom w:val="single" w:sz="4" w:space="0" w:color="auto"/>
            </w:tcBorders>
          </w:tcPr>
          <w:p w14:paraId="3528D731" w14:textId="77777777" w:rsidR="001303C0" w:rsidRPr="005B156B" w:rsidRDefault="00FB47A6" w:rsidP="007336AC">
            <w:pPr>
              <w:pStyle w:val="TableText"/>
              <w:rPr>
                <w:lang w:eastAsia="ja-JP"/>
              </w:rPr>
            </w:pPr>
            <w:r w:rsidRPr="005B156B">
              <w:rPr>
                <w:lang w:eastAsia="ja-JP"/>
              </w:rPr>
              <w:t>acute toxicity</w:t>
            </w:r>
          </w:p>
        </w:tc>
        <w:tc>
          <w:tcPr>
            <w:tcW w:w="3491" w:type="pct"/>
            <w:tcBorders>
              <w:top w:val="single" w:sz="12" w:space="0" w:color="auto"/>
              <w:bottom w:val="single" w:sz="4" w:space="0" w:color="auto"/>
            </w:tcBorders>
          </w:tcPr>
          <w:p w14:paraId="3528D732" w14:textId="77777777" w:rsidR="001303C0" w:rsidRPr="005B156B" w:rsidRDefault="00FB47A6" w:rsidP="007336AC">
            <w:pPr>
              <w:pStyle w:val="TableText"/>
              <w:rPr>
                <w:lang w:eastAsia="ja-JP"/>
              </w:rPr>
            </w:pPr>
            <w:r>
              <w:rPr>
                <w:lang w:eastAsia="ja-JP"/>
              </w:rPr>
              <w:t>A</w:t>
            </w:r>
            <w:r w:rsidRPr="008A7ACC">
              <w:rPr>
                <w:lang w:eastAsia="ja-JP"/>
              </w:rPr>
              <w:t xml:space="preserve"> lethal or adverse sub-lethal effect that occurs as the result of a short exposure period to a chemical relative to the organism’s life span</w:t>
            </w:r>
            <w:r w:rsidRPr="005B156B">
              <w:rPr>
                <w:lang w:eastAsia="ja-JP"/>
              </w:rPr>
              <w:t>.</w:t>
            </w:r>
          </w:p>
        </w:tc>
      </w:tr>
      <w:tr w:rsidR="00791C17" w14:paraId="3528D736" w14:textId="77777777" w:rsidTr="002C64A6">
        <w:trPr>
          <w:cantSplit/>
        </w:trPr>
        <w:tc>
          <w:tcPr>
            <w:tcW w:w="1509" w:type="pct"/>
            <w:tcBorders>
              <w:top w:val="single" w:sz="4" w:space="0" w:color="auto"/>
              <w:bottom w:val="single" w:sz="4" w:space="0" w:color="auto"/>
            </w:tcBorders>
          </w:tcPr>
          <w:p w14:paraId="3528D734" w14:textId="77777777" w:rsidR="005B156B" w:rsidRPr="005B156B" w:rsidRDefault="00FB47A6" w:rsidP="007336AC">
            <w:pPr>
              <w:pStyle w:val="TableText"/>
              <w:rPr>
                <w:lang w:eastAsia="ja-JP"/>
              </w:rPr>
            </w:pPr>
            <w:r>
              <w:rPr>
                <w:lang w:eastAsia="ja-JP"/>
              </w:rPr>
              <w:t>atm</w:t>
            </w:r>
          </w:p>
        </w:tc>
        <w:tc>
          <w:tcPr>
            <w:tcW w:w="3491" w:type="pct"/>
            <w:tcBorders>
              <w:top w:val="single" w:sz="4" w:space="0" w:color="auto"/>
              <w:bottom w:val="single" w:sz="4" w:space="0" w:color="auto"/>
            </w:tcBorders>
          </w:tcPr>
          <w:p w14:paraId="3528D735" w14:textId="77777777" w:rsidR="005B156B" w:rsidRPr="005B156B" w:rsidRDefault="00FB47A6" w:rsidP="007336AC">
            <w:pPr>
              <w:pStyle w:val="TableText"/>
              <w:rPr>
                <w:lang w:eastAsia="ja-JP"/>
              </w:rPr>
            </w:pPr>
            <w:r>
              <w:rPr>
                <w:lang w:eastAsia="ja-JP"/>
              </w:rPr>
              <w:t>Atmosphere</w:t>
            </w:r>
            <w:r w:rsidR="00310B12">
              <w:rPr>
                <w:lang w:eastAsia="ja-JP"/>
              </w:rPr>
              <w:t>.</w:t>
            </w:r>
          </w:p>
        </w:tc>
      </w:tr>
      <w:tr w:rsidR="00791C17" w14:paraId="3528D739" w14:textId="77777777" w:rsidTr="002C64A6">
        <w:trPr>
          <w:cantSplit/>
        </w:trPr>
        <w:tc>
          <w:tcPr>
            <w:tcW w:w="1509" w:type="pct"/>
            <w:tcBorders>
              <w:top w:val="single" w:sz="4" w:space="0" w:color="auto"/>
              <w:bottom w:val="single" w:sz="4" w:space="0" w:color="auto"/>
            </w:tcBorders>
          </w:tcPr>
          <w:p w14:paraId="3528D737" w14:textId="77777777" w:rsidR="00620280" w:rsidRPr="005B156B" w:rsidRDefault="00FB47A6" w:rsidP="00FC1C68">
            <w:pPr>
              <w:pStyle w:val="TableText"/>
              <w:rPr>
                <w:highlight w:val="yellow"/>
                <w:lang w:eastAsia="ja-JP"/>
              </w:rPr>
            </w:pPr>
            <w:r w:rsidRPr="005B156B">
              <w:t xml:space="preserve">bioconcentration </w:t>
            </w:r>
            <w:r w:rsidR="00FC1C68">
              <w:t>f</w:t>
            </w:r>
            <w:r w:rsidR="00FC1C68" w:rsidRPr="005B156B">
              <w:t xml:space="preserve">actor </w:t>
            </w:r>
            <w:r w:rsidR="00FC1C68">
              <w:t>(</w:t>
            </w:r>
            <w:r w:rsidR="00CA4A82" w:rsidRPr="005B156B">
              <w:t>BCF)</w:t>
            </w:r>
          </w:p>
        </w:tc>
        <w:tc>
          <w:tcPr>
            <w:tcW w:w="3491" w:type="pct"/>
            <w:tcBorders>
              <w:top w:val="single" w:sz="4" w:space="0" w:color="auto"/>
              <w:bottom w:val="single" w:sz="4" w:space="0" w:color="auto"/>
            </w:tcBorders>
          </w:tcPr>
          <w:p w14:paraId="3528D738" w14:textId="77777777" w:rsidR="00620280" w:rsidRPr="008A7ACC" w:rsidRDefault="00FB47A6" w:rsidP="00620280">
            <w:pPr>
              <w:pStyle w:val="TableText"/>
              <w:rPr>
                <w:lang w:eastAsia="ja-JP"/>
              </w:rPr>
            </w:pPr>
            <w:r>
              <w:rPr>
                <w:lang w:eastAsia="ja-JP"/>
              </w:rPr>
              <w:t>T</w:t>
            </w:r>
            <w:r w:rsidRPr="008A7ACC">
              <w:rPr>
                <w:lang w:eastAsia="ja-JP"/>
              </w:rPr>
              <w:t xml:space="preserve">he ratio of the concentration of a contaminant in an </w:t>
            </w:r>
            <w:r w:rsidRPr="008A7ACC">
              <w:rPr>
                <w:lang w:eastAsia="ja-JP"/>
              </w:rPr>
              <w:t>organism to its concentration in the ambient water (or sediment) at a steady state. It can be expressed on a wet weight, dry weight or lipid weight basis</w:t>
            </w:r>
            <w:r w:rsidR="005B156B" w:rsidRPr="006B0E2A">
              <w:rPr>
                <w:lang w:eastAsia="ja-JP"/>
              </w:rPr>
              <w:t>.</w:t>
            </w:r>
          </w:p>
        </w:tc>
      </w:tr>
      <w:tr w:rsidR="00791C17" w14:paraId="3528D73C" w14:textId="77777777" w:rsidTr="002C64A6">
        <w:trPr>
          <w:cantSplit/>
        </w:trPr>
        <w:tc>
          <w:tcPr>
            <w:tcW w:w="1509" w:type="pct"/>
            <w:tcBorders>
              <w:top w:val="single" w:sz="4" w:space="0" w:color="auto"/>
              <w:bottom w:val="single" w:sz="4" w:space="0" w:color="auto"/>
            </w:tcBorders>
          </w:tcPr>
          <w:p w14:paraId="3528D73A" w14:textId="77777777" w:rsidR="005B156B" w:rsidRPr="005B156B" w:rsidRDefault="00FB47A6" w:rsidP="005B156B">
            <w:pPr>
              <w:pStyle w:val="TableText"/>
              <w:rPr>
                <w:highlight w:val="yellow"/>
                <w:lang w:eastAsia="ja-JP"/>
              </w:rPr>
            </w:pPr>
            <w:r w:rsidRPr="005B156B">
              <w:t>CASRN</w:t>
            </w:r>
          </w:p>
        </w:tc>
        <w:tc>
          <w:tcPr>
            <w:tcW w:w="3491" w:type="pct"/>
            <w:tcBorders>
              <w:top w:val="single" w:sz="4" w:space="0" w:color="auto"/>
              <w:bottom w:val="single" w:sz="4" w:space="0" w:color="auto"/>
            </w:tcBorders>
          </w:tcPr>
          <w:p w14:paraId="3528D73B" w14:textId="77777777" w:rsidR="005B156B" w:rsidRPr="000C0DD0" w:rsidRDefault="00FB47A6" w:rsidP="005B156B">
            <w:pPr>
              <w:pStyle w:val="TableText"/>
              <w:rPr>
                <w:highlight w:val="yellow"/>
              </w:rPr>
            </w:pPr>
            <w:r>
              <w:t>Chemical Abstracts Service Registry Number</w:t>
            </w:r>
            <w:r w:rsidR="00EF23C2">
              <w:t>.</w:t>
            </w:r>
          </w:p>
        </w:tc>
      </w:tr>
      <w:tr w:rsidR="00791C17" w14:paraId="3528D73F" w14:textId="77777777" w:rsidTr="002C64A6">
        <w:trPr>
          <w:cantSplit/>
        </w:trPr>
        <w:tc>
          <w:tcPr>
            <w:tcW w:w="1509" w:type="pct"/>
            <w:tcBorders>
              <w:top w:val="single" w:sz="4" w:space="0" w:color="auto"/>
              <w:bottom w:val="single" w:sz="4" w:space="0" w:color="auto"/>
            </w:tcBorders>
          </w:tcPr>
          <w:p w14:paraId="3528D73D" w14:textId="77777777" w:rsidR="001303C0" w:rsidRPr="005B156B" w:rsidRDefault="00FB47A6" w:rsidP="007336AC">
            <w:pPr>
              <w:pStyle w:val="TableText"/>
              <w:rPr>
                <w:lang w:eastAsia="ja-JP"/>
              </w:rPr>
            </w:pPr>
            <w:r w:rsidRPr="005B156B">
              <w:rPr>
                <w:lang w:eastAsia="ja-JP"/>
              </w:rPr>
              <w:t>chronic toxicity</w:t>
            </w:r>
          </w:p>
        </w:tc>
        <w:tc>
          <w:tcPr>
            <w:tcW w:w="3491" w:type="pct"/>
            <w:tcBorders>
              <w:top w:val="single" w:sz="4" w:space="0" w:color="auto"/>
              <w:bottom w:val="single" w:sz="4" w:space="0" w:color="auto"/>
            </w:tcBorders>
          </w:tcPr>
          <w:p w14:paraId="3528D73E" w14:textId="77777777" w:rsidR="001303C0" w:rsidRPr="005B156B" w:rsidRDefault="00FB47A6" w:rsidP="002C64A6">
            <w:pPr>
              <w:pStyle w:val="TableText"/>
              <w:rPr>
                <w:lang w:eastAsia="ja-JP"/>
              </w:rPr>
            </w:pPr>
            <w:r w:rsidRPr="008A7ACC">
              <w:rPr>
                <w:lang w:eastAsia="ja-JP"/>
              </w:rPr>
              <w:t>A lethal or sublethal adverse ef</w:t>
            </w:r>
            <w:r w:rsidRPr="008A7ACC">
              <w:rPr>
                <w:lang w:eastAsia="ja-JP"/>
              </w:rPr>
              <w:t>fect that occurs after exposure to a chemical for a period of time that is a substantial portion of the organism</w:t>
            </w:r>
            <w:r w:rsidR="002C64A6">
              <w:rPr>
                <w:lang w:eastAsia="ja-JP"/>
              </w:rPr>
              <w:t>’</w:t>
            </w:r>
            <w:r w:rsidRPr="008A7ACC">
              <w:rPr>
                <w:lang w:eastAsia="ja-JP"/>
              </w:rPr>
              <w:t>s life span or an adverse effect on a sensitive early life stage</w:t>
            </w:r>
            <w:r w:rsidRPr="005B156B">
              <w:rPr>
                <w:lang w:eastAsia="ja-JP"/>
              </w:rPr>
              <w:t>.</w:t>
            </w:r>
          </w:p>
        </w:tc>
      </w:tr>
      <w:tr w:rsidR="00791C17" w14:paraId="3528D742" w14:textId="77777777" w:rsidTr="002C64A6">
        <w:trPr>
          <w:cantSplit/>
        </w:trPr>
        <w:tc>
          <w:tcPr>
            <w:tcW w:w="1509" w:type="pct"/>
            <w:tcBorders>
              <w:top w:val="single" w:sz="4" w:space="0" w:color="auto"/>
              <w:bottom w:val="single" w:sz="4" w:space="0" w:color="auto"/>
            </w:tcBorders>
          </w:tcPr>
          <w:p w14:paraId="3528D740" w14:textId="77777777" w:rsidR="005B156B" w:rsidRPr="005B156B" w:rsidRDefault="00FB47A6" w:rsidP="007336AC">
            <w:pPr>
              <w:pStyle w:val="TableText"/>
              <w:rPr>
                <w:lang w:eastAsia="ja-JP"/>
              </w:rPr>
            </w:pPr>
            <w:r>
              <w:rPr>
                <w:lang w:eastAsia="ja-JP"/>
              </w:rPr>
              <w:t>CS</w:t>
            </w:r>
            <w:r w:rsidRPr="005B156B">
              <w:rPr>
                <w:vertAlign w:val="subscript"/>
                <w:lang w:eastAsia="ja-JP"/>
              </w:rPr>
              <w:t>2</w:t>
            </w:r>
          </w:p>
        </w:tc>
        <w:tc>
          <w:tcPr>
            <w:tcW w:w="3491" w:type="pct"/>
            <w:tcBorders>
              <w:top w:val="single" w:sz="4" w:space="0" w:color="auto"/>
              <w:bottom w:val="single" w:sz="4" w:space="0" w:color="auto"/>
            </w:tcBorders>
          </w:tcPr>
          <w:p w14:paraId="3528D741" w14:textId="77777777" w:rsidR="005B156B" w:rsidRPr="005B156B" w:rsidRDefault="00FB47A6" w:rsidP="007336AC">
            <w:pPr>
              <w:pStyle w:val="TableText"/>
              <w:rPr>
                <w:lang w:eastAsia="ja-JP"/>
              </w:rPr>
            </w:pPr>
            <w:r>
              <w:rPr>
                <w:lang w:eastAsia="ja-JP"/>
              </w:rPr>
              <w:t>Carbon disulfide</w:t>
            </w:r>
            <w:r w:rsidR="00B0422B">
              <w:rPr>
                <w:lang w:eastAsia="ja-JP"/>
              </w:rPr>
              <w:t>.</w:t>
            </w:r>
          </w:p>
        </w:tc>
      </w:tr>
      <w:tr w:rsidR="00791C17" w14:paraId="3528D745" w14:textId="77777777" w:rsidTr="002C64A6">
        <w:trPr>
          <w:cantSplit/>
        </w:trPr>
        <w:tc>
          <w:tcPr>
            <w:tcW w:w="1509" w:type="pct"/>
            <w:tcBorders>
              <w:top w:val="single" w:sz="4" w:space="0" w:color="auto"/>
              <w:bottom w:val="single" w:sz="4" w:space="0" w:color="auto"/>
            </w:tcBorders>
          </w:tcPr>
          <w:p w14:paraId="3528D743" w14:textId="77777777" w:rsidR="001303C0" w:rsidRPr="005B156B" w:rsidRDefault="00FB47A6" w:rsidP="007336AC">
            <w:pPr>
              <w:pStyle w:val="TableText"/>
              <w:rPr>
                <w:lang w:eastAsia="ja-JP"/>
              </w:rPr>
            </w:pPr>
            <w:r w:rsidRPr="005B156B">
              <w:rPr>
                <w:lang w:eastAsia="ja-JP"/>
              </w:rPr>
              <w:t>default guideline value (DGV)</w:t>
            </w:r>
          </w:p>
        </w:tc>
        <w:tc>
          <w:tcPr>
            <w:tcW w:w="3491" w:type="pct"/>
            <w:tcBorders>
              <w:top w:val="single" w:sz="4" w:space="0" w:color="auto"/>
              <w:bottom w:val="single" w:sz="4" w:space="0" w:color="auto"/>
            </w:tcBorders>
          </w:tcPr>
          <w:p w14:paraId="3528D744" w14:textId="77777777" w:rsidR="001303C0" w:rsidRPr="005B156B" w:rsidRDefault="00FB47A6" w:rsidP="007336AC">
            <w:pPr>
              <w:pStyle w:val="TableText"/>
              <w:rPr>
                <w:lang w:eastAsia="ja-JP"/>
              </w:rPr>
            </w:pPr>
            <w:r w:rsidRPr="008A7ACC">
              <w:rPr>
                <w:lang w:eastAsia="ja-JP"/>
              </w:rPr>
              <w:t xml:space="preserve">A guideline value recommended for generic application in the absence of a more specific guideline value (e.g. a site-specific guideline value) in the Australian and New Zealand Guidelines for Fresh and Marine Water Quality. Formerly known as </w:t>
            </w:r>
            <w:r w:rsidR="002C64A6">
              <w:rPr>
                <w:lang w:val="en-US" w:eastAsia="ja-JP"/>
              </w:rPr>
              <w:t>‘</w:t>
            </w:r>
            <w:r w:rsidRPr="008A7ACC">
              <w:rPr>
                <w:lang w:eastAsia="ja-JP"/>
              </w:rPr>
              <w:t>trigger value</w:t>
            </w:r>
            <w:r w:rsidRPr="008A7ACC">
              <w:rPr>
                <w:lang w:eastAsia="ja-JP"/>
              </w:rPr>
              <w:t>s</w:t>
            </w:r>
            <w:r w:rsidR="002C64A6">
              <w:rPr>
                <w:lang w:val="en-US" w:eastAsia="ja-JP"/>
              </w:rPr>
              <w:t>’</w:t>
            </w:r>
            <w:r w:rsidRPr="005B156B">
              <w:rPr>
                <w:lang w:eastAsia="ja-JP"/>
              </w:rPr>
              <w:t>.</w:t>
            </w:r>
          </w:p>
        </w:tc>
      </w:tr>
      <w:tr w:rsidR="00791C17" w14:paraId="3528D748" w14:textId="77777777" w:rsidTr="002C64A6">
        <w:trPr>
          <w:cantSplit/>
        </w:trPr>
        <w:tc>
          <w:tcPr>
            <w:tcW w:w="1509" w:type="pct"/>
            <w:tcBorders>
              <w:top w:val="single" w:sz="4" w:space="0" w:color="auto"/>
              <w:bottom w:val="single" w:sz="4" w:space="0" w:color="auto"/>
            </w:tcBorders>
          </w:tcPr>
          <w:p w14:paraId="3528D746" w14:textId="77777777" w:rsidR="005B156B" w:rsidRPr="005B156B" w:rsidRDefault="00FB47A6" w:rsidP="005B156B">
            <w:pPr>
              <w:pStyle w:val="TableText"/>
              <w:rPr>
                <w:lang w:eastAsia="ja-JP"/>
              </w:rPr>
            </w:pPr>
            <w:r>
              <w:rPr>
                <w:lang w:eastAsia="ja-JP"/>
              </w:rPr>
              <w:t>EBDC</w:t>
            </w:r>
          </w:p>
        </w:tc>
        <w:tc>
          <w:tcPr>
            <w:tcW w:w="3491" w:type="pct"/>
            <w:tcBorders>
              <w:top w:val="single" w:sz="4" w:space="0" w:color="auto"/>
              <w:bottom w:val="single" w:sz="4" w:space="0" w:color="auto"/>
            </w:tcBorders>
          </w:tcPr>
          <w:p w14:paraId="3528D747" w14:textId="77777777" w:rsidR="005B156B" w:rsidRPr="005B156B" w:rsidRDefault="00FB47A6" w:rsidP="005B156B">
            <w:pPr>
              <w:pStyle w:val="TableText"/>
              <w:rPr>
                <w:lang w:eastAsia="ja-JP"/>
              </w:rPr>
            </w:pPr>
            <w:r>
              <w:rPr>
                <w:lang w:eastAsia="ja-JP"/>
              </w:rPr>
              <w:t xml:space="preserve">Ethylene </w:t>
            </w:r>
            <w:r w:rsidR="00CA4A82">
              <w:rPr>
                <w:lang w:eastAsia="ja-JP"/>
              </w:rPr>
              <w:t>bisdithiocarbamate</w:t>
            </w:r>
            <w:r>
              <w:rPr>
                <w:lang w:eastAsia="ja-JP"/>
              </w:rPr>
              <w:t>.</w:t>
            </w:r>
          </w:p>
        </w:tc>
      </w:tr>
      <w:tr w:rsidR="00791C17" w14:paraId="3528D74B" w14:textId="77777777" w:rsidTr="002C64A6">
        <w:trPr>
          <w:cantSplit/>
        </w:trPr>
        <w:tc>
          <w:tcPr>
            <w:tcW w:w="1509" w:type="pct"/>
            <w:tcBorders>
              <w:top w:val="single" w:sz="4" w:space="0" w:color="auto"/>
              <w:bottom w:val="single" w:sz="4" w:space="0" w:color="auto"/>
            </w:tcBorders>
          </w:tcPr>
          <w:p w14:paraId="3528D749" w14:textId="77777777" w:rsidR="005B156B" w:rsidRDefault="00FB47A6" w:rsidP="005B156B">
            <w:pPr>
              <w:pStyle w:val="TableText"/>
              <w:rPr>
                <w:lang w:eastAsia="ja-JP"/>
              </w:rPr>
            </w:pPr>
            <w:r>
              <w:rPr>
                <w:lang w:eastAsia="ja-JP"/>
              </w:rPr>
              <w:t>EBIS</w:t>
            </w:r>
          </w:p>
        </w:tc>
        <w:tc>
          <w:tcPr>
            <w:tcW w:w="3491" w:type="pct"/>
            <w:tcBorders>
              <w:top w:val="single" w:sz="4" w:space="0" w:color="auto"/>
              <w:bottom w:val="single" w:sz="4" w:space="0" w:color="auto"/>
            </w:tcBorders>
          </w:tcPr>
          <w:p w14:paraId="3528D74A" w14:textId="77777777" w:rsidR="005B156B" w:rsidRDefault="00FB47A6" w:rsidP="005B156B">
            <w:pPr>
              <w:pStyle w:val="TableText"/>
              <w:rPr>
                <w:lang w:eastAsia="ja-JP"/>
              </w:rPr>
            </w:pPr>
            <w:r>
              <w:rPr>
                <w:lang w:eastAsia="ja-JP"/>
              </w:rPr>
              <w:t xml:space="preserve">Ethylene </w:t>
            </w:r>
            <w:r w:rsidR="00CA4A82">
              <w:rPr>
                <w:lang w:eastAsia="ja-JP"/>
              </w:rPr>
              <w:t>bisisothiocyanate</w:t>
            </w:r>
            <w:r>
              <w:rPr>
                <w:lang w:eastAsia="ja-JP"/>
              </w:rPr>
              <w:t xml:space="preserve"> sulfide.</w:t>
            </w:r>
          </w:p>
        </w:tc>
      </w:tr>
      <w:tr w:rsidR="00791C17" w14:paraId="3528D74E" w14:textId="77777777" w:rsidTr="002C64A6">
        <w:trPr>
          <w:cantSplit/>
        </w:trPr>
        <w:tc>
          <w:tcPr>
            <w:tcW w:w="1509" w:type="pct"/>
            <w:tcBorders>
              <w:top w:val="single" w:sz="4" w:space="0" w:color="auto"/>
              <w:bottom w:val="single" w:sz="4" w:space="0" w:color="auto"/>
            </w:tcBorders>
          </w:tcPr>
          <w:p w14:paraId="3528D74C" w14:textId="77777777" w:rsidR="005B156B" w:rsidRPr="005B156B" w:rsidRDefault="00FB47A6" w:rsidP="005B156B">
            <w:pPr>
              <w:pStyle w:val="TableText"/>
              <w:rPr>
                <w:lang w:eastAsia="ja-JP"/>
              </w:rPr>
            </w:pPr>
            <w:r w:rsidRPr="005B156B">
              <w:rPr>
                <w:lang w:eastAsia="ja-JP"/>
              </w:rPr>
              <w:t>EC50 (median effective concentration)</w:t>
            </w:r>
          </w:p>
        </w:tc>
        <w:tc>
          <w:tcPr>
            <w:tcW w:w="3491" w:type="pct"/>
            <w:tcBorders>
              <w:top w:val="single" w:sz="4" w:space="0" w:color="auto"/>
              <w:bottom w:val="single" w:sz="4" w:space="0" w:color="auto"/>
            </w:tcBorders>
          </w:tcPr>
          <w:p w14:paraId="3528D74D" w14:textId="77777777" w:rsidR="005B156B" w:rsidRPr="005B156B" w:rsidRDefault="00FB47A6" w:rsidP="005B156B">
            <w:pPr>
              <w:pStyle w:val="TableText"/>
              <w:rPr>
                <w:lang w:eastAsia="ja-JP"/>
              </w:rPr>
            </w:pPr>
            <w:r w:rsidRPr="008A7ACC">
              <w:rPr>
                <w:lang w:eastAsia="ja-JP"/>
              </w:rPr>
              <w:t>The concentration of a substance in water or sediment that is estimated to produce a 50% change in the response being measured or a cert</w:t>
            </w:r>
            <w:r w:rsidRPr="008A7ACC">
              <w:rPr>
                <w:lang w:eastAsia="ja-JP"/>
              </w:rPr>
              <w:t>ain effect in 50% of the test organisms relative to the control response, under specified conditions</w:t>
            </w:r>
            <w:r w:rsidRPr="005B156B">
              <w:rPr>
                <w:lang w:eastAsia="ja-JP"/>
              </w:rPr>
              <w:t>.</w:t>
            </w:r>
          </w:p>
        </w:tc>
      </w:tr>
      <w:tr w:rsidR="00791C17" w14:paraId="3528D751" w14:textId="77777777" w:rsidTr="002C64A6">
        <w:trPr>
          <w:cantSplit/>
        </w:trPr>
        <w:tc>
          <w:tcPr>
            <w:tcW w:w="1509" w:type="pct"/>
            <w:tcBorders>
              <w:top w:val="single" w:sz="4" w:space="0" w:color="auto"/>
              <w:bottom w:val="single" w:sz="4" w:space="0" w:color="auto"/>
            </w:tcBorders>
          </w:tcPr>
          <w:p w14:paraId="3528D74F" w14:textId="77777777" w:rsidR="005B156B" w:rsidRDefault="00FB47A6" w:rsidP="005B156B">
            <w:pPr>
              <w:pStyle w:val="TableText"/>
              <w:rPr>
                <w:lang w:eastAsia="ja-JP"/>
              </w:rPr>
            </w:pPr>
            <w:r>
              <w:rPr>
                <w:lang w:eastAsia="ja-JP"/>
              </w:rPr>
              <w:t>ETU</w:t>
            </w:r>
          </w:p>
        </w:tc>
        <w:tc>
          <w:tcPr>
            <w:tcW w:w="3491" w:type="pct"/>
            <w:tcBorders>
              <w:top w:val="single" w:sz="4" w:space="0" w:color="auto"/>
              <w:bottom w:val="single" w:sz="4" w:space="0" w:color="auto"/>
            </w:tcBorders>
          </w:tcPr>
          <w:p w14:paraId="3528D750" w14:textId="77777777" w:rsidR="005B156B" w:rsidRDefault="00FB47A6" w:rsidP="005B156B">
            <w:pPr>
              <w:pStyle w:val="TableText"/>
              <w:rPr>
                <w:lang w:eastAsia="ja-JP"/>
              </w:rPr>
            </w:pPr>
            <w:r>
              <w:rPr>
                <w:lang w:eastAsia="ja-JP"/>
              </w:rPr>
              <w:t>E</w:t>
            </w:r>
            <w:r w:rsidR="00CA4A82">
              <w:rPr>
                <w:lang w:eastAsia="ja-JP"/>
              </w:rPr>
              <w:t>thylenethiourea</w:t>
            </w:r>
            <w:r>
              <w:rPr>
                <w:lang w:eastAsia="ja-JP"/>
              </w:rPr>
              <w:t>.</w:t>
            </w:r>
          </w:p>
        </w:tc>
      </w:tr>
      <w:tr w:rsidR="00791C17" w14:paraId="3528D754" w14:textId="77777777" w:rsidTr="002C64A6">
        <w:trPr>
          <w:cantSplit/>
        </w:trPr>
        <w:tc>
          <w:tcPr>
            <w:tcW w:w="1509" w:type="pct"/>
            <w:tcBorders>
              <w:top w:val="single" w:sz="4" w:space="0" w:color="auto"/>
              <w:bottom w:val="single" w:sz="4" w:space="0" w:color="auto"/>
            </w:tcBorders>
          </w:tcPr>
          <w:p w14:paraId="3528D752" w14:textId="77777777" w:rsidR="005B156B" w:rsidRPr="005B156B" w:rsidRDefault="00FB47A6" w:rsidP="005B156B">
            <w:pPr>
              <w:pStyle w:val="TableText"/>
              <w:rPr>
                <w:lang w:eastAsia="ja-JP"/>
              </w:rPr>
            </w:pPr>
            <w:r>
              <w:rPr>
                <w:lang w:eastAsia="ja-JP"/>
              </w:rPr>
              <w:t>EU</w:t>
            </w:r>
          </w:p>
        </w:tc>
        <w:tc>
          <w:tcPr>
            <w:tcW w:w="3491" w:type="pct"/>
            <w:tcBorders>
              <w:top w:val="single" w:sz="4" w:space="0" w:color="auto"/>
              <w:bottom w:val="single" w:sz="4" w:space="0" w:color="auto"/>
            </w:tcBorders>
          </w:tcPr>
          <w:p w14:paraId="3528D753" w14:textId="77777777" w:rsidR="005B156B" w:rsidRPr="005B156B" w:rsidRDefault="00FB47A6" w:rsidP="005B156B">
            <w:pPr>
              <w:pStyle w:val="TableText"/>
              <w:rPr>
                <w:lang w:eastAsia="ja-JP"/>
              </w:rPr>
            </w:pPr>
            <w:r>
              <w:rPr>
                <w:lang w:eastAsia="ja-JP"/>
              </w:rPr>
              <w:t>E</w:t>
            </w:r>
            <w:r w:rsidR="00CA4A82">
              <w:rPr>
                <w:lang w:eastAsia="ja-JP"/>
              </w:rPr>
              <w:t>thyleneurea</w:t>
            </w:r>
            <w:r>
              <w:rPr>
                <w:lang w:eastAsia="ja-JP"/>
              </w:rPr>
              <w:t>.</w:t>
            </w:r>
          </w:p>
        </w:tc>
      </w:tr>
      <w:tr w:rsidR="00791C17" w14:paraId="3528D757" w14:textId="77777777" w:rsidTr="002C64A6">
        <w:trPr>
          <w:cantSplit/>
        </w:trPr>
        <w:tc>
          <w:tcPr>
            <w:tcW w:w="1509" w:type="pct"/>
            <w:tcBorders>
              <w:top w:val="single" w:sz="4" w:space="0" w:color="auto"/>
              <w:bottom w:val="single" w:sz="4" w:space="0" w:color="auto"/>
            </w:tcBorders>
          </w:tcPr>
          <w:p w14:paraId="3528D755" w14:textId="77777777" w:rsidR="005B156B" w:rsidRPr="005B156B" w:rsidRDefault="00FB47A6" w:rsidP="005B156B">
            <w:pPr>
              <w:pStyle w:val="TableText"/>
              <w:rPr>
                <w:lang w:eastAsia="ja-JP"/>
              </w:rPr>
            </w:pPr>
            <w:r w:rsidRPr="005B156B">
              <w:rPr>
                <w:lang w:eastAsia="ja-JP"/>
              </w:rPr>
              <w:t>endpoint</w:t>
            </w:r>
          </w:p>
        </w:tc>
        <w:tc>
          <w:tcPr>
            <w:tcW w:w="3491" w:type="pct"/>
            <w:tcBorders>
              <w:top w:val="single" w:sz="4" w:space="0" w:color="auto"/>
              <w:bottom w:val="single" w:sz="4" w:space="0" w:color="auto"/>
            </w:tcBorders>
          </w:tcPr>
          <w:p w14:paraId="3528D756" w14:textId="77777777" w:rsidR="005B156B" w:rsidRPr="005B156B" w:rsidRDefault="00FB47A6" w:rsidP="005B156B">
            <w:pPr>
              <w:pStyle w:val="TableText"/>
              <w:rPr>
                <w:lang w:eastAsia="ja-JP"/>
              </w:rPr>
            </w:pPr>
            <w:r>
              <w:rPr>
                <w:lang w:eastAsia="ja-JP"/>
              </w:rPr>
              <w:t>T</w:t>
            </w:r>
            <w:r w:rsidRPr="004D300A">
              <w:rPr>
                <w:lang w:eastAsia="ja-JP"/>
              </w:rPr>
              <w:t xml:space="preserve">he specific response of an organism that is measured in a toxicity test (e.g. mortality, </w:t>
            </w:r>
            <w:r w:rsidRPr="004D300A">
              <w:rPr>
                <w:lang w:eastAsia="ja-JP"/>
              </w:rPr>
              <w:t>growth, a particular biomarker)</w:t>
            </w:r>
            <w:r w:rsidR="007F5F09">
              <w:rPr>
                <w:lang w:eastAsia="ja-JP"/>
              </w:rPr>
              <w:t>.</w:t>
            </w:r>
          </w:p>
        </w:tc>
      </w:tr>
      <w:tr w:rsidR="00791C17" w14:paraId="3528D75A" w14:textId="77777777" w:rsidTr="002C64A6">
        <w:trPr>
          <w:cantSplit/>
        </w:trPr>
        <w:tc>
          <w:tcPr>
            <w:tcW w:w="1509" w:type="pct"/>
            <w:tcBorders>
              <w:top w:val="single" w:sz="4" w:space="0" w:color="auto"/>
              <w:bottom w:val="single" w:sz="4" w:space="0" w:color="auto"/>
            </w:tcBorders>
          </w:tcPr>
          <w:p w14:paraId="3528D758" w14:textId="77777777" w:rsidR="005B156B" w:rsidRPr="005B156B" w:rsidRDefault="00FB47A6" w:rsidP="005B156B">
            <w:pPr>
              <w:pStyle w:val="TableText"/>
              <w:rPr>
                <w:lang w:eastAsia="ja-JP"/>
              </w:rPr>
            </w:pPr>
            <w:r w:rsidRPr="005B156B">
              <w:rPr>
                <w:lang w:eastAsia="ja-JP"/>
              </w:rPr>
              <w:t>guideline value (GV)</w:t>
            </w:r>
          </w:p>
        </w:tc>
        <w:tc>
          <w:tcPr>
            <w:tcW w:w="3491" w:type="pct"/>
            <w:tcBorders>
              <w:top w:val="single" w:sz="4" w:space="0" w:color="auto"/>
              <w:bottom w:val="single" w:sz="4" w:space="0" w:color="auto"/>
            </w:tcBorders>
          </w:tcPr>
          <w:p w14:paraId="3528D759" w14:textId="77777777" w:rsidR="005B156B" w:rsidRPr="005B156B" w:rsidRDefault="00FB47A6" w:rsidP="005C2CB0">
            <w:pPr>
              <w:pStyle w:val="TableText"/>
              <w:rPr>
                <w:lang w:eastAsia="ja-JP"/>
              </w:rPr>
            </w:pPr>
            <w:r w:rsidRPr="008A7ACC">
              <w:rPr>
                <w:lang w:eastAsia="ja-JP"/>
              </w:rPr>
              <w:t>A measurable quantity (e.g. concentration) or condition of an indicator for a specific community value below which (or above which, in the case of stressors such as pH, dissolved oxygen and many biodiv</w:t>
            </w:r>
            <w:r w:rsidRPr="008A7ACC">
              <w:rPr>
                <w:lang w:eastAsia="ja-JP"/>
              </w:rPr>
              <w:t>ersity responses) there is considered to be a low risk of unacceptable effects occurring to that community value. Guideline values for more than one indicator should be used simultaneously in a multiple lines of evidence approach</w:t>
            </w:r>
            <w:r w:rsidRPr="005B156B">
              <w:rPr>
                <w:lang w:eastAsia="ja-JP"/>
              </w:rPr>
              <w:t>.</w:t>
            </w:r>
            <w:r w:rsidR="007F5F09">
              <w:rPr>
                <w:lang w:eastAsia="ja-JP"/>
              </w:rPr>
              <w:t xml:space="preserve"> (Also refer to default guideline value an</w:t>
            </w:r>
            <w:r w:rsidR="005C2CB0">
              <w:rPr>
                <w:lang w:eastAsia="ja-JP"/>
              </w:rPr>
              <w:t>d</w:t>
            </w:r>
            <w:r w:rsidR="007F5F09">
              <w:rPr>
                <w:lang w:eastAsia="ja-JP"/>
              </w:rPr>
              <w:t xml:space="preserve"> site-specific guideline value.)</w:t>
            </w:r>
          </w:p>
        </w:tc>
      </w:tr>
      <w:tr w:rsidR="00791C17" w14:paraId="3528D75D" w14:textId="77777777" w:rsidTr="002C64A6">
        <w:trPr>
          <w:cantSplit/>
        </w:trPr>
        <w:tc>
          <w:tcPr>
            <w:tcW w:w="1509" w:type="pct"/>
            <w:tcBorders>
              <w:top w:val="single" w:sz="4" w:space="0" w:color="auto"/>
              <w:bottom w:val="single" w:sz="4" w:space="0" w:color="auto"/>
            </w:tcBorders>
          </w:tcPr>
          <w:p w14:paraId="3528D75B" w14:textId="77777777" w:rsidR="005B156B" w:rsidRPr="000C0DD0" w:rsidRDefault="00FB47A6" w:rsidP="005B156B">
            <w:pPr>
              <w:pStyle w:val="TableText"/>
              <w:rPr>
                <w:highlight w:val="yellow"/>
                <w:lang w:eastAsia="ja-JP"/>
              </w:rPr>
            </w:pPr>
            <w:r w:rsidRPr="005B156B">
              <w:rPr>
                <w:lang w:eastAsia="ja-JP"/>
              </w:rPr>
              <w:t>K</w:t>
            </w:r>
            <w:r w:rsidR="00F23A94" w:rsidRPr="00F23A94">
              <w:rPr>
                <w:vertAlign w:val="subscript"/>
                <w:lang w:eastAsia="ja-JP"/>
              </w:rPr>
              <w:t>OW</w:t>
            </w:r>
          </w:p>
        </w:tc>
        <w:tc>
          <w:tcPr>
            <w:tcW w:w="3491" w:type="pct"/>
            <w:tcBorders>
              <w:top w:val="single" w:sz="4" w:space="0" w:color="auto"/>
              <w:bottom w:val="single" w:sz="4" w:space="0" w:color="auto"/>
            </w:tcBorders>
          </w:tcPr>
          <w:p w14:paraId="3528D75C" w14:textId="77777777" w:rsidR="005B156B" w:rsidRPr="000C0DD0" w:rsidRDefault="00FB47A6" w:rsidP="005B156B">
            <w:pPr>
              <w:pStyle w:val="TableText"/>
              <w:rPr>
                <w:highlight w:val="yellow"/>
                <w:shd w:val="clear" w:color="auto" w:fill="FFFFFF"/>
              </w:rPr>
            </w:pPr>
            <w:r w:rsidRPr="00E134D4">
              <w:rPr>
                <w:shd w:val="clear" w:color="auto" w:fill="FFFFFF"/>
              </w:rPr>
              <w:t>The ratio of a chemical’s solubilities in n-octanol and water at equilibrium. The logarithm of K</w:t>
            </w:r>
            <w:r w:rsidRPr="00E134D4">
              <w:rPr>
                <w:shd w:val="clear" w:color="auto" w:fill="FFFFFF"/>
                <w:vertAlign w:val="subscript"/>
              </w:rPr>
              <w:t>OW</w:t>
            </w:r>
            <w:r w:rsidRPr="00E134D4">
              <w:rPr>
                <w:shd w:val="clear" w:color="auto" w:fill="FFFFFF"/>
              </w:rPr>
              <w:t xml:space="preserve"> (or P</w:t>
            </w:r>
            <w:r w:rsidRPr="00E134D4">
              <w:rPr>
                <w:shd w:val="clear" w:color="auto" w:fill="FFFFFF"/>
                <w:vertAlign w:val="subscript"/>
              </w:rPr>
              <w:t>OW</w:t>
            </w:r>
            <w:r w:rsidRPr="00E134D4">
              <w:rPr>
                <w:shd w:val="clear" w:color="auto" w:fill="FFFFFF"/>
              </w:rPr>
              <w:t xml:space="preserve">) is used as an indication of a chemical’s propensity for bioconcentration by aquatic </w:t>
            </w:r>
            <w:r w:rsidRPr="00E134D4">
              <w:rPr>
                <w:shd w:val="clear" w:color="auto" w:fill="FFFFFF"/>
              </w:rPr>
              <w:t>organisms.</w:t>
            </w:r>
          </w:p>
        </w:tc>
      </w:tr>
      <w:tr w:rsidR="00791C17" w14:paraId="3528D760" w14:textId="77777777" w:rsidTr="002C64A6">
        <w:trPr>
          <w:cantSplit/>
        </w:trPr>
        <w:tc>
          <w:tcPr>
            <w:tcW w:w="1509" w:type="pct"/>
            <w:tcBorders>
              <w:top w:val="single" w:sz="4" w:space="0" w:color="auto"/>
              <w:bottom w:val="single" w:sz="4" w:space="0" w:color="auto"/>
            </w:tcBorders>
          </w:tcPr>
          <w:p w14:paraId="3528D75E" w14:textId="77777777" w:rsidR="005B156B" w:rsidRPr="005B156B" w:rsidRDefault="00FB47A6" w:rsidP="005B156B">
            <w:pPr>
              <w:pStyle w:val="TableText"/>
              <w:rPr>
                <w:lang w:eastAsia="ja-JP"/>
              </w:rPr>
            </w:pPr>
            <w:r w:rsidRPr="005B156B">
              <w:rPr>
                <w:lang w:eastAsia="ja-JP"/>
              </w:rPr>
              <w:t>LC50 (median lethal concentration)</w:t>
            </w:r>
          </w:p>
        </w:tc>
        <w:tc>
          <w:tcPr>
            <w:tcW w:w="3491" w:type="pct"/>
            <w:tcBorders>
              <w:top w:val="single" w:sz="4" w:space="0" w:color="auto"/>
              <w:bottom w:val="single" w:sz="4" w:space="0" w:color="auto"/>
            </w:tcBorders>
          </w:tcPr>
          <w:p w14:paraId="3528D75F" w14:textId="77777777" w:rsidR="005B156B" w:rsidRPr="00F23A94" w:rsidRDefault="00FB47A6" w:rsidP="007B4F19">
            <w:pPr>
              <w:pStyle w:val="TableText"/>
            </w:pPr>
            <w:r>
              <w:t>T</w:t>
            </w:r>
            <w:r w:rsidRPr="005C2CB0">
              <w:t>he concentration of a substance in water or sediment that is estimated to be lethal to 50% of a group of test organisms, relative to the control response, under specified conditions.</w:t>
            </w:r>
          </w:p>
        </w:tc>
      </w:tr>
      <w:tr w:rsidR="00791C17" w14:paraId="3528D763" w14:textId="77777777" w:rsidTr="002C64A6">
        <w:trPr>
          <w:cantSplit/>
        </w:trPr>
        <w:tc>
          <w:tcPr>
            <w:tcW w:w="1509" w:type="pct"/>
            <w:tcBorders>
              <w:top w:val="single" w:sz="4" w:space="0" w:color="auto"/>
              <w:bottom w:val="single" w:sz="4" w:space="0" w:color="auto"/>
            </w:tcBorders>
          </w:tcPr>
          <w:p w14:paraId="3528D761" w14:textId="77777777" w:rsidR="005B156B" w:rsidRPr="005B156B" w:rsidRDefault="00FB47A6" w:rsidP="007B4F19">
            <w:pPr>
              <w:pStyle w:val="TableText"/>
              <w:rPr>
                <w:lang w:eastAsia="ja-JP"/>
              </w:rPr>
            </w:pPr>
            <w:r w:rsidRPr="005B156B">
              <w:rPr>
                <w:lang w:eastAsia="ja-JP"/>
              </w:rPr>
              <w:t>lowest observed effect c</w:t>
            </w:r>
            <w:r w:rsidRPr="005B156B">
              <w:rPr>
                <w:lang w:eastAsia="ja-JP"/>
              </w:rPr>
              <w:t>oncentration</w:t>
            </w:r>
            <w:r>
              <w:rPr>
                <w:lang w:eastAsia="ja-JP"/>
              </w:rPr>
              <w:t xml:space="preserve"> (</w:t>
            </w:r>
            <w:r w:rsidR="00CA4A82" w:rsidRPr="005B156B">
              <w:rPr>
                <w:lang w:eastAsia="ja-JP"/>
              </w:rPr>
              <w:t>LOEC</w:t>
            </w:r>
            <w:r>
              <w:rPr>
                <w:lang w:eastAsia="ja-JP"/>
              </w:rPr>
              <w:t>)</w:t>
            </w:r>
            <w:r w:rsidR="00CA4A82" w:rsidRPr="005B156B">
              <w:rPr>
                <w:lang w:eastAsia="ja-JP"/>
              </w:rPr>
              <w:t xml:space="preserve"> </w:t>
            </w:r>
          </w:p>
        </w:tc>
        <w:tc>
          <w:tcPr>
            <w:tcW w:w="3491" w:type="pct"/>
            <w:tcBorders>
              <w:top w:val="single" w:sz="4" w:space="0" w:color="auto"/>
              <w:bottom w:val="single" w:sz="4" w:space="0" w:color="auto"/>
            </w:tcBorders>
          </w:tcPr>
          <w:p w14:paraId="3528D762" w14:textId="77777777" w:rsidR="005B156B" w:rsidRPr="005B156B" w:rsidRDefault="00FB47A6" w:rsidP="005B156B">
            <w:pPr>
              <w:pStyle w:val="TableText"/>
            </w:pPr>
            <w:r w:rsidRPr="008A7ACC">
              <w:t>The lowest concentration of a material used in a toxicity test that has a statistically significant adverse effect on the exposed population of test organisms as compared with the controls</w:t>
            </w:r>
            <w:r w:rsidRPr="005B156B">
              <w:t>.</w:t>
            </w:r>
          </w:p>
        </w:tc>
      </w:tr>
      <w:tr w:rsidR="00791C17" w14:paraId="3528D766" w14:textId="77777777" w:rsidTr="002C64A6">
        <w:trPr>
          <w:cantSplit/>
        </w:trPr>
        <w:tc>
          <w:tcPr>
            <w:tcW w:w="1509" w:type="pct"/>
            <w:tcBorders>
              <w:top w:val="single" w:sz="4" w:space="0" w:color="auto"/>
              <w:bottom w:val="single" w:sz="4" w:space="0" w:color="auto"/>
            </w:tcBorders>
          </w:tcPr>
          <w:p w14:paraId="3528D764" w14:textId="77777777" w:rsidR="005B156B" w:rsidRPr="005B156B" w:rsidRDefault="00FB47A6" w:rsidP="007B4F19">
            <w:pPr>
              <w:pStyle w:val="TableText"/>
              <w:rPr>
                <w:lang w:eastAsia="ja-JP"/>
              </w:rPr>
            </w:pPr>
            <w:r w:rsidRPr="005B156B">
              <w:rPr>
                <w:lang w:eastAsia="ja-JP"/>
              </w:rPr>
              <w:t xml:space="preserve">no observed effect </w:t>
            </w:r>
            <w:r w:rsidRPr="005B156B">
              <w:rPr>
                <w:lang w:eastAsia="ja-JP"/>
              </w:rPr>
              <w:t>concentration</w:t>
            </w:r>
            <w:r>
              <w:rPr>
                <w:lang w:eastAsia="ja-JP"/>
              </w:rPr>
              <w:t xml:space="preserve"> (</w:t>
            </w:r>
            <w:r w:rsidR="00CA4A82" w:rsidRPr="005B156B">
              <w:rPr>
                <w:lang w:eastAsia="ja-JP"/>
              </w:rPr>
              <w:t>NOEC</w:t>
            </w:r>
            <w:r>
              <w:rPr>
                <w:lang w:eastAsia="ja-JP"/>
              </w:rPr>
              <w:t>)</w:t>
            </w:r>
            <w:r w:rsidR="00CA4A82" w:rsidRPr="005B156B">
              <w:rPr>
                <w:lang w:eastAsia="ja-JP"/>
              </w:rPr>
              <w:t xml:space="preserve"> </w:t>
            </w:r>
          </w:p>
        </w:tc>
        <w:tc>
          <w:tcPr>
            <w:tcW w:w="3491" w:type="pct"/>
            <w:tcBorders>
              <w:top w:val="single" w:sz="4" w:space="0" w:color="auto"/>
              <w:bottom w:val="single" w:sz="4" w:space="0" w:color="auto"/>
            </w:tcBorders>
          </w:tcPr>
          <w:p w14:paraId="3528D765" w14:textId="77777777" w:rsidR="005B156B" w:rsidRPr="005B156B" w:rsidRDefault="00FB47A6" w:rsidP="005B156B">
            <w:pPr>
              <w:pStyle w:val="TableText"/>
            </w:pPr>
            <w:r w:rsidRPr="008A7ACC">
              <w:t>The highest concentration of a material used in a toxicity test that has no statistically significant adverse effect on the exposed population of test organisms as compared with the controls</w:t>
            </w:r>
            <w:r w:rsidRPr="005B156B">
              <w:t>.</w:t>
            </w:r>
          </w:p>
        </w:tc>
      </w:tr>
      <w:tr w:rsidR="00791C17" w14:paraId="3528D769" w14:textId="77777777" w:rsidTr="002C64A6">
        <w:trPr>
          <w:cantSplit/>
        </w:trPr>
        <w:tc>
          <w:tcPr>
            <w:tcW w:w="1509" w:type="pct"/>
            <w:tcBorders>
              <w:top w:val="single" w:sz="4" w:space="0" w:color="auto"/>
              <w:bottom w:val="single" w:sz="4" w:space="0" w:color="auto"/>
            </w:tcBorders>
          </w:tcPr>
          <w:p w14:paraId="3528D767" w14:textId="77777777" w:rsidR="005B156B" w:rsidRPr="005B156B" w:rsidRDefault="00FB47A6" w:rsidP="005B156B">
            <w:pPr>
              <w:pStyle w:val="TableText"/>
              <w:rPr>
                <w:lang w:eastAsia="ja-JP"/>
              </w:rPr>
            </w:pPr>
            <w:r w:rsidRPr="005B156B">
              <w:rPr>
                <w:lang w:eastAsia="ja-JP"/>
              </w:rPr>
              <w:t>species</w:t>
            </w:r>
            <w:r>
              <w:rPr>
                <w:lang w:eastAsia="ja-JP"/>
              </w:rPr>
              <w:t xml:space="preserve"> </w:t>
            </w:r>
            <w:r w:rsidR="00CA4A82">
              <w:rPr>
                <w:lang w:eastAsia="ja-JP"/>
              </w:rPr>
              <w:t>(biological)</w:t>
            </w:r>
          </w:p>
        </w:tc>
        <w:tc>
          <w:tcPr>
            <w:tcW w:w="3491" w:type="pct"/>
            <w:tcBorders>
              <w:top w:val="single" w:sz="4" w:space="0" w:color="auto"/>
              <w:bottom w:val="single" w:sz="4" w:space="0" w:color="auto"/>
            </w:tcBorders>
          </w:tcPr>
          <w:p w14:paraId="3528D768" w14:textId="77777777" w:rsidR="005B156B" w:rsidRPr="005B156B" w:rsidRDefault="00FB47A6" w:rsidP="005B156B">
            <w:pPr>
              <w:pStyle w:val="TableText"/>
            </w:pPr>
            <w:r w:rsidRPr="008A7ACC">
              <w:t>A group of organisms</w:t>
            </w:r>
            <w:r w:rsidRPr="008A7ACC">
              <w:t xml:space="preserve"> that resemble each other to a greater degree than members of other groups and that form a reproductively isolated group that will not produce viable offspring if bred with members of another group</w:t>
            </w:r>
            <w:r w:rsidRPr="005B156B">
              <w:t>.</w:t>
            </w:r>
          </w:p>
        </w:tc>
      </w:tr>
      <w:tr w:rsidR="00791C17" w14:paraId="3528D76C" w14:textId="77777777" w:rsidTr="002C64A6">
        <w:trPr>
          <w:cantSplit/>
        </w:trPr>
        <w:tc>
          <w:tcPr>
            <w:tcW w:w="1509" w:type="pct"/>
            <w:tcBorders>
              <w:top w:val="single" w:sz="4" w:space="0" w:color="auto"/>
              <w:bottom w:val="single" w:sz="4" w:space="0" w:color="auto"/>
            </w:tcBorders>
          </w:tcPr>
          <w:p w14:paraId="3528D76A" w14:textId="77777777" w:rsidR="005B156B" w:rsidRPr="005B156B" w:rsidRDefault="00FB47A6" w:rsidP="005B156B">
            <w:pPr>
              <w:pStyle w:val="TableText"/>
              <w:rPr>
                <w:lang w:eastAsia="ja-JP"/>
              </w:rPr>
            </w:pPr>
            <w:r w:rsidRPr="005B156B">
              <w:rPr>
                <w:lang w:eastAsia="ja-JP"/>
              </w:rPr>
              <w:t xml:space="preserve">species sensitivity distribution (SSD) </w:t>
            </w:r>
          </w:p>
        </w:tc>
        <w:tc>
          <w:tcPr>
            <w:tcW w:w="3491" w:type="pct"/>
            <w:tcBorders>
              <w:top w:val="single" w:sz="4" w:space="0" w:color="auto"/>
              <w:bottom w:val="single" w:sz="4" w:space="0" w:color="auto"/>
            </w:tcBorders>
          </w:tcPr>
          <w:p w14:paraId="3528D76B" w14:textId="77777777" w:rsidR="005B156B" w:rsidRPr="005B156B" w:rsidRDefault="00FB47A6" w:rsidP="007B4F19">
            <w:pPr>
              <w:pStyle w:val="TableText"/>
              <w:rPr>
                <w:lang w:eastAsia="ja-JP"/>
              </w:rPr>
            </w:pPr>
            <w:r w:rsidRPr="005B156B">
              <w:rPr>
                <w:lang w:eastAsia="ja-JP"/>
              </w:rPr>
              <w:t>A method that pl</w:t>
            </w:r>
            <w:r w:rsidRPr="005B156B">
              <w:rPr>
                <w:lang w:eastAsia="ja-JP"/>
              </w:rPr>
              <w:t>ots the cumulative frequency of species</w:t>
            </w:r>
            <w:r w:rsidR="007B4F19">
              <w:rPr>
                <w:lang w:eastAsia="ja-JP"/>
              </w:rPr>
              <w:t>’</w:t>
            </w:r>
            <w:r w:rsidRPr="005B156B">
              <w:rPr>
                <w:lang w:eastAsia="ja-JP"/>
              </w:rPr>
              <w:t xml:space="preserve"> sensitivit</w:t>
            </w:r>
            <w:r w:rsidR="007B4F19">
              <w:rPr>
                <w:lang w:eastAsia="ja-JP"/>
              </w:rPr>
              <w:t>ies to a toxicant</w:t>
            </w:r>
            <w:r w:rsidRPr="005B156B">
              <w:rPr>
                <w:lang w:eastAsia="ja-JP"/>
              </w:rPr>
              <w:t xml:space="preserve"> and fits a statistical distribution to the data. From the distribution, the concentration that should theoretically protect a selected percentage of species can be determined.</w:t>
            </w:r>
          </w:p>
        </w:tc>
      </w:tr>
      <w:tr w:rsidR="00791C17" w14:paraId="3528D76F" w14:textId="77777777" w:rsidTr="002C64A6">
        <w:trPr>
          <w:cantSplit/>
        </w:trPr>
        <w:tc>
          <w:tcPr>
            <w:tcW w:w="1509" w:type="pct"/>
            <w:tcBorders>
              <w:top w:val="single" w:sz="4" w:space="0" w:color="auto"/>
              <w:bottom w:val="single" w:sz="4" w:space="0" w:color="auto"/>
            </w:tcBorders>
          </w:tcPr>
          <w:p w14:paraId="3528D76D" w14:textId="77777777" w:rsidR="005B156B" w:rsidRPr="005B156B" w:rsidRDefault="00FB47A6" w:rsidP="005B156B">
            <w:pPr>
              <w:pStyle w:val="TableText"/>
              <w:rPr>
                <w:lang w:eastAsia="ja-JP"/>
              </w:rPr>
            </w:pPr>
            <w:r>
              <w:rPr>
                <w:lang w:eastAsia="ja-JP"/>
              </w:rPr>
              <w:t>T4</w:t>
            </w:r>
          </w:p>
        </w:tc>
        <w:tc>
          <w:tcPr>
            <w:tcW w:w="3491" w:type="pct"/>
            <w:tcBorders>
              <w:top w:val="single" w:sz="4" w:space="0" w:color="auto"/>
              <w:bottom w:val="single" w:sz="4" w:space="0" w:color="auto"/>
            </w:tcBorders>
          </w:tcPr>
          <w:p w14:paraId="3528D76E" w14:textId="77777777" w:rsidR="005B156B" w:rsidRPr="005B156B" w:rsidRDefault="00FB47A6" w:rsidP="005B156B">
            <w:pPr>
              <w:pStyle w:val="TableText"/>
              <w:rPr>
                <w:lang w:eastAsia="ja-JP"/>
              </w:rPr>
            </w:pPr>
            <w:r>
              <w:rPr>
                <w:lang w:eastAsia="ja-JP"/>
              </w:rPr>
              <w:t>T</w:t>
            </w:r>
            <w:r w:rsidR="00CA4A82">
              <w:rPr>
                <w:lang w:eastAsia="ja-JP"/>
              </w:rPr>
              <w:t>hyroxine</w:t>
            </w:r>
            <w:r>
              <w:rPr>
                <w:lang w:eastAsia="ja-JP"/>
              </w:rPr>
              <w:t>.</w:t>
            </w:r>
          </w:p>
        </w:tc>
      </w:tr>
      <w:tr w:rsidR="00791C17" w14:paraId="3528D772" w14:textId="77777777" w:rsidTr="00033C28">
        <w:trPr>
          <w:cantSplit/>
        </w:trPr>
        <w:tc>
          <w:tcPr>
            <w:tcW w:w="1509" w:type="pct"/>
            <w:tcBorders>
              <w:top w:val="single" w:sz="4" w:space="0" w:color="auto"/>
              <w:bottom w:val="single" w:sz="4" w:space="0" w:color="auto"/>
            </w:tcBorders>
          </w:tcPr>
          <w:p w14:paraId="3528D770" w14:textId="77777777" w:rsidR="005B156B" w:rsidRPr="005B156B" w:rsidRDefault="00FB47A6" w:rsidP="005B156B">
            <w:pPr>
              <w:pStyle w:val="TableText"/>
              <w:rPr>
                <w:lang w:eastAsia="ja-JP"/>
              </w:rPr>
            </w:pPr>
            <w:r w:rsidRPr="005B156B">
              <w:rPr>
                <w:lang w:eastAsia="ja-JP"/>
              </w:rPr>
              <w:t>toxicity</w:t>
            </w:r>
          </w:p>
        </w:tc>
        <w:tc>
          <w:tcPr>
            <w:tcW w:w="3491" w:type="pct"/>
            <w:tcBorders>
              <w:top w:val="single" w:sz="4" w:space="0" w:color="auto"/>
              <w:bottom w:val="single" w:sz="4" w:space="0" w:color="auto"/>
            </w:tcBorders>
          </w:tcPr>
          <w:p w14:paraId="3528D771" w14:textId="77777777" w:rsidR="005B156B" w:rsidRPr="005B156B" w:rsidRDefault="00FB47A6" w:rsidP="005B156B">
            <w:pPr>
              <w:pStyle w:val="TableText"/>
              <w:rPr>
                <w:lang w:eastAsia="ja-JP"/>
              </w:rPr>
            </w:pPr>
            <w:r w:rsidRPr="005B156B">
              <w:rPr>
                <w:lang w:eastAsia="ja-JP"/>
              </w:rPr>
              <w:t>The inherent potential or capacity of a material to ca</w:t>
            </w:r>
            <w:r w:rsidRPr="005B156B">
              <w:rPr>
                <w:lang w:eastAsia="ja-JP"/>
              </w:rPr>
              <w:t>use adverse effects in a living organism.</w:t>
            </w:r>
          </w:p>
        </w:tc>
      </w:tr>
      <w:tr w:rsidR="00791C17" w14:paraId="3528D775" w14:textId="77777777" w:rsidTr="00033C28">
        <w:trPr>
          <w:cantSplit/>
        </w:trPr>
        <w:tc>
          <w:tcPr>
            <w:tcW w:w="1509" w:type="pct"/>
            <w:tcBorders>
              <w:top w:val="single" w:sz="4" w:space="0" w:color="auto"/>
              <w:bottom w:val="single" w:sz="12" w:space="0" w:color="auto"/>
            </w:tcBorders>
          </w:tcPr>
          <w:p w14:paraId="3528D773" w14:textId="77777777" w:rsidR="005B156B" w:rsidRPr="005B156B" w:rsidRDefault="00FB47A6" w:rsidP="005B156B">
            <w:pPr>
              <w:pStyle w:val="TableText"/>
              <w:rPr>
                <w:lang w:eastAsia="ja-JP"/>
              </w:rPr>
            </w:pPr>
            <w:r w:rsidRPr="005B156B">
              <w:rPr>
                <w:lang w:eastAsia="ja-JP"/>
              </w:rPr>
              <w:t>toxicity test</w:t>
            </w:r>
          </w:p>
        </w:tc>
        <w:tc>
          <w:tcPr>
            <w:tcW w:w="3491" w:type="pct"/>
            <w:tcBorders>
              <w:top w:val="single" w:sz="4" w:space="0" w:color="auto"/>
              <w:bottom w:val="single" w:sz="12" w:space="0" w:color="auto"/>
            </w:tcBorders>
          </w:tcPr>
          <w:p w14:paraId="3528D774" w14:textId="77777777" w:rsidR="005B156B" w:rsidRPr="005B156B" w:rsidRDefault="00FB47A6" w:rsidP="005B156B">
            <w:pPr>
              <w:pStyle w:val="TableText"/>
              <w:rPr>
                <w:lang w:eastAsia="ja-JP"/>
              </w:rPr>
            </w:pPr>
            <w:r w:rsidRPr="008A7ACC">
              <w:rPr>
                <w:lang w:eastAsia="ja-JP"/>
              </w:rPr>
              <w:t>T</w:t>
            </w:r>
            <w:r>
              <w:rPr>
                <w:lang w:eastAsia="ja-JP"/>
              </w:rPr>
              <w:t>h</w:t>
            </w:r>
            <w:r w:rsidRPr="008A7ACC">
              <w:rPr>
                <w:lang w:eastAsia="ja-JP"/>
              </w:rPr>
              <w:t xml:space="preserve">e means by which the toxicity of a chemical or other test material is determined. A toxicity test is used to measure the degree of response produced by exposure to a specific level of </w:t>
            </w:r>
            <w:r w:rsidRPr="008A7ACC">
              <w:rPr>
                <w:lang w:eastAsia="ja-JP"/>
              </w:rPr>
              <w:t>stimulus (or concentration of chemical) for a specified test period</w:t>
            </w:r>
            <w:r w:rsidRPr="005B156B">
              <w:rPr>
                <w:lang w:eastAsia="ja-JP"/>
              </w:rPr>
              <w:t>.</w:t>
            </w:r>
          </w:p>
        </w:tc>
      </w:tr>
    </w:tbl>
    <w:p w14:paraId="3528D776" w14:textId="77777777" w:rsidR="001303C0" w:rsidRPr="000C0DD0" w:rsidRDefault="001303C0" w:rsidP="001303C0">
      <w:pPr>
        <w:rPr>
          <w:highlight w:val="yellow"/>
          <w:lang w:eastAsia="ja-JP"/>
        </w:rPr>
      </w:pPr>
    </w:p>
    <w:p w14:paraId="3528D777" w14:textId="77777777" w:rsidR="00606A7B" w:rsidRPr="000C0DD0" w:rsidRDefault="00606A7B" w:rsidP="001303C0">
      <w:pPr>
        <w:rPr>
          <w:highlight w:val="yellow"/>
          <w:lang w:eastAsia="ja-JP"/>
        </w:rPr>
        <w:sectPr w:rsidR="00606A7B" w:rsidRPr="000C0DD0" w:rsidSect="00343984">
          <w:headerReference w:type="even" r:id="rId27"/>
          <w:headerReference w:type="default" r:id="rId28"/>
          <w:headerReference w:type="first" r:id="rId29"/>
          <w:footerReference w:type="first" r:id="rId30"/>
          <w:pgSz w:w="11906" w:h="16838"/>
          <w:pgMar w:top="1418" w:right="1418" w:bottom="1418" w:left="1418" w:header="567" w:footer="283" w:gutter="0"/>
          <w:pgNumType w:start="1"/>
          <w:cols w:space="708"/>
          <w:titlePg/>
          <w:docGrid w:linePitch="360"/>
        </w:sectPr>
      </w:pPr>
    </w:p>
    <w:p w14:paraId="3528D778" w14:textId="77777777" w:rsidR="001C0D1C" w:rsidRDefault="00FB47A6">
      <w:pPr>
        <w:pStyle w:val="Heading2"/>
        <w:numPr>
          <w:ilvl w:val="0"/>
          <w:numId w:val="0"/>
        </w:numPr>
      </w:pPr>
      <w:bookmarkStart w:id="32" w:name="_Ref55903760"/>
      <w:bookmarkStart w:id="33" w:name="_Toc68188171"/>
      <w:r>
        <w:t>Appendix </w:t>
      </w:r>
      <w:r w:rsidR="00CA4A82" w:rsidRPr="005B156B">
        <w:t xml:space="preserve">A: </w:t>
      </w:r>
      <w:r w:rsidR="0028085F" w:rsidRPr="005B156B">
        <w:t>Toxicity data that passed the screening and quality assessment</w:t>
      </w:r>
      <w:r w:rsidR="00D73DEB">
        <w:t xml:space="preserve"> and </w:t>
      </w:r>
      <w:r w:rsidR="00C52D92">
        <w:t xml:space="preserve">were </w:t>
      </w:r>
      <w:r w:rsidR="00D73DEB">
        <w:t>used to derive the default guideline values</w:t>
      </w:r>
      <w:bookmarkEnd w:id="32"/>
      <w:bookmarkEnd w:id="33"/>
    </w:p>
    <w:p w14:paraId="3528D779" w14:textId="77777777" w:rsidR="00036390" w:rsidRPr="00036390" w:rsidRDefault="00FB47A6" w:rsidP="00036390">
      <w:pPr>
        <w:pStyle w:val="Caption"/>
        <w:rPr>
          <w:lang w:eastAsia="ja-JP"/>
        </w:rPr>
      </w:pPr>
      <w:bookmarkStart w:id="34" w:name="_Toc68188181"/>
      <w:r>
        <w:t>Table A </w:t>
      </w:r>
      <w:r w:rsidR="00567DF6">
        <w:fldChar w:fldCharType="begin"/>
      </w:r>
      <w:r>
        <w:instrText xml:space="preserve"> SEQ Table_A \* ARABIC </w:instrText>
      </w:r>
      <w:r w:rsidR="00567DF6">
        <w:fldChar w:fldCharType="separate"/>
      </w:r>
      <w:r w:rsidR="00E747AE">
        <w:rPr>
          <w:noProof/>
        </w:rPr>
        <w:t>1</w:t>
      </w:r>
      <w:r w:rsidR="00567DF6">
        <w:rPr>
          <w:noProof/>
        </w:rPr>
        <w:fldChar w:fldCharType="end"/>
      </w:r>
      <w:r>
        <w:t xml:space="preserve"> </w:t>
      </w:r>
      <w:r w:rsidRPr="00036390">
        <w:rPr>
          <w:lang w:eastAsia="ja-JP"/>
        </w:rPr>
        <w:t xml:space="preserve">Summary, </w:t>
      </w:r>
      <w:r w:rsidR="00661BB9">
        <w:rPr>
          <w:lang w:eastAsia="ja-JP"/>
        </w:rPr>
        <w:t xml:space="preserve">chronic </w:t>
      </w:r>
      <w:r w:rsidRPr="00036390">
        <w:rPr>
          <w:lang w:eastAsia="ja-JP"/>
        </w:rPr>
        <w:t xml:space="preserve">toxicity data that passed the screening and quality assurance processes, </w:t>
      </w:r>
      <w:r w:rsidR="00145C28">
        <w:rPr>
          <w:lang w:eastAsia="ja-JP"/>
        </w:rPr>
        <w:t>mancozeb</w:t>
      </w:r>
      <w:r w:rsidRPr="00036390">
        <w:rPr>
          <w:lang w:eastAsia="ja-JP"/>
        </w:rPr>
        <w:t xml:space="preserve"> in freshwater</w:t>
      </w:r>
      <w:bookmarkEnd w:id="34"/>
    </w:p>
    <w:tbl>
      <w:tblPr>
        <w:tblW w:w="5000" w:type="pct"/>
        <w:tblLook w:val="0000" w:firstRow="0" w:lastRow="0" w:firstColumn="0" w:lastColumn="0" w:noHBand="0" w:noVBand="0"/>
        <w:tblCaption w:val="Summary, chronic toxicity data that passed the screening and quality assurance processes, mancozeb in freshwater"/>
        <w:tblDescription w:val="Table lists eight species with their taxonomic group. The different life stages for each species are provided with the following test information: exposure duration (hours), toxicity measure (test endpoint), test medium, temperature, salinity, pH, concentration (microgram per litre) and reference."/>
      </w:tblPr>
      <w:tblGrid>
        <w:gridCol w:w="1235"/>
        <w:gridCol w:w="2221"/>
        <w:gridCol w:w="977"/>
        <w:gridCol w:w="1117"/>
        <w:gridCol w:w="1675"/>
        <w:gridCol w:w="1257"/>
        <w:gridCol w:w="1255"/>
        <w:gridCol w:w="840"/>
        <w:gridCol w:w="751"/>
        <w:gridCol w:w="1355"/>
        <w:gridCol w:w="1319"/>
      </w:tblGrid>
      <w:tr w:rsidR="00791C17" w14:paraId="3528D786" w14:textId="77777777" w:rsidTr="00616328">
        <w:trPr>
          <w:cantSplit/>
          <w:tblHeader/>
        </w:trPr>
        <w:tc>
          <w:tcPr>
            <w:tcW w:w="441" w:type="pct"/>
            <w:tcBorders>
              <w:top w:val="single" w:sz="12" w:space="0" w:color="auto"/>
              <w:left w:val="nil"/>
              <w:bottom w:val="single" w:sz="12" w:space="0" w:color="auto"/>
              <w:right w:val="nil"/>
            </w:tcBorders>
            <w:shd w:val="clear" w:color="auto" w:fill="auto"/>
          </w:tcPr>
          <w:p w14:paraId="3528D77A" w14:textId="77777777" w:rsidR="001334E0" w:rsidRPr="00C50633" w:rsidRDefault="00FB47A6" w:rsidP="00B82E35">
            <w:pPr>
              <w:pStyle w:val="TableHeading"/>
            </w:pPr>
            <w:r>
              <w:t>Taxonomic group</w:t>
            </w:r>
          </w:p>
        </w:tc>
        <w:tc>
          <w:tcPr>
            <w:tcW w:w="793" w:type="pct"/>
            <w:tcBorders>
              <w:top w:val="single" w:sz="12" w:space="0" w:color="auto"/>
              <w:left w:val="nil"/>
              <w:bottom w:val="single" w:sz="12" w:space="0" w:color="auto"/>
              <w:right w:val="nil"/>
            </w:tcBorders>
            <w:shd w:val="clear" w:color="auto" w:fill="auto"/>
          </w:tcPr>
          <w:p w14:paraId="3528D77B" w14:textId="77777777" w:rsidR="001334E0" w:rsidRPr="00C50633" w:rsidRDefault="00FB47A6" w:rsidP="00B82E35">
            <w:pPr>
              <w:pStyle w:val="TableHeading"/>
            </w:pPr>
            <w:r w:rsidRPr="00C50633">
              <w:t>Species</w:t>
            </w:r>
          </w:p>
        </w:tc>
        <w:tc>
          <w:tcPr>
            <w:tcW w:w="349" w:type="pct"/>
            <w:tcBorders>
              <w:top w:val="single" w:sz="12" w:space="0" w:color="auto"/>
              <w:left w:val="nil"/>
              <w:bottom w:val="single" w:sz="12" w:space="0" w:color="auto"/>
              <w:right w:val="nil"/>
            </w:tcBorders>
            <w:shd w:val="clear" w:color="auto" w:fill="auto"/>
          </w:tcPr>
          <w:p w14:paraId="3528D77C" w14:textId="77777777" w:rsidR="001334E0" w:rsidRPr="00C50633" w:rsidRDefault="00FB47A6" w:rsidP="00B82E35">
            <w:pPr>
              <w:pStyle w:val="TableHeading"/>
            </w:pPr>
            <w:r w:rsidRPr="00C50633">
              <w:t>Life stage</w:t>
            </w:r>
          </w:p>
        </w:tc>
        <w:tc>
          <w:tcPr>
            <w:tcW w:w="399" w:type="pct"/>
            <w:tcBorders>
              <w:top w:val="single" w:sz="12" w:space="0" w:color="auto"/>
              <w:left w:val="nil"/>
              <w:bottom w:val="single" w:sz="12" w:space="0" w:color="auto"/>
              <w:right w:val="nil"/>
            </w:tcBorders>
            <w:shd w:val="clear" w:color="auto" w:fill="auto"/>
          </w:tcPr>
          <w:p w14:paraId="3528D77D" w14:textId="77777777" w:rsidR="001334E0" w:rsidRPr="00C50633" w:rsidRDefault="00FB47A6" w:rsidP="00B82E35">
            <w:pPr>
              <w:pStyle w:val="TableHeading"/>
            </w:pPr>
            <w:r w:rsidRPr="00C50633">
              <w:t>Exposure duration (h)</w:t>
            </w:r>
          </w:p>
        </w:tc>
        <w:tc>
          <w:tcPr>
            <w:tcW w:w="598" w:type="pct"/>
            <w:tcBorders>
              <w:top w:val="single" w:sz="12" w:space="0" w:color="auto"/>
              <w:left w:val="nil"/>
              <w:bottom w:val="single" w:sz="12" w:space="0" w:color="auto"/>
              <w:right w:val="nil"/>
            </w:tcBorders>
            <w:shd w:val="clear" w:color="auto" w:fill="auto"/>
          </w:tcPr>
          <w:p w14:paraId="3528D77E" w14:textId="77777777" w:rsidR="001334E0" w:rsidRPr="00C50633" w:rsidRDefault="00FB47A6" w:rsidP="00B82E35">
            <w:pPr>
              <w:pStyle w:val="TableHeading"/>
            </w:pPr>
            <w:r>
              <w:t>Toxicity measure </w:t>
            </w:r>
            <w:r w:rsidRPr="0031526B">
              <w:rPr>
                <w:rStyle w:val="Strong"/>
                <w:b/>
                <w:vertAlign w:val="superscript"/>
              </w:rPr>
              <w:t>a</w:t>
            </w:r>
            <w:r w:rsidRPr="00C50633">
              <w:t xml:space="preserve"> </w:t>
            </w:r>
          </w:p>
          <w:p w14:paraId="3528D77F" w14:textId="77777777" w:rsidR="001334E0" w:rsidRPr="00C50633" w:rsidRDefault="00FB47A6" w:rsidP="00B82E35">
            <w:pPr>
              <w:pStyle w:val="TableHeading"/>
            </w:pPr>
            <w:r w:rsidRPr="00C50633">
              <w:t>(test endpoint)</w:t>
            </w:r>
          </w:p>
        </w:tc>
        <w:tc>
          <w:tcPr>
            <w:tcW w:w="449" w:type="pct"/>
            <w:tcBorders>
              <w:top w:val="single" w:sz="12" w:space="0" w:color="auto"/>
              <w:left w:val="nil"/>
              <w:bottom w:val="single" w:sz="12" w:space="0" w:color="auto"/>
              <w:right w:val="nil"/>
            </w:tcBorders>
            <w:shd w:val="clear" w:color="auto" w:fill="auto"/>
          </w:tcPr>
          <w:p w14:paraId="3528D780" w14:textId="77777777" w:rsidR="001334E0" w:rsidRPr="00C50633" w:rsidRDefault="00FB47A6" w:rsidP="00B82E35">
            <w:pPr>
              <w:pStyle w:val="TableHeading"/>
            </w:pPr>
            <w:r w:rsidRPr="00C50633">
              <w:t>Test medium</w:t>
            </w:r>
          </w:p>
        </w:tc>
        <w:tc>
          <w:tcPr>
            <w:tcW w:w="448" w:type="pct"/>
            <w:tcBorders>
              <w:top w:val="single" w:sz="12" w:space="0" w:color="auto"/>
              <w:left w:val="nil"/>
              <w:bottom w:val="single" w:sz="12" w:space="0" w:color="auto"/>
              <w:right w:val="nil"/>
            </w:tcBorders>
            <w:shd w:val="clear" w:color="auto" w:fill="auto"/>
          </w:tcPr>
          <w:p w14:paraId="3528D781" w14:textId="77777777" w:rsidR="001334E0" w:rsidRPr="00C50633" w:rsidRDefault="00FB47A6" w:rsidP="00E75869">
            <w:pPr>
              <w:pStyle w:val="TableHeading"/>
            </w:pPr>
            <w:r w:rsidRPr="00C50633">
              <w:t>Temp</w:t>
            </w:r>
            <w:r>
              <w:t>erature</w:t>
            </w:r>
            <w:r w:rsidRPr="00C50633">
              <w:t xml:space="preserve"> (</w:t>
            </w:r>
            <w:r w:rsidRPr="00C50633">
              <w:rPr>
                <w:rFonts w:ascii="Symbol" w:hAnsi="Symbol"/>
              </w:rPr>
              <w:sym w:font="Symbol" w:char="F0B0"/>
            </w:r>
            <w:r w:rsidRPr="00C50633">
              <w:t>C)</w:t>
            </w:r>
          </w:p>
        </w:tc>
        <w:tc>
          <w:tcPr>
            <w:tcW w:w="300" w:type="pct"/>
            <w:tcBorders>
              <w:top w:val="single" w:sz="12" w:space="0" w:color="auto"/>
              <w:left w:val="nil"/>
              <w:bottom w:val="single" w:sz="12" w:space="0" w:color="auto"/>
              <w:right w:val="nil"/>
            </w:tcBorders>
            <w:shd w:val="clear" w:color="auto" w:fill="auto"/>
          </w:tcPr>
          <w:p w14:paraId="3528D782" w14:textId="77777777" w:rsidR="001334E0" w:rsidRPr="00C50633" w:rsidRDefault="00FB47A6" w:rsidP="00B82E35">
            <w:pPr>
              <w:pStyle w:val="TableHeading"/>
            </w:pPr>
            <w:r w:rsidRPr="00C50633">
              <w:t>Salinity (‰)</w:t>
            </w:r>
          </w:p>
        </w:tc>
        <w:tc>
          <w:tcPr>
            <w:tcW w:w="268" w:type="pct"/>
            <w:tcBorders>
              <w:top w:val="single" w:sz="12" w:space="0" w:color="auto"/>
              <w:left w:val="nil"/>
              <w:bottom w:val="single" w:sz="12" w:space="0" w:color="auto"/>
              <w:right w:val="nil"/>
            </w:tcBorders>
            <w:shd w:val="clear" w:color="auto" w:fill="auto"/>
          </w:tcPr>
          <w:p w14:paraId="3528D783" w14:textId="77777777" w:rsidR="001334E0" w:rsidRPr="00C50633" w:rsidRDefault="00FB47A6" w:rsidP="00B82E35">
            <w:pPr>
              <w:pStyle w:val="TableHeading"/>
            </w:pPr>
            <w:r w:rsidRPr="00C50633">
              <w:t>pH</w:t>
            </w:r>
          </w:p>
        </w:tc>
        <w:tc>
          <w:tcPr>
            <w:tcW w:w="484" w:type="pct"/>
            <w:tcBorders>
              <w:top w:val="single" w:sz="12" w:space="0" w:color="auto"/>
              <w:left w:val="nil"/>
              <w:bottom w:val="single" w:sz="12" w:space="0" w:color="auto"/>
              <w:right w:val="nil"/>
            </w:tcBorders>
            <w:shd w:val="clear" w:color="auto" w:fill="auto"/>
          </w:tcPr>
          <w:p w14:paraId="3528D784" w14:textId="77777777" w:rsidR="001334E0" w:rsidRPr="009E34D4" w:rsidRDefault="00FB47A6" w:rsidP="009E34D4">
            <w:pPr>
              <w:pStyle w:val="TableHeading"/>
            </w:pPr>
            <w:r w:rsidRPr="009E34D4">
              <w:t>Conc</w:t>
            </w:r>
            <w:r>
              <w:t>entration</w:t>
            </w:r>
            <w:r w:rsidRPr="009E34D4">
              <w:t xml:space="preserve"> (µg/L)</w:t>
            </w:r>
            <w:r>
              <w:t xml:space="preserve"> </w:t>
            </w:r>
            <w:r w:rsidRPr="004C29CC">
              <w:rPr>
                <w:rStyle w:val="Strong"/>
                <w:vertAlign w:val="superscript"/>
              </w:rPr>
              <w:t>b</w:t>
            </w:r>
          </w:p>
        </w:tc>
        <w:tc>
          <w:tcPr>
            <w:tcW w:w="471" w:type="pct"/>
            <w:tcBorders>
              <w:top w:val="single" w:sz="12" w:space="0" w:color="auto"/>
              <w:left w:val="nil"/>
              <w:bottom w:val="single" w:sz="12" w:space="0" w:color="auto"/>
              <w:right w:val="nil"/>
            </w:tcBorders>
            <w:shd w:val="clear" w:color="auto" w:fill="auto"/>
          </w:tcPr>
          <w:p w14:paraId="3528D785" w14:textId="77777777" w:rsidR="001334E0" w:rsidRPr="00A95D02" w:rsidRDefault="00FB47A6" w:rsidP="00B82E35">
            <w:pPr>
              <w:pStyle w:val="TableHeading"/>
            </w:pPr>
            <w:r w:rsidRPr="00A95D02">
              <w:t>Reference</w:t>
            </w:r>
          </w:p>
        </w:tc>
      </w:tr>
      <w:tr w:rsidR="00791C17" w14:paraId="3528D792" w14:textId="77777777" w:rsidTr="00616328">
        <w:trPr>
          <w:cantSplit/>
        </w:trPr>
        <w:tc>
          <w:tcPr>
            <w:tcW w:w="441" w:type="pct"/>
            <w:vMerge w:val="restart"/>
            <w:tcBorders>
              <w:top w:val="single" w:sz="12" w:space="0" w:color="auto"/>
              <w:left w:val="nil"/>
              <w:right w:val="nil"/>
            </w:tcBorders>
            <w:shd w:val="clear" w:color="auto" w:fill="auto"/>
          </w:tcPr>
          <w:p w14:paraId="3528D787" w14:textId="77777777" w:rsidR="001334E0" w:rsidRPr="004928C0" w:rsidRDefault="00FB47A6" w:rsidP="00B82E35">
            <w:pPr>
              <w:pStyle w:val="TableText"/>
              <w:rPr>
                <w:rFonts w:ascii="Myriad Pro" w:hAnsi="Myriad Pro"/>
              </w:rPr>
            </w:pPr>
            <w:r w:rsidRPr="004928C0">
              <w:t>Microalgae</w:t>
            </w:r>
          </w:p>
        </w:tc>
        <w:tc>
          <w:tcPr>
            <w:tcW w:w="793" w:type="pct"/>
            <w:tcBorders>
              <w:top w:val="single" w:sz="12" w:space="0" w:color="auto"/>
              <w:left w:val="nil"/>
              <w:bottom w:val="single" w:sz="6" w:space="0" w:color="auto"/>
              <w:right w:val="nil"/>
            </w:tcBorders>
            <w:shd w:val="clear" w:color="auto" w:fill="auto"/>
          </w:tcPr>
          <w:p w14:paraId="3528D788" w14:textId="77777777" w:rsidR="001334E0" w:rsidRPr="009E34D4" w:rsidRDefault="00FB47A6" w:rsidP="00B82E35">
            <w:pPr>
              <w:pStyle w:val="TableText"/>
              <w:rPr>
                <w:rStyle w:val="Emphasis"/>
              </w:rPr>
            </w:pPr>
            <w:r w:rsidRPr="009E34D4">
              <w:rPr>
                <w:rStyle w:val="Emphasis"/>
              </w:rPr>
              <w:t>Chlorella pyrenoidosa</w:t>
            </w:r>
          </w:p>
        </w:tc>
        <w:tc>
          <w:tcPr>
            <w:tcW w:w="349" w:type="pct"/>
            <w:tcBorders>
              <w:top w:val="single" w:sz="12" w:space="0" w:color="auto"/>
              <w:left w:val="nil"/>
              <w:bottom w:val="single" w:sz="6" w:space="0" w:color="auto"/>
              <w:right w:val="nil"/>
            </w:tcBorders>
            <w:shd w:val="clear" w:color="auto" w:fill="auto"/>
          </w:tcPr>
          <w:p w14:paraId="3528D789" w14:textId="77777777" w:rsidR="001334E0" w:rsidRPr="004928C0" w:rsidRDefault="00FB47A6" w:rsidP="00B82E35">
            <w:pPr>
              <w:pStyle w:val="TableText"/>
              <w:rPr>
                <w:rFonts w:ascii="Myriad Pro" w:hAnsi="Myriad Pro"/>
              </w:rPr>
            </w:pPr>
            <w:r>
              <w:rPr>
                <w:rFonts w:ascii="Myriad Pro" w:hAnsi="Myriad Pro"/>
              </w:rPr>
              <w:t>–</w:t>
            </w:r>
          </w:p>
        </w:tc>
        <w:tc>
          <w:tcPr>
            <w:tcW w:w="399" w:type="pct"/>
            <w:tcBorders>
              <w:top w:val="single" w:sz="12" w:space="0" w:color="auto"/>
              <w:left w:val="nil"/>
              <w:bottom w:val="single" w:sz="6" w:space="0" w:color="auto"/>
              <w:right w:val="nil"/>
            </w:tcBorders>
            <w:shd w:val="clear" w:color="auto" w:fill="auto"/>
          </w:tcPr>
          <w:p w14:paraId="3528D78A" w14:textId="77777777" w:rsidR="001334E0" w:rsidRPr="004928C0" w:rsidRDefault="00FB47A6" w:rsidP="00B82E35">
            <w:pPr>
              <w:pStyle w:val="TableText"/>
              <w:rPr>
                <w:rFonts w:ascii="Myriad Pro" w:hAnsi="Myriad Pro"/>
              </w:rPr>
            </w:pPr>
            <w:r w:rsidRPr="004928C0">
              <w:t>96</w:t>
            </w:r>
          </w:p>
        </w:tc>
        <w:tc>
          <w:tcPr>
            <w:tcW w:w="598" w:type="pct"/>
            <w:tcBorders>
              <w:top w:val="single" w:sz="12" w:space="0" w:color="auto"/>
              <w:left w:val="nil"/>
              <w:bottom w:val="single" w:sz="6" w:space="0" w:color="auto"/>
              <w:right w:val="nil"/>
            </w:tcBorders>
            <w:shd w:val="clear" w:color="auto" w:fill="auto"/>
          </w:tcPr>
          <w:p w14:paraId="3528D78B" w14:textId="77777777" w:rsidR="001334E0" w:rsidRPr="004928C0" w:rsidRDefault="00FB47A6" w:rsidP="0043748C">
            <w:pPr>
              <w:pStyle w:val="TableText"/>
            </w:pPr>
            <w:r w:rsidRPr="004928C0">
              <w:t>NOEC (Growth)</w:t>
            </w:r>
          </w:p>
        </w:tc>
        <w:tc>
          <w:tcPr>
            <w:tcW w:w="449" w:type="pct"/>
            <w:tcBorders>
              <w:top w:val="single" w:sz="12" w:space="0" w:color="auto"/>
              <w:left w:val="nil"/>
              <w:bottom w:val="single" w:sz="6" w:space="0" w:color="auto"/>
              <w:right w:val="nil"/>
            </w:tcBorders>
            <w:shd w:val="clear" w:color="auto" w:fill="auto"/>
          </w:tcPr>
          <w:p w14:paraId="3528D78C" w14:textId="77777777" w:rsidR="001334E0" w:rsidRPr="004928C0" w:rsidRDefault="00FB47A6" w:rsidP="0043748C">
            <w:pPr>
              <w:pStyle w:val="TableText"/>
            </w:pPr>
            <w:r w:rsidRPr="004928C0">
              <w:t>HB4 medium</w:t>
            </w:r>
          </w:p>
        </w:tc>
        <w:tc>
          <w:tcPr>
            <w:tcW w:w="448" w:type="pct"/>
            <w:tcBorders>
              <w:top w:val="single" w:sz="12" w:space="0" w:color="auto"/>
              <w:left w:val="nil"/>
              <w:bottom w:val="single" w:sz="6" w:space="0" w:color="auto"/>
              <w:right w:val="nil"/>
            </w:tcBorders>
            <w:shd w:val="clear" w:color="auto" w:fill="auto"/>
          </w:tcPr>
          <w:p w14:paraId="3528D78D" w14:textId="77777777" w:rsidR="001334E0" w:rsidRPr="004928C0" w:rsidRDefault="00FB47A6" w:rsidP="0043748C">
            <w:pPr>
              <w:pStyle w:val="TableText"/>
            </w:pPr>
            <w:r w:rsidRPr="004928C0">
              <w:t>25</w:t>
            </w:r>
          </w:p>
        </w:tc>
        <w:tc>
          <w:tcPr>
            <w:tcW w:w="300" w:type="pct"/>
            <w:tcBorders>
              <w:top w:val="single" w:sz="12" w:space="0" w:color="auto"/>
              <w:left w:val="nil"/>
              <w:bottom w:val="single" w:sz="6" w:space="0" w:color="auto"/>
              <w:right w:val="nil"/>
            </w:tcBorders>
            <w:shd w:val="clear" w:color="auto" w:fill="auto"/>
          </w:tcPr>
          <w:p w14:paraId="3528D78E" w14:textId="77777777" w:rsidR="001334E0" w:rsidRPr="004928C0" w:rsidRDefault="00FB47A6" w:rsidP="0043748C">
            <w:pPr>
              <w:pStyle w:val="TableText"/>
            </w:pPr>
            <w:r>
              <w:t>–</w:t>
            </w:r>
          </w:p>
        </w:tc>
        <w:tc>
          <w:tcPr>
            <w:tcW w:w="268" w:type="pct"/>
            <w:tcBorders>
              <w:top w:val="single" w:sz="12" w:space="0" w:color="auto"/>
              <w:left w:val="nil"/>
              <w:bottom w:val="single" w:sz="6" w:space="0" w:color="auto"/>
              <w:right w:val="nil"/>
            </w:tcBorders>
            <w:shd w:val="clear" w:color="auto" w:fill="auto"/>
          </w:tcPr>
          <w:p w14:paraId="3528D78F" w14:textId="77777777" w:rsidR="001334E0" w:rsidRPr="004928C0" w:rsidRDefault="00FB47A6" w:rsidP="0043748C">
            <w:pPr>
              <w:pStyle w:val="TableText"/>
            </w:pPr>
            <w:r>
              <w:t>–</w:t>
            </w:r>
          </w:p>
        </w:tc>
        <w:tc>
          <w:tcPr>
            <w:tcW w:w="484" w:type="pct"/>
            <w:tcBorders>
              <w:top w:val="single" w:sz="12" w:space="0" w:color="auto"/>
              <w:left w:val="nil"/>
              <w:bottom w:val="single" w:sz="6" w:space="0" w:color="auto"/>
              <w:right w:val="nil"/>
            </w:tcBorders>
            <w:shd w:val="clear" w:color="auto" w:fill="auto"/>
          </w:tcPr>
          <w:p w14:paraId="3528D790" w14:textId="77777777" w:rsidR="001334E0" w:rsidRPr="004928C0" w:rsidRDefault="00FB47A6" w:rsidP="0043748C">
            <w:pPr>
              <w:pStyle w:val="TableText"/>
            </w:pPr>
            <w:r w:rsidRPr="004928C0">
              <w:t>20</w:t>
            </w:r>
          </w:p>
        </w:tc>
        <w:tc>
          <w:tcPr>
            <w:tcW w:w="471" w:type="pct"/>
            <w:tcBorders>
              <w:top w:val="single" w:sz="12" w:space="0" w:color="auto"/>
              <w:left w:val="nil"/>
              <w:bottom w:val="single" w:sz="6" w:space="0" w:color="auto"/>
              <w:right w:val="nil"/>
            </w:tcBorders>
            <w:shd w:val="clear" w:color="auto" w:fill="auto"/>
          </w:tcPr>
          <w:p w14:paraId="3528D791" w14:textId="77777777" w:rsidR="001334E0" w:rsidRPr="004928C0" w:rsidRDefault="00FB47A6" w:rsidP="0043748C">
            <w:pPr>
              <w:pStyle w:val="TableText"/>
            </w:pPr>
            <w:r>
              <w:t>Ma et al. 2007</w:t>
            </w:r>
          </w:p>
        </w:tc>
      </w:tr>
      <w:tr w:rsidR="00791C17" w14:paraId="3528D79E" w14:textId="77777777" w:rsidTr="00616328">
        <w:trPr>
          <w:cantSplit/>
        </w:trPr>
        <w:tc>
          <w:tcPr>
            <w:tcW w:w="441" w:type="pct"/>
            <w:vMerge/>
            <w:tcBorders>
              <w:left w:val="nil"/>
              <w:right w:val="nil"/>
            </w:tcBorders>
            <w:shd w:val="clear" w:color="auto" w:fill="auto"/>
          </w:tcPr>
          <w:p w14:paraId="3528D793" w14:textId="77777777" w:rsidR="001334E0" w:rsidRPr="004928C0" w:rsidRDefault="001334E0" w:rsidP="00B82E35">
            <w:pPr>
              <w:pStyle w:val="TableText"/>
              <w:rPr>
                <w:rFonts w:ascii="Myriad Pro" w:hAnsi="Myriad Pro"/>
              </w:rPr>
            </w:pPr>
          </w:p>
        </w:tc>
        <w:tc>
          <w:tcPr>
            <w:tcW w:w="793" w:type="pct"/>
            <w:tcBorders>
              <w:top w:val="single" w:sz="6" w:space="0" w:color="auto"/>
              <w:left w:val="nil"/>
              <w:bottom w:val="single" w:sz="6" w:space="0" w:color="auto"/>
              <w:right w:val="nil"/>
            </w:tcBorders>
            <w:shd w:val="clear" w:color="auto" w:fill="auto"/>
          </w:tcPr>
          <w:p w14:paraId="3528D794" w14:textId="77777777" w:rsidR="001334E0" w:rsidRPr="009E34D4" w:rsidRDefault="00FB47A6" w:rsidP="00B82E35">
            <w:pPr>
              <w:pStyle w:val="TableText"/>
              <w:rPr>
                <w:rStyle w:val="Emphasis"/>
              </w:rPr>
            </w:pPr>
            <w:r w:rsidRPr="009E34D4">
              <w:rPr>
                <w:rStyle w:val="Emphasis"/>
              </w:rPr>
              <w:t>Chlorella vulgaris</w:t>
            </w:r>
          </w:p>
        </w:tc>
        <w:tc>
          <w:tcPr>
            <w:tcW w:w="349" w:type="pct"/>
            <w:tcBorders>
              <w:top w:val="single" w:sz="6" w:space="0" w:color="auto"/>
              <w:left w:val="nil"/>
              <w:bottom w:val="single" w:sz="6" w:space="0" w:color="auto"/>
              <w:right w:val="nil"/>
            </w:tcBorders>
            <w:shd w:val="clear" w:color="auto" w:fill="auto"/>
          </w:tcPr>
          <w:p w14:paraId="3528D795" w14:textId="77777777" w:rsidR="001334E0" w:rsidRPr="004928C0" w:rsidRDefault="00FB47A6" w:rsidP="00B82E35">
            <w:pPr>
              <w:pStyle w:val="TableText"/>
              <w:rPr>
                <w:rFonts w:ascii="Myriad Pro" w:hAnsi="Myriad Pro"/>
              </w:rPr>
            </w:pPr>
            <w:r>
              <w:rPr>
                <w:rFonts w:ascii="Myriad Pro" w:hAnsi="Myriad Pro"/>
              </w:rPr>
              <w:t>–</w:t>
            </w:r>
          </w:p>
        </w:tc>
        <w:tc>
          <w:tcPr>
            <w:tcW w:w="399" w:type="pct"/>
            <w:tcBorders>
              <w:top w:val="single" w:sz="6" w:space="0" w:color="auto"/>
              <w:left w:val="nil"/>
              <w:bottom w:val="single" w:sz="6" w:space="0" w:color="auto"/>
              <w:right w:val="nil"/>
            </w:tcBorders>
            <w:shd w:val="clear" w:color="auto" w:fill="auto"/>
          </w:tcPr>
          <w:p w14:paraId="3528D796" w14:textId="77777777" w:rsidR="001334E0" w:rsidRPr="004928C0" w:rsidRDefault="00FB47A6" w:rsidP="00B82E35">
            <w:pPr>
              <w:pStyle w:val="TableText"/>
              <w:rPr>
                <w:rFonts w:ascii="Myriad Pro" w:hAnsi="Myriad Pro"/>
              </w:rPr>
            </w:pPr>
            <w:r w:rsidRPr="004928C0">
              <w:t>96</w:t>
            </w:r>
          </w:p>
        </w:tc>
        <w:tc>
          <w:tcPr>
            <w:tcW w:w="598" w:type="pct"/>
            <w:tcBorders>
              <w:top w:val="single" w:sz="6" w:space="0" w:color="auto"/>
              <w:left w:val="nil"/>
              <w:bottom w:val="single" w:sz="6" w:space="0" w:color="auto"/>
              <w:right w:val="nil"/>
            </w:tcBorders>
            <w:shd w:val="clear" w:color="auto" w:fill="auto"/>
          </w:tcPr>
          <w:p w14:paraId="3528D797" w14:textId="77777777" w:rsidR="001334E0" w:rsidRPr="004928C0" w:rsidRDefault="00FB47A6" w:rsidP="0043748C">
            <w:pPr>
              <w:pStyle w:val="TableText"/>
            </w:pPr>
            <w:r w:rsidRPr="004928C0">
              <w:t>NOEC (Growth)</w:t>
            </w:r>
          </w:p>
        </w:tc>
        <w:tc>
          <w:tcPr>
            <w:tcW w:w="449" w:type="pct"/>
            <w:tcBorders>
              <w:top w:val="single" w:sz="6" w:space="0" w:color="auto"/>
              <w:left w:val="nil"/>
              <w:bottom w:val="single" w:sz="6" w:space="0" w:color="auto"/>
              <w:right w:val="nil"/>
            </w:tcBorders>
            <w:shd w:val="clear" w:color="auto" w:fill="auto"/>
          </w:tcPr>
          <w:p w14:paraId="3528D798" w14:textId="77777777" w:rsidR="001334E0" w:rsidRPr="004928C0" w:rsidRDefault="00FB47A6" w:rsidP="0043748C">
            <w:pPr>
              <w:pStyle w:val="TableText"/>
            </w:pPr>
            <w:r w:rsidRPr="004928C0">
              <w:t>HB4 medium</w:t>
            </w:r>
          </w:p>
        </w:tc>
        <w:tc>
          <w:tcPr>
            <w:tcW w:w="448" w:type="pct"/>
            <w:tcBorders>
              <w:top w:val="single" w:sz="6" w:space="0" w:color="auto"/>
              <w:left w:val="nil"/>
              <w:bottom w:val="single" w:sz="6" w:space="0" w:color="auto"/>
              <w:right w:val="nil"/>
            </w:tcBorders>
            <w:shd w:val="clear" w:color="auto" w:fill="auto"/>
          </w:tcPr>
          <w:p w14:paraId="3528D799" w14:textId="77777777" w:rsidR="001334E0" w:rsidRPr="004928C0" w:rsidRDefault="00FB47A6" w:rsidP="0043748C">
            <w:pPr>
              <w:pStyle w:val="TableText"/>
            </w:pPr>
            <w:r w:rsidRPr="004928C0">
              <w:t>25</w:t>
            </w:r>
          </w:p>
        </w:tc>
        <w:tc>
          <w:tcPr>
            <w:tcW w:w="300" w:type="pct"/>
            <w:tcBorders>
              <w:top w:val="single" w:sz="6" w:space="0" w:color="auto"/>
              <w:left w:val="nil"/>
              <w:bottom w:val="single" w:sz="6" w:space="0" w:color="auto"/>
              <w:right w:val="nil"/>
            </w:tcBorders>
            <w:shd w:val="clear" w:color="auto" w:fill="auto"/>
          </w:tcPr>
          <w:p w14:paraId="3528D79A" w14:textId="77777777" w:rsidR="001334E0" w:rsidRPr="004928C0" w:rsidRDefault="00FB47A6" w:rsidP="0043748C">
            <w:pPr>
              <w:pStyle w:val="TableText"/>
            </w:pPr>
            <w:r>
              <w:t>–</w:t>
            </w:r>
          </w:p>
        </w:tc>
        <w:tc>
          <w:tcPr>
            <w:tcW w:w="268" w:type="pct"/>
            <w:tcBorders>
              <w:top w:val="single" w:sz="6" w:space="0" w:color="auto"/>
              <w:left w:val="nil"/>
              <w:bottom w:val="single" w:sz="6" w:space="0" w:color="auto"/>
              <w:right w:val="nil"/>
            </w:tcBorders>
            <w:shd w:val="clear" w:color="auto" w:fill="auto"/>
          </w:tcPr>
          <w:p w14:paraId="3528D79B" w14:textId="77777777" w:rsidR="001334E0" w:rsidRPr="004928C0" w:rsidRDefault="00FB47A6" w:rsidP="0043748C">
            <w:pPr>
              <w:pStyle w:val="TableText"/>
            </w:pPr>
            <w:r>
              <w:t>–</w:t>
            </w:r>
          </w:p>
        </w:tc>
        <w:tc>
          <w:tcPr>
            <w:tcW w:w="484" w:type="pct"/>
            <w:tcBorders>
              <w:top w:val="single" w:sz="6" w:space="0" w:color="auto"/>
              <w:left w:val="nil"/>
              <w:bottom w:val="single" w:sz="6" w:space="0" w:color="auto"/>
              <w:right w:val="nil"/>
            </w:tcBorders>
            <w:shd w:val="clear" w:color="auto" w:fill="auto"/>
          </w:tcPr>
          <w:p w14:paraId="3528D79C" w14:textId="77777777" w:rsidR="001334E0" w:rsidRPr="004928C0" w:rsidRDefault="00FB47A6" w:rsidP="0043748C">
            <w:pPr>
              <w:pStyle w:val="TableText"/>
            </w:pPr>
            <w:r w:rsidRPr="004928C0">
              <w:t>100</w:t>
            </w:r>
          </w:p>
        </w:tc>
        <w:tc>
          <w:tcPr>
            <w:tcW w:w="471" w:type="pct"/>
            <w:tcBorders>
              <w:top w:val="single" w:sz="6" w:space="0" w:color="auto"/>
              <w:left w:val="nil"/>
              <w:bottom w:val="single" w:sz="6" w:space="0" w:color="auto"/>
              <w:right w:val="nil"/>
            </w:tcBorders>
            <w:shd w:val="clear" w:color="auto" w:fill="auto"/>
          </w:tcPr>
          <w:p w14:paraId="3528D79D" w14:textId="77777777" w:rsidR="001334E0" w:rsidRPr="004928C0" w:rsidRDefault="00FB47A6" w:rsidP="0043748C">
            <w:pPr>
              <w:pStyle w:val="TableText"/>
            </w:pPr>
            <w:r>
              <w:t>Ma et al. 2007</w:t>
            </w:r>
          </w:p>
        </w:tc>
      </w:tr>
      <w:tr w:rsidR="00791C17" w14:paraId="3528D7AA" w14:textId="77777777" w:rsidTr="00616328">
        <w:trPr>
          <w:cantSplit/>
        </w:trPr>
        <w:tc>
          <w:tcPr>
            <w:tcW w:w="441" w:type="pct"/>
            <w:vMerge/>
            <w:tcBorders>
              <w:left w:val="nil"/>
              <w:right w:val="nil"/>
            </w:tcBorders>
            <w:shd w:val="clear" w:color="auto" w:fill="auto"/>
          </w:tcPr>
          <w:p w14:paraId="3528D79F" w14:textId="77777777" w:rsidR="001334E0" w:rsidRPr="004928C0" w:rsidRDefault="001334E0" w:rsidP="00B82E35">
            <w:pPr>
              <w:pStyle w:val="TableText"/>
              <w:rPr>
                <w:rFonts w:ascii="Myriad Pro" w:hAnsi="Myriad Pro"/>
              </w:rPr>
            </w:pPr>
          </w:p>
        </w:tc>
        <w:tc>
          <w:tcPr>
            <w:tcW w:w="793" w:type="pct"/>
            <w:tcBorders>
              <w:top w:val="single" w:sz="6" w:space="0" w:color="auto"/>
              <w:left w:val="nil"/>
              <w:bottom w:val="single" w:sz="6" w:space="0" w:color="auto"/>
              <w:right w:val="nil"/>
            </w:tcBorders>
            <w:shd w:val="clear" w:color="auto" w:fill="auto"/>
          </w:tcPr>
          <w:p w14:paraId="3528D7A0" w14:textId="77777777" w:rsidR="001334E0" w:rsidRPr="009E34D4" w:rsidRDefault="00FB47A6" w:rsidP="00B82E35">
            <w:pPr>
              <w:pStyle w:val="TableText"/>
              <w:rPr>
                <w:rStyle w:val="Emphasis"/>
              </w:rPr>
            </w:pPr>
            <w:r w:rsidRPr="009E34D4">
              <w:rPr>
                <w:rStyle w:val="Emphasis"/>
              </w:rPr>
              <w:t>Scenedesmus quadricauda</w:t>
            </w:r>
          </w:p>
        </w:tc>
        <w:tc>
          <w:tcPr>
            <w:tcW w:w="349" w:type="pct"/>
            <w:tcBorders>
              <w:top w:val="single" w:sz="6" w:space="0" w:color="auto"/>
              <w:left w:val="nil"/>
              <w:bottom w:val="single" w:sz="6" w:space="0" w:color="auto"/>
              <w:right w:val="nil"/>
            </w:tcBorders>
            <w:shd w:val="clear" w:color="auto" w:fill="auto"/>
          </w:tcPr>
          <w:p w14:paraId="3528D7A1" w14:textId="77777777" w:rsidR="001334E0" w:rsidRPr="004928C0" w:rsidRDefault="00FB47A6" w:rsidP="00B82E35">
            <w:pPr>
              <w:pStyle w:val="TableText"/>
              <w:rPr>
                <w:rFonts w:ascii="Myriad Pro" w:hAnsi="Myriad Pro"/>
              </w:rPr>
            </w:pPr>
            <w:r>
              <w:rPr>
                <w:rFonts w:ascii="Myriad Pro" w:hAnsi="Myriad Pro"/>
              </w:rPr>
              <w:t>–</w:t>
            </w:r>
          </w:p>
        </w:tc>
        <w:tc>
          <w:tcPr>
            <w:tcW w:w="399" w:type="pct"/>
            <w:tcBorders>
              <w:top w:val="single" w:sz="6" w:space="0" w:color="auto"/>
              <w:left w:val="nil"/>
              <w:bottom w:val="single" w:sz="6" w:space="0" w:color="auto"/>
              <w:right w:val="nil"/>
            </w:tcBorders>
            <w:shd w:val="clear" w:color="auto" w:fill="auto"/>
          </w:tcPr>
          <w:p w14:paraId="3528D7A2" w14:textId="77777777" w:rsidR="001334E0" w:rsidRPr="004928C0" w:rsidRDefault="00FB47A6" w:rsidP="00B82E35">
            <w:pPr>
              <w:pStyle w:val="TableText"/>
              <w:rPr>
                <w:rFonts w:ascii="Myriad Pro" w:hAnsi="Myriad Pro"/>
              </w:rPr>
            </w:pPr>
            <w:r w:rsidRPr="004928C0">
              <w:t>96</w:t>
            </w:r>
          </w:p>
        </w:tc>
        <w:tc>
          <w:tcPr>
            <w:tcW w:w="598" w:type="pct"/>
            <w:tcBorders>
              <w:top w:val="single" w:sz="6" w:space="0" w:color="auto"/>
              <w:left w:val="nil"/>
              <w:bottom w:val="single" w:sz="6" w:space="0" w:color="auto"/>
              <w:right w:val="nil"/>
            </w:tcBorders>
            <w:shd w:val="clear" w:color="auto" w:fill="auto"/>
          </w:tcPr>
          <w:p w14:paraId="3528D7A3" w14:textId="77777777" w:rsidR="001334E0" w:rsidRPr="004928C0" w:rsidRDefault="00FB47A6" w:rsidP="0043748C">
            <w:pPr>
              <w:pStyle w:val="TableText"/>
            </w:pPr>
            <w:r w:rsidRPr="004928C0">
              <w:t>NOEC (Growth)</w:t>
            </w:r>
          </w:p>
        </w:tc>
        <w:tc>
          <w:tcPr>
            <w:tcW w:w="449" w:type="pct"/>
            <w:tcBorders>
              <w:top w:val="single" w:sz="6" w:space="0" w:color="auto"/>
              <w:left w:val="nil"/>
              <w:bottom w:val="single" w:sz="6" w:space="0" w:color="auto"/>
              <w:right w:val="nil"/>
            </w:tcBorders>
            <w:shd w:val="clear" w:color="auto" w:fill="auto"/>
          </w:tcPr>
          <w:p w14:paraId="3528D7A4" w14:textId="77777777" w:rsidR="001334E0" w:rsidRPr="004928C0" w:rsidRDefault="00FB47A6" w:rsidP="0043748C">
            <w:pPr>
              <w:pStyle w:val="TableText"/>
            </w:pPr>
            <w:r w:rsidRPr="004928C0">
              <w:t>HB4 medium</w:t>
            </w:r>
          </w:p>
        </w:tc>
        <w:tc>
          <w:tcPr>
            <w:tcW w:w="448" w:type="pct"/>
            <w:tcBorders>
              <w:top w:val="single" w:sz="6" w:space="0" w:color="auto"/>
              <w:left w:val="nil"/>
              <w:bottom w:val="single" w:sz="6" w:space="0" w:color="auto"/>
              <w:right w:val="nil"/>
            </w:tcBorders>
            <w:shd w:val="clear" w:color="auto" w:fill="auto"/>
          </w:tcPr>
          <w:p w14:paraId="3528D7A5" w14:textId="77777777" w:rsidR="001334E0" w:rsidRPr="004928C0" w:rsidRDefault="00FB47A6" w:rsidP="0043748C">
            <w:pPr>
              <w:pStyle w:val="TableText"/>
            </w:pPr>
            <w:r w:rsidRPr="004928C0">
              <w:t>25</w:t>
            </w:r>
          </w:p>
        </w:tc>
        <w:tc>
          <w:tcPr>
            <w:tcW w:w="300" w:type="pct"/>
            <w:tcBorders>
              <w:top w:val="single" w:sz="6" w:space="0" w:color="auto"/>
              <w:left w:val="nil"/>
              <w:bottom w:val="single" w:sz="6" w:space="0" w:color="auto"/>
              <w:right w:val="nil"/>
            </w:tcBorders>
            <w:shd w:val="clear" w:color="auto" w:fill="auto"/>
          </w:tcPr>
          <w:p w14:paraId="3528D7A6" w14:textId="77777777" w:rsidR="001334E0" w:rsidRPr="004928C0" w:rsidRDefault="00FB47A6" w:rsidP="0043748C">
            <w:pPr>
              <w:pStyle w:val="TableText"/>
            </w:pPr>
            <w:r>
              <w:t>–</w:t>
            </w:r>
          </w:p>
        </w:tc>
        <w:tc>
          <w:tcPr>
            <w:tcW w:w="268" w:type="pct"/>
            <w:tcBorders>
              <w:top w:val="single" w:sz="6" w:space="0" w:color="auto"/>
              <w:left w:val="nil"/>
              <w:bottom w:val="single" w:sz="6" w:space="0" w:color="auto"/>
              <w:right w:val="nil"/>
            </w:tcBorders>
            <w:shd w:val="clear" w:color="auto" w:fill="auto"/>
          </w:tcPr>
          <w:p w14:paraId="3528D7A7" w14:textId="77777777" w:rsidR="001334E0" w:rsidRPr="004928C0" w:rsidRDefault="00FB47A6" w:rsidP="0043748C">
            <w:pPr>
              <w:pStyle w:val="TableText"/>
            </w:pPr>
            <w:r>
              <w:t>–</w:t>
            </w:r>
          </w:p>
        </w:tc>
        <w:tc>
          <w:tcPr>
            <w:tcW w:w="484" w:type="pct"/>
            <w:tcBorders>
              <w:top w:val="single" w:sz="6" w:space="0" w:color="auto"/>
              <w:left w:val="nil"/>
              <w:bottom w:val="single" w:sz="6" w:space="0" w:color="auto"/>
              <w:right w:val="nil"/>
            </w:tcBorders>
            <w:shd w:val="clear" w:color="auto" w:fill="auto"/>
          </w:tcPr>
          <w:p w14:paraId="3528D7A8" w14:textId="77777777" w:rsidR="001334E0" w:rsidRPr="004928C0" w:rsidRDefault="00FB47A6" w:rsidP="0043748C">
            <w:pPr>
              <w:pStyle w:val="TableText"/>
            </w:pPr>
            <w:r w:rsidRPr="004928C0">
              <w:t>100</w:t>
            </w:r>
          </w:p>
        </w:tc>
        <w:tc>
          <w:tcPr>
            <w:tcW w:w="471" w:type="pct"/>
            <w:tcBorders>
              <w:top w:val="single" w:sz="6" w:space="0" w:color="auto"/>
              <w:left w:val="nil"/>
              <w:bottom w:val="single" w:sz="6" w:space="0" w:color="auto"/>
              <w:right w:val="nil"/>
            </w:tcBorders>
            <w:shd w:val="clear" w:color="auto" w:fill="auto"/>
          </w:tcPr>
          <w:p w14:paraId="3528D7A9" w14:textId="77777777" w:rsidR="001334E0" w:rsidRPr="004928C0" w:rsidRDefault="00FB47A6" w:rsidP="0043748C">
            <w:pPr>
              <w:pStyle w:val="TableText"/>
            </w:pPr>
            <w:r>
              <w:t>Ma et al. 2007</w:t>
            </w:r>
          </w:p>
        </w:tc>
      </w:tr>
      <w:tr w:rsidR="00791C17" w14:paraId="3528D7B6" w14:textId="77777777" w:rsidTr="00616328">
        <w:trPr>
          <w:cantSplit/>
        </w:trPr>
        <w:tc>
          <w:tcPr>
            <w:tcW w:w="441" w:type="pct"/>
            <w:vMerge/>
            <w:tcBorders>
              <w:left w:val="nil"/>
              <w:right w:val="nil"/>
            </w:tcBorders>
            <w:shd w:val="clear" w:color="auto" w:fill="auto"/>
          </w:tcPr>
          <w:p w14:paraId="3528D7AB" w14:textId="77777777" w:rsidR="001334E0" w:rsidRPr="004928C0" w:rsidRDefault="001334E0" w:rsidP="00B82E35">
            <w:pPr>
              <w:pStyle w:val="TableText"/>
              <w:rPr>
                <w:rFonts w:ascii="Myriad Pro" w:hAnsi="Myriad Pro"/>
              </w:rPr>
            </w:pPr>
          </w:p>
        </w:tc>
        <w:tc>
          <w:tcPr>
            <w:tcW w:w="793" w:type="pct"/>
            <w:tcBorders>
              <w:top w:val="single" w:sz="6" w:space="0" w:color="auto"/>
              <w:left w:val="nil"/>
              <w:bottom w:val="single" w:sz="6" w:space="0" w:color="auto"/>
              <w:right w:val="nil"/>
            </w:tcBorders>
            <w:shd w:val="clear" w:color="auto" w:fill="auto"/>
          </w:tcPr>
          <w:p w14:paraId="3528D7AC" w14:textId="77777777" w:rsidR="001334E0" w:rsidRPr="009E34D4" w:rsidRDefault="00FB47A6" w:rsidP="00B82E35">
            <w:pPr>
              <w:pStyle w:val="TableText"/>
              <w:rPr>
                <w:rStyle w:val="Emphasis"/>
              </w:rPr>
            </w:pPr>
            <w:r w:rsidRPr="009E34D4">
              <w:rPr>
                <w:rStyle w:val="Emphasis"/>
              </w:rPr>
              <w:t>Rhapidocelis subcapitata</w:t>
            </w:r>
            <w:r w:rsidR="00AF2057" w:rsidRPr="00BB22E9">
              <w:rPr>
                <w:rStyle w:val="Strong"/>
                <w:vertAlign w:val="superscript"/>
              </w:rPr>
              <w:t xml:space="preserve"> </w:t>
            </w:r>
            <w:r w:rsidR="00FF0960">
              <w:rPr>
                <w:rStyle w:val="Strong"/>
                <w:vertAlign w:val="superscript"/>
              </w:rPr>
              <w:t xml:space="preserve"> </w:t>
            </w:r>
            <w:r w:rsidR="00AF2057" w:rsidRPr="00BB22E9">
              <w:rPr>
                <w:rStyle w:val="Strong"/>
                <w:vertAlign w:val="superscript"/>
              </w:rPr>
              <w:t>d</w:t>
            </w:r>
          </w:p>
        </w:tc>
        <w:tc>
          <w:tcPr>
            <w:tcW w:w="349" w:type="pct"/>
            <w:tcBorders>
              <w:top w:val="single" w:sz="6" w:space="0" w:color="auto"/>
              <w:left w:val="nil"/>
              <w:bottom w:val="single" w:sz="6" w:space="0" w:color="auto"/>
              <w:right w:val="nil"/>
            </w:tcBorders>
            <w:shd w:val="clear" w:color="auto" w:fill="auto"/>
          </w:tcPr>
          <w:p w14:paraId="3528D7AD" w14:textId="77777777" w:rsidR="001334E0" w:rsidRPr="004928C0" w:rsidRDefault="00FB47A6" w:rsidP="00B82E35">
            <w:pPr>
              <w:pStyle w:val="TableText"/>
              <w:rPr>
                <w:rFonts w:ascii="Myriad Pro" w:hAnsi="Myriad Pro"/>
              </w:rPr>
            </w:pPr>
            <w:r>
              <w:rPr>
                <w:rFonts w:ascii="Myriad Pro" w:hAnsi="Myriad Pro"/>
              </w:rPr>
              <w:t>–</w:t>
            </w:r>
          </w:p>
        </w:tc>
        <w:tc>
          <w:tcPr>
            <w:tcW w:w="399" w:type="pct"/>
            <w:tcBorders>
              <w:top w:val="single" w:sz="6" w:space="0" w:color="auto"/>
              <w:left w:val="nil"/>
              <w:bottom w:val="single" w:sz="6" w:space="0" w:color="auto"/>
              <w:right w:val="nil"/>
            </w:tcBorders>
            <w:shd w:val="clear" w:color="auto" w:fill="auto"/>
          </w:tcPr>
          <w:p w14:paraId="3528D7AE" w14:textId="77777777" w:rsidR="001334E0" w:rsidRPr="004928C0" w:rsidRDefault="00FB47A6" w:rsidP="00B82E35">
            <w:pPr>
              <w:pStyle w:val="TableText"/>
              <w:rPr>
                <w:rFonts w:ascii="Myriad Pro" w:hAnsi="Myriad Pro"/>
              </w:rPr>
            </w:pPr>
            <w:r w:rsidRPr="004928C0">
              <w:t>96</w:t>
            </w:r>
          </w:p>
        </w:tc>
        <w:tc>
          <w:tcPr>
            <w:tcW w:w="598" w:type="pct"/>
            <w:tcBorders>
              <w:top w:val="single" w:sz="6" w:space="0" w:color="auto"/>
              <w:left w:val="nil"/>
              <w:bottom w:val="single" w:sz="6" w:space="0" w:color="auto"/>
              <w:right w:val="nil"/>
            </w:tcBorders>
            <w:shd w:val="clear" w:color="auto" w:fill="auto"/>
          </w:tcPr>
          <w:p w14:paraId="3528D7AF" w14:textId="77777777" w:rsidR="001334E0" w:rsidRPr="004928C0" w:rsidRDefault="00FB47A6" w:rsidP="0043748C">
            <w:pPr>
              <w:pStyle w:val="TableText"/>
            </w:pPr>
            <w:r w:rsidRPr="004928C0">
              <w:t>NOEC (Growth)</w:t>
            </w:r>
          </w:p>
        </w:tc>
        <w:tc>
          <w:tcPr>
            <w:tcW w:w="449" w:type="pct"/>
            <w:tcBorders>
              <w:top w:val="single" w:sz="6" w:space="0" w:color="auto"/>
              <w:left w:val="nil"/>
              <w:bottom w:val="single" w:sz="6" w:space="0" w:color="auto"/>
              <w:right w:val="nil"/>
            </w:tcBorders>
            <w:shd w:val="clear" w:color="auto" w:fill="auto"/>
          </w:tcPr>
          <w:p w14:paraId="3528D7B0" w14:textId="77777777" w:rsidR="001334E0" w:rsidRPr="004928C0" w:rsidRDefault="00FB47A6" w:rsidP="0043748C">
            <w:pPr>
              <w:pStyle w:val="TableText"/>
            </w:pPr>
            <w:r w:rsidRPr="004928C0">
              <w:t>HB4 medium</w:t>
            </w:r>
          </w:p>
        </w:tc>
        <w:tc>
          <w:tcPr>
            <w:tcW w:w="448" w:type="pct"/>
            <w:tcBorders>
              <w:top w:val="single" w:sz="6" w:space="0" w:color="auto"/>
              <w:left w:val="nil"/>
              <w:bottom w:val="single" w:sz="6" w:space="0" w:color="auto"/>
              <w:right w:val="nil"/>
            </w:tcBorders>
            <w:shd w:val="clear" w:color="auto" w:fill="auto"/>
          </w:tcPr>
          <w:p w14:paraId="3528D7B1" w14:textId="77777777" w:rsidR="001334E0" w:rsidRPr="004928C0" w:rsidRDefault="00FB47A6" w:rsidP="0043748C">
            <w:pPr>
              <w:pStyle w:val="TableText"/>
            </w:pPr>
            <w:r w:rsidRPr="004928C0">
              <w:t>25</w:t>
            </w:r>
          </w:p>
        </w:tc>
        <w:tc>
          <w:tcPr>
            <w:tcW w:w="300" w:type="pct"/>
            <w:tcBorders>
              <w:top w:val="single" w:sz="6" w:space="0" w:color="auto"/>
              <w:left w:val="nil"/>
              <w:bottom w:val="single" w:sz="6" w:space="0" w:color="auto"/>
              <w:right w:val="nil"/>
            </w:tcBorders>
            <w:shd w:val="clear" w:color="auto" w:fill="auto"/>
          </w:tcPr>
          <w:p w14:paraId="3528D7B2" w14:textId="77777777" w:rsidR="001334E0" w:rsidRPr="004928C0" w:rsidRDefault="00FB47A6" w:rsidP="0043748C">
            <w:pPr>
              <w:pStyle w:val="TableText"/>
            </w:pPr>
            <w:r>
              <w:t>–</w:t>
            </w:r>
          </w:p>
        </w:tc>
        <w:tc>
          <w:tcPr>
            <w:tcW w:w="268" w:type="pct"/>
            <w:tcBorders>
              <w:top w:val="single" w:sz="6" w:space="0" w:color="auto"/>
              <w:left w:val="nil"/>
              <w:bottom w:val="single" w:sz="6" w:space="0" w:color="auto"/>
              <w:right w:val="nil"/>
            </w:tcBorders>
            <w:shd w:val="clear" w:color="auto" w:fill="auto"/>
          </w:tcPr>
          <w:p w14:paraId="3528D7B3" w14:textId="77777777" w:rsidR="001334E0" w:rsidRPr="004928C0" w:rsidRDefault="00FB47A6" w:rsidP="0043748C">
            <w:pPr>
              <w:pStyle w:val="TableText"/>
            </w:pPr>
            <w:r>
              <w:t>–</w:t>
            </w:r>
          </w:p>
        </w:tc>
        <w:tc>
          <w:tcPr>
            <w:tcW w:w="484" w:type="pct"/>
            <w:tcBorders>
              <w:top w:val="single" w:sz="6" w:space="0" w:color="auto"/>
              <w:left w:val="nil"/>
              <w:bottom w:val="single" w:sz="6" w:space="0" w:color="auto"/>
              <w:right w:val="nil"/>
            </w:tcBorders>
            <w:shd w:val="clear" w:color="auto" w:fill="auto"/>
          </w:tcPr>
          <w:p w14:paraId="3528D7B4" w14:textId="77777777" w:rsidR="001334E0" w:rsidRPr="004928C0" w:rsidRDefault="00FB47A6" w:rsidP="0043748C">
            <w:pPr>
              <w:pStyle w:val="TableText"/>
            </w:pPr>
            <w:r w:rsidRPr="004928C0">
              <w:t>100</w:t>
            </w:r>
          </w:p>
        </w:tc>
        <w:tc>
          <w:tcPr>
            <w:tcW w:w="471" w:type="pct"/>
            <w:tcBorders>
              <w:top w:val="single" w:sz="6" w:space="0" w:color="auto"/>
              <w:left w:val="nil"/>
              <w:bottom w:val="single" w:sz="6" w:space="0" w:color="auto"/>
              <w:right w:val="nil"/>
            </w:tcBorders>
            <w:shd w:val="clear" w:color="auto" w:fill="auto"/>
          </w:tcPr>
          <w:p w14:paraId="3528D7B5" w14:textId="77777777" w:rsidR="001334E0" w:rsidRPr="004928C0" w:rsidRDefault="00FB47A6" w:rsidP="0043748C">
            <w:pPr>
              <w:pStyle w:val="TableText"/>
            </w:pPr>
            <w:r w:rsidRPr="007A4033">
              <w:t>Ma et al. 2007</w:t>
            </w:r>
          </w:p>
        </w:tc>
      </w:tr>
      <w:tr w:rsidR="00791C17" w14:paraId="3528D7C2" w14:textId="77777777" w:rsidTr="00616328">
        <w:trPr>
          <w:cantSplit/>
        </w:trPr>
        <w:tc>
          <w:tcPr>
            <w:tcW w:w="441" w:type="pct"/>
            <w:vMerge/>
            <w:tcBorders>
              <w:left w:val="nil"/>
              <w:bottom w:val="single" w:sz="6" w:space="0" w:color="auto"/>
              <w:right w:val="nil"/>
            </w:tcBorders>
            <w:shd w:val="clear" w:color="auto" w:fill="auto"/>
          </w:tcPr>
          <w:p w14:paraId="3528D7B7" w14:textId="77777777" w:rsidR="001334E0" w:rsidRPr="004928C0" w:rsidRDefault="001334E0" w:rsidP="00B82E35">
            <w:pPr>
              <w:pStyle w:val="TableText"/>
              <w:rPr>
                <w:rFonts w:ascii="Myriad Pro" w:hAnsi="Myriad Pro"/>
              </w:rPr>
            </w:pPr>
          </w:p>
        </w:tc>
        <w:tc>
          <w:tcPr>
            <w:tcW w:w="793" w:type="pct"/>
            <w:tcBorders>
              <w:top w:val="single" w:sz="6" w:space="0" w:color="auto"/>
              <w:left w:val="nil"/>
              <w:bottom w:val="single" w:sz="6" w:space="0" w:color="auto"/>
              <w:right w:val="nil"/>
            </w:tcBorders>
            <w:shd w:val="clear" w:color="auto" w:fill="auto"/>
          </w:tcPr>
          <w:p w14:paraId="3528D7B8" w14:textId="77777777" w:rsidR="001334E0" w:rsidRPr="009E34D4" w:rsidRDefault="00FB47A6" w:rsidP="00B82E35">
            <w:pPr>
              <w:pStyle w:val="TableText"/>
              <w:rPr>
                <w:rStyle w:val="Emphasis"/>
              </w:rPr>
            </w:pPr>
            <w:r w:rsidRPr="009E34D4">
              <w:rPr>
                <w:rStyle w:val="Emphasis"/>
              </w:rPr>
              <w:t>Scenedesmus obliquus</w:t>
            </w:r>
          </w:p>
        </w:tc>
        <w:tc>
          <w:tcPr>
            <w:tcW w:w="349" w:type="pct"/>
            <w:tcBorders>
              <w:top w:val="single" w:sz="6" w:space="0" w:color="auto"/>
              <w:left w:val="nil"/>
              <w:bottom w:val="single" w:sz="6" w:space="0" w:color="auto"/>
              <w:right w:val="nil"/>
            </w:tcBorders>
            <w:shd w:val="clear" w:color="auto" w:fill="auto"/>
          </w:tcPr>
          <w:p w14:paraId="3528D7B9" w14:textId="77777777" w:rsidR="001334E0" w:rsidRPr="004928C0" w:rsidRDefault="00FB47A6" w:rsidP="00B82E35">
            <w:pPr>
              <w:pStyle w:val="TableText"/>
              <w:rPr>
                <w:rFonts w:ascii="Myriad Pro" w:hAnsi="Myriad Pro"/>
              </w:rPr>
            </w:pPr>
            <w:r>
              <w:rPr>
                <w:rFonts w:ascii="Myriad Pro" w:hAnsi="Myriad Pro"/>
              </w:rPr>
              <w:t>–</w:t>
            </w:r>
          </w:p>
        </w:tc>
        <w:tc>
          <w:tcPr>
            <w:tcW w:w="399" w:type="pct"/>
            <w:tcBorders>
              <w:top w:val="single" w:sz="6" w:space="0" w:color="auto"/>
              <w:left w:val="nil"/>
              <w:bottom w:val="single" w:sz="6" w:space="0" w:color="auto"/>
              <w:right w:val="nil"/>
            </w:tcBorders>
            <w:shd w:val="clear" w:color="auto" w:fill="auto"/>
          </w:tcPr>
          <w:p w14:paraId="3528D7BA" w14:textId="77777777" w:rsidR="001334E0" w:rsidRPr="004928C0" w:rsidRDefault="00FB47A6" w:rsidP="00B82E35">
            <w:pPr>
              <w:pStyle w:val="TableText"/>
              <w:rPr>
                <w:rFonts w:ascii="Myriad Pro" w:hAnsi="Myriad Pro"/>
              </w:rPr>
            </w:pPr>
            <w:r w:rsidRPr="004928C0">
              <w:t>96</w:t>
            </w:r>
          </w:p>
        </w:tc>
        <w:tc>
          <w:tcPr>
            <w:tcW w:w="598" w:type="pct"/>
            <w:tcBorders>
              <w:top w:val="single" w:sz="6" w:space="0" w:color="auto"/>
              <w:left w:val="nil"/>
              <w:bottom w:val="single" w:sz="6" w:space="0" w:color="auto"/>
              <w:right w:val="nil"/>
            </w:tcBorders>
            <w:shd w:val="clear" w:color="auto" w:fill="auto"/>
          </w:tcPr>
          <w:p w14:paraId="3528D7BB" w14:textId="77777777" w:rsidR="001334E0" w:rsidRPr="004928C0" w:rsidRDefault="00FB47A6" w:rsidP="0043748C">
            <w:pPr>
              <w:pStyle w:val="TableText"/>
            </w:pPr>
            <w:r w:rsidRPr="004928C0">
              <w:t xml:space="preserve">NOEC </w:t>
            </w:r>
            <w:r w:rsidRPr="004928C0">
              <w:t>(Growth)</w:t>
            </w:r>
          </w:p>
        </w:tc>
        <w:tc>
          <w:tcPr>
            <w:tcW w:w="449" w:type="pct"/>
            <w:tcBorders>
              <w:top w:val="single" w:sz="6" w:space="0" w:color="auto"/>
              <w:left w:val="nil"/>
              <w:bottom w:val="single" w:sz="6" w:space="0" w:color="auto"/>
              <w:right w:val="nil"/>
            </w:tcBorders>
            <w:shd w:val="clear" w:color="auto" w:fill="auto"/>
          </w:tcPr>
          <w:p w14:paraId="3528D7BC" w14:textId="77777777" w:rsidR="001334E0" w:rsidRPr="004928C0" w:rsidRDefault="00FB47A6" w:rsidP="0043748C">
            <w:pPr>
              <w:pStyle w:val="TableText"/>
            </w:pPr>
            <w:r w:rsidRPr="004928C0">
              <w:t>HB4 medium</w:t>
            </w:r>
          </w:p>
        </w:tc>
        <w:tc>
          <w:tcPr>
            <w:tcW w:w="448" w:type="pct"/>
            <w:tcBorders>
              <w:top w:val="single" w:sz="6" w:space="0" w:color="auto"/>
              <w:left w:val="nil"/>
              <w:bottom w:val="single" w:sz="6" w:space="0" w:color="auto"/>
              <w:right w:val="nil"/>
            </w:tcBorders>
            <w:shd w:val="clear" w:color="auto" w:fill="auto"/>
          </w:tcPr>
          <w:p w14:paraId="3528D7BD" w14:textId="77777777" w:rsidR="001334E0" w:rsidRPr="004928C0" w:rsidRDefault="00FB47A6" w:rsidP="0043748C">
            <w:pPr>
              <w:pStyle w:val="TableText"/>
            </w:pPr>
            <w:r w:rsidRPr="004928C0">
              <w:t>25</w:t>
            </w:r>
          </w:p>
        </w:tc>
        <w:tc>
          <w:tcPr>
            <w:tcW w:w="300" w:type="pct"/>
            <w:tcBorders>
              <w:top w:val="single" w:sz="6" w:space="0" w:color="auto"/>
              <w:left w:val="nil"/>
              <w:bottom w:val="single" w:sz="6" w:space="0" w:color="auto"/>
              <w:right w:val="nil"/>
            </w:tcBorders>
            <w:shd w:val="clear" w:color="auto" w:fill="auto"/>
          </w:tcPr>
          <w:p w14:paraId="3528D7BE" w14:textId="77777777" w:rsidR="001334E0" w:rsidRPr="004928C0" w:rsidRDefault="00FB47A6" w:rsidP="0043748C">
            <w:pPr>
              <w:pStyle w:val="TableText"/>
            </w:pPr>
            <w:r>
              <w:t>–</w:t>
            </w:r>
          </w:p>
        </w:tc>
        <w:tc>
          <w:tcPr>
            <w:tcW w:w="268" w:type="pct"/>
            <w:tcBorders>
              <w:top w:val="single" w:sz="6" w:space="0" w:color="auto"/>
              <w:left w:val="nil"/>
              <w:bottom w:val="single" w:sz="6" w:space="0" w:color="auto"/>
              <w:right w:val="nil"/>
            </w:tcBorders>
            <w:shd w:val="clear" w:color="auto" w:fill="auto"/>
          </w:tcPr>
          <w:p w14:paraId="3528D7BF" w14:textId="77777777" w:rsidR="001334E0" w:rsidRPr="004928C0" w:rsidRDefault="00FB47A6" w:rsidP="0043748C">
            <w:pPr>
              <w:pStyle w:val="TableText"/>
            </w:pPr>
            <w:r>
              <w:t>–</w:t>
            </w:r>
          </w:p>
        </w:tc>
        <w:tc>
          <w:tcPr>
            <w:tcW w:w="484" w:type="pct"/>
            <w:tcBorders>
              <w:top w:val="single" w:sz="6" w:space="0" w:color="auto"/>
              <w:left w:val="nil"/>
              <w:bottom w:val="single" w:sz="6" w:space="0" w:color="auto"/>
              <w:right w:val="nil"/>
            </w:tcBorders>
            <w:shd w:val="clear" w:color="auto" w:fill="auto"/>
          </w:tcPr>
          <w:p w14:paraId="3528D7C0" w14:textId="77777777" w:rsidR="001334E0" w:rsidRPr="004928C0" w:rsidRDefault="00FB47A6" w:rsidP="0043748C">
            <w:pPr>
              <w:pStyle w:val="TableText"/>
            </w:pPr>
            <w:r w:rsidRPr="004928C0">
              <w:t>500</w:t>
            </w:r>
          </w:p>
        </w:tc>
        <w:tc>
          <w:tcPr>
            <w:tcW w:w="471" w:type="pct"/>
            <w:tcBorders>
              <w:top w:val="single" w:sz="6" w:space="0" w:color="auto"/>
              <w:left w:val="nil"/>
              <w:bottom w:val="single" w:sz="6" w:space="0" w:color="auto"/>
              <w:right w:val="nil"/>
            </w:tcBorders>
            <w:shd w:val="clear" w:color="auto" w:fill="auto"/>
          </w:tcPr>
          <w:p w14:paraId="3528D7C1" w14:textId="77777777" w:rsidR="001334E0" w:rsidRPr="004928C0" w:rsidRDefault="00FB47A6" w:rsidP="0043748C">
            <w:pPr>
              <w:pStyle w:val="TableText"/>
            </w:pPr>
            <w:r w:rsidRPr="007A4033">
              <w:t>Ma et al. 2007</w:t>
            </w:r>
          </w:p>
        </w:tc>
      </w:tr>
      <w:tr w:rsidR="00791C17" w14:paraId="3528D7CE" w14:textId="77777777" w:rsidTr="00616328">
        <w:trPr>
          <w:cantSplit/>
        </w:trPr>
        <w:tc>
          <w:tcPr>
            <w:tcW w:w="441" w:type="pct"/>
            <w:tcBorders>
              <w:top w:val="single" w:sz="6" w:space="0" w:color="auto"/>
              <w:left w:val="nil"/>
              <w:bottom w:val="single" w:sz="4" w:space="0" w:color="auto"/>
              <w:right w:val="nil"/>
            </w:tcBorders>
            <w:shd w:val="clear" w:color="auto" w:fill="auto"/>
          </w:tcPr>
          <w:p w14:paraId="3528D7C3" w14:textId="77777777" w:rsidR="001334E0" w:rsidRPr="000C0DD0" w:rsidRDefault="00FB47A6" w:rsidP="00B82E35">
            <w:pPr>
              <w:pStyle w:val="TableText"/>
              <w:rPr>
                <w:rFonts w:ascii="Myriad Pro" w:hAnsi="Myriad Pro"/>
                <w:highlight w:val="yellow"/>
              </w:rPr>
            </w:pPr>
            <w:r w:rsidRPr="00750F4C">
              <w:t>Crustacean</w:t>
            </w:r>
          </w:p>
        </w:tc>
        <w:tc>
          <w:tcPr>
            <w:tcW w:w="793" w:type="pct"/>
            <w:tcBorders>
              <w:top w:val="single" w:sz="6" w:space="0" w:color="auto"/>
              <w:left w:val="nil"/>
              <w:bottom w:val="single" w:sz="4" w:space="0" w:color="auto"/>
              <w:right w:val="nil"/>
            </w:tcBorders>
            <w:shd w:val="clear" w:color="auto" w:fill="auto"/>
          </w:tcPr>
          <w:p w14:paraId="3528D7C4" w14:textId="77777777" w:rsidR="001334E0" w:rsidRPr="009E34D4" w:rsidRDefault="00FB47A6" w:rsidP="00B82E35">
            <w:pPr>
              <w:pStyle w:val="TableText"/>
              <w:rPr>
                <w:rStyle w:val="Emphasis"/>
                <w:highlight w:val="yellow"/>
              </w:rPr>
            </w:pPr>
            <w:r w:rsidRPr="009E34D4">
              <w:rPr>
                <w:rStyle w:val="Emphasis"/>
              </w:rPr>
              <w:t>Daphnia magna</w:t>
            </w:r>
          </w:p>
        </w:tc>
        <w:tc>
          <w:tcPr>
            <w:tcW w:w="349" w:type="pct"/>
            <w:tcBorders>
              <w:top w:val="single" w:sz="6" w:space="0" w:color="auto"/>
              <w:left w:val="nil"/>
              <w:bottom w:val="single" w:sz="4" w:space="0" w:color="auto"/>
              <w:right w:val="nil"/>
            </w:tcBorders>
            <w:shd w:val="clear" w:color="auto" w:fill="auto"/>
          </w:tcPr>
          <w:p w14:paraId="3528D7C5" w14:textId="77777777" w:rsidR="001334E0" w:rsidRPr="000C0DD0" w:rsidRDefault="00FB47A6" w:rsidP="00B82E35">
            <w:pPr>
              <w:pStyle w:val="TableText"/>
              <w:rPr>
                <w:rFonts w:ascii="Myriad Pro" w:hAnsi="Myriad Pro"/>
                <w:highlight w:val="yellow"/>
              </w:rPr>
            </w:pPr>
            <w:r w:rsidRPr="00750F4C">
              <w:t>Neonate</w:t>
            </w:r>
          </w:p>
        </w:tc>
        <w:tc>
          <w:tcPr>
            <w:tcW w:w="399" w:type="pct"/>
            <w:tcBorders>
              <w:top w:val="single" w:sz="6" w:space="0" w:color="auto"/>
              <w:left w:val="nil"/>
              <w:bottom w:val="single" w:sz="4" w:space="0" w:color="auto"/>
              <w:right w:val="nil"/>
            </w:tcBorders>
            <w:shd w:val="clear" w:color="auto" w:fill="auto"/>
          </w:tcPr>
          <w:p w14:paraId="3528D7C6" w14:textId="77777777" w:rsidR="001334E0" w:rsidRPr="000C0DD0" w:rsidRDefault="00FB47A6" w:rsidP="00B82E35">
            <w:pPr>
              <w:pStyle w:val="TableText"/>
              <w:rPr>
                <w:rFonts w:ascii="Myriad Pro" w:hAnsi="Myriad Pro"/>
                <w:highlight w:val="yellow"/>
              </w:rPr>
            </w:pPr>
            <w:r>
              <w:t>504</w:t>
            </w:r>
          </w:p>
        </w:tc>
        <w:tc>
          <w:tcPr>
            <w:tcW w:w="598" w:type="pct"/>
            <w:tcBorders>
              <w:top w:val="single" w:sz="6" w:space="0" w:color="auto"/>
              <w:left w:val="nil"/>
              <w:bottom w:val="single" w:sz="4" w:space="0" w:color="auto"/>
              <w:right w:val="nil"/>
            </w:tcBorders>
            <w:shd w:val="clear" w:color="auto" w:fill="auto"/>
          </w:tcPr>
          <w:p w14:paraId="3528D7C7" w14:textId="77777777" w:rsidR="001334E0" w:rsidRPr="004928C0" w:rsidRDefault="00FB47A6" w:rsidP="0043748C">
            <w:pPr>
              <w:pStyle w:val="TableText"/>
            </w:pPr>
            <w:r w:rsidRPr="004928C0">
              <w:t>NOEC (Reproduction)</w:t>
            </w:r>
          </w:p>
        </w:tc>
        <w:tc>
          <w:tcPr>
            <w:tcW w:w="449" w:type="pct"/>
            <w:tcBorders>
              <w:top w:val="single" w:sz="6" w:space="0" w:color="auto"/>
              <w:left w:val="nil"/>
              <w:bottom w:val="single" w:sz="4" w:space="0" w:color="auto"/>
              <w:right w:val="nil"/>
            </w:tcBorders>
            <w:shd w:val="clear" w:color="auto" w:fill="auto"/>
          </w:tcPr>
          <w:p w14:paraId="3528D7C8" w14:textId="77777777" w:rsidR="001334E0" w:rsidRPr="004928C0" w:rsidRDefault="00FB47A6" w:rsidP="0043748C">
            <w:pPr>
              <w:pStyle w:val="TableText"/>
            </w:pPr>
            <w:r>
              <w:t>–</w:t>
            </w:r>
          </w:p>
        </w:tc>
        <w:tc>
          <w:tcPr>
            <w:tcW w:w="448" w:type="pct"/>
            <w:tcBorders>
              <w:top w:val="single" w:sz="6" w:space="0" w:color="auto"/>
              <w:left w:val="nil"/>
              <w:bottom w:val="single" w:sz="4" w:space="0" w:color="auto"/>
              <w:right w:val="nil"/>
            </w:tcBorders>
            <w:shd w:val="clear" w:color="auto" w:fill="auto"/>
          </w:tcPr>
          <w:p w14:paraId="3528D7C9" w14:textId="77777777" w:rsidR="001334E0" w:rsidRPr="004928C0" w:rsidRDefault="00FB47A6" w:rsidP="0043748C">
            <w:pPr>
              <w:pStyle w:val="TableText"/>
            </w:pPr>
            <w:r>
              <w:t>–</w:t>
            </w:r>
          </w:p>
        </w:tc>
        <w:tc>
          <w:tcPr>
            <w:tcW w:w="300" w:type="pct"/>
            <w:tcBorders>
              <w:top w:val="single" w:sz="6" w:space="0" w:color="auto"/>
              <w:left w:val="nil"/>
              <w:bottom w:val="single" w:sz="4" w:space="0" w:color="auto"/>
              <w:right w:val="nil"/>
            </w:tcBorders>
            <w:shd w:val="clear" w:color="auto" w:fill="auto"/>
          </w:tcPr>
          <w:p w14:paraId="3528D7CA" w14:textId="77777777" w:rsidR="001334E0" w:rsidRPr="004928C0" w:rsidRDefault="00FB47A6" w:rsidP="0043748C">
            <w:pPr>
              <w:pStyle w:val="TableText"/>
            </w:pPr>
            <w:r>
              <w:t>–</w:t>
            </w:r>
          </w:p>
        </w:tc>
        <w:tc>
          <w:tcPr>
            <w:tcW w:w="268" w:type="pct"/>
            <w:tcBorders>
              <w:top w:val="single" w:sz="6" w:space="0" w:color="auto"/>
              <w:left w:val="nil"/>
              <w:bottom w:val="single" w:sz="4" w:space="0" w:color="auto"/>
              <w:right w:val="nil"/>
            </w:tcBorders>
            <w:shd w:val="clear" w:color="auto" w:fill="auto"/>
          </w:tcPr>
          <w:p w14:paraId="3528D7CB" w14:textId="77777777" w:rsidR="001334E0" w:rsidRPr="004928C0" w:rsidRDefault="00FB47A6" w:rsidP="0043748C">
            <w:pPr>
              <w:pStyle w:val="TableText"/>
            </w:pPr>
            <w:r>
              <w:t>–</w:t>
            </w:r>
          </w:p>
        </w:tc>
        <w:tc>
          <w:tcPr>
            <w:tcW w:w="484" w:type="pct"/>
            <w:tcBorders>
              <w:top w:val="single" w:sz="6" w:space="0" w:color="auto"/>
              <w:left w:val="nil"/>
              <w:bottom w:val="single" w:sz="4" w:space="0" w:color="auto"/>
              <w:right w:val="nil"/>
            </w:tcBorders>
            <w:shd w:val="clear" w:color="auto" w:fill="auto"/>
          </w:tcPr>
          <w:p w14:paraId="3528D7CC" w14:textId="77777777" w:rsidR="001334E0" w:rsidRPr="004928C0" w:rsidRDefault="00FB47A6" w:rsidP="0043748C">
            <w:pPr>
              <w:pStyle w:val="TableText"/>
            </w:pPr>
            <w:r w:rsidRPr="004928C0">
              <w:t>7</w:t>
            </w:r>
          </w:p>
        </w:tc>
        <w:tc>
          <w:tcPr>
            <w:tcW w:w="471" w:type="pct"/>
            <w:tcBorders>
              <w:top w:val="single" w:sz="6" w:space="0" w:color="auto"/>
              <w:left w:val="nil"/>
              <w:bottom w:val="single" w:sz="4" w:space="0" w:color="auto"/>
              <w:right w:val="nil"/>
            </w:tcBorders>
            <w:shd w:val="clear" w:color="auto" w:fill="auto"/>
          </w:tcPr>
          <w:p w14:paraId="3528D7CD" w14:textId="77777777" w:rsidR="001334E0" w:rsidRPr="004928C0" w:rsidRDefault="00FB47A6" w:rsidP="0043748C">
            <w:pPr>
              <w:pStyle w:val="TableText"/>
            </w:pPr>
            <w:r>
              <w:t xml:space="preserve">USEPA </w:t>
            </w:r>
            <w:r w:rsidRPr="004928C0">
              <w:t>OPP 2019</w:t>
            </w:r>
          </w:p>
        </w:tc>
      </w:tr>
      <w:tr w:rsidR="00791C17" w14:paraId="3528D7DA" w14:textId="77777777" w:rsidTr="00616328">
        <w:trPr>
          <w:cantSplit/>
        </w:trPr>
        <w:tc>
          <w:tcPr>
            <w:tcW w:w="441" w:type="pct"/>
            <w:tcBorders>
              <w:top w:val="single" w:sz="4" w:space="0" w:color="auto"/>
              <w:left w:val="nil"/>
              <w:bottom w:val="single" w:sz="4" w:space="0" w:color="auto"/>
              <w:right w:val="nil"/>
            </w:tcBorders>
            <w:shd w:val="clear" w:color="auto" w:fill="auto"/>
          </w:tcPr>
          <w:p w14:paraId="3528D7CF" w14:textId="77777777" w:rsidR="001334E0" w:rsidRPr="000C0DD0" w:rsidRDefault="00FB47A6" w:rsidP="00B82E35">
            <w:pPr>
              <w:pStyle w:val="TableText"/>
              <w:rPr>
                <w:rFonts w:ascii="Myriad Pro" w:hAnsi="Myriad Pro"/>
                <w:highlight w:val="yellow"/>
              </w:rPr>
            </w:pPr>
            <w:r w:rsidRPr="00AA6B4A">
              <w:t>Insect</w:t>
            </w:r>
          </w:p>
        </w:tc>
        <w:tc>
          <w:tcPr>
            <w:tcW w:w="793" w:type="pct"/>
            <w:tcBorders>
              <w:top w:val="single" w:sz="4" w:space="0" w:color="auto"/>
              <w:left w:val="nil"/>
              <w:bottom w:val="single" w:sz="4" w:space="0" w:color="auto"/>
              <w:right w:val="nil"/>
            </w:tcBorders>
            <w:shd w:val="clear" w:color="auto" w:fill="auto"/>
          </w:tcPr>
          <w:p w14:paraId="3528D7D0" w14:textId="77777777" w:rsidR="001334E0" w:rsidRPr="009E34D4" w:rsidRDefault="00FB47A6" w:rsidP="00B82E35">
            <w:pPr>
              <w:pStyle w:val="TableText"/>
              <w:rPr>
                <w:rStyle w:val="Emphasis"/>
                <w:highlight w:val="yellow"/>
              </w:rPr>
            </w:pPr>
            <w:r w:rsidRPr="009E34D4">
              <w:rPr>
                <w:rStyle w:val="Emphasis"/>
              </w:rPr>
              <w:t>Chironomus dilutus</w:t>
            </w:r>
          </w:p>
        </w:tc>
        <w:tc>
          <w:tcPr>
            <w:tcW w:w="349" w:type="pct"/>
            <w:tcBorders>
              <w:top w:val="single" w:sz="4" w:space="0" w:color="auto"/>
              <w:left w:val="nil"/>
              <w:bottom w:val="single" w:sz="4" w:space="0" w:color="auto"/>
              <w:right w:val="nil"/>
            </w:tcBorders>
            <w:shd w:val="clear" w:color="auto" w:fill="auto"/>
          </w:tcPr>
          <w:p w14:paraId="3528D7D1" w14:textId="77777777" w:rsidR="001334E0" w:rsidRPr="000C0DD0" w:rsidRDefault="00FB47A6" w:rsidP="00B82E35">
            <w:pPr>
              <w:pStyle w:val="TableText"/>
              <w:rPr>
                <w:rFonts w:ascii="Myriad Pro" w:hAnsi="Myriad Pro"/>
                <w:highlight w:val="yellow"/>
              </w:rPr>
            </w:pPr>
            <w:r w:rsidRPr="00AA6B4A">
              <w:t>Larvae</w:t>
            </w:r>
          </w:p>
        </w:tc>
        <w:tc>
          <w:tcPr>
            <w:tcW w:w="399" w:type="pct"/>
            <w:tcBorders>
              <w:top w:val="single" w:sz="4" w:space="0" w:color="auto"/>
              <w:left w:val="nil"/>
              <w:bottom w:val="single" w:sz="4" w:space="0" w:color="auto"/>
              <w:right w:val="nil"/>
            </w:tcBorders>
            <w:shd w:val="clear" w:color="auto" w:fill="auto"/>
          </w:tcPr>
          <w:p w14:paraId="3528D7D2" w14:textId="77777777" w:rsidR="001334E0" w:rsidRPr="000C0DD0" w:rsidRDefault="00FB47A6" w:rsidP="00B82E35">
            <w:pPr>
              <w:pStyle w:val="TableText"/>
              <w:rPr>
                <w:rFonts w:ascii="Myriad Pro" w:hAnsi="Myriad Pro"/>
                <w:highlight w:val="yellow"/>
              </w:rPr>
            </w:pPr>
            <w:r w:rsidRPr="00AA6B4A">
              <w:t>240</w:t>
            </w:r>
          </w:p>
        </w:tc>
        <w:tc>
          <w:tcPr>
            <w:tcW w:w="598" w:type="pct"/>
            <w:tcBorders>
              <w:top w:val="single" w:sz="4" w:space="0" w:color="auto"/>
              <w:left w:val="nil"/>
              <w:bottom w:val="single" w:sz="4" w:space="0" w:color="auto"/>
              <w:right w:val="nil"/>
            </w:tcBorders>
            <w:shd w:val="clear" w:color="auto" w:fill="auto"/>
          </w:tcPr>
          <w:p w14:paraId="3528D7D3" w14:textId="77777777" w:rsidR="001334E0" w:rsidRPr="000C0DD0" w:rsidRDefault="00FB47A6" w:rsidP="0043748C">
            <w:pPr>
              <w:pStyle w:val="TableText"/>
              <w:rPr>
                <w:highlight w:val="yellow"/>
              </w:rPr>
            </w:pPr>
            <w:r w:rsidRPr="00C50633">
              <w:t>LOEC (Growth)</w:t>
            </w:r>
          </w:p>
        </w:tc>
        <w:tc>
          <w:tcPr>
            <w:tcW w:w="449" w:type="pct"/>
            <w:tcBorders>
              <w:top w:val="single" w:sz="4" w:space="0" w:color="auto"/>
              <w:left w:val="nil"/>
              <w:bottom w:val="single" w:sz="4" w:space="0" w:color="auto"/>
              <w:right w:val="nil"/>
            </w:tcBorders>
            <w:shd w:val="clear" w:color="auto" w:fill="auto"/>
          </w:tcPr>
          <w:p w14:paraId="3528D7D4" w14:textId="77777777" w:rsidR="001334E0" w:rsidRPr="000C0DD0" w:rsidRDefault="00FB47A6" w:rsidP="0043748C">
            <w:pPr>
              <w:pStyle w:val="TableText"/>
              <w:rPr>
                <w:highlight w:val="yellow"/>
              </w:rPr>
            </w:pPr>
            <w:r>
              <w:t>–</w:t>
            </w:r>
          </w:p>
        </w:tc>
        <w:tc>
          <w:tcPr>
            <w:tcW w:w="448" w:type="pct"/>
            <w:tcBorders>
              <w:top w:val="single" w:sz="4" w:space="0" w:color="auto"/>
              <w:left w:val="nil"/>
              <w:bottom w:val="single" w:sz="4" w:space="0" w:color="auto"/>
              <w:right w:val="nil"/>
            </w:tcBorders>
            <w:shd w:val="clear" w:color="auto" w:fill="auto"/>
          </w:tcPr>
          <w:p w14:paraId="3528D7D5" w14:textId="77777777" w:rsidR="001334E0" w:rsidRPr="000C0DD0" w:rsidRDefault="00FB47A6" w:rsidP="0043748C">
            <w:pPr>
              <w:pStyle w:val="TableText"/>
              <w:rPr>
                <w:highlight w:val="yellow"/>
              </w:rPr>
            </w:pPr>
            <w:r>
              <w:t>–</w:t>
            </w:r>
          </w:p>
        </w:tc>
        <w:tc>
          <w:tcPr>
            <w:tcW w:w="300" w:type="pct"/>
            <w:tcBorders>
              <w:top w:val="single" w:sz="4" w:space="0" w:color="auto"/>
              <w:left w:val="nil"/>
              <w:bottom w:val="single" w:sz="4" w:space="0" w:color="auto"/>
              <w:right w:val="nil"/>
            </w:tcBorders>
            <w:shd w:val="clear" w:color="auto" w:fill="auto"/>
          </w:tcPr>
          <w:p w14:paraId="3528D7D6" w14:textId="77777777" w:rsidR="001334E0" w:rsidRPr="000C0DD0" w:rsidRDefault="00FB47A6" w:rsidP="0043748C">
            <w:pPr>
              <w:pStyle w:val="TableText"/>
              <w:rPr>
                <w:highlight w:val="yellow"/>
              </w:rPr>
            </w:pPr>
            <w:r>
              <w:t>–</w:t>
            </w:r>
          </w:p>
        </w:tc>
        <w:tc>
          <w:tcPr>
            <w:tcW w:w="268" w:type="pct"/>
            <w:tcBorders>
              <w:top w:val="single" w:sz="4" w:space="0" w:color="auto"/>
              <w:left w:val="nil"/>
              <w:bottom w:val="single" w:sz="4" w:space="0" w:color="auto"/>
              <w:right w:val="nil"/>
            </w:tcBorders>
            <w:shd w:val="clear" w:color="auto" w:fill="auto"/>
          </w:tcPr>
          <w:p w14:paraId="3528D7D7" w14:textId="77777777" w:rsidR="001334E0" w:rsidRPr="000C0DD0" w:rsidRDefault="00FB47A6" w:rsidP="0043748C">
            <w:pPr>
              <w:pStyle w:val="TableText"/>
              <w:rPr>
                <w:highlight w:val="yellow"/>
              </w:rPr>
            </w:pPr>
            <w:r>
              <w:t>–</w:t>
            </w:r>
          </w:p>
        </w:tc>
        <w:tc>
          <w:tcPr>
            <w:tcW w:w="484" w:type="pct"/>
            <w:tcBorders>
              <w:top w:val="single" w:sz="4" w:space="0" w:color="auto"/>
              <w:left w:val="nil"/>
              <w:bottom w:val="single" w:sz="4" w:space="0" w:color="auto"/>
              <w:right w:val="nil"/>
            </w:tcBorders>
            <w:shd w:val="clear" w:color="auto" w:fill="auto"/>
          </w:tcPr>
          <w:p w14:paraId="3528D7D8" w14:textId="77777777" w:rsidR="001334E0" w:rsidRPr="000C0DD0" w:rsidRDefault="00FB47A6" w:rsidP="0043748C">
            <w:pPr>
              <w:pStyle w:val="TableText"/>
              <w:rPr>
                <w:highlight w:val="yellow"/>
              </w:rPr>
            </w:pPr>
            <w:r w:rsidRPr="004928C0">
              <w:t>5</w:t>
            </w:r>
            <w:r>
              <w:t> </w:t>
            </w:r>
            <w:r w:rsidRPr="004928C0">
              <w:t>250</w:t>
            </w:r>
            <w:r>
              <w:t xml:space="preserve"> </w:t>
            </w:r>
            <w:r w:rsidRPr="004C29CC">
              <w:rPr>
                <w:rStyle w:val="Strong"/>
                <w:vertAlign w:val="superscript"/>
              </w:rPr>
              <w:t>c</w:t>
            </w:r>
          </w:p>
        </w:tc>
        <w:tc>
          <w:tcPr>
            <w:tcW w:w="471" w:type="pct"/>
            <w:tcBorders>
              <w:top w:val="single" w:sz="4" w:space="0" w:color="auto"/>
              <w:left w:val="nil"/>
              <w:bottom w:val="single" w:sz="4" w:space="0" w:color="auto"/>
              <w:right w:val="nil"/>
            </w:tcBorders>
            <w:shd w:val="clear" w:color="auto" w:fill="auto"/>
          </w:tcPr>
          <w:p w14:paraId="3528D7D9" w14:textId="77777777" w:rsidR="001334E0" w:rsidRPr="000C0DD0" w:rsidRDefault="00FB47A6" w:rsidP="0043748C">
            <w:pPr>
              <w:pStyle w:val="TableText"/>
              <w:rPr>
                <w:highlight w:val="yellow"/>
              </w:rPr>
            </w:pPr>
            <w:r>
              <w:t xml:space="preserve">USEPA </w:t>
            </w:r>
            <w:r w:rsidRPr="004928C0">
              <w:t>OPP 2019</w:t>
            </w:r>
          </w:p>
        </w:tc>
      </w:tr>
      <w:tr w:rsidR="00791C17" w14:paraId="3528D7E6" w14:textId="77777777" w:rsidTr="00616328">
        <w:trPr>
          <w:cantSplit/>
        </w:trPr>
        <w:tc>
          <w:tcPr>
            <w:tcW w:w="441" w:type="pct"/>
            <w:tcBorders>
              <w:top w:val="single" w:sz="4" w:space="0" w:color="auto"/>
              <w:left w:val="nil"/>
              <w:bottom w:val="single" w:sz="12" w:space="0" w:color="auto"/>
              <w:right w:val="nil"/>
            </w:tcBorders>
            <w:shd w:val="clear" w:color="auto" w:fill="auto"/>
          </w:tcPr>
          <w:p w14:paraId="3528D7DB" w14:textId="77777777" w:rsidR="001334E0" w:rsidRPr="000C0DD0" w:rsidRDefault="00FB47A6" w:rsidP="00B82E35">
            <w:pPr>
              <w:pStyle w:val="TableText"/>
              <w:rPr>
                <w:rFonts w:ascii="Myriad Pro" w:hAnsi="Myriad Pro"/>
                <w:highlight w:val="yellow"/>
              </w:rPr>
            </w:pPr>
            <w:r w:rsidRPr="00AA6B4A">
              <w:t>Fish</w:t>
            </w:r>
          </w:p>
        </w:tc>
        <w:tc>
          <w:tcPr>
            <w:tcW w:w="793" w:type="pct"/>
            <w:tcBorders>
              <w:top w:val="single" w:sz="4" w:space="0" w:color="auto"/>
              <w:left w:val="nil"/>
              <w:bottom w:val="single" w:sz="12" w:space="0" w:color="auto"/>
              <w:right w:val="nil"/>
            </w:tcBorders>
            <w:shd w:val="clear" w:color="auto" w:fill="auto"/>
          </w:tcPr>
          <w:p w14:paraId="3528D7DC" w14:textId="77777777" w:rsidR="001334E0" w:rsidRPr="009E34D4" w:rsidRDefault="00FB47A6" w:rsidP="00B82E35">
            <w:pPr>
              <w:pStyle w:val="TableText"/>
              <w:rPr>
                <w:rStyle w:val="Emphasis"/>
                <w:highlight w:val="yellow"/>
              </w:rPr>
            </w:pPr>
            <w:r w:rsidRPr="009E34D4">
              <w:rPr>
                <w:rStyle w:val="Emphasis"/>
              </w:rPr>
              <w:t>Pimephales promelas</w:t>
            </w:r>
          </w:p>
        </w:tc>
        <w:tc>
          <w:tcPr>
            <w:tcW w:w="349" w:type="pct"/>
            <w:tcBorders>
              <w:top w:val="single" w:sz="4" w:space="0" w:color="auto"/>
              <w:left w:val="nil"/>
              <w:bottom w:val="single" w:sz="12" w:space="0" w:color="auto"/>
              <w:right w:val="nil"/>
            </w:tcBorders>
            <w:shd w:val="clear" w:color="auto" w:fill="auto"/>
          </w:tcPr>
          <w:p w14:paraId="3528D7DD" w14:textId="77777777" w:rsidR="001334E0" w:rsidRPr="000C0DD0" w:rsidRDefault="00FB47A6" w:rsidP="00B82E35">
            <w:pPr>
              <w:pStyle w:val="TableText"/>
              <w:rPr>
                <w:rFonts w:ascii="Myriad Pro" w:hAnsi="Myriad Pro"/>
                <w:highlight w:val="yellow"/>
              </w:rPr>
            </w:pPr>
            <w:r w:rsidRPr="00AA6B4A">
              <w:t>Larvae</w:t>
            </w:r>
          </w:p>
        </w:tc>
        <w:tc>
          <w:tcPr>
            <w:tcW w:w="399" w:type="pct"/>
            <w:tcBorders>
              <w:top w:val="single" w:sz="4" w:space="0" w:color="auto"/>
              <w:left w:val="nil"/>
              <w:bottom w:val="single" w:sz="12" w:space="0" w:color="auto"/>
              <w:right w:val="nil"/>
            </w:tcBorders>
            <w:shd w:val="clear" w:color="auto" w:fill="auto"/>
          </w:tcPr>
          <w:p w14:paraId="3528D7DE" w14:textId="77777777" w:rsidR="001334E0" w:rsidRPr="000C0DD0" w:rsidRDefault="00FB47A6" w:rsidP="00B82E35">
            <w:pPr>
              <w:pStyle w:val="TableText"/>
              <w:rPr>
                <w:rFonts w:ascii="Myriad Pro" w:hAnsi="Myriad Pro"/>
                <w:highlight w:val="yellow"/>
              </w:rPr>
            </w:pPr>
            <w:r w:rsidRPr="00AA6B4A">
              <w:t>5</w:t>
            </w:r>
            <w:r>
              <w:t> </w:t>
            </w:r>
            <w:r w:rsidRPr="00AA6B4A">
              <w:t>160</w:t>
            </w:r>
          </w:p>
        </w:tc>
        <w:tc>
          <w:tcPr>
            <w:tcW w:w="598" w:type="pct"/>
            <w:tcBorders>
              <w:top w:val="single" w:sz="4" w:space="0" w:color="auto"/>
              <w:left w:val="nil"/>
              <w:bottom w:val="single" w:sz="12" w:space="0" w:color="auto"/>
              <w:right w:val="nil"/>
            </w:tcBorders>
            <w:shd w:val="clear" w:color="auto" w:fill="auto"/>
          </w:tcPr>
          <w:p w14:paraId="3528D7DF" w14:textId="77777777" w:rsidR="001334E0" w:rsidRPr="000C0DD0" w:rsidRDefault="00FB47A6" w:rsidP="0043748C">
            <w:pPr>
              <w:pStyle w:val="TableText"/>
              <w:rPr>
                <w:highlight w:val="yellow"/>
              </w:rPr>
            </w:pPr>
            <w:r w:rsidRPr="00C50633">
              <w:t>NOEC (Reproduction)</w:t>
            </w:r>
          </w:p>
        </w:tc>
        <w:tc>
          <w:tcPr>
            <w:tcW w:w="449" w:type="pct"/>
            <w:tcBorders>
              <w:top w:val="single" w:sz="4" w:space="0" w:color="auto"/>
              <w:left w:val="nil"/>
              <w:bottom w:val="single" w:sz="12" w:space="0" w:color="auto"/>
              <w:right w:val="nil"/>
            </w:tcBorders>
            <w:shd w:val="clear" w:color="auto" w:fill="auto"/>
          </w:tcPr>
          <w:p w14:paraId="3528D7E0" w14:textId="77777777" w:rsidR="001334E0" w:rsidRPr="000C0DD0" w:rsidRDefault="00FB47A6" w:rsidP="0043748C">
            <w:pPr>
              <w:pStyle w:val="TableText"/>
              <w:rPr>
                <w:highlight w:val="yellow"/>
              </w:rPr>
            </w:pPr>
            <w:r>
              <w:t>–</w:t>
            </w:r>
          </w:p>
        </w:tc>
        <w:tc>
          <w:tcPr>
            <w:tcW w:w="448" w:type="pct"/>
            <w:tcBorders>
              <w:top w:val="single" w:sz="4" w:space="0" w:color="auto"/>
              <w:left w:val="nil"/>
              <w:bottom w:val="single" w:sz="12" w:space="0" w:color="auto"/>
              <w:right w:val="nil"/>
            </w:tcBorders>
            <w:shd w:val="clear" w:color="auto" w:fill="auto"/>
          </w:tcPr>
          <w:p w14:paraId="3528D7E1" w14:textId="77777777" w:rsidR="001334E0" w:rsidRPr="000C0DD0" w:rsidRDefault="00FB47A6" w:rsidP="0043748C">
            <w:pPr>
              <w:pStyle w:val="TableText"/>
              <w:rPr>
                <w:highlight w:val="yellow"/>
              </w:rPr>
            </w:pPr>
            <w:r>
              <w:t>–</w:t>
            </w:r>
          </w:p>
        </w:tc>
        <w:tc>
          <w:tcPr>
            <w:tcW w:w="300" w:type="pct"/>
            <w:tcBorders>
              <w:top w:val="single" w:sz="4" w:space="0" w:color="auto"/>
              <w:left w:val="nil"/>
              <w:bottom w:val="single" w:sz="12" w:space="0" w:color="auto"/>
              <w:right w:val="nil"/>
            </w:tcBorders>
            <w:shd w:val="clear" w:color="auto" w:fill="auto"/>
          </w:tcPr>
          <w:p w14:paraId="3528D7E2" w14:textId="77777777" w:rsidR="001334E0" w:rsidRPr="000C0DD0" w:rsidRDefault="00FB47A6" w:rsidP="0043748C">
            <w:pPr>
              <w:pStyle w:val="TableText"/>
              <w:rPr>
                <w:highlight w:val="yellow"/>
              </w:rPr>
            </w:pPr>
            <w:r>
              <w:t>–</w:t>
            </w:r>
          </w:p>
        </w:tc>
        <w:tc>
          <w:tcPr>
            <w:tcW w:w="268" w:type="pct"/>
            <w:tcBorders>
              <w:top w:val="single" w:sz="4" w:space="0" w:color="auto"/>
              <w:left w:val="nil"/>
              <w:bottom w:val="single" w:sz="12" w:space="0" w:color="auto"/>
              <w:right w:val="nil"/>
            </w:tcBorders>
            <w:shd w:val="clear" w:color="auto" w:fill="auto"/>
          </w:tcPr>
          <w:p w14:paraId="3528D7E3" w14:textId="77777777" w:rsidR="001334E0" w:rsidRPr="000C0DD0" w:rsidRDefault="00FB47A6" w:rsidP="0043748C">
            <w:pPr>
              <w:pStyle w:val="TableText"/>
              <w:rPr>
                <w:highlight w:val="yellow"/>
              </w:rPr>
            </w:pPr>
            <w:r>
              <w:t>–</w:t>
            </w:r>
          </w:p>
        </w:tc>
        <w:tc>
          <w:tcPr>
            <w:tcW w:w="484" w:type="pct"/>
            <w:tcBorders>
              <w:top w:val="single" w:sz="4" w:space="0" w:color="auto"/>
              <w:left w:val="nil"/>
              <w:bottom w:val="single" w:sz="12" w:space="0" w:color="auto"/>
              <w:right w:val="nil"/>
            </w:tcBorders>
            <w:shd w:val="clear" w:color="auto" w:fill="auto"/>
          </w:tcPr>
          <w:p w14:paraId="3528D7E4" w14:textId="77777777" w:rsidR="001334E0" w:rsidRPr="000C0DD0" w:rsidRDefault="00FB47A6" w:rsidP="0043748C">
            <w:pPr>
              <w:pStyle w:val="TableText"/>
              <w:rPr>
                <w:highlight w:val="yellow"/>
              </w:rPr>
            </w:pPr>
            <w:r>
              <w:t>1.35</w:t>
            </w:r>
          </w:p>
        </w:tc>
        <w:tc>
          <w:tcPr>
            <w:tcW w:w="471" w:type="pct"/>
            <w:tcBorders>
              <w:top w:val="single" w:sz="4" w:space="0" w:color="auto"/>
              <w:left w:val="nil"/>
              <w:bottom w:val="single" w:sz="12" w:space="0" w:color="auto"/>
              <w:right w:val="nil"/>
            </w:tcBorders>
            <w:shd w:val="clear" w:color="auto" w:fill="auto"/>
          </w:tcPr>
          <w:p w14:paraId="3528D7E5" w14:textId="77777777" w:rsidR="001334E0" w:rsidRPr="000C0DD0" w:rsidRDefault="00FB47A6" w:rsidP="0043748C">
            <w:pPr>
              <w:pStyle w:val="TableText"/>
              <w:rPr>
                <w:highlight w:val="yellow"/>
              </w:rPr>
            </w:pPr>
            <w:r>
              <w:t xml:space="preserve">USEPA </w:t>
            </w:r>
            <w:r w:rsidRPr="004928C0">
              <w:t>OPP 2019</w:t>
            </w:r>
          </w:p>
        </w:tc>
      </w:tr>
    </w:tbl>
    <w:p w14:paraId="3528D7E7" w14:textId="77777777" w:rsidR="008E1E10" w:rsidRDefault="00FB47A6" w:rsidP="008E1E10">
      <w:pPr>
        <w:pStyle w:val="FigureTableNoteSource"/>
        <w:rPr>
          <w:rStyle w:val="Strong"/>
        </w:rPr>
      </w:pPr>
      <w:bookmarkStart w:id="35" w:name="_Toc12215877"/>
      <w:bookmarkStart w:id="36" w:name="_Toc12215893"/>
      <w:r w:rsidRPr="0031526B">
        <w:rPr>
          <w:rStyle w:val="Strong"/>
        </w:rPr>
        <w:t>a</w:t>
      </w:r>
      <w:r w:rsidRPr="0061096E">
        <w:t xml:space="preserve"> </w:t>
      </w:r>
      <w:r w:rsidR="00CA4A82" w:rsidRPr="00A95D02">
        <w:t xml:space="preserve">The measure of toxicity being estimated/determined: NOEC: </w:t>
      </w:r>
      <w:r w:rsidR="0061096E" w:rsidRPr="00A95D02">
        <w:t xml:space="preserve">no </w:t>
      </w:r>
      <w:r w:rsidR="00CA4A82" w:rsidRPr="00A95D02">
        <w:t xml:space="preserve">observed effect concentration; LOEC: </w:t>
      </w:r>
      <w:r w:rsidR="0061096E" w:rsidRPr="00A95D02">
        <w:t xml:space="preserve">lowest </w:t>
      </w:r>
      <w:r w:rsidR="00CA4A82" w:rsidRPr="00A95D02">
        <w:t>observed effect concentration</w:t>
      </w:r>
      <w:bookmarkEnd w:id="35"/>
      <w:bookmarkEnd w:id="36"/>
      <w:r>
        <w:t>.</w:t>
      </w:r>
      <w:r w:rsidRPr="008E1E10">
        <w:rPr>
          <w:rStyle w:val="Strong"/>
        </w:rPr>
        <w:t xml:space="preserve"> </w:t>
      </w:r>
    </w:p>
    <w:p w14:paraId="3528D7E8" w14:textId="77777777" w:rsidR="008E1E10" w:rsidRDefault="00FB47A6" w:rsidP="008E1E10">
      <w:pPr>
        <w:pStyle w:val="FigureTableNoteSource"/>
      </w:pPr>
      <w:r w:rsidRPr="004C29CC">
        <w:rPr>
          <w:rStyle w:val="Strong"/>
        </w:rPr>
        <w:t>b</w:t>
      </w:r>
      <w:r>
        <w:t xml:space="preserve"> Value was used as is for the DGV derivation, unless otherwise specified.</w:t>
      </w:r>
    </w:p>
    <w:p w14:paraId="3528D7E9" w14:textId="77777777" w:rsidR="00201048" w:rsidRDefault="00FB47A6" w:rsidP="0043748C">
      <w:pPr>
        <w:pStyle w:val="FigureTableNoteSource"/>
      </w:pPr>
      <w:r w:rsidRPr="004C29CC">
        <w:rPr>
          <w:rStyle w:val="Strong"/>
        </w:rPr>
        <w:t>c</w:t>
      </w:r>
      <w:r w:rsidRPr="0061096E">
        <w:t xml:space="preserve"> </w:t>
      </w:r>
      <w:r>
        <w:t>Value</w:t>
      </w:r>
      <w:r w:rsidRPr="00530EA5">
        <w:t xml:space="preserve"> was divided by default </w:t>
      </w:r>
      <w:r>
        <w:t>conversion factor of 2.5 to</w:t>
      </w:r>
      <w:r w:rsidRPr="00530EA5">
        <w:t xml:space="preserve"> </w:t>
      </w:r>
      <w:r>
        <w:t>estim</w:t>
      </w:r>
      <w:r w:rsidRPr="00530EA5">
        <w:t xml:space="preserve">ate </w:t>
      </w:r>
      <w:r>
        <w:t xml:space="preserve">the </w:t>
      </w:r>
      <w:r w:rsidRPr="00530EA5">
        <w:t xml:space="preserve">chronic </w:t>
      </w:r>
      <w:r>
        <w:t>negligible effect</w:t>
      </w:r>
      <w:r w:rsidRPr="00530EA5">
        <w:t xml:space="preserve"> </w:t>
      </w:r>
      <w:r>
        <w:t xml:space="preserve">(NOEC/EC10) </w:t>
      </w:r>
      <w:r w:rsidRPr="00530EA5">
        <w:t xml:space="preserve">value for use in </w:t>
      </w:r>
      <w:r w:rsidR="00CC02BC">
        <w:t xml:space="preserve">the </w:t>
      </w:r>
      <w:r w:rsidRPr="00530EA5">
        <w:t>DGV derivation</w:t>
      </w:r>
      <w:r>
        <w:t>.</w:t>
      </w:r>
    </w:p>
    <w:p w14:paraId="3528D7EA" w14:textId="77777777" w:rsidR="00AF2057" w:rsidRPr="001158A3" w:rsidRDefault="00FB47A6" w:rsidP="00AF2057">
      <w:pPr>
        <w:pStyle w:val="FigureTableNoteSource"/>
        <w:keepNext/>
        <w:keepLines/>
      </w:pPr>
      <w:r w:rsidRPr="001158A3">
        <w:rPr>
          <w:rStyle w:val="Strong"/>
        </w:rPr>
        <w:t>d</w:t>
      </w:r>
      <w:r>
        <w:t xml:space="preserve"> F</w:t>
      </w:r>
      <w:r w:rsidRPr="001158A3">
        <w:t xml:space="preserve">ormerly known as </w:t>
      </w:r>
      <w:r w:rsidRPr="001158A3">
        <w:rPr>
          <w:rStyle w:val="Emphasis"/>
        </w:rPr>
        <w:t>Selenastrum cap</w:t>
      </w:r>
      <w:r w:rsidRPr="001158A3">
        <w:rPr>
          <w:rStyle w:val="Emphasis"/>
        </w:rPr>
        <w:t>ricornutum</w:t>
      </w:r>
      <w:r w:rsidRPr="001158A3">
        <w:t xml:space="preserve"> and </w:t>
      </w:r>
      <w:r w:rsidRPr="001158A3">
        <w:rPr>
          <w:rStyle w:val="Emphasis"/>
        </w:rPr>
        <w:t>Pseudokirchneriella subcapitata</w:t>
      </w:r>
      <w:r>
        <w:t>.</w:t>
      </w:r>
    </w:p>
    <w:p w14:paraId="3528D7EB" w14:textId="77777777" w:rsidR="00AF2057" w:rsidRPr="00AF2057" w:rsidRDefault="00AF2057" w:rsidP="00AF2057">
      <w:pPr>
        <w:rPr>
          <w:highlight w:val="yellow"/>
        </w:rPr>
      </w:pPr>
    </w:p>
    <w:p w14:paraId="3528D7EC" w14:textId="77777777" w:rsidR="0031526B" w:rsidRDefault="0031526B" w:rsidP="0043748C">
      <w:pPr>
        <w:pStyle w:val="FigureTableNoteSource"/>
        <w:rPr>
          <w:highlight w:val="yellow"/>
        </w:rPr>
      </w:pPr>
    </w:p>
    <w:p w14:paraId="3528D7ED" w14:textId="77777777" w:rsidR="001334E0" w:rsidRPr="001334E0" w:rsidRDefault="001334E0" w:rsidP="001334E0">
      <w:pPr>
        <w:rPr>
          <w:highlight w:val="yellow"/>
        </w:rPr>
        <w:sectPr w:rsidR="001334E0" w:rsidRPr="001334E0" w:rsidSect="007336AC">
          <w:headerReference w:type="even" r:id="rId31"/>
          <w:headerReference w:type="default" r:id="rId32"/>
          <w:headerReference w:type="first" r:id="rId33"/>
          <w:footerReference w:type="first" r:id="rId34"/>
          <w:pgSz w:w="16838" w:h="11906" w:orient="landscape"/>
          <w:pgMar w:top="1418" w:right="1418" w:bottom="1418" w:left="1418" w:header="567" w:footer="283" w:gutter="0"/>
          <w:cols w:space="708"/>
          <w:docGrid w:linePitch="360"/>
        </w:sectPr>
      </w:pPr>
    </w:p>
    <w:p w14:paraId="3528D7EE" w14:textId="77777777" w:rsidR="00606A7B" w:rsidRPr="001914E3" w:rsidRDefault="00FB47A6" w:rsidP="00606A7B">
      <w:pPr>
        <w:pStyle w:val="Heading2"/>
        <w:numPr>
          <w:ilvl w:val="0"/>
          <w:numId w:val="0"/>
        </w:numPr>
      </w:pPr>
      <w:bookmarkStart w:id="37" w:name="_Ref528068779"/>
      <w:bookmarkStart w:id="38" w:name="_Ref528068976"/>
      <w:bookmarkStart w:id="39" w:name="_Toc4498837"/>
      <w:bookmarkStart w:id="40" w:name="_Ref55903794"/>
      <w:bookmarkStart w:id="41" w:name="_Toc68188172"/>
      <w:r>
        <w:t>Appendix </w:t>
      </w:r>
      <w:r w:rsidR="00CA4A82" w:rsidRPr="00391E64">
        <w:t xml:space="preserve">B: </w:t>
      </w:r>
      <w:bookmarkEnd w:id="37"/>
      <w:bookmarkEnd w:id="38"/>
      <w:bookmarkEnd w:id="39"/>
      <w:r w:rsidR="00515821" w:rsidRPr="00391E64">
        <w:t xml:space="preserve">Modality assessment for </w:t>
      </w:r>
      <w:r w:rsidR="00AC460E">
        <w:t>m</w:t>
      </w:r>
      <w:r w:rsidR="00AC460E" w:rsidRPr="001914E3">
        <w:t>ancozeb</w:t>
      </w:r>
      <w:bookmarkEnd w:id="40"/>
      <w:bookmarkEnd w:id="41"/>
    </w:p>
    <w:p w14:paraId="3528D7EF" w14:textId="77777777" w:rsidR="004D64F0" w:rsidRPr="00B7164F" w:rsidRDefault="00FB47A6" w:rsidP="004D64F0">
      <w:pPr>
        <w:pStyle w:val="CommentText"/>
        <w:rPr>
          <w:sz w:val="22"/>
          <w:szCs w:val="22"/>
        </w:rPr>
      </w:pPr>
      <w:r w:rsidRPr="00B7164F">
        <w:rPr>
          <w:sz w:val="22"/>
          <w:szCs w:val="22"/>
        </w:rPr>
        <w:t xml:space="preserve">A modality assessment was undertaken for </w:t>
      </w:r>
      <w:r w:rsidR="00391E64" w:rsidRPr="00B7164F">
        <w:rPr>
          <w:sz w:val="22"/>
          <w:szCs w:val="22"/>
        </w:rPr>
        <w:t>mancozeb</w:t>
      </w:r>
      <w:r w:rsidRPr="00B7164F">
        <w:rPr>
          <w:sz w:val="22"/>
          <w:szCs w:val="22"/>
        </w:rPr>
        <w:t xml:space="preserve"> according to the four questions stipulated in Warne</w:t>
      </w:r>
      <w:r w:rsidRPr="00B7164F">
        <w:rPr>
          <w:i/>
          <w:sz w:val="22"/>
          <w:szCs w:val="22"/>
        </w:rPr>
        <w:t xml:space="preserve"> </w:t>
      </w:r>
      <w:r w:rsidRPr="00CB284F">
        <w:rPr>
          <w:sz w:val="22"/>
          <w:szCs w:val="22"/>
        </w:rPr>
        <w:t xml:space="preserve">et al. </w:t>
      </w:r>
      <w:r w:rsidRPr="00B7164F">
        <w:rPr>
          <w:sz w:val="22"/>
          <w:szCs w:val="22"/>
        </w:rPr>
        <w:t>(2018). These questions and their answers are listed below</w:t>
      </w:r>
      <w:r w:rsidR="0051480D">
        <w:rPr>
          <w:sz w:val="22"/>
          <w:szCs w:val="22"/>
        </w:rPr>
        <w:t xml:space="preserve">. It is important to note that </w:t>
      </w:r>
      <w:r w:rsidR="00EC141C">
        <w:rPr>
          <w:sz w:val="22"/>
          <w:szCs w:val="22"/>
        </w:rPr>
        <w:t>the small sample size of the dataset makes it difficult to draw conclusions about modality</w:t>
      </w:r>
      <w:r w:rsidR="00C059A6">
        <w:rPr>
          <w:sz w:val="22"/>
          <w:szCs w:val="22"/>
        </w:rPr>
        <w:t>.</w:t>
      </w:r>
    </w:p>
    <w:p w14:paraId="3528D7F0" w14:textId="77777777" w:rsidR="004D64F0" w:rsidRPr="00B7164F" w:rsidRDefault="00FB47A6" w:rsidP="00A062F7">
      <w:pPr>
        <w:pStyle w:val="Heading5"/>
      </w:pPr>
      <w:r w:rsidRPr="00B7164F">
        <w:t>Is there a specific mode of action that could result in taxa-specific sensitivity?</w:t>
      </w:r>
    </w:p>
    <w:p w14:paraId="3528D7F1" w14:textId="77777777" w:rsidR="004D64F0" w:rsidRPr="001914E3" w:rsidRDefault="00FB47A6" w:rsidP="004D64F0">
      <w:r w:rsidRPr="001914E3">
        <w:t>As discussed in Section</w:t>
      </w:r>
      <w:r w:rsidR="00E85604">
        <w:t> </w:t>
      </w:r>
      <w:r w:rsidR="00E85604">
        <w:fldChar w:fldCharType="begin"/>
      </w:r>
      <w:r w:rsidR="00E85604">
        <w:instrText xml:space="preserve"> REF _Ref55902680 \r \h </w:instrText>
      </w:r>
      <w:r w:rsidR="00E85604">
        <w:fldChar w:fldCharType="separate"/>
      </w:r>
      <w:r w:rsidR="00E747AE">
        <w:t>1</w:t>
      </w:r>
      <w:r w:rsidR="00E85604">
        <w:fldChar w:fldCharType="end"/>
      </w:r>
      <w:r w:rsidR="0051480D">
        <w:t xml:space="preserve"> and Section</w:t>
      </w:r>
      <w:r w:rsidR="00E85604">
        <w:t> </w:t>
      </w:r>
      <w:r w:rsidR="00E85604">
        <w:fldChar w:fldCharType="begin"/>
      </w:r>
      <w:r w:rsidR="00E85604">
        <w:instrText xml:space="preserve"> REF _Ref55902691 \r \h </w:instrText>
      </w:r>
      <w:r w:rsidR="00E85604">
        <w:fldChar w:fldCharType="separate"/>
      </w:r>
      <w:r w:rsidR="00E747AE">
        <w:t>2</w:t>
      </w:r>
      <w:r w:rsidR="00E85604">
        <w:fldChar w:fldCharType="end"/>
      </w:r>
      <w:r w:rsidRPr="001914E3">
        <w:t>,</w:t>
      </w:r>
      <w:r w:rsidR="0039051D" w:rsidRPr="001914E3">
        <w:t xml:space="preserve"> </w:t>
      </w:r>
      <w:r w:rsidR="001914E3" w:rsidRPr="001914E3">
        <w:rPr>
          <w:rFonts w:cs="Times New Roman"/>
        </w:rPr>
        <w:t xml:space="preserve">the ‘mancozeb complex’ </w:t>
      </w:r>
      <w:r w:rsidR="001914E3" w:rsidRPr="001914E3">
        <w:rPr>
          <w:bCs/>
        </w:rPr>
        <w:t>acts as a contact fungicide (non-systemic) that disrupts cellular metabolism at several sites in the fungal cell. The mode of action of mancozeb is interference with enzymes containing sul</w:t>
      </w:r>
      <w:r w:rsidR="0051480D">
        <w:rPr>
          <w:bCs/>
        </w:rPr>
        <w:t>f</w:t>
      </w:r>
      <w:r w:rsidR="001914E3" w:rsidRPr="001914E3">
        <w:rPr>
          <w:bCs/>
        </w:rPr>
        <w:t xml:space="preserve">hydryl groups. This disruption of enzymatic processes is thought to inhibit or </w:t>
      </w:r>
      <w:r w:rsidR="001914E3" w:rsidRPr="00BB1292">
        <w:rPr>
          <w:bCs/>
        </w:rPr>
        <w:t>interfere with multiple biochemical processes within the fungal cell cytoplasm and mitochondria. T</w:t>
      </w:r>
      <w:r w:rsidRPr="00BB1292">
        <w:t xml:space="preserve">axa-specific sensitivity to </w:t>
      </w:r>
      <w:r w:rsidR="0039051D" w:rsidRPr="00BB1292">
        <w:t>mancozeb</w:t>
      </w:r>
      <w:r w:rsidR="001914E3" w:rsidRPr="00BB1292">
        <w:t xml:space="preserve"> is not expected</w:t>
      </w:r>
      <w:r w:rsidR="00BB1292" w:rsidRPr="008A7ACC">
        <w:t xml:space="preserve"> because the metabolic systems that mancozeb affects are present in animals and plants</w:t>
      </w:r>
      <w:r w:rsidRPr="00BB1292">
        <w:t xml:space="preserve">. Therefore, both plant and animal data </w:t>
      </w:r>
      <w:r w:rsidRPr="00BD182B">
        <w:t>were considered in the DGV deriv</w:t>
      </w:r>
      <w:r w:rsidRPr="00BD182B">
        <w:t>ation.</w:t>
      </w:r>
    </w:p>
    <w:p w14:paraId="3528D7F2" w14:textId="77777777" w:rsidR="004D64F0" w:rsidRPr="00B7164F" w:rsidRDefault="00FB47A6" w:rsidP="00A062F7">
      <w:pPr>
        <w:pStyle w:val="Heading5"/>
      </w:pPr>
      <w:r w:rsidRPr="00B7164F">
        <w:t>Does the dataset suggest bimodality?</w:t>
      </w:r>
    </w:p>
    <w:p w14:paraId="3528D7F3" w14:textId="77777777" w:rsidR="004D64F0" w:rsidRPr="00941693" w:rsidRDefault="00FB47A6" w:rsidP="004D64F0">
      <w:r w:rsidRPr="001914E3">
        <w:t xml:space="preserve">Visual representation of the data, calculation of the bimodality coefficient (BC), and consideration of the range in the effect concentrations are recommended lines of evidence </w:t>
      </w:r>
      <w:r w:rsidR="00B04B08">
        <w:t>for</w:t>
      </w:r>
      <w:r w:rsidR="00B04B08" w:rsidRPr="001914E3">
        <w:t xml:space="preserve"> </w:t>
      </w:r>
      <w:r w:rsidRPr="001914E3">
        <w:t>evaluating whether bi</w:t>
      </w:r>
      <w:r w:rsidR="00B04B08">
        <w:t>modality</w:t>
      </w:r>
      <w:r w:rsidRPr="001914E3">
        <w:t xml:space="preserve"> or </w:t>
      </w:r>
      <w:r w:rsidRPr="00941693">
        <w:t xml:space="preserve">multimodality of the dataset is apparent. </w:t>
      </w:r>
      <w:r w:rsidRPr="00941693">
        <w:t xml:space="preserve">This is discussed </w:t>
      </w:r>
      <w:r w:rsidR="00B04B08">
        <w:t>as follows.</w:t>
      </w:r>
      <w:r w:rsidRPr="00941693">
        <w:t xml:space="preserve"> </w:t>
      </w:r>
    </w:p>
    <w:p w14:paraId="3528D7F4" w14:textId="77777777" w:rsidR="004D64F0" w:rsidRPr="00941693" w:rsidRDefault="00FB47A6" w:rsidP="00A062F7">
      <w:pPr>
        <w:pStyle w:val="ListBullet"/>
      </w:pPr>
      <w:r w:rsidRPr="00941693">
        <w:t xml:space="preserve">The histogram of the raw effect concentration SSD data </w:t>
      </w:r>
      <w:r w:rsidR="001914E3" w:rsidRPr="00B7164F">
        <w:t>and t</w:t>
      </w:r>
      <w:r w:rsidR="001914E3" w:rsidRPr="00941693">
        <w:t xml:space="preserve">he </w:t>
      </w:r>
      <w:r w:rsidRPr="00941693">
        <w:t>log transformed histogram generally follow a</w:t>
      </w:r>
      <w:r w:rsidR="00941693" w:rsidRPr="00B7164F">
        <w:t xml:space="preserve"> </w:t>
      </w:r>
      <w:r w:rsidR="00941693">
        <w:t xml:space="preserve">normal to </w:t>
      </w:r>
      <w:r w:rsidR="00941693" w:rsidRPr="00B7164F">
        <w:t>slightly right-skewed</w:t>
      </w:r>
      <w:r w:rsidRPr="00941693">
        <w:t xml:space="preserve"> </w:t>
      </w:r>
      <w:r w:rsidR="00127882">
        <w:t xml:space="preserve">distribution </w:t>
      </w:r>
      <w:r w:rsidRPr="00941693">
        <w:t>(</w:t>
      </w:r>
      <w:r w:rsidR="00BD2608">
        <w:fldChar w:fldCharType="begin"/>
      </w:r>
      <w:r w:rsidR="00BD2608">
        <w:instrText xml:space="preserve"> REF _Ref55903500 \h </w:instrText>
      </w:r>
      <w:r w:rsidR="00BD2608">
        <w:fldChar w:fldCharType="separate"/>
      </w:r>
      <w:r w:rsidR="00E747AE">
        <w:t>Figure B </w:t>
      </w:r>
      <w:r w:rsidR="00E747AE">
        <w:rPr>
          <w:noProof/>
        </w:rPr>
        <w:t>1</w:t>
      </w:r>
      <w:r w:rsidR="00BD2608">
        <w:fldChar w:fldCharType="end"/>
      </w:r>
      <w:r w:rsidRPr="00941693">
        <w:t>).</w:t>
      </w:r>
    </w:p>
    <w:p w14:paraId="3528D7F5" w14:textId="77777777" w:rsidR="004D64F0" w:rsidRPr="00941693" w:rsidRDefault="00FB47A6" w:rsidP="00A062F7">
      <w:pPr>
        <w:pStyle w:val="ListBullet"/>
      </w:pPr>
      <w:r w:rsidRPr="00941693">
        <w:t xml:space="preserve">Data </w:t>
      </w:r>
      <w:r w:rsidR="00EC141C">
        <w:t>that</w:t>
      </w:r>
      <w:r w:rsidR="00EC141C" w:rsidRPr="00941693">
        <w:t xml:space="preserve"> </w:t>
      </w:r>
      <w:r w:rsidR="00CB284F">
        <w:t>span large ranges (&gt;</w:t>
      </w:r>
      <w:r w:rsidRPr="00941693">
        <w:t>4 orders of magnitude) indicate potential for underlying bi</w:t>
      </w:r>
      <w:r w:rsidR="005F16DE">
        <w:t>modality</w:t>
      </w:r>
      <w:r w:rsidRPr="00941693">
        <w:t xml:space="preserve"> or multimodality (Warne </w:t>
      </w:r>
      <w:r w:rsidRPr="00A062F7">
        <w:t>et al.</w:t>
      </w:r>
      <w:r w:rsidRPr="00941693">
        <w:t xml:space="preserve"> 2018); the </w:t>
      </w:r>
      <w:r w:rsidR="0039051D" w:rsidRPr="00941693">
        <w:t>mancozeb</w:t>
      </w:r>
      <w:r w:rsidRPr="00941693">
        <w:t xml:space="preserve"> data span </w:t>
      </w:r>
      <w:r w:rsidR="00941693" w:rsidRPr="00B7164F">
        <w:t>three</w:t>
      </w:r>
      <w:r w:rsidR="00941693" w:rsidRPr="00941693">
        <w:t xml:space="preserve"> </w:t>
      </w:r>
      <w:r w:rsidRPr="00941693">
        <w:t>orders of magnitude.</w:t>
      </w:r>
    </w:p>
    <w:p w14:paraId="3528D7F6" w14:textId="77777777" w:rsidR="004D64F0" w:rsidRPr="00941693" w:rsidRDefault="00FB47A6" w:rsidP="00A062F7">
      <w:pPr>
        <w:pStyle w:val="ListBullet"/>
      </w:pPr>
      <w:r w:rsidRPr="00941693">
        <w:t>When the BC is greater than 0.555</w:t>
      </w:r>
      <w:r w:rsidR="005F16DE">
        <w:t>,</w:t>
      </w:r>
      <w:r w:rsidRPr="00941693">
        <w:t xml:space="preserve"> it indicates that the data do not follow a normal distribution and may be bimodal</w:t>
      </w:r>
      <w:r w:rsidR="005F16DE">
        <w:t>.</w:t>
      </w:r>
      <w:r w:rsidRPr="00941693">
        <w:t xml:space="preserve"> </w:t>
      </w:r>
      <w:r w:rsidR="005F16DE">
        <w:t>T</w:t>
      </w:r>
      <w:r w:rsidRPr="00941693">
        <w:t xml:space="preserve">he BC of the </w:t>
      </w:r>
      <w:r w:rsidR="003026F1" w:rsidRPr="00941693">
        <w:t xml:space="preserve">log transformed </w:t>
      </w:r>
      <w:r w:rsidRPr="00941693">
        <w:t xml:space="preserve">data is </w:t>
      </w:r>
      <w:r w:rsidR="003026F1" w:rsidRPr="00941693">
        <w:t>0.2</w:t>
      </w:r>
      <w:r w:rsidR="00BB1292">
        <w:t>2</w:t>
      </w:r>
      <w:r w:rsidR="005F16DE">
        <w:t>,</w:t>
      </w:r>
      <w:r w:rsidR="003026F1" w:rsidRPr="00941693">
        <w:t xml:space="preserve"> </w:t>
      </w:r>
      <w:r w:rsidR="003026F1">
        <w:t xml:space="preserve">which </w:t>
      </w:r>
      <w:r w:rsidRPr="00941693">
        <w:t xml:space="preserve">does not support </w:t>
      </w:r>
      <w:r w:rsidR="003026F1">
        <w:t>an</w:t>
      </w:r>
      <w:r w:rsidR="003026F1" w:rsidRPr="00941693">
        <w:t xml:space="preserve"> </w:t>
      </w:r>
      <w:r w:rsidRPr="00941693">
        <w:t>assertion</w:t>
      </w:r>
      <w:r w:rsidR="003026F1">
        <w:t xml:space="preserve"> of bimodality</w:t>
      </w:r>
      <w:r w:rsidRPr="00941693">
        <w:t xml:space="preserve">. </w:t>
      </w:r>
    </w:p>
    <w:p w14:paraId="3528D7F7" w14:textId="77777777" w:rsidR="004D64F0" w:rsidRPr="0039051D" w:rsidRDefault="00FB47A6" w:rsidP="004D64F0">
      <w:pPr>
        <w:pStyle w:val="CommentText"/>
        <w:rPr>
          <w:sz w:val="22"/>
          <w:szCs w:val="22"/>
        </w:rPr>
      </w:pPr>
      <w:r w:rsidRPr="00941693">
        <w:rPr>
          <w:sz w:val="22"/>
          <w:szCs w:val="22"/>
        </w:rPr>
        <w:t>Based on the</w:t>
      </w:r>
      <w:r w:rsidR="008B771A">
        <w:rPr>
          <w:sz w:val="22"/>
          <w:szCs w:val="22"/>
        </w:rPr>
        <w:t>se</w:t>
      </w:r>
      <w:r w:rsidRPr="00941693">
        <w:rPr>
          <w:sz w:val="22"/>
          <w:szCs w:val="22"/>
        </w:rPr>
        <w:t xml:space="preserve"> lines of evidence, the log transformed dataset is generally i</w:t>
      </w:r>
      <w:r w:rsidRPr="00941693">
        <w:rPr>
          <w:sz w:val="22"/>
          <w:szCs w:val="22"/>
        </w:rPr>
        <w:t>n accordance with a unimodal normal distribution.</w:t>
      </w:r>
      <w:r w:rsidRPr="0039051D">
        <w:rPr>
          <w:sz w:val="22"/>
          <w:szCs w:val="22"/>
        </w:rPr>
        <w:t xml:space="preserve"> </w:t>
      </w:r>
    </w:p>
    <w:p w14:paraId="3528D7F8" w14:textId="77777777" w:rsidR="004D64F0" w:rsidRPr="0039051D" w:rsidRDefault="00FB47A6" w:rsidP="001560EE">
      <w:pPr>
        <w:keepLines/>
        <w:spacing w:after="0"/>
      </w:pPr>
      <w:r>
        <w:rPr>
          <w:noProof/>
          <w:lang w:eastAsia="en-AU"/>
        </w:rPr>
        <w:drawing>
          <wp:inline distT="0" distB="0" distL="0" distR="0" wp14:anchorId="3528D834" wp14:editId="3528D835">
            <wp:extent cx="5383033" cy="2432939"/>
            <wp:effectExtent l="0" t="0" r="8255" b="5715"/>
            <wp:docPr id="14" name="Picture 13" descr="Figure shows two histograms: the left histogram shows raw effect concentration SSD data (x axis) against count and proportion per bar (y axes); the right histogram shows log transformed concentration data (x axis) against count and proportion per bar (y axes). Concentration units are micrograms per litre." title="Histogram, raw data (left) and log transformed (right) data">
              <a:extLst xmlns:a="http://schemas.openxmlformats.org/drawingml/2006/main">
                <a:ext uri="{FF2B5EF4-FFF2-40B4-BE49-F238E27FC236}">
                  <a16:creationId xmlns:a16="http://schemas.microsoft.com/office/drawing/2014/main" id="{2347F87E-423E-43A2-9222-EB244BCBC8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2190" name="Picture 13">
                      <a:extLst>
                        <a:ext uri="{FF2B5EF4-FFF2-40B4-BE49-F238E27FC236}">
                          <a16:creationId xmlns:a16="http://schemas.microsoft.com/office/drawing/2014/main" id="{2347F87E-423E-43A2-9222-EB244BCBC8DB}"/>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l="233" r="255"/>
                    <a:stretch>
                      <a:fillRect/>
                    </a:stretch>
                  </pic:blipFill>
                  <pic:spPr bwMode="auto">
                    <a:xfrm>
                      <a:off x="0" y="0"/>
                      <a:ext cx="5449056" cy="2462779"/>
                    </a:xfrm>
                    <a:prstGeom prst="rect">
                      <a:avLst/>
                    </a:prstGeom>
                    <a:noFill/>
                    <a:ln>
                      <a:noFill/>
                    </a:ln>
                    <a:extLst>
                      <a:ext uri="{53640926-AAD7-44D8-BBD7-CCE9431645EC}">
                        <a14:shadowObscured xmlns:a14="http://schemas.microsoft.com/office/drawing/2010/main"/>
                      </a:ext>
                    </a:extLst>
                  </pic:spPr>
                </pic:pic>
              </a:graphicData>
            </a:graphic>
          </wp:inline>
        </w:drawing>
      </w:r>
    </w:p>
    <w:p w14:paraId="3528D7F9" w14:textId="77777777" w:rsidR="004D64F0" w:rsidRPr="0039051D" w:rsidRDefault="00FB47A6" w:rsidP="001560EE">
      <w:pPr>
        <w:pStyle w:val="Caption"/>
        <w:keepNext w:val="0"/>
        <w:keepLines/>
      </w:pPr>
      <w:bookmarkStart w:id="42" w:name="_Ref55903500"/>
      <w:bookmarkStart w:id="43" w:name="_Toc68188178"/>
      <w:r>
        <w:t>Figure B </w:t>
      </w:r>
      <w:r w:rsidR="00567DF6">
        <w:fldChar w:fldCharType="begin"/>
      </w:r>
      <w:r>
        <w:instrText xml:space="preserve"> SEQ Figure_B \* ARABIC </w:instrText>
      </w:r>
      <w:r w:rsidR="00567DF6">
        <w:fldChar w:fldCharType="separate"/>
      </w:r>
      <w:r w:rsidR="00E747AE">
        <w:rPr>
          <w:noProof/>
        </w:rPr>
        <w:t>1</w:t>
      </w:r>
      <w:r w:rsidR="00567DF6">
        <w:rPr>
          <w:noProof/>
        </w:rPr>
        <w:fldChar w:fldCharType="end"/>
      </w:r>
      <w:bookmarkEnd w:id="42"/>
      <w:r w:rsidR="00CA4A82" w:rsidRPr="00BB1292">
        <w:t xml:space="preserve"> Histogram</w:t>
      </w:r>
      <w:r w:rsidR="00862C55">
        <w:t>,</w:t>
      </w:r>
      <w:r w:rsidR="00CA4A82" w:rsidRPr="00BB1292">
        <w:t xml:space="preserve"> raw (left) and log transformed (right)</w:t>
      </w:r>
      <w:r w:rsidR="005E6544" w:rsidRPr="005E6544">
        <w:t xml:space="preserve"> </w:t>
      </w:r>
      <w:r w:rsidR="005E6544" w:rsidRPr="00BB1292">
        <w:t>data</w:t>
      </w:r>
      <w:bookmarkEnd w:id="43"/>
    </w:p>
    <w:p w14:paraId="3528D7FA" w14:textId="77777777" w:rsidR="004D64F0" w:rsidRPr="00B7164F" w:rsidRDefault="00FB47A6" w:rsidP="00A062F7">
      <w:pPr>
        <w:pStyle w:val="Heading5"/>
      </w:pPr>
      <w:r w:rsidRPr="00B7164F">
        <w:t>Do data show taxa-specific sensitivity (i.e. through distinct groupings of different taxa types)?</w:t>
      </w:r>
    </w:p>
    <w:p w14:paraId="3528D7FB" w14:textId="77777777" w:rsidR="004D64F0" w:rsidRPr="00B7164F" w:rsidRDefault="00FB47A6" w:rsidP="00BD2608">
      <w:pPr>
        <w:rPr>
          <w:highlight w:val="yellow"/>
        </w:rPr>
      </w:pPr>
      <w:r>
        <w:t>T</w:t>
      </w:r>
      <w:r w:rsidR="005951B0" w:rsidRPr="00B7164F">
        <w:t>he potential for taxa</w:t>
      </w:r>
      <w:r w:rsidR="00866033">
        <w:t>-</w:t>
      </w:r>
      <w:r w:rsidR="005951B0" w:rsidRPr="00B7164F">
        <w:t xml:space="preserve">specific sensitivity in the data was examined using box plots of the SSD data </w:t>
      </w:r>
      <w:r w:rsidR="00EA6E99">
        <w:t xml:space="preserve">grouped by </w:t>
      </w:r>
      <w:r w:rsidR="005951B0" w:rsidRPr="00B7164F">
        <w:t xml:space="preserve">major </w:t>
      </w:r>
      <w:r w:rsidR="00EA6E99">
        <w:t xml:space="preserve">types of </w:t>
      </w:r>
      <w:r w:rsidR="005951B0" w:rsidRPr="00B7164F">
        <w:t>organism</w:t>
      </w:r>
      <w:r w:rsidR="00EA6E99">
        <w:t>s</w:t>
      </w:r>
      <w:r w:rsidR="005951B0" w:rsidRPr="00B7164F">
        <w:t xml:space="preserve"> (e.g. plants, vertebrates)</w:t>
      </w:r>
      <w:r w:rsidR="00726FBB" w:rsidRPr="00B7164F">
        <w:t xml:space="preserve"> (</w:t>
      </w:r>
      <w:r w:rsidR="00BD2608">
        <w:fldChar w:fldCharType="begin"/>
      </w:r>
      <w:r w:rsidR="00BD2608">
        <w:instrText xml:space="preserve"> REF _Ref55903540 \h  \* MERGEFORMAT </w:instrText>
      </w:r>
      <w:r w:rsidR="00BD2608">
        <w:fldChar w:fldCharType="separate"/>
      </w:r>
      <w:r w:rsidR="00E747AE">
        <w:t>Figure B 2</w:t>
      </w:r>
      <w:r w:rsidR="00BD2608">
        <w:fldChar w:fldCharType="end"/>
      </w:r>
      <w:r w:rsidR="00726FBB" w:rsidRPr="00B7164F">
        <w:t>)</w:t>
      </w:r>
      <w:r w:rsidR="00EA6E99">
        <w:t>.</w:t>
      </w:r>
    </w:p>
    <w:p w14:paraId="3528D7FC" w14:textId="77777777" w:rsidR="004D64F0" w:rsidRDefault="00FB47A6" w:rsidP="00BD2608">
      <w:r w:rsidRPr="00B7164F">
        <w:t xml:space="preserve">As shown in </w:t>
      </w:r>
      <w:r w:rsidR="00BD2608">
        <w:fldChar w:fldCharType="begin"/>
      </w:r>
      <w:r w:rsidR="00BD2608">
        <w:instrText xml:space="preserve"> REF _Ref55903540 \h  \* MERGEFORMAT </w:instrText>
      </w:r>
      <w:r w:rsidR="00BD2608">
        <w:fldChar w:fldCharType="separate"/>
      </w:r>
      <w:r w:rsidR="00E747AE">
        <w:t>Figure B 2</w:t>
      </w:r>
      <w:r w:rsidR="00BD2608">
        <w:fldChar w:fldCharType="end"/>
      </w:r>
      <w:r w:rsidRPr="00B7164F">
        <w:t>,</w:t>
      </w:r>
      <w:r w:rsidR="00726FBB" w:rsidRPr="00B7164F">
        <w:t xml:space="preserve"> </w:t>
      </w:r>
      <w:r w:rsidR="00BB1292">
        <w:t>the available data suggest there might be a difference between vertebrates</w:t>
      </w:r>
      <w:r w:rsidR="00BD182B">
        <w:t xml:space="preserve"> (n=1)</w:t>
      </w:r>
      <w:r w:rsidR="00BB1292">
        <w:t>, invertebrates</w:t>
      </w:r>
      <w:r w:rsidR="00BD182B">
        <w:t xml:space="preserve"> (n=2)</w:t>
      </w:r>
      <w:r w:rsidR="00BB1292">
        <w:t xml:space="preserve"> and plants</w:t>
      </w:r>
      <w:r w:rsidR="00BD182B">
        <w:t xml:space="preserve"> (n=5), with vertebrates more sensitive than invertebrates and plants</w:t>
      </w:r>
      <w:r w:rsidR="00E66280" w:rsidRPr="00B7164F">
        <w:t>. H</w:t>
      </w:r>
      <w:r w:rsidR="00726FBB" w:rsidRPr="00B7164F">
        <w:t>owever</w:t>
      </w:r>
      <w:r w:rsidR="00EA6E99">
        <w:t>,</w:t>
      </w:r>
      <w:r w:rsidR="00726FBB" w:rsidRPr="00B7164F">
        <w:t xml:space="preserve"> th</w:t>
      </w:r>
      <w:r w:rsidR="00BD182B">
        <w:t>e sample size is too small to conclude this with confidence</w:t>
      </w:r>
      <w:r w:rsidRPr="00B7164F">
        <w:t xml:space="preserve">. </w:t>
      </w:r>
    </w:p>
    <w:p w14:paraId="3528D7FD" w14:textId="77777777" w:rsidR="0043748C" w:rsidRDefault="00FB47A6" w:rsidP="00F6367B">
      <w:pPr>
        <w:keepLines/>
        <w:spacing w:after="0" w:line="240" w:lineRule="auto"/>
        <w:rPr>
          <w:rFonts w:ascii="Myriad Pro" w:hAnsi="Myriad Pro"/>
          <w:b/>
          <w:sz w:val="18"/>
          <w:szCs w:val="18"/>
        </w:rPr>
      </w:pPr>
      <w:r>
        <w:rPr>
          <w:noProof/>
          <w:lang w:eastAsia="en-AU"/>
        </w:rPr>
        <w:drawing>
          <wp:inline distT="0" distB="0" distL="0" distR="0" wp14:anchorId="3528D836" wp14:editId="3528D837">
            <wp:extent cx="4839419" cy="2565622"/>
            <wp:effectExtent l="0" t="0" r="0" b="6350"/>
            <wp:docPr id="16" name="Picture 15" descr="Figure shows two box plots: the left box plot shows raw concentration data against major types of organisms; the right box plot shows the log transformed concentration data against major types of organisms. Concentration units are micrograms per litre. Major types of organisms are: invertebrate, plant and vertebrate." title="Box plots, raw (left) and log transformed (right) data grouped by major types of organisms">
              <a:extLst xmlns:a="http://schemas.openxmlformats.org/drawingml/2006/main">
                <a:ext uri="{FF2B5EF4-FFF2-40B4-BE49-F238E27FC236}">
                  <a16:creationId xmlns:a16="http://schemas.microsoft.com/office/drawing/2014/main" id="{BDD02DEA-3DD4-41D7-BB9B-46D218BF65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81303" name="Picture 15">
                      <a:extLst>
                        <a:ext uri="{FF2B5EF4-FFF2-40B4-BE49-F238E27FC236}">
                          <a16:creationId xmlns:a16="http://schemas.microsoft.com/office/drawing/2014/main" id="{BDD02DEA-3DD4-41D7-BB9B-46D218BF65BE}"/>
                        </a:ext>
                      </a:extLst>
                    </pic:cNvPr>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4871007" cy="2582368"/>
                    </a:xfrm>
                    <a:prstGeom prst="rect">
                      <a:avLst/>
                    </a:prstGeom>
                    <a:noFill/>
                  </pic:spPr>
                </pic:pic>
              </a:graphicData>
            </a:graphic>
          </wp:inline>
        </w:drawing>
      </w:r>
    </w:p>
    <w:p w14:paraId="3528D7FE" w14:textId="77777777" w:rsidR="00E66280" w:rsidRPr="0043748C" w:rsidRDefault="00FB47A6" w:rsidP="00F6367B">
      <w:pPr>
        <w:pStyle w:val="FigureTableNoteSource"/>
        <w:keepLines/>
        <w:spacing w:before="40" w:after="40"/>
      </w:pPr>
      <w:r w:rsidRPr="0043748C">
        <w:t xml:space="preserve">Note: </w:t>
      </w:r>
      <w:r>
        <w:t>a</w:t>
      </w:r>
      <w:r w:rsidRPr="0043748C">
        <w:t>n open circle represents an outlying value &gt;3x the int</w:t>
      </w:r>
      <w:r w:rsidRPr="0043748C">
        <w:t>erquartile range.</w:t>
      </w:r>
    </w:p>
    <w:p w14:paraId="3528D7FF" w14:textId="77777777" w:rsidR="004D64F0" w:rsidRDefault="00FB47A6" w:rsidP="00F6367B">
      <w:pPr>
        <w:pStyle w:val="Caption"/>
        <w:keepNext w:val="0"/>
        <w:keepLines/>
      </w:pPr>
      <w:bookmarkStart w:id="44" w:name="_Ref55903540"/>
      <w:bookmarkStart w:id="45" w:name="_Toc68188179"/>
      <w:r>
        <w:t>Figure B </w:t>
      </w:r>
      <w:r w:rsidR="00567DF6">
        <w:fldChar w:fldCharType="begin"/>
      </w:r>
      <w:r>
        <w:instrText xml:space="preserve"> SEQ Figure_B \* ARABIC </w:instrText>
      </w:r>
      <w:r w:rsidR="00567DF6">
        <w:fldChar w:fldCharType="separate"/>
      </w:r>
      <w:r w:rsidR="00E747AE">
        <w:rPr>
          <w:noProof/>
        </w:rPr>
        <w:t>2</w:t>
      </w:r>
      <w:r w:rsidR="00567DF6">
        <w:rPr>
          <w:noProof/>
        </w:rPr>
        <w:fldChar w:fldCharType="end"/>
      </w:r>
      <w:bookmarkEnd w:id="44"/>
      <w:r w:rsidR="00CA4A82" w:rsidRPr="00726FBB">
        <w:t xml:space="preserve"> Box</w:t>
      </w:r>
      <w:r w:rsidR="005E6544">
        <w:t xml:space="preserve"> </w:t>
      </w:r>
      <w:r w:rsidR="00CA4A82" w:rsidRPr="00726FBB">
        <w:t>plots</w:t>
      </w:r>
      <w:r w:rsidR="005E6544">
        <w:t>,</w:t>
      </w:r>
      <w:r w:rsidR="00CA4A82" w:rsidRPr="00726FBB">
        <w:t xml:space="preserve"> </w:t>
      </w:r>
      <w:r w:rsidR="00BD182B">
        <w:t>raw</w:t>
      </w:r>
      <w:r w:rsidR="00CA4A82" w:rsidRPr="00726FBB">
        <w:t xml:space="preserve"> (left) and </w:t>
      </w:r>
      <w:r w:rsidR="00BD182B">
        <w:t>log transformed</w:t>
      </w:r>
      <w:r w:rsidR="00BD182B" w:rsidRPr="00726FBB">
        <w:t xml:space="preserve"> </w:t>
      </w:r>
      <w:r w:rsidR="00CA4A82" w:rsidRPr="00726FBB">
        <w:t>(right) data grouped by major types of organisms</w:t>
      </w:r>
      <w:bookmarkEnd w:id="45"/>
    </w:p>
    <w:p w14:paraId="3528D800" w14:textId="77777777" w:rsidR="00E66280" w:rsidRPr="00DB1E99" w:rsidRDefault="00FB47A6" w:rsidP="00BD2608">
      <w:pPr>
        <w:rPr>
          <w:highlight w:val="yellow"/>
        </w:rPr>
      </w:pPr>
      <w:r>
        <w:t>T</w:t>
      </w:r>
      <w:r w:rsidRPr="00DB1E99">
        <w:t>he data w</w:t>
      </w:r>
      <w:r>
        <w:t>ere further</w:t>
      </w:r>
      <w:r w:rsidRPr="00DB1E99">
        <w:t xml:space="preserve"> examined using box plots of the SSD data </w:t>
      </w:r>
      <w:r w:rsidR="002B3751">
        <w:t>to compare</w:t>
      </w:r>
      <w:r w:rsidR="002A3991">
        <w:t xml:space="preserve"> autotrophs and heterotrophs </w:t>
      </w:r>
      <w:r w:rsidRPr="00DB1E99">
        <w:t>(</w:t>
      </w:r>
      <w:r w:rsidR="00BD2608">
        <w:fldChar w:fldCharType="begin"/>
      </w:r>
      <w:r w:rsidR="00BD2608">
        <w:instrText xml:space="preserve"> REF _Ref55903639 \h  \* MERGEFORMAT </w:instrText>
      </w:r>
      <w:r w:rsidR="00BD2608">
        <w:fldChar w:fldCharType="separate"/>
      </w:r>
      <w:r w:rsidR="00E747AE">
        <w:t>Figure B 3</w:t>
      </w:r>
      <w:r w:rsidR="00BD2608">
        <w:fldChar w:fldCharType="end"/>
      </w:r>
      <w:r w:rsidRPr="00DB1E99">
        <w:t>)</w:t>
      </w:r>
      <w:r w:rsidR="002B3751">
        <w:t>.</w:t>
      </w:r>
    </w:p>
    <w:p w14:paraId="3528D801" w14:textId="77777777" w:rsidR="002A3991" w:rsidRDefault="00FB47A6" w:rsidP="00BD2608">
      <w:r w:rsidRPr="00DB1E99">
        <w:t xml:space="preserve">As shown in </w:t>
      </w:r>
      <w:r w:rsidR="00BD2608">
        <w:fldChar w:fldCharType="begin"/>
      </w:r>
      <w:r w:rsidR="00BD2608">
        <w:instrText xml:space="preserve"> REF _Ref55903639 \h  \* MERGEFORMAT </w:instrText>
      </w:r>
      <w:r w:rsidR="00BD2608">
        <w:fldChar w:fldCharType="separate"/>
      </w:r>
      <w:r w:rsidR="00E747AE">
        <w:t>Figure B 3</w:t>
      </w:r>
      <w:r w:rsidR="00BD2608">
        <w:fldChar w:fldCharType="end"/>
      </w:r>
      <w:r w:rsidRPr="00DB1E99">
        <w:t xml:space="preserve">, </w:t>
      </w:r>
      <w:r>
        <w:t>the</w:t>
      </w:r>
      <w:r w:rsidRPr="00DB1E99">
        <w:t xml:space="preserve"> </w:t>
      </w:r>
      <w:r>
        <w:t>autotroph (n=5) and heterotroph</w:t>
      </w:r>
      <w:r w:rsidRPr="00DB1E99">
        <w:t xml:space="preserve"> (n=</w:t>
      </w:r>
      <w:r w:rsidR="00BD182B">
        <w:t>3</w:t>
      </w:r>
      <w:r w:rsidRPr="00DB1E99">
        <w:t xml:space="preserve">) </w:t>
      </w:r>
      <w:r>
        <w:t xml:space="preserve">groupings appear to differ in sensitivity. The median for each grouping indicates </w:t>
      </w:r>
      <w:r w:rsidR="00BD182B">
        <w:t xml:space="preserve">difference </w:t>
      </w:r>
      <w:r>
        <w:t xml:space="preserve">in effect for animals and </w:t>
      </w:r>
      <w:r w:rsidR="00EC141C">
        <w:t>plants</w:t>
      </w:r>
      <w:r>
        <w:t>, with animals more sensitive</w:t>
      </w:r>
      <w:r w:rsidR="00BD182B">
        <w:t>, and the</w:t>
      </w:r>
      <w:r w:rsidR="00BD182B" w:rsidRPr="00BD182B">
        <w:t xml:space="preserve"> </w:t>
      </w:r>
      <w:r w:rsidR="00BD182B">
        <w:t>span in the animal data sensitivity is large compared to plants</w:t>
      </w:r>
      <w:r>
        <w:t xml:space="preserve">. However, the </w:t>
      </w:r>
      <w:r w:rsidR="00BD182B">
        <w:t>sample size is too small to conclude this with confidence</w:t>
      </w:r>
      <w:r>
        <w:t>.</w:t>
      </w:r>
    </w:p>
    <w:p w14:paraId="3528D802" w14:textId="77777777" w:rsidR="007B276C" w:rsidRDefault="00FB47A6" w:rsidP="00F6367B">
      <w:pPr>
        <w:keepLines/>
        <w:spacing w:after="0" w:line="240" w:lineRule="auto"/>
        <w:rPr>
          <w:rFonts w:ascii="Myriad Pro" w:hAnsi="Myriad Pro"/>
          <w:b/>
          <w:sz w:val="18"/>
          <w:szCs w:val="18"/>
        </w:rPr>
      </w:pPr>
      <w:r>
        <w:rPr>
          <w:noProof/>
          <w:lang w:eastAsia="en-AU"/>
        </w:rPr>
        <w:drawing>
          <wp:inline distT="0" distB="0" distL="0" distR="0" wp14:anchorId="3528D838" wp14:editId="3528D839">
            <wp:extent cx="4882551" cy="2306332"/>
            <wp:effectExtent l="0" t="0" r="0" b="0"/>
            <wp:docPr id="18" name="Picture 17" descr="Figure shows two box plots: the left box plot shows raw concentration data against autotrophs and heterotrophs; the right box plot shows the log transformed concentration data against autotrophs and heterotrophs.Concentration units are micrograms per litre." title="Box plots, raw (left) and log transformed (right) data grouped by autotrophic and heterotrophic organisms">
              <a:extLst xmlns:a="http://schemas.openxmlformats.org/drawingml/2006/main">
                <a:ext uri="{FF2B5EF4-FFF2-40B4-BE49-F238E27FC236}">
                  <a16:creationId xmlns:a16="http://schemas.microsoft.com/office/drawing/2014/main" id="{6570ED28-F9DD-4E15-B0A7-95749A7737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5781" name="Picture 17">
                      <a:extLst>
                        <a:ext uri="{FF2B5EF4-FFF2-40B4-BE49-F238E27FC236}">
                          <a16:creationId xmlns:a16="http://schemas.microsoft.com/office/drawing/2014/main" id="{6570ED28-F9DD-4E15-B0A7-95749A77370E}"/>
                        </a:ext>
                      </a:extLst>
                    </pic:cNvPr>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4904154" cy="2316537"/>
                    </a:xfrm>
                    <a:prstGeom prst="rect">
                      <a:avLst/>
                    </a:prstGeom>
                    <a:noFill/>
                  </pic:spPr>
                </pic:pic>
              </a:graphicData>
            </a:graphic>
          </wp:inline>
        </w:drawing>
      </w:r>
    </w:p>
    <w:p w14:paraId="3528D803" w14:textId="77777777" w:rsidR="00E66280" w:rsidRPr="007B276C" w:rsidRDefault="00FB47A6" w:rsidP="00F6367B">
      <w:pPr>
        <w:pStyle w:val="FigureTableNoteSource"/>
        <w:keepLines/>
        <w:spacing w:before="40" w:after="40"/>
      </w:pPr>
      <w:r>
        <w:t>Note: a</w:t>
      </w:r>
      <w:r w:rsidRPr="007B276C">
        <w:t>n open circle represents an outlying value &gt;3x the interquartile range.</w:t>
      </w:r>
    </w:p>
    <w:p w14:paraId="3528D804" w14:textId="77777777" w:rsidR="00E66280" w:rsidRPr="00726FBB" w:rsidRDefault="00FB47A6" w:rsidP="00F6367B">
      <w:pPr>
        <w:pStyle w:val="Caption"/>
        <w:keepNext w:val="0"/>
        <w:keepLines/>
      </w:pPr>
      <w:bookmarkStart w:id="46" w:name="_Ref55903639"/>
      <w:bookmarkStart w:id="47" w:name="_Toc68188180"/>
      <w:r>
        <w:t>Figure B </w:t>
      </w:r>
      <w:r w:rsidR="00567DF6">
        <w:fldChar w:fldCharType="begin"/>
      </w:r>
      <w:r>
        <w:instrText xml:space="preserve"> SEQ Figure_B \* ARABIC </w:instrText>
      </w:r>
      <w:r w:rsidR="00567DF6">
        <w:fldChar w:fldCharType="separate"/>
      </w:r>
      <w:r w:rsidR="00E747AE">
        <w:rPr>
          <w:noProof/>
        </w:rPr>
        <w:t>3</w:t>
      </w:r>
      <w:r w:rsidR="00567DF6">
        <w:rPr>
          <w:noProof/>
        </w:rPr>
        <w:fldChar w:fldCharType="end"/>
      </w:r>
      <w:bookmarkEnd w:id="46"/>
      <w:r w:rsidR="00CA4A82" w:rsidRPr="00726FBB">
        <w:t xml:space="preserve"> Box</w:t>
      </w:r>
      <w:r w:rsidR="008E3573">
        <w:t xml:space="preserve"> </w:t>
      </w:r>
      <w:r w:rsidR="00CA4A82" w:rsidRPr="00726FBB">
        <w:t>plots</w:t>
      </w:r>
      <w:r w:rsidR="008E3573">
        <w:t>,</w:t>
      </w:r>
      <w:r w:rsidR="00CA4A82" w:rsidRPr="00726FBB">
        <w:t xml:space="preserve"> </w:t>
      </w:r>
      <w:r w:rsidR="00BD182B">
        <w:t>raw</w:t>
      </w:r>
      <w:r w:rsidR="00CA4A82" w:rsidRPr="00726FBB">
        <w:t xml:space="preserve"> (left) and </w:t>
      </w:r>
      <w:r w:rsidR="00BD182B">
        <w:t>log transformed</w:t>
      </w:r>
      <w:r w:rsidR="00BD182B" w:rsidRPr="00726FBB">
        <w:t xml:space="preserve"> </w:t>
      </w:r>
      <w:r w:rsidR="00CA4A82" w:rsidRPr="00726FBB">
        <w:t xml:space="preserve">(right) data grouped by </w:t>
      </w:r>
      <w:r w:rsidR="00CA4A82">
        <w:t>autotroph</w:t>
      </w:r>
      <w:r w:rsidR="00224ABE">
        <w:t>ic</w:t>
      </w:r>
      <w:r w:rsidR="00CA4A82">
        <w:t xml:space="preserve"> and heterotroph</w:t>
      </w:r>
      <w:r w:rsidR="00224ABE">
        <w:t>ic</w:t>
      </w:r>
      <w:r w:rsidR="00CA4A82" w:rsidRPr="00726FBB">
        <w:t xml:space="preserve"> organisms</w:t>
      </w:r>
      <w:bookmarkEnd w:id="47"/>
    </w:p>
    <w:p w14:paraId="3528D805" w14:textId="77777777" w:rsidR="004D64F0" w:rsidRPr="00B7164F" w:rsidRDefault="00FB47A6" w:rsidP="00A062F7">
      <w:pPr>
        <w:pStyle w:val="Heading5"/>
      </w:pPr>
      <w:r w:rsidRPr="00B7164F">
        <w:t>Is it likely that indications of bi</w:t>
      </w:r>
      <w:r w:rsidR="008E3573">
        <w:t>modality</w:t>
      </w:r>
      <w:r w:rsidRPr="00B7164F">
        <w:t xml:space="preserve"> or multimodality or distinct clustering of taxa groups are not due to artefacts of data selection, small sample size, test procedures, or other reasons unrelated to a specific mode of action?</w:t>
      </w:r>
    </w:p>
    <w:p w14:paraId="3528D806" w14:textId="77777777" w:rsidR="0036088D" w:rsidRDefault="00FB47A6" w:rsidP="004D64F0">
      <w:pPr>
        <w:rPr>
          <w:rFonts w:cs="Arial"/>
        </w:rPr>
      </w:pPr>
      <w:r>
        <w:t>T</w:t>
      </w:r>
      <w:r w:rsidR="005951B0">
        <w:t>he data appear to not show signs of bi</w:t>
      </w:r>
      <w:r>
        <w:t>modality</w:t>
      </w:r>
      <w:r w:rsidR="005951B0">
        <w:t xml:space="preserve"> or multimodality. The suggestion of bimodality from the comparison of </w:t>
      </w:r>
      <w:r>
        <w:t xml:space="preserve">major </w:t>
      </w:r>
      <w:r w:rsidR="005951B0">
        <w:t xml:space="preserve">types </w:t>
      </w:r>
      <w:r>
        <w:t xml:space="preserve">of organisms </w:t>
      </w:r>
      <w:r w:rsidR="005951B0">
        <w:t xml:space="preserve">in </w:t>
      </w:r>
      <w:r w:rsidR="00D97894">
        <w:fldChar w:fldCharType="begin"/>
      </w:r>
      <w:r w:rsidR="00D97894">
        <w:instrText xml:space="preserve"> REF _Ref55903540 \h </w:instrText>
      </w:r>
      <w:r w:rsidR="00D97894">
        <w:fldChar w:fldCharType="separate"/>
      </w:r>
      <w:r w:rsidR="00E747AE">
        <w:t>Figure B </w:t>
      </w:r>
      <w:r w:rsidR="00E747AE">
        <w:rPr>
          <w:noProof/>
        </w:rPr>
        <w:t>2</w:t>
      </w:r>
      <w:r w:rsidR="00D97894">
        <w:fldChar w:fldCharType="end"/>
      </w:r>
      <w:r w:rsidR="005951B0">
        <w:t xml:space="preserve"> is potentially due to artefact</w:t>
      </w:r>
      <w:r w:rsidR="006975A0">
        <w:t>s</w:t>
      </w:r>
      <w:r w:rsidR="005951B0">
        <w:t xml:space="preserve"> associated with the small sample size of the dataset. Thus, on the basis of the available evidence, the dataset appears to be</w:t>
      </w:r>
      <w:r w:rsidR="00C059A6">
        <w:t xml:space="preserve"> unimodal</w:t>
      </w:r>
      <w:r w:rsidR="004D64F0" w:rsidRPr="00E66280">
        <w:rPr>
          <w:rFonts w:cs="Arial"/>
        </w:rPr>
        <w:t>.</w:t>
      </w:r>
    </w:p>
    <w:p w14:paraId="3528D807" w14:textId="77777777" w:rsidR="004D64F0" w:rsidRDefault="00FB47A6" w:rsidP="004D64F0">
      <w:pPr>
        <w:rPr>
          <w:rFonts w:cs="Arial"/>
        </w:rPr>
      </w:pPr>
      <w:r w:rsidRPr="00E66280">
        <w:rPr>
          <w:rFonts w:cs="Arial"/>
        </w:rPr>
        <w:t xml:space="preserve">The weight of evidence supports use of the </w:t>
      </w:r>
      <w:r w:rsidR="00BD182B">
        <w:rPr>
          <w:rFonts w:cs="Arial"/>
        </w:rPr>
        <w:t>eight</w:t>
      </w:r>
      <w:r w:rsidRPr="00E66280">
        <w:rPr>
          <w:rFonts w:cs="Arial"/>
        </w:rPr>
        <w:t xml:space="preserve"> species identified in preparation of the SSD.</w:t>
      </w:r>
    </w:p>
    <w:p w14:paraId="3528D808" w14:textId="77777777" w:rsidR="00A062F7" w:rsidRDefault="00FB47A6">
      <w:pPr>
        <w:spacing w:after="0" w:line="240" w:lineRule="auto"/>
        <w:rPr>
          <w:rFonts w:cs="Arial"/>
        </w:rPr>
      </w:pPr>
      <w:r>
        <w:rPr>
          <w:rFonts w:cs="Arial"/>
        </w:rPr>
        <w:br w:type="page"/>
      </w:r>
    </w:p>
    <w:p w14:paraId="3528D809" w14:textId="77777777" w:rsidR="00606A7B" w:rsidRPr="00726FBB" w:rsidRDefault="00FB47A6" w:rsidP="00606A7B">
      <w:pPr>
        <w:pStyle w:val="Heading2"/>
        <w:numPr>
          <w:ilvl w:val="0"/>
          <w:numId w:val="0"/>
        </w:numPr>
        <w:ind w:left="680" w:hanging="680"/>
      </w:pPr>
      <w:bookmarkStart w:id="48" w:name="_Toc4498839"/>
      <w:bookmarkStart w:id="49" w:name="_Toc68188173"/>
      <w:r w:rsidRPr="00726FBB">
        <w:t>References</w:t>
      </w:r>
      <w:bookmarkEnd w:id="48"/>
      <w:bookmarkEnd w:id="49"/>
    </w:p>
    <w:p w14:paraId="3528D80A" w14:textId="77777777" w:rsidR="00F6367B" w:rsidRDefault="00FB47A6" w:rsidP="00A062F7">
      <w:pPr>
        <w:rPr>
          <w:noProof/>
        </w:rPr>
      </w:pPr>
      <w:bookmarkStart w:id="50" w:name="_Ref433984092"/>
      <w:bookmarkStart w:id="51" w:name="_Ref434444912"/>
      <w:bookmarkStart w:id="52" w:name="_Ref433205377"/>
      <w:bookmarkStart w:id="53" w:name="_Ref431593597"/>
      <w:bookmarkStart w:id="54" w:name="_Ref430543411"/>
      <w:bookmarkStart w:id="55" w:name="_Ref429915143"/>
      <w:r>
        <w:rPr>
          <w:noProof/>
        </w:rPr>
        <w:t xml:space="preserve">ACVM 2019. </w:t>
      </w:r>
      <w:r w:rsidRPr="006B464F">
        <w:rPr>
          <w:noProof/>
        </w:rPr>
        <w:t xml:space="preserve">Agricultural Compounds and </w:t>
      </w:r>
      <w:r w:rsidRPr="006B464F">
        <w:rPr>
          <w:noProof/>
        </w:rPr>
        <w:t>Veterinary Medicines register</w:t>
      </w:r>
      <w:r>
        <w:rPr>
          <w:noProof/>
        </w:rPr>
        <w:t xml:space="preserve">. Minister for Primary Industries New Zealand. </w:t>
      </w:r>
    </w:p>
    <w:bookmarkEnd w:id="50"/>
    <w:p w14:paraId="3528D80B" w14:textId="77777777" w:rsidR="00F6367B" w:rsidRDefault="00FB47A6" w:rsidP="00A062F7">
      <w:r w:rsidRPr="00E02F1A">
        <w:t>ANZG 2018. Australian and New Zealand Guidelines for Fresh and Marine Water Quality. Australian</w:t>
      </w:r>
      <w:r>
        <w:t xml:space="preserve"> </w:t>
      </w:r>
      <w:r w:rsidRPr="00E02F1A">
        <w:t>and New Zealand Governments and Australian state and territory governments, Canberr</w:t>
      </w:r>
      <w:r w:rsidRPr="00E02F1A">
        <w:t>a, ACT, Australia</w:t>
      </w:r>
      <w:r>
        <w:t>,</w:t>
      </w:r>
      <w:r w:rsidRPr="00E02F1A">
        <w:t xml:space="preserve"> </w:t>
      </w:r>
      <w:r w:rsidRPr="00D66833">
        <w:t>https://www.waterquality.gov.au/anz-guidelines</w:t>
      </w:r>
      <w:r w:rsidRPr="00E02F1A">
        <w:t>.</w:t>
      </w:r>
    </w:p>
    <w:bookmarkEnd w:id="51"/>
    <w:p w14:paraId="3528D80C" w14:textId="77777777" w:rsidR="00F6367B" w:rsidRDefault="00FB47A6" w:rsidP="00A062F7">
      <w:pPr>
        <w:rPr>
          <w:noProof/>
        </w:rPr>
      </w:pPr>
      <w:r>
        <w:rPr>
          <w:noProof/>
        </w:rPr>
        <w:t xml:space="preserve">APVMA 2015. </w:t>
      </w:r>
      <w:r w:rsidRPr="003872E8">
        <w:rPr>
          <w:noProof/>
        </w:rPr>
        <w:t>Australian Pesticides and Veterinary Medicines Authority</w:t>
      </w:r>
      <w:r>
        <w:rPr>
          <w:noProof/>
        </w:rPr>
        <w:t xml:space="preserve">. Public Chemical Registration Information System Search. </w:t>
      </w:r>
    </w:p>
    <w:p w14:paraId="3528D80D" w14:textId="77777777" w:rsidR="00F6367B" w:rsidRDefault="00FB47A6" w:rsidP="00A062F7">
      <w:pPr>
        <w:rPr>
          <w:noProof/>
        </w:rPr>
      </w:pPr>
      <w:r>
        <w:rPr>
          <w:noProof/>
        </w:rPr>
        <w:t>Atamanalp, M &amp; Yanik, T 2003. Alterations in hematological par</w:t>
      </w:r>
      <w:r>
        <w:rPr>
          <w:noProof/>
        </w:rPr>
        <w:t>ameters of rainbow trout (</w:t>
      </w:r>
      <w:r w:rsidRPr="008C2430">
        <w:rPr>
          <w:rStyle w:val="Emphasis"/>
        </w:rPr>
        <w:t>Oncorhynchus mykiss</w:t>
      </w:r>
      <w:r>
        <w:rPr>
          <w:noProof/>
        </w:rPr>
        <w:t xml:space="preserve">) exposed to mancozeb. </w:t>
      </w:r>
      <w:r w:rsidRPr="008C2430">
        <w:rPr>
          <w:rStyle w:val="Emphasis"/>
        </w:rPr>
        <w:t>Turk. J. Vet. Anim. Sci.</w:t>
      </w:r>
      <w:r>
        <w:rPr>
          <w:noProof/>
        </w:rPr>
        <w:t>, 27, 1213–1217.</w:t>
      </w:r>
    </w:p>
    <w:p w14:paraId="3528D80E" w14:textId="77777777" w:rsidR="00F6367B" w:rsidRDefault="00FB47A6" w:rsidP="00A062F7">
      <w:pPr>
        <w:rPr>
          <w:noProof/>
        </w:rPr>
      </w:pPr>
      <w:r>
        <w:t>B</w:t>
      </w:r>
      <w:r w:rsidRPr="00E52C44">
        <w:t>enoit, DA, Sibley</w:t>
      </w:r>
      <w:r>
        <w:t>,</w:t>
      </w:r>
      <w:r w:rsidRPr="00E52C44">
        <w:t xml:space="preserve"> P</w:t>
      </w:r>
      <w:r>
        <w:t>K</w:t>
      </w:r>
      <w:r w:rsidRPr="00E52C44">
        <w:t>, Juenemann</w:t>
      </w:r>
      <w:r>
        <w:t>,</w:t>
      </w:r>
      <w:r w:rsidRPr="00E52C44">
        <w:t xml:space="preserve"> JL</w:t>
      </w:r>
      <w:r>
        <w:t xml:space="preserve"> &amp;</w:t>
      </w:r>
      <w:r w:rsidRPr="00E52C44">
        <w:t xml:space="preserve"> Ankley</w:t>
      </w:r>
      <w:r>
        <w:t>,</w:t>
      </w:r>
      <w:r w:rsidRPr="00E52C44">
        <w:t xml:space="preserve"> GT 1997. </w:t>
      </w:r>
      <w:r w:rsidRPr="00C5304E">
        <w:rPr>
          <w:rStyle w:val="Emphasis"/>
        </w:rPr>
        <w:t>Chironomus tentans</w:t>
      </w:r>
      <w:r w:rsidRPr="00E52C44">
        <w:t xml:space="preserve"> life‐cycle test:</w:t>
      </w:r>
      <w:r w:rsidRPr="00C5304E">
        <w:t xml:space="preserve"> </w:t>
      </w:r>
      <w:r w:rsidRPr="00E52C44">
        <w:t>Design and evaluation for use in assessing toxicity of</w:t>
      </w:r>
      <w:r w:rsidRPr="00E52C44">
        <w:t xml:space="preserve"> contaminated sediments. </w:t>
      </w:r>
      <w:r w:rsidRPr="00C5304E">
        <w:rPr>
          <w:rStyle w:val="Emphasis"/>
        </w:rPr>
        <w:t>Environmental Toxicology and Chemistry</w:t>
      </w:r>
      <w:r>
        <w:t>,</w:t>
      </w:r>
      <w:r w:rsidRPr="00C5304E">
        <w:t xml:space="preserve"> 16, </w:t>
      </w:r>
      <w:r w:rsidRPr="00E52C44">
        <w:t>6</w:t>
      </w:r>
      <w:r>
        <w:t>,</w:t>
      </w:r>
      <w:r w:rsidRPr="00E52C44">
        <w:t xml:space="preserve"> 1165</w:t>
      </w:r>
      <w:r>
        <w:t>–</w:t>
      </w:r>
      <w:r w:rsidRPr="00E52C44">
        <w:t>1176.</w:t>
      </w:r>
    </w:p>
    <w:p w14:paraId="3528D80F" w14:textId="77777777" w:rsidR="00F6367B" w:rsidRDefault="00FB47A6" w:rsidP="00A062F7">
      <w:pPr>
        <w:rPr>
          <w:noProof/>
        </w:rPr>
      </w:pPr>
      <w:r>
        <w:rPr>
          <w:noProof/>
        </w:rPr>
        <w:t xml:space="preserve">DOW 2010. </w:t>
      </w:r>
      <w:hyperlink r:id="rId38" w:history="1">
        <w:r w:rsidRPr="00207CE2">
          <w:rPr>
            <w:rStyle w:val="Hyperlink"/>
            <w:noProof/>
          </w:rPr>
          <w:t>Product Safety Assessment. Mancozeb. Dow Chemical Company</w:t>
        </w:r>
      </w:hyperlink>
      <w:r>
        <w:rPr>
          <w:noProof/>
        </w:rPr>
        <w:t xml:space="preserve">. 9 February </w:t>
      </w:r>
      <w:r>
        <w:rPr>
          <w:noProof/>
        </w:rPr>
        <w:t xml:space="preserve">2010. </w:t>
      </w:r>
      <w:r w:rsidRPr="00906B30">
        <w:rPr>
          <w:noProof/>
        </w:rPr>
        <w:t>Accessed October 2015.</w:t>
      </w:r>
    </w:p>
    <w:p w14:paraId="3528D810" w14:textId="77777777" w:rsidR="00F6367B" w:rsidRDefault="00FB47A6" w:rsidP="00A062F7">
      <w:pPr>
        <w:rPr>
          <w:noProof/>
        </w:rPr>
      </w:pPr>
      <w:bookmarkStart w:id="56" w:name="_Ref433984941"/>
      <w:r>
        <w:t xml:space="preserve">EC 2005. Review report for the active substance mancozeb. European Commission. Finalised in the Standing Committee on the Food Chain and Animal Health at its meeting on 3 June 2005 in view of the inclusion of mancozeb in </w:t>
      </w:r>
      <w:r>
        <w:t>Annex I of Council Directive 91/414/EEC. SANCO/4058/2001-rev.4.3, June 2005.</w:t>
      </w:r>
      <w:bookmarkEnd w:id="56"/>
    </w:p>
    <w:p w14:paraId="3528D811" w14:textId="77777777" w:rsidR="00F6367B" w:rsidRDefault="00FB47A6" w:rsidP="00A062F7">
      <w:pPr>
        <w:rPr>
          <w:noProof/>
        </w:rPr>
      </w:pPr>
      <w:bookmarkStart w:id="57" w:name="_Ref433983408"/>
      <w:r>
        <w:rPr>
          <w:noProof/>
        </w:rPr>
        <w:t xml:space="preserve">FRAC 2019. </w:t>
      </w:r>
      <w:hyperlink r:id="rId39" w:history="1">
        <w:r w:rsidRPr="00207CE2">
          <w:rPr>
            <w:rStyle w:val="Hyperlink"/>
            <w:noProof/>
          </w:rPr>
          <w:t>FRAC C</w:t>
        </w:r>
        <w:r w:rsidRPr="00207CE2">
          <w:rPr>
            <w:rStyle w:val="Hyperlink"/>
            <w:noProof/>
          </w:rPr>
          <w:t>ode List 2019: Fungicides sorted by cross resistance pattern and mode of action (including FRAC Code Numbering)</w:t>
        </w:r>
      </w:hyperlink>
      <w:r>
        <w:rPr>
          <w:noProof/>
        </w:rPr>
        <w:t xml:space="preserve">. Fungicide Resistance Action Committee. </w:t>
      </w:r>
      <w:bookmarkEnd w:id="57"/>
    </w:p>
    <w:p w14:paraId="3528D812" w14:textId="77777777" w:rsidR="00F6367B" w:rsidRPr="001F42F3" w:rsidRDefault="00FB47A6" w:rsidP="00A062F7">
      <w:pPr>
        <w:rPr>
          <w:noProof/>
        </w:rPr>
      </w:pPr>
      <w:bookmarkStart w:id="58" w:name="_Ref434412824"/>
      <w:r w:rsidRPr="001F42F3">
        <w:rPr>
          <w:noProof/>
          <w:lang w:eastAsia="en-AU"/>
        </w:rPr>
        <w:t>Geissen, V,</w:t>
      </w:r>
      <w:r>
        <w:rPr>
          <w:noProof/>
          <w:lang w:eastAsia="en-AU"/>
        </w:rPr>
        <w:t xml:space="preserve"> </w:t>
      </w:r>
      <w:r w:rsidRPr="001F42F3">
        <w:rPr>
          <w:noProof/>
          <w:lang w:eastAsia="en-AU"/>
        </w:rPr>
        <w:t>Que Ramos</w:t>
      </w:r>
      <w:r>
        <w:rPr>
          <w:noProof/>
          <w:lang w:eastAsia="en-AU"/>
        </w:rPr>
        <w:t>,</w:t>
      </w:r>
      <w:r w:rsidRPr="001F42F3">
        <w:rPr>
          <w:noProof/>
          <w:lang w:eastAsia="en-AU"/>
        </w:rPr>
        <w:t xml:space="preserve"> F, de</w:t>
      </w:r>
      <w:r>
        <w:rPr>
          <w:noProof/>
          <w:lang w:eastAsia="en-AU"/>
        </w:rPr>
        <w:t xml:space="preserve"> </w:t>
      </w:r>
      <w:r w:rsidRPr="001F42F3">
        <w:rPr>
          <w:noProof/>
          <w:lang w:eastAsia="en-AU"/>
        </w:rPr>
        <w:t>J Bas</w:t>
      </w:r>
      <w:r>
        <w:rPr>
          <w:noProof/>
          <w:lang w:eastAsia="en-AU"/>
        </w:rPr>
        <w:t>ti</w:t>
      </w:r>
      <w:r w:rsidRPr="001F42F3">
        <w:rPr>
          <w:noProof/>
          <w:lang w:eastAsia="en-AU"/>
        </w:rPr>
        <w:t>das-Bastid</w:t>
      </w:r>
      <w:r>
        <w:rPr>
          <w:noProof/>
          <w:lang w:eastAsia="en-AU"/>
        </w:rPr>
        <w:t>a</w:t>
      </w:r>
      <w:r w:rsidRPr="001F42F3">
        <w:rPr>
          <w:noProof/>
          <w:lang w:eastAsia="en-AU"/>
        </w:rPr>
        <w:t>s</w:t>
      </w:r>
      <w:r>
        <w:rPr>
          <w:noProof/>
          <w:lang w:eastAsia="en-AU"/>
        </w:rPr>
        <w:t>,</w:t>
      </w:r>
      <w:r w:rsidRPr="000F2226">
        <w:rPr>
          <w:noProof/>
          <w:lang w:eastAsia="en-AU"/>
        </w:rPr>
        <w:t xml:space="preserve"> </w:t>
      </w:r>
      <w:r w:rsidRPr="001F42F3">
        <w:rPr>
          <w:noProof/>
          <w:lang w:eastAsia="en-AU"/>
        </w:rPr>
        <w:t>P, D</w:t>
      </w:r>
      <w:r>
        <w:rPr>
          <w:noProof/>
          <w:lang w:eastAsia="en-AU"/>
        </w:rPr>
        <w:t>í</w:t>
      </w:r>
      <w:r w:rsidRPr="001F42F3">
        <w:rPr>
          <w:noProof/>
          <w:lang w:eastAsia="en-AU"/>
        </w:rPr>
        <w:t>az-Gonz</w:t>
      </w:r>
      <w:r>
        <w:rPr>
          <w:noProof/>
          <w:lang w:eastAsia="en-AU"/>
        </w:rPr>
        <w:t>á</w:t>
      </w:r>
      <w:r w:rsidRPr="001F42F3">
        <w:rPr>
          <w:noProof/>
          <w:lang w:eastAsia="en-AU"/>
        </w:rPr>
        <w:t>le</w:t>
      </w:r>
      <w:r w:rsidRPr="001F42F3">
        <w:rPr>
          <w:noProof/>
          <w:lang w:eastAsia="en-AU"/>
        </w:rPr>
        <w:t>s</w:t>
      </w:r>
      <w:r>
        <w:rPr>
          <w:noProof/>
          <w:lang w:eastAsia="en-AU"/>
        </w:rPr>
        <w:t>,</w:t>
      </w:r>
      <w:r w:rsidRPr="001F42F3">
        <w:rPr>
          <w:noProof/>
          <w:lang w:eastAsia="en-AU"/>
        </w:rPr>
        <w:t xml:space="preserve"> G, Bello-Mendoza,</w:t>
      </w:r>
      <w:r>
        <w:rPr>
          <w:noProof/>
          <w:lang w:eastAsia="en-AU"/>
        </w:rPr>
        <w:t xml:space="preserve"> R,</w:t>
      </w:r>
      <w:r w:rsidRPr="001F42F3">
        <w:rPr>
          <w:noProof/>
          <w:lang w:eastAsia="en-AU"/>
        </w:rPr>
        <w:t xml:space="preserve"> Huerta-Lwanga</w:t>
      </w:r>
      <w:r>
        <w:rPr>
          <w:noProof/>
          <w:lang w:eastAsia="en-AU"/>
        </w:rPr>
        <w:t>,</w:t>
      </w:r>
      <w:r w:rsidRPr="001F42F3">
        <w:rPr>
          <w:noProof/>
          <w:lang w:eastAsia="en-AU"/>
        </w:rPr>
        <w:t xml:space="preserve"> E </w:t>
      </w:r>
      <w:r>
        <w:rPr>
          <w:noProof/>
          <w:lang w:eastAsia="en-AU"/>
        </w:rPr>
        <w:t>&amp;</w:t>
      </w:r>
      <w:r w:rsidRPr="001F42F3">
        <w:rPr>
          <w:noProof/>
          <w:lang w:eastAsia="en-AU"/>
        </w:rPr>
        <w:t xml:space="preserve"> Ruiz-Su</w:t>
      </w:r>
      <w:r>
        <w:rPr>
          <w:noProof/>
          <w:lang w:eastAsia="en-AU"/>
        </w:rPr>
        <w:t>á</w:t>
      </w:r>
      <w:r w:rsidRPr="001F42F3">
        <w:rPr>
          <w:noProof/>
          <w:lang w:eastAsia="en-AU"/>
        </w:rPr>
        <w:t>rez</w:t>
      </w:r>
      <w:r>
        <w:rPr>
          <w:noProof/>
          <w:lang w:eastAsia="en-AU"/>
        </w:rPr>
        <w:t>,</w:t>
      </w:r>
      <w:r w:rsidRPr="001F42F3">
        <w:rPr>
          <w:noProof/>
          <w:lang w:eastAsia="en-AU"/>
        </w:rPr>
        <w:t xml:space="preserve"> LE 2010. Soil and Water Pollution in a Banana Production Region in Tropical Mexico.</w:t>
      </w:r>
      <w:r>
        <w:rPr>
          <w:noProof/>
          <w:lang w:eastAsia="en-AU"/>
        </w:rPr>
        <w:t xml:space="preserve"> </w:t>
      </w:r>
      <w:r w:rsidRPr="00F964F6">
        <w:rPr>
          <w:rStyle w:val="Emphasis"/>
        </w:rPr>
        <w:t>Bull. Environ. Contam</w:t>
      </w:r>
      <w:r>
        <w:rPr>
          <w:rStyle w:val="Emphasis"/>
        </w:rPr>
        <w:t>.</w:t>
      </w:r>
      <w:r w:rsidRPr="00F964F6">
        <w:rPr>
          <w:rStyle w:val="Emphasis"/>
        </w:rPr>
        <w:t xml:space="preserve"> and Toxicol</w:t>
      </w:r>
      <w:r>
        <w:rPr>
          <w:rStyle w:val="Emphasis"/>
        </w:rPr>
        <w:t>.</w:t>
      </w:r>
      <w:r>
        <w:rPr>
          <w:noProof/>
          <w:lang w:eastAsia="en-AU"/>
        </w:rPr>
        <w:t>, 85, 407–413.</w:t>
      </w:r>
      <w:bookmarkEnd w:id="58"/>
    </w:p>
    <w:p w14:paraId="3528D813" w14:textId="77777777" w:rsidR="00F6367B" w:rsidRDefault="00FB47A6" w:rsidP="00A062F7">
      <w:pPr>
        <w:rPr>
          <w:noProof/>
        </w:rPr>
      </w:pPr>
      <w:r w:rsidRPr="00391EA5">
        <w:rPr>
          <w:noProof/>
        </w:rPr>
        <w:t>Ghose, SL, Donnelly</w:t>
      </w:r>
      <w:r>
        <w:rPr>
          <w:noProof/>
        </w:rPr>
        <w:t>,</w:t>
      </w:r>
      <w:r w:rsidRPr="00391EA5">
        <w:rPr>
          <w:noProof/>
        </w:rPr>
        <w:t xml:space="preserve"> MA,</w:t>
      </w:r>
      <w:r w:rsidRPr="003D4E18">
        <w:rPr>
          <w:noProof/>
        </w:rPr>
        <w:t xml:space="preserve"> </w:t>
      </w:r>
      <w:r w:rsidRPr="00391EA5">
        <w:rPr>
          <w:noProof/>
        </w:rPr>
        <w:t>Kerby</w:t>
      </w:r>
      <w:r>
        <w:rPr>
          <w:noProof/>
        </w:rPr>
        <w:t>,</w:t>
      </w:r>
      <w:r w:rsidRPr="00391EA5">
        <w:rPr>
          <w:noProof/>
        </w:rPr>
        <w:t xml:space="preserve"> J</w:t>
      </w:r>
      <w:r>
        <w:rPr>
          <w:noProof/>
        </w:rPr>
        <w:t xml:space="preserve"> &amp;</w:t>
      </w:r>
      <w:r w:rsidRPr="00391EA5">
        <w:rPr>
          <w:noProof/>
        </w:rPr>
        <w:t xml:space="preserve"> Whitfield</w:t>
      </w:r>
      <w:r>
        <w:rPr>
          <w:noProof/>
        </w:rPr>
        <w:t>,</w:t>
      </w:r>
      <w:r w:rsidRPr="00391EA5">
        <w:rPr>
          <w:noProof/>
        </w:rPr>
        <w:t xml:space="preserve"> SM 2014. Acute toxi</w:t>
      </w:r>
      <w:r w:rsidRPr="00391EA5">
        <w:rPr>
          <w:noProof/>
        </w:rPr>
        <w:t xml:space="preserve">city tests and meta-analysis identify gaps in tropical ecotoxicology for amphibians. </w:t>
      </w:r>
      <w:r w:rsidRPr="003D4E18">
        <w:rPr>
          <w:rStyle w:val="Emphasis"/>
        </w:rPr>
        <w:t>Environ. Toxicol. Chem</w:t>
      </w:r>
      <w:r>
        <w:rPr>
          <w:rStyle w:val="Emphasis"/>
        </w:rPr>
        <w:t>.</w:t>
      </w:r>
      <w:r>
        <w:rPr>
          <w:noProof/>
        </w:rPr>
        <w:t>,</w:t>
      </w:r>
      <w:r w:rsidRPr="00391EA5">
        <w:rPr>
          <w:noProof/>
        </w:rPr>
        <w:t xml:space="preserve"> 33</w:t>
      </w:r>
      <w:r>
        <w:rPr>
          <w:noProof/>
        </w:rPr>
        <w:t xml:space="preserve">, </w:t>
      </w:r>
      <w:r w:rsidRPr="00391EA5">
        <w:rPr>
          <w:noProof/>
        </w:rPr>
        <w:t>2114</w:t>
      </w:r>
      <w:r>
        <w:rPr>
          <w:noProof/>
        </w:rPr>
        <w:t>–</w:t>
      </w:r>
      <w:r w:rsidRPr="00391EA5">
        <w:rPr>
          <w:noProof/>
        </w:rPr>
        <w:t>2119</w:t>
      </w:r>
      <w:r>
        <w:rPr>
          <w:noProof/>
        </w:rPr>
        <w:t>.</w:t>
      </w:r>
    </w:p>
    <w:p w14:paraId="3528D814" w14:textId="77777777" w:rsidR="00F6367B" w:rsidRDefault="00FB47A6" w:rsidP="00A062F7">
      <w:pPr>
        <w:rPr>
          <w:noProof/>
        </w:rPr>
      </w:pPr>
      <w:bookmarkStart w:id="59" w:name="_Ref433983440"/>
      <w:r>
        <w:rPr>
          <w:noProof/>
        </w:rPr>
        <w:t xml:space="preserve">Gullino, ML, Tinivella, F, Garibaldi, A, Kemmitt, GM, Bacci, L &amp; Sheppard, B 2010. Mancozeb: Past, Present, and Future. </w:t>
      </w:r>
      <w:r w:rsidRPr="00D73B82">
        <w:rPr>
          <w:rStyle w:val="Emphasis"/>
        </w:rPr>
        <w:t>Plant Dis</w:t>
      </w:r>
      <w:r>
        <w:rPr>
          <w:rStyle w:val="Emphasis"/>
        </w:rPr>
        <w:t>.</w:t>
      </w:r>
      <w:r>
        <w:rPr>
          <w:noProof/>
        </w:rPr>
        <w:t>, 94, 9, 1076–1087.</w:t>
      </w:r>
      <w:bookmarkEnd w:id="59"/>
      <w:r>
        <w:rPr>
          <w:noProof/>
        </w:rPr>
        <w:t xml:space="preserve"> </w:t>
      </w:r>
    </w:p>
    <w:p w14:paraId="3528D815" w14:textId="77777777" w:rsidR="00F6367B" w:rsidRDefault="00FB47A6" w:rsidP="00A062F7">
      <w:pPr>
        <w:rPr>
          <w:noProof/>
        </w:rPr>
      </w:pPr>
      <w:r w:rsidRPr="00391EA5">
        <w:rPr>
          <w:noProof/>
        </w:rPr>
        <w:t>Harris, ML, Bishop</w:t>
      </w:r>
      <w:r>
        <w:rPr>
          <w:noProof/>
        </w:rPr>
        <w:t>,</w:t>
      </w:r>
      <w:r w:rsidRPr="00391EA5">
        <w:rPr>
          <w:noProof/>
        </w:rPr>
        <w:t xml:space="preserve"> CA, Struger</w:t>
      </w:r>
      <w:r>
        <w:rPr>
          <w:noProof/>
        </w:rPr>
        <w:t>,</w:t>
      </w:r>
      <w:r w:rsidRPr="00391EA5">
        <w:rPr>
          <w:noProof/>
        </w:rPr>
        <w:t xml:space="preserve"> J, Ripley</w:t>
      </w:r>
      <w:r>
        <w:rPr>
          <w:noProof/>
        </w:rPr>
        <w:t>,</w:t>
      </w:r>
      <w:r w:rsidRPr="00391EA5">
        <w:rPr>
          <w:noProof/>
        </w:rPr>
        <w:t xml:space="preserve"> B</w:t>
      </w:r>
      <w:r>
        <w:rPr>
          <w:noProof/>
        </w:rPr>
        <w:t xml:space="preserve"> &amp;</w:t>
      </w:r>
      <w:r w:rsidRPr="00391EA5">
        <w:rPr>
          <w:noProof/>
        </w:rPr>
        <w:t xml:space="preserve"> Bogart</w:t>
      </w:r>
      <w:r>
        <w:rPr>
          <w:noProof/>
        </w:rPr>
        <w:t>,</w:t>
      </w:r>
      <w:r w:rsidRPr="00391EA5">
        <w:rPr>
          <w:noProof/>
        </w:rPr>
        <w:t xml:space="preserve"> JP 1998. The functional integrity of northern leo</w:t>
      </w:r>
      <w:r w:rsidRPr="00391EA5">
        <w:rPr>
          <w:noProof/>
        </w:rPr>
        <w:t>pard frog (</w:t>
      </w:r>
      <w:r w:rsidRPr="00246F1E">
        <w:rPr>
          <w:rStyle w:val="Emphasis"/>
        </w:rPr>
        <w:t>Rana pipiens</w:t>
      </w:r>
      <w:r w:rsidRPr="00391EA5">
        <w:rPr>
          <w:noProof/>
        </w:rPr>
        <w:t>) and green frog (</w:t>
      </w:r>
      <w:r w:rsidRPr="00246F1E">
        <w:rPr>
          <w:rStyle w:val="Emphasis"/>
        </w:rPr>
        <w:t>Rana clamitans</w:t>
      </w:r>
      <w:r w:rsidRPr="00391EA5">
        <w:rPr>
          <w:noProof/>
        </w:rPr>
        <w:t xml:space="preserve">) populations in orchard wetlands. II. Effects of pesticides and euthrophic conditions on early life stage development. </w:t>
      </w:r>
      <w:r w:rsidRPr="00246F1E">
        <w:rPr>
          <w:rStyle w:val="Emphasis"/>
        </w:rPr>
        <w:t>Environ. Toxicol. Chem.</w:t>
      </w:r>
      <w:r>
        <w:rPr>
          <w:noProof/>
        </w:rPr>
        <w:t xml:space="preserve">, </w:t>
      </w:r>
      <w:r w:rsidRPr="00391EA5">
        <w:rPr>
          <w:noProof/>
        </w:rPr>
        <w:t>17</w:t>
      </w:r>
      <w:r>
        <w:rPr>
          <w:noProof/>
        </w:rPr>
        <w:t>, 1351–</w:t>
      </w:r>
      <w:r w:rsidRPr="00391EA5">
        <w:rPr>
          <w:noProof/>
        </w:rPr>
        <w:t>1363</w:t>
      </w:r>
      <w:r>
        <w:rPr>
          <w:noProof/>
        </w:rPr>
        <w:t>.</w:t>
      </w:r>
    </w:p>
    <w:p w14:paraId="3528D816" w14:textId="77777777" w:rsidR="00F6367B" w:rsidRDefault="00FB47A6" w:rsidP="00A062F7">
      <w:pPr>
        <w:rPr>
          <w:noProof/>
        </w:rPr>
      </w:pPr>
      <w:bookmarkStart w:id="60" w:name="_Ref433317083"/>
      <w:r>
        <w:rPr>
          <w:noProof/>
        </w:rPr>
        <w:t xml:space="preserve">Leader, A, Kemmitt, G &amp; Orpin, C 2009. </w:t>
      </w:r>
      <w:hyperlink r:id="rId40" w:history="1">
        <w:r w:rsidRPr="00136CF7">
          <w:rPr>
            <w:rStyle w:val="Hyperlink"/>
            <w:noProof/>
          </w:rPr>
          <w:t>Dithane: Keeping an old friend going!</w:t>
        </w:r>
      </w:hyperlink>
      <w:r>
        <w:rPr>
          <w:noProof/>
        </w:rPr>
        <w:t xml:space="preserve"> Proceedings of the Eleventh Euroblight Workshop, Hamar, Norway, 28–31 October </w:t>
      </w:r>
      <w:r>
        <w:rPr>
          <w:noProof/>
        </w:rPr>
        <w:t xml:space="preserve">2008. </w:t>
      </w:r>
      <w:r w:rsidRPr="00C87827">
        <w:rPr>
          <w:noProof/>
        </w:rPr>
        <w:t>PPO-Special Report no. 13</w:t>
      </w:r>
      <w:r>
        <w:rPr>
          <w:noProof/>
        </w:rPr>
        <w:t>.</w:t>
      </w:r>
      <w:r w:rsidRPr="00C87827">
        <w:rPr>
          <w:noProof/>
        </w:rPr>
        <w:t xml:space="preserve"> </w:t>
      </w:r>
      <w:bookmarkEnd w:id="60"/>
      <w:r w:rsidRPr="00136CF7">
        <w:rPr>
          <w:noProof/>
        </w:rPr>
        <w:t>Wageningen</w:t>
      </w:r>
      <w:r>
        <w:rPr>
          <w:noProof/>
        </w:rPr>
        <w:t>.</w:t>
      </w:r>
    </w:p>
    <w:p w14:paraId="3528D817" w14:textId="77777777" w:rsidR="00F6367B" w:rsidRDefault="00FB47A6" w:rsidP="00A062F7">
      <w:pPr>
        <w:rPr>
          <w:noProof/>
          <w:lang w:val="en-GB"/>
        </w:rPr>
      </w:pPr>
      <w:r>
        <w:rPr>
          <w:noProof/>
          <w:lang w:val="en-GB"/>
        </w:rPr>
        <w:t xml:space="preserve">Lentza-Rizos, C 1990. </w:t>
      </w:r>
      <w:r w:rsidRPr="006E392E">
        <w:rPr>
          <w:noProof/>
          <w:lang w:val="en-GB"/>
        </w:rPr>
        <w:t xml:space="preserve">Ethylenethiourea (ETU) in </w:t>
      </w:r>
      <w:r>
        <w:rPr>
          <w:noProof/>
          <w:lang w:val="en-GB"/>
        </w:rPr>
        <w:t>r</w:t>
      </w:r>
      <w:r w:rsidRPr="006E392E">
        <w:rPr>
          <w:noProof/>
          <w:lang w:val="en-GB"/>
        </w:rPr>
        <w:t xml:space="preserve">elation to </w:t>
      </w:r>
      <w:r>
        <w:rPr>
          <w:noProof/>
          <w:lang w:val="en-GB"/>
        </w:rPr>
        <w:t>u</w:t>
      </w:r>
      <w:r w:rsidRPr="006E392E">
        <w:rPr>
          <w:noProof/>
          <w:lang w:val="en-GB"/>
        </w:rPr>
        <w:t>se of</w:t>
      </w:r>
      <w:r>
        <w:rPr>
          <w:noProof/>
          <w:lang w:val="en-GB"/>
        </w:rPr>
        <w:t xml:space="preserve"> e</w:t>
      </w:r>
      <w:r w:rsidRPr="006E392E">
        <w:rPr>
          <w:noProof/>
          <w:lang w:val="en-GB"/>
        </w:rPr>
        <w:t xml:space="preserve">thylenebisdithiocarbamate (EBDC) </w:t>
      </w:r>
      <w:r>
        <w:rPr>
          <w:noProof/>
          <w:lang w:val="en-GB"/>
        </w:rPr>
        <w:t>f</w:t>
      </w:r>
      <w:r w:rsidRPr="006E392E">
        <w:rPr>
          <w:noProof/>
          <w:lang w:val="en-GB"/>
        </w:rPr>
        <w:t>ungicides</w:t>
      </w:r>
      <w:r w:rsidRPr="00F771DF">
        <w:rPr>
          <w:noProof/>
          <w:lang w:val="en-GB"/>
        </w:rPr>
        <w:t xml:space="preserve">. </w:t>
      </w:r>
      <w:r w:rsidRPr="00F771DF">
        <w:rPr>
          <w:iCs/>
          <w:noProof/>
          <w:lang w:val="en-GB"/>
        </w:rPr>
        <w:t>Reviews of Environmental Contamination and Toxicology</w:t>
      </w:r>
      <w:r w:rsidRPr="00F771DF">
        <w:rPr>
          <w:noProof/>
          <w:lang w:val="en-GB"/>
        </w:rPr>
        <w:t>,</w:t>
      </w:r>
      <w:r w:rsidRPr="006E392E">
        <w:rPr>
          <w:noProof/>
          <w:lang w:val="en-GB"/>
        </w:rPr>
        <w:t xml:space="preserve"> 115</w:t>
      </w:r>
      <w:r>
        <w:rPr>
          <w:noProof/>
          <w:lang w:val="en-GB"/>
        </w:rPr>
        <w:t>, 1–37.</w:t>
      </w:r>
    </w:p>
    <w:p w14:paraId="3528D818" w14:textId="77777777" w:rsidR="00F6367B" w:rsidRDefault="00FB47A6" w:rsidP="00A062F7">
      <w:pPr>
        <w:rPr>
          <w:noProof/>
        </w:rPr>
      </w:pPr>
      <w:bookmarkStart w:id="61" w:name="_Ref434419644"/>
      <w:r>
        <w:rPr>
          <w:noProof/>
        </w:rPr>
        <w:t xml:space="preserve">Lewis, S &amp; Glendenning, L 2009. </w:t>
      </w:r>
      <w:r>
        <w:rPr>
          <w:noProof/>
        </w:rPr>
        <w:t>A pesticide risk-assessment for horticultural lands of the Bown/Lower Burdekin Region. Report for the NQ Dry Tropics. ACTFR Report No. 09/27, September 2009.</w:t>
      </w:r>
      <w:bookmarkEnd w:id="61"/>
    </w:p>
    <w:p w14:paraId="3528D819" w14:textId="77777777" w:rsidR="00F6367B" w:rsidRPr="004B2B50" w:rsidRDefault="00FB47A6" w:rsidP="00A062F7">
      <w:pPr>
        <w:rPr>
          <w:rFonts w:cs="Arial"/>
        </w:rPr>
      </w:pPr>
      <w:r w:rsidRPr="00DB2E06">
        <w:rPr>
          <w:rFonts w:cs="Arial"/>
        </w:rPr>
        <w:t>L</w:t>
      </w:r>
      <w:r w:rsidRPr="00DB2E06">
        <w:rPr>
          <w:rFonts w:ascii="Calibri" w:hAnsi="Calibri" w:cs="Arial"/>
        </w:rPr>
        <w:t>ó</w:t>
      </w:r>
      <w:r w:rsidRPr="00DB2E06">
        <w:rPr>
          <w:rFonts w:cs="Arial"/>
        </w:rPr>
        <w:t>pez-Fern</w:t>
      </w:r>
      <w:r w:rsidRPr="00DB2E06">
        <w:rPr>
          <w:rFonts w:ascii="Calibri" w:hAnsi="Calibri" w:cs="Arial"/>
        </w:rPr>
        <w:t>á</w:t>
      </w:r>
      <w:r w:rsidRPr="00DB2E06">
        <w:rPr>
          <w:rFonts w:cs="Arial"/>
        </w:rPr>
        <w:t>ndez</w:t>
      </w:r>
      <w:r>
        <w:rPr>
          <w:rFonts w:cs="Arial"/>
        </w:rPr>
        <w:t>, O, Pose-Juan, E, Rial-Otero, R &amp; Simal-G</w:t>
      </w:r>
      <w:r w:rsidRPr="00DB2E06">
        <w:rPr>
          <w:rFonts w:ascii="Calibri" w:hAnsi="Calibri" w:cs="Arial"/>
        </w:rPr>
        <w:t>á</w:t>
      </w:r>
      <w:r>
        <w:rPr>
          <w:rFonts w:cs="Arial"/>
        </w:rPr>
        <w:t xml:space="preserve">ndara, J 2017. </w:t>
      </w:r>
      <w:r w:rsidRPr="001427EF">
        <w:rPr>
          <w:rFonts w:cs="Arial"/>
        </w:rPr>
        <w:t xml:space="preserve">Effects of </w:t>
      </w:r>
      <w:r w:rsidRPr="001427EF">
        <w:rPr>
          <w:rFonts w:cs="Arial"/>
        </w:rPr>
        <w:t>hydrochemistry variables on the half-life of mancozeb and on the hazard index associated to the sum of mancozeb and ethylenethiourea</w:t>
      </w:r>
      <w:r>
        <w:rPr>
          <w:rFonts w:cs="Arial"/>
        </w:rPr>
        <w:t xml:space="preserve">. </w:t>
      </w:r>
      <w:r w:rsidRPr="00094F5D">
        <w:rPr>
          <w:rStyle w:val="Emphasis"/>
        </w:rPr>
        <w:t>Environmental Research</w:t>
      </w:r>
      <w:r>
        <w:rPr>
          <w:rFonts w:cs="Arial"/>
        </w:rPr>
        <w:t>, 154, 253–260.</w:t>
      </w:r>
    </w:p>
    <w:p w14:paraId="3528D81A" w14:textId="77777777" w:rsidR="00F6367B" w:rsidRDefault="00FB47A6" w:rsidP="00A062F7">
      <w:pPr>
        <w:rPr>
          <w:noProof/>
          <w:lang w:val="en-GB"/>
        </w:rPr>
      </w:pPr>
      <w:r w:rsidRPr="00DB2E06">
        <w:rPr>
          <w:rFonts w:cs="Arial"/>
        </w:rPr>
        <w:t>L</w:t>
      </w:r>
      <w:r w:rsidRPr="00DB2E06">
        <w:rPr>
          <w:rFonts w:ascii="Calibri" w:hAnsi="Calibri" w:cs="Arial"/>
        </w:rPr>
        <w:t>ó</w:t>
      </w:r>
      <w:r w:rsidRPr="00DB2E06">
        <w:rPr>
          <w:rFonts w:cs="Arial"/>
        </w:rPr>
        <w:t>pez-Fern</w:t>
      </w:r>
      <w:r w:rsidRPr="00DB2E06">
        <w:rPr>
          <w:rFonts w:ascii="Calibri" w:hAnsi="Calibri" w:cs="Arial"/>
        </w:rPr>
        <w:t>á</w:t>
      </w:r>
      <w:r w:rsidRPr="00DB2E06">
        <w:rPr>
          <w:rFonts w:cs="Arial"/>
        </w:rPr>
        <w:t>ndez</w:t>
      </w:r>
      <w:r>
        <w:rPr>
          <w:rFonts w:cs="Arial"/>
        </w:rPr>
        <w:t>, O, Y</w:t>
      </w:r>
      <w:r w:rsidRPr="00DB2E06">
        <w:rPr>
          <w:rFonts w:ascii="Calibri" w:hAnsi="Calibri" w:cs="Arial"/>
        </w:rPr>
        <w:t>á</w:t>
      </w:r>
      <w:r>
        <w:rPr>
          <w:rFonts w:ascii="Calibri" w:hAnsi="Calibri" w:cs="Arial"/>
        </w:rPr>
        <w:t>ñ</w:t>
      </w:r>
      <w:r>
        <w:rPr>
          <w:rFonts w:cs="Arial"/>
        </w:rPr>
        <w:t>ez, R, Rial-Otero, R &amp; Simal-G</w:t>
      </w:r>
      <w:r w:rsidRPr="00DB2E06">
        <w:rPr>
          <w:rFonts w:ascii="Calibri" w:hAnsi="Calibri" w:cs="Arial"/>
        </w:rPr>
        <w:t>á</w:t>
      </w:r>
      <w:r>
        <w:rPr>
          <w:rFonts w:cs="Arial"/>
        </w:rPr>
        <w:t>ndara, J</w:t>
      </w:r>
      <w:r w:rsidRPr="00DB2E06">
        <w:rPr>
          <w:rFonts w:cs="Arial"/>
        </w:rPr>
        <w:t xml:space="preserve"> 2016</w:t>
      </w:r>
      <w:r>
        <w:rPr>
          <w:rFonts w:cs="Arial"/>
        </w:rPr>
        <w:t xml:space="preserve">. </w:t>
      </w:r>
      <w:r w:rsidRPr="00DB2E06">
        <w:rPr>
          <w:noProof/>
          <w:lang w:val="en-GB"/>
        </w:rPr>
        <w:t>Kinetic modelli</w:t>
      </w:r>
      <w:r w:rsidRPr="00DB2E06">
        <w:rPr>
          <w:noProof/>
          <w:lang w:val="en-GB"/>
        </w:rPr>
        <w:t>ng of mancozeb hydrolysis and photolysis to</w:t>
      </w:r>
      <w:r>
        <w:rPr>
          <w:noProof/>
          <w:lang w:val="en-GB"/>
        </w:rPr>
        <w:t xml:space="preserve"> </w:t>
      </w:r>
      <w:r w:rsidRPr="00DB2E06">
        <w:rPr>
          <w:noProof/>
          <w:lang w:val="en-GB"/>
        </w:rPr>
        <w:t>ethylenethiourea and other by-products in water</w:t>
      </w:r>
      <w:r>
        <w:rPr>
          <w:noProof/>
          <w:lang w:val="en-GB"/>
        </w:rPr>
        <w:t xml:space="preserve">. </w:t>
      </w:r>
      <w:r w:rsidRPr="00CD3E52">
        <w:rPr>
          <w:rStyle w:val="Emphasis"/>
        </w:rPr>
        <w:t>Water Research</w:t>
      </w:r>
      <w:r>
        <w:rPr>
          <w:noProof/>
          <w:lang w:val="en-GB"/>
        </w:rPr>
        <w:t>, 102, 561–571.</w:t>
      </w:r>
    </w:p>
    <w:p w14:paraId="3528D81B" w14:textId="77777777" w:rsidR="00F6367B" w:rsidRDefault="00FB47A6" w:rsidP="00A062F7">
      <w:pPr>
        <w:rPr>
          <w:noProof/>
        </w:rPr>
      </w:pPr>
      <w:bookmarkStart w:id="62" w:name="_Ref434586713"/>
      <w:r w:rsidRPr="005D3A23">
        <w:rPr>
          <w:noProof/>
        </w:rPr>
        <w:t>Ma, J, Wang</w:t>
      </w:r>
      <w:r>
        <w:rPr>
          <w:noProof/>
        </w:rPr>
        <w:t>,</w:t>
      </w:r>
      <w:r w:rsidRPr="005D3A23">
        <w:rPr>
          <w:noProof/>
        </w:rPr>
        <w:t xml:space="preserve"> P, Chen</w:t>
      </w:r>
      <w:r>
        <w:rPr>
          <w:noProof/>
        </w:rPr>
        <w:t>,</w:t>
      </w:r>
      <w:r w:rsidRPr="005D3A23">
        <w:rPr>
          <w:noProof/>
        </w:rPr>
        <w:t xml:space="preserve"> J, Sun</w:t>
      </w:r>
      <w:r>
        <w:rPr>
          <w:noProof/>
        </w:rPr>
        <w:t>,</w:t>
      </w:r>
      <w:r w:rsidRPr="005D3A23">
        <w:rPr>
          <w:noProof/>
        </w:rPr>
        <w:t xml:space="preserve"> Y</w:t>
      </w:r>
      <w:r>
        <w:rPr>
          <w:noProof/>
        </w:rPr>
        <w:t xml:space="preserve"> &amp;</w:t>
      </w:r>
      <w:r w:rsidRPr="005D3A23">
        <w:rPr>
          <w:noProof/>
        </w:rPr>
        <w:t xml:space="preserve"> Che</w:t>
      </w:r>
      <w:r>
        <w:rPr>
          <w:noProof/>
        </w:rPr>
        <w:t>,</w:t>
      </w:r>
      <w:r w:rsidRPr="005D3A23">
        <w:rPr>
          <w:noProof/>
        </w:rPr>
        <w:t xml:space="preserve"> J 2007. Differential response of green algal species </w:t>
      </w:r>
      <w:r w:rsidRPr="002A565D">
        <w:rPr>
          <w:rStyle w:val="Emphasis"/>
        </w:rPr>
        <w:t>Pseudokirchneriella subcapitata</w:t>
      </w:r>
      <w:r w:rsidRPr="002A565D">
        <w:rPr>
          <w:noProof/>
        </w:rPr>
        <w:t xml:space="preserve">, </w:t>
      </w:r>
      <w:r w:rsidRPr="002A565D">
        <w:rPr>
          <w:rStyle w:val="Emphasis"/>
        </w:rPr>
        <w:t>Scenedes</w:t>
      </w:r>
      <w:r w:rsidRPr="002A565D">
        <w:rPr>
          <w:rStyle w:val="Emphasis"/>
        </w:rPr>
        <w:t>mus quadricauda</w:t>
      </w:r>
      <w:r w:rsidRPr="002A565D">
        <w:rPr>
          <w:noProof/>
        </w:rPr>
        <w:t xml:space="preserve">, </w:t>
      </w:r>
      <w:r w:rsidRPr="002A565D">
        <w:rPr>
          <w:rStyle w:val="Emphasis"/>
        </w:rPr>
        <w:t>Scenedesmus obliquus</w:t>
      </w:r>
      <w:r w:rsidRPr="002A565D">
        <w:rPr>
          <w:noProof/>
        </w:rPr>
        <w:t xml:space="preserve">, </w:t>
      </w:r>
      <w:r w:rsidRPr="002A565D">
        <w:rPr>
          <w:rStyle w:val="Emphasis"/>
        </w:rPr>
        <w:t>Chlorella vulgaris</w:t>
      </w:r>
      <w:r w:rsidRPr="002A565D">
        <w:rPr>
          <w:noProof/>
        </w:rPr>
        <w:t xml:space="preserve"> and </w:t>
      </w:r>
      <w:r w:rsidRPr="002A565D">
        <w:rPr>
          <w:rStyle w:val="Emphasis"/>
        </w:rPr>
        <w:t>Chlorella pyrenoidosa</w:t>
      </w:r>
      <w:r w:rsidRPr="002A565D">
        <w:rPr>
          <w:noProof/>
        </w:rPr>
        <w:t xml:space="preserve"> to </w:t>
      </w:r>
      <w:r w:rsidRPr="005D3A23">
        <w:rPr>
          <w:noProof/>
        </w:rPr>
        <w:t xml:space="preserve">six pesticides. </w:t>
      </w:r>
      <w:r w:rsidRPr="002A565D">
        <w:rPr>
          <w:rStyle w:val="Emphasis"/>
        </w:rPr>
        <w:t>Pol. J. Environ. Stud.</w:t>
      </w:r>
      <w:r>
        <w:rPr>
          <w:noProof/>
        </w:rPr>
        <w:t xml:space="preserve">, 16, </w:t>
      </w:r>
      <w:r w:rsidRPr="005D3A23">
        <w:rPr>
          <w:noProof/>
        </w:rPr>
        <w:t>847</w:t>
      </w:r>
      <w:r>
        <w:rPr>
          <w:noProof/>
        </w:rPr>
        <w:t>–</w:t>
      </w:r>
      <w:r w:rsidRPr="005D3A23">
        <w:rPr>
          <w:noProof/>
        </w:rPr>
        <w:t>851</w:t>
      </w:r>
      <w:r>
        <w:rPr>
          <w:noProof/>
        </w:rPr>
        <w:t>.</w:t>
      </w:r>
      <w:bookmarkEnd w:id="62"/>
    </w:p>
    <w:p w14:paraId="3528D81C" w14:textId="77777777" w:rsidR="00F6367B" w:rsidRPr="00391E64" w:rsidRDefault="00FB47A6" w:rsidP="00A062F7">
      <w:bookmarkStart w:id="63" w:name="_Ref434353770"/>
      <w:bookmarkStart w:id="64" w:name="_Ref434439676"/>
      <w:r>
        <w:t xml:space="preserve">Mortensen, SR, Johnson, KA, Weisskopf, CP, Hooper, MJ, Lacher, TE &amp; Kendall, RJ 1998. Avian Exposure to Pesticide in Costa Rican Banana Plantations. </w:t>
      </w:r>
      <w:r w:rsidRPr="00E80234">
        <w:rPr>
          <w:rStyle w:val="Emphasis"/>
        </w:rPr>
        <w:t>Bull. Environ. Contam. Toxicol.</w:t>
      </w:r>
      <w:r>
        <w:t>,</w:t>
      </w:r>
      <w:r w:rsidRPr="00391E64">
        <w:t xml:space="preserve"> 60</w:t>
      </w:r>
      <w:r>
        <w:t xml:space="preserve">, </w:t>
      </w:r>
      <w:r w:rsidRPr="00391E64">
        <w:t>562</w:t>
      </w:r>
      <w:r>
        <w:t>–</w:t>
      </w:r>
      <w:r w:rsidRPr="00391E64">
        <w:t>568</w:t>
      </w:r>
      <w:bookmarkEnd w:id="63"/>
      <w:r w:rsidRPr="00391E64">
        <w:t>.</w:t>
      </w:r>
    </w:p>
    <w:bookmarkEnd w:id="64"/>
    <w:p w14:paraId="3528D81D" w14:textId="77777777" w:rsidR="00F6367B" w:rsidRDefault="00FB47A6" w:rsidP="002B4CF2">
      <w:pPr>
        <w:rPr>
          <w:noProof/>
        </w:rPr>
      </w:pPr>
      <w:r>
        <w:rPr>
          <w:lang w:val="en-GB"/>
        </w:rPr>
        <w:t xml:space="preserve">National Toxicology Program 2016. </w:t>
      </w:r>
      <w:r w:rsidRPr="00F771DF">
        <w:rPr>
          <w:lang w:val="en-GB"/>
        </w:rPr>
        <w:t>Ethylene thiourea. Report on carcinogens, Fourteenth Edition</w:t>
      </w:r>
      <w:r>
        <w:rPr>
          <w:lang w:val="en-GB"/>
        </w:rPr>
        <w:t xml:space="preserve">. </w:t>
      </w:r>
      <w:r>
        <w:rPr>
          <w:noProof/>
        </w:rPr>
        <w:t>U</w:t>
      </w:r>
      <w:r w:rsidRPr="002E75A2">
        <w:rPr>
          <w:noProof/>
        </w:rPr>
        <w:t>S Department of Health and Human Services</w:t>
      </w:r>
      <w:r>
        <w:rPr>
          <w:noProof/>
        </w:rPr>
        <w:t xml:space="preserve">, </w:t>
      </w:r>
      <w:r w:rsidRPr="00E4584E">
        <w:rPr>
          <w:noProof/>
        </w:rPr>
        <w:t>Research Triangle Park, NC</w:t>
      </w:r>
      <w:r>
        <w:rPr>
          <w:noProof/>
        </w:rPr>
        <w:t xml:space="preserve">. </w:t>
      </w:r>
    </w:p>
    <w:p w14:paraId="3528D81E" w14:textId="77777777" w:rsidR="00F6367B" w:rsidRPr="006406BE" w:rsidRDefault="00FB47A6" w:rsidP="002B4CF2">
      <w:r>
        <w:t>NCBI 2020</w:t>
      </w:r>
      <w:r w:rsidRPr="00FE7A0A">
        <w:t xml:space="preserve">. </w:t>
      </w:r>
      <w:r w:rsidRPr="006406BE">
        <w:t>PubChem Compound Summary for CID 3034368, Mancozeb</w:t>
      </w:r>
      <w:r>
        <w:t xml:space="preserve">. PubChem database, </w:t>
      </w:r>
      <w:r w:rsidRPr="0044601B">
        <w:t>Nation</w:t>
      </w:r>
      <w:r w:rsidRPr="0044601B">
        <w:t>al Center for Biotechnology Information</w:t>
      </w:r>
      <w:r>
        <w:t>, Bethesda, MD, USA.</w:t>
      </w:r>
    </w:p>
    <w:p w14:paraId="3528D81F" w14:textId="77777777" w:rsidR="00F6367B" w:rsidRDefault="00FB47A6" w:rsidP="00A062F7">
      <w:pPr>
        <w:rPr>
          <w:noProof/>
        </w:rPr>
      </w:pPr>
      <w:bookmarkStart w:id="65" w:name="_Ref434446525"/>
      <w:r>
        <w:rPr>
          <w:noProof/>
        </w:rPr>
        <w:t>Pariseau, J, Saint-Louis, R, Delaporte, M, El Khair, MA, McKenna, P, Tremblay, R, Davidson, TJ, Pelletier, E &amp; Berthe, FCJ 2009. Potential link between exposure to fungicides chlorothalonil and ma</w:t>
      </w:r>
      <w:r>
        <w:rPr>
          <w:noProof/>
        </w:rPr>
        <w:t xml:space="preserve">ncozeb and haemic neoplasia development in the soft-shell clam </w:t>
      </w:r>
      <w:r w:rsidRPr="004C1D66">
        <w:rPr>
          <w:rStyle w:val="Emphasis"/>
        </w:rPr>
        <w:t>Mya arenaria</w:t>
      </w:r>
      <w:r w:rsidRPr="004C1D66">
        <w:rPr>
          <w:noProof/>
        </w:rPr>
        <w:t>:</w:t>
      </w:r>
      <w:r>
        <w:rPr>
          <w:noProof/>
        </w:rPr>
        <w:t xml:space="preserve"> A laboratory experiment. </w:t>
      </w:r>
      <w:r w:rsidRPr="004C1D66">
        <w:rPr>
          <w:rStyle w:val="Emphasis"/>
        </w:rPr>
        <w:t>Mar. Poll. Bull.</w:t>
      </w:r>
      <w:r>
        <w:rPr>
          <w:noProof/>
        </w:rPr>
        <w:t>, 58, 503–514.</w:t>
      </w:r>
      <w:bookmarkEnd w:id="65"/>
    </w:p>
    <w:p w14:paraId="3528D820" w14:textId="77777777" w:rsidR="00F6367B" w:rsidRDefault="00FB47A6" w:rsidP="00A062F7">
      <w:pPr>
        <w:rPr>
          <w:noProof/>
        </w:rPr>
      </w:pPr>
      <w:bookmarkStart w:id="66" w:name="_Ref434588703"/>
      <w:r>
        <w:rPr>
          <w:noProof/>
        </w:rPr>
        <w:t>Ruhman, M, Woodard, V &amp; Housengar, J 2011. Risks of mancozeb use to federally threatened California Tiger Salamander (</w:t>
      </w:r>
      <w:r w:rsidRPr="00796397">
        <w:rPr>
          <w:rStyle w:val="Emphasis"/>
        </w:rPr>
        <w:t>Ambys</w:t>
      </w:r>
      <w:r w:rsidRPr="00796397">
        <w:rPr>
          <w:rStyle w:val="Emphasis"/>
        </w:rPr>
        <w:t>toma californiense</w:t>
      </w:r>
      <w:r>
        <w:rPr>
          <w:noProof/>
        </w:rPr>
        <w:t xml:space="preserve">), central California distinct population segment and federally Endangered California Tiger Salamander, Sonoma County and Santa Barbara County distinct population segments. Pesticide Effects Determinations. Environmental Fate and Effects </w:t>
      </w:r>
      <w:r>
        <w:rPr>
          <w:noProof/>
        </w:rPr>
        <w:t>Division, Office of Pesticide Programs, Washington. 29 June 2011.</w:t>
      </w:r>
      <w:bookmarkEnd w:id="66"/>
    </w:p>
    <w:p w14:paraId="3528D821" w14:textId="77777777" w:rsidR="00F6367B" w:rsidRDefault="00FB47A6" w:rsidP="00A062F7">
      <w:pPr>
        <w:rPr>
          <w:noProof/>
        </w:rPr>
      </w:pPr>
      <w:r w:rsidRPr="005D3A23">
        <w:rPr>
          <w:noProof/>
        </w:rPr>
        <w:t>Shenoy, K, Cunningham</w:t>
      </w:r>
      <w:r>
        <w:rPr>
          <w:noProof/>
        </w:rPr>
        <w:t>,</w:t>
      </w:r>
      <w:r w:rsidRPr="005D3A23">
        <w:rPr>
          <w:noProof/>
        </w:rPr>
        <w:t xml:space="preserve"> BT,</w:t>
      </w:r>
      <w:r w:rsidRPr="00796397">
        <w:rPr>
          <w:noProof/>
        </w:rPr>
        <w:t xml:space="preserve"> </w:t>
      </w:r>
      <w:r w:rsidRPr="005D3A23">
        <w:rPr>
          <w:noProof/>
        </w:rPr>
        <w:t>Renfroe</w:t>
      </w:r>
      <w:r>
        <w:rPr>
          <w:noProof/>
        </w:rPr>
        <w:t>,</w:t>
      </w:r>
      <w:r w:rsidRPr="005D3A23">
        <w:rPr>
          <w:noProof/>
        </w:rPr>
        <w:t xml:space="preserve"> JW</w:t>
      </w:r>
      <w:r>
        <w:rPr>
          <w:noProof/>
        </w:rPr>
        <w:t xml:space="preserve"> &amp;</w:t>
      </w:r>
      <w:r w:rsidRPr="005D3A23">
        <w:rPr>
          <w:noProof/>
        </w:rPr>
        <w:t xml:space="preserve"> Crowley</w:t>
      </w:r>
      <w:r>
        <w:rPr>
          <w:noProof/>
        </w:rPr>
        <w:t>,</w:t>
      </w:r>
      <w:r w:rsidRPr="005D3A23">
        <w:rPr>
          <w:noProof/>
        </w:rPr>
        <w:t xml:space="preserve"> PH 2009. Growth and survival of northern leopard frog (</w:t>
      </w:r>
      <w:r w:rsidRPr="00796397">
        <w:rPr>
          <w:rStyle w:val="Emphasis"/>
        </w:rPr>
        <w:t>Rana pipiens</w:t>
      </w:r>
      <w:r w:rsidRPr="005D3A23">
        <w:rPr>
          <w:noProof/>
        </w:rPr>
        <w:t xml:space="preserve">) tadpoles exposed to two common pesticides. </w:t>
      </w:r>
      <w:r w:rsidRPr="00796397">
        <w:rPr>
          <w:rStyle w:val="Emphasis"/>
        </w:rPr>
        <w:t>Environ. Toxicol. Chem.</w:t>
      </w:r>
      <w:r>
        <w:rPr>
          <w:noProof/>
        </w:rPr>
        <w:t>, 28,</w:t>
      </w:r>
      <w:r w:rsidRPr="005D3A23">
        <w:rPr>
          <w:noProof/>
        </w:rPr>
        <w:t xml:space="preserve"> 1469</w:t>
      </w:r>
      <w:r>
        <w:rPr>
          <w:noProof/>
        </w:rPr>
        <w:t>–</w:t>
      </w:r>
      <w:r w:rsidRPr="005D3A23">
        <w:rPr>
          <w:noProof/>
        </w:rPr>
        <w:t>1474</w:t>
      </w:r>
      <w:r>
        <w:rPr>
          <w:noProof/>
        </w:rPr>
        <w:t>.</w:t>
      </w:r>
    </w:p>
    <w:p w14:paraId="3528D822" w14:textId="77777777" w:rsidR="00F6367B" w:rsidRDefault="00FB47A6" w:rsidP="00A062F7">
      <w:pPr>
        <w:rPr>
          <w:noProof/>
        </w:rPr>
      </w:pPr>
      <w:bookmarkStart w:id="67" w:name="_Ref434447193"/>
      <w:bookmarkEnd w:id="52"/>
      <w:r>
        <w:rPr>
          <w:noProof/>
        </w:rPr>
        <w:t xml:space="preserve">Thienpont, B, Tingaud-Sequeira, A, Prats, E, Barata, C, Babin, PJ &amp; Raldúa, D 2011. Zebrafish eleutheroembryos provide a suitable vertebrate model for screening chemicals that impair thyroid hormone synthesis. </w:t>
      </w:r>
      <w:r w:rsidRPr="009D16E7">
        <w:rPr>
          <w:rStyle w:val="Emphasis"/>
        </w:rPr>
        <w:t>Eviron. Sci. Technol.</w:t>
      </w:r>
      <w:r>
        <w:rPr>
          <w:noProof/>
        </w:rPr>
        <w:t xml:space="preserve">, 45, </w:t>
      </w:r>
      <w:r>
        <w:rPr>
          <w:noProof/>
        </w:rPr>
        <w:t>7525–7532.</w:t>
      </w:r>
      <w:bookmarkEnd w:id="67"/>
    </w:p>
    <w:p w14:paraId="3528D823" w14:textId="77777777" w:rsidR="00F6367B" w:rsidRPr="00906B30" w:rsidRDefault="00FB47A6" w:rsidP="00A062F7">
      <w:pPr>
        <w:rPr>
          <w:noProof/>
        </w:rPr>
      </w:pPr>
      <w:bookmarkStart w:id="68" w:name="_Ref434445458"/>
      <w:r>
        <w:rPr>
          <w:noProof/>
        </w:rPr>
        <w:t xml:space="preserve">Tilton, F, La Du, JK, Vue, M, Alzarban, N &amp; Tanguay, RL 2006. Dithiocarbamates have a common toxic effect on zebrafish body axis formation. </w:t>
      </w:r>
      <w:r w:rsidRPr="000C1E24">
        <w:rPr>
          <w:rStyle w:val="Emphasis"/>
        </w:rPr>
        <w:t>Toxicol. Appl. Pharmacol.</w:t>
      </w:r>
      <w:r>
        <w:rPr>
          <w:noProof/>
        </w:rPr>
        <w:t>, 216, 55–68.</w:t>
      </w:r>
      <w:bookmarkEnd w:id="68"/>
    </w:p>
    <w:p w14:paraId="3528D824" w14:textId="77777777" w:rsidR="00F6367B" w:rsidRDefault="00FB47A6" w:rsidP="00A062F7">
      <w:pPr>
        <w:rPr>
          <w:noProof/>
        </w:rPr>
      </w:pPr>
      <w:r>
        <w:rPr>
          <w:noProof/>
        </w:rPr>
        <w:t>USEPA 2005a. Reregistration Eligibility Decision for Mancozeb. Pre</w:t>
      </w:r>
      <w:r>
        <w:rPr>
          <w:noProof/>
        </w:rPr>
        <w:t>vention, Pesticides and Toxic Substances (7508C). EPA 738-R-04-012, September 2005.</w:t>
      </w:r>
      <w:r w:rsidRPr="00A55860">
        <w:rPr>
          <w:noProof/>
        </w:rPr>
        <w:t xml:space="preserve"> </w:t>
      </w:r>
      <w:r>
        <w:rPr>
          <w:noProof/>
        </w:rPr>
        <w:t>United States Environmental Protection Agency.</w:t>
      </w:r>
    </w:p>
    <w:p w14:paraId="3528D825" w14:textId="77777777" w:rsidR="00F6367B" w:rsidRDefault="00FB47A6" w:rsidP="00A062F7">
      <w:pPr>
        <w:rPr>
          <w:noProof/>
        </w:rPr>
      </w:pPr>
      <w:bookmarkStart w:id="69" w:name="_Ref433206205"/>
      <w:r>
        <w:rPr>
          <w:noProof/>
        </w:rPr>
        <w:t>USEPA 2005b. Mancozeb Facts. Prevention, Pesticides and Toxic Substance (7508C). EPA 738-F-05-XX, September 2005.</w:t>
      </w:r>
      <w:bookmarkEnd w:id="69"/>
      <w:r w:rsidRPr="0067553B">
        <w:rPr>
          <w:noProof/>
        </w:rPr>
        <w:t xml:space="preserve"> </w:t>
      </w:r>
      <w:r>
        <w:rPr>
          <w:noProof/>
        </w:rPr>
        <w:t>United Stat</w:t>
      </w:r>
      <w:r>
        <w:rPr>
          <w:noProof/>
        </w:rPr>
        <w:t>es Environmental Protection Agency.</w:t>
      </w:r>
    </w:p>
    <w:p w14:paraId="3528D826" w14:textId="77777777" w:rsidR="00F6367B" w:rsidRDefault="00FB47A6" w:rsidP="00A062F7">
      <w:pPr>
        <w:rPr>
          <w:noProof/>
        </w:rPr>
      </w:pPr>
      <w:bookmarkStart w:id="70" w:name="_Ref434588576"/>
      <w:r>
        <w:rPr>
          <w:noProof/>
        </w:rPr>
        <w:t>USEPA 2005c. Environmental Fate and Ecological Risk Assessment for Mancozeb, Section 4 Reregistration for Control of Fungal Diseases on Numerous Crops, a Forestry Use on Douglas Firs, Ornamental Plantings, and Turf (Phas</w:t>
      </w:r>
      <w:r>
        <w:rPr>
          <w:noProof/>
        </w:rPr>
        <w:t xml:space="preserve">e 3 Response). Document EPA-HQ-OPP-2005-0176-0008, 21 June 2005.United States Environmental Protection Agency, Office of Prevention, Pesticides and Toxic Substances. </w:t>
      </w:r>
      <w:bookmarkEnd w:id="70"/>
    </w:p>
    <w:p w14:paraId="3528D827" w14:textId="77777777" w:rsidR="00F6367B" w:rsidRDefault="00FB47A6" w:rsidP="00A062F7">
      <w:pPr>
        <w:rPr>
          <w:noProof/>
        </w:rPr>
      </w:pPr>
      <w:bookmarkStart w:id="71" w:name="_Ref433320067"/>
      <w:r>
        <w:rPr>
          <w:noProof/>
        </w:rPr>
        <w:t>USEPA 2005d. Environmental Fate and Ecological Risk Assessment for Ethylenethiourea (ETU)</w:t>
      </w:r>
      <w:r>
        <w:rPr>
          <w:noProof/>
        </w:rPr>
        <w:t xml:space="preserve"> a Common Degradate of the Ethylenebisdithiocarbamate Fungicides (EBDCs): Metiram, Mancozeb and Maneb. Document EPA-HQ-OPP-2005-0176-0009, 21 June 2005.United States Environmental Protection Agency, Office of Prevention, Pesticides and Toxic Substances. </w:t>
      </w:r>
      <w:bookmarkEnd w:id="71"/>
    </w:p>
    <w:bookmarkEnd w:id="53"/>
    <w:bookmarkEnd w:id="54"/>
    <w:bookmarkEnd w:id="55"/>
    <w:p w14:paraId="3528D828" w14:textId="77777777" w:rsidR="00F6367B" w:rsidRDefault="00FB47A6" w:rsidP="00A062F7">
      <w:r>
        <w:rPr>
          <w:noProof/>
        </w:rPr>
        <w:t>U</w:t>
      </w:r>
      <w:r>
        <w:rPr>
          <w:noProof/>
        </w:rPr>
        <w:t>SEPA OPP</w:t>
      </w:r>
      <w:r w:rsidRPr="00107BDF">
        <w:rPr>
          <w:noProof/>
        </w:rPr>
        <w:t xml:space="preserve"> </w:t>
      </w:r>
      <w:r>
        <w:rPr>
          <w:noProof/>
        </w:rPr>
        <w:t xml:space="preserve">2019. </w:t>
      </w:r>
      <w:r w:rsidRPr="00694B25">
        <w:rPr>
          <w:noProof/>
        </w:rPr>
        <w:t>Pesticide Ecotoxicity Database</w:t>
      </w:r>
      <w:r>
        <w:rPr>
          <w:noProof/>
        </w:rPr>
        <w:t>.</w:t>
      </w:r>
      <w:r w:rsidRPr="00107BDF">
        <w:rPr>
          <w:noProof/>
        </w:rPr>
        <w:t xml:space="preserve"> </w:t>
      </w:r>
      <w:r>
        <w:rPr>
          <w:noProof/>
        </w:rPr>
        <w:t>United States Environmental Protection Agency, Office of Pesticide Programs.</w:t>
      </w:r>
    </w:p>
    <w:p w14:paraId="3528D829" w14:textId="77777777" w:rsidR="00F6367B" w:rsidRDefault="00FB47A6" w:rsidP="00FE2B28">
      <w:r w:rsidRPr="00A40001">
        <w:t>Warne</w:t>
      </w:r>
      <w:r>
        <w:t>,</w:t>
      </w:r>
      <w:r w:rsidRPr="00A40001">
        <w:t xml:space="preserve"> MStJ, Batley</w:t>
      </w:r>
      <w:r>
        <w:t>,</w:t>
      </w:r>
      <w:r w:rsidRPr="00A40001">
        <w:t xml:space="preserve"> GE, van Dam</w:t>
      </w:r>
      <w:r>
        <w:t>,</w:t>
      </w:r>
      <w:r w:rsidRPr="00A40001">
        <w:t xml:space="preserve"> RA, Chapman</w:t>
      </w:r>
      <w:r>
        <w:t>,</w:t>
      </w:r>
      <w:r w:rsidRPr="00A40001">
        <w:t xml:space="preserve"> JC, Fox</w:t>
      </w:r>
      <w:r>
        <w:t>,</w:t>
      </w:r>
      <w:r w:rsidRPr="00A40001">
        <w:t xml:space="preserve"> DR, Hickey</w:t>
      </w:r>
      <w:r>
        <w:t>,</w:t>
      </w:r>
      <w:r w:rsidRPr="00A40001">
        <w:t xml:space="preserve"> CW </w:t>
      </w:r>
      <w:r>
        <w:t xml:space="preserve">&amp; Stauber, </w:t>
      </w:r>
      <w:r w:rsidRPr="009B2BC4">
        <w:t>JL</w:t>
      </w:r>
      <w:r w:rsidRPr="00E00D37">
        <w:t xml:space="preserve"> 2018. R</w:t>
      </w:r>
      <w:r>
        <w:t>evised Method for Deriving Australian an</w:t>
      </w:r>
      <w:r>
        <w:t xml:space="preserve">d New Zealand Water Quality Guideline Values for Toxicants – update of 2015 version. Prepared for the revision of the Australian and New Zealand Guidelines for Fresh and Marine Water Quality. Australian and New Zealand Governments and Australian state and </w:t>
      </w:r>
      <w:r>
        <w:t>territory governments, Canberra, 48 pp.</w:t>
      </w:r>
    </w:p>
    <w:p w14:paraId="3528D82A" w14:textId="77777777" w:rsidR="00F6367B" w:rsidRDefault="00FB47A6" w:rsidP="00A062F7">
      <w:pPr>
        <w:rPr>
          <w:noProof/>
        </w:rPr>
      </w:pPr>
      <w:bookmarkStart w:id="72" w:name="_Ref434439941"/>
      <w:r>
        <w:rPr>
          <w:noProof/>
        </w:rPr>
        <w:t xml:space="preserve">WHO 1998. International Programme on Chemical Safety. Environmental Health Criteria 78. Dithiocarbamate Pesticides, Ethylenethiourea and Propylenethiourea: A General Introduction. </w:t>
      </w:r>
      <w:bookmarkEnd w:id="72"/>
      <w:r>
        <w:rPr>
          <w:noProof/>
        </w:rPr>
        <w:t>INCHEM. World Health Organization, G</w:t>
      </w:r>
      <w:r>
        <w:rPr>
          <w:noProof/>
        </w:rPr>
        <w:t>eneva.</w:t>
      </w:r>
    </w:p>
    <w:p w14:paraId="3528D82B" w14:textId="77777777" w:rsidR="00F6367B" w:rsidRDefault="00FB47A6" w:rsidP="00A062F7">
      <w:pPr>
        <w:rPr>
          <w:noProof/>
        </w:rPr>
      </w:pPr>
      <w:bookmarkStart w:id="73" w:name="_Ref433984264"/>
      <w:r>
        <w:rPr>
          <w:noProof/>
        </w:rPr>
        <w:t xml:space="preserve">Xu, S 2000. </w:t>
      </w:r>
      <w:hyperlink r:id="rId41" w:history="1">
        <w:r w:rsidRPr="002D76CE">
          <w:rPr>
            <w:rStyle w:val="Hyperlink"/>
            <w:noProof/>
          </w:rPr>
          <w:t>Environmental Fate of Mancozeb</w:t>
        </w:r>
      </w:hyperlink>
      <w:r>
        <w:rPr>
          <w:noProof/>
        </w:rPr>
        <w:t>. Environmental Monitoring and Pest Management. Department of Pesticide Reg</w:t>
      </w:r>
      <w:r>
        <w:rPr>
          <w:noProof/>
        </w:rPr>
        <w:t xml:space="preserve">ulation, Sacramento, California Environmental Protection Agency. </w:t>
      </w:r>
      <w:bookmarkEnd w:id="73"/>
    </w:p>
    <w:sectPr w:rsidR="00F6367B" w:rsidSect="00606A7B">
      <w:headerReference w:type="even" r:id="rId42"/>
      <w:headerReference w:type="default" r:id="rId43"/>
      <w:headerReference w:type="first" r:id="rId4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8D84D" w14:textId="77777777" w:rsidR="00000000" w:rsidRDefault="00FB47A6">
      <w:pPr>
        <w:spacing w:after="0" w:line="240" w:lineRule="auto"/>
      </w:pPr>
      <w:r>
        <w:separator/>
      </w:r>
    </w:p>
  </w:endnote>
  <w:endnote w:type="continuationSeparator" w:id="0">
    <w:p w14:paraId="3528D84F" w14:textId="77777777" w:rsidR="00000000" w:rsidRDefault="00FB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D83C" w14:textId="77777777" w:rsidR="007A3358" w:rsidRDefault="00FB47A6" w:rsidP="00CA4A82">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D841" w14:textId="77777777" w:rsidR="007A3358" w:rsidRDefault="00FB47A6" w:rsidP="00CA4A82">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D845" w14:textId="77777777" w:rsidR="007A3358" w:rsidRDefault="00FB47A6" w:rsidP="00CA4A82">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D849" w14:textId="77777777" w:rsidR="00000000" w:rsidRDefault="00FB47A6">
      <w:pPr>
        <w:spacing w:after="0" w:line="240" w:lineRule="auto"/>
      </w:pPr>
      <w:r>
        <w:separator/>
      </w:r>
    </w:p>
  </w:footnote>
  <w:footnote w:type="continuationSeparator" w:id="0">
    <w:p w14:paraId="3528D84B" w14:textId="77777777" w:rsidR="00000000" w:rsidRDefault="00FB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D83A" w14:textId="77777777" w:rsidR="008B6A16" w:rsidRDefault="00FB47A6">
    <w:pPr>
      <w:pStyle w:val="Header"/>
    </w:pPr>
    <w:r>
      <w:rPr>
        <w:noProof/>
      </w:rPr>
      <mc:AlternateContent>
        <mc:Choice Requires="wps">
          <w:drawing>
            <wp:anchor distT="0" distB="0" distL="0" distR="0" simplePos="0" relativeHeight="251661312" behindDoc="0" locked="0" layoutInCell="1" allowOverlap="1" wp14:anchorId="3528D849" wp14:editId="3528D84A">
              <wp:simplePos x="0" y="0"/>
              <wp:positionH relativeFrom="page">
                <wp:align>center</wp:align>
              </wp:positionH>
              <wp:positionV relativeFrom="page">
                <wp:align>top</wp:align>
              </wp:positionV>
              <wp:extent cx="443865" cy="443865"/>
              <wp:effectExtent l="0" t="0" r="16510" b="12065"/>
              <wp:wrapNone/>
              <wp:docPr id="7" name="Text Box 7"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28D863" w14:textId="77777777" w:rsidR="008B6A16" w:rsidRPr="008B6A16" w:rsidRDefault="00FB47A6" w:rsidP="008B6A16">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49" type="#_x0000_t202" alt="OFFICIAL "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2336" filled="f" stroked="f">
              <v:textbox style="mso-fit-shape-to-text:t" inset="0,15pt,0,0">
                <w:txbxContent>
                  <w:p w:rsidR="008B6A16" w:rsidRPr="008B6A16" w:rsidP="008B6A16" w14:paraId="447637E8" w14:textId="77777777">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D846" w14:textId="77777777" w:rsidR="008B6A16" w:rsidRDefault="00FB47A6">
    <w:pPr>
      <w:pStyle w:val="Header"/>
    </w:pPr>
    <w:r>
      <w:rPr>
        <w:noProof/>
      </w:rPr>
      <mc:AlternateContent>
        <mc:Choice Requires="wps">
          <w:drawing>
            <wp:anchor distT="0" distB="0" distL="0" distR="0" simplePos="0" relativeHeight="251679744" behindDoc="0" locked="0" layoutInCell="1" allowOverlap="1" wp14:anchorId="3528D85D" wp14:editId="3528D85E">
              <wp:simplePos x="0" y="0"/>
              <wp:positionH relativeFrom="page">
                <wp:align>center</wp:align>
              </wp:positionH>
              <wp:positionV relativeFrom="page">
                <wp:align>top</wp:align>
              </wp:positionV>
              <wp:extent cx="443865" cy="443865"/>
              <wp:effectExtent l="0" t="0" r="16510" b="12065"/>
              <wp:wrapNone/>
              <wp:docPr id="19" name="Text Box 19"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28D86C" w14:textId="77777777" w:rsidR="008B6A16" w:rsidRPr="008B6A16" w:rsidRDefault="00FB47A6" w:rsidP="008B6A16">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9" o:spid="_x0000_s2058" type="#_x0000_t202" alt="OFFICIAL "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80768" filled="f" stroked="f">
              <v:textbox style="mso-fit-shape-to-text:t" inset="0,15pt,0,0">
                <w:txbxContent>
                  <w:p w:rsidR="008B6A16" w:rsidRPr="008B6A16" w:rsidP="008B6A16" w14:paraId="4D2F5C28" w14:textId="77777777">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D847" w14:textId="77777777" w:rsidR="007A3358" w:rsidRPr="000756BD" w:rsidRDefault="00FB47A6" w:rsidP="000756BD">
    <w:pPr>
      <w:pStyle w:val="Header"/>
    </w:pPr>
    <w:r>
      <w:rPr>
        <w:noProof/>
      </w:rPr>
      <mc:AlternateContent>
        <mc:Choice Requires="wps">
          <w:drawing>
            <wp:anchor distT="0" distB="0" distL="0" distR="0" simplePos="0" relativeHeight="251681792" behindDoc="0" locked="0" layoutInCell="1" allowOverlap="1" wp14:anchorId="3528D85F" wp14:editId="3528D860">
              <wp:simplePos x="0" y="0"/>
              <wp:positionH relativeFrom="page">
                <wp:align>center</wp:align>
              </wp:positionH>
              <wp:positionV relativeFrom="page">
                <wp:align>top</wp:align>
              </wp:positionV>
              <wp:extent cx="443865" cy="443865"/>
              <wp:effectExtent l="0" t="0" r="16510" b="12065"/>
              <wp:wrapNone/>
              <wp:docPr id="20" name="Text Box 20"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28D86D" w14:textId="77777777" w:rsidR="008B6A16" w:rsidRPr="008B6A16" w:rsidRDefault="00FB47A6" w:rsidP="008B6A16">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0" o:spid="_x0000_s2059" type="#_x0000_t202" alt="OFFICIAL "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82816" filled="f" stroked="f">
              <v:textbox style="mso-fit-shape-to-text:t" inset="0,15pt,0,0">
                <w:txbxContent>
                  <w:p w:rsidR="008B6A16" w:rsidRPr="008B6A16" w:rsidP="008B6A16" w14:paraId="5F672025" w14:textId="77777777">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v:textbox>
            </v:shape>
          </w:pict>
        </mc:Fallback>
      </mc:AlternateContent>
    </w:r>
    <w:r w:rsidRPr="0028085F">
      <w:t xml:space="preserve">Toxicant default guideline values for aquatic ecosystem protection: </w:t>
    </w:r>
    <w:r>
      <w:t>Mancozeb</w:t>
    </w:r>
    <w:r w:rsidRPr="0028085F">
      <w:t xml:space="preserve"> in freshwater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D848" w14:textId="77777777" w:rsidR="008B6A16" w:rsidRDefault="00FB47A6">
    <w:pPr>
      <w:pStyle w:val="Header"/>
    </w:pPr>
    <w:r>
      <w:rPr>
        <w:noProof/>
      </w:rPr>
      <mc:AlternateContent>
        <mc:Choice Requires="wps">
          <w:drawing>
            <wp:anchor distT="0" distB="0" distL="0" distR="0" simplePos="0" relativeHeight="251677696" behindDoc="0" locked="0" layoutInCell="1" allowOverlap="1" wp14:anchorId="3528D861" wp14:editId="3528D862">
              <wp:simplePos x="0" y="0"/>
              <wp:positionH relativeFrom="page">
                <wp:align>center</wp:align>
              </wp:positionH>
              <wp:positionV relativeFrom="page">
                <wp:align>top</wp:align>
              </wp:positionV>
              <wp:extent cx="443865" cy="443865"/>
              <wp:effectExtent l="0" t="0" r="16510" b="12065"/>
              <wp:wrapNone/>
              <wp:docPr id="17" name="Text Box 17"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28D86E" w14:textId="77777777" w:rsidR="008B6A16" w:rsidRPr="008B6A16" w:rsidRDefault="00FB47A6" w:rsidP="008B6A16">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7" o:spid="_x0000_s2060" type="#_x0000_t202" alt="OFFICIAL "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78720" filled="f" stroked="f">
              <v:textbox style="mso-fit-shape-to-text:t" inset="0,15pt,0,0">
                <w:txbxContent>
                  <w:p w:rsidR="008B6A16" w:rsidRPr="008B6A16" w:rsidP="008B6A16" w14:paraId="732F64A9" w14:textId="77777777">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D83B" w14:textId="77777777" w:rsidR="007A3358" w:rsidRDefault="00FB47A6">
    <w:pPr>
      <w:pStyle w:val="Header"/>
    </w:pPr>
    <w:r>
      <w:rPr>
        <w:noProof/>
      </w:rPr>
      <mc:AlternateContent>
        <mc:Choice Requires="wps">
          <w:drawing>
            <wp:anchor distT="0" distB="0" distL="0" distR="0" simplePos="0" relativeHeight="251663360" behindDoc="0" locked="0" layoutInCell="1" allowOverlap="1" wp14:anchorId="3528D84B" wp14:editId="3528D84C">
              <wp:simplePos x="0" y="0"/>
              <wp:positionH relativeFrom="page">
                <wp:align>center</wp:align>
              </wp:positionH>
              <wp:positionV relativeFrom="page">
                <wp:align>top</wp:align>
              </wp:positionV>
              <wp:extent cx="443865" cy="443865"/>
              <wp:effectExtent l="0" t="0" r="16510" b="12065"/>
              <wp:wrapNone/>
              <wp:docPr id="8" name="Text Box 8"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28D864" w14:textId="77777777" w:rsidR="008B6A16" w:rsidRPr="008B6A16" w:rsidRDefault="00FB47A6" w:rsidP="008B6A16">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2050" type="#_x0000_t202" alt="OFFICIAL "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4384" filled="f" stroked="f">
              <v:textbox style="mso-fit-shape-to-text:t" inset="0,15pt,0,0">
                <w:txbxContent>
                  <w:p w:rsidR="008B6A16" w:rsidRPr="008B6A16" w:rsidP="008B6A16" w14:paraId="50B03AF5" w14:textId="77777777">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v:textbox>
            </v:shape>
          </w:pict>
        </mc:Fallback>
      </mc:AlternateContent>
    </w:r>
    <w:r>
      <w:t xml:space="preserve">Toxicant default guideline values for </w:t>
    </w:r>
    <w:r>
      <w:t>aquatic ecosystem protection: Mancozeb</w:t>
    </w:r>
    <w:r w:rsidRPr="0013350A">
      <w:t xml:space="preserve"> in freshwater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D83D" w14:textId="77777777" w:rsidR="007A3358" w:rsidRDefault="00FB47A6">
    <w:pPr>
      <w:pStyle w:val="Header"/>
    </w:pPr>
    <w:r>
      <w:rPr>
        <w:noProof/>
        <w:lang w:eastAsia="en-AU"/>
      </w:rPr>
      <mc:AlternateContent>
        <mc:Choice Requires="wps">
          <w:drawing>
            <wp:anchor distT="0" distB="0" distL="0" distR="0" simplePos="0" relativeHeight="251659264" behindDoc="0" locked="0" layoutInCell="1" allowOverlap="1" wp14:anchorId="3528D84D" wp14:editId="3528D84E">
              <wp:simplePos x="0" y="0"/>
              <wp:positionH relativeFrom="page">
                <wp:align>center</wp:align>
              </wp:positionH>
              <wp:positionV relativeFrom="page">
                <wp:align>top</wp:align>
              </wp:positionV>
              <wp:extent cx="443865" cy="443865"/>
              <wp:effectExtent l="0" t="0" r="16510" b="12065"/>
              <wp:wrapNone/>
              <wp:docPr id="5" name="Text Box 5"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28D865" w14:textId="77777777" w:rsidR="008B6A16" w:rsidRPr="008B6A16" w:rsidRDefault="00FB47A6" w:rsidP="008B6A16">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1" type="#_x0000_t202" alt="OFFICIAL "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0288" filled="f" stroked="f">
              <v:textbox style="mso-fit-shape-to-text:t" inset="0,15pt,0,0">
                <w:txbxContent>
                  <w:p w:rsidR="008B6A16" w:rsidRPr="008B6A16" w:rsidP="008B6A16" w14:paraId="3FA5393F" w14:textId="77777777">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v:textbox>
            </v:shape>
          </w:pict>
        </mc:Fallback>
      </mc:AlternateContent>
    </w:r>
    <w:r>
      <w:rPr>
        <w:noProof/>
        <w:lang w:eastAsia="en-AU"/>
      </w:rPr>
      <w:drawing>
        <wp:anchor distT="0" distB="0" distL="114300" distR="114300" simplePos="0" relativeHeight="251658240" behindDoc="1" locked="0" layoutInCell="1" allowOverlap="1" wp14:anchorId="3528D84F" wp14:editId="3528D850">
          <wp:simplePos x="0" y="0"/>
          <wp:positionH relativeFrom="column">
            <wp:posOffset>-895406</wp:posOffset>
          </wp:positionH>
          <wp:positionV relativeFrom="paragraph">
            <wp:posOffset>-355021</wp:posOffset>
          </wp:positionV>
          <wp:extent cx="7556361" cy="10687529"/>
          <wp:effectExtent l="0" t="0" r="6985" b="0"/>
          <wp:wrapNone/>
          <wp:docPr id="2" name="Picture 2"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04747"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472" cy="1071031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D83E" w14:textId="77777777" w:rsidR="008B6A16" w:rsidRDefault="00FB47A6">
    <w:pPr>
      <w:pStyle w:val="Header"/>
    </w:pPr>
    <w:r>
      <w:rPr>
        <w:noProof/>
      </w:rPr>
      <mc:AlternateContent>
        <mc:Choice Requires="wps">
          <w:drawing>
            <wp:anchor distT="0" distB="0" distL="0" distR="0" simplePos="0" relativeHeight="251667456" behindDoc="0" locked="0" layoutInCell="1" allowOverlap="1" wp14:anchorId="3528D851" wp14:editId="3528D852">
              <wp:simplePos x="0" y="0"/>
              <wp:positionH relativeFrom="page">
                <wp:align>center</wp:align>
              </wp:positionH>
              <wp:positionV relativeFrom="page">
                <wp:align>top</wp:align>
              </wp:positionV>
              <wp:extent cx="443865" cy="443865"/>
              <wp:effectExtent l="0" t="0" r="16510" b="12065"/>
              <wp:wrapNone/>
              <wp:docPr id="10" name="Text Box 10"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28D866" w14:textId="77777777" w:rsidR="008B6A16" w:rsidRPr="008B6A16" w:rsidRDefault="00FB47A6" w:rsidP="008B6A16">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52" type="#_x0000_t202" alt="OFFICIAL "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8480" filled="f" stroked="f">
              <v:textbox style="mso-fit-shape-to-text:t" inset="0,15pt,0,0">
                <w:txbxContent>
                  <w:p w:rsidR="008B6A16" w:rsidRPr="008B6A16" w:rsidP="008B6A16" w14:paraId="164E7CF8" w14:textId="77777777">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D83F" w14:textId="77777777" w:rsidR="007A3358" w:rsidRPr="001303C0" w:rsidRDefault="00FB47A6" w:rsidP="001303C0">
    <w:pPr>
      <w:pStyle w:val="Header"/>
    </w:pPr>
    <w:r>
      <w:rPr>
        <w:noProof/>
      </w:rPr>
      <mc:AlternateContent>
        <mc:Choice Requires="wps">
          <w:drawing>
            <wp:anchor distT="0" distB="0" distL="0" distR="0" simplePos="0" relativeHeight="251669504" behindDoc="0" locked="0" layoutInCell="1" allowOverlap="1" wp14:anchorId="3528D853" wp14:editId="3528D854">
              <wp:simplePos x="0" y="0"/>
              <wp:positionH relativeFrom="page">
                <wp:align>center</wp:align>
              </wp:positionH>
              <wp:positionV relativeFrom="page">
                <wp:align>top</wp:align>
              </wp:positionV>
              <wp:extent cx="443865" cy="443865"/>
              <wp:effectExtent l="0" t="0" r="16510" b="12065"/>
              <wp:wrapNone/>
              <wp:docPr id="11" name="Text Box 11"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28D867" w14:textId="77777777" w:rsidR="008B6A16" w:rsidRPr="008B6A16" w:rsidRDefault="00FB47A6" w:rsidP="008B6A16">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1" o:spid="_x0000_s2053" type="#_x0000_t202" alt="OFFICIAL "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70528" filled="f" stroked="f">
              <v:textbox style="mso-fit-shape-to-text:t" inset="0,15pt,0,0">
                <w:txbxContent>
                  <w:p w:rsidR="008B6A16" w:rsidRPr="008B6A16" w:rsidP="008B6A16" w14:paraId="3146040B" w14:textId="77777777">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v:textbox>
            </v:shape>
          </w:pict>
        </mc:Fallback>
      </mc:AlternateContent>
    </w:r>
    <w:r w:rsidRPr="0013350A">
      <w:t xml:space="preserve">Toxicant default guideline values for aquatic ecosystem protection: </w:t>
    </w:r>
    <w:r>
      <w:t>Mancozeb</w:t>
    </w:r>
    <w:r w:rsidRPr="0013350A">
      <w:t xml:space="preserve"> in freshwater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D840" w14:textId="77777777" w:rsidR="007A3358" w:rsidRPr="001303C0" w:rsidRDefault="00FB47A6" w:rsidP="001303C0">
    <w:pPr>
      <w:pStyle w:val="Header"/>
    </w:pPr>
    <w:r>
      <w:rPr>
        <w:noProof/>
      </w:rPr>
      <mc:AlternateContent>
        <mc:Choice Requires="wps">
          <w:drawing>
            <wp:anchor distT="0" distB="0" distL="0" distR="0" simplePos="0" relativeHeight="251665408" behindDoc="0" locked="0" layoutInCell="1" allowOverlap="1" wp14:anchorId="3528D855" wp14:editId="3528D856">
              <wp:simplePos x="0" y="0"/>
              <wp:positionH relativeFrom="page">
                <wp:align>center</wp:align>
              </wp:positionH>
              <wp:positionV relativeFrom="page">
                <wp:align>top</wp:align>
              </wp:positionV>
              <wp:extent cx="443865" cy="443865"/>
              <wp:effectExtent l="0" t="0" r="16510" b="12065"/>
              <wp:wrapNone/>
              <wp:docPr id="9" name="Text Box 9"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28D868" w14:textId="77777777" w:rsidR="008B6A16" w:rsidRPr="008B6A16" w:rsidRDefault="00FB47A6" w:rsidP="008B6A16">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4" type="#_x0000_t202" alt="OFFICIAL "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6432" filled="f" stroked="f">
              <v:textbox style="mso-fit-shape-to-text:t" inset="0,15pt,0,0">
                <w:txbxContent>
                  <w:p w:rsidR="008B6A16" w:rsidRPr="008B6A16" w:rsidP="008B6A16" w14:paraId="774F36ED" w14:textId="77777777">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v:textbox>
            </v:shape>
          </w:pict>
        </mc:Fallback>
      </mc:AlternateContent>
    </w:r>
    <w:r>
      <w:t xml:space="preserve">Toxicant default guideline values for </w:t>
    </w:r>
    <w:r>
      <w:t>aquatic ecosystem protection: Mancozeb</w:t>
    </w:r>
    <w:r w:rsidRPr="0013350A">
      <w:t xml:space="preserve"> in freshwater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D842" w14:textId="77777777" w:rsidR="008B6A16" w:rsidRDefault="00FB47A6">
    <w:pPr>
      <w:pStyle w:val="Header"/>
    </w:pPr>
    <w:r>
      <w:rPr>
        <w:noProof/>
      </w:rPr>
      <mc:AlternateContent>
        <mc:Choice Requires="wps">
          <w:drawing>
            <wp:anchor distT="0" distB="0" distL="0" distR="0" simplePos="0" relativeHeight="251673600" behindDoc="0" locked="0" layoutInCell="1" allowOverlap="1" wp14:anchorId="3528D857" wp14:editId="3528D858">
              <wp:simplePos x="0" y="0"/>
              <wp:positionH relativeFrom="page">
                <wp:align>center</wp:align>
              </wp:positionH>
              <wp:positionV relativeFrom="page">
                <wp:align>top</wp:align>
              </wp:positionV>
              <wp:extent cx="443865" cy="443865"/>
              <wp:effectExtent l="0" t="0" r="16510" b="12065"/>
              <wp:wrapNone/>
              <wp:docPr id="13" name="Text Box 1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28D869" w14:textId="77777777" w:rsidR="008B6A16" w:rsidRPr="008B6A16" w:rsidRDefault="00FB47A6" w:rsidP="008B6A16">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3" o:spid="_x0000_s2055" type="#_x0000_t202" alt="OFFICIAL "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74624" filled="f" stroked="f">
              <v:textbox style="mso-fit-shape-to-text:t" inset="0,15pt,0,0">
                <w:txbxContent>
                  <w:p w:rsidR="008B6A16" w:rsidRPr="008B6A16" w:rsidP="008B6A16" w14:paraId="6E7D2C58" w14:textId="77777777">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D843" w14:textId="77777777" w:rsidR="007A3358" w:rsidRPr="000756BD" w:rsidRDefault="00FB47A6" w:rsidP="000756BD">
    <w:pPr>
      <w:pStyle w:val="Header"/>
    </w:pPr>
    <w:r>
      <w:rPr>
        <w:noProof/>
      </w:rPr>
      <mc:AlternateContent>
        <mc:Choice Requires="wps">
          <w:drawing>
            <wp:anchor distT="0" distB="0" distL="0" distR="0" simplePos="0" relativeHeight="251675648" behindDoc="0" locked="0" layoutInCell="1" allowOverlap="1" wp14:anchorId="3528D859" wp14:editId="3528D85A">
              <wp:simplePos x="0" y="0"/>
              <wp:positionH relativeFrom="page">
                <wp:align>center</wp:align>
              </wp:positionH>
              <wp:positionV relativeFrom="page">
                <wp:align>top</wp:align>
              </wp:positionV>
              <wp:extent cx="443865" cy="443865"/>
              <wp:effectExtent l="0" t="0" r="16510" b="12065"/>
              <wp:wrapNone/>
              <wp:docPr id="15" name="Text Box 15"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28D86A" w14:textId="77777777" w:rsidR="008B6A16" w:rsidRPr="008B6A16" w:rsidRDefault="00FB47A6" w:rsidP="008B6A16">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2056" type="#_x0000_t202" alt="OFFICIAL "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76672" filled="f" stroked="f">
              <v:textbox style="mso-fit-shape-to-text:t" inset="0,15pt,0,0">
                <w:txbxContent>
                  <w:p w:rsidR="008B6A16" w:rsidRPr="008B6A16" w:rsidP="008B6A16" w14:paraId="7CB5D20D" w14:textId="77777777">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v:textbox>
            </v:shape>
          </w:pict>
        </mc:Fallback>
      </mc:AlternateContent>
    </w:r>
    <w:r>
      <w:t>Toxicant default guideline values for aquatic ecosystem protection</w:t>
    </w:r>
    <w:r w:rsidRPr="0028085F">
      <w:t xml:space="preserve">: </w:t>
    </w:r>
    <w:r>
      <w:t>Mancozeb</w:t>
    </w:r>
    <w:r w:rsidRPr="0028085F">
      <w:t xml:space="preserve"> in freshwater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D844" w14:textId="77777777" w:rsidR="007A3358" w:rsidRPr="000756BD" w:rsidRDefault="00FB47A6" w:rsidP="000756BD">
    <w:pPr>
      <w:pStyle w:val="Header"/>
    </w:pPr>
    <w:r>
      <w:rPr>
        <w:noProof/>
      </w:rPr>
      <mc:AlternateContent>
        <mc:Choice Requires="wps">
          <w:drawing>
            <wp:anchor distT="0" distB="0" distL="0" distR="0" simplePos="0" relativeHeight="251671552" behindDoc="0" locked="0" layoutInCell="1" allowOverlap="1" wp14:anchorId="3528D85B" wp14:editId="3528D85C">
              <wp:simplePos x="0" y="0"/>
              <wp:positionH relativeFrom="page">
                <wp:align>center</wp:align>
              </wp:positionH>
              <wp:positionV relativeFrom="page">
                <wp:align>top</wp:align>
              </wp:positionV>
              <wp:extent cx="443865" cy="443865"/>
              <wp:effectExtent l="0" t="0" r="16510" b="12065"/>
              <wp:wrapNone/>
              <wp:docPr id="12" name="Text Box 1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28D86B" w14:textId="77777777" w:rsidR="008B6A16" w:rsidRPr="008B6A16" w:rsidRDefault="00FB47A6" w:rsidP="008B6A16">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2057" type="#_x0000_t202" alt="OFFICIAL "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72576" filled="f" stroked="f">
              <v:textbox style="mso-fit-shape-to-text:t" inset="0,15pt,0,0">
                <w:txbxContent>
                  <w:p w:rsidR="008B6A16" w:rsidRPr="008B6A16" w:rsidP="008B6A16" w14:paraId="0EA1A3A0" w14:textId="77777777">
                    <w:pPr>
                      <w:spacing w:after="0"/>
                      <w:rPr>
                        <w:rFonts w:ascii="Calibri" w:eastAsia="Calibri" w:hAnsi="Calibri" w:cs="Calibri"/>
                        <w:noProof/>
                        <w:color w:val="000000"/>
                        <w:sz w:val="20"/>
                        <w:szCs w:val="20"/>
                      </w:rPr>
                    </w:pPr>
                    <w:r w:rsidRPr="008B6A16">
                      <w:rPr>
                        <w:rFonts w:ascii="Calibri" w:eastAsia="Calibri" w:hAnsi="Calibri" w:cs="Calibri"/>
                        <w:noProof/>
                        <w:color w:val="000000"/>
                        <w:sz w:val="20"/>
                        <w:szCs w:val="20"/>
                      </w:rPr>
                      <w:t xml:space="preserve">OFFICIAL </w:t>
                    </w:r>
                  </w:p>
                </w:txbxContent>
              </v:textbox>
            </v:shape>
          </w:pict>
        </mc:Fallback>
      </mc:AlternateContent>
    </w:r>
    <w:r w:rsidRPr="0028085F">
      <w:t xml:space="preserve">Toxicant default guideline values for aquatic ecosystem protection: </w:t>
    </w:r>
    <w:r>
      <w:t>Mancozeb</w:t>
    </w:r>
    <w:r w:rsidRPr="0028085F">
      <w:t xml:space="preserve"> in freshwater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2" w15:restartNumberingAfterBreak="0">
    <w:nsid w:val="17FA091E"/>
    <w:multiLevelType w:val="multilevel"/>
    <w:tmpl w:val="757ED760"/>
    <w:numStyleLink w:val="Style1"/>
  </w:abstractNum>
  <w:abstractNum w:abstractNumId="3" w15:restartNumberingAfterBreak="0">
    <w:nsid w:val="196B606F"/>
    <w:multiLevelType w:val="hybridMultilevel"/>
    <w:tmpl w:val="E0560262"/>
    <w:lvl w:ilvl="0" w:tplc="7D06C93E">
      <w:start w:val="1"/>
      <w:numFmt w:val="bullet"/>
      <w:pStyle w:val="TableBullet"/>
      <w:lvlText w:val=""/>
      <w:lvlJc w:val="left"/>
      <w:pPr>
        <w:ind w:left="720" w:hanging="360"/>
      </w:pPr>
      <w:rPr>
        <w:rFonts w:ascii="Symbol" w:hAnsi="Symbol" w:hint="default"/>
      </w:rPr>
    </w:lvl>
    <w:lvl w:ilvl="1" w:tplc="FBA8E0B6" w:tentative="1">
      <w:start w:val="1"/>
      <w:numFmt w:val="bullet"/>
      <w:lvlText w:val="o"/>
      <w:lvlJc w:val="left"/>
      <w:pPr>
        <w:ind w:left="1440" w:hanging="360"/>
      </w:pPr>
      <w:rPr>
        <w:rFonts w:ascii="Courier New" w:hAnsi="Courier New" w:cs="Courier New" w:hint="default"/>
      </w:rPr>
    </w:lvl>
    <w:lvl w:ilvl="2" w:tplc="597C6BA8" w:tentative="1">
      <w:start w:val="1"/>
      <w:numFmt w:val="bullet"/>
      <w:lvlText w:val=""/>
      <w:lvlJc w:val="left"/>
      <w:pPr>
        <w:ind w:left="2160" w:hanging="360"/>
      </w:pPr>
      <w:rPr>
        <w:rFonts w:ascii="Wingdings" w:hAnsi="Wingdings" w:hint="default"/>
      </w:rPr>
    </w:lvl>
    <w:lvl w:ilvl="3" w:tplc="931C32BC" w:tentative="1">
      <w:start w:val="1"/>
      <w:numFmt w:val="bullet"/>
      <w:lvlText w:val=""/>
      <w:lvlJc w:val="left"/>
      <w:pPr>
        <w:ind w:left="2880" w:hanging="360"/>
      </w:pPr>
      <w:rPr>
        <w:rFonts w:ascii="Symbol" w:hAnsi="Symbol" w:hint="default"/>
      </w:rPr>
    </w:lvl>
    <w:lvl w:ilvl="4" w:tplc="A418D0C8" w:tentative="1">
      <w:start w:val="1"/>
      <w:numFmt w:val="bullet"/>
      <w:lvlText w:val="o"/>
      <w:lvlJc w:val="left"/>
      <w:pPr>
        <w:ind w:left="3600" w:hanging="360"/>
      </w:pPr>
      <w:rPr>
        <w:rFonts w:ascii="Courier New" w:hAnsi="Courier New" w:cs="Courier New" w:hint="default"/>
      </w:rPr>
    </w:lvl>
    <w:lvl w:ilvl="5" w:tplc="FDB0F6F2" w:tentative="1">
      <w:start w:val="1"/>
      <w:numFmt w:val="bullet"/>
      <w:lvlText w:val=""/>
      <w:lvlJc w:val="left"/>
      <w:pPr>
        <w:ind w:left="4320" w:hanging="360"/>
      </w:pPr>
      <w:rPr>
        <w:rFonts w:ascii="Wingdings" w:hAnsi="Wingdings" w:hint="default"/>
      </w:rPr>
    </w:lvl>
    <w:lvl w:ilvl="6" w:tplc="434660C6" w:tentative="1">
      <w:start w:val="1"/>
      <w:numFmt w:val="bullet"/>
      <w:lvlText w:val=""/>
      <w:lvlJc w:val="left"/>
      <w:pPr>
        <w:ind w:left="5040" w:hanging="360"/>
      </w:pPr>
      <w:rPr>
        <w:rFonts w:ascii="Symbol" w:hAnsi="Symbol" w:hint="default"/>
      </w:rPr>
    </w:lvl>
    <w:lvl w:ilvl="7" w:tplc="E71CA13E" w:tentative="1">
      <w:start w:val="1"/>
      <w:numFmt w:val="bullet"/>
      <w:lvlText w:val="o"/>
      <w:lvlJc w:val="left"/>
      <w:pPr>
        <w:ind w:left="5760" w:hanging="360"/>
      </w:pPr>
      <w:rPr>
        <w:rFonts w:ascii="Courier New" w:hAnsi="Courier New" w:cs="Courier New" w:hint="default"/>
      </w:rPr>
    </w:lvl>
    <w:lvl w:ilvl="8" w:tplc="69CC39A8" w:tentative="1">
      <w:start w:val="1"/>
      <w:numFmt w:val="bullet"/>
      <w:lvlText w:val=""/>
      <w:lvlJc w:val="left"/>
      <w:pPr>
        <w:ind w:left="6480" w:hanging="360"/>
      </w:pPr>
      <w:rPr>
        <w:rFonts w:ascii="Wingdings" w:hAnsi="Wingdings" w:hint="default"/>
      </w:rPr>
    </w:lvl>
  </w:abstractNum>
  <w:abstractNum w:abstractNumId="4" w15:restartNumberingAfterBreak="0">
    <w:nsid w:val="2453399E"/>
    <w:multiLevelType w:val="multilevel"/>
    <w:tmpl w:val="88964F4C"/>
    <w:numStyleLink w:val="heading"/>
  </w:abstractNum>
  <w:abstractNum w:abstractNumId="5"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6" w15:restartNumberingAfterBreak="0">
    <w:nsid w:val="2D595B46"/>
    <w:multiLevelType w:val="multilevel"/>
    <w:tmpl w:val="C32AB9AA"/>
    <w:numStyleLink w:val="ListNumber1"/>
  </w:abstractNum>
  <w:abstractNum w:abstractNumId="7"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8" w15:restartNumberingAfterBreak="0">
    <w:nsid w:val="359D7F8A"/>
    <w:multiLevelType w:val="hybridMultilevel"/>
    <w:tmpl w:val="E2E639B8"/>
    <w:lvl w:ilvl="0" w:tplc="B776B25E">
      <w:start w:val="1"/>
      <w:numFmt w:val="bullet"/>
      <w:lvlText w:val="-"/>
      <w:lvlJc w:val="left"/>
      <w:pPr>
        <w:ind w:left="720" w:hanging="360"/>
      </w:pPr>
      <w:rPr>
        <w:rFonts w:ascii="Calibri" w:eastAsiaTheme="minorHAnsi" w:hAnsi="Calibri" w:cs="Calibri" w:hint="default"/>
      </w:rPr>
    </w:lvl>
    <w:lvl w:ilvl="1" w:tplc="60A4E4E4" w:tentative="1">
      <w:start w:val="1"/>
      <w:numFmt w:val="bullet"/>
      <w:lvlText w:val="o"/>
      <w:lvlJc w:val="left"/>
      <w:pPr>
        <w:ind w:left="1440" w:hanging="360"/>
      </w:pPr>
      <w:rPr>
        <w:rFonts w:ascii="Courier New" w:hAnsi="Courier New" w:cs="Courier New" w:hint="default"/>
      </w:rPr>
    </w:lvl>
    <w:lvl w:ilvl="2" w:tplc="A25E82E0" w:tentative="1">
      <w:start w:val="1"/>
      <w:numFmt w:val="bullet"/>
      <w:lvlText w:val=""/>
      <w:lvlJc w:val="left"/>
      <w:pPr>
        <w:ind w:left="2160" w:hanging="360"/>
      </w:pPr>
      <w:rPr>
        <w:rFonts w:ascii="Wingdings" w:hAnsi="Wingdings" w:hint="default"/>
      </w:rPr>
    </w:lvl>
    <w:lvl w:ilvl="3" w:tplc="6436EDC2" w:tentative="1">
      <w:start w:val="1"/>
      <w:numFmt w:val="bullet"/>
      <w:lvlText w:val=""/>
      <w:lvlJc w:val="left"/>
      <w:pPr>
        <w:ind w:left="2880" w:hanging="360"/>
      </w:pPr>
      <w:rPr>
        <w:rFonts w:ascii="Symbol" w:hAnsi="Symbol" w:hint="default"/>
      </w:rPr>
    </w:lvl>
    <w:lvl w:ilvl="4" w:tplc="CCDC8A3C" w:tentative="1">
      <w:start w:val="1"/>
      <w:numFmt w:val="bullet"/>
      <w:lvlText w:val="o"/>
      <w:lvlJc w:val="left"/>
      <w:pPr>
        <w:ind w:left="3600" w:hanging="360"/>
      </w:pPr>
      <w:rPr>
        <w:rFonts w:ascii="Courier New" w:hAnsi="Courier New" w:cs="Courier New" w:hint="default"/>
      </w:rPr>
    </w:lvl>
    <w:lvl w:ilvl="5" w:tplc="B016C8AA" w:tentative="1">
      <w:start w:val="1"/>
      <w:numFmt w:val="bullet"/>
      <w:lvlText w:val=""/>
      <w:lvlJc w:val="left"/>
      <w:pPr>
        <w:ind w:left="4320" w:hanging="360"/>
      </w:pPr>
      <w:rPr>
        <w:rFonts w:ascii="Wingdings" w:hAnsi="Wingdings" w:hint="default"/>
      </w:rPr>
    </w:lvl>
    <w:lvl w:ilvl="6" w:tplc="9CEE03DA" w:tentative="1">
      <w:start w:val="1"/>
      <w:numFmt w:val="bullet"/>
      <w:lvlText w:val=""/>
      <w:lvlJc w:val="left"/>
      <w:pPr>
        <w:ind w:left="5040" w:hanging="360"/>
      </w:pPr>
      <w:rPr>
        <w:rFonts w:ascii="Symbol" w:hAnsi="Symbol" w:hint="default"/>
      </w:rPr>
    </w:lvl>
    <w:lvl w:ilvl="7" w:tplc="0DC24734" w:tentative="1">
      <w:start w:val="1"/>
      <w:numFmt w:val="bullet"/>
      <w:lvlText w:val="o"/>
      <w:lvlJc w:val="left"/>
      <w:pPr>
        <w:ind w:left="5760" w:hanging="360"/>
      </w:pPr>
      <w:rPr>
        <w:rFonts w:ascii="Courier New" w:hAnsi="Courier New" w:cs="Courier New" w:hint="default"/>
      </w:rPr>
    </w:lvl>
    <w:lvl w:ilvl="8" w:tplc="E7CAED46" w:tentative="1">
      <w:start w:val="1"/>
      <w:numFmt w:val="bullet"/>
      <w:lvlText w:val=""/>
      <w:lvlJc w:val="left"/>
      <w:pPr>
        <w:ind w:left="6480" w:hanging="360"/>
      </w:pPr>
      <w:rPr>
        <w:rFonts w:ascii="Wingdings" w:hAnsi="Wingdings" w:hint="default"/>
      </w:rPr>
    </w:lvl>
  </w:abstractNum>
  <w:abstractNum w:abstractNumId="9" w15:restartNumberingAfterBreak="0">
    <w:nsid w:val="35C62FCD"/>
    <w:multiLevelType w:val="hybridMultilevel"/>
    <w:tmpl w:val="0B4A6256"/>
    <w:lvl w:ilvl="0" w:tplc="F1F6F83A">
      <w:start w:val="1"/>
      <w:numFmt w:val="bullet"/>
      <w:lvlText w:val=""/>
      <w:lvlJc w:val="left"/>
      <w:pPr>
        <w:ind w:left="720" w:hanging="360"/>
      </w:pPr>
      <w:rPr>
        <w:rFonts w:ascii="Symbol" w:hAnsi="Symbol" w:hint="default"/>
      </w:rPr>
    </w:lvl>
    <w:lvl w:ilvl="1" w:tplc="89B425B2" w:tentative="1">
      <w:start w:val="1"/>
      <w:numFmt w:val="bullet"/>
      <w:lvlText w:val="o"/>
      <w:lvlJc w:val="left"/>
      <w:pPr>
        <w:ind w:left="1440" w:hanging="360"/>
      </w:pPr>
      <w:rPr>
        <w:rFonts w:ascii="Courier New" w:hAnsi="Courier New" w:cs="Courier New" w:hint="default"/>
      </w:rPr>
    </w:lvl>
    <w:lvl w:ilvl="2" w:tplc="995E2C52" w:tentative="1">
      <w:start w:val="1"/>
      <w:numFmt w:val="bullet"/>
      <w:lvlText w:val=""/>
      <w:lvlJc w:val="left"/>
      <w:pPr>
        <w:ind w:left="2160" w:hanging="360"/>
      </w:pPr>
      <w:rPr>
        <w:rFonts w:ascii="Wingdings" w:hAnsi="Wingdings" w:hint="default"/>
      </w:rPr>
    </w:lvl>
    <w:lvl w:ilvl="3" w:tplc="C174FECE" w:tentative="1">
      <w:start w:val="1"/>
      <w:numFmt w:val="bullet"/>
      <w:lvlText w:val=""/>
      <w:lvlJc w:val="left"/>
      <w:pPr>
        <w:ind w:left="2880" w:hanging="360"/>
      </w:pPr>
      <w:rPr>
        <w:rFonts w:ascii="Symbol" w:hAnsi="Symbol" w:hint="default"/>
      </w:rPr>
    </w:lvl>
    <w:lvl w:ilvl="4" w:tplc="C040E2A4" w:tentative="1">
      <w:start w:val="1"/>
      <w:numFmt w:val="bullet"/>
      <w:lvlText w:val="o"/>
      <w:lvlJc w:val="left"/>
      <w:pPr>
        <w:ind w:left="3600" w:hanging="360"/>
      </w:pPr>
      <w:rPr>
        <w:rFonts w:ascii="Courier New" w:hAnsi="Courier New" w:cs="Courier New" w:hint="default"/>
      </w:rPr>
    </w:lvl>
    <w:lvl w:ilvl="5" w:tplc="4C2822DA" w:tentative="1">
      <w:start w:val="1"/>
      <w:numFmt w:val="bullet"/>
      <w:lvlText w:val=""/>
      <w:lvlJc w:val="left"/>
      <w:pPr>
        <w:ind w:left="4320" w:hanging="360"/>
      </w:pPr>
      <w:rPr>
        <w:rFonts w:ascii="Wingdings" w:hAnsi="Wingdings" w:hint="default"/>
      </w:rPr>
    </w:lvl>
    <w:lvl w:ilvl="6" w:tplc="4712FE4C" w:tentative="1">
      <w:start w:val="1"/>
      <w:numFmt w:val="bullet"/>
      <w:lvlText w:val=""/>
      <w:lvlJc w:val="left"/>
      <w:pPr>
        <w:ind w:left="5040" w:hanging="360"/>
      </w:pPr>
      <w:rPr>
        <w:rFonts w:ascii="Symbol" w:hAnsi="Symbol" w:hint="default"/>
      </w:rPr>
    </w:lvl>
    <w:lvl w:ilvl="7" w:tplc="518279BE" w:tentative="1">
      <w:start w:val="1"/>
      <w:numFmt w:val="bullet"/>
      <w:lvlText w:val="o"/>
      <w:lvlJc w:val="left"/>
      <w:pPr>
        <w:ind w:left="5760" w:hanging="360"/>
      </w:pPr>
      <w:rPr>
        <w:rFonts w:ascii="Courier New" w:hAnsi="Courier New" w:cs="Courier New" w:hint="default"/>
      </w:rPr>
    </w:lvl>
    <w:lvl w:ilvl="8" w:tplc="F740F192" w:tentative="1">
      <w:start w:val="1"/>
      <w:numFmt w:val="bullet"/>
      <w:lvlText w:val=""/>
      <w:lvlJc w:val="left"/>
      <w:pPr>
        <w:ind w:left="6480" w:hanging="360"/>
      </w:pPr>
      <w:rPr>
        <w:rFonts w:ascii="Wingdings" w:hAnsi="Wingdings" w:hint="default"/>
      </w:rPr>
    </w:lvl>
  </w:abstractNum>
  <w:abstractNum w:abstractNumId="10" w15:restartNumberingAfterBreak="0">
    <w:nsid w:val="36D54222"/>
    <w:multiLevelType w:val="multilevel"/>
    <w:tmpl w:val="757ED760"/>
    <w:numStyleLink w:val="Style1"/>
  </w:abstractNum>
  <w:abstractNum w:abstractNumId="11"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3" w15:restartNumberingAfterBreak="0">
    <w:nsid w:val="426969BC"/>
    <w:multiLevelType w:val="hybridMultilevel"/>
    <w:tmpl w:val="3F700FBE"/>
    <w:lvl w:ilvl="0" w:tplc="76A8A366">
      <w:start w:val="1"/>
      <w:numFmt w:val="bullet"/>
      <w:lvlText w:val=""/>
      <w:lvlJc w:val="left"/>
      <w:pPr>
        <w:ind w:left="720" w:hanging="360"/>
      </w:pPr>
      <w:rPr>
        <w:rFonts w:ascii="Symbol" w:hAnsi="Symbol" w:hint="default"/>
      </w:rPr>
    </w:lvl>
    <w:lvl w:ilvl="1" w:tplc="21AADCD2" w:tentative="1">
      <w:start w:val="1"/>
      <w:numFmt w:val="bullet"/>
      <w:lvlText w:val="o"/>
      <w:lvlJc w:val="left"/>
      <w:pPr>
        <w:ind w:left="1440" w:hanging="360"/>
      </w:pPr>
      <w:rPr>
        <w:rFonts w:ascii="Courier New" w:hAnsi="Courier New" w:cs="Courier New" w:hint="default"/>
      </w:rPr>
    </w:lvl>
    <w:lvl w:ilvl="2" w:tplc="1FAC645C" w:tentative="1">
      <w:start w:val="1"/>
      <w:numFmt w:val="bullet"/>
      <w:lvlText w:val=""/>
      <w:lvlJc w:val="left"/>
      <w:pPr>
        <w:ind w:left="2160" w:hanging="360"/>
      </w:pPr>
      <w:rPr>
        <w:rFonts w:ascii="Wingdings" w:hAnsi="Wingdings" w:hint="default"/>
      </w:rPr>
    </w:lvl>
    <w:lvl w:ilvl="3" w:tplc="87BA54BA" w:tentative="1">
      <w:start w:val="1"/>
      <w:numFmt w:val="bullet"/>
      <w:lvlText w:val=""/>
      <w:lvlJc w:val="left"/>
      <w:pPr>
        <w:ind w:left="2880" w:hanging="360"/>
      </w:pPr>
      <w:rPr>
        <w:rFonts w:ascii="Symbol" w:hAnsi="Symbol" w:hint="default"/>
      </w:rPr>
    </w:lvl>
    <w:lvl w:ilvl="4" w:tplc="BD6E94B8" w:tentative="1">
      <w:start w:val="1"/>
      <w:numFmt w:val="bullet"/>
      <w:lvlText w:val="o"/>
      <w:lvlJc w:val="left"/>
      <w:pPr>
        <w:ind w:left="3600" w:hanging="360"/>
      </w:pPr>
      <w:rPr>
        <w:rFonts w:ascii="Courier New" w:hAnsi="Courier New" w:cs="Courier New" w:hint="default"/>
      </w:rPr>
    </w:lvl>
    <w:lvl w:ilvl="5" w:tplc="F17498CE" w:tentative="1">
      <w:start w:val="1"/>
      <w:numFmt w:val="bullet"/>
      <w:lvlText w:val=""/>
      <w:lvlJc w:val="left"/>
      <w:pPr>
        <w:ind w:left="4320" w:hanging="360"/>
      </w:pPr>
      <w:rPr>
        <w:rFonts w:ascii="Wingdings" w:hAnsi="Wingdings" w:hint="default"/>
      </w:rPr>
    </w:lvl>
    <w:lvl w:ilvl="6" w:tplc="8348F4AE" w:tentative="1">
      <w:start w:val="1"/>
      <w:numFmt w:val="bullet"/>
      <w:lvlText w:val=""/>
      <w:lvlJc w:val="left"/>
      <w:pPr>
        <w:ind w:left="5040" w:hanging="360"/>
      </w:pPr>
      <w:rPr>
        <w:rFonts w:ascii="Symbol" w:hAnsi="Symbol" w:hint="default"/>
      </w:rPr>
    </w:lvl>
    <w:lvl w:ilvl="7" w:tplc="72A0E9C4" w:tentative="1">
      <w:start w:val="1"/>
      <w:numFmt w:val="bullet"/>
      <w:lvlText w:val="o"/>
      <w:lvlJc w:val="left"/>
      <w:pPr>
        <w:ind w:left="5760" w:hanging="360"/>
      </w:pPr>
      <w:rPr>
        <w:rFonts w:ascii="Courier New" w:hAnsi="Courier New" w:cs="Courier New" w:hint="default"/>
      </w:rPr>
    </w:lvl>
    <w:lvl w:ilvl="8" w:tplc="A8C06546" w:tentative="1">
      <w:start w:val="1"/>
      <w:numFmt w:val="bullet"/>
      <w:lvlText w:val=""/>
      <w:lvlJc w:val="left"/>
      <w:pPr>
        <w:ind w:left="6480" w:hanging="360"/>
      </w:pPr>
      <w:rPr>
        <w:rFonts w:ascii="Wingdings" w:hAnsi="Wingdings" w:hint="default"/>
      </w:rPr>
    </w:lvl>
  </w:abstractNum>
  <w:abstractNum w:abstractNumId="14" w15:restartNumberingAfterBreak="0">
    <w:nsid w:val="48DE2E4A"/>
    <w:multiLevelType w:val="hybridMultilevel"/>
    <w:tmpl w:val="B7086130"/>
    <w:lvl w:ilvl="0" w:tplc="3648D31E">
      <w:start w:val="1"/>
      <w:numFmt w:val="bullet"/>
      <w:pStyle w:val="BoxTextBullet"/>
      <w:lvlText w:val=""/>
      <w:lvlJc w:val="left"/>
      <w:pPr>
        <w:ind w:left="720" w:hanging="360"/>
      </w:pPr>
      <w:rPr>
        <w:rFonts w:ascii="Symbol" w:hAnsi="Symbol" w:hint="default"/>
      </w:rPr>
    </w:lvl>
    <w:lvl w:ilvl="1" w:tplc="C132447E" w:tentative="1">
      <w:start w:val="1"/>
      <w:numFmt w:val="bullet"/>
      <w:lvlText w:val="o"/>
      <w:lvlJc w:val="left"/>
      <w:pPr>
        <w:ind w:left="1440" w:hanging="360"/>
      </w:pPr>
      <w:rPr>
        <w:rFonts w:ascii="Courier New" w:hAnsi="Courier New" w:cs="Courier New" w:hint="default"/>
      </w:rPr>
    </w:lvl>
    <w:lvl w:ilvl="2" w:tplc="1E9A805C" w:tentative="1">
      <w:start w:val="1"/>
      <w:numFmt w:val="bullet"/>
      <w:lvlText w:val=""/>
      <w:lvlJc w:val="left"/>
      <w:pPr>
        <w:ind w:left="2160" w:hanging="360"/>
      </w:pPr>
      <w:rPr>
        <w:rFonts w:ascii="Wingdings" w:hAnsi="Wingdings" w:hint="default"/>
      </w:rPr>
    </w:lvl>
    <w:lvl w:ilvl="3" w:tplc="C2027A48" w:tentative="1">
      <w:start w:val="1"/>
      <w:numFmt w:val="bullet"/>
      <w:lvlText w:val=""/>
      <w:lvlJc w:val="left"/>
      <w:pPr>
        <w:ind w:left="2880" w:hanging="360"/>
      </w:pPr>
      <w:rPr>
        <w:rFonts w:ascii="Symbol" w:hAnsi="Symbol" w:hint="default"/>
      </w:rPr>
    </w:lvl>
    <w:lvl w:ilvl="4" w:tplc="9ACADC98" w:tentative="1">
      <w:start w:val="1"/>
      <w:numFmt w:val="bullet"/>
      <w:lvlText w:val="o"/>
      <w:lvlJc w:val="left"/>
      <w:pPr>
        <w:ind w:left="3600" w:hanging="360"/>
      </w:pPr>
      <w:rPr>
        <w:rFonts w:ascii="Courier New" w:hAnsi="Courier New" w:cs="Courier New" w:hint="default"/>
      </w:rPr>
    </w:lvl>
    <w:lvl w:ilvl="5" w:tplc="3D8A4F6E" w:tentative="1">
      <w:start w:val="1"/>
      <w:numFmt w:val="bullet"/>
      <w:lvlText w:val=""/>
      <w:lvlJc w:val="left"/>
      <w:pPr>
        <w:ind w:left="4320" w:hanging="360"/>
      </w:pPr>
      <w:rPr>
        <w:rFonts w:ascii="Wingdings" w:hAnsi="Wingdings" w:hint="default"/>
      </w:rPr>
    </w:lvl>
    <w:lvl w:ilvl="6" w:tplc="A0124FC2" w:tentative="1">
      <w:start w:val="1"/>
      <w:numFmt w:val="bullet"/>
      <w:lvlText w:val=""/>
      <w:lvlJc w:val="left"/>
      <w:pPr>
        <w:ind w:left="5040" w:hanging="360"/>
      </w:pPr>
      <w:rPr>
        <w:rFonts w:ascii="Symbol" w:hAnsi="Symbol" w:hint="default"/>
      </w:rPr>
    </w:lvl>
    <w:lvl w:ilvl="7" w:tplc="5748C690" w:tentative="1">
      <w:start w:val="1"/>
      <w:numFmt w:val="bullet"/>
      <w:lvlText w:val="o"/>
      <w:lvlJc w:val="left"/>
      <w:pPr>
        <w:ind w:left="5760" w:hanging="360"/>
      </w:pPr>
      <w:rPr>
        <w:rFonts w:ascii="Courier New" w:hAnsi="Courier New" w:cs="Courier New" w:hint="default"/>
      </w:rPr>
    </w:lvl>
    <w:lvl w:ilvl="8" w:tplc="1AA80BAA" w:tentative="1">
      <w:start w:val="1"/>
      <w:numFmt w:val="bullet"/>
      <w:lvlText w:val=""/>
      <w:lvlJc w:val="left"/>
      <w:pPr>
        <w:ind w:left="6480" w:hanging="360"/>
      </w:pPr>
      <w:rPr>
        <w:rFonts w:ascii="Wingdings" w:hAnsi="Wingdings" w:hint="default"/>
      </w:rPr>
    </w:lvl>
  </w:abstractNum>
  <w:abstractNum w:abstractNumId="15" w15:restartNumberingAfterBreak="0">
    <w:nsid w:val="4B861DE6"/>
    <w:multiLevelType w:val="multilevel"/>
    <w:tmpl w:val="6346ED0E"/>
    <w:styleLink w:val="listbullets"/>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71D84A87"/>
    <w:multiLevelType w:val="hybridMultilevel"/>
    <w:tmpl w:val="0A5A986C"/>
    <w:lvl w:ilvl="0" w:tplc="6B121B16">
      <w:start w:val="1"/>
      <w:numFmt w:val="decimal"/>
      <w:lvlText w:val="%1."/>
      <w:lvlJc w:val="left"/>
      <w:pPr>
        <w:ind w:left="644" w:hanging="360"/>
      </w:pPr>
      <w:rPr>
        <w:rFonts w:hint="default"/>
      </w:rPr>
    </w:lvl>
    <w:lvl w:ilvl="1" w:tplc="817841FC">
      <w:start w:val="1"/>
      <w:numFmt w:val="lowerLetter"/>
      <w:lvlText w:val="%2."/>
      <w:lvlJc w:val="left"/>
      <w:pPr>
        <w:ind w:left="1364" w:hanging="360"/>
      </w:pPr>
    </w:lvl>
    <w:lvl w:ilvl="2" w:tplc="F45051A4" w:tentative="1">
      <w:start w:val="1"/>
      <w:numFmt w:val="lowerRoman"/>
      <w:lvlText w:val="%3."/>
      <w:lvlJc w:val="right"/>
      <w:pPr>
        <w:ind w:left="2084" w:hanging="180"/>
      </w:pPr>
    </w:lvl>
    <w:lvl w:ilvl="3" w:tplc="721E6002" w:tentative="1">
      <w:start w:val="1"/>
      <w:numFmt w:val="decimal"/>
      <w:lvlText w:val="%4."/>
      <w:lvlJc w:val="left"/>
      <w:pPr>
        <w:ind w:left="2804" w:hanging="360"/>
      </w:pPr>
    </w:lvl>
    <w:lvl w:ilvl="4" w:tplc="C4DE23C4" w:tentative="1">
      <w:start w:val="1"/>
      <w:numFmt w:val="lowerLetter"/>
      <w:lvlText w:val="%5."/>
      <w:lvlJc w:val="left"/>
      <w:pPr>
        <w:ind w:left="3524" w:hanging="360"/>
      </w:pPr>
    </w:lvl>
    <w:lvl w:ilvl="5" w:tplc="832CC87A" w:tentative="1">
      <w:start w:val="1"/>
      <w:numFmt w:val="lowerRoman"/>
      <w:lvlText w:val="%6."/>
      <w:lvlJc w:val="right"/>
      <w:pPr>
        <w:ind w:left="4244" w:hanging="180"/>
      </w:pPr>
    </w:lvl>
    <w:lvl w:ilvl="6" w:tplc="A9BE6DFA" w:tentative="1">
      <w:start w:val="1"/>
      <w:numFmt w:val="decimal"/>
      <w:lvlText w:val="%7."/>
      <w:lvlJc w:val="left"/>
      <w:pPr>
        <w:ind w:left="4964" w:hanging="360"/>
      </w:pPr>
    </w:lvl>
    <w:lvl w:ilvl="7" w:tplc="9940D0E8" w:tentative="1">
      <w:start w:val="1"/>
      <w:numFmt w:val="lowerLetter"/>
      <w:lvlText w:val="%8."/>
      <w:lvlJc w:val="left"/>
      <w:pPr>
        <w:ind w:left="5684" w:hanging="360"/>
      </w:pPr>
    </w:lvl>
    <w:lvl w:ilvl="8" w:tplc="E35A8410" w:tentative="1">
      <w:start w:val="1"/>
      <w:numFmt w:val="lowerRoman"/>
      <w:lvlText w:val="%9."/>
      <w:lvlJc w:val="right"/>
      <w:pPr>
        <w:ind w:left="6404" w:hanging="180"/>
      </w:pPr>
    </w:lvl>
  </w:abstractNum>
  <w:abstractNum w:abstractNumId="18" w15:restartNumberingAfterBreak="0">
    <w:nsid w:val="7636387C"/>
    <w:multiLevelType w:val="multilevel"/>
    <w:tmpl w:val="6346ED0E"/>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9" w15:restartNumberingAfterBreak="0">
    <w:nsid w:val="77204A9E"/>
    <w:multiLevelType w:val="hybridMultilevel"/>
    <w:tmpl w:val="5F98E056"/>
    <w:lvl w:ilvl="0" w:tplc="309EA99E">
      <w:start w:val="1"/>
      <w:numFmt w:val="decimal"/>
      <w:lvlText w:val="%1)"/>
      <w:lvlJc w:val="left"/>
      <w:pPr>
        <w:ind w:left="720" w:hanging="360"/>
      </w:pPr>
      <w:rPr>
        <w:rFonts w:hint="default"/>
      </w:rPr>
    </w:lvl>
    <w:lvl w:ilvl="1" w:tplc="9B78E842" w:tentative="1">
      <w:start w:val="1"/>
      <w:numFmt w:val="lowerLetter"/>
      <w:lvlText w:val="%2."/>
      <w:lvlJc w:val="left"/>
      <w:pPr>
        <w:ind w:left="1440" w:hanging="360"/>
      </w:pPr>
    </w:lvl>
    <w:lvl w:ilvl="2" w:tplc="B588A0BC" w:tentative="1">
      <w:start w:val="1"/>
      <w:numFmt w:val="lowerRoman"/>
      <w:lvlText w:val="%3."/>
      <w:lvlJc w:val="right"/>
      <w:pPr>
        <w:ind w:left="2160" w:hanging="180"/>
      </w:pPr>
    </w:lvl>
    <w:lvl w:ilvl="3" w:tplc="F7E499FA" w:tentative="1">
      <w:start w:val="1"/>
      <w:numFmt w:val="decimal"/>
      <w:lvlText w:val="%4."/>
      <w:lvlJc w:val="left"/>
      <w:pPr>
        <w:ind w:left="2880" w:hanging="360"/>
      </w:pPr>
    </w:lvl>
    <w:lvl w:ilvl="4" w:tplc="747630B0" w:tentative="1">
      <w:start w:val="1"/>
      <w:numFmt w:val="lowerLetter"/>
      <w:lvlText w:val="%5."/>
      <w:lvlJc w:val="left"/>
      <w:pPr>
        <w:ind w:left="3600" w:hanging="360"/>
      </w:pPr>
    </w:lvl>
    <w:lvl w:ilvl="5" w:tplc="532EA4F2" w:tentative="1">
      <w:start w:val="1"/>
      <w:numFmt w:val="lowerRoman"/>
      <w:lvlText w:val="%6."/>
      <w:lvlJc w:val="right"/>
      <w:pPr>
        <w:ind w:left="4320" w:hanging="180"/>
      </w:pPr>
    </w:lvl>
    <w:lvl w:ilvl="6" w:tplc="79CC1618" w:tentative="1">
      <w:start w:val="1"/>
      <w:numFmt w:val="decimal"/>
      <w:lvlText w:val="%7."/>
      <w:lvlJc w:val="left"/>
      <w:pPr>
        <w:ind w:left="5040" w:hanging="360"/>
      </w:pPr>
    </w:lvl>
    <w:lvl w:ilvl="7" w:tplc="1BFC19D6" w:tentative="1">
      <w:start w:val="1"/>
      <w:numFmt w:val="lowerLetter"/>
      <w:lvlText w:val="%8."/>
      <w:lvlJc w:val="left"/>
      <w:pPr>
        <w:ind w:left="5760" w:hanging="360"/>
      </w:pPr>
    </w:lvl>
    <w:lvl w:ilvl="8" w:tplc="72024A4C" w:tentative="1">
      <w:start w:val="1"/>
      <w:numFmt w:val="lowerRoman"/>
      <w:lvlText w:val="%9."/>
      <w:lvlJc w:val="right"/>
      <w:pPr>
        <w:ind w:left="6480" w:hanging="180"/>
      </w:pPr>
    </w:lvl>
  </w:abstractNum>
  <w:abstractNum w:abstractNumId="20" w15:restartNumberingAfterBreak="0">
    <w:nsid w:val="7EEB45BD"/>
    <w:multiLevelType w:val="hybridMultilevel"/>
    <w:tmpl w:val="27F40F42"/>
    <w:lvl w:ilvl="0" w:tplc="97CA87B8">
      <w:start w:val="1"/>
      <w:numFmt w:val="bullet"/>
      <w:lvlText w:val=""/>
      <w:lvlJc w:val="left"/>
      <w:pPr>
        <w:ind w:left="720" w:hanging="360"/>
      </w:pPr>
      <w:rPr>
        <w:rFonts w:ascii="Symbol" w:hAnsi="Symbol" w:hint="default"/>
      </w:rPr>
    </w:lvl>
    <w:lvl w:ilvl="1" w:tplc="0CAC914C" w:tentative="1">
      <w:start w:val="1"/>
      <w:numFmt w:val="bullet"/>
      <w:lvlText w:val="o"/>
      <w:lvlJc w:val="left"/>
      <w:pPr>
        <w:ind w:left="1440" w:hanging="360"/>
      </w:pPr>
      <w:rPr>
        <w:rFonts w:ascii="Courier New" w:hAnsi="Courier New" w:cs="Courier New" w:hint="default"/>
      </w:rPr>
    </w:lvl>
    <w:lvl w:ilvl="2" w:tplc="776E317C" w:tentative="1">
      <w:start w:val="1"/>
      <w:numFmt w:val="bullet"/>
      <w:lvlText w:val=""/>
      <w:lvlJc w:val="left"/>
      <w:pPr>
        <w:ind w:left="2160" w:hanging="360"/>
      </w:pPr>
      <w:rPr>
        <w:rFonts w:ascii="Wingdings" w:hAnsi="Wingdings" w:hint="default"/>
      </w:rPr>
    </w:lvl>
    <w:lvl w:ilvl="3" w:tplc="AC9EAD02" w:tentative="1">
      <w:start w:val="1"/>
      <w:numFmt w:val="bullet"/>
      <w:lvlText w:val=""/>
      <w:lvlJc w:val="left"/>
      <w:pPr>
        <w:ind w:left="2880" w:hanging="360"/>
      </w:pPr>
      <w:rPr>
        <w:rFonts w:ascii="Symbol" w:hAnsi="Symbol" w:hint="default"/>
      </w:rPr>
    </w:lvl>
    <w:lvl w:ilvl="4" w:tplc="A96C2200" w:tentative="1">
      <w:start w:val="1"/>
      <w:numFmt w:val="bullet"/>
      <w:lvlText w:val="o"/>
      <w:lvlJc w:val="left"/>
      <w:pPr>
        <w:ind w:left="3600" w:hanging="360"/>
      </w:pPr>
      <w:rPr>
        <w:rFonts w:ascii="Courier New" w:hAnsi="Courier New" w:cs="Courier New" w:hint="default"/>
      </w:rPr>
    </w:lvl>
    <w:lvl w:ilvl="5" w:tplc="E10E5AB0" w:tentative="1">
      <w:start w:val="1"/>
      <w:numFmt w:val="bullet"/>
      <w:lvlText w:val=""/>
      <w:lvlJc w:val="left"/>
      <w:pPr>
        <w:ind w:left="4320" w:hanging="360"/>
      </w:pPr>
      <w:rPr>
        <w:rFonts w:ascii="Wingdings" w:hAnsi="Wingdings" w:hint="default"/>
      </w:rPr>
    </w:lvl>
    <w:lvl w:ilvl="6" w:tplc="87FAF158" w:tentative="1">
      <w:start w:val="1"/>
      <w:numFmt w:val="bullet"/>
      <w:lvlText w:val=""/>
      <w:lvlJc w:val="left"/>
      <w:pPr>
        <w:ind w:left="5040" w:hanging="360"/>
      </w:pPr>
      <w:rPr>
        <w:rFonts w:ascii="Symbol" w:hAnsi="Symbol" w:hint="default"/>
      </w:rPr>
    </w:lvl>
    <w:lvl w:ilvl="7" w:tplc="54EAEF40" w:tentative="1">
      <w:start w:val="1"/>
      <w:numFmt w:val="bullet"/>
      <w:lvlText w:val="o"/>
      <w:lvlJc w:val="left"/>
      <w:pPr>
        <w:ind w:left="5760" w:hanging="360"/>
      </w:pPr>
      <w:rPr>
        <w:rFonts w:ascii="Courier New" w:hAnsi="Courier New" w:cs="Courier New" w:hint="default"/>
      </w:rPr>
    </w:lvl>
    <w:lvl w:ilvl="8" w:tplc="2198471E" w:tentative="1">
      <w:start w:val="1"/>
      <w:numFmt w:val="bullet"/>
      <w:lvlText w:val=""/>
      <w:lvlJc w:val="left"/>
      <w:pPr>
        <w:ind w:left="6480" w:hanging="360"/>
      </w:pPr>
      <w:rPr>
        <w:rFonts w:ascii="Wingdings" w:hAnsi="Wingdings" w:hint="default"/>
      </w:rPr>
    </w:lvl>
  </w:abstractNum>
  <w:num w:numId="1" w16cid:durableId="950938734">
    <w:abstractNumId w:val="14"/>
  </w:num>
  <w:num w:numId="2" w16cid:durableId="1535843712">
    <w:abstractNumId w:val="3"/>
  </w:num>
  <w:num w:numId="3" w16cid:durableId="1516380980">
    <w:abstractNumId w:val="16"/>
  </w:num>
  <w:num w:numId="4" w16cid:durableId="1795057164">
    <w:abstractNumId w:val="5"/>
  </w:num>
  <w:num w:numId="5" w16cid:durableId="1575236744">
    <w:abstractNumId w:val="7"/>
  </w:num>
  <w:num w:numId="6" w16cid:durableId="1769621616">
    <w:abstractNumId w:val="15"/>
  </w:num>
  <w:num w:numId="7" w16cid:durableId="1516385335">
    <w:abstractNumId w:val="18"/>
  </w:num>
  <w:num w:numId="8" w16cid:durableId="2125878036">
    <w:abstractNumId w:val="12"/>
  </w:num>
  <w:num w:numId="9" w16cid:durableId="1664383822">
    <w:abstractNumId w:val="6"/>
  </w:num>
  <w:num w:numId="10" w16cid:durableId="1277524052">
    <w:abstractNumId w:val="0"/>
  </w:num>
  <w:num w:numId="11" w16cid:durableId="1853448370">
    <w:abstractNumId w:val="4"/>
  </w:num>
  <w:num w:numId="12" w16cid:durableId="686835087">
    <w:abstractNumId w:val="11"/>
  </w:num>
  <w:num w:numId="13" w16cid:durableId="845561176">
    <w:abstractNumId w:val="1"/>
  </w:num>
  <w:num w:numId="14" w16cid:durableId="1059935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1261108">
    <w:abstractNumId w:val="10"/>
  </w:num>
  <w:num w:numId="16" w16cid:durableId="1826821380">
    <w:abstractNumId w:val="2"/>
  </w:num>
  <w:num w:numId="17" w16cid:durableId="945625287">
    <w:abstractNumId w:val="2"/>
    <w:lvlOverride w:ilvl="0">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rPr>
      </w:lvl>
    </w:lvlOverride>
    <w:lvlOverride w:ilvl="1">
      <w:lvl w:ilvl="1">
        <w:start w:val="1"/>
        <w:numFmt w:val="decimal"/>
        <w:pStyle w:val="Heading3"/>
        <w:lvlText w:val="%1.%2"/>
        <w:lvlJc w:val="left"/>
        <w:pPr>
          <w:ind w:left="680" w:hanging="680"/>
        </w:pPr>
        <w:rPr>
          <w:rFonts w:hint="default"/>
        </w:rPr>
      </w:lvl>
    </w:lvlOverride>
    <w:lvlOverride w:ilvl="2">
      <w:lvl w:ilvl="2">
        <w:start w:val="1"/>
        <w:numFmt w:val="decimal"/>
        <w:pStyle w:val="Heading4"/>
        <w:lvlText w:val="%1.%2.%3"/>
        <w:lvlJc w:val="left"/>
        <w:pPr>
          <w:ind w:left="680" w:hanging="680"/>
        </w:pPr>
        <w:rPr>
          <w:rFonts w:hint="default"/>
        </w:rPr>
      </w:lvl>
    </w:lvlOverride>
    <w:lvlOverride w:ilvl="3">
      <w:lvl w:ilvl="3">
        <w:start w:val="1"/>
        <w:numFmt w:val="decimal"/>
        <w:lvlText w:val="%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righ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right"/>
        <w:pPr>
          <w:ind w:left="680" w:hanging="680"/>
        </w:pPr>
        <w:rPr>
          <w:rFonts w:hint="default"/>
        </w:rPr>
      </w:lvl>
    </w:lvlOverride>
  </w:num>
  <w:num w:numId="18" w16cid:durableId="1929847754">
    <w:abstractNumId w:val="9"/>
  </w:num>
  <w:num w:numId="19" w16cid:durableId="1831827913">
    <w:abstractNumId w:val="13"/>
  </w:num>
  <w:num w:numId="20" w16cid:durableId="1461411498">
    <w:abstractNumId w:val="19"/>
  </w:num>
  <w:num w:numId="21" w16cid:durableId="660229865">
    <w:abstractNumId w:val="17"/>
  </w:num>
  <w:num w:numId="22" w16cid:durableId="947086596">
    <w:abstractNumId w:val="20"/>
  </w:num>
  <w:num w:numId="23" w16cid:durableId="390545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70792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SortMethod w:val="0000"/>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1C"/>
    <w:rsid w:val="0000067B"/>
    <w:rsid w:val="00001ABE"/>
    <w:rsid w:val="0000478D"/>
    <w:rsid w:val="00007E30"/>
    <w:rsid w:val="00010164"/>
    <w:rsid w:val="00015EEC"/>
    <w:rsid w:val="00016507"/>
    <w:rsid w:val="00016689"/>
    <w:rsid w:val="00016D8D"/>
    <w:rsid w:val="00017770"/>
    <w:rsid w:val="0002598F"/>
    <w:rsid w:val="0003047C"/>
    <w:rsid w:val="00030FC1"/>
    <w:rsid w:val="00031735"/>
    <w:rsid w:val="00033C28"/>
    <w:rsid w:val="000352CA"/>
    <w:rsid w:val="00036390"/>
    <w:rsid w:val="0003646A"/>
    <w:rsid w:val="00036C27"/>
    <w:rsid w:val="00037C60"/>
    <w:rsid w:val="00041967"/>
    <w:rsid w:val="00052157"/>
    <w:rsid w:val="00052415"/>
    <w:rsid w:val="00061882"/>
    <w:rsid w:val="00061A27"/>
    <w:rsid w:val="00062058"/>
    <w:rsid w:val="000713F9"/>
    <w:rsid w:val="000756BD"/>
    <w:rsid w:val="000771EF"/>
    <w:rsid w:val="000771F9"/>
    <w:rsid w:val="00077F67"/>
    <w:rsid w:val="0008385A"/>
    <w:rsid w:val="000901FA"/>
    <w:rsid w:val="0009253E"/>
    <w:rsid w:val="000926B6"/>
    <w:rsid w:val="00093C5B"/>
    <w:rsid w:val="00094F23"/>
    <w:rsid w:val="00094F5D"/>
    <w:rsid w:val="00097E66"/>
    <w:rsid w:val="000A2A96"/>
    <w:rsid w:val="000A68FE"/>
    <w:rsid w:val="000B10FB"/>
    <w:rsid w:val="000B298D"/>
    <w:rsid w:val="000B52F2"/>
    <w:rsid w:val="000C0DD0"/>
    <w:rsid w:val="000C1E24"/>
    <w:rsid w:val="000C2DB4"/>
    <w:rsid w:val="000C47D0"/>
    <w:rsid w:val="000C583A"/>
    <w:rsid w:val="000C79E7"/>
    <w:rsid w:val="000D05D2"/>
    <w:rsid w:val="000D5DFB"/>
    <w:rsid w:val="000D605F"/>
    <w:rsid w:val="000D6582"/>
    <w:rsid w:val="000E0C64"/>
    <w:rsid w:val="000E2D26"/>
    <w:rsid w:val="000E40C1"/>
    <w:rsid w:val="000E4356"/>
    <w:rsid w:val="000E6E37"/>
    <w:rsid w:val="000F0E21"/>
    <w:rsid w:val="000F2226"/>
    <w:rsid w:val="000F3E99"/>
    <w:rsid w:val="00102A82"/>
    <w:rsid w:val="00107BDF"/>
    <w:rsid w:val="00110A32"/>
    <w:rsid w:val="00114E27"/>
    <w:rsid w:val="001158A3"/>
    <w:rsid w:val="00122315"/>
    <w:rsid w:val="001240C3"/>
    <w:rsid w:val="00125AFB"/>
    <w:rsid w:val="00126D66"/>
    <w:rsid w:val="00127882"/>
    <w:rsid w:val="001303C0"/>
    <w:rsid w:val="001334E0"/>
    <w:rsid w:val="0013350A"/>
    <w:rsid w:val="00133B94"/>
    <w:rsid w:val="001353EB"/>
    <w:rsid w:val="00136CF7"/>
    <w:rsid w:val="001401CB"/>
    <w:rsid w:val="001427EF"/>
    <w:rsid w:val="00143546"/>
    <w:rsid w:val="0014588A"/>
    <w:rsid w:val="00145C28"/>
    <w:rsid w:val="00146834"/>
    <w:rsid w:val="001517FB"/>
    <w:rsid w:val="00152816"/>
    <w:rsid w:val="001539E9"/>
    <w:rsid w:val="00155221"/>
    <w:rsid w:val="001560EE"/>
    <w:rsid w:val="00162EBD"/>
    <w:rsid w:val="0016556E"/>
    <w:rsid w:val="0016777B"/>
    <w:rsid w:val="00167FF3"/>
    <w:rsid w:val="00174141"/>
    <w:rsid w:val="001765F2"/>
    <w:rsid w:val="00177117"/>
    <w:rsid w:val="00185474"/>
    <w:rsid w:val="001914E3"/>
    <w:rsid w:val="001A1571"/>
    <w:rsid w:val="001B1DB2"/>
    <w:rsid w:val="001B4897"/>
    <w:rsid w:val="001B767B"/>
    <w:rsid w:val="001C087F"/>
    <w:rsid w:val="001C0D1C"/>
    <w:rsid w:val="001C0E6E"/>
    <w:rsid w:val="001C11CB"/>
    <w:rsid w:val="001D4624"/>
    <w:rsid w:val="001D73EA"/>
    <w:rsid w:val="001E1504"/>
    <w:rsid w:val="001F0869"/>
    <w:rsid w:val="001F42F3"/>
    <w:rsid w:val="00201048"/>
    <w:rsid w:val="00201CFC"/>
    <w:rsid w:val="00201D18"/>
    <w:rsid w:val="002062E8"/>
    <w:rsid w:val="00207CE2"/>
    <w:rsid w:val="00210970"/>
    <w:rsid w:val="0021099F"/>
    <w:rsid w:val="0021423E"/>
    <w:rsid w:val="002153C7"/>
    <w:rsid w:val="00217A2D"/>
    <w:rsid w:val="002207DF"/>
    <w:rsid w:val="00221C69"/>
    <w:rsid w:val="00224ABE"/>
    <w:rsid w:val="00226CCB"/>
    <w:rsid w:val="00235417"/>
    <w:rsid w:val="0024128D"/>
    <w:rsid w:val="00241878"/>
    <w:rsid w:val="00246F1E"/>
    <w:rsid w:val="002521E2"/>
    <w:rsid w:val="00252BEE"/>
    <w:rsid w:val="002530CD"/>
    <w:rsid w:val="0028085F"/>
    <w:rsid w:val="0028110E"/>
    <w:rsid w:val="002822AD"/>
    <w:rsid w:val="00284061"/>
    <w:rsid w:val="00294826"/>
    <w:rsid w:val="002A3991"/>
    <w:rsid w:val="002A4295"/>
    <w:rsid w:val="002A51C8"/>
    <w:rsid w:val="002A565D"/>
    <w:rsid w:val="002A61E7"/>
    <w:rsid w:val="002A695A"/>
    <w:rsid w:val="002B3751"/>
    <w:rsid w:val="002B4CF2"/>
    <w:rsid w:val="002C4E04"/>
    <w:rsid w:val="002C64A6"/>
    <w:rsid w:val="002D22AA"/>
    <w:rsid w:val="002D2A84"/>
    <w:rsid w:val="002D76CE"/>
    <w:rsid w:val="002E75A2"/>
    <w:rsid w:val="002F0E07"/>
    <w:rsid w:val="002F1BC9"/>
    <w:rsid w:val="002F23A2"/>
    <w:rsid w:val="002F2E07"/>
    <w:rsid w:val="003022FA"/>
    <w:rsid w:val="003026F1"/>
    <w:rsid w:val="00305B0E"/>
    <w:rsid w:val="00310B12"/>
    <w:rsid w:val="003116B8"/>
    <w:rsid w:val="00312255"/>
    <w:rsid w:val="0031526B"/>
    <w:rsid w:val="003168F1"/>
    <w:rsid w:val="0032080B"/>
    <w:rsid w:val="00320CEE"/>
    <w:rsid w:val="00321618"/>
    <w:rsid w:val="00336E14"/>
    <w:rsid w:val="00337A30"/>
    <w:rsid w:val="00342977"/>
    <w:rsid w:val="00343984"/>
    <w:rsid w:val="003457D8"/>
    <w:rsid w:val="0034659D"/>
    <w:rsid w:val="00355859"/>
    <w:rsid w:val="0036088D"/>
    <w:rsid w:val="00363C9F"/>
    <w:rsid w:val="00373509"/>
    <w:rsid w:val="00375812"/>
    <w:rsid w:val="00375B3B"/>
    <w:rsid w:val="00380636"/>
    <w:rsid w:val="0038356E"/>
    <w:rsid w:val="003869B4"/>
    <w:rsid w:val="00386CCB"/>
    <w:rsid w:val="003872E8"/>
    <w:rsid w:val="003876F4"/>
    <w:rsid w:val="0039051D"/>
    <w:rsid w:val="00391E64"/>
    <w:rsid w:val="00391EA5"/>
    <w:rsid w:val="003925E5"/>
    <w:rsid w:val="00394534"/>
    <w:rsid w:val="00394778"/>
    <w:rsid w:val="003A397E"/>
    <w:rsid w:val="003B102D"/>
    <w:rsid w:val="003C4D43"/>
    <w:rsid w:val="003C5E11"/>
    <w:rsid w:val="003C751C"/>
    <w:rsid w:val="003D4A96"/>
    <w:rsid w:val="003D4E18"/>
    <w:rsid w:val="003E4A00"/>
    <w:rsid w:val="003F4D21"/>
    <w:rsid w:val="003F64B9"/>
    <w:rsid w:val="003F6F00"/>
    <w:rsid w:val="00401C43"/>
    <w:rsid w:val="00401D5A"/>
    <w:rsid w:val="004026C6"/>
    <w:rsid w:val="0040385E"/>
    <w:rsid w:val="004069C2"/>
    <w:rsid w:val="00413DA8"/>
    <w:rsid w:val="004161CC"/>
    <w:rsid w:val="00422F0C"/>
    <w:rsid w:val="00423069"/>
    <w:rsid w:val="00426264"/>
    <w:rsid w:val="004267B6"/>
    <w:rsid w:val="0043175F"/>
    <w:rsid w:val="00436543"/>
    <w:rsid w:val="0043748C"/>
    <w:rsid w:val="0043778D"/>
    <w:rsid w:val="0044601B"/>
    <w:rsid w:val="00447D06"/>
    <w:rsid w:val="0045225B"/>
    <w:rsid w:val="0045400F"/>
    <w:rsid w:val="00464567"/>
    <w:rsid w:val="00465242"/>
    <w:rsid w:val="00471213"/>
    <w:rsid w:val="004731E6"/>
    <w:rsid w:val="00475306"/>
    <w:rsid w:val="004820EA"/>
    <w:rsid w:val="004928C0"/>
    <w:rsid w:val="00492E7F"/>
    <w:rsid w:val="00492EBF"/>
    <w:rsid w:val="00493F60"/>
    <w:rsid w:val="00494B8A"/>
    <w:rsid w:val="004A5D1E"/>
    <w:rsid w:val="004B29A1"/>
    <w:rsid w:val="004B2B50"/>
    <w:rsid w:val="004B3215"/>
    <w:rsid w:val="004B544E"/>
    <w:rsid w:val="004B65E5"/>
    <w:rsid w:val="004B77AD"/>
    <w:rsid w:val="004C14EC"/>
    <w:rsid w:val="004C1D66"/>
    <w:rsid w:val="004C29CC"/>
    <w:rsid w:val="004C3472"/>
    <w:rsid w:val="004D300A"/>
    <w:rsid w:val="004D33A9"/>
    <w:rsid w:val="004D52CE"/>
    <w:rsid w:val="004D64F0"/>
    <w:rsid w:val="004D729F"/>
    <w:rsid w:val="004D779E"/>
    <w:rsid w:val="004E0186"/>
    <w:rsid w:val="004E03D0"/>
    <w:rsid w:val="004E0569"/>
    <w:rsid w:val="004E3D73"/>
    <w:rsid w:val="004E3F32"/>
    <w:rsid w:val="004F1DDC"/>
    <w:rsid w:val="004F2289"/>
    <w:rsid w:val="004F6114"/>
    <w:rsid w:val="0051480D"/>
    <w:rsid w:val="00515821"/>
    <w:rsid w:val="00516712"/>
    <w:rsid w:val="00516A4E"/>
    <w:rsid w:val="00517D00"/>
    <w:rsid w:val="0052121F"/>
    <w:rsid w:val="00522248"/>
    <w:rsid w:val="00522832"/>
    <w:rsid w:val="00522EF7"/>
    <w:rsid w:val="0052310D"/>
    <w:rsid w:val="00524BB4"/>
    <w:rsid w:val="00530EA5"/>
    <w:rsid w:val="00532C5C"/>
    <w:rsid w:val="005347DF"/>
    <w:rsid w:val="00542F9A"/>
    <w:rsid w:val="00550212"/>
    <w:rsid w:val="005510D2"/>
    <w:rsid w:val="005557FF"/>
    <w:rsid w:val="00557258"/>
    <w:rsid w:val="00562C25"/>
    <w:rsid w:val="00567DF6"/>
    <w:rsid w:val="005739A9"/>
    <w:rsid w:val="00573FF0"/>
    <w:rsid w:val="0057785C"/>
    <w:rsid w:val="00581733"/>
    <w:rsid w:val="00583176"/>
    <w:rsid w:val="00583961"/>
    <w:rsid w:val="00584025"/>
    <w:rsid w:val="0058555C"/>
    <w:rsid w:val="005951B0"/>
    <w:rsid w:val="005A0391"/>
    <w:rsid w:val="005A4C22"/>
    <w:rsid w:val="005A580C"/>
    <w:rsid w:val="005B156B"/>
    <w:rsid w:val="005B28E2"/>
    <w:rsid w:val="005C2CB0"/>
    <w:rsid w:val="005C2F0F"/>
    <w:rsid w:val="005D286D"/>
    <w:rsid w:val="005D3A23"/>
    <w:rsid w:val="005D49B9"/>
    <w:rsid w:val="005D75CA"/>
    <w:rsid w:val="005E2EB3"/>
    <w:rsid w:val="005E6544"/>
    <w:rsid w:val="005F16DE"/>
    <w:rsid w:val="00602818"/>
    <w:rsid w:val="00606A7B"/>
    <w:rsid w:val="0061096E"/>
    <w:rsid w:val="00616328"/>
    <w:rsid w:val="00620280"/>
    <w:rsid w:val="00621D8D"/>
    <w:rsid w:val="00635D8A"/>
    <w:rsid w:val="006406BE"/>
    <w:rsid w:val="00641055"/>
    <w:rsid w:val="00643DA6"/>
    <w:rsid w:val="006448B1"/>
    <w:rsid w:val="006475A5"/>
    <w:rsid w:val="006526F5"/>
    <w:rsid w:val="006559FC"/>
    <w:rsid w:val="00656218"/>
    <w:rsid w:val="006563B2"/>
    <w:rsid w:val="006575AC"/>
    <w:rsid w:val="00661BB9"/>
    <w:rsid w:val="00667EC1"/>
    <w:rsid w:val="00672130"/>
    <w:rsid w:val="00673F15"/>
    <w:rsid w:val="00674CE3"/>
    <w:rsid w:val="0067553B"/>
    <w:rsid w:val="006769AB"/>
    <w:rsid w:val="00683166"/>
    <w:rsid w:val="006845DD"/>
    <w:rsid w:val="006904CF"/>
    <w:rsid w:val="00694B25"/>
    <w:rsid w:val="006975A0"/>
    <w:rsid w:val="006979EB"/>
    <w:rsid w:val="006A029B"/>
    <w:rsid w:val="006A2DFB"/>
    <w:rsid w:val="006A3106"/>
    <w:rsid w:val="006A343A"/>
    <w:rsid w:val="006A3CAE"/>
    <w:rsid w:val="006A4CB1"/>
    <w:rsid w:val="006A6775"/>
    <w:rsid w:val="006A6CCD"/>
    <w:rsid w:val="006A7036"/>
    <w:rsid w:val="006A731B"/>
    <w:rsid w:val="006A7344"/>
    <w:rsid w:val="006B0E2A"/>
    <w:rsid w:val="006B464F"/>
    <w:rsid w:val="006B587E"/>
    <w:rsid w:val="006B5E82"/>
    <w:rsid w:val="006C0C24"/>
    <w:rsid w:val="006D1CD3"/>
    <w:rsid w:val="006D27FD"/>
    <w:rsid w:val="006D3FBE"/>
    <w:rsid w:val="006E15D1"/>
    <w:rsid w:val="006E392E"/>
    <w:rsid w:val="006F28AB"/>
    <w:rsid w:val="006F6F47"/>
    <w:rsid w:val="006F79BC"/>
    <w:rsid w:val="00702B33"/>
    <w:rsid w:val="00710822"/>
    <w:rsid w:val="00710A3B"/>
    <w:rsid w:val="007172D4"/>
    <w:rsid w:val="00717A76"/>
    <w:rsid w:val="00723420"/>
    <w:rsid w:val="00726FBB"/>
    <w:rsid w:val="00727295"/>
    <w:rsid w:val="007336AC"/>
    <w:rsid w:val="0073591B"/>
    <w:rsid w:val="00740566"/>
    <w:rsid w:val="00740624"/>
    <w:rsid w:val="00740B68"/>
    <w:rsid w:val="00741B19"/>
    <w:rsid w:val="00744AE7"/>
    <w:rsid w:val="00750F4C"/>
    <w:rsid w:val="007525FF"/>
    <w:rsid w:val="0075589F"/>
    <w:rsid w:val="00756AB9"/>
    <w:rsid w:val="00766C7C"/>
    <w:rsid w:val="00770B7D"/>
    <w:rsid w:val="007722FA"/>
    <w:rsid w:val="007760E8"/>
    <w:rsid w:val="00776D45"/>
    <w:rsid w:val="00790487"/>
    <w:rsid w:val="00791C17"/>
    <w:rsid w:val="00792F27"/>
    <w:rsid w:val="00796397"/>
    <w:rsid w:val="007A100E"/>
    <w:rsid w:val="007A3358"/>
    <w:rsid w:val="007A4033"/>
    <w:rsid w:val="007B276C"/>
    <w:rsid w:val="007B4F19"/>
    <w:rsid w:val="007B6853"/>
    <w:rsid w:val="007B69A7"/>
    <w:rsid w:val="007C2811"/>
    <w:rsid w:val="007C3433"/>
    <w:rsid w:val="007C3BD5"/>
    <w:rsid w:val="007C3BE5"/>
    <w:rsid w:val="007D0E7F"/>
    <w:rsid w:val="007F47F2"/>
    <w:rsid w:val="007F5F09"/>
    <w:rsid w:val="007F665B"/>
    <w:rsid w:val="0080362C"/>
    <w:rsid w:val="00804776"/>
    <w:rsid w:val="008059D7"/>
    <w:rsid w:val="00811A47"/>
    <w:rsid w:val="00815552"/>
    <w:rsid w:val="00815596"/>
    <w:rsid w:val="00822C7A"/>
    <w:rsid w:val="00824850"/>
    <w:rsid w:val="00832A94"/>
    <w:rsid w:val="008340C6"/>
    <w:rsid w:val="008346B1"/>
    <w:rsid w:val="00835107"/>
    <w:rsid w:val="00840549"/>
    <w:rsid w:val="008441F6"/>
    <w:rsid w:val="00846299"/>
    <w:rsid w:val="00847FCE"/>
    <w:rsid w:val="00850AF1"/>
    <w:rsid w:val="0085109C"/>
    <w:rsid w:val="0085420B"/>
    <w:rsid w:val="00854BDC"/>
    <w:rsid w:val="00857434"/>
    <w:rsid w:val="00860F63"/>
    <w:rsid w:val="00862741"/>
    <w:rsid w:val="00862C55"/>
    <w:rsid w:val="00863B22"/>
    <w:rsid w:val="00864E80"/>
    <w:rsid w:val="00865C53"/>
    <w:rsid w:val="00866033"/>
    <w:rsid w:val="008757B1"/>
    <w:rsid w:val="00875A00"/>
    <w:rsid w:val="00876F8B"/>
    <w:rsid w:val="0088280B"/>
    <w:rsid w:val="00883019"/>
    <w:rsid w:val="00886AB4"/>
    <w:rsid w:val="0088742B"/>
    <w:rsid w:val="00893D1A"/>
    <w:rsid w:val="00896582"/>
    <w:rsid w:val="008A2CB7"/>
    <w:rsid w:val="008A480F"/>
    <w:rsid w:val="008A7ACC"/>
    <w:rsid w:val="008B2A22"/>
    <w:rsid w:val="008B31DD"/>
    <w:rsid w:val="008B45DE"/>
    <w:rsid w:val="008B4FE0"/>
    <w:rsid w:val="008B61C5"/>
    <w:rsid w:val="008B6A16"/>
    <w:rsid w:val="008B771A"/>
    <w:rsid w:val="008B7C2D"/>
    <w:rsid w:val="008C0C65"/>
    <w:rsid w:val="008C2430"/>
    <w:rsid w:val="008C7033"/>
    <w:rsid w:val="008D0CB0"/>
    <w:rsid w:val="008D3645"/>
    <w:rsid w:val="008D4C30"/>
    <w:rsid w:val="008E1AE1"/>
    <w:rsid w:val="008E1E10"/>
    <w:rsid w:val="008E30E9"/>
    <w:rsid w:val="008E3573"/>
    <w:rsid w:val="008E5357"/>
    <w:rsid w:val="008E696A"/>
    <w:rsid w:val="008F09B7"/>
    <w:rsid w:val="008F13D4"/>
    <w:rsid w:val="008F3B56"/>
    <w:rsid w:val="00901806"/>
    <w:rsid w:val="00903139"/>
    <w:rsid w:val="00903B04"/>
    <w:rsid w:val="00906B30"/>
    <w:rsid w:val="00917E4B"/>
    <w:rsid w:val="00923ACD"/>
    <w:rsid w:val="00926519"/>
    <w:rsid w:val="00930F44"/>
    <w:rsid w:val="00931FAA"/>
    <w:rsid w:val="00932075"/>
    <w:rsid w:val="00934B92"/>
    <w:rsid w:val="00934F9A"/>
    <w:rsid w:val="00941693"/>
    <w:rsid w:val="009468E9"/>
    <w:rsid w:val="009477FA"/>
    <w:rsid w:val="00950A15"/>
    <w:rsid w:val="00951932"/>
    <w:rsid w:val="00951DBD"/>
    <w:rsid w:val="00954021"/>
    <w:rsid w:val="00956C6B"/>
    <w:rsid w:val="0097053B"/>
    <w:rsid w:val="00974D70"/>
    <w:rsid w:val="00975E2C"/>
    <w:rsid w:val="00980EB4"/>
    <w:rsid w:val="00992439"/>
    <w:rsid w:val="00993B8E"/>
    <w:rsid w:val="0099402C"/>
    <w:rsid w:val="009A0F22"/>
    <w:rsid w:val="009A6754"/>
    <w:rsid w:val="009A7D62"/>
    <w:rsid w:val="009B16A2"/>
    <w:rsid w:val="009B2BC4"/>
    <w:rsid w:val="009B46E4"/>
    <w:rsid w:val="009C4798"/>
    <w:rsid w:val="009C6AC2"/>
    <w:rsid w:val="009C6F67"/>
    <w:rsid w:val="009C7F56"/>
    <w:rsid w:val="009D16E7"/>
    <w:rsid w:val="009D1811"/>
    <w:rsid w:val="009D24FD"/>
    <w:rsid w:val="009D2CAF"/>
    <w:rsid w:val="009D54BA"/>
    <w:rsid w:val="009D58DB"/>
    <w:rsid w:val="009E02B0"/>
    <w:rsid w:val="009E09E0"/>
    <w:rsid w:val="009E2634"/>
    <w:rsid w:val="009E34D4"/>
    <w:rsid w:val="009F41E6"/>
    <w:rsid w:val="00A02429"/>
    <w:rsid w:val="00A03366"/>
    <w:rsid w:val="00A062F7"/>
    <w:rsid w:val="00A06D51"/>
    <w:rsid w:val="00A07508"/>
    <w:rsid w:val="00A2582B"/>
    <w:rsid w:val="00A25AB8"/>
    <w:rsid w:val="00A279A0"/>
    <w:rsid w:val="00A31048"/>
    <w:rsid w:val="00A32F06"/>
    <w:rsid w:val="00A33460"/>
    <w:rsid w:val="00A347BD"/>
    <w:rsid w:val="00A40001"/>
    <w:rsid w:val="00A42554"/>
    <w:rsid w:val="00A43C94"/>
    <w:rsid w:val="00A46AAF"/>
    <w:rsid w:val="00A47617"/>
    <w:rsid w:val="00A500AC"/>
    <w:rsid w:val="00A51988"/>
    <w:rsid w:val="00A55860"/>
    <w:rsid w:val="00A62D42"/>
    <w:rsid w:val="00A63269"/>
    <w:rsid w:val="00A70B24"/>
    <w:rsid w:val="00A71CF8"/>
    <w:rsid w:val="00A7250E"/>
    <w:rsid w:val="00A87549"/>
    <w:rsid w:val="00A94400"/>
    <w:rsid w:val="00A95D02"/>
    <w:rsid w:val="00A96E6B"/>
    <w:rsid w:val="00AA1B75"/>
    <w:rsid w:val="00AA255D"/>
    <w:rsid w:val="00AA2C42"/>
    <w:rsid w:val="00AA3A9E"/>
    <w:rsid w:val="00AA5508"/>
    <w:rsid w:val="00AA5E39"/>
    <w:rsid w:val="00AA6B4A"/>
    <w:rsid w:val="00AB1B78"/>
    <w:rsid w:val="00AC38F8"/>
    <w:rsid w:val="00AC4579"/>
    <w:rsid w:val="00AC460E"/>
    <w:rsid w:val="00AD5482"/>
    <w:rsid w:val="00AE22F3"/>
    <w:rsid w:val="00AE3CFB"/>
    <w:rsid w:val="00AE4452"/>
    <w:rsid w:val="00AE614C"/>
    <w:rsid w:val="00AE66E8"/>
    <w:rsid w:val="00AE7845"/>
    <w:rsid w:val="00AF2057"/>
    <w:rsid w:val="00B0422B"/>
    <w:rsid w:val="00B048BB"/>
    <w:rsid w:val="00B04B08"/>
    <w:rsid w:val="00B12F56"/>
    <w:rsid w:val="00B13B69"/>
    <w:rsid w:val="00B151F6"/>
    <w:rsid w:val="00B1768B"/>
    <w:rsid w:val="00B17C05"/>
    <w:rsid w:val="00B17DDD"/>
    <w:rsid w:val="00B24CA2"/>
    <w:rsid w:val="00B25DAE"/>
    <w:rsid w:val="00B309FD"/>
    <w:rsid w:val="00B37E36"/>
    <w:rsid w:val="00B41B6B"/>
    <w:rsid w:val="00B429DB"/>
    <w:rsid w:val="00B4594C"/>
    <w:rsid w:val="00B64DC3"/>
    <w:rsid w:val="00B7057B"/>
    <w:rsid w:val="00B7164F"/>
    <w:rsid w:val="00B73A6A"/>
    <w:rsid w:val="00B74937"/>
    <w:rsid w:val="00B82E35"/>
    <w:rsid w:val="00B82F69"/>
    <w:rsid w:val="00B84EFD"/>
    <w:rsid w:val="00B87B49"/>
    <w:rsid w:val="00B93D7E"/>
    <w:rsid w:val="00B9525A"/>
    <w:rsid w:val="00B957C5"/>
    <w:rsid w:val="00B968CA"/>
    <w:rsid w:val="00B969D1"/>
    <w:rsid w:val="00BA21E8"/>
    <w:rsid w:val="00BB1292"/>
    <w:rsid w:val="00BB20B9"/>
    <w:rsid w:val="00BB22E9"/>
    <w:rsid w:val="00BB4037"/>
    <w:rsid w:val="00BC0D5E"/>
    <w:rsid w:val="00BC1B8D"/>
    <w:rsid w:val="00BC507C"/>
    <w:rsid w:val="00BD182B"/>
    <w:rsid w:val="00BD2608"/>
    <w:rsid w:val="00BD3FF2"/>
    <w:rsid w:val="00BE2CDE"/>
    <w:rsid w:val="00BE43FB"/>
    <w:rsid w:val="00BE47F0"/>
    <w:rsid w:val="00BE52A7"/>
    <w:rsid w:val="00BF0280"/>
    <w:rsid w:val="00BF2A30"/>
    <w:rsid w:val="00BF6347"/>
    <w:rsid w:val="00BF7C56"/>
    <w:rsid w:val="00C059A6"/>
    <w:rsid w:val="00C0603D"/>
    <w:rsid w:val="00C10DD6"/>
    <w:rsid w:val="00C11AF4"/>
    <w:rsid w:val="00C123DA"/>
    <w:rsid w:val="00C1574F"/>
    <w:rsid w:val="00C22135"/>
    <w:rsid w:val="00C27557"/>
    <w:rsid w:val="00C34DAD"/>
    <w:rsid w:val="00C35F2A"/>
    <w:rsid w:val="00C40445"/>
    <w:rsid w:val="00C46F3C"/>
    <w:rsid w:val="00C50633"/>
    <w:rsid w:val="00C50694"/>
    <w:rsid w:val="00C52D92"/>
    <w:rsid w:val="00C5304E"/>
    <w:rsid w:val="00C5680B"/>
    <w:rsid w:val="00C6093F"/>
    <w:rsid w:val="00C6248F"/>
    <w:rsid w:val="00C62C23"/>
    <w:rsid w:val="00C6521D"/>
    <w:rsid w:val="00C657EE"/>
    <w:rsid w:val="00C6663B"/>
    <w:rsid w:val="00C7068E"/>
    <w:rsid w:val="00C717F8"/>
    <w:rsid w:val="00C80A72"/>
    <w:rsid w:val="00C84CBE"/>
    <w:rsid w:val="00C8514D"/>
    <w:rsid w:val="00C85667"/>
    <w:rsid w:val="00C859BC"/>
    <w:rsid w:val="00C87827"/>
    <w:rsid w:val="00C90700"/>
    <w:rsid w:val="00C91988"/>
    <w:rsid w:val="00C92F61"/>
    <w:rsid w:val="00C93198"/>
    <w:rsid w:val="00C95DDB"/>
    <w:rsid w:val="00CA2E11"/>
    <w:rsid w:val="00CA4A82"/>
    <w:rsid w:val="00CB02D3"/>
    <w:rsid w:val="00CB21A5"/>
    <w:rsid w:val="00CB284F"/>
    <w:rsid w:val="00CB3147"/>
    <w:rsid w:val="00CB3DC4"/>
    <w:rsid w:val="00CB4533"/>
    <w:rsid w:val="00CC02BC"/>
    <w:rsid w:val="00CC6C44"/>
    <w:rsid w:val="00CD3E52"/>
    <w:rsid w:val="00CD5E2A"/>
    <w:rsid w:val="00CD79F8"/>
    <w:rsid w:val="00CE33C0"/>
    <w:rsid w:val="00CE50EA"/>
    <w:rsid w:val="00CE56A1"/>
    <w:rsid w:val="00CE6462"/>
    <w:rsid w:val="00CE74BD"/>
    <w:rsid w:val="00CE76B8"/>
    <w:rsid w:val="00CF0F46"/>
    <w:rsid w:val="00CF3490"/>
    <w:rsid w:val="00CF39B7"/>
    <w:rsid w:val="00D04256"/>
    <w:rsid w:val="00D1603C"/>
    <w:rsid w:val="00D25EF9"/>
    <w:rsid w:val="00D26D97"/>
    <w:rsid w:val="00D26E00"/>
    <w:rsid w:val="00D276B7"/>
    <w:rsid w:val="00D27848"/>
    <w:rsid w:val="00D4146A"/>
    <w:rsid w:val="00D469D5"/>
    <w:rsid w:val="00D47CA4"/>
    <w:rsid w:val="00D47F84"/>
    <w:rsid w:val="00D5227C"/>
    <w:rsid w:val="00D633C3"/>
    <w:rsid w:val="00D63BD7"/>
    <w:rsid w:val="00D65ADA"/>
    <w:rsid w:val="00D66833"/>
    <w:rsid w:val="00D66899"/>
    <w:rsid w:val="00D739CF"/>
    <w:rsid w:val="00D73B82"/>
    <w:rsid w:val="00D73DEB"/>
    <w:rsid w:val="00D800E5"/>
    <w:rsid w:val="00D8296B"/>
    <w:rsid w:val="00D867DA"/>
    <w:rsid w:val="00D876CF"/>
    <w:rsid w:val="00D93380"/>
    <w:rsid w:val="00D9494E"/>
    <w:rsid w:val="00D974DA"/>
    <w:rsid w:val="00D976E1"/>
    <w:rsid w:val="00D97894"/>
    <w:rsid w:val="00DA0CEE"/>
    <w:rsid w:val="00DA5759"/>
    <w:rsid w:val="00DB0E8E"/>
    <w:rsid w:val="00DB1E99"/>
    <w:rsid w:val="00DB1FB8"/>
    <w:rsid w:val="00DB225C"/>
    <w:rsid w:val="00DB2E06"/>
    <w:rsid w:val="00DB3B36"/>
    <w:rsid w:val="00DB4CE8"/>
    <w:rsid w:val="00DB5429"/>
    <w:rsid w:val="00DB7BC7"/>
    <w:rsid w:val="00DC19D7"/>
    <w:rsid w:val="00DC2484"/>
    <w:rsid w:val="00DC7DBC"/>
    <w:rsid w:val="00DD1934"/>
    <w:rsid w:val="00DD28A7"/>
    <w:rsid w:val="00DD42BD"/>
    <w:rsid w:val="00DD5AA0"/>
    <w:rsid w:val="00DD7301"/>
    <w:rsid w:val="00DE50A8"/>
    <w:rsid w:val="00DE5F35"/>
    <w:rsid w:val="00DF1801"/>
    <w:rsid w:val="00DF1CB8"/>
    <w:rsid w:val="00DF3898"/>
    <w:rsid w:val="00DF5800"/>
    <w:rsid w:val="00DF5B88"/>
    <w:rsid w:val="00DF7310"/>
    <w:rsid w:val="00E00D37"/>
    <w:rsid w:val="00E02F1A"/>
    <w:rsid w:val="00E07FA9"/>
    <w:rsid w:val="00E108B2"/>
    <w:rsid w:val="00E134D4"/>
    <w:rsid w:val="00E221F0"/>
    <w:rsid w:val="00E22EFA"/>
    <w:rsid w:val="00E2308D"/>
    <w:rsid w:val="00E24110"/>
    <w:rsid w:val="00E277F3"/>
    <w:rsid w:val="00E30A3D"/>
    <w:rsid w:val="00E30C12"/>
    <w:rsid w:val="00E34D35"/>
    <w:rsid w:val="00E4113D"/>
    <w:rsid w:val="00E42236"/>
    <w:rsid w:val="00E457B0"/>
    <w:rsid w:val="00E4584E"/>
    <w:rsid w:val="00E52C44"/>
    <w:rsid w:val="00E55B1C"/>
    <w:rsid w:val="00E6218B"/>
    <w:rsid w:val="00E66280"/>
    <w:rsid w:val="00E66596"/>
    <w:rsid w:val="00E66A5D"/>
    <w:rsid w:val="00E7169C"/>
    <w:rsid w:val="00E747AE"/>
    <w:rsid w:val="00E75869"/>
    <w:rsid w:val="00E80234"/>
    <w:rsid w:val="00E81C4D"/>
    <w:rsid w:val="00E844B5"/>
    <w:rsid w:val="00E85604"/>
    <w:rsid w:val="00E9420C"/>
    <w:rsid w:val="00E96D9F"/>
    <w:rsid w:val="00EA07F1"/>
    <w:rsid w:val="00EA6773"/>
    <w:rsid w:val="00EA6E99"/>
    <w:rsid w:val="00EB127A"/>
    <w:rsid w:val="00EB133A"/>
    <w:rsid w:val="00EB4042"/>
    <w:rsid w:val="00EC141C"/>
    <w:rsid w:val="00EC1464"/>
    <w:rsid w:val="00EC2A20"/>
    <w:rsid w:val="00EC3BED"/>
    <w:rsid w:val="00EC7B6D"/>
    <w:rsid w:val="00ED42A2"/>
    <w:rsid w:val="00ED5B16"/>
    <w:rsid w:val="00EE08D2"/>
    <w:rsid w:val="00EE1C1F"/>
    <w:rsid w:val="00EE4FA3"/>
    <w:rsid w:val="00EE7040"/>
    <w:rsid w:val="00EF1CDB"/>
    <w:rsid w:val="00EF2229"/>
    <w:rsid w:val="00EF23C2"/>
    <w:rsid w:val="00EF2C98"/>
    <w:rsid w:val="00EF4E76"/>
    <w:rsid w:val="00F01476"/>
    <w:rsid w:val="00F034CC"/>
    <w:rsid w:val="00F104E5"/>
    <w:rsid w:val="00F21169"/>
    <w:rsid w:val="00F217AD"/>
    <w:rsid w:val="00F23A94"/>
    <w:rsid w:val="00F24103"/>
    <w:rsid w:val="00F24C09"/>
    <w:rsid w:val="00F319F4"/>
    <w:rsid w:val="00F33B80"/>
    <w:rsid w:val="00F43CCC"/>
    <w:rsid w:val="00F464BF"/>
    <w:rsid w:val="00F47D0E"/>
    <w:rsid w:val="00F50DC0"/>
    <w:rsid w:val="00F5650B"/>
    <w:rsid w:val="00F56F2E"/>
    <w:rsid w:val="00F6367B"/>
    <w:rsid w:val="00F64FEC"/>
    <w:rsid w:val="00F65675"/>
    <w:rsid w:val="00F65D7C"/>
    <w:rsid w:val="00F66E22"/>
    <w:rsid w:val="00F74913"/>
    <w:rsid w:val="00F7564F"/>
    <w:rsid w:val="00F76A7A"/>
    <w:rsid w:val="00F771DF"/>
    <w:rsid w:val="00F772C9"/>
    <w:rsid w:val="00F800C9"/>
    <w:rsid w:val="00F84C52"/>
    <w:rsid w:val="00F87C98"/>
    <w:rsid w:val="00F952B5"/>
    <w:rsid w:val="00F964F6"/>
    <w:rsid w:val="00F9792D"/>
    <w:rsid w:val="00FA0138"/>
    <w:rsid w:val="00FA0455"/>
    <w:rsid w:val="00FA09FC"/>
    <w:rsid w:val="00FA0E54"/>
    <w:rsid w:val="00FA2DCB"/>
    <w:rsid w:val="00FB0693"/>
    <w:rsid w:val="00FB47A6"/>
    <w:rsid w:val="00FC1C68"/>
    <w:rsid w:val="00FC1FA9"/>
    <w:rsid w:val="00FC564F"/>
    <w:rsid w:val="00FD3657"/>
    <w:rsid w:val="00FE14C4"/>
    <w:rsid w:val="00FE2B28"/>
    <w:rsid w:val="00FE724E"/>
    <w:rsid w:val="00FE7A0A"/>
    <w:rsid w:val="00FF0960"/>
    <w:rsid w:val="00FF6C0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D65D"/>
  <w15:docId w15:val="{F2474E5B-91C1-D641-B25B-D0DA2B87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3"/>
    <w:rsid w:val="00CA4A82"/>
    <w:pPr>
      <w:keepNext/>
      <w:keepLines/>
      <w:numPr>
        <w:numId w:val="16"/>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4"/>
    <w:qFormat/>
    <w:rsid w:val="00BF0280"/>
    <w:pPr>
      <w:keepNext/>
      <w:keepLines/>
      <w:numPr>
        <w:ilvl w:val="1"/>
        <w:numId w:val="16"/>
      </w:numPr>
      <w:spacing w:before="240" w:after="24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link w:val="ListParagraphChar"/>
    <w:uiPriority w:val="34"/>
    <w:qFormat/>
    <w:pPr>
      <w:ind w:left="720"/>
    </w:pPr>
  </w:style>
  <w:style w:type="character" w:customStyle="1" w:styleId="Heading2Char">
    <w:name w:val="Heading 2 Char"/>
    <w:basedOn w:val="DefaultParagraphFont"/>
    <w:link w:val="Heading2"/>
    <w:uiPriority w:val="3"/>
    <w:rsid w:val="00CA4A82"/>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4"/>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22"/>
    <w:qFormat/>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23"/>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paragraph" w:customStyle="1" w:styleId="Table1caption">
    <w:name w:val="Table 1 caption"/>
    <w:basedOn w:val="Normal"/>
    <w:link w:val="Table1captionChar"/>
    <w:qFormat/>
    <w:rsid w:val="00167FF3"/>
    <w:pPr>
      <w:spacing w:before="200" w:after="120"/>
      <w:jc w:val="both"/>
    </w:pPr>
    <w:rPr>
      <w:rFonts w:ascii="Myriad Pro" w:eastAsiaTheme="minorEastAsia" w:hAnsi="Myriad Pro" w:cstheme="minorHAnsi"/>
      <w:b/>
      <w:sz w:val="18"/>
      <w:szCs w:val="18"/>
      <w:lang w:val="en-US" w:bidi="en-US"/>
    </w:rPr>
  </w:style>
  <w:style w:type="character" w:customStyle="1" w:styleId="Table1captionChar">
    <w:name w:val="Table 1 caption Char"/>
    <w:basedOn w:val="DefaultParagraphFont"/>
    <w:link w:val="Table1caption"/>
    <w:rsid w:val="00167FF3"/>
    <w:rPr>
      <w:rFonts w:ascii="Myriad Pro" w:eastAsiaTheme="minorEastAsia" w:hAnsi="Myriad Pro" w:cstheme="minorHAnsi"/>
      <w:b/>
      <w:sz w:val="18"/>
      <w:szCs w:val="18"/>
      <w:lang w:val="en-US" w:eastAsia="en-US" w:bidi="en-US"/>
    </w:rPr>
  </w:style>
  <w:style w:type="paragraph" w:styleId="FootnoteText">
    <w:name w:val="footnote text"/>
    <w:basedOn w:val="Normal"/>
    <w:link w:val="FootnoteTextChar"/>
    <w:semiHidden/>
    <w:rsid w:val="00294826"/>
    <w:pPr>
      <w:jc w:val="both"/>
    </w:pPr>
    <w:rPr>
      <w:rFonts w:ascii="Garamond" w:eastAsiaTheme="minorEastAsia" w:hAnsi="Garamond"/>
      <w:szCs w:val="20"/>
      <w:lang w:val="en-GB" w:bidi="en-US"/>
    </w:rPr>
  </w:style>
  <w:style w:type="character" w:customStyle="1" w:styleId="FootnoteTextChar">
    <w:name w:val="Footnote Text Char"/>
    <w:basedOn w:val="DefaultParagraphFont"/>
    <w:link w:val="FootnoteText"/>
    <w:semiHidden/>
    <w:rsid w:val="00294826"/>
    <w:rPr>
      <w:rFonts w:ascii="Garamond" w:eastAsiaTheme="minorEastAsia" w:hAnsi="Garamond" w:cstheme="minorBidi"/>
      <w:sz w:val="22"/>
      <w:lang w:val="en-GB" w:eastAsia="en-US" w:bidi="en-US"/>
    </w:rPr>
  </w:style>
  <w:style w:type="character" w:customStyle="1" w:styleId="ListParagraphChar">
    <w:name w:val="List Paragraph Char"/>
    <w:basedOn w:val="DefaultParagraphFont"/>
    <w:link w:val="ListParagraph"/>
    <w:uiPriority w:val="34"/>
    <w:locked/>
    <w:rsid w:val="00A95D02"/>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F01476"/>
  </w:style>
  <w:style w:type="paragraph" w:customStyle="1" w:styleId="EndNoteBibliography">
    <w:name w:val="EndNote Bibliography"/>
    <w:basedOn w:val="Normal"/>
    <w:link w:val="EndNoteBibliographyChar"/>
    <w:rsid w:val="00667EC1"/>
    <w:pPr>
      <w:spacing w:after="160" w:line="240" w:lineRule="auto"/>
    </w:pPr>
    <w:rPr>
      <w:rFonts w:ascii="Calibri" w:hAnsi="Calibri"/>
      <w:noProof/>
      <w:lang w:val="en-US"/>
    </w:rPr>
  </w:style>
  <w:style w:type="character" w:customStyle="1" w:styleId="EndNoteBibliographyChar">
    <w:name w:val="EndNote Bibliography Char"/>
    <w:basedOn w:val="ListParagraphChar"/>
    <w:link w:val="EndNoteBibliography"/>
    <w:rsid w:val="00667EC1"/>
    <w:rPr>
      <w:rFonts w:ascii="Calibri" w:eastAsiaTheme="minorHAnsi" w:hAnsi="Calibri" w:cstheme="minorBidi"/>
      <w:noProof/>
      <w:sz w:val="22"/>
      <w:szCs w:val="22"/>
      <w:lang w:val="en-US" w:eastAsia="en-US"/>
    </w:rPr>
  </w:style>
  <w:style w:type="character" w:customStyle="1" w:styleId="UnresolvedMention1">
    <w:name w:val="Unresolved Mention1"/>
    <w:basedOn w:val="DefaultParagraphFont"/>
    <w:uiPriority w:val="99"/>
    <w:semiHidden/>
    <w:unhideWhenUsed/>
    <w:rsid w:val="001C087F"/>
    <w:rPr>
      <w:color w:val="605E5C"/>
      <w:shd w:val="clear" w:color="auto" w:fill="E1DFDD"/>
    </w:rPr>
  </w:style>
  <w:style w:type="character" w:customStyle="1" w:styleId="UnresolvedMention2">
    <w:name w:val="Unresolved Mention2"/>
    <w:basedOn w:val="DefaultParagraphFont"/>
    <w:uiPriority w:val="99"/>
    <w:semiHidden/>
    <w:unhideWhenUsed/>
    <w:rsid w:val="00550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eader" Target="header1.xml"/><Relationship Id="rId26" Type="http://schemas.openxmlformats.org/officeDocument/2006/relationships/image" Target="media/image5.emf"/><Relationship Id="rId39" Type="http://schemas.openxmlformats.org/officeDocument/2006/relationships/hyperlink" Target="https://www.frac.info/docs/default-source/publications/frac-code-list/frac-code-list-2020-finalb16c2b2c512362eb9a1eff00004acf5d.pdf?sfvrsn=54f499a_2" TargetMode="External"/><Relationship Id="rId21" Type="http://schemas.openxmlformats.org/officeDocument/2006/relationships/header" Target="header3.xml"/><Relationship Id="rId34" Type="http://schemas.openxmlformats.org/officeDocument/2006/relationships/footer" Target="footer3.xml"/><Relationship Id="rId42" Type="http://schemas.openxmlformats.org/officeDocument/2006/relationships/header" Target="header10.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waterquality@dcceew.gov.a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waterquality.gov.au/sites/default/files/documents/mancozeb-fresh-dgvs-data-quality-assessment.xlsm" TargetMode="External"/><Relationship Id="rId32" Type="http://schemas.openxmlformats.org/officeDocument/2006/relationships/header" Target="header8.xml"/><Relationship Id="rId37" Type="http://schemas.openxmlformats.org/officeDocument/2006/relationships/image" Target="media/image8.emf"/><Relationship Id="rId40" Type="http://schemas.openxmlformats.org/officeDocument/2006/relationships/hyperlink" Target="https://web04.agro.au.dk/project2/euroblight/Workshop/2008Hamar/Proceedings/2008Hamar.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waterquality.gov.au/anz-guidelines/guideline-values/default/water-quality-toxicants/toxicants" TargetMode="External"/><Relationship Id="rId23" Type="http://schemas.openxmlformats.org/officeDocument/2006/relationships/image" Target="media/image4.png"/><Relationship Id="rId28" Type="http://schemas.openxmlformats.org/officeDocument/2006/relationships/header" Target="header5.xml"/><Relationship Id="rId36"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dcceew.gov.au" TargetMode="External"/><Relationship Id="rId22" Type="http://schemas.openxmlformats.org/officeDocument/2006/relationships/hyperlink" Target="https://www.google.com.au/url?sa=i&amp;rct=j&amp;q=&amp;esrc=s&amp;frm=1&amp;source=images&amp;cd=&amp;ved=0CAcQjRxqFQoTCI6ktLbAlskCFUTbYwoduZcPDQ&amp;url=https://www.google.com/patents/US8841234&amp;bvm=bv.107763241,d.cGc&amp;psig=AFQjCNGLxCtLszEzqQl2x-opVSSjZ7L-rQ&amp;ust=1447816904320504" TargetMode="External"/><Relationship Id="rId27" Type="http://schemas.openxmlformats.org/officeDocument/2006/relationships/header" Target="header4.xml"/><Relationship Id="rId30" Type="http://schemas.openxmlformats.org/officeDocument/2006/relationships/footer" Target="footer2.xml"/><Relationship Id="rId35" Type="http://schemas.openxmlformats.org/officeDocument/2006/relationships/image" Target="media/image6.emf"/><Relationship Id="rId43"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reativecommons.org/licenses/by/4.0/" TargetMode="External"/><Relationship Id="rId17" Type="http://schemas.openxmlformats.org/officeDocument/2006/relationships/image" Target="media/image2.jpeg"/><Relationship Id="rId25" Type="http://schemas.openxmlformats.org/officeDocument/2006/relationships/hyperlink" Target="http://www.waterquality.gov.au/sites/default/files/documents/mancozeb-fresh-dgvs-data-entry.xlsm" TargetMode="External"/><Relationship Id="rId33" Type="http://schemas.openxmlformats.org/officeDocument/2006/relationships/header" Target="header9.xml"/><Relationship Id="rId38" Type="http://schemas.openxmlformats.org/officeDocument/2006/relationships/hyperlink" Target="http://www.dow.com/productsafety/finder/" TargetMode="External"/><Relationship Id="rId46" Type="http://schemas.openxmlformats.org/officeDocument/2006/relationships/glossaryDocument" Target="glossary/document.xml"/><Relationship Id="rId20" Type="http://schemas.openxmlformats.org/officeDocument/2006/relationships/footer" Target="footer1.xml"/><Relationship Id="rId41" Type="http://schemas.openxmlformats.org/officeDocument/2006/relationships/hyperlink" Target="https://fungiresistance.com/downloads/knowledge_centre/mancozeb_environment.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0CCC024575420DB346A2897E1BFAA1"/>
        <w:category>
          <w:name w:val="General"/>
          <w:gallery w:val="placeholder"/>
        </w:category>
        <w:types>
          <w:type w:val="bbPlcHdr"/>
        </w:types>
        <w:behaviors>
          <w:behavior w:val="content"/>
        </w:behaviors>
        <w:guid w:val="{59AC9F7E-4FA2-490F-98B6-D985F0F8EDE1}"/>
      </w:docPartPr>
      <w:docPartBody>
        <w:p w:rsidR="00B7057B" w:rsidRDefault="00522BAB" w:rsidP="00B7057B">
          <w:pPr>
            <w:pStyle w:val="B20CCC024575420DB346A2897E1BFAA1"/>
          </w:pPr>
          <w:r w:rsidRPr="00BE52A7">
            <w:rPr>
              <w:rStyle w:val="PlaceholderText"/>
            </w:rPr>
            <w:t>Click here to enter text.</w:t>
          </w:r>
        </w:p>
      </w:docPartBody>
    </w:docPart>
    <w:docPart>
      <w:docPartPr>
        <w:name w:val="75E5AAFA747F479F87D73EFE61ADBB03"/>
        <w:category>
          <w:name w:val="General"/>
          <w:gallery w:val="placeholder"/>
        </w:category>
        <w:types>
          <w:type w:val="bbPlcHdr"/>
        </w:types>
        <w:behaviors>
          <w:behavior w:val="content"/>
        </w:behaviors>
        <w:guid w:val="{090067EE-B894-4767-B041-8C533F23F158}"/>
      </w:docPartPr>
      <w:docPartBody>
        <w:p w:rsidR="00B4594C" w:rsidRDefault="00522BAB" w:rsidP="009C6AC2">
          <w:pPr>
            <w:pStyle w:val="75E5AAFA747F479F87D73EFE61ADBB03"/>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57B"/>
    <w:rsid w:val="00025A2B"/>
    <w:rsid w:val="00093BD6"/>
    <w:rsid w:val="0014720C"/>
    <w:rsid w:val="001719A2"/>
    <w:rsid w:val="00196A48"/>
    <w:rsid w:val="00293AE9"/>
    <w:rsid w:val="002C30B2"/>
    <w:rsid w:val="002F062C"/>
    <w:rsid w:val="003018E9"/>
    <w:rsid w:val="00335A9A"/>
    <w:rsid w:val="00344B1D"/>
    <w:rsid w:val="003C2B75"/>
    <w:rsid w:val="003C4C2C"/>
    <w:rsid w:val="003D2B81"/>
    <w:rsid w:val="004703FB"/>
    <w:rsid w:val="00472B68"/>
    <w:rsid w:val="004F0255"/>
    <w:rsid w:val="00522BAB"/>
    <w:rsid w:val="005B7806"/>
    <w:rsid w:val="00640051"/>
    <w:rsid w:val="00677F13"/>
    <w:rsid w:val="00695792"/>
    <w:rsid w:val="006C6340"/>
    <w:rsid w:val="00716BEC"/>
    <w:rsid w:val="00750303"/>
    <w:rsid w:val="007E1690"/>
    <w:rsid w:val="007F2907"/>
    <w:rsid w:val="008E0F63"/>
    <w:rsid w:val="00972105"/>
    <w:rsid w:val="009C6AC2"/>
    <w:rsid w:val="00AC5478"/>
    <w:rsid w:val="00AE16F9"/>
    <w:rsid w:val="00B4594C"/>
    <w:rsid w:val="00B4741D"/>
    <w:rsid w:val="00B508E3"/>
    <w:rsid w:val="00B63C13"/>
    <w:rsid w:val="00B7057B"/>
    <w:rsid w:val="00BF7E32"/>
    <w:rsid w:val="00C065C9"/>
    <w:rsid w:val="00CB0A31"/>
    <w:rsid w:val="00D37947"/>
    <w:rsid w:val="00D50ABE"/>
    <w:rsid w:val="00DC1C9A"/>
    <w:rsid w:val="00DD5690"/>
    <w:rsid w:val="00E13162"/>
    <w:rsid w:val="00E14E15"/>
    <w:rsid w:val="00E636A6"/>
    <w:rsid w:val="00F70B99"/>
    <w:rsid w:val="00F93ED2"/>
    <w:rsid w:val="00FF08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AC2"/>
    <w:rPr>
      <w:color w:val="808080"/>
    </w:rPr>
  </w:style>
  <w:style w:type="paragraph" w:customStyle="1" w:styleId="B20CCC024575420DB346A2897E1BFAA1">
    <w:name w:val="B20CCC024575420DB346A2897E1BFAA1"/>
    <w:rsid w:val="00B7057B"/>
  </w:style>
  <w:style w:type="paragraph" w:customStyle="1" w:styleId="75E5AAFA747F479F87D73EFE61ADBB03">
    <w:name w:val="75E5AAFA747F479F87D73EFE61ADBB03"/>
    <w:rsid w:val="009C6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c5cad13b6666b7852f4eaa8dcc206fb9">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e9b090d71a2e5fb3627b9888c9f68a88"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323EF-822C-4E4A-9DA5-304476EA7B2B}">
  <ds:schemaRefs>
    <ds:schemaRef ds:uri="b98728ac-f998-415c-abee-6b046fb1441e"/>
    <ds:schemaRef ds:uri="http://purl.org/dc/dcmitype/"/>
    <ds:schemaRef ds:uri="http://schemas.microsoft.com/office/2006/metadata/properties"/>
    <ds:schemaRef ds:uri="81c01dc6-2c49-4730-b140-874c95cac377"/>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d869c146-c82e-4435-92e4-da91542262fd"/>
    <ds:schemaRef ds:uri="http://purl.org/dc/terms/"/>
    <ds:schemaRef ds:uri="http://purl.org/dc/elements/1.1/"/>
  </ds:schemaRefs>
</ds:datastoreItem>
</file>

<file path=customXml/itemProps2.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3.xml><?xml version="1.0" encoding="utf-8"?>
<ds:datastoreItem xmlns:ds="http://schemas.openxmlformats.org/officeDocument/2006/customXml" ds:itemID="{A907E0F5-D871-43AB-9A56-5C5DDFEDC454}">
  <ds:schemaRefs>
    <ds:schemaRef ds:uri="http://schemas.openxmlformats.org/officeDocument/2006/bibliography"/>
  </ds:schemaRefs>
</ds:datastoreItem>
</file>

<file path=customXml/itemProps4.xml><?xml version="1.0" encoding="utf-8"?>
<ds:datastoreItem xmlns:ds="http://schemas.openxmlformats.org/officeDocument/2006/customXml" ds:itemID="{F796C874-5922-4284-AE40-EFAA4B823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7260</Words>
  <Characters>41387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Mancozeb in freshwater - Technical brief</vt:lpstr>
    </vt:vector>
  </TitlesOfParts>
  <Company/>
  <LinksUpToDate>false</LinksUpToDate>
  <CharactersWithSpaces>48550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Mancozeb in freshwater - Technical brief</dc:title>
  <dc:creator>Water Quality Australia</dc:creator>
  <cp:lastModifiedBy>Nguyen, Lien</cp:lastModifiedBy>
  <cp:revision>3</cp:revision>
  <cp:lastPrinted>2023-07-06T23:52:00Z</cp:lastPrinted>
  <dcterms:created xsi:type="dcterms:W3CDTF">2023-07-14T02:03:00Z</dcterms:created>
  <dcterms:modified xsi:type="dcterms:W3CDTF">2023-07-17T04:45:00Z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#000000,10,Calibri</vt:lpwstr>
  </property>
  <property fmtid="{D5CDD505-2E9C-101B-9397-08002B2CF9AE}" pid="3" name="ClassificationContentMarkingHeaderShapeIds">
    <vt:lpwstr>5,7,8,9,a,b,c,d,f,11,13,14</vt:lpwstr>
  </property>
  <property fmtid="{D5CDD505-2E9C-101B-9397-08002B2CF9AE}" pid="4" name="ClassificationContentMarkingHeaderText">
    <vt:lpwstr>OFFICIAL </vt:lpwstr>
  </property>
  <property fmtid="{D5CDD505-2E9C-101B-9397-08002B2CF9AE}" pid="5" name="MediaServiceImageTags">
    <vt:lpwstr/>
  </property>
  <property fmtid="{D5CDD505-2E9C-101B-9397-08002B2CF9AE}" pid="6" name="ContentTypeId">
    <vt:lpwstr>0x010100E3A4F77836BB3D4E8942C3BA8310D952</vt:lpwstr>
  </property>
</Properties>
</file>